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ink/ink1.xml" ContentType="application/inkml+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71744">
      <w:pPr>
        <w:adjustRightInd/>
        <w:snapToGrid/>
        <w:spacing w:line="500" w:lineRule="atLeast"/>
        <w:ind w:firstLine="643"/>
        <w:jc w:val="center"/>
        <w:rPr>
          <w:rFonts w:ascii="仿宋" w:hAnsi="仿宋" w:eastAsia="仿宋" w:cs="仿宋"/>
          <w:b/>
          <w:bCs/>
          <w:sz w:val="32"/>
          <w:szCs w:val="32"/>
        </w:rPr>
      </w:pPr>
      <w:bookmarkStart w:id="0" w:name="_Toc102927598"/>
      <w:bookmarkStart w:id="1" w:name="_Toc183406154"/>
      <w:bookmarkStart w:id="2" w:name="_Toc430184278"/>
      <w:bookmarkStart w:id="3" w:name="_Toc21296"/>
      <w:bookmarkStart w:id="4" w:name="_Toc500554316"/>
      <w:bookmarkStart w:id="5" w:name="_Toc18405"/>
      <w:bookmarkStart w:id="457" w:name="_GoBack"/>
      <w:bookmarkEnd w:id="457"/>
    </w:p>
    <w:p w14:paraId="2EC491FA">
      <w:pPr>
        <w:adjustRightInd/>
        <w:snapToGrid/>
        <w:spacing w:line="500" w:lineRule="atLeast"/>
        <w:ind w:firstLine="640"/>
        <w:jc w:val="center"/>
        <w:rPr>
          <w:rFonts w:ascii="仿宋" w:hAnsi="仿宋" w:eastAsia="仿宋" w:cs="仿宋"/>
          <w:sz w:val="32"/>
          <w:szCs w:val="32"/>
        </w:rPr>
      </w:pPr>
    </w:p>
    <w:p w14:paraId="4620EA7A">
      <w:pPr>
        <w:adjustRightInd/>
        <w:snapToGrid/>
        <w:spacing w:line="500" w:lineRule="atLeast"/>
        <w:ind w:firstLine="640"/>
        <w:jc w:val="center"/>
        <w:rPr>
          <w:rFonts w:ascii="仿宋" w:hAnsi="仿宋" w:eastAsia="仿宋" w:cs="仿宋"/>
          <w:sz w:val="32"/>
          <w:szCs w:val="32"/>
        </w:rPr>
      </w:pPr>
    </w:p>
    <w:p w14:paraId="77D02F2C">
      <w:pPr>
        <w:spacing w:line="360" w:lineRule="auto"/>
        <w:ind w:firstLine="0" w:firstLineChars="0"/>
        <w:jc w:val="center"/>
        <w:rPr>
          <w:rFonts w:ascii="仿宋" w:hAnsi="仿宋" w:eastAsia="仿宋" w:cs="仿宋"/>
          <w:b/>
          <w:color w:val="000000"/>
          <w:sz w:val="48"/>
          <w:szCs w:val="48"/>
        </w:rPr>
      </w:pPr>
      <w:r>
        <w:rPr>
          <w:rFonts w:hint="eastAsia" w:ascii="仿宋" w:hAnsi="仿宋" w:eastAsia="仿宋" w:cs="仿宋"/>
          <w:b/>
          <w:color w:val="000000"/>
          <w:sz w:val="48"/>
          <w:szCs w:val="48"/>
        </w:rPr>
        <w:t>新疆和布克赛尔县7号历史遗留采坑地质环境治理与生态修复方案</w:t>
      </w:r>
    </w:p>
    <w:p w14:paraId="08AE978F">
      <w:pPr>
        <w:spacing w:line="360" w:lineRule="auto"/>
        <w:ind w:firstLine="480"/>
        <w:rPr>
          <w:rFonts w:ascii="仿宋" w:hAnsi="仿宋" w:eastAsia="仿宋" w:cs="仿宋"/>
          <w:color w:val="000000"/>
          <w:sz w:val="24"/>
        </w:rPr>
      </w:pPr>
    </w:p>
    <w:p w14:paraId="2CF90412">
      <w:pPr>
        <w:spacing w:line="360" w:lineRule="auto"/>
        <w:ind w:firstLine="480"/>
        <w:rPr>
          <w:rFonts w:ascii="仿宋" w:hAnsi="仿宋" w:eastAsia="仿宋" w:cs="仿宋"/>
          <w:color w:val="000000"/>
          <w:sz w:val="24"/>
        </w:rPr>
      </w:pPr>
    </w:p>
    <w:p w14:paraId="681DE613">
      <w:pPr>
        <w:spacing w:line="360" w:lineRule="auto"/>
        <w:ind w:firstLine="480"/>
        <w:rPr>
          <w:rFonts w:ascii="仿宋" w:hAnsi="仿宋" w:eastAsia="仿宋" w:cs="仿宋"/>
          <w:color w:val="000000"/>
          <w:sz w:val="24"/>
        </w:rPr>
      </w:pPr>
    </w:p>
    <w:p w14:paraId="5E10684D">
      <w:pPr>
        <w:spacing w:line="360" w:lineRule="auto"/>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14:paraId="13DDD131">
      <w:pPr>
        <w:adjustRightInd/>
        <w:snapToGrid/>
        <w:spacing w:line="500" w:lineRule="atLeast"/>
        <w:ind w:firstLine="640"/>
        <w:jc w:val="center"/>
        <w:rPr>
          <w:rFonts w:ascii="仿宋" w:hAnsi="仿宋" w:eastAsia="仿宋" w:cs="仿宋"/>
          <w:color w:val="000000"/>
          <w:sz w:val="32"/>
          <w:szCs w:val="32"/>
        </w:rPr>
      </w:pPr>
    </w:p>
    <w:p w14:paraId="37FA5689">
      <w:pPr>
        <w:adjustRightInd/>
        <w:snapToGrid/>
        <w:spacing w:line="500" w:lineRule="atLeast"/>
        <w:ind w:firstLine="640"/>
        <w:jc w:val="center"/>
        <w:rPr>
          <w:rFonts w:ascii="仿宋" w:hAnsi="仿宋" w:eastAsia="仿宋" w:cs="仿宋"/>
          <w:color w:val="000000"/>
          <w:sz w:val="32"/>
          <w:szCs w:val="32"/>
        </w:rPr>
      </w:pPr>
    </w:p>
    <w:p w14:paraId="57EA1580">
      <w:pPr>
        <w:adjustRightInd/>
        <w:snapToGrid/>
        <w:spacing w:line="500" w:lineRule="atLeast"/>
        <w:ind w:firstLine="640"/>
        <w:jc w:val="center"/>
        <w:rPr>
          <w:rFonts w:ascii="仿宋" w:hAnsi="仿宋" w:eastAsia="仿宋" w:cs="仿宋"/>
          <w:color w:val="000000"/>
          <w:sz w:val="32"/>
          <w:szCs w:val="32"/>
        </w:rPr>
      </w:pPr>
    </w:p>
    <w:p w14:paraId="3A07627A">
      <w:pPr>
        <w:adjustRightInd/>
        <w:snapToGrid/>
        <w:spacing w:line="500" w:lineRule="atLeast"/>
        <w:ind w:firstLine="640"/>
        <w:jc w:val="center"/>
        <w:rPr>
          <w:rFonts w:ascii="仿宋" w:hAnsi="仿宋" w:eastAsia="仿宋" w:cs="仿宋"/>
          <w:color w:val="000000"/>
          <w:sz w:val="32"/>
          <w:szCs w:val="32"/>
        </w:rPr>
      </w:pPr>
    </w:p>
    <w:p w14:paraId="34832EDA">
      <w:pPr>
        <w:adjustRightInd/>
        <w:snapToGrid/>
        <w:spacing w:line="500" w:lineRule="atLeast"/>
        <w:ind w:firstLine="640"/>
        <w:jc w:val="center"/>
        <w:rPr>
          <w:rFonts w:ascii="仿宋" w:hAnsi="仿宋" w:eastAsia="仿宋" w:cs="仿宋"/>
          <w:color w:val="000000"/>
          <w:sz w:val="32"/>
          <w:szCs w:val="32"/>
        </w:rPr>
      </w:pPr>
    </w:p>
    <w:p w14:paraId="23672D24">
      <w:pPr>
        <w:adjustRightInd/>
        <w:snapToGrid/>
        <w:spacing w:line="500" w:lineRule="atLeast"/>
        <w:ind w:firstLine="640"/>
        <w:jc w:val="center"/>
        <w:rPr>
          <w:rFonts w:ascii="仿宋" w:hAnsi="仿宋" w:eastAsia="仿宋" w:cs="仿宋"/>
          <w:color w:val="000000"/>
          <w:sz w:val="32"/>
          <w:szCs w:val="32"/>
        </w:rPr>
      </w:pPr>
    </w:p>
    <w:p w14:paraId="2D886EDA">
      <w:pPr>
        <w:adjustRightInd/>
        <w:snapToGrid/>
        <w:spacing w:line="500" w:lineRule="atLeast"/>
        <w:ind w:firstLine="640"/>
        <w:jc w:val="center"/>
        <w:rPr>
          <w:rFonts w:ascii="仿宋" w:hAnsi="仿宋" w:eastAsia="仿宋" w:cs="仿宋"/>
          <w:color w:val="000000"/>
          <w:sz w:val="32"/>
          <w:szCs w:val="32"/>
        </w:rPr>
      </w:pPr>
    </w:p>
    <w:p w14:paraId="450C1813">
      <w:pPr>
        <w:adjustRightInd/>
        <w:snapToGrid/>
        <w:spacing w:line="500" w:lineRule="atLeast"/>
        <w:ind w:firstLine="640"/>
        <w:jc w:val="center"/>
        <w:rPr>
          <w:rFonts w:ascii="仿宋" w:hAnsi="仿宋" w:eastAsia="仿宋" w:cs="仿宋"/>
          <w:color w:val="000000"/>
          <w:sz w:val="32"/>
          <w:szCs w:val="32"/>
        </w:rPr>
      </w:pPr>
    </w:p>
    <w:p w14:paraId="5099AB88">
      <w:pPr>
        <w:adjustRightInd/>
        <w:snapToGrid/>
        <w:spacing w:line="500" w:lineRule="atLeast"/>
        <w:ind w:firstLine="640"/>
        <w:jc w:val="center"/>
        <w:rPr>
          <w:rFonts w:ascii="仿宋" w:hAnsi="仿宋" w:eastAsia="仿宋" w:cs="仿宋"/>
          <w:sz w:val="32"/>
          <w:szCs w:val="32"/>
        </w:rPr>
      </w:pPr>
    </w:p>
    <w:p w14:paraId="3FAF077D">
      <w:pPr>
        <w:pStyle w:val="6"/>
        <w:ind w:firstLine="640"/>
        <w:rPr>
          <w:rFonts w:ascii="仿宋" w:hAnsi="仿宋" w:eastAsia="仿宋" w:cs="仿宋"/>
          <w:sz w:val="32"/>
          <w:szCs w:val="32"/>
        </w:rPr>
      </w:pPr>
    </w:p>
    <w:p w14:paraId="38BF1336">
      <w:pPr>
        <w:pStyle w:val="6"/>
        <w:ind w:firstLine="640"/>
        <w:rPr>
          <w:rFonts w:ascii="仿宋" w:hAnsi="仿宋" w:eastAsia="仿宋" w:cs="仿宋"/>
          <w:sz w:val="32"/>
          <w:szCs w:val="32"/>
        </w:rPr>
      </w:pPr>
    </w:p>
    <w:p w14:paraId="1550DF6D">
      <w:pPr>
        <w:pStyle w:val="6"/>
        <w:adjustRightInd/>
        <w:snapToGrid/>
        <w:ind w:firstLine="640"/>
        <w:jc w:val="center"/>
        <w:rPr>
          <w:rFonts w:ascii="仿宋" w:hAnsi="仿宋" w:eastAsia="仿宋" w:cs="仿宋"/>
          <w:sz w:val="32"/>
          <w:szCs w:val="32"/>
        </w:rPr>
      </w:pPr>
      <w:r>
        <w:rPr>
          <w:rFonts w:hint="eastAsia" w:ascii="仿宋" w:hAnsi="仿宋" w:eastAsia="仿宋" w:cs="仿宋"/>
          <w:sz w:val="32"/>
          <w:szCs w:val="32"/>
        </w:rPr>
        <w:t>新疆维吾尔自治区地质矿产勘查开发局第七地质大队</w:t>
      </w:r>
    </w:p>
    <w:p w14:paraId="5A982626">
      <w:pPr>
        <w:pStyle w:val="6"/>
        <w:adjustRightInd/>
        <w:snapToGrid/>
        <w:ind w:firstLine="640"/>
        <w:jc w:val="center"/>
        <w:rPr>
          <w:rFonts w:ascii="仿宋" w:hAnsi="仿宋" w:eastAsia="仿宋" w:cs="仿宋"/>
          <w:color w:val="000000"/>
          <w:sz w:val="32"/>
          <w:szCs w:val="32"/>
        </w:rPr>
      </w:pPr>
      <w:r>
        <w:rPr>
          <w:rFonts w:hint="eastAsia" w:ascii="仿宋" w:hAnsi="仿宋" w:eastAsia="仿宋" w:cs="仿宋"/>
          <w:color w:val="000000"/>
          <w:sz w:val="32"/>
          <w:szCs w:val="32"/>
        </w:rPr>
        <w:t>乌苏七星地质勘查有限公司</w:t>
      </w:r>
    </w:p>
    <w:p w14:paraId="5C9D49D1">
      <w:pPr>
        <w:widowControl/>
        <w:adjustRightInd/>
        <w:snapToGrid/>
        <w:spacing w:line="240" w:lineRule="auto"/>
        <w:ind w:firstLine="0" w:firstLineChars="0"/>
        <w:jc w:val="center"/>
        <w:rPr>
          <w:rFonts w:ascii="仿宋" w:hAnsi="仿宋" w:eastAsia="仿宋" w:cs="仿宋"/>
          <w:b/>
          <w:bCs/>
          <w:sz w:val="32"/>
          <w:szCs w:val="32"/>
        </w:rPr>
      </w:pPr>
      <w:r>
        <w:rPr>
          <w:rFonts w:hint="eastAsia" w:ascii="仿宋" w:hAnsi="仿宋" w:eastAsia="仿宋" w:cs="仿宋"/>
          <w:color w:val="000000"/>
          <w:sz w:val="32"/>
          <w:szCs w:val="32"/>
        </w:rPr>
        <w:t>年</w:t>
      </w:r>
      <w:r>
        <w:rPr>
          <w:rFonts w:ascii="仿宋" w:hAnsi="仿宋" w:eastAsia="仿宋" w:cs="仿宋"/>
          <w:color w:val="000000"/>
          <w:sz w:val="32"/>
          <w:szCs w:val="32"/>
        </w:rPr>
        <w:t xml:space="preserve"> </w:t>
      </w:r>
      <w:r>
        <w:rPr>
          <w:rFonts w:hint="eastAsia" w:ascii="仿宋" w:hAnsi="仿宋" w:eastAsia="仿宋" w:cs="仿宋"/>
          <w:color w:val="000000"/>
          <w:sz w:val="32"/>
          <w:szCs w:val="32"/>
        </w:rPr>
        <w:t>月</w:t>
      </w:r>
      <w:r>
        <w:rPr>
          <w:rFonts w:ascii="仿宋" w:hAnsi="仿宋" w:eastAsia="仿宋" w:cs="仿宋"/>
          <w:color w:val="000000"/>
          <w:sz w:val="32"/>
          <w:szCs w:val="32"/>
        </w:rPr>
        <w:t xml:space="preserve">  </w:t>
      </w:r>
      <w:r>
        <w:rPr>
          <w:rFonts w:hint="eastAsia" w:ascii="仿宋" w:hAnsi="仿宋" w:eastAsia="仿宋" w:cs="仿宋"/>
          <w:color w:val="000000"/>
          <w:sz w:val="32"/>
          <w:szCs w:val="32"/>
        </w:rPr>
        <w:t>日</w:t>
      </w:r>
      <w:r>
        <w:rPr>
          <w:rFonts w:ascii="仿宋" w:hAnsi="仿宋" w:eastAsia="仿宋" w:cs="仿宋"/>
          <w:b/>
          <w:bCs/>
          <w:sz w:val="32"/>
          <w:szCs w:val="32"/>
        </w:rPr>
        <w:br w:type="page"/>
      </w:r>
    </w:p>
    <w:p w14:paraId="30514D43">
      <w:pPr>
        <w:adjustRightInd/>
        <w:snapToGrid/>
        <w:spacing w:line="500" w:lineRule="atLeast"/>
        <w:ind w:firstLine="643"/>
        <w:jc w:val="center"/>
        <w:rPr>
          <w:rFonts w:ascii="仿宋" w:hAnsi="仿宋" w:eastAsia="仿宋" w:cs="仿宋"/>
          <w:b/>
          <w:bCs/>
          <w:sz w:val="32"/>
          <w:szCs w:val="32"/>
        </w:rPr>
      </w:pPr>
    </w:p>
    <w:p w14:paraId="1925C945">
      <w:pPr>
        <w:adjustRightInd/>
        <w:snapToGrid/>
        <w:spacing w:line="500" w:lineRule="atLeast"/>
        <w:ind w:firstLine="640"/>
        <w:jc w:val="center"/>
        <w:rPr>
          <w:rFonts w:ascii="仿宋" w:hAnsi="仿宋" w:eastAsia="仿宋" w:cs="仿宋"/>
          <w:sz w:val="32"/>
          <w:szCs w:val="32"/>
        </w:rPr>
      </w:pPr>
    </w:p>
    <w:p w14:paraId="59A71696">
      <w:pPr>
        <w:adjustRightInd/>
        <w:snapToGrid/>
        <w:spacing w:line="500" w:lineRule="atLeast"/>
        <w:ind w:firstLine="640"/>
        <w:jc w:val="center"/>
        <w:rPr>
          <w:rFonts w:ascii="仿宋" w:hAnsi="仿宋" w:eastAsia="仿宋" w:cs="仿宋"/>
          <w:sz w:val="32"/>
          <w:szCs w:val="32"/>
        </w:rPr>
      </w:pPr>
    </w:p>
    <w:p w14:paraId="7A1A4D02">
      <w:pPr>
        <w:spacing w:line="360" w:lineRule="auto"/>
        <w:ind w:firstLine="0" w:firstLineChars="0"/>
        <w:jc w:val="center"/>
        <w:rPr>
          <w:rFonts w:ascii="仿宋" w:hAnsi="仿宋" w:eastAsia="仿宋" w:cs="仿宋"/>
          <w:b/>
          <w:color w:val="000000"/>
          <w:sz w:val="48"/>
          <w:szCs w:val="48"/>
        </w:rPr>
      </w:pPr>
      <w:r>
        <w:rPr>
          <w:rFonts w:hint="eastAsia" w:ascii="仿宋" w:hAnsi="仿宋" w:eastAsia="仿宋" w:cs="仿宋"/>
          <w:b/>
          <w:color w:val="000000"/>
          <w:sz w:val="48"/>
          <w:szCs w:val="48"/>
        </w:rPr>
        <w:t>新疆和布克赛尔县7号历史遗留采坑地质环境治理与生态修复方案</w:t>
      </w:r>
    </w:p>
    <w:p w14:paraId="5E0941BB">
      <w:pPr>
        <w:spacing w:line="360" w:lineRule="auto"/>
        <w:ind w:firstLine="480"/>
        <w:rPr>
          <w:rFonts w:ascii="仿宋" w:hAnsi="仿宋" w:eastAsia="仿宋" w:cs="仿宋"/>
          <w:color w:val="000000"/>
          <w:sz w:val="24"/>
        </w:rPr>
      </w:pPr>
    </w:p>
    <w:p w14:paraId="242B9474">
      <w:pPr>
        <w:spacing w:line="360" w:lineRule="auto"/>
        <w:ind w:firstLine="480"/>
        <w:rPr>
          <w:rFonts w:ascii="仿宋" w:hAnsi="仿宋" w:eastAsia="仿宋" w:cs="仿宋"/>
          <w:color w:val="000000"/>
          <w:sz w:val="24"/>
        </w:rPr>
      </w:pPr>
    </w:p>
    <w:p w14:paraId="36EAE0BC">
      <w:pPr>
        <w:spacing w:line="360" w:lineRule="auto"/>
        <w:ind w:firstLine="480"/>
        <w:rPr>
          <w:rFonts w:ascii="仿宋" w:hAnsi="仿宋" w:eastAsia="仿宋" w:cs="仿宋"/>
          <w:color w:val="000000"/>
          <w:sz w:val="24"/>
        </w:rPr>
      </w:pPr>
    </w:p>
    <w:p w14:paraId="6BBC67C8">
      <w:pPr>
        <w:spacing w:line="360" w:lineRule="auto"/>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14:paraId="35E65B8B">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编写人员：</w:t>
      </w:r>
    </w:p>
    <w:p w14:paraId="6152AEF2">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技术负责：</w:t>
      </w:r>
    </w:p>
    <w:p w14:paraId="3C0E76BF">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治理负责：</w:t>
      </w:r>
    </w:p>
    <w:p w14:paraId="11EE4865">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审    核：</w:t>
      </w:r>
    </w:p>
    <w:p w14:paraId="7D5BF758">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总工程师（单位技术负责）：</w:t>
      </w:r>
    </w:p>
    <w:p w14:paraId="4C2CF510">
      <w:pPr>
        <w:adjustRightInd/>
        <w:snapToGrid/>
        <w:spacing w:line="240" w:lineRule="auto"/>
        <w:ind w:firstLine="1280" w:firstLineChars="400"/>
        <w:jc w:val="left"/>
        <w:rPr>
          <w:rFonts w:ascii="仿宋" w:hAnsi="仿宋" w:eastAsia="仿宋" w:cs="仿宋"/>
          <w:color w:val="000000"/>
          <w:sz w:val="32"/>
          <w:szCs w:val="32"/>
        </w:rPr>
      </w:pPr>
      <w:r>
        <w:rPr>
          <w:rFonts w:hint="eastAsia" w:ascii="仿宋" w:hAnsi="仿宋" w:eastAsia="仿宋" w:cs="仿宋"/>
          <w:color w:val="000000"/>
          <w:sz w:val="32"/>
          <w:szCs w:val="32"/>
        </w:rPr>
        <w:t>单位负责（总经理）：</w:t>
      </w:r>
    </w:p>
    <w:p w14:paraId="73C237A8">
      <w:pPr>
        <w:adjustRightInd/>
        <w:snapToGrid/>
        <w:spacing w:line="500" w:lineRule="atLeast"/>
        <w:ind w:firstLine="640"/>
        <w:jc w:val="center"/>
        <w:rPr>
          <w:rFonts w:ascii="仿宋" w:hAnsi="仿宋" w:eastAsia="仿宋" w:cs="仿宋"/>
          <w:sz w:val="32"/>
          <w:szCs w:val="32"/>
        </w:rPr>
      </w:pPr>
    </w:p>
    <w:p w14:paraId="7CDE27DB">
      <w:pPr>
        <w:adjustRightInd/>
        <w:snapToGrid/>
        <w:spacing w:line="500" w:lineRule="atLeast"/>
        <w:ind w:firstLine="640"/>
        <w:jc w:val="center"/>
        <w:rPr>
          <w:rFonts w:ascii="仿宋" w:hAnsi="仿宋" w:eastAsia="仿宋" w:cs="仿宋"/>
          <w:sz w:val="32"/>
          <w:szCs w:val="32"/>
        </w:rPr>
      </w:pPr>
    </w:p>
    <w:p w14:paraId="71ABF843">
      <w:pPr>
        <w:pStyle w:val="6"/>
        <w:ind w:firstLine="640"/>
        <w:rPr>
          <w:rFonts w:ascii="仿宋" w:hAnsi="仿宋" w:eastAsia="仿宋" w:cs="仿宋"/>
          <w:sz w:val="32"/>
          <w:szCs w:val="32"/>
        </w:rPr>
      </w:pPr>
    </w:p>
    <w:p w14:paraId="6D601E58">
      <w:pPr>
        <w:pStyle w:val="6"/>
        <w:ind w:firstLine="640"/>
        <w:rPr>
          <w:rFonts w:ascii="仿宋" w:hAnsi="仿宋" w:eastAsia="仿宋" w:cs="仿宋"/>
          <w:sz w:val="32"/>
          <w:szCs w:val="32"/>
        </w:rPr>
      </w:pPr>
    </w:p>
    <w:p w14:paraId="1B79077D">
      <w:pPr>
        <w:pStyle w:val="6"/>
        <w:adjustRightInd/>
        <w:snapToGrid/>
        <w:ind w:firstLine="640"/>
        <w:jc w:val="center"/>
        <w:rPr>
          <w:rFonts w:ascii="仿宋" w:hAnsi="仿宋" w:eastAsia="仿宋" w:cs="仿宋"/>
          <w:sz w:val="32"/>
          <w:szCs w:val="32"/>
        </w:rPr>
      </w:pPr>
      <w:r>
        <w:rPr>
          <w:rFonts w:hint="eastAsia" w:ascii="仿宋" w:hAnsi="仿宋" w:eastAsia="仿宋" w:cs="仿宋"/>
          <w:sz w:val="32"/>
          <w:szCs w:val="32"/>
        </w:rPr>
        <w:t>新疆维吾尔自治区地质矿产勘查开发局第七地质大队</w:t>
      </w:r>
    </w:p>
    <w:p w14:paraId="0D210115">
      <w:pPr>
        <w:pStyle w:val="6"/>
        <w:adjustRightInd/>
        <w:snapToGrid/>
        <w:ind w:firstLine="640"/>
        <w:jc w:val="center"/>
        <w:rPr>
          <w:rFonts w:ascii="仿宋" w:hAnsi="仿宋" w:eastAsia="仿宋" w:cs="仿宋"/>
          <w:color w:val="000000"/>
          <w:sz w:val="32"/>
          <w:szCs w:val="32"/>
        </w:rPr>
      </w:pPr>
      <w:r>
        <w:rPr>
          <w:rFonts w:hint="eastAsia" w:ascii="仿宋" w:hAnsi="仿宋" w:eastAsia="仿宋" w:cs="仿宋"/>
          <w:color w:val="000000"/>
          <w:sz w:val="32"/>
          <w:szCs w:val="32"/>
        </w:rPr>
        <w:t>乌苏七星地质勘查有限公司</w:t>
      </w:r>
    </w:p>
    <w:p w14:paraId="272F3CD3">
      <w:pPr>
        <w:pStyle w:val="6"/>
        <w:adjustRightInd/>
        <w:snapToGrid/>
        <w:ind w:firstLine="640"/>
        <w:jc w:val="center"/>
        <w:rPr>
          <w:rFonts w:ascii="仿宋" w:hAnsi="仿宋" w:eastAsia="仿宋" w:cs="仿宋"/>
          <w:color w:val="000000"/>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年</w:t>
      </w:r>
      <w:r>
        <w:rPr>
          <w:rFonts w:ascii="仿宋" w:hAnsi="仿宋" w:eastAsia="仿宋" w:cs="仿宋"/>
          <w:color w:val="000000"/>
          <w:sz w:val="32"/>
          <w:szCs w:val="32"/>
        </w:rPr>
        <w:t xml:space="preserve"> </w:t>
      </w:r>
      <w:r>
        <w:rPr>
          <w:rFonts w:hint="eastAsia" w:ascii="仿宋" w:hAnsi="仿宋" w:eastAsia="仿宋" w:cs="仿宋"/>
          <w:color w:val="000000"/>
          <w:sz w:val="32"/>
          <w:szCs w:val="32"/>
        </w:rPr>
        <w:t>月</w:t>
      </w:r>
      <w:r>
        <w:rPr>
          <w:rFonts w:ascii="仿宋" w:hAnsi="仿宋" w:eastAsia="仿宋" w:cs="仿宋"/>
          <w:color w:val="000000"/>
          <w:sz w:val="32"/>
          <w:szCs w:val="32"/>
        </w:rPr>
        <w:t xml:space="preserve">  </w:t>
      </w:r>
      <w:r>
        <w:rPr>
          <w:rFonts w:hint="eastAsia" w:ascii="仿宋" w:hAnsi="仿宋" w:eastAsia="仿宋" w:cs="仿宋"/>
          <w:color w:val="000000"/>
          <w:sz w:val="32"/>
          <w:szCs w:val="32"/>
        </w:rPr>
        <w:t>日</w:t>
      </w:r>
    </w:p>
    <w:sdt>
      <w:sdtPr>
        <w:rPr>
          <w:rFonts w:ascii="仿宋_GB2312" w:hAnsi="宋体" w:eastAsia="仿宋_GB2312" w:cstheme="minorBidi"/>
          <w:color w:val="auto"/>
          <w:kern w:val="2"/>
          <w:sz w:val="28"/>
          <w:szCs w:val="28"/>
          <w:lang w:val="zh-CN"/>
        </w:rPr>
        <w:id w:val="1293398954"/>
        <w:docPartObj>
          <w:docPartGallery w:val="Table of Contents"/>
          <w:docPartUnique/>
        </w:docPartObj>
      </w:sdtPr>
      <w:sdtEndPr>
        <w:rPr>
          <w:rFonts w:ascii="仿宋_GB2312" w:hAnsi="宋体" w:eastAsia="仿宋_GB2312" w:cstheme="minorBidi"/>
          <w:b/>
          <w:bCs/>
          <w:color w:val="auto"/>
          <w:kern w:val="2"/>
          <w:sz w:val="28"/>
          <w:szCs w:val="28"/>
          <w:lang w:val="zh-CN"/>
        </w:rPr>
      </w:sdtEndPr>
      <w:sdtContent>
        <w:p w14:paraId="67DEDB54">
          <w:pPr>
            <w:pStyle w:val="42"/>
            <w:jc w:val="center"/>
            <w:rPr>
              <w:rFonts w:eastAsia="仿宋_GB2312"/>
              <w:color w:val="000000" w:themeColor="text1"/>
              <w:sz w:val="28"/>
              <w14:textFill>
                <w14:solidFill>
                  <w14:schemeClr w14:val="tx1"/>
                </w14:solidFill>
              </w14:textFill>
            </w:rPr>
          </w:pPr>
          <w:r>
            <w:rPr>
              <w:rFonts w:eastAsia="仿宋_GB2312"/>
              <w:color w:val="000000" w:themeColor="text1"/>
              <w:sz w:val="28"/>
              <w:lang w:val="zh-CN"/>
              <w14:textFill>
                <w14:solidFill>
                  <w14:schemeClr w14:val="tx1"/>
                </w14:solidFill>
              </w14:textFill>
            </w:rPr>
            <w:t>目录</w:t>
          </w:r>
        </w:p>
        <w:p w14:paraId="18250CD3">
          <w:pPr>
            <w:pStyle w:val="11"/>
            <w:tabs>
              <w:tab w:val="right" w:leader="dot" w:pos="8296"/>
            </w:tabs>
            <w:rPr>
              <w:rFonts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"_Toc106400398" </w:instrText>
          </w:r>
          <w:r>
            <w:fldChar w:fldCharType="separate"/>
          </w:r>
          <w:r>
            <w:rPr>
              <w:rStyle w:val="17"/>
            </w:rPr>
            <w:t>前言</w:t>
          </w:r>
          <w:r>
            <w:tab/>
          </w:r>
          <w:r>
            <w:fldChar w:fldCharType="begin"/>
          </w:r>
          <w:r>
            <w:instrText xml:space="preserve"> PAGEREF _Toc106400398 \h </w:instrText>
          </w:r>
          <w:r>
            <w:fldChar w:fldCharType="separate"/>
          </w:r>
          <w:r>
            <w:t>1</w:t>
          </w:r>
          <w:r>
            <w:fldChar w:fldCharType="end"/>
          </w:r>
          <w:r>
            <w:fldChar w:fldCharType="end"/>
          </w:r>
        </w:p>
        <w:p w14:paraId="6069A62F">
          <w:pPr>
            <w:pStyle w:val="12"/>
            <w:tabs>
              <w:tab w:val="right" w:leader="dot" w:pos="8296"/>
            </w:tabs>
            <w:rPr>
              <w:rFonts w:eastAsiaTheme="minorEastAsia" w:cstheme="minorBidi"/>
              <w:kern w:val="2"/>
              <w:sz w:val="21"/>
            </w:rPr>
          </w:pPr>
          <w:r>
            <w:fldChar w:fldCharType="begin"/>
          </w:r>
          <w:r>
            <w:instrText xml:space="preserve"> HYPERLINK \l "_Toc106400399" </w:instrText>
          </w:r>
          <w:r>
            <w:fldChar w:fldCharType="separate"/>
          </w:r>
          <w:r>
            <w:rPr>
              <w:rStyle w:val="17"/>
            </w:rPr>
            <w:t>第一节  任务的由来</w:t>
          </w:r>
          <w:r>
            <w:tab/>
          </w:r>
          <w:r>
            <w:fldChar w:fldCharType="begin"/>
          </w:r>
          <w:r>
            <w:instrText xml:space="preserve"> PAGEREF _Toc106400399 \h </w:instrText>
          </w:r>
          <w:r>
            <w:fldChar w:fldCharType="separate"/>
          </w:r>
          <w:r>
            <w:t>1</w:t>
          </w:r>
          <w:r>
            <w:fldChar w:fldCharType="end"/>
          </w:r>
          <w:r>
            <w:fldChar w:fldCharType="end"/>
          </w:r>
        </w:p>
        <w:p w14:paraId="5019475E">
          <w:pPr>
            <w:pStyle w:val="12"/>
            <w:tabs>
              <w:tab w:val="right" w:leader="dot" w:pos="8296"/>
            </w:tabs>
            <w:rPr>
              <w:rFonts w:eastAsiaTheme="minorEastAsia" w:cstheme="minorBidi"/>
              <w:kern w:val="2"/>
              <w:sz w:val="21"/>
            </w:rPr>
          </w:pPr>
          <w:r>
            <w:fldChar w:fldCharType="begin"/>
          </w:r>
          <w:r>
            <w:instrText xml:space="preserve"> HYPERLINK \l "_Toc106400400" </w:instrText>
          </w:r>
          <w:r>
            <w:fldChar w:fldCharType="separate"/>
          </w:r>
          <w:r>
            <w:rPr>
              <w:rStyle w:val="17"/>
            </w:rPr>
            <w:t>第二节  目的与任务</w:t>
          </w:r>
          <w:r>
            <w:tab/>
          </w:r>
          <w:r>
            <w:fldChar w:fldCharType="begin"/>
          </w:r>
          <w:r>
            <w:instrText xml:space="preserve"> PAGEREF _Toc106400400 \h </w:instrText>
          </w:r>
          <w:r>
            <w:fldChar w:fldCharType="separate"/>
          </w:r>
          <w:r>
            <w:t>1</w:t>
          </w:r>
          <w:r>
            <w:fldChar w:fldCharType="end"/>
          </w:r>
          <w:r>
            <w:fldChar w:fldCharType="end"/>
          </w:r>
        </w:p>
        <w:p w14:paraId="74D3C95F">
          <w:pPr>
            <w:pStyle w:val="12"/>
            <w:tabs>
              <w:tab w:val="right" w:leader="dot" w:pos="8296"/>
            </w:tabs>
            <w:rPr>
              <w:rFonts w:eastAsiaTheme="minorEastAsia" w:cstheme="minorBidi"/>
              <w:kern w:val="2"/>
              <w:sz w:val="21"/>
            </w:rPr>
          </w:pPr>
          <w:r>
            <w:fldChar w:fldCharType="begin"/>
          </w:r>
          <w:r>
            <w:instrText xml:space="preserve"> HYPERLINK \l "_Toc106400401" </w:instrText>
          </w:r>
          <w:r>
            <w:fldChar w:fldCharType="separate"/>
          </w:r>
          <w:r>
            <w:rPr>
              <w:rStyle w:val="17"/>
            </w:rPr>
            <w:t>第三节  编制依据</w:t>
          </w:r>
          <w:r>
            <w:tab/>
          </w:r>
          <w:r>
            <w:fldChar w:fldCharType="begin"/>
          </w:r>
          <w:r>
            <w:instrText xml:space="preserve"> PAGEREF _Toc106400401 \h </w:instrText>
          </w:r>
          <w:r>
            <w:fldChar w:fldCharType="separate"/>
          </w:r>
          <w:r>
            <w:t>1</w:t>
          </w:r>
          <w:r>
            <w:fldChar w:fldCharType="end"/>
          </w:r>
          <w:r>
            <w:fldChar w:fldCharType="end"/>
          </w:r>
        </w:p>
        <w:p w14:paraId="7BE134C0">
          <w:pPr>
            <w:pStyle w:val="12"/>
            <w:tabs>
              <w:tab w:val="right" w:leader="dot" w:pos="8296"/>
            </w:tabs>
            <w:rPr>
              <w:rFonts w:eastAsiaTheme="minorEastAsia" w:cstheme="minorBidi"/>
              <w:kern w:val="2"/>
              <w:sz w:val="21"/>
            </w:rPr>
          </w:pPr>
          <w:r>
            <w:fldChar w:fldCharType="begin"/>
          </w:r>
          <w:r>
            <w:instrText xml:space="preserve"> HYPERLINK \l "_Toc106400402" </w:instrText>
          </w:r>
          <w:r>
            <w:fldChar w:fldCharType="separate"/>
          </w:r>
          <w:r>
            <w:rPr>
              <w:rStyle w:val="17"/>
            </w:rPr>
            <w:t>第四节  编制工作概况</w:t>
          </w:r>
          <w:r>
            <w:tab/>
          </w:r>
          <w:r>
            <w:fldChar w:fldCharType="begin"/>
          </w:r>
          <w:r>
            <w:instrText xml:space="preserve"> PAGEREF _Toc106400402 \h </w:instrText>
          </w:r>
          <w:r>
            <w:fldChar w:fldCharType="separate"/>
          </w:r>
          <w:r>
            <w:t>2</w:t>
          </w:r>
          <w:r>
            <w:fldChar w:fldCharType="end"/>
          </w:r>
          <w:r>
            <w:fldChar w:fldCharType="end"/>
          </w:r>
        </w:p>
        <w:p w14:paraId="09B191AE">
          <w:pPr>
            <w:pStyle w:val="12"/>
            <w:tabs>
              <w:tab w:val="right" w:leader="dot" w:pos="8296"/>
            </w:tabs>
            <w:rPr>
              <w:rFonts w:eastAsiaTheme="minorEastAsia" w:cstheme="minorBidi"/>
              <w:kern w:val="2"/>
              <w:sz w:val="21"/>
            </w:rPr>
          </w:pPr>
          <w:r>
            <w:fldChar w:fldCharType="begin"/>
          </w:r>
          <w:r>
            <w:instrText xml:space="preserve"> HYPERLINK \l "_Toc106400403" </w:instrText>
          </w:r>
          <w:r>
            <w:fldChar w:fldCharType="separate"/>
          </w:r>
          <w:r>
            <w:rPr>
              <w:rStyle w:val="17"/>
            </w:rPr>
            <w:t>第五节  治理区概况</w:t>
          </w:r>
          <w:r>
            <w:tab/>
          </w:r>
          <w:r>
            <w:fldChar w:fldCharType="begin"/>
          </w:r>
          <w:r>
            <w:instrText xml:space="preserve"> PAGEREF _Toc106400403 \h </w:instrText>
          </w:r>
          <w:r>
            <w:fldChar w:fldCharType="separate"/>
          </w:r>
          <w:r>
            <w:t>4</w:t>
          </w:r>
          <w:r>
            <w:fldChar w:fldCharType="end"/>
          </w:r>
          <w:r>
            <w:fldChar w:fldCharType="end"/>
          </w:r>
        </w:p>
        <w:p w14:paraId="7C2E7149">
          <w:pPr>
            <w:pStyle w:val="11"/>
            <w:tabs>
              <w:tab w:val="right" w:leader="dot" w:pos="8296"/>
            </w:tabs>
            <w:rPr>
              <w:rFonts w:eastAsiaTheme="minorEastAsia" w:cstheme="minorBidi"/>
              <w:kern w:val="2"/>
              <w:sz w:val="21"/>
            </w:rPr>
          </w:pPr>
          <w:r>
            <w:fldChar w:fldCharType="begin"/>
          </w:r>
          <w:r>
            <w:instrText xml:space="preserve"> HYPERLINK \l "_Toc106400404" </w:instrText>
          </w:r>
          <w:r>
            <w:fldChar w:fldCharType="separate"/>
          </w:r>
          <w:r>
            <w:rPr>
              <w:rStyle w:val="17"/>
            </w:rPr>
            <w:t>第一章  自然地理与地质环境概况</w:t>
          </w:r>
          <w:r>
            <w:tab/>
          </w:r>
          <w:r>
            <w:fldChar w:fldCharType="begin"/>
          </w:r>
          <w:r>
            <w:instrText xml:space="preserve"> PAGEREF _Toc106400404 \h </w:instrText>
          </w:r>
          <w:r>
            <w:fldChar w:fldCharType="separate"/>
          </w:r>
          <w:r>
            <w:t>7</w:t>
          </w:r>
          <w:r>
            <w:fldChar w:fldCharType="end"/>
          </w:r>
          <w:r>
            <w:fldChar w:fldCharType="end"/>
          </w:r>
        </w:p>
        <w:p w14:paraId="1CBCFCC0">
          <w:pPr>
            <w:pStyle w:val="12"/>
            <w:tabs>
              <w:tab w:val="right" w:leader="dot" w:pos="8296"/>
            </w:tabs>
            <w:rPr>
              <w:rFonts w:eastAsiaTheme="minorEastAsia" w:cstheme="minorBidi"/>
              <w:kern w:val="2"/>
              <w:sz w:val="21"/>
            </w:rPr>
          </w:pPr>
          <w:r>
            <w:fldChar w:fldCharType="begin"/>
          </w:r>
          <w:r>
            <w:instrText xml:space="preserve"> HYPERLINK \l "_Toc106400405" </w:instrText>
          </w:r>
          <w:r>
            <w:fldChar w:fldCharType="separate"/>
          </w:r>
          <w:r>
            <w:rPr>
              <w:rStyle w:val="17"/>
            </w:rPr>
            <w:t>第一节  地形、地貌</w:t>
          </w:r>
          <w:r>
            <w:tab/>
          </w:r>
          <w:r>
            <w:fldChar w:fldCharType="begin"/>
          </w:r>
          <w:r>
            <w:instrText xml:space="preserve"> PAGEREF _Toc106400405 \h </w:instrText>
          </w:r>
          <w:r>
            <w:fldChar w:fldCharType="separate"/>
          </w:r>
          <w:r>
            <w:t>7</w:t>
          </w:r>
          <w:r>
            <w:fldChar w:fldCharType="end"/>
          </w:r>
          <w:r>
            <w:fldChar w:fldCharType="end"/>
          </w:r>
        </w:p>
        <w:p w14:paraId="193915B6">
          <w:pPr>
            <w:pStyle w:val="12"/>
            <w:tabs>
              <w:tab w:val="right" w:leader="dot" w:pos="8296"/>
            </w:tabs>
            <w:rPr>
              <w:rFonts w:eastAsiaTheme="minorEastAsia" w:cstheme="minorBidi"/>
              <w:kern w:val="2"/>
              <w:sz w:val="21"/>
            </w:rPr>
          </w:pPr>
          <w:r>
            <w:fldChar w:fldCharType="begin"/>
          </w:r>
          <w:r>
            <w:instrText xml:space="preserve"> HYPERLINK \l "_Toc106400406" </w:instrText>
          </w:r>
          <w:r>
            <w:fldChar w:fldCharType="separate"/>
          </w:r>
          <w:r>
            <w:rPr>
              <w:rStyle w:val="17"/>
            </w:rPr>
            <w:t>第二节  气象、水文</w:t>
          </w:r>
          <w:r>
            <w:tab/>
          </w:r>
          <w:r>
            <w:fldChar w:fldCharType="begin"/>
          </w:r>
          <w:r>
            <w:instrText xml:space="preserve"> PAGEREF _Toc106400406 \h </w:instrText>
          </w:r>
          <w:r>
            <w:fldChar w:fldCharType="separate"/>
          </w:r>
          <w:r>
            <w:t>7</w:t>
          </w:r>
          <w:r>
            <w:fldChar w:fldCharType="end"/>
          </w:r>
          <w:r>
            <w:fldChar w:fldCharType="end"/>
          </w:r>
        </w:p>
        <w:p w14:paraId="3E02B74A">
          <w:pPr>
            <w:pStyle w:val="12"/>
            <w:tabs>
              <w:tab w:val="right" w:leader="dot" w:pos="8296"/>
            </w:tabs>
            <w:rPr>
              <w:rFonts w:eastAsiaTheme="minorEastAsia" w:cstheme="minorBidi"/>
              <w:kern w:val="2"/>
              <w:sz w:val="21"/>
            </w:rPr>
          </w:pPr>
          <w:r>
            <w:fldChar w:fldCharType="begin"/>
          </w:r>
          <w:r>
            <w:instrText xml:space="preserve"> HYPERLINK \l "_Toc106400407" </w:instrText>
          </w:r>
          <w:r>
            <w:fldChar w:fldCharType="separate"/>
          </w:r>
          <w:r>
            <w:rPr>
              <w:rStyle w:val="17"/>
            </w:rPr>
            <w:t>第三节  地层岩性</w:t>
          </w:r>
          <w:r>
            <w:tab/>
          </w:r>
          <w:r>
            <w:fldChar w:fldCharType="begin"/>
          </w:r>
          <w:r>
            <w:instrText xml:space="preserve"> PAGEREF _Toc106400407 \h </w:instrText>
          </w:r>
          <w:r>
            <w:fldChar w:fldCharType="separate"/>
          </w:r>
          <w:r>
            <w:t>7</w:t>
          </w:r>
          <w:r>
            <w:fldChar w:fldCharType="end"/>
          </w:r>
          <w:r>
            <w:fldChar w:fldCharType="end"/>
          </w:r>
        </w:p>
        <w:p w14:paraId="093E795D">
          <w:pPr>
            <w:pStyle w:val="12"/>
            <w:tabs>
              <w:tab w:val="right" w:leader="dot" w:pos="8296"/>
            </w:tabs>
            <w:rPr>
              <w:rFonts w:eastAsiaTheme="minorEastAsia" w:cstheme="minorBidi"/>
              <w:kern w:val="2"/>
              <w:sz w:val="21"/>
            </w:rPr>
          </w:pPr>
          <w:r>
            <w:fldChar w:fldCharType="begin"/>
          </w:r>
          <w:r>
            <w:instrText xml:space="preserve"> HYPERLINK \l "_Toc106400408" </w:instrText>
          </w:r>
          <w:r>
            <w:fldChar w:fldCharType="separate"/>
          </w:r>
          <w:r>
            <w:rPr>
              <w:rStyle w:val="17"/>
            </w:rPr>
            <w:t>第四节  地质构造</w:t>
          </w:r>
          <w:r>
            <w:tab/>
          </w:r>
          <w:r>
            <w:fldChar w:fldCharType="begin"/>
          </w:r>
          <w:r>
            <w:instrText xml:space="preserve"> PAGEREF _Toc106400408 \h </w:instrText>
          </w:r>
          <w:r>
            <w:fldChar w:fldCharType="separate"/>
          </w:r>
          <w:r>
            <w:t>7</w:t>
          </w:r>
          <w:r>
            <w:fldChar w:fldCharType="end"/>
          </w:r>
          <w:r>
            <w:fldChar w:fldCharType="end"/>
          </w:r>
        </w:p>
        <w:p w14:paraId="3CC29258">
          <w:pPr>
            <w:pStyle w:val="12"/>
            <w:tabs>
              <w:tab w:val="right" w:leader="dot" w:pos="8296"/>
            </w:tabs>
            <w:rPr>
              <w:rFonts w:eastAsiaTheme="minorEastAsia" w:cstheme="minorBidi"/>
              <w:kern w:val="2"/>
              <w:sz w:val="21"/>
            </w:rPr>
          </w:pPr>
          <w:r>
            <w:fldChar w:fldCharType="begin"/>
          </w:r>
          <w:r>
            <w:instrText xml:space="preserve"> HYPERLINK \l "_Toc106400409" </w:instrText>
          </w:r>
          <w:r>
            <w:fldChar w:fldCharType="separate"/>
          </w:r>
          <w:r>
            <w:rPr>
              <w:rStyle w:val="17"/>
            </w:rPr>
            <w:t>第五节  新地质构造活动与地震</w:t>
          </w:r>
          <w:r>
            <w:tab/>
          </w:r>
          <w:r>
            <w:fldChar w:fldCharType="begin"/>
          </w:r>
          <w:r>
            <w:instrText xml:space="preserve"> PAGEREF _Toc106400409 \h </w:instrText>
          </w:r>
          <w:r>
            <w:fldChar w:fldCharType="separate"/>
          </w:r>
          <w:r>
            <w:t>8</w:t>
          </w:r>
          <w:r>
            <w:fldChar w:fldCharType="end"/>
          </w:r>
          <w:r>
            <w:fldChar w:fldCharType="end"/>
          </w:r>
        </w:p>
        <w:p w14:paraId="0F74FE3B">
          <w:pPr>
            <w:pStyle w:val="12"/>
            <w:tabs>
              <w:tab w:val="right" w:leader="dot" w:pos="8296"/>
            </w:tabs>
            <w:rPr>
              <w:rFonts w:eastAsiaTheme="minorEastAsia" w:cstheme="minorBidi"/>
              <w:kern w:val="2"/>
              <w:sz w:val="21"/>
            </w:rPr>
          </w:pPr>
          <w:r>
            <w:fldChar w:fldCharType="begin"/>
          </w:r>
          <w:r>
            <w:instrText xml:space="preserve"> HYPERLINK \l "_Toc106400410" </w:instrText>
          </w:r>
          <w:r>
            <w:fldChar w:fldCharType="separate"/>
          </w:r>
          <w:r>
            <w:rPr>
              <w:rStyle w:val="17"/>
            </w:rPr>
            <w:t>第六节  水文地质概况</w:t>
          </w:r>
          <w:r>
            <w:tab/>
          </w:r>
          <w:r>
            <w:fldChar w:fldCharType="begin"/>
          </w:r>
          <w:r>
            <w:instrText xml:space="preserve"> PAGEREF _Toc106400410 \h </w:instrText>
          </w:r>
          <w:r>
            <w:fldChar w:fldCharType="separate"/>
          </w:r>
          <w:r>
            <w:t>10</w:t>
          </w:r>
          <w:r>
            <w:fldChar w:fldCharType="end"/>
          </w:r>
          <w:r>
            <w:fldChar w:fldCharType="end"/>
          </w:r>
        </w:p>
        <w:p w14:paraId="1649E31F">
          <w:pPr>
            <w:pStyle w:val="12"/>
            <w:tabs>
              <w:tab w:val="right" w:leader="dot" w:pos="8296"/>
            </w:tabs>
            <w:rPr>
              <w:rFonts w:eastAsiaTheme="minorEastAsia" w:cstheme="minorBidi"/>
              <w:kern w:val="2"/>
              <w:sz w:val="21"/>
            </w:rPr>
          </w:pPr>
          <w:r>
            <w:fldChar w:fldCharType="begin"/>
          </w:r>
          <w:r>
            <w:instrText xml:space="preserve"> HYPERLINK \l "_Toc106400411" </w:instrText>
          </w:r>
          <w:r>
            <w:fldChar w:fldCharType="separate"/>
          </w:r>
          <w:r>
            <w:rPr>
              <w:rStyle w:val="17"/>
            </w:rPr>
            <w:t>第七节  工程地质</w:t>
          </w:r>
          <w:r>
            <w:tab/>
          </w:r>
          <w:r>
            <w:fldChar w:fldCharType="begin"/>
          </w:r>
          <w:r>
            <w:instrText xml:space="preserve"> PAGEREF _Toc106400411 \h </w:instrText>
          </w:r>
          <w:r>
            <w:fldChar w:fldCharType="separate"/>
          </w:r>
          <w:r>
            <w:t>11</w:t>
          </w:r>
          <w:r>
            <w:fldChar w:fldCharType="end"/>
          </w:r>
          <w:r>
            <w:fldChar w:fldCharType="end"/>
          </w:r>
        </w:p>
        <w:p w14:paraId="2B9ACCE4">
          <w:pPr>
            <w:pStyle w:val="11"/>
            <w:tabs>
              <w:tab w:val="right" w:leader="dot" w:pos="8296"/>
            </w:tabs>
            <w:rPr>
              <w:rFonts w:eastAsiaTheme="minorEastAsia" w:cstheme="minorBidi"/>
              <w:kern w:val="2"/>
              <w:sz w:val="21"/>
            </w:rPr>
          </w:pPr>
          <w:r>
            <w:fldChar w:fldCharType="begin"/>
          </w:r>
          <w:r>
            <w:instrText xml:space="preserve"> HYPERLINK \l "_Toc106400412" </w:instrText>
          </w:r>
          <w:r>
            <w:fldChar w:fldCharType="separate"/>
          </w:r>
          <w:r>
            <w:rPr>
              <w:rStyle w:val="17"/>
            </w:rPr>
            <w:t>第二章  开采区主要环境和生态环境论述</w:t>
          </w:r>
          <w:r>
            <w:tab/>
          </w:r>
          <w:r>
            <w:fldChar w:fldCharType="begin"/>
          </w:r>
          <w:r>
            <w:instrText xml:space="preserve"> PAGEREF _Toc106400412 \h </w:instrText>
          </w:r>
          <w:r>
            <w:fldChar w:fldCharType="separate"/>
          </w:r>
          <w:r>
            <w:t>12</w:t>
          </w:r>
          <w:r>
            <w:fldChar w:fldCharType="end"/>
          </w:r>
          <w:r>
            <w:fldChar w:fldCharType="end"/>
          </w:r>
        </w:p>
        <w:p w14:paraId="6CB31C3E">
          <w:pPr>
            <w:pStyle w:val="12"/>
            <w:tabs>
              <w:tab w:val="right" w:leader="dot" w:pos="8296"/>
            </w:tabs>
            <w:rPr>
              <w:rFonts w:eastAsiaTheme="minorEastAsia" w:cstheme="minorBidi"/>
              <w:kern w:val="2"/>
              <w:sz w:val="21"/>
            </w:rPr>
          </w:pPr>
          <w:r>
            <w:fldChar w:fldCharType="begin"/>
          </w:r>
          <w:r>
            <w:instrText xml:space="preserve"> HYPERLINK \l "_Toc106400413" </w:instrText>
          </w:r>
          <w:r>
            <w:fldChar w:fldCharType="separate"/>
          </w:r>
          <w:r>
            <w:rPr>
              <w:rStyle w:val="17"/>
            </w:rPr>
            <w:t>第一节  开采区主要地质环境和生态环境现状</w:t>
          </w:r>
          <w:r>
            <w:tab/>
          </w:r>
          <w:r>
            <w:fldChar w:fldCharType="begin"/>
          </w:r>
          <w:r>
            <w:instrText xml:space="preserve"> PAGEREF _Toc106400413 \h </w:instrText>
          </w:r>
          <w:r>
            <w:fldChar w:fldCharType="separate"/>
          </w:r>
          <w:r>
            <w:t>12</w:t>
          </w:r>
          <w:r>
            <w:fldChar w:fldCharType="end"/>
          </w:r>
          <w:r>
            <w:fldChar w:fldCharType="end"/>
          </w:r>
        </w:p>
        <w:p w14:paraId="2E4F796D">
          <w:pPr>
            <w:pStyle w:val="12"/>
            <w:tabs>
              <w:tab w:val="right" w:leader="dot" w:pos="8296"/>
            </w:tabs>
            <w:rPr>
              <w:rFonts w:eastAsiaTheme="minorEastAsia" w:cstheme="minorBidi"/>
              <w:kern w:val="2"/>
              <w:sz w:val="21"/>
            </w:rPr>
          </w:pPr>
          <w:r>
            <w:fldChar w:fldCharType="begin"/>
          </w:r>
          <w:r>
            <w:instrText xml:space="preserve"> HYPERLINK \l "_Toc106400414" </w:instrText>
          </w:r>
          <w:r>
            <w:fldChar w:fldCharType="separate"/>
          </w:r>
          <w:r>
            <w:rPr>
              <w:rStyle w:val="17"/>
            </w:rPr>
            <w:t>第二节  主要地质环境问题及危害</w:t>
          </w:r>
          <w:r>
            <w:tab/>
          </w:r>
          <w:r>
            <w:fldChar w:fldCharType="begin"/>
          </w:r>
          <w:r>
            <w:instrText xml:space="preserve"> PAGEREF _Toc106400414 \h </w:instrText>
          </w:r>
          <w:r>
            <w:fldChar w:fldCharType="separate"/>
          </w:r>
          <w:r>
            <w:t>13</w:t>
          </w:r>
          <w:r>
            <w:fldChar w:fldCharType="end"/>
          </w:r>
          <w:r>
            <w:fldChar w:fldCharType="end"/>
          </w:r>
        </w:p>
        <w:p w14:paraId="39F20AA9">
          <w:pPr>
            <w:pStyle w:val="11"/>
            <w:tabs>
              <w:tab w:val="right" w:leader="dot" w:pos="8296"/>
            </w:tabs>
            <w:rPr>
              <w:rFonts w:eastAsiaTheme="minorEastAsia" w:cstheme="minorBidi"/>
              <w:kern w:val="2"/>
              <w:sz w:val="21"/>
            </w:rPr>
          </w:pPr>
          <w:r>
            <w:fldChar w:fldCharType="begin"/>
          </w:r>
          <w:r>
            <w:instrText xml:space="preserve"> HYPERLINK \l "_Toc106400415" </w:instrText>
          </w:r>
          <w:r>
            <w:fldChar w:fldCharType="separate"/>
          </w:r>
          <w:r>
            <w:rPr>
              <w:rStyle w:val="17"/>
            </w:rPr>
            <w:t>第三章  治理施工设计</w:t>
          </w:r>
          <w:r>
            <w:tab/>
          </w:r>
          <w:r>
            <w:fldChar w:fldCharType="begin"/>
          </w:r>
          <w:r>
            <w:instrText xml:space="preserve"> PAGEREF _Toc106400415 \h </w:instrText>
          </w:r>
          <w:r>
            <w:fldChar w:fldCharType="separate"/>
          </w:r>
          <w:r>
            <w:t>14</w:t>
          </w:r>
          <w:r>
            <w:fldChar w:fldCharType="end"/>
          </w:r>
          <w:r>
            <w:fldChar w:fldCharType="end"/>
          </w:r>
        </w:p>
        <w:p w14:paraId="158FDADA">
          <w:pPr>
            <w:pStyle w:val="12"/>
            <w:tabs>
              <w:tab w:val="right" w:leader="dot" w:pos="8296"/>
            </w:tabs>
            <w:rPr>
              <w:rFonts w:eastAsiaTheme="minorEastAsia" w:cstheme="minorBidi"/>
              <w:kern w:val="2"/>
              <w:sz w:val="21"/>
            </w:rPr>
          </w:pPr>
          <w:r>
            <w:fldChar w:fldCharType="begin"/>
          </w:r>
          <w:r>
            <w:instrText xml:space="preserve"> HYPERLINK \l "_Toc106400416" </w:instrText>
          </w:r>
          <w:r>
            <w:fldChar w:fldCharType="separate"/>
          </w:r>
          <w:r>
            <w:rPr>
              <w:rStyle w:val="17"/>
            </w:rPr>
            <w:t>第一节  治理原则</w:t>
          </w:r>
          <w:r>
            <w:tab/>
          </w:r>
          <w:r>
            <w:fldChar w:fldCharType="begin"/>
          </w:r>
          <w:r>
            <w:instrText xml:space="preserve"> PAGEREF _Toc106400416 \h </w:instrText>
          </w:r>
          <w:r>
            <w:fldChar w:fldCharType="separate"/>
          </w:r>
          <w:r>
            <w:t>14</w:t>
          </w:r>
          <w:r>
            <w:fldChar w:fldCharType="end"/>
          </w:r>
          <w:r>
            <w:fldChar w:fldCharType="end"/>
          </w:r>
        </w:p>
        <w:p w14:paraId="4ACB8E6C">
          <w:pPr>
            <w:pStyle w:val="12"/>
            <w:tabs>
              <w:tab w:val="right" w:leader="dot" w:pos="8296"/>
            </w:tabs>
            <w:rPr>
              <w:rFonts w:eastAsiaTheme="minorEastAsia" w:cstheme="minorBidi"/>
              <w:kern w:val="2"/>
              <w:sz w:val="21"/>
            </w:rPr>
          </w:pPr>
          <w:r>
            <w:fldChar w:fldCharType="begin"/>
          </w:r>
          <w:r>
            <w:instrText xml:space="preserve"> HYPERLINK \l "_Toc106400417" </w:instrText>
          </w:r>
          <w:r>
            <w:fldChar w:fldCharType="separate"/>
          </w:r>
          <w:r>
            <w:rPr>
              <w:rStyle w:val="17"/>
            </w:rPr>
            <w:t>第二节  治理设计方案</w:t>
          </w:r>
          <w:r>
            <w:tab/>
          </w:r>
          <w:r>
            <w:fldChar w:fldCharType="begin"/>
          </w:r>
          <w:r>
            <w:instrText xml:space="preserve"> PAGEREF _Toc106400417 \h </w:instrText>
          </w:r>
          <w:r>
            <w:fldChar w:fldCharType="separate"/>
          </w:r>
          <w:r>
            <w:t>14</w:t>
          </w:r>
          <w:r>
            <w:fldChar w:fldCharType="end"/>
          </w:r>
          <w:r>
            <w:fldChar w:fldCharType="end"/>
          </w:r>
        </w:p>
        <w:p w14:paraId="7E23AC08">
          <w:pPr>
            <w:pStyle w:val="12"/>
            <w:tabs>
              <w:tab w:val="right" w:leader="dot" w:pos="8296"/>
            </w:tabs>
            <w:rPr>
              <w:rFonts w:eastAsiaTheme="minorEastAsia" w:cstheme="minorBidi"/>
              <w:kern w:val="2"/>
              <w:sz w:val="21"/>
            </w:rPr>
          </w:pPr>
          <w:r>
            <w:fldChar w:fldCharType="begin"/>
          </w:r>
          <w:r>
            <w:instrText xml:space="preserve"> HYPERLINK \l "_Toc106400418" </w:instrText>
          </w:r>
          <w:r>
            <w:fldChar w:fldCharType="separate"/>
          </w:r>
          <w:r>
            <w:rPr>
              <w:rStyle w:val="17"/>
            </w:rPr>
            <w:t>第三节  治理施工方案</w:t>
          </w:r>
          <w:r>
            <w:tab/>
          </w:r>
          <w:r>
            <w:fldChar w:fldCharType="begin"/>
          </w:r>
          <w:r>
            <w:instrText xml:space="preserve"> PAGEREF _Toc106400418 \h </w:instrText>
          </w:r>
          <w:r>
            <w:fldChar w:fldCharType="separate"/>
          </w:r>
          <w:r>
            <w:t>16</w:t>
          </w:r>
          <w:r>
            <w:fldChar w:fldCharType="end"/>
          </w:r>
          <w:r>
            <w:fldChar w:fldCharType="end"/>
          </w:r>
        </w:p>
        <w:p w14:paraId="398BB734">
          <w:pPr>
            <w:pStyle w:val="12"/>
            <w:tabs>
              <w:tab w:val="right" w:leader="dot" w:pos="8296"/>
            </w:tabs>
            <w:rPr>
              <w:rFonts w:eastAsiaTheme="minorEastAsia" w:cstheme="minorBidi"/>
              <w:kern w:val="2"/>
              <w:sz w:val="21"/>
            </w:rPr>
          </w:pPr>
          <w:r>
            <w:fldChar w:fldCharType="begin"/>
          </w:r>
          <w:r>
            <w:instrText xml:space="preserve"> HYPERLINK \l "_Toc106400419" </w:instrText>
          </w:r>
          <w:r>
            <w:fldChar w:fldCharType="separate"/>
          </w:r>
          <w:r>
            <w:rPr>
              <w:rStyle w:val="17"/>
            </w:rPr>
            <w:t>第四节  治理工程设计指标</w:t>
          </w:r>
          <w:r>
            <w:tab/>
          </w:r>
          <w:r>
            <w:fldChar w:fldCharType="begin"/>
          </w:r>
          <w:r>
            <w:instrText xml:space="preserve"> PAGEREF _Toc106400419 \h </w:instrText>
          </w:r>
          <w:r>
            <w:fldChar w:fldCharType="separate"/>
          </w:r>
          <w:r>
            <w:t>18</w:t>
          </w:r>
          <w:r>
            <w:fldChar w:fldCharType="end"/>
          </w:r>
          <w:r>
            <w:fldChar w:fldCharType="end"/>
          </w:r>
        </w:p>
        <w:p w14:paraId="400008F4">
          <w:pPr>
            <w:pStyle w:val="12"/>
            <w:tabs>
              <w:tab w:val="right" w:leader="dot" w:pos="8296"/>
            </w:tabs>
            <w:rPr>
              <w:rFonts w:eastAsiaTheme="minorEastAsia" w:cstheme="minorBidi"/>
              <w:kern w:val="2"/>
              <w:sz w:val="21"/>
            </w:rPr>
          </w:pPr>
          <w:r>
            <w:fldChar w:fldCharType="begin"/>
          </w:r>
          <w:r>
            <w:instrText xml:space="preserve"> HYPERLINK \l "_Toc106400420" </w:instrText>
          </w:r>
          <w:r>
            <w:fldChar w:fldCharType="separate"/>
          </w:r>
          <w:r>
            <w:rPr>
              <w:rStyle w:val="17"/>
            </w:rPr>
            <w:t>第五节  设计工程量</w:t>
          </w:r>
          <w:r>
            <w:tab/>
          </w:r>
          <w:r>
            <w:fldChar w:fldCharType="begin"/>
          </w:r>
          <w:r>
            <w:instrText xml:space="preserve"> PAGEREF _Toc106400420 \h </w:instrText>
          </w:r>
          <w:r>
            <w:fldChar w:fldCharType="separate"/>
          </w:r>
          <w:r>
            <w:t>19</w:t>
          </w:r>
          <w:r>
            <w:fldChar w:fldCharType="end"/>
          </w:r>
          <w:r>
            <w:fldChar w:fldCharType="end"/>
          </w:r>
        </w:p>
        <w:p w14:paraId="5C6441EB">
          <w:pPr>
            <w:pStyle w:val="12"/>
            <w:tabs>
              <w:tab w:val="right" w:leader="dot" w:pos="8296"/>
            </w:tabs>
            <w:rPr>
              <w:rFonts w:eastAsiaTheme="minorEastAsia" w:cstheme="minorBidi"/>
              <w:kern w:val="2"/>
              <w:sz w:val="21"/>
            </w:rPr>
          </w:pPr>
          <w:r>
            <w:fldChar w:fldCharType="begin"/>
          </w:r>
          <w:r>
            <w:instrText xml:space="preserve"> HYPERLINK \l "_Toc106400421" </w:instrText>
          </w:r>
          <w:r>
            <w:fldChar w:fldCharType="separate"/>
          </w:r>
          <w:r>
            <w:rPr>
              <w:rStyle w:val="17"/>
            </w:rPr>
            <w:t>第六节</w:t>
          </w:r>
          <w:r>
            <w:rPr>
              <w:rStyle w:val="17"/>
              <w:rFonts w:ascii="宋体"/>
            </w:rPr>
            <w:t xml:space="preserve">  </w:t>
          </w:r>
          <w:r>
            <w:rPr>
              <w:rStyle w:val="17"/>
            </w:rPr>
            <w:t>治理工程验收标准</w:t>
          </w:r>
          <w:r>
            <w:tab/>
          </w:r>
          <w:r>
            <w:fldChar w:fldCharType="begin"/>
          </w:r>
          <w:r>
            <w:instrText xml:space="preserve"> PAGEREF _Toc106400421 \h </w:instrText>
          </w:r>
          <w:r>
            <w:fldChar w:fldCharType="separate"/>
          </w:r>
          <w:r>
            <w:t>19</w:t>
          </w:r>
          <w:r>
            <w:fldChar w:fldCharType="end"/>
          </w:r>
          <w:r>
            <w:fldChar w:fldCharType="end"/>
          </w:r>
        </w:p>
        <w:p w14:paraId="0D41C6F1">
          <w:pPr>
            <w:pStyle w:val="11"/>
            <w:tabs>
              <w:tab w:val="right" w:leader="dot" w:pos="8296"/>
            </w:tabs>
            <w:rPr>
              <w:rFonts w:eastAsiaTheme="minorEastAsia" w:cstheme="minorBidi"/>
              <w:kern w:val="2"/>
              <w:sz w:val="21"/>
            </w:rPr>
          </w:pPr>
          <w:r>
            <w:fldChar w:fldCharType="begin"/>
          </w:r>
          <w:r>
            <w:instrText xml:space="preserve"> HYPERLINK \l "_Toc106400422" </w:instrText>
          </w:r>
          <w:r>
            <w:fldChar w:fldCharType="separate"/>
          </w:r>
          <w:r>
            <w:rPr>
              <w:rStyle w:val="17"/>
            </w:rPr>
            <w:t>第四章  生态修复设计方案</w:t>
          </w:r>
          <w:r>
            <w:tab/>
          </w:r>
          <w:r>
            <w:fldChar w:fldCharType="begin"/>
          </w:r>
          <w:r>
            <w:instrText xml:space="preserve"> PAGEREF _Toc106400422 \h </w:instrText>
          </w:r>
          <w:r>
            <w:fldChar w:fldCharType="separate"/>
          </w:r>
          <w:r>
            <w:t>20</w:t>
          </w:r>
          <w:r>
            <w:fldChar w:fldCharType="end"/>
          </w:r>
          <w:r>
            <w:fldChar w:fldCharType="end"/>
          </w:r>
        </w:p>
        <w:p w14:paraId="2F79B49D">
          <w:pPr>
            <w:pStyle w:val="12"/>
            <w:tabs>
              <w:tab w:val="right" w:leader="dot" w:pos="8296"/>
            </w:tabs>
            <w:rPr>
              <w:rFonts w:eastAsiaTheme="minorEastAsia" w:cstheme="minorBidi"/>
              <w:kern w:val="2"/>
              <w:sz w:val="21"/>
            </w:rPr>
          </w:pPr>
          <w:r>
            <w:fldChar w:fldCharType="begin"/>
          </w:r>
          <w:r>
            <w:instrText xml:space="preserve"> HYPERLINK \l "_Toc106400423" </w:instrText>
          </w:r>
          <w:r>
            <w:fldChar w:fldCharType="separate"/>
          </w:r>
          <w:r>
            <w:rPr>
              <w:rStyle w:val="17"/>
              <w:rFonts w:hAnsi="华文仿宋"/>
              <w:bCs/>
            </w:rPr>
            <w:t>第一节  生态修复设计原则与思路</w:t>
          </w:r>
          <w:r>
            <w:tab/>
          </w:r>
          <w:r>
            <w:fldChar w:fldCharType="begin"/>
          </w:r>
          <w:r>
            <w:instrText xml:space="preserve"> PAGEREF _Toc106400423 \h </w:instrText>
          </w:r>
          <w:r>
            <w:fldChar w:fldCharType="separate"/>
          </w:r>
          <w:r>
            <w:t>20</w:t>
          </w:r>
          <w:r>
            <w:fldChar w:fldCharType="end"/>
          </w:r>
          <w:r>
            <w:fldChar w:fldCharType="end"/>
          </w:r>
        </w:p>
        <w:p w14:paraId="6B12B330">
          <w:pPr>
            <w:pStyle w:val="12"/>
            <w:tabs>
              <w:tab w:val="right" w:leader="dot" w:pos="8296"/>
            </w:tabs>
            <w:rPr>
              <w:rFonts w:eastAsiaTheme="minorEastAsia" w:cstheme="minorBidi"/>
              <w:kern w:val="2"/>
              <w:sz w:val="21"/>
            </w:rPr>
          </w:pPr>
          <w:r>
            <w:fldChar w:fldCharType="begin"/>
          </w:r>
          <w:r>
            <w:instrText xml:space="preserve"> HYPERLINK \l "_Toc106400424" </w:instrText>
          </w:r>
          <w:r>
            <w:fldChar w:fldCharType="separate"/>
          </w:r>
          <w:r>
            <w:rPr>
              <w:rStyle w:val="17"/>
              <w:rFonts w:hAnsi="华文仿宋"/>
              <w:bCs/>
            </w:rPr>
            <w:t>第二节  生态修复治理设计方案</w:t>
          </w:r>
          <w:r>
            <w:tab/>
          </w:r>
          <w:r>
            <w:fldChar w:fldCharType="begin"/>
          </w:r>
          <w:r>
            <w:instrText xml:space="preserve"> PAGEREF _Toc106400424 \h </w:instrText>
          </w:r>
          <w:r>
            <w:fldChar w:fldCharType="separate"/>
          </w:r>
          <w:r>
            <w:t>22</w:t>
          </w:r>
          <w:r>
            <w:fldChar w:fldCharType="end"/>
          </w:r>
          <w:r>
            <w:fldChar w:fldCharType="end"/>
          </w:r>
        </w:p>
        <w:p w14:paraId="47713591">
          <w:pPr>
            <w:pStyle w:val="12"/>
            <w:tabs>
              <w:tab w:val="right" w:leader="dot" w:pos="8296"/>
            </w:tabs>
            <w:rPr>
              <w:rFonts w:eastAsiaTheme="minorEastAsia" w:cstheme="minorBidi"/>
              <w:kern w:val="2"/>
              <w:sz w:val="21"/>
            </w:rPr>
          </w:pPr>
          <w:r>
            <w:fldChar w:fldCharType="begin"/>
          </w:r>
          <w:r>
            <w:instrText xml:space="preserve"> HYPERLINK \l "_Toc106400425" </w:instrText>
          </w:r>
          <w:r>
            <w:fldChar w:fldCharType="separate"/>
          </w:r>
          <w:r>
            <w:rPr>
              <w:rStyle w:val="17"/>
              <w:rFonts w:hAnsi="华文仿宋"/>
              <w:bCs/>
            </w:rPr>
            <w:t>第三节  生态环境修复的技术指标</w:t>
          </w:r>
          <w:r>
            <w:tab/>
          </w:r>
          <w:r>
            <w:fldChar w:fldCharType="begin"/>
          </w:r>
          <w:r>
            <w:instrText xml:space="preserve"> PAGEREF _Toc106400425 \h </w:instrText>
          </w:r>
          <w:r>
            <w:fldChar w:fldCharType="separate"/>
          </w:r>
          <w:r>
            <w:t>25</w:t>
          </w:r>
          <w:r>
            <w:fldChar w:fldCharType="end"/>
          </w:r>
          <w:r>
            <w:fldChar w:fldCharType="end"/>
          </w:r>
        </w:p>
        <w:p w14:paraId="5D20E2B3">
          <w:pPr>
            <w:pStyle w:val="12"/>
            <w:tabs>
              <w:tab w:val="right" w:leader="dot" w:pos="8296"/>
            </w:tabs>
            <w:rPr>
              <w:rFonts w:eastAsiaTheme="minorEastAsia" w:cstheme="minorBidi"/>
              <w:kern w:val="2"/>
              <w:sz w:val="21"/>
            </w:rPr>
          </w:pPr>
          <w:r>
            <w:fldChar w:fldCharType="begin"/>
          </w:r>
          <w:r>
            <w:instrText xml:space="preserve"> HYPERLINK \l "_Toc106400426" </w:instrText>
          </w:r>
          <w:r>
            <w:fldChar w:fldCharType="separate"/>
          </w:r>
          <w:r>
            <w:rPr>
              <w:rStyle w:val="17"/>
              <w:rFonts w:hAnsi="华文仿宋"/>
              <w:bCs/>
            </w:rPr>
            <w:t>第四节  生态修复工作量</w:t>
          </w:r>
          <w:r>
            <w:tab/>
          </w:r>
          <w:r>
            <w:fldChar w:fldCharType="begin"/>
          </w:r>
          <w:r>
            <w:instrText xml:space="preserve"> PAGEREF _Toc106400426 \h </w:instrText>
          </w:r>
          <w:r>
            <w:fldChar w:fldCharType="separate"/>
          </w:r>
          <w:r>
            <w:t>25</w:t>
          </w:r>
          <w:r>
            <w:fldChar w:fldCharType="end"/>
          </w:r>
          <w:r>
            <w:fldChar w:fldCharType="end"/>
          </w:r>
        </w:p>
        <w:p w14:paraId="51A5E3DD">
          <w:pPr>
            <w:pStyle w:val="12"/>
            <w:tabs>
              <w:tab w:val="right" w:leader="dot" w:pos="8296"/>
            </w:tabs>
            <w:rPr>
              <w:rFonts w:eastAsiaTheme="minorEastAsia" w:cstheme="minorBidi"/>
              <w:kern w:val="2"/>
              <w:sz w:val="21"/>
            </w:rPr>
          </w:pPr>
          <w:r>
            <w:fldChar w:fldCharType="begin"/>
          </w:r>
          <w:r>
            <w:instrText xml:space="preserve"> HYPERLINK \l "_Toc106400427" </w:instrText>
          </w:r>
          <w:r>
            <w:fldChar w:fldCharType="separate"/>
          </w:r>
          <w:r>
            <w:rPr>
              <w:rStyle w:val="17"/>
              <w:rFonts w:hAnsi="华文仿宋"/>
              <w:bCs/>
            </w:rPr>
            <w:t>第五节  生态修复技术要求</w:t>
          </w:r>
          <w:r>
            <w:tab/>
          </w:r>
          <w:r>
            <w:fldChar w:fldCharType="begin"/>
          </w:r>
          <w:r>
            <w:instrText xml:space="preserve"> PAGEREF _Toc106400427 \h </w:instrText>
          </w:r>
          <w:r>
            <w:fldChar w:fldCharType="separate"/>
          </w:r>
          <w:r>
            <w:t>26</w:t>
          </w:r>
          <w:r>
            <w:fldChar w:fldCharType="end"/>
          </w:r>
          <w:r>
            <w:fldChar w:fldCharType="end"/>
          </w:r>
        </w:p>
        <w:p w14:paraId="64237245">
          <w:pPr>
            <w:pStyle w:val="11"/>
            <w:tabs>
              <w:tab w:val="right" w:leader="dot" w:pos="8296"/>
            </w:tabs>
            <w:rPr>
              <w:rFonts w:eastAsiaTheme="minorEastAsia" w:cstheme="minorBidi"/>
              <w:kern w:val="2"/>
              <w:sz w:val="21"/>
            </w:rPr>
          </w:pPr>
          <w:r>
            <w:fldChar w:fldCharType="begin"/>
          </w:r>
          <w:r>
            <w:instrText xml:space="preserve"> HYPERLINK \l "_Toc106400428" </w:instrText>
          </w:r>
          <w:r>
            <w:fldChar w:fldCharType="separate"/>
          </w:r>
          <w:r>
            <w:rPr>
              <w:rStyle w:val="17"/>
            </w:rPr>
            <w:t>第五章  施工总体部署</w:t>
          </w:r>
          <w:r>
            <w:tab/>
          </w:r>
          <w:r>
            <w:fldChar w:fldCharType="begin"/>
          </w:r>
          <w:r>
            <w:instrText xml:space="preserve"> PAGEREF _Toc106400428 \h </w:instrText>
          </w:r>
          <w:r>
            <w:fldChar w:fldCharType="separate"/>
          </w:r>
          <w:r>
            <w:t>27</w:t>
          </w:r>
          <w:r>
            <w:fldChar w:fldCharType="end"/>
          </w:r>
          <w:r>
            <w:fldChar w:fldCharType="end"/>
          </w:r>
        </w:p>
        <w:p w14:paraId="3EE3AADE">
          <w:pPr>
            <w:pStyle w:val="12"/>
            <w:tabs>
              <w:tab w:val="right" w:leader="dot" w:pos="8296"/>
            </w:tabs>
            <w:rPr>
              <w:rFonts w:eastAsiaTheme="minorEastAsia" w:cstheme="minorBidi"/>
              <w:kern w:val="2"/>
              <w:sz w:val="21"/>
            </w:rPr>
          </w:pPr>
          <w:r>
            <w:fldChar w:fldCharType="begin"/>
          </w:r>
          <w:r>
            <w:instrText xml:space="preserve"> HYPERLINK \l "_Toc106400429" </w:instrText>
          </w:r>
          <w:r>
            <w:fldChar w:fldCharType="separate"/>
          </w:r>
          <w:r>
            <w:rPr>
              <w:rStyle w:val="17"/>
            </w:rPr>
            <w:t>第一节  施工部署原则</w:t>
          </w:r>
          <w:r>
            <w:tab/>
          </w:r>
          <w:r>
            <w:fldChar w:fldCharType="begin"/>
          </w:r>
          <w:r>
            <w:instrText xml:space="preserve"> PAGEREF _Toc106400429 \h </w:instrText>
          </w:r>
          <w:r>
            <w:fldChar w:fldCharType="separate"/>
          </w:r>
          <w:r>
            <w:t>27</w:t>
          </w:r>
          <w:r>
            <w:fldChar w:fldCharType="end"/>
          </w:r>
          <w:r>
            <w:fldChar w:fldCharType="end"/>
          </w:r>
        </w:p>
        <w:p w14:paraId="3F1ECC68">
          <w:pPr>
            <w:pStyle w:val="12"/>
            <w:tabs>
              <w:tab w:val="right" w:leader="dot" w:pos="8296"/>
            </w:tabs>
            <w:rPr>
              <w:rFonts w:eastAsiaTheme="minorEastAsia" w:cstheme="minorBidi"/>
              <w:kern w:val="2"/>
              <w:sz w:val="21"/>
            </w:rPr>
          </w:pPr>
          <w:r>
            <w:fldChar w:fldCharType="begin"/>
          </w:r>
          <w:r>
            <w:instrText xml:space="preserve"> HYPERLINK \l "_Toc106400430" </w:instrText>
          </w:r>
          <w:r>
            <w:fldChar w:fldCharType="separate"/>
          </w:r>
          <w:r>
            <w:rPr>
              <w:rStyle w:val="17"/>
            </w:rPr>
            <w:t>第二节  施工总体平面布置</w:t>
          </w:r>
          <w:r>
            <w:tab/>
          </w:r>
          <w:r>
            <w:fldChar w:fldCharType="begin"/>
          </w:r>
          <w:r>
            <w:instrText xml:space="preserve"> PAGEREF _Toc106400430 \h </w:instrText>
          </w:r>
          <w:r>
            <w:fldChar w:fldCharType="separate"/>
          </w:r>
          <w:r>
            <w:t>27</w:t>
          </w:r>
          <w:r>
            <w:fldChar w:fldCharType="end"/>
          </w:r>
          <w:r>
            <w:fldChar w:fldCharType="end"/>
          </w:r>
        </w:p>
        <w:p w14:paraId="1B948FBE">
          <w:pPr>
            <w:pStyle w:val="11"/>
            <w:tabs>
              <w:tab w:val="right" w:leader="dot" w:pos="8296"/>
            </w:tabs>
            <w:rPr>
              <w:rFonts w:eastAsiaTheme="minorEastAsia" w:cstheme="minorBidi"/>
              <w:kern w:val="2"/>
              <w:sz w:val="21"/>
            </w:rPr>
          </w:pPr>
          <w:r>
            <w:fldChar w:fldCharType="begin"/>
          </w:r>
          <w:r>
            <w:instrText xml:space="preserve"> HYPERLINK \l "_Toc106400431" </w:instrText>
          </w:r>
          <w:r>
            <w:fldChar w:fldCharType="separate"/>
          </w:r>
          <w:r>
            <w:rPr>
              <w:rStyle w:val="17"/>
            </w:rPr>
            <w:t>第六章  生产要素计划</w:t>
          </w:r>
          <w:r>
            <w:tab/>
          </w:r>
          <w:r>
            <w:fldChar w:fldCharType="begin"/>
          </w:r>
          <w:r>
            <w:instrText xml:space="preserve"> PAGEREF _Toc106400431 \h </w:instrText>
          </w:r>
          <w:r>
            <w:fldChar w:fldCharType="separate"/>
          </w:r>
          <w:r>
            <w:t>29</w:t>
          </w:r>
          <w:r>
            <w:fldChar w:fldCharType="end"/>
          </w:r>
          <w:r>
            <w:fldChar w:fldCharType="end"/>
          </w:r>
        </w:p>
        <w:p w14:paraId="2D5B3D52">
          <w:pPr>
            <w:pStyle w:val="12"/>
            <w:tabs>
              <w:tab w:val="right" w:leader="dot" w:pos="8296"/>
            </w:tabs>
            <w:rPr>
              <w:rFonts w:eastAsiaTheme="minorEastAsia" w:cstheme="minorBidi"/>
              <w:kern w:val="2"/>
              <w:sz w:val="21"/>
            </w:rPr>
          </w:pPr>
          <w:r>
            <w:fldChar w:fldCharType="begin"/>
          </w:r>
          <w:r>
            <w:instrText xml:space="preserve"> HYPERLINK \l "_Toc106400432" </w:instrText>
          </w:r>
          <w:r>
            <w:fldChar w:fldCharType="separate"/>
          </w:r>
          <w:r>
            <w:rPr>
              <w:rStyle w:val="17"/>
            </w:rPr>
            <w:t>第一节  机械设备配置计划</w:t>
          </w:r>
          <w:r>
            <w:tab/>
          </w:r>
          <w:r>
            <w:fldChar w:fldCharType="begin"/>
          </w:r>
          <w:r>
            <w:instrText xml:space="preserve"> PAGEREF _Toc106400432 \h </w:instrText>
          </w:r>
          <w:r>
            <w:fldChar w:fldCharType="separate"/>
          </w:r>
          <w:r>
            <w:t>29</w:t>
          </w:r>
          <w:r>
            <w:fldChar w:fldCharType="end"/>
          </w:r>
          <w:r>
            <w:fldChar w:fldCharType="end"/>
          </w:r>
        </w:p>
        <w:p w14:paraId="204C4FB4">
          <w:pPr>
            <w:pStyle w:val="12"/>
            <w:tabs>
              <w:tab w:val="right" w:leader="dot" w:pos="8296"/>
            </w:tabs>
            <w:rPr>
              <w:rFonts w:eastAsiaTheme="minorEastAsia" w:cstheme="minorBidi"/>
              <w:kern w:val="2"/>
              <w:sz w:val="21"/>
            </w:rPr>
          </w:pPr>
          <w:r>
            <w:fldChar w:fldCharType="begin"/>
          </w:r>
          <w:r>
            <w:instrText xml:space="preserve"> HYPERLINK \l "_Toc106400433" </w:instrText>
          </w:r>
          <w:r>
            <w:fldChar w:fldCharType="separate"/>
          </w:r>
          <w:r>
            <w:rPr>
              <w:rStyle w:val="17"/>
            </w:rPr>
            <w:t>第二节  劳动力配置计划</w:t>
          </w:r>
          <w:r>
            <w:tab/>
          </w:r>
          <w:r>
            <w:fldChar w:fldCharType="begin"/>
          </w:r>
          <w:r>
            <w:instrText xml:space="preserve"> PAGEREF _Toc106400433 \h </w:instrText>
          </w:r>
          <w:r>
            <w:fldChar w:fldCharType="separate"/>
          </w:r>
          <w:r>
            <w:t>29</w:t>
          </w:r>
          <w:r>
            <w:fldChar w:fldCharType="end"/>
          </w:r>
          <w:r>
            <w:fldChar w:fldCharType="end"/>
          </w:r>
        </w:p>
        <w:p w14:paraId="2A9A68DC">
          <w:pPr>
            <w:pStyle w:val="12"/>
            <w:tabs>
              <w:tab w:val="right" w:leader="dot" w:pos="8296"/>
            </w:tabs>
            <w:rPr>
              <w:rFonts w:eastAsiaTheme="minorEastAsia" w:cstheme="minorBidi"/>
              <w:kern w:val="2"/>
              <w:sz w:val="21"/>
            </w:rPr>
          </w:pPr>
          <w:r>
            <w:fldChar w:fldCharType="begin"/>
          </w:r>
          <w:r>
            <w:instrText xml:space="preserve"> HYPERLINK \l "_Toc106400434" </w:instrText>
          </w:r>
          <w:r>
            <w:fldChar w:fldCharType="separate"/>
          </w:r>
          <w:r>
            <w:rPr>
              <w:rStyle w:val="17"/>
            </w:rPr>
            <w:t>第三节  材料配置计划</w:t>
          </w:r>
          <w:r>
            <w:tab/>
          </w:r>
          <w:r>
            <w:fldChar w:fldCharType="begin"/>
          </w:r>
          <w:r>
            <w:instrText xml:space="preserve"> PAGEREF _Toc106400434 \h </w:instrText>
          </w:r>
          <w:r>
            <w:fldChar w:fldCharType="separate"/>
          </w:r>
          <w:r>
            <w:t>30</w:t>
          </w:r>
          <w:r>
            <w:fldChar w:fldCharType="end"/>
          </w:r>
          <w:r>
            <w:fldChar w:fldCharType="end"/>
          </w:r>
        </w:p>
        <w:p w14:paraId="00B589CE">
          <w:pPr>
            <w:pStyle w:val="12"/>
            <w:tabs>
              <w:tab w:val="right" w:leader="dot" w:pos="8296"/>
            </w:tabs>
            <w:rPr>
              <w:rFonts w:eastAsiaTheme="minorEastAsia" w:cstheme="minorBidi"/>
              <w:kern w:val="2"/>
              <w:sz w:val="21"/>
            </w:rPr>
          </w:pPr>
          <w:r>
            <w:fldChar w:fldCharType="begin"/>
          </w:r>
          <w:r>
            <w:instrText xml:space="preserve"> HYPERLINK \l "_Toc106400435" </w:instrText>
          </w:r>
          <w:r>
            <w:fldChar w:fldCharType="separate"/>
          </w:r>
          <w:r>
            <w:rPr>
              <w:rStyle w:val="17"/>
            </w:rPr>
            <w:t>第四节  施工进度计划</w:t>
          </w:r>
          <w:r>
            <w:tab/>
          </w:r>
          <w:r>
            <w:fldChar w:fldCharType="begin"/>
          </w:r>
          <w:r>
            <w:instrText xml:space="preserve"> PAGEREF _Toc106400435 \h </w:instrText>
          </w:r>
          <w:r>
            <w:fldChar w:fldCharType="separate"/>
          </w:r>
          <w:r>
            <w:t>30</w:t>
          </w:r>
          <w:r>
            <w:fldChar w:fldCharType="end"/>
          </w:r>
          <w:r>
            <w:fldChar w:fldCharType="end"/>
          </w:r>
        </w:p>
        <w:p w14:paraId="4F745B0F">
          <w:pPr>
            <w:pStyle w:val="11"/>
            <w:tabs>
              <w:tab w:val="right" w:leader="dot" w:pos="8296"/>
            </w:tabs>
            <w:rPr>
              <w:rFonts w:eastAsiaTheme="minorEastAsia" w:cstheme="minorBidi"/>
              <w:kern w:val="2"/>
              <w:sz w:val="21"/>
            </w:rPr>
          </w:pPr>
          <w:r>
            <w:fldChar w:fldCharType="begin"/>
          </w:r>
          <w:r>
            <w:instrText xml:space="preserve"> HYPERLINK \l "_Toc106400436" </w:instrText>
          </w:r>
          <w:r>
            <w:fldChar w:fldCharType="separate"/>
          </w:r>
          <w:r>
            <w:rPr>
              <w:rStyle w:val="17"/>
            </w:rPr>
            <w:t>第七章  保障措施</w:t>
          </w:r>
          <w:r>
            <w:tab/>
          </w:r>
          <w:r>
            <w:fldChar w:fldCharType="begin"/>
          </w:r>
          <w:r>
            <w:instrText xml:space="preserve"> PAGEREF _Toc106400436 \h </w:instrText>
          </w:r>
          <w:r>
            <w:fldChar w:fldCharType="separate"/>
          </w:r>
          <w:r>
            <w:t>31</w:t>
          </w:r>
          <w:r>
            <w:fldChar w:fldCharType="end"/>
          </w:r>
          <w:r>
            <w:fldChar w:fldCharType="end"/>
          </w:r>
        </w:p>
        <w:p w14:paraId="3DD62345">
          <w:pPr>
            <w:pStyle w:val="12"/>
            <w:tabs>
              <w:tab w:val="right" w:leader="dot" w:pos="8296"/>
            </w:tabs>
            <w:rPr>
              <w:rFonts w:eastAsiaTheme="minorEastAsia" w:cstheme="minorBidi"/>
              <w:kern w:val="2"/>
              <w:sz w:val="21"/>
            </w:rPr>
          </w:pPr>
          <w:r>
            <w:fldChar w:fldCharType="begin"/>
          </w:r>
          <w:r>
            <w:instrText xml:space="preserve"> HYPERLINK \l "_Toc106400437" </w:instrText>
          </w:r>
          <w:r>
            <w:fldChar w:fldCharType="separate"/>
          </w:r>
          <w:r>
            <w:rPr>
              <w:rStyle w:val="17"/>
            </w:rPr>
            <w:t>第一节</w:t>
          </w:r>
          <w:r>
            <w:rPr>
              <w:rStyle w:val="17"/>
              <w:rFonts w:ascii="宋体"/>
            </w:rPr>
            <w:t xml:space="preserve"> </w:t>
          </w:r>
          <w:r>
            <w:rPr>
              <w:rStyle w:val="17"/>
            </w:rPr>
            <w:t xml:space="preserve"> 组织保障措施</w:t>
          </w:r>
          <w:r>
            <w:tab/>
          </w:r>
          <w:r>
            <w:fldChar w:fldCharType="begin"/>
          </w:r>
          <w:r>
            <w:instrText xml:space="preserve"> PAGEREF _Toc106400437 \h </w:instrText>
          </w:r>
          <w:r>
            <w:fldChar w:fldCharType="separate"/>
          </w:r>
          <w:r>
            <w:t>31</w:t>
          </w:r>
          <w:r>
            <w:fldChar w:fldCharType="end"/>
          </w:r>
          <w:r>
            <w:fldChar w:fldCharType="end"/>
          </w:r>
        </w:p>
        <w:p w14:paraId="5B13E4AF">
          <w:pPr>
            <w:pStyle w:val="12"/>
            <w:tabs>
              <w:tab w:val="right" w:leader="dot" w:pos="8296"/>
            </w:tabs>
            <w:rPr>
              <w:rFonts w:eastAsiaTheme="minorEastAsia" w:cstheme="minorBidi"/>
              <w:kern w:val="2"/>
              <w:sz w:val="21"/>
            </w:rPr>
          </w:pPr>
          <w:r>
            <w:fldChar w:fldCharType="begin"/>
          </w:r>
          <w:r>
            <w:instrText xml:space="preserve"> HYPERLINK \l "_Toc106400438" </w:instrText>
          </w:r>
          <w:r>
            <w:fldChar w:fldCharType="separate"/>
          </w:r>
          <w:r>
            <w:rPr>
              <w:rStyle w:val="17"/>
            </w:rPr>
            <w:t>第二节</w:t>
          </w:r>
          <w:r>
            <w:rPr>
              <w:rStyle w:val="17"/>
              <w:rFonts w:ascii="宋体"/>
            </w:rPr>
            <w:t xml:space="preserve"> </w:t>
          </w:r>
          <w:r>
            <w:rPr>
              <w:rStyle w:val="17"/>
            </w:rPr>
            <w:t xml:space="preserve"> 质量保障措施</w:t>
          </w:r>
          <w:r>
            <w:tab/>
          </w:r>
          <w:r>
            <w:fldChar w:fldCharType="begin"/>
          </w:r>
          <w:r>
            <w:instrText xml:space="preserve"> PAGEREF _Toc106400438 \h </w:instrText>
          </w:r>
          <w:r>
            <w:fldChar w:fldCharType="separate"/>
          </w:r>
          <w:r>
            <w:t>38</w:t>
          </w:r>
          <w:r>
            <w:fldChar w:fldCharType="end"/>
          </w:r>
          <w:r>
            <w:fldChar w:fldCharType="end"/>
          </w:r>
        </w:p>
        <w:p w14:paraId="2538E684">
          <w:pPr>
            <w:pStyle w:val="12"/>
            <w:tabs>
              <w:tab w:val="right" w:leader="dot" w:pos="8296"/>
            </w:tabs>
            <w:rPr>
              <w:rFonts w:eastAsiaTheme="minorEastAsia" w:cstheme="minorBidi"/>
              <w:kern w:val="2"/>
              <w:sz w:val="21"/>
            </w:rPr>
          </w:pPr>
          <w:r>
            <w:fldChar w:fldCharType="begin"/>
          </w:r>
          <w:r>
            <w:instrText xml:space="preserve"> HYPERLINK \l "_Toc106400439" </w:instrText>
          </w:r>
          <w:r>
            <w:fldChar w:fldCharType="separate"/>
          </w:r>
          <w:r>
            <w:rPr>
              <w:rStyle w:val="17"/>
            </w:rPr>
            <w:t>第三节</w:t>
          </w:r>
          <w:r>
            <w:rPr>
              <w:rStyle w:val="17"/>
              <w:rFonts w:ascii="宋体"/>
            </w:rPr>
            <w:t xml:space="preserve"> </w:t>
          </w:r>
          <w:r>
            <w:rPr>
              <w:rStyle w:val="17"/>
            </w:rPr>
            <w:t xml:space="preserve"> 安全保障措施</w:t>
          </w:r>
          <w:r>
            <w:tab/>
          </w:r>
          <w:r>
            <w:fldChar w:fldCharType="begin"/>
          </w:r>
          <w:r>
            <w:instrText xml:space="preserve"> PAGEREF _Toc106400439 \h </w:instrText>
          </w:r>
          <w:r>
            <w:fldChar w:fldCharType="separate"/>
          </w:r>
          <w:r>
            <w:t>40</w:t>
          </w:r>
          <w:r>
            <w:fldChar w:fldCharType="end"/>
          </w:r>
          <w:r>
            <w:fldChar w:fldCharType="end"/>
          </w:r>
        </w:p>
        <w:p w14:paraId="12F020BC">
          <w:pPr>
            <w:pStyle w:val="12"/>
            <w:tabs>
              <w:tab w:val="right" w:leader="dot" w:pos="8296"/>
            </w:tabs>
            <w:rPr>
              <w:rFonts w:eastAsiaTheme="minorEastAsia" w:cstheme="minorBidi"/>
              <w:kern w:val="2"/>
              <w:sz w:val="21"/>
            </w:rPr>
          </w:pPr>
          <w:r>
            <w:fldChar w:fldCharType="begin"/>
          </w:r>
          <w:r>
            <w:instrText xml:space="preserve"> HYPERLINK \l "_Toc106400440" </w:instrText>
          </w:r>
          <w:r>
            <w:fldChar w:fldCharType="separate"/>
          </w:r>
          <w:r>
            <w:rPr>
              <w:rStyle w:val="17"/>
            </w:rPr>
            <w:t>第四节</w:t>
          </w:r>
          <w:r>
            <w:rPr>
              <w:rStyle w:val="17"/>
              <w:rFonts w:ascii="宋体"/>
            </w:rPr>
            <w:t xml:space="preserve"> </w:t>
          </w:r>
          <w:r>
            <w:rPr>
              <w:rStyle w:val="17"/>
            </w:rPr>
            <w:t xml:space="preserve"> 文明施工措施</w:t>
          </w:r>
          <w:r>
            <w:tab/>
          </w:r>
          <w:r>
            <w:fldChar w:fldCharType="begin"/>
          </w:r>
          <w:r>
            <w:instrText xml:space="preserve"> PAGEREF _Toc106400440 \h </w:instrText>
          </w:r>
          <w:r>
            <w:fldChar w:fldCharType="separate"/>
          </w:r>
          <w:r>
            <w:t>46</w:t>
          </w:r>
          <w:r>
            <w:fldChar w:fldCharType="end"/>
          </w:r>
          <w:r>
            <w:fldChar w:fldCharType="end"/>
          </w:r>
        </w:p>
        <w:p w14:paraId="21248A6A">
          <w:pPr>
            <w:pStyle w:val="11"/>
            <w:tabs>
              <w:tab w:val="right" w:leader="dot" w:pos="8296"/>
            </w:tabs>
            <w:rPr>
              <w:rFonts w:eastAsiaTheme="minorEastAsia" w:cstheme="minorBidi"/>
              <w:kern w:val="2"/>
              <w:sz w:val="21"/>
            </w:rPr>
          </w:pPr>
          <w:r>
            <w:fldChar w:fldCharType="begin"/>
          </w:r>
          <w:r>
            <w:instrText xml:space="preserve"> HYPERLINK \l "_Toc106400441" </w:instrText>
          </w:r>
          <w:r>
            <w:fldChar w:fldCharType="separate"/>
          </w:r>
          <w:r>
            <w:rPr>
              <w:rStyle w:val="17"/>
            </w:rPr>
            <w:t>第八章  预算编制</w:t>
          </w:r>
          <w:r>
            <w:tab/>
          </w:r>
          <w:r>
            <w:fldChar w:fldCharType="begin"/>
          </w:r>
          <w:r>
            <w:instrText xml:space="preserve"> PAGEREF _Toc106400441 \h </w:instrText>
          </w:r>
          <w:r>
            <w:fldChar w:fldCharType="separate"/>
          </w:r>
          <w:r>
            <w:t>48</w:t>
          </w:r>
          <w:r>
            <w:fldChar w:fldCharType="end"/>
          </w:r>
          <w:r>
            <w:fldChar w:fldCharType="end"/>
          </w:r>
        </w:p>
        <w:p w14:paraId="11DECE3E">
          <w:pPr>
            <w:pStyle w:val="11"/>
            <w:tabs>
              <w:tab w:val="right" w:leader="dot" w:pos="8296"/>
            </w:tabs>
            <w:rPr>
              <w:rFonts w:eastAsiaTheme="minorEastAsia" w:cstheme="minorBidi"/>
              <w:kern w:val="2"/>
              <w:sz w:val="21"/>
            </w:rPr>
          </w:pPr>
          <w:r>
            <w:fldChar w:fldCharType="begin"/>
          </w:r>
          <w:r>
            <w:instrText xml:space="preserve"> HYPERLINK \l "_Toc106400442" </w:instrText>
          </w:r>
          <w:r>
            <w:fldChar w:fldCharType="separate"/>
          </w:r>
          <w:r>
            <w:rPr>
              <w:rStyle w:val="17"/>
              <w:snapToGrid w:val="0"/>
            </w:rPr>
            <w:t>第九章  治理效果及效益分析</w:t>
          </w:r>
          <w:r>
            <w:tab/>
          </w:r>
          <w:r>
            <w:fldChar w:fldCharType="begin"/>
          </w:r>
          <w:r>
            <w:instrText xml:space="preserve"> PAGEREF _Toc106400442 \h </w:instrText>
          </w:r>
          <w:r>
            <w:fldChar w:fldCharType="separate"/>
          </w:r>
          <w:r>
            <w:t>63</w:t>
          </w:r>
          <w:r>
            <w:fldChar w:fldCharType="end"/>
          </w:r>
          <w:r>
            <w:fldChar w:fldCharType="end"/>
          </w:r>
        </w:p>
        <w:p w14:paraId="2B9AC9CF">
          <w:pPr>
            <w:pStyle w:val="11"/>
            <w:tabs>
              <w:tab w:val="right" w:leader="dot" w:pos="8296"/>
            </w:tabs>
            <w:rPr>
              <w:rFonts w:eastAsiaTheme="minorEastAsia" w:cstheme="minorBidi"/>
              <w:kern w:val="2"/>
              <w:sz w:val="21"/>
            </w:rPr>
          </w:pPr>
          <w:r>
            <w:fldChar w:fldCharType="begin"/>
          </w:r>
          <w:r>
            <w:instrText xml:space="preserve"> HYPERLINK \l "_Toc106400443" </w:instrText>
          </w:r>
          <w:r>
            <w:fldChar w:fldCharType="separate"/>
          </w:r>
          <w:r>
            <w:rPr>
              <w:rStyle w:val="17"/>
            </w:rPr>
            <w:t>第十章  预期提交设计、施工成果</w:t>
          </w:r>
          <w:r>
            <w:tab/>
          </w:r>
          <w:r>
            <w:fldChar w:fldCharType="begin"/>
          </w:r>
          <w:r>
            <w:instrText xml:space="preserve"> PAGEREF _Toc106400443 \h </w:instrText>
          </w:r>
          <w:r>
            <w:fldChar w:fldCharType="separate"/>
          </w:r>
          <w:r>
            <w:t>64</w:t>
          </w:r>
          <w:r>
            <w:fldChar w:fldCharType="end"/>
          </w:r>
          <w:r>
            <w:fldChar w:fldCharType="end"/>
          </w:r>
        </w:p>
        <w:p w14:paraId="6C3CE742">
          <w:pPr>
            <w:pStyle w:val="12"/>
            <w:tabs>
              <w:tab w:val="right" w:leader="dot" w:pos="8296"/>
            </w:tabs>
            <w:rPr>
              <w:rFonts w:eastAsiaTheme="minorEastAsia" w:cstheme="minorBidi"/>
              <w:kern w:val="2"/>
              <w:sz w:val="21"/>
            </w:rPr>
          </w:pPr>
          <w:r>
            <w:fldChar w:fldCharType="begin"/>
          </w:r>
          <w:r>
            <w:instrText xml:space="preserve"> HYPERLINK \l "_Toc106400444" </w:instrText>
          </w:r>
          <w:r>
            <w:fldChar w:fldCharType="separate"/>
          </w:r>
          <w:r>
            <w:rPr>
              <w:rStyle w:val="17"/>
            </w:rPr>
            <w:t>第一节  预期提交成果</w:t>
          </w:r>
          <w:r>
            <w:tab/>
          </w:r>
          <w:r>
            <w:fldChar w:fldCharType="begin"/>
          </w:r>
          <w:r>
            <w:instrText xml:space="preserve"> PAGEREF _Toc106400444 \h </w:instrText>
          </w:r>
          <w:r>
            <w:fldChar w:fldCharType="separate"/>
          </w:r>
          <w:r>
            <w:t>64</w:t>
          </w:r>
          <w:r>
            <w:fldChar w:fldCharType="end"/>
          </w:r>
          <w:r>
            <w:fldChar w:fldCharType="end"/>
          </w:r>
        </w:p>
        <w:p w14:paraId="7780BFBE">
          <w:pPr>
            <w:pStyle w:val="12"/>
            <w:tabs>
              <w:tab w:val="right" w:leader="dot" w:pos="8296"/>
            </w:tabs>
            <w:rPr>
              <w:rFonts w:eastAsiaTheme="minorEastAsia" w:cstheme="minorBidi"/>
              <w:kern w:val="2"/>
              <w:sz w:val="21"/>
            </w:rPr>
          </w:pPr>
          <w:r>
            <w:fldChar w:fldCharType="begin"/>
          </w:r>
          <w:r>
            <w:instrText xml:space="preserve"> HYPERLINK \l "_Toc106400445" </w:instrText>
          </w:r>
          <w:r>
            <w:fldChar w:fldCharType="separate"/>
          </w:r>
          <w:r>
            <w:rPr>
              <w:rStyle w:val="17"/>
            </w:rPr>
            <w:t>第二节  竣工报告编写提纲</w:t>
          </w:r>
          <w:r>
            <w:tab/>
          </w:r>
          <w:r>
            <w:fldChar w:fldCharType="begin"/>
          </w:r>
          <w:r>
            <w:instrText xml:space="preserve"> PAGEREF _Toc106400445 \h </w:instrText>
          </w:r>
          <w:r>
            <w:fldChar w:fldCharType="separate"/>
          </w:r>
          <w:r>
            <w:t>64</w:t>
          </w:r>
          <w:r>
            <w:fldChar w:fldCharType="end"/>
          </w:r>
          <w:r>
            <w:fldChar w:fldCharType="end"/>
          </w:r>
        </w:p>
        <w:p w14:paraId="6B91147B">
          <w:r>
            <w:rPr>
              <w:rFonts w:cs="Times New Roman" w:asciiTheme="minorHAnsi" w:hAnsiTheme="minorHAnsi"/>
              <w:kern w:val="0"/>
              <w:szCs w:val="22"/>
            </w:rPr>
            <w:fldChar w:fldCharType="end"/>
          </w:r>
        </w:p>
      </w:sdtContent>
    </w:sdt>
    <w:p w14:paraId="2A46B8DE"/>
    <w:p w14:paraId="306FAE3B">
      <w:pPr>
        <w:sectPr>
          <w:footerReference r:id="rId11" w:type="default"/>
          <w:pgSz w:w="11906" w:h="16838"/>
          <w:pgMar w:top="1440" w:right="1800" w:bottom="1440" w:left="1800" w:header="851" w:footer="992" w:gutter="0"/>
          <w:pgNumType w:start="1"/>
          <w:cols w:space="425" w:num="1"/>
          <w:docGrid w:type="lines" w:linePitch="312" w:charSpace="0"/>
        </w:sectPr>
      </w:pPr>
    </w:p>
    <w:p w14:paraId="20C91F00">
      <w:pPr>
        <w:pStyle w:val="2"/>
      </w:pPr>
      <w:bookmarkStart w:id="6" w:name="_Toc106400398"/>
      <w:bookmarkStart w:id="7" w:name="_Toc106400183"/>
      <w:r>
        <w:rPr>
          <w:rFonts w:hint="eastAsia"/>
        </w:rPr>
        <w:t>前言</w:t>
      </w:r>
      <w:bookmarkEnd w:id="0"/>
      <w:bookmarkEnd w:id="6"/>
      <w:bookmarkEnd w:id="7"/>
    </w:p>
    <w:p w14:paraId="5EB70430">
      <w:pPr>
        <w:pStyle w:val="3"/>
      </w:pPr>
      <w:bookmarkStart w:id="8" w:name="_Toc10155"/>
      <w:bookmarkStart w:id="9" w:name="_Toc29494"/>
      <w:bookmarkStart w:id="10" w:name="_Toc102927599"/>
      <w:bookmarkStart w:id="11" w:name="_Toc106400184"/>
      <w:bookmarkStart w:id="12" w:name="_Toc106400399"/>
      <w:r>
        <w:rPr>
          <w:rFonts w:hint="eastAsia"/>
        </w:rPr>
        <w:t xml:space="preserve">第一节 </w:t>
      </w:r>
      <w:r>
        <w:t xml:space="preserve"> </w:t>
      </w:r>
      <w:r>
        <w:rPr>
          <w:rFonts w:hint="eastAsia"/>
        </w:rPr>
        <w:t>任务的由来</w:t>
      </w:r>
      <w:bookmarkEnd w:id="8"/>
      <w:bookmarkEnd w:id="9"/>
      <w:bookmarkEnd w:id="10"/>
      <w:bookmarkEnd w:id="11"/>
      <w:bookmarkEnd w:id="12"/>
    </w:p>
    <w:p w14:paraId="2E288054">
      <w:r>
        <w:rPr>
          <w:rFonts w:hint="eastAsia"/>
        </w:rPr>
        <w:t>为全面贯彻落实党中央决策和自治区党委安排部署，推进中央第五生态环境保护督察组第六批信访举报案件办理，确保中央环境保护督察交办信访案件整改到位，受新疆新疆和布克赛尔蒙古自治县自然资源局委托，乌苏七星地质勘查有限公司编制了《新疆和布克赛尔县7号历史遗留采坑地质环境治理与生态修复方案》。</w:t>
      </w:r>
    </w:p>
    <w:p w14:paraId="62CFD6A7">
      <w:pPr>
        <w:pStyle w:val="3"/>
      </w:pPr>
      <w:bookmarkStart w:id="13" w:name="_Toc500554312"/>
      <w:bookmarkStart w:id="14" w:name="_Toc2775"/>
      <w:bookmarkStart w:id="15" w:name="_Toc102927600"/>
      <w:bookmarkStart w:id="16" w:name="_Toc106400185"/>
      <w:bookmarkStart w:id="17" w:name="_Toc6845"/>
      <w:bookmarkStart w:id="18" w:name="_Toc106400400"/>
      <w:r>
        <w:rPr>
          <w:rFonts w:hint="eastAsia"/>
        </w:rPr>
        <w:t>第二节  目的与任务</w:t>
      </w:r>
      <w:bookmarkEnd w:id="13"/>
      <w:bookmarkEnd w:id="14"/>
      <w:bookmarkEnd w:id="15"/>
      <w:bookmarkEnd w:id="16"/>
      <w:bookmarkEnd w:id="17"/>
      <w:bookmarkEnd w:id="18"/>
    </w:p>
    <w:p w14:paraId="5A6AB117">
      <w:pPr>
        <w:ind w:firstLine="562"/>
        <w:rPr>
          <w:b/>
          <w:bCs/>
        </w:rPr>
      </w:pPr>
      <w:r>
        <w:rPr>
          <w:rFonts w:hint="eastAsia"/>
          <w:b/>
          <w:bCs/>
        </w:rPr>
        <w:t>一、目的</w:t>
      </w:r>
    </w:p>
    <w:p w14:paraId="4A1892D3">
      <w:r>
        <w:rPr>
          <w:rFonts w:hint="eastAsia"/>
        </w:rPr>
        <w:t>通过实地调查，结合资料收集、分析、整理、治理，基本查明该历史遗留采坑主要地质环境问题和破坏现状，编制地质环境恢复治理方案，以此进行该历史遗留采坑地质环境恢复治理工程的实施，基本消除历史矿业开发活动对地表形态的破坏及自然环境的污染，基本达到与周边原始地形地貌景观相协调，最大限度的恢复治理区的地质环境，从而使得矿区周边的区域整体环境得到有效恢复和保护。</w:t>
      </w:r>
    </w:p>
    <w:p w14:paraId="2BC58FD5">
      <w:pPr>
        <w:ind w:firstLine="562"/>
        <w:rPr>
          <w:b/>
          <w:bCs/>
        </w:rPr>
      </w:pPr>
      <w:r>
        <w:rPr>
          <w:rFonts w:hint="eastAsia"/>
          <w:b/>
          <w:bCs/>
        </w:rPr>
        <w:t>二、任务</w:t>
      </w:r>
    </w:p>
    <w:p w14:paraId="552B966D">
      <w:r>
        <w:rPr>
          <w:rFonts w:hint="eastAsia"/>
        </w:rPr>
        <w:t>1、查明治理区主要地质环境问题及地质灾害类型、分布特征及危害情况；</w:t>
      </w:r>
    </w:p>
    <w:p w14:paraId="0436A858">
      <w:r>
        <w:rPr>
          <w:rFonts w:hint="eastAsia"/>
        </w:rPr>
        <w:t>2、查明因采矿活动造成的地质环境破坏和污染现状；</w:t>
      </w:r>
    </w:p>
    <w:p w14:paraId="3FE4FC27">
      <w:r>
        <w:rPr>
          <w:rFonts w:hint="eastAsia"/>
        </w:rPr>
        <w:t>3、制定矿山地质环境恢复治理施工设计方案，并预算经费，为矿山地质环境恢复治理工程的实施提供技术依据。</w:t>
      </w:r>
    </w:p>
    <w:p w14:paraId="4EAA493F">
      <w:r>
        <w:rPr>
          <w:rFonts w:hint="eastAsia"/>
        </w:rPr>
        <w:t>4、根据现场踏勘和实地工程测量成果，编制《新疆和布克赛尔县7号历史遗留采坑地质环境治理与生态修复方案》；</w:t>
      </w:r>
    </w:p>
    <w:p w14:paraId="75C8D0FF">
      <w:pPr>
        <w:pStyle w:val="3"/>
      </w:pPr>
      <w:bookmarkStart w:id="19" w:name="_Toc102927601"/>
      <w:bookmarkStart w:id="20" w:name="_Toc2430"/>
      <w:bookmarkStart w:id="21" w:name="_Toc28473"/>
      <w:bookmarkStart w:id="22" w:name="_Toc106400401"/>
      <w:bookmarkStart w:id="23" w:name="_Toc106400186"/>
      <w:r>
        <w:rPr>
          <w:rFonts w:hint="eastAsia"/>
        </w:rPr>
        <w:t>第三节  编制依据</w:t>
      </w:r>
      <w:bookmarkEnd w:id="19"/>
      <w:bookmarkEnd w:id="20"/>
      <w:bookmarkEnd w:id="21"/>
      <w:bookmarkEnd w:id="22"/>
      <w:bookmarkEnd w:id="23"/>
    </w:p>
    <w:p w14:paraId="3406C20B">
      <w:pPr>
        <w:ind w:firstLine="562"/>
        <w:rPr>
          <w:b/>
          <w:bCs/>
        </w:rPr>
      </w:pPr>
      <w:r>
        <w:rPr>
          <w:rFonts w:hint="eastAsia"/>
          <w:b/>
          <w:bCs/>
        </w:rPr>
        <w:t>一、法律法规和政策依据</w:t>
      </w:r>
    </w:p>
    <w:p w14:paraId="024F0022">
      <w:r>
        <w:rPr>
          <w:rFonts w:hint="eastAsia"/>
        </w:rPr>
        <w:t>（一）《中华人民共和国环境保护法》；</w:t>
      </w:r>
    </w:p>
    <w:p w14:paraId="2BC4CD8D">
      <w:r>
        <w:rPr>
          <w:rFonts w:hint="eastAsia"/>
        </w:rPr>
        <w:t>（二）《中华人民共和国矿产资源法》；</w:t>
      </w:r>
    </w:p>
    <w:p w14:paraId="380E72B7">
      <w:r>
        <w:rPr>
          <w:rFonts w:hint="eastAsia"/>
        </w:rPr>
        <w:t>（三）《中华人民共和国土地管理法》；</w:t>
      </w:r>
    </w:p>
    <w:p w14:paraId="1D53B4D1">
      <w:r>
        <w:rPr>
          <w:rFonts w:hint="eastAsia"/>
        </w:rPr>
        <w:t>（四）《新疆维吾尔自治区地质环境保护条例》；</w:t>
      </w:r>
    </w:p>
    <w:p w14:paraId="2F4C83B4">
      <w:r>
        <w:rPr>
          <w:rFonts w:hint="eastAsia"/>
        </w:rPr>
        <w:t>（五）《新疆维吾尔自治区矿产资源管理条例》；</w:t>
      </w:r>
    </w:p>
    <w:p w14:paraId="256558B3">
      <w:pPr>
        <w:ind w:firstLine="562"/>
        <w:rPr>
          <w:b/>
          <w:bCs/>
        </w:rPr>
      </w:pPr>
      <w:r>
        <w:rPr>
          <w:rFonts w:hint="eastAsia"/>
          <w:b/>
          <w:bCs/>
        </w:rPr>
        <w:t>二、</w:t>
      </w:r>
      <w:r>
        <w:rPr>
          <w:b/>
          <w:bCs/>
        </w:rPr>
        <w:t>规范规程</w:t>
      </w:r>
    </w:p>
    <w:p w14:paraId="3C08895E">
      <w:bookmarkStart w:id="24" w:name="_Toc31840"/>
      <w:bookmarkStart w:id="25" w:name="_Toc17817"/>
      <w:r>
        <w:rPr>
          <w:rFonts w:hint="eastAsia"/>
        </w:rPr>
        <w:t>（一）《矿山生态环境保护与恢复治理技术规范（试行）》（HJ651-2013）；</w:t>
      </w:r>
    </w:p>
    <w:p w14:paraId="2E8AB9C9">
      <w:r>
        <w:rPr>
          <w:rFonts w:hint="eastAsia"/>
        </w:rPr>
        <w:t>（二）《矿山地质环境保护与恢复治理方案编制规范》（DZ/T223-2011）；</w:t>
      </w:r>
    </w:p>
    <w:p w14:paraId="1B06174F">
      <w:r>
        <w:rPr>
          <w:rFonts w:hint="eastAsia"/>
        </w:rPr>
        <w:t>（三）《土地开发整理治理预算定额标准》（[2011]128）；</w:t>
      </w:r>
    </w:p>
    <w:p w14:paraId="53B8E985">
      <w:r>
        <w:rPr>
          <w:rFonts w:hint="eastAsia"/>
        </w:rPr>
        <w:t>（四）《工程测量规范》（GB50026-2007）;</w:t>
      </w:r>
    </w:p>
    <w:p w14:paraId="77E37984">
      <w:r>
        <w:rPr>
          <w:rFonts w:hint="eastAsia"/>
        </w:rPr>
        <w:t>（五）《全球卫星定位系统（GPS）测量规范》（GB/T18314-2009）;</w:t>
      </w:r>
    </w:p>
    <w:p w14:paraId="6CB9B3DD">
      <w:r>
        <w:rPr>
          <w:rFonts w:hint="eastAsia"/>
        </w:rPr>
        <w:t>（六）《建筑边坡工程技术规范》（GB50330-2013）;</w:t>
      </w:r>
    </w:p>
    <w:p w14:paraId="2B360951">
      <w:r>
        <w:rPr>
          <w:rFonts w:hint="eastAsia"/>
        </w:rPr>
        <w:t>（七）《土地利用现状分类》(GB/T21010－2017）；</w:t>
      </w:r>
    </w:p>
    <w:p w14:paraId="53102EC8">
      <w:r>
        <w:rPr>
          <w:rFonts w:hint="eastAsia"/>
        </w:rPr>
        <w:t>（八）《中国地震动参数区划图》（GB18306－2015）；</w:t>
      </w:r>
    </w:p>
    <w:p w14:paraId="2EDF9E00">
      <w:r>
        <w:rPr>
          <w:rFonts w:hint="eastAsia"/>
        </w:rPr>
        <w:t>（九）其他有关规范、规程和技术要求。</w:t>
      </w:r>
    </w:p>
    <w:p w14:paraId="53BD3CB1">
      <w:pPr>
        <w:pStyle w:val="3"/>
      </w:pPr>
      <w:bookmarkStart w:id="26" w:name="_Toc102927602"/>
      <w:bookmarkStart w:id="27" w:name="_Toc106400187"/>
      <w:bookmarkStart w:id="28" w:name="_Toc106400402"/>
      <w:r>
        <w:rPr>
          <w:rFonts w:hint="eastAsia"/>
        </w:rPr>
        <w:t>第四节  编制工作概况</w:t>
      </w:r>
      <w:bookmarkEnd w:id="24"/>
      <w:bookmarkEnd w:id="25"/>
      <w:bookmarkEnd w:id="26"/>
      <w:bookmarkEnd w:id="27"/>
      <w:bookmarkEnd w:id="28"/>
    </w:p>
    <w:p w14:paraId="1DCE3236">
      <w:pPr>
        <w:ind w:firstLine="562"/>
        <w:rPr>
          <w:b/>
          <w:bCs/>
        </w:rPr>
      </w:pPr>
      <w:r>
        <w:rPr>
          <w:rFonts w:hint="eastAsia"/>
          <w:b/>
          <w:bCs/>
        </w:rPr>
        <w:t>一、工作经过</w:t>
      </w:r>
    </w:p>
    <w:p w14:paraId="0A690847">
      <w:r>
        <w:rPr>
          <w:rFonts w:hint="eastAsia"/>
        </w:rPr>
        <w:t>本次工作大致可分为三个阶段：</w:t>
      </w:r>
    </w:p>
    <w:p w14:paraId="7A6F4A48">
      <w:r>
        <w:rPr>
          <w:rFonts w:hint="eastAsia"/>
        </w:rPr>
        <w:t>1、治理启动阶段（</w:t>
      </w:r>
      <w:r>
        <w:rPr>
          <w:rFonts w:hAnsi="仿宋_GB2312" w:cs="仿宋_GB2312"/>
        </w:rPr>
        <w:t>2022</w:t>
      </w:r>
      <w:r>
        <w:rPr>
          <w:rFonts w:hint="eastAsia" w:hAnsi="仿宋_GB2312" w:cs="仿宋_GB2312"/>
        </w:rPr>
        <w:t>年</w:t>
      </w:r>
      <w:r>
        <w:rPr>
          <w:rFonts w:hAnsi="仿宋_GB2312" w:cs="仿宋_GB2312"/>
        </w:rPr>
        <w:t>4</w:t>
      </w:r>
      <w:r>
        <w:rPr>
          <w:rFonts w:hint="eastAsia" w:hAnsi="仿宋_GB2312" w:cs="仿宋_GB2312"/>
        </w:rPr>
        <w:t>月</w:t>
      </w:r>
      <w:r>
        <w:rPr>
          <w:rFonts w:hAnsi="仿宋_GB2312" w:cs="仿宋_GB2312"/>
        </w:rPr>
        <w:t>14</w:t>
      </w:r>
      <w:r>
        <w:rPr>
          <w:rFonts w:hint="eastAsia" w:hAnsi="仿宋_GB2312" w:cs="仿宋_GB2312"/>
        </w:rPr>
        <w:t>日-</w:t>
      </w:r>
      <w:r>
        <w:rPr>
          <w:rFonts w:hAnsi="仿宋_GB2312" w:cs="仿宋_GB2312"/>
        </w:rPr>
        <w:t>4</w:t>
      </w:r>
      <w:r>
        <w:rPr>
          <w:rFonts w:hint="eastAsia" w:hAnsi="仿宋_GB2312" w:cs="仿宋_GB2312"/>
        </w:rPr>
        <w:t>月</w:t>
      </w:r>
      <w:r>
        <w:rPr>
          <w:rFonts w:hAnsi="仿宋_GB2312" w:cs="仿宋_GB2312"/>
        </w:rPr>
        <w:t>15</w:t>
      </w:r>
      <w:r>
        <w:rPr>
          <w:rFonts w:hint="eastAsia" w:hAnsi="仿宋_GB2312" w:cs="仿宋_GB2312"/>
        </w:rPr>
        <w:t>日</w:t>
      </w:r>
      <w:r>
        <w:rPr>
          <w:rFonts w:hint="eastAsia"/>
        </w:rPr>
        <w:t>）：该阶段主要完成了收集基础资料等工作。</w:t>
      </w:r>
    </w:p>
    <w:p w14:paraId="1A8198BB">
      <w:r>
        <w:rPr>
          <w:rFonts w:hint="eastAsia"/>
        </w:rPr>
        <w:t>2、外业调查阶段（</w:t>
      </w:r>
      <w:r>
        <w:rPr>
          <w:rFonts w:hAnsi="仿宋_GB2312" w:cs="仿宋_GB2312"/>
        </w:rPr>
        <w:t>2022</w:t>
      </w:r>
      <w:r>
        <w:rPr>
          <w:rFonts w:hint="eastAsia" w:hAnsi="仿宋_GB2312" w:cs="仿宋_GB2312"/>
        </w:rPr>
        <w:t>年</w:t>
      </w:r>
      <w:r>
        <w:rPr>
          <w:rFonts w:hAnsi="仿宋_GB2312" w:cs="仿宋_GB2312"/>
        </w:rPr>
        <w:t>4</w:t>
      </w:r>
      <w:r>
        <w:rPr>
          <w:rFonts w:hint="eastAsia" w:hAnsi="仿宋_GB2312" w:cs="仿宋_GB2312"/>
        </w:rPr>
        <w:t>月1</w:t>
      </w:r>
      <w:r>
        <w:rPr>
          <w:rFonts w:hAnsi="仿宋_GB2312" w:cs="仿宋_GB2312"/>
        </w:rPr>
        <w:t>6</w:t>
      </w:r>
      <w:r>
        <w:rPr>
          <w:rFonts w:hint="eastAsia" w:hAnsi="仿宋_GB2312" w:cs="仿宋_GB2312"/>
        </w:rPr>
        <w:t>日-</w:t>
      </w:r>
      <w:r>
        <w:rPr>
          <w:rFonts w:hAnsi="仿宋_GB2312" w:cs="仿宋_GB2312"/>
        </w:rPr>
        <w:t>4</w:t>
      </w:r>
      <w:r>
        <w:rPr>
          <w:rFonts w:hint="eastAsia" w:hAnsi="仿宋_GB2312" w:cs="仿宋_GB2312"/>
        </w:rPr>
        <w:t>月</w:t>
      </w:r>
      <w:r>
        <w:rPr>
          <w:rFonts w:hAnsi="仿宋_GB2312" w:cs="仿宋_GB2312"/>
        </w:rPr>
        <w:t>17</w:t>
      </w:r>
      <w:r>
        <w:rPr>
          <w:rFonts w:hint="eastAsia" w:hAnsi="仿宋_GB2312" w:cs="仿宋_GB2312"/>
        </w:rPr>
        <w:t>日</w:t>
      </w:r>
      <w:r>
        <w:rPr>
          <w:rFonts w:hint="eastAsia"/>
        </w:rPr>
        <w:t>）：主要开展野外调查，主要查明治理区地质、地形地貌条件，调查了解矿山开采现状及治理区地质环境状况，地质灾害发育程度及危害性。矿山开采现状对土地的破坏程度。</w:t>
      </w:r>
    </w:p>
    <w:p w14:paraId="78CCF90D">
      <w:r>
        <w:rPr>
          <w:rFonts w:hint="eastAsia"/>
        </w:rPr>
        <w:t>3、资料整理方案编制阶段（</w:t>
      </w:r>
      <w:r>
        <w:rPr>
          <w:rFonts w:hint="eastAsia" w:hAnsi="仿宋_GB2312" w:cs="仿宋_GB2312"/>
        </w:rPr>
        <w:t>2</w:t>
      </w:r>
      <w:r>
        <w:rPr>
          <w:rFonts w:hAnsi="仿宋_GB2312" w:cs="仿宋_GB2312"/>
        </w:rPr>
        <w:t>022</w:t>
      </w:r>
      <w:r>
        <w:rPr>
          <w:rFonts w:hint="eastAsia" w:hAnsi="仿宋_GB2312" w:cs="仿宋_GB2312"/>
        </w:rPr>
        <w:t>年</w:t>
      </w:r>
      <w:r>
        <w:rPr>
          <w:rFonts w:hAnsi="仿宋_GB2312" w:cs="仿宋_GB2312"/>
        </w:rPr>
        <w:t>4</w:t>
      </w:r>
      <w:r>
        <w:rPr>
          <w:rFonts w:hint="eastAsia" w:hAnsi="仿宋_GB2312" w:cs="仿宋_GB2312"/>
        </w:rPr>
        <w:t>月</w:t>
      </w:r>
      <w:r>
        <w:rPr>
          <w:rFonts w:hAnsi="仿宋_GB2312" w:cs="仿宋_GB2312"/>
        </w:rPr>
        <w:t>17</w:t>
      </w:r>
      <w:r>
        <w:rPr>
          <w:rFonts w:hint="eastAsia" w:hAnsi="仿宋_GB2312" w:cs="仿宋_GB2312"/>
        </w:rPr>
        <w:t>日-</w:t>
      </w:r>
      <w:r>
        <w:rPr>
          <w:rFonts w:hAnsi="仿宋_GB2312" w:cs="仿宋_GB2312"/>
        </w:rPr>
        <w:t>5</w:t>
      </w:r>
      <w:r>
        <w:rPr>
          <w:rFonts w:hint="eastAsia" w:hAnsi="仿宋_GB2312" w:cs="仿宋_GB2312"/>
        </w:rPr>
        <w:t>月</w:t>
      </w:r>
      <w:r>
        <w:rPr>
          <w:rFonts w:hAnsi="仿宋_GB2312" w:cs="仿宋_GB2312"/>
        </w:rPr>
        <w:t>7</w:t>
      </w:r>
      <w:r>
        <w:rPr>
          <w:rFonts w:hint="eastAsia" w:hAnsi="仿宋_GB2312" w:cs="仿宋_GB2312"/>
        </w:rPr>
        <w:t>日</w:t>
      </w:r>
      <w:r>
        <w:rPr>
          <w:rFonts w:hint="eastAsia"/>
        </w:rPr>
        <w:t>）：该阶段主要完成资料整理分析、编制新疆和布克赛尔县7号历史遗留采坑地质环境治理与生态修复方案及相应图件并进行成果初审工作。</w:t>
      </w:r>
    </w:p>
    <w:p w14:paraId="6A7B4D9F">
      <w:pPr>
        <w:ind w:firstLine="562"/>
        <w:rPr>
          <w:b/>
          <w:bCs/>
        </w:rPr>
      </w:pPr>
      <w:r>
        <w:rPr>
          <w:rFonts w:hint="eastAsia"/>
          <w:b/>
          <w:bCs/>
        </w:rPr>
        <w:t>二、工作方法和完成工作量</w:t>
      </w:r>
    </w:p>
    <w:p w14:paraId="175DCE2A">
      <w:r>
        <w:rPr>
          <w:rFonts w:hint="eastAsia"/>
        </w:rPr>
        <w:t>针对治理区的地形地貌条件，地质灾害发育程度和人类活动特征。野外调查工作采用地形测量与地质环境测绘相结合的原则。本次工作方法以地面调查为重点，辅以资料收集、现场照相等工作方法。根据矿山建设平面布局情况，查明治理区内各类地质灾害发育特征，废弃物排放情况、人类工程活动布局及地形地貌、环境地质条件等；查明区域地质地貌背景、地质灾害发育对治理区的影响等。</w:t>
      </w:r>
    </w:p>
    <w:p w14:paraId="04BAEF56">
      <w:r>
        <w:rPr>
          <w:rFonts w:hint="eastAsia"/>
        </w:rPr>
        <w:t>本次共完成地形测量面积及地面调查面积</w:t>
      </w:r>
      <w:r>
        <w:t>0.1</w:t>
      </w:r>
      <w:r>
        <w:rPr>
          <w:rFonts w:hint="eastAsia"/>
        </w:rPr>
        <w:t>65平方千米；实地拍摄照片</w:t>
      </w:r>
      <w:r>
        <w:t>9</w:t>
      </w:r>
      <w:r>
        <w:rPr>
          <w:rFonts w:hint="eastAsia"/>
        </w:rPr>
        <w:t>张，具体完成的实物工作量见表0-1。</w:t>
      </w:r>
    </w:p>
    <w:p w14:paraId="127C7410">
      <w:pPr>
        <w:pStyle w:val="29"/>
      </w:pPr>
      <w:r>
        <w:rPr>
          <w:rFonts w:hint="eastAsia"/>
        </w:rPr>
        <w:t>完成的主要工作量一览表  表0-1</w:t>
      </w:r>
    </w:p>
    <w:tbl>
      <w:tblPr>
        <w:tblStyle w:val="13"/>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1661"/>
        <w:gridCol w:w="3735"/>
      </w:tblGrid>
      <w:tr w14:paraId="725D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413" w:type="dxa"/>
            <w:vAlign w:val="center"/>
          </w:tcPr>
          <w:p w14:paraId="4B7D37AB">
            <w:pPr>
              <w:pStyle w:val="29"/>
              <w:spacing w:line="240" w:lineRule="auto"/>
            </w:pPr>
            <w:r>
              <w:rPr>
                <w:rFonts w:hint="eastAsia"/>
              </w:rPr>
              <w:t>工作内容</w:t>
            </w:r>
          </w:p>
        </w:tc>
        <w:tc>
          <w:tcPr>
            <w:tcW w:w="1559" w:type="dxa"/>
            <w:vAlign w:val="center"/>
          </w:tcPr>
          <w:p w14:paraId="1DCD7B42">
            <w:pPr>
              <w:pStyle w:val="29"/>
              <w:spacing w:line="240" w:lineRule="auto"/>
            </w:pPr>
            <w:r>
              <w:rPr>
                <w:rFonts w:hint="eastAsia"/>
              </w:rPr>
              <w:t>单位</w:t>
            </w:r>
          </w:p>
        </w:tc>
        <w:tc>
          <w:tcPr>
            <w:tcW w:w="1661" w:type="dxa"/>
            <w:vAlign w:val="center"/>
          </w:tcPr>
          <w:p w14:paraId="6EFE482C">
            <w:pPr>
              <w:pStyle w:val="29"/>
              <w:spacing w:line="240" w:lineRule="auto"/>
            </w:pPr>
            <w:r>
              <w:rPr>
                <w:rFonts w:hint="eastAsia"/>
              </w:rPr>
              <w:t>完成工作量</w:t>
            </w:r>
          </w:p>
        </w:tc>
        <w:tc>
          <w:tcPr>
            <w:tcW w:w="3735" w:type="dxa"/>
            <w:vAlign w:val="center"/>
          </w:tcPr>
          <w:p w14:paraId="2C23BED7">
            <w:pPr>
              <w:pStyle w:val="29"/>
              <w:spacing w:line="240" w:lineRule="auto"/>
            </w:pPr>
            <w:r>
              <w:rPr>
                <w:rFonts w:hint="eastAsia"/>
              </w:rPr>
              <w:t>备注</w:t>
            </w:r>
          </w:p>
        </w:tc>
      </w:tr>
      <w:tr w14:paraId="2FA1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413" w:type="dxa"/>
            <w:vAlign w:val="center"/>
          </w:tcPr>
          <w:p w14:paraId="75A95066">
            <w:pPr>
              <w:pStyle w:val="29"/>
              <w:spacing w:line="240" w:lineRule="auto"/>
            </w:pPr>
            <w:r>
              <w:rPr>
                <w:rFonts w:hint="eastAsia"/>
              </w:rPr>
              <w:t>地形测量</w:t>
            </w:r>
          </w:p>
        </w:tc>
        <w:tc>
          <w:tcPr>
            <w:tcW w:w="1559" w:type="dxa"/>
            <w:vAlign w:val="center"/>
          </w:tcPr>
          <w:p w14:paraId="7B7E42C6">
            <w:pPr>
              <w:pStyle w:val="29"/>
              <w:spacing w:line="240" w:lineRule="auto"/>
            </w:pPr>
            <w:r>
              <w:rPr>
                <w:rFonts w:hint="eastAsia"/>
              </w:rPr>
              <w:t>平方千米</w:t>
            </w:r>
          </w:p>
        </w:tc>
        <w:tc>
          <w:tcPr>
            <w:tcW w:w="1661" w:type="dxa"/>
            <w:vAlign w:val="center"/>
          </w:tcPr>
          <w:p w14:paraId="35D4B186">
            <w:pPr>
              <w:pStyle w:val="29"/>
              <w:spacing w:line="240" w:lineRule="auto"/>
            </w:pPr>
            <w:r>
              <w:t>0.1</w:t>
            </w:r>
            <w:r>
              <w:rPr>
                <w:rFonts w:hint="eastAsia"/>
              </w:rPr>
              <w:t>65</w:t>
            </w:r>
          </w:p>
        </w:tc>
        <w:tc>
          <w:tcPr>
            <w:tcW w:w="3735" w:type="dxa"/>
            <w:vAlign w:val="center"/>
          </w:tcPr>
          <w:p w14:paraId="3BAB2471">
            <w:pPr>
              <w:pStyle w:val="29"/>
              <w:spacing w:line="240" w:lineRule="auto"/>
            </w:pPr>
            <w:r>
              <w:rPr>
                <w:rFonts w:hint="eastAsia"/>
              </w:rPr>
              <w:t>测图范围采坑、</w:t>
            </w:r>
            <w:r>
              <w:t>料堆</w:t>
            </w:r>
            <w:r>
              <w:rPr>
                <w:rFonts w:hint="eastAsia"/>
              </w:rPr>
              <w:t>等</w:t>
            </w:r>
          </w:p>
        </w:tc>
      </w:tr>
      <w:tr w14:paraId="7309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3" w:type="dxa"/>
            <w:vAlign w:val="center"/>
          </w:tcPr>
          <w:p w14:paraId="6EBB12F9">
            <w:pPr>
              <w:pStyle w:val="29"/>
              <w:spacing w:line="240" w:lineRule="auto"/>
            </w:pPr>
            <w:r>
              <w:rPr>
                <w:rFonts w:hint="eastAsia"/>
              </w:rPr>
              <w:t>调查区</w:t>
            </w:r>
          </w:p>
        </w:tc>
        <w:tc>
          <w:tcPr>
            <w:tcW w:w="1559" w:type="dxa"/>
            <w:vAlign w:val="center"/>
          </w:tcPr>
          <w:p w14:paraId="19D3CEC0">
            <w:pPr>
              <w:pStyle w:val="29"/>
              <w:spacing w:line="240" w:lineRule="auto"/>
            </w:pPr>
            <w:r>
              <w:rPr>
                <w:rFonts w:hint="eastAsia"/>
              </w:rPr>
              <w:t>平方千米</w:t>
            </w:r>
          </w:p>
        </w:tc>
        <w:tc>
          <w:tcPr>
            <w:tcW w:w="1661" w:type="dxa"/>
            <w:vAlign w:val="center"/>
          </w:tcPr>
          <w:p w14:paraId="6DAF4BA0">
            <w:pPr>
              <w:pStyle w:val="29"/>
              <w:spacing w:line="240" w:lineRule="auto"/>
            </w:pPr>
            <w:r>
              <w:t>0.</w:t>
            </w:r>
            <w:r>
              <w:rPr>
                <w:rFonts w:hint="eastAsia"/>
              </w:rPr>
              <w:t>165</w:t>
            </w:r>
          </w:p>
        </w:tc>
        <w:tc>
          <w:tcPr>
            <w:tcW w:w="3735" w:type="dxa"/>
            <w:vAlign w:val="center"/>
          </w:tcPr>
          <w:p w14:paraId="78F53BF2">
            <w:pPr>
              <w:pStyle w:val="29"/>
              <w:spacing w:line="240" w:lineRule="auto"/>
            </w:pPr>
            <w:r>
              <w:rPr>
                <w:rFonts w:hint="eastAsia"/>
              </w:rPr>
              <w:t>对治理区域进行调查</w:t>
            </w:r>
          </w:p>
        </w:tc>
      </w:tr>
      <w:tr w14:paraId="618D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3" w:type="dxa"/>
            <w:vAlign w:val="center"/>
          </w:tcPr>
          <w:p w14:paraId="5703CDD1">
            <w:pPr>
              <w:pStyle w:val="29"/>
              <w:spacing w:line="240" w:lineRule="auto"/>
            </w:pPr>
            <w:r>
              <w:rPr>
                <w:rFonts w:hint="eastAsia"/>
              </w:rPr>
              <w:t>调查路线</w:t>
            </w:r>
          </w:p>
        </w:tc>
        <w:tc>
          <w:tcPr>
            <w:tcW w:w="1559" w:type="dxa"/>
            <w:vAlign w:val="center"/>
          </w:tcPr>
          <w:p w14:paraId="47FBA510">
            <w:pPr>
              <w:pStyle w:val="29"/>
              <w:spacing w:line="240" w:lineRule="auto"/>
            </w:pPr>
            <w:r>
              <w:t>条</w:t>
            </w:r>
            <w:r>
              <w:rPr>
                <w:rFonts w:hint="eastAsia"/>
              </w:rPr>
              <w:t>/</w:t>
            </w:r>
            <w:r>
              <w:t>米</w:t>
            </w:r>
          </w:p>
        </w:tc>
        <w:tc>
          <w:tcPr>
            <w:tcW w:w="1661" w:type="dxa"/>
            <w:vAlign w:val="center"/>
          </w:tcPr>
          <w:p w14:paraId="1BF8445C">
            <w:pPr>
              <w:pStyle w:val="29"/>
              <w:spacing w:line="240" w:lineRule="auto"/>
            </w:pPr>
            <w:r>
              <w:rPr>
                <w:rFonts w:hint="eastAsia"/>
              </w:rPr>
              <w:t>1/1500</w:t>
            </w:r>
          </w:p>
        </w:tc>
        <w:tc>
          <w:tcPr>
            <w:tcW w:w="3735" w:type="dxa"/>
            <w:vAlign w:val="center"/>
          </w:tcPr>
          <w:p w14:paraId="1E634654">
            <w:pPr>
              <w:pStyle w:val="29"/>
              <w:spacing w:line="240" w:lineRule="auto"/>
            </w:pPr>
            <w:r>
              <w:rPr>
                <w:rFonts w:hint="eastAsia"/>
              </w:rPr>
              <w:t>调查路线1条，总长1500米</w:t>
            </w:r>
          </w:p>
        </w:tc>
      </w:tr>
      <w:tr w14:paraId="6BEA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3" w:type="dxa"/>
            <w:vAlign w:val="center"/>
          </w:tcPr>
          <w:p w14:paraId="19140C31">
            <w:pPr>
              <w:pStyle w:val="29"/>
              <w:spacing w:line="240" w:lineRule="auto"/>
            </w:pPr>
            <w:r>
              <w:rPr>
                <w:rFonts w:hint="eastAsia"/>
              </w:rPr>
              <w:t>照片</w:t>
            </w:r>
          </w:p>
        </w:tc>
        <w:tc>
          <w:tcPr>
            <w:tcW w:w="1559" w:type="dxa"/>
            <w:vAlign w:val="center"/>
          </w:tcPr>
          <w:p w14:paraId="31247A16">
            <w:pPr>
              <w:pStyle w:val="29"/>
              <w:spacing w:line="240" w:lineRule="auto"/>
            </w:pPr>
            <w:r>
              <w:rPr>
                <w:rFonts w:hint="eastAsia"/>
              </w:rPr>
              <w:t>张</w:t>
            </w:r>
          </w:p>
        </w:tc>
        <w:tc>
          <w:tcPr>
            <w:tcW w:w="1661" w:type="dxa"/>
            <w:vAlign w:val="center"/>
          </w:tcPr>
          <w:p w14:paraId="5F6C6001">
            <w:pPr>
              <w:pStyle w:val="29"/>
              <w:spacing w:line="240" w:lineRule="auto"/>
            </w:pPr>
            <w:r>
              <w:t>9</w:t>
            </w:r>
          </w:p>
        </w:tc>
        <w:tc>
          <w:tcPr>
            <w:tcW w:w="3735" w:type="dxa"/>
            <w:vAlign w:val="center"/>
          </w:tcPr>
          <w:p w14:paraId="5BABE12D">
            <w:pPr>
              <w:pStyle w:val="29"/>
              <w:spacing w:line="240" w:lineRule="auto"/>
            </w:pPr>
            <w:r>
              <w:rPr>
                <w:rFonts w:hint="eastAsia"/>
              </w:rPr>
              <w:t>治理区主要特征部位</w:t>
            </w:r>
          </w:p>
        </w:tc>
      </w:tr>
    </w:tbl>
    <w:p w14:paraId="18AD5A49">
      <w:pPr>
        <w:ind w:firstLine="562"/>
        <w:rPr>
          <w:b/>
          <w:bCs/>
        </w:rPr>
      </w:pPr>
      <w:r>
        <w:rPr>
          <w:rFonts w:hint="eastAsia"/>
          <w:b/>
          <w:bCs/>
        </w:rPr>
        <w:t>三、工作质量评述</w:t>
      </w:r>
    </w:p>
    <w:p w14:paraId="4D6D4F67">
      <w:r>
        <w:rPr>
          <w:rFonts w:hint="eastAsia"/>
        </w:rPr>
        <w:t>对治理区进行了重点调查，查明了治理区及其外围环境地质条件、地质灾害分布现状以及可能对周边环境产生的危害及影响，资料收集较全面。野外调查方法采用路线调查法，以GPS卫星定位仪确定点位，调查点布设做到“总体布设、突出重点”，对地质灾害点进行逐点调查并拍摄照片。方案编制中，对野外调查成果进行了综合分析治理，总结归纳了治理区地质灾害特征和地质环境条件，外业调查完成的实物工作量、技术工作方法、精度均符合相关技术要求。可以满足室内报告编写和图件编制的需要。</w:t>
      </w:r>
    </w:p>
    <w:p w14:paraId="758BF4B0">
      <w:pPr>
        <w:pStyle w:val="3"/>
      </w:pPr>
      <w:bookmarkStart w:id="29" w:name="_Toc14855"/>
      <w:bookmarkStart w:id="30" w:name="_Toc3844"/>
      <w:bookmarkStart w:id="31" w:name="_Toc106400188"/>
      <w:bookmarkStart w:id="32" w:name="_Toc102927603"/>
      <w:bookmarkStart w:id="33" w:name="_Toc106400403"/>
      <w:r>
        <w:rPr>
          <w:rFonts w:hint="eastAsia"/>
        </w:rPr>
        <w:t>第五节  治理区概况</w:t>
      </w:r>
      <w:bookmarkEnd w:id="29"/>
      <w:bookmarkEnd w:id="30"/>
      <w:bookmarkEnd w:id="31"/>
      <w:bookmarkEnd w:id="32"/>
      <w:bookmarkEnd w:id="33"/>
    </w:p>
    <w:p w14:paraId="1536EEB7">
      <w:pPr>
        <w:ind w:firstLine="562"/>
        <w:rPr>
          <w:b/>
          <w:bCs/>
        </w:rPr>
      </w:pPr>
      <w:r>
        <w:rPr>
          <w:rFonts w:hint="eastAsia"/>
          <w:b/>
          <w:bCs/>
        </w:rPr>
        <w:t>一、治理区位置与交通</w:t>
      </w:r>
    </w:p>
    <w:p w14:paraId="77708FCF">
      <w:r>
        <w:rPr>
          <w:rFonts w:hint="eastAsia"/>
        </w:rPr>
        <w:t>治理区位于和布克赛尔蒙古自治县东南</w:t>
      </w:r>
      <w:r>
        <w:t>32</w:t>
      </w:r>
      <w:r>
        <w:rPr>
          <w:rFonts w:hint="eastAsia"/>
        </w:rPr>
        <w:t>km处，行政上隶属和布克赛尔蒙古自治县和什托洛盖镇管辖。</w:t>
      </w:r>
    </w:p>
    <w:p w14:paraId="3449F448">
      <w:r>
        <w:rPr>
          <w:rFonts w:hint="eastAsia"/>
        </w:rPr>
        <w:t>治理区内交通便利，距217国道仅6km，治理区中心点地理坐标：东经8</w:t>
      </w:r>
      <w:r>
        <w:t>5</w:t>
      </w:r>
      <w:r>
        <w:rPr>
          <w:rFonts w:hint="eastAsia"/>
        </w:rPr>
        <w:t>°</w:t>
      </w:r>
      <w:r>
        <w:t>58</w:t>
      </w:r>
      <w:r>
        <w:rPr>
          <w:rFonts w:hint="eastAsia"/>
        </w:rPr>
        <w:t>′02</w:t>
      </w:r>
      <w:r>
        <w:t>.06</w:t>
      </w:r>
      <w:r>
        <w:rPr>
          <w:rFonts w:hint="eastAsia"/>
        </w:rPr>
        <w:t>″，北纬46°</w:t>
      </w:r>
      <w:r>
        <w:t>33</w:t>
      </w:r>
      <w:r>
        <w:rPr>
          <w:rFonts w:hint="eastAsia"/>
        </w:rPr>
        <w:t>′</w:t>
      </w:r>
      <w:r>
        <w:t>26.98</w:t>
      </w:r>
      <w:r>
        <w:rPr>
          <w:rFonts w:hint="eastAsia"/>
        </w:rPr>
        <w:t>″。见图0</w:t>
      </w:r>
      <w:r>
        <w:t>-1</w:t>
      </w:r>
      <w:r>
        <w:rPr>
          <w:rFonts w:hint="eastAsia"/>
        </w:rPr>
        <w:t>交通位置图。</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2704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42D4035">
            <w:pPr>
              <w:spacing w:line="240" w:lineRule="auto"/>
              <w:ind w:firstLine="0" w:firstLineChars="0"/>
              <w:jc w:val="center"/>
              <w:rPr>
                <w:rFonts w:eastAsia="宋体"/>
              </w:rPr>
            </w:pPr>
            <w:r>
              <w:rPr>
                <w:rFonts w:hint="eastAsia"/>
              </w:rPr>
              <w:drawing>
                <wp:inline distT="0" distB="0" distL="0" distR="0">
                  <wp:extent cx="4549775" cy="5939790"/>
                  <wp:effectExtent l="0" t="0" r="3175" b="3810"/>
                  <wp:docPr id="18" name="图片 18" descr="交通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交通图"/>
                          <pic:cNvPicPr>
                            <a:picLocks noChangeAspect="1" noChangeArrowheads="1"/>
                          </pic:cNvPicPr>
                        </pic:nvPicPr>
                        <pic:blipFill>
                          <a:blip r:embed="rId14"/>
                          <a:srcRect r="603" b="10406"/>
                          <a:stretch>
                            <a:fillRect/>
                          </a:stretch>
                        </pic:blipFill>
                        <pic:spPr>
                          <a:xfrm>
                            <a:off x="0" y="0"/>
                            <a:ext cx="4550130" cy="5940000"/>
                          </a:xfrm>
                          <a:prstGeom prst="rect">
                            <a:avLst/>
                          </a:prstGeom>
                          <a:noFill/>
                          <a:ln>
                            <a:noFill/>
                          </a:ln>
                        </pic:spPr>
                      </pic:pic>
                    </a:graphicData>
                  </a:graphic>
                </wp:inline>
              </w:drawing>
            </w:r>
          </w:p>
        </w:tc>
      </w:tr>
      <w:tr w14:paraId="0F7B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012F5277">
            <w:pPr>
              <w:pStyle w:val="22"/>
              <w:ind w:firstLine="560"/>
            </w:pPr>
            <w:r>
              <w:rPr>
                <w:rFonts w:hint="eastAsia"/>
              </w:rPr>
              <w:t>图0-1  交通位置图</w:t>
            </w:r>
          </w:p>
        </w:tc>
      </w:tr>
    </w:tbl>
    <w:p w14:paraId="074C3083">
      <w:pPr>
        <w:ind w:firstLine="562"/>
        <w:rPr>
          <w:b/>
          <w:bCs/>
        </w:rPr>
      </w:pPr>
      <w:r>
        <w:rPr>
          <w:rFonts w:hint="eastAsia"/>
          <w:b/>
          <w:bCs/>
        </w:rPr>
        <w:t>二、治理区范围和面积</w:t>
      </w:r>
    </w:p>
    <w:p w14:paraId="10EDBD50">
      <w:r>
        <w:rPr>
          <w:rFonts w:hint="eastAsia"/>
        </w:rPr>
        <w:t>根据调查，治理区主要包括采坑、废料堆，结合治理区及周边情况，最终确定治理区面积为</w:t>
      </w:r>
      <w:r>
        <w:t>165202.6788</w:t>
      </w:r>
      <w:r>
        <w:rPr>
          <w:rFonts w:hint="eastAsia"/>
        </w:rPr>
        <w:t>平方米。（表0-2）</w:t>
      </w:r>
    </w:p>
    <w:p w14:paraId="0B846C3D">
      <w:pPr>
        <w:pStyle w:val="29"/>
      </w:pPr>
      <w:r>
        <w:rPr>
          <w:rFonts w:hint="eastAsia"/>
        </w:rPr>
        <w:t>治理区范围拐点坐标</w:t>
      </w:r>
      <w:r>
        <w:t xml:space="preserve"> </w:t>
      </w:r>
      <w:r>
        <w:rPr>
          <w:rFonts w:hint="eastAsia"/>
        </w:rPr>
        <w:t xml:space="preserve"> 表0-2</w:t>
      </w:r>
    </w:p>
    <w:tbl>
      <w:tblPr>
        <w:tblStyle w:val="13"/>
        <w:tblW w:w="8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3145"/>
        <w:gridCol w:w="3680"/>
      </w:tblGrid>
      <w:tr w14:paraId="3154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708" w:type="dxa"/>
            <w:vMerge w:val="restart"/>
            <w:shd w:val="clear" w:color="auto" w:fill="auto"/>
            <w:noWrap/>
            <w:vAlign w:val="center"/>
          </w:tcPr>
          <w:p w14:paraId="72390489">
            <w:pPr>
              <w:pStyle w:val="29"/>
              <w:spacing w:line="240" w:lineRule="auto"/>
              <w:rPr>
                <w:bCs/>
                <w:snapToGrid w:val="0"/>
                <w:kern w:val="0"/>
              </w:rPr>
            </w:pPr>
            <w:r>
              <w:rPr>
                <w:rFonts w:hint="eastAsia"/>
                <w:bCs/>
                <w:snapToGrid w:val="0"/>
                <w:kern w:val="0"/>
              </w:rPr>
              <w:t>拐点编号</w:t>
            </w:r>
          </w:p>
        </w:tc>
        <w:tc>
          <w:tcPr>
            <w:tcW w:w="6825" w:type="dxa"/>
            <w:gridSpan w:val="2"/>
            <w:shd w:val="clear" w:color="auto" w:fill="auto"/>
            <w:noWrap/>
            <w:vAlign w:val="center"/>
          </w:tcPr>
          <w:p w14:paraId="106FEFF3">
            <w:pPr>
              <w:pStyle w:val="29"/>
              <w:spacing w:line="240" w:lineRule="auto"/>
              <w:rPr>
                <w:bCs/>
                <w:snapToGrid w:val="0"/>
                <w:kern w:val="0"/>
              </w:rPr>
            </w:pPr>
            <w:r>
              <w:rPr>
                <w:rFonts w:hint="eastAsia"/>
                <w:bCs/>
                <w:snapToGrid w:val="0"/>
                <w:kern w:val="0"/>
              </w:rPr>
              <w:t>坐标（CGCS2000）</w:t>
            </w:r>
          </w:p>
        </w:tc>
      </w:tr>
      <w:tr w14:paraId="7425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1708" w:type="dxa"/>
            <w:vMerge w:val="continue"/>
            <w:vAlign w:val="center"/>
          </w:tcPr>
          <w:p w14:paraId="236E24BC">
            <w:pPr>
              <w:pStyle w:val="29"/>
              <w:spacing w:line="240" w:lineRule="auto"/>
              <w:rPr>
                <w:bCs/>
                <w:snapToGrid w:val="0"/>
                <w:kern w:val="0"/>
              </w:rPr>
            </w:pPr>
          </w:p>
        </w:tc>
        <w:tc>
          <w:tcPr>
            <w:tcW w:w="3145" w:type="dxa"/>
            <w:shd w:val="clear" w:color="auto" w:fill="auto"/>
            <w:noWrap/>
            <w:vAlign w:val="center"/>
          </w:tcPr>
          <w:p w14:paraId="538405C1">
            <w:pPr>
              <w:pStyle w:val="29"/>
              <w:spacing w:line="240" w:lineRule="auto"/>
              <w:rPr>
                <w:bCs/>
                <w:snapToGrid w:val="0"/>
                <w:kern w:val="0"/>
              </w:rPr>
            </w:pPr>
            <w:r>
              <w:rPr>
                <w:rFonts w:hint="eastAsia"/>
                <w:bCs/>
                <w:snapToGrid w:val="0"/>
                <w:kern w:val="0"/>
              </w:rPr>
              <w:t>X</w:t>
            </w:r>
          </w:p>
        </w:tc>
        <w:tc>
          <w:tcPr>
            <w:tcW w:w="3680" w:type="dxa"/>
            <w:shd w:val="clear" w:color="auto" w:fill="auto"/>
            <w:noWrap/>
            <w:vAlign w:val="center"/>
          </w:tcPr>
          <w:p w14:paraId="0ADDA591">
            <w:pPr>
              <w:pStyle w:val="29"/>
              <w:spacing w:line="240" w:lineRule="auto"/>
              <w:rPr>
                <w:bCs/>
                <w:snapToGrid w:val="0"/>
                <w:kern w:val="0"/>
              </w:rPr>
            </w:pPr>
            <w:r>
              <w:rPr>
                <w:rFonts w:hint="eastAsia"/>
                <w:bCs/>
                <w:snapToGrid w:val="0"/>
                <w:kern w:val="0"/>
              </w:rPr>
              <w:t>Y</w:t>
            </w:r>
          </w:p>
        </w:tc>
      </w:tr>
      <w:tr w14:paraId="5B18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708" w:type="dxa"/>
            <w:shd w:val="clear" w:color="auto" w:fill="auto"/>
            <w:noWrap/>
            <w:vAlign w:val="center"/>
          </w:tcPr>
          <w:p w14:paraId="59F0DF21">
            <w:pPr>
              <w:pStyle w:val="29"/>
              <w:spacing w:line="240" w:lineRule="auto"/>
              <w:rPr>
                <w:bCs/>
                <w:snapToGrid w:val="0"/>
                <w:kern w:val="0"/>
              </w:rPr>
            </w:pPr>
            <w:r>
              <w:rPr>
                <w:rFonts w:hint="eastAsia"/>
                <w:bCs/>
                <w:snapToGrid w:val="0"/>
                <w:kern w:val="0"/>
              </w:rPr>
              <w:t>1</w:t>
            </w:r>
          </w:p>
        </w:tc>
        <w:tc>
          <w:tcPr>
            <w:tcW w:w="3145" w:type="dxa"/>
            <w:shd w:val="clear" w:color="auto" w:fill="auto"/>
            <w:noWrap/>
            <w:vAlign w:val="center"/>
          </w:tcPr>
          <w:p w14:paraId="08ACE5E9">
            <w:pPr>
              <w:pStyle w:val="29"/>
              <w:spacing w:line="240" w:lineRule="auto"/>
              <w:rPr>
                <w:bCs/>
                <w:snapToGrid w:val="0"/>
                <w:kern w:val="0"/>
              </w:rPr>
            </w:pPr>
            <w:r>
              <w:rPr>
                <w:rFonts w:hint="eastAsia"/>
                <w:bCs/>
                <w:snapToGrid w:val="0"/>
                <w:kern w:val="0"/>
              </w:rPr>
              <w:t xml:space="preserve">5159004.035 </w:t>
            </w:r>
          </w:p>
        </w:tc>
        <w:tc>
          <w:tcPr>
            <w:tcW w:w="3680" w:type="dxa"/>
            <w:shd w:val="clear" w:color="auto" w:fill="auto"/>
            <w:noWrap/>
            <w:vAlign w:val="center"/>
          </w:tcPr>
          <w:p w14:paraId="6BFCC4DA">
            <w:pPr>
              <w:pStyle w:val="29"/>
              <w:spacing w:line="240" w:lineRule="auto"/>
              <w:rPr>
                <w:bCs/>
                <w:snapToGrid w:val="0"/>
                <w:kern w:val="0"/>
              </w:rPr>
            </w:pPr>
            <w:r>
              <w:rPr>
                <w:rFonts w:hint="eastAsia"/>
                <w:bCs/>
                <w:snapToGrid w:val="0"/>
                <w:kern w:val="0"/>
              </w:rPr>
              <w:t xml:space="preserve">420264.851 </w:t>
            </w:r>
          </w:p>
        </w:tc>
      </w:tr>
      <w:tr w14:paraId="6926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1708" w:type="dxa"/>
            <w:shd w:val="clear" w:color="auto" w:fill="auto"/>
            <w:noWrap/>
            <w:vAlign w:val="center"/>
          </w:tcPr>
          <w:p w14:paraId="63AF6444">
            <w:pPr>
              <w:pStyle w:val="29"/>
              <w:spacing w:line="240" w:lineRule="auto"/>
              <w:rPr>
                <w:bCs/>
                <w:snapToGrid w:val="0"/>
                <w:kern w:val="0"/>
              </w:rPr>
            </w:pPr>
            <w:r>
              <w:rPr>
                <w:rFonts w:hint="eastAsia"/>
                <w:bCs/>
                <w:snapToGrid w:val="0"/>
                <w:kern w:val="0"/>
              </w:rPr>
              <w:t>2</w:t>
            </w:r>
          </w:p>
        </w:tc>
        <w:tc>
          <w:tcPr>
            <w:tcW w:w="3145" w:type="dxa"/>
            <w:shd w:val="clear" w:color="auto" w:fill="auto"/>
            <w:noWrap/>
            <w:vAlign w:val="center"/>
          </w:tcPr>
          <w:p w14:paraId="5AA6734C">
            <w:pPr>
              <w:pStyle w:val="29"/>
              <w:spacing w:line="240" w:lineRule="auto"/>
              <w:rPr>
                <w:bCs/>
                <w:snapToGrid w:val="0"/>
                <w:kern w:val="0"/>
              </w:rPr>
            </w:pPr>
            <w:r>
              <w:rPr>
                <w:rFonts w:hint="eastAsia"/>
                <w:bCs/>
                <w:snapToGrid w:val="0"/>
                <w:kern w:val="0"/>
              </w:rPr>
              <w:t xml:space="preserve">5159003.185 </w:t>
            </w:r>
          </w:p>
        </w:tc>
        <w:tc>
          <w:tcPr>
            <w:tcW w:w="3680" w:type="dxa"/>
            <w:shd w:val="clear" w:color="auto" w:fill="auto"/>
            <w:noWrap/>
            <w:vAlign w:val="center"/>
          </w:tcPr>
          <w:p w14:paraId="3EA20858">
            <w:pPr>
              <w:pStyle w:val="29"/>
              <w:spacing w:line="240" w:lineRule="auto"/>
              <w:rPr>
                <w:bCs/>
                <w:snapToGrid w:val="0"/>
                <w:kern w:val="0"/>
              </w:rPr>
            </w:pPr>
            <w:r>
              <w:rPr>
                <w:rFonts w:hint="eastAsia"/>
                <w:bCs/>
                <w:snapToGrid w:val="0"/>
                <w:kern w:val="0"/>
              </w:rPr>
              <w:t xml:space="preserve">420258.762 </w:t>
            </w:r>
          </w:p>
        </w:tc>
      </w:tr>
      <w:tr w14:paraId="428E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176D747C">
            <w:pPr>
              <w:pStyle w:val="29"/>
              <w:spacing w:line="240" w:lineRule="auto"/>
              <w:rPr>
                <w:bCs/>
                <w:snapToGrid w:val="0"/>
                <w:kern w:val="0"/>
              </w:rPr>
            </w:pPr>
            <w:r>
              <w:rPr>
                <w:rFonts w:hint="eastAsia"/>
                <w:bCs/>
                <w:snapToGrid w:val="0"/>
                <w:kern w:val="0"/>
              </w:rPr>
              <w:t>3</w:t>
            </w:r>
          </w:p>
        </w:tc>
        <w:tc>
          <w:tcPr>
            <w:tcW w:w="3145" w:type="dxa"/>
            <w:shd w:val="clear" w:color="auto" w:fill="auto"/>
            <w:noWrap/>
            <w:vAlign w:val="center"/>
          </w:tcPr>
          <w:p w14:paraId="5D1A7463">
            <w:pPr>
              <w:pStyle w:val="29"/>
              <w:spacing w:line="240" w:lineRule="auto"/>
              <w:rPr>
                <w:bCs/>
                <w:snapToGrid w:val="0"/>
                <w:kern w:val="0"/>
              </w:rPr>
            </w:pPr>
            <w:r>
              <w:rPr>
                <w:rFonts w:hint="eastAsia"/>
                <w:bCs/>
                <w:snapToGrid w:val="0"/>
                <w:kern w:val="0"/>
              </w:rPr>
              <w:t xml:space="preserve">5158808.816 </w:t>
            </w:r>
          </w:p>
        </w:tc>
        <w:tc>
          <w:tcPr>
            <w:tcW w:w="3680" w:type="dxa"/>
            <w:shd w:val="clear" w:color="auto" w:fill="auto"/>
            <w:noWrap/>
            <w:vAlign w:val="center"/>
          </w:tcPr>
          <w:p w14:paraId="5AEFF4C5">
            <w:pPr>
              <w:pStyle w:val="29"/>
              <w:spacing w:line="240" w:lineRule="auto"/>
              <w:rPr>
                <w:bCs/>
                <w:snapToGrid w:val="0"/>
                <w:kern w:val="0"/>
              </w:rPr>
            </w:pPr>
            <w:r>
              <w:rPr>
                <w:rFonts w:hint="eastAsia"/>
                <w:bCs/>
                <w:snapToGrid w:val="0"/>
                <w:kern w:val="0"/>
              </w:rPr>
              <w:t xml:space="preserve">420180.146 </w:t>
            </w:r>
          </w:p>
        </w:tc>
      </w:tr>
      <w:tr w14:paraId="60B5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138EF82">
            <w:pPr>
              <w:pStyle w:val="29"/>
              <w:spacing w:line="240" w:lineRule="auto"/>
              <w:rPr>
                <w:bCs/>
                <w:snapToGrid w:val="0"/>
                <w:kern w:val="0"/>
              </w:rPr>
            </w:pPr>
            <w:r>
              <w:rPr>
                <w:rFonts w:hint="eastAsia"/>
                <w:bCs/>
                <w:snapToGrid w:val="0"/>
                <w:kern w:val="0"/>
              </w:rPr>
              <w:t>4</w:t>
            </w:r>
          </w:p>
        </w:tc>
        <w:tc>
          <w:tcPr>
            <w:tcW w:w="3145" w:type="dxa"/>
            <w:shd w:val="clear" w:color="auto" w:fill="auto"/>
            <w:noWrap/>
            <w:vAlign w:val="center"/>
          </w:tcPr>
          <w:p w14:paraId="604927D7">
            <w:pPr>
              <w:pStyle w:val="29"/>
              <w:spacing w:line="240" w:lineRule="auto"/>
              <w:rPr>
                <w:bCs/>
                <w:snapToGrid w:val="0"/>
                <w:kern w:val="0"/>
              </w:rPr>
            </w:pPr>
            <w:r>
              <w:rPr>
                <w:rFonts w:hint="eastAsia"/>
                <w:bCs/>
                <w:snapToGrid w:val="0"/>
                <w:kern w:val="0"/>
              </w:rPr>
              <w:t xml:space="preserve">5158782.881 </w:t>
            </w:r>
          </w:p>
        </w:tc>
        <w:tc>
          <w:tcPr>
            <w:tcW w:w="3680" w:type="dxa"/>
            <w:shd w:val="clear" w:color="auto" w:fill="auto"/>
            <w:noWrap/>
            <w:vAlign w:val="center"/>
          </w:tcPr>
          <w:p w14:paraId="718A463C">
            <w:pPr>
              <w:pStyle w:val="29"/>
              <w:spacing w:line="240" w:lineRule="auto"/>
              <w:rPr>
                <w:bCs/>
                <w:snapToGrid w:val="0"/>
                <w:kern w:val="0"/>
              </w:rPr>
            </w:pPr>
            <w:r>
              <w:rPr>
                <w:rFonts w:hint="eastAsia"/>
                <w:bCs/>
                <w:snapToGrid w:val="0"/>
                <w:kern w:val="0"/>
              </w:rPr>
              <w:t xml:space="preserve">420217.022 </w:t>
            </w:r>
          </w:p>
        </w:tc>
      </w:tr>
      <w:tr w14:paraId="75B5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27065B7A">
            <w:pPr>
              <w:pStyle w:val="29"/>
              <w:spacing w:line="240" w:lineRule="auto"/>
              <w:rPr>
                <w:bCs/>
                <w:snapToGrid w:val="0"/>
                <w:kern w:val="0"/>
              </w:rPr>
            </w:pPr>
            <w:r>
              <w:rPr>
                <w:rFonts w:hint="eastAsia"/>
                <w:bCs/>
                <w:snapToGrid w:val="0"/>
                <w:kern w:val="0"/>
              </w:rPr>
              <w:t>5</w:t>
            </w:r>
          </w:p>
        </w:tc>
        <w:tc>
          <w:tcPr>
            <w:tcW w:w="3145" w:type="dxa"/>
            <w:shd w:val="clear" w:color="auto" w:fill="auto"/>
            <w:noWrap/>
            <w:vAlign w:val="center"/>
          </w:tcPr>
          <w:p w14:paraId="39F01536">
            <w:pPr>
              <w:pStyle w:val="29"/>
              <w:spacing w:line="240" w:lineRule="auto"/>
              <w:rPr>
                <w:bCs/>
                <w:snapToGrid w:val="0"/>
                <w:kern w:val="0"/>
              </w:rPr>
            </w:pPr>
            <w:r>
              <w:rPr>
                <w:rFonts w:hint="eastAsia"/>
                <w:bCs/>
                <w:snapToGrid w:val="0"/>
                <w:kern w:val="0"/>
              </w:rPr>
              <w:t xml:space="preserve">5158792.606 </w:t>
            </w:r>
          </w:p>
        </w:tc>
        <w:tc>
          <w:tcPr>
            <w:tcW w:w="3680" w:type="dxa"/>
            <w:shd w:val="clear" w:color="auto" w:fill="auto"/>
            <w:noWrap/>
            <w:vAlign w:val="center"/>
          </w:tcPr>
          <w:p w14:paraId="4A6A93CE">
            <w:pPr>
              <w:pStyle w:val="29"/>
              <w:spacing w:line="240" w:lineRule="auto"/>
              <w:rPr>
                <w:bCs/>
                <w:snapToGrid w:val="0"/>
                <w:kern w:val="0"/>
              </w:rPr>
            </w:pPr>
            <w:r>
              <w:rPr>
                <w:rFonts w:hint="eastAsia"/>
                <w:bCs/>
                <w:snapToGrid w:val="0"/>
                <w:kern w:val="0"/>
              </w:rPr>
              <w:t xml:space="preserve">420275.016 </w:t>
            </w:r>
          </w:p>
        </w:tc>
      </w:tr>
      <w:tr w14:paraId="4B90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8" w:type="dxa"/>
            <w:shd w:val="clear" w:color="auto" w:fill="auto"/>
            <w:noWrap/>
            <w:vAlign w:val="center"/>
          </w:tcPr>
          <w:p w14:paraId="40E05DC5">
            <w:pPr>
              <w:pStyle w:val="29"/>
              <w:spacing w:line="240" w:lineRule="auto"/>
              <w:rPr>
                <w:bCs/>
                <w:snapToGrid w:val="0"/>
                <w:kern w:val="0"/>
              </w:rPr>
            </w:pPr>
            <w:r>
              <w:rPr>
                <w:rFonts w:hint="eastAsia"/>
                <w:bCs/>
                <w:snapToGrid w:val="0"/>
                <w:kern w:val="0"/>
              </w:rPr>
              <w:t>6</w:t>
            </w:r>
          </w:p>
        </w:tc>
        <w:tc>
          <w:tcPr>
            <w:tcW w:w="3145" w:type="dxa"/>
            <w:shd w:val="clear" w:color="auto" w:fill="auto"/>
            <w:noWrap/>
            <w:vAlign w:val="center"/>
          </w:tcPr>
          <w:p w14:paraId="7A7A239B">
            <w:pPr>
              <w:pStyle w:val="29"/>
              <w:spacing w:line="240" w:lineRule="auto"/>
              <w:rPr>
                <w:bCs/>
                <w:snapToGrid w:val="0"/>
                <w:kern w:val="0"/>
              </w:rPr>
            </w:pPr>
            <w:r>
              <w:rPr>
                <w:rFonts w:hint="eastAsia"/>
                <w:bCs/>
                <w:snapToGrid w:val="0"/>
                <w:kern w:val="0"/>
              </w:rPr>
              <w:t xml:space="preserve">5158570.138 </w:t>
            </w:r>
          </w:p>
        </w:tc>
        <w:tc>
          <w:tcPr>
            <w:tcW w:w="3680" w:type="dxa"/>
            <w:shd w:val="clear" w:color="auto" w:fill="auto"/>
            <w:noWrap/>
            <w:vAlign w:val="center"/>
          </w:tcPr>
          <w:p w14:paraId="3AB4F7BB">
            <w:pPr>
              <w:pStyle w:val="29"/>
              <w:spacing w:line="240" w:lineRule="auto"/>
              <w:rPr>
                <w:bCs/>
                <w:snapToGrid w:val="0"/>
                <w:kern w:val="0"/>
              </w:rPr>
            </w:pPr>
            <w:r>
              <w:rPr>
                <w:rFonts w:hint="eastAsia"/>
                <w:bCs/>
                <w:snapToGrid w:val="0"/>
                <w:kern w:val="0"/>
              </w:rPr>
              <w:t xml:space="preserve">420443.695 </w:t>
            </w:r>
          </w:p>
        </w:tc>
      </w:tr>
      <w:tr w14:paraId="08AF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04CAF866">
            <w:pPr>
              <w:pStyle w:val="29"/>
              <w:spacing w:line="240" w:lineRule="auto"/>
              <w:rPr>
                <w:bCs/>
                <w:snapToGrid w:val="0"/>
                <w:kern w:val="0"/>
              </w:rPr>
            </w:pPr>
            <w:r>
              <w:rPr>
                <w:rFonts w:hint="eastAsia"/>
                <w:bCs/>
                <w:snapToGrid w:val="0"/>
                <w:kern w:val="0"/>
              </w:rPr>
              <w:t>7</w:t>
            </w:r>
          </w:p>
        </w:tc>
        <w:tc>
          <w:tcPr>
            <w:tcW w:w="3145" w:type="dxa"/>
            <w:shd w:val="clear" w:color="auto" w:fill="auto"/>
            <w:noWrap/>
            <w:vAlign w:val="center"/>
          </w:tcPr>
          <w:p w14:paraId="79A81FC4">
            <w:pPr>
              <w:pStyle w:val="29"/>
              <w:spacing w:line="240" w:lineRule="auto"/>
              <w:rPr>
                <w:bCs/>
                <w:snapToGrid w:val="0"/>
                <w:kern w:val="0"/>
              </w:rPr>
            </w:pPr>
            <w:r>
              <w:rPr>
                <w:rFonts w:hint="eastAsia"/>
                <w:bCs/>
                <w:snapToGrid w:val="0"/>
                <w:kern w:val="0"/>
              </w:rPr>
              <w:t xml:space="preserve">5158452.026 </w:t>
            </w:r>
          </w:p>
        </w:tc>
        <w:tc>
          <w:tcPr>
            <w:tcW w:w="3680" w:type="dxa"/>
            <w:shd w:val="clear" w:color="auto" w:fill="auto"/>
            <w:noWrap/>
            <w:vAlign w:val="center"/>
          </w:tcPr>
          <w:p w14:paraId="41D7A3AE">
            <w:pPr>
              <w:pStyle w:val="29"/>
              <w:spacing w:line="240" w:lineRule="auto"/>
              <w:rPr>
                <w:bCs/>
                <w:snapToGrid w:val="0"/>
                <w:kern w:val="0"/>
              </w:rPr>
            </w:pPr>
            <w:r>
              <w:rPr>
                <w:rFonts w:hint="eastAsia"/>
                <w:bCs/>
                <w:snapToGrid w:val="0"/>
                <w:kern w:val="0"/>
              </w:rPr>
              <w:t xml:space="preserve">420470.381 </w:t>
            </w:r>
          </w:p>
        </w:tc>
      </w:tr>
      <w:tr w14:paraId="46BC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414EE0AC">
            <w:pPr>
              <w:pStyle w:val="29"/>
              <w:spacing w:line="240" w:lineRule="auto"/>
              <w:rPr>
                <w:bCs/>
                <w:snapToGrid w:val="0"/>
                <w:kern w:val="0"/>
              </w:rPr>
            </w:pPr>
            <w:r>
              <w:rPr>
                <w:rFonts w:hint="eastAsia"/>
                <w:bCs/>
                <w:snapToGrid w:val="0"/>
                <w:kern w:val="0"/>
              </w:rPr>
              <w:t>8</w:t>
            </w:r>
          </w:p>
        </w:tc>
        <w:tc>
          <w:tcPr>
            <w:tcW w:w="3145" w:type="dxa"/>
            <w:shd w:val="clear" w:color="auto" w:fill="auto"/>
            <w:noWrap/>
            <w:vAlign w:val="center"/>
          </w:tcPr>
          <w:p w14:paraId="0A0DFB15">
            <w:pPr>
              <w:pStyle w:val="29"/>
              <w:spacing w:line="240" w:lineRule="auto"/>
              <w:rPr>
                <w:bCs/>
                <w:snapToGrid w:val="0"/>
                <w:kern w:val="0"/>
              </w:rPr>
            </w:pPr>
            <w:r>
              <w:rPr>
                <w:rFonts w:hint="eastAsia"/>
                <w:bCs/>
                <w:snapToGrid w:val="0"/>
                <w:kern w:val="0"/>
              </w:rPr>
              <w:t xml:space="preserve">5158353.731 </w:t>
            </w:r>
          </w:p>
        </w:tc>
        <w:tc>
          <w:tcPr>
            <w:tcW w:w="3680" w:type="dxa"/>
            <w:shd w:val="clear" w:color="auto" w:fill="auto"/>
            <w:noWrap/>
            <w:vAlign w:val="center"/>
          </w:tcPr>
          <w:p w14:paraId="55660AE0">
            <w:pPr>
              <w:pStyle w:val="29"/>
              <w:spacing w:line="240" w:lineRule="auto"/>
              <w:rPr>
                <w:bCs/>
                <w:snapToGrid w:val="0"/>
                <w:kern w:val="0"/>
              </w:rPr>
            </w:pPr>
            <w:r>
              <w:rPr>
                <w:rFonts w:hint="eastAsia"/>
                <w:bCs/>
                <w:snapToGrid w:val="0"/>
                <w:kern w:val="0"/>
              </w:rPr>
              <w:t xml:space="preserve">420413.817 </w:t>
            </w:r>
          </w:p>
        </w:tc>
      </w:tr>
      <w:tr w14:paraId="2EE6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3A3F2707">
            <w:pPr>
              <w:pStyle w:val="29"/>
              <w:spacing w:line="240" w:lineRule="auto"/>
              <w:rPr>
                <w:bCs/>
                <w:snapToGrid w:val="0"/>
                <w:kern w:val="0"/>
              </w:rPr>
            </w:pPr>
            <w:r>
              <w:rPr>
                <w:rFonts w:hint="eastAsia"/>
                <w:bCs/>
                <w:snapToGrid w:val="0"/>
                <w:kern w:val="0"/>
              </w:rPr>
              <w:t>9</w:t>
            </w:r>
          </w:p>
        </w:tc>
        <w:tc>
          <w:tcPr>
            <w:tcW w:w="3145" w:type="dxa"/>
            <w:shd w:val="clear" w:color="auto" w:fill="auto"/>
            <w:noWrap/>
            <w:vAlign w:val="center"/>
          </w:tcPr>
          <w:p w14:paraId="23C913A2">
            <w:pPr>
              <w:pStyle w:val="29"/>
              <w:spacing w:line="240" w:lineRule="auto"/>
              <w:rPr>
                <w:bCs/>
                <w:snapToGrid w:val="0"/>
                <w:kern w:val="0"/>
              </w:rPr>
            </w:pPr>
            <w:r>
              <w:rPr>
                <w:rFonts w:hint="eastAsia"/>
                <w:bCs/>
                <w:snapToGrid w:val="0"/>
                <w:kern w:val="0"/>
              </w:rPr>
              <w:t xml:space="preserve">5158272.964 </w:t>
            </w:r>
          </w:p>
        </w:tc>
        <w:tc>
          <w:tcPr>
            <w:tcW w:w="3680" w:type="dxa"/>
            <w:shd w:val="clear" w:color="auto" w:fill="auto"/>
            <w:noWrap/>
            <w:vAlign w:val="center"/>
          </w:tcPr>
          <w:p w14:paraId="7402EA64">
            <w:pPr>
              <w:pStyle w:val="29"/>
              <w:spacing w:line="240" w:lineRule="auto"/>
              <w:rPr>
                <w:bCs/>
                <w:snapToGrid w:val="0"/>
                <w:kern w:val="0"/>
              </w:rPr>
            </w:pPr>
            <w:r>
              <w:rPr>
                <w:rFonts w:hint="eastAsia"/>
                <w:bCs/>
                <w:snapToGrid w:val="0"/>
                <w:kern w:val="0"/>
              </w:rPr>
              <w:t xml:space="preserve">420442.245 </w:t>
            </w:r>
          </w:p>
        </w:tc>
      </w:tr>
      <w:tr w14:paraId="183F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D6688AB">
            <w:pPr>
              <w:pStyle w:val="29"/>
              <w:spacing w:line="240" w:lineRule="auto"/>
              <w:rPr>
                <w:bCs/>
                <w:snapToGrid w:val="0"/>
                <w:kern w:val="0"/>
              </w:rPr>
            </w:pPr>
            <w:r>
              <w:rPr>
                <w:rFonts w:hint="eastAsia"/>
                <w:bCs/>
                <w:snapToGrid w:val="0"/>
                <w:kern w:val="0"/>
              </w:rPr>
              <w:t>10</w:t>
            </w:r>
          </w:p>
        </w:tc>
        <w:tc>
          <w:tcPr>
            <w:tcW w:w="3145" w:type="dxa"/>
            <w:shd w:val="clear" w:color="auto" w:fill="auto"/>
            <w:noWrap/>
            <w:vAlign w:val="center"/>
          </w:tcPr>
          <w:p w14:paraId="11960AA6">
            <w:pPr>
              <w:pStyle w:val="29"/>
              <w:spacing w:line="240" w:lineRule="auto"/>
              <w:rPr>
                <w:bCs/>
                <w:snapToGrid w:val="0"/>
                <w:kern w:val="0"/>
              </w:rPr>
            </w:pPr>
            <w:r>
              <w:rPr>
                <w:rFonts w:hint="eastAsia"/>
                <w:bCs/>
                <w:snapToGrid w:val="0"/>
                <w:kern w:val="0"/>
              </w:rPr>
              <w:t xml:space="preserve">5158185.142 </w:t>
            </w:r>
          </w:p>
        </w:tc>
        <w:tc>
          <w:tcPr>
            <w:tcW w:w="3680" w:type="dxa"/>
            <w:shd w:val="clear" w:color="auto" w:fill="auto"/>
            <w:noWrap/>
            <w:vAlign w:val="center"/>
          </w:tcPr>
          <w:p w14:paraId="442345F7">
            <w:pPr>
              <w:pStyle w:val="29"/>
              <w:spacing w:line="240" w:lineRule="auto"/>
              <w:rPr>
                <w:bCs/>
                <w:snapToGrid w:val="0"/>
                <w:kern w:val="0"/>
              </w:rPr>
            </w:pPr>
            <w:r>
              <w:rPr>
                <w:rFonts w:hint="eastAsia"/>
                <w:bCs/>
                <w:snapToGrid w:val="0"/>
                <w:kern w:val="0"/>
              </w:rPr>
              <w:t xml:space="preserve">420514.144 </w:t>
            </w:r>
          </w:p>
        </w:tc>
      </w:tr>
      <w:tr w14:paraId="39AC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7CFC749">
            <w:pPr>
              <w:pStyle w:val="29"/>
              <w:spacing w:line="240" w:lineRule="auto"/>
              <w:rPr>
                <w:bCs/>
                <w:snapToGrid w:val="0"/>
                <w:kern w:val="0"/>
              </w:rPr>
            </w:pPr>
            <w:r>
              <w:rPr>
                <w:rFonts w:hint="eastAsia"/>
                <w:bCs/>
                <w:snapToGrid w:val="0"/>
                <w:kern w:val="0"/>
              </w:rPr>
              <w:t>11</w:t>
            </w:r>
          </w:p>
        </w:tc>
        <w:tc>
          <w:tcPr>
            <w:tcW w:w="3145" w:type="dxa"/>
            <w:shd w:val="clear" w:color="auto" w:fill="auto"/>
            <w:noWrap/>
            <w:vAlign w:val="center"/>
          </w:tcPr>
          <w:p w14:paraId="291D344E">
            <w:pPr>
              <w:pStyle w:val="29"/>
              <w:spacing w:line="240" w:lineRule="auto"/>
              <w:rPr>
                <w:bCs/>
                <w:snapToGrid w:val="0"/>
                <w:kern w:val="0"/>
              </w:rPr>
            </w:pPr>
            <w:r>
              <w:rPr>
                <w:rFonts w:hint="eastAsia"/>
                <w:bCs/>
                <w:snapToGrid w:val="0"/>
                <w:kern w:val="0"/>
              </w:rPr>
              <w:t xml:space="preserve">5158050.869 </w:t>
            </w:r>
          </w:p>
        </w:tc>
        <w:tc>
          <w:tcPr>
            <w:tcW w:w="3680" w:type="dxa"/>
            <w:shd w:val="clear" w:color="auto" w:fill="auto"/>
            <w:noWrap/>
            <w:vAlign w:val="center"/>
          </w:tcPr>
          <w:p w14:paraId="606C66AE">
            <w:pPr>
              <w:pStyle w:val="29"/>
              <w:spacing w:line="240" w:lineRule="auto"/>
              <w:rPr>
                <w:bCs/>
                <w:snapToGrid w:val="0"/>
                <w:kern w:val="0"/>
              </w:rPr>
            </w:pPr>
            <w:r>
              <w:rPr>
                <w:rFonts w:hint="eastAsia"/>
                <w:bCs/>
                <w:snapToGrid w:val="0"/>
                <w:kern w:val="0"/>
              </w:rPr>
              <w:t xml:space="preserve">420717.608 </w:t>
            </w:r>
          </w:p>
        </w:tc>
      </w:tr>
      <w:tr w14:paraId="4A4A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195FEA24">
            <w:pPr>
              <w:pStyle w:val="29"/>
              <w:spacing w:line="240" w:lineRule="auto"/>
              <w:rPr>
                <w:bCs/>
                <w:snapToGrid w:val="0"/>
                <w:kern w:val="0"/>
              </w:rPr>
            </w:pPr>
            <w:r>
              <w:rPr>
                <w:rFonts w:hint="eastAsia"/>
                <w:bCs/>
                <w:snapToGrid w:val="0"/>
                <w:kern w:val="0"/>
              </w:rPr>
              <w:t>12</w:t>
            </w:r>
          </w:p>
        </w:tc>
        <w:tc>
          <w:tcPr>
            <w:tcW w:w="3145" w:type="dxa"/>
            <w:shd w:val="clear" w:color="auto" w:fill="auto"/>
            <w:noWrap/>
            <w:vAlign w:val="center"/>
          </w:tcPr>
          <w:p w14:paraId="0FA63635">
            <w:pPr>
              <w:pStyle w:val="29"/>
              <w:spacing w:line="240" w:lineRule="auto"/>
              <w:rPr>
                <w:bCs/>
                <w:snapToGrid w:val="0"/>
                <w:kern w:val="0"/>
              </w:rPr>
            </w:pPr>
            <w:r>
              <w:rPr>
                <w:rFonts w:hint="eastAsia"/>
                <w:bCs/>
                <w:snapToGrid w:val="0"/>
                <w:kern w:val="0"/>
              </w:rPr>
              <w:t xml:space="preserve">5158116.169 </w:t>
            </w:r>
          </w:p>
        </w:tc>
        <w:tc>
          <w:tcPr>
            <w:tcW w:w="3680" w:type="dxa"/>
            <w:shd w:val="clear" w:color="auto" w:fill="auto"/>
            <w:noWrap/>
            <w:vAlign w:val="center"/>
          </w:tcPr>
          <w:p w14:paraId="767A3B89">
            <w:pPr>
              <w:pStyle w:val="29"/>
              <w:spacing w:line="240" w:lineRule="auto"/>
              <w:rPr>
                <w:bCs/>
                <w:snapToGrid w:val="0"/>
                <w:kern w:val="0"/>
              </w:rPr>
            </w:pPr>
            <w:r>
              <w:rPr>
                <w:rFonts w:hint="eastAsia"/>
                <w:bCs/>
                <w:snapToGrid w:val="0"/>
                <w:kern w:val="0"/>
              </w:rPr>
              <w:t xml:space="preserve">420710.266 </w:t>
            </w:r>
          </w:p>
        </w:tc>
      </w:tr>
      <w:tr w14:paraId="0BE6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35344B58">
            <w:pPr>
              <w:pStyle w:val="29"/>
              <w:spacing w:line="240" w:lineRule="auto"/>
              <w:rPr>
                <w:bCs/>
                <w:snapToGrid w:val="0"/>
                <w:kern w:val="0"/>
              </w:rPr>
            </w:pPr>
            <w:r>
              <w:rPr>
                <w:rFonts w:hint="eastAsia"/>
                <w:bCs/>
                <w:snapToGrid w:val="0"/>
                <w:kern w:val="0"/>
              </w:rPr>
              <w:t>13</w:t>
            </w:r>
          </w:p>
        </w:tc>
        <w:tc>
          <w:tcPr>
            <w:tcW w:w="3145" w:type="dxa"/>
            <w:shd w:val="clear" w:color="auto" w:fill="auto"/>
            <w:noWrap/>
            <w:vAlign w:val="center"/>
          </w:tcPr>
          <w:p w14:paraId="323B4D88">
            <w:pPr>
              <w:pStyle w:val="29"/>
              <w:spacing w:line="240" w:lineRule="auto"/>
              <w:rPr>
                <w:bCs/>
                <w:snapToGrid w:val="0"/>
                <w:kern w:val="0"/>
              </w:rPr>
            </w:pPr>
            <w:r>
              <w:rPr>
                <w:rFonts w:hint="eastAsia"/>
                <w:bCs/>
                <w:snapToGrid w:val="0"/>
                <w:kern w:val="0"/>
              </w:rPr>
              <w:t xml:space="preserve">5158322.018 </w:t>
            </w:r>
          </w:p>
        </w:tc>
        <w:tc>
          <w:tcPr>
            <w:tcW w:w="3680" w:type="dxa"/>
            <w:shd w:val="clear" w:color="auto" w:fill="auto"/>
            <w:noWrap/>
            <w:vAlign w:val="center"/>
          </w:tcPr>
          <w:p w14:paraId="281A16BA">
            <w:pPr>
              <w:pStyle w:val="29"/>
              <w:spacing w:line="240" w:lineRule="auto"/>
              <w:rPr>
                <w:bCs/>
                <w:snapToGrid w:val="0"/>
                <w:kern w:val="0"/>
              </w:rPr>
            </w:pPr>
            <w:r>
              <w:rPr>
                <w:rFonts w:hint="eastAsia"/>
                <w:bCs/>
                <w:snapToGrid w:val="0"/>
                <w:kern w:val="0"/>
              </w:rPr>
              <w:t xml:space="preserve">420699.256 </w:t>
            </w:r>
          </w:p>
        </w:tc>
      </w:tr>
      <w:tr w14:paraId="506B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289C1C6B">
            <w:pPr>
              <w:pStyle w:val="29"/>
              <w:spacing w:line="240" w:lineRule="auto"/>
              <w:rPr>
                <w:bCs/>
                <w:snapToGrid w:val="0"/>
                <w:kern w:val="0"/>
              </w:rPr>
            </w:pPr>
            <w:r>
              <w:rPr>
                <w:rFonts w:hint="eastAsia"/>
                <w:bCs/>
                <w:snapToGrid w:val="0"/>
                <w:kern w:val="0"/>
              </w:rPr>
              <w:t>14</w:t>
            </w:r>
          </w:p>
        </w:tc>
        <w:tc>
          <w:tcPr>
            <w:tcW w:w="3145" w:type="dxa"/>
            <w:shd w:val="clear" w:color="auto" w:fill="auto"/>
            <w:noWrap/>
            <w:vAlign w:val="center"/>
          </w:tcPr>
          <w:p w14:paraId="07FB08F2">
            <w:pPr>
              <w:pStyle w:val="29"/>
              <w:spacing w:line="240" w:lineRule="auto"/>
              <w:rPr>
                <w:bCs/>
                <w:snapToGrid w:val="0"/>
                <w:kern w:val="0"/>
              </w:rPr>
            </w:pPr>
            <w:r>
              <w:rPr>
                <w:rFonts w:hint="eastAsia"/>
                <w:bCs/>
                <w:snapToGrid w:val="0"/>
                <w:kern w:val="0"/>
              </w:rPr>
              <w:t xml:space="preserve">5158560.059 </w:t>
            </w:r>
          </w:p>
        </w:tc>
        <w:tc>
          <w:tcPr>
            <w:tcW w:w="3680" w:type="dxa"/>
            <w:shd w:val="clear" w:color="auto" w:fill="auto"/>
            <w:noWrap/>
            <w:vAlign w:val="center"/>
          </w:tcPr>
          <w:p w14:paraId="4492D7BF">
            <w:pPr>
              <w:pStyle w:val="29"/>
              <w:spacing w:line="240" w:lineRule="auto"/>
              <w:rPr>
                <w:bCs/>
                <w:snapToGrid w:val="0"/>
                <w:kern w:val="0"/>
              </w:rPr>
            </w:pPr>
            <w:r>
              <w:rPr>
                <w:rFonts w:hint="eastAsia"/>
                <w:bCs/>
                <w:snapToGrid w:val="0"/>
                <w:kern w:val="0"/>
              </w:rPr>
              <w:t xml:space="preserve">420712.177 </w:t>
            </w:r>
          </w:p>
        </w:tc>
      </w:tr>
      <w:tr w14:paraId="169B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4BA0958B">
            <w:pPr>
              <w:pStyle w:val="29"/>
              <w:spacing w:line="240" w:lineRule="auto"/>
              <w:rPr>
                <w:bCs/>
                <w:snapToGrid w:val="0"/>
                <w:kern w:val="0"/>
              </w:rPr>
            </w:pPr>
            <w:r>
              <w:rPr>
                <w:rFonts w:hint="eastAsia"/>
                <w:bCs/>
                <w:snapToGrid w:val="0"/>
                <w:kern w:val="0"/>
              </w:rPr>
              <w:t>15</w:t>
            </w:r>
          </w:p>
        </w:tc>
        <w:tc>
          <w:tcPr>
            <w:tcW w:w="3145" w:type="dxa"/>
            <w:shd w:val="clear" w:color="auto" w:fill="auto"/>
            <w:noWrap/>
            <w:vAlign w:val="center"/>
          </w:tcPr>
          <w:p w14:paraId="6A95C3DE">
            <w:pPr>
              <w:pStyle w:val="29"/>
              <w:spacing w:line="240" w:lineRule="auto"/>
              <w:rPr>
                <w:bCs/>
                <w:snapToGrid w:val="0"/>
                <w:kern w:val="0"/>
              </w:rPr>
            </w:pPr>
            <w:r>
              <w:rPr>
                <w:rFonts w:hint="eastAsia"/>
                <w:bCs/>
                <w:snapToGrid w:val="0"/>
                <w:kern w:val="0"/>
              </w:rPr>
              <w:t xml:space="preserve">5158618.760 </w:t>
            </w:r>
          </w:p>
        </w:tc>
        <w:tc>
          <w:tcPr>
            <w:tcW w:w="3680" w:type="dxa"/>
            <w:shd w:val="clear" w:color="auto" w:fill="auto"/>
            <w:noWrap/>
            <w:vAlign w:val="center"/>
          </w:tcPr>
          <w:p w14:paraId="0E881BB4">
            <w:pPr>
              <w:pStyle w:val="29"/>
              <w:spacing w:line="240" w:lineRule="auto"/>
              <w:rPr>
                <w:bCs/>
                <w:snapToGrid w:val="0"/>
                <w:kern w:val="0"/>
              </w:rPr>
            </w:pPr>
            <w:r>
              <w:rPr>
                <w:rFonts w:hint="eastAsia"/>
                <w:bCs/>
                <w:snapToGrid w:val="0"/>
                <w:kern w:val="0"/>
              </w:rPr>
              <w:t xml:space="preserve">420549.003 </w:t>
            </w:r>
          </w:p>
        </w:tc>
      </w:tr>
      <w:tr w14:paraId="7D31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708" w:type="dxa"/>
            <w:shd w:val="clear" w:color="auto" w:fill="auto"/>
            <w:noWrap/>
            <w:vAlign w:val="center"/>
          </w:tcPr>
          <w:p w14:paraId="685B8941">
            <w:pPr>
              <w:pStyle w:val="29"/>
              <w:spacing w:line="240" w:lineRule="auto"/>
              <w:rPr>
                <w:bCs/>
                <w:snapToGrid w:val="0"/>
                <w:kern w:val="0"/>
              </w:rPr>
            </w:pPr>
            <w:r>
              <w:rPr>
                <w:rFonts w:hint="eastAsia"/>
                <w:bCs/>
                <w:snapToGrid w:val="0"/>
                <w:kern w:val="0"/>
              </w:rPr>
              <w:t>16</w:t>
            </w:r>
          </w:p>
        </w:tc>
        <w:tc>
          <w:tcPr>
            <w:tcW w:w="3145" w:type="dxa"/>
            <w:shd w:val="clear" w:color="auto" w:fill="auto"/>
            <w:noWrap/>
            <w:vAlign w:val="center"/>
          </w:tcPr>
          <w:p w14:paraId="1AAD7674">
            <w:pPr>
              <w:pStyle w:val="29"/>
              <w:spacing w:line="240" w:lineRule="auto"/>
              <w:rPr>
                <w:bCs/>
                <w:snapToGrid w:val="0"/>
                <w:kern w:val="0"/>
              </w:rPr>
            </w:pPr>
            <w:r>
              <w:rPr>
                <w:rFonts w:hint="eastAsia"/>
                <w:bCs/>
                <w:snapToGrid w:val="0"/>
                <w:kern w:val="0"/>
              </w:rPr>
              <w:t xml:space="preserve">5158680.379 </w:t>
            </w:r>
          </w:p>
        </w:tc>
        <w:tc>
          <w:tcPr>
            <w:tcW w:w="3680" w:type="dxa"/>
            <w:shd w:val="clear" w:color="auto" w:fill="auto"/>
            <w:noWrap/>
            <w:vAlign w:val="center"/>
          </w:tcPr>
          <w:p w14:paraId="0BA612F1">
            <w:pPr>
              <w:pStyle w:val="29"/>
              <w:spacing w:line="240" w:lineRule="auto"/>
              <w:rPr>
                <w:bCs/>
                <w:snapToGrid w:val="0"/>
                <w:kern w:val="0"/>
              </w:rPr>
            </w:pPr>
            <w:r>
              <w:rPr>
                <w:rFonts w:hint="eastAsia"/>
                <w:bCs/>
                <w:snapToGrid w:val="0"/>
                <w:kern w:val="0"/>
              </w:rPr>
              <w:t xml:space="preserve">420537.189 </w:t>
            </w:r>
          </w:p>
        </w:tc>
      </w:tr>
      <w:tr w14:paraId="5D8A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7D76039">
            <w:pPr>
              <w:pStyle w:val="29"/>
              <w:spacing w:line="240" w:lineRule="auto"/>
              <w:rPr>
                <w:bCs/>
                <w:snapToGrid w:val="0"/>
                <w:kern w:val="0"/>
              </w:rPr>
            </w:pPr>
            <w:r>
              <w:rPr>
                <w:rFonts w:hint="eastAsia"/>
                <w:bCs/>
                <w:snapToGrid w:val="0"/>
                <w:kern w:val="0"/>
              </w:rPr>
              <w:t>17</w:t>
            </w:r>
          </w:p>
        </w:tc>
        <w:tc>
          <w:tcPr>
            <w:tcW w:w="3145" w:type="dxa"/>
            <w:shd w:val="clear" w:color="auto" w:fill="auto"/>
            <w:noWrap/>
            <w:vAlign w:val="center"/>
          </w:tcPr>
          <w:p w14:paraId="4C936284">
            <w:pPr>
              <w:pStyle w:val="29"/>
              <w:spacing w:line="240" w:lineRule="auto"/>
              <w:rPr>
                <w:bCs/>
                <w:snapToGrid w:val="0"/>
                <w:kern w:val="0"/>
              </w:rPr>
            </w:pPr>
            <w:r>
              <w:rPr>
                <w:rFonts w:hint="eastAsia"/>
                <w:bCs/>
                <w:snapToGrid w:val="0"/>
                <w:kern w:val="0"/>
              </w:rPr>
              <w:t xml:space="preserve">5158740.495 </w:t>
            </w:r>
          </w:p>
        </w:tc>
        <w:tc>
          <w:tcPr>
            <w:tcW w:w="3680" w:type="dxa"/>
            <w:shd w:val="clear" w:color="auto" w:fill="auto"/>
            <w:noWrap/>
            <w:vAlign w:val="center"/>
          </w:tcPr>
          <w:p w14:paraId="4D374CCD">
            <w:pPr>
              <w:pStyle w:val="29"/>
              <w:spacing w:line="240" w:lineRule="auto"/>
              <w:rPr>
                <w:bCs/>
                <w:snapToGrid w:val="0"/>
                <w:kern w:val="0"/>
              </w:rPr>
            </w:pPr>
            <w:r>
              <w:rPr>
                <w:rFonts w:hint="eastAsia"/>
                <w:bCs/>
                <w:snapToGrid w:val="0"/>
                <w:kern w:val="0"/>
              </w:rPr>
              <w:t xml:space="preserve">420445.294 </w:t>
            </w:r>
          </w:p>
        </w:tc>
      </w:tr>
      <w:tr w14:paraId="4B0E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193C4372">
            <w:pPr>
              <w:pStyle w:val="29"/>
              <w:spacing w:line="240" w:lineRule="auto"/>
              <w:rPr>
                <w:bCs/>
                <w:snapToGrid w:val="0"/>
                <w:kern w:val="0"/>
              </w:rPr>
            </w:pPr>
            <w:r>
              <w:rPr>
                <w:rFonts w:hint="eastAsia"/>
                <w:bCs/>
                <w:snapToGrid w:val="0"/>
                <w:kern w:val="0"/>
              </w:rPr>
              <w:t>18</w:t>
            </w:r>
          </w:p>
        </w:tc>
        <w:tc>
          <w:tcPr>
            <w:tcW w:w="3145" w:type="dxa"/>
            <w:shd w:val="clear" w:color="auto" w:fill="auto"/>
            <w:noWrap/>
            <w:vAlign w:val="center"/>
          </w:tcPr>
          <w:p w14:paraId="37F41C98">
            <w:pPr>
              <w:pStyle w:val="29"/>
              <w:spacing w:line="240" w:lineRule="auto"/>
              <w:rPr>
                <w:bCs/>
                <w:snapToGrid w:val="0"/>
                <w:kern w:val="0"/>
              </w:rPr>
            </w:pPr>
            <w:r>
              <w:rPr>
                <w:rFonts w:hint="eastAsia"/>
                <w:bCs/>
                <w:snapToGrid w:val="0"/>
                <w:kern w:val="0"/>
              </w:rPr>
              <w:t xml:space="preserve">5158752.202 </w:t>
            </w:r>
          </w:p>
        </w:tc>
        <w:tc>
          <w:tcPr>
            <w:tcW w:w="3680" w:type="dxa"/>
            <w:shd w:val="clear" w:color="auto" w:fill="auto"/>
            <w:noWrap/>
            <w:vAlign w:val="center"/>
          </w:tcPr>
          <w:p w14:paraId="2AF9C531">
            <w:pPr>
              <w:pStyle w:val="29"/>
              <w:spacing w:line="240" w:lineRule="auto"/>
              <w:rPr>
                <w:bCs/>
                <w:snapToGrid w:val="0"/>
                <w:kern w:val="0"/>
              </w:rPr>
            </w:pPr>
            <w:r>
              <w:rPr>
                <w:rFonts w:hint="eastAsia"/>
                <w:bCs/>
                <w:snapToGrid w:val="0"/>
                <w:kern w:val="0"/>
              </w:rPr>
              <w:t xml:space="preserve">420350.614 </w:t>
            </w:r>
          </w:p>
        </w:tc>
      </w:tr>
      <w:tr w14:paraId="1676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0EAA3223">
            <w:pPr>
              <w:pStyle w:val="29"/>
              <w:spacing w:line="240" w:lineRule="auto"/>
              <w:rPr>
                <w:bCs/>
                <w:snapToGrid w:val="0"/>
                <w:kern w:val="0"/>
              </w:rPr>
            </w:pPr>
            <w:r>
              <w:rPr>
                <w:rFonts w:hint="eastAsia"/>
                <w:bCs/>
                <w:snapToGrid w:val="0"/>
                <w:kern w:val="0"/>
              </w:rPr>
              <w:t>19</w:t>
            </w:r>
          </w:p>
        </w:tc>
        <w:tc>
          <w:tcPr>
            <w:tcW w:w="3145" w:type="dxa"/>
            <w:shd w:val="clear" w:color="auto" w:fill="auto"/>
            <w:noWrap/>
            <w:vAlign w:val="center"/>
          </w:tcPr>
          <w:p w14:paraId="32520F9B">
            <w:pPr>
              <w:pStyle w:val="29"/>
              <w:spacing w:line="240" w:lineRule="auto"/>
              <w:rPr>
                <w:bCs/>
                <w:snapToGrid w:val="0"/>
                <w:kern w:val="0"/>
              </w:rPr>
            </w:pPr>
            <w:r>
              <w:rPr>
                <w:rFonts w:hint="eastAsia"/>
                <w:bCs/>
                <w:snapToGrid w:val="0"/>
                <w:kern w:val="0"/>
              </w:rPr>
              <w:t xml:space="preserve">5158787.682 </w:t>
            </w:r>
          </w:p>
        </w:tc>
        <w:tc>
          <w:tcPr>
            <w:tcW w:w="3680" w:type="dxa"/>
            <w:shd w:val="clear" w:color="auto" w:fill="auto"/>
            <w:noWrap/>
            <w:vAlign w:val="center"/>
          </w:tcPr>
          <w:p w14:paraId="112D6B34">
            <w:pPr>
              <w:pStyle w:val="29"/>
              <w:spacing w:line="240" w:lineRule="auto"/>
              <w:rPr>
                <w:bCs/>
                <w:snapToGrid w:val="0"/>
                <w:kern w:val="0"/>
              </w:rPr>
            </w:pPr>
            <w:r>
              <w:rPr>
                <w:rFonts w:hint="eastAsia"/>
                <w:bCs/>
                <w:snapToGrid w:val="0"/>
                <w:kern w:val="0"/>
              </w:rPr>
              <w:t xml:space="preserve">420339.253 </w:t>
            </w:r>
          </w:p>
        </w:tc>
      </w:tr>
      <w:tr w14:paraId="3896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561C6E7E">
            <w:pPr>
              <w:pStyle w:val="29"/>
              <w:spacing w:line="240" w:lineRule="auto"/>
              <w:rPr>
                <w:bCs/>
                <w:snapToGrid w:val="0"/>
                <w:kern w:val="0"/>
              </w:rPr>
            </w:pPr>
            <w:r>
              <w:rPr>
                <w:rFonts w:hint="eastAsia"/>
                <w:bCs/>
                <w:snapToGrid w:val="0"/>
                <w:kern w:val="0"/>
              </w:rPr>
              <w:t>20</w:t>
            </w:r>
          </w:p>
        </w:tc>
        <w:tc>
          <w:tcPr>
            <w:tcW w:w="3145" w:type="dxa"/>
            <w:shd w:val="clear" w:color="auto" w:fill="auto"/>
            <w:noWrap/>
            <w:vAlign w:val="center"/>
          </w:tcPr>
          <w:p w14:paraId="1BC7B3B7">
            <w:pPr>
              <w:pStyle w:val="29"/>
              <w:spacing w:line="240" w:lineRule="auto"/>
              <w:rPr>
                <w:bCs/>
                <w:snapToGrid w:val="0"/>
                <w:kern w:val="0"/>
              </w:rPr>
            </w:pPr>
            <w:r>
              <w:rPr>
                <w:rFonts w:hint="eastAsia"/>
                <w:bCs/>
                <w:snapToGrid w:val="0"/>
                <w:kern w:val="0"/>
              </w:rPr>
              <w:t xml:space="preserve">5158839.758 </w:t>
            </w:r>
          </w:p>
        </w:tc>
        <w:tc>
          <w:tcPr>
            <w:tcW w:w="3680" w:type="dxa"/>
            <w:shd w:val="clear" w:color="auto" w:fill="auto"/>
            <w:noWrap/>
            <w:vAlign w:val="center"/>
          </w:tcPr>
          <w:p w14:paraId="57462216">
            <w:pPr>
              <w:pStyle w:val="29"/>
              <w:spacing w:line="240" w:lineRule="auto"/>
              <w:rPr>
                <w:bCs/>
                <w:snapToGrid w:val="0"/>
                <w:kern w:val="0"/>
              </w:rPr>
            </w:pPr>
            <w:r>
              <w:rPr>
                <w:rFonts w:hint="eastAsia"/>
                <w:bCs/>
                <w:snapToGrid w:val="0"/>
                <w:kern w:val="0"/>
              </w:rPr>
              <w:t xml:space="preserve">420306.709 </w:t>
            </w:r>
          </w:p>
        </w:tc>
      </w:tr>
      <w:tr w14:paraId="7B79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00962159">
            <w:pPr>
              <w:pStyle w:val="29"/>
              <w:spacing w:line="240" w:lineRule="auto"/>
              <w:rPr>
                <w:bCs/>
                <w:snapToGrid w:val="0"/>
                <w:kern w:val="0"/>
              </w:rPr>
            </w:pPr>
            <w:r>
              <w:rPr>
                <w:rFonts w:hint="eastAsia"/>
                <w:bCs/>
                <w:snapToGrid w:val="0"/>
                <w:kern w:val="0"/>
              </w:rPr>
              <w:t>21</w:t>
            </w:r>
          </w:p>
        </w:tc>
        <w:tc>
          <w:tcPr>
            <w:tcW w:w="3145" w:type="dxa"/>
            <w:shd w:val="clear" w:color="auto" w:fill="auto"/>
            <w:noWrap/>
            <w:vAlign w:val="center"/>
          </w:tcPr>
          <w:p w14:paraId="1A8A0935">
            <w:pPr>
              <w:pStyle w:val="29"/>
              <w:spacing w:line="240" w:lineRule="auto"/>
              <w:rPr>
                <w:bCs/>
                <w:snapToGrid w:val="0"/>
                <w:kern w:val="0"/>
              </w:rPr>
            </w:pPr>
            <w:r>
              <w:rPr>
                <w:rFonts w:hint="eastAsia"/>
                <w:bCs/>
                <w:snapToGrid w:val="0"/>
                <w:kern w:val="0"/>
              </w:rPr>
              <w:t xml:space="preserve">5158858.823 </w:t>
            </w:r>
          </w:p>
        </w:tc>
        <w:tc>
          <w:tcPr>
            <w:tcW w:w="3680" w:type="dxa"/>
            <w:shd w:val="clear" w:color="auto" w:fill="auto"/>
            <w:noWrap/>
            <w:vAlign w:val="center"/>
          </w:tcPr>
          <w:p w14:paraId="3C9000BC">
            <w:pPr>
              <w:pStyle w:val="29"/>
              <w:spacing w:line="240" w:lineRule="auto"/>
              <w:rPr>
                <w:bCs/>
                <w:snapToGrid w:val="0"/>
                <w:kern w:val="0"/>
              </w:rPr>
            </w:pPr>
            <w:r>
              <w:rPr>
                <w:rFonts w:hint="eastAsia"/>
                <w:bCs/>
                <w:snapToGrid w:val="0"/>
                <w:kern w:val="0"/>
              </w:rPr>
              <w:t xml:space="preserve">420360.873 </w:t>
            </w:r>
          </w:p>
        </w:tc>
      </w:tr>
      <w:tr w14:paraId="0413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C115851">
            <w:pPr>
              <w:pStyle w:val="29"/>
              <w:spacing w:line="240" w:lineRule="auto"/>
              <w:rPr>
                <w:bCs/>
                <w:snapToGrid w:val="0"/>
                <w:kern w:val="0"/>
              </w:rPr>
            </w:pPr>
            <w:r>
              <w:rPr>
                <w:rFonts w:hint="eastAsia"/>
                <w:bCs/>
                <w:snapToGrid w:val="0"/>
                <w:kern w:val="0"/>
              </w:rPr>
              <w:t>22</w:t>
            </w:r>
          </w:p>
        </w:tc>
        <w:tc>
          <w:tcPr>
            <w:tcW w:w="3145" w:type="dxa"/>
            <w:shd w:val="clear" w:color="auto" w:fill="auto"/>
            <w:noWrap/>
            <w:vAlign w:val="center"/>
          </w:tcPr>
          <w:p w14:paraId="707600A7">
            <w:pPr>
              <w:pStyle w:val="29"/>
              <w:spacing w:line="240" w:lineRule="auto"/>
              <w:rPr>
                <w:bCs/>
                <w:snapToGrid w:val="0"/>
                <w:kern w:val="0"/>
              </w:rPr>
            </w:pPr>
            <w:r>
              <w:rPr>
                <w:rFonts w:hint="eastAsia"/>
                <w:bCs/>
                <w:snapToGrid w:val="0"/>
                <w:kern w:val="0"/>
              </w:rPr>
              <w:t xml:space="preserve">5158896.706 </w:t>
            </w:r>
          </w:p>
        </w:tc>
        <w:tc>
          <w:tcPr>
            <w:tcW w:w="3680" w:type="dxa"/>
            <w:shd w:val="clear" w:color="auto" w:fill="auto"/>
            <w:noWrap/>
            <w:vAlign w:val="center"/>
          </w:tcPr>
          <w:p w14:paraId="7A03EFCA">
            <w:pPr>
              <w:pStyle w:val="29"/>
              <w:spacing w:line="240" w:lineRule="auto"/>
              <w:rPr>
                <w:bCs/>
                <w:snapToGrid w:val="0"/>
                <w:kern w:val="0"/>
              </w:rPr>
            </w:pPr>
            <w:r>
              <w:rPr>
                <w:rFonts w:hint="eastAsia"/>
                <w:bCs/>
                <w:snapToGrid w:val="0"/>
                <w:kern w:val="0"/>
              </w:rPr>
              <w:t xml:space="preserve">420356.287 </w:t>
            </w:r>
          </w:p>
        </w:tc>
      </w:tr>
      <w:tr w14:paraId="0198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08" w:type="dxa"/>
            <w:shd w:val="clear" w:color="auto" w:fill="auto"/>
            <w:noWrap/>
            <w:vAlign w:val="center"/>
          </w:tcPr>
          <w:p w14:paraId="6ABD0E95">
            <w:pPr>
              <w:pStyle w:val="29"/>
              <w:spacing w:line="240" w:lineRule="auto"/>
              <w:rPr>
                <w:bCs/>
                <w:snapToGrid w:val="0"/>
                <w:kern w:val="0"/>
              </w:rPr>
            </w:pPr>
            <w:r>
              <w:rPr>
                <w:rFonts w:hint="eastAsia"/>
                <w:bCs/>
                <w:snapToGrid w:val="0"/>
                <w:kern w:val="0"/>
              </w:rPr>
              <w:t>23</w:t>
            </w:r>
          </w:p>
        </w:tc>
        <w:tc>
          <w:tcPr>
            <w:tcW w:w="3145" w:type="dxa"/>
            <w:shd w:val="clear" w:color="auto" w:fill="auto"/>
            <w:noWrap/>
            <w:vAlign w:val="center"/>
          </w:tcPr>
          <w:p w14:paraId="71E56143">
            <w:pPr>
              <w:pStyle w:val="29"/>
              <w:spacing w:line="240" w:lineRule="auto"/>
              <w:rPr>
                <w:bCs/>
                <w:snapToGrid w:val="0"/>
                <w:kern w:val="0"/>
              </w:rPr>
            </w:pPr>
            <w:r>
              <w:rPr>
                <w:rFonts w:hint="eastAsia"/>
                <w:bCs/>
                <w:snapToGrid w:val="0"/>
                <w:kern w:val="0"/>
              </w:rPr>
              <w:t xml:space="preserve">5158933.500 </w:t>
            </w:r>
          </w:p>
        </w:tc>
        <w:tc>
          <w:tcPr>
            <w:tcW w:w="3680" w:type="dxa"/>
            <w:shd w:val="clear" w:color="auto" w:fill="auto"/>
            <w:noWrap/>
            <w:vAlign w:val="center"/>
          </w:tcPr>
          <w:p w14:paraId="07D14034">
            <w:pPr>
              <w:pStyle w:val="29"/>
              <w:spacing w:line="240" w:lineRule="auto"/>
              <w:rPr>
                <w:bCs/>
                <w:snapToGrid w:val="0"/>
                <w:kern w:val="0"/>
              </w:rPr>
            </w:pPr>
            <w:r>
              <w:rPr>
                <w:rFonts w:hint="eastAsia"/>
                <w:bCs/>
                <w:snapToGrid w:val="0"/>
                <w:kern w:val="0"/>
              </w:rPr>
              <w:t xml:space="preserve">420339.638 </w:t>
            </w:r>
          </w:p>
        </w:tc>
      </w:tr>
    </w:tbl>
    <w:p w14:paraId="5BBAAE98">
      <w:pPr>
        <w:ind w:firstLine="562"/>
        <w:rPr>
          <w:b/>
          <w:bCs/>
        </w:rPr>
      </w:pPr>
      <w:r>
        <w:rPr>
          <w:rFonts w:hint="eastAsia"/>
          <w:b/>
          <w:bCs/>
        </w:rPr>
        <w:t>三、人类工程活动</w:t>
      </w:r>
    </w:p>
    <w:p w14:paraId="23C8EF56">
      <w:r>
        <w:rPr>
          <w:rFonts w:hint="eastAsia"/>
        </w:rPr>
        <w:t>采坑为和什托洛盖镇煤矿开采形成。治理区东侧100米为</w:t>
      </w:r>
      <w:r>
        <w:t>S225</w:t>
      </w:r>
      <w:r>
        <w:rPr>
          <w:rFonts w:hint="eastAsia"/>
        </w:rPr>
        <w:t>县道，治理区周边人类工程经济活动一般。</w:t>
      </w:r>
    </w:p>
    <w:p w14:paraId="6E928DAE"/>
    <w:p w14:paraId="02617765">
      <w:pPr>
        <w:sectPr>
          <w:pgSz w:w="11906" w:h="16838"/>
          <w:pgMar w:top="1440" w:right="1800" w:bottom="1440" w:left="1800" w:header="851" w:footer="992" w:gutter="0"/>
          <w:pgNumType w:start="1"/>
          <w:cols w:space="425" w:num="1"/>
          <w:docGrid w:type="lines" w:linePitch="312" w:charSpace="0"/>
        </w:sectPr>
      </w:pPr>
    </w:p>
    <w:p w14:paraId="7B24F202">
      <w:pPr>
        <w:pStyle w:val="2"/>
      </w:pPr>
      <w:bookmarkStart w:id="34" w:name="_Toc102927604"/>
      <w:bookmarkStart w:id="35" w:name="_Toc106400404"/>
      <w:bookmarkStart w:id="36" w:name="_Toc106400189"/>
      <w:r>
        <w:rPr>
          <w:rFonts w:hint="eastAsia"/>
        </w:rPr>
        <w:t>第一章  自然地理与地质环境概况</w:t>
      </w:r>
      <w:bookmarkEnd w:id="1"/>
      <w:bookmarkEnd w:id="2"/>
      <w:bookmarkEnd w:id="3"/>
      <w:bookmarkEnd w:id="4"/>
      <w:bookmarkEnd w:id="5"/>
      <w:bookmarkEnd w:id="34"/>
      <w:bookmarkEnd w:id="35"/>
      <w:bookmarkEnd w:id="36"/>
    </w:p>
    <w:p w14:paraId="53652D43">
      <w:pPr>
        <w:pStyle w:val="3"/>
      </w:pPr>
      <w:bookmarkStart w:id="37" w:name="_Toc131417162"/>
      <w:bookmarkStart w:id="38" w:name="_Toc106400190"/>
      <w:bookmarkStart w:id="39" w:name="_Toc106400405"/>
      <w:bookmarkStart w:id="40" w:name="_Toc29028"/>
      <w:bookmarkStart w:id="41" w:name="_Toc102927605"/>
      <w:bookmarkStart w:id="42" w:name="_Toc23628"/>
      <w:bookmarkStart w:id="43" w:name="_Toc264390696"/>
      <w:r>
        <w:rPr>
          <w:rFonts w:hint="eastAsia"/>
        </w:rPr>
        <w:t xml:space="preserve">第一节  </w:t>
      </w:r>
      <w:bookmarkEnd w:id="37"/>
      <w:r>
        <w:rPr>
          <w:rFonts w:hint="eastAsia"/>
        </w:rPr>
        <w:t>地形、地貌</w:t>
      </w:r>
      <w:bookmarkEnd w:id="38"/>
      <w:bookmarkEnd w:id="39"/>
      <w:bookmarkEnd w:id="40"/>
      <w:bookmarkEnd w:id="41"/>
      <w:bookmarkEnd w:id="42"/>
      <w:bookmarkEnd w:id="43"/>
    </w:p>
    <w:p w14:paraId="6B864AF7">
      <w:r>
        <w:rPr>
          <w:rFonts w:hint="eastAsia"/>
        </w:rPr>
        <w:t>治理区地形较起伏，地貌为剥蚀作用低山丘陵区。治理区内海拔在</w:t>
      </w:r>
      <w:r>
        <w:t>1000-1300</w:t>
      </w:r>
      <w:r>
        <w:rPr>
          <w:rFonts w:hint="eastAsia"/>
        </w:rPr>
        <w:t>米左右，整体地势开阔，地面起伏不平，地势南西高，北东低，地形自南西向北东倾斜，植被不发育。</w:t>
      </w:r>
    </w:p>
    <w:p w14:paraId="19F6C797">
      <w:pPr>
        <w:pStyle w:val="3"/>
      </w:pPr>
      <w:bookmarkStart w:id="44" w:name="_Toc102927606"/>
      <w:bookmarkStart w:id="45" w:name="_Toc106400406"/>
      <w:bookmarkStart w:id="46" w:name="_Toc6881"/>
      <w:bookmarkStart w:id="47" w:name="_Toc9296"/>
      <w:bookmarkStart w:id="48" w:name="_Toc106400191"/>
      <w:r>
        <w:rPr>
          <w:rFonts w:hint="eastAsia"/>
        </w:rPr>
        <w:t>第二节  气象、水文</w:t>
      </w:r>
      <w:bookmarkEnd w:id="44"/>
      <w:bookmarkEnd w:id="45"/>
      <w:bookmarkEnd w:id="46"/>
      <w:bookmarkEnd w:id="47"/>
      <w:bookmarkEnd w:id="48"/>
    </w:p>
    <w:p w14:paraId="2B53A806">
      <w:pPr>
        <w:ind w:firstLine="562"/>
        <w:rPr>
          <w:b/>
          <w:bCs/>
        </w:rPr>
      </w:pPr>
      <w:r>
        <w:rPr>
          <w:rFonts w:hint="eastAsia"/>
          <w:b/>
          <w:bCs/>
        </w:rPr>
        <w:t>一、气象</w:t>
      </w:r>
    </w:p>
    <w:p w14:paraId="4361C28D">
      <w:r>
        <w:rPr>
          <w:rFonts w:hint="eastAsia"/>
        </w:rPr>
        <w:t>治理区地处内陆，远离海洋，属于寒温带大陆性干旱气候。冬寒漫长，夏凉短促，无霜期短。降水较少，全年降水主要集中在夏季，年均降水量143mm，分布不均匀；蒸发量大；空气干燥，气温变化大；春秋多大风，全年盛行偏西风；具有明显的高寒特点。年平均气温</w:t>
      </w:r>
      <w:r>
        <w:t>3.3</w:t>
      </w:r>
      <w:r>
        <w:rPr>
          <w:rFonts w:hint="eastAsia"/>
        </w:rPr>
        <w:t>℃；无霜期短，仅135天左右。</w:t>
      </w:r>
    </w:p>
    <w:p w14:paraId="187162EF">
      <w:pPr>
        <w:ind w:firstLine="562"/>
        <w:rPr>
          <w:b/>
          <w:bCs/>
        </w:rPr>
      </w:pPr>
      <w:r>
        <w:rPr>
          <w:rFonts w:hint="eastAsia"/>
          <w:b/>
          <w:bCs/>
        </w:rPr>
        <w:t>二、水文</w:t>
      </w:r>
    </w:p>
    <w:p w14:paraId="50ED17C8">
      <w:r>
        <w:rPr>
          <w:rFonts w:hint="eastAsia"/>
        </w:rPr>
        <w:t>治理区内地表无常年性水流，也无泉点出露，雨水较少且分布不均，夏季降雨形成的暂时性流水，由南西向北东排泄于戈壁荒漠中分散消失。</w:t>
      </w:r>
    </w:p>
    <w:p w14:paraId="32B62CE6">
      <w:pPr>
        <w:pStyle w:val="3"/>
      </w:pPr>
      <w:bookmarkStart w:id="49" w:name="_Toc14542"/>
      <w:bookmarkStart w:id="50" w:name="_Toc102927607"/>
      <w:bookmarkStart w:id="51" w:name="_Toc106400407"/>
      <w:bookmarkStart w:id="52" w:name="_Toc106400192"/>
      <w:r>
        <w:rPr>
          <w:rFonts w:hint="eastAsia"/>
        </w:rPr>
        <w:t>第三节  地层岩性</w:t>
      </w:r>
      <w:bookmarkEnd w:id="49"/>
      <w:bookmarkEnd w:id="50"/>
      <w:bookmarkEnd w:id="51"/>
      <w:bookmarkEnd w:id="52"/>
    </w:p>
    <w:p w14:paraId="11E533D9">
      <w:pPr>
        <w:pStyle w:val="39"/>
        <w:tabs>
          <w:tab w:val="left" w:pos="720"/>
        </w:tabs>
        <w:adjustRightInd/>
        <w:snapToGrid/>
        <w:spacing w:before="0" w:beforeLines="0" w:line="500" w:lineRule="exact"/>
        <w:ind w:firstLine="560"/>
        <w:rPr>
          <w:rFonts w:hAnsi="仿宋_GB2312" w:cs="仿宋_GB2312"/>
          <w:bCs w:val="0"/>
          <w:color w:val="auto"/>
          <w:spacing w:val="0"/>
          <w:szCs w:val="24"/>
          <w:lang w:val="zh-CN"/>
        </w:rPr>
      </w:pPr>
      <w:bookmarkStart w:id="53" w:name="_Toc21821"/>
      <w:bookmarkStart w:id="54" w:name="_Toc102927608"/>
      <w:bookmarkStart w:id="55" w:name="_Toc23504"/>
      <w:r>
        <w:rPr>
          <w:rFonts w:hint="eastAsia" w:hAnsi="仿宋_GB2312" w:cs="仿宋_GB2312"/>
          <w:bCs w:val="0"/>
          <w:color w:val="auto"/>
          <w:spacing w:val="0"/>
          <w:szCs w:val="24"/>
          <w:lang w:val="zh-CN"/>
        </w:rPr>
        <w:t>治理区出露地层为：</w:t>
      </w:r>
      <w:r>
        <w:rPr>
          <w:rFonts w:hint="eastAsia" w:cs="仿宋_GB2312"/>
        </w:rPr>
        <w:t>中</w:t>
      </w:r>
      <w:r>
        <w:rPr>
          <w:rFonts w:cs="仿宋_GB2312"/>
        </w:rPr>
        <w:t>-</w:t>
      </w:r>
      <w:r>
        <w:rPr>
          <w:rFonts w:hint="eastAsia" w:cs="仿宋_GB2312"/>
        </w:rPr>
        <w:t>下侏罗统（</w:t>
      </w:r>
      <w:r>
        <w:rPr>
          <w:rFonts w:cs="仿宋_GB2312"/>
        </w:rPr>
        <w:t>J</w:t>
      </w:r>
      <w:r>
        <w:rPr>
          <w:rFonts w:cs="仿宋_GB2312"/>
          <w:vertAlign w:val="subscript"/>
        </w:rPr>
        <w:t>1-2</w:t>
      </w:r>
      <w:r>
        <w:rPr>
          <w:rFonts w:hint="eastAsia" w:cs="仿宋_GB2312"/>
        </w:rPr>
        <w:t>）：中下侏罗统为一套内陆湖沼相含煤碎屑岩建造。主要岩性为砂岩、泥岩、砾岩、炭质泥岩，含煤、菱铁矿。</w:t>
      </w:r>
    </w:p>
    <w:p w14:paraId="2102B977">
      <w:pPr>
        <w:pStyle w:val="39"/>
        <w:tabs>
          <w:tab w:val="left" w:pos="720"/>
        </w:tabs>
        <w:adjustRightInd/>
        <w:snapToGrid/>
        <w:spacing w:before="0" w:beforeLines="0" w:line="500" w:lineRule="exact"/>
        <w:rPr>
          <w:rFonts w:cs="仿宋_GB2312"/>
        </w:rPr>
      </w:pPr>
      <w:r>
        <w:rPr>
          <w:rFonts w:hint="eastAsia" w:cs="仿宋_GB2312"/>
        </w:rPr>
        <w:t>中新统（</w:t>
      </w:r>
      <w:r>
        <w:rPr>
          <w:rFonts w:cs="仿宋_GB2312"/>
        </w:rPr>
        <w:t>N</w:t>
      </w:r>
      <w:r>
        <w:rPr>
          <w:rFonts w:cs="仿宋_GB2312"/>
          <w:vertAlign w:val="subscript"/>
        </w:rPr>
        <w:t>1</w:t>
      </w:r>
      <w:r>
        <w:rPr>
          <w:rFonts w:hint="eastAsia" w:cs="仿宋_GB2312"/>
        </w:rPr>
        <w:t>）：主要分布于灰红、灰绿色泥岩、砂质泥岩、泥灰岩。</w:t>
      </w:r>
    </w:p>
    <w:p w14:paraId="0091D576">
      <w:pPr>
        <w:pStyle w:val="5"/>
      </w:pPr>
      <w:r>
        <w:rPr>
          <w:rFonts w:hint="eastAsia" w:cs="仿宋_GB2312"/>
        </w:rPr>
        <w:t>上更新统洪积物（</w:t>
      </w:r>
      <w:r>
        <w:rPr>
          <w:rFonts w:cs="仿宋_GB2312"/>
        </w:rPr>
        <w:t>Q</w:t>
      </w:r>
      <w:r>
        <w:rPr>
          <w:rFonts w:cs="仿宋_GB2312"/>
          <w:vertAlign w:val="subscript"/>
        </w:rPr>
        <w:t>3</w:t>
      </w:r>
      <w:r>
        <w:rPr>
          <w:rFonts w:cs="仿宋_GB2312"/>
          <w:vertAlign w:val="superscript"/>
        </w:rPr>
        <w:t>pl</w:t>
      </w:r>
      <w:r>
        <w:rPr>
          <w:rFonts w:hint="eastAsia" w:cs="仿宋_GB2312"/>
        </w:rPr>
        <w:t>）：主要由砾石、砂、粘质砂土、碎石等组成，平均厚度</w:t>
      </w:r>
      <w:r>
        <w:rPr>
          <w:rFonts w:cs="仿宋_GB2312"/>
        </w:rPr>
        <w:t>10</w:t>
      </w:r>
      <w:r>
        <w:rPr>
          <w:rFonts w:hint="eastAsia" w:cs="仿宋_GB2312"/>
        </w:rPr>
        <w:t>米以上</w:t>
      </w:r>
      <w:r>
        <w:rPr>
          <w:rFonts w:hint="eastAsia" w:hAnsi="仿宋_GB2312" w:cs="仿宋_GB2312"/>
          <w:szCs w:val="24"/>
          <w:lang w:val="zh-CN"/>
        </w:rPr>
        <w:t>。</w:t>
      </w:r>
    </w:p>
    <w:p w14:paraId="75B6D16D">
      <w:pPr>
        <w:pStyle w:val="3"/>
      </w:pPr>
      <w:bookmarkStart w:id="56" w:name="_Toc106400408"/>
      <w:bookmarkStart w:id="57" w:name="_Toc106400193"/>
      <w:r>
        <w:rPr>
          <w:rFonts w:hint="eastAsia"/>
        </w:rPr>
        <w:t>第四节  地质构造</w:t>
      </w:r>
      <w:bookmarkEnd w:id="53"/>
      <w:bookmarkEnd w:id="54"/>
      <w:bookmarkEnd w:id="55"/>
      <w:bookmarkEnd w:id="56"/>
      <w:bookmarkEnd w:id="57"/>
    </w:p>
    <w:p w14:paraId="018D4055">
      <w:r>
        <w:rPr>
          <w:rFonts w:hint="eastAsia"/>
        </w:rPr>
        <w:t>和布克赛尔县境在地质构造位置上属准噶尔凹陷一北天山褶皱系的一部分。</w:t>
      </w:r>
    </w:p>
    <w:p w14:paraId="6E8E76F1">
      <w:pPr>
        <w:pStyle w:val="39"/>
        <w:tabs>
          <w:tab w:val="left" w:pos="720"/>
        </w:tabs>
        <w:adjustRightInd/>
        <w:snapToGrid/>
        <w:spacing w:before="0" w:beforeLines="0" w:line="500" w:lineRule="exact"/>
        <w:ind w:firstLine="560"/>
        <w:rPr>
          <w:rFonts w:hAnsi="仿宋_GB2312" w:cs="仿宋_GB2312"/>
          <w:bCs w:val="0"/>
          <w:color w:val="auto"/>
          <w:spacing w:val="0"/>
          <w:szCs w:val="24"/>
          <w:lang w:val="zh-CN"/>
        </w:rPr>
      </w:pPr>
      <w:r>
        <w:rPr>
          <w:rFonts w:hint="eastAsia" w:hAnsi="仿宋_GB2312" w:cs="仿宋_GB2312"/>
          <w:bCs w:val="0"/>
          <w:color w:val="auto"/>
          <w:spacing w:val="0"/>
          <w:szCs w:val="24"/>
          <w:lang w:val="zh-CN"/>
        </w:rPr>
        <w:t>和什托洛盖中新生代中间凹陷核部是以石炭纪的地层为主，两翼是泥盆纪的地层和少量的奥陶纪到志留纪的地层，地层走向和深裂断走向均以东北西南向为主。</w:t>
      </w:r>
    </w:p>
    <w:p w14:paraId="455715BA">
      <w:r>
        <w:rPr>
          <w:rFonts w:hint="eastAsia"/>
        </w:rPr>
        <w:t>治理区位于和布克赛尔县南东侧，治理区内无断裂构造，地质构造不发育，地表未见构造形迹。</w:t>
      </w:r>
    </w:p>
    <w:p w14:paraId="38E94EB9">
      <w:pPr>
        <w:pStyle w:val="3"/>
      </w:pPr>
      <w:bookmarkStart w:id="58" w:name="_Toc22686"/>
      <w:bookmarkStart w:id="59" w:name="_Toc106400409"/>
      <w:bookmarkStart w:id="60" w:name="_Toc102927609"/>
      <w:bookmarkStart w:id="61" w:name="_Toc106400194"/>
      <w:r>
        <w:rPr>
          <w:rFonts w:hint="eastAsia"/>
        </w:rPr>
        <w:t>第五节  新地质构造活动与地震</w:t>
      </w:r>
      <w:bookmarkEnd w:id="58"/>
      <w:bookmarkEnd w:id="59"/>
      <w:bookmarkEnd w:id="60"/>
      <w:bookmarkEnd w:id="61"/>
    </w:p>
    <w:p w14:paraId="697DD3FD">
      <w:pPr>
        <w:ind w:firstLine="562"/>
        <w:rPr>
          <w:b/>
          <w:bCs/>
        </w:rPr>
      </w:pPr>
      <w:r>
        <w:rPr>
          <w:rFonts w:hint="eastAsia"/>
          <w:b/>
          <w:bCs/>
        </w:rPr>
        <w:t>一、新构造运动</w:t>
      </w:r>
    </w:p>
    <w:p w14:paraId="1B3A8760">
      <w:r>
        <w:rPr>
          <w:rFonts w:hint="eastAsia"/>
        </w:rPr>
        <w:t>二叠纪以后，区内有小面积的中生代湖相建造与新生代湖相及陆相的洪积建造。从沉积物改造程度看，早二叠纪与中侏罗纪岩层中北北西向褶皱程度相当，为紧闭一开阔的过渡类型，而早第三纪沉积物中只有轻微的弯曲现象，这一点可以说明，晚二叠纪一早中侏罗纪为相对宁静或南北相对引张阶段，晚侏罗纪一白垩纪，治理区受区域贺兰地段南移，青藏地块北阻的影响，在南北向顺扭作用下，成生了区内河西构造体系的断裂和小型褶皱，从各体系断裂在第四系中均有踪迹、尤其是北北西西断裂切第四纪洪积扇且水平位移较大，南北向顺扭直在持续作用，使各体断裂表现出不同性质的活动。</w:t>
      </w:r>
    </w:p>
    <w:p w14:paraId="2F682805">
      <w:pPr>
        <w:ind w:firstLine="562"/>
        <w:rPr>
          <w:b/>
          <w:bCs/>
        </w:rPr>
      </w:pPr>
      <w:r>
        <w:rPr>
          <w:rFonts w:hint="eastAsia"/>
          <w:b/>
          <w:bCs/>
        </w:rPr>
        <w:t>二、地震及区域地壳稳定性</w:t>
      </w:r>
    </w:p>
    <w:p w14:paraId="49D41FDB">
      <w:r>
        <w:rPr>
          <w:rFonts w:hint="eastAsia"/>
        </w:rPr>
        <w:t>和布克赛尔蒙古自治县及周边地震活动比较频繁，清光绪三十三年（1908年）四月，县境发生强烈地震，西自白杨河，东至回回沟，北抵紫泥泉子，南达达子庙，长40千米，宽16千米范围内地表破坏现象清晰可见。兹将发生自1977年有地震记录以来，对本区及附近影响较大的地震资料摘录如下（表</w:t>
      </w:r>
      <w:r>
        <w:t>1</w:t>
      </w:r>
      <w:r>
        <w:rPr>
          <w:rFonts w:hint="eastAsia"/>
        </w:rPr>
        <w:t>-</w:t>
      </w:r>
      <w:r>
        <w:t>1</w:t>
      </w:r>
      <w:r>
        <w:rPr>
          <w:rFonts w:hint="eastAsia"/>
        </w:rPr>
        <w:t>）。</w:t>
      </w:r>
    </w:p>
    <w:p w14:paraId="69D6FECE">
      <w:r>
        <w:rPr>
          <w:rFonts w:hint="eastAsia"/>
        </w:rPr>
        <w:t>根据《中国地震动参数区划图》（GB18306-2015）附录A《中国地震动峰值加速度区划图》（图</w:t>
      </w:r>
      <w:r>
        <w:t>1</w:t>
      </w:r>
      <w:r>
        <w:rPr>
          <w:rFonts w:hint="eastAsia"/>
        </w:rPr>
        <w:t>-</w:t>
      </w:r>
      <w:r>
        <w:t>1</w:t>
      </w:r>
      <w:r>
        <w:rPr>
          <w:rFonts w:hint="eastAsia"/>
        </w:rPr>
        <w:t>），和布克赛尔县地震动峰值加速度值0.1g，对应地震基本烈度为Ⅶ度（表</w:t>
      </w:r>
      <w:r>
        <w:t>1</w:t>
      </w:r>
      <w:r>
        <w:rPr>
          <w:rFonts w:hint="eastAsia"/>
        </w:rPr>
        <w:t>-</w:t>
      </w:r>
      <w:r>
        <w:t>2</w:t>
      </w:r>
      <w:r>
        <w:rPr>
          <w:rFonts w:hint="eastAsia"/>
        </w:rPr>
        <w:t>）。</w:t>
      </w:r>
    </w:p>
    <w:p w14:paraId="2CA8A70E">
      <w:pPr>
        <w:pStyle w:val="29"/>
      </w:pPr>
    </w:p>
    <w:p w14:paraId="77FA1467">
      <w:pPr>
        <w:pStyle w:val="29"/>
      </w:pPr>
      <w:r>
        <w:rPr>
          <w:rFonts w:hint="eastAsia"/>
        </w:rPr>
        <w:t>和布克赛尔蒙古自治县境内70年代以来地震目录</w:t>
      </w:r>
      <w:r>
        <w:t xml:space="preserve">  </w:t>
      </w:r>
      <w:r>
        <w:rPr>
          <w:rFonts w:hint="eastAsia"/>
        </w:rPr>
        <w:t>表</w:t>
      </w:r>
      <w:r>
        <w:t>1</w:t>
      </w:r>
      <w:r>
        <w:rPr>
          <w:rFonts w:hint="eastAsia"/>
        </w:rPr>
        <w:t>-</w:t>
      </w:r>
      <w:r>
        <w:t>1</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782"/>
        <w:gridCol w:w="574"/>
        <w:gridCol w:w="574"/>
        <w:gridCol w:w="575"/>
        <w:gridCol w:w="575"/>
        <w:gridCol w:w="575"/>
        <w:gridCol w:w="1170"/>
        <w:gridCol w:w="1136"/>
        <w:gridCol w:w="701"/>
        <w:gridCol w:w="1170"/>
      </w:tblGrid>
      <w:tr w14:paraId="527B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4FED9F04">
            <w:pPr>
              <w:pStyle w:val="29"/>
              <w:spacing w:line="240" w:lineRule="auto"/>
              <w:rPr>
                <w:szCs w:val="21"/>
              </w:rPr>
            </w:pPr>
            <w:r>
              <w:rPr>
                <w:rFonts w:hint="eastAsia"/>
                <w:szCs w:val="21"/>
              </w:rPr>
              <w:t>序号</w:t>
            </w:r>
          </w:p>
        </w:tc>
        <w:tc>
          <w:tcPr>
            <w:tcW w:w="459" w:type="pct"/>
            <w:vAlign w:val="center"/>
          </w:tcPr>
          <w:p w14:paraId="69FA2FFF">
            <w:pPr>
              <w:pStyle w:val="29"/>
              <w:spacing w:line="240" w:lineRule="auto"/>
              <w:rPr>
                <w:szCs w:val="21"/>
              </w:rPr>
            </w:pPr>
            <w:r>
              <w:rPr>
                <w:rFonts w:hint="eastAsia"/>
                <w:szCs w:val="21"/>
              </w:rPr>
              <w:t>年</w:t>
            </w:r>
          </w:p>
        </w:tc>
        <w:tc>
          <w:tcPr>
            <w:tcW w:w="337" w:type="pct"/>
            <w:vAlign w:val="center"/>
          </w:tcPr>
          <w:p w14:paraId="3E1037C8">
            <w:pPr>
              <w:pStyle w:val="29"/>
              <w:spacing w:line="240" w:lineRule="auto"/>
              <w:rPr>
                <w:szCs w:val="21"/>
              </w:rPr>
            </w:pPr>
            <w:r>
              <w:rPr>
                <w:rFonts w:hint="eastAsia"/>
                <w:szCs w:val="21"/>
              </w:rPr>
              <w:t>月</w:t>
            </w:r>
          </w:p>
        </w:tc>
        <w:tc>
          <w:tcPr>
            <w:tcW w:w="337" w:type="pct"/>
            <w:vAlign w:val="center"/>
          </w:tcPr>
          <w:p w14:paraId="0F38CDF3">
            <w:pPr>
              <w:pStyle w:val="29"/>
              <w:spacing w:line="240" w:lineRule="auto"/>
              <w:rPr>
                <w:szCs w:val="21"/>
              </w:rPr>
            </w:pPr>
            <w:r>
              <w:rPr>
                <w:rFonts w:hint="eastAsia"/>
                <w:szCs w:val="21"/>
              </w:rPr>
              <w:t>日</w:t>
            </w:r>
          </w:p>
        </w:tc>
        <w:tc>
          <w:tcPr>
            <w:tcW w:w="337" w:type="pct"/>
            <w:vAlign w:val="center"/>
          </w:tcPr>
          <w:p w14:paraId="11419209">
            <w:pPr>
              <w:pStyle w:val="29"/>
              <w:spacing w:line="240" w:lineRule="auto"/>
              <w:rPr>
                <w:szCs w:val="21"/>
              </w:rPr>
            </w:pPr>
            <w:r>
              <w:rPr>
                <w:rFonts w:hint="eastAsia"/>
                <w:szCs w:val="21"/>
              </w:rPr>
              <w:t>时</w:t>
            </w:r>
          </w:p>
        </w:tc>
        <w:tc>
          <w:tcPr>
            <w:tcW w:w="337" w:type="pct"/>
            <w:vAlign w:val="center"/>
          </w:tcPr>
          <w:p w14:paraId="1B8C23EF">
            <w:pPr>
              <w:pStyle w:val="29"/>
              <w:spacing w:line="240" w:lineRule="auto"/>
              <w:rPr>
                <w:szCs w:val="21"/>
              </w:rPr>
            </w:pPr>
            <w:r>
              <w:rPr>
                <w:rFonts w:hint="eastAsia"/>
                <w:szCs w:val="21"/>
              </w:rPr>
              <w:t>分</w:t>
            </w:r>
          </w:p>
        </w:tc>
        <w:tc>
          <w:tcPr>
            <w:tcW w:w="337" w:type="pct"/>
            <w:vAlign w:val="center"/>
          </w:tcPr>
          <w:p w14:paraId="6A4B584C">
            <w:pPr>
              <w:pStyle w:val="29"/>
              <w:spacing w:line="240" w:lineRule="auto"/>
              <w:rPr>
                <w:szCs w:val="21"/>
              </w:rPr>
            </w:pPr>
            <w:r>
              <w:rPr>
                <w:rFonts w:hint="eastAsia"/>
                <w:szCs w:val="21"/>
              </w:rPr>
              <w:t>秒</w:t>
            </w:r>
          </w:p>
        </w:tc>
        <w:tc>
          <w:tcPr>
            <w:tcW w:w="686" w:type="pct"/>
            <w:vAlign w:val="center"/>
          </w:tcPr>
          <w:p w14:paraId="67873898">
            <w:pPr>
              <w:pStyle w:val="29"/>
              <w:spacing w:line="240" w:lineRule="auto"/>
              <w:rPr>
                <w:szCs w:val="21"/>
              </w:rPr>
            </w:pPr>
            <w:r>
              <w:rPr>
                <w:rFonts w:hint="eastAsia"/>
                <w:szCs w:val="21"/>
              </w:rPr>
              <w:t>北纬</w:t>
            </w:r>
          </w:p>
        </w:tc>
        <w:tc>
          <w:tcPr>
            <w:tcW w:w="666" w:type="pct"/>
            <w:vAlign w:val="center"/>
          </w:tcPr>
          <w:p w14:paraId="49930904">
            <w:pPr>
              <w:pStyle w:val="29"/>
              <w:spacing w:line="240" w:lineRule="auto"/>
              <w:rPr>
                <w:szCs w:val="21"/>
              </w:rPr>
            </w:pPr>
            <w:r>
              <w:rPr>
                <w:rFonts w:hint="eastAsia"/>
                <w:szCs w:val="21"/>
              </w:rPr>
              <w:t>东经</w:t>
            </w:r>
          </w:p>
        </w:tc>
        <w:tc>
          <w:tcPr>
            <w:tcW w:w="411" w:type="pct"/>
            <w:vAlign w:val="center"/>
          </w:tcPr>
          <w:p w14:paraId="28CDCA94">
            <w:pPr>
              <w:pStyle w:val="29"/>
              <w:spacing w:line="240" w:lineRule="auto"/>
              <w:rPr>
                <w:szCs w:val="21"/>
              </w:rPr>
            </w:pPr>
            <w:r>
              <w:rPr>
                <w:rFonts w:hint="eastAsia"/>
                <w:szCs w:val="21"/>
              </w:rPr>
              <w:t>震级</w:t>
            </w:r>
          </w:p>
        </w:tc>
        <w:tc>
          <w:tcPr>
            <w:tcW w:w="686" w:type="pct"/>
            <w:vAlign w:val="center"/>
          </w:tcPr>
          <w:p w14:paraId="79E1475C">
            <w:pPr>
              <w:pStyle w:val="29"/>
              <w:spacing w:line="240" w:lineRule="auto"/>
              <w:rPr>
                <w:szCs w:val="21"/>
              </w:rPr>
            </w:pPr>
            <w:r>
              <w:rPr>
                <w:rFonts w:hint="eastAsia"/>
                <w:szCs w:val="21"/>
              </w:rPr>
              <w:t>地点</w:t>
            </w:r>
          </w:p>
        </w:tc>
      </w:tr>
      <w:tr w14:paraId="0BD8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68B9DE9D">
            <w:pPr>
              <w:pStyle w:val="29"/>
              <w:spacing w:line="240" w:lineRule="auto"/>
              <w:rPr>
                <w:szCs w:val="21"/>
              </w:rPr>
            </w:pPr>
            <w:r>
              <w:rPr>
                <w:rFonts w:hint="eastAsia"/>
                <w:szCs w:val="21"/>
              </w:rPr>
              <w:t>1</w:t>
            </w:r>
          </w:p>
        </w:tc>
        <w:tc>
          <w:tcPr>
            <w:tcW w:w="459" w:type="pct"/>
            <w:vAlign w:val="center"/>
          </w:tcPr>
          <w:p w14:paraId="3D9E16D6">
            <w:pPr>
              <w:pStyle w:val="29"/>
              <w:spacing w:line="240" w:lineRule="auto"/>
              <w:rPr>
                <w:szCs w:val="21"/>
              </w:rPr>
            </w:pPr>
            <w:r>
              <w:rPr>
                <w:rFonts w:hint="eastAsia"/>
                <w:szCs w:val="21"/>
              </w:rPr>
              <w:t>1977</w:t>
            </w:r>
          </w:p>
        </w:tc>
        <w:tc>
          <w:tcPr>
            <w:tcW w:w="337" w:type="pct"/>
            <w:vAlign w:val="center"/>
          </w:tcPr>
          <w:p w14:paraId="74DED57F">
            <w:pPr>
              <w:pStyle w:val="29"/>
              <w:spacing w:line="240" w:lineRule="auto"/>
              <w:rPr>
                <w:szCs w:val="21"/>
              </w:rPr>
            </w:pPr>
            <w:r>
              <w:rPr>
                <w:rFonts w:hint="eastAsia"/>
                <w:szCs w:val="21"/>
              </w:rPr>
              <w:t>6</w:t>
            </w:r>
          </w:p>
        </w:tc>
        <w:tc>
          <w:tcPr>
            <w:tcW w:w="337" w:type="pct"/>
            <w:vAlign w:val="center"/>
          </w:tcPr>
          <w:p w14:paraId="23B16D76">
            <w:pPr>
              <w:pStyle w:val="29"/>
              <w:spacing w:line="240" w:lineRule="auto"/>
              <w:rPr>
                <w:szCs w:val="21"/>
              </w:rPr>
            </w:pPr>
            <w:r>
              <w:rPr>
                <w:rFonts w:hint="eastAsia"/>
                <w:szCs w:val="21"/>
              </w:rPr>
              <w:t>2</w:t>
            </w:r>
          </w:p>
        </w:tc>
        <w:tc>
          <w:tcPr>
            <w:tcW w:w="337" w:type="pct"/>
            <w:vAlign w:val="center"/>
          </w:tcPr>
          <w:p w14:paraId="68C11950">
            <w:pPr>
              <w:pStyle w:val="29"/>
              <w:spacing w:line="240" w:lineRule="auto"/>
              <w:rPr>
                <w:szCs w:val="21"/>
              </w:rPr>
            </w:pPr>
            <w:r>
              <w:rPr>
                <w:rFonts w:hint="eastAsia"/>
                <w:szCs w:val="21"/>
              </w:rPr>
              <w:t>19</w:t>
            </w:r>
          </w:p>
        </w:tc>
        <w:tc>
          <w:tcPr>
            <w:tcW w:w="337" w:type="pct"/>
            <w:vAlign w:val="center"/>
          </w:tcPr>
          <w:p w14:paraId="52F4FCE9">
            <w:pPr>
              <w:pStyle w:val="29"/>
              <w:spacing w:line="240" w:lineRule="auto"/>
              <w:rPr>
                <w:szCs w:val="21"/>
              </w:rPr>
            </w:pPr>
            <w:r>
              <w:rPr>
                <w:rFonts w:hint="eastAsia"/>
                <w:szCs w:val="21"/>
              </w:rPr>
              <w:t>24</w:t>
            </w:r>
          </w:p>
        </w:tc>
        <w:tc>
          <w:tcPr>
            <w:tcW w:w="337" w:type="pct"/>
            <w:vAlign w:val="center"/>
          </w:tcPr>
          <w:p w14:paraId="1B97513C">
            <w:pPr>
              <w:pStyle w:val="29"/>
              <w:spacing w:line="240" w:lineRule="auto"/>
              <w:rPr>
                <w:szCs w:val="21"/>
              </w:rPr>
            </w:pPr>
          </w:p>
        </w:tc>
        <w:tc>
          <w:tcPr>
            <w:tcW w:w="686" w:type="pct"/>
            <w:vAlign w:val="center"/>
          </w:tcPr>
          <w:p w14:paraId="1714356E">
            <w:pPr>
              <w:pStyle w:val="29"/>
              <w:spacing w:line="240" w:lineRule="auto"/>
              <w:rPr>
                <w:szCs w:val="21"/>
              </w:rPr>
            </w:pPr>
            <w:r>
              <w:rPr>
                <w:rFonts w:hint="eastAsia"/>
                <w:szCs w:val="21"/>
              </w:rPr>
              <w:t>46．7°</w:t>
            </w:r>
          </w:p>
        </w:tc>
        <w:tc>
          <w:tcPr>
            <w:tcW w:w="666" w:type="pct"/>
            <w:vAlign w:val="center"/>
          </w:tcPr>
          <w:p w14:paraId="7D526D23">
            <w:pPr>
              <w:pStyle w:val="29"/>
              <w:spacing w:line="240" w:lineRule="auto"/>
              <w:rPr>
                <w:szCs w:val="21"/>
              </w:rPr>
            </w:pPr>
            <w:r>
              <w:rPr>
                <w:rFonts w:hint="eastAsia"/>
                <w:szCs w:val="21"/>
              </w:rPr>
              <w:t>84．9°</w:t>
            </w:r>
          </w:p>
        </w:tc>
        <w:tc>
          <w:tcPr>
            <w:tcW w:w="411" w:type="pct"/>
            <w:vAlign w:val="center"/>
          </w:tcPr>
          <w:p w14:paraId="5E31D00C">
            <w:pPr>
              <w:pStyle w:val="29"/>
              <w:spacing w:line="240" w:lineRule="auto"/>
              <w:rPr>
                <w:szCs w:val="21"/>
              </w:rPr>
            </w:pPr>
            <w:r>
              <w:rPr>
                <w:rFonts w:hint="eastAsia"/>
                <w:szCs w:val="21"/>
              </w:rPr>
              <w:t>3.4</w:t>
            </w:r>
          </w:p>
        </w:tc>
        <w:tc>
          <w:tcPr>
            <w:tcW w:w="686" w:type="pct"/>
            <w:vAlign w:val="center"/>
          </w:tcPr>
          <w:p w14:paraId="380751C6">
            <w:pPr>
              <w:pStyle w:val="29"/>
              <w:spacing w:line="240" w:lineRule="auto"/>
              <w:rPr>
                <w:szCs w:val="21"/>
              </w:rPr>
            </w:pPr>
            <w:r>
              <w:rPr>
                <w:rFonts w:hint="eastAsia"/>
                <w:szCs w:val="21"/>
              </w:rPr>
              <w:t>县境西南</w:t>
            </w:r>
          </w:p>
        </w:tc>
      </w:tr>
      <w:tr w14:paraId="3A05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1AC6F9AF">
            <w:pPr>
              <w:pStyle w:val="29"/>
              <w:spacing w:line="240" w:lineRule="auto"/>
              <w:rPr>
                <w:szCs w:val="21"/>
              </w:rPr>
            </w:pPr>
            <w:r>
              <w:rPr>
                <w:rFonts w:hint="eastAsia"/>
                <w:szCs w:val="21"/>
              </w:rPr>
              <w:t>2</w:t>
            </w:r>
          </w:p>
        </w:tc>
        <w:tc>
          <w:tcPr>
            <w:tcW w:w="459" w:type="pct"/>
            <w:vAlign w:val="center"/>
          </w:tcPr>
          <w:p w14:paraId="5E656D36">
            <w:pPr>
              <w:pStyle w:val="29"/>
              <w:spacing w:line="240" w:lineRule="auto"/>
              <w:rPr>
                <w:szCs w:val="21"/>
              </w:rPr>
            </w:pPr>
            <w:r>
              <w:rPr>
                <w:rFonts w:hint="eastAsia"/>
                <w:szCs w:val="21"/>
              </w:rPr>
              <w:t>1980</w:t>
            </w:r>
          </w:p>
        </w:tc>
        <w:tc>
          <w:tcPr>
            <w:tcW w:w="337" w:type="pct"/>
            <w:vAlign w:val="center"/>
          </w:tcPr>
          <w:p w14:paraId="741BAB1F">
            <w:pPr>
              <w:pStyle w:val="29"/>
              <w:spacing w:line="240" w:lineRule="auto"/>
              <w:rPr>
                <w:szCs w:val="21"/>
              </w:rPr>
            </w:pPr>
            <w:r>
              <w:rPr>
                <w:rFonts w:hint="eastAsia"/>
                <w:szCs w:val="21"/>
              </w:rPr>
              <w:t>4</w:t>
            </w:r>
          </w:p>
        </w:tc>
        <w:tc>
          <w:tcPr>
            <w:tcW w:w="337" w:type="pct"/>
            <w:vAlign w:val="center"/>
          </w:tcPr>
          <w:p w14:paraId="6480C3CA">
            <w:pPr>
              <w:pStyle w:val="29"/>
              <w:spacing w:line="240" w:lineRule="auto"/>
              <w:rPr>
                <w:szCs w:val="21"/>
              </w:rPr>
            </w:pPr>
            <w:r>
              <w:rPr>
                <w:rFonts w:hint="eastAsia"/>
                <w:szCs w:val="21"/>
              </w:rPr>
              <w:t>20</w:t>
            </w:r>
          </w:p>
        </w:tc>
        <w:tc>
          <w:tcPr>
            <w:tcW w:w="337" w:type="pct"/>
            <w:vAlign w:val="center"/>
          </w:tcPr>
          <w:p w14:paraId="3AE3FC37">
            <w:pPr>
              <w:pStyle w:val="29"/>
              <w:spacing w:line="240" w:lineRule="auto"/>
              <w:rPr>
                <w:szCs w:val="21"/>
              </w:rPr>
            </w:pPr>
            <w:r>
              <w:rPr>
                <w:rFonts w:hint="eastAsia"/>
                <w:szCs w:val="21"/>
              </w:rPr>
              <w:t>00</w:t>
            </w:r>
          </w:p>
        </w:tc>
        <w:tc>
          <w:tcPr>
            <w:tcW w:w="337" w:type="pct"/>
            <w:vAlign w:val="center"/>
          </w:tcPr>
          <w:p w14:paraId="574FB008">
            <w:pPr>
              <w:pStyle w:val="29"/>
              <w:spacing w:line="240" w:lineRule="auto"/>
              <w:rPr>
                <w:szCs w:val="21"/>
              </w:rPr>
            </w:pPr>
            <w:r>
              <w:rPr>
                <w:rFonts w:hint="eastAsia"/>
                <w:szCs w:val="21"/>
              </w:rPr>
              <w:t>32</w:t>
            </w:r>
          </w:p>
        </w:tc>
        <w:tc>
          <w:tcPr>
            <w:tcW w:w="337" w:type="pct"/>
            <w:vAlign w:val="center"/>
          </w:tcPr>
          <w:p w14:paraId="27210BE2">
            <w:pPr>
              <w:pStyle w:val="29"/>
              <w:spacing w:line="240" w:lineRule="auto"/>
              <w:rPr>
                <w:szCs w:val="21"/>
              </w:rPr>
            </w:pPr>
          </w:p>
        </w:tc>
        <w:tc>
          <w:tcPr>
            <w:tcW w:w="686" w:type="pct"/>
            <w:vAlign w:val="center"/>
          </w:tcPr>
          <w:p w14:paraId="39D1A2EF">
            <w:pPr>
              <w:pStyle w:val="29"/>
              <w:spacing w:line="240" w:lineRule="auto"/>
              <w:rPr>
                <w:szCs w:val="21"/>
              </w:rPr>
            </w:pPr>
            <w:r>
              <w:rPr>
                <w:rFonts w:hint="eastAsia"/>
                <w:szCs w:val="21"/>
              </w:rPr>
              <w:t>46．48°</w:t>
            </w:r>
          </w:p>
        </w:tc>
        <w:tc>
          <w:tcPr>
            <w:tcW w:w="666" w:type="pct"/>
            <w:vAlign w:val="center"/>
          </w:tcPr>
          <w:p w14:paraId="3A648FC1">
            <w:pPr>
              <w:pStyle w:val="29"/>
              <w:spacing w:line="240" w:lineRule="auto"/>
              <w:rPr>
                <w:szCs w:val="21"/>
              </w:rPr>
            </w:pPr>
            <w:r>
              <w:rPr>
                <w:rFonts w:hint="eastAsia"/>
                <w:szCs w:val="21"/>
              </w:rPr>
              <w:t>84．44°</w:t>
            </w:r>
          </w:p>
        </w:tc>
        <w:tc>
          <w:tcPr>
            <w:tcW w:w="411" w:type="pct"/>
            <w:vAlign w:val="center"/>
          </w:tcPr>
          <w:p w14:paraId="3EEBAC4A">
            <w:pPr>
              <w:pStyle w:val="29"/>
              <w:spacing w:line="240" w:lineRule="auto"/>
              <w:rPr>
                <w:szCs w:val="21"/>
              </w:rPr>
            </w:pPr>
            <w:r>
              <w:rPr>
                <w:rFonts w:hint="eastAsia"/>
                <w:szCs w:val="21"/>
              </w:rPr>
              <w:t>3.0</w:t>
            </w:r>
          </w:p>
        </w:tc>
        <w:tc>
          <w:tcPr>
            <w:tcW w:w="686" w:type="pct"/>
            <w:vAlign w:val="center"/>
          </w:tcPr>
          <w:p w14:paraId="723D702A">
            <w:pPr>
              <w:pStyle w:val="29"/>
              <w:spacing w:line="240" w:lineRule="auto"/>
              <w:rPr>
                <w:szCs w:val="21"/>
              </w:rPr>
            </w:pPr>
            <w:r>
              <w:rPr>
                <w:rFonts w:hint="eastAsia"/>
                <w:szCs w:val="21"/>
              </w:rPr>
              <w:t>县境</w:t>
            </w:r>
          </w:p>
        </w:tc>
      </w:tr>
      <w:tr w14:paraId="05A3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6D018619">
            <w:pPr>
              <w:pStyle w:val="29"/>
              <w:spacing w:line="240" w:lineRule="auto"/>
              <w:rPr>
                <w:szCs w:val="21"/>
              </w:rPr>
            </w:pPr>
            <w:r>
              <w:rPr>
                <w:rFonts w:hint="eastAsia"/>
                <w:szCs w:val="21"/>
              </w:rPr>
              <w:t>3</w:t>
            </w:r>
          </w:p>
        </w:tc>
        <w:tc>
          <w:tcPr>
            <w:tcW w:w="459" w:type="pct"/>
            <w:vAlign w:val="center"/>
          </w:tcPr>
          <w:p w14:paraId="6E824C8A">
            <w:pPr>
              <w:pStyle w:val="29"/>
              <w:spacing w:line="240" w:lineRule="auto"/>
              <w:rPr>
                <w:szCs w:val="21"/>
              </w:rPr>
            </w:pPr>
            <w:r>
              <w:rPr>
                <w:rFonts w:hint="eastAsia"/>
                <w:szCs w:val="21"/>
              </w:rPr>
              <w:t>1987</w:t>
            </w:r>
          </w:p>
        </w:tc>
        <w:tc>
          <w:tcPr>
            <w:tcW w:w="337" w:type="pct"/>
            <w:vAlign w:val="center"/>
          </w:tcPr>
          <w:p w14:paraId="17BF33DC">
            <w:pPr>
              <w:pStyle w:val="29"/>
              <w:spacing w:line="240" w:lineRule="auto"/>
              <w:rPr>
                <w:szCs w:val="21"/>
              </w:rPr>
            </w:pPr>
            <w:r>
              <w:rPr>
                <w:rFonts w:hint="eastAsia"/>
                <w:szCs w:val="21"/>
              </w:rPr>
              <w:t>9</w:t>
            </w:r>
          </w:p>
        </w:tc>
        <w:tc>
          <w:tcPr>
            <w:tcW w:w="337" w:type="pct"/>
            <w:vAlign w:val="center"/>
          </w:tcPr>
          <w:p w14:paraId="1D353DCA">
            <w:pPr>
              <w:pStyle w:val="29"/>
              <w:spacing w:line="240" w:lineRule="auto"/>
              <w:rPr>
                <w:szCs w:val="21"/>
              </w:rPr>
            </w:pPr>
            <w:r>
              <w:rPr>
                <w:rFonts w:hint="eastAsia"/>
                <w:szCs w:val="21"/>
              </w:rPr>
              <w:t>10</w:t>
            </w:r>
          </w:p>
        </w:tc>
        <w:tc>
          <w:tcPr>
            <w:tcW w:w="337" w:type="pct"/>
            <w:vAlign w:val="center"/>
          </w:tcPr>
          <w:p w14:paraId="1E903112">
            <w:pPr>
              <w:pStyle w:val="29"/>
              <w:spacing w:line="240" w:lineRule="auto"/>
              <w:rPr>
                <w:szCs w:val="21"/>
              </w:rPr>
            </w:pPr>
            <w:r>
              <w:rPr>
                <w:rFonts w:hint="eastAsia"/>
                <w:szCs w:val="21"/>
              </w:rPr>
              <w:t>03</w:t>
            </w:r>
          </w:p>
        </w:tc>
        <w:tc>
          <w:tcPr>
            <w:tcW w:w="337" w:type="pct"/>
            <w:vAlign w:val="center"/>
          </w:tcPr>
          <w:p w14:paraId="1CB74C58">
            <w:pPr>
              <w:pStyle w:val="29"/>
              <w:spacing w:line="240" w:lineRule="auto"/>
              <w:rPr>
                <w:szCs w:val="21"/>
              </w:rPr>
            </w:pPr>
            <w:r>
              <w:rPr>
                <w:rFonts w:hint="eastAsia"/>
                <w:szCs w:val="21"/>
              </w:rPr>
              <w:t>10</w:t>
            </w:r>
          </w:p>
        </w:tc>
        <w:tc>
          <w:tcPr>
            <w:tcW w:w="337" w:type="pct"/>
            <w:vAlign w:val="center"/>
          </w:tcPr>
          <w:p w14:paraId="3EF8866A">
            <w:pPr>
              <w:pStyle w:val="29"/>
              <w:spacing w:line="240" w:lineRule="auto"/>
              <w:rPr>
                <w:szCs w:val="21"/>
              </w:rPr>
            </w:pPr>
            <w:r>
              <w:rPr>
                <w:rFonts w:hint="eastAsia"/>
                <w:szCs w:val="21"/>
              </w:rPr>
              <w:t>07</w:t>
            </w:r>
          </w:p>
        </w:tc>
        <w:tc>
          <w:tcPr>
            <w:tcW w:w="686" w:type="pct"/>
            <w:vAlign w:val="center"/>
          </w:tcPr>
          <w:p w14:paraId="5F495E0F">
            <w:pPr>
              <w:pStyle w:val="29"/>
              <w:spacing w:line="240" w:lineRule="auto"/>
              <w:rPr>
                <w:szCs w:val="21"/>
              </w:rPr>
            </w:pPr>
            <w:r>
              <w:rPr>
                <w:rFonts w:hint="eastAsia"/>
                <w:szCs w:val="21"/>
              </w:rPr>
              <w:t>47．6°</w:t>
            </w:r>
          </w:p>
        </w:tc>
        <w:tc>
          <w:tcPr>
            <w:tcW w:w="666" w:type="pct"/>
            <w:vAlign w:val="center"/>
          </w:tcPr>
          <w:p w14:paraId="1CAA3F37">
            <w:pPr>
              <w:pStyle w:val="29"/>
              <w:spacing w:line="240" w:lineRule="auto"/>
              <w:rPr>
                <w:szCs w:val="21"/>
              </w:rPr>
            </w:pPr>
            <w:r>
              <w:rPr>
                <w:rFonts w:hint="eastAsia"/>
                <w:szCs w:val="21"/>
              </w:rPr>
              <w:t>85．7°</w:t>
            </w:r>
          </w:p>
        </w:tc>
        <w:tc>
          <w:tcPr>
            <w:tcW w:w="411" w:type="pct"/>
            <w:vAlign w:val="center"/>
          </w:tcPr>
          <w:p w14:paraId="4A47EBAF">
            <w:pPr>
              <w:pStyle w:val="29"/>
              <w:spacing w:line="240" w:lineRule="auto"/>
              <w:rPr>
                <w:szCs w:val="21"/>
              </w:rPr>
            </w:pPr>
            <w:r>
              <w:rPr>
                <w:rFonts w:hint="eastAsia"/>
                <w:szCs w:val="21"/>
              </w:rPr>
              <w:t>3.5</w:t>
            </w:r>
          </w:p>
        </w:tc>
        <w:tc>
          <w:tcPr>
            <w:tcW w:w="686" w:type="pct"/>
            <w:vAlign w:val="center"/>
          </w:tcPr>
          <w:p w14:paraId="44297616">
            <w:pPr>
              <w:pStyle w:val="29"/>
              <w:spacing w:line="240" w:lineRule="auto"/>
              <w:rPr>
                <w:szCs w:val="21"/>
              </w:rPr>
            </w:pPr>
            <w:r>
              <w:rPr>
                <w:rFonts w:hint="eastAsia"/>
                <w:szCs w:val="21"/>
              </w:rPr>
              <w:t>县境</w:t>
            </w:r>
          </w:p>
        </w:tc>
      </w:tr>
      <w:tr w14:paraId="3978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7E67E8BD">
            <w:pPr>
              <w:pStyle w:val="29"/>
              <w:spacing w:line="240" w:lineRule="auto"/>
              <w:rPr>
                <w:szCs w:val="21"/>
              </w:rPr>
            </w:pPr>
            <w:r>
              <w:rPr>
                <w:rFonts w:hint="eastAsia"/>
                <w:szCs w:val="21"/>
              </w:rPr>
              <w:t>4</w:t>
            </w:r>
          </w:p>
        </w:tc>
        <w:tc>
          <w:tcPr>
            <w:tcW w:w="459" w:type="pct"/>
            <w:vAlign w:val="center"/>
          </w:tcPr>
          <w:p w14:paraId="7358A19A">
            <w:pPr>
              <w:pStyle w:val="29"/>
              <w:spacing w:line="240" w:lineRule="auto"/>
              <w:rPr>
                <w:szCs w:val="21"/>
              </w:rPr>
            </w:pPr>
            <w:r>
              <w:rPr>
                <w:rFonts w:hint="eastAsia"/>
                <w:szCs w:val="21"/>
              </w:rPr>
              <w:t>1988</w:t>
            </w:r>
          </w:p>
        </w:tc>
        <w:tc>
          <w:tcPr>
            <w:tcW w:w="337" w:type="pct"/>
            <w:vAlign w:val="center"/>
          </w:tcPr>
          <w:p w14:paraId="2A3C9665">
            <w:pPr>
              <w:pStyle w:val="29"/>
              <w:spacing w:line="240" w:lineRule="auto"/>
              <w:rPr>
                <w:szCs w:val="21"/>
              </w:rPr>
            </w:pPr>
            <w:r>
              <w:rPr>
                <w:rFonts w:hint="eastAsia"/>
                <w:szCs w:val="21"/>
              </w:rPr>
              <w:t>3</w:t>
            </w:r>
          </w:p>
        </w:tc>
        <w:tc>
          <w:tcPr>
            <w:tcW w:w="337" w:type="pct"/>
            <w:vAlign w:val="center"/>
          </w:tcPr>
          <w:p w14:paraId="7162677F">
            <w:pPr>
              <w:pStyle w:val="29"/>
              <w:spacing w:line="240" w:lineRule="auto"/>
              <w:rPr>
                <w:szCs w:val="21"/>
              </w:rPr>
            </w:pPr>
            <w:r>
              <w:rPr>
                <w:rFonts w:hint="eastAsia"/>
                <w:szCs w:val="21"/>
              </w:rPr>
              <w:t>26</w:t>
            </w:r>
          </w:p>
        </w:tc>
        <w:tc>
          <w:tcPr>
            <w:tcW w:w="337" w:type="pct"/>
            <w:vAlign w:val="center"/>
          </w:tcPr>
          <w:p w14:paraId="672965ED">
            <w:pPr>
              <w:pStyle w:val="29"/>
              <w:spacing w:line="240" w:lineRule="auto"/>
              <w:rPr>
                <w:szCs w:val="21"/>
              </w:rPr>
            </w:pPr>
            <w:r>
              <w:rPr>
                <w:rFonts w:hint="eastAsia"/>
                <w:szCs w:val="21"/>
              </w:rPr>
              <w:t>17</w:t>
            </w:r>
          </w:p>
        </w:tc>
        <w:tc>
          <w:tcPr>
            <w:tcW w:w="337" w:type="pct"/>
            <w:vAlign w:val="center"/>
          </w:tcPr>
          <w:p w14:paraId="3A38196D">
            <w:pPr>
              <w:pStyle w:val="29"/>
              <w:spacing w:line="240" w:lineRule="auto"/>
              <w:rPr>
                <w:szCs w:val="21"/>
              </w:rPr>
            </w:pPr>
            <w:r>
              <w:rPr>
                <w:rFonts w:hint="eastAsia"/>
                <w:szCs w:val="21"/>
              </w:rPr>
              <w:t>23</w:t>
            </w:r>
          </w:p>
        </w:tc>
        <w:tc>
          <w:tcPr>
            <w:tcW w:w="337" w:type="pct"/>
            <w:vAlign w:val="center"/>
          </w:tcPr>
          <w:p w14:paraId="15344CC2">
            <w:pPr>
              <w:pStyle w:val="29"/>
              <w:spacing w:line="240" w:lineRule="auto"/>
              <w:rPr>
                <w:szCs w:val="21"/>
              </w:rPr>
            </w:pPr>
            <w:r>
              <w:rPr>
                <w:rFonts w:hint="eastAsia"/>
                <w:szCs w:val="21"/>
              </w:rPr>
              <w:t>43</w:t>
            </w:r>
          </w:p>
        </w:tc>
        <w:tc>
          <w:tcPr>
            <w:tcW w:w="686" w:type="pct"/>
            <w:vAlign w:val="center"/>
          </w:tcPr>
          <w:p w14:paraId="12716002">
            <w:pPr>
              <w:pStyle w:val="29"/>
              <w:spacing w:line="240" w:lineRule="auto"/>
              <w:rPr>
                <w:szCs w:val="21"/>
              </w:rPr>
            </w:pPr>
            <w:r>
              <w:rPr>
                <w:rFonts w:hint="eastAsia"/>
                <w:szCs w:val="21"/>
              </w:rPr>
              <w:t>46．9°</w:t>
            </w:r>
          </w:p>
        </w:tc>
        <w:tc>
          <w:tcPr>
            <w:tcW w:w="666" w:type="pct"/>
            <w:vAlign w:val="center"/>
          </w:tcPr>
          <w:p w14:paraId="227CE2AD">
            <w:pPr>
              <w:pStyle w:val="29"/>
              <w:spacing w:line="240" w:lineRule="auto"/>
              <w:rPr>
                <w:szCs w:val="21"/>
              </w:rPr>
            </w:pPr>
            <w:r>
              <w:rPr>
                <w:rFonts w:hint="eastAsia"/>
                <w:szCs w:val="21"/>
              </w:rPr>
              <w:t>84．8°</w:t>
            </w:r>
          </w:p>
        </w:tc>
        <w:tc>
          <w:tcPr>
            <w:tcW w:w="411" w:type="pct"/>
            <w:vAlign w:val="center"/>
          </w:tcPr>
          <w:p w14:paraId="2C10D84C">
            <w:pPr>
              <w:pStyle w:val="29"/>
              <w:spacing w:line="240" w:lineRule="auto"/>
              <w:rPr>
                <w:szCs w:val="21"/>
              </w:rPr>
            </w:pPr>
            <w:r>
              <w:rPr>
                <w:rFonts w:hint="eastAsia"/>
                <w:szCs w:val="21"/>
              </w:rPr>
              <w:t>3.2</w:t>
            </w:r>
          </w:p>
        </w:tc>
        <w:tc>
          <w:tcPr>
            <w:tcW w:w="686" w:type="pct"/>
            <w:vAlign w:val="center"/>
          </w:tcPr>
          <w:p w14:paraId="1D46A019">
            <w:pPr>
              <w:pStyle w:val="29"/>
              <w:spacing w:line="240" w:lineRule="auto"/>
              <w:rPr>
                <w:szCs w:val="21"/>
              </w:rPr>
            </w:pPr>
            <w:r>
              <w:rPr>
                <w:rFonts w:hint="eastAsia"/>
                <w:szCs w:val="21"/>
              </w:rPr>
              <w:t>县境西</w:t>
            </w:r>
          </w:p>
        </w:tc>
      </w:tr>
      <w:tr w14:paraId="22DC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61B80853">
            <w:pPr>
              <w:pStyle w:val="29"/>
              <w:spacing w:line="240" w:lineRule="auto"/>
              <w:rPr>
                <w:szCs w:val="21"/>
              </w:rPr>
            </w:pPr>
            <w:r>
              <w:rPr>
                <w:rFonts w:hint="eastAsia"/>
                <w:szCs w:val="21"/>
              </w:rPr>
              <w:t>5</w:t>
            </w:r>
          </w:p>
        </w:tc>
        <w:tc>
          <w:tcPr>
            <w:tcW w:w="459" w:type="pct"/>
            <w:vAlign w:val="center"/>
          </w:tcPr>
          <w:p w14:paraId="6C24550E">
            <w:pPr>
              <w:pStyle w:val="29"/>
              <w:spacing w:line="240" w:lineRule="auto"/>
              <w:rPr>
                <w:szCs w:val="21"/>
              </w:rPr>
            </w:pPr>
            <w:r>
              <w:rPr>
                <w:rFonts w:hint="eastAsia"/>
                <w:szCs w:val="21"/>
              </w:rPr>
              <w:t>1988</w:t>
            </w:r>
          </w:p>
        </w:tc>
        <w:tc>
          <w:tcPr>
            <w:tcW w:w="337" w:type="pct"/>
            <w:vAlign w:val="center"/>
          </w:tcPr>
          <w:p w14:paraId="48DFF26C">
            <w:pPr>
              <w:pStyle w:val="29"/>
              <w:spacing w:line="240" w:lineRule="auto"/>
              <w:rPr>
                <w:szCs w:val="21"/>
              </w:rPr>
            </w:pPr>
            <w:r>
              <w:rPr>
                <w:rFonts w:hint="eastAsia"/>
                <w:szCs w:val="21"/>
              </w:rPr>
              <w:t>6</w:t>
            </w:r>
          </w:p>
        </w:tc>
        <w:tc>
          <w:tcPr>
            <w:tcW w:w="337" w:type="pct"/>
            <w:vAlign w:val="center"/>
          </w:tcPr>
          <w:p w14:paraId="5263E848">
            <w:pPr>
              <w:pStyle w:val="29"/>
              <w:spacing w:line="240" w:lineRule="auto"/>
              <w:rPr>
                <w:szCs w:val="21"/>
              </w:rPr>
            </w:pPr>
            <w:r>
              <w:rPr>
                <w:rFonts w:hint="eastAsia"/>
                <w:szCs w:val="21"/>
              </w:rPr>
              <w:t>21</w:t>
            </w:r>
          </w:p>
        </w:tc>
        <w:tc>
          <w:tcPr>
            <w:tcW w:w="337" w:type="pct"/>
            <w:vAlign w:val="center"/>
          </w:tcPr>
          <w:p w14:paraId="5DD30432">
            <w:pPr>
              <w:pStyle w:val="29"/>
              <w:spacing w:line="240" w:lineRule="auto"/>
              <w:rPr>
                <w:szCs w:val="21"/>
              </w:rPr>
            </w:pPr>
            <w:r>
              <w:rPr>
                <w:rFonts w:hint="eastAsia"/>
                <w:szCs w:val="21"/>
              </w:rPr>
              <w:t>15</w:t>
            </w:r>
          </w:p>
        </w:tc>
        <w:tc>
          <w:tcPr>
            <w:tcW w:w="337" w:type="pct"/>
            <w:vAlign w:val="center"/>
          </w:tcPr>
          <w:p w14:paraId="0354DD8A">
            <w:pPr>
              <w:pStyle w:val="29"/>
              <w:spacing w:line="240" w:lineRule="auto"/>
              <w:rPr>
                <w:szCs w:val="21"/>
              </w:rPr>
            </w:pPr>
            <w:r>
              <w:rPr>
                <w:rFonts w:hint="eastAsia"/>
                <w:szCs w:val="21"/>
              </w:rPr>
              <w:t>08</w:t>
            </w:r>
          </w:p>
        </w:tc>
        <w:tc>
          <w:tcPr>
            <w:tcW w:w="337" w:type="pct"/>
            <w:vAlign w:val="center"/>
          </w:tcPr>
          <w:p w14:paraId="69C3B5C5">
            <w:pPr>
              <w:pStyle w:val="29"/>
              <w:spacing w:line="240" w:lineRule="auto"/>
              <w:rPr>
                <w:szCs w:val="21"/>
              </w:rPr>
            </w:pPr>
            <w:r>
              <w:rPr>
                <w:rFonts w:hint="eastAsia"/>
                <w:szCs w:val="21"/>
              </w:rPr>
              <w:t>15</w:t>
            </w:r>
          </w:p>
        </w:tc>
        <w:tc>
          <w:tcPr>
            <w:tcW w:w="686" w:type="pct"/>
            <w:vAlign w:val="center"/>
          </w:tcPr>
          <w:p w14:paraId="14214114">
            <w:pPr>
              <w:pStyle w:val="29"/>
              <w:spacing w:line="240" w:lineRule="auto"/>
              <w:rPr>
                <w:szCs w:val="21"/>
              </w:rPr>
            </w:pPr>
            <w:r>
              <w:rPr>
                <w:rFonts w:hint="eastAsia"/>
                <w:szCs w:val="21"/>
              </w:rPr>
              <w:t>46．44°</w:t>
            </w:r>
          </w:p>
        </w:tc>
        <w:tc>
          <w:tcPr>
            <w:tcW w:w="666" w:type="pct"/>
            <w:vAlign w:val="center"/>
          </w:tcPr>
          <w:p w14:paraId="5ACA6612">
            <w:pPr>
              <w:pStyle w:val="29"/>
              <w:spacing w:line="240" w:lineRule="auto"/>
              <w:rPr>
                <w:szCs w:val="21"/>
              </w:rPr>
            </w:pPr>
            <w:r>
              <w:rPr>
                <w:rFonts w:hint="eastAsia"/>
                <w:szCs w:val="21"/>
              </w:rPr>
              <w:t>86．29°</w:t>
            </w:r>
          </w:p>
        </w:tc>
        <w:tc>
          <w:tcPr>
            <w:tcW w:w="411" w:type="pct"/>
            <w:vAlign w:val="center"/>
          </w:tcPr>
          <w:p w14:paraId="21BA9729">
            <w:pPr>
              <w:pStyle w:val="29"/>
              <w:spacing w:line="240" w:lineRule="auto"/>
              <w:rPr>
                <w:szCs w:val="21"/>
              </w:rPr>
            </w:pPr>
            <w:r>
              <w:rPr>
                <w:rFonts w:hint="eastAsia"/>
                <w:szCs w:val="21"/>
              </w:rPr>
              <w:t>3.2</w:t>
            </w:r>
          </w:p>
        </w:tc>
        <w:tc>
          <w:tcPr>
            <w:tcW w:w="686" w:type="pct"/>
            <w:vAlign w:val="center"/>
          </w:tcPr>
          <w:p w14:paraId="0E45B279">
            <w:pPr>
              <w:pStyle w:val="29"/>
              <w:spacing w:line="240" w:lineRule="auto"/>
              <w:rPr>
                <w:szCs w:val="21"/>
              </w:rPr>
            </w:pPr>
            <w:r>
              <w:rPr>
                <w:rFonts w:hint="eastAsia"/>
                <w:szCs w:val="21"/>
              </w:rPr>
              <w:t>县境</w:t>
            </w:r>
          </w:p>
        </w:tc>
      </w:tr>
      <w:tr w14:paraId="0DA0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038F8EC8">
            <w:pPr>
              <w:pStyle w:val="29"/>
              <w:spacing w:line="240" w:lineRule="auto"/>
              <w:rPr>
                <w:szCs w:val="21"/>
              </w:rPr>
            </w:pPr>
            <w:r>
              <w:rPr>
                <w:rFonts w:hint="eastAsia"/>
                <w:szCs w:val="21"/>
              </w:rPr>
              <w:t>6</w:t>
            </w:r>
          </w:p>
        </w:tc>
        <w:tc>
          <w:tcPr>
            <w:tcW w:w="459" w:type="pct"/>
            <w:vAlign w:val="center"/>
          </w:tcPr>
          <w:p w14:paraId="35653206">
            <w:pPr>
              <w:pStyle w:val="29"/>
              <w:spacing w:line="240" w:lineRule="auto"/>
              <w:rPr>
                <w:szCs w:val="21"/>
              </w:rPr>
            </w:pPr>
            <w:r>
              <w:rPr>
                <w:rFonts w:hint="eastAsia"/>
                <w:szCs w:val="21"/>
              </w:rPr>
              <w:t>1988</w:t>
            </w:r>
          </w:p>
        </w:tc>
        <w:tc>
          <w:tcPr>
            <w:tcW w:w="337" w:type="pct"/>
            <w:vAlign w:val="center"/>
          </w:tcPr>
          <w:p w14:paraId="063CDFD5">
            <w:pPr>
              <w:pStyle w:val="29"/>
              <w:spacing w:line="240" w:lineRule="auto"/>
              <w:rPr>
                <w:szCs w:val="21"/>
              </w:rPr>
            </w:pPr>
            <w:r>
              <w:rPr>
                <w:rFonts w:hint="eastAsia"/>
                <w:szCs w:val="21"/>
              </w:rPr>
              <w:t>8</w:t>
            </w:r>
          </w:p>
        </w:tc>
        <w:tc>
          <w:tcPr>
            <w:tcW w:w="337" w:type="pct"/>
            <w:vAlign w:val="center"/>
          </w:tcPr>
          <w:p w14:paraId="6863A513">
            <w:pPr>
              <w:pStyle w:val="29"/>
              <w:spacing w:line="240" w:lineRule="auto"/>
              <w:rPr>
                <w:szCs w:val="21"/>
              </w:rPr>
            </w:pPr>
            <w:r>
              <w:rPr>
                <w:rFonts w:hint="eastAsia"/>
                <w:szCs w:val="21"/>
              </w:rPr>
              <w:t>14</w:t>
            </w:r>
          </w:p>
        </w:tc>
        <w:tc>
          <w:tcPr>
            <w:tcW w:w="337" w:type="pct"/>
            <w:vAlign w:val="center"/>
          </w:tcPr>
          <w:p w14:paraId="51C0BAAB">
            <w:pPr>
              <w:pStyle w:val="29"/>
              <w:spacing w:line="240" w:lineRule="auto"/>
              <w:rPr>
                <w:szCs w:val="21"/>
              </w:rPr>
            </w:pPr>
            <w:r>
              <w:rPr>
                <w:rFonts w:hint="eastAsia"/>
                <w:szCs w:val="21"/>
              </w:rPr>
              <w:t>16</w:t>
            </w:r>
          </w:p>
        </w:tc>
        <w:tc>
          <w:tcPr>
            <w:tcW w:w="337" w:type="pct"/>
            <w:vAlign w:val="center"/>
          </w:tcPr>
          <w:p w14:paraId="69C61A1F">
            <w:pPr>
              <w:pStyle w:val="29"/>
              <w:spacing w:line="240" w:lineRule="auto"/>
              <w:rPr>
                <w:szCs w:val="21"/>
              </w:rPr>
            </w:pPr>
            <w:r>
              <w:rPr>
                <w:rFonts w:hint="eastAsia"/>
                <w:szCs w:val="21"/>
              </w:rPr>
              <w:t>16</w:t>
            </w:r>
          </w:p>
        </w:tc>
        <w:tc>
          <w:tcPr>
            <w:tcW w:w="337" w:type="pct"/>
            <w:vAlign w:val="center"/>
          </w:tcPr>
          <w:p w14:paraId="6FE4F598">
            <w:pPr>
              <w:pStyle w:val="29"/>
              <w:spacing w:line="240" w:lineRule="auto"/>
              <w:rPr>
                <w:szCs w:val="21"/>
              </w:rPr>
            </w:pPr>
            <w:r>
              <w:rPr>
                <w:rFonts w:hint="eastAsia"/>
                <w:szCs w:val="21"/>
              </w:rPr>
              <w:t>44</w:t>
            </w:r>
          </w:p>
        </w:tc>
        <w:tc>
          <w:tcPr>
            <w:tcW w:w="686" w:type="pct"/>
            <w:vAlign w:val="center"/>
          </w:tcPr>
          <w:p w14:paraId="3DAEBC5C">
            <w:pPr>
              <w:pStyle w:val="29"/>
              <w:spacing w:line="240" w:lineRule="auto"/>
              <w:rPr>
                <w:szCs w:val="21"/>
              </w:rPr>
            </w:pPr>
            <w:r>
              <w:rPr>
                <w:rFonts w:hint="eastAsia"/>
                <w:szCs w:val="21"/>
              </w:rPr>
              <w:t>46．5°</w:t>
            </w:r>
          </w:p>
        </w:tc>
        <w:tc>
          <w:tcPr>
            <w:tcW w:w="666" w:type="pct"/>
            <w:vAlign w:val="center"/>
          </w:tcPr>
          <w:p w14:paraId="737CDDE0">
            <w:pPr>
              <w:pStyle w:val="29"/>
              <w:spacing w:line="240" w:lineRule="auto"/>
              <w:rPr>
                <w:szCs w:val="21"/>
              </w:rPr>
            </w:pPr>
            <w:r>
              <w:rPr>
                <w:rFonts w:hint="eastAsia"/>
                <w:szCs w:val="21"/>
              </w:rPr>
              <w:t>86．16°</w:t>
            </w:r>
          </w:p>
        </w:tc>
        <w:tc>
          <w:tcPr>
            <w:tcW w:w="411" w:type="pct"/>
            <w:vAlign w:val="center"/>
          </w:tcPr>
          <w:p w14:paraId="1858CD05">
            <w:pPr>
              <w:pStyle w:val="29"/>
              <w:spacing w:line="240" w:lineRule="auto"/>
              <w:rPr>
                <w:szCs w:val="21"/>
              </w:rPr>
            </w:pPr>
            <w:r>
              <w:rPr>
                <w:rFonts w:hint="eastAsia"/>
                <w:szCs w:val="21"/>
              </w:rPr>
              <w:t>4.3</w:t>
            </w:r>
          </w:p>
        </w:tc>
        <w:tc>
          <w:tcPr>
            <w:tcW w:w="686" w:type="pct"/>
            <w:vAlign w:val="center"/>
          </w:tcPr>
          <w:p w14:paraId="21BDE8FF">
            <w:pPr>
              <w:pStyle w:val="29"/>
              <w:spacing w:line="240" w:lineRule="auto"/>
              <w:rPr>
                <w:szCs w:val="21"/>
              </w:rPr>
            </w:pPr>
            <w:r>
              <w:rPr>
                <w:rFonts w:hint="eastAsia"/>
                <w:szCs w:val="21"/>
              </w:rPr>
              <w:t>县境</w:t>
            </w:r>
          </w:p>
        </w:tc>
      </w:tr>
      <w:tr w14:paraId="6370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5A413F92">
            <w:pPr>
              <w:pStyle w:val="29"/>
              <w:spacing w:line="240" w:lineRule="auto"/>
              <w:rPr>
                <w:szCs w:val="21"/>
              </w:rPr>
            </w:pPr>
            <w:r>
              <w:rPr>
                <w:rFonts w:hint="eastAsia"/>
                <w:szCs w:val="21"/>
              </w:rPr>
              <w:t>7</w:t>
            </w:r>
          </w:p>
        </w:tc>
        <w:tc>
          <w:tcPr>
            <w:tcW w:w="459" w:type="pct"/>
            <w:vAlign w:val="center"/>
          </w:tcPr>
          <w:p w14:paraId="1430A825">
            <w:pPr>
              <w:pStyle w:val="29"/>
              <w:spacing w:line="240" w:lineRule="auto"/>
              <w:rPr>
                <w:szCs w:val="21"/>
              </w:rPr>
            </w:pPr>
            <w:r>
              <w:rPr>
                <w:rFonts w:hint="eastAsia"/>
                <w:szCs w:val="21"/>
              </w:rPr>
              <w:t>1988</w:t>
            </w:r>
          </w:p>
        </w:tc>
        <w:tc>
          <w:tcPr>
            <w:tcW w:w="337" w:type="pct"/>
            <w:vAlign w:val="center"/>
          </w:tcPr>
          <w:p w14:paraId="29AF60B2">
            <w:pPr>
              <w:pStyle w:val="29"/>
              <w:spacing w:line="240" w:lineRule="auto"/>
              <w:rPr>
                <w:szCs w:val="21"/>
              </w:rPr>
            </w:pPr>
            <w:r>
              <w:rPr>
                <w:rFonts w:hint="eastAsia"/>
                <w:szCs w:val="21"/>
              </w:rPr>
              <w:t>9</w:t>
            </w:r>
          </w:p>
        </w:tc>
        <w:tc>
          <w:tcPr>
            <w:tcW w:w="337" w:type="pct"/>
            <w:vAlign w:val="center"/>
          </w:tcPr>
          <w:p w14:paraId="481D4A8E">
            <w:pPr>
              <w:pStyle w:val="29"/>
              <w:spacing w:line="240" w:lineRule="auto"/>
              <w:rPr>
                <w:szCs w:val="21"/>
              </w:rPr>
            </w:pPr>
            <w:r>
              <w:rPr>
                <w:rFonts w:hint="eastAsia"/>
                <w:szCs w:val="21"/>
              </w:rPr>
              <w:t>24</w:t>
            </w:r>
          </w:p>
        </w:tc>
        <w:tc>
          <w:tcPr>
            <w:tcW w:w="337" w:type="pct"/>
            <w:vAlign w:val="center"/>
          </w:tcPr>
          <w:p w14:paraId="26C204C7">
            <w:pPr>
              <w:pStyle w:val="29"/>
              <w:spacing w:line="240" w:lineRule="auto"/>
              <w:rPr>
                <w:szCs w:val="21"/>
              </w:rPr>
            </w:pPr>
            <w:r>
              <w:rPr>
                <w:rFonts w:hint="eastAsia"/>
                <w:szCs w:val="21"/>
              </w:rPr>
              <w:t>23</w:t>
            </w:r>
          </w:p>
        </w:tc>
        <w:tc>
          <w:tcPr>
            <w:tcW w:w="337" w:type="pct"/>
            <w:vAlign w:val="center"/>
          </w:tcPr>
          <w:p w14:paraId="7C3DFBF0">
            <w:pPr>
              <w:pStyle w:val="29"/>
              <w:spacing w:line="240" w:lineRule="auto"/>
              <w:rPr>
                <w:szCs w:val="21"/>
              </w:rPr>
            </w:pPr>
            <w:r>
              <w:rPr>
                <w:rFonts w:hint="eastAsia"/>
                <w:szCs w:val="21"/>
              </w:rPr>
              <w:t>34</w:t>
            </w:r>
          </w:p>
        </w:tc>
        <w:tc>
          <w:tcPr>
            <w:tcW w:w="337" w:type="pct"/>
            <w:vAlign w:val="center"/>
          </w:tcPr>
          <w:p w14:paraId="70F7287C">
            <w:pPr>
              <w:pStyle w:val="29"/>
              <w:spacing w:line="240" w:lineRule="auto"/>
              <w:rPr>
                <w:szCs w:val="21"/>
              </w:rPr>
            </w:pPr>
            <w:r>
              <w:rPr>
                <w:rFonts w:hint="eastAsia"/>
                <w:szCs w:val="21"/>
              </w:rPr>
              <w:t>37</w:t>
            </w:r>
          </w:p>
        </w:tc>
        <w:tc>
          <w:tcPr>
            <w:tcW w:w="686" w:type="pct"/>
            <w:vAlign w:val="center"/>
          </w:tcPr>
          <w:p w14:paraId="54D91874">
            <w:pPr>
              <w:pStyle w:val="29"/>
              <w:spacing w:line="240" w:lineRule="auto"/>
              <w:rPr>
                <w:szCs w:val="21"/>
              </w:rPr>
            </w:pPr>
            <w:r>
              <w:rPr>
                <w:rFonts w:hint="eastAsia"/>
                <w:szCs w:val="21"/>
              </w:rPr>
              <w:t>47．2°</w:t>
            </w:r>
          </w:p>
        </w:tc>
        <w:tc>
          <w:tcPr>
            <w:tcW w:w="666" w:type="pct"/>
            <w:vAlign w:val="center"/>
          </w:tcPr>
          <w:p w14:paraId="278BFA47">
            <w:pPr>
              <w:pStyle w:val="29"/>
              <w:spacing w:line="240" w:lineRule="auto"/>
              <w:rPr>
                <w:szCs w:val="21"/>
              </w:rPr>
            </w:pPr>
            <w:r>
              <w:rPr>
                <w:rFonts w:hint="eastAsia"/>
                <w:szCs w:val="21"/>
              </w:rPr>
              <w:t>85．1°</w:t>
            </w:r>
          </w:p>
        </w:tc>
        <w:tc>
          <w:tcPr>
            <w:tcW w:w="411" w:type="pct"/>
            <w:vAlign w:val="center"/>
          </w:tcPr>
          <w:p w14:paraId="400D2AFE">
            <w:pPr>
              <w:pStyle w:val="29"/>
              <w:spacing w:line="240" w:lineRule="auto"/>
              <w:rPr>
                <w:szCs w:val="21"/>
              </w:rPr>
            </w:pPr>
            <w:r>
              <w:rPr>
                <w:rFonts w:hint="eastAsia"/>
                <w:szCs w:val="21"/>
              </w:rPr>
              <w:t>3.0</w:t>
            </w:r>
          </w:p>
        </w:tc>
        <w:tc>
          <w:tcPr>
            <w:tcW w:w="686" w:type="pct"/>
            <w:vAlign w:val="center"/>
          </w:tcPr>
          <w:p w14:paraId="54372AC3">
            <w:pPr>
              <w:pStyle w:val="29"/>
              <w:spacing w:line="240" w:lineRule="auto"/>
              <w:rPr>
                <w:szCs w:val="21"/>
              </w:rPr>
            </w:pPr>
            <w:r>
              <w:rPr>
                <w:rFonts w:hint="eastAsia"/>
                <w:szCs w:val="21"/>
              </w:rPr>
              <w:t>县境西</w:t>
            </w:r>
          </w:p>
        </w:tc>
      </w:tr>
      <w:tr w14:paraId="1803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6A67269C">
            <w:pPr>
              <w:pStyle w:val="29"/>
              <w:spacing w:line="240" w:lineRule="auto"/>
              <w:rPr>
                <w:szCs w:val="21"/>
              </w:rPr>
            </w:pPr>
            <w:r>
              <w:rPr>
                <w:rFonts w:hint="eastAsia"/>
                <w:szCs w:val="21"/>
              </w:rPr>
              <w:t>8</w:t>
            </w:r>
          </w:p>
        </w:tc>
        <w:tc>
          <w:tcPr>
            <w:tcW w:w="459" w:type="pct"/>
            <w:vAlign w:val="center"/>
          </w:tcPr>
          <w:p w14:paraId="12411C85">
            <w:pPr>
              <w:pStyle w:val="29"/>
              <w:spacing w:line="240" w:lineRule="auto"/>
              <w:rPr>
                <w:szCs w:val="21"/>
              </w:rPr>
            </w:pPr>
            <w:r>
              <w:rPr>
                <w:rFonts w:hint="eastAsia"/>
                <w:szCs w:val="21"/>
              </w:rPr>
              <w:t>1990</w:t>
            </w:r>
          </w:p>
        </w:tc>
        <w:tc>
          <w:tcPr>
            <w:tcW w:w="337" w:type="pct"/>
            <w:vAlign w:val="center"/>
          </w:tcPr>
          <w:p w14:paraId="66EFD8BB">
            <w:pPr>
              <w:pStyle w:val="29"/>
              <w:spacing w:line="240" w:lineRule="auto"/>
              <w:rPr>
                <w:szCs w:val="21"/>
              </w:rPr>
            </w:pPr>
            <w:r>
              <w:rPr>
                <w:rFonts w:hint="eastAsia"/>
                <w:szCs w:val="21"/>
              </w:rPr>
              <w:t>1</w:t>
            </w:r>
          </w:p>
        </w:tc>
        <w:tc>
          <w:tcPr>
            <w:tcW w:w="337" w:type="pct"/>
            <w:vAlign w:val="center"/>
          </w:tcPr>
          <w:p w14:paraId="1A5A638A">
            <w:pPr>
              <w:pStyle w:val="29"/>
              <w:spacing w:line="240" w:lineRule="auto"/>
              <w:rPr>
                <w:szCs w:val="21"/>
              </w:rPr>
            </w:pPr>
            <w:r>
              <w:rPr>
                <w:rFonts w:hint="eastAsia"/>
                <w:szCs w:val="21"/>
              </w:rPr>
              <w:t>12</w:t>
            </w:r>
          </w:p>
        </w:tc>
        <w:tc>
          <w:tcPr>
            <w:tcW w:w="337" w:type="pct"/>
            <w:vAlign w:val="center"/>
          </w:tcPr>
          <w:p w14:paraId="18A9644D">
            <w:pPr>
              <w:pStyle w:val="29"/>
              <w:spacing w:line="240" w:lineRule="auto"/>
              <w:rPr>
                <w:szCs w:val="21"/>
              </w:rPr>
            </w:pPr>
            <w:r>
              <w:rPr>
                <w:rFonts w:hint="eastAsia"/>
                <w:szCs w:val="21"/>
              </w:rPr>
              <w:t>16</w:t>
            </w:r>
          </w:p>
        </w:tc>
        <w:tc>
          <w:tcPr>
            <w:tcW w:w="337" w:type="pct"/>
            <w:vAlign w:val="center"/>
          </w:tcPr>
          <w:p w14:paraId="3579962B">
            <w:pPr>
              <w:pStyle w:val="29"/>
              <w:spacing w:line="240" w:lineRule="auto"/>
              <w:rPr>
                <w:szCs w:val="21"/>
              </w:rPr>
            </w:pPr>
            <w:r>
              <w:rPr>
                <w:rFonts w:hint="eastAsia"/>
                <w:szCs w:val="21"/>
              </w:rPr>
              <w:t>01</w:t>
            </w:r>
          </w:p>
        </w:tc>
        <w:tc>
          <w:tcPr>
            <w:tcW w:w="337" w:type="pct"/>
            <w:vAlign w:val="center"/>
          </w:tcPr>
          <w:p w14:paraId="1482D24E">
            <w:pPr>
              <w:pStyle w:val="29"/>
              <w:spacing w:line="240" w:lineRule="auto"/>
              <w:rPr>
                <w:szCs w:val="21"/>
              </w:rPr>
            </w:pPr>
            <w:r>
              <w:rPr>
                <w:rFonts w:hint="eastAsia"/>
                <w:szCs w:val="21"/>
              </w:rPr>
              <w:t>42</w:t>
            </w:r>
          </w:p>
        </w:tc>
        <w:tc>
          <w:tcPr>
            <w:tcW w:w="686" w:type="pct"/>
            <w:vAlign w:val="center"/>
          </w:tcPr>
          <w:p w14:paraId="79CAB646">
            <w:pPr>
              <w:pStyle w:val="29"/>
              <w:spacing w:line="240" w:lineRule="auto"/>
              <w:rPr>
                <w:szCs w:val="21"/>
              </w:rPr>
            </w:pPr>
            <w:r>
              <w:rPr>
                <w:rFonts w:hint="eastAsia"/>
                <w:szCs w:val="21"/>
              </w:rPr>
              <w:t>46．49°</w:t>
            </w:r>
          </w:p>
        </w:tc>
        <w:tc>
          <w:tcPr>
            <w:tcW w:w="666" w:type="pct"/>
            <w:vAlign w:val="center"/>
          </w:tcPr>
          <w:p w14:paraId="70BFA79E">
            <w:pPr>
              <w:pStyle w:val="29"/>
              <w:spacing w:line="240" w:lineRule="auto"/>
              <w:rPr>
                <w:szCs w:val="21"/>
              </w:rPr>
            </w:pPr>
            <w:r>
              <w:rPr>
                <w:rFonts w:hint="eastAsia"/>
                <w:szCs w:val="21"/>
              </w:rPr>
              <w:t>86．48°</w:t>
            </w:r>
          </w:p>
        </w:tc>
        <w:tc>
          <w:tcPr>
            <w:tcW w:w="411" w:type="pct"/>
            <w:vAlign w:val="center"/>
          </w:tcPr>
          <w:p w14:paraId="038E52E9">
            <w:pPr>
              <w:pStyle w:val="29"/>
              <w:spacing w:line="240" w:lineRule="auto"/>
              <w:rPr>
                <w:szCs w:val="21"/>
              </w:rPr>
            </w:pPr>
            <w:r>
              <w:rPr>
                <w:rFonts w:hint="eastAsia"/>
                <w:szCs w:val="21"/>
              </w:rPr>
              <w:t>3.3</w:t>
            </w:r>
          </w:p>
        </w:tc>
        <w:tc>
          <w:tcPr>
            <w:tcW w:w="686" w:type="pct"/>
            <w:vAlign w:val="center"/>
          </w:tcPr>
          <w:p w14:paraId="060F6786">
            <w:pPr>
              <w:pStyle w:val="29"/>
              <w:spacing w:line="240" w:lineRule="auto"/>
              <w:rPr>
                <w:szCs w:val="21"/>
              </w:rPr>
            </w:pPr>
            <w:r>
              <w:rPr>
                <w:rFonts w:hint="eastAsia"/>
                <w:szCs w:val="21"/>
              </w:rPr>
              <w:t>县境</w:t>
            </w:r>
          </w:p>
        </w:tc>
      </w:tr>
      <w:tr w14:paraId="3A52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1" w:type="pct"/>
            <w:vAlign w:val="center"/>
          </w:tcPr>
          <w:p w14:paraId="4FB9E116">
            <w:pPr>
              <w:pStyle w:val="29"/>
              <w:spacing w:line="240" w:lineRule="auto"/>
              <w:rPr>
                <w:szCs w:val="21"/>
              </w:rPr>
            </w:pPr>
            <w:r>
              <w:rPr>
                <w:rFonts w:hint="eastAsia"/>
                <w:szCs w:val="21"/>
              </w:rPr>
              <w:t>9</w:t>
            </w:r>
          </w:p>
        </w:tc>
        <w:tc>
          <w:tcPr>
            <w:tcW w:w="459" w:type="pct"/>
            <w:vAlign w:val="center"/>
          </w:tcPr>
          <w:p w14:paraId="28FCFA96">
            <w:pPr>
              <w:pStyle w:val="29"/>
              <w:spacing w:line="240" w:lineRule="auto"/>
              <w:rPr>
                <w:szCs w:val="21"/>
              </w:rPr>
            </w:pPr>
            <w:r>
              <w:rPr>
                <w:rFonts w:hint="eastAsia"/>
                <w:szCs w:val="21"/>
              </w:rPr>
              <w:t>1990</w:t>
            </w:r>
          </w:p>
        </w:tc>
        <w:tc>
          <w:tcPr>
            <w:tcW w:w="337" w:type="pct"/>
            <w:vAlign w:val="center"/>
          </w:tcPr>
          <w:p w14:paraId="0C260E0F">
            <w:pPr>
              <w:pStyle w:val="29"/>
              <w:spacing w:line="240" w:lineRule="auto"/>
              <w:rPr>
                <w:szCs w:val="21"/>
              </w:rPr>
            </w:pPr>
            <w:r>
              <w:rPr>
                <w:rFonts w:hint="eastAsia"/>
                <w:szCs w:val="21"/>
              </w:rPr>
              <w:t>2</w:t>
            </w:r>
          </w:p>
        </w:tc>
        <w:tc>
          <w:tcPr>
            <w:tcW w:w="337" w:type="pct"/>
            <w:vAlign w:val="center"/>
          </w:tcPr>
          <w:p w14:paraId="2AF60674">
            <w:pPr>
              <w:pStyle w:val="29"/>
              <w:spacing w:line="240" w:lineRule="auto"/>
              <w:rPr>
                <w:szCs w:val="21"/>
              </w:rPr>
            </w:pPr>
            <w:r>
              <w:rPr>
                <w:rFonts w:hint="eastAsia"/>
                <w:szCs w:val="21"/>
              </w:rPr>
              <w:t>22</w:t>
            </w:r>
          </w:p>
        </w:tc>
        <w:tc>
          <w:tcPr>
            <w:tcW w:w="337" w:type="pct"/>
            <w:vAlign w:val="center"/>
          </w:tcPr>
          <w:p w14:paraId="3B62620A">
            <w:pPr>
              <w:pStyle w:val="29"/>
              <w:spacing w:line="240" w:lineRule="auto"/>
              <w:rPr>
                <w:szCs w:val="21"/>
              </w:rPr>
            </w:pPr>
            <w:r>
              <w:rPr>
                <w:rFonts w:hint="eastAsia"/>
                <w:szCs w:val="21"/>
              </w:rPr>
              <w:t>05</w:t>
            </w:r>
          </w:p>
        </w:tc>
        <w:tc>
          <w:tcPr>
            <w:tcW w:w="337" w:type="pct"/>
            <w:vAlign w:val="center"/>
          </w:tcPr>
          <w:p w14:paraId="4857E190">
            <w:pPr>
              <w:pStyle w:val="29"/>
              <w:spacing w:line="240" w:lineRule="auto"/>
              <w:rPr>
                <w:szCs w:val="21"/>
              </w:rPr>
            </w:pPr>
            <w:r>
              <w:rPr>
                <w:rFonts w:hint="eastAsia"/>
                <w:szCs w:val="21"/>
              </w:rPr>
              <w:t>14</w:t>
            </w:r>
          </w:p>
        </w:tc>
        <w:tc>
          <w:tcPr>
            <w:tcW w:w="337" w:type="pct"/>
            <w:vAlign w:val="center"/>
          </w:tcPr>
          <w:p w14:paraId="6E753989">
            <w:pPr>
              <w:pStyle w:val="29"/>
              <w:spacing w:line="240" w:lineRule="auto"/>
              <w:rPr>
                <w:szCs w:val="21"/>
              </w:rPr>
            </w:pPr>
            <w:r>
              <w:rPr>
                <w:rFonts w:hint="eastAsia"/>
                <w:szCs w:val="21"/>
              </w:rPr>
              <w:t>17</w:t>
            </w:r>
          </w:p>
        </w:tc>
        <w:tc>
          <w:tcPr>
            <w:tcW w:w="686" w:type="pct"/>
            <w:vAlign w:val="center"/>
          </w:tcPr>
          <w:p w14:paraId="222D3003">
            <w:pPr>
              <w:pStyle w:val="29"/>
              <w:spacing w:line="240" w:lineRule="auto"/>
              <w:rPr>
                <w:szCs w:val="21"/>
              </w:rPr>
            </w:pPr>
            <w:r>
              <w:rPr>
                <w:rFonts w:hint="eastAsia"/>
                <w:szCs w:val="21"/>
              </w:rPr>
              <w:t>47．37°</w:t>
            </w:r>
          </w:p>
        </w:tc>
        <w:tc>
          <w:tcPr>
            <w:tcW w:w="666" w:type="pct"/>
            <w:vAlign w:val="center"/>
          </w:tcPr>
          <w:p w14:paraId="3A97A4A7">
            <w:pPr>
              <w:pStyle w:val="29"/>
              <w:spacing w:line="240" w:lineRule="auto"/>
              <w:rPr>
                <w:szCs w:val="21"/>
              </w:rPr>
            </w:pPr>
            <w:r>
              <w:rPr>
                <w:rFonts w:hint="eastAsia"/>
                <w:szCs w:val="21"/>
              </w:rPr>
              <w:t>85．48°</w:t>
            </w:r>
          </w:p>
        </w:tc>
        <w:tc>
          <w:tcPr>
            <w:tcW w:w="411" w:type="pct"/>
            <w:vAlign w:val="center"/>
          </w:tcPr>
          <w:p w14:paraId="66947208">
            <w:pPr>
              <w:pStyle w:val="29"/>
              <w:spacing w:line="240" w:lineRule="auto"/>
              <w:rPr>
                <w:szCs w:val="21"/>
              </w:rPr>
            </w:pPr>
            <w:r>
              <w:rPr>
                <w:rFonts w:hint="eastAsia"/>
                <w:szCs w:val="21"/>
              </w:rPr>
              <w:t>3.7</w:t>
            </w:r>
          </w:p>
        </w:tc>
        <w:tc>
          <w:tcPr>
            <w:tcW w:w="686" w:type="pct"/>
            <w:vAlign w:val="center"/>
          </w:tcPr>
          <w:p w14:paraId="67E7952A">
            <w:pPr>
              <w:pStyle w:val="29"/>
              <w:spacing w:line="240" w:lineRule="auto"/>
              <w:rPr>
                <w:szCs w:val="21"/>
              </w:rPr>
            </w:pPr>
            <w:r>
              <w:rPr>
                <w:rFonts w:hint="eastAsia"/>
                <w:szCs w:val="21"/>
              </w:rPr>
              <w:t>县境</w:t>
            </w:r>
          </w:p>
        </w:tc>
      </w:tr>
    </w:tbl>
    <w:p w14:paraId="40EBF7A7">
      <w:pPr>
        <w:pStyle w:val="23"/>
        <w:spacing w:line="240" w:lineRule="auto"/>
        <w:ind w:firstLine="0" w:firstLineChars="0"/>
        <w:jc w:val="center"/>
        <w:rPr>
          <w:color w:val="FF0000"/>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3624580</wp:posOffset>
                </wp:positionH>
                <wp:positionV relativeFrom="paragraph">
                  <wp:posOffset>541020</wp:posOffset>
                </wp:positionV>
                <wp:extent cx="794385" cy="467360"/>
                <wp:effectExtent l="0" t="0" r="310515" b="294640"/>
                <wp:wrapNone/>
                <wp:docPr id="14" name="对话气泡: 矩形 14"/>
                <wp:cNvGraphicFramePr/>
                <a:graphic xmlns:a="http://schemas.openxmlformats.org/drawingml/2006/main">
                  <a:graphicData uri="http://schemas.microsoft.com/office/word/2010/wordprocessingShape">
                    <wps:wsp>
                      <wps:cNvSpPr>
                        <a:spLocks noChangeArrowheads="1"/>
                      </wps:cNvSpPr>
                      <wps:spPr bwMode="auto">
                        <a:xfrm>
                          <a:off x="0" y="0"/>
                          <a:ext cx="794385" cy="467360"/>
                        </a:xfrm>
                        <a:prstGeom prst="wedgeRectCallout">
                          <a:avLst>
                            <a:gd name="adj1" fmla="val 79005"/>
                            <a:gd name="adj2" fmla="val 98307"/>
                          </a:avLst>
                        </a:prstGeom>
                        <a:noFill/>
                        <a:ln w="9525" cmpd="sng">
                          <a:solidFill>
                            <a:srgbClr val="000000"/>
                          </a:solidFill>
                          <a:miter lim="800000"/>
                        </a:ln>
                        <a:effectLst/>
                      </wps:spPr>
                      <wps:txbx>
                        <w:txbxContent>
                          <w:p w14:paraId="4DFD251E">
                            <w:pPr>
                              <w:ind w:firstLine="0" w:firstLineChars="0"/>
                              <w:rPr>
                                <w:rFonts w:eastAsia="宋体"/>
                              </w:rPr>
                            </w:pPr>
                            <w:r>
                              <w:rPr>
                                <w:rFonts w:hint="eastAsia"/>
                              </w:rPr>
                              <w:t>治理区</w:t>
                            </w:r>
                          </w:p>
                        </w:txbxContent>
                      </wps:txbx>
                      <wps:bodyPr rot="0" vert="horz" wrap="square" lIns="91440" tIns="45720" rIns="91440" bIns="45720" anchor="t" anchorCtr="0" upright="1">
                        <a:noAutofit/>
                      </wps:bodyPr>
                    </wps:wsp>
                  </a:graphicData>
                </a:graphic>
              </wp:anchor>
            </w:drawing>
          </mc:Choice>
          <mc:Fallback>
            <w:pict>
              <v:shape id="对话气泡: 矩形 14" o:spid="_x0000_s1026" o:spt="61" type="#_x0000_t61" style="position:absolute;left:0pt;margin-left:285.4pt;margin-top:42.6pt;height:36.8pt;width:62.55pt;z-index:251660288;mso-width-relative:page;mso-height-relative:page;" filled="f" stroked="t" coordsize="21600,21600" o:gfxdata="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Czyp82QAAAAoBAAAPAAAAAAAAAAEA&#10;IAAAACIAAABkcnMvZG93bnJldi54bWxQSwECFAAUAAAACACHTuJA4LMDYYACAADWBAAADgAAAAAA&#10;AAABACAAAAAoAQAAZHJzL2Uyb0RvYy54bWxQSwUGAAAAAAYABgBZAQAAGgYAAAAA&#10;" adj="27865,32034">
                <v:fill on="f" focussize="0,0"/>
                <v:stroke color="#000000" miterlimit="8" joinstyle="miter"/>
                <v:imagedata o:title=""/>
                <o:lock v:ext="edit" aspectratio="f"/>
                <v:textbox>
                  <w:txbxContent>
                    <w:p w14:paraId="4DFD251E">
                      <w:pPr>
                        <w:ind w:firstLine="0" w:firstLineChars="0"/>
                        <w:rPr>
                          <w:rFonts w:eastAsia="宋体"/>
                        </w:rPr>
                      </w:pPr>
                      <w:r>
                        <w:rPr>
                          <w:rFonts w:hint="eastAsia"/>
                        </w:rPr>
                        <w:t>治理区</w:t>
                      </w:r>
                    </w:p>
                  </w:txbxContent>
                </v:textbox>
              </v:shap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4613910</wp:posOffset>
                </wp:positionH>
                <wp:positionV relativeFrom="paragraph">
                  <wp:posOffset>1202690</wp:posOffset>
                </wp:positionV>
                <wp:extent cx="76200" cy="76200"/>
                <wp:effectExtent l="22860" t="19685" r="15240" b="18415"/>
                <wp:wrapNone/>
                <wp:docPr id="13" name="矩形 13"/>
                <wp:cNvGraphicFramePr/>
                <a:graphic xmlns:a="http://schemas.openxmlformats.org/drawingml/2006/main">
                  <a:graphicData uri="http://schemas.microsoft.com/office/word/2010/wordprocessingShape">
                    <wps:wsp>
                      <wps:cNvSpPr>
                        <a:spLocks noChangeArrowheads="1"/>
                      </wps:cNvSpPr>
                      <wps:spPr bwMode="auto">
                        <a:xfrm flipV="1">
                          <a:off x="0" y="0"/>
                          <a:ext cx="76200" cy="76200"/>
                        </a:xfrm>
                        <a:prstGeom prst="rect">
                          <a:avLst/>
                        </a:prstGeom>
                        <a:noFill/>
                        <a:ln w="28575" cmpd="sng">
                          <a:solidFill>
                            <a:srgbClr val="FF0000"/>
                          </a:solidFill>
                          <a:miter lim="800000"/>
                        </a:ln>
                      </wps:spPr>
                      <wps:txbx>
                        <w:txbxContent>
                          <w:p w14:paraId="41B56582"/>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flip:y;margin-left:363.3pt;margin-top:94.7pt;height:6pt;width:6pt;z-index:251661312;mso-width-relative:page;mso-height-relative:page;" filled="f" stroked="t" coordsize="21600,21600" o:gfxdata="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bwDnfcAAAACwEAAA8AAAAAAAAAAQAgAAAA&#10;IgAAAGRycy9kb3ducmV2LnhtbFBLAQIUABQAAAAIAIdO4kBO2JoHQAIAAGYEAAAOAAAAAAAAAAEA&#10;IAAAACsBAABkcnMvZTJvRG9jLnhtbFBLBQYAAAAABgAGAFkBAADdBQAAAAA=&#10;">
                <v:fill on="f" focussize="0,0"/>
                <v:stroke weight="2.25pt" color="#FF0000" miterlimit="8" joinstyle="miter"/>
                <v:imagedata o:title=""/>
                <o:lock v:ext="edit" aspectratio="f"/>
                <v:textbox>
                  <w:txbxContent>
                    <w:p w14:paraId="41B56582"/>
                  </w:txbxContent>
                </v:textbox>
              </v:rect>
            </w:pict>
          </mc:Fallback>
        </mc:AlternateContent>
      </w:r>
      <w:r>
        <w:rPr>
          <w:rFonts w:hint="eastAsia"/>
          <w:color w:val="FF0000"/>
        </w:rPr>
        <w:drawing>
          <wp:inline distT="0" distB="0" distL="0" distR="0">
            <wp:extent cx="4920615" cy="5003800"/>
            <wp:effectExtent l="0" t="0" r="0" b="6350"/>
            <wp:docPr id="12" name="图片 12" descr="地震动峰值加速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地震动峰值加速度1"/>
                    <pic:cNvPicPr>
                      <a:picLocks noChangeAspect="1" noChangeArrowheads="1"/>
                    </pic:cNvPicPr>
                  </pic:nvPicPr>
                  <pic:blipFill>
                    <a:blip r:embed="rId15"/>
                    <a:srcRect l="1877" t="1759" r="1256"/>
                    <a:stretch>
                      <a:fillRect/>
                    </a:stretch>
                  </pic:blipFill>
                  <pic:spPr>
                    <a:xfrm>
                      <a:off x="0" y="0"/>
                      <a:ext cx="4921035" cy="5004000"/>
                    </a:xfrm>
                    <a:prstGeom prst="rect">
                      <a:avLst/>
                    </a:prstGeom>
                    <a:noFill/>
                    <a:ln>
                      <a:noFill/>
                    </a:ln>
                    <a:effectLst/>
                  </pic:spPr>
                </pic:pic>
              </a:graphicData>
            </a:graphic>
          </wp:inline>
        </w:drawing>
      </w:r>
      <w:r>
        <w:rPr>
          <w:rFonts w:hint="eastAsia"/>
        </w:rPr>
        <w:drawing>
          <wp:inline distT="0" distB="0" distL="0" distR="0">
            <wp:extent cx="5149215" cy="979805"/>
            <wp:effectExtent l="0" t="0" r="0" b="0"/>
            <wp:docPr id="11" name="图片 11" descr="H:\8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8888.jpg"/>
                    <pic:cNvPicPr>
                      <a:picLocks noChangeAspect="1" noChangeArrowheads="1"/>
                    </pic:cNvPicPr>
                  </pic:nvPicPr>
                  <pic:blipFill>
                    <a:blip r:embed="rId16"/>
                    <a:srcRect l="6906" t="48338" b="14967"/>
                    <a:stretch>
                      <a:fillRect/>
                    </a:stretch>
                  </pic:blipFill>
                  <pic:spPr>
                    <a:xfrm>
                      <a:off x="0" y="0"/>
                      <a:ext cx="5149215" cy="979805"/>
                    </a:xfrm>
                    <a:prstGeom prst="rect">
                      <a:avLst/>
                    </a:prstGeom>
                    <a:noFill/>
                    <a:ln>
                      <a:noFill/>
                    </a:ln>
                    <a:effectLst/>
                  </pic:spPr>
                </pic:pic>
              </a:graphicData>
            </a:graphic>
          </wp:inline>
        </w:drawing>
      </w:r>
    </w:p>
    <w:p w14:paraId="3788A972">
      <w:pPr>
        <w:pStyle w:val="22"/>
        <w:ind w:firstLine="198" w:firstLineChars="71"/>
      </w:pPr>
      <w:r>
        <w:rPr>
          <w:rFonts w:hint="eastAsia"/>
        </w:rPr>
        <w:t>图</w:t>
      </w:r>
      <w:r>
        <w:t>1</w:t>
      </w:r>
      <w:r>
        <w:rPr>
          <w:rFonts w:hint="eastAsia"/>
        </w:rPr>
        <w:t>-</w:t>
      </w:r>
      <w:r>
        <w:t>1</w:t>
      </w:r>
      <w:r>
        <w:rPr>
          <w:rFonts w:hint="eastAsia"/>
        </w:rPr>
        <w:t xml:space="preserve">   地震动峰值加速度区划图</w:t>
      </w:r>
    </w:p>
    <w:p w14:paraId="10D943D9">
      <w:pPr>
        <w:pStyle w:val="29"/>
      </w:pPr>
      <w:r>
        <w:rPr>
          <w:rFonts w:hint="eastAsia"/>
          <w:lang w:val="eu-ES"/>
        </w:rPr>
        <w:t>表</w:t>
      </w:r>
      <w:r>
        <w:rPr>
          <w:lang w:val="eu-ES"/>
        </w:rPr>
        <w:t>1</w:t>
      </w:r>
      <w:r>
        <w:rPr>
          <w:rFonts w:hint="eastAsia"/>
          <w:lang w:val="eu-ES"/>
        </w:rPr>
        <w:t>-</w:t>
      </w:r>
      <w:r>
        <w:t>2</w:t>
      </w:r>
      <w:r>
        <w:rPr>
          <w:rFonts w:hint="eastAsia"/>
          <w:lang w:val="eu-ES"/>
        </w:rPr>
        <w:t xml:space="preserve">  区域地壳稳定性分区和判别指标一览表</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202"/>
        <w:gridCol w:w="1432"/>
        <w:gridCol w:w="951"/>
        <w:gridCol w:w="1115"/>
        <w:gridCol w:w="951"/>
        <w:gridCol w:w="741"/>
        <w:gridCol w:w="1056"/>
        <w:gridCol w:w="733"/>
      </w:tblGrid>
      <w:tr w14:paraId="21821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8" w:hRule="atLeast"/>
          <w:jc w:val="center"/>
        </w:trPr>
        <w:tc>
          <w:tcPr>
            <w:tcW w:w="540" w:type="dxa"/>
            <w:vAlign w:val="center"/>
          </w:tcPr>
          <w:p w14:paraId="7A0C8F9B">
            <w:pPr>
              <w:pStyle w:val="29"/>
              <w:spacing w:line="240" w:lineRule="auto"/>
              <w:rPr>
                <w:szCs w:val="21"/>
              </w:rPr>
            </w:pPr>
            <w:r>
              <w:rPr>
                <w:rFonts w:hint="eastAsia"/>
                <w:szCs w:val="21"/>
              </w:rPr>
              <w:t>稳定性</w:t>
            </w:r>
          </w:p>
        </w:tc>
        <w:tc>
          <w:tcPr>
            <w:tcW w:w="1202" w:type="dxa"/>
            <w:vAlign w:val="center"/>
          </w:tcPr>
          <w:p w14:paraId="4EEE1ADA">
            <w:pPr>
              <w:pStyle w:val="29"/>
              <w:spacing w:line="240" w:lineRule="auto"/>
              <w:rPr>
                <w:szCs w:val="21"/>
              </w:rPr>
            </w:pPr>
            <w:r>
              <w:rPr>
                <w:rFonts w:hint="eastAsia"/>
                <w:szCs w:val="21"/>
              </w:rPr>
              <w:t>地壳结构</w:t>
            </w:r>
          </w:p>
        </w:tc>
        <w:tc>
          <w:tcPr>
            <w:tcW w:w="1432" w:type="dxa"/>
            <w:vAlign w:val="center"/>
          </w:tcPr>
          <w:p w14:paraId="1F890C9E">
            <w:pPr>
              <w:pStyle w:val="29"/>
              <w:spacing w:line="240" w:lineRule="auto"/>
              <w:rPr>
                <w:szCs w:val="21"/>
              </w:rPr>
            </w:pPr>
            <w:r>
              <w:rPr>
                <w:rFonts w:hint="eastAsia"/>
                <w:szCs w:val="21"/>
              </w:rPr>
              <w:t>新生代地壳</w:t>
            </w:r>
          </w:p>
          <w:p w14:paraId="67B5C0B2">
            <w:pPr>
              <w:pStyle w:val="29"/>
              <w:spacing w:line="240" w:lineRule="auto"/>
              <w:rPr>
                <w:szCs w:val="21"/>
              </w:rPr>
            </w:pPr>
            <w:r>
              <w:rPr>
                <w:rFonts w:hint="eastAsia"/>
                <w:szCs w:val="21"/>
              </w:rPr>
              <w:t>变形火山、地热</w:t>
            </w:r>
          </w:p>
        </w:tc>
        <w:tc>
          <w:tcPr>
            <w:tcW w:w="951" w:type="dxa"/>
            <w:vAlign w:val="center"/>
          </w:tcPr>
          <w:p w14:paraId="42AE4874">
            <w:pPr>
              <w:pStyle w:val="29"/>
              <w:spacing w:line="240" w:lineRule="auto"/>
              <w:rPr>
                <w:szCs w:val="21"/>
              </w:rPr>
            </w:pPr>
            <w:r>
              <w:rPr>
                <w:rFonts w:hint="eastAsia"/>
                <w:szCs w:val="21"/>
              </w:rPr>
              <w:t>迭加</w:t>
            </w:r>
          </w:p>
          <w:p w14:paraId="331E512C">
            <w:pPr>
              <w:pStyle w:val="29"/>
              <w:spacing w:line="240" w:lineRule="auto"/>
              <w:rPr>
                <w:szCs w:val="21"/>
              </w:rPr>
            </w:pPr>
            <w:r>
              <w:rPr>
                <w:rFonts w:hint="eastAsia"/>
                <w:szCs w:val="21"/>
              </w:rPr>
              <w:t>断裂角</w:t>
            </w:r>
          </w:p>
          <w:p w14:paraId="2D1CE651">
            <w:pPr>
              <w:pStyle w:val="29"/>
              <w:spacing w:line="240" w:lineRule="auto"/>
              <w:rPr>
                <w:szCs w:val="21"/>
              </w:rPr>
            </w:pPr>
            <w:r>
              <w:rPr>
                <w:rFonts w:hint="eastAsia"/>
                <w:szCs w:val="21"/>
              </w:rPr>
              <w:t>α</w:t>
            </w:r>
          </w:p>
        </w:tc>
        <w:tc>
          <w:tcPr>
            <w:tcW w:w="1115" w:type="dxa"/>
            <w:vAlign w:val="center"/>
          </w:tcPr>
          <w:p w14:paraId="48BC8964">
            <w:pPr>
              <w:pStyle w:val="29"/>
              <w:spacing w:line="240" w:lineRule="auto"/>
              <w:rPr>
                <w:szCs w:val="21"/>
              </w:rPr>
            </w:pPr>
            <w:r>
              <w:rPr>
                <w:rFonts w:hint="eastAsia"/>
                <w:szCs w:val="21"/>
              </w:rPr>
              <w:t>布格异常</w:t>
            </w:r>
          </w:p>
          <w:p w14:paraId="03EFA49D">
            <w:pPr>
              <w:pStyle w:val="29"/>
              <w:spacing w:line="240" w:lineRule="auto"/>
              <w:rPr>
                <w:szCs w:val="21"/>
              </w:rPr>
            </w:pPr>
            <w:r>
              <w:rPr>
                <w:rFonts w:hint="eastAsia"/>
                <w:szCs w:val="21"/>
              </w:rPr>
              <w:t>梯度Bs</w:t>
            </w:r>
          </w:p>
          <w:p w14:paraId="1B8AC200">
            <w:pPr>
              <w:pStyle w:val="29"/>
              <w:spacing w:line="240" w:lineRule="auto"/>
              <w:rPr>
                <w:szCs w:val="21"/>
              </w:rPr>
            </w:pPr>
            <w:r>
              <w:rPr>
                <w:rFonts w:hint="eastAsia"/>
                <w:szCs w:val="21"/>
              </w:rPr>
              <w:t>(105米s·k米2)</w:t>
            </w:r>
          </w:p>
        </w:tc>
        <w:tc>
          <w:tcPr>
            <w:tcW w:w="951" w:type="dxa"/>
            <w:vAlign w:val="center"/>
          </w:tcPr>
          <w:p w14:paraId="35413EDC">
            <w:pPr>
              <w:pStyle w:val="29"/>
              <w:spacing w:line="240" w:lineRule="auto"/>
              <w:rPr>
                <w:szCs w:val="21"/>
              </w:rPr>
            </w:pPr>
            <w:r>
              <w:rPr>
                <w:rFonts w:hint="eastAsia"/>
                <w:szCs w:val="21"/>
              </w:rPr>
              <w:t>最大</w:t>
            </w:r>
          </w:p>
          <w:p w14:paraId="231554FE">
            <w:pPr>
              <w:pStyle w:val="29"/>
              <w:spacing w:line="240" w:lineRule="auto"/>
              <w:rPr>
                <w:szCs w:val="21"/>
              </w:rPr>
            </w:pPr>
            <w:r>
              <w:rPr>
                <w:rFonts w:hint="eastAsia"/>
                <w:szCs w:val="21"/>
              </w:rPr>
              <w:t>震级</w:t>
            </w:r>
          </w:p>
        </w:tc>
        <w:tc>
          <w:tcPr>
            <w:tcW w:w="741" w:type="dxa"/>
            <w:vAlign w:val="center"/>
          </w:tcPr>
          <w:p w14:paraId="046A4A4D">
            <w:pPr>
              <w:pStyle w:val="29"/>
              <w:spacing w:line="240" w:lineRule="auto"/>
              <w:rPr>
                <w:szCs w:val="21"/>
              </w:rPr>
            </w:pPr>
            <w:r>
              <w:rPr>
                <w:rFonts w:hint="eastAsia"/>
                <w:szCs w:val="21"/>
              </w:rPr>
              <w:t>基本</w:t>
            </w:r>
          </w:p>
          <w:p w14:paraId="7CB11E05">
            <w:pPr>
              <w:pStyle w:val="29"/>
              <w:spacing w:line="240" w:lineRule="auto"/>
              <w:rPr>
                <w:szCs w:val="21"/>
              </w:rPr>
            </w:pPr>
            <w:r>
              <w:rPr>
                <w:rFonts w:hint="eastAsia"/>
                <w:szCs w:val="21"/>
              </w:rPr>
              <w:t>烈度</w:t>
            </w:r>
          </w:p>
        </w:tc>
        <w:tc>
          <w:tcPr>
            <w:tcW w:w="1056" w:type="dxa"/>
            <w:vAlign w:val="center"/>
          </w:tcPr>
          <w:p w14:paraId="31D9B2E8">
            <w:pPr>
              <w:pStyle w:val="29"/>
              <w:spacing w:line="240" w:lineRule="auto"/>
              <w:rPr>
                <w:szCs w:val="21"/>
              </w:rPr>
            </w:pPr>
            <w:r>
              <w:rPr>
                <w:rFonts w:hint="eastAsia"/>
                <w:szCs w:val="21"/>
              </w:rPr>
              <w:t>地震动峰值加</w:t>
            </w:r>
          </w:p>
          <w:p w14:paraId="07B14953">
            <w:pPr>
              <w:pStyle w:val="29"/>
              <w:spacing w:line="240" w:lineRule="auto"/>
              <w:rPr>
                <w:szCs w:val="21"/>
              </w:rPr>
            </w:pPr>
            <w:r>
              <w:rPr>
                <w:rFonts w:hint="eastAsia"/>
                <w:szCs w:val="21"/>
              </w:rPr>
              <w:t>速度</w:t>
            </w:r>
          </w:p>
        </w:tc>
        <w:tc>
          <w:tcPr>
            <w:tcW w:w="733" w:type="dxa"/>
            <w:vAlign w:val="center"/>
          </w:tcPr>
          <w:p w14:paraId="37569CDD">
            <w:pPr>
              <w:pStyle w:val="29"/>
              <w:spacing w:line="240" w:lineRule="auto"/>
              <w:rPr>
                <w:szCs w:val="21"/>
              </w:rPr>
            </w:pPr>
            <w:r>
              <w:rPr>
                <w:rFonts w:hint="eastAsia"/>
                <w:szCs w:val="21"/>
              </w:rPr>
              <w:t>工程</w:t>
            </w:r>
          </w:p>
          <w:p w14:paraId="10CCAE78">
            <w:pPr>
              <w:pStyle w:val="29"/>
              <w:spacing w:line="240" w:lineRule="auto"/>
              <w:rPr>
                <w:szCs w:val="21"/>
              </w:rPr>
            </w:pPr>
            <w:r>
              <w:rPr>
                <w:rFonts w:hint="eastAsia"/>
                <w:szCs w:val="21"/>
              </w:rPr>
              <w:t>建设</w:t>
            </w:r>
          </w:p>
          <w:p w14:paraId="174DDF74">
            <w:pPr>
              <w:pStyle w:val="29"/>
              <w:spacing w:line="240" w:lineRule="auto"/>
              <w:rPr>
                <w:szCs w:val="21"/>
              </w:rPr>
            </w:pPr>
            <w:r>
              <w:rPr>
                <w:rFonts w:hint="eastAsia"/>
                <w:szCs w:val="21"/>
              </w:rPr>
              <w:t>条件</w:t>
            </w:r>
          </w:p>
        </w:tc>
      </w:tr>
      <w:tr w14:paraId="69CDB3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47" w:hRule="atLeast"/>
          <w:jc w:val="center"/>
        </w:trPr>
        <w:tc>
          <w:tcPr>
            <w:tcW w:w="540" w:type="dxa"/>
            <w:vAlign w:val="center"/>
          </w:tcPr>
          <w:p w14:paraId="17E8AC36">
            <w:pPr>
              <w:pStyle w:val="29"/>
              <w:spacing w:line="240" w:lineRule="auto"/>
              <w:rPr>
                <w:szCs w:val="21"/>
              </w:rPr>
            </w:pPr>
            <w:r>
              <w:rPr>
                <w:rFonts w:hint="eastAsia"/>
                <w:szCs w:val="21"/>
              </w:rPr>
              <w:t>稳定</w:t>
            </w:r>
          </w:p>
          <w:p w14:paraId="542345BE">
            <w:pPr>
              <w:pStyle w:val="29"/>
              <w:spacing w:line="240" w:lineRule="auto"/>
              <w:rPr>
                <w:szCs w:val="21"/>
              </w:rPr>
            </w:pPr>
            <w:r>
              <w:rPr>
                <w:rFonts w:hint="eastAsia"/>
                <w:szCs w:val="21"/>
              </w:rPr>
              <w:t>区Ⅰ</w:t>
            </w:r>
          </w:p>
        </w:tc>
        <w:tc>
          <w:tcPr>
            <w:tcW w:w="1202" w:type="dxa"/>
            <w:vAlign w:val="center"/>
          </w:tcPr>
          <w:p w14:paraId="683777B7">
            <w:pPr>
              <w:pStyle w:val="29"/>
              <w:spacing w:line="240" w:lineRule="auto"/>
              <w:rPr>
                <w:szCs w:val="21"/>
              </w:rPr>
            </w:pPr>
            <w:r>
              <w:rPr>
                <w:rFonts w:hint="eastAsia"/>
                <w:szCs w:val="21"/>
              </w:rPr>
              <w:t>块状结构，缺乏深大断裂或仅有基底断裂，地壳完整性好</w:t>
            </w:r>
          </w:p>
        </w:tc>
        <w:tc>
          <w:tcPr>
            <w:tcW w:w="1432" w:type="dxa"/>
            <w:vAlign w:val="center"/>
          </w:tcPr>
          <w:p w14:paraId="32F8A4B0">
            <w:pPr>
              <w:pStyle w:val="29"/>
              <w:spacing w:line="240" w:lineRule="auto"/>
              <w:rPr>
                <w:szCs w:val="21"/>
              </w:rPr>
            </w:pPr>
            <w:r>
              <w:rPr>
                <w:rFonts w:hint="eastAsia"/>
                <w:szCs w:val="21"/>
              </w:rPr>
              <w:t>缺乏第四系断裂，大面积上升，第四纪地壳沉降速率＜0.1毫米/年，缺乏第四纪火山。</w:t>
            </w:r>
          </w:p>
        </w:tc>
        <w:tc>
          <w:tcPr>
            <w:tcW w:w="951" w:type="dxa"/>
            <w:vAlign w:val="center"/>
          </w:tcPr>
          <w:p w14:paraId="07D2BB6C">
            <w:pPr>
              <w:pStyle w:val="29"/>
              <w:spacing w:line="240" w:lineRule="auto"/>
              <w:rPr>
                <w:szCs w:val="21"/>
              </w:rPr>
            </w:pPr>
            <w:r>
              <w:rPr>
                <w:rFonts w:hint="eastAsia"/>
                <w:szCs w:val="21"/>
              </w:rPr>
              <w:t>0-10°</w:t>
            </w:r>
          </w:p>
          <w:p w14:paraId="3A6CDCA6">
            <w:pPr>
              <w:pStyle w:val="29"/>
              <w:spacing w:line="240" w:lineRule="auto"/>
              <w:rPr>
                <w:szCs w:val="21"/>
              </w:rPr>
            </w:pPr>
            <w:r>
              <w:rPr>
                <w:rFonts w:hint="eastAsia"/>
                <w:szCs w:val="21"/>
              </w:rPr>
              <w:t>70-90°</w:t>
            </w:r>
          </w:p>
        </w:tc>
        <w:tc>
          <w:tcPr>
            <w:tcW w:w="1115" w:type="dxa"/>
            <w:vAlign w:val="center"/>
          </w:tcPr>
          <w:p w14:paraId="7D59B1E7">
            <w:pPr>
              <w:pStyle w:val="29"/>
              <w:spacing w:line="240" w:lineRule="auto"/>
              <w:rPr>
                <w:szCs w:val="21"/>
              </w:rPr>
            </w:pPr>
            <w:r>
              <w:rPr>
                <w:rFonts w:hint="eastAsia"/>
                <w:szCs w:val="21"/>
              </w:rPr>
              <w:t>比较均匀变化，缺乏梯度带</w:t>
            </w:r>
          </w:p>
        </w:tc>
        <w:tc>
          <w:tcPr>
            <w:tcW w:w="951" w:type="dxa"/>
            <w:vAlign w:val="center"/>
          </w:tcPr>
          <w:p w14:paraId="750AF6CE">
            <w:pPr>
              <w:pStyle w:val="29"/>
              <w:spacing w:line="240" w:lineRule="auto"/>
              <w:rPr>
                <w:szCs w:val="21"/>
              </w:rPr>
            </w:pPr>
            <w:r>
              <w:rPr>
                <w:rFonts w:hint="eastAsia"/>
                <w:szCs w:val="21"/>
              </w:rPr>
              <w:t>M＜5.5</w:t>
            </w:r>
          </w:p>
        </w:tc>
        <w:tc>
          <w:tcPr>
            <w:tcW w:w="741" w:type="dxa"/>
            <w:vAlign w:val="center"/>
          </w:tcPr>
          <w:p w14:paraId="40AB41D5">
            <w:pPr>
              <w:pStyle w:val="29"/>
              <w:spacing w:line="240" w:lineRule="auto"/>
              <w:rPr>
                <w:szCs w:val="21"/>
              </w:rPr>
            </w:pPr>
            <w:r>
              <w:rPr>
                <w:rFonts w:hint="eastAsia"/>
                <w:szCs w:val="21"/>
              </w:rPr>
              <w:t>≤Ⅵ</w:t>
            </w:r>
          </w:p>
        </w:tc>
        <w:tc>
          <w:tcPr>
            <w:tcW w:w="1056" w:type="dxa"/>
            <w:vAlign w:val="center"/>
          </w:tcPr>
          <w:p w14:paraId="0509721B">
            <w:pPr>
              <w:pStyle w:val="29"/>
              <w:spacing w:line="240" w:lineRule="auto"/>
              <w:rPr>
                <w:szCs w:val="21"/>
              </w:rPr>
            </w:pPr>
            <w:r>
              <w:rPr>
                <w:rFonts w:hint="eastAsia"/>
                <w:szCs w:val="21"/>
              </w:rPr>
              <w:t>≤0.05</w:t>
            </w:r>
          </w:p>
        </w:tc>
        <w:tc>
          <w:tcPr>
            <w:tcW w:w="733" w:type="dxa"/>
            <w:vAlign w:val="center"/>
          </w:tcPr>
          <w:p w14:paraId="566B3499">
            <w:pPr>
              <w:pStyle w:val="29"/>
              <w:spacing w:line="240" w:lineRule="auto"/>
              <w:rPr>
                <w:szCs w:val="21"/>
              </w:rPr>
            </w:pPr>
            <w:r>
              <w:rPr>
                <w:rFonts w:hint="eastAsia"/>
                <w:szCs w:val="21"/>
              </w:rPr>
              <w:t>良好</w:t>
            </w:r>
          </w:p>
        </w:tc>
      </w:tr>
      <w:tr w14:paraId="4A007F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18" w:hRule="atLeast"/>
          <w:jc w:val="center"/>
        </w:trPr>
        <w:tc>
          <w:tcPr>
            <w:tcW w:w="540" w:type="dxa"/>
            <w:vAlign w:val="center"/>
          </w:tcPr>
          <w:p w14:paraId="137251AF">
            <w:pPr>
              <w:pStyle w:val="29"/>
              <w:spacing w:line="240" w:lineRule="auto"/>
              <w:rPr>
                <w:szCs w:val="21"/>
              </w:rPr>
            </w:pPr>
            <w:r>
              <w:rPr>
                <w:rFonts w:hint="eastAsia"/>
                <w:szCs w:val="21"/>
              </w:rPr>
              <w:t>基本</w:t>
            </w:r>
          </w:p>
          <w:p w14:paraId="23B460A5">
            <w:pPr>
              <w:pStyle w:val="29"/>
              <w:spacing w:line="240" w:lineRule="auto"/>
              <w:rPr>
                <w:szCs w:val="21"/>
              </w:rPr>
            </w:pPr>
            <w:r>
              <w:rPr>
                <w:rFonts w:hint="eastAsia"/>
                <w:szCs w:val="21"/>
              </w:rPr>
              <w:t>稳定</w:t>
            </w:r>
          </w:p>
          <w:p w14:paraId="59EC6B03">
            <w:pPr>
              <w:pStyle w:val="29"/>
              <w:spacing w:line="240" w:lineRule="auto"/>
              <w:rPr>
                <w:szCs w:val="21"/>
              </w:rPr>
            </w:pPr>
            <w:r>
              <w:rPr>
                <w:rFonts w:hint="eastAsia"/>
                <w:szCs w:val="21"/>
              </w:rPr>
              <w:t>区Ⅱ</w:t>
            </w:r>
          </w:p>
        </w:tc>
        <w:tc>
          <w:tcPr>
            <w:tcW w:w="1202" w:type="dxa"/>
            <w:vAlign w:val="center"/>
          </w:tcPr>
          <w:p w14:paraId="5DD24075">
            <w:pPr>
              <w:pStyle w:val="29"/>
              <w:spacing w:line="240" w:lineRule="auto"/>
              <w:rPr>
                <w:szCs w:val="21"/>
              </w:rPr>
            </w:pPr>
            <w:r>
              <w:rPr>
                <w:rFonts w:hint="eastAsia"/>
                <w:szCs w:val="21"/>
              </w:rPr>
              <w:t>镶嵌结构，深断裂连续分布，间距大，地壳较完整</w:t>
            </w:r>
          </w:p>
        </w:tc>
        <w:tc>
          <w:tcPr>
            <w:tcW w:w="1432" w:type="dxa"/>
            <w:vAlign w:val="center"/>
          </w:tcPr>
          <w:p w14:paraId="65FFB7B2">
            <w:pPr>
              <w:pStyle w:val="29"/>
              <w:spacing w:line="240" w:lineRule="auto"/>
              <w:rPr>
                <w:szCs w:val="21"/>
              </w:rPr>
            </w:pPr>
            <w:r>
              <w:rPr>
                <w:rFonts w:hint="eastAsia"/>
                <w:szCs w:val="21"/>
              </w:rPr>
              <w:t>存在第四纪断裂长度不大，第四纪地壳沉降速率0.1-0.4毫米/年，缺乏第四纪火山。</w:t>
            </w:r>
          </w:p>
        </w:tc>
        <w:tc>
          <w:tcPr>
            <w:tcW w:w="951" w:type="dxa"/>
            <w:vAlign w:val="center"/>
          </w:tcPr>
          <w:p w14:paraId="1E3716C9">
            <w:pPr>
              <w:pStyle w:val="29"/>
              <w:spacing w:line="240" w:lineRule="auto"/>
              <w:rPr>
                <w:szCs w:val="21"/>
              </w:rPr>
            </w:pPr>
            <w:r>
              <w:rPr>
                <w:rFonts w:hint="eastAsia"/>
                <w:szCs w:val="21"/>
              </w:rPr>
              <w:t>24°</w:t>
            </w:r>
          </w:p>
          <w:p w14:paraId="4271DECF">
            <w:pPr>
              <w:pStyle w:val="29"/>
              <w:spacing w:line="240" w:lineRule="auto"/>
              <w:rPr>
                <w:szCs w:val="21"/>
              </w:rPr>
            </w:pPr>
            <w:r>
              <w:rPr>
                <w:rFonts w:hint="eastAsia"/>
                <w:szCs w:val="21"/>
              </w:rPr>
              <w:t>51-70°</w:t>
            </w:r>
          </w:p>
        </w:tc>
        <w:tc>
          <w:tcPr>
            <w:tcW w:w="1115" w:type="dxa"/>
            <w:vAlign w:val="center"/>
          </w:tcPr>
          <w:p w14:paraId="257D711C">
            <w:pPr>
              <w:pStyle w:val="29"/>
              <w:spacing w:line="240" w:lineRule="auto"/>
              <w:rPr>
                <w:szCs w:val="21"/>
              </w:rPr>
            </w:pPr>
            <w:r>
              <w:rPr>
                <w:rFonts w:hint="eastAsia"/>
                <w:szCs w:val="21"/>
              </w:rPr>
              <w:t>地段性异常梯度带Bs=</w:t>
            </w:r>
          </w:p>
          <w:p w14:paraId="586904B4">
            <w:pPr>
              <w:pStyle w:val="29"/>
              <w:spacing w:line="240" w:lineRule="auto"/>
              <w:rPr>
                <w:szCs w:val="21"/>
              </w:rPr>
            </w:pPr>
            <w:r>
              <w:rPr>
                <w:rFonts w:hint="eastAsia"/>
                <w:szCs w:val="21"/>
              </w:rPr>
              <w:t>0.5-2.0</w:t>
            </w:r>
          </w:p>
        </w:tc>
        <w:tc>
          <w:tcPr>
            <w:tcW w:w="951" w:type="dxa"/>
            <w:vAlign w:val="center"/>
          </w:tcPr>
          <w:p w14:paraId="4FE65CCF">
            <w:pPr>
              <w:pStyle w:val="29"/>
              <w:spacing w:line="240" w:lineRule="auto"/>
              <w:rPr>
                <w:szCs w:val="21"/>
              </w:rPr>
            </w:pPr>
            <w:r>
              <w:rPr>
                <w:rFonts w:hint="eastAsia"/>
                <w:szCs w:val="21"/>
              </w:rPr>
              <w:t>5.5≤M</w:t>
            </w:r>
          </w:p>
          <w:p w14:paraId="53834EDC">
            <w:pPr>
              <w:pStyle w:val="29"/>
              <w:spacing w:line="240" w:lineRule="auto"/>
              <w:rPr>
                <w:szCs w:val="21"/>
              </w:rPr>
            </w:pPr>
            <w:r>
              <w:rPr>
                <w:rFonts w:hint="eastAsia"/>
                <w:szCs w:val="21"/>
              </w:rPr>
              <w:t>≤6.0</w:t>
            </w:r>
          </w:p>
        </w:tc>
        <w:tc>
          <w:tcPr>
            <w:tcW w:w="741" w:type="dxa"/>
            <w:vAlign w:val="center"/>
          </w:tcPr>
          <w:p w14:paraId="6F7529B5">
            <w:pPr>
              <w:pStyle w:val="29"/>
              <w:spacing w:line="240" w:lineRule="auto"/>
              <w:rPr>
                <w:szCs w:val="21"/>
              </w:rPr>
            </w:pPr>
            <w:r>
              <w:rPr>
                <w:rFonts w:hint="eastAsia"/>
                <w:szCs w:val="21"/>
              </w:rPr>
              <w:t>Ⅶ</w:t>
            </w:r>
          </w:p>
        </w:tc>
        <w:tc>
          <w:tcPr>
            <w:tcW w:w="1056" w:type="dxa"/>
            <w:vAlign w:val="center"/>
          </w:tcPr>
          <w:p w14:paraId="7CCDF225">
            <w:pPr>
              <w:pStyle w:val="29"/>
              <w:spacing w:line="240" w:lineRule="auto"/>
              <w:rPr>
                <w:szCs w:val="21"/>
              </w:rPr>
            </w:pPr>
            <w:r>
              <w:rPr>
                <w:rFonts w:hint="eastAsia"/>
                <w:szCs w:val="21"/>
              </w:rPr>
              <w:t>0.1-0.15</w:t>
            </w:r>
          </w:p>
        </w:tc>
        <w:tc>
          <w:tcPr>
            <w:tcW w:w="733" w:type="dxa"/>
            <w:vAlign w:val="center"/>
          </w:tcPr>
          <w:p w14:paraId="03CF7D24">
            <w:pPr>
              <w:pStyle w:val="29"/>
              <w:spacing w:line="240" w:lineRule="auto"/>
              <w:rPr>
                <w:szCs w:val="21"/>
              </w:rPr>
            </w:pPr>
            <w:r>
              <w:rPr>
                <w:rFonts w:hint="eastAsia"/>
                <w:szCs w:val="21"/>
              </w:rPr>
              <w:t>适宜但需抗震设计</w:t>
            </w:r>
          </w:p>
        </w:tc>
      </w:tr>
      <w:tr w14:paraId="2201C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28" w:hRule="atLeast"/>
          <w:jc w:val="center"/>
        </w:trPr>
        <w:tc>
          <w:tcPr>
            <w:tcW w:w="540" w:type="dxa"/>
            <w:vAlign w:val="center"/>
          </w:tcPr>
          <w:p w14:paraId="1031F95D">
            <w:pPr>
              <w:pStyle w:val="29"/>
              <w:spacing w:line="240" w:lineRule="auto"/>
              <w:rPr>
                <w:szCs w:val="21"/>
              </w:rPr>
            </w:pPr>
            <w:r>
              <w:rPr>
                <w:rFonts w:hint="eastAsia"/>
                <w:szCs w:val="21"/>
              </w:rPr>
              <w:t>次不稳</w:t>
            </w:r>
          </w:p>
          <w:p w14:paraId="68382DFD">
            <w:pPr>
              <w:pStyle w:val="29"/>
              <w:spacing w:line="240" w:lineRule="auto"/>
              <w:rPr>
                <w:szCs w:val="21"/>
              </w:rPr>
            </w:pPr>
            <w:r>
              <w:rPr>
                <w:rFonts w:hint="eastAsia"/>
                <w:szCs w:val="21"/>
              </w:rPr>
              <w:t>定区</w:t>
            </w:r>
          </w:p>
          <w:p w14:paraId="4E492E82">
            <w:pPr>
              <w:pStyle w:val="29"/>
              <w:spacing w:line="240" w:lineRule="auto"/>
              <w:rPr>
                <w:szCs w:val="21"/>
              </w:rPr>
            </w:pPr>
            <w:r>
              <w:rPr>
                <w:rFonts w:hint="eastAsia"/>
                <w:szCs w:val="21"/>
              </w:rPr>
              <w:t>Ⅲ</w:t>
            </w:r>
          </w:p>
        </w:tc>
        <w:tc>
          <w:tcPr>
            <w:tcW w:w="1202" w:type="dxa"/>
            <w:vMerge w:val="restart"/>
            <w:vAlign w:val="center"/>
          </w:tcPr>
          <w:p w14:paraId="688A04C5">
            <w:pPr>
              <w:pStyle w:val="29"/>
              <w:spacing w:line="240" w:lineRule="auto"/>
              <w:rPr>
                <w:szCs w:val="21"/>
              </w:rPr>
            </w:pPr>
            <w:r>
              <w:rPr>
                <w:rFonts w:hint="eastAsia"/>
                <w:szCs w:val="21"/>
              </w:rPr>
              <w:t>块状结构，深断裂成带出现，长度以大于百公里，地块呈条形、菱形地壳破碎</w:t>
            </w:r>
          </w:p>
        </w:tc>
        <w:tc>
          <w:tcPr>
            <w:tcW w:w="1432" w:type="dxa"/>
            <w:vMerge w:val="restart"/>
            <w:vAlign w:val="center"/>
          </w:tcPr>
          <w:p w14:paraId="11E5E7B7">
            <w:pPr>
              <w:pStyle w:val="29"/>
              <w:spacing w:line="240" w:lineRule="auto"/>
              <w:rPr>
                <w:szCs w:val="21"/>
              </w:rPr>
            </w:pPr>
            <w:r>
              <w:rPr>
                <w:rFonts w:hint="eastAsia"/>
                <w:szCs w:val="21"/>
              </w:rPr>
              <w:t>发育晚更新世和全新世以来活动断裂，延伸长度大于百公里，存在近代活动断引起的米＞6级地震，第四纪地壳沉降速率大于0.4毫米/年，存在第四纪火山，温泉带。</w:t>
            </w:r>
          </w:p>
        </w:tc>
        <w:tc>
          <w:tcPr>
            <w:tcW w:w="951" w:type="dxa"/>
            <w:vMerge w:val="restart"/>
            <w:vAlign w:val="center"/>
          </w:tcPr>
          <w:p w14:paraId="3BF70B68">
            <w:pPr>
              <w:pStyle w:val="29"/>
              <w:spacing w:line="240" w:lineRule="auto"/>
              <w:rPr>
                <w:szCs w:val="21"/>
              </w:rPr>
            </w:pPr>
            <w:r>
              <w:rPr>
                <w:rFonts w:hint="eastAsia"/>
                <w:szCs w:val="21"/>
              </w:rPr>
              <w:t>25-50°</w:t>
            </w:r>
          </w:p>
        </w:tc>
        <w:tc>
          <w:tcPr>
            <w:tcW w:w="1115" w:type="dxa"/>
            <w:vAlign w:val="center"/>
          </w:tcPr>
          <w:p w14:paraId="0F7D69E7">
            <w:pPr>
              <w:pStyle w:val="29"/>
              <w:spacing w:line="240" w:lineRule="auto"/>
              <w:rPr>
                <w:szCs w:val="21"/>
              </w:rPr>
            </w:pPr>
            <w:r>
              <w:rPr>
                <w:rFonts w:hint="eastAsia"/>
                <w:szCs w:val="21"/>
              </w:rPr>
              <w:t>区域性异常梯带Bs=</w:t>
            </w:r>
          </w:p>
          <w:p w14:paraId="59548394">
            <w:pPr>
              <w:pStyle w:val="29"/>
              <w:spacing w:line="240" w:lineRule="auto"/>
              <w:rPr>
                <w:szCs w:val="21"/>
              </w:rPr>
            </w:pPr>
            <w:r>
              <w:rPr>
                <w:rFonts w:hint="eastAsia"/>
                <w:szCs w:val="21"/>
              </w:rPr>
              <w:t>2.0-3.0</w:t>
            </w:r>
          </w:p>
        </w:tc>
        <w:tc>
          <w:tcPr>
            <w:tcW w:w="951" w:type="dxa"/>
            <w:vAlign w:val="center"/>
          </w:tcPr>
          <w:p w14:paraId="1A48BB9B">
            <w:pPr>
              <w:pStyle w:val="29"/>
              <w:spacing w:line="240" w:lineRule="auto"/>
              <w:rPr>
                <w:szCs w:val="21"/>
              </w:rPr>
            </w:pPr>
            <w:r>
              <w:rPr>
                <w:rFonts w:hint="eastAsia"/>
                <w:szCs w:val="21"/>
              </w:rPr>
              <w:t>6.0≤M</w:t>
            </w:r>
          </w:p>
          <w:p w14:paraId="7351DFEE">
            <w:pPr>
              <w:pStyle w:val="29"/>
              <w:spacing w:line="240" w:lineRule="auto"/>
              <w:rPr>
                <w:szCs w:val="21"/>
              </w:rPr>
            </w:pPr>
            <w:r>
              <w:rPr>
                <w:rFonts w:hint="eastAsia"/>
                <w:szCs w:val="21"/>
              </w:rPr>
              <w:t>≤7.0</w:t>
            </w:r>
          </w:p>
        </w:tc>
        <w:tc>
          <w:tcPr>
            <w:tcW w:w="741" w:type="dxa"/>
            <w:vAlign w:val="center"/>
          </w:tcPr>
          <w:p w14:paraId="27089743">
            <w:pPr>
              <w:pStyle w:val="29"/>
              <w:spacing w:line="240" w:lineRule="auto"/>
              <w:rPr>
                <w:szCs w:val="21"/>
              </w:rPr>
            </w:pPr>
            <w:bookmarkStart w:id="62" w:name="_Toc170377389"/>
            <w:bookmarkStart w:id="63" w:name="_Toc170377770"/>
            <w:bookmarkStart w:id="64" w:name="_Toc170377560"/>
            <w:bookmarkStart w:id="65" w:name="_Toc226609369"/>
            <w:bookmarkStart w:id="66" w:name="_Toc170377844"/>
            <w:r>
              <w:rPr>
                <w:rFonts w:hint="eastAsia"/>
                <w:szCs w:val="21"/>
              </w:rPr>
              <w:t>Ⅷ-Ⅸ</w:t>
            </w:r>
          </w:p>
        </w:tc>
        <w:tc>
          <w:tcPr>
            <w:tcW w:w="1056" w:type="dxa"/>
            <w:vAlign w:val="center"/>
          </w:tcPr>
          <w:p w14:paraId="0F9FAB1A">
            <w:pPr>
              <w:pStyle w:val="29"/>
              <w:spacing w:line="240" w:lineRule="auto"/>
              <w:rPr>
                <w:szCs w:val="21"/>
              </w:rPr>
            </w:pPr>
            <w:r>
              <w:rPr>
                <w:rFonts w:hint="eastAsia"/>
                <w:szCs w:val="21"/>
              </w:rPr>
              <w:t>0.20-0.</w:t>
            </w:r>
            <w:bookmarkEnd w:id="62"/>
            <w:bookmarkEnd w:id="63"/>
            <w:bookmarkEnd w:id="64"/>
            <w:bookmarkEnd w:id="65"/>
            <w:bookmarkEnd w:id="66"/>
            <w:r>
              <w:rPr>
                <w:rFonts w:hint="eastAsia"/>
                <w:szCs w:val="21"/>
              </w:rPr>
              <w:t>4</w:t>
            </w:r>
          </w:p>
        </w:tc>
        <w:tc>
          <w:tcPr>
            <w:tcW w:w="733" w:type="dxa"/>
            <w:vAlign w:val="center"/>
          </w:tcPr>
          <w:p w14:paraId="7B73BC0A">
            <w:pPr>
              <w:pStyle w:val="29"/>
              <w:spacing w:line="240" w:lineRule="auto"/>
              <w:rPr>
                <w:szCs w:val="21"/>
              </w:rPr>
            </w:pPr>
            <w:r>
              <w:rPr>
                <w:rFonts w:hint="eastAsia"/>
                <w:szCs w:val="21"/>
              </w:rPr>
              <w:t>中等适宜，须加强抗震和工程措施</w:t>
            </w:r>
          </w:p>
        </w:tc>
      </w:tr>
      <w:tr w14:paraId="4CA6F6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94" w:hRule="atLeast"/>
          <w:jc w:val="center"/>
        </w:trPr>
        <w:tc>
          <w:tcPr>
            <w:tcW w:w="540" w:type="dxa"/>
            <w:vAlign w:val="center"/>
          </w:tcPr>
          <w:p w14:paraId="38ADF13C">
            <w:pPr>
              <w:pStyle w:val="29"/>
              <w:spacing w:line="240" w:lineRule="auto"/>
              <w:rPr>
                <w:szCs w:val="21"/>
              </w:rPr>
            </w:pPr>
            <w:r>
              <w:rPr>
                <w:rFonts w:hint="eastAsia"/>
                <w:szCs w:val="21"/>
              </w:rPr>
              <w:t>不稳</w:t>
            </w:r>
          </w:p>
          <w:p w14:paraId="040C4E3C">
            <w:pPr>
              <w:pStyle w:val="29"/>
              <w:spacing w:line="240" w:lineRule="auto"/>
              <w:rPr>
                <w:szCs w:val="21"/>
              </w:rPr>
            </w:pPr>
            <w:r>
              <w:rPr>
                <w:rFonts w:hint="eastAsia"/>
                <w:szCs w:val="21"/>
              </w:rPr>
              <w:t>定区</w:t>
            </w:r>
          </w:p>
          <w:p w14:paraId="6722198E">
            <w:pPr>
              <w:pStyle w:val="29"/>
              <w:spacing w:line="240" w:lineRule="auto"/>
              <w:rPr>
                <w:szCs w:val="21"/>
              </w:rPr>
            </w:pPr>
            <w:r>
              <w:rPr>
                <w:rFonts w:hint="eastAsia"/>
                <w:szCs w:val="21"/>
              </w:rPr>
              <w:t>Ⅳ</w:t>
            </w:r>
          </w:p>
        </w:tc>
        <w:tc>
          <w:tcPr>
            <w:tcW w:w="1202" w:type="dxa"/>
            <w:vMerge w:val="continue"/>
            <w:vAlign w:val="center"/>
          </w:tcPr>
          <w:p w14:paraId="223B3A8C">
            <w:pPr>
              <w:pStyle w:val="29"/>
              <w:spacing w:line="240" w:lineRule="auto"/>
              <w:rPr>
                <w:szCs w:val="21"/>
              </w:rPr>
            </w:pPr>
          </w:p>
        </w:tc>
        <w:tc>
          <w:tcPr>
            <w:tcW w:w="1432" w:type="dxa"/>
            <w:vMerge w:val="continue"/>
            <w:vAlign w:val="center"/>
          </w:tcPr>
          <w:p w14:paraId="5541DE28">
            <w:pPr>
              <w:pStyle w:val="29"/>
              <w:spacing w:line="240" w:lineRule="auto"/>
              <w:rPr>
                <w:szCs w:val="21"/>
              </w:rPr>
            </w:pPr>
          </w:p>
        </w:tc>
        <w:tc>
          <w:tcPr>
            <w:tcW w:w="951" w:type="dxa"/>
            <w:vMerge w:val="continue"/>
            <w:vAlign w:val="center"/>
          </w:tcPr>
          <w:p w14:paraId="5AF48171">
            <w:pPr>
              <w:pStyle w:val="29"/>
              <w:spacing w:line="240" w:lineRule="auto"/>
              <w:rPr>
                <w:szCs w:val="21"/>
              </w:rPr>
            </w:pPr>
          </w:p>
        </w:tc>
        <w:tc>
          <w:tcPr>
            <w:tcW w:w="1115" w:type="dxa"/>
            <w:vAlign w:val="center"/>
          </w:tcPr>
          <w:p w14:paraId="7116AEE1">
            <w:pPr>
              <w:pStyle w:val="29"/>
              <w:spacing w:line="240" w:lineRule="auto"/>
              <w:rPr>
                <w:szCs w:val="21"/>
              </w:rPr>
            </w:pPr>
            <w:r>
              <w:rPr>
                <w:rFonts w:hint="eastAsia"/>
                <w:szCs w:val="21"/>
              </w:rPr>
              <w:t>区域性异常梯度带Bs＞3.0</w:t>
            </w:r>
          </w:p>
        </w:tc>
        <w:tc>
          <w:tcPr>
            <w:tcW w:w="951" w:type="dxa"/>
            <w:vAlign w:val="center"/>
          </w:tcPr>
          <w:p w14:paraId="0E3FDDFC">
            <w:pPr>
              <w:pStyle w:val="29"/>
              <w:spacing w:line="240" w:lineRule="auto"/>
              <w:rPr>
                <w:szCs w:val="21"/>
              </w:rPr>
            </w:pPr>
            <w:r>
              <w:rPr>
                <w:rFonts w:hint="eastAsia"/>
                <w:szCs w:val="21"/>
              </w:rPr>
              <w:t>M≥7.25</w:t>
            </w:r>
          </w:p>
        </w:tc>
        <w:tc>
          <w:tcPr>
            <w:tcW w:w="741" w:type="dxa"/>
            <w:vAlign w:val="center"/>
          </w:tcPr>
          <w:p w14:paraId="4333C3EB">
            <w:pPr>
              <w:pStyle w:val="29"/>
              <w:spacing w:line="240" w:lineRule="auto"/>
              <w:rPr>
                <w:szCs w:val="21"/>
              </w:rPr>
            </w:pPr>
            <w:r>
              <w:rPr>
                <w:rFonts w:hint="eastAsia"/>
                <w:szCs w:val="21"/>
              </w:rPr>
              <w:t>≥Ⅸ</w:t>
            </w:r>
          </w:p>
        </w:tc>
        <w:tc>
          <w:tcPr>
            <w:tcW w:w="1056" w:type="dxa"/>
            <w:vAlign w:val="center"/>
          </w:tcPr>
          <w:p w14:paraId="33EFF121">
            <w:pPr>
              <w:pStyle w:val="29"/>
              <w:spacing w:line="240" w:lineRule="auto"/>
              <w:rPr>
                <w:szCs w:val="21"/>
              </w:rPr>
            </w:pPr>
            <w:r>
              <w:rPr>
                <w:rFonts w:hint="eastAsia"/>
                <w:szCs w:val="21"/>
              </w:rPr>
              <w:t>≥0.4</w:t>
            </w:r>
          </w:p>
        </w:tc>
        <w:tc>
          <w:tcPr>
            <w:tcW w:w="733" w:type="dxa"/>
            <w:vAlign w:val="center"/>
          </w:tcPr>
          <w:p w14:paraId="170241E7">
            <w:pPr>
              <w:pStyle w:val="29"/>
              <w:spacing w:line="240" w:lineRule="auto"/>
              <w:rPr>
                <w:szCs w:val="21"/>
              </w:rPr>
            </w:pPr>
            <w:r>
              <w:rPr>
                <w:rFonts w:hint="eastAsia"/>
                <w:szCs w:val="21"/>
              </w:rPr>
              <w:t>不适宜</w:t>
            </w:r>
          </w:p>
        </w:tc>
      </w:tr>
    </w:tbl>
    <w:p w14:paraId="3C423CC9">
      <w:pPr>
        <w:pStyle w:val="3"/>
      </w:pPr>
      <w:bookmarkStart w:id="67" w:name="_Toc23590"/>
      <w:bookmarkStart w:id="68" w:name="_Toc102927610"/>
      <w:bookmarkStart w:id="69" w:name="_Toc106400195"/>
      <w:bookmarkStart w:id="70" w:name="_Toc106400410"/>
      <w:r>
        <w:rPr>
          <w:rFonts w:hint="eastAsia"/>
        </w:rPr>
        <w:t>第六节  水文地质概况</w:t>
      </w:r>
      <w:bookmarkEnd w:id="67"/>
      <w:bookmarkEnd w:id="68"/>
      <w:bookmarkEnd w:id="69"/>
      <w:bookmarkEnd w:id="70"/>
      <w:bookmarkStart w:id="71" w:name="_Toc131440261"/>
      <w:bookmarkStart w:id="72" w:name="_Toc179290084"/>
      <w:bookmarkStart w:id="73" w:name="_Toc179521249"/>
      <w:bookmarkStart w:id="74" w:name="_Toc179290312"/>
      <w:bookmarkStart w:id="75" w:name="_Toc179345833"/>
      <w:bookmarkStart w:id="76" w:name="_Toc189843847"/>
      <w:bookmarkStart w:id="77" w:name="_Toc189843554"/>
      <w:bookmarkStart w:id="78" w:name="_Toc133480726"/>
    </w:p>
    <w:bookmarkEnd w:id="71"/>
    <w:bookmarkEnd w:id="72"/>
    <w:bookmarkEnd w:id="73"/>
    <w:bookmarkEnd w:id="74"/>
    <w:bookmarkEnd w:id="75"/>
    <w:bookmarkEnd w:id="76"/>
    <w:bookmarkEnd w:id="77"/>
    <w:bookmarkEnd w:id="78"/>
    <w:p w14:paraId="5422B9B1">
      <w:r>
        <w:rPr>
          <w:rFonts w:hint="eastAsia"/>
        </w:rPr>
        <w:t>治理区内赋存有第四系松散岩类孔隙潜水，含水层岩性为砂卵砾石，结构松散，孔隙发育，富水性较强，赛尔(萨吾尔)山前洪积扇潜水埋深自扇顶向南逐渐变浅，扇顶处潜水埋深较深，冲积扇底一带水位埋深仅8-10m，冲积扇自赛尔(萨吾尔)山向南展布，向南洪积扇宽度逐渐扩大。单一含水层分布区地下水位埋深般大于20m，含水层厚度大，富水性较强，根据相邻矿区钻孔抽水试验资料得知：属于富水性较好的含水层，地下水化学类型为S0</w:t>
      </w:r>
      <w:r>
        <w:rPr>
          <w:rFonts w:hint="eastAsia"/>
          <w:vertAlign w:val="subscript"/>
        </w:rPr>
        <w:t>4</w:t>
      </w:r>
      <w:r>
        <w:rPr>
          <w:rFonts w:hint="eastAsia"/>
        </w:rPr>
        <w:t>-Na-Mg为主。</w:t>
      </w:r>
    </w:p>
    <w:p w14:paraId="533AB0DD">
      <w:pPr>
        <w:pStyle w:val="3"/>
      </w:pPr>
      <w:bookmarkStart w:id="79" w:name="_Toc23704"/>
      <w:bookmarkStart w:id="80" w:name="_Toc8548"/>
      <w:bookmarkStart w:id="81" w:name="_Toc102927611"/>
      <w:bookmarkStart w:id="82" w:name="_Toc106400411"/>
      <w:bookmarkStart w:id="83" w:name="_Toc106400196"/>
      <w:r>
        <w:rPr>
          <w:rFonts w:hint="eastAsia"/>
        </w:rPr>
        <w:t>第七节  工程地质</w:t>
      </w:r>
      <w:bookmarkEnd w:id="79"/>
      <w:bookmarkEnd w:id="80"/>
      <w:bookmarkEnd w:id="81"/>
      <w:bookmarkEnd w:id="82"/>
      <w:bookmarkEnd w:id="83"/>
    </w:p>
    <w:p w14:paraId="0D9FE7E7">
      <w:r>
        <w:rPr>
          <w:rFonts w:hint="eastAsia"/>
        </w:rPr>
        <w:t>根据工程地质特征及其岩组组合，区内工程地质岩组主要为卵石单一土体，主要由第四系冲洪积卵石组成。治理区岩土体工程地质类型主要为圆砾类土，地层岩性为卵砾、砂粒、夹砂性土较薄透镜体。治理区内地基承载力特征值fak=250-300kpa，工程地质条件良好，可作为一般民用和工业建筑的天然地基。</w:t>
      </w:r>
    </w:p>
    <w:p w14:paraId="4A9045AF"/>
    <w:p w14:paraId="0F6605C0">
      <w:pPr>
        <w:sectPr>
          <w:type w:val="oddPage"/>
          <w:pgSz w:w="11906" w:h="16838"/>
          <w:pgMar w:top="1440" w:right="1800" w:bottom="1440" w:left="1800" w:header="851" w:footer="992" w:gutter="0"/>
          <w:cols w:space="425" w:num="1"/>
          <w:docGrid w:type="lines" w:linePitch="312" w:charSpace="0"/>
        </w:sectPr>
      </w:pPr>
    </w:p>
    <w:p w14:paraId="5020D39E">
      <w:pPr>
        <w:pStyle w:val="2"/>
      </w:pPr>
      <w:bookmarkStart w:id="84" w:name="_Toc102927612"/>
      <w:bookmarkStart w:id="85" w:name="_Toc106400412"/>
      <w:bookmarkStart w:id="86" w:name="_Toc106400197"/>
      <w:r>
        <w:rPr>
          <w:rFonts w:hint="eastAsia"/>
        </w:rPr>
        <w:t xml:space="preserve">第二章 </w:t>
      </w:r>
      <w:r>
        <w:t xml:space="preserve"> </w:t>
      </w:r>
      <w:r>
        <w:rPr>
          <w:rFonts w:hint="eastAsia"/>
        </w:rPr>
        <w:t>开采区主要环境和生态环境</w:t>
      </w:r>
      <w:bookmarkEnd w:id="84"/>
      <w:r>
        <w:rPr>
          <w:rFonts w:hint="eastAsia"/>
        </w:rPr>
        <w:t>论述</w:t>
      </w:r>
      <w:bookmarkEnd w:id="85"/>
      <w:bookmarkEnd w:id="86"/>
    </w:p>
    <w:p w14:paraId="16632AB8">
      <w:pPr>
        <w:pStyle w:val="3"/>
      </w:pPr>
      <w:bookmarkStart w:id="87" w:name="_Toc9600"/>
      <w:bookmarkStart w:id="88" w:name="_Toc500554320"/>
      <w:bookmarkStart w:id="89" w:name="_Toc106400413"/>
      <w:bookmarkStart w:id="90" w:name="_Toc30420"/>
      <w:bookmarkStart w:id="91" w:name="_Toc102927613"/>
      <w:bookmarkStart w:id="92" w:name="_Toc106400198"/>
      <w:r>
        <w:rPr>
          <w:rFonts w:hint="eastAsia"/>
        </w:rPr>
        <w:t>第一节  开采区主要地质环境和生态环境</w:t>
      </w:r>
      <w:bookmarkEnd w:id="87"/>
      <w:bookmarkEnd w:id="88"/>
      <w:r>
        <w:rPr>
          <w:rFonts w:hint="eastAsia"/>
        </w:rPr>
        <w:t>现状</w:t>
      </w:r>
      <w:bookmarkEnd w:id="89"/>
      <w:bookmarkEnd w:id="90"/>
      <w:bookmarkEnd w:id="91"/>
      <w:bookmarkEnd w:id="92"/>
    </w:p>
    <w:p w14:paraId="756A91E8">
      <w:r>
        <w:rPr>
          <w:rFonts w:hint="eastAsia"/>
        </w:rPr>
        <w:t>根据本次实地调查，矿区主要环境问题为矿业开发遗留下的采坑、废料堆等开采时对地形地貌景观和土地资源草场的影响破坏（挖损、压占）。</w:t>
      </w:r>
    </w:p>
    <w:p w14:paraId="146C72E9">
      <w:pPr>
        <w:ind w:firstLine="562"/>
        <w:rPr>
          <w:b/>
          <w:bCs/>
        </w:rPr>
      </w:pPr>
      <w:r>
        <w:rPr>
          <w:rFonts w:hint="eastAsia"/>
          <w:b/>
          <w:bCs/>
        </w:rPr>
        <w:t>一、治理区地质环境现状</w:t>
      </w:r>
    </w:p>
    <w:p w14:paraId="1F81116A">
      <w:pPr>
        <w:adjustRightInd/>
        <w:snapToGrid/>
        <w:rPr>
          <w:rFonts w:hAnsi="仿宋"/>
        </w:rPr>
      </w:pPr>
      <w:r>
        <w:rPr>
          <w:rFonts w:hint="eastAsia"/>
        </w:rPr>
        <w:t>治理区</w:t>
      </w:r>
      <w:r>
        <w:t>分布</w:t>
      </w:r>
      <w:r>
        <w:rPr>
          <w:rFonts w:hint="eastAsia"/>
        </w:rPr>
        <w:t>有1处</w:t>
      </w:r>
      <w:r>
        <w:t>采坑</w:t>
      </w:r>
      <w:r>
        <w:rPr>
          <w:rFonts w:hint="eastAsia"/>
        </w:rPr>
        <w:t>，采坑呈长方形，</w:t>
      </w:r>
      <w:r>
        <w:rPr>
          <w:rFonts w:hint="eastAsia" w:hAnsi="仿宋_GB2312" w:cs="仿宋_GB2312"/>
        </w:rPr>
        <w:t>采坑长约</w:t>
      </w:r>
      <w:r>
        <w:rPr>
          <w:rFonts w:hAnsi="仿宋_GB2312" w:cs="仿宋_GB2312"/>
        </w:rPr>
        <w:t>50</w:t>
      </w:r>
      <w:r>
        <w:rPr>
          <w:rFonts w:hint="eastAsia" w:hAnsi="仿宋_GB2312" w:cs="仿宋_GB2312"/>
        </w:rPr>
        <w:t>米，宽约</w:t>
      </w:r>
      <w:r>
        <w:rPr>
          <w:rFonts w:hAnsi="仿宋_GB2312" w:cs="仿宋_GB2312"/>
        </w:rPr>
        <w:t>34</w:t>
      </w:r>
      <w:r>
        <w:rPr>
          <w:rFonts w:hint="eastAsia" w:hAnsi="仿宋_GB2312" w:cs="仿宋_GB2312"/>
        </w:rPr>
        <w:t>米，深约</w:t>
      </w:r>
      <w:r>
        <w:rPr>
          <w:rFonts w:hAnsi="仿宋_GB2312" w:cs="仿宋_GB2312"/>
        </w:rPr>
        <w:t>7</w:t>
      </w:r>
      <w:r>
        <w:rPr>
          <w:rFonts w:hint="eastAsia" w:hAnsi="仿宋_GB2312" w:cs="仿宋_GB2312"/>
        </w:rPr>
        <w:t>-</w:t>
      </w:r>
      <w:r>
        <w:rPr>
          <w:rFonts w:hAnsi="仿宋_GB2312" w:cs="仿宋_GB2312"/>
        </w:rPr>
        <w:t>10</w:t>
      </w:r>
      <w:r>
        <w:rPr>
          <w:rFonts w:hint="eastAsia" w:hAnsi="仿宋_GB2312" w:cs="仿宋_GB2312"/>
        </w:rPr>
        <w:t>米，采坑东部较深，西部浅；采坑面积</w:t>
      </w:r>
      <w:r>
        <w:rPr>
          <w:rFonts w:hAnsi="仿宋_GB2312" w:cs="仿宋_GB2312"/>
        </w:rPr>
        <w:t>315.4</w:t>
      </w:r>
      <w:r>
        <w:rPr>
          <w:rFonts w:hint="eastAsia" w:hAnsi="仿宋_GB2312" w:cs="仿宋_GB2312"/>
        </w:rPr>
        <w:t>平方米，体积</w:t>
      </w:r>
      <w:r>
        <w:rPr>
          <w:rFonts w:hAnsi="仿宋_GB2312" w:cs="仿宋_GB2312"/>
        </w:rPr>
        <w:t>2523.2</w:t>
      </w:r>
      <w:r>
        <w:rPr>
          <w:rFonts w:hint="eastAsia" w:hAnsi="仿宋_GB2312" w:cs="仿宋_GB2312"/>
        </w:rPr>
        <w:t>立方米。</w:t>
      </w:r>
      <w:r>
        <w:rPr>
          <w:rFonts w:hint="eastAsia" w:hAnsi="仿宋"/>
          <w:color w:val="000000" w:themeColor="text1"/>
          <w14:textFill>
            <w14:solidFill>
              <w14:schemeClr w14:val="tx1"/>
            </w14:solidFill>
          </w14:textFill>
        </w:rPr>
        <w:t>采坑周围为开采时所产生的废料，治理区西北一侧料堆堆放为班次倾倒，成片状分布，料堆堆放量约</w:t>
      </w:r>
      <w:r>
        <w:rPr>
          <w:rFonts w:hAnsi="仿宋"/>
          <w:color w:val="000000" w:themeColor="text1"/>
          <w14:textFill>
            <w14:solidFill>
              <w14:schemeClr w14:val="tx1"/>
            </w14:solidFill>
          </w14:textFill>
        </w:rPr>
        <w:t>52510.3</w:t>
      </w:r>
      <w:r>
        <w:rPr>
          <w:rFonts w:hint="eastAsia" w:hAnsi="仿宋"/>
          <w:color w:val="000000" w:themeColor="text1"/>
          <w14:textFill>
            <w14:solidFill>
              <w14:schemeClr w14:val="tx1"/>
            </w14:solidFill>
          </w14:textFill>
        </w:rPr>
        <w:t>立方米</w:t>
      </w:r>
      <w:r>
        <w:rPr>
          <w:rFonts w:hint="eastAsia" w:hAnsi="仿宋"/>
        </w:rPr>
        <w:t>。（见照片</w:t>
      </w:r>
      <w:r>
        <w:rPr>
          <w:rFonts w:hAnsi="仿宋"/>
        </w:rPr>
        <w:t>2-1</w:t>
      </w:r>
      <w:r>
        <w:rPr>
          <w:rFonts w:hint="eastAsia" w:hAnsi="仿宋"/>
        </w:rPr>
        <w:t>、</w:t>
      </w:r>
      <w:r>
        <w:rPr>
          <w:rFonts w:hAnsi="仿宋"/>
        </w:rPr>
        <w:t>2-2</w:t>
      </w:r>
      <w:r>
        <w:rPr>
          <w:rFonts w:hint="eastAsia" w:hAnsi="仿宋"/>
        </w:rPr>
        <w:t>、</w:t>
      </w:r>
      <w:r>
        <w:rPr>
          <w:rFonts w:hAnsi="仿宋"/>
        </w:rPr>
        <w:t>2-3</w:t>
      </w:r>
      <w:r>
        <w:rPr>
          <w:rFonts w:hint="eastAsia" w:hAnsi="仿宋"/>
        </w:rPr>
        <w:t>）</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84"/>
        <w:gridCol w:w="4184"/>
      </w:tblGrid>
      <w:tr w14:paraId="008E7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585CEE6">
            <w:pPr>
              <w:spacing w:line="240" w:lineRule="auto"/>
              <w:ind w:firstLine="0" w:firstLineChars="0"/>
            </w:pPr>
            <w:r>
              <w:drawing>
                <wp:inline distT="0" distB="0" distL="0" distR="0">
                  <wp:extent cx="2519680" cy="18903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a:srcRect/>
                          <a:stretch>
                            <a:fillRect/>
                          </a:stretch>
                        </pic:blipFill>
                        <pic:spPr>
                          <a:xfrm>
                            <a:off x="0" y="0"/>
                            <a:ext cx="2520000" cy="1890758"/>
                          </a:xfrm>
                          <a:prstGeom prst="rect">
                            <a:avLst/>
                          </a:prstGeom>
                          <a:noFill/>
                          <a:ln>
                            <a:noFill/>
                          </a:ln>
                        </pic:spPr>
                      </pic:pic>
                    </a:graphicData>
                  </a:graphic>
                </wp:inline>
              </w:drawing>
            </w:r>
          </w:p>
        </w:tc>
        <w:tc>
          <w:tcPr>
            <w:tcW w:w="4148" w:type="dxa"/>
          </w:tcPr>
          <w:p w14:paraId="695F1AA7">
            <w:pPr>
              <w:spacing w:line="240" w:lineRule="auto"/>
              <w:ind w:firstLine="0" w:firstLineChars="0"/>
            </w:pPr>
            <w:r>
              <w:drawing>
                <wp:inline distT="0" distB="0" distL="0" distR="0">
                  <wp:extent cx="2519680" cy="18903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srcRect/>
                          <a:stretch>
                            <a:fillRect/>
                          </a:stretch>
                        </pic:blipFill>
                        <pic:spPr>
                          <a:xfrm>
                            <a:off x="0" y="0"/>
                            <a:ext cx="2520000" cy="1890758"/>
                          </a:xfrm>
                          <a:prstGeom prst="rect">
                            <a:avLst/>
                          </a:prstGeom>
                          <a:noFill/>
                          <a:ln>
                            <a:noFill/>
                          </a:ln>
                        </pic:spPr>
                      </pic:pic>
                    </a:graphicData>
                  </a:graphic>
                </wp:inline>
              </w:drawing>
            </w:r>
          </w:p>
        </w:tc>
      </w:tr>
      <w:tr w14:paraId="202E2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438BAC2">
            <w:pPr>
              <w:ind w:firstLine="0" w:firstLineChars="0"/>
              <w:jc w:val="center"/>
            </w:pPr>
            <w:r>
              <w:rPr>
                <w:rFonts w:hint="eastAsia"/>
              </w:rPr>
              <w:t>照片2</w:t>
            </w:r>
            <w:r>
              <w:t xml:space="preserve">-1  </w:t>
            </w:r>
            <w:r>
              <w:rPr>
                <w:rFonts w:hint="eastAsia"/>
              </w:rPr>
              <w:t>治理区采坑</w:t>
            </w:r>
          </w:p>
        </w:tc>
        <w:tc>
          <w:tcPr>
            <w:tcW w:w="4148" w:type="dxa"/>
          </w:tcPr>
          <w:p w14:paraId="3F61A61B">
            <w:pPr>
              <w:ind w:firstLine="0" w:firstLineChars="0"/>
              <w:jc w:val="center"/>
            </w:pPr>
            <w:r>
              <w:rPr>
                <w:rFonts w:hint="eastAsia"/>
              </w:rPr>
              <w:t>照片2</w:t>
            </w:r>
            <w:r>
              <w:t xml:space="preserve">-2  </w:t>
            </w:r>
            <w:r>
              <w:rPr>
                <w:rFonts w:hint="eastAsia"/>
              </w:rPr>
              <w:t>治理区采坑坑壁</w:t>
            </w:r>
          </w:p>
        </w:tc>
      </w:tr>
      <w:tr w14:paraId="542D0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14:paraId="24D9D780">
            <w:pPr>
              <w:spacing w:line="240" w:lineRule="auto"/>
              <w:ind w:firstLine="0" w:firstLineChars="0"/>
              <w:jc w:val="center"/>
            </w:pPr>
            <w:r>
              <w:drawing>
                <wp:inline distT="0" distB="0" distL="0" distR="0">
                  <wp:extent cx="3263265" cy="2447925"/>
                  <wp:effectExtent l="0" t="0" r="1333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a:srcRect/>
                          <a:stretch>
                            <a:fillRect/>
                          </a:stretch>
                        </pic:blipFill>
                        <pic:spPr>
                          <a:xfrm>
                            <a:off x="0" y="0"/>
                            <a:ext cx="3263265" cy="2447925"/>
                          </a:xfrm>
                          <a:prstGeom prst="rect">
                            <a:avLst/>
                          </a:prstGeom>
                          <a:noFill/>
                          <a:ln>
                            <a:noFill/>
                          </a:ln>
                        </pic:spPr>
                      </pic:pic>
                    </a:graphicData>
                  </a:graphic>
                </wp:inline>
              </w:drawing>
            </w:r>
          </w:p>
        </w:tc>
      </w:tr>
      <w:tr w14:paraId="384D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14:paraId="5EE5FDFD">
            <w:pPr>
              <w:ind w:firstLine="0" w:firstLineChars="0"/>
              <w:jc w:val="center"/>
            </w:pPr>
            <w:r>
              <w:rPr>
                <w:rFonts w:hint="eastAsia"/>
              </w:rPr>
              <w:t>照片2</w:t>
            </w:r>
            <w:r>
              <w:t xml:space="preserve">-3  </w:t>
            </w:r>
            <w:r>
              <w:rPr>
                <w:rFonts w:hint="eastAsia"/>
              </w:rPr>
              <w:t>废弃料堆</w:t>
            </w:r>
          </w:p>
        </w:tc>
      </w:tr>
    </w:tbl>
    <w:p w14:paraId="189DFFC4">
      <w:pPr>
        <w:rPr>
          <w:rFonts w:hAnsi="Calibri"/>
        </w:rPr>
      </w:pPr>
      <w:bookmarkStart w:id="93" w:name="_Toc23937"/>
      <w:r>
        <w:rPr>
          <w:rFonts w:hint="eastAsia"/>
        </w:rPr>
        <w:t>治理区采矿活动使得该区与周边地形地貌在视觉上形成极大反差，</w:t>
      </w:r>
      <w:r>
        <w:rPr>
          <w:rFonts w:hint="eastAsia" w:hAnsi="仿宋"/>
        </w:rPr>
        <w:t>采坑</w:t>
      </w:r>
      <w:r>
        <w:rPr>
          <w:rFonts w:hint="eastAsia"/>
        </w:rPr>
        <w:t>周边植被不发育。挖损的土地，导致土地功能丧失，与周边环境极不协调。</w:t>
      </w:r>
    </w:p>
    <w:p w14:paraId="0069CF02">
      <w:pPr>
        <w:pStyle w:val="3"/>
      </w:pPr>
      <w:bookmarkStart w:id="94" w:name="_Toc106400414"/>
      <w:bookmarkStart w:id="95" w:name="_Toc102927614"/>
      <w:bookmarkStart w:id="96" w:name="_Toc106400199"/>
      <w:r>
        <w:rPr>
          <w:rFonts w:hint="eastAsia"/>
        </w:rPr>
        <w:t>第二节  主要地质环境问题及危害</w:t>
      </w:r>
      <w:bookmarkEnd w:id="93"/>
      <w:bookmarkEnd w:id="94"/>
      <w:bookmarkEnd w:id="95"/>
      <w:bookmarkEnd w:id="96"/>
    </w:p>
    <w:p w14:paraId="76373A2B">
      <w:bookmarkStart w:id="97" w:name="_Toc8213455"/>
      <w:r>
        <w:rPr>
          <w:rFonts w:hint="eastAsia"/>
        </w:rPr>
        <w:t>一、采坑、废料堆的存在，使原有的地形地貌遭到严重破坏，导致土地功能丧失，土地更加贫瘠、满目疮痍，与周边环境极不协调。</w:t>
      </w:r>
    </w:p>
    <w:bookmarkEnd w:id="97"/>
    <w:p w14:paraId="3FBF7789">
      <w:r>
        <w:rPr>
          <w:rFonts w:hint="eastAsia"/>
        </w:rPr>
        <w:t>二、采坑南侧、西侧、东侧采坑壁较为陡立，</w:t>
      </w:r>
      <w:r>
        <w:rPr>
          <w:rFonts w:hint="eastAsia" w:hAnsi="仿宋_GB2312" w:cs="仿宋_GB2312"/>
        </w:rPr>
        <w:t>采坑壁高约</w:t>
      </w:r>
      <w:r>
        <w:rPr>
          <w:rFonts w:hAnsi="仿宋_GB2312" w:cs="仿宋_GB2312"/>
        </w:rPr>
        <w:t>10</w:t>
      </w:r>
      <w:r>
        <w:rPr>
          <w:rFonts w:hint="eastAsia" w:hAnsi="仿宋_GB2312" w:cs="仿宋_GB2312"/>
        </w:rPr>
        <w:t>米，坡度约为</w:t>
      </w:r>
      <w:r>
        <w:rPr>
          <w:rFonts w:hAnsi="仿宋_GB2312" w:cs="仿宋_GB2312"/>
        </w:rPr>
        <w:t>65</w:t>
      </w:r>
      <w:r>
        <w:rPr>
          <w:rFonts w:hint="eastAsia" w:hAnsi="仿宋_GB2312" w:cs="仿宋_GB2312"/>
        </w:rPr>
        <w:t>°，</w:t>
      </w:r>
      <w:r>
        <w:rPr>
          <w:rFonts w:hint="eastAsia"/>
        </w:rPr>
        <w:t>采坑边坡土质松散稳固性较差，存在崩塌隐患。对治理区周边人类工程活动以及当地牲畜的生命财产安全构成潜在威胁，同时对当地野生动物活动造成一定的威胁。</w:t>
      </w:r>
    </w:p>
    <w:p w14:paraId="2F59AAFF">
      <w:pPr>
        <w:widowControl/>
        <w:rPr>
          <w:rFonts w:cs="宋体"/>
          <w:kern w:val="0"/>
        </w:rPr>
      </w:pPr>
      <w:r>
        <w:rPr>
          <w:rFonts w:hint="eastAsia" w:cs="宋体"/>
          <w:color w:val="000000"/>
          <w:kern w:val="0"/>
        </w:rPr>
        <w:t>三、采坑的存在，使原有的生态环境环境遭到破坏，造成水土流失，采坑的形成导致土地功能丧失，造成大量土地资源严重浪费。在遇到大风天气时，造成采坑内松散土壤尘土飞扬，</w:t>
      </w:r>
      <w:r>
        <w:rPr>
          <w:rFonts w:hint="eastAsia" w:cs="宋体"/>
          <w:kern w:val="0"/>
        </w:rPr>
        <w:t>影响周围的环境空气质量，</w:t>
      </w:r>
      <w:r>
        <w:rPr>
          <w:rFonts w:hint="eastAsia" w:cs="宋体"/>
          <w:color w:val="000000"/>
          <w:kern w:val="0"/>
        </w:rPr>
        <w:t>影响周边人员的生体健康</w:t>
      </w:r>
      <w:r>
        <w:rPr>
          <w:rFonts w:hint="eastAsia" w:cs="宋体"/>
          <w:kern w:val="0"/>
        </w:rPr>
        <w:t>，还可能影响周围的生态环境，使植物生长缓慢、病虫害增多。</w:t>
      </w:r>
    </w:p>
    <w:p w14:paraId="1E01C584">
      <w:pPr>
        <w:widowControl/>
        <w:rPr>
          <w:rFonts w:cs="宋体"/>
          <w:kern w:val="0"/>
        </w:rPr>
      </w:pPr>
      <w:r>
        <w:rPr>
          <w:rFonts w:hint="eastAsia" w:cs="宋体"/>
          <w:kern w:val="0"/>
        </w:rPr>
        <w:t>四、采坑的存在，在强降雨和冰雪融水的影响下，会造成采坑积水，对周围人员的生命造成了一定的风险。</w:t>
      </w:r>
    </w:p>
    <w:p w14:paraId="45031A5E">
      <w:pPr>
        <w:widowControl/>
        <w:rPr>
          <w:rFonts w:cs="宋体"/>
          <w:kern w:val="0"/>
        </w:rPr>
      </w:pPr>
    </w:p>
    <w:p w14:paraId="3A528C53">
      <w:pPr>
        <w:widowControl/>
        <w:rPr>
          <w:rFonts w:cs="宋体"/>
          <w:kern w:val="0"/>
        </w:rPr>
        <w:sectPr>
          <w:pgSz w:w="11906" w:h="16838"/>
          <w:pgMar w:top="1440" w:right="1800" w:bottom="1440" w:left="1800" w:header="851" w:footer="992" w:gutter="0"/>
          <w:cols w:space="425" w:num="1"/>
          <w:docGrid w:type="lines" w:linePitch="312" w:charSpace="0"/>
        </w:sectPr>
      </w:pPr>
    </w:p>
    <w:p w14:paraId="50A174E7">
      <w:pPr>
        <w:pStyle w:val="2"/>
      </w:pPr>
      <w:bookmarkStart w:id="98" w:name="_Toc106400200"/>
      <w:bookmarkStart w:id="99" w:name="_Toc106400415"/>
      <w:bookmarkStart w:id="100" w:name="_Toc102927616"/>
      <w:bookmarkStart w:id="101" w:name="_Toc19917"/>
      <w:bookmarkStart w:id="102" w:name="_Toc500554322"/>
      <w:bookmarkStart w:id="103" w:name="_Toc27685"/>
      <w:r>
        <w:rPr>
          <w:rFonts w:hint="eastAsia"/>
        </w:rPr>
        <w:t>第三章  治理施工设计</w:t>
      </w:r>
      <w:bookmarkEnd w:id="98"/>
      <w:bookmarkEnd w:id="99"/>
      <w:bookmarkEnd w:id="100"/>
      <w:bookmarkEnd w:id="101"/>
      <w:bookmarkEnd w:id="102"/>
      <w:bookmarkEnd w:id="103"/>
    </w:p>
    <w:p w14:paraId="5D0EAF76">
      <w:pPr>
        <w:pStyle w:val="3"/>
      </w:pPr>
      <w:bookmarkStart w:id="104" w:name="_Toc102927617"/>
      <w:bookmarkStart w:id="105" w:name="_Toc31200"/>
      <w:bookmarkStart w:id="106" w:name="_Toc500554323"/>
      <w:bookmarkStart w:id="107" w:name="_Toc520058349"/>
      <w:bookmarkStart w:id="108" w:name="_Toc29408"/>
      <w:bookmarkStart w:id="109" w:name="_Toc106400201"/>
      <w:bookmarkStart w:id="110" w:name="_Toc430184285"/>
      <w:bookmarkStart w:id="111" w:name="_Toc106400416"/>
      <w:r>
        <w:rPr>
          <w:rFonts w:hint="eastAsia"/>
        </w:rPr>
        <w:t>第一节  治理原则</w:t>
      </w:r>
      <w:bookmarkEnd w:id="104"/>
      <w:bookmarkEnd w:id="105"/>
      <w:bookmarkEnd w:id="106"/>
      <w:bookmarkEnd w:id="107"/>
      <w:bookmarkEnd w:id="108"/>
      <w:bookmarkEnd w:id="109"/>
      <w:bookmarkEnd w:id="110"/>
      <w:bookmarkEnd w:id="111"/>
    </w:p>
    <w:p w14:paraId="176E3123">
      <w:pPr>
        <w:rPr>
          <w:rFonts w:hAnsi="Times New Roman"/>
        </w:rPr>
      </w:pPr>
      <w:r>
        <w:rPr>
          <w:rFonts w:hint="eastAsia" w:hAnsi="Times New Roman"/>
        </w:rPr>
        <w:t>1、坚持重点突出、目标任务明确的原则。治理恢复方案必须充分与和布克赛尔蒙古自治县人民政府、县自然资源局充分沟通，设计方案能够满足相关技术要求。</w:t>
      </w:r>
    </w:p>
    <w:p w14:paraId="795FDB6F">
      <w:pPr>
        <w:rPr>
          <w:rFonts w:hAnsi="Times New Roman"/>
        </w:rPr>
      </w:pPr>
      <w:r>
        <w:rPr>
          <w:rFonts w:hint="eastAsia" w:hAnsi="Times New Roman"/>
        </w:rPr>
        <w:t>2、遵循经济、环境、安全相统一的原则。治理区范围的圈定、治理工程的设计与施工，应对环境影响小，不会引发其它新的地质环境问题及地质灾害。</w:t>
      </w:r>
    </w:p>
    <w:p w14:paraId="6D723BB7">
      <w:pPr>
        <w:rPr>
          <w:rFonts w:hAnsi="Times New Roman"/>
        </w:rPr>
      </w:pPr>
      <w:r>
        <w:rPr>
          <w:rFonts w:hint="eastAsia" w:hAnsi="Times New Roman"/>
        </w:rPr>
        <w:t>3、遵循“因地制宜”的原则。根据治理区周边设施的分布与高程、治理工程特点，合理确定治理指标，使治理区与周围地形地貌相协调，最大限度地恢复地质环境。</w:t>
      </w:r>
    </w:p>
    <w:p w14:paraId="5269C833">
      <w:pPr>
        <w:rPr>
          <w:rFonts w:hAnsi="Times New Roman"/>
        </w:rPr>
      </w:pPr>
      <w:r>
        <w:rPr>
          <w:rFonts w:hint="eastAsia" w:hAnsi="Times New Roman"/>
        </w:rPr>
        <w:t>4、坚持治理措施最优化原则。采取工程技术可行、经济合理的治理设计方案，简单易行、可靠有效的工作方法，使用最小的投入达到最佳治理效果。</w:t>
      </w:r>
    </w:p>
    <w:p w14:paraId="3F323BF2">
      <w:pPr>
        <w:pStyle w:val="3"/>
      </w:pPr>
      <w:bookmarkStart w:id="112" w:name="_Toc251596078"/>
      <w:bookmarkStart w:id="113" w:name="_Toc430184286"/>
      <w:bookmarkStart w:id="114" w:name="_Toc254436137"/>
      <w:bookmarkStart w:id="115" w:name="_Toc102927618"/>
      <w:bookmarkStart w:id="116" w:name="_Toc500554324"/>
      <w:bookmarkStart w:id="117" w:name="_Toc19178"/>
      <w:bookmarkStart w:id="118" w:name="_Toc3379"/>
      <w:bookmarkStart w:id="119" w:name="_Toc106400417"/>
      <w:bookmarkStart w:id="120" w:name="_Toc106400202"/>
      <w:bookmarkStart w:id="121" w:name="_Toc520058350"/>
      <w:r>
        <w:rPr>
          <w:rFonts w:hint="eastAsia"/>
        </w:rPr>
        <w:t>第二节  治理</w:t>
      </w:r>
      <w:bookmarkEnd w:id="112"/>
      <w:bookmarkEnd w:id="113"/>
      <w:bookmarkEnd w:id="114"/>
      <w:r>
        <w:rPr>
          <w:rFonts w:hint="eastAsia"/>
        </w:rPr>
        <w:t>设计方案</w:t>
      </w:r>
      <w:bookmarkEnd w:id="115"/>
      <w:bookmarkEnd w:id="116"/>
      <w:bookmarkEnd w:id="117"/>
      <w:bookmarkEnd w:id="118"/>
      <w:bookmarkEnd w:id="119"/>
      <w:bookmarkEnd w:id="120"/>
      <w:bookmarkEnd w:id="121"/>
    </w:p>
    <w:p w14:paraId="05329094">
      <w:pPr>
        <w:ind w:firstLine="562"/>
        <w:rPr>
          <w:b/>
          <w:bCs/>
        </w:rPr>
      </w:pPr>
      <w:r>
        <w:rPr>
          <w:rFonts w:hint="eastAsia"/>
          <w:b/>
          <w:bCs/>
        </w:rPr>
        <w:t>一、治理思路</w:t>
      </w:r>
    </w:p>
    <w:p w14:paraId="7FE13330">
      <w:pPr>
        <w:rPr>
          <w:rFonts w:hAnsi="仿宋_GB2312" w:cs="仿宋_GB2312"/>
          <w:lang w:val="sq-AL"/>
        </w:rPr>
      </w:pPr>
      <w:r>
        <w:rPr>
          <w:rFonts w:hint="eastAsia" w:hAnsi="仿宋_GB2312" w:cs="仿宋_GB2312"/>
          <w:lang w:val="sq-AL"/>
        </w:rPr>
        <w:t>（一）治理工作区划分</w:t>
      </w:r>
    </w:p>
    <w:p w14:paraId="7D75A5D4">
      <w:pPr>
        <w:pStyle w:val="35"/>
        <w:spacing w:before="0" w:beforeLines="0" w:line="500" w:lineRule="exact"/>
        <w:rPr>
          <w:rFonts w:hAnsi="仿宋_GB2312" w:cs="仿宋_GB2312"/>
        </w:rPr>
      </w:pPr>
      <w:r>
        <w:rPr>
          <w:rFonts w:hint="eastAsia" w:hAnsi="仿宋_GB2312" w:cs="仿宋_GB2312"/>
        </w:rPr>
        <w:t>本次治理区面积较大，区内采坑、</w:t>
      </w:r>
      <w:r>
        <w:rPr>
          <w:rFonts w:hint="eastAsia" w:hAnsi="仿宋_GB2312" w:cs="仿宋_GB2312"/>
          <w:szCs w:val="28"/>
          <w:lang w:val="sq-AL"/>
        </w:rPr>
        <w:t>废渣堆</w:t>
      </w:r>
      <w:r>
        <w:rPr>
          <w:rFonts w:hint="eastAsia" w:hAnsi="仿宋_GB2312" w:cs="仿宋_GB2312"/>
        </w:rPr>
        <w:t>分布复杂，为便于设计和施工，根据采坑和</w:t>
      </w:r>
      <w:r>
        <w:rPr>
          <w:rFonts w:hint="eastAsia" w:hAnsi="仿宋_GB2312" w:cs="仿宋_GB2312"/>
          <w:szCs w:val="28"/>
          <w:lang w:val="sq-AL"/>
        </w:rPr>
        <w:t>废渣堆</w:t>
      </w:r>
      <w:r>
        <w:rPr>
          <w:rFonts w:hint="eastAsia" w:hAnsi="仿宋_GB2312" w:cs="仿宋_GB2312"/>
        </w:rPr>
        <w:t>分布位置及设计思路将治理区划分为推运回填平整区、拉运</w:t>
      </w:r>
      <w:r>
        <w:rPr>
          <w:rFonts w:hint="eastAsia" w:hAnsi="仿宋_GB2312" w:cs="仿宋_GB2312"/>
          <w:szCs w:val="28"/>
        </w:rPr>
        <w:t>回填平整区等。</w:t>
      </w:r>
    </w:p>
    <w:p w14:paraId="2567BDB6">
      <w:pPr>
        <w:pStyle w:val="35"/>
        <w:spacing w:before="0" w:beforeLines="0" w:line="500" w:lineRule="exact"/>
        <w:rPr>
          <w:rFonts w:hAnsi="仿宋_GB2312" w:cs="仿宋_GB2312"/>
        </w:rPr>
      </w:pPr>
      <w:r>
        <w:rPr>
          <w:rFonts w:hint="eastAsia" w:hAnsi="仿宋_GB2312" w:cs="仿宋_GB2312"/>
        </w:rPr>
        <w:t>（二）</w:t>
      </w:r>
      <w:r>
        <w:rPr>
          <w:rFonts w:hint="eastAsia" w:hAnsi="仿宋_GB2312" w:cs="仿宋_GB2312"/>
          <w:lang w:val="sq-AL"/>
        </w:rPr>
        <w:t>治理方案思路</w:t>
      </w:r>
    </w:p>
    <w:p w14:paraId="17E5C729">
      <w:pPr>
        <w:ind w:firstLine="544"/>
        <w:rPr>
          <w:rFonts w:hAnsi="仿宋_GB2312" w:cs="仿宋_GB2312"/>
          <w:spacing w:val="-4"/>
          <w:lang w:val="sq-AL"/>
        </w:rPr>
      </w:pPr>
      <w:r>
        <w:rPr>
          <w:rFonts w:hint="eastAsia" w:hAnsi="仿宋_GB2312" w:cs="仿宋_GB2312"/>
          <w:spacing w:val="-4"/>
          <w:lang w:val="sq-AL"/>
        </w:rPr>
        <w:t>根据治理目标、相关法律法规、标准规范及治理区具体情况，经</w:t>
      </w:r>
      <w:r>
        <w:rPr>
          <w:rFonts w:hint="eastAsia" w:hAnsi="仿宋_GB2312" w:cs="仿宋_GB2312"/>
          <w:spacing w:val="-4"/>
        </w:rPr>
        <w:t>与和布克赛尔县自然资源局充分沟通</w:t>
      </w:r>
      <w:r>
        <w:rPr>
          <w:rFonts w:hint="eastAsia" w:hAnsi="仿宋_GB2312" w:cs="仿宋_GB2312"/>
          <w:spacing w:val="-4"/>
          <w:lang w:val="sq-AL"/>
        </w:rPr>
        <w:t>，对地质环境治理方案总体思路如下：</w:t>
      </w:r>
    </w:p>
    <w:p w14:paraId="651633C7">
      <w:pPr>
        <w:ind w:firstLine="544"/>
        <w:rPr>
          <w:rFonts w:hAnsi="仿宋_GB2312" w:cs="仿宋_GB2312"/>
          <w:spacing w:val="-4"/>
          <w:lang w:val="sq-AL"/>
        </w:rPr>
      </w:pPr>
      <w:r>
        <w:rPr>
          <w:rFonts w:hint="eastAsia" w:hAnsi="仿宋_GB2312" w:cs="仿宋_GB2312"/>
          <w:spacing w:val="-4"/>
          <w:lang w:val="sq-AL"/>
        </w:rPr>
        <w:t>以消除地质灾害隐患为主，结合治理区及周边现状地质环境条件，采取削高填低、</w:t>
      </w:r>
      <w:r>
        <w:rPr>
          <w:rFonts w:hint="eastAsia" w:hAnsi="仿宋_GB2312" w:cs="仿宋_GB2312"/>
          <w:spacing w:val="-4"/>
        </w:rPr>
        <w:t>放坡筑坡、</w:t>
      </w:r>
      <w:r>
        <w:rPr>
          <w:rFonts w:hint="eastAsia" w:hAnsi="仿宋_GB2312" w:cs="仿宋_GB2312"/>
          <w:spacing w:val="-4"/>
          <w:lang w:val="sq-AL"/>
        </w:rPr>
        <w:t>边坡修整、场地平整</w:t>
      </w:r>
      <w:r>
        <w:rPr>
          <w:rFonts w:hint="eastAsia" w:hAnsi="仿宋_GB2312" w:cs="仿宋_GB2312"/>
          <w:spacing w:val="-4"/>
        </w:rPr>
        <w:t>及辅助工程</w:t>
      </w:r>
      <w:r>
        <w:rPr>
          <w:rFonts w:hint="eastAsia" w:hAnsi="仿宋_GB2312" w:cs="仿宋_GB2312"/>
          <w:spacing w:val="-4"/>
          <w:lang w:val="sq-AL"/>
        </w:rPr>
        <w:t>的方式进行地质环境治理，</w:t>
      </w:r>
      <w:r>
        <w:rPr>
          <w:rFonts w:hint="eastAsia" w:hAnsi="仿宋_GB2312" w:cs="仿宋_GB2312"/>
          <w:spacing w:val="-4"/>
        </w:rPr>
        <w:t>治</w:t>
      </w:r>
      <w:r>
        <w:rPr>
          <w:rFonts w:hint="eastAsia" w:hAnsi="仿宋_GB2312" w:cs="仿宋_GB2312"/>
          <w:spacing w:val="-4"/>
          <w:lang w:val="sq-AL"/>
        </w:rPr>
        <w:t>理区范围内的现状土方自行平衡治理，不进行外运土方。</w:t>
      </w:r>
    </w:p>
    <w:p w14:paraId="1FCD48DD">
      <w:pPr>
        <w:pStyle w:val="35"/>
        <w:spacing w:before="0" w:beforeLines="0" w:line="500" w:lineRule="exact"/>
        <w:rPr>
          <w:rFonts w:hAnsi="仿宋_GB2312" w:cs="仿宋_GB2312"/>
        </w:rPr>
      </w:pPr>
      <w:r>
        <w:rPr>
          <w:rFonts w:hint="eastAsia" w:hAnsi="仿宋_GB2312" w:cs="仿宋_GB2312"/>
        </w:rPr>
        <w:t>1、土石方工程设计思路</w:t>
      </w:r>
    </w:p>
    <w:p w14:paraId="21710B85">
      <w:pPr>
        <w:rPr>
          <w:rFonts w:hAnsi="仿宋_GB2312" w:cs="仿宋_GB2312"/>
          <w:lang w:val="sq-AL"/>
        </w:rPr>
      </w:pPr>
      <w:r>
        <w:rPr>
          <w:rFonts w:hint="eastAsia" w:hAnsi="仿宋_GB2312" w:cs="仿宋_GB2312"/>
          <w:lang w:val="sq-AL"/>
        </w:rPr>
        <w:t>治理区内采坑较深，采坑壁直立，废渣堆边坡较陡，一方面有滑坡地质灾害隐患，威胁人畜安全，对直立采坑壁和废渣堆陡边坡进行边坡修整。削坡土方堆置于坡底，分层压实筑坡，边坡坡度</w:t>
      </w:r>
      <w:r>
        <w:rPr>
          <w:rFonts w:hint="eastAsia" w:hAnsi="仿宋_GB2312" w:cs="仿宋_GB2312"/>
        </w:rPr>
        <w:t>20°-33°</w:t>
      </w:r>
      <w:r>
        <w:rPr>
          <w:rFonts w:hint="eastAsia" w:hAnsi="仿宋_GB2312" w:cs="仿宋_GB2312"/>
          <w:lang w:val="sq-AL"/>
        </w:rPr>
        <w:t>。边坡修整结束后，对废渣堆顶部、采坑底部乱堆区和乱挖区,采用132kW推土机，就近推土、削高填低进行治理。对于其周边面积小于2000m</w:t>
      </w:r>
      <w:r>
        <w:rPr>
          <w:rFonts w:hint="eastAsia" w:hAnsi="仿宋_GB2312" w:cs="仿宋_GB2312"/>
          <w:vertAlign w:val="superscript"/>
          <w:lang w:val="sq-AL"/>
        </w:rPr>
        <w:t>2</w:t>
      </w:r>
      <w:r>
        <w:rPr>
          <w:rFonts w:hint="eastAsia" w:hAnsi="仿宋_GB2312" w:cs="仿宋_GB2312"/>
          <w:lang w:val="sq-AL"/>
        </w:rPr>
        <w:t>、深度小于5m的采坑，进行完全回填治理，对于高度小于2m的废料堆进行推平治理，治理后与周边地表自然衔接。</w:t>
      </w:r>
    </w:p>
    <w:p w14:paraId="08D3C0DD">
      <w:pPr>
        <w:pStyle w:val="35"/>
        <w:spacing w:before="0" w:beforeLines="0" w:line="500" w:lineRule="exact"/>
        <w:rPr>
          <w:rFonts w:hAnsi="仿宋_GB2312" w:cs="仿宋_GB2312"/>
        </w:rPr>
      </w:pPr>
      <w:r>
        <w:rPr>
          <w:rFonts w:hAnsi="仿宋_GB2312" w:cs="仿宋_GB2312"/>
        </w:rPr>
        <w:t>2</w:t>
      </w:r>
      <w:r>
        <w:rPr>
          <w:rFonts w:hint="eastAsia" w:hAnsi="仿宋_GB2312" w:cs="仿宋_GB2312"/>
        </w:rPr>
        <w:t>、料场开采设计思路</w:t>
      </w:r>
    </w:p>
    <w:p w14:paraId="3E9AA611">
      <w:pPr>
        <w:overflowPunct w:val="0"/>
        <w:rPr>
          <w:rFonts w:hAnsi="仿宋"/>
        </w:rPr>
      </w:pPr>
      <w:r>
        <w:rPr>
          <w:rFonts w:hint="eastAsia" w:hAnsi="仿宋"/>
        </w:rPr>
        <w:t>按照治理设计思路，本次治理工程采取分区治理的总体方案。治理区的各项治理工作安排应该达到分步实施、统筹有序。据此，本次治理工作技术路线为：</w:t>
      </w:r>
    </w:p>
    <w:p w14:paraId="4DE1B477">
      <w:pPr>
        <w:overflowPunct w:val="0"/>
        <w:rPr>
          <w:rFonts w:hAnsi="仿宋"/>
        </w:rPr>
      </w:pPr>
      <w:r>
        <w:rPr>
          <w:rFonts w:hint="eastAsia" w:hAnsi="仿宋"/>
        </w:rPr>
        <w:t>1、对治理区进行必要的施工前期准备，修筑进场施工便道和施工平台。</w:t>
      </w:r>
    </w:p>
    <w:p w14:paraId="66D50E59">
      <w:pPr>
        <w:overflowPunct w:val="0"/>
        <w:rPr>
          <w:rFonts w:hAnsi="仿宋"/>
        </w:rPr>
      </w:pPr>
      <w:r>
        <w:rPr>
          <w:rFonts w:hint="eastAsia" w:hAnsi="仿宋"/>
        </w:rPr>
        <w:t>2、对采坑边80米内分布的废料堆就近推运回填至采坑，采用分层平整、碾压回填。</w:t>
      </w:r>
    </w:p>
    <w:p w14:paraId="1694535C">
      <w:pPr>
        <w:overflowPunct w:val="0"/>
        <w:rPr>
          <w:rFonts w:hAnsi="仿宋"/>
        </w:rPr>
      </w:pPr>
      <w:r>
        <w:rPr>
          <w:rFonts w:hint="eastAsia" w:hAnsi="仿宋"/>
        </w:rPr>
        <w:t>3、距离较远的排土场利用机械对采坑进行分层回填、平整。</w:t>
      </w:r>
    </w:p>
    <w:p w14:paraId="534EC0E5">
      <w:pPr>
        <w:overflowPunct w:val="0"/>
        <w:rPr>
          <w:rFonts w:hAnsi="仿宋"/>
        </w:rPr>
      </w:pPr>
      <w:r>
        <w:rPr>
          <w:rFonts w:hint="eastAsia" w:hAnsi="仿宋"/>
        </w:rPr>
        <w:t>4、对治理区按照设计坡度和设计高程进行统一平整，对放坡段进行放坡整平，注重对采坑、排土场治理与周边原始地形衔接部位的修整，使治理区与周边地形地貌相协调，确保治理区内的地貌景观整齐。</w:t>
      </w:r>
    </w:p>
    <w:p w14:paraId="0F4AEE2E">
      <w:pPr>
        <w:spacing w:line="520" w:lineRule="exact"/>
        <w:rPr>
          <w:rFonts w:hAnsi="仿宋"/>
        </w:rPr>
      </w:pPr>
      <w:r>
        <w:rPr>
          <w:rFonts w:hint="eastAsia" w:hAnsi="仿宋"/>
        </w:rPr>
        <w:t>5、治理工程结束后，制作永久性治理工程说明碑。</w:t>
      </w:r>
    </w:p>
    <w:p w14:paraId="48A01E25">
      <w:pPr>
        <w:ind w:firstLine="562"/>
        <w:rPr>
          <w:b/>
          <w:bCs/>
        </w:rPr>
      </w:pPr>
      <w:r>
        <w:rPr>
          <w:rFonts w:hint="eastAsia"/>
          <w:b/>
          <w:bCs/>
        </w:rPr>
        <w:t>二、治理设计</w:t>
      </w:r>
    </w:p>
    <w:p w14:paraId="41B15D90">
      <w:pPr>
        <w:rPr>
          <w:rFonts w:hAnsi="Times New Roman"/>
        </w:rPr>
      </w:pPr>
      <w:r>
        <w:rPr>
          <w:rFonts w:hint="eastAsia" w:hAnsi="Times New Roman"/>
        </w:rPr>
        <w:t>（一）主要技术要求</w:t>
      </w:r>
    </w:p>
    <w:p w14:paraId="4C5F3B46">
      <w:pPr>
        <w:rPr>
          <w:rFonts w:hAnsi="Times New Roman"/>
        </w:rPr>
      </w:pPr>
      <w:r>
        <w:rPr>
          <w:rFonts w:hint="eastAsia" w:hAnsi="Times New Roman"/>
        </w:rPr>
        <w:t>1、《矿山地质环境保护与治理恢复方案编制规范》（DZ/T0223-2011）中的9.2.2“崩塌、滑坡治理，主要采用清理危岩以恢复场地”；</w:t>
      </w:r>
    </w:p>
    <w:p w14:paraId="7C71BDB9">
      <w:pPr>
        <w:rPr>
          <w:rFonts w:hAnsi="Times New Roman"/>
        </w:rPr>
      </w:pPr>
      <w:r>
        <w:rPr>
          <w:rFonts w:hint="eastAsia" w:hAnsi="Times New Roman"/>
        </w:rPr>
        <w:t>2、《矿山生态环境保护与恢·复治理技术规范（试行）》（HJ652-2013）中的7.3.4“与周边自然景观协调”；</w:t>
      </w:r>
    </w:p>
    <w:p w14:paraId="3288657C">
      <w:pPr>
        <w:rPr>
          <w:rFonts w:hAnsi="Times New Roman"/>
        </w:rPr>
      </w:pPr>
      <w:r>
        <w:rPr>
          <w:rFonts w:hint="eastAsia" w:hAnsi="Times New Roman"/>
        </w:rPr>
        <w:t>3、《矿山生态环境保护与恢复治理技术规范（试行）》（HJ652-2013）中的8.3.2“露天采场必须进行平整并与周边地表景观相协调”。</w:t>
      </w:r>
    </w:p>
    <w:p w14:paraId="35AA0284">
      <w:pPr>
        <w:rPr>
          <w:rFonts w:hAnsi="Times New Roman"/>
        </w:rPr>
      </w:pPr>
      <w:r>
        <w:rPr>
          <w:rFonts w:hint="eastAsia" w:hAnsi="Times New Roman"/>
        </w:rPr>
        <w:t>（二）治理设计</w:t>
      </w:r>
    </w:p>
    <w:p w14:paraId="562F4BD5">
      <w:pPr>
        <w:rPr>
          <w:rFonts w:hAnsi="Times New Roman"/>
        </w:rPr>
      </w:pPr>
      <w:r>
        <w:rPr>
          <w:rFonts w:hint="eastAsia" w:hAnsi="Times New Roman"/>
        </w:rPr>
        <w:t>本次治理方案采用将废料堆推运回填采坑、采坑边坡整饰、场地平整的方法。治理思路具体如下：</w:t>
      </w:r>
    </w:p>
    <w:p w14:paraId="6F7D07F6">
      <w:pPr>
        <w:rPr>
          <w:rFonts w:hAnsi="Times New Roman"/>
        </w:rPr>
      </w:pPr>
      <w:r>
        <w:rPr>
          <w:rFonts w:hint="eastAsia" w:hAnsi="Times New Roman"/>
        </w:rPr>
        <w:t>1、废料堆推运回填采坑</w:t>
      </w:r>
    </w:p>
    <w:p w14:paraId="2AA7638D">
      <w:pPr>
        <w:rPr>
          <w:rFonts w:hAnsi="Times New Roman"/>
        </w:rPr>
      </w:pPr>
      <w:r>
        <w:rPr>
          <w:rFonts w:hint="eastAsia" w:hAnsi="Times New Roman"/>
        </w:rPr>
        <w:t>对采坑周围的废料堆堆推运回填采坑，东部、北部区域，平整场地，最终与原始地平线相协调。</w:t>
      </w:r>
    </w:p>
    <w:p w14:paraId="72A2E35F">
      <w:pPr>
        <w:rPr>
          <w:rFonts w:hAnsi="Times New Roman"/>
        </w:rPr>
      </w:pPr>
      <w:r>
        <w:rPr>
          <w:rFonts w:hint="eastAsia" w:hAnsi="Times New Roman"/>
        </w:rPr>
        <w:t>2、废料堆拉运回填采坑</w:t>
      </w:r>
    </w:p>
    <w:p w14:paraId="6DF9BAD4">
      <w:pPr>
        <w:rPr>
          <w:rFonts w:hAnsi="Times New Roman"/>
        </w:rPr>
      </w:pPr>
      <w:r>
        <w:rPr>
          <w:rFonts w:hint="eastAsia" w:hAnsi="Times New Roman"/>
        </w:rPr>
        <w:t>对治理区内距离采坑较远的废料堆进行拉运回填并整饰，最终与原始地平线相协调</w:t>
      </w:r>
    </w:p>
    <w:p w14:paraId="20815905">
      <w:pPr>
        <w:rPr>
          <w:rFonts w:hAnsi="Times New Roman"/>
        </w:rPr>
      </w:pPr>
      <w:r>
        <w:rPr>
          <w:rFonts w:hint="eastAsia" w:hAnsi="Times New Roman"/>
        </w:rPr>
        <w:t>3、场地平整</w:t>
      </w:r>
    </w:p>
    <w:p w14:paraId="1D40CDFD">
      <w:pPr>
        <w:rPr>
          <w:rFonts w:hAnsi="Times New Roman"/>
        </w:rPr>
      </w:pPr>
      <w:r>
        <w:rPr>
          <w:rFonts w:hint="eastAsia" w:hAnsi="Times New Roman"/>
        </w:rPr>
        <w:t>对治理区采坑、废料堆等均要进行场地平整。</w:t>
      </w:r>
    </w:p>
    <w:p w14:paraId="5A2B2D17">
      <w:pPr>
        <w:pStyle w:val="3"/>
      </w:pPr>
      <w:bookmarkStart w:id="122" w:name="_Toc16779"/>
      <w:bookmarkStart w:id="123" w:name="_Toc102927619"/>
      <w:bookmarkStart w:id="124" w:name="_Toc106400203"/>
      <w:bookmarkStart w:id="125" w:name="_Toc106400418"/>
      <w:bookmarkStart w:id="126" w:name="_Toc7496"/>
      <w:bookmarkStart w:id="127" w:name="_Toc520058351"/>
      <w:r>
        <w:rPr>
          <w:rFonts w:hint="eastAsia"/>
        </w:rPr>
        <w:t>第三节  治理施工方案</w:t>
      </w:r>
      <w:bookmarkEnd w:id="122"/>
      <w:bookmarkEnd w:id="123"/>
      <w:bookmarkEnd w:id="124"/>
      <w:bookmarkEnd w:id="125"/>
      <w:bookmarkEnd w:id="126"/>
      <w:bookmarkEnd w:id="127"/>
    </w:p>
    <w:p w14:paraId="456D9E73">
      <w:pPr>
        <w:rPr>
          <w:rFonts w:hAnsi="Times New Roman"/>
        </w:rPr>
      </w:pPr>
      <w:r>
        <w:rPr>
          <w:rFonts w:hint="eastAsia" w:hAnsi="Times New Roman"/>
        </w:rPr>
        <w:t>根据以上治理区设计方案，治理区内工程主要分为废料堆推运回填采坑、采坑边坡整饰、场地平整的方法3个分项工程。具体如下：</w:t>
      </w:r>
    </w:p>
    <w:p w14:paraId="580BC952">
      <w:pPr>
        <w:overflowPunct w:val="0"/>
        <w:rPr>
          <w:rFonts w:ascii="仿宋" w:hAnsi="仿宋" w:eastAsia="仿宋" w:cs="仿宋"/>
        </w:rPr>
      </w:pPr>
      <w:bookmarkStart w:id="128" w:name="_Toc102927620"/>
      <w:bookmarkStart w:id="129" w:name="_Toc7373"/>
      <w:r>
        <w:rPr>
          <w:rFonts w:hint="eastAsia" w:ascii="仿宋" w:hAnsi="仿宋" w:eastAsia="仿宋" w:cs="仿宋"/>
        </w:rPr>
        <w:t>1、废料堆就近推运回填采坑</w:t>
      </w:r>
    </w:p>
    <w:p w14:paraId="57372F98">
      <w:pPr>
        <w:overflowPunct w:val="0"/>
        <w:rPr>
          <w:rFonts w:ascii="仿宋" w:hAnsi="仿宋" w:eastAsia="仿宋" w:cs="仿宋"/>
        </w:rPr>
      </w:pPr>
      <w:r>
        <w:rPr>
          <w:rFonts w:hint="eastAsia" w:ascii="仿宋" w:hAnsi="仿宋" w:eastAsia="仿宋" w:cs="仿宋"/>
        </w:rPr>
        <w:t>采用132千瓦推土机对废料堆进行进行削高填低，推运回填至采坑处，回填厚度小于1米，并分层推平碾压。推运距离0-80米，推运废料堆方量为</w:t>
      </w:r>
      <w:r>
        <w:rPr>
          <w:rFonts w:ascii="仿宋" w:hAnsi="仿宋" w:eastAsia="仿宋" w:cs="仿宋"/>
        </w:rPr>
        <w:t>17580.8</w:t>
      </w:r>
      <w:r>
        <w:rPr>
          <w:rFonts w:hint="eastAsia" w:ascii="仿宋" w:hAnsi="仿宋" w:eastAsia="仿宋" w:cs="仿宋"/>
        </w:rPr>
        <w:t>立方米，土方主要分布在采坑北侧西侧。</w:t>
      </w:r>
    </w:p>
    <w:p w14:paraId="7B29CE21">
      <w:pPr>
        <w:overflowPunct w:val="0"/>
        <w:rPr>
          <w:rFonts w:ascii="仿宋" w:hAnsi="仿宋" w:eastAsia="仿宋" w:cs="仿宋"/>
        </w:rPr>
      </w:pPr>
      <w:r>
        <w:rPr>
          <w:rFonts w:hint="eastAsia" w:ascii="仿宋" w:hAnsi="仿宋" w:eastAsia="仿宋" w:cs="仿宋"/>
        </w:rPr>
        <w:t>2、排土场料场挖装、拉运回填料</w:t>
      </w:r>
    </w:p>
    <w:p w14:paraId="0DD5C81E">
      <w:pPr>
        <w:overflowPunct w:val="0"/>
        <w:rPr>
          <w:rFonts w:ascii="仿宋" w:hAnsi="仿宋" w:eastAsia="仿宋" w:cs="仿宋"/>
        </w:rPr>
      </w:pPr>
      <w:r>
        <w:rPr>
          <w:rFonts w:hint="eastAsia" w:ascii="仿宋" w:hAnsi="仿宋" w:eastAsia="仿宋" w:cs="仿宋"/>
        </w:rPr>
        <w:t>采用2.0立方米挖掘机挖装、20吨自卸车从排土场拉运土料回填至治理区，挖装、拉运回填料方量</w:t>
      </w:r>
      <w:r>
        <w:rPr>
          <w:rFonts w:ascii="仿宋" w:hAnsi="仿宋" w:eastAsia="仿宋" w:cs="仿宋"/>
        </w:rPr>
        <w:t>53893.7</w:t>
      </w:r>
      <w:r>
        <w:rPr>
          <w:rFonts w:hint="eastAsia" w:ascii="仿宋" w:hAnsi="仿宋" w:eastAsia="仿宋" w:cs="仿宋"/>
        </w:rPr>
        <w:t>立方米，平均运距为0.5千米,拉运土方主要分布在采坑北侧、南侧，设计坡降4%。</w:t>
      </w:r>
    </w:p>
    <w:p w14:paraId="5D6AF1C0">
      <w:pPr>
        <w:overflowPunct w:val="0"/>
        <w:rPr>
          <w:rFonts w:ascii="仿宋" w:hAnsi="仿宋" w:eastAsia="仿宋" w:cs="仿宋"/>
        </w:rPr>
      </w:pPr>
      <w:r>
        <w:rPr>
          <w:rFonts w:hint="eastAsia" w:ascii="仿宋" w:hAnsi="仿宋" w:eastAsia="仿宋" w:cs="仿宋"/>
        </w:rPr>
        <w:t>3、分层回填、压实</w:t>
      </w:r>
    </w:p>
    <w:p w14:paraId="6AC93E32">
      <w:pPr>
        <w:overflowPunct w:val="0"/>
        <w:rPr>
          <w:rFonts w:ascii="仿宋" w:hAnsi="仿宋" w:eastAsia="仿宋" w:cs="仿宋"/>
          <w:color w:val="FF0000"/>
        </w:rPr>
      </w:pPr>
      <w:r>
        <w:rPr>
          <w:rFonts w:hint="eastAsia" w:ascii="仿宋" w:hAnsi="仿宋" w:eastAsia="仿宋" w:cs="仿宋"/>
        </w:rPr>
        <w:t>对治理区采坑周边的废石堆回填料以及从排土场挖装、拉运的回填料，采用推土机进行就近摊平、分层回填施工并结合“进占法”进行分层碾压施工，分层回填并压实回填料总方量</w:t>
      </w:r>
      <w:r>
        <w:rPr>
          <w:rFonts w:ascii="仿宋" w:hAnsi="仿宋" w:eastAsia="仿宋" w:cs="仿宋"/>
        </w:rPr>
        <w:t>71474.5</w:t>
      </w:r>
      <w:r>
        <w:rPr>
          <w:rFonts w:hint="eastAsia" w:ascii="仿宋" w:hAnsi="仿宋" w:eastAsia="仿宋" w:cs="仿宋"/>
        </w:rPr>
        <w:t>立方米。治理回填示意图见图</w:t>
      </w:r>
      <w:r>
        <w:rPr>
          <w:rFonts w:ascii="仿宋" w:hAnsi="仿宋" w:eastAsia="仿宋" w:cs="仿宋"/>
        </w:rPr>
        <w:t>3</w:t>
      </w:r>
      <w:r>
        <w:rPr>
          <w:rFonts w:hint="eastAsia" w:ascii="仿宋" w:hAnsi="仿宋" w:eastAsia="仿宋" w:cs="仿宋"/>
        </w:rPr>
        <w:t>-1。</w:t>
      </w:r>
      <w:r>
        <w:rPr>
          <w:rFonts w:hint="eastAsia" w:ascii="仿宋" w:hAnsi="仿宋" w:eastAsia="仿宋" w:cs="仿宋"/>
          <w:color w:val="FF0000"/>
        </w:rPr>
        <mc:AlternateContent>
          <mc:Choice Requires="wps">
            <w:drawing>
              <wp:inline distT="0" distB="0" distL="0" distR="0">
                <wp:extent cx="215900" cy="139065"/>
                <wp:effectExtent l="0" t="0" r="0" b="0"/>
                <wp:docPr id="8" name="文本框 219"/>
                <wp:cNvGraphicFramePr/>
                <a:graphic xmlns:a="http://schemas.openxmlformats.org/drawingml/2006/main">
                  <a:graphicData uri="http://schemas.microsoft.com/office/word/2010/wordprocessingShape">
                    <wps:wsp>
                      <wps:cNvSpPr txBox="1">
                        <a:spLocks noChangeArrowheads="1"/>
                      </wps:cNvSpPr>
                      <wps:spPr bwMode="auto">
                        <a:xfrm>
                          <a:off x="0" y="0"/>
                          <a:ext cx="216329" cy="139086"/>
                        </a:xfrm>
                        <a:prstGeom prst="rect">
                          <a:avLst/>
                        </a:prstGeom>
                        <a:solidFill>
                          <a:srgbClr val="FFFFFF"/>
                        </a:solidFill>
                        <a:ln>
                          <a:noFill/>
                        </a:ln>
                      </wps:spPr>
                      <wps:txbx>
                        <w:txbxContent>
                          <w:p w14:paraId="53D1363C"/>
                        </w:txbxContent>
                      </wps:txbx>
                      <wps:bodyPr rot="0" vert="horz" wrap="square" lIns="91440" tIns="45720" rIns="91440" bIns="45720" anchor="t" anchorCtr="0" upright="1">
                        <a:noAutofit/>
                      </wps:bodyPr>
                    </wps:wsp>
                  </a:graphicData>
                </a:graphic>
              </wp:inline>
            </w:drawing>
          </mc:Choice>
          <mc:Fallback>
            <w:pict>
              <v:shape id="文本框 219" o:spid="_x0000_s1026" o:spt="202" type="#_x0000_t202" style="height:10.95pt;width:17pt;" fillcolor="#FFFFFF" filled="t" stroked="f" coordsize="21600,21600" o:gfxdata="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s/Eas0wAAAAMBAAAPAAAAAAAAAAEAIAAAACIAAABkcnMvZG93bnJldi54bWxQSwECFAAUAAAA&#10;CACHTuJAg32FiiwCAAA/BAAADgAAAAAAAAABACAAAAAiAQAAZHJzL2Uyb0RvYy54bWxQSwUGAAAA&#10;AAYABgBZAQAAwAUAAAAA&#10;">
                <v:fill on="t" focussize="0,0"/>
                <v:stroke on="f"/>
                <v:imagedata o:title=""/>
                <o:lock v:ext="edit" aspectratio="f"/>
                <v:textbox>
                  <w:txbxContent>
                    <w:p w14:paraId="53D1363C"/>
                  </w:txbxContent>
                </v:textbox>
                <w10:wrap type="none"/>
                <w10:anchorlock/>
              </v:shape>
            </w:pict>
          </mc:Fallback>
        </mc:AlternateContent>
      </w:r>
    </w:p>
    <w:p w14:paraId="419391D2">
      <w:pPr>
        <w:spacing w:line="240" w:lineRule="auto"/>
        <w:jc w:val="center"/>
      </w:pPr>
      <w:r>
        <w:drawing>
          <wp:inline distT="0" distB="0" distL="0" distR="0">
            <wp:extent cx="5080000" cy="1922145"/>
            <wp:effectExtent l="0" t="0" r="635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a:srcRect/>
                    <a:stretch>
                      <a:fillRect/>
                    </a:stretch>
                  </pic:blipFill>
                  <pic:spPr>
                    <a:xfrm>
                      <a:off x="0" y="0"/>
                      <a:ext cx="5080000" cy="1922145"/>
                    </a:xfrm>
                    <a:prstGeom prst="rect">
                      <a:avLst/>
                    </a:prstGeom>
                    <a:noFill/>
                    <a:ln>
                      <a:noFill/>
                    </a:ln>
                  </pic:spPr>
                </pic:pic>
              </a:graphicData>
            </a:graphic>
          </wp:inline>
        </w:drawing>
      </w:r>
    </w:p>
    <w:p w14:paraId="26003ED1">
      <w:pPr>
        <w:jc w:val="center"/>
        <w:rPr>
          <w:color w:val="FF0000"/>
        </w:rPr>
      </w:pPr>
      <w:r>
        <w:rPr>
          <w:rFonts w:hint="eastAsia"/>
        </w:rPr>
        <w:t>图</w:t>
      </w:r>
      <w:r>
        <w:t>3</w:t>
      </w:r>
      <w:r>
        <w:rPr>
          <w:rFonts w:hint="eastAsia"/>
        </w:rPr>
        <w:t>-1  采坑回填示意图</w:t>
      </w:r>
    </w:p>
    <w:p w14:paraId="72769211">
      <w:pPr>
        <w:overflowPunct w:val="0"/>
        <w:rPr>
          <w:rFonts w:ascii="仿宋" w:hAnsi="仿宋" w:eastAsia="仿宋" w:cs="仿宋"/>
        </w:rPr>
      </w:pPr>
      <w:r>
        <w:rPr>
          <w:rFonts w:hint="eastAsia" w:ascii="仿宋" w:hAnsi="仿宋" w:eastAsia="仿宋" w:cs="仿宋"/>
        </w:rPr>
        <w:t>4、治理区场地平整</w:t>
      </w:r>
    </w:p>
    <w:p w14:paraId="49CE9494">
      <w:pPr>
        <w:overflowPunct w:val="0"/>
        <w:rPr>
          <w:rFonts w:ascii="仿宋" w:hAnsi="仿宋" w:eastAsia="仿宋" w:cs="仿宋"/>
        </w:rPr>
      </w:pPr>
      <w:r>
        <w:rPr>
          <w:rFonts w:hint="eastAsia" w:ascii="仿宋" w:hAnsi="仿宋" w:eastAsia="仿宋" w:cs="仿宋"/>
        </w:rPr>
        <w:t>治理区内采坑回填完毕后，按照设计高程和坡度控制要求，采用平地机机，对治理区进行平整，面积</w:t>
      </w:r>
      <w:r>
        <w:rPr>
          <w:rFonts w:ascii="仿宋" w:hAnsi="仿宋" w:eastAsia="仿宋" w:cs="仿宋"/>
        </w:rPr>
        <w:t>165202.7</w:t>
      </w:r>
      <w:r>
        <w:rPr>
          <w:rFonts w:hint="eastAsia" w:ascii="仿宋" w:hAnsi="仿宋" w:eastAsia="仿宋" w:cs="仿宋"/>
        </w:rPr>
        <w:t>平方米。</w:t>
      </w:r>
    </w:p>
    <w:p w14:paraId="1526DC18">
      <w:pPr>
        <w:overflowPunct w:val="0"/>
        <w:rPr>
          <w:rFonts w:ascii="仿宋" w:hAnsi="仿宋" w:eastAsia="仿宋" w:cs="仿宋"/>
        </w:rPr>
      </w:pPr>
      <w:r>
        <w:rPr>
          <w:rFonts w:hint="eastAsia" w:ascii="仿宋" w:hAnsi="仿宋" w:eastAsia="仿宋" w:cs="仿宋"/>
        </w:rPr>
        <w:t>5、防尘措施</w:t>
      </w:r>
    </w:p>
    <w:p w14:paraId="0ED62E88">
      <w:pPr>
        <w:overflowPunct w:val="0"/>
        <w:rPr>
          <w:rFonts w:ascii="仿宋" w:hAnsi="仿宋" w:eastAsia="仿宋" w:cs="仿宋"/>
        </w:rPr>
      </w:pPr>
      <w:r>
        <w:rPr>
          <w:rFonts w:hint="eastAsia" w:ascii="仿宋" w:hAnsi="仿宋" w:eastAsia="仿宋" w:cs="仿宋"/>
        </w:rPr>
        <w:t>治理区在削坡回填、料场挖装、拉运回填、分层回填、压实、治理区场地平整工作中易产生尘土；因此，在以上治理工程施工期间，采用10吨雾炮车、洒水车进行喷雾、洒水降尘。</w:t>
      </w:r>
    </w:p>
    <w:p w14:paraId="49C3D885">
      <w:pPr>
        <w:rPr>
          <w:rFonts w:ascii="仿宋" w:hAnsi="仿宋" w:eastAsia="仿宋" w:cs="仿宋"/>
          <w:szCs w:val="30"/>
        </w:rPr>
      </w:pPr>
      <w:r>
        <w:rPr>
          <w:rFonts w:hint="eastAsia" w:ascii="仿宋" w:hAnsi="仿宋" w:eastAsia="仿宋" w:cs="仿宋"/>
          <w:szCs w:val="30"/>
        </w:rPr>
        <w:t>施工现场设置易产生扬尘的施工机械时，必须配备降尘防尘装置。土方运输车辆拉运土方时必须采用防尘网防护。</w:t>
      </w:r>
    </w:p>
    <w:p w14:paraId="79563A3C">
      <w:pPr>
        <w:overflowPunct w:val="0"/>
        <w:rPr>
          <w:rFonts w:ascii="仿宋" w:hAnsi="仿宋" w:eastAsia="仿宋" w:cs="仿宋"/>
        </w:rPr>
      </w:pPr>
      <w:r>
        <w:rPr>
          <w:rFonts w:hint="eastAsia" w:ascii="仿宋" w:hAnsi="仿宋" w:eastAsia="仿宋" w:cs="仿宋"/>
        </w:rPr>
        <w:t>6、制作治理工程说明碑</w:t>
      </w:r>
    </w:p>
    <w:p w14:paraId="7C04FA6B">
      <w:pPr>
        <w:spacing w:line="520" w:lineRule="exact"/>
        <w:rPr>
          <w:rFonts w:hAnsi="仿宋_GB2312" w:cs="仿宋_GB2312"/>
          <w:szCs w:val="21"/>
        </w:rPr>
      </w:pPr>
      <w:r>
        <w:rPr>
          <w:rFonts w:hint="eastAsia" w:hAnsi="仿宋_GB2312" w:cs="仿宋_GB2312"/>
          <w:szCs w:val="21"/>
        </w:rPr>
        <w:t>为突出宣传地质环境恢复治理的成效，治理工程完工后修建治理工程说明碑。说明碑采用镀锌板版面，立柱100*100方管颜色手工拉丝木纹，内容UV打印或丝印，照片2毫米铝板打印粘贴,混凝土基础埋深50厘米。</w:t>
      </w:r>
    </w:p>
    <w:p w14:paraId="6607C6FE">
      <w:pPr>
        <w:spacing w:line="520" w:lineRule="exact"/>
        <w:rPr>
          <w:rFonts w:hAnsi="Times New Roman"/>
        </w:rPr>
      </w:pPr>
      <w:r>
        <w:rPr>
          <w:rFonts w:hint="eastAsia" w:hAnsi="Times New Roman"/>
        </w:rPr>
        <w:t>二、施工工序</w:t>
      </w:r>
    </w:p>
    <w:p w14:paraId="5369DC4F">
      <w:pPr>
        <w:spacing w:line="520" w:lineRule="exact"/>
        <w:rPr>
          <w:rFonts w:hAnsi="Times New Roman"/>
        </w:rPr>
      </w:pPr>
      <w:r>
        <w:rPr>
          <w:rFonts w:hint="eastAsia" w:hAnsi="Times New Roman"/>
        </w:rPr>
        <w:t>施工工序：施工准备→设备进场→采坑回填→</w:t>
      </w:r>
      <w:r>
        <w:rPr>
          <w:rFonts w:hint="eastAsia"/>
        </w:rPr>
        <w:t>场地平整</w:t>
      </w:r>
      <w:r>
        <w:rPr>
          <w:rFonts w:hint="eastAsia" w:hAnsi="Times New Roman"/>
        </w:rPr>
        <w:t>→</w:t>
      </w:r>
      <w:r>
        <w:rPr>
          <w:rFonts w:hint="eastAsia"/>
        </w:rPr>
        <w:t>覆土</w:t>
      </w:r>
      <w:r>
        <w:rPr>
          <w:rFonts w:hint="eastAsia" w:hAnsi="Times New Roman"/>
        </w:rPr>
        <w:t>。</w:t>
      </w:r>
    </w:p>
    <w:p w14:paraId="071B0F38">
      <w:pPr>
        <w:pStyle w:val="3"/>
      </w:pPr>
      <w:bookmarkStart w:id="130" w:name="_Toc106400419"/>
      <w:bookmarkStart w:id="131" w:name="_Toc106400204"/>
      <w:r>
        <w:rPr>
          <w:rFonts w:hint="eastAsia"/>
        </w:rPr>
        <w:t>第四节  治理工程设计指标</w:t>
      </w:r>
      <w:bookmarkEnd w:id="128"/>
      <w:bookmarkEnd w:id="129"/>
      <w:bookmarkEnd w:id="130"/>
      <w:bookmarkEnd w:id="131"/>
    </w:p>
    <w:p w14:paraId="34238B0C">
      <w:pPr>
        <w:spacing w:line="520" w:lineRule="exact"/>
      </w:pPr>
      <w:r>
        <w:rPr>
          <w:rFonts w:hint="eastAsia"/>
        </w:rPr>
        <w:t>本次治理工程设计指标主要依据实测的1:1000地形图进行，治理工程设计具体指标如下：</w:t>
      </w:r>
    </w:p>
    <w:p w14:paraId="529A0B92">
      <w:pPr>
        <w:spacing w:line="520" w:lineRule="exact"/>
      </w:pPr>
      <w:r>
        <w:rPr>
          <w:rFonts w:hint="eastAsia"/>
        </w:rPr>
        <w:t>一、治理工程设计指标</w:t>
      </w:r>
    </w:p>
    <w:p w14:paraId="7ABAD36D">
      <w:pPr>
        <w:spacing w:line="520" w:lineRule="exact"/>
      </w:pPr>
      <w:r>
        <w:rPr>
          <w:rFonts w:hint="eastAsia"/>
        </w:rPr>
        <w:t>废料堆推运回填采坑：采用分层回填压实，每层不大于1米回填后，与原始地形地貌相协调。</w:t>
      </w:r>
    </w:p>
    <w:p w14:paraId="6C4DF24F">
      <w:pPr>
        <w:rPr>
          <w:rFonts w:hAnsi="Times New Roman"/>
        </w:rPr>
      </w:pPr>
      <w:r>
        <w:rPr>
          <w:rFonts w:hint="eastAsia"/>
        </w:rPr>
        <w:t>场地平整：对</w:t>
      </w:r>
      <w:r>
        <w:rPr>
          <w:rFonts w:hint="eastAsia" w:hAnsi="Times New Roman"/>
        </w:rPr>
        <w:t>治理区内进行平整，</w:t>
      </w:r>
      <w:r>
        <w:rPr>
          <w:rFonts w:hint="eastAsia"/>
        </w:rPr>
        <w:t>采用机械自重进行压实，坡度控制在5°以内，使其基本与周边场地相协调</w:t>
      </w:r>
      <w:r>
        <w:rPr>
          <w:rFonts w:hint="eastAsia" w:hAnsi="Times New Roman"/>
        </w:rPr>
        <w:t>。具体设计指标参照施工剖面图。</w:t>
      </w:r>
    </w:p>
    <w:p w14:paraId="0555A854">
      <w:pPr>
        <w:ind w:firstLine="562"/>
        <w:rPr>
          <w:b/>
          <w:bCs/>
        </w:rPr>
      </w:pPr>
      <w:r>
        <w:rPr>
          <w:rFonts w:hint="eastAsia"/>
          <w:b/>
          <w:bCs/>
        </w:rPr>
        <w:t>二、土方平衡计算</w:t>
      </w:r>
    </w:p>
    <w:p w14:paraId="42275A15">
      <w:r>
        <w:rPr>
          <w:rFonts w:hint="eastAsia"/>
        </w:rPr>
        <w:t>（一）土方计算原则</w:t>
      </w:r>
    </w:p>
    <w:p w14:paraId="7AB7C0FA">
      <w:r>
        <w:rPr>
          <w:rFonts w:hint="eastAsia"/>
        </w:rPr>
        <w:t>针对本次治理工程的特点，确定工程区控制高程及边坡坡度后进行土方计算，以达到最大限度的恢复工程区地表环境，并使之与周边地形地貌环境相协调。土方计算遵循以下原则：</w:t>
      </w:r>
    </w:p>
    <w:p w14:paraId="76731F7E">
      <w:r>
        <w:t>1.</w:t>
      </w:r>
      <w:r>
        <w:rPr>
          <w:rFonts w:hint="eastAsia"/>
        </w:rPr>
        <w:t>根据各工程区治理方式，合理调整工程区控制高程，确保推运回填区、边坡整饰区、场地平整区等的标高及地形坡降均在控制指标之内；</w:t>
      </w:r>
    </w:p>
    <w:p w14:paraId="398C1B89">
      <w:r>
        <w:t>2.</w:t>
      </w:r>
      <w:r>
        <w:rPr>
          <w:rFonts w:hint="eastAsia"/>
        </w:rPr>
        <w:t>边坡整饰区、场地平整区等坡度的控制，应满足削方回填、场地平整后能够与周边地形地貌相协调的要求。</w:t>
      </w:r>
    </w:p>
    <w:p w14:paraId="4F092CDD">
      <w:r>
        <w:rPr>
          <w:rFonts w:hint="eastAsia"/>
        </w:rPr>
        <w:t>（二）计算方法</w:t>
      </w:r>
    </w:p>
    <w:p w14:paraId="2E0AE8D0">
      <w:pPr>
        <w:pStyle w:val="5"/>
      </w:pPr>
      <w:r>
        <w:rPr>
          <w:rFonts w:hint="eastAsia"/>
        </w:rPr>
        <w:t>本次采用CIVIL3D三维设计软件土方计算功能进行土方平衡计算，计算方法为曲面模型精密微分算法。先根据前期勘查提供的治理区地形资料建立现状三维曲面模型，再按设计参数建立设计三维曲面模型，将现状三维曲面模型与设计三维曲面模型叠加，进行土方平衡计算，得出治理区削填土方量结果</w:t>
      </w:r>
    </w:p>
    <w:p w14:paraId="739234D2">
      <w:r>
        <w:rPr>
          <w:rFonts w:hint="eastAsia"/>
        </w:rPr>
        <w:t>（三）计算结果</w:t>
      </w:r>
    </w:p>
    <w:p w14:paraId="4B016482">
      <w:r>
        <w:rPr>
          <w:rFonts w:hint="eastAsia"/>
        </w:rPr>
        <w:t>在确定各区设计地形坡度后，对工程区进行土方量计算。</w:t>
      </w:r>
    </w:p>
    <w:p w14:paraId="0F79B1C3">
      <w:r>
        <w:rPr>
          <w:rFonts w:hint="eastAsia"/>
        </w:rPr>
        <w:t>本工程主要为：废料推运回填采坑，设计方量</w:t>
      </w:r>
      <w:r>
        <w:rPr>
          <w:szCs w:val="21"/>
        </w:rPr>
        <w:t>17580.8</w:t>
      </w:r>
      <w:r>
        <w:rPr>
          <w:rFonts w:hint="eastAsia"/>
        </w:rPr>
        <w:t>立方米；废料推拉回填采坑，设计方量为</w:t>
      </w:r>
      <w:r>
        <w:rPr>
          <w:szCs w:val="21"/>
        </w:rPr>
        <w:t>53893.7</w:t>
      </w:r>
      <w:r>
        <w:rPr>
          <w:rFonts w:hint="eastAsia"/>
        </w:rPr>
        <w:t>立方米；场地平整面积</w:t>
      </w:r>
      <w:r>
        <w:t>165202.7</w:t>
      </w:r>
      <w:r>
        <w:rPr>
          <w:rFonts w:hint="eastAsia"/>
        </w:rPr>
        <w:t>平方米。</w:t>
      </w:r>
    </w:p>
    <w:p w14:paraId="4AA533D8">
      <w:pPr>
        <w:pStyle w:val="3"/>
      </w:pPr>
      <w:bookmarkStart w:id="132" w:name="_Toc102927621"/>
      <w:bookmarkStart w:id="133" w:name="_Toc26656"/>
      <w:bookmarkStart w:id="134" w:name="_Toc520058353"/>
      <w:bookmarkStart w:id="135" w:name="_Toc17906"/>
      <w:bookmarkStart w:id="136" w:name="_Toc106400205"/>
      <w:bookmarkStart w:id="137" w:name="_Toc106400420"/>
      <w:r>
        <w:rPr>
          <w:rFonts w:hint="eastAsia"/>
        </w:rPr>
        <w:t>第五节  设计工程量</w:t>
      </w:r>
      <w:bookmarkEnd w:id="132"/>
      <w:bookmarkEnd w:id="133"/>
      <w:bookmarkEnd w:id="134"/>
      <w:bookmarkEnd w:id="135"/>
      <w:bookmarkEnd w:id="136"/>
      <w:bookmarkEnd w:id="137"/>
    </w:p>
    <w:p w14:paraId="3EC2D38A">
      <w:r>
        <w:rPr>
          <w:rFonts w:hint="eastAsia"/>
        </w:rPr>
        <w:t>采用土方计算软件进行土方平衡计算，在土方平衡计算过程中，多次进行计算并验证，合理的调整填方量，达到设计的高程和坡度，使治理区治理后能够与周边的地形地貌总体相协调，整齐、美观。经过多次土方平衡计算，治理区的土方平衡确定如下：</w:t>
      </w:r>
    </w:p>
    <w:p w14:paraId="533A2874">
      <w:r>
        <w:rPr>
          <w:rFonts w:hint="eastAsia"/>
        </w:rPr>
        <w:t>废料堆推运回填</w:t>
      </w:r>
      <w:r>
        <w:t>17580.8</w:t>
      </w:r>
      <w:r>
        <w:rPr>
          <w:rFonts w:hint="eastAsia"/>
        </w:rPr>
        <w:t>立方米；废料堆拉运回填</w:t>
      </w:r>
      <w:r>
        <w:t>53893.7</w:t>
      </w:r>
      <w:r>
        <w:rPr>
          <w:rFonts w:hint="eastAsia"/>
        </w:rPr>
        <w:t>立方米；场地平整面积</w:t>
      </w:r>
      <w:r>
        <w:t>165202.7</w:t>
      </w:r>
      <w:r>
        <w:rPr>
          <w:rFonts w:hint="eastAsia"/>
        </w:rPr>
        <w:t>平方米</w:t>
      </w:r>
      <w:r>
        <w:t>。</w:t>
      </w:r>
    </w:p>
    <w:p w14:paraId="792EC361">
      <w:r>
        <w:rPr>
          <w:rFonts w:hint="eastAsia"/>
        </w:rPr>
        <w:t>具体工程量如下表3</w:t>
      </w:r>
      <w:r>
        <w:t>-1</w:t>
      </w:r>
      <w:r>
        <w:rPr>
          <w:rFonts w:hint="eastAsia"/>
        </w:rPr>
        <w:t>：</w:t>
      </w:r>
    </w:p>
    <w:p w14:paraId="120A46E5">
      <w:pPr>
        <w:pStyle w:val="29"/>
        <w:rPr>
          <w:rFonts w:hAnsi="Times New Roman"/>
        </w:rPr>
      </w:pPr>
      <w:r>
        <w:rPr>
          <w:rFonts w:hint="eastAsia"/>
        </w:rPr>
        <w:t>设计工程量汇总表  表</w:t>
      </w:r>
      <w:r>
        <w:t>3</w:t>
      </w:r>
      <w:r>
        <w:rPr>
          <w:rFonts w:hint="eastAsia"/>
        </w:rPr>
        <w:t>-</w:t>
      </w:r>
      <w:r>
        <w:t>1</w:t>
      </w:r>
    </w:p>
    <w:tbl>
      <w:tblPr>
        <w:tblStyle w:val="13"/>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58"/>
        <w:gridCol w:w="758"/>
        <w:gridCol w:w="1148"/>
        <w:gridCol w:w="1276"/>
        <w:gridCol w:w="1701"/>
        <w:gridCol w:w="1730"/>
      </w:tblGrid>
      <w:tr w14:paraId="57A1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058" w:type="dxa"/>
            <w:vAlign w:val="center"/>
          </w:tcPr>
          <w:p w14:paraId="2F4E6CF9">
            <w:pPr>
              <w:pStyle w:val="29"/>
              <w:spacing w:line="240" w:lineRule="auto"/>
              <w:rPr>
                <w:rFonts w:cs="宋体"/>
                <w:color w:val="000000"/>
                <w:kern w:val="0"/>
              </w:rPr>
            </w:pPr>
            <w:r>
              <w:rPr>
                <w:rFonts w:hint="eastAsia" w:cs="宋体"/>
                <w:color w:val="000000"/>
                <w:kern w:val="0"/>
              </w:rPr>
              <w:t>工程</w:t>
            </w:r>
          </w:p>
        </w:tc>
        <w:tc>
          <w:tcPr>
            <w:tcW w:w="758" w:type="dxa"/>
            <w:vAlign w:val="center"/>
          </w:tcPr>
          <w:p w14:paraId="6EB7659F">
            <w:pPr>
              <w:pStyle w:val="29"/>
              <w:spacing w:line="240" w:lineRule="auto"/>
              <w:rPr>
                <w:rFonts w:cs="宋体"/>
                <w:color w:val="000000"/>
                <w:kern w:val="0"/>
              </w:rPr>
            </w:pPr>
            <w:r>
              <w:rPr>
                <w:rFonts w:hint="eastAsia" w:cs="宋体"/>
                <w:color w:val="000000"/>
                <w:kern w:val="0"/>
              </w:rPr>
              <w:t>单位</w:t>
            </w:r>
          </w:p>
        </w:tc>
        <w:tc>
          <w:tcPr>
            <w:tcW w:w="1148" w:type="dxa"/>
            <w:vAlign w:val="center"/>
          </w:tcPr>
          <w:p w14:paraId="0CC26473">
            <w:pPr>
              <w:pStyle w:val="29"/>
              <w:spacing w:line="240" w:lineRule="auto"/>
              <w:rPr>
                <w:rFonts w:cs="宋体"/>
                <w:color w:val="000000"/>
                <w:kern w:val="0"/>
              </w:rPr>
            </w:pPr>
            <w:r>
              <w:rPr>
                <w:rFonts w:hint="eastAsia" w:cs="宋体"/>
                <w:color w:val="000000"/>
                <w:kern w:val="0"/>
              </w:rPr>
              <w:t>数量</w:t>
            </w:r>
          </w:p>
        </w:tc>
        <w:tc>
          <w:tcPr>
            <w:tcW w:w="1276" w:type="dxa"/>
            <w:vAlign w:val="center"/>
          </w:tcPr>
          <w:p w14:paraId="1894419B">
            <w:pPr>
              <w:pStyle w:val="29"/>
              <w:spacing w:line="240" w:lineRule="auto"/>
              <w:rPr>
                <w:rFonts w:cs="宋体"/>
                <w:color w:val="000000"/>
                <w:kern w:val="0"/>
              </w:rPr>
            </w:pPr>
            <w:r>
              <w:rPr>
                <w:rFonts w:hint="eastAsia" w:cs="宋体"/>
                <w:color w:val="000000"/>
                <w:kern w:val="0"/>
              </w:rPr>
              <w:t>运距（</w:t>
            </w:r>
            <w:r>
              <w:rPr>
                <w:rFonts w:cs="宋体"/>
                <w:color w:val="000000"/>
                <w:kern w:val="0"/>
              </w:rPr>
              <w:t>m</w:t>
            </w:r>
            <w:r>
              <w:rPr>
                <w:rFonts w:hint="eastAsia" w:cs="宋体"/>
                <w:color w:val="000000"/>
                <w:kern w:val="0"/>
              </w:rPr>
              <w:t>）</w:t>
            </w:r>
          </w:p>
        </w:tc>
        <w:tc>
          <w:tcPr>
            <w:tcW w:w="1701" w:type="dxa"/>
            <w:vAlign w:val="center"/>
          </w:tcPr>
          <w:p w14:paraId="0AA5A922">
            <w:pPr>
              <w:pStyle w:val="29"/>
              <w:spacing w:line="240" w:lineRule="auto"/>
              <w:rPr>
                <w:rFonts w:cs="宋体"/>
                <w:color w:val="000000"/>
                <w:kern w:val="0"/>
              </w:rPr>
            </w:pPr>
            <w:r>
              <w:rPr>
                <w:rFonts w:hint="eastAsia" w:cs="宋体"/>
                <w:color w:val="000000"/>
                <w:kern w:val="0"/>
              </w:rPr>
              <w:t>施工方法</w:t>
            </w:r>
          </w:p>
        </w:tc>
        <w:tc>
          <w:tcPr>
            <w:tcW w:w="1730" w:type="dxa"/>
            <w:vAlign w:val="center"/>
          </w:tcPr>
          <w:p w14:paraId="10563E51">
            <w:pPr>
              <w:pStyle w:val="29"/>
              <w:spacing w:line="240" w:lineRule="auto"/>
              <w:rPr>
                <w:rFonts w:cs="宋体"/>
                <w:color w:val="000000"/>
                <w:kern w:val="0"/>
              </w:rPr>
            </w:pPr>
            <w:r>
              <w:rPr>
                <w:rFonts w:hint="eastAsia" w:cs="宋体"/>
                <w:color w:val="000000"/>
                <w:kern w:val="0"/>
              </w:rPr>
              <w:t>备注</w:t>
            </w:r>
          </w:p>
        </w:tc>
      </w:tr>
      <w:tr w14:paraId="37C4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058" w:type="dxa"/>
            <w:vAlign w:val="center"/>
          </w:tcPr>
          <w:p w14:paraId="673BDBA5">
            <w:pPr>
              <w:pStyle w:val="29"/>
              <w:spacing w:line="240" w:lineRule="auto"/>
              <w:rPr>
                <w:rFonts w:cs="宋体"/>
                <w:color w:val="000000"/>
                <w:kern w:val="0"/>
              </w:rPr>
            </w:pPr>
            <w:r>
              <w:rPr>
                <w:rFonts w:hint="eastAsia" w:cs="宋体"/>
                <w:color w:val="000000"/>
                <w:kern w:val="0"/>
              </w:rPr>
              <w:t>废料堆推运回填</w:t>
            </w:r>
          </w:p>
        </w:tc>
        <w:tc>
          <w:tcPr>
            <w:tcW w:w="758" w:type="dxa"/>
            <w:vAlign w:val="center"/>
          </w:tcPr>
          <w:p w14:paraId="7E66343C">
            <w:pPr>
              <w:pStyle w:val="29"/>
              <w:spacing w:line="240" w:lineRule="auto"/>
              <w:rPr>
                <w:rFonts w:cs="宋体"/>
                <w:color w:val="000000"/>
                <w:kern w:val="0"/>
              </w:rPr>
            </w:pPr>
            <w:r>
              <w:rPr>
                <w:rFonts w:hint="eastAsia" w:cs="宋体"/>
                <w:color w:val="000000"/>
                <w:kern w:val="0"/>
              </w:rPr>
              <w:t>m³</w:t>
            </w:r>
          </w:p>
        </w:tc>
        <w:tc>
          <w:tcPr>
            <w:tcW w:w="1148" w:type="dxa"/>
            <w:vAlign w:val="center"/>
          </w:tcPr>
          <w:p w14:paraId="31EEE632">
            <w:pPr>
              <w:pStyle w:val="29"/>
              <w:spacing w:line="240" w:lineRule="auto"/>
              <w:rPr>
                <w:rFonts w:cs="宋体"/>
                <w:color w:val="000000"/>
                <w:kern w:val="0"/>
              </w:rPr>
            </w:pPr>
            <w:r>
              <w:t>17580.8</w:t>
            </w:r>
          </w:p>
        </w:tc>
        <w:tc>
          <w:tcPr>
            <w:tcW w:w="1276" w:type="dxa"/>
            <w:vAlign w:val="center"/>
          </w:tcPr>
          <w:p w14:paraId="3501E481">
            <w:pPr>
              <w:pStyle w:val="29"/>
              <w:spacing w:line="240" w:lineRule="auto"/>
              <w:rPr>
                <w:rFonts w:cs="宋体"/>
                <w:color w:val="000000"/>
                <w:kern w:val="0"/>
              </w:rPr>
            </w:pPr>
            <w:r>
              <w:rPr>
                <w:rFonts w:hint="eastAsia" w:cs="宋体"/>
                <w:color w:val="000000"/>
                <w:kern w:val="0"/>
              </w:rPr>
              <w:t>0-</w:t>
            </w:r>
            <w:r>
              <w:rPr>
                <w:rFonts w:cs="宋体"/>
                <w:color w:val="000000"/>
                <w:kern w:val="0"/>
              </w:rPr>
              <w:t>80</w:t>
            </w:r>
          </w:p>
        </w:tc>
        <w:tc>
          <w:tcPr>
            <w:tcW w:w="1701" w:type="dxa"/>
            <w:vAlign w:val="center"/>
          </w:tcPr>
          <w:p w14:paraId="24A808A0">
            <w:pPr>
              <w:pStyle w:val="29"/>
              <w:spacing w:line="240" w:lineRule="auto"/>
              <w:rPr>
                <w:rFonts w:cs="宋体"/>
                <w:color w:val="000000"/>
                <w:kern w:val="0"/>
              </w:rPr>
            </w:pPr>
            <w:r>
              <w:rPr>
                <w:rFonts w:cs="宋体"/>
                <w:color w:val="000000"/>
                <w:kern w:val="0"/>
              </w:rPr>
              <w:t>132KW推土机</w:t>
            </w:r>
          </w:p>
        </w:tc>
        <w:tc>
          <w:tcPr>
            <w:tcW w:w="1730" w:type="dxa"/>
            <w:vAlign w:val="center"/>
          </w:tcPr>
          <w:p w14:paraId="5D5F9AD8">
            <w:pPr>
              <w:pStyle w:val="29"/>
              <w:spacing w:line="240" w:lineRule="auto"/>
              <w:rPr>
                <w:rFonts w:cs="宋体"/>
                <w:color w:val="000000"/>
                <w:kern w:val="0"/>
              </w:rPr>
            </w:pPr>
          </w:p>
        </w:tc>
      </w:tr>
      <w:tr w14:paraId="2C94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058" w:type="dxa"/>
            <w:vAlign w:val="center"/>
          </w:tcPr>
          <w:p w14:paraId="7E7AA921">
            <w:pPr>
              <w:pStyle w:val="29"/>
              <w:spacing w:line="240" w:lineRule="auto"/>
              <w:rPr>
                <w:rFonts w:cs="宋体"/>
                <w:color w:val="000000"/>
                <w:kern w:val="0"/>
              </w:rPr>
            </w:pPr>
            <w:r>
              <w:rPr>
                <w:rFonts w:hint="eastAsia" w:cs="宋体"/>
                <w:color w:val="000000"/>
                <w:kern w:val="0"/>
              </w:rPr>
              <w:t>废料堆拉运回填</w:t>
            </w:r>
          </w:p>
        </w:tc>
        <w:tc>
          <w:tcPr>
            <w:tcW w:w="758" w:type="dxa"/>
            <w:vAlign w:val="center"/>
          </w:tcPr>
          <w:p w14:paraId="42B765CD">
            <w:pPr>
              <w:pStyle w:val="29"/>
              <w:spacing w:line="240" w:lineRule="auto"/>
              <w:rPr>
                <w:rFonts w:cs="宋体"/>
                <w:color w:val="000000"/>
                <w:kern w:val="0"/>
              </w:rPr>
            </w:pPr>
            <w:r>
              <w:rPr>
                <w:rFonts w:hint="eastAsia" w:cs="宋体"/>
                <w:color w:val="000000"/>
                <w:kern w:val="0"/>
              </w:rPr>
              <w:t>m³</w:t>
            </w:r>
          </w:p>
        </w:tc>
        <w:tc>
          <w:tcPr>
            <w:tcW w:w="1148" w:type="dxa"/>
            <w:vAlign w:val="center"/>
          </w:tcPr>
          <w:p w14:paraId="10C94B68">
            <w:pPr>
              <w:pStyle w:val="29"/>
              <w:spacing w:line="240" w:lineRule="auto"/>
              <w:rPr>
                <w:rFonts w:cs="宋体"/>
                <w:color w:val="000000"/>
                <w:kern w:val="0"/>
              </w:rPr>
            </w:pPr>
            <w:r>
              <w:t>53893.7</w:t>
            </w:r>
          </w:p>
        </w:tc>
        <w:tc>
          <w:tcPr>
            <w:tcW w:w="1276" w:type="dxa"/>
            <w:vAlign w:val="center"/>
          </w:tcPr>
          <w:p w14:paraId="155E97C5">
            <w:pPr>
              <w:pStyle w:val="29"/>
              <w:spacing w:line="240" w:lineRule="auto"/>
              <w:rPr>
                <w:rFonts w:cs="宋体"/>
                <w:color w:val="000000"/>
                <w:kern w:val="0"/>
              </w:rPr>
            </w:pPr>
            <w:r>
              <w:rPr>
                <w:rFonts w:hint="eastAsia" w:cs="宋体"/>
                <w:color w:val="000000"/>
                <w:kern w:val="0"/>
              </w:rPr>
              <w:t>0-</w:t>
            </w:r>
            <w:r>
              <w:rPr>
                <w:rFonts w:cs="宋体"/>
                <w:color w:val="000000"/>
                <w:kern w:val="0"/>
              </w:rPr>
              <w:t>500</w:t>
            </w:r>
          </w:p>
        </w:tc>
        <w:tc>
          <w:tcPr>
            <w:tcW w:w="1701" w:type="dxa"/>
            <w:vAlign w:val="center"/>
          </w:tcPr>
          <w:p w14:paraId="68F122E0">
            <w:pPr>
              <w:pStyle w:val="29"/>
              <w:spacing w:line="240" w:lineRule="auto"/>
              <w:rPr>
                <w:rFonts w:cs="宋体"/>
                <w:color w:val="000000"/>
                <w:kern w:val="0"/>
              </w:rPr>
            </w:pPr>
            <w:r>
              <w:rPr>
                <w:rFonts w:cs="宋体"/>
                <w:color w:val="000000"/>
                <w:kern w:val="0"/>
              </w:rPr>
              <w:t>1.2m³挖掘机挖装10t自卸车</w:t>
            </w:r>
          </w:p>
        </w:tc>
        <w:tc>
          <w:tcPr>
            <w:tcW w:w="1730" w:type="dxa"/>
            <w:vAlign w:val="center"/>
          </w:tcPr>
          <w:p w14:paraId="05D3E211">
            <w:pPr>
              <w:pStyle w:val="29"/>
              <w:spacing w:line="240" w:lineRule="auto"/>
              <w:rPr>
                <w:rFonts w:cs="宋体"/>
                <w:color w:val="000000"/>
                <w:kern w:val="0"/>
              </w:rPr>
            </w:pPr>
          </w:p>
        </w:tc>
      </w:tr>
      <w:tr w14:paraId="11BB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058" w:type="dxa"/>
            <w:vAlign w:val="center"/>
          </w:tcPr>
          <w:p w14:paraId="50A23FF6">
            <w:pPr>
              <w:pStyle w:val="29"/>
              <w:spacing w:line="240" w:lineRule="auto"/>
              <w:rPr>
                <w:rFonts w:cs="宋体"/>
                <w:color w:val="000000"/>
                <w:kern w:val="0"/>
              </w:rPr>
            </w:pPr>
            <w:r>
              <w:rPr>
                <w:rFonts w:hint="eastAsia" w:cs="宋体"/>
                <w:color w:val="000000"/>
                <w:kern w:val="0"/>
              </w:rPr>
              <w:t>场地平整</w:t>
            </w:r>
          </w:p>
        </w:tc>
        <w:tc>
          <w:tcPr>
            <w:tcW w:w="758" w:type="dxa"/>
            <w:vAlign w:val="center"/>
          </w:tcPr>
          <w:p w14:paraId="7B7CABBC">
            <w:pPr>
              <w:pStyle w:val="29"/>
              <w:spacing w:line="240" w:lineRule="auto"/>
              <w:rPr>
                <w:rFonts w:cs="宋体"/>
                <w:color w:val="000000"/>
                <w:kern w:val="0"/>
              </w:rPr>
            </w:pPr>
            <w:r>
              <w:rPr>
                <w:rFonts w:hint="eastAsia" w:cs="宋体"/>
                <w:color w:val="000000"/>
                <w:kern w:val="0"/>
              </w:rPr>
              <w:t>㎡</w:t>
            </w:r>
          </w:p>
        </w:tc>
        <w:tc>
          <w:tcPr>
            <w:tcW w:w="1148" w:type="dxa"/>
            <w:vAlign w:val="center"/>
          </w:tcPr>
          <w:p w14:paraId="78D556A9">
            <w:pPr>
              <w:pStyle w:val="29"/>
              <w:spacing w:line="240" w:lineRule="auto"/>
              <w:rPr>
                <w:rFonts w:cs="宋体"/>
                <w:color w:val="000000"/>
                <w:kern w:val="0"/>
              </w:rPr>
            </w:pPr>
            <w:r>
              <w:t>165202.7</w:t>
            </w:r>
          </w:p>
        </w:tc>
        <w:tc>
          <w:tcPr>
            <w:tcW w:w="1276" w:type="dxa"/>
            <w:vAlign w:val="center"/>
          </w:tcPr>
          <w:p w14:paraId="2B6A8BE7">
            <w:pPr>
              <w:pStyle w:val="29"/>
              <w:spacing w:line="240" w:lineRule="auto"/>
              <w:rPr>
                <w:rFonts w:cs="宋体"/>
                <w:color w:val="000000"/>
                <w:kern w:val="0"/>
              </w:rPr>
            </w:pPr>
            <w:r>
              <w:rPr>
                <w:rFonts w:cs="宋体"/>
                <w:color w:val="000000"/>
                <w:kern w:val="0"/>
              </w:rPr>
              <w:t>-</w:t>
            </w:r>
          </w:p>
        </w:tc>
        <w:tc>
          <w:tcPr>
            <w:tcW w:w="1701" w:type="dxa"/>
            <w:vAlign w:val="center"/>
          </w:tcPr>
          <w:p w14:paraId="3185F629">
            <w:pPr>
              <w:pStyle w:val="29"/>
              <w:spacing w:line="240" w:lineRule="auto"/>
              <w:rPr>
                <w:rFonts w:cs="宋体"/>
                <w:color w:val="000000"/>
                <w:kern w:val="0"/>
              </w:rPr>
            </w:pPr>
            <w:r>
              <w:rPr>
                <w:rFonts w:cs="宋体"/>
                <w:color w:val="000000"/>
                <w:kern w:val="0"/>
              </w:rPr>
              <w:t>118kw自行式平地机</w:t>
            </w:r>
          </w:p>
        </w:tc>
        <w:tc>
          <w:tcPr>
            <w:tcW w:w="1730" w:type="dxa"/>
            <w:vAlign w:val="center"/>
          </w:tcPr>
          <w:p w14:paraId="7B41432E">
            <w:pPr>
              <w:pStyle w:val="29"/>
              <w:spacing w:line="240" w:lineRule="auto"/>
              <w:rPr>
                <w:rFonts w:cs="宋体"/>
                <w:color w:val="000000"/>
                <w:kern w:val="0"/>
              </w:rPr>
            </w:pPr>
          </w:p>
        </w:tc>
      </w:tr>
    </w:tbl>
    <w:p w14:paraId="56161BD7">
      <w:pPr>
        <w:pStyle w:val="3"/>
      </w:pPr>
      <w:bookmarkStart w:id="138" w:name="_Toc102927622"/>
      <w:bookmarkStart w:id="139" w:name="_Toc106400206"/>
      <w:bookmarkStart w:id="140" w:name="_Toc106400421"/>
      <w:r>
        <w:rPr>
          <w:rFonts w:hint="eastAsia"/>
        </w:rPr>
        <w:t>第六节</w:t>
      </w:r>
      <w:r>
        <w:rPr>
          <w:rFonts w:hint="eastAsia" w:ascii="宋体"/>
        </w:rPr>
        <w:t xml:space="preserve">  </w:t>
      </w:r>
      <w:r>
        <w:rPr>
          <w:rFonts w:hint="eastAsia"/>
        </w:rPr>
        <w:t>治理工程验收标准</w:t>
      </w:r>
      <w:bookmarkEnd w:id="138"/>
      <w:bookmarkEnd w:id="139"/>
      <w:bookmarkEnd w:id="140"/>
    </w:p>
    <w:p w14:paraId="2936F600">
      <w:pPr>
        <w:pStyle w:val="35"/>
        <w:spacing w:before="0" w:beforeLines="0" w:line="500" w:lineRule="exact"/>
        <w:rPr>
          <w:rFonts w:hAnsi="宋体"/>
          <w:szCs w:val="28"/>
        </w:rPr>
      </w:pPr>
      <w:r>
        <w:rPr>
          <w:rFonts w:hint="eastAsia" w:hAnsi="宋体"/>
          <w:szCs w:val="28"/>
        </w:rPr>
        <w:t>采坑回填验收标准：采坑回填区按照设计标准达到回填标高，</w:t>
      </w:r>
      <w:r>
        <w:rPr>
          <w:rFonts w:hint="eastAsia" w:hAnsi="仿宋_GB2312" w:cs="仿宋_GB2312"/>
          <w:spacing w:val="-6"/>
        </w:rPr>
        <w:t>压实系数确定为0.75，利用机械自重碾压。回填后</w:t>
      </w:r>
      <w:r>
        <w:rPr>
          <w:rFonts w:hint="eastAsia" w:hAnsi="宋体"/>
          <w:szCs w:val="28"/>
        </w:rPr>
        <w:t>与原始地形地貌相协调。</w:t>
      </w:r>
    </w:p>
    <w:p w14:paraId="3C88313F">
      <w:pPr>
        <w:spacing w:line="520" w:lineRule="exact"/>
        <w:rPr>
          <w:rFonts w:hAnsi="Times New Roman"/>
        </w:rPr>
      </w:pPr>
      <w:r>
        <w:rPr>
          <w:rFonts w:hint="eastAsia"/>
        </w:rPr>
        <w:t>场地平整验收标准：对</w:t>
      </w:r>
      <w:r>
        <w:rPr>
          <w:rFonts w:hint="eastAsia" w:hAnsi="Times New Roman"/>
        </w:rPr>
        <w:t>治理区进行平整后，</w:t>
      </w:r>
      <w:r>
        <w:rPr>
          <w:rFonts w:hint="eastAsia"/>
        </w:rPr>
        <w:t>基本与周边场地相协调</w:t>
      </w:r>
      <w:r>
        <w:rPr>
          <w:rFonts w:hint="eastAsia" w:hAnsi="Times New Roman"/>
        </w:rPr>
        <w:t>。</w:t>
      </w:r>
    </w:p>
    <w:p w14:paraId="686FB8F4"/>
    <w:p w14:paraId="44EE42F3">
      <w:pPr>
        <w:sectPr>
          <w:pgSz w:w="11906" w:h="16838"/>
          <w:pgMar w:top="1440" w:right="1800" w:bottom="1440" w:left="1800" w:header="851" w:footer="992" w:gutter="0"/>
          <w:cols w:space="425" w:num="1"/>
          <w:docGrid w:type="lines" w:linePitch="312" w:charSpace="0"/>
        </w:sectPr>
      </w:pPr>
    </w:p>
    <w:p w14:paraId="265EA618">
      <w:pPr>
        <w:pStyle w:val="2"/>
      </w:pPr>
      <w:bookmarkStart w:id="141" w:name="_Toc106400422"/>
      <w:bookmarkStart w:id="142" w:name="_Toc106400207"/>
      <w:bookmarkStart w:id="143" w:name="_Toc251582855"/>
      <w:bookmarkStart w:id="144" w:name="_Toc251581615"/>
      <w:bookmarkStart w:id="145" w:name="_Toc172099223"/>
      <w:bookmarkStart w:id="146" w:name="_Toc22270"/>
      <w:bookmarkStart w:id="147" w:name="_Toc500554328"/>
      <w:bookmarkStart w:id="148" w:name="_Toc429992864"/>
      <w:bookmarkStart w:id="149" w:name="_Toc13386"/>
      <w:bookmarkStart w:id="150" w:name="_Toc102927623"/>
      <w:bookmarkStart w:id="151" w:name="_Toc188705937"/>
      <w:bookmarkStart w:id="152" w:name="_Toc251580375"/>
      <w:bookmarkStart w:id="153" w:name="_Toc172099458"/>
      <w:bookmarkStart w:id="154" w:name="_Toc172099335"/>
      <w:bookmarkStart w:id="155" w:name="_Toc251865261"/>
      <w:r>
        <w:rPr>
          <w:rFonts w:hint="eastAsia"/>
        </w:rPr>
        <w:t xml:space="preserve">第四章 </w:t>
      </w:r>
      <w:r>
        <w:t xml:space="preserve"> </w:t>
      </w:r>
      <w:r>
        <w:rPr>
          <w:rFonts w:hint="eastAsia"/>
        </w:rPr>
        <w:t>生态修复设计方案</w:t>
      </w:r>
      <w:bookmarkEnd w:id="141"/>
      <w:bookmarkEnd w:id="142"/>
    </w:p>
    <w:p w14:paraId="60355AF3">
      <w:pPr>
        <w:pStyle w:val="3"/>
        <w:adjustRightInd/>
        <w:snapToGrid/>
        <w:spacing w:before="240" w:after="120"/>
        <w:rPr>
          <w:rFonts w:hAnsi="华文仿宋"/>
          <w:bCs/>
        </w:rPr>
      </w:pPr>
      <w:bookmarkStart w:id="156" w:name="_Toc16067337"/>
      <w:bookmarkStart w:id="157" w:name="_Toc16184"/>
      <w:bookmarkStart w:id="158" w:name="_Toc17029"/>
      <w:bookmarkStart w:id="159" w:name="_Toc106400208"/>
      <w:bookmarkStart w:id="160" w:name="_Toc106400423"/>
      <w:bookmarkStart w:id="161" w:name="_Toc11837689"/>
      <w:bookmarkStart w:id="162" w:name="_Toc23686"/>
      <w:r>
        <w:rPr>
          <w:rFonts w:hint="eastAsia" w:hAnsi="华文仿宋"/>
          <w:bCs/>
        </w:rPr>
        <w:t>第一节  生态修复设计原则与思路</w:t>
      </w:r>
      <w:bookmarkEnd w:id="156"/>
      <w:bookmarkEnd w:id="157"/>
      <w:bookmarkEnd w:id="158"/>
      <w:bookmarkEnd w:id="159"/>
      <w:bookmarkEnd w:id="160"/>
      <w:bookmarkEnd w:id="161"/>
      <w:bookmarkEnd w:id="162"/>
    </w:p>
    <w:p w14:paraId="79EF10DD">
      <w:pPr>
        <w:adjustRightInd/>
        <w:snapToGrid/>
        <w:rPr>
          <w:rFonts w:hAnsi="仿宋_GB2312" w:cs="仿宋_GB2312"/>
        </w:rPr>
      </w:pPr>
      <w:r>
        <w:rPr>
          <w:rFonts w:hint="eastAsia" w:hAnsi="仿宋_GB2312" w:cs="仿宋_GB2312"/>
        </w:rPr>
        <w:t>一、生态修复设计原则</w:t>
      </w:r>
    </w:p>
    <w:p w14:paraId="6366E066">
      <w:pPr>
        <w:adjustRightInd/>
        <w:snapToGrid/>
        <w:rPr>
          <w:rFonts w:hAnsi="仿宋_GB2312" w:cs="仿宋_GB2312"/>
        </w:rPr>
      </w:pPr>
      <w:r>
        <w:rPr>
          <w:rFonts w:hint="eastAsia" w:hAnsi="仿宋_GB2312" w:cs="仿宋_GB2312"/>
        </w:rPr>
        <w:t>针对治理区内存在的生态问题，坚持节约优先、保护优先，自然恢复为主的方针，以山水林田湖草是一个生命共同体理念为指导，遵循“地貌重塑、土壤重构、植被重建、景观重现、生物多样性重组与保护”五元共轭理论的精神实质，统筹保护、维护、修复的关系，对生态脆弱的地区进行生态保护保育和修复治理。</w:t>
      </w:r>
    </w:p>
    <w:p w14:paraId="7CBB9B78">
      <w:pPr>
        <w:adjustRightInd/>
        <w:snapToGrid/>
        <w:rPr>
          <w:rFonts w:hAnsi="仿宋_GB2312" w:cs="仿宋_GB2312"/>
        </w:rPr>
      </w:pPr>
      <w:r>
        <w:rPr>
          <w:rFonts w:hint="eastAsia" w:hAnsi="仿宋_GB2312" w:cs="仿宋_GB2312"/>
        </w:rPr>
        <w:t>（一）坚持问题导向、科学修复、自然恢复为主的原则</w:t>
      </w:r>
    </w:p>
    <w:p w14:paraId="44483272">
      <w:pPr>
        <w:adjustRightInd/>
        <w:snapToGrid/>
        <w:rPr>
          <w:rFonts w:hAnsi="仿宋_GB2312" w:cs="仿宋_GB2312"/>
        </w:rPr>
      </w:pPr>
      <w:r>
        <w:rPr>
          <w:rFonts w:hint="eastAsia" w:hAnsi="仿宋_GB2312" w:cs="仿宋_GB2312"/>
        </w:rPr>
        <w:t>尊重自然、顺应自然、保护自然，按照保护优先、节约优先、自然恢复为主的方针。在生态修复过程中因地制宜、分别治理。充分利用当地的水、土、光、热、生物等自然资源，依靠大自然的循环再生能力进行生态恢复。自然修复为主，人工促进为辅，切实遵循自然生态规律。结合地形条件的差异性和特殊性，调查各区的破坏现状，分析各区的立地条件，制定经济合理的设计恢复方案。</w:t>
      </w:r>
    </w:p>
    <w:p w14:paraId="20C40FF7">
      <w:pPr>
        <w:adjustRightInd/>
        <w:snapToGrid/>
        <w:rPr>
          <w:rFonts w:hAnsi="仿宋_GB2312" w:cs="仿宋_GB2312"/>
        </w:rPr>
      </w:pPr>
      <w:r>
        <w:rPr>
          <w:rFonts w:hint="eastAsia" w:hAnsi="仿宋_GB2312" w:cs="仿宋_GB2312"/>
        </w:rPr>
        <w:t>（二）坚持经济合理、效益综合、统筹规划、综合治理的原则</w:t>
      </w:r>
    </w:p>
    <w:p w14:paraId="1CA53453">
      <w:pPr>
        <w:adjustRightInd/>
        <w:snapToGrid/>
        <w:rPr>
          <w:rFonts w:hAnsi="仿宋_GB2312" w:cs="仿宋_GB2312"/>
        </w:rPr>
      </w:pPr>
      <w:r>
        <w:rPr>
          <w:rFonts w:hint="eastAsia" w:hAnsi="仿宋_GB2312" w:cs="仿宋_GB2312"/>
        </w:rPr>
        <w:t>生态修复过程中坚持短期效应与长期效益相结合。短期效应是指通过人工措施快速的恢复植被；长期效益是指充分利用当地的水、土、光、热、生物等自然资源，并且由人工恢复向自然演替逐渐过渡，使修复区能够与周边自然群落融为一体，保持一定的相似度，保证长期的生态效益。根据项目区所处的区域自然地理条件、生态恢复与环境治理的技术经济条件，按照“整体生态功能恢复”和“景观相似性”，宜耕则耕、宜林则林、宜草则草、宜景建景，注重成效，因地制宜采取切实可行的恢复治理措施，恢复区域整体生态功能。生态恢复措施后，植被具有自己存活的能力。生态修复以较小的投入成本产出较大的生态效益，同时具有可持续性，同时能产生一定的经济效益。</w:t>
      </w:r>
    </w:p>
    <w:p w14:paraId="08D51378">
      <w:pPr>
        <w:adjustRightInd/>
        <w:snapToGrid/>
        <w:rPr>
          <w:rFonts w:hAnsi="仿宋_GB2312" w:cs="仿宋_GB2312"/>
        </w:rPr>
      </w:pPr>
      <w:r>
        <w:rPr>
          <w:rFonts w:hint="eastAsia" w:hAnsi="仿宋_GB2312" w:cs="仿宋_GB2312"/>
        </w:rPr>
        <w:t>（三）坚持惠民、利民原则</w:t>
      </w:r>
    </w:p>
    <w:p w14:paraId="7158A8B9">
      <w:pPr>
        <w:adjustRightInd/>
        <w:snapToGrid/>
        <w:rPr>
          <w:rFonts w:hAnsi="仿宋_GB2312" w:cs="仿宋_GB2312"/>
        </w:rPr>
      </w:pPr>
      <w:r>
        <w:rPr>
          <w:rFonts w:hint="eastAsia" w:hAnsi="仿宋_GB2312" w:cs="仿宋_GB2312"/>
        </w:rPr>
        <w:t>生态修复结合生产发展、保护环境，实现人与经济社会、自然环境协调。合理解决生产力与生态环境之间的关系，尊重自然、谋求人与自然和谐发展的价值理念。</w:t>
      </w:r>
    </w:p>
    <w:p w14:paraId="714DC202">
      <w:pPr>
        <w:adjustRightInd/>
        <w:snapToGrid/>
        <w:rPr>
          <w:rFonts w:hAnsi="仿宋_GB2312" w:cs="仿宋_GB2312"/>
        </w:rPr>
      </w:pPr>
      <w:r>
        <w:rPr>
          <w:rFonts w:hint="eastAsia" w:hAnsi="仿宋_GB2312" w:cs="仿宋_GB2312"/>
        </w:rPr>
        <w:t>（四）坚持科学性、前瞻性和实用性相统一、绿色施工的原则</w:t>
      </w:r>
    </w:p>
    <w:p w14:paraId="4F18A9DB">
      <w:pPr>
        <w:adjustRightInd/>
        <w:snapToGrid/>
        <w:rPr>
          <w:rFonts w:hAnsi="仿宋_GB2312" w:cs="仿宋_GB2312"/>
        </w:rPr>
      </w:pPr>
      <w:r>
        <w:rPr>
          <w:rFonts w:hint="eastAsia" w:hAnsi="仿宋_GB2312" w:cs="仿宋_GB2312"/>
        </w:rPr>
        <w:t>恢复治理坚持科学性、前瞻性和实用性相统一的原则，广泛应用新技术、新方法，选择适宜的保护与治理方案。根据国家政策要求，既立足当前技术和资金投入、恢复治理工程实施、建设施工的装备和水平的实际情况使方案具有可操作性，又考虑经济发展与技术进步的因素，使方案具有一定的超前性。</w:t>
      </w:r>
    </w:p>
    <w:p w14:paraId="00391C64">
      <w:pPr>
        <w:adjustRightInd/>
        <w:snapToGrid/>
        <w:rPr>
          <w:rFonts w:hAnsi="仿宋_GB2312" w:cs="仿宋_GB2312"/>
        </w:rPr>
      </w:pPr>
      <w:r>
        <w:rPr>
          <w:rFonts w:hint="eastAsia" w:hAnsi="仿宋_GB2312" w:cs="仿宋_GB2312"/>
        </w:rPr>
        <w:t>（五）坚持系统修复与建管相结合的原则</w:t>
      </w:r>
    </w:p>
    <w:p w14:paraId="2A02D609">
      <w:pPr>
        <w:adjustRightInd/>
        <w:snapToGrid/>
        <w:rPr>
          <w:rFonts w:hAnsi="仿宋_GB2312" w:cs="仿宋_GB2312"/>
        </w:rPr>
      </w:pPr>
      <w:r>
        <w:rPr>
          <w:rFonts w:hint="eastAsia" w:hAnsi="仿宋_GB2312" w:cs="仿宋_GB2312"/>
        </w:rPr>
        <w:t>以山水林田湖草生命共同体思想作为引领，综合考虑自然生态各要素，推进整体保护、系统修复、区域统筹、综合治理。正确处理修复治理与生态保护保育的关系，建立健全长效管护机制，不断提高自然资源管理水平。从生态环境现状出发，结合社会经济和各项事业的发展目标，设计方案切实可行，具有较强的操作性。</w:t>
      </w:r>
    </w:p>
    <w:p w14:paraId="49D9E978">
      <w:pPr>
        <w:adjustRightInd/>
        <w:snapToGrid/>
        <w:rPr>
          <w:rFonts w:hAnsi="仿宋_GB2312" w:cs="仿宋_GB2312"/>
        </w:rPr>
      </w:pPr>
      <w:r>
        <w:rPr>
          <w:rFonts w:hint="eastAsia" w:hAnsi="仿宋_GB2312" w:cs="仿宋_GB2312"/>
        </w:rPr>
        <w:t>二、生态修复设计思路</w:t>
      </w:r>
    </w:p>
    <w:p w14:paraId="47DE6C6C">
      <w:pPr>
        <w:pStyle w:val="35"/>
        <w:spacing w:before="0" w:beforeLines="0" w:line="500" w:lineRule="exact"/>
        <w:rPr>
          <w:rFonts w:hAnsi="仿宋_GB2312" w:cs="仿宋_GB2312"/>
        </w:rPr>
      </w:pPr>
      <w:r>
        <w:rPr>
          <w:rFonts w:hint="eastAsia" w:hAnsi="仿宋_GB2312" w:cs="仿宋_GB2312"/>
          <w:szCs w:val="28"/>
        </w:rPr>
        <w:t>（一）</w:t>
      </w:r>
      <w:r>
        <w:rPr>
          <w:rFonts w:hint="eastAsia" w:hAnsi="仿宋_GB2312" w:cs="仿宋_GB2312"/>
        </w:rPr>
        <w:t>微地形改造</w:t>
      </w:r>
    </w:p>
    <w:p w14:paraId="3AF23E2E">
      <w:pPr>
        <w:pStyle w:val="35"/>
        <w:spacing w:before="0" w:beforeLines="0" w:line="500" w:lineRule="exact"/>
        <w:rPr>
          <w:rFonts w:hAnsi="仿宋_GB2312" w:cs="仿宋_GB2312"/>
        </w:rPr>
      </w:pPr>
      <w:r>
        <w:rPr>
          <w:rFonts w:hint="eastAsia" w:hAnsi="仿宋_GB2312" w:cs="仿宋_GB2312"/>
        </w:rPr>
        <w:t>治理区降水稀少，为充分利用雨雪资源，需对地面进行微地形改造，增强地面下渗量，减少土壤水分蒸发。利用机械疏松表层被土方机械压实的土壤，增加雨水下渗量，同时减少土壤水分蒸发。治理区风速较大，土壤风蚀相当严重。为减少土壤风蚀，在平坦地表形成垂直风向沟槽，增大地表粗糙度，降低地表风速，减轻地表风蚀。为防止暴雨对土壤的侵蚀，在坡度较大的地方设置沿等高线的沟槽。</w:t>
      </w:r>
    </w:p>
    <w:p w14:paraId="7A484778">
      <w:pPr>
        <w:pStyle w:val="35"/>
        <w:spacing w:before="0" w:beforeLines="0" w:line="500" w:lineRule="exact"/>
        <w:rPr>
          <w:rFonts w:hAnsi="仿宋_GB2312" w:cs="仿宋_GB2312"/>
        </w:rPr>
      </w:pPr>
      <w:r>
        <w:rPr>
          <w:rFonts w:hint="eastAsia" w:hAnsi="仿宋_GB2312" w:cs="仿宋_GB2312"/>
        </w:rPr>
        <w:t>（二）播种</w:t>
      </w:r>
    </w:p>
    <w:p w14:paraId="41EAC1DA">
      <w:pPr>
        <w:pStyle w:val="35"/>
        <w:spacing w:before="0" w:beforeLines="0" w:line="500" w:lineRule="exact"/>
        <w:rPr>
          <w:rFonts w:hAnsi="仿宋_GB2312" w:cs="仿宋_GB2312"/>
        </w:rPr>
      </w:pPr>
      <w:r>
        <w:rPr>
          <w:rFonts w:hint="eastAsia" w:hAnsi="仿宋_GB2312" w:cs="仿宋_GB2312"/>
        </w:rPr>
        <w:t>大部分荒漠草种种子有羽翅或种毛，种子小、寿命短、发芽率低，种子顶土能力弱，播种适宜期短。要求播种深度浅，在播种时段及时播种。为现实播种速度快，覆土浅。为减少种子随风飘扬性，设计先对种子进行除羽翅或种毛处理，</w:t>
      </w:r>
      <w:r>
        <w:rPr>
          <w:rFonts w:hint="eastAsia" w:hAnsi="仿宋_GB2312" w:cs="仿宋_GB2312"/>
          <w:szCs w:val="28"/>
        </w:rPr>
        <w:t>包衣撒播</w:t>
      </w:r>
      <w:r>
        <w:rPr>
          <w:rFonts w:hint="eastAsia" w:hAnsi="仿宋_GB2312" w:cs="仿宋_GB2312"/>
        </w:rPr>
        <w:t>。撒播时间为10－11月份，即每年的第一次下雪和第二次下雪之间为好。</w:t>
      </w:r>
    </w:p>
    <w:p w14:paraId="661B9A64">
      <w:pPr>
        <w:pStyle w:val="35"/>
        <w:spacing w:before="0" w:beforeLines="0" w:line="500" w:lineRule="exact"/>
        <w:rPr>
          <w:rFonts w:hAnsi="仿宋_GB2312" w:cs="仿宋_GB2312"/>
        </w:rPr>
      </w:pPr>
      <w:r>
        <w:rPr>
          <w:rFonts w:hint="eastAsia" w:hAnsi="仿宋_GB2312" w:cs="仿宋_GB2312"/>
        </w:rPr>
        <w:t>（三）管护</w:t>
      </w:r>
    </w:p>
    <w:p w14:paraId="4BFED222">
      <w:pPr>
        <w:pStyle w:val="35"/>
        <w:spacing w:before="0" w:beforeLines="0" w:line="500" w:lineRule="exact"/>
        <w:rPr>
          <w:rFonts w:hAnsi="仿宋_GB2312" w:cs="仿宋_GB2312"/>
        </w:rPr>
      </w:pPr>
      <w:r>
        <w:rPr>
          <w:rFonts w:hint="eastAsia" w:hAnsi="仿宋_GB2312" w:cs="仿宋_GB2312"/>
        </w:rPr>
        <w:t>本次生态修复采用</w:t>
      </w:r>
      <w:r>
        <w:rPr>
          <w:rFonts w:hint="eastAsia" w:hAnsi="仿宋_GB2312" w:cs="仿宋_GB2312"/>
          <w:szCs w:val="28"/>
        </w:rPr>
        <w:t>无灌溉</w:t>
      </w:r>
      <w:r>
        <w:rPr>
          <w:rFonts w:hint="eastAsia" w:hAnsi="仿宋_GB2312" w:cs="仿宋_GB2312"/>
        </w:rPr>
        <w:t>自然雨养。为了防止牛羊对种苗破坏，在治理区设计刺绳铁丝围栏维护。</w:t>
      </w:r>
    </w:p>
    <w:p w14:paraId="09D03A19">
      <w:pPr>
        <w:pStyle w:val="3"/>
        <w:adjustRightInd/>
        <w:snapToGrid/>
        <w:spacing w:before="240" w:after="120"/>
        <w:rPr>
          <w:rFonts w:hAnsi="华文仿宋"/>
          <w:bCs/>
        </w:rPr>
      </w:pPr>
      <w:bookmarkStart w:id="163" w:name="_Toc16067338"/>
      <w:bookmarkStart w:id="164" w:name="_Toc20037"/>
      <w:bookmarkStart w:id="165" w:name="_Toc27872"/>
      <w:bookmarkStart w:id="166" w:name="_Toc14594"/>
      <w:bookmarkStart w:id="167" w:name="_Toc106400424"/>
      <w:bookmarkStart w:id="168" w:name="_Toc106400209"/>
      <w:r>
        <w:rPr>
          <w:rFonts w:hint="eastAsia" w:hAnsi="华文仿宋"/>
          <w:bCs/>
        </w:rPr>
        <w:t>第二节  生态修复治理设计</w:t>
      </w:r>
      <w:bookmarkEnd w:id="163"/>
      <w:r>
        <w:rPr>
          <w:rFonts w:hint="eastAsia" w:hAnsi="华文仿宋"/>
          <w:bCs/>
        </w:rPr>
        <w:t>方案</w:t>
      </w:r>
      <w:bookmarkEnd w:id="164"/>
      <w:bookmarkEnd w:id="165"/>
      <w:bookmarkEnd w:id="166"/>
      <w:bookmarkEnd w:id="167"/>
      <w:bookmarkEnd w:id="168"/>
    </w:p>
    <w:p w14:paraId="14517919">
      <w:pPr>
        <w:pStyle w:val="35"/>
        <w:spacing w:before="0" w:beforeLines="0" w:line="500" w:lineRule="exact"/>
        <w:rPr>
          <w:rFonts w:hAnsi="仿宋_GB2312" w:cs="仿宋_GB2312"/>
        </w:rPr>
      </w:pPr>
      <w:r>
        <w:rPr>
          <w:rFonts w:hint="eastAsia" w:hAnsi="仿宋_GB2312" w:cs="仿宋_GB2312"/>
        </w:rPr>
        <w:t>治理区位于</w:t>
      </w:r>
      <w:r>
        <w:rPr>
          <w:rFonts w:hint="eastAsia" w:hAnsi="仿宋_GB2312" w:cs="仿宋_GB2312"/>
          <w:szCs w:val="28"/>
        </w:rPr>
        <w:t>低中山区</w:t>
      </w:r>
      <w:r>
        <w:rPr>
          <w:rFonts w:hint="eastAsia" w:hAnsi="仿宋_GB2312" w:cs="仿宋_GB2312"/>
        </w:rPr>
        <w:t>，植被为</w:t>
      </w:r>
      <w:r>
        <w:rPr>
          <w:rFonts w:hint="eastAsia" w:hAnsi="仿宋_GB2312" w:cs="仿宋_GB2312"/>
          <w:szCs w:val="28"/>
        </w:rPr>
        <w:t>温性荒漠草原绢蒿群系</w:t>
      </w:r>
      <w:r>
        <w:rPr>
          <w:rFonts w:hint="eastAsia" w:hAnsi="仿宋_GB2312" w:cs="仿宋_GB2312"/>
        </w:rPr>
        <w:t>。</w:t>
      </w:r>
      <w:r>
        <w:rPr>
          <w:rFonts w:hint="eastAsia" w:hAnsi="仿宋_GB2312" w:cs="仿宋_GB2312"/>
          <w:szCs w:val="28"/>
        </w:rPr>
        <w:t>植被以藜科、菊科、莎草科植物为主，其中藜科属植物以沙蓬，菊科植物主要有绢蒿等。治理</w:t>
      </w:r>
      <w:r>
        <w:rPr>
          <w:rFonts w:hint="eastAsia" w:hAnsi="仿宋_GB2312" w:cs="仿宋_GB2312"/>
        </w:rPr>
        <w:t>区周边植被盖度总体较低，大部分区域的植被盖度5%。设计植被盖度3-5%。</w:t>
      </w:r>
    </w:p>
    <w:p w14:paraId="149F6769">
      <w:pPr>
        <w:pStyle w:val="35"/>
        <w:spacing w:before="0" w:beforeLines="0" w:line="500" w:lineRule="exact"/>
        <w:rPr>
          <w:rFonts w:hAnsi="仿宋_GB2312" w:cs="仿宋_GB2312"/>
        </w:rPr>
      </w:pPr>
      <w:r>
        <w:rPr>
          <w:rFonts w:hint="eastAsia" w:hAnsi="仿宋_GB2312" w:cs="仿宋_GB2312"/>
        </w:rPr>
        <w:t>一、设计参数</w:t>
      </w:r>
    </w:p>
    <w:p w14:paraId="424EEAE1">
      <w:pPr>
        <w:pStyle w:val="35"/>
        <w:spacing w:before="0" w:beforeLines="0" w:line="500" w:lineRule="exact"/>
        <w:rPr>
          <w:rFonts w:hAnsi="仿宋_GB2312" w:cs="仿宋_GB2312"/>
        </w:rPr>
      </w:pPr>
      <w:bookmarkStart w:id="169" w:name="_Hlk11620304"/>
      <w:r>
        <w:rPr>
          <w:rFonts w:hint="eastAsia" w:hAnsi="仿宋_GB2312" w:cs="仿宋_GB2312"/>
        </w:rPr>
        <w:t>设计恢复生态系统：</w:t>
      </w:r>
      <w:r>
        <w:rPr>
          <w:rFonts w:hint="eastAsia" w:hAnsi="仿宋_GB2312" w:cs="仿宋_GB2312"/>
          <w:szCs w:val="28"/>
        </w:rPr>
        <w:t>干旱荒漠草原生态系统。</w:t>
      </w:r>
    </w:p>
    <w:p w14:paraId="68959B5E">
      <w:pPr>
        <w:pStyle w:val="35"/>
        <w:spacing w:before="0" w:beforeLines="0" w:line="500" w:lineRule="exact"/>
        <w:rPr>
          <w:rFonts w:hAnsi="仿宋_GB2312" w:cs="仿宋_GB2312"/>
        </w:rPr>
      </w:pPr>
      <w:r>
        <w:rPr>
          <w:rFonts w:hint="eastAsia" w:hAnsi="仿宋_GB2312" w:cs="仿宋_GB2312"/>
        </w:rPr>
        <w:t>设计植物群落：绢蒿、针茅、沙蓬、驼绒藜、隐子草</w:t>
      </w:r>
    </w:p>
    <w:p w14:paraId="4E7658FD">
      <w:pPr>
        <w:pStyle w:val="35"/>
        <w:spacing w:before="0" w:beforeLines="0" w:line="500" w:lineRule="exact"/>
        <w:rPr>
          <w:rFonts w:hAnsi="仿宋_GB2312" w:cs="仿宋_GB2312"/>
        </w:rPr>
      </w:pPr>
      <w:r>
        <w:rPr>
          <w:rFonts w:hint="eastAsia" w:hAnsi="仿宋_GB2312" w:cs="仿宋_GB2312"/>
        </w:rPr>
        <w:t>设计恢复盖度：3-5%。</w:t>
      </w:r>
    </w:p>
    <w:p w14:paraId="2D40B4B5">
      <w:pPr>
        <w:pStyle w:val="35"/>
        <w:spacing w:before="0" w:beforeLines="0" w:line="500" w:lineRule="exact"/>
        <w:rPr>
          <w:rFonts w:hAnsi="仿宋_GB2312" w:cs="仿宋_GB2312"/>
        </w:rPr>
      </w:pPr>
      <w:r>
        <w:rPr>
          <w:rFonts w:hint="eastAsia" w:hAnsi="仿宋_GB2312" w:cs="仿宋_GB2312"/>
        </w:rPr>
        <w:t>灌溉方式：无灌溉。</w:t>
      </w:r>
    </w:p>
    <w:p w14:paraId="26615295">
      <w:pPr>
        <w:pStyle w:val="35"/>
        <w:spacing w:before="0" w:beforeLines="0" w:line="500" w:lineRule="exact"/>
        <w:rPr>
          <w:rFonts w:hAnsi="仿宋_GB2312" w:cs="仿宋_GB2312"/>
        </w:rPr>
      </w:pPr>
      <w:r>
        <w:rPr>
          <w:rFonts w:hint="eastAsia" w:hAnsi="仿宋_GB2312" w:cs="仿宋_GB2312"/>
        </w:rPr>
        <w:t>种植方式：人工撒播。</w:t>
      </w:r>
    </w:p>
    <w:bookmarkEnd w:id="169"/>
    <w:p w14:paraId="7EA9D4E6">
      <w:pPr>
        <w:adjustRightInd/>
        <w:snapToGrid/>
        <w:rPr>
          <w:rFonts w:hAnsi="仿宋_GB2312" w:cs="仿宋_GB2312"/>
        </w:rPr>
      </w:pPr>
      <w:r>
        <w:rPr>
          <w:rFonts w:hint="eastAsia" w:hAnsi="仿宋_GB2312" w:cs="仿宋_GB2312"/>
        </w:rPr>
        <w:t>二、种苗设计</w:t>
      </w:r>
    </w:p>
    <w:p w14:paraId="5459734A">
      <w:pPr>
        <w:adjustRightInd/>
        <w:snapToGrid/>
        <w:rPr>
          <w:rFonts w:hAnsi="仿宋_GB2312" w:cs="仿宋_GB2312"/>
        </w:rPr>
      </w:pPr>
      <w:r>
        <w:rPr>
          <w:rFonts w:hint="eastAsia" w:hAnsi="仿宋_GB2312" w:cs="仿宋_GB2312"/>
        </w:rPr>
        <w:t>生态修复治理项目区为干旱荒漠草原地区，年均降水量50-175mm左右，土壤贫瘠，植被组成较为简单，类型单调，分布稀疏。建群植物由超旱生、旱生的一年生草本、多年生草本和中生的短命植物等荒漠植物组成。</w:t>
      </w:r>
    </w:p>
    <w:p w14:paraId="06A8C1EA">
      <w:pPr>
        <w:adjustRightInd/>
        <w:snapToGrid/>
        <w:rPr>
          <w:rFonts w:hAnsi="仿宋_GB2312" w:cs="仿宋_GB2312"/>
        </w:rPr>
      </w:pPr>
      <w:r>
        <w:rPr>
          <w:rFonts w:hint="eastAsia" w:hAnsi="仿宋_GB2312" w:cs="仿宋_GB2312"/>
        </w:rPr>
        <w:t>根据治理区周边植被调查和植物种子的可得性，此次初步设计的植物为：绢蒿、针茅、沙蓬、驼绒藜、隐子草，见表4</w:t>
      </w:r>
      <w:r>
        <w:rPr>
          <w:rFonts w:hAnsi="仿宋_GB2312" w:cs="仿宋_GB2312"/>
        </w:rPr>
        <w:t>-1</w:t>
      </w:r>
      <w:r>
        <w:rPr>
          <w:rFonts w:hint="eastAsia" w:hAnsi="仿宋_GB2312" w:cs="仿宋_GB2312"/>
        </w:rPr>
        <w:t>设计植物特性表。</w:t>
      </w:r>
    </w:p>
    <w:p w14:paraId="1323F44B">
      <w:pPr>
        <w:pStyle w:val="41"/>
        <w:spacing w:before="0" w:beforeLines="0" w:after="0" w:afterLines="0" w:line="500" w:lineRule="exact"/>
        <w:ind w:firstLine="420" w:firstLineChars="200"/>
        <w:rPr>
          <w:rFonts w:hAnsi="宋体" w:cs="仿宋_GB2312"/>
          <w:sz w:val="21"/>
          <w:szCs w:val="18"/>
        </w:rPr>
      </w:pPr>
      <w:r>
        <w:rPr>
          <w:rFonts w:hint="eastAsia" w:hAnsi="宋体" w:cs="仿宋_GB2312"/>
          <w:sz w:val="21"/>
          <w:szCs w:val="18"/>
        </w:rPr>
        <w:t>表4-1  设计植物特性表</w:t>
      </w:r>
    </w:p>
    <w:tbl>
      <w:tblPr>
        <w:tblStyle w:val="13"/>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83"/>
        <w:gridCol w:w="587"/>
        <w:gridCol w:w="697"/>
        <w:gridCol w:w="7214"/>
      </w:tblGrid>
      <w:tr w14:paraId="29B6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655FA342">
            <w:pPr>
              <w:pStyle w:val="40"/>
              <w:spacing w:line="240" w:lineRule="auto"/>
              <w:rPr>
                <w:rFonts w:ascii="Times New Roman"/>
              </w:rPr>
            </w:pPr>
            <w:r>
              <w:rPr>
                <w:rFonts w:ascii="Times New Roman"/>
              </w:rPr>
              <w:t>设计植物</w:t>
            </w:r>
          </w:p>
        </w:tc>
        <w:tc>
          <w:tcPr>
            <w:tcW w:w="587" w:type="dxa"/>
            <w:vAlign w:val="center"/>
          </w:tcPr>
          <w:p w14:paraId="2106F5CB">
            <w:pPr>
              <w:pStyle w:val="40"/>
              <w:spacing w:line="240" w:lineRule="auto"/>
              <w:rPr>
                <w:rFonts w:ascii="Times New Roman"/>
              </w:rPr>
            </w:pPr>
            <w:r>
              <w:rPr>
                <w:rFonts w:ascii="Times New Roman"/>
              </w:rPr>
              <w:t>种类</w:t>
            </w:r>
          </w:p>
        </w:tc>
        <w:tc>
          <w:tcPr>
            <w:tcW w:w="697" w:type="dxa"/>
            <w:vAlign w:val="center"/>
          </w:tcPr>
          <w:p w14:paraId="231025EB">
            <w:pPr>
              <w:pStyle w:val="40"/>
              <w:spacing w:line="240" w:lineRule="auto"/>
              <w:rPr>
                <w:rFonts w:ascii="Times New Roman"/>
              </w:rPr>
            </w:pPr>
            <w:r>
              <w:rPr>
                <w:rFonts w:ascii="Times New Roman"/>
              </w:rPr>
              <w:t>科属</w:t>
            </w:r>
          </w:p>
        </w:tc>
        <w:tc>
          <w:tcPr>
            <w:tcW w:w="7214" w:type="dxa"/>
            <w:vAlign w:val="center"/>
          </w:tcPr>
          <w:p w14:paraId="3D8B728D">
            <w:pPr>
              <w:pStyle w:val="40"/>
              <w:spacing w:line="240" w:lineRule="auto"/>
              <w:rPr>
                <w:rFonts w:ascii="Times New Roman"/>
              </w:rPr>
            </w:pPr>
            <w:r>
              <w:rPr>
                <w:rFonts w:ascii="Times New Roman"/>
              </w:rPr>
              <w:t>特性</w:t>
            </w:r>
          </w:p>
        </w:tc>
      </w:tr>
      <w:tr w14:paraId="3A5B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544D341F">
            <w:pPr>
              <w:pStyle w:val="40"/>
              <w:spacing w:line="240" w:lineRule="auto"/>
              <w:rPr>
                <w:rFonts w:ascii="Times New Roman"/>
              </w:rPr>
            </w:pPr>
            <w:r>
              <w:rPr>
                <w:rFonts w:ascii="Times New Roman"/>
              </w:rPr>
              <w:t>绢蒿</w:t>
            </w:r>
          </w:p>
        </w:tc>
        <w:tc>
          <w:tcPr>
            <w:tcW w:w="587" w:type="dxa"/>
            <w:vAlign w:val="center"/>
          </w:tcPr>
          <w:p w14:paraId="30D57C47">
            <w:pPr>
              <w:pStyle w:val="40"/>
              <w:spacing w:line="240" w:lineRule="auto"/>
              <w:rPr>
                <w:rFonts w:ascii="Times New Roman"/>
              </w:rPr>
            </w:pPr>
            <w:r>
              <w:rPr>
                <w:rFonts w:ascii="Times New Roman"/>
              </w:rPr>
              <w:t>草本</w:t>
            </w:r>
          </w:p>
        </w:tc>
        <w:tc>
          <w:tcPr>
            <w:tcW w:w="697" w:type="dxa"/>
            <w:vAlign w:val="center"/>
          </w:tcPr>
          <w:p w14:paraId="090D82AB">
            <w:pPr>
              <w:pStyle w:val="40"/>
              <w:spacing w:line="240" w:lineRule="auto"/>
              <w:rPr>
                <w:rFonts w:ascii="Times New Roman"/>
              </w:rPr>
            </w:pPr>
            <w:r>
              <w:rPr>
                <w:rFonts w:ascii="Times New Roman"/>
              </w:rPr>
              <w:t>菊科</w:t>
            </w:r>
          </w:p>
        </w:tc>
        <w:tc>
          <w:tcPr>
            <w:tcW w:w="7214" w:type="dxa"/>
            <w:vAlign w:val="center"/>
          </w:tcPr>
          <w:p w14:paraId="665A898C">
            <w:pPr>
              <w:pStyle w:val="40"/>
              <w:spacing w:line="240" w:lineRule="auto"/>
              <w:ind w:firstLine="420" w:firstLineChars="200"/>
              <w:jc w:val="both"/>
              <w:rPr>
                <w:rFonts w:ascii="Times New Roman"/>
              </w:rPr>
            </w:pPr>
            <w:r>
              <w:rPr>
                <w:rFonts w:ascii="Times New Roman"/>
              </w:rPr>
              <w:t>新疆绢蒿(Seriphidium kaschgaricum (Krasch.) Poljak.)，半灌木状草本。属多年生草本或稍呈半灌木状植物。主根明显，细或稍粗；根状茎稍粗短，具少数短小，一年生的营养枝，枝端密生叶。茎高40-50厘米，下部半木质，稀近木质化，上部草质，并有少量斜向上长的短的分枝；营养期茎、枝被灰绿色蛛丝状柔毛，以后毛部分脱落。叶稍柔弱，两面初时被蛛丝状柔毛，后部分脱落；茎下部叶长卵形或椭圆状披针形，长3-4厘米，宽0.5-2厘米，二回羽状全裂，每侧有裂片4-5枚，再次羽状全裂，小裂片狭线形，长3-5毫米，宽0.3-0.8毫米，先端钝或尖，叶柄长0.3-0.7厘米；中部叶（一至）二回羽状全裂，基部有小型假托叶；上部叶羽状全裂，无柄，基部裂片半抱茎；苞片叶不分裂，狭线形，稀少羽状全裂。生于海拔1500米以下荒漠化或半荒漠草原，局部地区可成为植物群落的优势种，也生于戈壁、砾质坡地、干山谷、山麓、干河岸、湖边、路旁和洪积扇地区，在盐渍化草甸附近及微盐渍化的土壤上也见生长。</w:t>
            </w:r>
          </w:p>
        </w:tc>
      </w:tr>
      <w:tr w14:paraId="2FDA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6CC458E8">
            <w:pPr>
              <w:pStyle w:val="40"/>
              <w:spacing w:line="240" w:lineRule="auto"/>
              <w:rPr>
                <w:rFonts w:ascii="Times New Roman"/>
              </w:rPr>
            </w:pPr>
            <w:r>
              <w:rPr>
                <w:rFonts w:ascii="Times New Roman"/>
              </w:rPr>
              <w:t>针茅</w:t>
            </w:r>
          </w:p>
        </w:tc>
        <w:tc>
          <w:tcPr>
            <w:tcW w:w="587" w:type="dxa"/>
            <w:vAlign w:val="center"/>
          </w:tcPr>
          <w:p w14:paraId="43939CA4">
            <w:pPr>
              <w:pStyle w:val="40"/>
              <w:spacing w:line="240" w:lineRule="auto"/>
              <w:rPr>
                <w:rFonts w:ascii="Times New Roman"/>
              </w:rPr>
            </w:pPr>
            <w:r>
              <w:rPr>
                <w:rFonts w:ascii="Times New Roman"/>
              </w:rPr>
              <w:t>草本</w:t>
            </w:r>
          </w:p>
        </w:tc>
        <w:tc>
          <w:tcPr>
            <w:tcW w:w="697" w:type="dxa"/>
            <w:vAlign w:val="center"/>
          </w:tcPr>
          <w:p w14:paraId="10ED09D6">
            <w:pPr>
              <w:pStyle w:val="40"/>
              <w:spacing w:line="240" w:lineRule="auto"/>
              <w:rPr>
                <w:rFonts w:ascii="Times New Roman"/>
              </w:rPr>
            </w:pPr>
            <w:r>
              <w:rPr>
                <w:rFonts w:ascii="Times New Roman"/>
              </w:rPr>
              <w:t>禾本</w:t>
            </w:r>
          </w:p>
        </w:tc>
        <w:tc>
          <w:tcPr>
            <w:tcW w:w="7214" w:type="dxa"/>
            <w:vAlign w:val="center"/>
          </w:tcPr>
          <w:p w14:paraId="709F0A71">
            <w:pPr>
              <w:pStyle w:val="40"/>
              <w:spacing w:line="240" w:lineRule="auto"/>
              <w:ind w:firstLine="420" w:firstLineChars="200"/>
              <w:jc w:val="both"/>
              <w:rPr>
                <w:rFonts w:ascii="Times New Roman"/>
              </w:rPr>
            </w:pPr>
            <w:r>
              <w:rPr>
                <w:rFonts w:ascii="Times New Roman"/>
              </w:rPr>
              <w:t>针茅（学名：Stipa capillata L.）是</w:t>
            </w:r>
            <w:r>
              <w:fldChar w:fldCharType="begin"/>
            </w:r>
            <w:r>
              <w:instrText xml:space="preserve"> HYPERLINK "https://baike.baidu.com/item/%E7%A6%BE%E6%9C%AC%E7%A7%91" \t "_blank" </w:instrText>
            </w:r>
            <w:r>
              <w:fldChar w:fldCharType="separate"/>
            </w:r>
            <w:r>
              <w:rPr>
                <w:rFonts w:ascii="Times New Roman"/>
              </w:rPr>
              <w:t>禾本科</w:t>
            </w:r>
            <w:r>
              <w:rPr>
                <w:rFonts w:ascii="Times New Roman"/>
              </w:rPr>
              <w:fldChar w:fldCharType="end"/>
            </w:r>
            <w:r>
              <w:rPr>
                <w:rFonts w:ascii="Times New Roman"/>
              </w:rPr>
              <w:t>、针茅属多年生密丛</w:t>
            </w:r>
            <w:r>
              <w:fldChar w:fldCharType="begin"/>
            </w:r>
            <w:r>
              <w:instrText xml:space="preserve"> HYPERLINK "https://baike.baidu.com/item/%E8%8D%89%E6%9C%AC/541696" \t "_blank" </w:instrText>
            </w:r>
            <w:r>
              <w:fldChar w:fldCharType="separate"/>
            </w:r>
            <w:r>
              <w:rPr>
                <w:rFonts w:ascii="Times New Roman"/>
              </w:rPr>
              <w:t>草本</w:t>
            </w:r>
            <w:r>
              <w:rPr>
                <w:rFonts w:ascii="Times New Roman"/>
              </w:rPr>
              <w:fldChar w:fldCharType="end"/>
            </w:r>
            <w:r>
              <w:rPr>
                <w:rFonts w:ascii="Times New Roman"/>
              </w:rPr>
              <w:t>植物。秆直立，丛生，高可达80厘米，常具节，基部宿存枯叶鞘。长于节间；叶舌披针形，</w:t>
            </w:r>
            <w:r>
              <w:fldChar w:fldCharType="begin"/>
            </w:r>
            <w:r>
              <w:instrText xml:space="preserve"> HYPERLINK "https://baike.baidu.com/item/%E5%8F%B6%E7%89%87/6728903" \t "_blank" </w:instrText>
            </w:r>
            <w:r>
              <w:fldChar w:fldCharType="separate"/>
            </w:r>
            <w:r>
              <w:rPr>
                <w:rFonts w:ascii="Times New Roman"/>
              </w:rPr>
              <w:t>叶片</w:t>
            </w:r>
            <w:r>
              <w:rPr>
                <w:rFonts w:ascii="Times New Roman"/>
              </w:rPr>
              <w:fldChar w:fldCharType="end"/>
            </w:r>
            <w:r>
              <w:rPr>
                <w:rFonts w:ascii="Times New Roman"/>
              </w:rPr>
              <w:t>纵卷成线形，上面被微毛，下面粗糙，圆锥花序狭窄，几全部含藏于叶鞘内；小穗草黄或灰白色；颖尖披针形，第一颖、第二颖具脉；外稃背部具有排列成纵行的短毛，芒两回膝曲，光亮，边缘微粗糙，第一芒柱扭转，第二芒柱稍扭转，芒针卷曲，基盘尖锐，具淡黄色柔毛；颖果纺锤形，腹沟甚浅。</w:t>
            </w:r>
          </w:p>
          <w:p w14:paraId="206077A1">
            <w:pPr>
              <w:pStyle w:val="40"/>
              <w:spacing w:line="240" w:lineRule="auto"/>
              <w:ind w:firstLine="420" w:firstLineChars="200"/>
              <w:jc w:val="both"/>
              <w:rPr>
                <w:rFonts w:ascii="Times New Roman"/>
              </w:rPr>
            </w:pPr>
            <w:r>
              <w:rPr>
                <w:rFonts w:ascii="Times New Roman"/>
              </w:rPr>
              <w:t>主要产于</w:t>
            </w:r>
            <w:r>
              <w:fldChar w:fldCharType="begin"/>
            </w:r>
            <w:r>
              <w:instrText xml:space="preserve"> HYPERLINK "https://baike.baidu.com/item/%E6%96%B0%E7%96%86/132263" \t "_blank" </w:instrText>
            </w:r>
            <w:r>
              <w:fldChar w:fldCharType="separate"/>
            </w:r>
            <w:r>
              <w:rPr>
                <w:rFonts w:ascii="Times New Roman"/>
              </w:rPr>
              <w:t>新疆</w:t>
            </w:r>
            <w:r>
              <w:rPr>
                <w:rFonts w:ascii="Times New Roman"/>
              </w:rPr>
              <w:fldChar w:fldCharType="end"/>
            </w:r>
            <w:r>
              <w:rPr>
                <w:rFonts w:ascii="Times New Roman"/>
              </w:rPr>
              <w:t>北部。为欧亚草原区西部亚区山地特有种，生态幅广，常以建群种或优势种与沟羊茅、超旱生小半灌木蒿、灌木锦鸡儿等形成干草原、荒漠草原和灌木草原。</w:t>
            </w:r>
            <w:r>
              <w:rPr>
                <w:rFonts w:ascii="Arial" w:hAnsi="Arial" w:cs="Arial"/>
                <w:color w:val="333333"/>
                <w:szCs w:val="21"/>
                <w:shd w:val="clear" w:color="auto" w:fill="FFFFFF"/>
              </w:rPr>
              <w:t>针茅的营养价值不低于一般禾草，特别是营养生长期粗蛋白质含量较高。针茅在春季萌发，秋季再生的嫩叶适口性良好，马最喜食，其次是羊和牛，骆驼不喜食。在针茅草场上放牧马时，马的体质很快恢复，而且马奶产量也得以提高。</w:t>
            </w:r>
          </w:p>
        </w:tc>
      </w:tr>
      <w:tr w14:paraId="0C55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5F53FF2C">
            <w:pPr>
              <w:pStyle w:val="40"/>
              <w:spacing w:line="240" w:lineRule="auto"/>
              <w:rPr>
                <w:rFonts w:ascii="Times New Roman"/>
              </w:rPr>
            </w:pPr>
            <w:r>
              <w:rPr>
                <w:rFonts w:hint="eastAsia" w:ascii="Times New Roman"/>
              </w:rPr>
              <w:t>沙蓬</w:t>
            </w:r>
            <w:r>
              <w:rPr>
                <w:rFonts w:ascii="Times New Roman"/>
              </w:rPr>
              <w:t xml:space="preserve"> </w:t>
            </w:r>
          </w:p>
        </w:tc>
        <w:tc>
          <w:tcPr>
            <w:tcW w:w="587" w:type="dxa"/>
            <w:vAlign w:val="center"/>
          </w:tcPr>
          <w:p w14:paraId="34711E6A">
            <w:pPr>
              <w:pStyle w:val="40"/>
              <w:spacing w:line="240" w:lineRule="auto"/>
              <w:rPr>
                <w:rFonts w:ascii="Times New Roman"/>
              </w:rPr>
            </w:pPr>
            <w:r>
              <w:rPr>
                <w:rFonts w:hint="eastAsia" w:ascii="Times New Roman"/>
              </w:rPr>
              <w:t>草本</w:t>
            </w:r>
          </w:p>
        </w:tc>
        <w:tc>
          <w:tcPr>
            <w:tcW w:w="697" w:type="dxa"/>
            <w:vAlign w:val="center"/>
          </w:tcPr>
          <w:p w14:paraId="72A8A3C5">
            <w:pPr>
              <w:pStyle w:val="40"/>
              <w:spacing w:line="240" w:lineRule="auto"/>
              <w:rPr>
                <w:rFonts w:ascii="Times New Roman"/>
              </w:rPr>
            </w:pPr>
            <w:r>
              <w:rPr>
                <w:rFonts w:ascii="Times New Roman"/>
              </w:rPr>
              <w:t xml:space="preserve">藜科 </w:t>
            </w:r>
          </w:p>
        </w:tc>
        <w:tc>
          <w:tcPr>
            <w:tcW w:w="7214" w:type="dxa"/>
            <w:vAlign w:val="center"/>
          </w:tcPr>
          <w:p w14:paraId="4A9F9F8C">
            <w:pPr>
              <w:pStyle w:val="40"/>
              <w:spacing w:line="240" w:lineRule="auto"/>
              <w:ind w:firstLine="420" w:firstLineChars="200"/>
              <w:jc w:val="both"/>
              <w:rPr>
                <w:rFonts w:ascii="Times New Roman"/>
                <w:szCs w:val="21"/>
              </w:rPr>
            </w:pPr>
            <w:r>
              <w:rPr>
                <w:rFonts w:hint="eastAsia" w:ascii="Times New Roman"/>
              </w:rPr>
              <w:t>沙蓬(学名:Agriophyllum squarrosum (L.) Moq.)别名:吉刺儿[蒙语]、沙米、蒺藜梗，藜科，沙蓬属。 茎直立，坚硬，浅绿色，具不明显的条棱，由基部分枝，叶无柄，披针形、披针状条形或条形，穗状花序紧密，卵圆状或椭圆状，无梗，花被片膜质;雄蕊花丝锥形，膜质，花药卵圆形。果实卵圆形或椭圆形，种子近圆形，光滑，有时具浅褐色的斑点。花果期8-10月。一年生草本。植株高14-60厘米。茎直立，坚硬，浅绿色，具不明显的条棱，幼时密被分枝毛，后脱落;由基部分枝，最下部的一层分枝通常对生或轮生，平卧，上部枝条互生，斜展。单叶互生，叶无柄，披针形、披针状条形或条形，长1.3-7厘米，宽0.1-1厘米，先端(渐尖具小尖头，)向基部渐狭，叶脉浮凸，纵行，3-9条。穗状花序紧密，卵圆状或椭圆状，无梗，1-(3)腋生;苞片宽卵形，先端急缩，具小尖头，后期反折，背部密被分枝毛。花果期8~10月，花被片1-3，膜质;雄蕊2-3，花丝锥形，膜质，花药卵圆形。果实卵圆形或椭圆形，两面扁平或背部稍凸，幼时在背部被毛，后期秃净，上部边缘略具翅缘;果喙深裂成两个扁平的条状小喙，微向外弯，小喙先端外侧各具一小齿突。种子近圆形，光滑，有时具浅褐色的斑点。花果期8-10月。</w:t>
            </w:r>
            <w:r>
              <w:rPr>
                <w:rFonts w:ascii="Arial" w:hAnsi="Arial" w:cs="Arial"/>
                <w:szCs w:val="21"/>
              </w:rPr>
              <w:t>沙蓬是一种耐寒、耐旱的沙生植物</w:t>
            </w:r>
            <w:r>
              <w:rPr>
                <w:rFonts w:hint="eastAsia" w:ascii="Arial" w:hAnsi="Arial" w:cs="Arial"/>
                <w:szCs w:val="21"/>
              </w:rPr>
              <w:t>沙蓬</w:t>
            </w:r>
            <w:r>
              <w:rPr>
                <w:rFonts w:ascii="Arial" w:hAnsi="Arial" w:cs="Arial"/>
                <w:szCs w:val="21"/>
              </w:rPr>
              <w:t>，是亚洲大陆干旱一半干旱地区各种类型的流动、半流动及固定沙地上的一个广布种，是流沙上的先锋植物。浅根性，主根短小，侧长，向四周延伸，多分布于沙表层。</w:t>
            </w:r>
            <w:r>
              <w:rPr>
                <w:rFonts w:hint="eastAsia" w:ascii="Times New Roman"/>
                <w:szCs w:val="21"/>
              </w:rPr>
              <w:t xml:space="preserve"> </w:t>
            </w:r>
          </w:p>
          <w:p w14:paraId="68B895C0">
            <w:pPr>
              <w:pStyle w:val="40"/>
              <w:spacing w:line="240" w:lineRule="auto"/>
              <w:ind w:firstLine="420" w:firstLineChars="200"/>
              <w:jc w:val="both"/>
              <w:rPr>
                <w:rFonts w:ascii="Times New Roman"/>
              </w:rPr>
            </w:pPr>
            <w:r>
              <w:rPr>
                <w:rFonts w:hint="eastAsia" w:ascii="Times New Roman"/>
                <w:szCs w:val="21"/>
              </w:rPr>
              <w:t>沙蓬在荒漠及荒漠草原地区，是重要的饲用植物。骆驼终年喜食。开花后适口性降低，各种家畜不食或少食。干枯后骆驼、羊仍采食。种子可作精料，补饲家畜，。冬季植株保存不良，因干枯的植株较脆弱，易折断。沙蓬的群体如遭扰动，则保存较好。冬季为牲畜主要采食牧草。</w:t>
            </w:r>
          </w:p>
        </w:tc>
      </w:tr>
      <w:tr w14:paraId="4CCD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51290E42">
            <w:pPr>
              <w:pStyle w:val="40"/>
              <w:spacing w:line="240" w:lineRule="auto"/>
              <w:rPr>
                <w:rFonts w:ascii="Times New Roman"/>
              </w:rPr>
            </w:pPr>
            <w:r>
              <w:rPr>
                <w:rFonts w:ascii="Times New Roman"/>
                <w:szCs w:val="21"/>
              </w:rPr>
              <w:t>驼绒藜</w:t>
            </w:r>
          </w:p>
        </w:tc>
        <w:tc>
          <w:tcPr>
            <w:tcW w:w="587" w:type="dxa"/>
            <w:vAlign w:val="center"/>
          </w:tcPr>
          <w:p w14:paraId="2F14E4D3">
            <w:pPr>
              <w:pStyle w:val="40"/>
              <w:spacing w:line="240" w:lineRule="auto"/>
              <w:rPr>
                <w:rFonts w:ascii="Times New Roman"/>
              </w:rPr>
            </w:pPr>
            <w:r>
              <w:rPr>
                <w:rFonts w:ascii="Times New Roman"/>
                <w:szCs w:val="21"/>
              </w:rPr>
              <w:t>灌木</w:t>
            </w:r>
          </w:p>
        </w:tc>
        <w:tc>
          <w:tcPr>
            <w:tcW w:w="697" w:type="dxa"/>
            <w:vAlign w:val="center"/>
          </w:tcPr>
          <w:p w14:paraId="4F9B4D3D">
            <w:pPr>
              <w:pStyle w:val="40"/>
              <w:spacing w:line="240" w:lineRule="auto"/>
              <w:rPr>
                <w:rFonts w:ascii="Times New Roman"/>
              </w:rPr>
            </w:pPr>
            <w:r>
              <w:rPr>
                <w:rFonts w:ascii="Times New Roman"/>
                <w:szCs w:val="21"/>
              </w:rPr>
              <w:t>藜科</w:t>
            </w:r>
          </w:p>
        </w:tc>
        <w:tc>
          <w:tcPr>
            <w:tcW w:w="7214" w:type="dxa"/>
            <w:vAlign w:val="center"/>
          </w:tcPr>
          <w:p w14:paraId="13EF0E28">
            <w:pPr>
              <w:pStyle w:val="40"/>
              <w:spacing w:line="240" w:lineRule="auto"/>
              <w:ind w:firstLine="420" w:firstLineChars="200"/>
              <w:jc w:val="left"/>
              <w:rPr>
                <w:rFonts w:ascii="Times New Roman"/>
                <w:szCs w:val="21"/>
              </w:rPr>
            </w:pPr>
            <w:r>
              <w:rPr>
                <w:rFonts w:ascii="Times New Roman"/>
                <w:szCs w:val="21"/>
              </w:rPr>
              <w:t>驼绒藜（Ceratoideslatens</w:t>
            </w:r>
            <w:r>
              <w:rPr>
                <w:rFonts w:hint="eastAsia" w:ascii="Times New Roman"/>
                <w:szCs w:val="21"/>
              </w:rPr>
              <w:t xml:space="preserve"> </w:t>
            </w:r>
            <w:r>
              <w:rPr>
                <w:rFonts w:ascii="Times New Roman"/>
                <w:szCs w:val="21"/>
              </w:rPr>
              <w:t>(J.F.Gmel.)</w:t>
            </w:r>
            <w:r>
              <w:rPr>
                <w:rFonts w:hint="eastAsia" w:ascii="Times New Roman"/>
                <w:szCs w:val="21"/>
              </w:rPr>
              <w:t xml:space="preserve"> </w:t>
            </w:r>
            <w:r>
              <w:rPr>
                <w:rFonts w:ascii="Times New Roman"/>
                <w:szCs w:val="21"/>
              </w:rPr>
              <w:t>RevealetHolmgren</w:t>
            </w:r>
            <w:r>
              <w:rPr>
                <w:rFonts w:hint="eastAsia" w:ascii="Times New Roman"/>
                <w:szCs w:val="21"/>
              </w:rPr>
              <w:t>）</w:t>
            </w:r>
            <w:r>
              <w:rPr>
                <w:rFonts w:ascii="Times New Roman"/>
                <w:szCs w:val="21"/>
              </w:rPr>
              <w:t>属半灌木，高30～100厘米，多分枝，有星状毛。抗旱、耐寒、耐瘠薄，是改良天然草场最有前途的植物之一。植株高0.1-1米，分枝多集中于下部，斜展或平展。叶较小，条形、条状披针形、披针形或矩圆形，长1-2-(5)厘米，宽0.2-0.5-(1)厘米，先端急尖或钝，基部渐狭、楔形或圆形，1脉，有时近基处有2条侧脉，极稀为羽状。雄花序较短，长达4厘米，紧密。雌花管椭圆形，长3-4毫米，宽约2毫米;花管裂片角状，较长，其长为管长的1/3到等长。果直立，椭圆形，被毛，花果期6-9月。</w:t>
            </w:r>
          </w:p>
          <w:p w14:paraId="54FEC4B6">
            <w:pPr>
              <w:pStyle w:val="40"/>
              <w:spacing w:line="240" w:lineRule="auto"/>
              <w:ind w:firstLine="420" w:firstLineChars="200"/>
              <w:jc w:val="left"/>
              <w:rPr>
                <w:rFonts w:ascii="Times New Roman"/>
              </w:rPr>
            </w:pPr>
            <w:r>
              <w:rPr>
                <w:rFonts w:ascii="Times New Roman"/>
                <w:szCs w:val="21"/>
              </w:rPr>
              <w:t>驼绒藜是一种抗旱、耐寒、耐瘠薄的半灌木。根颈较粗壮，常裸露地表，主根入土60厘米左右，侧根发育较差，根系暴露土外较多，容易枯死。驼绒藜种子的寿命较短，发芽能力一般只能保持8~10个月，超过一年则发芽较差。据栽培观察，在温度4℃左右时，土壤水分适宜，种子很快萌发，在温度25℃时，24小时之内发芽率可达75.9%。驼绒藜是一种温带旱生半灌木，适宜于年积温1700~3000℃及年降水量在100~200毫米的干旱与半干旱的气候条件下生长，土壤为棕钙土、灰钙土、灰棕荒土或棕色荒漠土。主要分布于荒漠地带，也可进入荒漠草原地带，形成单纯优势种群落，或与其他小半灌木及多年生禾草等共同组成不同类型的驼绒藜群落。</w:t>
            </w:r>
          </w:p>
        </w:tc>
      </w:tr>
      <w:tr w14:paraId="4D23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c>
          <w:tcPr>
            <w:tcW w:w="583" w:type="dxa"/>
            <w:vAlign w:val="center"/>
          </w:tcPr>
          <w:p w14:paraId="7AECDD40">
            <w:pPr>
              <w:pStyle w:val="40"/>
              <w:spacing w:line="240" w:lineRule="auto"/>
              <w:rPr>
                <w:rFonts w:ascii="Times New Roman"/>
                <w:szCs w:val="21"/>
              </w:rPr>
            </w:pPr>
            <w:r>
              <w:rPr>
                <w:rFonts w:ascii="Times New Roman"/>
                <w:szCs w:val="21"/>
              </w:rPr>
              <w:t>隐子草</w:t>
            </w:r>
          </w:p>
        </w:tc>
        <w:tc>
          <w:tcPr>
            <w:tcW w:w="587" w:type="dxa"/>
            <w:vAlign w:val="center"/>
          </w:tcPr>
          <w:p w14:paraId="6BF0EAB7">
            <w:pPr>
              <w:pStyle w:val="40"/>
              <w:spacing w:line="240" w:lineRule="auto"/>
              <w:rPr>
                <w:rFonts w:ascii="Times New Roman"/>
                <w:szCs w:val="21"/>
              </w:rPr>
            </w:pPr>
            <w:r>
              <w:rPr>
                <w:rFonts w:ascii="Times New Roman"/>
                <w:szCs w:val="21"/>
              </w:rPr>
              <w:t>草本</w:t>
            </w:r>
          </w:p>
        </w:tc>
        <w:tc>
          <w:tcPr>
            <w:tcW w:w="697" w:type="dxa"/>
            <w:vAlign w:val="center"/>
          </w:tcPr>
          <w:p w14:paraId="14696219">
            <w:pPr>
              <w:pStyle w:val="40"/>
              <w:spacing w:line="240" w:lineRule="auto"/>
              <w:rPr>
                <w:rFonts w:ascii="Times New Roman"/>
                <w:szCs w:val="21"/>
              </w:rPr>
            </w:pPr>
            <w:r>
              <w:rPr>
                <w:rFonts w:ascii="Times New Roman"/>
                <w:szCs w:val="21"/>
              </w:rPr>
              <w:t>禾本科</w:t>
            </w:r>
          </w:p>
        </w:tc>
        <w:tc>
          <w:tcPr>
            <w:tcW w:w="7214" w:type="dxa"/>
            <w:vAlign w:val="center"/>
          </w:tcPr>
          <w:p w14:paraId="29E5170D">
            <w:pPr>
              <w:pStyle w:val="40"/>
              <w:spacing w:line="240" w:lineRule="auto"/>
              <w:ind w:firstLine="420" w:firstLineChars="200"/>
              <w:jc w:val="left"/>
              <w:rPr>
                <w:rFonts w:ascii="Times New Roman"/>
                <w:szCs w:val="21"/>
              </w:rPr>
            </w:pPr>
            <w:r>
              <w:rPr>
                <w:rFonts w:ascii="Times New Roman"/>
                <w:szCs w:val="21"/>
              </w:rPr>
              <w:t>隐子草（学名：Cleistogenes squarrosa (Trin.) Keng）是禾本科、隐子草属多年生</w:t>
            </w:r>
            <w:r>
              <w:fldChar w:fldCharType="begin"/>
            </w:r>
            <w:r>
              <w:instrText xml:space="preserve"> HYPERLINK "https://baike.baidu.com/item/%E8%8D%89%E6%9C%AC/541696" \t "_blank" </w:instrText>
            </w:r>
            <w:r>
              <w:fldChar w:fldCharType="separate"/>
            </w:r>
            <w:r>
              <w:rPr>
                <w:rFonts w:ascii="Times New Roman"/>
                <w:szCs w:val="21"/>
              </w:rPr>
              <w:t>草本</w:t>
            </w:r>
            <w:r>
              <w:rPr>
                <w:rFonts w:ascii="Times New Roman"/>
                <w:szCs w:val="21"/>
              </w:rPr>
              <w:fldChar w:fldCharType="end"/>
            </w:r>
            <w:r>
              <w:rPr>
                <w:rFonts w:ascii="Times New Roman"/>
                <w:szCs w:val="21"/>
              </w:rPr>
              <w:t>植物。秆直立或铺散，密丛，纤细，高可达30厘米，具多节，植株绿色，秋季经霜后常变成紫红色。叶鞘多长于节间，无毛，叶舌具短纤毛；</w:t>
            </w:r>
            <w:r>
              <w:fldChar w:fldCharType="begin"/>
            </w:r>
            <w:r>
              <w:instrText xml:space="preserve"> HYPERLINK "https://baike.baidu.com/item/%E5%8F%B6%E7%89%87/6728903" \t "_blank" </w:instrText>
            </w:r>
            <w:r>
              <w:fldChar w:fldCharType="separate"/>
            </w:r>
            <w:r>
              <w:rPr>
                <w:rFonts w:ascii="Times New Roman"/>
                <w:szCs w:val="21"/>
              </w:rPr>
              <w:t>叶片</w:t>
            </w:r>
            <w:r>
              <w:rPr>
                <w:rFonts w:ascii="Times New Roman"/>
                <w:szCs w:val="21"/>
              </w:rPr>
              <w:fldChar w:fldCharType="end"/>
            </w:r>
            <w:r>
              <w:rPr>
                <w:rFonts w:ascii="Times New Roman"/>
                <w:szCs w:val="21"/>
              </w:rPr>
              <w:t>线形，扁平或内卷，粗糙。圆锥花序狭窄，小穗含小花，绿色或带紫色；颖具脉，边缘膜质，外稃披针形，花药长约2毫米。花果期7-9月。</w:t>
            </w:r>
          </w:p>
          <w:p w14:paraId="54B20984">
            <w:pPr>
              <w:pStyle w:val="40"/>
              <w:spacing w:line="240" w:lineRule="auto"/>
              <w:ind w:firstLine="420" w:firstLineChars="200"/>
              <w:jc w:val="left"/>
              <w:rPr>
                <w:rFonts w:ascii="Times New Roman"/>
                <w:szCs w:val="21"/>
              </w:rPr>
            </w:pPr>
            <w:r>
              <w:rPr>
                <w:rFonts w:ascii="Times New Roman"/>
                <w:szCs w:val="21"/>
              </w:rPr>
              <w:t>隐子草早生、密丛型禾草。适应性强，耐寒、耐早、也耐盐碱。生于草原、森林草原、荒漠草原的山地、沙滩、丘陵、林缘、草甸及盐生草甸上。它的生态分布十分广泛，自森林草原带至荒漠带均可见到，但以草原带分布最广。隐子草为优良</w:t>
            </w:r>
            <w:r>
              <w:fldChar w:fldCharType="begin"/>
            </w:r>
            <w:r>
              <w:instrText xml:space="preserve"> HYPERLINK "https://baike.baidu.com/item/%E7%89%A7%E8%8D%89/4525571" \t "_blank" </w:instrText>
            </w:r>
            <w:r>
              <w:fldChar w:fldCharType="separate"/>
            </w:r>
            <w:r>
              <w:rPr>
                <w:rFonts w:ascii="Times New Roman"/>
              </w:rPr>
              <w:t>牧草</w:t>
            </w:r>
            <w:r>
              <w:rPr>
                <w:rFonts w:ascii="Times New Roman"/>
              </w:rPr>
              <w:fldChar w:fldCharType="end"/>
            </w:r>
            <w:r>
              <w:rPr>
                <w:rFonts w:ascii="Times New Roman"/>
                <w:szCs w:val="21"/>
              </w:rPr>
              <w:t>，各种家畜均喜采食，马最喜食。秋季植株干枯后，易被风吹集于沟内，为马与羊的抓膘草。</w:t>
            </w:r>
          </w:p>
        </w:tc>
      </w:tr>
    </w:tbl>
    <w:p w14:paraId="750F0EC7">
      <w:pPr>
        <w:rPr>
          <w:rFonts w:hAnsi="仿宋_GB2312" w:cs="仿宋_GB2312"/>
          <w:bCs/>
        </w:rPr>
      </w:pPr>
      <w:r>
        <w:rPr>
          <w:rFonts w:hint="eastAsia" w:hAnsi="仿宋_GB2312" w:cs="仿宋_GB2312"/>
          <w:bCs/>
        </w:rPr>
        <w:t>（三）种植设计</w:t>
      </w:r>
    </w:p>
    <w:p w14:paraId="5DB6E01A">
      <w:pPr>
        <w:rPr>
          <w:rFonts w:hAnsi="仿宋_GB2312" w:cs="仿宋_GB2312"/>
        </w:rPr>
      </w:pPr>
      <w:r>
        <w:rPr>
          <w:rFonts w:hint="eastAsia" w:hAnsi="仿宋_GB2312" w:cs="仿宋_GB2312"/>
        </w:rPr>
        <w:t>1、整地</w:t>
      </w:r>
    </w:p>
    <w:p w14:paraId="4BC0305E">
      <w:pPr>
        <w:rPr>
          <w:rFonts w:hAnsi="仿宋_GB2312" w:cs="仿宋_GB2312"/>
        </w:rPr>
      </w:pPr>
      <w:r>
        <w:rPr>
          <w:rFonts w:hint="eastAsia" w:hAnsi="仿宋_GB2312" w:cs="仿宋_GB2312"/>
        </w:rPr>
        <w:t>根据地形条件、常年主要风向等条件，采取微地形改造，以便蓄水保墒，保存冬季积雪，提高地形积水、积肥、积种能力，提高植被成活率。本次微地形整饰方式为浅犁沟，浅犁沟的布设间距为80cm，浅犁沟深度一般控制在5-10cm。</w:t>
      </w:r>
    </w:p>
    <w:p w14:paraId="270C67B5">
      <w:pPr>
        <w:rPr>
          <w:rFonts w:hAnsi="仿宋_GB2312" w:cs="仿宋_GB2312"/>
          <w:bCs/>
        </w:rPr>
      </w:pPr>
      <w:r>
        <w:rPr>
          <w:rFonts w:hint="eastAsia" w:hAnsi="仿宋_GB2312" w:cs="仿宋_GB2312"/>
          <w:bCs/>
        </w:rPr>
        <w:t>2、种子处理</w:t>
      </w:r>
    </w:p>
    <w:p w14:paraId="21F35143">
      <w:pPr>
        <w:rPr>
          <w:rFonts w:hAnsi="仿宋_GB2312" w:cs="仿宋_GB2312"/>
          <w:kern w:val="0"/>
          <w:lang w:bidi="ar"/>
        </w:rPr>
      </w:pPr>
      <w:r>
        <w:rPr>
          <w:rFonts w:hint="eastAsia" w:hAnsi="仿宋_GB2312" w:cs="仿宋_GB2312"/>
          <w:kern w:val="0"/>
          <w:lang w:bidi="ar"/>
        </w:rPr>
        <w:t>草种按不少于60kg/公顷进行包衣处理，采用包衣后人工撒播，种子包衣从向内外部依次包覆有种子、包衣层、基质层、保护层。包衣层中包括保水剂、生根剂；基质层中包括土壤调理剂、生物有机肥、种植土；保护层中包含杀虫剂。基质层采用的土壤调理剂和生物有机肥结合，这样既可以使得种子发芽率提高，又可以改良土壤问题；包衣层生物保水剂吸水后形成的水凝胶的缓释作用，在此基础之上混入生根粉，大大提高植物的成活率；保护层外层为杀虫剂，控保护种子不被老鼠、鸟等采食。此次设计中，包衣层为浓度为2mg/L的赤霉素、膨润土，基质层选择沙土（颗粒小0.01mm）、生物有机肥、膨润土，质量比例分别为：50：30：20；保护层为稀释5000倍的阿维菌素和氯氰菊酯。每种种子分别独立制作包衣，混合均匀撒播。</w:t>
      </w:r>
    </w:p>
    <w:p w14:paraId="0E814E43">
      <w:pPr>
        <w:rPr>
          <w:rFonts w:hAnsi="仿宋_GB2312" w:cs="仿宋_GB2312"/>
          <w:kern w:val="0"/>
          <w:lang w:bidi="ar"/>
        </w:rPr>
      </w:pPr>
      <w:r>
        <w:rPr>
          <w:rFonts w:hint="eastAsia" w:hAnsi="仿宋_GB2312" w:cs="仿宋_GB2312"/>
          <w:kern w:val="0"/>
          <w:lang w:bidi="ar"/>
        </w:rPr>
        <w:t>3、播种</w:t>
      </w:r>
    </w:p>
    <w:p w14:paraId="11A4086E">
      <w:pPr>
        <w:rPr>
          <w:rFonts w:hAnsi="仿宋_GB2312" w:cs="仿宋_GB2312"/>
          <w:kern w:val="0"/>
          <w:lang w:bidi="ar"/>
        </w:rPr>
      </w:pPr>
      <w:r>
        <w:rPr>
          <w:rFonts w:hint="eastAsia" w:hAnsi="仿宋_GB2312" w:cs="仿宋_GB2312"/>
          <w:kern w:val="0"/>
          <w:lang w:bidi="ar"/>
        </w:rPr>
        <w:t>采用人工播撒草籽，沿浅犁沟延伸方向逐沟均匀播撒草籽，采用扒犁对播撒草籽区进行覆土覆盖。</w:t>
      </w:r>
    </w:p>
    <w:p w14:paraId="5CE41E41">
      <w:pPr>
        <w:rPr>
          <w:rFonts w:hAnsi="仿宋_GB2312" w:cs="仿宋_GB2312"/>
          <w:bCs/>
        </w:rPr>
      </w:pPr>
      <w:r>
        <w:rPr>
          <w:rFonts w:hint="eastAsia" w:hAnsi="仿宋_GB2312" w:cs="仿宋_GB2312"/>
          <w:bCs/>
        </w:rPr>
        <w:t>（四）补种管护工程</w:t>
      </w:r>
    </w:p>
    <w:p w14:paraId="36698997">
      <w:pPr>
        <w:adjustRightInd/>
        <w:snapToGrid/>
        <w:rPr>
          <w:rFonts w:hAnsi="仿宋_GB2312" w:cs="仿宋_GB2312"/>
        </w:rPr>
      </w:pPr>
      <w:r>
        <w:rPr>
          <w:rFonts w:hint="eastAsia" w:hAnsi="仿宋_GB2312" w:cs="仿宋_GB2312"/>
        </w:rPr>
        <w:t>本项目地降水少、土壤贫瘠、保水性差，自然条件下，植物成活率难以得到保障。因此，在管护期内，对生态修复区成活率不高的区域进行补植、补种。</w:t>
      </w:r>
    </w:p>
    <w:p w14:paraId="09D047DE">
      <w:pPr>
        <w:pStyle w:val="3"/>
        <w:adjustRightInd/>
        <w:snapToGrid/>
        <w:spacing w:before="240" w:after="120"/>
        <w:rPr>
          <w:rFonts w:hAnsi="华文仿宋"/>
          <w:bCs/>
        </w:rPr>
      </w:pPr>
      <w:bookmarkStart w:id="170" w:name="_Toc661"/>
      <w:bookmarkStart w:id="171" w:name="_Toc24530"/>
      <w:bookmarkStart w:id="172" w:name="_Toc16067339"/>
      <w:bookmarkStart w:id="173" w:name="_Toc11837696"/>
      <w:bookmarkStart w:id="174" w:name="_Toc13773"/>
      <w:bookmarkStart w:id="175" w:name="_Toc106400210"/>
      <w:bookmarkStart w:id="176" w:name="_Toc106400425"/>
      <w:r>
        <w:rPr>
          <w:rFonts w:hint="eastAsia" w:hAnsi="华文仿宋"/>
          <w:bCs/>
        </w:rPr>
        <w:t>第三节  生态环境修复的技术指标</w:t>
      </w:r>
      <w:bookmarkEnd w:id="170"/>
      <w:bookmarkEnd w:id="171"/>
      <w:bookmarkEnd w:id="172"/>
      <w:bookmarkEnd w:id="173"/>
      <w:bookmarkEnd w:id="174"/>
      <w:bookmarkEnd w:id="175"/>
      <w:bookmarkEnd w:id="176"/>
    </w:p>
    <w:p w14:paraId="1661B33E">
      <w:pPr>
        <w:pStyle w:val="35"/>
        <w:spacing w:before="0" w:beforeLines="0" w:line="500" w:lineRule="exact"/>
      </w:pPr>
      <w:r>
        <w:rPr>
          <w:rFonts w:hint="eastAsia" w:hAnsi="仿宋_GB2312" w:cs="仿宋_GB2312"/>
          <w:bCs/>
          <w:szCs w:val="28"/>
        </w:rPr>
        <w:t>根据治理区区域周边植被情况，生态修复的技术指标为：植被盖度治；理区周边的植被盖度大部分在5%左右，修复区植被盖度指标为3-5%。根据植被生长规律，以及治理区实施过程确定该项目的修复标准为：生态修复工程实施完成后植被覆盖率达到3-5%</w:t>
      </w:r>
      <w:r>
        <w:rPr>
          <w:rFonts w:hint="eastAsia"/>
        </w:rPr>
        <w:t>。</w:t>
      </w:r>
      <w:bookmarkStart w:id="177" w:name="_Toc15995"/>
      <w:bookmarkStart w:id="178" w:name="_Toc15121"/>
    </w:p>
    <w:p w14:paraId="3D260FB7">
      <w:pPr>
        <w:pStyle w:val="3"/>
        <w:adjustRightInd/>
        <w:snapToGrid/>
        <w:spacing w:before="240" w:after="120"/>
        <w:rPr>
          <w:rFonts w:hAnsi="华文仿宋"/>
          <w:bCs/>
        </w:rPr>
      </w:pPr>
      <w:bookmarkStart w:id="179" w:name="_Toc651"/>
      <w:bookmarkStart w:id="180" w:name="_Toc20312"/>
      <w:bookmarkStart w:id="181" w:name="_Toc106400211"/>
      <w:bookmarkStart w:id="182" w:name="_Toc106400426"/>
      <w:bookmarkStart w:id="183" w:name="_Toc5597"/>
      <w:r>
        <w:rPr>
          <w:rFonts w:hint="eastAsia" w:hAnsi="华文仿宋"/>
          <w:bCs/>
        </w:rPr>
        <w:t>第四节  生态修复工作量</w:t>
      </w:r>
      <w:bookmarkEnd w:id="177"/>
      <w:bookmarkEnd w:id="178"/>
      <w:bookmarkEnd w:id="179"/>
      <w:bookmarkEnd w:id="180"/>
      <w:bookmarkEnd w:id="181"/>
      <w:bookmarkEnd w:id="182"/>
      <w:bookmarkEnd w:id="183"/>
    </w:p>
    <w:p w14:paraId="7835B02D">
      <w:pPr>
        <w:adjustRightInd/>
        <w:snapToGrid/>
        <w:rPr>
          <w:rFonts w:hAnsi="仿宋_GB2312" w:cs="仿宋_GB2312"/>
        </w:rPr>
      </w:pPr>
      <w:r>
        <w:rPr>
          <w:rFonts w:hint="eastAsia" w:hAnsi="仿宋_GB2312" w:cs="仿宋_GB2312"/>
        </w:rPr>
        <w:t>生态修复总面积</w:t>
      </w:r>
      <w:r>
        <w:rPr>
          <w:rFonts w:hAnsi="仿宋_GB2312" w:cs="仿宋_GB2312"/>
        </w:rPr>
        <w:t>165202.7</w:t>
      </w:r>
      <w:r>
        <w:rPr>
          <w:rFonts w:hint="eastAsia" w:hAnsi="仿宋_GB2312" w:cs="仿宋_GB2312"/>
        </w:rPr>
        <w:t>平方米，治理区共撒播草种</w:t>
      </w:r>
      <w:r>
        <w:rPr>
          <w:rFonts w:hAnsi="仿宋_GB2312" w:cs="仿宋_GB2312"/>
        </w:rPr>
        <w:t>165202..7</w:t>
      </w:r>
      <w:r>
        <w:rPr>
          <w:rFonts w:hint="eastAsia" w:hAnsi="仿宋_GB2312" w:cs="仿宋_GB2312"/>
        </w:rPr>
        <w:t>平方米，撒播种子</w:t>
      </w:r>
      <w:r>
        <w:rPr>
          <w:rFonts w:hAnsi="仿宋_GB2312" w:cs="仿宋_GB2312"/>
        </w:rPr>
        <w:t>991.2</w:t>
      </w:r>
      <w:r>
        <w:rPr>
          <w:rFonts w:hint="eastAsia" w:hAnsi="仿宋_GB2312" w:cs="仿宋_GB2312"/>
        </w:rPr>
        <w:t>kg</w:t>
      </w:r>
      <w:bookmarkStart w:id="184" w:name="_Toc16067341"/>
      <w:bookmarkStart w:id="185" w:name="_Toc11837700"/>
      <w:bookmarkStart w:id="186" w:name="_Toc29604"/>
      <w:r>
        <w:rPr>
          <w:rFonts w:hint="eastAsia" w:hAnsi="仿宋_GB2312" w:cs="仿宋_GB2312"/>
        </w:rPr>
        <w:t>。</w:t>
      </w:r>
    </w:p>
    <w:p w14:paraId="3EB4A03D">
      <w:pPr>
        <w:pStyle w:val="3"/>
        <w:adjustRightInd/>
        <w:snapToGrid/>
        <w:spacing w:before="240" w:after="120"/>
        <w:rPr>
          <w:rFonts w:hAnsi="华文仿宋"/>
          <w:bCs/>
        </w:rPr>
      </w:pPr>
      <w:bookmarkStart w:id="187" w:name="_Toc106400212"/>
      <w:bookmarkStart w:id="188" w:name="_Toc6878"/>
      <w:bookmarkStart w:id="189" w:name="_Toc12565"/>
      <w:bookmarkStart w:id="190" w:name="_Toc106400427"/>
      <w:r>
        <w:rPr>
          <w:rFonts w:hint="eastAsia" w:hAnsi="华文仿宋"/>
          <w:bCs/>
        </w:rPr>
        <w:t>第五节  生态修复技术要求</w:t>
      </w:r>
      <w:bookmarkEnd w:id="184"/>
      <w:bookmarkEnd w:id="185"/>
      <w:bookmarkEnd w:id="186"/>
      <w:bookmarkEnd w:id="187"/>
      <w:bookmarkEnd w:id="188"/>
      <w:bookmarkEnd w:id="189"/>
      <w:bookmarkEnd w:id="190"/>
    </w:p>
    <w:p w14:paraId="32742199">
      <w:pPr>
        <w:adjustRightInd/>
        <w:snapToGrid/>
        <w:rPr>
          <w:rFonts w:hAnsi="仿宋_GB2312" w:cs="仿宋_GB2312"/>
        </w:rPr>
      </w:pPr>
      <w:r>
        <w:rPr>
          <w:rFonts w:hint="eastAsia" w:hAnsi="仿宋_GB2312" w:cs="仿宋_GB2312"/>
        </w:rPr>
        <w:t>一、施工放线</w:t>
      </w:r>
    </w:p>
    <w:p w14:paraId="2C39B177">
      <w:pPr>
        <w:pStyle w:val="35"/>
        <w:spacing w:before="0" w:beforeLines="0" w:line="500" w:lineRule="exact"/>
        <w:rPr>
          <w:rFonts w:hAnsi="仿宋_GB2312" w:cs="仿宋_GB2312"/>
          <w:szCs w:val="28"/>
        </w:rPr>
      </w:pPr>
      <w:r>
        <w:rPr>
          <w:rFonts w:hint="eastAsia" w:hAnsi="仿宋_GB2312" w:cs="仿宋_GB2312"/>
          <w:szCs w:val="28"/>
        </w:rPr>
        <w:t>整地施工前需根据设计和实际情况进行施工放线。根据现场情况确定整地犁沟走向。放线定点后应立即复查。不论采用何种放线法，均要满足设计要求。</w:t>
      </w:r>
    </w:p>
    <w:p w14:paraId="3C59F5A0">
      <w:pPr>
        <w:adjustRightInd/>
        <w:snapToGrid/>
        <w:rPr>
          <w:rFonts w:hAnsi="仿宋_GB2312" w:cs="仿宋_GB2312"/>
        </w:rPr>
      </w:pPr>
      <w:r>
        <w:rPr>
          <w:rFonts w:hint="eastAsia" w:hAnsi="仿宋_GB2312" w:cs="仿宋_GB2312"/>
        </w:rPr>
        <w:t>二、整地</w:t>
      </w:r>
    </w:p>
    <w:p w14:paraId="6230DB55">
      <w:pPr>
        <w:adjustRightInd/>
        <w:snapToGrid/>
        <w:rPr>
          <w:rFonts w:hAnsi="仿宋_GB2312" w:cs="仿宋_GB2312"/>
        </w:rPr>
      </w:pPr>
      <w:r>
        <w:rPr>
          <w:rFonts w:hint="eastAsia" w:hAnsi="仿宋_GB2312" w:cs="仿宋_GB2312"/>
        </w:rPr>
        <w:t>严格按照设计尺寸进行整地。水平犁沟的开沟宽度、开沟深度和间距尺寸符合设计要求，允许误差为±5cm。</w:t>
      </w:r>
    </w:p>
    <w:p w14:paraId="075B2E6A">
      <w:pPr>
        <w:adjustRightInd/>
        <w:snapToGrid/>
        <w:rPr>
          <w:rFonts w:hAnsi="仿宋_GB2312" w:cs="仿宋_GB2312"/>
        </w:rPr>
      </w:pPr>
      <w:r>
        <w:rPr>
          <w:rFonts w:hint="eastAsia" w:hAnsi="仿宋_GB2312" w:cs="仿宋_GB2312"/>
        </w:rPr>
        <w:t>三、种子撒播</w:t>
      </w:r>
    </w:p>
    <w:p w14:paraId="50104683">
      <w:pPr>
        <w:adjustRightInd/>
        <w:snapToGrid/>
        <w:rPr>
          <w:rFonts w:hAnsi="仿宋_GB2312" w:cs="仿宋_GB2312"/>
        </w:rPr>
      </w:pPr>
      <w:r>
        <w:rPr>
          <w:rFonts w:hint="eastAsia" w:hAnsi="仿宋_GB2312" w:cs="仿宋_GB2312"/>
        </w:rPr>
        <w:t>草种选用商业种子，种子需满足3级标准撒播种子净度未达到要求时需进行换算，增大种子用量。</w:t>
      </w:r>
    </w:p>
    <w:p w14:paraId="1B6DFDA9">
      <w:pPr>
        <w:adjustRightInd/>
        <w:snapToGrid/>
        <w:rPr>
          <w:rFonts w:hAnsi="仿宋_GB2312" w:cs="仿宋_GB2312"/>
        </w:rPr>
      </w:pPr>
      <w:r>
        <w:rPr>
          <w:rFonts w:hint="eastAsia" w:hAnsi="仿宋_GB2312" w:cs="仿宋_GB2312"/>
        </w:rPr>
        <w:t>四、验收标准</w:t>
      </w:r>
    </w:p>
    <w:p w14:paraId="65A90FB6">
      <w:pPr>
        <w:adjustRightInd/>
        <w:snapToGrid/>
        <w:rPr>
          <w:rFonts w:hAnsi="仿宋_GB2312" w:cs="仿宋_GB2312"/>
        </w:rPr>
      </w:pPr>
      <w:r>
        <w:rPr>
          <w:rFonts w:hint="eastAsia" w:hAnsi="仿宋_GB2312" w:cs="仿宋_GB2312"/>
        </w:rPr>
        <w:t>采用调查法调查植被盖度。盖度指标为3-5%，后期以自然修复为主，逐步达到周边原生系统水平。</w:t>
      </w:r>
    </w:p>
    <w:p w14:paraId="264986BE"/>
    <w:p w14:paraId="2733C903"/>
    <w:p w14:paraId="59FB1678">
      <w:pPr>
        <w:sectPr>
          <w:pgSz w:w="11906" w:h="16838"/>
          <w:pgMar w:top="1440" w:right="1800" w:bottom="1440" w:left="1800" w:header="851" w:footer="992" w:gutter="0"/>
          <w:cols w:space="425" w:num="1"/>
          <w:docGrid w:type="lines" w:linePitch="312" w:charSpace="0"/>
        </w:sectPr>
      </w:pPr>
    </w:p>
    <w:p w14:paraId="18748B49">
      <w:pPr>
        <w:pStyle w:val="2"/>
      </w:pPr>
      <w:bookmarkStart w:id="191" w:name="_Toc106400213"/>
      <w:bookmarkStart w:id="192" w:name="_Toc106400428"/>
      <w:r>
        <w:rPr>
          <w:rFonts w:hint="eastAsia"/>
        </w:rPr>
        <w:t>第五章  施工总体部署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91"/>
      <w:bookmarkEnd w:id="192"/>
    </w:p>
    <w:p w14:paraId="4A101EA6">
      <w:pPr>
        <w:pStyle w:val="3"/>
      </w:pPr>
      <w:bookmarkStart w:id="193" w:name="_Toc429992865"/>
      <w:bookmarkStart w:id="194" w:name="_Toc102927624"/>
      <w:bookmarkStart w:id="195" w:name="_Toc1715"/>
      <w:bookmarkStart w:id="196" w:name="_Toc188705938"/>
      <w:bookmarkStart w:id="197" w:name="_Toc251865262"/>
      <w:bookmarkStart w:id="198" w:name="_Toc219201619"/>
      <w:bookmarkStart w:id="199" w:name="_Toc251581616"/>
      <w:bookmarkStart w:id="200" w:name="_Toc106400214"/>
      <w:bookmarkStart w:id="201" w:name="_Toc182471328"/>
      <w:bookmarkStart w:id="202" w:name="_Toc251580376"/>
      <w:bookmarkStart w:id="203" w:name="_Toc500554329"/>
      <w:bookmarkStart w:id="204" w:name="_Toc177144591"/>
      <w:bookmarkStart w:id="205" w:name="_Toc19201"/>
      <w:bookmarkStart w:id="206" w:name="_Toc251582856"/>
      <w:bookmarkStart w:id="207" w:name="_Toc106400429"/>
      <w:r>
        <w:rPr>
          <w:rFonts w:hint="eastAsia"/>
        </w:rPr>
        <w:t>第一节  施工部署原则</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774A9CF">
      <w:r>
        <w:rPr>
          <w:rFonts w:hint="eastAsia"/>
        </w:rPr>
        <w:t>在充分考虑本工程特点及施工场地地质环境条件的前提下，本着利于施工、方便管理、安全高效的原则，进行本次施工的部署。主要考虑以下几点：</w:t>
      </w:r>
    </w:p>
    <w:p w14:paraId="01A34C6F">
      <w:r>
        <w:rPr>
          <w:rFonts w:hint="eastAsia"/>
        </w:rPr>
        <w:t>一、在保证工程质量和工期的前提下，尽量优化资源配置，提高经济效益，节省工程投资。</w:t>
      </w:r>
    </w:p>
    <w:p w14:paraId="70B7F6D1">
      <w:r>
        <w:rPr>
          <w:rFonts w:hint="eastAsia"/>
        </w:rPr>
        <w:t>二、根据治理工程特点，健全治理组织管理机构，合理安排施工管理人员和专业技术能力。</w:t>
      </w:r>
    </w:p>
    <w:p w14:paraId="5C84AE7B">
      <w:r>
        <w:rPr>
          <w:rFonts w:hint="eastAsia"/>
        </w:rPr>
        <w:t>三、针对本次工程特点，建立准确、完善的测量控制系统；制定高效有序的施工工序。</w:t>
      </w:r>
    </w:p>
    <w:p w14:paraId="6926821E">
      <w:r>
        <w:rPr>
          <w:rFonts w:hint="eastAsia"/>
        </w:rPr>
        <w:t>四、施工布置要符合国家有关安全、防火、卫生、环境保护等规定，施工布置充分考虑环境保护要求，做到文明施工。</w:t>
      </w:r>
    </w:p>
    <w:p w14:paraId="055AA626">
      <w:r>
        <w:rPr>
          <w:rFonts w:hint="eastAsia"/>
        </w:rPr>
        <w:t>五、治理部驻地设置在治理区附近，随时监控整个施工现场的安全、进度和施工质量，发现问题及时解决。</w:t>
      </w:r>
    </w:p>
    <w:p w14:paraId="01A4ACD7">
      <w:pPr>
        <w:pStyle w:val="3"/>
      </w:pPr>
      <w:bookmarkStart w:id="208" w:name="_Toc13547"/>
      <w:bookmarkStart w:id="209" w:name="_Toc429992867"/>
      <w:bookmarkStart w:id="210" w:name="_Toc7357"/>
      <w:bookmarkStart w:id="211" w:name="_Toc106400215"/>
      <w:bookmarkStart w:id="212" w:name="_Toc106400430"/>
      <w:bookmarkStart w:id="213" w:name="_Toc500554331"/>
      <w:bookmarkStart w:id="214" w:name="_Toc102927625"/>
      <w:r>
        <w:rPr>
          <w:rFonts w:hint="eastAsia"/>
        </w:rPr>
        <w:t>第二节  施工总体平面布置</w:t>
      </w:r>
      <w:bookmarkEnd w:id="208"/>
      <w:bookmarkEnd w:id="209"/>
      <w:bookmarkEnd w:id="210"/>
      <w:bookmarkEnd w:id="211"/>
      <w:bookmarkEnd w:id="212"/>
      <w:bookmarkEnd w:id="213"/>
      <w:bookmarkEnd w:id="214"/>
    </w:p>
    <w:p w14:paraId="25876DF4">
      <w:pPr>
        <w:ind w:firstLine="562"/>
        <w:rPr>
          <w:b/>
          <w:bCs/>
        </w:rPr>
      </w:pPr>
      <w:r>
        <w:rPr>
          <w:rFonts w:hint="eastAsia"/>
          <w:b/>
          <w:bCs/>
        </w:rPr>
        <w:t>一、临时设施</w:t>
      </w:r>
    </w:p>
    <w:p w14:paraId="5791E5CF">
      <w:r>
        <w:rPr>
          <w:rFonts w:hint="eastAsia"/>
        </w:rPr>
        <w:t>治理部设置治理办公室、监理办公室、职工宿舍、简易机修房等生产生活设施。在治理部附近设置废水坑、废油坑、垃圾坑。</w:t>
      </w:r>
    </w:p>
    <w:p w14:paraId="132A1613">
      <w:r>
        <w:rPr>
          <w:rFonts w:hint="eastAsia"/>
        </w:rPr>
        <w:t>施工机械停放区设置在治理区块内，停放场面积依据机械数量确定，不小于1000平方米。</w:t>
      </w:r>
    </w:p>
    <w:p w14:paraId="509D86DB">
      <w:pPr>
        <w:ind w:firstLine="562"/>
        <w:rPr>
          <w:b/>
          <w:bCs/>
        </w:rPr>
      </w:pPr>
      <w:r>
        <w:rPr>
          <w:rFonts w:hint="eastAsia"/>
          <w:b/>
          <w:bCs/>
        </w:rPr>
        <w:t>二、用水、用电、通讯、交通布置</w:t>
      </w:r>
    </w:p>
    <w:p w14:paraId="464B62FD">
      <w:pPr>
        <w:spacing w:line="520" w:lineRule="exact"/>
        <w:rPr>
          <w:rFonts w:hAnsi="Times New Roman"/>
        </w:rPr>
      </w:pPr>
      <w:r>
        <w:rPr>
          <w:rFonts w:hint="eastAsia" w:hAnsi="Times New Roman"/>
        </w:rPr>
        <w:t>1、施工、生活用水</w:t>
      </w:r>
    </w:p>
    <w:p w14:paraId="55215F2C">
      <w:pPr>
        <w:spacing w:line="520" w:lineRule="exact"/>
        <w:rPr>
          <w:rFonts w:hAnsi="Times New Roman"/>
        </w:rPr>
      </w:pPr>
      <w:r>
        <w:rPr>
          <w:rFonts w:hint="eastAsia" w:hAnsi="Times New Roman"/>
        </w:rPr>
        <w:t>本工程用水主要为施工用水及生活用水，</w:t>
      </w:r>
      <w:bookmarkStart w:id="215" w:name="_Toc251582999"/>
      <w:bookmarkStart w:id="216" w:name="_Toc251580519"/>
      <w:bookmarkStart w:id="217" w:name="_Toc251581759"/>
      <w:r>
        <w:rPr>
          <w:rFonts w:hint="eastAsia" w:hAnsi="Times New Roman"/>
        </w:rPr>
        <w:t>施工生产用水主要为机械用水、现场降尘洒水。</w:t>
      </w:r>
    </w:p>
    <w:p w14:paraId="7C4CFDF6">
      <w:pPr>
        <w:spacing w:line="520" w:lineRule="exact"/>
        <w:rPr>
          <w:rFonts w:hAnsi="Times New Roman"/>
        </w:rPr>
      </w:pPr>
      <w:r>
        <w:rPr>
          <w:rFonts w:hint="eastAsia" w:hAnsi="Times New Roman"/>
        </w:rPr>
        <w:t>施工用水需配备水罐车可从附近水源地拉运，现场配备生产、生活用水专用储水罐</w:t>
      </w:r>
      <w:bookmarkEnd w:id="215"/>
      <w:bookmarkEnd w:id="216"/>
      <w:bookmarkEnd w:id="217"/>
      <w:r>
        <w:rPr>
          <w:rFonts w:hint="eastAsia" w:hAnsi="Times New Roman"/>
        </w:rPr>
        <w:t>。</w:t>
      </w:r>
    </w:p>
    <w:p w14:paraId="30B7C48C">
      <w:pPr>
        <w:spacing w:line="520" w:lineRule="exact"/>
        <w:rPr>
          <w:rFonts w:hAnsi="Times New Roman"/>
        </w:rPr>
      </w:pPr>
      <w:r>
        <w:rPr>
          <w:rFonts w:hint="eastAsia" w:hAnsi="Times New Roman"/>
        </w:rPr>
        <w:t>2、施工、生活用电</w:t>
      </w:r>
    </w:p>
    <w:p w14:paraId="14FC0435">
      <w:pPr>
        <w:spacing w:line="520" w:lineRule="exact"/>
        <w:rPr>
          <w:rFonts w:hAnsi="Times New Roman"/>
        </w:rPr>
      </w:pPr>
      <w:r>
        <w:rPr>
          <w:rFonts w:hint="eastAsia" w:hAnsi="Times New Roman"/>
        </w:rPr>
        <w:t>施工期间的用电主要是生活用电、生产照明用电和机械维修用电，根据实际情况，可租用50kw发电机。</w:t>
      </w:r>
    </w:p>
    <w:p w14:paraId="233A1476">
      <w:pPr>
        <w:spacing w:line="520" w:lineRule="exact"/>
        <w:rPr>
          <w:rFonts w:hAnsi="Times New Roman"/>
        </w:rPr>
      </w:pPr>
      <w:r>
        <w:rPr>
          <w:rFonts w:hint="eastAsia" w:hAnsi="Times New Roman"/>
        </w:rPr>
        <w:t>3、施工通讯</w:t>
      </w:r>
    </w:p>
    <w:p w14:paraId="062FB6FB">
      <w:pPr>
        <w:spacing w:line="520" w:lineRule="exact"/>
        <w:rPr>
          <w:rFonts w:hAnsi="Times New Roman"/>
        </w:rPr>
      </w:pPr>
      <w:r>
        <w:rPr>
          <w:rFonts w:hint="eastAsia" w:hAnsi="Times New Roman"/>
        </w:rPr>
        <w:t>采用移动电话、对讲机可满足施工测量和施工调度的通讯要求。</w:t>
      </w:r>
    </w:p>
    <w:p w14:paraId="6F8B72ED">
      <w:pPr>
        <w:spacing w:line="520" w:lineRule="exact"/>
        <w:rPr>
          <w:rFonts w:hAnsi="Times New Roman"/>
        </w:rPr>
      </w:pPr>
      <w:r>
        <w:rPr>
          <w:rFonts w:hint="eastAsia" w:hAnsi="Times New Roman"/>
        </w:rPr>
        <w:t>三、施工材料</w:t>
      </w:r>
    </w:p>
    <w:p w14:paraId="53C4F3B2">
      <w:pPr>
        <w:spacing w:line="520" w:lineRule="exact"/>
        <w:rPr>
          <w:rFonts w:hAnsi="Times New Roman"/>
        </w:rPr>
      </w:pPr>
      <w:r>
        <w:rPr>
          <w:rFonts w:hint="eastAsia" w:hAnsi="Times New Roman"/>
        </w:rPr>
        <w:t>机械使用的柴、汽油，经联系当地中国石油加油站，油料供应充足。</w:t>
      </w:r>
    </w:p>
    <w:p w14:paraId="45C5C868">
      <w:pPr>
        <w:spacing w:line="520" w:lineRule="exact"/>
        <w:rPr>
          <w:rFonts w:hAnsi="Times New Roman"/>
        </w:rPr>
      </w:pPr>
      <w:r>
        <w:rPr>
          <w:rFonts w:hint="eastAsia" w:hAnsi="Times New Roman"/>
        </w:rPr>
        <w:t>四、安全施工布置</w:t>
      </w:r>
    </w:p>
    <w:p w14:paraId="4FA62854">
      <w:pPr>
        <w:spacing w:line="520" w:lineRule="exact"/>
        <w:rPr>
          <w:rFonts w:hAnsi="Times New Roman"/>
        </w:rPr>
      </w:pPr>
      <w:r>
        <w:rPr>
          <w:rFonts w:hint="eastAsia" w:hAnsi="Times New Roman"/>
        </w:rPr>
        <w:t>施工期间，按照当地消防部门的规定，配备足够的灭火器及其它消防工具，对油桶、车辆停放场等地点设专职安全人员负责，在施工道路和越界开采区边缘设置旗帜和警示标志，内容主要有“施工重地，注意危险”，“正在施工，注意安全”，“施工路段，减速慢行”等，同时积极与当地公安、消防部门建立工作联系，共同做好消防、保安治安工作，确保治理工程施工安全、顺利完成。</w:t>
      </w:r>
    </w:p>
    <w:p w14:paraId="34660398"/>
    <w:p w14:paraId="3404B1C2">
      <w:pPr>
        <w:sectPr>
          <w:pgSz w:w="11906" w:h="16838"/>
          <w:pgMar w:top="1440" w:right="1800" w:bottom="1440" w:left="1800" w:header="851" w:footer="992" w:gutter="0"/>
          <w:cols w:space="425" w:num="1"/>
          <w:docGrid w:type="lines" w:linePitch="312" w:charSpace="0"/>
        </w:sectPr>
      </w:pPr>
    </w:p>
    <w:p w14:paraId="6BEA2BCA">
      <w:pPr>
        <w:pStyle w:val="2"/>
      </w:pPr>
      <w:bookmarkStart w:id="218" w:name="_Toc102927626"/>
      <w:bookmarkStart w:id="219" w:name="_Toc106400216"/>
      <w:bookmarkStart w:id="220" w:name="_Toc106400431"/>
      <w:bookmarkStart w:id="221" w:name="_Toc7473"/>
      <w:bookmarkStart w:id="222" w:name="_Toc16915"/>
      <w:bookmarkStart w:id="223" w:name="_Toc500554335"/>
      <w:bookmarkStart w:id="224" w:name="_Toc429992871"/>
      <w:r>
        <w:rPr>
          <w:rFonts w:hint="eastAsia"/>
        </w:rPr>
        <w:t>第六章  生产要素计划</w:t>
      </w:r>
      <w:bookmarkEnd w:id="218"/>
      <w:bookmarkEnd w:id="219"/>
      <w:bookmarkEnd w:id="220"/>
      <w:bookmarkEnd w:id="221"/>
      <w:bookmarkEnd w:id="222"/>
    </w:p>
    <w:p w14:paraId="119EDF7E">
      <w:pPr>
        <w:pStyle w:val="3"/>
      </w:pPr>
      <w:bookmarkStart w:id="225" w:name="_Toc500554333"/>
      <w:bookmarkStart w:id="226" w:name="_Toc102927627"/>
      <w:bookmarkStart w:id="227" w:name="_Toc106400217"/>
      <w:bookmarkStart w:id="228" w:name="_Toc520058358"/>
      <w:bookmarkStart w:id="229" w:name="_Toc188705942"/>
      <w:bookmarkStart w:id="230" w:name="_Toc429992869"/>
      <w:bookmarkStart w:id="231" w:name="_Toc8638"/>
      <w:bookmarkStart w:id="232" w:name="_Toc22242"/>
      <w:bookmarkStart w:id="233" w:name="_Toc251865266"/>
      <w:bookmarkStart w:id="234" w:name="_Toc106400432"/>
      <w:r>
        <w:rPr>
          <w:rFonts w:hint="eastAsia"/>
        </w:rPr>
        <w:t>第一节  机械设备配置计划</w:t>
      </w:r>
      <w:bookmarkEnd w:id="225"/>
      <w:bookmarkEnd w:id="226"/>
      <w:bookmarkEnd w:id="227"/>
      <w:bookmarkEnd w:id="228"/>
      <w:bookmarkEnd w:id="229"/>
      <w:bookmarkEnd w:id="230"/>
      <w:bookmarkEnd w:id="231"/>
      <w:bookmarkEnd w:id="232"/>
      <w:bookmarkEnd w:id="233"/>
      <w:bookmarkEnd w:id="234"/>
    </w:p>
    <w:p w14:paraId="16F0A909">
      <w:pPr>
        <w:ind w:firstLine="562"/>
        <w:rPr>
          <w:b/>
          <w:bCs/>
          <w:lang w:val="sq-AL"/>
        </w:rPr>
      </w:pPr>
      <w:r>
        <w:rPr>
          <w:rFonts w:hint="eastAsia"/>
          <w:b/>
          <w:bCs/>
          <w:lang w:val="sq-AL"/>
        </w:rPr>
        <w:t>一、机械设备投入</w:t>
      </w:r>
    </w:p>
    <w:p w14:paraId="299183F4">
      <w:r>
        <w:rPr>
          <w:rFonts w:hint="eastAsia"/>
        </w:rPr>
        <w:t>为确保本工程的总体施工进度，机械设备型号及数量根据机械的台班工作效率及工期选定，机械设备配置时留有一定富裕系数做保证同时配备满足要求的测量设备、试验设备、资料整理设备、摄录像设备。主要机械设备配置具体见表</w:t>
      </w:r>
      <w:r>
        <w:t>6</w:t>
      </w:r>
      <w:r>
        <w:rPr>
          <w:rFonts w:hint="eastAsia"/>
        </w:rPr>
        <w:t>-1。</w:t>
      </w:r>
    </w:p>
    <w:p w14:paraId="4E7FFEA2">
      <w:pPr>
        <w:pStyle w:val="29"/>
      </w:pPr>
      <w:r>
        <w:rPr>
          <w:rFonts w:hint="eastAsia"/>
        </w:rPr>
        <w:t>主要机械、设备配置表  表</w:t>
      </w:r>
      <w:r>
        <w:t>6</w:t>
      </w:r>
      <w:r>
        <w:rPr>
          <w:rFonts w:hint="eastAsia"/>
        </w:rPr>
        <w:t>-1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56"/>
        <w:gridCol w:w="1578"/>
        <w:gridCol w:w="2835"/>
        <w:gridCol w:w="1492"/>
      </w:tblGrid>
      <w:tr w14:paraId="5B59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14:paraId="1F586246">
            <w:pPr>
              <w:pStyle w:val="29"/>
              <w:spacing w:line="240" w:lineRule="auto"/>
            </w:pPr>
            <w:bookmarkStart w:id="235" w:name="_Toc251583030"/>
            <w:bookmarkStart w:id="236" w:name="_Toc251581790"/>
            <w:bookmarkStart w:id="237" w:name="_Toc251580550"/>
            <w:r>
              <w:rPr>
                <w:rFonts w:hint="eastAsia"/>
                <w:kern w:val="0"/>
              </w:rPr>
              <w:t>序号</w:t>
            </w:r>
            <w:bookmarkEnd w:id="235"/>
            <w:bookmarkEnd w:id="236"/>
            <w:bookmarkEnd w:id="237"/>
          </w:p>
        </w:tc>
        <w:tc>
          <w:tcPr>
            <w:tcW w:w="1656" w:type="dxa"/>
            <w:vAlign w:val="center"/>
          </w:tcPr>
          <w:p w14:paraId="1CBECD9B">
            <w:pPr>
              <w:pStyle w:val="29"/>
              <w:spacing w:line="240" w:lineRule="auto"/>
            </w:pPr>
            <w:bookmarkStart w:id="238" w:name="_Toc251583031"/>
            <w:bookmarkStart w:id="239" w:name="_Toc251581791"/>
            <w:bookmarkStart w:id="240" w:name="_Toc251580551"/>
            <w:r>
              <w:rPr>
                <w:rFonts w:hint="eastAsia"/>
              </w:rPr>
              <w:t>机械</w:t>
            </w:r>
            <w:bookmarkEnd w:id="238"/>
            <w:bookmarkEnd w:id="239"/>
            <w:bookmarkEnd w:id="240"/>
            <w:bookmarkStart w:id="241" w:name="_Toc251580552"/>
            <w:bookmarkStart w:id="242" w:name="_Toc251583032"/>
            <w:bookmarkStart w:id="243" w:name="_Toc251581792"/>
            <w:r>
              <w:rPr>
                <w:rFonts w:hint="eastAsia"/>
              </w:rPr>
              <w:t>名称</w:t>
            </w:r>
            <w:bookmarkEnd w:id="241"/>
            <w:bookmarkEnd w:id="242"/>
            <w:bookmarkEnd w:id="243"/>
          </w:p>
        </w:tc>
        <w:tc>
          <w:tcPr>
            <w:tcW w:w="1578" w:type="dxa"/>
            <w:vAlign w:val="center"/>
          </w:tcPr>
          <w:p w14:paraId="5EE2734C">
            <w:pPr>
              <w:pStyle w:val="29"/>
              <w:spacing w:line="240" w:lineRule="auto"/>
            </w:pPr>
            <w:bookmarkStart w:id="244" w:name="_Toc251583033"/>
            <w:bookmarkStart w:id="245" w:name="_Toc251580553"/>
            <w:bookmarkStart w:id="246" w:name="_Toc251581793"/>
            <w:r>
              <w:rPr>
                <w:rFonts w:hint="eastAsia"/>
              </w:rPr>
              <w:t>规格型号</w:t>
            </w:r>
            <w:bookmarkEnd w:id="244"/>
            <w:bookmarkEnd w:id="245"/>
            <w:bookmarkEnd w:id="246"/>
          </w:p>
        </w:tc>
        <w:tc>
          <w:tcPr>
            <w:tcW w:w="2835" w:type="dxa"/>
            <w:vAlign w:val="center"/>
          </w:tcPr>
          <w:p w14:paraId="306E0918">
            <w:pPr>
              <w:pStyle w:val="29"/>
              <w:spacing w:line="240" w:lineRule="auto"/>
            </w:pPr>
            <w:bookmarkStart w:id="247" w:name="_Toc251580554"/>
            <w:bookmarkStart w:id="248" w:name="_Toc251583034"/>
            <w:bookmarkStart w:id="249" w:name="_Toc251581794"/>
            <w:r>
              <w:rPr>
                <w:rFonts w:hint="eastAsia"/>
              </w:rPr>
              <w:t>额定功率(kw)或容量(m³ )</w:t>
            </w:r>
            <w:bookmarkEnd w:id="247"/>
            <w:bookmarkEnd w:id="248"/>
            <w:bookmarkEnd w:id="249"/>
            <w:bookmarkStart w:id="250" w:name="_Toc251580555"/>
            <w:bookmarkStart w:id="251" w:name="_Toc251583035"/>
            <w:bookmarkStart w:id="252" w:name="_Toc251581795"/>
            <w:r>
              <w:rPr>
                <w:rFonts w:hint="eastAsia"/>
              </w:rPr>
              <w:t>或吨位( t )</w:t>
            </w:r>
            <w:bookmarkEnd w:id="250"/>
            <w:bookmarkEnd w:id="251"/>
            <w:bookmarkEnd w:id="252"/>
          </w:p>
        </w:tc>
        <w:tc>
          <w:tcPr>
            <w:tcW w:w="1492" w:type="dxa"/>
            <w:vAlign w:val="center"/>
          </w:tcPr>
          <w:p w14:paraId="085FB96F">
            <w:pPr>
              <w:pStyle w:val="29"/>
              <w:spacing w:line="240" w:lineRule="auto"/>
            </w:pPr>
            <w:bookmarkStart w:id="253" w:name="_Toc251581796"/>
            <w:bookmarkStart w:id="254" w:name="_Toc251583036"/>
            <w:bookmarkStart w:id="255" w:name="_Toc251580556"/>
            <w:r>
              <w:rPr>
                <w:rFonts w:hint="eastAsia"/>
                <w:kern w:val="0"/>
              </w:rPr>
              <w:t>数  量</w:t>
            </w:r>
            <w:bookmarkEnd w:id="253"/>
            <w:bookmarkEnd w:id="254"/>
            <w:bookmarkEnd w:id="255"/>
          </w:p>
        </w:tc>
      </w:tr>
      <w:tr w14:paraId="1677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14:paraId="1711966C">
            <w:pPr>
              <w:pStyle w:val="29"/>
              <w:spacing w:line="240" w:lineRule="auto"/>
              <w:rPr>
                <w:kern w:val="0"/>
              </w:rPr>
            </w:pPr>
            <w:r>
              <w:rPr>
                <w:rFonts w:hint="eastAsia"/>
                <w:kern w:val="0"/>
              </w:rPr>
              <w:t>1</w:t>
            </w:r>
          </w:p>
        </w:tc>
        <w:tc>
          <w:tcPr>
            <w:tcW w:w="1656" w:type="dxa"/>
            <w:vAlign w:val="center"/>
          </w:tcPr>
          <w:p w14:paraId="18C45E77">
            <w:pPr>
              <w:pStyle w:val="29"/>
              <w:spacing w:line="240" w:lineRule="auto"/>
              <w:rPr>
                <w:kern w:val="0"/>
              </w:rPr>
            </w:pPr>
            <w:r>
              <w:rPr>
                <w:rFonts w:hint="eastAsia"/>
                <w:kern w:val="0"/>
              </w:rPr>
              <w:t>挖掘机</w:t>
            </w:r>
          </w:p>
        </w:tc>
        <w:tc>
          <w:tcPr>
            <w:tcW w:w="1578" w:type="dxa"/>
            <w:vAlign w:val="center"/>
          </w:tcPr>
          <w:p w14:paraId="4068BBAB">
            <w:pPr>
              <w:pStyle w:val="29"/>
              <w:spacing w:line="240" w:lineRule="auto"/>
              <w:rPr>
                <w:kern w:val="0"/>
              </w:rPr>
            </w:pPr>
            <w:r>
              <w:rPr>
                <w:rFonts w:hint="eastAsia"/>
                <w:kern w:val="0"/>
              </w:rPr>
              <w:t>徐工</w:t>
            </w:r>
          </w:p>
        </w:tc>
        <w:tc>
          <w:tcPr>
            <w:tcW w:w="2835" w:type="dxa"/>
            <w:vAlign w:val="center"/>
          </w:tcPr>
          <w:p w14:paraId="0CF4710E">
            <w:pPr>
              <w:pStyle w:val="29"/>
              <w:spacing w:line="240" w:lineRule="auto"/>
            </w:pPr>
            <w:r>
              <w:t>1.</w:t>
            </w:r>
            <w:r>
              <w:rPr>
                <w:rFonts w:hint="eastAsia"/>
              </w:rPr>
              <w:t>2m³</w:t>
            </w:r>
          </w:p>
        </w:tc>
        <w:tc>
          <w:tcPr>
            <w:tcW w:w="1492" w:type="dxa"/>
            <w:vAlign w:val="center"/>
          </w:tcPr>
          <w:p w14:paraId="18A1E913">
            <w:pPr>
              <w:pStyle w:val="29"/>
              <w:spacing w:line="240" w:lineRule="auto"/>
              <w:rPr>
                <w:kern w:val="0"/>
              </w:rPr>
            </w:pPr>
            <w:r>
              <w:rPr>
                <w:kern w:val="0"/>
              </w:rPr>
              <w:t>1</w:t>
            </w:r>
            <w:r>
              <w:rPr>
                <w:rFonts w:hint="eastAsia"/>
                <w:kern w:val="0"/>
              </w:rPr>
              <w:t>台</w:t>
            </w:r>
          </w:p>
        </w:tc>
      </w:tr>
      <w:tr w14:paraId="4C9A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0" w:type="dxa"/>
            <w:vAlign w:val="center"/>
          </w:tcPr>
          <w:p w14:paraId="77E74E4D">
            <w:pPr>
              <w:pStyle w:val="29"/>
              <w:spacing w:line="240" w:lineRule="auto"/>
            </w:pPr>
            <w:r>
              <w:rPr>
                <w:rFonts w:hint="eastAsia"/>
              </w:rPr>
              <w:t>2</w:t>
            </w:r>
          </w:p>
        </w:tc>
        <w:tc>
          <w:tcPr>
            <w:tcW w:w="1656" w:type="dxa"/>
            <w:vAlign w:val="center"/>
          </w:tcPr>
          <w:p w14:paraId="7FB3D562">
            <w:pPr>
              <w:pStyle w:val="29"/>
              <w:spacing w:line="240" w:lineRule="auto"/>
              <w:rPr>
                <w:kern w:val="0"/>
              </w:rPr>
            </w:pPr>
            <w:r>
              <w:rPr>
                <w:rFonts w:hint="eastAsia"/>
                <w:kern w:val="0"/>
              </w:rPr>
              <w:t>推土机</w:t>
            </w:r>
          </w:p>
        </w:tc>
        <w:tc>
          <w:tcPr>
            <w:tcW w:w="1578" w:type="dxa"/>
            <w:vAlign w:val="center"/>
          </w:tcPr>
          <w:p w14:paraId="310E02B8">
            <w:pPr>
              <w:pStyle w:val="29"/>
              <w:spacing w:line="240" w:lineRule="auto"/>
              <w:rPr>
                <w:kern w:val="0"/>
              </w:rPr>
            </w:pPr>
            <w:r>
              <w:rPr>
                <w:rFonts w:hint="eastAsia"/>
                <w:kern w:val="0"/>
              </w:rPr>
              <w:t>徐工</w:t>
            </w:r>
          </w:p>
        </w:tc>
        <w:tc>
          <w:tcPr>
            <w:tcW w:w="2835" w:type="dxa"/>
            <w:vAlign w:val="center"/>
          </w:tcPr>
          <w:p w14:paraId="018B18E6">
            <w:pPr>
              <w:pStyle w:val="29"/>
              <w:spacing w:line="240" w:lineRule="auto"/>
            </w:pPr>
            <w:r>
              <w:rPr>
                <w:rFonts w:hint="eastAsia"/>
              </w:rPr>
              <w:t>1</w:t>
            </w:r>
            <w:r>
              <w:t>32</w:t>
            </w:r>
            <w:r>
              <w:rPr>
                <w:rFonts w:hint="eastAsia"/>
              </w:rPr>
              <w:t>kw</w:t>
            </w:r>
          </w:p>
        </w:tc>
        <w:tc>
          <w:tcPr>
            <w:tcW w:w="1492" w:type="dxa"/>
            <w:vAlign w:val="center"/>
          </w:tcPr>
          <w:p w14:paraId="5046F10B">
            <w:pPr>
              <w:pStyle w:val="29"/>
              <w:spacing w:line="240" w:lineRule="auto"/>
              <w:rPr>
                <w:kern w:val="0"/>
              </w:rPr>
            </w:pPr>
            <w:r>
              <w:rPr>
                <w:rFonts w:hint="eastAsia"/>
                <w:kern w:val="0"/>
              </w:rPr>
              <w:t>2辆</w:t>
            </w:r>
          </w:p>
        </w:tc>
      </w:tr>
      <w:tr w14:paraId="3561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720" w:type="dxa"/>
            <w:vAlign w:val="center"/>
          </w:tcPr>
          <w:p w14:paraId="4B811B2C">
            <w:pPr>
              <w:pStyle w:val="29"/>
              <w:spacing w:line="240" w:lineRule="auto"/>
            </w:pPr>
            <w:r>
              <w:rPr>
                <w:rFonts w:hint="eastAsia"/>
              </w:rPr>
              <w:t>3</w:t>
            </w:r>
          </w:p>
        </w:tc>
        <w:tc>
          <w:tcPr>
            <w:tcW w:w="1656" w:type="dxa"/>
            <w:vAlign w:val="center"/>
          </w:tcPr>
          <w:p w14:paraId="32FC4CE3">
            <w:pPr>
              <w:pStyle w:val="29"/>
              <w:spacing w:line="240" w:lineRule="auto"/>
              <w:rPr>
                <w:kern w:val="0"/>
              </w:rPr>
            </w:pPr>
            <w:r>
              <w:rPr>
                <w:rFonts w:hint="eastAsia"/>
                <w:kern w:val="0"/>
              </w:rPr>
              <w:t>平地机</w:t>
            </w:r>
          </w:p>
        </w:tc>
        <w:tc>
          <w:tcPr>
            <w:tcW w:w="1578" w:type="dxa"/>
            <w:vAlign w:val="center"/>
          </w:tcPr>
          <w:p w14:paraId="141E7B81">
            <w:pPr>
              <w:pStyle w:val="29"/>
              <w:spacing w:line="240" w:lineRule="auto"/>
              <w:rPr>
                <w:kern w:val="0"/>
              </w:rPr>
            </w:pPr>
            <w:r>
              <w:rPr>
                <w:rFonts w:hint="eastAsia"/>
                <w:kern w:val="0"/>
              </w:rPr>
              <w:t>徐工</w:t>
            </w:r>
          </w:p>
        </w:tc>
        <w:tc>
          <w:tcPr>
            <w:tcW w:w="2835" w:type="dxa"/>
            <w:vAlign w:val="center"/>
          </w:tcPr>
          <w:p w14:paraId="7074D1F0">
            <w:pPr>
              <w:pStyle w:val="29"/>
              <w:spacing w:line="240" w:lineRule="auto"/>
              <w:rPr>
                <w:kern w:val="0"/>
              </w:rPr>
            </w:pPr>
            <w:r>
              <w:rPr>
                <w:rFonts w:hint="eastAsia"/>
                <w:kern w:val="0"/>
              </w:rPr>
              <w:t>1</w:t>
            </w:r>
            <w:r>
              <w:rPr>
                <w:kern w:val="0"/>
              </w:rPr>
              <w:t>18kw</w:t>
            </w:r>
          </w:p>
        </w:tc>
        <w:tc>
          <w:tcPr>
            <w:tcW w:w="1492" w:type="dxa"/>
            <w:vAlign w:val="center"/>
          </w:tcPr>
          <w:p w14:paraId="4CA6C85E">
            <w:pPr>
              <w:pStyle w:val="29"/>
              <w:spacing w:line="240" w:lineRule="auto"/>
              <w:rPr>
                <w:kern w:val="0"/>
              </w:rPr>
            </w:pPr>
            <w:bookmarkStart w:id="256" w:name="_Toc251583075"/>
            <w:bookmarkStart w:id="257" w:name="_Toc251580595"/>
            <w:bookmarkStart w:id="258" w:name="_Toc251581835"/>
            <w:r>
              <w:rPr>
                <w:kern w:val="0"/>
              </w:rPr>
              <w:t>2</w:t>
            </w:r>
            <w:r>
              <w:rPr>
                <w:rFonts w:hint="eastAsia"/>
                <w:kern w:val="0"/>
              </w:rPr>
              <w:t>台</w:t>
            </w:r>
            <w:bookmarkEnd w:id="256"/>
            <w:bookmarkEnd w:id="257"/>
            <w:bookmarkEnd w:id="258"/>
          </w:p>
        </w:tc>
      </w:tr>
      <w:tr w14:paraId="2F96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720" w:type="dxa"/>
            <w:vAlign w:val="center"/>
          </w:tcPr>
          <w:p w14:paraId="7B3BE026">
            <w:pPr>
              <w:pStyle w:val="29"/>
              <w:spacing w:line="240" w:lineRule="auto"/>
            </w:pPr>
            <w:r>
              <w:rPr>
                <w:rFonts w:hint="eastAsia"/>
              </w:rPr>
              <w:t>4</w:t>
            </w:r>
          </w:p>
        </w:tc>
        <w:tc>
          <w:tcPr>
            <w:tcW w:w="1656" w:type="dxa"/>
            <w:vAlign w:val="center"/>
          </w:tcPr>
          <w:p w14:paraId="43130F9C">
            <w:pPr>
              <w:pStyle w:val="29"/>
              <w:spacing w:line="240" w:lineRule="auto"/>
              <w:rPr>
                <w:kern w:val="0"/>
              </w:rPr>
            </w:pPr>
            <w:r>
              <w:rPr>
                <w:rFonts w:hint="eastAsia"/>
                <w:kern w:val="0"/>
              </w:rPr>
              <w:t>自卸车</w:t>
            </w:r>
          </w:p>
        </w:tc>
        <w:tc>
          <w:tcPr>
            <w:tcW w:w="1578" w:type="dxa"/>
            <w:vAlign w:val="center"/>
          </w:tcPr>
          <w:p w14:paraId="4D4AAC9C">
            <w:pPr>
              <w:pStyle w:val="29"/>
              <w:spacing w:line="240" w:lineRule="auto"/>
              <w:rPr>
                <w:kern w:val="0"/>
              </w:rPr>
            </w:pPr>
            <w:r>
              <w:rPr>
                <w:rFonts w:hint="eastAsia"/>
                <w:kern w:val="0"/>
              </w:rPr>
              <w:t>徐工</w:t>
            </w:r>
          </w:p>
        </w:tc>
        <w:tc>
          <w:tcPr>
            <w:tcW w:w="2835" w:type="dxa"/>
            <w:vAlign w:val="center"/>
          </w:tcPr>
          <w:p w14:paraId="44CCCDD0">
            <w:pPr>
              <w:pStyle w:val="29"/>
              <w:spacing w:line="240" w:lineRule="auto"/>
              <w:rPr>
                <w:kern w:val="0"/>
              </w:rPr>
            </w:pPr>
            <w:r>
              <w:rPr>
                <w:rFonts w:hint="eastAsia"/>
                <w:kern w:val="0"/>
              </w:rPr>
              <w:t>1</w:t>
            </w:r>
            <w:r>
              <w:rPr>
                <w:kern w:val="0"/>
              </w:rPr>
              <w:t>0t</w:t>
            </w:r>
          </w:p>
        </w:tc>
        <w:tc>
          <w:tcPr>
            <w:tcW w:w="1492" w:type="dxa"/>
            <w:vAlign w:val="center"/>
          </w:tcPr>
          <w:p w14:paraId="0000890C">
            <w:pPr>
              <w:pStyle w:val="29"/>
              <w:spacing w:line="240" w:lineRule="auto"/>
              <w:rPr>
                <w:kern w:val="0"/>
              </w:rPr>
            </w:pPr>
            <w:r>
              <w:rPr>
                <w:rFonts w:hint="eastAsia"/>
                <w:kern w:val="0"/>
              </w:rPr>
              <w:t>2台</w:t>
            </w:r>
          </w:p>
        </w:tc>
      </w:tr>
      <w:tr w14:paraId="19C9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720" w:type="dxa"/>
            <w:vAlign w:val="center"/>
          </w:tcPr>
          <w:p w14:paraId="30719339">
            <w:pPr>
              <w:pStyle w:val="29"/>
              <w:spacing w:line="240" w:lineRule="auto"/>
            </w:pPr>
            <w:r>
              <w:rPr>
                <w:szCs w:val="21"/>
              </w:rPr>
              <w:t>5</w:t>
            </w:r>
          </w:p>
        </w:tc>
        <w:tc>
          <w:tcPr>
            <w:tcW w:w="1656" w:type="dxa"/>
            <w:vAlign w:val="center"/>
          </w:tcPr>
          <w:p w14:paraId="1029B632">
            <w:pPr>
              <w:pStyle w:val="29"/>
              <w:spacing w:line="240" w:lineRule="auto"/>
              <w:rPr>
                <w:kern w:val="0"/>
              </w:rPr>
            </w:pPr>
            <w:r>
              <w:rPr>
                <w:rFonts w:hint="eastAsia"/>
                <w:kern w:val="0"/>
                <w:szCs w:val="21"/>
              </w:rPr>
              <w:t>大疆无人机</w:t>
            </w:r>
          </w:p>
        </w:tc>
        <w:tc>
          <w:tcPr>
            <w:tcW w:w="1578" w:type="dxa"/>
            <w:vAlign w:val="center"/>
          </w:tcPr>
          <w:p w14:paraId="2B3F5064">
            <w:pPr>
              <w:pStyle w:val="29"/>
              <w:spacing w:line="240" w:lineRule="auto"/>
              <w:rPr>
                <w:kern w:val="0"/>
              </w:rPr>
            </w:pPr>
            <w:r>
              <w:rPr>
                <w:rFonts w:hint="eastAsia"/>
                <w:kern w:val="0"/>
                <w:szCs w:val="21"/>
              </w:rPr>
              <w:t>精灵4</w:t>
            </w:r>
          </w:p>
        </w:tc>
        <w:tc>
          <w:tcPr>
            <w:tcW w:w="2835" w:type="dxa"/>
            <w:vAlign w:val="center"/>
          </w:tcPr>
          <w:p w14:paraId="36FBD6F5">
            <w:pPr>
              <w:pStyle w:val="29"/>
              <w:spacing w:line="240" w:lineRule="auto"/>
              <w:rPr>
                <w:kern w:val="0"/>
              </w:rPr>
            </w:pPr>
          </w:p>
        </w:tc>
        <w:tc>
          <w:tcPr>
            <w:tcW w:w="1492" w:type="dxa"/>
            <w:vAlign w:val="center"/>
          </w:tcPr>
          <w:p w14:paraId="76724B8B">
            <w:pPr>
              <w:pStyle w:val="29"/>
              <w:spacing w:line="240" w:lineRule="auto"/>
              <w:rPr>
                <w:kern w:val="0"/>
              </w:rPr>
            </w:pPr>
            <w:r>
              <w:rPr>
                <w:rFonts w:hint="eastAsia"/>
                <w:kern w:val="0"/>
                <w:szCs w:val="21"/>
              </w:rPr>
              <w:t>1架</w:t>
            </w:r>
          </w:p>
        </w:tc>
      </w:tr>
      <w:tr w14:paraId="7406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720" w:type="dxa"/>
            <w:vAlign w:val="center"/>
          </w:tcPr>
          <w:p w14:paraId="50D7B96D">
            <w:pPr>
              <w:pStyle w:val="29"/>
              <w:spacing w:line="240" w:lineRule="auto"/>
            </w:pPr>
            <w:r>
              <w:rPr>
                <w:szCs w:val="21"/>
              </w:rPr>
              <w:t>6</w:t>
            </w:r>
          </w:p>
        </w:tc>
        <w:tc>
          <w:tcPr>
            <w:tcW w:w="1656" w:type="dxa"/>
            <w:vAlign w:val="center"/>
          </w:tcPr>
          <w:p w14:paraId="7EF17CA3">
            <w:pPr>
              <w:pStyle w:val="29"/>
              <w:spacing w:line="240" w:lineRule="auto"/>
              <w:rPr>
                <w:kern w:val="0"/>
              </w:rPr>
            </w:pPr>
            <w:r>
              <w:rPr>
                <w:rFonts w:hint="eastAsia"/>
                <w:kern w:val="0"/>
                <w:szCs w:val="21"/>
              </w:rPr>
              <w:t>皮卡车</w:t>
            </w:r>
          </w:p>
        </w:tc>
        <w:tc>
          <w:tcPr>
            <w:tcW w:w="1578" w:type="dxa"/>
            <w:vAlign w:val="center"/>
          </w:tcPr>
          <w:p w14:paraId="11476497">
            <w:pPr>
              <w:pStyle w:val="29"/>
              <w:spacing w:line="240" w:lineRule="auto"/>
              <w:rPr>
                <w:kern w:val="0"/>
              </w:rPr>
            </w:pPr>
            <w:r>
              <w:rPr>
                <w:rFonts w:hint="eastAsia"/>
                <w:kern w:val="0"/>
                <w:szCs w:val="21"/>
              </w:rPr>
              <w:t>长城炮</w:t>
            </w:r>
          </w:p>
        </w:tc>
        <w:tc>
          <w:tcPr>
            <w:tcW w:w="2835" w:type="dxa"/>
            <w:vAlign w:val="center"/>
          </w:tcPr>
          <w:p w14:paraId="7AEAB391">
            <w:pPr>
              <w:pStyle w:val="29"/>
              <w:spacing w:line="240" w:lineRule="auto"/>
              <w:rPr>
                <w:kern w:val="0"/>
              </w:rPr>
            </w:pPr>
          </w:p>
        </w:tc>
        <w:tc>
          <w:tcPr>
            <w:tcW w:w="1492" w:type="dxa"/>
            <w:vAlign w:val="center"/>
          </w:tcPr>
          <w:p w14:paraId="18F7C328">
            <w:pPr>
              <w:pStyle w:val="29"/>
              <w:spacing w:line="240" w:lineRule="auto"/>
              <w:rPr>
                <w:kern w:val="0"/>
              </w:rPr>
            </w:pPr>
            <w:r>
              <w:rPr>
                <w:rFonts w:hint="eastAsia"/>
                <w:kern w:val="0"/>
                <w:szCs w:val="21"/>
              </w:rPr>
              <w:t>1辆</w:t>
            </w:r>
          </w:p>
        </w:tc>
      </w:tr>
    </w:tbl>
    <w:p w14:paraId="390AEBAD">
      <w:pPr>
        <w:ind w:firstLine="562"/>
        <w:rPr>
          <w:b/>
          <w:bCs/>
        </w:rPr>
      </w:pPr>
      <w:bookmarkStart w:id="259" w:name="_Toc429992870"/>
      <w:bookmarkStart w:id="260" w:name="_Toc500554334"/>
      <w:r>
        <w:rPr>
          <w:rFonts w:hint="eastAsia"/>
          <w:b/>
          <w:bCs/>
        </w:rPr>
        <w:t>二、机械的使用与保养</w:t>
      </w:r>
    </w:p>
    <w:p w14:paraId="73002097">
      <w:r>
        <w:rPr>
          <w:rFonts w:hint="eastAsia"/>
        </w:rPr>
        <w:t>（一）人机固定，实行使用保养责任制，建立考核制度，强化使用管理责任。</w:t>
      </w:r>
    </w:p>
    <w:p w14:paraId="66EF2B67">
      <w:r>
        <w:rPr>
          <w:rFonts w:hint="eastAsia"/>
        </w:rPr>
        <w:t>（二）实行操作证制度，特殊工种操作必须持证上岗，禁止无证操作。</w:t>
      </w:r>
    </w:p>
    <w:p w14:paraId="0060F3A6">
      <w:r>
        <w:rPr>
          <w:rFonts w:hint="eastAsia"/>
        </w:rPr>
        <w:t>（三）对机械进行例行保养，操作人员在开机前和使用后，按规定的治理和要求进行检查保养，使机械设备保持良好的状态，并坚持“先维修，后使用”原则，严禁设备带病运转。</w:t>
      </w:r>
    </w:p>
    <w:p w14:paraId="226FE9FE">
      <w:pPr>
        <w:pStyle w:val="3"/>
      </w:pPr>
      <w:bookmarkStart w:id="261" w:name="_Toc3494"/>
      <w:bookmarkStart w:id="262" w:name="_Toc6258"/>
      <w:bookmarkStart w:id="263" w:name="_Toc520058359"/>
      <w:bookmarkStart w:id="264" w:name="_Toc102927628"/>
      <w:bookmarkStart w:id="265" w:name="_Toc106400433"/>
      <w:bookmarkStart w:id="266" w:name="_Toc106400218"/>
      <w:r>
        <w:rPr>
          <w:rFonts w:hint="eastAsia"/>
        </w:rPr>
        <w:t>第二节  劳动力配置计划</w:t>
      </w:r>
      <w:bookmarkEnd w:id="259"/>
      <w:bookmarkEnd w:id="260"/>
      <w:bookmarkEnd w:id="261"/>
      <w:bookmarkEnd w:id="262"/>
      <w:bookmarkEnd w:id="263"/>
      <w:bookmarkEnd w:id="264"/>
      <w:bookmarkEnd w:id="265"/>
      <w:bookmarkEnd w:id="266"/>
    </w:p>
    <w:p w14:paraId="3A708214">
      <w:r>
        <w:rPr>
          <w:rFonts w:hint="eastAsia"/>
        </w:rPr>
        <w:t>本次治理工程主要为土方工程治理，工程施工特点主要为机械施工，劳动力配置主要为机械操作手、一般技术工人（砌筑工）、普工等，司机、机械手按每台设备1人配置。主要施工人员配置计划见表</w:t>
      </w:r>
      <w:r>
        <w:t>6</w:t>
      </w:r>
      <w:r>
        <w:rPr>
          <w:rFonts w:hint="eastAsia"/>
        </w:rPr>
        <w:t>-2。</w:t>
      </w:r>
    </w:p>
    <w:p w14:paraId="77EC1B54">
      <w:pPr>
        <w:pStyle w:val="29"/>
        <w:spacing w:line="240" w:lineRule="auto"/>
      </w:pPr>
    </w:p>
    <w:p w14:paraId="093B0219">
      <w:pPr>
        <w:pStyle w:val="29"/>
      </w:pPr>
      <w:r>
        <w:rPr>
          <w:rFonts w:hint="eastAsia"/>
        </w:rPr>
        <w:t>主要施工人员配置计划一览表  表</w:t>
      </w:r>
      <w:r>
        <w:t>6</w:t>
      </w:r>
      <w:r>
        <w:rPr>
          <w:rFonts w:hint="eastAsia"/>
        </w:rPr>
        <w:t>-2</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2674"/>
        <w:gridCol w:w="3334"/>
      </w:tblGrid>
      <w:tr w14:paraId="067F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1969" w:type="dxa"/>
            <w:vAlign w:val="center"/>
          </w:tcPr>
          <w:p w14:paraId="37CC41D7">
            <w:pPr>
              <w:pStyle w:val="29"/>
              <w:spacing w:line="240" w:lineRule="auto"/>
            </w:pPr>
            <w:r>
              <w:rPr>
                <w:rFonts w:hint="eastAsia"/>
              </w:rPr>
              <w:t>名称</w:t>
            </w:r>
          </w:p>
        </w:tc>
        <w:tc>
          <w:tcPr>
            <w:tcW w:w="2674" w:type="dxa"/>
            <w:vAlign w:val="center"/>
          </w:tcPr>
          <w:p w14:paraId="320696E5">
            <w:pPr>
              <w:pStyle w:val="29"/>
              <w:spacing w:line="240" w:lineRule="auto"/>
            </w:pPr>
            <w:r>
              <w:rPr>
                <w:rFonts w:hint="eastAsia"/>
              </w:rPr>
              <w:t>数量(人)</w:t>
            </w:r>
          </w:p>
        </w:tc>
        <w:tc>
          <w:tcPr>
            <w:tcW w:w="3334" w:type="dxa"/>
            <w:vAlign w:val="center"/>
          </w:tcPr>
          <w:p w14:paraId="41D7951A">
            <w:pPr>
              <w:pStyle w:val="29"/>
              <w:spacing w:line="240" w:lineRule="auto"/>
            </w:pPr>
            <w:r>
              <w:rPr>
                <w:rFonts w:hint="eastAsia"/>
              </w:rPr>
              <w:t>类型</w:t>
            </w:r>
          </w:p>
        </w:tc>
      </w:tr>
      <w:tr w14:paraId="6359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969" w:type="dxa"/>
            <w:vAlign w:val="center"/>
          </w:tcPr>
          <w:p w14:paraId="6FC1253C">
            <w:pPr>
              <w:pStyle w:val="29"/>
              <w:spacing w:line="240" w:lineRule="auto"/>
            </w:pPr>
            <w:r>
              <w:rPr>
                <w:rFonts w:hint="eastAsia"/>
              </w:rPr>
              <w:t>施工队长</w:t>
            </w:r>
          </w:p>
        </w:tc>
        <w:tc>
          <w:tcPr>
            <w:tcW w:w="2674" w:type="dxa"/>
            <w:vAlign w:val="center"/>
          </w:tcPr>
          <w:p w14:paraId="5FBE72D2">
            <w:pPr>
              <w:pStyle w:val="29"/>
              <w:spacing w:line="240" w:lineRule="auto"/>
            </w:pPr>
            <w:r>
              <w:rPr>
                <w:rFonts w:hint="eastAsia"/>
              </w:rPr>
              <w:t>1</w:t>
            </w:r>
          </w:p>
        </w:tc>
        <w:tc>
          <w:tcPr>
            <w:tcW w:w="3334" w:type="dxa"/>
            <w:vAlign w:val="center"/>
          </w:tcPr>
          <w:p w14:paraId="2847BE3A">
            <w:pPr>
              <w:pStyle w:val="29"/>
              <w:spacing w:line="240" w:lineRule="auto"/>
            </w:pPr>
            <w:r>
              <w:rPr>
                <w:rFonts w:hint="eastAsia"/>
              </w:rPr>
              <w:t>有管理经验</w:t>
            </w:r>
          </w:p>
        </w:tc>
      </w:tr>
      <w:tr w14:paraId="008A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7D5E34B8">
            <w:pPr>
              <w:pStyle w:val="29"/>
              <w:spacing w:line="240" w:lineRule="auto"/>
            </w:pPr>
            <w:r>
              <w:rPr>
                <w:rFonts w:hint="eastAsia"/>
                <w:kern w:val="0"/>
              </w:rPr>
              <w:t>挖掘机</w:t>
            </w:r>
          </w:p>
        </w:tc>
        <w:tc>
          <w:tcPr>
            <w:tcW w:w="2674" w:type="dxa"/>
            <w:vAlign w:val="center"/>
          </w:tcPr>
          <w:p w14:paraId="221975ED">
            <w:pPr>
              <w:pStyle w:val="29"/>
              <w:spacing w:line="240" w:lineRule="auto"/>
            </w:pPr>
            <w:r>
              <w:t>1</w:t>
            </w:r>
          </w:p>
        </w:tc>
        <w:tc>
          <w:tcPr>
            <w:tcW w:w="3334" w:type="dxa"/>
            <w:vAlign w:val="center"/>
          </w:tcPr>
          <w:p w14:paraId="45CDBAF9">
            <w:pPr>
              <w:pStyle w:val="29"/>
              <w:spacing w:line="240" w:lineRule="auto"/>
            </w:pPr>
            <w:r>
              <w:rPr>
                <w:rFonts w:hint="eastAsia"/>
              </w:rPr>
              <w:t>证照齐全</w:t>
            </w:r>
          </w:p>
        </w:tc>
      </w:tr>
      <w:tr w14:paraId="65C5F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63193BCB">
            <w:pPr>
              <w:pStyle w:val="29"/>
              <w:spacing w:line="240" w:lineRule="auto"/>
            </w:pPr>
            <w:r>
              <w:rPr>
                <w:rFonts w:hint="eastAsia"/>
                <w:kern w:val="0"/>
              </w:rPr>
              <w:t>推土机</w:t>
            </w:r>
          </w:p>
        </w:tc>
        <w:tc>
          <w:tcPr>
            <w:tcW w:w="2674" w:type="dxa"/>
            <w:vAlign w:val="center"/>
          </w:tcPr>
          <w:p w14:paraId="5A17B4F6">
            <w:pPr>
              <w:pStyle w:val="29"/>
              <w:spacing w:line="240" w:lineRule="auto"/>
            </w:pPr>
            <w:r>
              <w:rPr>
                <w:rFonts w:hint="eastAsia"/>
              </w:rPr>
              <w:t>2</w:t>
            </w:r>
          </w:p>
        </w:tc>
        <w:tc>
          <w:tcPr>
            <w:tcW w:w="3334" w:type="dxa"/>
            <w:vAlign w:val="center"/>
          </w:tcPr>
          <w:p w14:paraId="5A861AFB">
            <w:pPr>
              <w:pStyle w:val="29"/>
              <w:spacing w:line="240" w:lineRule="auto"/>
            </w:pPr>
            <w:r>
              <w:rPr>
                <w:rFonts w:hint="eastAsia"/>
              </w:rPr>
              <w:t>证照齐全</w:t>
            </w:r>
          </w:p>
        </w:tc>
      </w:tr>
      <w:tr w14:paraId="4154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75EDCCD0">
            <w:pPr>
              <w:pStyle w:val="29"/>
              <w:spacing w:line="240" w:lineRule="auto"/>
            </w:pPr>
            <w:r>
              <w:rPr>
                <w:rFonts w:hint="eastAsia"/>
                <w:kern w:val="0"/>
              </w:rPr>
              <w:t>平地机</w:t>
            </w:r>
          </w:p>
        </w:tc>
        <w:tc>
          <w:tcPr>
            <w:tcW w:w="2674" w:type="dxa"/>
            <w:vAlign w:val="center"/>
          </w:tcPr>
          <w:p w14:paraId="3ED73B07">
            <w:pPr>
              <w:pStyle w:val="29"/>
              <w:spacing w:line="240" w:lineRule="auto"/>
            </w:pPr>
            <w:r>
              <w:t>2</w:t>
            </w:r>
          </w:p>
        </w:tc>
        <w:tc>
          <w:tcPr>
            <w:tcW w:w="3334" w:type="dxa"/>
            <w:vAlign w:val="center"/>
          </w:tcPr>
          <w:p w14:paraId="620051EF">
            <w:pPr>
              <w:pStyle w:val="29"/>
              <w:spacing w:line="240" w:lineRule="auto"/>
            </w:pPr>
            <w:r>
              <w:rPr>
                <w:rFonts w:hint="eastAsia"/>
              </w:rPr>
              <w:t>证照齐全</w:t>
            </w:r>
          </w:p>
        </w:tc>
      </w:tr>
      <w:tr w14:paraId="3E9A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5497E9D9">
            <w:pPr>
              <w:pStyle w:val="29"/>
              <w:spacing w:line="240" w:lineRule="auto"/>
            </w:pPr>
            <w:r>
              <w:rPr>
                <w:rFonts w:hint="eastAsia"/>
                <w:kern w:val="0"/>
              </w:rPr>
              <w:t>自卸车</w:t>
            </w:r>
          </w:p>
        </w:tc>
        <w:tc>
          <w:tcPr>
            <w:tcW w:w="2674" w:type="dxa"/>
            <w:vAlign w:val="center"/>
          </w:tcPr>
          <w:p w14:paraId="62F30D2F">
            <w:pPr>
              <w:pStyle w:val="29"/>
              <w:spacing w:line="240" w:lineRule="auto"/>
            </w:pPr>
            <w:r>
              <w:rPr>
                <w:rFonts w:hint="eastAsia"/>
              </w:rPr>
              <w:t>2</w:t>
            </w:r>
          </w:p>
        </w:tc>
        <w:tc>
          <w:tcPr>
            <w:tcW w:w="3334" w:type="dxa"/>
            <w:vAlign w:val="center"/>
          </w:tcPr>
          <w:p w14:paraId="214DBEBC">
            <w:pPr>
              <w:pStyle w:val="29"/>
              <w:spacing w:line="240" w:lineRule="auto"/>
            </w:pPr>
            <w:r>
              <w:rPr>
                <w:rFonts w:hint="eastAsia"/>
              </w:rPr>
              <w:t>证照齐全</w:t>
            </w:r>
          </w:p>
        </w:tc>
      </w:tr>
      <w:tr w14:paraId="50317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596A77B6">
            <w:pPr>
              <w:pStyle w:val="29"/>
              <w:spacing w:line="240" w:lineRule="auto"/>
            </w:pPr>
            <w:r>
              <w:rPr>
                <w:rFonts w:hint="eastAsia"/>
                <w:kern w:val="0"/>
                <w:szCs w:val="21"/>
              </w:rPr>
              <w:t>大疆无人机</w:t>
            </w:r>
          </w:p>
        </w:tc>
        <w:tc>
          <w:tcPr>
            <w:tcW w:w="2674" w:type="dxa"/>
            <w:vAlign w:val="center"/>
          </w:tcPr>
          <w:p w14:paraId="647F59FB">
            <w:pPr>
              <w:pStyle w:val="29"/>
              <w:spacing w:line="240" w:lineRule="auto"/>
            </w:pPr>
            <w:r>
              <w:rPr>
                <w:rFonts w:hint="eastAsia"/>
              </w:rPr>
              <w:t>1</w:t>
            </w:r>
          </w:p>
        </w:tc>
        <w:tc>
          <w:tcPr>
            <w:tcW w:w="3334" w:type="dxa"/>
            <w:vAlign w:val="center"/>
          </w:tcPr>
          <w:p w14:paraId="04ABDC5C">
            <w:pPr>
              <w:pStyle w:val="29"/>
              <w:spacing w:line="240" w:lineRule="auto"/>
            </w:pPr>
            <w:r>
              <w:rPr>
                <w:rFonts w:hint="eastAsia"/>
              </w:rPr>
              <w:t>证照齐全</w:t>
            </w:r>
          </w:p>
        </w:tc>
      </w:tr>
      <w:tr w14:paraId="3365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1969" w:type="dxa"/>
            <w:vAlign w:val="center"/>
          </w:tcPr>
          <w:p w14:paraId="14C857C1">
            <w:pPr>
              <w:pStyle w:val="29"/>
              <w:spacing w:line="240" w:lineRule="auto"/>
            </w:pPr>
            <w:r>
              <w:rPr>
                <w:rFonts w:hint="eastAsia"/>
                <w:kern w:val="0"/>
                <w:szCs w:val="21"/>
              </w:rPr>
              <w:t>皮卡车</w:t>
            </w:r>
          </w:p>
        </w:tc>
        <w:tc>
          <w:tcPr>
            <w:tcW w:w="2674" w:type="dxa"/>
            <w:vAlign w:val="center"/>
          </w:tcPr>
          <w:p w14:paraId="64DB33EB">
            <w:pPr>
              <w:pStyle w:val="29"/>
              <w:spacing w:line="240" w:lineRule="auto"/>
            </w:pPr>
            <w:r>
              <w:rPr>
                <w:rFonts w:hint="eastAsia"/>
              </w:rPr>
              <w:t>1</w:t>
            </w:r>
          </w:p>
        </w:tc>
        <w:tc>
          <w:tcPr>
            <w:tcW w:w="3334" w:type="dxa"/>
            <w:vAlign w:val="center"/>
          </w:tcPr>
          <w:p w14:paraId="4863B00A">
            <w:pPr>
              <w:pStyle w:val="29"/>
              <w:spacing w:line="240" w:lineRule="auto"/>
            </w:pPr>
            <w:r>
              <w:rPr>
                <w:rFonts w:hint="eastAsia"/>
              </w:rPr>
              <w:t>证照齐全</w:t>
            </w:r>
          </w:p>
        </w:tc>
      </w:tr>
      <w:tr w14:paraId="1F12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969" w:type="dxa"/>
            <w:vAlign w:val="center"/>
          </w:tcPr>
          <w:p w14:paraId="4D287681">
            <w:pPr>
              <w:pStyle w:val="29"/>
              <w:spacing w:line="240" w:lineRule="auto"/>
            </w:pPr>
            <w:r>
              <w:rPr>
                <w:rFonts w:hint="eastAsia"/>
              </w:rPr>
              <w:t>合  计</w:t>
            </w:r>
          </w:p>
        </w:tc>
        <w:tc>
          <w:tcPr>
            <w:tcW w:w="2674" w:type="dxa"/>
            <w:vAlign w:val="center"/>
          </w:tcPr>
          <w:p w14:paraId="24570523">
            <w:pPr>
              <w:pStyle w:val="29"/>
              <w:spacing w:line="240" w:lineRule="auto"/>
            </w:pPr>
            <w:r>
              <w:t>10</w:t>
            </w:r>
          </w:p>
        </w:tc>
        <w:tc>
          <w:tcPr>
            <w:tcW w:w="3334" w:type="dxa"/>
            <w:vAlign w:val="center"/>
          </w:tcPr>
          <w:p w14:paraId="396CD420">
            <w:pPr>
              <w:pStyle w:val="29"/>
              <w:spacing w:line="240" w:lineRule="auto"/>
            </w:pPr>
          </w:p>
        </w:tc>
      </w:tr>
    </w:tbl>
    <w:p w14:paraId="290D76A3">
      <w:pPr>
        <w:pStyle w:val="3"/>
      </w:pPr>
      <w:bookmarkStart w:id="267" w:name="_Toc2100"/>
      <w:bookmarkStart w:id="268" w:name="_Toc106400219"/>
      <w:bookmarkStart w:id="269" w:name="_Toc102927629"/>
      <w:bookmarkStart w:id="270" w:name="_Toc106400434"/>
      <w:bookmarkStart w:id="271" w:name="_Toc26746"/>
      <w:r>
        <w:rPr>
          <w:rFonts w:hint="eastAsia"/>
        </w:rPr>
        <w:t>第三节  材料配置计划</w:t>
      </w:r>
      <w:bookmarkEnd w:id="223"/>
      <w:bookmarkEnd w:id="224"/>
      <w:bookmarkEnd w:id="267"/>
      <w:bookmarkEnd w:id="268"/>
      <w:bookmarkEnd w:id="269"/>
      <w:bookmarkEnd w:id="270"/>
      <w:bookmarkEnd w:id="271"/>
    </w:p>
    <w:p w14:paraId="048D2163">
      <w:pPr>
        <w:spacing w:line="520" w:lineRule="exact"/>
        <w:rPr>
          <w:rFonts w:hAnsi="Times New Roman"/>
        </w:rPr>
      </w:pPr>
      <w:bookmarkStart w:id="272" w:name="_Toc500554336"/>
      <w:bookmarkStart w:id="273" w:name="_Toc230677894"/>
      <w:bookmarkStart w:id="274" w:name="_Toc15403"/>
      <w:bookmarkStart w:id="275" w:name="_Toc230679824"/>
      <w:bookmarkStart w:id="276" w:name="_Toc102927630"/>
      <w:bookmarkStart w:id="277" w:name="_Toc7399"/>
      <w:bookmarkStart w:id="278" w:name="_Toc429992877"/>
      <w:r>
        <w:rPr>
          <w:rFonts w:hint="eastAsia" w:hAnsi="Times New Roman"/>
        </w:rPr>
        <w:t>施工材料按需求量建立供应计划，由供货商按供应计划配送；不能配送的由材料员按计划采购。</w:t>
      </w:r>
    </w:p>
    <w:p w14:paraId="35468219">
      <w:pPr>
        <w:spacing w:line="520" w:lineRule="exact"/>
        <w:rPr>
          <w:rFonts w:hAnsi="Times New Roman"/>
        </w:rPr>
      </w:pPr>
      <w:r>
        <w:rPr>
          <w:rFonts w:hint="eastAsia" w:hAnsi="Times New Roman"/>
        </w:rPr>
        <w:t>施工用油采用皮卡车由就近加油站拉运。</w:t>
      </w:r>
    </w:p>
    <w:p w14:paraId="6CF9B639">
      <w:pPr>
        <w:pStyle w:val="3"/>
      </w:pPr>
      <w:bookmarkStart w:id="279" w:name="_Toc106400220"/>
      <w:bookmarkStart w:id="280" w:name="_Toc106400435"/>
      <w:r>
        <w:rPr>
          <w:rFonts w:hint="eastAsia"/>
        </w:rPr>
        <w:t>第四节  施工进度计划</w:t>
      </w:r>
      <w:bookmarkEnd w:id="272"/>
      <w:bookmarkEnd w:id="273"/>
      <w:bookmarkEnd w:id="274"/>
      <w:bookmarkEnd w:id="275"/>
      <w:bookmarkEnd w:id="276"/>
      <w:bookmarkEnd w:id="277"/>
      <w:bookmarkEnd w:id="278"/>
      <w:bookmarkEnd w:id="279"/>
      <w:bookmarkEnd w:id="280"/>
    </w:p>
    <w:p w14:paraId="42D08AF0">
      <w:pPr>
        <w:spacing w:line="520" w:lineRule="exact"/>
        <w:rPr>
          <w:rFonts w:hAnsi="Times New Roman"/>
          <w:b/>
        </w:rPr>
      </w:pPr>
      <w:r>
        <w:rPr>
          <w:rFonts w:hint="eastAsia" w:hAnsi="Times New Roman"/>
        </w:rPr>
        <w:t>工作周期为</w:t>
      </w:r>
      <w:r>
        <w:rPr>
          <w:rFonts w:hint="eastAsia" w:hAnsi="仿宋"/>
        </w:rPr>
        <w:t>2022年5月—2022年10月31日</w:t>
      </w:r>
      <w:r>
        <w:rPr>
          <w:rFonts w:hint="eastAsia" w:hAnsi="Times New Roman"/>
        </w:rPr>
        <w:t>，</w:t>
      </w:r>
      <w:r>
        <w:rPr>
          <w:rFonts w:hint="eastAsia" w:hAnsi="仿宋"/>
        </w:rPr>
        <w:t>2022年9月30日前完成野外施工（施工过程中由县自然资源局进行监管），2022年10月31日前县自然资源局联合相关部门进行验收</w:t>
      </w:r>
      <w:r>
        <w:rPr>
          <w:rFonts w:hint="eastAsia" w:hAnsi="Times New Roman"/>
        </w:rPr>
        <w:t>。</w:t>
      </w:r>
    </w:p>
    <w:p w14:paraId="556EF81F"/>
    <w:p w14:paraId="6AC43311">
      <w:pPr>
        <w:sectPr>
          <w:pgSz w:w="11906" w:h="16838"/>
          <w:pgMar w:top="1440" w:right="1800" w:bottom="1440" w:left="1800" w:header="851" w:footer="992" w:gutter="0"/>
          <w:cols w:space="425" w:num="1"/>
          <w:docGrid w:type="lines" w:linePitch="312" w:charSpace="0"/>
        </w:sectPr>
      </w:pPr>
    </w:p>
    <w:p w14:paraId="323FC087">
      <w:pPr>
        <w:pStyle w:val="2"/>
      </w:pPr>
      <w:r>
        <w:rPr>
          <w:rFonts w:hint="eastAsia"/>
        </w:rPr>
        <mc:AlternateContent>
          <mc:Choice Requires="wps">
            <w:drawing>
              <wp:anchor distT="0" distB="0" distL="114300" distR="114300" simplePos="0" relativeHeight="251663360" behindDoc="0" locked="0" layoutInCell="1" allowOverlap="1">
                <wp:simplePos x="0" y="0"/>
                <wp:positionH relativeFrom="column">
                  <wp:posOffset>-5118100</wp:posOffset>
                </wp:positionH>
                <wp:positionV relativeFrom="paragraph">
                  <wp:posOffset>227330</wp:posOffset>
                </wp:positionV>
                <wp:extent cx="635" cy="635"/>
                <wp:effectExtent l="38100" t="38100" r="57150" b="57150"/>
                <wp:wrapNone/>
                <wp:docPr id="9" name="墨迹 9"/>
                <wp:cNvGraphicFramePr/>
                <a:graphic xmlns:a="http://schemas.openxmlformats.org/drawingml/2006/main">
                  <a:graphicData uri="http://schemas.microsoft.com/office/word/2010/wordprocessingInk">
                    <mc:AlternateContent xmlns:a14="http://schemas.microsoft.com/office/drawing/2010/main">
                      <mc:Choice Requires="a14">
                        <w14:contentPart bwMode="auto" r:id="rId21">
                          <w14:nvContentPartPr>
                            <w14:cNvPr id="9" name="墨迹 9"/>
                            <w14:cNvContentPartPr/>
                          </w14:nvContentPartPr>
                          <w14:xfrm>
                            <a:off x="0" y="0"/>
                            <a:ext cx="360" cy="360"/>
                          </w14:xfrm>
                        </w14:contentPart>
                      </mc:Choice>
                    </mc:AlternateContent>
                  </a:graphicData>
                </a:graphic>
              </wp:anchor>
            </w:drawing>
          </mc:Choice>
          <mc:Fallback>
            <w:pict>
              <v:shape id="_x0000_s1026" o:spid="_x0000_s1026" o:spt="75" style="position:absolute;left:0pt;margin-left:-403pt;margin-top:17.9pt;height:0.05pt;width:0.05pt;z-index:251663360;mso-width-relative:page;mso-height-relative:page;" coordsize="21600,21600" o:gfxdata="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">
                <v:imagedata r:id="rId22" o:title=""/>
                <o:lock v:ext="edit"/>
              </v:shape>
            </w:pict>
          </mc:Fallback>
        </mc:AlternateContent>
      </w:r>
      <w:bookmarkStart w:id="281" w:name="_Toc106400436"/>
      <w:bookmarkStart w:id="282" w:name="_Toc12269"/>
      <w:bookmarkStart w:id="283" w:name="_Toc500554337"/>
      <w:bookmarkStart w:id="284" w:name="_Toc106400221"/>
      <w:bookmarkStart w:id="285" w:name="_Toc23942"/>
      <w:bookmarkStart w:id="286" w:name="_Toc102927631"/>
      <w:bookmarkStart w:id="287" w:name="_Toc12522"/>
      <w:bookmarkStart w:id="288" w:name="_Toc494670605"/>
      <w:bookmarkStart w:id="289" w:name="_Toc21541"/>
      <w:bookmarkStart w:id="290" w:name="_Toc295838930"/>
      <w:r>
        <w:rPr>
          <w:rFonts w:hint="eastAsia"/>
        </w:rPr>
        <w:t>第七章  保障措施</w:t>
      </w:r>
      <w:bookmarkEnd w:id="281"/>
      <w:bookmarkEnd w:id="282"/>
      <w:bookmarkEnd w:id="283"/>
      <w:bookmarkEnd w:id="284"/>
      <w:bookmarkEnd w:id="285"/>
      <w:bookmarkEnd w:id="286"/>
      <w:bookmarkEnd w:id="287"/>
      <w:bookmarkEnd w:id="288"/>
      <w:bookmarkEnd w:id="289"/>
      <w:bookmarkEnd w:id="290"/>
    </w:p>
    <w:p w14:paraId="52C9BD81">
      <w:pPr>
        <w:pStyle w:val="3"/>
      </w:pPr>
      <w:bookmarkStart w:id="291" w:name="_Toc102927632"/>
      <w:bookmarkStart w:id="292" w:name="_Toc1815"/>
      <w:bookmarkStart w:id="293" w:name="_Toc8402745"/>
      <w:bookmarkStart w:id="294" w:name="_Toc8296"/>
      <w:bookmarkStart w:id="295" w:name="_Toc106400437"/>
      <w:bookmarkStart w:id="296" w:name="_Toc106400222"/>
      <w:r>
        <w:rPr>
          <w:rFonts w:hint="eastAsia"/>
        </w:rPr>
        <w:t>第一节</w:t>
      </w:r>
      <w:r>
        <w:rPr>
          <w:rFonts w:hint="eastAsia" w:ascii="宋体"/>
        </w:rPr>
        <w:t xml:space="preserve"> </w:t>
      </w:r>
      <w:r>
        <w:rPr>
          <w:rFonts w:hint="eastAsia"/>
        </w:rPr>
        <w:t xml:space="preserve"> 组织保障措施</w:t>
      </w:r>
      <w:bookmarkEnd w:id="291"/>
      <w:bookmarkEnd w:id="292"/>
      <w:bookmarkEnd w:id="293"/>
      <w:bookmarkEnd w:id="294"/>
      <w:bookmarkEnd w:id="295"/>
      <w:bookmarkEnd w:id="296"/>
    </w:p>
    <w:p w14:paraId="2077DC20">
      <w:pPr>
        <w:ind w:firstLine="562"/>
        <w:rPr>
          <w:b/>
          <w:bCs/>
        </w:rPr>
      </w:pPr>
      <w:bookmarkStart w:id="297" w:name="_Toc8213483"/>
      <w:bookmarkStart w:id="298" w:name="_Toc172030021"/>
      <w:r>
        <w:rPr>
          <w:rFonts w:hint="eastAsia"/>
          <w:b/>
          <w:bCs/>
        </w:rPr>
        <w:t>一、组织机构</w:t>
      </w:r>
      <w:bookmarkEnd w:id="297"/>
      <w:bookmarkEnd w:id="298"/>
    </w:p>
    <w:p w14:paraId="43F95D48">
      <w:pPr>
        <w:spacing w:line="520" w:lineRule="exact"/>
      </w:pPr>
      <w:r>
        <w:rPr>
          <w:rFonts w:hint="eastAsia"/>
        </w:rPr>
        <w:t>本治理工程在项目管理上，实行三级管理，第一级项目总部即单位。单位法定代表人作为项目质量第一责任人，指派项目经理全权负责本工程，质量、安卫、人力、财务等部门负责日常事务以及对项目质量进行检查、监督与指导、技术方案的确定、重大技术质量问题的处理、生产力要素配置和经常性职能事务。</w:t>
      </w:r>
    </w:p>
    <w:p w14:paraId="507C5AB6">
      <w:pPr>
        <w:spacing w:line="520" w:lineRule="exact"/>
      </w:pPr>
      <w:r>
        <w:rPr>
          <w:rFonts w:hint="eastAsia"/>
        </w:rPr>
        <w:t>按项目拟定人员，由项目经理及其成员组成现场施工项目部，协调各施工班组之间、班组与供应方之间的关系，并对施工全过程的安全、质量、进度实施监控。</w:t>
      </w:r>
    </w:p>
    <w:p w14:paraId="4DB0E3DD">
      <w:pPr>
        <w:spacing w:line="520" w:lineRule="exact"/>
      </w:pPr>
      <w:r>
        <w:rPr>
          <w:rFonts w:hint="eastAsia"/>
        </w:rPr>
        <w:t>项目部为二级管理小组，设在施工现场，充分发挥指导、协调、监控、组织和服务的职能，保证工程施工的日常工作正常进行，协同监理方作好分部、分项工程质量成果的检查、评定、验收。项目经理在项目总负责的领导下对工程质量全面负责，技术负责主管施工技术工作。技术质量工作必须全员参加，建立符合项目特点的质量管理控制网络，使施工现场的各个环节和各工序均有管理负责人。</w:t>
      </w:r>
    </w:p>
    <w:p w14:paraId="162276C5">
      <w:pPr>
        <w:spacing w:line="520" w:lineRule="exact"/>
      </w:pPr>
      <w:r>
        <w:rPr>
          <w:rFonts w:hint="eastAsia"/>
        </w:rPr>
        <w:t>项目施工班组为三级管理小组，负责各班组内的具体组织管理、安全施工、质量、进度保证的施行。</w:t>
      </w:r>
    </w:p>
    <w:p w14:paraId="4333231B">
      <w:pPr>
        <w:spacing w:line="520" w:lineRule="exact"/>
      </w:pPr>
      <w:r>
        <w:rPr>
          <w:rFonts w:hint="eastAsia"/>
        </w:rPr>
        <w:t>1、在项目经理的领导下，组织相关管理和技术人员成立项目部开展施工工作。</w:t>
      </w:r>
    </w:p>
    <w:p w14:paraId="1BD69DD9">
      <w:pPr>
        <w:spacing w:line="520" w:lineRule="exact"/>
      </w:pPr>
      <w:r>
        <w:rPr>
          <w:rFonts w:hint="eastAsia"/>
        </w:rPr>
        <w:t>2、项目部下设车辆运输组、特种机械作业组、测量组，各组设立组长，实行项目技术负责、组长、组员三级现场管理制度，明确各自职责，逐级贯彻落实。</w:t>
      </w:r>
    </w:p>
    <w:p w14:paraId="13725BE9">
      <w:pPr>
        <w:spacing w:line="520" w:lineRule="exact"/>
      </w:pPr>
      <w:r>
        <w:rPr>
          <w:rFonts w:hint="eastAsia"/>
        </w:rPr>
        <w:t>3、完善管理办法，建立管理制度，严格组织管理。</w:t>
      </w:r>
    </w:p>
    <w:p w14:paraId="253CB776">
      <w:pPr>
        <w:spacing w:line="520" w:lineRule="exact"/>
      </w:pPr>
      <w:r>
        <w:rPr>
          <w:rFonts w:hint="eastAsia"/>
        </w:rPr>
        <w:t>项目现场组织机构见图7-1。</w:t>
      </w:r>
    </w:p>
    <w:p w14:paraId="2556FE17">
      <w:pPr>
        <w:spacing w:line="240" w:lineRule="auto"/>
        <w:ind w:firstLine="600"/>
        <w:jc w:val="center"/>
        <w:rPr>
          <w:sz w:val="30"/>
          <w:szCs w:val="30"/>
        </w:rPr>
      </w:pPr>
      <w:r>
        <w:rPr>
          <w:rFonts w:hint="eastAsia"/>
          <w:sz w:val="30"/>
          <w:szCs w:val="30"/>
        </w:rPr>
        <w:drawing>
          <wp:inline distT="0" distB="0" distL="0" distR="0">
            <wp:extent cx="4526280" cy="4907280"/>
            <wp:effectExtent l="0" t="0" r="7620" b="7620"/>
            <wp:docPr id="6" name="图片 6" descr="../../../../../Users/ss/AppData/Roaming/JisuOffice/ETemp/1232_6941448/poclip1/01/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ss/AppData/Roaming/JisuOffice/ETemp/1232_6941448/poclip1/01/image10.pn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a:xfrm>
                      <a:off x="0" y="0"/>
                      <a:ext cx="4526280" cy="4907280"/>
                    </a:xfrm>
                    <a:prstGeom prst="rect">
                      <a:avLst/>
                    </a:prstGeom>
                    <a:noFill/>
                    <a:ln>
                      <a:noFill/>
                    </a:ln>
                    <a:effectLst/>
                  </pic:spPr>
                </pic:pic>
              </a:graphicData>
            </a:graphic>
          </wp:inline>
        </w:drawing>
      </w:r>
    </w:p>
    <w:p w14:paraId="155E7221">
      <w:pPr>
        <w:spacing w:line="520" w:lineRule="exact"/>
        <w:jc w:val="center"/>
      </w:pPr>
      <w:r>
        <w:rPr>
          <w:rFonts w:hint="eastAsia"/>
        </w:rPr>
        <w:t>图</w:t>
      </w:r>
      <w:r>
        <w:t>7</w:t>
      </w:r>
      <w:r>
        <w:rPr>
          <w:rFonts w:hint="eastAsia"/>
        </w:rPr>
        <w:t>-1  现场施工组织机构图</w:t>
      </w:r>
    </w:p>
    <w:p w14:paraId="0F196DDF">
      <w:pPr>
        <w:widowControl/>
        <w:spacing w:line="240" w:lineRule="auto"/>
        <w:rPr>
          <w:rFonts w:cs="宋体"/>
          <w:kern w:val="0"/>
          <w:sz w:val="24"/>
        </w:rPr>
      </w:pPr>
      <w:r>
        <w:rPr>
          <w:rFonts w:hint="eastAsia" w:cs="宋体"/>
          <w:color w:val="000000"/>
          <w:kern w:val="0"/>
        </w:rPr>
        <w:t>项目部主要成员及岗位职责见表</w:t>
      </w:r>
      <w:r>
        <w:rPr>
          <w:rFonts w:cs="宋体"/>
          <w:color w:val="000000"/>
          <w:kern w:val="0"/>
        </w:rPr>
        <w:t>7</w:t>
      </w:r>
      <w:r>
        <w:rPr>
          <w:rFonts w:hint="eastAsia" w:cs="宋体"/>
          <w:color w:val="000000"/>
          <w:kern w:val="0"/>
        </w:rPr>
        <w:t>-1。</w:t>
      </w:r>
    </w:p>
    <w:p w14:paraId="5D98B05E">
      <w:pPr>
        <w:pStyle w:val="29"/>
      </w:pPr>
      <w:r>
        <w:rPr>
          <w:rFonts w:hint="eastAsia"/>
        </w:rPr>
        <w:t>表</w:t>
      </w:r>
      <w:r>
        <w:t>7</w:t>
      </w:r>
      <w:r>
        <w:rPr>
          <w:rFonts w:hint="eastAsia"/>
        </w:rPr>
        <w:t xml:space="preserve">-1 </w:t>
      </w:r>
      <w:r>
        <w:t xml:space="preserve"> </w:t>
      </w:r>
      <w:r>
        <w:rPr>
          <w:rFonts w:hint="eastAsia"/>
        </w:rPr>
        <w:t>治理部主要成员及岗位职责表</w:t>
      </w:r>
    </w:p>
    <w:tbl>
      <w:tblPr>
        <w:tblStyle w:val="13"/>
        <w:tblW w:w="4998" w:type="pct"/>
        <w:jc w:val="center"/>
        <w:tblLayout w:type="autofit"/>
        <w:tblCellMar>
          <w:top w:w="0" w:type="dxa"/>
          <w:left w:w="108" w:type="dxa"/>
          <w:bottom w:w="0" w:type="dxa"/>
          <w:right w:w="108" w:type="dxa"/>
        </w:tblCellMar>
      </w:tblPr>
      <w:tblGrid>
        <w:gridCol w:w="1737"/>
        <w:gridCol w:w="636"/>
        <w:gridCol w:w="1519"/>
        <w:gridCol w:w="4627"/>
      </w:tblGrid>
      <w:tr w14:paraId="4083AB7D">
        <w:tblPrEx>
          <w:tblCellMar>
            <w:top w:w="0" w:type="dxa"/>
            <w:left w:w="108" w:type="dxa"/>
            <w:bottom w:w="0" w:type="dxa"/>
            <w:right w:w="108" w:type="dxa"/>
          </w:tblCellMar>
        </w:tblPrEx>
        <w:trPr>
          <w:trHeight w:val="270" w:hRule="atLeast"/>
          <w:jc w:val="center"/>
        </w:trPr>
        <w:tc>
          <w:tcPr>
            <w:tcW w:w="1020" w:type="pct"/>
            <w:tcBorders>
              <w:top w:val="single" w:color="000000" w:sz="4" w:space="0"/>
              <w:left w:val="single" w:color="000000" w:sz="4" w:space="0"/>
              <w:bottom w:val="single" w:color="000000" w:sz="4" w:space="0"/>
              <w:right w:val="single" w:color="000000" w:sz="4" w:space="0"/>
            </w:tcBorders>
            <w:noWrap/>
            <w:vAlign w:val="center"/>
          </w:tcPr>
          <w:p w14:paraId="45B2F45E">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职 务</w:t>
            </w:r>
          </w:p>
        </w:tc>
        <w:tc>
          <w:tcPr>
            <w:tcW w:w="373" w:type="pct"/>
            <w:tcBorders>
              <w:top w:val="single" w:color="000000" w:sz="4" w:space="0"/>
              <w:left w:val="nil"/>
              <w:bottom w:val="single" w:color="000000" w:sz="4" w:space="0"/>
              <w:right w:val="single" w:color="000000" w:sz="4" w:space="0"/>
            </w:tcBorders>
            <w:noWrap/>
            <w:vAlign w:val="center"/>
          </w:tcPr>
          <w:p w14:paraId="7D559B67">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人数</w:t>
            </w:r>
          </w:p>
        </w:tc>
        <w:tc>
          <w:tcPr>
            <w:tcW w:w="892" w:type="pct"/>
            <w:tcBorders>
              <w:top w:val="single" w:color="000000" w:sz="4" w:space="0"/>
              <w:left w:val="nil"/>
              <w:bottom w:val="single" w:color="000000" w:sz="4" w:space="0"/>
              <w:right w:val="single" w:color="000000" w:sz="4" w:space="0"/>
            </w:tcBorders>
            <w:noWrap/>
            <w:vAlign w:val="center"/>
          </w:tcPr>
          <w:p w14:paraId="5837B5C7">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职称</w:t>
            </w:r>
          </w:p>
        </w:tc>
        <w:tc>
          <w:tcPr>
            <w:tcW w:w="2714" w:type="pct"/>
            <w:tcBorders>
              <w:top w:val="single" w:color="000000" w:sz="4" w:space="0"/>
              <w:left w:val="nil"/>
              <w:bottom w:val="single" w:color="000000" w:sz="4" w:space="0"/>
              <w:right w:val="single" w:color="000000" w:sz="4" w:space="0"/>
            </w:tcBorders>
            <w:noWrap/>
            <w:vAlign w:val="center"/>
          </w:tcPr>
          <w:p w14:paraId="6C457AC4">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岗位职责</w:t>
            </w:r>
          </w:p>
        </w:tc>
      </w:tr>
      <w:tr w14:paraId="72B0ECAD">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16569EAC">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项目经理</w:t>
            </w:r>
          </w:p>
        </w:tc>
        <w:tc>
          <w:tcPr>
            <w:tcW w:w="373" w:type="pct"/>
            <w:tcBorders>
              <w:top w:val="nil"/>
              <w:left w:val="nil"/>
              <w:bottom w:val="single" w:color="000000" w:sz="4" w:space="0"/>
              <w:right w:val="single" w:color="000000" w:sz="4" w:space="0"/>
            </w:tcBorders>
            <w:noWrap/>
            <w:vAlign w:val="center"/>
          </w:tcPr>
          <w:p w14:paraId="1411F22C">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0F84329E">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工程师</w:t>
            </w:r>
          </w:p>
        </w:tc>
        <w:tc>
          <w:tcPr>
            <w:tcW w:w="2714" w:type="pct"/>
            <w:tcBorders>
              <w:top w:val="nil"/>
              <w:left w:val="nil"/>
              <w:bottom w:val="single" w:color="000000" w:sz="4" w:space="0"/>
              <w:right w:val="single" w:color="000000" w:sz="4" w:space="0"/>
            </w:tcBorders>
            <w:noWrap/>
            <w:vAlign w:val="center"/>
          </w:tcPr>
          <w:p w14:paraId="5D968674">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全面负责项目管理工作</w:t>
            </w:r>
          </w:p>
        </w:tc>
      </w:tr>
      <w:tr w14:paraId="6F92AF27">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08748F34">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技术负责</w:t>
            </w:r>
          </w:p>
        </w:tc>
        <w:tc>
          <w:tcPr>
            <w:tcW w:w="373" w:type="pct"/>
            <w:tcBorders>
              <w:top w:val="nil"/>
              <w:left w:val="nil"/>
              <w:bottom w:val="single" w:color="000000" w:sz="4" w:space="0"/>
              <w:right w:val="single" w:color="000000" w:sz="4" w:space="0"/>
            </w:tcBorders>
            <w:noWrap/>
            <w:vAlign w:val="center"/>
          </w:tcPr>
          <w:p w14:paraId="7AA67629">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5F0FEC8B">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工程师</w:t>
            </w:r>
          </w:p>
        </w:tc>
        <w:tc>
          <w:tcPr>
            <w:tcW w:w="2714" w:type="pct"/>
            <w:tcBorders>
              <w:top w:val="nil"/>
              <w:left w:val="nil"/>
              <w:bottom w:val="single" w:color="000000" w:sz="4" w:space="0"/>
              <w:right w:val="single" w:color="000000" w:sz="4" w:space="0"/>
            </w:tcBorders>
            <w:noWrap/>
            <w:vAlign w:val="center"/>
          </w:tcPr>
          <w:p w14:paraId="00F26ED6">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负责工程技术指导和质量管理工作</w:t>
            </w:r>
          </w:p>
        </w:tc>
      </w:tr>
      <w:tr w14:paraId="58A4E357">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695659D6">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质检员</w:t>
            </w:r>
          </w:p>
        </w:tc>
        <w:tc>
          <w:tcPr>
            <w:tcW w:w="373" w:type="pct"/>
            <w:tcBorders>
              <w:top w:val="nil"/>
              <w:left w:val="nil"/>
              <w:bottom w:val="single" w:color="000000" w:sz="4" w:space="0"/>
              <w:right w:val="single" w:color="000000" w:sz="4" w:space="0"/>
            </w:tcBorders>
            <w:noWrap/>
            <w:vAlign w:val="center"/>
          </w:tcPr>
          <w:p w14:paraId="30C15710">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0435BF02">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助理工程师</w:t>
            </w:r>
          </w:p>
        </w:tc>
        <w:tc>
          <w:tcPr>
            <w:tcW w:w="2714" w:type="pct"/>
            <w:tcBorders>
              <w:top w:val="nil"/>
              <w:left w:val="nil"/>
              <w:bottom w:val="single" w:color="000000" w:sz="4" w:space="0"/>
              <w:right w:val="single" w:color="000000" w:sz="4" w:space="0"/>
            </w:tcBorders>
            <w:noWrap/>
            <w:vAlign w:val="center"/>
          </w:tcPr>
          <w:p w14:paraId="1CED5A10">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负责施工各道工序的质量检验工作</w:t>
            </w:r>
          </w:p>
        </w:tc>
      </w:tr>
      <w:tr w14:paraId="31BF456D">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48B25E0A">
            <w:pPr>
              <w:widowControl/>
              <w:spacing w:line="240" w:lineRule="auto"/>
              <w:ind w:firstLine="0" w:firstLineChars="0"/>
              <w:jc w:val="center"/>
              <w:rPr>
                <w:rFonts w:ascii="宋体" w:eastAsia="宋体" w:cs="宋体"/>
                <w:color w:val="000000"/>
                <w:kern w:val="0"/>
                <w:sz w:val="21"/>
                <w:szCs w:val="16"/>
              </w:rPr>
            </w:pPr>
            <w:r>
              <w:rPr>
                <w:rFonts w:hint="eastAsia" w:ascii="宋体" w:cs="宋体"/>
                <w:color w:val="000000"/>
                <w:kern w:val="0"/>
                <w:sz w:val="21"/>
                <w:szCs w:val="16"/>
              </w:rPr>
              <w:t>施工员、测量员</w:t>
            </w:r>
          </w:p>
        </w:tc>
        <w:tc>
          <w:tcPr>
            <w:tcW w:w="373" w:type="pct"/>
            <w:tcBorders>
              <w:top w:val="nil"/>
              <w:left w:val="nil"/>
              <w:bottom w:val="single" w:color="000000" w:sz="4" w:space="0"/>
              <w:right w:val="single" w:color="000000" w:sz="4" w:space="0"/>
            </w:tcBorders>
            <w:noWrap/>
            <w:vAlign w:val="center"/>
          </w:tcPr>
          <w:p w14:paraId="7DCE92E0">
            <w:pPr>
              <w:widowControl/>
              <w:spacing w:line="240" w:lineRule="auto"/>
              <w:ind w:firstLine="0" w:firstLineChars="0"/>
              <w:jc w:val="center"/>
              <w:rPr>
                <w:rFonts w:ascii="宋体" w:eastAsia="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78E59521">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技术员</w:t>
            </w:r>
          </w:p>
        </w:tc>
        <w:tc>
          <w:tcPr>
            <w:tcW w:w="2714" w:type="pct"/>
            <w:tcBorders>
              <w:top w:val="nil"/>
              <w:left w:val="nil"/>
              <w:bottom w:val="single" w:color="000000" w:sz="4" w:space="0"/>
              <w:right w:val="single" w:color="000000" w:sz="4" w:space="0"/>
            </w:tcBorders>
            <w:noWrap/>
            <w:vAlign w:val="center"/>
          </w:tcPr>
          <w:p w14:paraId="1A9719A3">
            <w:pPr>
              <w:widowControl/>
              <w:spacing w:line="240" w:lineRule="auto"/>
              <w:ind w:firstLine="0" w:firstLineChars="0"/>
              <w:jc w:val="center"/>
              <w:rPr>
                <w:rFonts w:ascii="宋体" w:eastAsia="宋体" w:cs="宋体"/>
                <w:color w:val="000000"/>
                <w:kern w:val="0"/>
                <w:sz w:val="21"/>
                <w:szCs w:val="16"/>
              </w:rPr>
            </w:pPr>
            <w:r>
              <w:rPr>
                <w:rFonts w:hint="eastAsia" w:ascii="宋体" w:cs="宋体"/>
                <w:color w:val="000000"/>
                <w:kern w:val="0"/>
                <w:sz w:val="21"/>
                <w:szCs w:val="16"/>
              </w:rPr>
              <w:t>负责施工现场各工序的施工、负责项目测量工作</w:t>
            </w:r>
          </w:p>
        </w:tc>
      </w:tr>
      <w:tr w14:paraId="29FF884C">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11D73DD1">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安全员</w:t>
            </w:r>
          </w:p>
        </w:tc>
        <w:tc>
          <w:tcPr>
            <w:tcW w:w="373" w:type="pct"/>
            <w:tcBorders>
              <w:top w:val="nil"/>
              <w:left w:val="nil"/>
              <w:bottom w:val="single" w:color="000000" w:sz="4" w:space="0"/>
              <w:right w:val="single" w:color="000000" w:sz="4" w:space="0"/>
            </w:tcBorders>
            <w:noWrap/>
            <w:vAlign w:val="center"/>
          </w:tcPr>
          <w:p w14:paraId="096B3EE4">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72585AA3">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中级工</w:t>
            </w:r>
          </w:p>
        </w:tc>
        <w:tc>
          <w:tcPr>
            <w:tcW w:w="2714" w:type="pct"/>
            <w:tcBorders>
              <w:top w:val="nil"/>
              <w:left w:val="nil"/>
              <w:bottom w:val="single" w:color="000000" w:sz="4" w:space="0"/>
              <w:right w:val="single" w:color="000000" w:sz="4" w:space="0"/>
            </w:tcBorders>
            <w:noWrap/>
            <w:vAlign w:val="center"/>
          </w:tcPr>
          <w:p w14:paraId="429A06B1">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负责项目施工安全工作</w:t>
            </w:r>
          </w:p>
        </w:tc>
      </w:tr>
      <w:tr w14:paraId="1CA499A2">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4B1C96D6">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机械管理员</w:t>
            </w:r>
          </w:p>
        </w:tc>
        <w:tc>
          <w:tcPr>
            <w:tcW w:w="373" w:type="pct"/>
            <w:tcBorders>
              <w:top w:val="nil"/>
              <w:left w:val="nil"/>
              <w:bottom w:val="single" w:color="000000" w:sz="4" w:space="0"/>
              <w:right w:val="single" w:color="000000" w:sz="4" w:space="0"/>
            </w:tcBorders>
            <w:noWrap/>
            <w:vAlign w:val="center"/>
          </w:tcPr>
          <w:p w14:paraId="22D377AB">
            <w:pPr>
              <w:widowControl/>
              <w:spacing w:line="240" w:lineRule="auto"/>
              <w:ind w:firstLine="0" w:firstLineChars="0"/>
              <w:jc w:val="center"/>
              <w:rPr>
                <w:rFonts w:ascii="宋体" w:eastAsia="宋体" w:cs="宋体"/>
                <w:color w:val="000000"/>
                <w:kern w:val="0"/>
                <w:sz w:val="21"/>
                <w:szCs w:val="16"/>
              </w:rPr>
            </w:pPr>
            <w:r>
              <w:rPr>
                <w:rFonts w:hint="eastAsia" w:ascii="宋体" w:cs="宋体"/>
                <w:color w:val="000000"/>
                <w:kern w:val="0"/>
                <w:sz w:val="21"/>
                <w:szCs w:val="16"/>
              </w:rPr>
              <w:t>1</w:t>
            </w:r>
          </w:p>
        </w:tc>
        <w:tc>
          <w:tcPr>
            <w:tcW w:w="892" w:type="pct"/>
            <w:tcBorders>
              <w:top w:val="nil"/>
              <w:left w:val="nil"/>
              <w:bottom w:val="single" w:color="000000" w:sz="4" w:space="0"/>
              <w:right w:val="single" w:color="000000" w:sz="4" w:space="0"/>
            </w:tcBorders>
            <w:noWrap/>
            <w:vAlign w:val="center"/>
          </w:tcPr>
          <w:p w14:paraId="25A2B27D">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中级工</w:t>
            </w:r>
          </w:p>
        </w:tc>
        <w:tc>
          <w:tcPr>
            <w:tcW w:w="2714" w:type="pct"/>
            <w:tcBorders>
              <w:top w:val="nil"/>
              <w:left w:val="nil"/>
              <w:bottom w:val="single" w:color="000000" w:sz="4" w:space="0"/>
              <w:right w:val="single" w:color="000000" w:sz="4" w:space="0"/>
            </w:tcBorders>
            <w:noWrap/>
            <w:vAlign w:val="center"/>
          </w:tcPr>
          <w:p w14:paraId="6DA6374E">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负责项目机械管理工作</w:t>
            </w:r>
          </w:p>
        </w:tc>
      </w:tr>
      <w:tr w14:paraId="36A878E8">
        <w:tblPrEx>
          <w:tblCellMar>
            <w:top w:w="0" w:type="dxa"/>
            <w:left w:w="108" w:type="dxa"/>
            <w:bottom w:w="0" w:type="dxa"/>
            <w:right w:w="108" w:type="dxa"/>
          </w:tblCellMar>
        </w:tblPrEx>
        <w:trPr>
          <w:trHeight w:val="270" w:hRule="atLeast"/>
          <w:jc w:val="center"/>
        </w:trPr>
        <w:tc>
          <w:tcPr>
            <w:tcW w:w="1020" w:type="pct"/>
            <w:tcBorders>
              <w:top w:val="nil"/>
              <w:left w:val="single" w:color="000000" w:sz="4" w:space="0"/>
              <w:bottom w:val="single" w:color="000000" w:sz="4" w:space="0"/>
              <w:right w:val="single" w:color="000000" w:sz="4" w:space="0"/>
            </w:tcBorders>
            <w:noWrap/>
            <w:vAlign w:val="center"/>
          </w:tcPr>
          <w:p w14:paraId="71A69DB6">
            <w:pPr>
              <w:widowControl/>
              <w:spacing w:line="240" w:lineRule="auto"/>
              <w:ind w:firstLine="0" w:firstLineChars="0"/>
              <w:jc w:val="center"/>
              <w:rPr>
                <w:rFonts w:ascii="宋体" w:cs="宋体"/>
                <w:color w:val="000000"/>
                <w:kern w:val="0"/>
                <w:sz w:val="21"/>
                <w:szCs w:val="16"/>
              </w:rPr>
            </w:pPr>
            <w:r>
              <w:rPr>
                <w:rFonts w:hint="eastAsia" w:ascii="宋体" w:cs="宋体"/>
                <w:color w:val="000000"/>
                <w:kern w:val="0"/>
                <w:sz w:val="21"/>
                <w:szCs w:val="16"/>
              </w:rPr>
              <w:t>合计</w:t>
            </w:r>
          </w:p>
        </w:tc>
        <w:tc>
          <w:tcPr>
            <w:tcW w:w="373" w:type="pct"/>
            <w:tcBorders>
              <w:top w:val="nil"/>
              <w:left w:val="nil"/>
              <w:bottom w:val="single" w:color="000000" w:sz="4" w:space="0"/>
              <w:right w:val="single" w:color="000000" w:sz="4" w:space="0"/>
            </w:tcBorders>
            <w:noWrap/>
            <w:vAlign w:val="center"/>
          </w:tcPr>
          <w:p w14:paraId="1FFD425C">
            <w:pPr>
              <w:widowControl/>
              <w:spacing w:line="240" w:lineRule="auto"/>
              <w:ind w:firstLine="0" w:firstLineChars="0"/>
              <w:jc w:val="center"/>
              <w:rPr>
                <w:rFonts w:ascii="宋体" w:eastAsia="宋体" w:cs="宋体"/>
                <w:color w:val="000000"/>
                <w:kern w:val="0"/>
                <w:sz w:val="21"/>
                <w:szCs w:val="16"/>
              </w:rPr>
            </w:pPr>
            <w:r>
              <w:rPr>
                <w:rFonts w:hint="eastAsia" w:ascii="宋体" w:cs="宋体"/>
                <w:color w:val="000000"/>
                <w:kern w:val="0"/>
                <w:sz w:val="21"/>
                <w:szCs w:val="16"/>
              </w:rPr>
              <w:t>6</w:t>
            </w:r>
          </w:p>
        </w:tc>
        <w:tc>
          <w:tcPr>
            <w:tcW w:w="892" w:type="pct"/>
            <w:tcBorders>
              <w:top w:val="nil"/>
              <w:left w:val="nil"/>
              <w:bottom w:val="single" w:color="000000" w:sz="4" w:space="0"/>
              <w:right w:val="single" w:color="000000" w:sz="4" w:space="0"/>
            </w:tcBorders>
            <w:noWrap/>
            <w:vAlign w:val="center"/>
          </w:tcPr>
          <w:p w14:paraId="51E784FC">
            <w:pPr>
              <w:widowControl/>
              <w:spacing w:line="240" w:lineRule="auto"/>
              <w:ind w:firstLine="420"/>
              <w:jc w:val="center"/>
              <w:rPr>
                <w:rFonts w:ascii="宋体" w:cs="宋体"/>
                <w:color w:val="000000"/>
                <w:kern w:val="0"/>
                <w:sz w:val="21"/>
                <w:szCs w:val="16"/>
              </w:rPr>
            </w:pPr>
          </w:p>
        </w:tc>
        <w:tc>
          <w:tcPr>
            <w:tcW w:w="2714" w:type="pct"/>
            <w:tcBorders>
              <w:top w:val="nil"/>
              <w:left w:val="nil"/>
              <w:bottom w:val="single" w:color="000000" w:sz="4" w:space="0"/>
              <w:right w:val="single" w:color="000000" w:sz="4" w:space="0"/>
            </w:tcBorders>
            <w:noWrap/>
            <w:vAlign w:val="center"/>
          </w:tcPr>
          <w:p w14:paraId="39E58EEA">
            <w:pPr>
              <w:widowControl/>
              <w:spacing w:line="240" w:lineRule="auto"/>
              <w:ind w:firstLine="420"/>
              <w:jc w:val="center"/>
              <w:rPr>
                <w:rFonts w:ascii="宋体" w:cs="宋体"/>
                <w:color w:val="000000"/>
                <w:kern w:val="0"/>
                <w:sz w:val="21"/>
                <w:szCs w:val="16"/>
              </w:rPr>
            </w:pPr>
          </w:p>
        </w:tc>
      </w:tr>
    </w:tbl>
    <w:p w14:paraId="78332436">
      <w:pPr>
        <w:ind w:firstLine="562"/>
        <w:rPr>
          <w:b/>
          <w:bCs/>
        </w:rPr>
      </w:pPr>
      <w:r>
        <w:rPr>
          <w:rFonts w:hint="eastAsia"/>
          <w:b/>
          <w:bCs/>
        </w:rPr>
        <w:t>二、项目部主要人员职责</w:t>
      </w:r>
    </w:p>
    <w:p w14:paraId="1AB444A1">
      <w:pPr>
        <w:spacing w:line="520" w:lineRule="exact"/>
      </w:pPr>
      <w:bookmarkStart w:id="299" w:name="_Toc8402746"/>
      <w:bookmarkStart w:id="300" w:name="_Toc102927633"/>
      <w:bookmarkStart w:id="301" w:name="_Toc16251"/>
      <w:bookmarkStart w:id="302" w:name="_Toc31276"/>
      <w:r>
        <w:rPr>
          <w:rFonts w:hint="eastAsia"/>
        </w:rPr>
        <w:t>(一)项目经理</w:t>
      </w:r>
    </w:p>
    <w:p w14:paraId="10B98306">
      <w:pPr>
        <w:spacing w:line="520" w:lineRule="exact"/>
      </w:pPr>
      <w:r>
        <w:rPr>
          <w:rFonts w:hint="eastAsia"/>
        </w:rPr>
        <w:t>1、在法人或项目总负责授权或委托之下，对工程项目质量负全面责任，建立项目质量管理体系，组织编写《项目质量计划》，规定项目质量目标，明确质量职能分工，保证质量目标的实现；</w:t>
      </w:r>
    </w:p>
    <w:p w14:paraId="37E428F0">
      <w:pPr>
        <w:spacing w:line="520" w:lineRule="exact"/>
      </w:pPr>
      <w:r>
        <w:rPr>
          <w:rFonts w:hint="eastAsia"/>
        </w:rPr>
        <w:t>2、严格执行单位各项质量管理制度，定期组织项目质量检查、评审和改进，行使质量否决权；</w:t>
      </w:r>
    </w:p>
    <w:p w14:paraId="47035C06">
      <w:pPr>
        <w:spacing w:line="520" w:lineRule="exact"/>
      </w:pPr>
      <w:r>
        <w:rPr>
          <w:rFonts w:hint="eastAsia"/>
        </w:rPr>
        <w:t>3、认真履行工程内部承包合同，同时强化项目管理的“四控制”“三管理”“一协调”，保证兑现合同承诺；</w:t>
      </w:r>
    </w:p>
    <w:p w14:paraId="66EE2E0A">
      <w:pPr>
        <w:spacing w:line="520" w:lineRule="exact"/>
      </w:pPr>
      <w:r>
        <w:rPr>
          <w:rFonts w:hint="eastAsia"/>
        </w:rPr>
        <w:t>4、对进入项目的人力、资金、材料、施工设备等资源进行优化配置，合理安排施工进度，保证均衡生产，做到文明施工；</w:t>
      </w:r>
    </w:p>
    <w:p w14:paraId="5A6929FF">
      <w:pPr>
        <w:spacing w:line="520" w:lineRule="exact"/>
      </w:pPr>
      <w:r>
        <w:rPr>
          <w:rFonts w:hint="eastAsia"/>
        </w:rPr>
        <w:t>5、组织项目质量成本预测、控制、分析和考核，降低成本消耗，节约开支，提高效益；</w:t>
      </w:r>
    </w:p>
    <w:p w14:paraId="0F7CF8DA">
      <w:pPr>
        <w:spacing w:line="520" w:lineRule="exact"/>
      </w:pPr>
      <w:r>
        <w:rPr>
          <w:rFonts w:hint="eastAsia"/>
        </w:rPr>
        <w:t>6、及时组织不合格项的质量分析会，对质量事故及不合格项按照“三不放过”的原则进行分析，并向单位职能部分反馈各种质量信息；</w:t>
      </w:r>
    </w:p>
    <w:p w14:paraId="4863752C">
      <w:pPr>
        <w:spacing w:line="520" w:lineRule="exact"/>
      </w:pPr>
      <w:r>
        <w:rPr>
          <w:rFonts w:hint="eastAsia"/>
        </w:rPr>
        <w:t>7、组织动员项目全体人员积极配合内外质量审核，对审核发现的不合格项，制定切实可行的纠正措施，限期整改，避免或减少不合格项的重复出现；</w:t>
      </w:r>
    </w:p>
    <w:p w14:paraId="2A92F8BF">
      <w:pPr>
        <w:spacing w:line="520" w:lineRule="exact"/>
      </w:pPr>
      <w:r>
        <w:rPr>
          <w:rFonts w:hint="eastAsia"/>
        </w:rPr>
        <w:t>8、组织制定、实施具有质量否决权的经济责任制。监督检查本项目岗位技能和质量意识教育培训，并考核和评价其工作。</w:t>
      </w:r>
    </w:p>
    <w:p w14:paraId="635D701B">
      <w:pPr>
        <w:spacing w:line="520" w:lineRule="exact"/>
      </w:pPr>
      <w:r>
        <w:rPr>
          <w:rFonts w:hint="eastAsia"/>
        </w:rPr>
        <w:t>9、负责现场施工人员的生活后勤保障工作，检查保管员的材料保管工作，随时掌握现场材料用量情况，必要时向项目经理汇报；</w:t>
      </w:r>
    </w:p>
    <w:p w14:paraId="12A2A8E8">
      <w:pPr>
        <w:spacing w:line="520" w:lineRule="exact"/>
      </w:pPr>
      <w:r>
        <w:rPr>
          <w:rFonts w:hint="eastAsia"/>
        </w:rPr>
        <w:t>10、负责安排施工现场所有大中型施工设备的调度、进场、安装、调试工作，确保施工设备的正常运行。</w:t>
      </w:r>
    </w:p>
    <w:p w14:paraId="053691BE">
      <w:pPr>
        <w:spacing w:line="520" w:lineRule="exact"/>
      </w:pPr>
      <w:r>
        <w:rPr>
          <w:rFonts w:hint="eastAsia"/>
        </w:rPr>
        <w:t>(二)项目技术负责</w:t>
      </w:r>
    </w:p>
    <w:p w14:paraId="1981E81D">
      <w:pPr>
        <w:spacing w:line="520" w:lineRule="exact"/>
      </w:pPr>
      <w:r>
        <w:rPr>
          <w:rFonts w:hint="eastAsia"/>
        </w:rPr>
        <w:t>1、组织项目部专业技术人员进行图纸、工程量自审，参加管理单位组织的施工图及工程量会审和技术交底，并作好会审和交底纪录；</w:t>
      </w:r>
    </w:p>
    <w:p w14:paraId="27B25BF5">
      <w:pPr>
        <w:spacing w:line="520" w:lineRule="exact"/>
      </w:pPr>
      <w:r>
        <w:rPr>
          <w:rFonts w:hint="eastAsia"/>
        </w:rPr>
        <w:t>2、组织好施工过程中关键工序及特殊作业的指导工作，并制定好相应的施工措施；</w:t>
      </w:r>
    </w:p>
    <w:p w14:paraId="007E7B0F">
      <w:pPr>
        <w:spacing w:line="520" w:lineRule="exact"/>
      </w:pPr>
      <w:r>
        <w:rPr>
          <w:rFonts w:hint="eastAsia"/>
        </w:rPr>
        <w:t>3、组织重要施工部位和特殊施工过程的验收，对发现的不合格或潜在不合格及时采取纠正和预防措施，并验证措施的落实情况；</w:t>
      </w:r>
    </w:p>
    <w:p w14:paraId="0F4392A5">
      <w:pPr>
        <w:spacing w:line="520" w:lineRule="exact"/>
      </w:pPr>
      <w:r>
        <w:rPr>
          <w:rFonts w:hint="eastAsia"/>
        </w:rPr>
        <w:t>4、定期召开质量分析会，检查质量体系运行的适应性和有效性，及时研究处理质量活动中的重大技术问题。对质量持有否决权；</w:t>
      </w:r>
    </w:p>
    <w:p w14:paraId="2E5D6D28">
      <w:pPr>
        <w:spacing w:line="520" w:lineRule="exact"/>
      </w:pPr>
      <w:r>
        <w:rPr>
          <w:rFonts w:hint="eastAsia"/>
        </w:rPr>
        <w:t>5、定期组织项目工程质量检查，主持单位工程质量评定，仲裁工程质量争议。</w:t>
      </w:r>
    </w:p>
    <w:p w14:paraId="513152C3">
      <w:pPr>
        <w:spacing w:line="520" w:lineRule="exact"/>
      </w:pPr>
      <w:r>
        <w:rPr>
          <w:rFonts w:hint="eastAsia"/>
        </w:rPr>
        <w:t>(三)质检员</w:t>
      </w:r>
    </w:p>
    <w:p w14:paraId="6C40E003">
      <w:pPr>
        <w:spacing w:line="520" w:lineRule="exact"/>
      </w:pPr>
      <w:r>
        <w:rPr>
          <w:rFonts w:hint="eastAsia"/>
        </w:rPr>
        <w:t>1、认真执行国家颁布的施工规范、质量验收评定标准；</w:t>
      </w:r>
    </w:p>
    <w:p w14:paraId="0FDEBB18">
      <w:pPr>
        <w:spacing w:line="520" w:lineRule="exact"/>
      </w:pPr>
      <w:r>
        <w:rPr>
          <w:rFonts w:hint="eastAsia"/>
        </w:rPr>
        <w:t>2、负责对工程量及设计图纸进行会审，对工程中各工序进行书面交底，参加工程预检和工程验收，对工程的每一分部、分项工程进行质量检查和评定并纪录；</w:t>
      </w:r>
    </w:p>
    <w:p w14:paraId="6EBC3FB0">
      <w:pPr>
        <w:spacing w:line="520" w:lineRule="exact"/>
      </w:pPr>
      <w:r>
        <w:rPr>
          <w:rFonts w:hint="eastAsia"/>
        </w:rPr>
        <w:t>3、负责工程项目的质量监控工作，定期参加项目工程质量检查；</w:t>
      </w:r>
    </w:p>
    <w:p w14:paraId="46E43714">
      <w:pPr>
        <w:spacing w:line="520" w:lineRule="exact"/>
      </w:pPr>
      <w:r>
        <w:rPr>
          <w:rFonts w:hint="eastAsia"/>
        </w:rPr>
        <w:t>4、负责对工程中出现的不合格品进行控制，并制定和组织实施纠正措施；</w:t>
      </w:r>
    </w:p>
    <w:p w14:paraId="3C21C2B9">
      <w:pPr>
        <w:spacing w:line="520" w:lineRule="exact"/>
      </w:pPr>
      <w:r>
        <w:rPr>
          <w:rFonts w:hint="eastAsia"/>
        </w:rPr>
        <w:t>5、定期参与和召开质量分析会，及时研究处理质量中的技术问题。</w:t>
      </w:r>
    </w:p>
    <w:p w14:paraId="7637FF7B">
      <w:pPr>
        <w:spacing w:line="520" w:lineRule="exact"/>
      </w:pPr>
      <w:r>
        <w:rPr>
          <w:rFonts w:hint="eastAsia"/>
        </w:rPr>
        <w:t>(四)施工员</w:t>
      </w:r>
    </w:p>
    <w:p w14:paraId="5D510E70">
      <w:pPr>
        <w:spacing w:line="520" w:lineRule="exact"/>
      </w:pPr>
      <w:r>
        <w:rPr>
          <w:rFonts w:hint="eastAsia"/>
        </w:rPr>
        <w:t>1、认真执行国家颁发的施工规范，质量验收评定标准；</w:t>
      </w:r>
    </w:p>
    <w:p w14:paraId="09A3C92A">
      <w:pPr>
        <w:spacing w:line="520" w:lineRule="exact"/>
      </w:pPr>
      <w:r>
        <w:rPr>
          <w:rFonts w:hint="eastAsia"/>
        </w:rPr>
        <w:t>2、负责编制项目质量计划并规定特殊过程和关键工序的施工方案、技术措施；</w:t>
      </w:r>
    </w:p>
    <w:p w14:paraId="6B690801">
      <w:pPr>
        <w:spacing w:line="520" w:lineRule="exact"/>
      </w:pPr>
      <w:r>
        <w:rPr>
          <w:rFonts w:hint="eastAsia"/>
        </w:rPr>
        <w:t>3、负责按工程合同要求组织现场的施工，对施工的全过程进行控制、对工程的施工进度、文明施工负责。建立施工日志，作好并检查有关人员施工过程中的检验和试验状态的记录，作好特殊过程、关键过程的施工记录；</w:t>
      </w:r>
    </w:p>
    <w:p w14:paraId="3764ED99">
      <w:pPr>
        <w:spacing w:line="520" w:lineRule="exact"/>
      </w:pPr>
      <w:r>
        <w:rPr>
          <w:rFonts w:hint="eastAsia"/>
        </w:rPr>
        <w:t>4、负责工程施工现场工作的检查和监督，贯彻执行国家有关规范、验收标准；</w:t>
      </w:r>
    </w:p>
    <w:p w14:paraId="35FBDB54">
      <w:pPr>
        <w:spacing w:line="520" w:lineRule="exact"/>
      </w:pPr>
      <w:r>
        <w:rPr>
          <w:rFonts w:hint="eastAsia"/>
        </w:rPr>
        <w:t>5、负责履行内部合同要求的工程交付后维修保养工作。负责组织新技术、新材料、新工艺、新设备的推广应用和实施；</w:t>
      </w:r>
    </w:p>
    <w:p w14:paraId="1A19E9B4">
      <w:pPr>
        <w:spacing w:line="520" w:lineRule="exact"/>
      </w:pPr>
      <w:r>
        <w:rPr>
          <w:rFonts w:hint="eastAsia"/>
        </w:rPr>
        <w:t>6、负责所施工工程的现场管理，落实现场安全责任制，强化施工生产安全管理，落实现场的文明施工工作。</w:t>
      </w:r>
    </w:p>
    <w:p w14:paraId="6F275D1A">
      <w:pPr>
        <w:spacing w:line="520" w:lineRule="exact"/>
      </w:pPr>
      <w:r>
        <w:rPr>
          <w:rFonts w:hint="eastAsia"/>
        </w:rPr>
        <w:t>(五)测量员</w:t>
      </w:r>
    </w:p>
    <w:p w14:paraId="542BAFEC">
      <w:pPr>
        <w:spacing w:line="520" w:lineRule="exact"/>
      </w:pPr>
      <w:r>
        <w:rPr>
          <w:rFonts w:hint="eastAsia"/>
        </w:rPr>
        <w:t>1、熟悉施工设计图纸，负责开工前的测量，放线定位工作，确保工程的顺利进行；</w:t>
      </w:r>
    </w:p>
    <w:p w14:paraId="2B08C5C8">
      <w:pPr>
        <w:spacing w:line="520" w:lineRule="exact"/>
      </w:pPr>
      <w:r>
        <w:rPr>
          <w:rFonts w:hint="eastAsia"/>
        </w:rPr>
        <w:t>2、负责对需要进行复测的工序在该工序完工时进行复测并作好记录。</w:t>
      </w:r>
    </w:p>
    <w:p w14:paraId="0A98435B">
      <w:pPr>
        <w:spacing w:line="520" w:lineRule="exact"/>
      </w:pPr>
      <w:r>
        <w:rPr>
          <w:rFonts w:hint="eastAsia"/>
        </w:rPr>
        <w:t>(六)资料员</w:t>
      </w:r>
    </w:p>
    <w:p w14:paraId="0E5CA84B">
      <w:pPr>
        <w:spacing w:line="520" w:lineRule="exact"/>
      </w:pPr>
      <w:r>
        <w:rPr>
          <w:rFonts w:hint="eastAsia"/>
        </w:rPr>
        <w:t>1、负责项目部范围内的管理、技术性文件和资料的统一管理。编制和整理施工过程中的质量、安全、进度等相关资料编制填写和收集。负责竣工资料的编目、组卷移交工作，保存各项检验和试验纪录；</w:t>
      </w:r>
    </w:p>
    <w:p w14:paraId="13B0FB7F">
      <w:pPr>
        <w:spacing w:line="520" w:lineRule="exact"/>
      </w:pPr>
      <w:r>
        <w:rPr>
          <w:rFonts w:hint="eastAsia"/>
        </w:rPr>
        <w:t>2、负责质量体系文件和资料的收发管理等工作，检查监督指导各项各类人员的执行情况；</w:t>
      </w:r>
    </w:p>
    <w:p w14:paraId="07ACFE19">
      <w:pPr>
        <w:spacing w:line="520" w:lineRule="exact"/>
      </w:pPr>
      <w:r>
        <w:rPr>
          <w:rFonts w:hint="eastAsia"/>
        </w:rPr>
        <w:t>3、负责其他文件的收发、管理工作。</w:t>
      </w:r>
    </w:p>
    <w:p w14:paraId="129CB916">
      <w:pPr>
        <w:spacing w:line="520" w:lineRule="exact"/>
      </w:pPr>
      <w:r>
        <w:rPr>
          <w:rFonts w:hint="eastAsia"/>
        </w:rPr>
        <w:t>(七)试验员</w:t>
      </w:r>
    </w:p>
    <w:p w14:paraId="217536B8">
      <w:pPr>
        <w:spacing w:line="520" w:lineRule="exact"/>
      </w:pPr>
      <w:r>
        <w:rPr>
          <w:rFonts w:hint="eastAsia"/>
        </w:rPr>
        <w:t>1、负责对与本工程有关的原材料取样和送检工作，及时制作工程重要结构部位的砂浆、混凝土试件，并按规范要求养护和送检；</w:t>
      </w:r>
    </w:p>
    <w:p w14:paraId="28C0ED63">
      <w:pPr>
        <w:spacing w:line="520" w:lineRule="exact"/>
      </w:pPr>
      <w:r>
        <w:rPr>
          <w:rFonts w:hint="eastAsia"/>
        </w:rPr>
        <w:t>2、积极联系法定检测部门对本工程有关的检验、检测项目会同施工技术人员进行检验；</w:t>
      </w:r>
    </w:p>
    <w:p w14:paraId="0C5FBFD1">
      <w:pPr>
        <w:spacing w:line="520" w:lineRule="exact"/>
      </w:pPr>
      <w:r>
        <w:rPr>
          <w:rFonts w:hint="eastAsia"/>
        </w:rPr>
        <w:t>3、对原材料、试件的检测结果不合格的，要及时向项目技术负责人汇报，以便项目部采取应急技术措施；</w:t>
      </w:r>
    </w:p>
    <w:p w14:paraId="504E6807">
      <w:pPr>
        <w:spacing w:line="520" w:lineRule="exact"/>
      </w:pPr>
      <w:r>
        <w:rPr>
          <w:rFonts w:hint="eastAsia"/>
        </w:rPr>
        <w:t>4、对检测合格的，将检测结果资料及时转交相关施工区的施工技术人员。</w:t>
      </w:r>
    </w:p>
    <w:p w14:paraId="6AF9A9BC">
      <w:pPr>
        <w:spacing w:line="520" w:lineRule="exact"/>
      </w:pPr>
      <w:r>
        <w:rPr>
          <w:rFonts w:hint="eastAsia"/>
        </w:rPr>
        <w:t>(八)预算员</w:t>
      </w:r>
    </w:p>
    <w:p w14:paraId="06F17F4C">
      <w:pPr>
        <w:spacing w:line="520" w:lineRule="exact"/>
      </w:pPr>
      <w:r>
        <w:rPr>
          <w:rFonts w:hint="eastAsia"/>
        </w:rPr>
        <w:t>1、结合工程进展情况，做好分阶段(半月)成本核算工作；</w:t>
      </w:r>
    </w:p>
    <w:p w14:paraId="79AD2C98">
      <w:pPr>
        <w:spacing w:line="520" w:lineRule="exact"/>
      </w:pPr>
      <w:r>
        <w:rPr>
          <w:rFonts w:hint="eastAsia"/>
        </w:rPr>
        <w:t>2、认真作好“两算”对比分析，找出成本超差和节省的原因，提出下一工作阶段的工程成本管理的控制要点并及时向项目经理汇报；</w:t>
      </w:r>
    </w:p>
    <w:p w14:paraId="0394C6F2">
      <w:pPr>
        <w:spacing w:line="520" w:lineRule="exact"/>
      </w:pPr>
      <w:r>
        <w:rPr>
          <w:rFonts w:hint="eastAsia"/>
        </w:rPr>
        <w:t>3、按期(每月)会同材料员作好库存盘点，在每个月底前向项目经理或副项目经理汇报。</w:t>
      </w:r>
    </w:p>
    <w:p w14:paraId="7DA0F1F9">
      <w:pPr>
        <w:spacing w:line="520" w:lineRule="exact"/>
      </w:pPr>
      <w:r>
        <w:rPr>
          <w:rFonts w:hint="eastAsia"/>
        </w:rPr>
        <w:t>(九)安全员</w:t>
      </w:r>
    </w:p>
    <w:p w14:paraId="226FE946">
      <w:pPr>
        <w:spacing w:line="520" w:lineRule="exact"/>
      </w:pPr>
      <w:r>
        <w:rPr>
          <w:rFonts w:hint="eastAsia"/>
        </w:rPr>
        <w:t>1、严格执行国家和上级管理单位的有关安全规定和本单位施工现场安全管理标准；</w:t>
      </w:r>
    </w:p>
    <w:p w14:paraId="3A54FA2C">
      <w:pPr>
        <w:spacing w:line="520" w:lineRule="exact"/>
      </w:pPr>
      <w:r>
        <w:rPr>
          <w:rFonts w:hint="eastAsia"/>
        </w:rPr>
        <w:t>2、协助项目经理和分管领导组织安全生产检查，并具体实施落实安全生产考核制度；</w:t>
      </w:r>
    </w:p>
    <w:p w14:paraId="690E385B">
      <w:pPr>
        <w:spacing w:line="520" w:lineRule="exact"/>
      </w:pPr>
      <w:r>
        <w:rPr>
          <w:rFonts w:hint="eastAsia"/>
        </w:rPr>
        <w:t>3、制定项目重点部位(区域)的安全布置和预防措施；</w:t>
      </w:r>
    </w:p>
    <w:p w14:paraId="6194FB1C">
      <w:pPr>
        <w:spacing w:line="520" w:lineRule="exact"/>
      </w:pPr>
      <w:r>
        <w:rPr>
          <w:rFonts w:hint="eastAsia"/>
        </w:rPr>
        <w:t>4、定期组织人员进行安全生产现状分析，及时提出意见，及时解决安全生产工作中存在的问题，并做好安全资料的积累和整理工作；</w:t>
      </w:r>
    </w:p>
    <w:p w14:paraId="2B724B46">
      <w:pPr>
        <w:spacing w:line="520" w:lineRule="exact"/>
      </w:pPr>
      <w:r>
        <w:rPr>
          <w:rFonts w:hint="eastAsia"/>
        </w:rPr>
        <w:t>5、做好安全教育和安全宣传工作，教育操作人员遵章守纪，对违反安全规章的行为坚决制止；</w:t>
      </w:r>
    </w:p>
    <w:p w14:paraId="5ABE77B2">
      <w:pPr>
        <w:spacing w:line="520" w:lineRule="exact"/>
      </w:pPr>
      <w:r>
        <w:rPr>
          <w:rFonts w:hint="eastAsia"/>
        </w:rPr>
        <w:t>6、参加对施工现场安全设施及机械设备的验收；</w:t>
      </w:r>
    </w:p>
    <w:p w14:paraId="5802DB81">
      <w:pPr>
        <w:spacing w:line="520" w:lineRule="exact"/>
      </w:pPr>
      <w:r>
        <w:rPr>
          <w:rFonts w:hint="eastAsia"/>
        </w:rPr>
        <w:t>7、认真做好对特殊工种持证上岗的检查工作；</w:t>
      </w:r>
    </w:p>
    <w:p w14:paraId="00ABB6AA">
      <w:pPr>
        <w:spacing w:line="520" w:lineRule="exact"/>
      </w:pPr>
      <w:r>
        <w:rPr>
          <w:rFonts w:hint="eastAsia"/>
        </w:rPr>
        <w:t>8、在分管领导的领导下，开展防火安全工作检查、督促落实施工生产中的防火安全措施，落实企业有关防火的各项规章制度；</w:t>
      </w:r>
    </w:p>
    <w:p w14:paraId="568B4038">
      <w:pPr>
        <w:spacing w:line="520" w:lineRule="exact"/>
      </w:pPr>
      <w:r>
        <w:rPr>
          <w:rFonts w:hint="eastAsia"/>
        </w:rPr>
        <w:t>9、督促施工班组建立防火安全责任制；</w:t>
      </w:r>
    </w:p>
    <w:p w14:paraId="372B817B">
      <w:pPr>
        <w:spacing w:line="520" w:lineRule="exact"/>
      </w:pPr>
      <w:r>
        <w:rPr>
          <w:rFonts w:hint="eastAsia"/>
        </w:rPr>
        <w:t>10、经常性地进行巡回检查，对于各种违反防火安全管理的行为，必须予以制止，并向有关领导及时反映情况，提出处理意见；</w:t>
      </w:r>
    </w:p>
    <w:p w14:paraId="1B132886">
      <w:pPr>
        <w:spacing w:line="520" w:lineRule="exact"/>
      </w:pPr>
      <w:r>
        <w:rPr>
          <w:rFonts w:hint="eastAsia"/>
        </w:rPr>
        <w:t>11、对于明火作业，负责申请“动火许可证”，并根据不同等级，落实具体措施；</w:t>
      </w:r>
    </w:p>
    <w:p w14:paraId="4906522E">
      <w:pPr>
        <w:spacing w:line="520" w:lineRule="exact"/>
      </w:pPr>
      <w:r>
        <w:rPr>
          <w:rFonts w:hint="eastAsia"/>
        </w:rPr>
        <w:t>12、负责管理、准备、维修、保养消防器材，定期检查，保持消防器材性能良好；</w:t>
      </w:r>
    </w:p>
    <w:p w14:paraId="128B7CB7">
      <w:pPr>
        <w:spacing w:line="520" w:lineRule="exact"/>
      </w:pPr>
      <w:r>
        <w:rPr>
          <w:rFonts w:hint="eastAsia"/>
        </w:rPr>
        <w:t>13、督促防火重点部位，特殊工种及明火作业班组，做好上岗安全交底的检查。</w:t>
      </w:r>
    </w:p>
    <w:p w14:paraId="0C3C2F55">
      <w:pPr>
        <w:spacing w:line="520" w:lineRule="exact"/>
      </w:pPr>
      <w:r>
        <w:rPr>
          <w:rFonts w:hint="eastAsia"/>
        </w:rPr>
        <w:t>(十)材料员</w:t>
      </w:r>
    </w:p>
    <w:p w14:paraId="7BF081DA">
      <w:pPr>
        <w:spacing w:line="520" w:lineRule="exact"/>
      </w:pPr>
      <w:r>
        <w:rPr>
          <w:rFonts w:hint="eastAsia"/>
        </w:rPr>
        <w:t>1、遵照项目经理的工作任务和材料计划按时、保质保量购买材料，并根据施工技术人员和材料保管人员的要求存放，保障施工顺利进行；</w:t>
      </w:r>
    </w:p>
    <w:p w14:paraId="54B28E51">
      <w:pPr>
        <w:spacing w:line="520" w:lineRule="exact"/>
      </w:pPr>
      <w:r>
        <w:rPr>
          <w:rFonts w:hint="eastAsia"/>
        </w:rPr>
        <w:t>2、负责收集所购买材料的质量证明文件，并及时转交质检员；</w:t>
      </w:r>
    </w:p>
    <w:p w14:paraId="610A98A8">
      <w:pPr>
        <w:spacing w:line="520" w:lineRule="exact"/>
      </w:pPr>
      <w:r>
        <w:rPr>
          <w:rFonts w:hint="eastAsia"/>
        </w:rPr>
        <w:t>3、作好材料成本预算的票据、凭据的交接工作。</w:t>
      </w:r>
    </w:p>
    <w:p w14:paraId="6E8F6010">
      <w:pPr>
        <w:spacing w:line="520" w:lineRule="exact"/>
      </w:pPr>
      <w:r>
        <w:rPr>
          <w:rFonts w:hint="eastAsia"/>
        </w:rPr>
        <w:t>(十一)仓库保管员职责</w:t>
      </w:r>
    </w:p>
    <w:p w14:paraId="0D652965">
      <w:pPr>
        <w:spacing w:line="520" w:lineRule="exact"/>
      </w:pPr>
      <w:r>
        <w:rPr>
          <w:rFonts w:hint="eastAsia"/>
        </w:rPr>
        <w:t>1、仓库保管员必须认真工作，责任心强；</w:t>
      </w:r>
    </w:p>
    <w:p w14:paraId="7CF1CA99">
      <w:pPr>
        <w:spacing w:line="520" w:lineRule="exact"/>
      </w:pPr>
      <w:r>
        <w:rPr>
          <w:rFonts w:hint="eastAsia"/>
        </w:rPr>
        <w:t>2、仓库六窗必须牢固，要安装“三铁一器”即铁门、铁橱、铁锁及报警器，仓库应有专人日夜值班；</w:t>
      </w:r>
    </w:p>
    <w:p w14:paraId="62F657A6">
      <w:pPr>
        <w:spacing w:line="520" w:lineRule="exact"/>
      </w:pPr>
      <w:r>
        <w:rPr>
          <w:rFonts w:hint="eastAsia"/>
        </w:rPr>
        <w:t>3、对汽油、油漆等危险易爆物品应单独分开存放；</w:t>
      </w:r>
    </w:p>
    <w:p w14:paraId="1F8D761D">
      <w:pPr>
        <w:spacing w:line="520" w:lineRule="exact"/>
      </w:pPr>
      <w:r>
        <w:rPr>
          <w:rFonts w:hint="eastAsia"/>
        </w:rPr>
        <w:t>4、仓库区域内严禁吸烟，并配足消防器材，合理分布，确定专人维护保养消防器材；</w:t>
      </w:r>
    </w:p>
    <w:p w14:paraId="10F90537">
      <w:pPr>
        <w:spacing w:line="520" w:lineRule="exact"/>
      </w:pPr>
      <w:r>
        <w:rPr>
          <w:rFonts w:hint="eastAsia"/>
        </w:rPr>
        <w:t>5、物资、材料进出仓库必须执行验收、发放手续,做好进出库数量记录；</w:t>
      </w:r>
    </w:p>
    <w:p w14:paraId="3C49B7D1">
      <w:pPr>
        <w:spacing w:line="520" w:lineRule="exact"/>
      </w:pPr>
      <w:r>
        <w:rPr>
          <w:rFonts w:hint="eastAsia"/>
        </w:rPr>
        <w:t>6、做好库内防火、防盗及清洁卫生工作。</w:t>
      </w:r>
    </w:p>
    <w:p w14:paraId="731DA68A">
      <w:pPr>
        <w:spacing w:line="520" w:lineRule="exact"/>
      </w:pPr>
      <w:r>
        <w:rPr>
          <w:rFonts w:hint="eastAsia"/>
        </w:rPr>
        <w:t>(十二)机械管理员</w:t>
      </w:r>
    </w:p>
    <w:p w14:paraId="538ADF43">
      <w:pPr>
        <w:spacing w:line="520" w:lineRule="exact"/>
      </w:pPr>
      <w:r>
        <w:rPr>
          <w:rFonts w:hint="eastAsia"/>
        </w:rPr>
        <w:t>1、负责项目机械统一调配，合理利用；</w:t>
      </w:r>
    </w:p>
    <w:p w14:paraId="11A3F32C">
      <w:pPr>
        <w:spacing w:line="520" w:lineRule="exact"/>
      </w:pPr>
      <w:r>
        <w:rPr>
          <w:rFonts w:hint="eastAsia"/>
        </w:rPr>
        <w:t>2、负责项目机械日常检查、监督，运行情况，及时向项目经理汇报。</w:t>
      </w:r>
    </w:p>
    <w:p w14:paraId="59B48CB0">
      <w:pPr>
        <w:spacing w:line="520" w:lineRule="exact"/>
        <w:ind w:firstLine="562"/>
        <w:rPr>
          <w:b/>
        </w:rPr>
      </w:pPr>
      <w:r>
        <w:rPr>
          <w:rFonts w:hint="eastAsia"/>
          <w:b/>
        </w:rPr>
        <w:t>三、人员组织管理</w:t>
      </w:r>
    </w:p>
    <w:p w14:paraId="7E86347E">
      <w:pPr>
        <w:spacing w:line="520" w:lineRule="exact"/>
      </w:pPr>
      <w:r>
        <w:rPr>
          <w:rFonts w:hint="eastAsia"/>
        </w:rPr>
        <w:t>（一）根据工程需要，项目管理人员及施工人员必需具备相应职称和专业技术资格证书，同时具有相应的技术理论知识和施工管理经验；下属施工人员要有一定的施工经验；</w:t>
      </w:r>
    </w:p>
    <w:p w14:paraId="7D98CFF0">
      <w:pPr>
        <w:spacing w:line="520" w:lineRule="exact"/>
      </w:pPr>
      <w:r>
        <w:rPr>
          <w:rFonts w:hint="eastAsia"/>
        </w:rPr>
        <w:t>（二）在工程施工过程中，保证主要管理人员和专业技术骨干相对稳定，不做随意调动。</w:t>
      </w:r>
    </w:p>
    <w:p w14:paraId="0143E178">
      <w:pPr>
        <w:pStyle w:val="3"/>
        <w:rPr>
          <w:sz w:val="24"/>
        </w:rPr>
      </w:pPr>
      <w:bookmarkStart w:id="303" w:name="_Toc106400223"/>
      <w:bookmarkStart w:id="304" w:name="_Toc106400438"/>
      <w:r>
        <w:rPr>
          <w:rFonts w:hint="eastAsia"/>
        </w:rPr>
        <w:t>第二节</w:t>
      </w:r>
      <w:r>
        <w:rPr>
          <w:rFonts w:ascii="宋体"/>
        </w:rPr>
        <w:t xml:space="preserve"> </w:t>
      </w:r>
      <w:r>
        <w:rPr>
          <w:rFonts w:hint="eastAsia"/>
        </w:rPr>
        <w:t xml:space="preserve"> 质量保障措施</w:t>
      </w:r>
      <w:bookmarkEnd w:id="299"/>
      <w:bookmarkEnd w:id="300"/>
      <w:bookmarkEnd w:id="301"/>
      <w:bookmarkEnd w:id="302"/>
      <w:bookmarkEnd w:id="303"/>
      <w:bookmarkEnd w:id="304"/>
    </w:p>
    <w:p w14:paraId="242D6986">
      <w:pPr>
        <w:ind w:firstLine="562"/>
        <w:rPr>
          <w:b/>
          <w:bCs/>
        </w:rPr>
      </w:pPr>
      <w:bookmarkStart w:id="305" w:name="_Toc172030025"/>
      <w:bookmarkStart w:id="306" w:name="_Toc8213500"/>
      <w:r>
        <w:rPr>
          <w:rFonts w:hint="eastAsia"/>
          <w:b/>
          <w:bCs/>
        </w:rPr>
        <w:t>一、质量目标</w:t>
      </w:r>
      <w:bookmarkEnd w:id="305"/>
      <w:bookmarkEnd w:id="306"/>
    </w:p>
    <w:p w14:paraId="7D36049B">
      <w:pPr>
        <w:widowControl/>
        <w:rPr>
          <w:rFonts w:cs="宋体"/>
          <w:kern w:val="0"/>
          <w:sz w:val="24"/>
        </w:rPr>
      </w:pPr>
      <w:r>
        <w:rPr>
          <w:rFonts w:hint="eastAsia" w:cs="宋体"/>
          <w:color w:val="000000"/>
          <w:kern w:val="0"/>
        </w:rPr>
        <w:t>工程质量目标：优秀工程。</w:t>
      </w:r>
    </w:p>
    <w:p w14:paraId="1C5BAC3A">
      <w:pPr>
        <w:widowControl/>
        <w:rPr>
          <w:rFonts w:cs="宋体"/>
          <w:kern w:val="0"/>
          <w:sz w:val="24"/>
        </w:rPr>
      </w:pPr>
      <w:r>
        <w:rPr>
          <w:rFonts w:hint="eastAsia" w:cs="宋体"/>
          <w:color w:val="000000"/>
          <w:kern w:val="0"/>
        </w:rPr>
        <w:t>文明施工目标：</w:t>
      </w:r>
      <w:r>
        <w:rPr>
          <w:rFonts w:hint="eastAsia"/>
        </w:rPr>
        <w:t>自治区地质环境治理文明施工示范工程。</w:t>
      </w:r>
    </w:p>
    <w:p w14:paraId="03EAFD53">
      <w:pPr>
        <w:ind w:firstLine="562"/>
        <w:rPr>
          <w:b/>
          <w:bCs/>
        </w:rPr>
      </w:pPr>
      <w:bookmarkStart w:id="307" w:name="_Toc172030026"/>
      <w:bookmarkStart w:id="308" w:name="_Toc8213501"/>
      <w:r>
        <w:rPr>
          <w:rFonts w:hint="eastAsia"/>
          <w:b/>
          <w:bCs/>
        </w:rPr>
        <w:t>二、质量保障体系</w:t>
      </w:r>
      <w:bookmarkEnd w:id="307"/>
      <w:bookmarkEnd w:id="308"/>
    </w:p>
    <w:p w14:paraId="6904FADE">
      <w:pPr>
        <w:widowControl/>
        <w:rPr>
          <w:rFonts w:cs="宋体"/>
          <w:color w:val="000000"/>
          <w:kern w:val="0"/>
        </w:rPr>
      </w:pPr>
      <w:r>
        <w:rPr>
          <w:rFonts w:hint="eastAsia" w:cs="宋体"/>
          <w:color w:val="000000"/>
          <w:kern w:val="0"/>
        </w:rPr>
        <w:t>项目施工遵循质量体系文件和招标文件，建立质量保证体系，明确项目部各级人员质量职责，正确合理地分配质量体系要素，实施全员质量管理，见图</w:t>
      </w:r>
      <w:r>
        <w:rPr>
          <w:rFonts w:cs="宋体"/>
          <w:color w:val="000000"/>
          <w:kern w:val="0"/>
        </w:rPr>
        <w:t>7-2</w:t>
      </w:r>
      <w:r>
        <w:rPr>
          <w:rFonts w:hint="eastAsia" w:cs="宋体"/>
          <w:color w:val="000000"/>
          <w:kern w:val="0"/>
        </w:rPr>
        <w:t>。</w:t>
      </w:r>
    </w:p>
    <w:p w14:paraId="7F190CCF">
      <w:pPr>
        <w:pStyle w:val="22"/>
        <w:ind w:firstLine="560"/>
        <w:rPr>
          <w:rFonts w:cs="宋体"/>
          <w:sz w:val="24"/>
        </w:rPr>
      </w:pPr>
      <w:r>
        <w:rPr>
          <w:rFonts w:hint="eastAsia" w:cs="宋体"/>
        </w:rPr>
        <w:drawing>
          <wp:anchor distT="0" distB="0" distL="114300" distR="114300" simplePos="0" relativeHeight="251662336" behindDoc="0" locked="0" layoutInCell="1" allowOverlap="1">
            <wp:simplePos x="0" y="0"/>
            <wp:positionH relativeFrom="column">
              <wp:posOffset>342900</wp:posOffset>
            </wp:positionH>
            <wp:positionV relativeFrom="paragraph">
              <wp:posOffset>254000</wp:posOffset>
            </wp:positionV>
            <wp:extent cx="4914900" cy="352996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srcRect/>
                    <a:stretch>
                      <a:fillRect/>
                    </a:stretch>
                  </pic:blipFill>
                  <pic:spPr>
                    <a:xfrm>
                      <a:off x="0" y="0"/>
                      <a:ext cx="4914900" cy="3529965"/>
                    </a:xfrm>
                    <a:prstGeom prst="rect">
                      <a:avLst/>
                    </a:prstGeom>
                    <a:noFill/>
                    <a:ln>
                      <a:noFill/>
                    </a:ln>
                  </pic:spPr>
                </pic:pic>
              </a:graphicData>
            </a:graphic>
          </wp:anchor>
        </w:drawing>
      </w:r>
      <w:r>
        <w:rPr>
          <w:rFonts w:hint="eastAsia"/>
        </w:rPr>
        <w:t>图</w:t>
      </w:r>
      <w:r>
        <w:rPr>
          <w:rFonts w:cs="宋体"/>
        </w:rPr>
        <w:t>7</w:t>
      </w:r>
      <w:r>
        <w:rPr>
          <w:rFonts w:hint="eastAsia" w:cs="宋体"/>
        </w:rPr>
        <w:t xml:space="preserve">-2 </w:t>
      </w:r>
      <w:r>
        <w:rPr>
          <w:rFonts w:ascii="宋体" w:cs="宋体"/>
        </w:rPr>
        <w:t xml:space="preserve"> </w:t>
      </w:r>
      <w:r>
        <w:rPr>
          <w:rFonts w:hint="eastAsia"/>
        </w:rPr>
        <w:t>施工现场质量保证体系框图</w:t>
      </w:r>
    </w:p>
    <w:p w14:paraId="7F0D4C31">
      <w:pPr>
        <w:ind w:firstLine="562"/>
        <w:rPr>
          <w:b/>
          <w:bCs/>
        </w:rPr>
      </w:pPr>
      <w:bookmarkStart w:id="309" w:name="_Toc8213502"/>
      <w:r>
        <w:rPr>
          <w:rFonts w:hint="eastAsia"/>
          <w:b/>
          <w:bCs/>
        </w:rPr>
        <w:t>三、施工质量保障措施</w:t>
      </w:r>
      <w:bookmarkEnd w:id="309"/>
    </w:p>
    <w:p w14:paraId="3C3102B1">
      <w:pPr>
        <w:widowControl/>
        <w:rPr>
          <w:rFonts w:cs="宋体"/>
          <w:kern w:val="0"/>
          <w:sz w:val="24"/>
        </w:rPr>
      </w:pPr>
      <w:r>
        <w:rPr>
          <w:rFonts w:hint="eastAsia" w:cs="宋体"/>
          <w:color w:val="000000"/>
          <w:kern w:val="0"/>
        </w:rPr>
        <w:t>(一)制定质量管理办法及措施</w:t>
      </w:r>
    </w:p>
    <w:p w14:paraId="3F4102C3">
      <w:pPr>
        <w:widowControl/>
        <w:rPr>
          <w:rFonts w:cs="宋体"/>
          <w:kern w:val="0"/>
          <w:sz w:val="24"/>
        </w:rPr>
      </w:pPr>
      <w:r>
        <w:rPr>
          <w:rFonts w:hint="eastAsia" w:cs="宋体"/>
          <w:color w:val="000000"/>
          <w:kern w:val="0"/>
        </w:rPr>
        <w:t>1、结合本工程特点，编制实施施工组织设计，制定各分项工程的质量检验制度、开竣工报告制及竣工文件编制办法；</w:t>
      </w:r>
    </w:p>
    <w:p w14:paraId="3C13D11A">
      <w:pPr>
        <w:widowControl/>
        <w:rPr>
          <w:rFonts w:cs="宋体"/>
          <w:kern w:val="0"/>
          <w:sz w:val="24"/>
        </w:rPr>
      </w:pPr>
      <w:r>
        <w:rPr>
          <w:rFonts w:hint="eastAsia" w:cs="宋体"/>
          <w:color w:val="000000"/>
          <w:kern w:val="0"/>
        </w:rPr>
        <w:t>2、依据施工组织设计，编制施工作业指导书、操作规程、管理细则和岗位责任制等；对施工质量进行全过程的管理控制，确保整个施工过程连续、稳定地处于受控状态；</w:t>
      </w:r>
    </w:p>
    <w:p w14:paraId="5F499940">
      <w:pPr>
        <w:widowControl/>
        <w:rPr>
          <w:rFonts w:cs="宋体"/>
          <w:kern w:val="0"/>
          <w:sz w:val="24"/>
        </w:rPr>
      </w:pPr>
      <w:r>
        <w:rPr>
          <w:rFonts w:hint="eastAsia" w:cs="宋体"/>
          <w:color w:val="000000"/>
          <w:kern w:val="0"/>
        </w:rPr>
        <w:t>3、对关键和特殊工序制定详细的并落实到人的施工过程控制程序和操作细则，并对技术人员实行专业分工负责任制；</w:t>
      </w:r>
    </w:p>
    <w:p w14:paraId="25891F0B">
      <w:pPr>
        <w:widowControl/>
        <w:rPr>
          <w:rFonts w:cs="宋体"/>
          <w:kern w:val="0"/>
          <w:sz w:val="24"/>
        </w:rPr>
      </w:pPr>
      <w:r>
        <w:rPr>
          <w:rFonts w:hint="eastAsia" w:cs="宋体"/>
          <w:color w:val="000000"/>
          <w:kern w:val="0"/>
        </w:rPr>
        <w:t>4、施工过程中严格技术把关，做到“四不施工，三不接交”。“四不施工”是：不进行技术交底不施工；施工工艺和技术要求不清楚不施工；工程量资料未校核不施工；未经监理工程师认可或批准的工序不施工。“三不接交”是：无自检记录不接交；未经值班技术员验收不接交；施工记录不全不接交；</w:t>
      </w:r>
    </w:p>
    <w:p w14:paraId="1878A6F7">
      <w:pPr>
        <w:widowControl/>
        <w:rPr>
          <w:rFonts w:cs="宋体"/>
          <w:kern w:val="0"/>
          <w:sz w:val="24"/>
        </w:rPr>
      </w:pPr>
      <w:r>
        <w:rPr>
          <w:rFonts w:hint="eastAsia" w:cs="宋体"/>
          <w:color w:val="000000"/>
          <w:kern w:val="0"/>
        </w:rPr>
        <w:t>5、为切实加强施工质量管理，本项目施工技术管理及关键工序技术负责人均为多年从事本项目的专业技术人员；</w:t>
      </w:r>
    </w:p>
    <w:p w14:paraId="67AA0D85">
      <w:pPr>
        <w:widowControl/>
        <w:rPr>
          <w:rFonts w:cs="宋体"/>
          <w:kern w:val="0"/>
          <w:sz w:val="24"/>
        </w:rPr>
      </w:pPr>
      <w:r>
        <w:rPr>
          <w:rFonts w:hint="eastAsia" w:cs="宋体"/>
          <w:color w:val="000000"/>
          <w:kern w:val="0"/>
        </w:rPr>
        <w:t>6、为保证工程质量，下属施工人员要求：均为多年从事相应工种行业的专业技术人员；</w:t>
      </w:r>
    </w:p>
    <w:p w14:paraId="01D5A593">
      <w:pPr>
        <w:widowControl/>
        <w:rPr>
          <w:rFonts w:cs="宋体"/>
          <w:kern w:val="0"/>
          <w:sz w:val="24"/>
        </w:rPr>
      </w:pPr>
      <w:bookmarkStart w:id="310" w:name="_Toc8213503"/>
      <w:r>
        <w:rPr>
          <w:rFonts w:hint="eastAsia" w:cs="宋体"/>
          <w:color w:val="000000"/>
          <w:kern w:val="0"/>
        </w:rPr>
        <w:t>7、实行质量奖惩制度</w:t>
      </w:r>
      <w:bookmarkEnd w:id="310"/>
    </w:p>
    <w:p w14:paraId="7C3DAE59">
      <w:pPr>
        <w:widowControl/>
        <w:rPr>
          <w:rFonts w:cs="宋体"/>
          <w:kern w:val="0"/>
          <w:sz w:val="24"/>
        </w:rPr>
      </w:pPr>
      <w:r>
        <w:rPr>
          <w:rFonts w:hint="eastAsia" w:cs="宋体"/>
          <w:color w:val="000000"/>
          <w:kern w:val="0"/>
        </w:rPr>
        <w:t>项目部及下属施工单位分别制定质量奖罚制度和措施，对质量事故要严肃处理，坚持三不放过。即事故原因不明不放过，不分清责任不放过，没有改进措施不放过，提高全员的质量意识，保证工程质量。</w:t>
      </w:r>
    </w:p>
    <w:p w14:paraId="65568425">
      <w:pPr>
        <w:widowControl/>
        <w:rPr>
          <w:rFonts w:cs="宋体"/>
          <w:kern w:val="0"/>
          <w:sz w:val="24"/>
        </w:rPr>
      </w:pPr>
      <w:bookmarkStart w:id="311" w:name="_Toc8213504"/>
      <w:r>
        <w:rPr>
          <w:rFonts w:hint="eastAsia" w:cs="宋体"/>
          <w:color w:val="000000"/>
          <w:kern w:val="0"/>
        </w:rPr>
        <w:t>(二)施工过程质量保障措施</w:t>
      </w:r>
      <w:bookmarkEnd w:id="311"/>
    </w:p>
    <w:p w14:paraId="43185AEE">
      <w:pPr>
        <w:widowControl/>
        <w:rPr>
          <w:rFonts w:cs="宋体"/>
          <w:kern w:val="0"/>
          <w:sz w:val="24"/>
        </w:rPr>
      </w:pPr>
      <w:r>
        <w:rPr>
          <w:rFonts w:hint="eastAsia" w:cs="宋体"/>
          <w:color w:val="000000"/>
          <w:kern w:val="0"/>
        </w:rPr>
        <w:t>1、施工过程控制主要通过质量体系的正常运行，按照程序文件中有关控制程序进行质量控制，根据施工组织设计对工程进行延续性检验与评价；</w:t>
      </w:r>
    </w:p>
    <w:p w14:paraId="18652DFC">
      <w:pPr>
        <w:widowControl/>
        <w:rPr>
          <w:rFonts w:cs="宋体"/>
          <w:kern w:val="0"/>
          <w:sz w:val="24"/>
        </w:rPr>
      </w:pPr>
      <w:r>
        <w:rPr>
          <w:rFonts w:hint="eastAsia" w:cs="宋体"/>
          <w:color w:val="000000"/>
          <w:kern w:val="0"/>
        </w:rPr>
        <w:t>2、加强技术管理的基础工作，施工中对施工工序严格执行施工质量“三检制”和“联检制”，坚持施工班组自检、质检员复检、项目部再检制度，在三检合格的情况下由质检工程师将检验合格证呈交监理工程师，并在监理工程师指定的时间里，质检员与监理工程师一起，对申请验收的部位进行联检，在联检合格后，监理工程师在验收合格证上签字后方可进行下道工序的施工作业；</w:t>
      </w:r>
    </w:p>
    <w:p w14:paraId="7CA1E7FF">
      <w:pPr>
        <w:widowControl/>
        <w:rPr>
          <w:rFonts w:cs="宋体"/>
          <w:kern w:val="0"/>
          <w:sz w:val="24"/>
        </w:rPr>
      </w:pPr>
      <w:r>
        <w:rPr>
          <w:rFonts w:hint="eastAsia" w:cs="宋体"/>
          <w:color w:val="000000"/>
          <w:kern w:val="0"/>
        </w:rPr>
        <w:t>3、为了达到过程的有效的控制，必须做到质量、成本、工期本位一体，施工过程中，明确各职能部门的控制任务，进行密切协作，做好技术交底工作，做好施工设备和机械的检查保养管理工作，建立关键工序的管理和控制点，作好对设计变更、工艺更改和不合格项施工文件的控制工作；</w:t>
      </w:r>
    </w:p>
    <w:p w14:paraId="6A4E1E77">
      <w:pPr>
        <w:widowControl/>
        <w:rPr>
          <w:rFonts w:cs="宋体"/>
          <w:kern w:val="0"/>
          <w:sz w:val="24"/>
        </w:rPr>
      </w:pPr>
      <w:r>
        <w:rPr>
          <w:rFonts w:hint="eastAsia" w:cs="宋体"/>
          <w:color w:val="000000"/>
          <w:kern w:val="0"/>
        </w:rPr>
        <w:t>4、加强与管理、监理、地方单位的联系，在施工技术方面取得广泛的合作与支持，并及时解决施工中遇到的技术难题和问题；</w:t>
      </w:r>
    </w:p>
    <w:p w14:paraId="51F3ACBF">
      <w:pPr>
        <w:widowControl/>
        <w:rPr>
          <w:rFonts w:cs="宋体"/>
          <w:kern w:val="0"/>
          <w:sz w:val="24"/>
        </w:rPr>
      </w:pPr>
      <w:r>
        <w:rPr>
          <w:rFonts w:hint="eastAsia" w:cs="宋体"/>
          <w:color w:val="000000"/>
          <w:kern w:val="0"/>
        </w:rPr>
        <w:t>5、如发现有设计不符合现场实际情况等类似问题，项目部应立即与现场及监理单位沟通，共同项目制订新方案，以书面形式报告国土资源厅，按厅里的批复及时调整施工工艺和方法，确保工程按期保质完成。做好并留存好各类变更资料，工程竣工时统一汇总装订，真实反映施工过程；</w:t>
      </w:r>
    </w:p>
    <w:p w14:paraId="0C36FC59">
      <w:pPr>
        <w:widowControl/>
        <w:rPr>
          <w:rFonts w:cs="宋体"/>
          <w:kern w:val="0"/>
          <w:sz w:val="24"/>
        </w:rPr>
      </w:pPr>
      <w:r>
        <w:rPr>
          <w:rFonts w:hint="eastAsia" w:cs="宋体"/>
          <w:color w:val="000000"/>
          <w:kern w:val="0"/>
        </w:rPr>
        <w:t>6、做好施工资料的整理、签署工作。</w:t>
      </w:r>
    </w:p>
    <w:p w14:paraId="347B9775">
      <w:pPr>
        <w:widowControl/>
        <w:rPr>
          <w:rFonts w:cs="宋体"/>
          <w:kern w:val="0"/>
          <w:sz w:val="24"/>
        </w:rPr>
      </w:pPr>
      <w:r>
        <w:rPr>
          <w:rFonts w:hint="eastAsia" w:cs="宋体"/>
          <w:color w:val="000000"/>
          <w:kern w:val="0"/>
        </w:rPr>
        <w:t>资料整理和签署应及时，与施工同步，不得拖延，检测项目严格按照治理工程质量评定进行检测。</w:t>
      </w:r>
    </w:p>
    <w:p w14:paraId="046E3508">
      <w:pPr>
        <w:pStyle w:val="3"/>
      </w:pPr>
      <w:bookmarkStart w:id="312" w:name="_Toc8402747"/>
      <w:bookmarkStart w:id="313" w:name="_Toc106400224"/>
      <w:bookmarkStart w:id="314" w:name="_Toc31583"/>
      <w:bookmarkStart w:id="315" w:name="_Toc102927634"/>
      <w:bookmarkStart w:id="316" w:name="_Toc106400439"/>
      <w:bookmarkStart w:id="317" w:name="_Toc1916"/>
      <w:r>
        <w:rPr>
          <w:rFonts w:hint="eastAsia"/>
        </w:rPr>
        <w:t>第三节</w:t>
      </w:r>
      <w:r>
        <w:rPr>
          <w:rFonts w:hint="eastAsia" w:ascii="宋体"/>
        </w:rPr>
        <w:t xml:space="preserve"> </w:t>
      </w:r>
      <w:r>
        <w:rPr>
          <w:rFonts w:hint="eastAsia"/>
        </w:rPr>
        <w:t xml:space="preserve"> 安全保障措施</w:t>
      </w:r>
      <w:bookmarkEnd w:id="312"/>
      <w:bookmarkEnd w:id="313"/>
      <w:bookmarkEnd w:id="314"/>
      <w:bookmarkEnd w:id="315"/>
      <w:bookmarkEnd w:id="316"/>
      <w:bookmarkEnd w:id="317"/>
    </w:p>
    <w:p w14:paraId="12F51900">
      <w:pPr>
        <w:ind w:firstLine="562"/>
        <w:rPr>
          <w:b/>
          <w:bCs/>
        </w:rPr>
      </w:pPr>
      <w:bookmarkStart w:id="318" w:name="_Toc8213505"/>
      <w:bookmarkStart w:id="319" w:name="_Toc172030032"/>
      <w:r>
        <w:rPr>
          <w:rFonts w:hint="eastAsia"/>
          <w:b/>
          <w:bCs/>
        </w:rPr>
        <w:t>一、安全生产目标</w:t>
      </w:r>
      <w:bookmarkEnd w:id="318"/>
      <w:bookmarkEnd w:id="319"/>
    </w:p>
    <w:p w14:paraId="5FCCC51A">
      <w:pPr>
        <w:widowControl/>
        <w:rPr>
          <w:rFonts w:cs="宋体"/>
          <w:kern w:val="0"/>
          <w:sz w:val="24"/>
        </w:rPr>
      </w:pPr>
      <w:r>
        <w:rPr>
          <w:rFonts w:hint="eastAsia" w:cs="宋体"/>
          <w:color w:val="000000"/>
          <w:kern w:val="0"/>
        </w:rPr>
        <w:t>杜绝重大人身伤害事故和机械事故的发生，轻伤事故率低于行业标准。</w:t>
      </w:r>
    </w:p>
    <w:p w14:paraId="4DB267D0">
      <w:pPr>
        <w:ind w:firstLine="562"/>
        <w:rPr>
          <w:b/>
          <w:bCs/>
        </w:rPr>
      </w:pPr>
      <w:bookmarkStart w:id="320" w:name="_Toc8213506"/>
      <w:bookmarkStart w:id="321" w:name="_Toc172030033"/>
      <w:r>
        <w:rPr>
          <w:rFonts w:hint="eastAsia"/>
          <w:b/>
          <w:bCs/>
        </w:rPr>
        <w:t>二、安全生产保障机构</w:t>
      </w:r>
      <w:bookmarkEnd w:id="320"/>
      <w:bookmarkEnd w:id="321"/>
    </w:p>
    <w:p w14:paraId="50456995">
      <w:pPr>
        <w:widowControl/>
        <w:rPr>
          <w:rFonts w:cs="宋体"/>
          <w:kern w:val="0"/>
          <w:sz w:val="24"/>
        </w:rPr>
      </w:pPr>
      <w:r>
        <w:rPr>
          <w:rFonts w:hint="eastAsia" w:cs="宋体"/>
          <w:color w:val="000000"/>
          <w:kern w:val="0"/>
        </w:rPr>
        <w:t>为了加强安全生产管理工作，保护施工人员在劳动生产过程中的安全和健康，为施工人员建立</w:t>
      </w:r>
      <w:r>
        <w:rPr>
          <w:rFonts w:hint="eastAsia" w:ascii="宋体" w:cs="宋体"/>
          <w:color w:val="000000"/>
          <w:kern w:val="0"/>
        </w:rPr>
        <w:t> </w:t>
      </w:r>
      <w:r>
        <w:rPr>
          <w:rFonts w:hint="eastAsia" w:cs="宋体"/>
          <w:color w:val="000000"/>
          <w:kern w:val="0"/>
        </w:rPr>
        <w:t>良好的安全、卫生、舒适的劳动工作条件，预防和消除劳动生产过程中伤亡事故，保持和提高劳动者持久的劳动能力、劳动生产率和生产经济效益，确保本项目工程的顺利完成，成立以项目经理为组长，项目负责、安全员等组成的安全生产领导小组，下设安全管理组，全面负责并领导本项目的施工安全生产工作，</w:t>
      </w:r>
      <w:r>
        <w:rPr>
          <w:rFonts w:hint="eastAsia" w:cs="Arial"/>
          <w:color w:val="000000"/>
          <w:kern w:val="0"/>
        </w:rPr>
        <w:t>安全生产保证体系见</w:t>
      </w:r>
      <w:r>
        <w:rPr>
          <w:rFonts w:hint="eastAsia" w:cs="宋体"/>
          <w:color w:val="000000"/>
          <w:kern w:val="0"/>
        </w:rPr>
        <w:t>图</w:t>
      </w:r>
      <w:r>
        <w:rPr>
          <w:rFonts w:cs="宋体"/>
          <w:color w:val="000000"/>
          <w:kern w:val="0"/>
        </w:rPr>
        <w:t>7</w:t>
      </w:r>
      <w:r>
        <w:rPr>
          <w:rFonts w:hint="eastAsia" w:cs="宋体"/>
          <w:color w:val="000000"/>
          <w:kern w:val="0"/>
        </w:rPr>
        <w:t>-3。</w:t>
      </w:r>
    </w:p>
    <w:p w14:paraId="11F05CDD">
      <w:pPr>
        <w:widowControl/>
        <w:spacing w:after="160" w:line="500" w:lineRule="atLeast"/>
        <w:ind w:firstLine="480"/>
        <w:jc w:val="center"/>
        <w:rPr>
          <w:rFonts w:cs="宋体"/>
          <w:kern w:val="0"/>
          <w:sz w:val="24"/>
        </w:rPr>
      </w:pP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fldChar w:fldCharType="begin"/>
      </w:r>
      <w:r>
        <w:rPr>
          <w:rFonts w:cs="宋体"/>
          <w:kern w:val="0"/>
          <w:sz w:val="24"/>
        </w:rPr>
        <w:instrText xml:space="preserve"> INCLUDEPICTURE  "D:\\..\\..\\..\\Users\\ss\\AppData\\Roaming\\JisuOffice\\ETemp\\1232_6941448\\poclip1\\01\\image12.png" \* MERGEFORMATINET </w:instrText>
      </w:r>
      <w:r>
        <w:rPr>
          <w:rFonts w:cs="宋体"/>
          <w:kern w:val="0"/>
          <w:sz w:val="24"/>
        </w:rPr>
        <w:fldChar w:fldCharType="separate"/>
      </w:r>
      <w:r>
        <w:rPr>
          <w:rFonts w:cs="宋体"/>
          <w:kern w:val="0"/>
          <w:sz w:val="24"/>
        </w:rPr>
        <w:pict>
          <v:shape id="_x0000_i1025" o:spt="75" type="#_x0000_t75" style="height:194.35pt;width:389.85pt;" filled="f" o:preferrelative="t" stroked="f" coordsize="21600,21600">
            <v:path/>
            <v:fill on="f" focussize="0,0"/>
            <v:stroke on="f" joinstyle="miter"/>
            <v:imagedata r:id="rId26" r:href="rId27" o:title=""/>
            <o:lock v:ext="edit" aspectratio="t"/>
            <w10:wrap type="none"/>
            <w10:anchorlock/>
          </v:shape>
        </w:pict>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r>
        <w:rPr>
          <w:rFonts w:cs="宋体"/>
          <w:kern w:val="0"/>
          <w:sz w:val="24"/>
        </w:rPr>
        <w:fldChar w:fldCharType="end"/>
      </w:r>
      <w:bookmarkStart w:id="322" w:name="_Toc172030034"/>
    </w:p>
    <w:p w14:paraId="4D2734B2">
      <w:pPr>
        <w:pStyle w:val="22"/>
        <w:ind w:firstLine="560"/>
      </w:pPr>
      <w:r>
        <w:rPr>
          <w:rFonts w:hint="eastAsia"/>
        </w:rPr>
        <w:t>图</w:t>
      </w:r>
      <w:r>
        <w:rPr>
          <w:rFonts w:cs="宋体"/>
        </w:rPr>
        <w:t>7</w:t>
      </w:r>
      <w:r>
        <w:rPr>
          <w:rFonts w:hint="eastAsia" w:cs="宋体"/>
        </w:rPr>
        <w:t xml:space="preserve">-3 </w:t>
      </w:r>
      <w:r>
        <w:rPr>
          <w:rFonts w:ascii="宋体" w:cs="宋体"/>
        </w:rPr>
        <w:t xml:space="preserve"> </w:t>
      </w:r>
      <w:r>
        <w:rPr>
          <w:rFonts w:hint="eastAsia" w:cs="宋体"/>
          <w:color w:val="000000"/>
          <w:kern w:val="0"/>
        </w:rPr>
        <w:t>项目</w:t>
      </w:r>
      <w:r>
        <w:rPr>
          <w:rFonts w:hint="eastAsia"/>
        </w:rPr>
        <w:t>安全生产保证体系图</w:t>
      </w:r>
      <w:bookmarkEnd w:id="322"/>
    </w:p>
    <w:p w14:paraId="741D6328">
      <w:pPr>
        <w:ind w:firstLine="562"/>
        <w:rPr>
          <w:b/>
          <w:bCs/>
        </w:rPr>
      </w:pPr>
      <w:bookmarkStart w:id="323" w:name="_Toc8213507"/>
      <w:r>
        <w:rPr>
          <w:rFonts w:hint="eastAsia"/>
          <w:b/>
          <w:bCs/>
        </w:rPr>
        <w:t>三、安全生产保障措施</w:t>
      </w:r>
      <w:bookmarkEnd w:id="323"/>
    </w:p>
    <w:p w14:paraId="2671F536">
      <w:pPr>
        <w:widowControl/>
        <w:rPr>
          <w:rFonts w:cs="宋体"/>
          <w:kern w:val="0"/>
          <w:sz w:val="24"/>
        </w:rPr>
      </w:pPr>
      <w:r>
        <w:rPr>
          <w:rFonts w:hint="eastAsia" w:cs="宋体"/>
          <w:color w:val="000000"/>
          <w:kern w:val="0"/>
        </w:rPr>
        <w:t>(一)安全生产管理制度</w:t>
      </w:r>
    </w:p>
    <w:p w14:paraId="7CD8DFDF">
      <w:pPr>
        <w:widowControl/>
        <w:rPr>
          <w:rFonts w:cs="宋体"/>
          <w:kern w:val="0"/>
          <w:sz w:val="24"/>
        </w:rPr>
      </w:pPr>
      <w:r>
        <w:rPr>
          <w:rFonts w:hint="eastAsia" w:cs="宋体"/>
          <w:color w:val="000000"/>
          <w:kern w:val="0"/>
        </w:rPr>
        <w:t>1、项目部定期检查，并采取一警告、二罚款、三责令退场的管理措施；</w:t>
      </w:r>
    </w:p>
    <w:p w14:paraId="27116440">
      <w:pPr>
        <w:widowControl/>
        <w:rPr>
          <w:rFonts w:cs="宋体"/>
          <w:kern w:val="0"/>
          <w:sz w:val="24"/>
        </w:rPr>
      </w:pPr>
      <w:r>
        <w:rPr>
          <w:rFonts w:hint="eastAsia" w:cs="宋体"/>
          <w:color w:val="000000"/>
          <w:kern w:val="0"/>
        </w:rPr>
        <w:t>2、制定安全生产管理制度及安全技术操作规程，做到有章可循；</w:t>
      </w:r>
    </w:p>
    <w:p w14:paraId="613FB700">
      <w:pPr>
        <w:widowControl/>
        <w:rPr>
          <w:rFonts w:cs="宋体"/>
          <w:kern w:val="0"/>
          <w:sz w:val="24"/>
        </w:rPr>
      </w:pPr>
      <w:r>
        <w:rPr>
          <w:rFonts w:hint="eastAsia" w:cs="宋体"/>
          <w:color w:val="000000"/>
          <w:kern w:val="0"/>
        </w:rPr>
        <w:t>3、坚持“三不放过”事故处理原则和事故制度。发生重伤以上事故应在24小时内报安全生产领导小组和单位，在半月内将事故调查处理报告有关部门审定，不允许拖报、虚报、漏报；</w:t>
      </w:r>
    </w:p>
    <w:p w14:paraId="645C6D57">
      <w:pPr>
        <w:widowControl/>
        <w:rPr>
          <w:rFonts w:cs="宋体"/>
          <w:kern w:val="0"/>
          <w:sz w:val="24"/>
        </w:rPr>
      </w:pPr>
      <w:r>
        <w:rPr>
          <w:rFonts w:hint="eastAsia" w:cs="宋体"/>
          <w:color w:val="000000"/>
          <w:kern w:val="0"/>
        </w:rPr>
        <w:t>4、进行防暴维稳演练，做到遇到危险可以紧急避险，保护自己及项目人员安全；</w:t>
      </w:r>
    </w:p>
    <w:p w14:paraId="48DB837D">
      <w:pPr>
        <w:widowControl/>
        <w:rPr>
          <w:rFonts w:cs="宋体"/>
          <w:kern w:val="0"/>
          <w:sz w:val="24"/>
        </w:rPr>
      </w:pPr>
      <w:r>
        <w:rPr>
          <w:rFonts w:hint="eastAsia" w:cs="宋体"/>
          <w:color w:val="000000"/>
          <w:kern w:val="0"/>
        </w:rPr>
        <w:t>5、安全管理及施工人员，在生产过程中发现事故隐患，应及时向主管领导汇报，并提出处理意见，当生产与安全发生冲突并随时危及人身安全时，管理人员有权责令停产，任何人不得胁迫工人蛮干，不允许在不安全的条件下生产；</w:t>
      </w:r>
    </w:p>
    <w:p w14:paraId="285026EE">
      <w:pPr>
        <w:widowControl/>
        <w:rPr>
          <w:rFonts w:cs="宋体"/>
          <w:kern w:val="0"/>
          <w:sz w:val="24"/>
        </w:rPr>
      </w:pPr>
      <w:r>
        <w:rPr>
          <w:rFonts w:hint="eastAsia" w:cs="宋体"/>
          <w:color w:val="000000"/>
          <w:kern w:val="0"/>
        </w:rPr>
        <w:t>6、安全管理人员必须忠于职守，协助领导做好安全生产管理工作，要坚持原则，不循私情，秉公办事；</w:t>
      </w:r>
    </w:p>
    <w:p w14:paraId="25F24E1B">
      <w:pPr>
        <w:widowControl/>
        <w:rPr>
          <w:rFonts w:cs="宋体"/>
          <w:kern w:val="0"/>
          <w:sz w:val="24"/>
        </w:rPr>
      </w:pPr>
      <w:r>
        <w:rPr>
          <w:rFonts w:hint="eastAsia" w:cs="宋体"/>
          <w:color w:val="000000"/>
          <w:kern w:val="0"/>
        </w:rPr>
        <w:t>7、坚持安全生产的宣传教育工作，经常对施工人员进行安全思想和安全知识教育，做好特殊工种的安全教育和经常性的教育，不断提高增强职工的安全意识和责任感；</w:t>
      </w:r>
    </w:p>
    <w:p w14:paraId="5BAB2CE3">
      <w:pPr>
        <w:widowControl/>
        <w:rPr>
          <w:rFonts w:cs="宋体"/>
          <w:kern w:val="0"/>
          <w:sz w:val="24"/>
        </w:rPr>
      </w:pPr>
      <w:r>
        <w:rPr>
          <w:rFonts w:hint="eastAsia" w:cs="宋体"/>
          <w:color w:val="000000"/>
          <w:kern w:val="0"/>
        </w:rPr>
        <w:t>8、各级领导要经常深入基层或施工现场、检查、督促、落实责任，坚持经常性和季节性的安全检查，寻找多角度的整改措施；</w:t>
      </w:r>
    </w:p>
    <w:p w14:paraId="50E5DA74">
      <w:pPr>
        <w:widowControl/>
        <w:rPr>
          <w:rFonts w:cs="宋体"/>
          <w:kern w:val="0"/>
          <w:sz w:val="24"/>
        </w:rPr>
      </w:pPr>
      <w:r>
        <w:rPr>
          <w:rFonts w:hint="eastAsia" w:cs="宋体"/>
          <w:color w:val="000000"/>
          <w:kern w:val="0"/>
        </w:rPr>
        <w:t>9、加强劳动保护的管理工作，切实保障职工的生命安全和健康；</w:t>
      </w:r>
    </w:p>
    <w:p w14:paraId="1CFA73C0">
      <w:pPr>
        <w:widowControl/>
        <w:rPr>
          <w:rFonts w:cs="宋体"/>
          <w:kern w:val="0"/>
          <w:sz w:val="24"/>
        </w:rPr>
      </w:pPr>
      <w:r>
        <w:rPr>
          <w:rFonts w:hint="eastAsia" w:cs="宋体"/>
          <w:color w:val="000000"/>
          <w:kern w:val="0"/>
        </w:rPr>
        <w:t>10、禁止司机或操作手疲劳工作，每天纯工作时间不得超过10小时(中间有适当休息时间)。</w:t>
      </w:r>
    </w:p>
    <w:p w14:paraId="4F375DE6">
      <w:pPr>
        <w:widowControl/>
        <w:rPr>
          <w:rFonts w:cs="宋体"/>
          <w:kern w:val="0"/>
          <w:sz w:val="24"/>
        </w:rPr>
      </w:pPr>
      <w:r>
        <w:rPr>
          <w:rFonts w:hint="eastAsia" w:cs="宋体"/>
          <w:color w:val="000000"/>
          <w:kern w:val="0"/>
        </w:rPr>
        <w:t>(二)安全生产管理办法</w:t>
      </w:r>
    </w:p>
    <w:p w14:paraId="1A1A0F88">
      <w:pPr>
        <w:widowControl/>
        <w:rPr>
          <w:rFonts w:cs="宋体"/>
          <w:kern w:val="0"/>
          <w:sz w:val="24"/>
        </w:rPr>
      </w:pPr>
      <w:r>
        <w:rPr>
          <w:rFonts w:hint="eastAsia" w:cs="宋体"/>
          <w:color w:val="000000"/>
          <w:kern w:val="0"/>
        </w:rPr>
        <w:t>1、安全生产检查考评执行机构及规定</w:t>
      </w:r>
    </w:p>
    <w:p w14:paraId="74D2991D">
      <w:pPr>
        <w:widowControl/>
        <w:rPr>
          <w:rFonts w:cs="宋体"/>
          <w:kern w:val="0"/>
          <w:sz w:val="24"/>
        </w:rPr>
      </w:pPr>
      <w:r>
        <w:rPr>
          <w:rFonts w:hint="eastAsia" w:cs="宋体"/>
          <w:color w:val="000000"/>
          <w:kern w:val="0"/>
        </w:rPr>
        <w:t>(1)项目部每周至少组织一次安全大检查，各施工队应每天进行一次安全检查，同时坚持上岗前5分钟安全及上岗前、工作中、下班时进行安全自检、互检、交接检，由班组长负责监督检查；</w:t>
      </w:r>
    </w:p>
    <w:p w14:paraId="4E48DD07">
      <w:pPr>
        <w:widowControl/>
        <w:rPr>
          <w:rFonts w:cs="宋体"/>
          <w:kern w:val="0"/>
          <w:sz w:val="24"/>
        </w:rPr>
      </w:pPr>
      <w:r>
        <w:rPr>
          <w:rFonts w:hint="eastAsia" w:cs="宋体"/>
          <w:color w:val="000000"/>
          <w:kern w:val="0"/>
        </w:rPr>
        <w:t>(2)各施工生产现场必有领导和安全员跟班进行安全监督检查；</w:t>
      </w:r>
    </w:p>
    <w:p w14:paraId="5C543A2C">
      <w:pPr>
        <w:widowControl/>
        <w:rPr>
          <w:rFonts w:cs="宋体"/>
          <w:kern w:val="0"/>
          <w:sz w:val="24"/>
        </w:rPr>
      </w:pPr>
      <w:r>
        <w:rPr>
          <w:rFonts w:hint="eastAsia" w:cs="宋体"/>
          <w:color w:val="000000"/>
          <w:kern w:val="0"/>
        </w:rPr>
        <w:t>(3)项目部主管领导、专职安全员应经建设厅、劳动厅安全培训取得安全资格证持证上岗。</w:t>
      </w:r>
    </w:p>
    <w:p w14:paraId="264881A7">
      <w:pPr>
        <w:widowControl/>
        <w:rPr>
          <w:rFonts w:cs="宋体"/>
          <w:kern w:val="0"/>
          <w:sz w:val="24"/>
        </w:rPr>
      </w:pPr>
      <w:bookmarkStart w:id="324" w:name="_Toc8213508"/>
      <w:r>
        <w:rPr>
          <w:rFonts w:hint="eastAsia" w:cs="宋体"/>
          <w:color w:val="000000"/>
          <w:kern w:val="0"/>
        </w:rPr>
        <w:t>2、安全生产检查考评办法和依据</w:t>
      </w:r>
      <w:bookmarkEnd w:id="324"/>
    </w:p>
    <w:p w14:paraId="46A2AB13">
      <w:pPr>
        <w:widowControl/>
        <w:rPr>
          <w:rFonts w:cs="宋体"/>
          <w:kern w:val="0"/>
          <w:sz w:val="24"/>
        </w:rPr>
      </w:pPr>
      <w:r>
        <w:rPr>
          <w:rFonts w:hint="eastAsia" w:cs="宋体"/>
          <w:color w:val="000000"/>
          <w:kern w:val="0"/>
        </w:rPr>
        <w:t>(1) 项目部每月召开一次安全生产现场会，总结安全生产工作，纠正失误，推广安全管理先进经验，表彰安全生产先进个人；</w:t>
      </w:r>
    </w:p>
    <w:p w14:paraId="6989D5B6">
      <w:pPr>
        <w:widowControl/>
        <w:rPr>
          <w:rFonts w:cs="宋体"/>
          <w:kern w:val="0"/>
          <w:sz w:val="24"/>
        </w:rPr>
      </w:pPr>
      <w:r>
        <w:rPr>
          <w:rFonts w:hint="eastAsia" w:cs="宋体"/>
          <w:color w:val="000000"/>
          <w:kern w:val="0"/>
        </w:rPr>
        <w:t>(2)建筑工程施工现场供用电安全检查依据JGJ46-2005《施工现场临时用电安全技术规范》；</w:t>
      </w:r>
    </w:p>
    <w:p w14:paraId="67D890D7">
      <w:pPr>
        <w:widowControl/>
        <w:rPr>
          <w:rFonts w:cs="宋体"/>
          <w:kern w:val="0"/>
          <w:sz w:val="24"/>
        </w:rPr>
      </w:pPr>
      <w:r>
        <w:rPr>
          <w:rFonts w:hint="eastAsia" w:cs="宋体"/>
          <w:color w:val="000000"/>
          <w:kern w:val="0"/>
        </w:rPr>
        <w:t>(3)制定好各类人员安全生产责任制，安全生产保证体系，安全技术措施费用计划，特种作业人员考核档案，新工人、临时工、合同工等人员“三级安全教育”记录，安全会议记录，事故报告处理结案档案，安全防护用品的使用和管理制度，施工现场管理制度，现场安全管理人员安全生产岗位责任制，施工机具等安全检查均按JGJ59-99《建筑施工安全检查》标准检查。</w:t>
      </w:r>
    </w:p>
    <w:p w14:paraId="7A396D41">
      <w:pPr>
        <w:widowControl/>
        <w:rPr>
          <w:rFonts w:cs="宋体"/>
          <w:kern w:val="0"/>
          <w:sz w:val="24"/>
        </w:rPr>
      </w:pPr>
      <w:bookmarkStart w:id="325" w:name="_Toc8213509"/>
      <w:r>
        <w:rPr>
          <w:rFonts w:hint="eastAsia" w:cs="宋体"/>
          <w:color w:val="000000"/>
          <w:kern w:val="0"/>
        </w:rPr>
        <w:t>(三)主要安全措施</w:t>
      </w:r>
      <w:bookmarkEnd w:id="325"/>
    </w:p>
    <w:p w14:paraId="08215F10">
      <w:pPr>
        <w:widowControl/>
        <w:rPr>
          <w:rFonts w:cs="宋体"/>
          <w:kern w:val="0"/>
          <w:sz w:val="24"/>
        </w:rPr>
      </w:pPr>
      <w:r>
        <w:rPr>
          <w:rFonts w:hint="eastAsia" w:cs="宋体"/>
          <w:color w:val="000000"/>
          <w:kern w:val="0"/>
        </w:rPr>
        <w:t>(1)建立项目经理直接领导的安全管理体系，建立安全责任制，项目经理为本项目安全第一责任人，层层落实责任，奖优罚劣，实行奖罚分明、奖罚并重的原则；</w:t>
      </w:r>
    </w:p>
    <w:p w14:paraId="03489373">
      <w:pPr>
        <w:widowControl/>
        <w:rPr>
          <w:rFonts w:cs="宋体"/>
          <w:kern w:val="0"/>
          <w:sz w:val="24"/>
        </w:rPr>
      </w:pPr>
      <w:r>
        <w:rPr>
          <w:rFonts w:hint="eastAsia" w:cs="宋体"/>
          <w:color w:val="000000"/>
          <w:kern w:val="0"/>
        </w:rPr>
        <w:t>(2)坚决贯彻执行国家有关安全生产法规、法令，认真贯彻执行“安全第一、预防为主”的方针，对新进场人员进行安全教育考核，考核合格后方准上岗作业，班前由全员进行安全教育指导，班后进行安全总结；</w:t>
      </w:r>
    </w:p>
    <w:p w14:paraId="124D63D1">
      <w:pPr>
        <w:widowControl/>
        <w:rPr>
          <w:rFonts w:cs="宋体"/>
          <w:kern w:val="0"/>
          <w:sz w:val="24"/>
        </w:rPr>
      </w:pPr>
      <w:r>
        <w:rPr>
          <w:rFonts w:hint="eastAsia" w:cs="宋体"/>
          <w:color w:val="000000"/>
          <w:kern w:val="0"/>
        </w:rPr>
        <w:t>(3)分项工程施工制定专项的安全措施，做到技术保安全，执行持证上岗制度，坚决杜绝无证上岗的现象；</w:t>
      </w:r>
    </w:p>
    <w:p w14:paraId="3DFB15E1">
      <w:pPr>
        <w:widowControl/>
        <w:rPr>
          <w:rFonts w:cs="宋体"/>
          <w:kern w:val="0"/>
          <w:sz w:val="24"/>
        </w:rPr>
      </w:pPr>
      <w:r>
        <w:rPr>
          <w:rFonts w:hint="eastAsia" w:cs="宋体"/>
          <w:color w:val="000000"/>
          <w:kern w:val="0"/>
        </w:rPr>
        <w:t>(4)认真执行安全检查制度，项目经理要保证安全检查制度的落实，规定定期检查日期，参加检查人员，作定期检查；</w:t>
      </w:r>
    </w:p>
    <w:p w14:paraId="6483381F">
      <w:pPr>
        <w:widowControl/>
        <w:rPr>
          <w:rFonts w:cs="宋体"/>
          <w:kern w:val="0"/>
          <w:sz w:val="24"/>
        </w:rPr>
      </w:pPr>
      <w:r>
        <w:rPr>
          <w:rFonts w:hint="eastAsia" w:cs="宋体"/>
          <w:color w:val="000000"/>
          <w:kern w:val="0"/>
        </w:rPr>
        <w:t>(5)定期发给施工人员必须的劳动保护用品，如雨衣、手套、手灯等；</w:t>
      </w:r>
    </w:p>
    <w:p w14:paraId="190CDFDF">
      <w:pPr>
        <w:widowControl/>
        <w:rPr>
          <w:rFonts w:cs="宋体"/>
          <w:kern w:val="0"/>
          <w:sz w:val="24"/>
        </w:rPr>
      </w:pPr>
      <w:r>
        <w:rPr>
          <w:rFonts w:hint="eastAsia" w:cs="宋体"/>
          <w:color w:val="000000"/>
          <w:kern w:val="0"/>
        </w:rPr>
        <w:t>(6)施工区、施工道路、临时设施、办公区和生活区设置足够照明；</w:t>
      </w:r>
    </w:p>
    <w:p w14:paraId="1DF522FD">
      <w:pPr>
        <w:widowControl/>
        <w:rPr>
          <w:rFonts w:cs="宋体"/>
          <w:kern w:val="0"/>
          <w:sz w:val="24"/>
        </w:rPr>
      </w:pPr>
      <w:r>
        <w:rPr>
          <w:rFonts w:hint="eastAsia" w:cs="宋体"/>
          <w:color w:val="000000"/>
          <w:kern w:val="0"/>
        </w:rPr>
        <w:t>(7)材料仓库安排两人看护，每人值班12小时。值班时间内不得擅自离开工作岗位，更不得在值班室内抽烟。</w:t>
      </w:r>
    </w:p>
    <w:p w14:paraId="604C077E">
      <w:pPr>
        <w:ind w:firstLine="562"/>
        <w:rPr>
          <w:b/>
          <w:bCs/>
        </w:rPr>
      </w:pPr>
      <w:bookmarkStart w:id="326" w:name="_Toc8213510"/>
      <w:r>
        <w:rPr>
          <w:rFonts w:hint="eastAsia"/>
          <w:b/>
          <w:bCs/>
        </w:rPr>
        <w:t>四、危险源辩识</w:t>
      </w:r>
      <w:bookmarkEnd w:id="326"/>
    </w:p>
    <w:p w14:paraId="5FC866D4">
      <w:pPr>
        <w:widowControl/>
        <w:rPr>
          <w:rFonts w:cs="宋体"/>
          <w:kern w:val="0"/>
          <w:sz w:val="24"/>
        </w:rPr>
      </w:pPr>
      <w:r>
        <w:rPr>
          <w:rFonts w:hint="eastAsia" w:cs="宋体"/>
          <w:color w:val="000000"/>
          <w:kern w:val="0"/>
        </w:rPr>
        <w:t>本工程危险源重点为以下几个方面：</w:t>
      </w:r>
    </w:p>
    <w:p w14:paraId="261DCF19">
      <w:pPr>
        <w:widowControl/>
        <w:rPr>
          <w:rFonts w:cs="宋体"/>
          <w:kern w:val="0"/>
          <w:sz w:val="24"/>
        </w:rPr>
      </w:pPr>
      <w:r>
        <w:rPr>
          <w:rFonts w:hint="eastAsia" w:cs="宋体"/>
          <w:color w:val="000000"/>
          <w:kern w:val="0"/>
        </w:rPr>
        <w:t>1、机械、车辆翻车事故</w:t>
      </w:r>
    </w:p>
    <w:p w14:paraId="609EC420">
      <w:pPr>
        <w:widowControl/>
        <w:rPr>
          <w:rFonts w:cs="宋体"/>
          <w:kern w:val="0"/>
          <w:sz w:val="24"/>
        </w:rPr>
      </w:pPr>
      <w:r>
        <w:rPr>
          <w:rFonts w:hint="eastAsia" w:cs="宋体"/>
          <w:color w:val="000000"/>
          <w:kern w:val="0"/>
        </w:rPr>
        <w:t>本工程主要为土方工程，自卸车在进行土方拉运及倒料过程中，易发生翻车事故。</w:t>
      </w:r>
    </w:p>
    <w:p w14:paraId="45D6FBDB">
      <w:pPr>
        <w:widowControl/>
        <w:rPr>
          <w:rFonts w:cs="宋体"/>
          <w:kern w:val="0"/>
          <w:sz w:val="24"/>
        </w:rPr>
      </w:pPr>
      <w:r>
        <w:rPr>
          <w:rFonts w:hint="eastAsia" w:cs="宋体"/>
          <w:color w:val="000000"/>
          <w:kern w:val="0"/>
        </w:rPr>
        <w:t>2、机械伤害事故</w:t>
      </w:r>
    </w:p>
    <w:p w14:paraId="6388E08A">
      <w:pPr>
        <w:widowControl/>
        <w:rPr>
          <w:rFonts w:cs="宋体"/>
          <w:kern w:val="0"/>
          <w:sz w:val="24"/>
        </w:rPr>
      </w:pPr>
      <w:r>
        <w:rPr>
          <w:rFonts w:hint="eastAsia" w:cs="宋体"/>
          <w:color w:val="000000"/>
          <w:kern w:val="0"/>
        </w:rPr>
        <w:t>施工机械在施工过程中，由于操作不当对施工人员容易造成伤害。</w:t>
      </w:r>
    </w:p>
    <w:p w14:paraId="151B0220">
      <w:pPr>
        <w:widowControl/>
        <w:rPr>
          <w:rFonts w:cs="宋体"/>
          <w:kern w:val="0"/>
          <w:sz w:val="24"/>
        </w:rPr>
      </w:pPr>
      <w:r>
        <w:rPr>
          <w:rFonts w:hint="eastAsia" w:cs="宋体"/>
          <w:color w:val="000000"/>
          <w:kern w:val="0"/>
        </w:rPr>
        <w:t>3、施工用电事故</w:t>
      </w:r>
    </w:p>
    <w:p w14:paraId="482D3FFE">
      <w:pPr>
        <w:widowControl/>
        <w:rPr>
          <w:rFonts w:cs="宋体"/>
          <w:kern w:val="0"/>
          <w:sz w:val="24"/>
        </w:rPr>
      </w:pPr>
      <w:r>
        <w:rPr>
          <w:rFonts w:hint="eastAsia" w:cs="宋体"/>
          <w:color w:val="000000"/>
          <w:kern w:val="0"/>
        </w:rPr>
        <w:t>在施工中的照明线路由于布设不当、电线老化等，容易造成触电事故。</w:t>
      </w:r>
    </w:p>
    <w:p w14:paraId="0AFCE039">
      <w:pPr>
        <w:widowControl/>
        <w:rPr>
          <w:rFonts w:cs="宋体"/>
          <w:kern w:val="0"/>
          <w:sz w:val="24"/>
        </w:rPr>
      </w:pPr>
      <w:r>
        <w:rPr>
          <w:rFonts w:hint="eastAsia" w:cs="宋体"/>
          <w:color w:val="000000"/>
          <w:kern w:val="0"/>
        </w:rPr>
        <w:t>4、人员坠落事故</w:t>
      </w:r>
    </w:p>
    <w:p w14:paraId="2232A23B">
      <w:pPr>
        <w:widowControl/>
        <w:rPr>
          <w:rFonts w:cs="宋体"/>
          <w:kern w:val="0"/>
          <w:sz w:val="24"/>
        </w:rPr>
      </w:pPr>
      <w:r>
        <w:rPr>
          <w:rFonts w:hint="eastAsia" w:cs="宋体"/>
          <w:color w:val="000000"/>
          <w:kern w:val="0"/>
        </w:rPr>
        <w:t>人员在斜坡边缘指挥机械或夜间施工，由于思想麻痹，容易从边坡缘掉下造成人身伤害。</w:t>
      </w:r>
    </w:p>
    <w:p w14:paraId="0B867BC4">
      <w:pPr>
        <w:widowControl/>
        <w:rPr>
          <w:rFonts w:cs="宋体"/>
          <w:kern w:val="0"/>
          <w:sz w:val="24"/>
        </w:rPr>
      </w:pPr>
      <w:r>
        <w:rPr>
          <w:rFonts w:hint="eastAsia" w:cs="宋体"/>
          <w:color w:val="000000"/>
          <w:kern w:val="0"/>
        </w:rPr>
        <w:t>5、食物中毒事故</w:t>
      </w:r>
    </w:p>
    <w:p w14:paraId="4146C8DF">
      <w:pPr>
        <w:widowControl/>
        <w:rPr>
          <w:rFonts w:cs="宋体"/>
          <w:kern w:val="0"/>
          <w:sz w:val="24"/>
        </w:rPr>
      </w:pPr>
      <w:r>
        <w:rPr>
          <w:rFonts w:hint="eastAsia" w:cs="宋体"/>
          <w:color w:val="000000"/>
          <w:kern w:val="0"/>
        </w:rPr>
        <w:t>施工期间气温较高时，食物保护不当，造成变质，容易引起食物中毒事故。</w:t>
      </w:r>
    </w:p>
    <w:p w14:paraId="5394F577">
      <w:pPr>
        <w:ind w:firstLine="562"/>
        <w:rPr>
          <w:b/>
          <w:bCs/>
        </w:rPr>
      </w:pPr>
      <w:bookmarkStart w:id="327" w:name="_Toc8213511"/>
      <w:r>
        <w:rPr>
          <w:rFonts w:hint="eastAsia"/>
          <w:b/>
          <w:bCs/>
        </w:rPr>
        <w:t>五、突发事件应急预防方案</w:t>
      </w:r>
      <w:bookmarkEnd w:id="327"/>
    </w:p>
    <w:p w14:paraId="1499C9FF">
      <w:pPr>
        <w:widowControl/>
        <w:rPr>
          <w:rFonts w:cs="宋体"/>
          <w:kern w:val="0"/>
          <w:sz w:val="24"/>
        </w:rPr>
      </w:pPr>
      <w:r>
        <w:rPr>
          <w:rFonts w:hint="eastAsia" w:cs="宋体"/>
          <w:color w:val="000000"/>
          <w:kern w:val="0"/>
        </w:rPr>
        <w:t>在施工过程中，为防止突发的事件或事故，有效地进行有条不紊的应对，建立应急预防方案，保证工程的顺利完工，具体方案如下：</w:t>
      </w:r>
    </w:p>
    <w:p w14:paraId="6AE70776">
      <w:pPr>
        <w:widowControl/>
        <w:rPr>
          <w:rFonts w:cs="宋体"/>
          <w:kern w:val="0"/>
          <w:sz w:val="24"/>
        </w:rPr>
      </w:pPr>
      <w:r>
        <w:rPr>
          <w:rFonts w:hint="eastAsia" w:cs="宋体"/>
          <w:color w:val="000000"/>
          <w:kern w:val="0"/>
        </w:rPr>
        <w:t>1、在施工过程中，安全员应随时掌握天气变化，科学安排施工。保证通讯设备畅通，预防土方坍塌、食物中毒、电击等突发事故；</w:t>
      </w:r>
    </w:p>
    <w:p w14:paraId="3C16332D">
      <w:pPr>
        <w:widowControl/>
        <w:rPr>
          <w:rFonts w:cs="宋体"/>
          <w:kern w:val="0"/>
          <w:sz w:val="24"/>
        </w:rPr>
      </w:pPr>
      <w:r>
        <w:rPr>
          <w:rFonts w:hint="eastAsia" w:cs="宋体"/>
          <w:color w:val="000000"/>
          <w:kern w:val="0"/>
        </w:rPr>
        <w:t>2、突发事故一旦发生，立即成立以项目经理为组长，安全员为副组长的安全救援小组展开救援工作，发动当地部门力量，把损失降低到最低程度，并立即通知单位主管领导，按我单位职业健康安全保证体系紧急预案程序进行。立即与我单位和当地国土资源局取得联系，组织力量迅速解决；</w:t>
      </w:r>
    </w:p>
    <w:p w14:paraId="3AB6222F">
      <w:pPr>
        <w:widowControl/>
        <w:rPr>
          <w:rFonts w:cs="宋体"/>
          <w:kern w:val="0"/>
          <w:sz w:val="24"/>
        </w:rPr>
      </w:pPr>
      <w:r>
        <w:rPr>
          <w:rFonts w:hint="eastAsia" w:cs="宋体"/>
          <w:color w:val="000000"/>
          <w:kern w:val="0"/>
        </w:rPr>
        <w:t>3、项目实施期间以稳定大局为重，加强项目人员的管理，与当地少数民族搞好团结，临时雇用的人员必须登记核实无违纪行为后方可录用，并进行教育和严格管理；</w:t>
      </w:r>
    </w:p>
    <w:p w14:paraId="784A40EF">
      <w:pPr>
        <w:widowControl/>
        <w:rPr>
          <w:rFonts w:cs="宋体"/>
          <w:kern w:val="0"/>
          <w:sz w:val="24"/>
        </w:rPr>
      </w:pPr>
      <w:r>
        <w:rPr>
          <w:rFonts w:hint="eastAsia" w:cs="宋体"/>
          <w:color w:val="000000"/>
          <w:kern w:val="0"/>
        </w:rPr>
        <w:t>4、加强野外施工工地管理制度,关好自己的门,管好自己的人,陌生人来工地要严格进行检查,发现可疑人员立即向当地公安部门报告。</w:t>
      </w:r>
    </w:p>
    <w:p w14:paraId="53AA0530">
      <w:pPr>
        <w:ind w:firstLine="562"/>
        <w:rPr>
          <w:b/>
          <w:bCs/>
        </w:rPr>
      </w:pPr>
      <w:bookmarkStart w:id="328" w:name="_Toc8213512"/>
      <w:r>
        <w:rPr>
          <w:rFonts w:hint="eastAsia"/>
          <w:b/>
          <w:bCs/>
        </w:rPr>
        <w:t>六、意外事故应急处理预案</w:t>
      </w:r>
      <w:bookmarkEnd w:id="328"/>
    </w:p>
    <w:p w14:paraId="3C95DFB9">
      <w:pPr>
        <w:widowControl/>
        <w:rPr>
          <w:rFonts w:cs="宋体"/>
          <w:kern w:val="0"/>
          <w:sz w:val="24"/>
        </w:rPr>
      </w:pPr>
      <w:r>
        <w:rPr>
          <w:rFonts w:hint="eastAsia" w:cs="宋体"/>
          <w:color w:val="000000"/>
          <w:kern w:val="0"/>
        </w:rPr>
        <w:t>(一)意外事故应急处理组织机构</w:t>
      </w:r>
    </w:p>
    <w:p w14:paraId="5CB49B84">
      <w:pPr>
        <w:widowControl/>
        <w:rPr>
          <w:rFonts w:cs="宋体"/>
          <w:kern w:val="0"/>
          <w:sz w:val="24"/>
        </w:rPr>
      </w:pPr>
      <w:r>
        <w:rPr>
          <w:rFonts w:hint="eastAsia" w:cs="宋体"/>
          <w:color w:val="000000"/>
          <w:kern w:val="0"/>
        </w:rPr>
        <w:t>组长：项目经理</w:t>
      </w:r>
    </w:p>
    <w:p w14:paraId="17BEF298">
      <w:pPr>
        <w:widowControl/>
        <w:rPr>
          <w:rFonts w:cs="宋体"/>
          <w:kern w:val="0"/>
          <w:sz w:val="24"/>
        </w:rPr>
      </w:pPr>
      <w:r>
        <w:rPr>
          <w:rFonts w:hint="eastAsia" w:cs="宋体"/>
          <w:color w:val="000000"/>
          <w:kern w:val="0"/>
        </w:rPr>
        <w:t>副组长：项目安全员</w:t>
      </w:r>
    </w:p>
    <w:p w14:paraId="136D6A51">
      <w:pPr>
        <w:widowControl/>
        <w:rPr>
          <w:rFonts w:cs="宋体"/>
          <w:kern w:val="0"/>
          <w:sz w:val="24"/>
        </w:rPr>
      </w:pPr>
      <w:r>
        <w:rPr>
          <w:rFonts w:hint="eastAsia" w:cs="宋体"/>
          <w:color w:val="000000"/>
          <w:kern w:val="0"/>
        </w:rPr>
        <w:t>成员：施工队长及各施工组长</w:t>
      </w:r>
    </w:p>
    <w:p w14:paraId="679468A2">
      <w:pPr>
        <w:widowControl/>
        <w:rPr>
          <w:rFonts w:cs="宋体"/>
          <w:kern w:val="0"/>
          <w:sz w:val="24"/>
        </w:rPr>
      </w:pPr>
      <w:r>
        <w:rPr>
          <w:rFonts w:hint="eastAsia" w:cs="宋体"/>
          <w:color w:val="000000"/>
          <w:kern w:val="0"/>
        </w:rPr>
        <w:t>(二)事故领导小组的职责</w:t>
      </w:r>
    </w:p>
    <w:p w14:paraId="437F0C6E">
      <w:pPr>
        <w:widowControl/>
        <w:rPr>
          <w:rFonts w:cs="宋体"/>
          <w:kern w:val="0"/>
          <w:sz w:val="24"/>
        </w:rPr>
      </w:pPr>
      <w:r>
        <w:rPr>
          <w:rFonts w:hint="eastAsia" w:cs="宋体"/>
          <w:color w:val="000000"/>
          <w:kern w:val="0"/>
        </w:rPr>
        <w:t>1、领导小组组长的职责；</w:t>
      </w:r>
    </w:p>
    <w:p w14:paraId="7C0CC248">
      <w:pPr>
        <w:widowControl/>
        <w:rPr>
          <w:rFonts w:cs="宋体"/>
          <w:kern w:val="0"/>
          <w:sz w:val="24"/>
        </w:rPr>
      </w:pPr>
      <w:r>
        <w:rPr>
          <w:rFonts w:hint="eastAsia" w:cs="宋体"/>
          <w:color w:val="000000"/>
          <w:kern w:val="0"/>
        </w:rPr>
        <w:t>2、负责制定安全规章制度；</w:t>
      </w:r>
    </w:p>
    <w:p w14:paraId="10863AB2">
      <w:pPr>
        <w:widowControl/>
        <w:rPr>
          <w:rFonts w:cs="宋体"/>
          <w:kern w:val="0"/>
          <w:sz w:val="24"/>
        </w:rPr>
      </w:pPr>
      <w:r>
        <w:rPr>
          <w:rFonts w:hint="eastAsia" w:cs="宋体"/>
          <w:color w:val="000000"/>
          <w:kern w:val="0"/>
        </w:rPr>
        <w:t>3、监督检查工作人员执行安全规章制度；</w:t>
      </w:r>
    </w:p>
    <w:p w14:paraId="08867FEE">
      <w:pPr>
        <w:widowControl/>
        <w:rPr>
          <w:rFonts w:cs="宋体"/>
          <w:kern w:val="0"/>
          <w:sz w:val="24"/>
        </w:rPr>
      </w:pPr>
      <w:bookmarkStart w:id="329" w:name="_Toc8213513"/>
      <w:r>
        <w:rPr>
          <w:rFonts w:hint="eastAsia" w:cs="宋体"/>
          <w:color w:val="000000"/>
          <w:kern w:val="0"/>
        </w:rPr>
        <w:t>4、负责事故处理、决策，检查处理情况；</w:t>
      </w:r>
      <w:bookmarkEnd w:id="329"/>
    </w:p>
    <w:p w14:paraId="2AE688F5">
      <w:pPr>
        <w:widowControl/>
        <w:rPr>
          <w:rFonts w:cs="宋体"/>
          <w:kern w:val="0"/>
          <w:sz w:val="24"/>
        </w:rPr>
      </w:pPr>
      <w:r>
        <w:rPr>
          <w:rFonts w:hint="eastAsia" w:cs="宋体"/>
          <w:color w:val="000000"/>
          <w:kern w:val="0"/>
        </w:rPr>
        <w:t>5、负责职工的安全培训和管理工作；</w:t>
      </w:r>
    </w:p>
    <w:p w14:paraId="6920DB05">
      <w:pPr>
        <w:widowControl/>
        <w:rPr>
          <w:rFonts w:cs="宋体"/>
          <w:kern w:val="0"/>
          <w:sz w:val="24"/>
        </w:rPr>
      </w:pPr>
      <w:r>
        <w:rPr>
          <w:rFonts w:hint="eastAsia" w:cs="宋体"/>
          <w:color w:val="000000"/>
          <w:kern w:val="0"/>
        </w:rPr>
        <w:t>6、负责与当地各职能部门联系。</w:t>
      </w:r>
    </w:p>
    <w:p w14:paraId="2C7F3B9D">
      <w:pPr>
        <w:widowControl/>
        <w:rPr>
          <w:rFonts w:cs="宋体"/>
          <w:kern w:val="0"/>
          <w:sz w:val="24"/>
        </w:rPr>
      </w:pPr>
      <w:r>
        <w:rPr>
          <w:rFonts w:hint="eastAsia" w:cs="宋体"/>
          <w:color w:val="000000"/>
          <w:kern w:val="0"/>
        </w:rPr>
        <w:t>(三)领导小组成员的职责</w:t>
      </w:r>
    </w:p>
    <w:p w14:paraId="281EC5FC">
      <w:pPr>
        <w:widowControl/>
        <w:rPr>
          <w:rFonts w:cs="宋体"/>
          <w:kern w:val="0"/>
          <w:sz w:val="24"/>
        </w:rPr>
      </w:pPr>
      <w:r>
        <w:rPr>
          <w:rFonts w:hint="eastAsia" w:cs="宋体"/>
          <w:color w:val="000000"/>
          <w:kern w:val="0"/>
        </w:rPr>
        <w:t>1、参与制定安全技术措施，检查实施情况；</w:t>
      </w:r>
    </w:p>
    <w:p w14:paraId="3F9E271E">
      <w:pPr>
        <w:widowControl/>
        <w:rPr>
          <w:rFonts w:cs="宋体"/>
          <w:kern w:val="0"/>
          <w:sz w:val="24"/>
        </w:rPr>
      </w:pPr>
      <w:bookmarkStart w:id="330" w:name="_Toc8213514"/>
      <w:r>
        <w:rPr>
          <w:rFonts w:hint="eastAsia" w:cs="宋体"/>
          <w:color w:val="000000"/>
          <w:kern w:val="0"/>
        </w:rPr>
        <w:t>2、参与事故的调查、处理、收集有关资料；</w:t>
      </w:r>
      <w:bookmarkEnd w:id="330"/>
    </w:p>
    <w:p w14:paraId="314F8A2F">
      <w:pPr>
        <w:widowControl/>
        <w:rPr>
          <w:rFonts w:cs="宋体"/>
          <w:kern w:val="0"/>
          <w:sz w:val="24"/>
        </w:rPr>
      </w:pPr>
      <w:r>
        <w:rPr>
          <w:rFonts w:hint="eastAsia" w:cs="宋体"/>
          <w:color w:val="000000"/>
          <w:kern w:val="0"/>
        </w:rPr>
        <w:t>3、参加对安全生产的检查、监督；</w:t>
      </w:r>
    </w:p>
    <w:p w14:paraId="5374F036">
      <w:pPr>
        <w:widowControl/>
        <w:rPr>
          <w:rFonts w:cs="宋体"/>
          <w:kern w:val="0"/>
          <w:sz w:val="24"/>
        </w:rPr>
      </w:pPr>
      <w:r>
        <w:rPr>
          <w:rFonts w:hint="eastAsia" w:cs="宋体"/>
          <w:color w:val="000000"/>
          <w:kern w:val="0"/>
        </w:rPr>
        <w:t>4、参加职工的安全培训和管理工作；</w:t>
      </w:r>
    </w:p>
    <w:p w14:paraId="483017DD">
      <w:pPr>
        <w:widowControl/>
        <w:rPr>
          <w:rFonts w:cs="宋体"/>
          <w:kern w:val="0"/>
          <w:sz w:val="24"/>
        </w:rPr>
      </w:pPr>
      <w:r>
        <w:rPr>
          <w:rFonts w:hint="eastAsia" w:cs="宋体"/>
          <w:color w:val="000000"/>
          <w:kern w:val="0"/>
        </w:rPr>
        <w:t>5、负责与当地劳动、安全监察部门的协调与联络；</w:t>
      </w:r>
    </w:p>
    <w:p w14:paraId="781067BA">
      <w:pPr>
        <w:widowControl/>
        <w:rPr>
          <w:rFonts w:cs="宋体"/>
          <w:kern w:val="0"/>
          <w:sz w:val="24"/>
        </w:rPr>
      </w:pPr>
      <w:r>
        <w:rPr>
          <w:rFonts w:hint="eastAsia" w:cs="宋体"/>
          <w:color w:val="000000"/>
          <w:kern w:val="0"/>
        </w:rPr>
        <w:t>6、负责医疗救护、灾害救援以及善后处理工作。</w:t>
      </w:r>
    </w:p>
    <w:p w14:paraId="286840BC">
      <w:pPr>
        <w:widowControl/>
        <w:rPr>
          <w:rFonts w:cs="宋体"/>
          <w:kern w:val="0"/>
          <w:sz w:val="24"/>
        </w:rPr>
      </w:pPr>
      <w:bookmarkStart w:id="331" w:name="_Toc8213515"/>
      <w:r>
        <w:rPr>
          <w:rFonts w:hint="eastAsia" w:cs="宋体"/>
          <w:color w:val="000000"/>
          <w:kern w:val="0"/>
        </w:rPr>
        <w:t>(四)意外事故的预防及应急措施</w:t>
      </w:r>
      <w:bookmarkEnd w:id="331"/>
    </w:p>
    <w:p w14:paraId="42883102">
      <w:pPr>
        <w:widowControl/>
        <w:rPr>
          <w:rFonts w:cs="宋体"/>
          <w:kern w:val="0"/>
          <w:sz w:val="24"/>
        </w:rPr>
      </w:pPr>
      <w:r>
        <w:rPr>
          <w:rFonts w:hint="eastAsia" w:cs="宋体"/>
          <w:color w:val="000000"/>
          <w:kern w:val="0"/>
        </w:rPr>
        <w:t>1、临时施工人员意外事故的预防及应急措施</w:t>
      </w:r>
    </w:p>
    <w:p w14:paraId="7DCCE2DA">
      <w:pPr>
        <w:widowControl/>
        <w:rPr>
          <w:rFonts w:cs="宋体"/>
          <w:kern w:val="0"/>
          <w:sz w:val="24"/>
        </w:rPr>
      </w:pPr>
      <w:bookmarkStart w:id="332" w:name="_Toc8213516"/>
      <w:r>
        <w:rPr>
          <w:rFonts w:hint="eastAsia" w:cs="宋体"/>
          <w:color w:val="000000"/>
          <w:kern w:val="0"/>
        </w:rPr>
        <w:t>(1)登记临时施工人员的身份证，报当地派出所；</w:t>
      </w:r>
      <w:bookmarkEnd w:id="332"/>
    </w:p>
    <w:p w14:paraId="3827D030">
      <w:pPr>
        <w:widowControl/>
        <w:rPr>
          <w:rFonts w:cs="宋体"/>
          <w:kern w:val="0"/>
          <w:sz w:val="24"/>
        </w:rPr>
      </w:pPr>
      <w:r>
        <w:rPr>
          <w:rFonts w:hint="eastAsia" w:cs="宋体"/>
          <w:color w:val="000000"/>
          <w:kern w:val="0"/>
        </w:rPr>
        <w:t>(2)进行施工安全教育和培训；发生安全事故，积极进行医疗救治；</w:t>
      </w:r>
    </w:p>
    <w:p w14:paraId="6A6A992D">
      <w:pPr>
        <w:widowControl/>
        <w:rPr>
          <w:rFonts w:cs="宋体"/>
          <w:kern w:val="0"/>
          <w:sz w:val="24"/>
        </w:rPr>
      </w:pPr>
      <w:r>
        <w:rPr>
          <w:rFonts w:hint="eastAsia" w:cs="宋体"/>
          <w:color w:val="000000"/>
          <w:kern w:val="0"/>
        </w:rPr>
        <w:t>(3)对无故离开工地的进行调查，长期离开的报公安机关，并作开除处理；发生违法行为的交公安机关处理。</w:t>
      </w:r>
    </w:p>
    <w:p w14:paraId="16834817">
      <w:pPr>
        <w:widowControl/>
        <w:rPr>
          <w:rFonts w:cs="宋体"/>
          <w:kern w:val="0"/>
          <w:sz w:val="24"/>
        </w:rPr>
      </w:pPr>
      <w:bookmarkStart w:id="333" w:name="_Toc8213517"/>
      <w:r>
        <w:rPr>
          <w:rFonts w:hint="eastAsia" w:cs="宋体"/>
          <w:color w:val="000000"/>
          <w:kern w:val="0"/>
        </w:rPr>
        <w:t>2、火灾预防及应急措施</w:t>
      </w:r>
      <w:bookmarkEnd w:id="333"/>
    </w:p>
    <w:p w14:paraId="45714DAE">
      <w:pPr>
        <w:widowControl/>
        <w:rPr>
          <w:rFonts w:cs="宋体"/>
          <w:kern w:val="0"/>
          <w:sz w:val="24"/>
        </w:rPr>
      </w:pPr>
      <w:r>
        <w:rPr>
          <w:rFonts w:hint="eastAsia" w:cs="宋体"/>
          <w:color w:val="000000"/>
          <w:kern w:val="0"/>
        </w:rPr>
        <w:t>施工过程中发生火灾的主要原因是用电和生活用火，针对火灾原因，配备消防设施、灭火器等，安全员经常检查供电线路和生活用火的情况，发现事故苗头及时采取有效措施进行处理。</w:t>
      </w:r>
    </w:p>
    <w:p w14:paraId="26BDF650">
      <w:pPr>
        <w:widowControl/>
        <w:rPr>
          <w:rFonts w:cs="宋体"/>
          <w:kern w:val="0"/>
          <w:sz w:val="24"/>
        </w:rPr>
      </w:pPr>
      <w:bookmarkStart w:id="334" w:name="_Toc8213518"/>
      <w:r>
        <w:rPr>
          <w:rFonts w:hint="eastAsia" w:cs="宋体"/>
          <w:color w:val="000000"/>
          <w:kern w:val="0"/>
        </w:rPr>
        <w:t>3、设备物资意外事故的预防及应急措施</w:t>
      </w:r>
      <w:bookmarkEnd w:id="334"/>
    </w:p>
    <w:p w14:paraId="609F1654">
      <w:pPr>
        <w:widowControl/>
        <w:rPr>
          <w:rFonts w:cs="宋体"/>
          <w:kern w:val="0"/>
          <w:sz w:val="24"/>
        </w:rPr>
      </w:pPr>
      <w:r>
        <w:rPr>
          <w:rFonts w:hint="eastAsia" w:cs="宋体"/>
          <w:color w:val="000000"/>
          <w:kern w:val="0"/>
        </w:rPr>
        <w:t>加强设备物资的管理和保卫工作，发生物资设备被盗或破坏事故，保护好现场，及时报告公安机关。</w:t>
      </w:r>
    </w:p>
    <w:p w14:paraId="5228885B">
      <w:pPr>
        <w:widowControl/>
        <w:rPr>
          <w:rFonts w:cs="宋体"/>
          <w:kern w:val="0"/>
          <w:sz w:val="24"/>
        </w:rPr>
      </w:pPr>
      <w:r>
        <w:rPr>
          <w:rFonts w:hint="eastAsia" w:cs="宋体"/>
          <w:color w:val="000000"/>
          <w:kern w:val="0"/>
        </w:rPr>
        <w:t>4、与当地企业、社会人员发生矛盾纠纷的预防及应急措施</w:t>
      </w:r>
    </w:p>
    <w:p w14:paraId="7803DDDA">
      <w:pPr>
        <w:widowControl/>
        <w:rPr>
          <w:rFonts w:cs="宋体"/>
          <w:kern w:val="0"/>
          <w:sz w:val="24"/>
        </w:rPr>
      </w:pPr>
      <w:r>
        <w:rPr>
          <w:rFonts w:hint="eastAsia" w:cs="宋体"/>
          <w:color w:val="000000"/>
          <w:kern w:val="0"/>
        </w:rPr>
        <w:t>加强对职工的教育，施工中出现与当地企业有关的问题，及时与对方领导取得联系协调解决，如果协商不成时，及时报上级领导并报当地公安机关，避免事态的扩大和恶化。如与当地社会人员发生矛盾，报当地公安机关处理解决。</w:t>
      </w:r>
    </w:p>
    <w:p w14:paraId="4762E962">
      <w:pPr>
        <w:pStyle w:val="3"/>
      </w:pPr>
      <w:bookmarkStart w:id="335" w:name="_Toc106400440"/>
      <w:bookmarkStart w:id="336" w:name="_Toc102927635"/>
      <w:bookmarkStart w:id="337" w:name="_Toc8402748"/>
      <w:bookmarkStart w:id="338" w:name="_Toc11744"/>
      <w:bookmarkStart w:id="339" w:name="_Toc1526"/>
      <w:bookmarkStart w:id="340" w:name="_Toc106400225"/>
      <w:r>
        <w:rPr>
          <w:rFonts w:hint="eastAsia"/>
        </w:rPr>
        <w:t>第四节</w:t>
      </w:r>
      <w:r>
        <w:rPr>
          <w:rFonts w:hint="eastAsia" w:ascii="宋体"/>
        </w:rPr>
        <w:t xml:space="preserve"> </w:t>
      </w:r>
      <w:r>
        <w:rPr>
          <w:rFonts w:hint="eastAsia"/>
        </w:rPr>
        <w:t xml:space="preserve"> 文明施工措施</w:t>
      </w:r>
      <w:bookmarkEnd w:id="335"/>
      <w:bookmarkEnd w:id="336"/>
      <w:bookmarkEnd w:id="337"/>
      <w:bookmarkEnd w:id="338"/>
      <w:bookmarkEnd w:id="339"/>
      <w:bookmarkEnd w:id="340"/>
    </w:p>
    <w:p w14:paraId="38A031BD">
      <w:pPr>
        <w:widowControl/>
        <w:rPr>
          <w:rFonts w:cs="宋体"/>
          <w:kern w:val="0"/>
          <w:sz w:val="24"/>
        </w:rPr>
      </w:pPr>
      <w:r>
        <w:rPr>
          <w:rFonts w:hint="eastAsia" w:cs="宋体"/>
          <w:color w:val="000000"/>
          <w:kern w:val="0"/>
        </w:rPr>
        <w:t>1、开工的同时，组建由项目经理直接领导的抓安全生产、文明施工管理和监督机构，负责组织和监督本工程文明施工措施的落实。对现场文明施工的直接管理，负责监督检查。安全员同时兼文明施工监督员，负责施工班组的文明施工监督；</w:t>
      </w:r>
    </w:p>
    <w:p w14:paraId="74A0F108">
      <w:pPr>
        <w:widowControl/>
        <w:rPr>
          <w:rFonts w:cs="宋体"/>
          <w:kern w:val="0"/>
          <w:sz w:val="24"/>
        </w:rPr>
      </w:pPr>
      <w:r>
        <w:rPr>
          <w:rFonts w:hint="eastAsia" w:cs="宋体"/>
          <w:color w:val="000000"/>
          <w:kern w:val="0"/>
        </w:rPr>
        <w:t>2、按施工平面布置实施布置管理，使施工现场处于整齐有序的状态；</w:t>
      </w:r>
    </w:p>
    <w:p w14:paraId="5D4BA3C9">
      <w:pPr>
        <w:widowControl/>
        <w:rPr>
          <w:rFonts w:cs="宋体"/>
          <w:kern w:val="0"/>
          <w:sz w:val="24"/>
        </w:rPr>
      </w:pPr>
      <w:bookmarkStart w:id="341" w:name="_Toc8213519"/>
      <w:r>
        <w:rPr>
          <w:rFonts w:hint="eastAsia" w:cs="宋体"/>
          <w:color w:val="000000"/>
          <w:kern w:val="0"/>
        </w:rPr>
        <w:t>3、合理安排施工顺序，避免工序相互干扰；</w:t>
      </w:r>
      <w:bookmarkEnd w:id="341"/>
    </w:p>
    <w:p w14:paraId="39D734CE">
      <w:pPr>
        <w:widowControl/>
        <w:rPr>
          <w:rFonts w:cs="宋体"/>
          <w:kern w:val="0"/>
          <w:sz w:val="24"/>
        </w:rPr>
      </w:pPr>
      <w:r>
        <w:rPr>
          <w:rFonts w:hint="eastAsia" w:cs="宋体"/>
          <w:color w:val="000000"/>
          <w:kern w:val="0"/>
        </w:rPr>
        <w:t>4、各项施工生产活动严格按照有关的规程规范作业，杜绝野蛮施工和盲目施工；</w:t>
      </w:r>
    </w:p>
    <w:p w14:paraId="10119410">
      <w:pPr>
        <w:widowControl/>
        <w:rPr>
          <w:rFonts w:cs="宋体"/>
          <w:kern w:val="0"/>
          <w:sz w:val="24"/>
        </w:rPr>
      </w:pPr>
      <w:r>
        <w:rPr>
          <w:rFonts w:hint="eastAsia" w:cs="宋体"/>
          <w:color w:val="000000"/>
          <w:kern w:val="0"/>
        </w:rPr>
        <w:t>5、施工现场所有施工管理人员必须佩戴证明其身份的标识牌，标识牌应标明姓名、职务、身份编号；</w:t>
      </w:r>
    </w:p>
    <w:p w14:paraId="0D69D965">
      <w:pPr>
        <w:widowControl/>
        <w:rPr>
          <w:rFonts w:cs="宋体"/>
          <w:kern w:val="0"/>
          <w:sz w:val="24"/>
        </w:rPr>
      </w:pPr>
      <w:r>
        <w:rPr>
          <w:rFonts w:hint="eastAsia" w:cs="宋体"/>
          <w:color w:val="000000"/>
          <w:kern w:val="0"/>
        </w:rPr>
        <w:t>6、重要施工场地应设有操作规程、值班制度和安全标志；</w:t>
      </w:r>
    </w:p>
    <w:p w14:paraId="30C5B848">
      <w:pPr>
        <w:widowControl/>
        <w:rPr>
          <w:rFonts w:cs="宋体"/>
          <w:kern w:val="0"/>
          <w:sz w:val="24"/>
        </w:rPr>
      </w:pPr>
      <w:r>
        <w:rPr>
          <w:rFonts w:hint="eastAsia" w:cs="宋体"/>
          <w:color w:val="000000"/>
          <w:kern w:val="0"/>
        </w:rPr>
        <w:t>7、值班人员按时交接班，认真做好施工记录，不得与闲散人员玩耍；</w:t>
      </w:r>
    </w:p>
    <w:p w14:paraId="2C3B6BAA">
      <w:pPr>
        <w:widowControl/>
        <w:rPr>
          <w:rFonts w:cs="宋体"/>
          <w:kern w:val="0"/>
          <w:sz w:val="24"/>
        </w:rPr>
      </w:pPr>
      <w:r>
        <w:rPr>
          <w:rFonts w:hint="eastAsia" w:cs="宋体"/>
          <w:color w:val="000000"/>
          <w:kern w:val="0"/>
        </w:rPr>
        <w:t>8、值班人员遇到管理、监理检查工作时，应主动介绍情况；</w:t>
      </w:r>
    </w:p>
    <w:p w14:paraId="7E9E1380">
      <w:pPr>
        <w:widowControl/>
        <w:rPr>
          <w:rFonts w:cs="宋体"/>
          <w:kern w:val="0"/>
          <w:sz w:val="24"/>
        </w:rPr>
      </w:pPr>
      <w:r>
        <w:rPr>
          <w:rFonts w:hint="eastAsia" w:cs="宋体"/>
          <w:color w:val="000000"/>
          <w:kern w:val="0"/>
        </w:rPr>
        <w:t>9、主要施工干道应经常保养维护，为文明施工创造必要的条件。机械设备严禁乱停乱放，必须在指定的地点有序停放，保证施工场内外道路畅通，并对车辆设备经常冲洗擦试，确保车容车貌整洁；</w:t>
      </w:r>
    </w:p>
    <w:p w14:paraId="115EFEED">
      <w:pPr>
        <w:widowControl/>
        <w:rPr>
          <w:rFonts w:cs="宋体"/>
          <w:kern w:val="0"/>
          <w:sz w:val="24"/>
        </w:rPr>
      </w:pPr>
      <w:r>
        <w:rPr>
          <w:rFonts w:hint="eastAsia" w:cs="宋体"/>
          <w:color w:val="000000"/>
          <w:kern w:val="0"/>
        </w:rPr>
        <w:t>10、项目部对自检和监理单位组织的检查中查出文明施工中存在的问题，不但要立即纠正，而且要针对文明施工中薄弱环节，进行改进和完善，使文明施工不断优化和提高；</w:t>
      </w:r>
    </w:p>
    <w:p w14:paraId="04669375">
      <w:pPr>
        <w:widowControl/>
        <w:rPr>
          <w:rFonts w:cs="宋体"/>
          <w:color w:val="000000"/>
          <w:kern w:val="0"/>
        </w:rPr>
      </w:pPr>
      <w:r>
        <w:rPr>
          <w:rFonts w:hint="eastAsia" w:cs="宋体"/>
          <w:color w:val="000000"/>
          <w:kern w:val="0"/>
        </w:rPr>
        <w:t>11、工程完工后，按要求及时拆除工地所有临时设施，并将工地周围环境清理整洁，做到工完、料清、场地净。</w:t>
      </w:r>
    </w:p>
    <w:p w14:paraId="23753F5E">
      <w:pPr>
        <w:widowControl/>
        <w:adjustRightInd/>
        <w:snapToGrid/>
        <w:spacing w:line="240" w:lineRule="auto"/>
        <w:ind w:firstLine="0" w:firstLineChars="0"/>
        <w:jc w:val="left"/>
        <w:rPr>
          <w:rFonts w:cs="宋体"/>
          <w:color w:val="000000"/>
          <w:kern w:val="0"/>
        </w:rPr>
      </w:pPr>
      <w:r>
        <w:rPr>
          <w:rFonts w:cs="宋体"/>
          <w:color w:val="000000"/>
          <w:kern w:val="0"/>
        </w:rPr>
        <w:br w:type="page"/>
      </w:r>
    </w:p>
    <w:p w14:paraId="4D00745D">
      <w:pPr>
        <w:pStyle w:val="2"/>
        <w:rPr>
          <w:rFonts w:ascii="仿宋" w:hAnsi="仿宋" w:eastAsia="仿宋" w:cs="仿宋"/>
          <w:sz w:val="32"/>
          <w:szCs w:val="32"/>
        </w:rPr>
      </w:pPr>
      <w:bookmarkStart w:id="342" w:name="_Toc16753"/>
      <w:bookmarkStart w:id="343" w:name="_Toc106400226"/>
      <w:bookmarkStart w:id="344" w:name="_Toc500554341"/>
      <w:bookmarkStart w:id="345" w:name="_Toc8940"/>
      <w:bookmarkStart w:id="346" w:name="_Toc520058366"/>
      <w:bookmarkStart w:id="347" w:name="_Toc106400441"/>
      <w:bookmarkStart w:id="348" w:name="_Toc8402749"/>
      <w:bookmarkStart w:id="349" w:name="_Toc29826"/>
      <w:bookmarkStart w:id="350" w:name="_Toc102927636"/>
      <w:bookmarkStart w:id="351" w:name="_Toc30134"/>
      <w:bookmarkStart w:id="352" w:name="_Toc521058894"/>
      <w:bookmarkStart w:id="353" w:name="_Toc25921"/>
      <w:bookmarkStart w:id="354" w:name="_Toc508028869"/>
      <w:bookmarkStart w:id="355" w:name="_Toc458963949"/>
      <w:bookmarkStart w:id="356" w:name="_Toc507432253"/>
      <w:bookmarkStart w:id="357" w:name="_Toc508019116"/>
      <w:r>
        <w:rPr>
          <w:rFonts w:hint="eastAsia"/>
        </w:rPr>
        <w:t>第八章  预算编制</w:t>
      </w:r>
      <w:bookmarkEnd w:id="342"/>
      <w:bookmarkEnd w:id="343"/>
      <w:bookmarkEnd w:id="344"/>
      <w:bookmarkEnd w:id="345"/>
      <w:bookmarkEnd w:id="346"/>
      <w:bookmarkEnd w:id="347"/>
    </w:p>
    <w:p w14:paraId="05EEDBD4">
      <w:pPr>
        <w:widowControl/>
        <w:autoSpaceDE w:val="0"/>
        <w:autoSpaceDN w:val="0"/>
        <w:rPr>
          <w:rFonts w:cs="宋体"/>
          <w:kern w:val="0"/>
        </w:rPr>
      </w:pPr>
      <w:r>
        <w:rPr>
          <w:rFonts w:hint="eastAsia" w:cs="宋体"/>
          <w:kern w:val="0"/>
        </w:rPr>
        <w:t>一、本工程项目预算的编制依据为：</w:t>
      </w:r>
    </w:p>
    <w:p w14:paraId="37741547">
      <w:pPr>
        <w:widowControl/>
        <w:autoSpaceDE w:val="0"/>
        <w:autoSpaceDN w:val="0"/>
        <w:rPr>
          <w:rFonts w:cs="宋体"/>
          <w:kern w:val="0"/>
        </w:rPr>
      </w:pPr>
      <w:r>
        <w:rPr>
          <w:rFonts w:hint="eastAsia" w:cs="宋体"/>
          <w:kern w:val="0"/>
        </w:rPr>
        <w:t>1、财政部、国土资源部印发的《土地开发整理项目预算定额标准》(财综[2011]128号文)；</w:t>
      </w:r>
    </w:p>
    <w:p w14:paraId="7B6126A5">
      <w:pPr>
        <w:rPr>
          <w:rFonts w:cs="宋体"/>
          <w:kern w:val="0"/>
        </w:rPr>
      </w:pPr>
      <w:r>
        <w:rPr>
          <w:rFonts w:hint="eastAsia" w:cs="宋体"/>
          <w:kern w:val="0"/>
        </w:rPr>
        <w:t>2、新疆和布克赛尔蒙古自8号历史遗留采坑地质环境治理及生态修复方案；</w:t>
      </w:r>
    </w:p>
    <w:p w14:paraId="591490AF">
      <w:pPr>
        <w:widowControl/>
        <w:autoSpaceDE w:val="0"/>
        <w:autoSpaceDN w:val="0"/>
        <w:rPr>
          <w:rFonts w:cs="宋体"/>
          <w:kern w:val="0"/>
        </w:rPr>
      </w:pPr>
      <w:r>
        <w:rPr>
          <w:rFonts w:hint="eastAsia" w:cs="宋体"/>
          <w:kern w:val="0"/>
        </w:rPr>
        <w:t>3、《新疆维吾尔自治区水利水电工程设计概(估)预算编制规定》新水建管[2005]108号；</w:t>
      </w:r>
    </w:p>
    <w:p w14:paraId="04FF7673">
      <w:pPr>
        <w:widowControl/>
        <w:autoSpaceDE w:val="0"/>
        <w:autoSpaceDN w:val="0"/>
        <w:rPr>
          <w:rFonts w:cs="宋体"/>
          <w:kern w:val="0"/>
        </w:rPr>
      </w:pPr>
      <w:r>
        <w:rPr>
          <w:rFonts w:hint="eastAsia" w:cs="宋体"/>
          <w:kern w:val="0"/>
        </w:rPr>
        <w:t>4、《土地开发整理项目预算定额标准》中缺项部分，无标准的参照《全国统一建筑工程基础定额(土建)》及市场价进行计费；</w:t>
      </w:r>
    </w:p>
    <w:p w14:paraId="576FCA54">
      <w:pPr>
        <w:widowControl/>
        <w:autoSpaceDE w:val="0"/>
        <w:autoSpaceDN w:val="0"/>
        <w:rPr>
          <w:rFonts w:cs="宋体"/>
          <w:kern w:val="0"/>
        </w:rPr>
      </w:pPr>
      <w:r>
        <w:rPr>
          <w:rFonts w:hint="eastAsia" w:cs="宋体"/>
          <w:kern w:val="0"/>
        </w:rPr>
        <w:t>5、关于发布塔城地区2022年3月份建设工程综合价格信息的通知。</w:t>
      </w:r>
    </w:p>
    <w:p w14:paraId="76B1ED53">
      <w:pPr>
        <w:rPr>
          <w:rFonts w:hAnsi="Times New Roman" w:cs="Calibri"/>
        </w:rPr>
      </w:pPr>
      <w:r>
        <w:rPr>
          <w:rFonts w:hint="eastAsia" w:hAnsi="Times New Roman"/>
        </w:rPr>
        <w:t>二、预算采用的定额标准</w:t>
      </w:r>
    </w:p>
    <w:p w14:paraId="22EA902D">
      <w:pPr>
        <w:rPr>
          <w:rFonts w:hAnsi="Times New Roman"/>
        </w:rPr>
      </w:pPr>
      <w:r>
        <w:rPr>
          <w:rFonts w:hint="eastAsia" w:hAnsi="Times New Roman"/>
        </w:rPr>
        <w:t>1、工程施工费执行财综[2011]128号文颁《土地开发整理项目预算定额标准》；</w:t>
      </w:r>
    </w:p>
    <w:p w14:paraId="1BA9CE1D">
      <w:pPr>
        <w:rPr>
          <w:rFonts w:hAnsi="Times New Roman"/>
        </w:rPr>
      </w:pPr>
      <w:r>
        <w:rPr>
          <w:rFonts w:hint="eastAsia" w:hAnsi="Times New Roman"/>
        </w:rPr>
        <w:t>2、机械台班费执行财综[2011]128号文颁《土地开发整理项目施工机械台班费定额》；</w:t>
      </w:r>
    </w:p>
    <w:p w14:paraId="5C54F81D">
      <w:pPr>
        <w:rPr>
          <w:rFonts w:hAnsi="Times New Roman"/>
        </w:rPr>
      </w:pPr>
      <w:r>
        <w:rPr>
          <w:rFonts w:hint="eastAsia" w:hAnsi="Times New Roman"/>
        </w:rPr>
        <w:t>三、工程单价取费标准</w:t>
      </w:r>
    </w:p>
    <w:p w14:paraId="42BF589C">
      <w:pPr>
        <w:rPr>
          <w:rFonts w:hAnsi="Times New Roman"/>
        </w:rPr>
      </w:pPr>
      <w:r>
        <w:rPr>
          <w:rFonts w:hint="eastAsia" w:hAnsi="Times New Roman"/>
        </w:rPr>
        <w:t>1、直接工程费采用《土地开发整理项目预算定额》，依据本工程所提施工工艺或常规施工方法组价。</w:t>
      </w:r>
    </w:p>
    <w:p w14:paraId="41B73DFA">
      <w:pPr>
        <w:rPr>
          <w:rFonts w:hAnsi="Times New Roman" w:cs="Times New Roman"/>
        </w:rPr>
      </w:pPr>
      <w:r>
        <w:rPr>
          <w:rFonts w:hint="eastAsia" w:hAnsi="Times New Roman" w:cs="Times New Roman"/>
        </w:rPr>
        <w:t>推运回填采用132kw推土机推土，三类土，运距70-80m,额标准编号为10317；</w:t>
      </w:r>
    </w:p>
    <w:p w14:paraId="2DD1697A">
      <w:pPr>
        <w:rPr>
          <w:rFonts w:hAnsi="Times New Roman" w:cs="Times New Roman"/>
        </w:rPr>
      </w:pPr>
      <w:r>
        <w:rPr>
          <w:rFonts w:hint="eastAsia" w:hAnsi="Times New Roman" w:cs="Times New Roman"/>
        </w:rPr>
        <w:t>采坑回填直接工程费用中：拉运回填采用2m</w:t>
      </w:r>
      <w:r>
        <w:rPr>
          <w:rFonts w:hint="eastAsia" w:hAnsi="Times New Roman" w:cs="Times New Roman"/>
          <w:vertAlign w:val="superscript"/>
        </w:rPr>
        <w:t>3</w:t>
      </w:r>
      <w:r>
        <w:rPr>
          <w:rFonts w:hint="eastAsia" w:hAnsi="Times New Roman" w:cs="Times New Roman"/>
        </w:rPr>
        <w:t>挖掘机挖装20t自卸汽车运，三类土，运距0-0.5km,额标准编号为10242；</w:t>
      </w:r>
    </w:p>
    <w:p w14:paraId="55C83600">
      <w:pPr>
        <w:rPr>
          <w:rFonts w:hAnsi="Times New Roman" w:cs="Times New Roman"/>
        </w:rPr>
      </w:pPr>
      <w:r>
        <w:rPr>
          <w:rFonts w:hint="eastAsia" w:hAnsi="Times New Roman" w:cs="Times New Roman"/>
        </w:rPr>
        <w:t>场地平整直接工程费用中：场地平整采用118千瓦平地机替代装载机进行计算，一般平土，定额编号:10330；</w:t>
      </w:r>
    </w:p>
    <w:p w14:paraId="7CCC7F2E">
      <w:pPr>
        <w:rPr>
          <w:rFonts w:hAnsi="Times New Roman" w:cs="Calibri"/>
        </w:rPr>
      </w:pPr>
      <w:r>
        <w:rPr>
          <w:rFonts w:hint="eastAsia" w:hAnsi="Times New Roman"/>
        </w:rPr>
        <w:t>撒播草籽直接工程费用中：采用人工撒播，定额编号：90030；</w:t>
      </w:r>
    </w:p>
    <w:p w14:paraId="4C37F81A">
      <w:pPr>
        <w:rPr>
          <w:rFonts w:hAnsi="Times New Roman"/>
        </w:rPr>
      </w:pPr>
      <w:r>
        <w:rPr>
          <w:rFonts w:hint="eastAsia" w:hAnsi="Times New Roman"/>
        </w:rPr>
        <w:t>草籽采用市场价80元/千克；</w:t>
      </w:r>
    </w:p>
    <w:p w14:paraId="1A35E8F8">
      <w:pPr>
        <w:rPr>
          <w:rFonts w:hAnsi="Times New Roman"/>
        </w:rPr>
      </w:pPr>
      <w:r>
        <w:rPr>
          <w:rFonts w:hint="eastAsia" w:hAnsi="Times New Roman"/>
        </w:rPr>
        <w:t>以上直接工程费均采用《土地开发整理项目预算定额》，依据本工程所提施工工艺或常规施工方法组价。</w:t>
      </w:r>
    </w:p>
    <w:p w14:paraId="21373EAC">
      <w:pPr>
        <w:rPr>
          <w:rFonts w:hAnsi="Times New Roman"/>
        </w:rPr>
      </w:pPr>
      <w:r>
        <w:rPr>
          <w:rFonts w:hint="eastAsia" w:hAnsi="Times New Roman"/>
        </w:rPr>
        <w:t>2、措施费费率：包括临时设施费和施工辅助费，按直接工程费的2%计算。</w:t>
      </w:r>
    </w:p>
    <w:p w14:paraId="5F6C1863">
      <w:pPr>
        <w:rPr>
          <w:rFonts w:hAnsi="Times New Roman"/>
        </w:rPr>
      </w:pPr>
      <w:r>
        <w:rPr>
          <w:rFonts w:hint="eastAsia" w:hAnsi="Times New Roman"/>
        </w:rPr>
        <w:t>3、间接费费率：包括项目部的管理人员工资、奖金、职工福利费、劳动保护费、固定资产折旧费及修理费、物料消耗、低值易耗品摊销、办公费、差旅费、财产保险费、工程保修费等费用，按直接费的2%计算。</w:t>
      </w:r>
    </w:p>
    <w:p w14:paraId="50F067E1">
      <w:pPr>
        <w:rPr>
          <w:rFonts w:hAnsi="Times New Roman"/>
        </w:rPr>
      </w:pPr>
      <w:r>
        <w:rPr>
          <w:rFonts w:hint="eastAsia" w:hAnsi="Times New Roman"/>
        </w:rPr>
        <w:t>4、利润按直接费和间接费之和的1%计算。</w:t>
      </w:r>
    </w:p>
    <w:p w14:paraId="31CDFB61">
      <w:pPr>
        <w:rPr>
          <w:rFonts w:hAnsi="Times New Roman"/>
        </w:rPr>
      </w:pPr>
      <w:r>
        <w:rPr>
          <w:rFonts w:hint="eastAsia" w:hAnsi="Times New Roman"/>
        </w:rPr>
        <w:t>5、税金按直接费、间接费及利润之和的3.22%计算。</w:t>
      </w:r>
    </w:p>
    <w:p w14:paraId="46318D82">
      <w:pPr>
        <w:rPr>
          <w:rFonts w:hAnsi="Times New Roman"/>
        </w:rPr>
      </w:pPr>
      <w:r>
        <w:rPr>
          <w:rFonts w:hint="eastAsia" w:hAnsi="Times New Roman"/>
        </w:rPr>
        <w:t>6、项目设计与预算编制费按工程施工费的1%计算。</w:t>
      </w:r>
    </w:p>
    <w:p w14:paraId="760E82D3">
      <w:pPr>
        <w:rPr>
          <w:rFonts w:hAnsi="Times New Roman"/>
        </w:rPr>
      </w:pPr>
      <w:r>
        <w:rPr>
          <w:rFonts w:hint="eastAsia" w:hAnsi="Times New Roman"/>
        </w:rPr>
        <w:t>7、项目决算编制及审计费按工程施工费的0.3%计算。</w:t>
      </w:r>
    </w:p>
    <w:p w14:paraId="25BDC740">
      <w:pPr>
        <w:rPr>
          <w:rFonts w:hAnsi="Times New Roman"/>
        </w:rPr>
      </w:pPr>
      <w:r>
        <w:rPr>
          <w:rFonts w:hint="eastAsia" w:hAnsi="Times New Roman"/>
        </w:rPr>
        <w:t>8、竣工报告编制及审查费按工程施工费的1.17%计算。</w:t>
      </w:r>
    </w:p>
    <w:p w14:paraId="7C91999E">
      <w:pPr>
        <w:rPr>
          <w:rFonts w:hAnsi="Times New Roman"/>
        </w:rPr>
      </w:pPr>
      <w:r>
        <w:rPr>
          <w:rFonts w:hint="eastAsia" w:hAnsi="Times New Roman"/>
        </w:rPr>
        <w:t>9、工程监理费按工程施工费的4.5%计算</w:t>
      </w:r>
    </w:p>
    <w:p w14:paraId="78BF4B84">
      <w:pPr>
        <w:rPr>
          <w:rFonts w:hAnsi="Times New Roman"/>
        </w:rPr>
      </w:pPr>
      <w:r>
        <w:rPr>
          <w:rFonts w:hint="eastAsia" w:hAnsi="Times New Roman"/>
        </w:rPr>
        <w:t>10、项目管理费费率为2%。</w:t>
      </w:r>
    </w:p>
    <w:p w14:paraId="5DC0F060">
      <w:pPr>
        <w:rPr>
          <w:rFonts w:hAnsi="Times New Roman"/>
        </w:rPr>
      </w:pPr>
      <w:r>
        <w:rPr>
          <w:rFonts w:hint="eastAsia" w:hAnsi="Times New Roman"/>
        </w:rPr>
        <w:t>具体取值详见表2、表3、表4。</w:t>
      </w:r>
    </w:p>
    <w:p w14:paraId="4DD28298">
      <w:pPr>
        <w:rPr>
          <w:rFonts w:hAnsi="Times New Roman"/>
        </w:rPr>
      </w:pPr>
      <w:r>
        <w:rPr>
          <w:rFonts w:hint="eastAsia" w:hAnsi="Times New Roman"/>
        </w:rPr>
        <w:t>四、基础单价及计算方法</w:t>
      </w:r>
    </w:p>
    <w:p w14:paraId="1FE8D464">
      <w:pPr>
        <w:rPr>
          <w:rFonts w:hAnsi="Times New Roman"/>
        </w:rPr>
      </w:pPr>
      <w:r>
        <w:rPr>
          <w:rFonts w:hint="eastAsia" w:hAnsi="Times New Roman"/>
        </w:rPr>
        <w:t>(一)人工工资</w:t>
      </w:r>
    </w:p>
    <w:p w14:paraId="4228CBA2">
      <w:pPr>
        <w:rPr>
          <w:rFonts w:hAnsi="仿宋"/>
        </w:rPr>
      </w:pPr>
      <w:r>
        <w:rPr>
          <w:rFonts w:hint="eastAsia" w:hAnsi="Times New Roman"/>
        </w:rPr>
        <w:t>人工单价按《土地开发整理项目预算编制规定》</w:t>
      </w:r>
      <w:r>
        <w:rPr>
          <w:rFonts w:hint="eastAsia" w:hAnsi="仿宋"/>
        </w:rPr>
        <w:t>第五章第一节基础单价编制中人工预算单价计算方法进行编制。</w:t>
      </w:r>
    </w:p>
    <w:p w14:paraId="3218CE62">
      <w:pPr>
        <w:rPr>
          <w:rFonts w:hAnsi="仿宋"/>
        </w:rPr>
      </w:pPr>
      <w:r>
        <w:rPr>
          <w:rFonts w:hint="eastAsia" w:hAnsi="仿宋"/>
        </w:rPr>
        <w:t>人工预算单价（元/工日）=基本工资+辅助工资+工资附加费。</w:t>
      </w:r>
    </w:p>
    <w:p w14:paraId="7CB258D8">
      <w:pPr>
        <w:rPr>
          <w:rFonts w:hAnsi="仿宋"/>
        </w:rPr>
      </w:pPr>
      <w:r>
        <w:rPr>
          <w:rFonts w:hint="eastAsia" w:hAnsi="仿宋"/>
        </w:rPr>
        <w:t>1、基本工资：甲类工、乙类工的基本工资分别在六类地区基本工资标准的基础上，乘以新疆十一类工资区调整系数1.1304计算而得。</w:t>
      </w:r>
    </w:p>
    <w:p w14:paraId="61074F1A">
      <w:pPr>
        <w:rPr>
          <w:rFonts w:hAnsi="仿宋"/>
        </w:rPr>
      </w:pPr>
      <w:r>
        <w:rPr>
          <w:rFonts w:hint="eastAsia" w:hAnsi="仿宋"/>
        </w:rPr>
        <w:t>2、辅助工资：包括地区津贴、施工津贴、夜餐津贴和节日加班津贴。地区津贴标准：该项目工资区在新疆和布克赛尔县，根据“新水建管[2005]108号《水利水电工程设计概算（估）预算编制规定》中附录二”的规定，和布克赛尔县属四类生活地区，地区津贴78元/月；施工津贴及夜餐津贴按《辅助工资标准表》确定，其中k1、k2值按《辅助工资系数表》确定；节日加班津贴中的k3按《辅助工资系数表》确定。</w:t>
      </w:r>
    </w:p>
    <w:p w14:paraId="7072835E">
      <w:pPr>
        <w:rPr>
          <w:rFonts w:hAnsi="仿宋"/>
        </w:rPr>
      </w:pPr>
      <w:r>
        <w:rPr>
          <w:rFonts w:hint="eastAsia" w:hAnsi="仿宋"/>
        </w:rPr>
        <w:t>3、工资附加费：包括职工福利基金、工会经费、养老保险费、医疗保险费、工伤保险费、职工失业保险基金和住房公积金。甲类工、乙类工工资附加费中的各项，其计算基础均为基本工资与辅助工资之和；职工福利基金、工会经费、医疗保险费、职工失业保险基金费率标准均按《工资附加费标准表》取值；养老保险费费率，甲类工、乙类工均取20%；住房公积金费率甲类工、乙类工均取8%。通过计算，该项目人工预算单价为：甲类工62.07元/工日，乙类工48.82元/工日。详细计算方法及过程见附表2-1、附表2-2。</w:t>
      </w:r>
    </w:p>
    <w:p w14:paraId="74268EB4">
      <w:pPr>
        <w:rPr>
          <w:rFonts w:hAnsi="Times New Roman"/>
        </w:rPr>
      </w:pPr>
      <w:r>
        <w:rPr>
          <w:rFonts w:hint="eastAsia" w:hAnsi="Times New Roman"/>
        </w:rPr>
        <w:t>(二)材料预算价格</w:t>
      </w:r>
    </w:p>
    <w:p w14:paraId="063D7C6A">
      <w:pPr>
        <w:widowControl/>
        <w:autoSpaceDE w:val="0"/>
        <w:autoSpaceDN w:val="0"/>
        <w:rPr>
          <w:rFonts w:hAnsi="Calibri"/>
        </w:rPr>
      </w:pPr>
      <w:r>
        <w:rPr>
          <w:rFonts w:hint="eastAsia" w:hAnsi="Times New Roman"/>
        </w:rPr>
        <w:t>主要材料预算原价按《土地开发整理项目预算定额》中第五章第一节第二款的规定执行和主要加至工地的运杂费等计算预算价；其它材料预算价格按当地建设工程造价管理部门发布的</w:t>
      </w:r>
      <w:r>
        <w:rPr>
          <w:rFonts w:hint="eastAsia" w:cs="宋体"/>
          <w:kern w:val="0"/>
        </w:rPr>
        <w:t>《关于发布塔城地区2022年3月份建设工程综合价格信息的通知》</w:t>
      </w:r>
      <w:r>
        <w:rPr>
          <w:rFonts w:hint="eastAsia" w:hAnsi="Times New Roman"/>
        </w:rPr>
        <w:t>(建筑工程材料价格信息表)</w:t>
      </w:r>
      <w:r>
        <w:rPr>
          <w:rFonts w:hint="eastAsia"/>
        </w:rPr>
        <w:t>为依据，表中无相应材料价格的，根据市场价取费。</w:t>
      </w:r>
    </w:p>
    <w:p w14:paraId="7FDAAD12">
      <w:r>
        <w:rPr>
          <w:rFonts w:hint="eastAsia" w:hAnsi="仿宋"/>
        </w:rPr>
        <w:t>本工程主要材料：柴油依据市场零售价格为9.86元/千克。</w:t>
      </w:r>
      <w:r>
        <w:rPr>
          <w:rFonts w:hint="eastAsia" w:hAnsi="Times New Roman"/>
        </w:rPr>
        <w:t>根据《土地开发整理项目预算定额》中第五章第一节第二款的规定，柴油的价格大于“主材规定价格表”中所规定的价格2.55元/</w:t>
      </w:r>
      <w:r>
        <w:rPr>
          <w:rFonts w:hint="eastAsia" w:hAnsi="仿宋"/>
        </w:rPr>
        <w:t>千克</w:t>
      </w:r>
      <w:r>
        <w:rPr>
          <w:rFonts w:hint="eastAsia" w:hAnsi="Times New Roman"/>
        </w:rPr>
        <w:t>；</w:t>
      </w:r>
    </w:p>
    <w:p w14:paraId="032E7F15">
      <w:pPr>
        <w:rPr>
          <w:rFonts w:hAnsi="Times New Roman"/>
        </w:rPr>
      </w:pPr>
      <w:r>
        <w:rPr>
          <w:rFonts w:hint="eastAsia" w:hAnsi="Times New Roman"/>
        </w:rPr>
        <w:t>五、其他需要说明的问题</w:t>
      </w:r>
    </w:p>
    <w:p w14:paraId="29CDFFB4">
      <w:pPr>
        <w:rPr>
          <w:rFonts w:hAnsi="Times New Roman"/>
        </w:rPr>
      </w:pPr>
      <w:r>
        <w:rPr>
          <w:rFonts w:hint="eastAsia" w:hAnsi="Times New Roman"/>
        </w:rPr>
        <w:t>项目预算经费只作为参考依据。</w:t>
      </w:r>
    </w:p>
    <w:p w14:paraId="5ED76346">
      <w:pPr>
        <w:rPr>
          <w:rFonts w:hAnsi="Times New Roman"/>
        </w:rPr>
      </w:pPr>
      <w:r>
        <w:rPr>
          <w:rFonts w:hint="eastAsia" w:hAnsi="Times New Roman"/>
        </w:rPr>
        <w:t>六、项目工程技术经济指标分析</w:t>
      </w:r>
    </w:p>
    <w:p w14:paraId="08085ED5">
      <w:pPr>
        <w:rPr>
          <w:rFonts w:hAnsi="仿宋"/>
        </w:rPr>
      </w:pPr>
      <w:r>
        <w:rPr>
          <w:rFonts w:hint="eastAsia" w:hAnsi="仿宋"/>
        </w:rPr>
        <w:t>总预算为</w:t>
      </w:r>
      <w:r>
        <w:rPr>
          <w:rFonts w:hAnsi="仿宋"/>
        </w:rPr>
        <w:t>737724.64</w:t>
      </w:r>
      <w:r>
        <w:rPr>
          <w:rFonts w:hint="eastAsia" w:hAnsi="仿宋"/>
        </w:rPr>
        <w:t>元，年度工程技术指标构成为:</w:t>
      </w:r>
    </w:p>
    <w:p w14:paraId="442AC228">
      <w:pPr>
        <w:rPr>
          <w:rFonts w:hAnsi="仿宋"/>
        </w:rPr>
      </w:pPr>
      <w:r>
        <w:rPr>
          <w:rFonts w:hint="eastAsia" w:hAnsi="仿宋"/>
        </w:rPr>
        <w:t>工程施工费</w:t>
      </w:r>
      <w:r>
        <w:rPr>
          <w:rFonts w:hAnsi="仿宋"/>
        </w:rPr>
        <w:t>676125.83</w:t>
      </w:r>
      <w:r>
        <w:rPr>
          <w:rFonts w:hint="eastAsia" w:hAnsi="仿宋"/>
        </w:rPr>
        <w:t>元,占经费总预算的91.65%；</w:t>
      </w:r>
    </w:p>
    <w:p w14:paraId="37675BE3">
      <w:pPr>
        <w:rPr>
          <w:rFonts w:hAnsi="仿宋"/>
        </w:rPr>
      </w:pPr>
      <w:r>
        <w:rPr>
          <w:rFonts w:hint="eastAsia" w:hAnsi="仿宋"/>
        </w:rPr>
        <w:t>其它费用为</w:t>
      </w:r>
      <w:r>
        <w:rPr>
          <w:rFonts w:hAnsi="仿宋"/>
        </w:rPr>
        <w:t>47133.63</w:t>
      </w:r>
      <w:r>
        <w:rPr>
          <w:rFonts w:hint="eastAsia" w:hAnsi="仿宋"/>
        </w:rPr>
        <w:t>元，占经费总预算的6.39%；</w:t>
      </w:r>
    </w:p>
    <w:p w14:paraId="133CE7C3">
      <w:pPr>
        <w:rPr>
          <w:rFonts w:hAnsi="仿宋"/>
        </w:rPr>
      </w:pPr>
      <w:r>
        <w:rPr>
          <w:rFonts w:hint="eastAsia" w:hAnsi="仿宋"/>
        </w:rPr>
        <w:t>管理费用</w:t>
      </w:r>
      <w:r>
        <w:rPr>
          <w:rFonts w:hAnsi="仿宋"/>
        </w:rPr>
        <w:t>14465.19</w:t>
      </w:r>
      <w:r>
        <w:rPr>
          <w:rFonts w:hint="eastAsia" w:hAnsi="仿宋"/>
        </w:rPr>
        <w:t>元,占经费总预算的1.96%;</w:t>
      </w:r>
    </w:p>
    <w:p w14:paraId="2293E494">
      <w:pPr>
        <w:rPr>
          <w:rFonts w:hAnsi="Times New Roman"/>
        </w:rPr>
      </w:pPr>
      <w:r>
        <w:rPr>
          <w:rFonts w:hint="eastAsia" w:hAnsi="Times New Roman"/>
        </w:rPr>
        <w:t>七、经费预算结果</w:t>
      </w:r>
    </w:p>
    <w:p w14:paraId="1EB4D936">
      <w:pPr>
        <w:rPr>
          <w:rFonts w:hAnsi="仿宋"/>
        </w:rPr>
      </w:pPr>
      <w:r>
        <w:rPr>
          <w:rFonts w:hint="eastAsia"/>
        </w:rPr>
        <w:t>新疆和布克赛尔县7号历史遗留采坑地质环境治理与生态修复项目</w:t>
      </w:r>
      <w:r>
        <w:rPr>
          <w:rFonts w:hint="eastAsia" w:hAnsi="仿宋"/>
        </w:rPr>
        <w:t>经费预算为</w:t>
      </w:r>
      <w:r>
        <w:rPr>
          <w:rFonts w:hAnsi="仿宋"/>
        </w:rPr>
        <w:t>737724.64</w:t>
      </w:r>
      <w:r>
        <w:rPr>
          <w:rFonts w:hint="eastAsia" w:hAnsi="仿宋"/>
        </w:rPr>
        <w:t>元。具体计算详见表1、表2、表3、表4及其附表。</w:t>
      </w:r>
    </w:p>
    <w:tbl>
      <w:tblPr>
        <w:tblStyle w:val="13"/>
        <w:tblW w:w="8316" w:type="dxa"/>
        <w:tblInd w:w="0" w:type="dxa"/>
        <w:tblLayout w:type="autofit"/>
        <w:tblCellMar>
          <w:top w:w="0" w:type="dxa"/>
          <w:left w:w="108" w:type="dxa"/>
          <w:bottom w:w="0" w:type="dxa"/>
          <w:right w:w="108" w:type="dxa"/>
        </w:tblCellMar>
      </w:tblPr>
      <w:tblGrid>
        <w:gridCol w:w="900"/>
        <w:gridCol w:w="2902"/>
        <w:gridCol w:w="1758"/>
        <w:gridCol w:w="2756"/>
      </w:tblGrid>
      <w:tr w14:paraId="47468DB0">
        <w:tblPrEx>
          <w:tblCellMar>
            <w:top w:w="0" w:type="dxa"/>
            <w:left w:w="108" w:type="dxa"/>
            <w:bottom w:w="0" w:type="dxa"/>
            <w:right w:w="108" w:type="dxa"/>
          </w:tblCellMar>
        </w:tblPrEx>
        <w:trPr>
          <w:trHeight w:val="333" w:hRule="atLeast"/>
        </w:trPr>
        <w:tc>
          <w:tcPr>
            <w:tcW w:w="8316" w:type="dxa"/>
            <w:gridSpan w:val="4"/>
            <w:tcBorders>
              <w:top w:val="nil"/>
              <w:left w:val="nil"/>
              <w:bottom w:val="nil"/>
              <w:right w:val="nil"/>
            </w:tcBorders>
            <w:shd w:val="clear" w:color="auto" w:fill="auto"/>
            <w:noWrap/>
            <w:vAlign w:val="center"/>
          </w:tcPr>
          <w:p w14:paraId="509034CD">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矿山地质环境治理工程预算总表</w:t>
            </w:r>
          </w:p>
        </w:tc>
      </w:tr>
      <w:tr w14:paraId="0D018F94">
        <w:tblPrEx>
          <w:tblCellMar>
            <w:top w:w="0" w:type="dxa"/>
            <w:left w:w="108" w:type="dxa"/>
            <w:bottom w:w="0" w:type="dxa"/>
            <w:right w:w="108" w:type="dxa"/>
          </w:tblCellMar>
        </w:tblPrEx>
        <w:trPr>
          <w:trHeight w:val="225" w:hRule="atLeast"/>
        </w:trPr>
        <w:tc>
          <w:tcPr>
            <w:tcW w:w="8316" w:type="dxa"/>
            <w:gridSpan w:val="4"/>
            <w:tcBorders>
              <w:top w:val="nil"/>
              <w:left w:val="nil"/>
              <w:bottom w:val="nil"/>
              <w:right w:val="nil"/>
            </w:tcBorders>
            <w:shd w:val="clear" w:color="auto" w:fill="auto"/>
            <w:noWrap/>
            <w:vAlign w:val="center"/>
          </w:tcPr>
          <w:p w14:paraId="78B68462">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表1</w:t>
            </w:r>
          </w:p>
        </w:tc>
      </w:tr>
      <w:tr w14:paraId="307E7102">
        <w:tblPrEx>
          <w:tblCellMar>
            <w:top w:w="0" w:type="dxa"/>
            <w:left w:w="108" w:type="dxa"/>
            <w:bottom w:w="0" w:type="dxa"/>
            <w:right w:w="108" w:type="dxa"/>
          </w:tblCellMar>
        </w:tblPrEx>
        <w:trPr>
          <w:trHeight w:val="131" w:hRule="atLeast"/>
        </w:trPr>
        <w:tc>
          <w:tcPr>
            <w:tcW w:w="8316" w:type="dxa"/>
            <w:gridSpan w:val="4"/>
            <w:tcBorders>
              <w:top w:val="nil"/>
              <w:left w:val="nil"/>
              <w:bottom w:val="nil"/>
              <w:right w:val="nil"/>
            </w:tcBorders>
            <w:shd w:val="clear" w:color="auto" w:fill="auto"/>
            <w:vAlign w:val="center"/>
          </w:tcPr>
          <w:p w14:paraId="0FEDCA81">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项目名称：新疆和布克赛尔县7号历史遗留采坑地质环境治理与生态修复项目</w:t>
            </w:r>
          </w:p>
        </w:tc>
      </w:tr>
      <w:tr w14:paraId="7EB86226">
        <w:tblPrEx>
          <w:tblCellMar>
            <w:top w:w="0" w:type="dxa"/>
            <w:left w:w="108" w:type="dxa"/>
            <w:bottom w:w="0" w:type="dxa"/>
            <w:right w:w="108" w:type="dxa"/>
          </w:tblCellMar>
        </w:tblPrEx>
        <w:trPr>
          <w:trHeight w:val="179" w:hRule="atLeast"/>
        </w:trPr>
        <w:tc>
          <w:tcPr>
            <w:tcW w:w="900" w:type="dxa"/>
            <w:tcBorders>
              <w:top w:val="nil"/>
              <w:left w:val="nil"/>
              <w:bottom w:val="nil"/>
              <w:right w:val="nil"/>
            </w:tcBorders>
            <w:shd w:val="clear" w:color="auto" w:fill="auto"/>
            <w:noWrap/>
            <w:vAlign w:val="center"/>
          </w:tcPr>
          <w:p w14:paraId="7DC231C4">
            <w:pPr>
              <w:widowControl/>
              <w:adjustRightInd/>
              <w:snapToGrid/>
              <w:spacing w:line="240" w:lineRule="auto"/>
              <w:ind w:firstLine="0" w:firstLineChars="0"/>
              <w:jc w:val="left"/>
              <w:rPr>
                <w:rFonts w:cs="宋体"/>
                <w:color w:val="000000"/>
                <w:kern w:val="0"/>
                <w:sz w:val="20"/>
                <w:szCs w:val="20"/>
              </w:rPr>
            </w:pPr>
          </w:p>
        </w:tc>
        <w:tc>
          <w:tcPr>
            <w:tcW w:w="2901" w:type="dxa"/>
            <w:tcBorders>
              <w:top w:val="nil"/>
              <w:left w:val="nil"/>
              <w:bottom w:val="nil"/>
              <w:right w:val="nil"/>
            </w:tcBorders>
            <w:shd w:val="clear" w:color="auto" w:fill="auto"/>
            <w:noWrap/>
            <w:vAlign w:val="center"/>
          </w:tcPr>
          <w:p w14:paraId="1DFC1674">
            <w:pPr>
              <w:widowControl/>
              <w:adjustRightInd/>
              <w:snapToGrid/>
              <w:spacing w:line="240" w:lineRule="auto"/>
              <w:ind w:firstLine="0" w:firstLineChars="0"/>
              <w:jc w:val="left"/>
              <w:rPr>
                <w:rFonts w:hAnsi="Times New Roman" w:cs="Times New Roman"/>
                <w:kern w:val="0"/>
                <w:sz w:val="20"/>
                <w:szCs w:val="20"/>
              </w:rPr>
            </w:pPr>
          </w:p>
        </w:tc>
        <w:tc>
          <w:tcPr>
            <w:tcW w:w="1758" w:type="dxa"/>
            <w:tcBorders>
              <w:top w:val="nil"/>
              <w:left w:val="nil"/>
              <w:bottom w:val="nil"/>
              <w:right w:val="nil"/>
            </w:tcBorders>
            <w:shd w:val="clear" w:color="auto" w:fill="auto"/>
            <w:noWrap/>
            <w:vAlign w:val="center"/>
          </w:tcPr>
          <w:p w14:paraId="6AF6297E">
            <w:pPr>
              <w:widowControl/>
              <w:adjustRightInd/>
              <w:snapToGrid/>
              <w:spacing w:line="240" w:lineRule="auto"/>
              <w:ind w:firstLine="0" w:firstLineChars="0"/>
              <w:jc w:val="left"/>
              <w:rPr>
                <w:rFonts w:hAnsi="Times New Roman" w:cs="Times New Roman"/>
                <w:kern w:val="0"/>
                <w:sz w:val="20"/>
                <w:szCs w:val="20"/>
              </w:rPr>
            </w:pPr>
          </w:p>
        </w:tc>
        <w:tc>
          <w:tcPr>
            <w:tcW w:w="2755" w:type="dxa"/>
            <w:tcBorders>
              <w:top w:val="nil"/>
              <w:left w:val="nil"/>
              <w:bottom w:val="single" w:color="000000" w:sz="4" w:space="0"/>
              <w:right w:val="nil"/>
            </w:tcBorders>
            <w:shd w:val="clear" w:color="auto" w:fill="auto"/>
            <w:noWrap/>
            <w:vAlign w:val="center"/>
          </w:tcPr>
          <w:p w14:paraId="00A2C050">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金额单位：元</w:t>
            </w:r>
          </w:p>
        </w:tc>
      </w:tr>
      <w:tr w14:paraId="5B38E61E">
        <w:tblPrEx>
          <w:tblCellMar>
            <w:top w:w="0" w:type="dxa"/>
            <w:left w:w="108" w:type="dxa"/>
            <w:bottom w:w="0" w:type="dxa"/>
            <w:right w:w="108" w:type="dxa"/>
          </w:tblCellMar>
        </w:tblPrEx>
        <w:trPr>
          <w:trHeight w:val="21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48A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6B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工程或费用名称</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C37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预算金额(元)</w:t>
            </w:r>
          </w:p>
        </w:tc>
        <w:tc>
          <w:tcPr>
            <w:tcW w:w="2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F8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各费用占总费用的比例%</w:t>
            </w:r>
          </w:p>
        </w:tc>
      </w:tr>
      <w:tr w14:paraId="37631CB3">
        <w:tblPrEx>
          <w:tblCellMar>
            <w:top w:w="0" w:type="dxa"/>
            <w:left w:w="108" w:type="dxa"/>
            <w:bottom w:w="0" w:type="dxa"/>
            <w:right w:w="108" w:type="dxa"/>
          </w:tblCellMar>
        </w:tblPrEx>
        <w:trPr>
          <w:trHeight w:val="5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0FD3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0B8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A577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A621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r>
      <w:tr w14:paraId="15A83F7A">
        <w:tblPrEx>
          <w:tblCellMar>
            <w:top w:w="0" w:type="dxa"/>
            <w:left w:w="108" w:type="dxa"/>
            <w:bottom w:w="0" w:type="dxa"/>
            <w:right w:w="108" w:type="dxa"/>
          </w:tblCellMar>
        </w:tblPrEx>
        <w:trPr>
          <w:trHeight w:val="143"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0C5E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54F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工程施工费</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12E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0848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91.65%</w:t>
            </w:r>
          </w:p>
        </w:tc>
      </w:tr>
      <w:tr w14:paraId="35830B9C">
        <w:tblPrEx>
          <w:tblCellMar>
            <w:top w:w="0" w:type="dxa"/>
            <w:left w:w="108" w:type="dxa"/>
            <w:bottom w:w="0" w:type="dxa"/>
            <w:right w:w="108" w:type="dxa"/>
          </w:tblCellMar>
        </w:tblPrEx>
        <w:trPr>
          <w:trHeight w:val="17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F3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863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推运回填</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6D7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84230.85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4FD3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11.42%</w:t>
            </w:r>
          </w:p>
        </w:tc>
      </w:tr>
      <w:tr w14:paraId="19AD3D19">
        <w:tblPrEx>
          <w:tblCellMar>
            <w:top w:w="0" w:type="dxa"/>
            <w:left w:w="108" w:type="dxa"/>
            <w:bottom w:w="0" w:type="dxa"/>
            <w:right w:w="108" w:type="dxa"/>
          </w:tblCellMar>
        </w:tblPrEx>
        <w:trPr>
          <w:trHeight w:val="211"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376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ABE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拉运土方回填</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D6F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236144.03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AD3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32.01%</w:t>
            </w:r>
          </w:p>
        </w:tc>
      </w:tr>
      <w:tr w14:paraId="1156E56B">
        <w:tblPrEx>
          <w:tblCellMar>
            <w:top w:w="0" w:type="dxa"/>
            <w:left w:w="108" w:type="dxa"/>
            <w:bottom w:w="0" w:type="dxa"/>
            <w:right w:w="108" w:type="dxa"/>
          </w:tblCellMar>
        </w:tblPrEx>
        <w:trPr>
          <w:trHeight w:val="104"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B66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A05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土地平整</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580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118739.68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26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16.10%</w:t>
            </w:r>
          </w:p>
        </w:tc>
      </w:tr>
      <w:tr w14:paraId="28F9E3DA">
        <w:tblPrEx>
          <w:tblCellMar>
            <w:top w:w="0" w:type="dxa"/>
            <w:left w:w="108" w:type="dxa"/>
            <w:bottom w:w="0" w:type="dxa"/>
            <w:right w:w="108" w:type="dxa"/>
          </w:tblCellMar>
        </w:tblPrEx>
        <w:trPr>
          <w:trHeight w:val="13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F6C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770B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工程说明碑</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BAF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237011.26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DFE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32.13%</w:t>
            </w:r>
          </w:p>
        </w:tc>
      </w:tr>
      <w:tr w14:paraId="5CBFB508">
        <w:tblPrEx>
          <w:tblCellMar>
            <w:top w:w="0" w:type="dxa"/>
            <w:left w:w="108" w:type="dxa"/>
            <w:bottom w:w="0" w:type="dxa"/>
            <w:right w:w="108" w:type="dxa"/>
          </w:tblCellMar>
        </w:tblPrEx>
        <w:trPr>
          <w:trHeight w:val="171"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FA9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19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其他费用</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390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47133.63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83BE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6.39%</w:t>
            </w:r>
          </w:p>
        </w:tc>
      </w:tr>
      <w:tr w14:paraId="19226FE9">
        <w:tblPrEx>
          <w:tblCellMar>
            <w:top w:w="0" w:type="dxa"/>
            <w:left w:w="108" w:type="dxa"/>
            <w:bottom w:w="0" w:type="dxa"/>
            <w:right w:w="108" w:type="dxa"/>
          </w:tblCellMar>
        </w:tblPrEx>
        <w:trPr>
          <w:trHeight w:val="64"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0EE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BB23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项目设计与预算编制费</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CB9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6761.26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D00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0.92%</w:t>
            </w:r>
          </w:p>
        </w:tc>
      </w:tr>
      <w:tr w14:paraId="576F0078">
        <w:tblPrEx>
          <w:tblCellMar>
            <w:top w:w="0" w:type="dxa"/>
            <w:left w:w="108" w:type="dxa"/>
            <w:bottom w:w="0" w:type="dxa"/>
            <w:right w:w="108" w:type="dxa"/>
          </w:tblCellMar>
        </w:tblPrEx>
        <w:trPr>
          <w:trHeight w:val="9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044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E2D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工程监理费</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A53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30425.66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5D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4.12%</w:t>
            </w:r>
          </w:p>
        </w:tc>
      </w:tr>
      <w:tr w14:paraId="461EF284">
        <w:tblPrEx>
          <w:tblCellMar>
            <w:top w:w="0" w:type="dxa"/>
            <w:left w:w="108" w:type="dxa"/>
            <w:bottom w:w="0" w:type="dxa"/>
            <w:right w:w="108" w:type="dxa"/>
          </w:tblCellMar>
        </w:tblPrEx>
        <w:trPr>
          <w:trHeight w:val="131"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DAC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1EB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竣工验收费</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724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9946.71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5D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1.35%</w:t>
            </w:r>
          </w:p>
        </w:tc>
      </w:tr>
      <w:tr w14:paraId="5C6829A1">
        <w:tblPrEx>
          <w:tblCellMar>
            <w:top w:w="0" w:type="dxa"/>
            <w:left w:w="108" w:type="dxa"/>
            <w:bottom w:w="0" w:type="dxa"/>
            <w:right w:w="108" w:type="dxa"/>
          </w:tblCellMar>
        </w:tblPrEx>
        <w:trPr>
          <w:trHeight w:val="307"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9F2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5B0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管理费用</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E6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14465.19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62E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1.96%</w:t>
            </w:r>
          </w:p>
        </w:tc>
      </w:tr>
      <w:tr w14:paraId="5121D709">
        <w:tblPrEx>
          <w:tblCellMar>
            <w:top w:w="0" w:type="dxa"/>
            <w:left w:w="108" w:type="dxa"/>
            <w:bottom w:w="0" w:type="dxa"/>
            <w:right w:w="108" w:type="dxa"/>
          </w:tblCellMar>
        </w:tblPrEx>
        <w:trPr>
          <w:trHeight w:val="57" w:hRule="atLeast"/>
        </w:trPr>
        <w:tc>
          <w:tcPr>
            <w:tcW w:w="38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1E1C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总计</w:t>
            </w:r>
          </w:p>
        </w:tc>
        <w:tc>
          <w:tcPr>
            <w:tcW w:w="1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549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737724.64 </w:t>
            </w:r>
          </w:p>
        </w:tc>
        <w:tc>
          <w:tcPr>
            <w:tcW w:w="2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B8A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100%</w:t>
            </w:r>
          </w:p>
        </w:tc>
      </w:tr>
    </w:tbl>
    <w:p w14:paraId="269FD36C">
      <w:pPr>
        <w:rPr>
          <w:rFonts w:hAnsi="仿宋"/>
        </w:rPr>
      </w:pPr>
    </w:p>
    <w:p w14:paraId="26D35E0C">
      <w:pPr>
        <w:rPr>
          <w:rFonts w:hAnsi="仿宋"/>
        </w:rPr>
        <w:sectPr>
          <w:footerReference r:id="rId12" w:type="default"/>
          <w:pgSz w:w="11906" w:h="16838"/>
          <w:pgMar w:top="1440" w:right="1800" w:bottom="1440" w:left="1800" w:header="851" w:footer="992" w:gutter="0"/>
          <w:cols w:space="425" w:num="1"/>
          <w:docGrid w:type="lines" w:linePitch="381" w:charSpace="0"/>
        </w:sectPr>
      </w:pPr>
    </w:p>
    <w:p w14:paraId="7736353C">
      <w:pPr>
        <w:rPr>
          <w:rFonts w:hAnsi="仿宋"/>
        </w:rPr>
      </w:pPr>
    </w:p>
    <w:tbl>
      <w:tblPr>
        <w:tblStyle w:val="13"/>
        <w:tblW w:w="13720" w:type="dxa"/>
        <w:tblInd w:w="0" w:type="dxa"/>
        <w:tblLayout w:type="autofit"/>
        <w:tblCellMar>
          <w:top w:w="0" w:type="dxa"/>
          <w:left w:w="108" w:type="dxa"/>
          <w:bottom w:w="0" w:type="dxa"/>
          <w:right w:w="108" w:type="dxa"/>
        </w:tblCellMar>
      </w:tblPr>
      <w:tblGrid>
        <w:gridCol w:w="394"/>
        <w:gridCol w:w="658"/>
        <w:gridCol w:w="658"/>
        <w:gridCol w:w="614"/>
        <w:gridCol w:w="835"/>
        <w:gridCol w:w="890"/>
        <w:gridCol w:w="1012"/>
        <w:gridCol w:w="570"/>
        <w:gridCol w:w="835"/>
        <w:gridCol w:w="1012"/>
        <w:gridCol w:w="570"/>
        <w:gridCol w:w="924"/>
        <w:gridCol w:w="558"/>
        <w:gridCol w:w="835"/>
        <w:gridCol w:w="216"/>
        <w:gridCol w:w="733"/>
        <w:gridCol w:w="216"/>
        <w:gridCol w:w="467"/>
        <w:gridCol w:w="216"/>
        <w:gridCol w:w="733"/>
        <w:gridCol w:w="1012"/>
      </w:tblGrid>
      <w:tr w14:paraId="3855F147">
        <w:tblPrEx>
          <w:tblCellMar>
            <w:top w:w="0" w:type="dxa"/>
            <w:left w:w="108" w:type="dxa"/>
            <w:bottom w:w="0" w:type="dxa"/>
            <w:right w:w="108" w:type="dxa"/>
          </w:tblCellMar>
        </w:tblPrEx>
        <w:trPr>
          <w:trHeight w:val="209" w:hRule="atLeast"/>
        </w:trPr>
        <w:tc>
          <w:tcPr>
            <w:tcW w:w="13720" w:type="dxa"/>
            <w:gridSpan w:val="21"/>
            <w:tcBorders>
              <w:top w:val="nil"/>
              <w:left w:val="nil"/>
              <w:bottom w:val="nil"/>
              <w:right w:val="nil"/>
            </w:tcBorders>
            <w:shd w:val="clear" w:color="auto" w:fill="auto"/>
            <w:vAlign w:val="center"/>
          </w:tcPr>
          <w:p w14:paraId="2B27FE5D">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工程施工费预算表</w:t>
            </w:r>
          </w:p>
        </w:tc>
      </w:tr>
      <w:tr w14:paraId="6DEA6BC7">
        <w:tblPrEx>
          <w:tblCellMar>
            <w:top w:w="0" w:type="dxa"/>
            <w:left w:w="108" w:type="dxa"/>
            <w:bottom w:w="0" w:type="dxa"/>
            <w:right w:w="108" w:type="dxa"/>
          </w:tblCellMar>
        </w:tblPrEx>
        <w:trPr>
          <w:trHeight w:val="257" w:hRule="atLeast"/>
        </w:trPr>
        <w:tc>
          <w:tcPr>
            <w:tcW w:w="13720" w:type="dxa"/>
            <w:gridSpan w:val="21"/>
            <w:tcBorders>
              <w:top w:val="nil"/>
              <w:left w:val="nil"/>
              <w:bottom w:val="nil"/>
              <w:right w:val="nil"/>
            </w:tcBorders>
            <w:shd w:val="clear" w:color="auto" w:fill="auto"/>
            <w:vAlign w:val="center"/>
          </w:tcPr>
          <w:p w14:paraId="5416132C">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表2</w:t>
            </w:r>
          </w:p>
        </w:tc>
      </w:tr>
      <w:tr w14:paraId="3B5193F4">
        <w:tblPrEx>
          <w:tblCellMar>
            <w:top w:w="0" w:type="dxa"/>
            <w:left w:w="108" w:type="dxa"/>
            <w:bottom w:w="0" w:type="dxa"/>
            <w:right w:w="108" w:type="dxa"/>
          </w:tblCellMar>
        </w:tblPrEx>
        <w:trPr>
          <w:trHeight w:val="306" w:hRule="atLeast"/>
        </w:trPr>
        <w:tc>
          <w:tcPr>
            <w:tcW w:w="10277" w:type="dxa"/>
            <w:gridSpan w:val="15"/>
            <w:tcBorders>
              <w:top w:val="nil"/>
              <w:left w:val="nil"/>
              <w:bottom w:val="single" w:color="000000" w:sz="4" w:space="0"/>
              <w:right w:val="nil"/>
            </w:tcBorders>
            <w:shd w:val="clear" w:color="auto" w:fill="auto"/>
            <w:vAlign w:val="center"/>
          </w:tcPr>
          <w:p w14:paraId="5535A79B">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项目名称：新疆和布克赛尔县7号历史遗留采坑地质环境治理与生态修复项目</w:t>
            </w:r>
          </w:p>
        </w:tc>
        <w:tc>
          <w:tcPr>
            <w:tcW w:w="935" w:type="dxa"/>
            <w:gridSpan w:val="2"/>
            <w:tcBorders>
              <w:top w:val="nil"/>
              <w:left w:val="nil"/>
              <w:bottom w:val="single" w:color="000000" w:sz="4" w:space="0"/>
              <w:right w:val="nil"/>
            </w:tcBorders>
            <w:shd w:val="clear" w:color="auto" w:fill="auto"/>
            <w:vAlign w:val="center"/>
          </w:tcPr>
          <w:p w14:paraId="066BB7F5">
            <w:pPr>
              <w:widowControl/>
              <w:adjustRightInd/>
              <w:snapToGrid/>
              <w:spacing w:line="240" w:lineRule="auto"/>
              <w:ind w:firstLine="0" w:firstLineChars="0"/>
              <w:jc w:val="left"/>
              <w:rPr>
                <w:rFonts w:cs="宋体"/>
                <w:color w:val="000000"/>
                <w:kern w:val="0"/>
                <w:sz w:val="20"/>
                <w:szCs w:val="20"/>
              </w:rPr>
            </w:pPr>
          </w:p>
        </w:tc>
        <w:tc>
          <w:tcPr>
            <w:tcW w:w="606" w:type="dxa"/>
            <w:gridSpan w:val="2"/>
            <w:tcBorders>
              <w:top w:val="nil"/>
              <w:left w:val="nil"/>
              <w:bottom w:val="single" w:color="000000" w:sz="4" w:space="0"/>
              <w:right w:val="nil"/>
            </w:tcBorders>
            <w:shd w:val="clear" w:color="auto" w:fill="auto"/>
            <w:vAlign w:val="center"/>
          </w:tcPr>
          <w:p w14:paraId="6D7CF2E4">
            <w:pPr>
              <w:widowControl/>
              <w:adjustRightInd/>
              <w:snapToGrid/>
              <w:spacing w:line="240" w:lineRule="auto"/>
              <w:ind w:firstLine="0" w:firstLineChars="0"/>
              <w:jc w:val="left"/>
              <w:rPr>
                <w:rFonts w:hAnsi="Times New Roman" w:cs="Times New Roman"/>
                <w:kern w:val="0"/>
                <w:sz w:val="20"/>
                <w:szCs w:val="20"/>
              </w:rPr>
            </w:pPr>
          </w:p>
        </w:tc>
        <w:tc>
          <w:tcPr>
            <w:tcW w:w="1900" w:type="dxa"/>
            <w:gridSpan w:val="2"/>
            <w:tcBorders>
              <w:top w:val="nil"/>
              <w:left w:val="nil"/>
              <w:bottom w:val="single" w:color="000000" w:sz="4" w:space="0"/>
              <w:right w:val="nil"/>
            </w:tcBorders>
            <w:shd w:val="clear" w:color="auto" w:fill="auto"/>
            <w:vAlign w:val="center"/>
          </w:tcPr>
          <w:p w14:paraId="6D7EFA34">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金额单位：元</w:t>
            </w:r>
          </w:p>
        </w:tc>
      </w:tr>
      <w:tr w14:paraId="0CDDEEE0">
        <w:tblPrEx>
          <w:tblCellMar>
            <w:top w:w="0" w:type="dxa"/>
            <w:left w:w="108" w:type="dxa"/>
            <w:bottom w:w="0" w:type="dxa"/>
            <w:right w:w="108" w:type="dxa"/>
          </w:tblCellMar>
        </w:tblPrEx>
        <w:trPr>
          <w:trHeight w:val="187" w:hRule="atLeast"/>
        </w:trPr>
        <w:tc>
          <w:tcPr>
            <w:tcW w:w="3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5C3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4005E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定额 编号</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03E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工程名称</w:t>
            </w:r>
          </w:p>
        </w:tc>
        <w:tc>
          <w:tcPr>
            <w:tcW w:w="58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CFE47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直接费</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CF90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间接费</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98F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利润</w:t>
            </w:r>
          </w:p>
        </w:tc>
        <w:tc>
          <w:tcPr>
            <w:tcW w:w="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8CFE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未计价</w:t>
            </w:r>
            <w:r>
              <w:rPr>
                <w:rFonts w:hint="eastAsia" w:cs="宋体"/>
                <w:color w:val="000000"/>
                <w:kern w:val="0"/>
                <w:sz w:val="20"/>
                <w:szCs w:val="20"/>
              </w:rPr>
              <w:br w:type="textWrapping"/>
            </w:r>
            <w:r>
              <w:rPr>
                <w:rFonts w:hint="eastAsia" w:cs="宋体"/>
                <w:color w:val="000000"/>
                <w:kern w:val="0"/>
                <w:sz w:val="20"/>
                <w:szCs w:val="20"/>
              </w:rPr>
              <w:t>材料费</w:t>
            </w:r>
          </w:p>
        </w:tc>
        <w:tc>
          <w:tcPr>
            <w:tcW w:w="14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0CFA1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税金</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E3BD3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r>
      <w:tr w14:paraId="74A44CEA">
        <w:tblPrEx>
          <w:tblCellMar>
            <w:top w:w="0" w:type="dxa"/>
            <w:left w:w="108" w:type="dxa"/>
            <w:bottom w:w="0" w:type="dxa"/>
            <w:right w:w="108" w:type="dxa"/>
          </w:tblCellMar>
        </w:tblPrEx>
        <w:trPr>
          <w:trHeight w:val="234" w:hRule="atLeast"/>
        </w:trPr>
        <w:tc>
          <w:tcPr>
            <w:tcW w:w="353" w:type="dxa"/>
            <w:vMerge w:val="continue"/>
            <w:tcBorders>
              <w:top w:val="single" w:color="000000" w:sz="4" w:space="0"/>
              <w:left w:val="single" w:color="000000" w:sz="4" w:space="0"/>
              <w:bottom w:val="single" w:color="000000" w:sz="4" w:space="0"/>
              <w:right w:val="single" w:color="000000" w:sz="4" w:space="0"/>
            </w:tcBorders>
            <w:vAlign w:val="center"/>
          </w:tcPr>
          <w:p w14:paraId="3921B455">
            <w:pPr>
              <w:widowControl/>
              <w:adjustRightInd/>
              <w:snapToGrid/>
              <w:spacing w:line="240" w:lineRule="auto"/>
              <w:ind w:firstLine="0" w:firstLineChars="0"/>
              <w:jc w:val="left"/>
              <w:rPr>
                <w:rFonts w:cs="宋体"/>
                <w:color w:val="000000"/>
                <w:kern w:val="0"/>
                <w:sz w:val="20"/>
                <w:szCs w:val="20"/>
              </w:rPr>
            </w:pPr>
          </w:p>
        </w:tc>
        <w:tc>
          <w:tcPr>
            <w:tcW w:w="607" w:type="dxa"/>
            <w:vMerge w:val="continue"/>
            <w:tcBorders>
              <w:top w:val="single" w:color="000000" w:sz="4" w:space="0"/>
              <w:left w:val="single" w:color="000000" w:sz="4" w:space="0"/>
              <w:bottom w:val="single" w:color="000000" w:sz="4" w:space="0"/>
              <w:right w:val="single" w:color="000000" w:sz="4" w:space="0"/>
            </w:tcBorders>
            <w:vAlign w:val="center"/>
          </w:tcPr>
          <w:p w14:paraId="5D0FFA1E">
            <w:pPr>
              <w:widowControl/>
              <w:adjustRightInd/>
              <w:snapToGrid/>
              <w:spacing w:line="240" w:lineRule="auto"/>
              <w:ind w:firstLine="0" w:firstLineChars="0"/>
              <w:jc w:val="left"/>
              <w:rPr>
                <w:rFonts w:cs="宋体"/>
                <w:color w:val="000000"/>
                <w:kern w:val="0"/>
                <w:sz w:val="20"/>
                <w:szCs w:val="20"/>
              </w:rPr>
            </w:pPr>
          </w:p>
        </w:tc>
        <w:tc>
          <w:tcPr>
            <w:tcW w:w="681" w:type="dxa"/>
            <w:vMerge w:val="continue"/>
            <w:tcBorders>
              <w:top w:val="single" w:color="000000" w:sz="4" w:space="0"/>
              <w:left w:val="single" w:color="000000" w:sz="4" w:space="0"/>
              <w:bottom w:val="single" w:color="000000" w:sz="4" w:space="0"/>
              <w:right w:val="single" w:color="000000" w:sz="4" w:space="0"/>
            </w:tcBorders>
            <w:vAlign w:val="center"/>
          </w:tcPr>
          <w:p w14:paraId="48FB378D">
            <w:pPr>
              <w:widowControl/>
              <w:adjustRightInd/>
              <w:snapToGrid/>
              <w:spacing w:line="240" w:lineRule="auto"/>
              <w:ind w:firstLine="0" w:firstLineChars="0"/>
              <w:jc w:val="left"/>
              <w:rPr>
                <w:rFonts w:cs="宋体"/>
                <w:color w:val="000000"/>
                <w:kern w:val="0"/>
                <w:sz w:val="20"/>
                <w:szCs w:val="20"/>
              </w:rPr>
            </w:pPr>
          </w:p>
        </w:tc>
        <w:tc>
          <w:tcPr>
            <w:tcW w:w="33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8EF03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直接工程费</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25F9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措施费</w:t>
            </w: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94BF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LrV"/>
            <w:vAlign w:val="center"/>
          </w:tcPr>
          <w:p w14:paraId="1F241A1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A02F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间接费</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LrV"/>
            <w:vAlign w:val="center"/>
          </w:tcPr>
          <w:p w14:paraId="66211F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利润率%</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B383C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利润</w:t>
            </w:r>
          </w:p>
        </w:tc>
        <w:tc>
          <w:tcPr>
            <w:tcW w:w="935"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4D29CB7">
            <w:pPr>
              <w:widowControl/>
              <w:adjustRightInd/>
              <w:snapToGrid/>
              <w:spacing w:line="240" w:lineRule="auto"/>
              <w:ind w:firstLine="0" w:firstLineChars="0"/>
              <w:jc w:val="left"/>
              <w:rPr>
                <w:rFonts w:cs="宋体"/>
                <w:color w:val="000000"/>
                <w:kern w:val="0"/>
                <w:sz w:val="20"/>
                <w:szCs w:val="20"/>
              </w:rPr>
            </w:pPr>
          </w:p>
        </w:tc>
        <w:tc>
          <w:tcPr>
            <w:tcW w:w="6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extDirection w:val="tbLrV"/>
            <w:vAlign w:val="center"/>
          </w:tcPr>
          <w:p w14:paraId="5ED3004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税率%</w:t>
            </w:r>
          </w:p>
        </w:tc>
        <w:tc>
          <w:tcPr>
            <w:tcW w:w="8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DAD6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税金</w:t>
            </w: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14:paraId="0AB248EC">
            <w:pPr>
              <w:widowControl/>
              <w:adjustRightInd/>
              <w:snapToGrid/>
              <w:spacing w:line="240" w:lineRule="auto"/>
              <w:ind w:firstLine="0" w:firstLineChars="0"/>
              <w:jc w:val="left"/>
              <w:rPr>
                <w:rFonts w:cs="宋体"/>
                <w:color w:val="000000"/>
                <w:kern w:val="0"/>
                <w:sz w:val="20"/>
                <w:szCs w:val="20"/>
              </w:rPr>
            </w:pPr>
          </w:p>
        </w:tc>
      </w:tr>
      <w:tr w14:paraId="21C03EF4">
        <w:tblPrEx>
          <w:tblCellMar>
            <w:top w:w="0" w:type="dxa"/>
            <w:left w:w="108" w:type="dxa"/>
            <w:bottom w:w="0" w:type="dxa"/>
            <w:right w:w="108" w:type="dxa"/>
          </w:tblCellMar>
        </w:tblPrEx>
        <w:trPr>
          <w:trHeight w:val="1261" w:hRule="atLeast"/>
        </w:trPr>
        <w:tc>
          <w:tcPr>
            <w:tcW w:w="353" w:type="dxa"/>
            <w:vMerge w:val="continue"/>
            <w:tcBorders>
              <w:top w:val="single" w:color="000000" w:sz="4" w:space="0"/>
              <w:left w:val="single" w:color="000000" w:sz="4" w:space="0"/>
              <w:bottom w:val="single" w:color="000000" w:sz="4" w:space="0"/>
              <w:right w:val="single" w:color="000000" w:sz="4" w:space="0"/>
            </w:tcBorders>
            <w:vAlign w:val="center"/>
          </w:tcPr>
          <w:p w14:paraId="5E279C46">
            <w:pPr>
              <w:widowControl/>
              <w:adjustRightInd/>
              <w:snapToGrid/>
              <w:spacing w:line="240" w:lineRule="auto"/>
              <w:ind w:firstLine="0" w:firstLineChars="0"/>
              <w:jc w:val="left"/>
              <w:rPr>
                <w:rFonts w:cs="宋体"/>
                <w:color w:val="000000"/>
                <w:kern w:val="0"/>
                <w:sz w:val="20"/>
                <w:szCs w:val="20"/>
              </w:rPr>
            </w:pPr>
          </w:p>
        </w:tc>
        <w:tc>
          <w:tcPr>
            <w:tcW w:w="607" w:type="dxa"/>
            <w:vMerge w:val="continue"/>
            <w:tcBorders>
              <w:top w:val="single" w:color="000000" w:sz="4" w:space="0"/>
              <w:left w:val="single" w:color="000000" w:sz="4" w:space="0"/>
              <w:bottom w:val="single" w:color="000000" w:sz="4" w:space="0"/>
              <w:right w:val="single" w:color="000000" w:sz="4" w:space="0"/>
            </w:tcBorders>
            <w:vAlign w:val="center"/>
          </w:tcPr>
          <w:p w14:paraId="30A31F98">
            <w:pPr>
              <w:widowControl/>
              <w:adjustRightInd/>
              <w:snapToGrid/>
              <w:spacing w:line="240" w:lineRule="auto"/>
              <w:ind w:firstLine="0" w:firstLineChars="0"/>
              <w:jc w:val="left"/>
              <w:rPr>
                <w:rFonts w:cs="宋体"/>
                <w:color w:val="000000"/>
                <w:kern w:val="0"/>
                <w:sz w:val="20"/>
                <w:szCs w:val="20"/>
              </w:rPr>
            </w:pPr>
          </w:p>
        </w:tc>
        <w:tc>
          <w:tcPr>
            <w:tcW w:w="681" w:type="dxa"/>
            <w:vMerge w:val="continue"/>
            <w:tcBorders>
              <w:top w:val="single" w:color="000000" w:sz="4" w:space="0"/>
              <w:left w:val="single" w:color="000000" w:sz="4" w:space="0"/>
              <w:bottom w:val="single" w:color="000000" w:sz="4" w:space="0"/>
              <w:right w:val="single" w:color="000000" w:sz="4" w:space="0"/>
            </w:tcBorders>
            <w:vAlign w:val="center"/>
          </w:tcPr>
          <w:p w14:paraId="7CFFCEDA">
            <w:pPr>
              <w:widowControl/>
              <w:adjustRightInd/>
              <w:snapToGrid/>
              <w:spacing w:line="240" w:lineRule="auto"/>
              <w:ind w:firstLine="0" w:firstLineChars="0"/>
              <w:jc w:val="left"/>
              <w:rPr>
                <w:rFonts w:cs="宋体"/>
                <w:color w:val="000000"/>
                <w:kern w:val="0"/>
                <w:sz w:val="20"/>
                <w:szCs w:val="20"/>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69B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计算单位</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A0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工程量</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9E7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BC5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直接工程费合计</w:t>
            </w:r>
          </w:p>
        </w:tc>
        <w:tc>
          <w:tcPr>
            <w:tcW w:w="521" w:type="dxa"/>
            <w:tcBorders>
              <w:top w:val="single" w:color="000000" w:sz="4" w:space="0"/>
              <w:left w:val="single" w:color="000000" w:sz="4" w:space="0"/>
              <w:bottom w:val="single" w:color="000000" w:sz="4" w:space="0"/>
              <w:right w:val="single" w:color="000000" w:sz="4" w:space="0"/>
            </w:tcBorders>
            <w:shd w:val="clear" w:color="auto" w:fill="auto"/>
            <w:textDirection w:val="tbLrV"/>
            <w:vAlign w:val="center"/>
          </w:tcPr>
          <w:p w14:paraId="3B78BE5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AA37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措施费</w:t>
            </w:r>
          </w:p>
        </w:tc>
        <w:tc>
          <w:tcPr>
            <w:tcW w:w="1054" w:type="dxa"/>
            <w:vMerge w:val="continue"/>
            <w:tcBorders>
              <w:top w:val="single" w:color="000000" w:sz="4" w:space="0"/>
              <w:left w:val="single" w:color="000000" w:sz="4" w:space="0"/>
              <w:bottom w:val="single" w:color="000000" w:sz="4" w:space="0"/>
              <w:right w:val="single" w:color="000000" w:sz="4" w:space="0"/>
            </w:tcBorders>
            <w:vAlign w:val="center"/>
          </w:tcPr>
          <w:p w14:paraId="58CDC4E0">
            <w:pPr>
              <w:widowControl/>
              <w:adjustRightInd/>
              <w:snapToGrid/>
              <w:spacing w:line="240" w:lineRule="auto"/>
              <w:ind w:firstLine="0" w:firstLineChars="0"/>
              <w:jc w:val="left"/>
              <w:rPr>
                <w:rFonts w:cs="宋体"/>
                <w:color w:val="000000"/>
                <w:kern w:val="0"/>
                <w:sz w:val="20"/>
                <w:szCs w:val="20"/>
              </w:rPr>
            </w:pPr>
          </w:p>
        </w:tc>
        <w:tc>
          <w:tcPr>
            <w:tcW w:w="521" w:type="dxa"/>
            <w:vMerge w:val="continue"/>
            <w:tcBorders>
              <w:top w:val="single" w:color="000000" w:sz="4" w:space="0"/>
              <w:left w:val="single" w:color="000000" w:sz="4" w:space="0"/>
              <w:bottom w:val="single" w:color="000000" w:sz="4" w:space="0"/>
              <w:right w:val="single" w:color="000000" w:sz="4" w:space="0"/>
            </w:tcBorders>
            <w:vAlign w:val="center"/>
          </w:tcPr>
          <w:p w14:paraId="6906AB80">
            <w:pPr>
              <w:widowControl/>
              <w:adjustRightInd/>
              <w:snapToGrid/>
              <w:spacing w:line="240" w:lineRule="auto"/>
              <w:ind w:firstLine="0" w:firstLineChars="0"/>
              <w:jc w:val="left"/>
              <w:rPr>
                <w:rFonts w:cs="宋体"/>
                <w:color w:val="000000"/>
                <w:kern w:val="0"/>
                <w:sz w:val="20"/>
                <w:szCs w:val="20"/>
              </w:rPr>
            </w:pPr>
          </w:p>
        </w:tc>
        <w:tc>
          <w:tcPr>
            <w:tcW w:w="889" w:type="dxa"/>
            <w:vMerge w:val="continue"/>
            <w:tcBorders>
              <w:top w:val="single" w:color="000000" w:sz="4" w:space="0"/>
              <w:left w:val="single" w:color="000000" w:sz="4" w:space="0"/>
              <w:bottom w:val="single" w:color="000000" w:sz="4" w:space="0"/>
              <w:right w:val="single" w:color="000000" w:sz="4" w:space="0"/>
            </w:tcBorders>
            <w:vAlign w:val="center"/>
          </w:tcPr>
          <w:p w14:paraId="3FEE3D71">
            <w:pPr>
              <w:widowControl/>
              <w:adjustRightInd/>
              <w:snapToGrid/>
              <w:spacing w:line="240" w:lineRule="auto"/>
              <w:ind w:firstLine="0" w:firstLineChars="0"/>
              <w:jc w:val="left"/>
              <w:rPr>
                <w:rFonts w:cs="宋体"/>
                <w:color w:val="000000"/>
                <w:kern w:val="0"/>
                <w:sz w:val="20"/>
                <w:szCs w:val="20"/>
              </w:rPr>
            </w:pPr>
          </w:p>
        </w:tc>
        <w:tc>
          <w:tcPr>
            <w:tcW w:w="510" w:type="dxa"/>
            <w:vMerge w:val="continue"/>
            <w:tcBorders>
              <w:top w:val="single" w:color="000000" w:sz="4" w:space="0"/>
              <w:left w:val="single" w:color="000000" w:sz="4" w:space="0"/>
              <w:bottom w:val="single" w:color="000000" w:sz="4" w:space="0"/>
              <w:right w:val="single" w:color="000000" w:sz="4" w:space="0"/>
            </w:tcBorders>
            <w:vAlign w:val="center"/>
          </w:tcPr>
          <w:p w14:paraId="31B80021">
            <w:pPr>
              <w:widowControl/>
              <w:adjustRightInd/>
              <w:snapToGrid/>
              <w:spacing w:line="240" w:lineRule="auto"/>
              <w:ind w:firstLine="0" w:firstLineChars="0"/>
              <w:jc w:val="left"/>
              <w:rPr>
                <w:rFonts w:cs="宋体"/>
                <w:color w:val="000000"/>
                <w:kern w:val="0"/>
                <w:sz w:val="20"/>
                <w:szCs w:val="20"/>
              </w:rPr>
            </w:pPr>
          </w:p>
        </w:tc>
        <w:tc>
          <w:tcPr>
            <w:tcW w:w="876" w:type="dxa"/>
            <w:vMerge w:val="continue"/>
            <w:tcBorders>
              <w:top w:val="single" w:color="000000" w:sz="4" w:space="0"/>
              <w:left w:val="single" w:color="000000" w:sz="4" w:space="0"/>
              <w:bottom w:val="single" w:color="000000" w:sz="4" w:space="0"/>
              <w:right w:val="single" w:color="000000" w:sz="4" w:space="0"/>
            </w:tcBorders>
            <w:vAlign w:val="center"/>
          </w:tcPr>
          <w:p w14:paraId="7AE9B0ED">
            <w:pPr>
              <w:widowControl/>
              <w:adjustRightInd/>
              <w:snapToGrid/>
              <w:spacing w:line="240" w:lineRule="auto"/>
              <w:ind w:firstLine="0" w:firstLineChars="0"/>
              <w:jc w:val="left"/>
              <w:rPr>
                <w:rFonts w:cs="宋体"/>
                <w:color w:val="000000"/>
                <w:kern w:val="0"/>
                <w:sz w:val="20"/>
                <w:szCs w:val="20"/>
              </w:rPr>
            </w:pPr>
          </w:p>
        </w:tc>
        <w:tc>
          <w:tcPr>
            <w:tcW w:w="935"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235641D">
            <w:pPr>
              <w:widowControl/>
              <w:adjustRightInd/>
              <w:snapToGrid/>
              <w:spacing w:line="240" w:lineRule="auto"/>
              <w:ind w:firstLine="0" w:firstLineChars="0"/>
              <w:jc w:val="left"/>
              <w:rPr>
                <w:rFonts w:cs="宋体"/>
                <w:color w:val="000000"/>
                <w:kern w:val="0"/>
                <w:sz w:val="20"/>
                <w:szCs w:val="20"/>
              </w:rPr>
            </w:pPr>
          </w:p>
        </w:tc>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54E9BA8">
            <w:pPr>
              <w:widowControl/>
              <w:adjustRightInd/>
              <w:snapToGrid/>
              <w:spacing w:line="240" w:lineRule="auto"/>
              <w:ind w:firstLine="0" w:firstLineChars="0"/>
              <w:jc w:val="left"/>
              <w:rPr>
                <w:rFonts w:cs="宋体"/>
                <w:color w:val="000000"/>
                <w:kern w:val="0"/>
                <w:sz w:val="20"/>
                <w:szCs w:val="20"/>
              </w:rPr>
            </w:pPr>
          </w:p>
        </w:tc>
        <w:tc>
          <w:tcPr>
            <w:tcW w:w="891"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3B63DE5">
            <w:pPr>
              <w:widowControl/>
              <w:adjustRightInd/>
              <w:snapToGrid/>
              <w:spacing w:line="240" w:lineRule="auto"/>
              <w:ind w:firstLine="0" w:firstLineChars="0"/>
              <w:jc w:val="left"/>
              <w:rPr>
                <w:rFonts w:cs="宋体"/>
                <w:color w:val="000000"/>
                <w:kern w:val="0"/>
                <w:sz w:val="20"/>
                <w:szCs w:val="20"/>
              </w:rPr>
            </w:pPr>
          </w:p>
        </w:tc>
        <w:tc>
          <w:tcPr>
            <w:tcW w:w="1008" w:type="dxa"/>
            <w:vMerge w:val="continue"/>
            <w:tcBorders>
              <w:top w:val="single" w:color="000000" w:sz="4" w:space="0"/>
              <w:left w:val="single" w:color="000000" w:sz="4" w:space="0"/>
              <w:bottom w:val="single" w:color="000000" w:sz="4" w:space="0"/>
              <w:right w:val="single" w:color="000000" w:sz="4" w:space="0"/>
            </w:tcBorders>
            <w:vAlign w:val="center"/>
          </w:tcPr>
          <w:p w14:paraId="71714711">
            <w:pPr>
              <w:widowControl/>
              <w:adjustRightInd/>
              <w:snapToGrid/>
              <w:spacing w:line="240" w:lineRule="auto"/>
              <w:ind w:firstLine="0" w:firstLineChars="0"/>
              <w:jc w:val="left"/>
              <w:rPr>
                <w:rFonts w:cs="宋体"/>
                <w:color w:val="000000"/>
                <w:kern w:val="0"/>
                <w:sz w:val="20"/>
                <w:szCs w:val="20"/>
              </w:rPr>
            </w:pPr>
          </w:p>
        </w:tc>
      </w:tr>
      <w:tr w14:paraId="2007D557">
        <w:tblPrEx>
          <w:tblCellMar>
            <w:top w:w="0" w:type="dxa"/>
            <w:left w:w="108" w:type="dxa"/>
            <w:bottom w:w="0" w:type="dxa"/>
            <w:right w:w="108" w:type="dxa"/>
          </w:tblCellMar>
        </w:tblPrEx>
        <w:trPr>
          <w:trHeight w:val="290" w:hRule="atLeast"/>
        </w:trPr>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E0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CC8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E004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丙</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B9E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 </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998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5B2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 </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922C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72A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 </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5CC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 </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694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8FF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 </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CA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 </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74E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 </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716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11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81C3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 </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F5D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 </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4D3D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F32A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15 </w:t>
            </w:r>
          </w:p>
        </w:tc>
      </w:tr>
      <w:tr w14:paraId="280CBBF2">
        <w:tblPrEx>
          <w:tblCellMar>
            <w:top w:w="0" w:type="dxa"/>
            <w:left w:w="108" w:type="dxa"/>
            <w:bottom w:w="0" w:type="dxa"/>
            <w:right w:w="108" w:type="dxa"/>
          </w:tblCellMar>
        </w:tblPrEx>
        <w:trPr>
          <w:trHeight w:val="466" w:hRule="atLeast"/>
        </w:trPr>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030F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3CB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推运回填</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E8CE">
            <w:pPr>
              <w:widowControl/>
              <w:adjustRightInd/>
              <w:snapToGrid/>
              <w:spacing w:line="240" w:lineRule="auto"/>
              <w:ind w:firstLine="0" w:firstLineChars="0"/>
              <w:jc w:val="center"/>
              <w:rPr>
                <w:rFonts w:cs="宋体"/>
                <w:color w:val="000000"/>
                <w:kern w:val="0"/>
                <w:sz w:val="20"/>
                <w:szCs w:val="20"/>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2D1B">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B51D4">
            <w:pPr>
              <w:widowControl/>
              <w:adjustRightInd/>
              <w:snapToGrid/>
              <w:spacing w:line="240" w:lineRule="auto"/>
              <w:ind w:firstLine="0" w:firstLineChars="0"/>
              <w:jc w:val="center"/>
              <w:rPr>
                <w:rFonts w:hAnsi="Times New Roman" w:cs="Times New Roman"/>
                <w:kern w:val="0"/>
                <w:sz w:val="20"/>
                <w:szCs w:val="20"/>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F16F2">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0F2A">
            <w:pPr>
              <w:widowControl/>
              <w:adjustRightInd/>
              <w:snapToGrid/>
              <w:spacing w:line="240" w:lineRule="auto"/>
              <w:ind w:firstLine="0" w:firstLineChars="0"/>
              <w:jc w:val="center"/>
              <w:rPr>
                <w:rFonts w:hAnsi="Times New Roman" w:cs="Times New Roman"/>
                <w:kern w:val="0"/>
                <w:sz w:val="20"/>
                <w:szCs w:val="20"/>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A284">
            <w:pPr>
              <w:widowControl/>
              <w:adjustRightInd/>
              <w:snapToGrid/>
              <w:spacing w:line="240" w:lineRule="auto"/>
              <w:ind w:firstLine="0" w:firstLineChars="0"/>
              <w:jc w:val="center"/>
              <w:rPr>
                <w:rFonts w:hAnsi="Times New Roman" w:cs="Times New Roman"/>
                <w:kern w:val="0"/>
                <w:sz w:val="20"/>
                <w:szCs w:val="20"/>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56C8">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EC4E">
            <w:pPr>
              <w:widowControl/>
              <w:adjustRightInd/>
              <w:snapToGrid/>
              <w:spacing w:line="240" w:lineRule="auto"/>
              <w:ind w:firstLine="0" w:firstLineChars="0"/>
              <w:jc w:val="center"/>
              <w:rPr>
                <w:rFonts w:hAnsi="Times New Roman" w:cs="Times New Roman"/>
                <w:kern w:val="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84845">
            <w:pPr>
              <w:widowControl/>
              <w:adjustRightInd/>
              <w:snapToGrid/>
              <w:spacing w:line="240" w:lineRule="auto"/>
              <w:ind w:firstLine="0" w:firstLineChars="0"/>
              <w:jc w:val="center"/>
              <w:rPr>
                <w:rFonts w:hAnsi="Times New Roman" w:cs="Times New Roman"/>
                <w:kern w:val="0"/>
                <w:sz w:val="20"/>
                <w:szCs w:val="20"/>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7A67">
            <w:pPr>
              <w:widowControl/>
              <w:adjustRightInd/>
              <w:snapToGrid/>
              <w:spacing w:line="240" w:lineRule="auto"/>
              <w:ind w:firstLine="0" w:firstLineChars="0"/>
              <w:jc w:val="center"/>
              <w:rPr>
                <w:rFonts w:hAnsi="Times New Roman" w:cs="Times New Roman"/>
                <w:kern w:val="0"/>
                <w:sz w:val="20"/>
                <w:szCs w:val="20"/>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7425">
            <w:pPr>
              <w:widowControl/>
              <w:adjustRightInd/>
              <w:snapToGrid/>
              <w:spacing w:line="240" w:lineRule="auto"/>
              <w:ind w:firstLine="0" w:firstLineChars="0"/>
              <w:jc w:val="center"/>
              <w:rPr>
                <w:rFonts w:hAnsi="Times New Roman" w:cs="Times New Roman"/>
                <w:kern w:val="0"/>
                <w:sz w:val="20"/>
                <w:szCs w:val="20"/>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98829">
            <w:pPr>
              <w:widowControl/>
              <w:adjustRightInd/>
              <w:snapToGrid/>
              <w:spacing w:line="240" w:lineRule="auto"/>
              <w:ind w:firstLine="0" w:firstLineChars="0"/>
              <w:jc w:val="center"/>
              <w:rPr>
                <w:rFonts w:hAnsi="Times New Roman" w:cs="Times New Roman"/>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942C5">
            <w:pPr>
              <w:widowControl/>
              <w:adjustRightInd/>
              <w:snapToGrid/>
              <w:spacing w:line="240" w:lineRule="auto"/>
              <w:ind w:firstLine="0" w:firstLineChars="0"/>
              <w:jc w:val="center"/>
              <w:rPr>
                <w:rFonts w:hAnsi="Times New Roman" w:cs="Times New Roman"/>
                <w:kern w:val="0"/>
                <w:sz w:val="20"/>
                <w:szCs w:val="20"/>
              </w:rPr>
            </w:pP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34A0B">
            <w:pPr>
              <w:widowControl/>
              <w:adjustRightInd/>
              <w:snapToGrid/>
              <w:spacing w:line="240" w:lineRule="auto"/>
              <w:ind w:firstLine="0" w:firstLineChars="0"/>
              <w:jc w:val="center"/>
              <w:rPr>
                <w:rFonts w:hAnsi="Times New Roman" w:cs="Times New Roman"/>
                <w:kern w:val="0"/>
                <w:sz w:val="20"/>
                <w:szCs w:val="20"/>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C76F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84230.85 </w:t>
            </w:r>
          </w:p>
        </w:tc>
      </w:tr>
      <w:tr w14:paraId="3A1C0029">
        <w:tblPrEx>
          <w:tblCellMar>
            <w:top w:w="0" w:type="dxa"/>
            <w:left w:w="108" w:type="dxa"/>
            <w:bottom w:w="0" w:type="dxa"/>
            <w:right w:w="108" w:type="dxa"/>
          </w:tblCellMar>
        </w:tblPrEx>
        <w:trPr>
          <w:trHeight w:val="702" w:hRule="atLeast"/>
        </w:trPr>
        <w:tc>
          <w:tcPr>
            <w:tcW w:w="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93011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 </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CADF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10317 </w:t>
            </w:r>
          </w:p>
        </w:tc>
        <w:tc>
          <w:tcPr>
            <w:tcW w:w="6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A867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132kw推土机推土，三类土，运距70-80m</w:t>
            </w: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563BC">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100m</w:t>
            </w:r>
            <w:r>
              <w:rPr>
                <w:rFonts w:hint="eastAsia" w:cs="宋体"/>
                <w:color w:val="000000"/>
                <w:kern w:val="0"/>
                <w:sz w:val="20"/>
                <w:szCs w:val="20"/>
                <w:vertAlign w:val="superscript"/>
              </w:rPr>
              <w:t>3</w:t>
            </w:r>
          </w:p>
        </w:tc>
        <w:tc>
          <w:tcPr>
            <w:tcW w:w="8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021B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175.80 </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9BA5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389.02 </w:t>
            </w:r>
          </w:p>
        </w:tc>
        <w:tc>
          <w:tcPr>
            <w:tcW w:w="10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EDEDF">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68390.52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8D22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1E98C">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820.69 </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9641E">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69211.21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2BEF3">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2.2%</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420E9">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1522.65 </w:t>
            </w:r>
          </w:p>
        </w:tc>
        <w:tc>
          <w:tcPr>
            <w:tcW w:w="5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F39B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8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256490">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707.34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FCE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10162.03 </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F82E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3.22%</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2DC3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2627.62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97D0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84230.85 </w:t>
            </w:r>
          </w:p>
        </w:tc>
      </w:tr>
      <w:tr w14:paraId="0ECD3387">
        <w:tblPrEx>
          <w:tblCellMar>
            <w:top w:w="0" w:type="dxa"/>
            <w:left w:w="108" w:type="dxa"/>
            <w:bottom w:w="0" w:type="dxa"/>
            <w:right w:w="108" w:type="dxa"/>
          </w:tblCellMar>
        </w:tblPrEx>
        <w:trPr>
          <w:trHeight w:val="521" w:hRule="atLeast"/>
        </w:trPr>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EFCA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C79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拉运土方回填</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C58B">
            <w:pPr>
              <w:widowControl/>
              <w:adjustRightInd/>
              <w:snapToGrid/>
              <w:spacing w:line="240" w:lineRule="auto"/>
              <w:ind w:firstLine="0" w:firstLineChars="0"/>
              <w:jc w:val="center"/>
              <w:rPr>
                <w:rFonts w:cs="宋体"/>
                <w:color w:val="000000"/>
                <w:kern w:val="0"/>
                <w:sz w:val="20"/>
                <w:szCs w:val="20"/>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4F98">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5BD9">
            <w:pPr>
              <w:widowControl/>
              <w:adjustRightInd/>
              <w:snapToGrid/>
              <w:spacing w:line="240" w:lineRule="auto"/>
              <w:ind w:firstLine="0" w:firstLineChars="0"/>
              <w:jc w:val="center"/>
              <w:rPr>
                <w:rFonts w:hAnsi="Times New Roman" w:cs="Times New Roman"/>
                <w:kern w:val="0"/>
                <w:sz w:val="20"/>
                <w:szCs w:val="20"/>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87AC">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A447">
            <w:pPr>
              <w:widowControl/>
              <w:adjustRightInd/>
              <w:snapToGrid/>
              <w:spacing w:line="240" w:lineRule="auto"/>
              <w:ind w:firstLine="0" w:firstLineChars="0"/>
              <w:jc w:val="center"/>
              <w:rPr>
                <w:rFonts w:hAnsi="Times New Roman" w:cs="Times New Roman"/>
                <w:kern w:val="0"/>
                <w:sz w:val="20"/>
                <w:szCs w:val="20"/>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2CFB">
            <w:pPr>
              <w:widowControl/>
              <w:adjustRightInd/>
              <w:snapToGrid/>
              <w:spacing w:line="240" w:lineRule="auto"/>
              <w:ind w:firstLine="0" w:firstLineChars="0"/>
              <w:jc w:val="center"/>
              <w:rPr>
                <w:rFonts w:hAnsi="Times New Roman" w:cs="Times New Roman"/>
                <w:kern w:val="0"/>
                <w:sz w:val="20"/>
                <w:szCs w:val="20"/>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7652">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29F92A">
            <w:pPr>
              <w:widowControl/>
              <w:adjustRightInd/>
              <w:snapToGrid/>
              <w:spacing w:line="240" w:lineRule="auto"/>
              <w:ind w:firstLine="0" w:firstLineChars="0"/>
              <w:jc w:val="center"/>
              <w:rPr>
                <w:rFonts w:hAnsi="Times New Roman" w:cs="Times New Roman"/>
                <w:kern w:val="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7DC7">
            <w:pPr>
              <w:widowControl/>
              <w:adjustRightInd/>
              <w:snapToGrid/>
              <w:spacing w:line="240" w:lineRule="auto"/>
              <w:ind w:firstLine="0" w:firstLineChars="0"/>
              <w:jc w:val="left"/>
              <w:rPr>
                <w:rFonts w:hAnsi="Times New Roman" w:cs="Times New Roman"/>
                <w:kern w:val="0"/>
                <w:sz w:val="20"/>
                <w:szCs w:val="20"/>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F3A3">
            <w:pPr>
              <w:widowControl/>
              <w:adjustRightInd/>
              <w:snapToGrid/>
              <w:spacing w:line="240" w:lineRule="auto"/>
              <w:ind w:firstLine="0" w:firstLineChars="0"/>
              <w:jc w:val="center"/>
              <w:rPr>
                <w:rFonts w:hAnsi="Times New Roman" w:cs="Times New Roman"/>
                <w:kern w:val="0"/>
                <w:sz w:val="20"/>
                <w:szCs w:val="20"/>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A4D5">
            <w:pPr>
              <w:widowControl/>
              <w:adjustRightInd/>
              <w:snapToGrid/>
              <w:spacing w:line="240" w:lineRule="auto"/>
              <w:ind w:firstLine="0" w:firstLineChars="0"/>
              <w:jc w:val="center"/>
              <w:rPr>
                <w:rFonts w:hAnsi="Times New Roman" w:cs="Times New Roman"/>
                <w:kern w:val="0"/>
                <w:sz w:val="20"/>
                <w:szCs w:val="20"/>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85971">
            <w:pPr>
              <w:widowControl/>
              <w:adjustRightInd/>
              <w:snapToGrid/>
              <w:spacing w:line="240" w:lineRule="auto"/>
              <w:ind w:firstLine="0" w:firstLineChars="0"/>
              <w:jc w:val="center"/>
              <w:rPr>
                <w:rFonts w:hAnsi="Times New Roman" w:cs="Times New Roman"/>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BC2AA0">
            <w:pPr>
              <w:widowControl/>
              <w:adjustRightInd/>
              <w:snapToGrid/>
              <w:spacing w:line="240" w:lineRule="auto"/>
              <w:ind w:firstLine="0" w:firstLineChars="0"/>
              <w:jc w:val="center"/>
              <w:rPr>
                <w:rFonts w:hAnsi="Times New Roman" w:cs="Times New Roman"/>
                <w:kern w:val="0"/>
                <w:sz w:val="20"/>
                <w:szCs w:val="20"/>
              </w:rPr>
            </w:pP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C2F84">
            <w:pPr>
              <w:widowControl/>
              <w:adjustRightInd/>
              <w:snapToGrid/>
              <w:spacing w:line="240" w:lineRule="auto"/>
              <w:ind w:firstLine="0" w:firstLineChars="0"/>
              <w:jc w:val="center"/>
              <w:rPr>
                <w:rFonts w:hAnsi="Times New Roman" w:cs="Times New Roman"/>
                <w:kern w:val="0"/>
                <w:sz w:val="20"/>
                <w:szCs w:val="20"/>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7AA4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236144.03 </w:t>
            </w:r>
          </w:p>
        </w:tc>
      </w:tr>
      <w:tr w14:paraId="7E2534A0">
        <w:tblPrEx>
          <w:tblCellMar>
            <w:top w:w="0" w:type="dxa"/>
            <w:left w:w="108" w:type="dxa"/>
            <w:bottom w:w="0" w:type="dxa"/>
            <w:right w:w="108" w:type="dxa"/>
          </w:tblCellMar>
        </w:tblPrEx>
        <w:trPr>
          <w:trHeight w:val="1780" w:hRule="atLeast"/>
        </w:trPr>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769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 </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77F2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10242</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CDC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2m</w:t>
            </w:r>
            <w:r>
              <w:rPr>
                <w:rFonts w:hint="eastAsia" w:cs="宋体"/>
                <w:color w:val="000000"/>
                <w:kern w:val="0"/>
                <w:sz w:val="20"/>
                <w:szCs w:val="20"/>
                <w:vertAlign w:val="superscript"/>
              </w:rPr>
              <w:t>3</w:t>
            </w:r>
            <w:r>
              <w:rPr>
                <w:rFonts w:hint="eastAsia" w:cs="宋体"/>
                <w:color w:val="000000"/>
                <w:kern w:val="0"/>
                <w:sz w:val="20"/>
                <w:szCs w:val="20"/>
              </w:rPr>
              <w:t>挖掘机挖装20t自卸汽车运，三类土，运距0-0.5km</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D2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100m</w:t>
            </w:r>
            <w:r>
              <w:rPr>
                <w:rFonts w:hint="eastAsia" w:cs="宋体"/>
                <w:color w:val="000000"/>
                <w:kern w:val="0"/>
                <w:sz w:val="20"/>
                <w:szCs w:val="20"/>
                <w:vertAlign w:val="superscript"/>
              </w:rPr>
              <w:t>3</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8A7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538.93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15D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406.38 </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14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219008.18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F51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76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2628.10 </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0DD4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221636.28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59B7A">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2.2%</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510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4876.00 </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DB0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37F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2265.12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E2126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0.00 </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946D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3.22%</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0B51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7366.63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0631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236144.03 </w:t>
            </w:r>
          </w:p>
        </w:tc>
      </w:tr>
      <w:tr w14:paraId="7E11BEB6">
        <w:tblPrEx>
          <w:tblCellMar>
            <w:top w:w="0" w:type="dxa"/>
            <w:left w:w="108" w:type="dxa"/>
            <w:bottom w:w="0" w:type="dxa"/>
            <w:right w:w="108" w:type="dxa"/>
          </w:tblCellMar>
        </w:tblPrEx>
        <w:trPr>
          <w:trHeight w:val="429" w:hRule="atLeast"/>
        </w:trPr>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0D9D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960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土地平整</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2F55">
            <w:pPr>
              <w:widowControl/>
              <w:adjustRightInd/>
              <w:snapToGrid/>
              <w:spacing w:line="240" w:lineRule="auto"/>
              <w:ind w:firstLine="0" w:firstLineChars="0"/>
              <w:jc w:val="center"/>
              <w:rPr>
                <w:rFonts w:cs="宋体"/>
                <w:color w:val="000000"/>
                <w:kern w:val="0"/>
                <w:sz w:val="20"/>
                <w:szCs w:val="20"/>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B0D7">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DD3B">
            <w:pPr>
              <w:widowControl/>
              <w:adjustRightInd/>
              <w:snapToGrid/>
              <w:spacing w:line="240" w:lineRule="auto"/>
              <w:ind w:firstLine="0" w:firstLineChars="0"/>
              <w:jc w:val="center"/>
              <w:rPr>
                <w:rFonts w:hAnsi="Times New Roman" w:cs="Times New Roman"/>
                <w:kern w:val="0"/>
                <w:sz w:val="20"/>
                <w:szCs w:val="20"/>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F1F5">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0F75">
            <w:pPr>
              <w:widowControl/>
              <w:adjustRightInd/>
              <w:snapToGrid/>
              <w:spacing w:line="240" w:lineRule="auto"/>
              <w:ind w:firstLine="0" w:firstLineChars="0"/>
              <w:jc w:val="center"/>
              <w:rPr>
                <w:rFonts w:hAnsi="Times New Roman" w:cs="Times New Roman"/>
                <w:kern w:val="0"/>
                <w:sz w:val="20"/>
                <w:szCs w:val="20"/>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D1F9">
            <w:pPr>
              <w:widowControl/>
              <w:adjustRightInd/>
              <w:snapToGrid/>
              <w:spacing w:line="240" w:lineRule="auto"/>
              <w:ind w:firstLine="0" w:firstLineChars="0"/>
              <w:jc w:val="center"/>
              <w:rPr>
                <w:rFonts w:hAnsi="Times New Roman" w:cs="Times New Roman"/>
                <w:kern w:val="0"/>
                <w:sz w:val="20"/>
                <w:szCs w:val="20"/>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0875">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F169E4">
            <w:pPr>
              <w:widowControl/>
              <w:adjustRightInd/>
              <w:snapToGrid/>
              <w:spacing w:line="240" w:lineRule="auto"/>
              <w:ind w:firstLine="0" w:firstLineChars="0"/>
              <w:jc w:val="center"/>
              <w:rPr>
                <w:rFonts w:hAnsi="Times New Roman" w:cs="Times New Roman"/>
                <w:kern w:val="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0D32">
            <w:pPr>
              <w:widowControl/>
              <w:adjustRightInd/>
              <w:snapToGrid/>
              <w:spacing w:line="240" w:lineRule="auto"/>
              <w:ind w:firstLine="0" w:firstLineChars="0"/>
              <w:jc w:val="left"/>
              <w:rPr>
                <w:rFonts w:hAnsi="Times New Roman" w:cs="Times New Roman"/>
                <w:kern w:val="0"/>
                <w:sz w:val="20"/>
                <w:szCs w:val="20"/>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07F1">
            <w:pPr>
              <w:widowControl/>
              <w:adjustRightInd/>
              <w:snapToGrid/>
              <w:spacing w:line="240" w:lineRule="auto"/>
              <w:ind w:firstLine="0" w:firstLineChars="0"/>
              <w:jc w:val="center"/>
              <w:rPr>
                <w:rFonts w:hAnsi="Times New Roman" w:cs="Times New Roman"/>
                <w:kern w:val="0"/>
                <w:sz w:val="20"/>
                <w:szCs w:val="20"/>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6BB0">
            <w:pPr>
              <w:widowControl/>
              <w:adjustRightInd/>
              <w:snapToGrid/>
              <w:spacing w:line="240" w:lineRule="auto"/>
              <w:ind w:firstLine="0" w:firstLineChars="0"/>
              <w:jc w:val="center"/>
              <w:rPr>
                <w:rFonts w:hAnsi="Times New Roman" w:cs="Times New Roman"/>
                <w:kern w:val="0"/>
                <w:sz w:val="20"/>
                <w:szCs w:val="20"/>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00F2F">
            <w:pPr>
              <w:widowControl/>
              <w:adjustRightInd/>
              <w:snapToGrid/>
              <w:spacing w:line="240" w:lineRule="auto"/>
              <w:ind w:firstLine="0" w:firstLineChars="0"/>
              <w:jc w:val="center"/>
              <w:rPr>
                <w:rFonts w:hAnsi="Times New Roman" w:cs="Times New Roman"/>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36C86">
            <w:pPr>
              <w:widowControl/>
              <w:adjustRightInd/>
              <w:snapToGrid/>
              <w:spacing w:line="240" w:lineRule="auto"/>
              <w:ind w:firstLine="0" w:firstLineChars="0"/>
              <w:jc w:val="center"/>
              <w:rPr>
                <w:rFonts w:hAnsi="Times New Roman" w:cs="Times New Roman"/>
                <w:kern w:val="0"/>
                <w:sz w:val="20"/>
                <w:szCs w:val="20"/>
              </w:rPr>
            </w:pP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6FA45">
            <w:pPr>
              <w:widowControl/>
              <w:adjustRightInd/>
              <w:snapToGrid/>
              <w:spacing w:line="240" w:lineRule="auto"/>
              <w:ind w:firstLine="0" w:firstLineChars="0"/>
              <w:jc w:val="center"/>
              <w:rPr>
                <w:rFonts w:hAnsi="Times New Roman" w:cs="Times New Roman"/>
                <w:kern w:val="0"/>
                <w:sz w:val="20"/>
                <w:szCs w:val="20"/>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BD54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118739.68 </w:t>
            </w:r>
          </w:p>
        </w:tc>
      </w:tr>
      <w:tr w14:paraId="045CA27B">
        <w:tblPrEx>
          <w:tblCellMar>
            <w:top w:w="0" w:type="dxa"/>
            <w:left w:w="108" w:type="dxa"/>
            <w:bottom w:w="0" w:type="dxa"/>
            <w:right w:w="108" w:type="dxa"/>
          </w:tblCellMar>
        </w:tblPrEx>
        <w:trPr>
          <w:trHeight w:val="844" w:hRule="atLeast"/>
        </w:trPr>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359F">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1 </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BEA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10330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AE6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平地机平土一般平土</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7DB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100m</w:t>
            </w:r>
            <w:r>
              <w:rPr>
                <w:rFonts w:hint="eastAsia" w:cs="宋体"/>
                <w:color w:val="000000"/>
                <w:kern w:val="0"/>
                <w:sz w:val="20"/>
                <w:szCs w:val="20"/>
                <w:vertAlign w:val="superscript"/>
              </w:rPr>
              <w:t>2</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B2D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1652.02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7A44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58.61 </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AD7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96821.98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129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B6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1161.86 </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187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97983.84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4B604">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2.2%</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80C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2155.64 </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5585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FF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1001.39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1BD7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13894.66 </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E04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3.22%</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90C0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3704.14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F069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118739.68 </w:t>
            </w:r>
          </w:p>
        </w:tc>
      </w:tr>
      <w:tr w14:paraId="1A1E4ED1">
        <w:tblPrEx>
          <w:tblCellMar>
            <w:top w:w="0" w:type="dxa"/>
            <w:left w:w="108" w:type="dxa"/>
            <w:bottom w:w="0" w:type="dxa"/>
            <w:right w:w="108" w:type="dxa"/>
          </w:tblCellMar>
        </w:tblPrEx>
        <w:trPr>
          <w:trHeight w:val="583" w:hRule="atLeast"/>
        </w:trPr>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1F11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15B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播撒草籽</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9666">
            <w:pPr>
              <w:widowControl/>
              <w:adjustRightInd/>
              <w:snapToGrid/>
              <w:spacing w:line="240" w:lineRule="auto"/>
              <w:ind w:firstLine="0" w:firstLineChars="0"/>
              <w:jc w:val="center"/>
              <w:rPr>
                <w:rFonts w:cs="宋体"/>
                <w:color w:val="000000"/>
                <w:kern w:val="0"/>
                <w:sz w:val="20"/>
                <w:szCs w:val="20"/>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9221">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FC57">
            <w:pPr>
              <w:widowControl/>
              <w:adjustRightInd/>
              <w:snapToGrid/>
              <w:spacing w:line="240" w:lineRule="auto"/>
              <w:ind w:firstLine="0" w:firstLineChars="0"/>
              <w:jc w:val="center"/>
              <w:rPr>
                <w:rFonts w:hAnsi="Times New Roman" w:cs="Times New Roman"/>
                <w:kern w:val="0"/>
                <w:sz w:val="20"/>
                <w:szCs w:val="20"/>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7549">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6FFF">
            <w:pPr>
              <w:widowControl/>
              <w:adjustRightInd/>
              <w:snapToGrid/>
              <w:spacing w:line="240" w:lineRule="auto"/>
              <w:ind w:firstLine="0" w:firstLineChars="0"/>
              <w:jc w:val="center"/>
              <w:rPr>
                <w:rFonts w:hAnsi="Times New Roman" w:cs="Times New Roman"/>
                <w:kern w:val="0"/>
                <w:sz w:val="20"/>
                <w:szCs w:val="20"/>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7ADB">
            <w:pPr>
              <w:widowControl/>
              <w:adjustRightInd/>
              <w:snapToGrid/>
              <w:spacing w:line="240" w:lineRule="auto"/>
              <w:ind w:firstLine="0" w:firstLineChars="0"/>
              <w:jc w:val="center"/>
              <w:rPr>
                <w:rFonts w:hAnsi="Times New Roman" w:cs="Times New Roman"/>
                <w:kern w:val="0"/>
                <w:sz w:val="20"/>
                <w:szCs w:val="20"/>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E8A5">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FC78C">
            <w:pPr>
              <w:widowControl/>
              <w:adjustRightInd/>
              <w:snapToGrid/>
              <w:spacing w:line="240" w:lineRule="auto"/>
              <w:ind w:firstLine="0" w:firstLineChars="0"/>
              <w:jc w:val="center"/>
              <w:rPr>
                <w:rFonts w:hAnsi="Times New Roman" w:cs="Times New Roman"/>
                <w:kern w:val="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3C3F">
            <w:pPr>
              <w:widowControl/>
              <w:adjustRightInd/>
              <w:snapToGrid/>
              <w:spacing w:line="240" w:lineRule="auto"/>
              <w:ind w:firstLine="0" w:firstLineChars="0"/>
              <w:jc w:val="left"/>
              <w:rPr>
                <w:rFonts w:hAnsi="Times New Roman" w:cs="Times New Roman"/>
                <w:kern w:val="0"/>
                <w:sz w:val="20"/>
                <w:szCs w:val="20"/>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166E">
            <w:pPr>
              <w:widowControl/>
              <w:adjustRightInd/>
              <w:snapToGrid/>
              <w:spacing w:line="240" w:lineRule="auto"/>
              <w:ind w:firstLine="0" w:firstLineChars="0"/>
              <w:jc w:val="center"/>
              <w:rPr>
                <w:rFonts w:hAnsi="Times New Roman" w:cs="Times New Roman"/>
                <w:kern w:val="0"/>
                <w:sz w:val="20"/>
                <w:szCs w:val="20"/>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2FC2">
            <w:pPr>
              <w:widowControl/>
              <w:adjustRightInd/>
              <w:snapToGrid/>
              <w:spacing w:line="240" w:lineRule="auto"/>
              <w:ind w:firstLine="0" w:firstLineChars="0"/>
              <w:jc w:val="center"/>
              <w:rPr>
                <w:rFonts w:hAnsi="Times New Roman" w:cs="Times New Roman"/>
                <w:kern w:val="0"/>
                <w:sz w:val="20"/>
                <w:szCs w:val="20"/>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10F5A">
            <w:pPr>
              <w:widowControl/>
              <w:adjustRightInd/>
              <w:snapToGrid/>
              <w:spacing w:line="240" w:lineRule="auto"/>
              <w:ind w:firstLine="0" w:firstLineChars="0"/>
              <w:jc w:val="center"/>
              <w:rPr>
                <w:rFonts w:hAnsi="Times New Roman" w:cs="Times New Roman"/>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06C7E4">
            <w:pPr>
              <w:widowControl/>
              <w:adjustRightInd/>
              <w:snapToGrid/>
              <w:spacing w:line="240" w:lineRule="auto"/>
              <w:ind w:firstLine="0" w:firstLineChars="0"/>
              <w:jc w:val="center"/>
              <w:rPr>
                <w:rFonts w:hAnsi="Times New Roman" w:cs="Times New Roman"/>
                <w:kern w:val="0"/>
                <w:sz w:val="20"/>
                <w:szCs w:val="20"/>
              </w:rPr>
            </w:pP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F214A">
            <w:pPr>
              <w:widowControl/>
              <w:adjustRightInd/>
              <w:snapToGrid/>
              <w:spacing w:line="240" w:lineRule="auto"/>
              <w:ind w:firstLine="0" w:firstLineChars="0"/>
              <w:jc w:val="center"/>
              <w:rPr>
                <w:rFonts w:hAnsi="Times New Roman" w:cs="Times New Roman"/>
                <w:kern w:val="0"/>
                <w:sz w:val="20"/>
                <w:szCs w:val="20"/>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CD4D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151510.90 </w:t>
            </w:r>
          </w:p>
        </w:tc>
      </w:tr>
      <w:tr w14:paraId="5C948607">
        <w:tblPrEx>
          <w:tblCellMar>
            <w:top w:w="0" w:type="dxa"/>
            <w:left w:w="108" w:type="dxa"/>
            <w:bottom w:w="0" w:type="dxa"/>
            <w:right w:w="108" w:type="dxa"/>
          </w:tblCellMar>
        </w:tblPrEx>
        <w:trPr>
          <w:trHeight w:val="782" w:hRule="atLeast"/>
        </w:trPr>
        <w:tc>
          <w:tcPr>
            <w:tcW w:w="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274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F964E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9003</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833B">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人工</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72057">
            <w:pPr>
              <w:widowControl/>
              <w:adjustRightInd/>
              <w:snapToGrid/>
              <w:spacing w:line="240" w:lineRule="auto"/>
              <w:ind w:firstLine="0" w:firstLineChars="0"/>
              <w:rPr>
                <w:rFonts w:cs="宋体"/>
                <w:color w:val="000000"/>
                <w:kern w:val="0"/>
                <w:sz w:val="20"/>
                <w:szCs w:val="20"/>
              </w:rPr>
            </w:pPr>
            <w:r>
              <w:rPr>
                <w:rFonts w:hint="eastAsia" w:cs="宋体"/>
                <w:color w:val="000000"/>
                <w:kern w:val="0"/>
                <w:sz w:val="20"/>
                <w:szCs w:val="20"/>
              </w:rPr>
              <w:t>h</w:t>
            </w:r>
            <w:r>
              <w:rPr>
                <w:rFonts w:hint="eastAsia" w:ascii="Segoe UI Symbol" w:hAnsi="Segoe UI Symbol" w:eastAsia="Segoe UI Symbol" w:cs="Segoe UI Symbol"/>
                <w:color w:val="000000"/>
                <w:kern w:val="0"/>
                <w:sz w:val="20"/>
                <w:szCs w:val="20"/>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5C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16.52</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821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8505.84</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58E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140516.48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A12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67F8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1686.20 </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BE4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142202.67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3AD23">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2.2%</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5D63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3128.46 </w:t>
            </w:r>
          </w:p>
        </w:tc>
        <w:tc>
          <w:tcPr>
            <w:tcW w:w="5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7757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8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2115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1453.31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0693C">
            <w:pPr>
              <w:widowControl/>
              <w:adjustRightInd/>
              <w:snapToGrid/>
              <w:spacing w:line="240" w:lineRule="auto"/>
              <w:ind w:firstLine="0" w:firstLineChars="0"/>
              <w:jc w:val="center"/>
              <w:rPr>
                <w:rFonts w:cs="宋体"/>
                <w:color w:val="000000"/>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1FD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3.22%</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3C8D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4726.46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BDE1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151510.90 </w:t>
            </w:r>
          </w:p>
        </w:tc>
      </w:tr>
      <w:tr w14:paraId="661EDCAA">
        <w:tblPrEx>
          <w:tblCellMar>
            <w:top w:w="0" w:type="dxa"/>
            <w:left w:w="108" w:type="dxa"/>
            <w:bottom w:w="0" w:type="dxa"/>
            <w:right w:w="108" w:type="dxa"/>
          </w:tblCellMar>
        </w:tblPrEx>
        <w:trPr>
          <w:trHeight w:val="675" w:hRule="atLeast"/>
        </w:trPr>
        <w:tc>
          <w:tcPr>
            <w:tcW w:w="96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69A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五</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BA69">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草种</w:t>
            </w:r>
          </w:p>
        </w:tc>
        <w:tc>
          <w:tcPr>
            <w:tcW w:w="5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426A3">
            <w:pPr>
              <w:widowControl/>
              <w:adjustRightInd/>
              <w:snapToGrid/>
              <w:spacing w:line="240" w:lineRule="auto"/>
              <w:ind w:firstLine="0" w:firstLineChars="0"/>
              <w:jc w:val="left"/>
              <w:rPr>
                <w:rFonts w:cs="宋体"/>
                <w:color w:val="000000"/>
                <w:kern w:val="0"/>
                <w:sz w:val="20"/>
                <w:szCs w:val="20"/>
              </w:rPr>
            </w:pPr>
          </w:p>
        </w:tc>
        <w:tc>
          <w:tcPr>
            <w:tcW w:w="8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B028C">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D8BB5">
            <w:pPr>
              <w:widowControl/>
              <w:adjustRightInd/>
              <w:snapToGrid/>
              <w:spacing w:line="240" w:lineRule="auto"/>
              <w:ind w:firstLine="0" w:firstLineChars="0"/>
              <w:jc w:val="center"/>
              <w:rPr>
                <w:rFonts w:hAnsi="Times New Roman" w:cs="Times New Roman"/>
                <w:kern w:val="0"/>
                <w:sz w:val="20"/>
                <w:szCs w:val="20"/>
              </w:rPr>
            </w:pP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3FE0">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032CB">
            <w:pPr>
              <w:widowControl/>
              <w:adjustRightInd/>
              <w:snapToGrid/>
              <w:spacing w:line="240" w:lineRule="auto"/>
              <w:ind w:firstLine="0" w:firstLineChars="0"/>
              <w:jc w:val="center"/>
              <w:rPr>
                <w:rFonts w:hAnsi="Times New Roman" w:cs="Times New Roman"/>
                <w:kern w:val="0"/>
                <w:sz w:val="20"/>
                <w:szCs w:val="20"/>
              </w:rPr>
            </w:pP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954FD">
            <w:pPr>
              <w:widowControl/>
              <w:adjustRightInd/>
              <w:snapToGrid/>
              <w:spacing w:line="240" w:lineRule="auto"/>
              <w:ind w:firstLine="0" w:firstLineChars="0"/>
              <w:jc w:val="center"/>
              <w:rPr>
                <w:rFonts w:hAnsi="Times New Roman" w:cs="Times New Roman"/>
                <w:kern w:val="0"/>
                <w:sz w:val="20"/>
                <w:szCs w:val="20"/>
              </w:rPr>
            </w:pP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E2D13">
            <w:pPr>
              <w:widowControl/>
              <w:adjustRightInd/>
              <w:snapToGrid/>
              <w:spacing w:line="240" w:lineRule="auto"/>
              <w:ind w:firstLine="0" w:firstLineChars="0"/>
              <w:jc w:val="center"/>
              <w:rPr>
                <w:rFonts w:hAnsi="Times New Roman" w:cs="Times New Roman"/>
                <w:kern w:val="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41076">
            <w:pPr>
              <w:widowControl/>
              <w:adjustRightInd/>
              <w:snapToGrid/>
              <w:spacing w:line="240" w:lineRule="auto"/>
              <w:ind w:firstLine="0" w:firstLineChars="0"/>
              <w:jc w:val="center"/>
              <w:rPr>
                <w:rFonts w:hAnsi="Times New Roman" w:cs="Times New Roman"/>
                <w:kern w:val="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186D03">
            <w:pPr>
              <w:widowControl/>
              <w:adjustRightInd/>
              <w:snapToGrid/>
              <w:spacing w:line="240" w:lineRule="auto"/>
              <w:ind w:firstLine="0" w:firstLineChars="0"/>
              <w:jc w:val="left"/>
              <w:rPr>
                <w:rFonts w:hAnsi="Times New Roman" w:cs="Times New Roman"/>
                <w:kern w:val="0"/>
                <w:sz w:val="20"/>
                <w:szCs w:val="20"/>
              </w:rPr>
            </w:pPr>
          </w:p>
        </w:tc>
        <w:tc>
          <w:tcPr>
            <w:tcW w:w="5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AE687">
            <w:pPr>
              <w:widowControl/>
              <w:adjustRightInd/>
              <w:snapToGrid/>
              <w:spacing w:line="240" w:lineRule="auto"/>
              <w:ind w:firstLine="0" w:firstLineChars="0"/>
              <w:jc w:val="center"/>
              <w:rPr>
                <w:rFonts w:hAnsi="Times New Roman" w:cs="Times New Roman"/>
                <w:kern w:val="0"/>
                <w:sz w:val="20"/>
                <w:szCs w:val="20"/>
              </w:rPr>
            </w:pPr>
          </w:p>
        </w:tc>
        <w:tc>
          <w:tcPr>
            <w:tcW w:w="8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0AAC18">
            <w:pPr>
              <w:widowControl/>
              <w:adjustRightInd/>
              <w:snapToGrid/>
              <w:spacing w:line="240" w:lineRule="auto"/>
              <w:ind w:firstLine="0" w:firstLineChars="0"/>
              <w:jc w:val="center"/>
              <w:rPr>
                <w:rFonts w:hAnsi="Times New Roman" w:cs="Times New Roman"/>
                <w:kern w:val="0"/>
                <w:sz w:val="20"/>
                <w:szCs w:val="20"/>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91A05">
            <w:pPr>
              <w:widowControl/>
              <w:adjustRightInd/>
              <w:snapToGrid/>
              <w:spacing w:line="240" w:lineRule="auto"/>
              <w:ind w:firstLine="0" w:firstLineChars="0"/>
              <w:jc w:val="center"/>
              <w:rPr>
                <w:rFonts w:hAnsi="Times New Roman" w:cs="Times New Roman"/>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7EAB0">
            <w:pPr>
              <w:widowControl/>
              <w:adjustRightInd/>
              <w:snapToGrid/>
              <w:spacing w:line="240" w:lineRule="auto"/>
              <w:ind w:firstLine="0" w:firstLineChars="0"/>
              <w:jc w:val="center"/>
              <w:rPr>
                <w:rFonts w:hAnsi="Times New Roman" w:cs="Times New Roman"/>
                <w:kern w:val="0"/>
                <w:sz w:val="20"/>
                <w:szCs w:val="20"/>
              </w:rPr>
            </w:pP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3369B">
            <w:pPr>
              <w:widowControl/>
              <w:adjustRightInd/>
              <w:snapToGrid/>
              <w:spacing w:line="240" w:lineRule="auto"/>
              <w:ind w:firstLine="0" w:firstLineChars="0"/>
              <w:jc w:val="center"/>
              <w:rPr>
                <w:rFonts w:hAnsi="Times New Roman" w:cs="Times New Roman"/>
                <w:kern w:val="0"/>
                <w:sz w:val="20"/>
                <w:szCs w:val="20"/>
              </w:rPr>
            </w:pP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2BBE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85500.35 </w:t>
            </w:r>
          </w:p>
        </w:tc>
      </w:tr>
      <w:tr w14:paraId="4B8E47BD">
        <w:tblPrEx>
          <w:tblCellMar>
            <w:top w:w="0" w:type="dxa"/>
            <w:left w:w="108" w:type="dxa"/>
            <w:bottom w:w="0" w:type="dxa"/>
            <w:right w:w="108" w:type="dxa"/>
          </w:tblCellMar>
        </w:tblPrEx>
        <w:trPr>
          <w:trHeight w:val="813" w:hRule="atLeast"/>
        </w:trPr>
        <w:tc>
          <w:tcPr>
            <w:tcW w:w="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4407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20B4">
            <w:pPr>
              <w:widowControl/>
              <w:adjustRightInd/>
              <w:snapToGrid/>
              <w:spacing w:line="240" w:lineRule="auto"/>
              <w:ind w:firstLine="0" w:firstLineChars="0"/>
              <w:jc w:val="center"/>
              <w:rPr>
                <w:rFonts w:cs="宋体"/>
                <w:color w:val="000000"/>
                <w:kern w:val="0"/>
                <w:sz w:val="20"/>
                <w:szCs w:val="20"/>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67B0">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草种</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C40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E2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991.2</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548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80</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F90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79296.00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5B70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BA1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951.55 </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4D0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80247.55 </w:t>
            </w:r>
          </w:p>
        </w:tc>
        <w:tc>
          <w:tcPr>
            <w:tcW w:w="5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02A789">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2.2%</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E2092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1765.45 </w:t>
            </w:r>
          </w:p>
        </w:tc>
        <w:tc>
          <w:tcPr>
            <w:tcW w:w="5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6544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8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5C986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820.13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EF151">
            <w:pPr>
              <w:widowControl/>
              <w:adjustRightInd/>
              <w:snapToGrid/>
              <w:spacing w:line="240" w:lineRule="auto"/>
              <w:ind w:firstLine="0" w:firstLineChars="0"/>
              <w:jc w:val="center"/>
              <w:rPr>
                <w:rFonts w:cs="宋体"/>
                <w:color w:val="000000"/>
                <w:kern w:val="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CAB1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3.22%</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C2BB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2667.23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67C6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85500.35 </w:t>
            </w:r>
          </w:p>
        </w:tc>
      </w:tr>
      <w:tr w14:paraId="6BBE3FAA">
        <w:tblPrEx>
          <w:tblCellMar>
            <w:top w:w="0" w:type="dxa"/>
            <w:left w:w="108" w:type="dxa"/>
            <w:bottom w:w="0" w:type="dxa"/>
            <w:right w:w="108" w:type="dxa"/>
          </w:tblCellMar>
        </w:tblPrEx>
        <w:trPr>
          <w:trHeight w:val="705" w:hRule="atLeast"/>
        </w:trPr>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6307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5EF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8C8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45D6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24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604033.16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79F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259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7248.40 </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13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611281.55 </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5E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0D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13448.19 </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C6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C9DA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6247.30 </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A1D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24056.70 </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35EA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214C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21092.09 </w:t>
            </w:r>
          </w:p>
        </w:tc>
        <w:tc>
          <w:tcPr>
            <w:tcW w:w="10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45C1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r>
    </w:tbl>
    <w:p w14:paraId="679AD059">
      <w:pPr>
        <w:rPr>
          <w:rFonts w:hAnsi="仿宋"/>
        </w:rPr>
      </w:pPr>
    </w:p>
    <w:p w14:paraId="0E57970E">
      <w:pPr>
        <w:rPr>
          <w:rFonts w:hAnsi="仿宋"/>
        </w:rPr>
      </w:pPr>
    </w:p>
    <w:p w14:paraId="2041C02E">
      <w:pPr>
        <w:rPr>
          <w:rFonts w:hAnsi="仿宋"/>
        </w:rPr>
        <w:sectPr>
          <w:pgSz w:w="16838" w:h="11906" w:orient="landscape"/>
          <w:pgMar w:top="1800" w:right="1440" w:bottom="1800" w:left="1440" w:header="851" w:footer="992" w:gutter="0"/>
          <w:cols w:space="425" w:num="1"/>
          <w:docGrid w:type="lines" w:linePitch="381" w:charSpace="0"/>
        </w:sectPr>
      </w:pPr>
    </w:p>
    <w:p w14:paraId="37A0B5C5">
      <w:pPr>
        <w:rPr>
          <w:rFonts w:hAnsi="仿宋"/>
        </w:rPr>
      </w:pPr>
    </w:p>
    <w:tbl>
      <w:tblPr>
        <w:tblStyle w:val="13"/>
        <w:tblW w:w="8295" w:type="dxa"/>
        <w:tblInd w:w="0" w:type="dxa"/>
        <w:tblLayout w:type="autofit"/>
        <w:tblCellMar>
          <w:top w:w="0" w:type="dxa"/>
          <w:left w:w="108" w:type="dxa"/>
          <w:bottom w:w="0" w:type="dxa"/>
          <w:right w:w="108" w:type="dxa"/>
        </w:tblCellMar>
      </w:tblPr>
      <w:tblGrid>
        <w:gridCol w:w="686"/>
        <w:gridCol w:w="2327"/>
        <w:gridCol w:w="2327"/>
        <w:gridCol w:w="1126"/>
        <w:gridCol w:w="1829"/>
      </w:tblGrid>
      <w:tr w14:paraId="4A85CD1D">
        <w:tblPrEx>
          <w:tblCellMar>
            <w:top w:w="0" w:type="dxa"/>
            <w:left w:w="108" w:type="dxa"/>
            <w:bottom w:w="0" w:type="dxa"/>
            <w:right w:w="108" w:type="dxa"/>
          </w:tblCellMar>
        </w:tblPrEx>
        <w:trPr>
          <w:trHeight w:val="206" w:hRule="atLeast"/>
        </w:trPr>
        <w:tc>
          <w:tcPr>
            <w:tcW w:w="8295" w:type="dxa"/>
            <w:gridSpan w:val="5"/>
            <w:tcBorders>
              <w:top w:val="nil"/>
              <w:left w:val="nil"/>
              <w:bottom w:val="nil"/>
              <w:right w:val="single" w:color="000000" w:sz="4" w:space="0"/>
            </w:tcBorders>
            <w:shd w:val="clear" w:color="auto" w:fill="auto"/>
            <w:noWrap/>
            <w:vAlign w:val="center"/>
          </w:tcPr>
          <w:p w14:paraId="1E735B64">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其他费用预算表</w:t>
            </w:r>
          </w:p>
        </w:tc>
      </w:tr>
      <w:tr w14:paraId="3EF073BC">
        <w:tblPrEx>
          <w:tblCellMar>
            <w:top w:w="0" w:type="dxa"/>
            <w:left w:w="108" w:type="dxa"/>
            <w:bottom w:w="0" w:type="dxa"/>
            <w:right w:w="108" w:type="dxa"/>
          </w:tblCellMar>
        </w:tblPrEx>
        <w:trPr>
          <w:trHeight w:val="241" w:hRule="atLeast"/>
        </w:trPr>
        <w:tc>
          <w:tcPr>
            <w:tcW w:w="8295" w:type="dxa"/>
            <w:gridSpan w:val="5"/>
            <w:tcBorders>
              <w:top w:val="nil"/>
              <w:left w:val="nil"/>
              <w:bottom w:val="nil"/>
              <w:right w:val="single" w:color="000000" w:sz="4" w:space="0"/>
            </w:tcBorders>
            <w:shd w:val="clear" w:color="auto" w:fill="auto"/>
            <w:noWrap/>
            <w:vAlign w:val="center"/>
          </w:tcPr>
          <w:p w14:paraId="0A1ABDCF">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表3</w:t>
            </w:r>
          </w:p>
        </w:tc>
      </w:tr>
      <w:tr w14:paraId="4A0AA65B">
        <w:tblPrEx>
          <w:tblCellMar>
            <w:top w:w="0" w:type="dxa"/>
            <w:left w:w="108" w:type="dxa"/>
            <w:bottom w:w="0" w:type="dxa"/>
            <w:right w:w="108" w:type="dxa"/>
          </w:tblCellMar>
        </w:tblPrEx>
        <w:trPr>
          <w:trHeight w:val="542" w:hRule="atLeast"/>
        </w:trPr>
        <w:tc>
          <w:tcPr>
            <w:tcW w:w="8295" w:type="dxa"/>
            <w:gridSpan w:val="5"/>
            <w:tcBorders>
              <w:top w:val="nil"/>
              <w:left w:val="nil"/>
              <w:bottom w:val="nil"/>
              <w:right w:val="nil"/>
            </w:tcBorders>
            <w:shd w:val="clear" w:color="auto" w:fill="auto"/>
            <w:vAlign w:val="center"/>
          </w:tcPr>
          <w:p w14:paraId="2994BC5B">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项目名称：新疆和布克赛尔县7号历史遗留采坑地质环境治理与生态修复项目</w:t>
            </w:r>
          </w:p>
        </w:tc>
      </w:tr>
      <w:tr w14:paraId="2D3B7F81">
        <w:tblPrEx>
          <w:tblCellMar>
            <w:top w:w="0" w:type="dxa"/>
            <w:left w:w="108" w:type="dxa"/>
            <w:bottom w:w="0" w:type="dxa"/>
            <w:right w:w="108" w:type="dxa"/>
          </w:tblCellMar>
        </w:tblPrEx>
        <w:trPr>
          <w:trHeight w:val="181" w:hRule="atLeast"/>
        </w:trPr>
        <w:tc>
          <w:tcPr>
            <w:tcW w:w="686" w:type="dxa"/>
            <w:tcBorders>
              <w:top w:val="nil"/>
              <w:left w:val="nil"/>
              <w:bottom w:val="nil"/>
              <w:right w:val="nil"/>
            </w:tcBorders>
            <w:shd w:val="clear" w:color="auto" w:fill="auto"/>
            <w:noWrap/>
            <w:vAlign w:val="center"/>
          </w:tcPr>
          <w:p w14:paraId="159CCCD9">
            <w:pPr>
              <w:widowControl/>
              <w:adjustRightInd/>
              <w:snapToGrid/>
              <w:spacing w:line="240" w:lineRule="auto"/>
              <w:ind w:firstLine="0" w:firstLineChars="0"/>
              <w:jc w:val="left"/>
              <w:rPr>
                <w:rFonts w:cs="宋体"/>
                <w:color w:val="000000"/>
                <w:kern w:val="0"/>
                <w:sz w:val="20"/>
                <w:szCs w:val="20"/>
              </w:rPr>
            </w:pPr>
          </w:p>
        </w:tc>
        <w:tc>
          <w:tcPr>
            <w:tcW w:w="2327" w:type="dxa"/>
            <w:tcBorders>
              <w:top w:val="nil"/>
              <w:left w:val="nil"/>
              <w:bottom w:val="nil"/>
              <w:right w:val="nil"/>
            </w:tcBorders>
            <w:shd w:val="clear" w:color="auto" w:fill="auto"/>
            <w:noWrap/>
            <w:vAlign w:val="center"/>
          </w:tcPr>
          <w:p w14:paraId="3B6B67DD">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2327" w:type="dxa"/>
            <w:tcBorders>
              <w:top w:val="nil"/>
              <w:left w:val="nil"/>
              <w:bottom w:val="nil"/>
              <w:right w:val="nil"/>
            </w:tcBorders>
            <w:shd w:val="clear" w:color="auto" w:fill="auto"/>
            <w:noWrap/>
            <w:vAlign w:val="center"/>
          </w:tcPr>
          <w:p w14:paraId="227C6A9E">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1126" w:type="dxa"/>
            <w:tcBorders>
              <w:top w:val="nil"/>
              <w:left w:val="nil"/>
              <w:bottom w:val="nil"/>
              <w:right w:val="nil"/>
            </w:tcBorders>
            <w:shd w:val="clear" w:color="auto" w:fill="auto"/>
            <w:noWrap/>
            <w:vAlign w:val="center"/>
          </w:tcPr>
          <w:p w14:paraId="1A13075E">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1826" w:type="dxa"/>
            <w:tcBorders>
              <w:top w:val="nil"/>
              <w:left w:val="nil"/>
              <w:bottom w:val="single" w:color="000000" w:sz="4" w:space="0"/>
              <w:right w:val="nil"/>
            </w:tcBorders>
            <w:shd w:val="clear" w:color="auto" w:fill="auto"/>
            <w:noWrap/>
            <w:vAlign w:val="center"/>
          </w:tcPr>
          <w:p w14:paraId="670E5E10">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金额单位：元</w:t>
            </w:r>
          </w:p>
        </w:tc>
      </w:tr>
      <w:tr w14:paraId="0A3804BC">
        <w:tblPrEx>
          <w:tblCellMar>
            <w:top w:w="0" w:type="dxa"/>
            <w:left w:w="108" w:type="dxa"/>
            <w:bottom w:w="0" w:type="dxa"/>
            <w:right w:w="108" w:type="dxa"/>
          </w:tblCellMar>
        </w:tblPrEx>
        <w:trPr>
          <w:trHeight w:val="205"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3CB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5C4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C5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工程施工费</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BB6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BF3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r>
      <w:tr w14:paraId="46E2F63C">
        <w:tblPrEx>
          <w:tblCellMar>
            <w:top w:w="0" w:type="dxa"/>
            <w:left w:w="108" w:type="dxa"/>
            <w:bottom w:w="0" w:type="dxa"/>
            <w:right w:w="108" w:type="dxa"/>
          </w:tblCellMar>
        </w:tblPrEx>
        <w:trPr>
          <w:trHeight w:val="25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A67D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01F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5C0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84C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D43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r>
      <w:tr w14:paraId="16F751B4">
        <w:tblPrEx>
          <w:tblCellMar>
            <w:top w:w="0" w:type="dxa"/>
            <w:left w:w="108" w:type="dxa"/>
            <w:bottom w:w="0" w:type="dxa"/>
            <w:right w:w="108" w:type="dxa"/>
          </w:tblCellMar>
        </w:tblPrEx>
        <w:trPr>
          <w:trHeight w:val="131"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402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1EDC7">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项目设计与预算编制费</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E98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7C4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1.00%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554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6761.26 </w:t>
            </w:r>
          </w:p>
        </w:tc>
      </w:tr>
      <w:tr w14:paraId="03E2DB21">
        <w:tblPrEx>
          <w:tblCellMar>
            <w:top w:w="0" w:type="dxa"/>
            <w:left w:w="108" w:type="dxa"/>
            <w:bottom w:w="0" w:type="dxa"/>
            <w:right w:w="108" w:type="dxa"/>
          </w:tblCellMar>
        </w:tblPrEx>
        <w:trPr>
          <w:trHeight w:val="179"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61A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4961">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工程监理费</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F68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DFF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4.50%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5D7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30425.66 </w:t>
            </w:r>
          </w:p>
        </w:tc>
      </w:tr>
      <w:tr w14:paraId="17AE5AFF">
        <w:tblPrEx>
          <w:tblCellMar>
            <w:top w:w="0" w:type="dxa"/>
            <w:left w:w="108" w:type="dxa"/>
            <w:bottom w:w="0" w:type="dxa"/>
            <w:right w:w="108" w:type="dxa"/>
          </w:tblCellMar>
        </w:tblPrEx>
        <w:trPr>
          <w:trHeight w:val="20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31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D055">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竣工验收费</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39E7">
            <w:pPr>
              <w:widowControl/>
              <w:adjustRightInd/>
              <w:snapToGrid/>
              <w:spacing w:line="240" w:lineRule="auto"/>
              <w:ind w:firstLine="0" w:firstLineChars="0"/>
              <w:jc w:val="left"/>
              <w:rPr>
                <w:rFonts w:cs="宋体"/>
                <w:color w:val="000000"/>
                <w:kern w:val="0"/>
                <w:sz w:val="20"/>
                <w:szCs w:val="20"/>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117B">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8F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9946.71 </w:t>
            </w:r>
          </w:p>
        </w:tc>
      </w:tr>
      <w:tr w14:paraId="4FE45452">
        <w:tblPrEx>
          <w:tblCellMar>
            <w:top w:w="0" w:type="dxa"/>
            <w:left w:w="108" w:type="dxa"/>
            <w:bottom w:w="0" w:type="dxa"/>
            <w:right w:w="108" w:type="dxa"/>
          </w:tblCellMar>
        </w:tblPrEx>
        <w:trPr>
          <w:trHeight w:val="389"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A19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ACC5">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决算编制与审计费</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4BAA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CEF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0.30%</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EE5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2028.38 </w:t>
            </w:r>
          </w:p>
        </w:tc>
      </w:tr>
      <w:tr w14:paraId="18A38A2C">
        <w:tblPrEx>
          <w:tblCellMar>
            <w:top w:w="0" w:type="dxa"/>
            <w:left w:w="108" w:type="dxa"/>
            <w:bottom w:w="0" w:type="dxa"/>
            <w:right w:w="108" w:type="dxa"/>
          </w:tblCellMar>
        </w:tblPrEx>
        <w:trPr>
          <w:trHeight w:val="125"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9EC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6C6C">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竣工报告编制审查费</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383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51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1.17%</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EAA9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7918.33 </w:t>
            </w:r>
          </w:p>
        </w:tc>
      </w:tr>
      <w:tr w14:paraId="375EB556">
        <w:tblPrEx>
          <w:tblCellMar>
            <w:top w:w="0" w:type="dxa"/>
            <w:left w:w="108" w:type="dxa"/>
            <w:bottom w:w="0" w:type="dxa"/>
            <w:right w:w="108" w:type="dxa"/>
          </w:tblCellMar>
        </w:tblPrEx>
        <w:trPr>
          <w:trHeight w:val="57"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849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总计</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4519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2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6CB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5D8F">
            <w:pPr>
              <w:widowControl/>
              <w:adjustRightInd/>
              <w:snapToGrid/>
              <w:spacing w:line="240" w:lineRule="auto"/>
              <w:ind w:firstLine="0" w:firstLineChars="0"/>
              <w:jc w:val="center"/>
              <w:rPr>
                <w:rFonts w:cs="宋体"/>
                <w:color w:val="000000"/>
                <w:kern w:val="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1B0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47133.63 </w:t>
            </w:r>
          </w:p>
        </w:tc>
      </w:tr>
    </w:tbl>
    <w:p w14:paraId="772A7CC7">
      <w:pPr>
        <w:rPr>
          <w:rFonts w:hAnsi="仿宋"/>
        </w:rPr>
      </w:pPr>
    </w:p>
    <w:p w14:paraId="2C060652">
      <w:pPr>
        <w:rPr>
          <w:rFonts w:hint="eastAsia" w:hAnsi="仿宋"/>
        </w:rPr>
      </w:pPr>
    </w:p>
    <w:p w14:paraId="1FD1AC59">
      <w:pPr>
        <w:rPr>
          <w:rFonts w:hint="eastAsia" w:hAnsi="仿宋"/>
        </w:rPr>
      </w:pPr>
    </w:p>
    <w:tbl>
      <w:tblPr>
        <w:tblStyle w:val="13"/>
        <w:tblW w:w="8320" w:type="dxa"/>
        <w:tblInd w:w="0" w:type="dxa"/>
        <w:tblLayout w:type="autofit"/>
        <w:tblCellMar>
          <w:top w:w="0" w:type="dxa"/>
          <w:left w:w="108" w:type="dxa"/>
          <w:bottom w:w="0" w:type="dxa"/>
          <w:right w:w="108" w:type="dxa"/>
        </w:tblCellMar>
      </w:tblPr>
      <w:tblGrid>
        <w:gridCol w:w="747"/>
        <w:gridCol w:w="2707"/>
        <w:gridCol w:w="1544"/>
        <w:gridCol w:w="880"/>
        <w:gridCol w:w="2442"/>
      </w:tblGrid>
      <w:tr w14:paraId="4B565A02">
        <w:tblPrEx>
          <w:tblCellMar>
            <w:top w:w="0" w:type="dxa"/>
            <w:left w:w="108" w:type="dxa"/>
            <w:bottom w:w="0" w:type="dxa"/>
            <w:right w:w="108" w:type="dxa"/>
          </w:tblCellMar>
        </w:tblPrEx>
        <w:trPr>
          <w:trHeight w:val="267" w:hRule="atLeast"/>
        </w:trPr>
        <w:tc>
          <w:tcPr>
            <w:tcW w:w="8320" w:type="dxa"/>
            <w:gridSpan w:val="5"/>
            <w:tcBorders>
              <w:top w:val="nil"/>
              <w:left w:val="nil"/>
              <w:bottom w:val="nil"/>
              <w:right w:val="nil"/>
            </w:tcBorders>
            <w:shd w:val="clear" w:color="auto" w:fill="auto"/>
            <w:noWrap/>
            <w:vAlign w:val="center"/>
          </w:tcPr>
          <w:p w14:paraId="15071251">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管理费用预算表</w:t>
            </w:r>
          </w:p>
        </w:tc>
      </w:tr>
      <w:tr w14:paraId="668C2098">
        <w:tblPrEx>
          <w:tblCellMar>
            <w:top w:w="0" w:type="dxa"/>
            <w:left w:w="108" w:type="dxa"/>
            <w:bottom w:w="0" w:type="dxa"/>
            <w:right w:w="108" w:type="dxa"/>
          </w:tblCellMar>
        </w:tblPrEx>
        <w:trPr>
          <w:trHeight w:val="301" w:hRule="atLeast"/>
        </w:trPr>
        <w:tc>
          <w:tcPr>
            <w:tcW w:w="747" w:type="dxa"/>
            <w:tcBorders>
              <w:top w:val="nil"/>
              <w:left w:val="nil"/>
              <w:bottom w:val="nil"/>
              <w:right w:val="nil"/>
            </w:tcBorders>
            <w:shd w:val="clear" w:color="auto" w:fill="auto"/>
            <w:noWrap/>
            <w:vAlign w:val="center"/>
          </w:tcPr>
          <w:p w14:paraId="4AC7DB7D">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表4</w:t>
            </w:r>
          </w:p>
        </w:tc>
        <w:tc>
          <w:tcPr>
            <w:tcW w:w="2707" w:type="dxa"/>
            <w:tcBorders>
              <w:top w:val="nil"/>
              <w:left w:val="nil"/>
              <w:bottom w:val="nil"/>
              <w:right w:val="nil"/>
            </w:tcBorders>
            <w:shd w:val="clear" w:color="auto" w:fill="auto"/>
            <w:noWrap/>
            <w:vAlign w:val="center"/>
          </w:tcPr>
          <w:p w14:paraId="703C1F4D">
            <w:pPr>
              <w:widowControl/>
              <w:adjustRightInd/>
              <w:snapToGrid/>
              <w:spacing w:line="240" w:lineRule="auto"/>
              <w:ind w:firstLine="0" w:firstLineChars="0"/>
              <w:jc w:val="left"/>
              <w:rPr>
                <w:rFonts w:cs="宋体"/>
                <w:color w:val="000000"/>
                <w:kern w:val="0"/>
                <w:sz w:val="20"/>
                <w:szCs w:val="20"/>
              </w:rPr>
            </w:pPr>
          </w:p>
        </w:tc>
        <w:tc>
          <w:tcPr>
            <w:tcW w:w="1544" w:type="dxa"/>
            <w:tcBorders>
              <w:top w:val="nil"/>
              <w:left w:val="nil"/>
              <w:bottom w:val="nil"/>
              <w:right w:val="nil"/>
            </w:tcBorders>
            <w:shd w:val="clear" w:color="auto" w:fill="auto"/>
            <w:noWrap/>
            <w:vAlign w:val="center"/>
          </w:tcPr>
          <w:p w14:paraId="4D89C575">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880" w:type="dxa"/>
            <w:tcBorders>
              <w:top w:val="nil"/>
              <w:left w:val="nil"/>
              <w:bottom w:val="nil"/>
              <w:right w:val="nil"/>
            </w:tcBorders>
            <w:shd w:val="clear" w:color="auto" w:fill="auto"/>
            <w:noWrap/>
            <w:vAlign w:val="center"/>
          </w:tcPr>
          <w:p w14:paraId="3968F657">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2441" w:type="dxa"/>
            <w:tcBorders>
              <w:top w:val="nil"/>
              <w:left w:val="nil"/>
              <w:bottom w:val="nil"/>
              <w:right w:val="nil"/>
            </w:tcBorders>
            <w:shd w:val="clear" w:color="auto" w:fill="auto"/>
            <w:noWrap/>
            <w:vAlign w:val="center"/>
          </w:tcPr>
          <w:p w14:paraId="0ABF4379">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190D084E">
        <w:tblPrEx>
          <w:tblCellMar>
            <w:top w:w="0" w:type="dxa"/>
            <w:left w:w="108" w:type="dxa"/>
            <w:bottom w:w="0" w:type="dxa"/>
            <w:right w:w="108" w:type="dxa"/>
          </w:tblCellMar>
        </w:tblPrEx>
        <w:trPr>
          <w:trHeight w:val="520" w:hRule="atLeast"/>
        </w:trPr>
        <w:tc>
          <w:tcPr>
            <w:tcW w:w="8320" w:type="dxa"/>
            <w:gridSpan w:val="5"/>
            <w:tcBorders>
              <w:top w:val="nil"/>
              <w:left w:val="nil"/>
              <w:bottom w:val="nil"/>
              <w:right w:val="nil"/>
            </w:tcBorders>
            <w:shd w:val="clear" w:color="auto" w:fill="auto"/>
            <w:vAlign w:val="center"/>
          </w:tcPr>
          <w:p w14:paraId="28CB446E">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项目名称：新疆和布克赛尔县7号历史遗留采坑地质环境治理与生态修复项目</w:t>
            </w:r>
          </w:p>
        </w:tc>
      </w:tr>
      <w:tr w14:paraId="0BF46A0D">
        <w:tblPrEx>
          <w:tblCellMar>
            <w:top w:w="0" w:type="dxa"/>
            <w:left w:w="108" w:type="dxa"/>
            <w:bottom w:w="0" w:type="dxa"/>
            <w:right w:w="108" w:type="dxa"/>
          </w:tblCellMar>
        </w:tblPrEx>
        <w:trPr>
          <w:trHeight w:val="257" w:hRule="atLeast"/>
        </w:trPr>
        <w:tc>
          <w:tcPr>
            <w:tcW w:w="747" w:type="dxa"/>
            <w:tcBorders>
              <w:top w:val="nil"/>
              <w:left w:val="nil"/>
              <w:bottom w:val="nil"/>
              <w:right w:val="nil"/>
            </w:tcBorders>
            <w:shd w:val="clear" w:color="auto" w:fill="auto"/>
            <w:noWrap/>
            <w:vAlign w:val="center"/>
          </w:tcPr>
          <w:p w14:paraId="240451BC">
            <w:pPr>
              <w:widowControl/>
              <w:adjustRightInd/>
              <w:snapToGrid/>
              <w:spacing w:line="240" w:lineRule="auto"/>
              <w:ind w:firstLine="0" w:firstLineChars="0"/>
              <w:jc w:val="left"/>
              <w:rPr>
                <w:rFonts w:cs="宋体"/>
                <w:color w:val="000000"/>
                <w:kern w:val="0"/>
                <w:sz w:val="20"/>
                <w:szCs w:val="20"/>
              </w:rPr>
            </w:pPr>
          </w:p>
        </w:tc>
        <w:tc>
          <w:tcPr>
            <w:tcW w:w="2707" w:type="dxa"/>
            <w:tcBorders>
              <w:top w:val="nil"/>
              <w:left w:val="nil"/>
              <w:bottom w:val="nil"/>
              <w:right w:val="nil"/>
            </w:tcBorders>
            <w:shd w:val="clear" w:color="auto" w:fill="auto"/>
            <w:noWrap/>
            <w:vAlign w:val="center"/>
          </w:tcPr>
          <w:p w14:paraId="54C05204">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1544" w:type="dxa"/>
            <w:tcBorders>
              <w:top w:val="nil"/>
              <w:left w:val="nil"/>
              <w:bottom w:val="nil"/>
              <w:right w:val="nil"/>
            </w:tcBorders>
            <w:shd w:val="clear" w:color="auto" w:fill="auto"/>
            <w:noWrap/>
            <w:vAlign w:val="center"/>
          </w:tcPr>
          <w:p w14:paraId="7117508C">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880" w:type="dxa"/>
            <w:tcBorders>
              <w:top w:val="nil"/>
              <w:left w:val="nil"/>
              <w:bottom w:val="nil"/>
              <w:right w:val="nil"/>
            </w:tcBorders>
            <w:shd w:val="clear" w:color="auto" w:fill="auto"/>
            <w:noWrap/>
            <w:vAlign w:val="center"/>
          </w:tcPr>
          <w:p w14:paraId="2679F6AF">
            <w:pPr>
              <w:widowControl/>
              <w:adjustRightInd/>
              <w:snapToGrid/>
              <w:spacing w:line="240" w:lineRule="auto"/>
              <w:ind w:firstLine="0" w:firstLineChars="0"/>
              <w:jc w:val="left"/>
              <w:rPr>
                <w:rFonts w:ascii="Times New Roman" w:hAnsi="Times New Roman" w:eastAsia="Times New Roman" w:cs="Times New Roman"/>
                <w:kern w:val="0"/>
                <w:sz w:val="20"/>
                <w:szCs w:val="20"/>
              </w:rPr>
            </w:pPr>
          </w:p>
        </w:tc>
        <w:tc>
          <w:tcPr>
            <w:tcW w:w="2441" w:type="dxa"/>
            <w:tcBorders>
              <w:top w:val="nil"/>
              <w:left w:val="nil"/>
              <w:bottom w:val="single" w:color="000000" w:sz="4" w:space="0"/>
              <w:right w:val="nil"/>
            </w:tcBorders>
            <w:shd w:val="clear" w:color="auto" w:fill="auto"/>
            <w:noWrap/>
            <w:vAlign w:val="center"/>
          </w:tcPr>
          <w:p w14:paraId="2FF959BD">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金额单位：元</w:t>
            </w:r>
          </w:p>
        </w:tc>
      </w:tr>
      <w:tr w14:paraId="4B0CBD66">
        <w:tblPrEx>
          <w:tblCellMar>
            <w:top w:w="0" w:type="dxa"/>
            <w:left w:w="108" w:type="dxa"/>
            <w:bottom w:w="0" w:type="dxa"/>
            <w:right w:w="108" w:type="dxa"/>
          </w:tblCellMar>
        </w:tblPrEx>
        <w:trPr>
          <w:trHeight w:val="131"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525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2429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B3A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费用总额</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35B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费率%</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A0AC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管理费用合计</w:t>
            </w:r>
          </w:p>
        </w:tc>
      </w:tr>
      <w:tr w14:paraId="14D158D4">
        <w:tblPrEx>
          <w:tblCellMar>
            <w:top w:w="0" w:type="dxa"/>
            <w:left w:w="108" w:type="dxa"/>
            <w:bottom w:w="0" w:type="dxa"/>
            <w:right w:w="108" w:type="dxa"/>
          </w:tblCellMar>
        </w:tblPrEx>
        <w:trPr>
          <w:trHeight w:val="307"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DFF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F3F3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88F6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 </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157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 </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3E6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 </w:t>
            </w:r>
          </w:p>
        </w:tc>
      </w:tr>
      <w:tr w14:paraId="5ABBE125">
        <w:tblPrEx>
          <w:tblCellMar>
            <w:top w:w="0" w:type="dxa"/>
            <w:left w:w="108" w:type="dxa"/>
            <w:bottom w:w="0" w:type="dxa"/>
            <w:right w:w="108" w:type="dxa"/>
          </w:tblCellMar>
        </w:tblPrEx>
        <w:trPr>
          <w:trHeight w:val="52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7B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70F4">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工程施工费</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0C2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676125.83 </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AB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256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13522.52 </w:t>
            </w:r>
          </w:p>
        </w:tc>
      </w:tr>
      <w:tr w14:paraId="611FD2BE">
        <w:tblPrEx>
          <w:tblCellMar>
            <w:top w:w="0" w:type="dxa"/>
            <w:left w:w="108" w:type="dxa"/>
            <w:bottom w:w="0" w:type="dxa"/>
            <w:right w:w="108" w:type="dxa"/>
          </w:tblCellMar>
        </w:tblPrEx>
        <w:trPr>
          <w:trHeight w:val="52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248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31F2">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设计与预算编制费</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082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6761.26 </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8D2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0606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135.23 </w:t>
            </w:r>
          </w:p>
        </w:tc>
      </w:tr>
      <w:tr w14:paraId="0A078D14">
        <w:tblPrEx>
          <w:tblCellMar>
            <w:top w:w="0" w:type="dxa"/>
            <w:left w:w="108" w:type="dxa"/>
            <w:bottom w:w="0" w:type="dxa"/>
            <w:right w:w="108" w:type="dxa"/>
          </w:tblCellMar>
        </w:tblPrEx>
        <w:trPr>
          <w:trHeight w:val="52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B61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5061">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工程监理费</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7448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30425.66 </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883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CD7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608.51 </w:t>
            </w:r>
          </w:p>
        </w:tc>
      </w:tr>
      <w:tr w14:paraId="39B26236">
        <w:tblPrEx>
          <w:tblCellMar>
            <w:top w:w="0" w:type="dxa"/>
            <w:left w:w="108" w:type="dxa"/>
            <w:bottom w:w="0" w:type="dxa"/>
            <w:right w:w="108" w:type="dxa"/>
          </w:tblCellMar>
        </w:tblPrEx>
        <w:trPr>
          <w:trHeight w:val="52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DDE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2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E19E">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竣工验收费</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654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9946.71 </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50C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D938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198.93 </w:t>
            </w:r>
          </w:p>
        </w:tc>
      </w:tr>
      <w:tr w14:paraId="15D1DB00">
        <w:tblPrEx>
          <w:tblCellMar>
            <w:top w:w="0" w:type="dxa"/>
            <w:left w:w="108" w:type="dxa"/>
            <w:bottom w:w="0" w:type="dxa"/>
            <w:right w:w="108" w:type="dxa"/>
          </w:tblCellMar>
        </w:tblPrEx>
        <w:trPr>
          <w:trHeight w:val="520" w:hRule="atLeast"/>
        </w:trPr>
        <w:tc>
          <w:tcPr>
            <w:tcW w:w="34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E914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总计</w:t>
            </w:r>
          </w:p>
        </w:tc>
        <w:tc>
          <w:tcPr>
            <w:tcW w:w="1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90F1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4B0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8CCB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14465.19 </w:t>
            </w:r>
          </w:p>
        </w:tc>
      </w:tr>
    </w:tbl>
    <w:p w14:paraId="0A95F667">
      <w:pPr>
        <w:rPr>
          <w:rFonts w:hAnsi="仿宋"/>
        </w:rPr>
      </w:pPr>
    </w:p>
    <w:p w14:paraId="6F2B29FF">
      <w:pPr>
        <w:rPr>
          <w:rFonts w:hAnsi="仿宋"/>
        </w:rPr>
      </w:pPr>
    </w:p>
    <w:p w14:paraId="4F33EF7B">
      <w:pPr>
        <w:rPr>
          <w:rFonts w:hAnsi="仿宋"/>
        </w:rPr>
      </w:pPr>
    </w:p>
    <w:p w14:paraId="293FFA94">
      <w:pPr>
        <w:rPr>
          <w:rFonts w:hint="eastAsia" w:hAnsi="仿宋"/>
        </w:rPr>
      </w:pPr>
    </w:p>
    <w:tbl>
      <w:tblPr>
        <w:tblStyle w:val="13"/>
        <w:tblW w:w="8546" w:type="dxa"/>
        <w:tblInd w:w="0" w:type="dxa"/>
        <w:tblLayout w:type="autofit"/>
        <w:tblCellMar>
          <w:top w:w="0" w:type="dxa"/>
          <w:left w:w="108" w:type="dxa"/>
          <w:bottom w:w="0" w:type="dxa"/>
          <w:right w:w="108" w:type="dxa"/>
        </w:tblCellMar>
      </w:tblPr>
      <w:tblGrid>
        <w:gridCol w:w="1418"/>
        <w:gridCol w:w="2410"/>
        <w:gridCol w:w="1275"/>
        <w:gridCol w:w="993"/>
        <w:gridCol w:w="1275"/>
        <w:gridCol w:w="1175"/>
      </w:tblGrid>
      <w:tr w14:paraId="343D55B7">
        <w:tblPrEx>
          <w:tblCellMar>
            <w:top w:w="0" w:type="dxa"/>
            <w:left w:w="108" w:type="dxa"/>
            <w:bottom w:w="0" w:type="dxa"/>
            <w:right w:w="108" w:type="dxa"/>
          </w:tblCellMar>
        </w:tblPrEx>
        <w:trPr>
          <w:trHeight w:val="284" w:hRule="atLeast"/>
        </w:trPr>
        <w:tc>
          <w:tcPr>
            <w:tcW w:w="8546" w:type="dxa"/>
            <w:gridSpan w:val="6"/>
            <w:tcBorders>
              <w:top w:val="nil"/>
              <w:left w:val="nil"/>
              <w:bottom w:val="nil"/>
              <w:right w:val="nil"/>
            </w:tcBorders>
            <w:shd w:val="clear" w:color="auto" w:fill="FFFFFF"/>
            <w:noWrap/>
            <w:vAlign w:val="center"/>
          </w:tcPr>
          <w:p w14:paraId="042255AC">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直接工程费单价表</w:t>
            </w:r>
          </w:p>
        </w:tc>
      </w:tr>
      <w:tr w14:paraId="6CC144F7">
        <w:tblPrEx>
          <w:tblCellMar>
            <w:top w:w="0" w:type="dxa"/>
            <w:left w:w="108" w:type="dxa"/>
            <w:bottom w:w="0" w:type="dxa"/>
            <w:right w:w="108" w:type="dxa"/>
          </w:tblCellMar>
        </w:tblPrEx>
        <w:trPr>
          <w:trHeight w:val="142" w:hRule="atLeast"/>
        </w:trPr>
        <w:tc>
          <w:tcPr>
            <w:tcW w:w="1418" w:type="dxa"/>
            <w:tcBorders>
              <w:top w:val="nil"/>
              <w:left w:val="nil"/>
              <w:bottom w:val="nil"/>
              <w:right w:val="nil"/>
            </w:tcBorders>
            <w:shd w:val="clear" w:color="auto" w:fill="FFFFFF"/>
            <w:noWrap/>
            <w:vAlign w:val="center"/>
          </w:tcPr>
          <w:p w14:paraId="300E2A18">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附表1-1</w:t>
            </w:r>
          </w:p>
        </w:tc>
        <w:tc>
          <w:tcPr>
            <w:tcW w:w="2410" w:type="dxa"/>
            <w:tcBorders>
              <w:top w:val="nil"/>
              <w:left w:val="nil"/>
              <w:bottom w:val="nil"/>
              <w:right w:val="nil"/>
            </w:tcBorders>
            <w:shd w:val="clear" w:color="auto" w:fill="FFFFFF"/>
            <w:noWrap/>
            <w:vAlign w:val="center"/>
          </w:tcPr>
          <w:p w14:paraId="2A71A1AD">
            <w:pPr>
              <w:widowControl/>
              <w:adjustRightInd/>
              <w:snapToGrid/>
              <w:spacing w:line="240" w:lineRule="auto"/>
              <w:ind w:firstLine="0" w:firstLineChars="0"/>
              <w:jc w:val="left"/>
              <w:rPr>
                <w:rFonts w:cs="宋体"/>
                <w:color w:val="000000"/>
                <w:kern w:val="0"/>
                <w:sz w:val="20"/>
                <w:szCs w:val="20"/>
              </w:rPr>
            </w:pPr>
          </w:p>
        </w:tc>
        <w:tc>
          <w:tcPr>
            <w:tcW w:w="1275" w:type="dxa"/>
            <w:tcBorders>
              <w:top w:val="nil"/>
              <w:left w:val="nil"/>
              <w:bottom w:val="nil"/>
              <w:right w:val="nil"/>
            </w:tcBorders>
            <w:shd w:val="clear" w:color="auto" w:fill="FFFFFF"/>
            <w:noWrap/>
            <w:vAlign w:val="center"/>
          </w:tcPr>
          <w:p w14:paraId="64544436">
            <w:pPr>
              <w:widowControl/>
              <w:adjustRightInd/>
              <w:snapToGrid/>
              <w:spacing w:line="240" w:lineRule="auto"/>
              <w:ind w:firstLine="0" w:firstLineChars="0"/>
              <w:jc w:val="center"/>
              <w:rPr>
                <w:rFonts w:hAnsi="Times New Roman" w:cs="Times New Roman"/>
                <w:kern w:val="0"/>
                <w:sz w:val="20"/>
                <w:szCs w:val="20"/>
              </w:rPr>
            </w:pPr>
          </w:p>
        </w:tc>
        <w:tc>
          <w:tcPr>
            <w:tcW w:w="993" w:type="dxa"/>
            <w:tcBorders>
              <w:top w:val="nil"/>
              <w:left w:val="nil"/>
              <w:bottom w:val="nil"/>
              <w:right w:val="nil"/>
            </w:tcBorders>
            <w:shd w:val="clear" w:color="auto" w:fill="FFFFFF"/>
            <w:noWrap/>
            <w:vAlign w:val="center"/>
          </w:tcPr>
          <w:p w14:paraId="0FC9A7B5">
            <w:pPr>
              <w:widowControl/>
              <w:adjustRightInd/>
              <w:snapToGrid/>
              <w:spacing w:line="240" w:lineRule="auto"/>
              <w:ind w:firstLine="0" w:firstLineChars="0"/>
              <w:jc w:val="center"/>
              <w:rPr>
                <w:rFonts w:hAnsi="Times New Roman" w:cs="Times New Roman"/>
                <w:kern w:val="0"/>
                <w:sz w:val="20"/>
                <w:szCs w:val="20"/>
              </w:rPr>
            </w:pPr>
          </w:p>
        </w:tc>
        <w:tc>
          <w:tcPr>
            <w:tcW w:w="1275" w:type="dxa"/>
            <w:tcBorders>
              <w:top w:val="nil"/>
              <w:left w:val="nil"/>
              <w:bottom w:val="nil"/>
              <w:right w:val="nil"/>
            </w:tcBorders>
            <w:shd w:val="clear" w:color="auto" w:fill="FFFFFF"/>
            <w:noWrap/>
            <w:vAlign w:val="center"/>
          </w:tcPr>
          <w:p w14:paraId="4633874C">
            <w:pPr>
              <w:widowControl/>
              <w:adjustRightInd/>
              <w:snapToGrid/>
              <w:spacing w:line="240" w:lineRule="auto"/>
              <w:ind w:firstLine="0" w:firstLineChars="0"/>
              <w:jc w:val="center"/>
              <w:rPr>
                <w:rFonts w:hAnsi="Times New Roman" w:cs="Times New Roman"/>
                <w:kern w:val="0"/>
                <w:sz w:val="20"/>
                <w:szCs w:val="20"/>
              </w:rPr>
            </w:pPr>
          </w:p>
        </w:tc>
        <w:tc>
          <w:tcPr>
            <w:tcW w:w="1175" w:type="dxa"/>
            <w:tcBorders>
              <w:top w:val="nil"/>
              <w:left w:val="nil"/>
              <w:bottom w:val="nil"/>
              <w:right w:val="nil"/>
            </w:tcBorders>
            <w:shd w:val="clear" w:color="auto" w:fill="FFFFFF"/>
            <w:noWrap/>
            <w:vAlign w:val="center"/>
          </w:tcPr>
          <w:p w14:paraId="41DA3F75">
            <w:pPr>
              <w:widowControl/>
              <w:adjustRightInd/>
              <w:snapToGrid/>
              <w:spacing w:line="240" w:lineRule="auto"/>
              <w:ind w:firstLine="0" w:firstLineChars="0"/>
              <w:jc w:val="center"/>
              <w:rPr>
                <w:rFonts w:hAnsi="Times New Roman" w:cs="Times New Roman"/>
                <w:kern w:val="0"/>
                <w:sz w:val="20"/>
                <w:szCs w:val="20"/>
              </w:rPr>
            </w:pPr>
          </w:p>
        </w:tc>
      </w:tr>
      <w:tr w14:paraId="7F48E7E9">
        <w:tblPrEx>
          <w:tblCellMar>
            <w:top w:w="0" w:type="dxa"/>
            <w:left w:w="108" w:type="dxa"/>
            <w:bottom w:w="0" w:type="dxa"/>
            <w:right w:w="108" w:type="dxa"/>
          </w:tblCellMar>
        </w:tblPrEx>
        <w:trPr>
          <w:trHeight w:val="518" w:hRule="atLeast"/>
        </w:trPr>
        <w:tc>
          <w:tcPr>
            <w:tcW w:w="3828" w:type="dxa"/>
            <w:gridSpan w:val="2"/>
            <w:tcBorders>
              <w:top w:val="nil"/>
              <w:left w:val="nil"/>
              <w:bottom w:val="nil"/>
              <w:right w:val="nil"/>
            </w:tcBorders>
            <w:shd w:val="clear" w:color="auto" w:fill="FFFFFF"/>
            <w:noWrap/>
            <w:vAlign w:val="center"/>
          </w:tcPr>
          <w:p w14:paraId="370DE597">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定额编号：10317     （132kw推土机推土，三类土，运距70-80m）</w:t>
            </w:r>
          </w:p>
        </w:tc>
        <w:tc>
          <w:tcPr>
            <w:tcW w:w="1275" w:type="dxa"/>
            <w:tcBorders>
              <w:top w:val="nil"/>
              <w:left w:val="nil"/>
              <w:bottom w:val="nil"/>
              <w:right w:val="nil"/>
            </w:tcBorders>
            <w:shd w:val="clear" w:color="auto" w:fill="FFFFFF"/>
            <w:vAlign w:val="center"/>
          </w:tcPr>
          <w:p w14:paraId="2B2DA52D">
            <w:pPr>
              <w:widowControl/>
              <w:adjustRightInd/>
              <w:snapToGrid/>
              <w:spacing w:line="240" w:lineRule="auto"/>
              <w:ind w:firstLine="0" w:firstLineChars="0"/>
              <w:jc w:val="left"/>
              <w:rPr>
                <w:rFonts w:hAnsi="Times New Roman" w:cs="Times New Roman"/>
                <w:kern w:val="0"/>
                <w:sz w:val="20"/>
                <w:szCs w:val="20"/>
              </w:rPr>
            </w:pPr>
          </w:p>
        </w:tc>
        <w:tc>
          <w:tcPr>
            <w:tcW w:w="993" w:type="dxa"/>
            <w:tcBorders>
              <w:top w:val="nil"/>
              <w:left w:val="nil"/>
              <w:bottom w:val="nil"/>
              <w:right w:val="nil"/>
            </w:tcBorders>
            <w:shd w:val="clear" w:color="auto" w:fill="FFFFFF"/>
            <w:vAlign w:val="center"/>
          </w:tcPr>
          <w:p w14:paraId="11268897">
            <w:pPr>
              <w:widowControl/>
              <w:adjustRightInd/>
              <w:snapToGrid/>
              <w:spacing w:line="240" w:lineRule="auto"/>
              <w:ind w:firstLine="0" w:firstLineChars="0"/>
              <w:jc w:val="left"/>
              <w:rPr>
                <w:rFonts w:hAnsi="Times New Roman" w:cs="Times New Roman"/>
                <w:kern w:val="0"/>
                <w:sz w:val="20"/>
                <w:szCs w:val="20"/>
              </w:rPr>
            </w:pPr>
          </w:p>
        </w:tc>
        <w:tc>
          <w:tcPr>
            <w:tcW w:w="1275" w:type="dxa"/>
            <w:tcBorders>
              <w:top w:val="nil"/>
              <w:left w:val="nil"/>
              <w:bottom w:val="nil"/>
              <w:right w:val="nil"/>
            </w:tcBorders>
            <w:shd w:val="clear" w:color="auto" w:fill="FFFFFF"/>
            <w:noWrap/>
            <w:vAlign w:val="center"/>
          </w:tcPr>
          <w:p w14:paraId="0E52C926">
            <w:pPr>
              <w:widowControl/>
              <w:adjustRightInd/>
              <w:snapToGrid/>
              <w:spacing w:line="240" w:lineRule="auto"/>
              <w:ind w:firstLine="0" w:firstLineChars="0"/>
              <w:jc w:val="left"/>
              <w:rPr>
                <w:rFonts w:hAnsi="Times New Roman" w:cs="Times New Roman"/>
                <w:kern w:val="0"/>
                <w:sz w:val="20"/>
                <w:szCs w:val="20"/>
              </w:rPr>
            </w:pPr>
          </w:p>
        </w:tc>
        <w:tc>
          <w:tcPr>
            <w:tcW w:w="1175" w:type="dxa"/>
            <w:tcBorders>
              <w:top w:val="nil"/>
              <w:left w:val="nil"/>
              <w:bottom w:val="nil"/>
              <w:right w:val="nil"/>
            </w:tcBorders>
            <w:shd w:val="clear" w:color="auto" w:fill="FFFFFF"/>
            <w:noWrap/>
            <w:vAlign w:val="center"/>
          </w:tcPr>
          <w:p w14:paraId="18FB6470">
            <w:pPr>
              <w:widowControl/>
              <w:adjustRightInd/>
              <w:snapToGrid/>
              <w:spacing w:line="240" w:lineRule="auto"/>
              <w:ind w:firstLine="0" w:firstLineChars="0"/>
              <w:jc w:val="left"/>
              <w:rPr>
                <w:rFonts w:hAnsi="Times New Roman" w:cs="Times New Roman"/>
                <w:kern w:val="0"/>
                <w:sz w:val="20"/>
                <w:szCs w:val="20"/>
              </w:rPr>
            </w:pPr>
          </w:p>
        </w:tc>
      </w:tr>
      <w:tr w14:paraId="555A4C91">
        <w:tblPrEx>
          <w:tblCellMar>
            <w:top w:w="0" w:type="dxa"/>
            <w:left w:w="108" w:type="dxa"/>
            <w:bottom w:w="0" w:type="dxa"/>
            <w:right w:w="108" w:type="dxa"/>
          </w:tblCellMar>
        </w:tblPrEx>
        <w:trPr>
          <w:trHeight w:val="242" w:hRule="atLeast"/>
        </w:trPr>
        <w:tc>
          <w:tcPr>
            <w:tcW w:w="6096" w:type="dxa"/>
            <w:gridSpan w:val="4"/>
            <w:tcBorders>
              <w:top w:val="nil"/>
              <w:left w:val="nil"/>
              <w:bottom w:val="single" w:color="000000" w:sz="4" w:space="0"/>
              <w:right w:val="nil"/>
            </w:tcBorders>
            <w:shd w:val="clear" w:color="auto" w:fill="FFFFFF"/>
            <w:vAlign w:val="center"/>
          </w:tcPr>
          <w:p w14:paraId="2AF5E3EF">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工作内容：推松、运送、卸除、拖平、空回</w:t>
            </w:r>
          </w:p>
        </w:tc>
        <w:tc>
          <w:tcPr>
            <w:tcW w:w="2450" w:type="dxa"/>
            <w:gridSpan w:val="2"/>
            <w:tcBorders>
              <w:top w:val="nil"/>
              <w:left w:val="nil"/>
              <w:bottom w:val="single" w:color="000000" w:sz="4" w:space="0"/>
              <w:right w:val="nil"/>
            </w:tcBorders>
            <w:shd w:val="clear" w:color="auto" w:fill="FFFFFF"/>
            <w:noWrap/>
            <w:vAlign w:val="center"/>
          </w:tcPr>
          <w:p w14:paraId="36361F44">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单位：100m</w:t>
            </w:r>
            <w:r>
              <w:rPr>
                <w:rFonts w:hint="eastAsia" w:cs="宋体"/>
                <w:color w:val="000000"/>
                <w:kern w:val="0"/>
                <w:sz w:val="20"/>
                <w:szCs w:val="20"/>
                <w:vertAlign w:val="superscript"/>
              </w:rPr>
              <w:t>3</w:t>
            </w:r>
          </w:p>
        </w:tc>
      </w:tr>
      <w:tr w14:paraId="7446F702">
        <w:tblPrEx>
          <w:tblCellMar>
            <w:top w:w="0" w:type="dxa"/>
            <w:left w:w="108" w:type="dxa"/>
            <w:bottom w:w="0" w:type="dxa"/>
            <w:right w:w="108" w:type="dxa"/>
          </w:tblCellMar>
        </w:tblPrEx>
        <w:trPr>
          <w:trHeight w:val="265"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840D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CAD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项目名称</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644A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59A7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34CC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单价(元)</w:t>
            </w: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532B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3CFFC46D">
        <w:tblPrEx>
          <w:tblCellMar>
            <w:top w:w="0" w:type="dxa"/>
            <w:left w:w="108" w:type="dxa"/>
            <w:bottom w:w="0" w:type="dxa"/>
            <w:right w:w="108" w:type="dxa"/>
          </w:tblCellMar>
        </w:tblPrEx>
        <w:trPr>
          <w:trHeight w:val="171"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EFC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69A5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人工费</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4C24CA">
            <w:pPr>
              <w:widowControl/>
              <w:adjustRightInd/>
              <w:snapToGrid/>
              <w:spacing w:line="240" w:lineRule="auto"/>
              <w:ind w:firstLine="0" w:firstLineChars="0"/>
              <w:jc w:val="center"/>
              <w:rPr>
                <w:rFonts w:cs="宋体"/>
                <w:color w:val="000000"/>
                <w:kern w:val="0"/>
                <w:sz w:val="20"/>
                <w:szCs w:val="20"/>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C5F22">
            <w:pPr>
              <w:widowControl/>
              <w:adjustRightInd/>
              <w:snapToGrid/>
              <w:spacing w:line="240" w:lineRule="auto"/>
              <w:ind w:firstLine="0" w:firstLineChars="0"/>
              <w:jc w:val="center"/>
              <w:rPr>
                <w:rFonts w:hAnsi="Times New Roman" w:cs="Times New Roman"/>
                <w:kern w:val="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A57AB">
            <w:pPr>
              <w:widowControl/>
              <w:adjustRightInd/>
              <w:snapToGrid/>
              <w:spacing w:line="240" w:lineRule="auto"/>
              <w:ind w:firstLine="0" w:firstLineChars="0"/>
              <w:jc w:val="center"/>
              <w:rPr>
                <w:rFonts w:hAnsi="Times New Roman" w:cs="Times New Roman"/>
                <w:kern w:val="0"/>
                <w:sz w:val="20"/>
                <w:szCs w:val="20"/>
              </w:rPr>
            </w:pP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21D6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24.41 </w:t>
            </w:r>
          </w:p>
        </w:tc>
      </w:tr>
      <w:tr w14:paraId="56A0F24A">
        <w:tblPrEx>
          <w:tblCellMar>
            <w:top w:w="0" w:type="dxa"/>
            <w:left w:w="108" w:type="dxa"/>
            <w:bottom w:w="0" w:type="dxa"/>
            <w:right w:w="108" w:type="dxa"/>
          </w:tblCellMar>
        </w:tblPrEx>
        <w:trPr>
          <w:trHeight w:val="57"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F5DA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93B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甲类工</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5763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58D2D">
            <w:pPr>
              <w:widowControl/>
              <w:adjustRightInd/>
              <w:snapToGrid/>
              <w:spacing w:line="240" w:lineRule="auto"/>
              <w:ind w:firstLine="0" w:firstLineChars="0"/>
              <w:jc w:val="center"/>
              <w:rPr>
                <w:rFonts w:cs="宋体"/>
                <w:color w:val="000000"/>
                <w:kern w:val="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5C5B9">
            <w:pPr>
              <w:widowControl/>
              <w:adjustRightInd/>
              <w:snapToGrid/>
              <w:spacing w:line="240" w:lineRule="auto"/>
              <w:ind w:firstLine="0" w:firstLineChars="0"/>
              <w:jc w:val="center"/>
              <w:rPr>
                <w:rFonts w:hAnsi="Times New Roman" w:cs="Times New Roman"/>
                <w:kern w:val="0"/>
                <w:sz w:val="20"/>
                <w:szCs w:val="20"/>
              </w:rPr>
            </w:pP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F23E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0.00 </w:t>
            </w:r>
          </w:p>
        </w:tc>
      </w:tr>
      <w:tr w14:paraId="146E731E">
        <w:tblPrEx>
          <w:tblCellMar>
            <w:top w:w="0" w:type="dxa"/>
            <w:left w:w="108" w:type="dxa"/>
            <w:bottom w:w="0" w:type="dxa"/>
            <w:right w:w="108" w:type="dxa"/>
          </w:tblCellMar>
        </w:tblPrEx>
        <w:trPr>
          <w:trHeight w:val="97"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BE2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DAF6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乙类工</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FE1E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A5E0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0.50 </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6A0E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48.82 </w:t>
            </w: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71CF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24.41 </w:t>
            </w:r>
          </w:p>
        </w:tc>
      </w:tr>
      <w:tr w14:paraId="05ADE312">
        <w:tblPrEx>
          <w:tblCellMar>
            <w:top w:w="0" w:type="dxa"/>
            <w:left w:w="108" w:type="dxa"/>
            <w:bottom w:w="0" w:type="dxa"/>
            <w:right w:w="108" w:type="dxa"/>
          </w:tblCellMar>
        </w:tblPrEx>
        <w:trPr>
          <w:trHeight w:val="273"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2FB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35D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材料费</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05DC98">
            <w:pPr>
              <w:widowControl/>
              <w:adjustRightInd/>
              <w:snapToGrid/>
              <w:spacing w:line="240" w:lineRule="auto"/>
              <w:ind w:firstLine="0" w:firstLineChars="0"/>
              <w:jc w:val="center"/>
              <w:rPr>
                <w:rFonts w:cs="宋体"/>
                <w:color w:val="000000"/>
                <w:kern w:val="0"/>
                <w:sz w:val="20"/>
                <w:szCs w:val="20"/>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C8C62">
            <w:pPr>
              <w:widowControl/>
              <w:adjustRightInd/>
              <w:snapToGrid/>
              <w:spacing w:line="240" w:lineRule="auto"/>
              <w:ind w:firstLine="0" w:firstLineChars="0"/>
              <w:jc w:val="center"/>
              <w:rPr>
                <w:rFonts w:hAnsi="Times New Roman" w:cs="Times New Roman"/>
                <w:kern w:val="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26B48">
            <w:pPr>
              <w:widowControl/>
              <w:adjustRightInd/>
              <w:snapToGrid/>
              <w:spacing w:line="240" w:lineRule="auto"/>
              <w:ind w:firstLine="0" w:firstLineChars="0"/>
              <w:jc w:val="center"/>
              <w:rPr>
                <w:rFonts w:hAnsi="Times New Roman" w:cs="Times New Roman"/>
                <w:kern w:val="0"/>
                <w:sz w:val="20"/>
                <w:szCs w:val="20"/>
              </w:rPr>
            </w:pP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AA7A3">
            <w:pPr>
              <w:widowControl/>
              <w:adjustRightInd/>
              <w:snapToGrid/>
              <w:spacing w:line="240" w:lineRule="auto"/>
              <w:ind w:firstLine="0" w:firstLineChars="0"/>
              <w:jc w:val="center"/>
              <w:rPr>
                <w:rFonts w:hAnsi="Times New Roman" w:cs="Times New Roman"/>
                <w:kern w:val="0"/>
                <w:sz w:val="20"/>
                <w:szCs w:val="20"/>
              </w:rPr>
            </w:pPr>
          </w:p>
        </w:tc>
      </w:tr>
      <w:tr w14:paraId="17DBD366">
        <w:tblPrEx>
          <w:tblCellMar>
            <w:top w:w="0" w:type="dxa"/>
            <w:left w:w="108" w:type="dxa"/>
            <w:bottom w:w="0" w:type="dxa"/>
            <w:right w:w="108" w:type="dxa"/>
          </w:tblCellMar>
        </w:tblPrEx>
        <w:trPr>
          <w:trHeight w:val="57"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CEE9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B35B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机械费</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93D65">
            <w:pPr>
              <w:widowControl/>
              <w:adjustRightInd/>
              <w:snapToGrid/>
              <w:spacing w:line="240" w:lineRule="auto"/>
              <w:ind w:firstLine="0" w:firstLineChars="0"/>
              <w:jc w:val="center"/>
              <w:rPr>
                <w:rFonts w:cs="宋体"/>
                <w:color w:val="000000"/>
                <w:kern w:val="0"/>
                <w:sz w:val="20"/>
                <w:szCs w:val="20"/>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52C47">
            <w:pPr>
              <w:widowControl/>
              <w:adjustRightInd/>
              <w:snapToGrid/>
              <w:spacing w:line="240" w:lineRule="auto"/>
              <w:ind w:firstLine="0" w:firstLineChars="0"/>
              <w:jc w:val="center"/>
              <w:rPr>
                <w:rFonts w:hAnsi="Times New Roman" w:cs="Times New Roman"/>
                <w:kern w:val="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05883">
            <w:pPr>
              <w:widowControl/>
              <w:adjustRightInd/>
              <w:snapToGrid/>
              <w:spacing w:line="240" w:lineRule="auto"/>
              <w:ind w:firstLine="0" w:firstLineChars="0"/>
              <w:jc w:val="center"/>
              <w:rPr>
                <w:rFonts w:hAnsi="Times New Roman" w:cs="Times New Roman"/>
                <w:kern w:val="0"/>
                <w:sz w:val="20"/>
                <w:szCs w:val="20"/>
              </w:rPr>
            </w:pP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086B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346.09 </w:t>
            </w:r>
          </w:p>
        </w:tc>
      </w:tr>
      <w:tr w14:paraId="1B9F488A">
        <w:tblPrEx>
          <w:tblCellMar>
            <w:top w:w="0" w:type="dxa"/>
            <w:left w:w="108" w:type="dxa"/>
            <w:bottom w:w="0" w:type="dxa"/>
            <w:right w:w="108" w:type="dxa"/>
          </w:tblCellMar>
        </w:tblPrEx>
        <w:trPr>
          <w:trHeight w:val="199"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9B22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3F0D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推土机132kw</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C035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台班</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8C4C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0.34 </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295C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1030.03 </w:t>
            </w: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8108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346.09 </w:t>
            </w:r>
          </w:p>
        </w:tc>
      </w:tr>
      <w:tr w14:paraId="47A3B614">
        <w:tblPrEx>
          <w:tblCellMar>
            <w:top w:w="0" w:type="dxa"/>
            <w:left w:w="108" w:type="dxa"/>
            <w:bottom w:w="0" w:type="dxa"/>
            <w:right w:w="108" w:type="dxa"/>
          </w:tblCellMar>
        </w:tblPrEx>
        <w:trPr>
          <w:trHeight w:val="77"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E97C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13EE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其他费用</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6F1B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3021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5.00 </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52B8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3.70 </w:t>
            </w: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4238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18.52 </w:t>
            </w:r>
          </w:p>
        </w:tc>
      </w:tr>
      <w:tr w14:paraId="23BAC310">
        <w:tblPrEx>
          <w:tblCellMar>
            <w:top w:w="0" w:type="dxa"/>
            <w:left w:w="108" w:type="dxa"/>
            <w:bottom w:w="0" w:type="dxa"/>
            <w:right w:w="108" w:type="dxa"/>
          </w:tblCellMar>
        </w:tblPrEx>
        <w:trPr>
          <w:trHeight w:val="57" w:hRule="atLeast"/>
        </w:trPr>
        <w:tc>
          <w:tcPr>
            <w:tcW w:w="14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8CF46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2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91D2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F9C2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69F9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4733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1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5C4C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389.02 </w:t>
            </w:r>
          </w:p>
        </w:tc>
      </w:tr>
    </w:tbl>
    <w:p w14:paraId="0289FB35">
      <w:pPr>
        <w:rPr>
          <w:rFonts w:hAnsi="仿宋"/>
        </w:rPr>
      </w:pPr>
    </w:p>
    <w:p w14:paraId="2094AAF3">
      <w:pPr>
        <w:rPr>
          <w:rFonts w:hAnsi="仿宋"/>
        </w:rPr>
      </w:pPr>
    </w:p>
    <w:p w14:paraId="4C6CC7A7">
      <w:pPr>
        <w:rPr>
          <w:rFonts w:hint="eastAsia" w:hAnsi="仿宋"/>
        </w:rPr>
      </w:pPr>
    </w:p>
    <w:tbl>
      <w:tblPr>
        <w:tblStyle w:val="13"/>
        <w:tblW w:w="5000" w:type="pct"/>
        <w:tblInd w:w="0" w:type="dxa"/>
        <w:tblLayout w:type="fixed"/>
        <w:tblCellMar>
          <w:top w:w="0" w:type="dxa"/>
          <w:left w:w="108" w:type="dxa"/>
          <w:bottom w:w="0" w:type="dxa"/>
          <w:right w:w="108" w:type="dxa"/>
        </w:tblCellMar>
      </w:tblPr>
      <w:tblGrid>
        <w:gridCol w:w="1287"/>
        <w:gridCol w:w="2361"/>
        <w:gridCol w:w="1025"/>
        <w:gridCol w:w="1143"/>
        <w:gridCol w:w="1272"/>
        <w:gridCol w:w="1218"/>
      </w:tblGrid>
      <w:tr w14:paraId="1B5E8C7B">
        <w:tblPrEx>
          <w:tblCellMar>
            <w:top w:w="0" w:type="dxa"/>
            <w:left w:w="108" w:type="dxa"/>
            <w:bottom w:w="0" w:type="dxa"/>
            <w:right w:w="108" w:type="dxa"/>
          </w:tblCellMar>
        </w:tblPrEx>
        <w:trPr>
          <w:trHeight w:val="67" w:hRule="atLeast"/>
        </w:trPr>
        <w:tc>
          <w:tcPr>
            <w:tcW w:w="5000" w:type="pct"/>
            <w:gridSpan w:val="6"/>
            <w:tcBorders>
              <w:top w:val="nil"/>
              <w:left w:val="nil"/>
              <w:bottom w:val="nil"/>
              <w:right w:val="nil"/>
            </w:tcBorders>
            <w:shd w:val="clear" w:color="auto" w:fill="FFFFFF"/>
            <w:noWrap/>
            <w:vAlign w:val="center"/>
          </w:tcPr>
          <w:p w14:paraId="4F7A215B">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直接工程费单价表</w:t>
            </w:r>
          </w:p>
        </w:tc>
      </w:tr>
      <w:tr w14:paraId="407DAC47">
        <w:tblPrEx>
          <w:tblCellMar>
            <w:top w:w="0" w:type="dxa"/>
            <w:left w:w="108" w:type="dxa"/>
            <w:bottom w:w="0" w:type="dxa"/>
            <w:right w:w="108" w:type="dxa"/>
          </w:tblCellMar>
        </w:tblPrEx>
        <w:trPr>
          <w:trHeight w:val="240" w:hRule="atLeast"/>
        </w:trPr>
        <w:tc>
          <w:tcPr>
            <w:tcW w:w="775" w:type="pct"/>
            <w:tcBorders>
              <w:top w:val="nil"/>
              <w:left w:val="nil"/>
              <w:bottom w:val="nil"/>
              <w:right w:val="nil"/>
            </w:tcBorders>
            <w:shd w:val="clear" w:color="auto" w:fill="FFFFFF"/>
            <w:noWrap/>
            <w:vAlign w:val="center"/>
          </w:tcPr>
          <w:p w14:paraId="15401E28">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附表1-2</w:t>
            </w:r>
          </w:p>
        </w:tc>
        <w:tc>
          <w:tcPr>
            <w:tcW w:w="1421" w:type="pct"/>
            <w:tcBorders>
              <w:top w:val="nil"/>
              <w:left w:val="nil"/>
              <w:bottom w:val="nil"/>
              <w:right w:val="nil"/>
            </w:tcBorders>
            <w:shd w:val="clear" w:color="auto" w:fill="FFFFFF"/>
            <w:noWrap/>
            <w:vAlign w:val="center"/>
          </w:tcPr>
          <w:p w14:paraId="57D1A558">
            <w:pPr>
              <w:widowControl/>
              <w:adjustRightInd/>
              <w:snapToGrid/>
              <w:spacing w:line="240" w:lineRule="auto"/>
              <w:ind w:firstLine="0" w:firstLineChars="0"/>
              <w:jc w:val="left"/>
              <w:rPr>
                <w:rFonts w:cs="宋体"/>
                <w:color w:val="000000"/>
                <w:kern w:val="0"/>
                <w:sz w:val="20"/>
                <w:szCs w:val="20"/>
              </w:rPr>
            </w:pPr>
          </w:p>
        </w:tc>
        <w:tc>
          <w:tcPr>
            <w:tcW w:w="617" w:type="pct"/>
            <w:tcBorders>
              <w:top w:val="nil"/>
              <w:left w:val="nil"/>
              <w:bottom w:val="nil"/>
              <w:right w:val="nil"/>
            </w:tcBorders>
            <w:shd w:val="clear" w:color="auto" w:fill="FFFFFF"/>
            <w:noWrap/>
            <w:vAlign w:val="center"/>
          </w:tcPr>
          <w:p w14:paraId="20C0FF61">
            <w:pPr>
              <w:widowControl/>
              <w:adjustRightInd/>
              <w:snapToGrid/>
              <w:spacing w:line="240" w:lineRule="auto"/>
              <w:ind w:firstLine="0" w:firstLineChars="0"/>
              <w:jc w:val="center"/>
              <w:rPr>
                <w:rFonts w:hAnsi="Times New Roman" w:cs="Times New Roman"/>
                <w:kern w:val="0"/>
                <w:sz w:val="20"/>
                <w:szCs w:val="20"/>
              </w:rPr>
            </w:pPr>
          </w:p>
        </w:tc>
        <w:tc>
          <w:tcPr>
            <w:tcW w:w="688" w:type="pct"/>
            <w:tcBorders>
              <w:top w:val="nil"/>
              <w:left w:val="nil"/>
              <w:bottom w:val="nil"/>
              <w:right w:val="nil"/>
            </w:tcBorders>
            <w:shd w:val="clear" w:color="auto" w:fill="FFFFFF"/>
            <w:noWrap/>
            <w:vAlign w:val="center"/>
          </w:tcPr>
          <w:p w14:paraId="271200FC">
            <w:pPr>
              <w:widowControl/>
              <w:adjustRightInd/>
              <w:snapToGrid/>
              <w:spacing w:line="240" w:lineRule="auto"/>
              <w:ind w:firstLine="0" w:firstLineChars="0"/>
              <w:jc w:val="center"/>
              <w:rPr>
                <w:rFonts w:hAnsi="Times New Roman" w:cs="Times New Roman"/>
                <w:kern w:val="0"/>
                <w:sz w:val="20"/>
                <w:szCs w:val="20"/>
              </w:rPr>
            </w:pPr>
          </w:p>
        </w:tc>
        <w:tc>
          <w:tcPr>
            <w:tcW w:w="766" w:type="pct"/>
            <w:tcBorders>
              <w:top w:val="nil"/>
              <w:left w:val="nil"/>
              <w:bottom w:val="nil"/>
              <w:right w:val="nil"/>
            </w:tcBorders>
            <w:shd w:val="clear" w:color="auto" w:fill="FFFFFF"/>
            <w:noWrap/>
            <w:vAlign w:val="center"/>
          </w:tcPr>
          <w:p w14:paraId="78BC87BA">
            <w:pPr>
              <w:widowControl/>
              <w:adjustRightInd/>
              <w:snapToGrid/>
              <w:spacing w:line="240" w:lineRule="auto"/>
              <w:ind w:firstLine="0" w:firstLineChars="0"/>
              <w:jc w:val="center"/>
              <w:rPr>
                <w:rFonts w:hAnsi="Times New Roman" w:cs="Times New Roman"/>
                <w:kern w:val="0"/>
                <w:sz w:val="20"/>
                <w:szCs w:val="20"/>
              </w:rPr>
            </w:pPr>
          </w:p>
        </w:tc>
        <w:tc>
          <w:tcPr>
            <w:tcW w:w="733" w:type="pct"/>
            <w:tcBorders>
              <w:top w:val="nil"/>
              <w:left w:val="nil"/>
              <w:bottom w:val="nil"/>
              <w:right w:val="nil"/>
            </w:tcBorders>
            <w:shd w:val="clear" w:color="auto" w:fill="FFFFFF"/>
            <w:noWrap/>
            <w:vAlign w:val="center"/>
          </w:tcPr>
          <w:p w14:paraId="73AFF602">
            <w:pPr>
              <w:widowControl/>
              <w:adjustRightInd/>
              <w:snapToGrid/>
              <w:spacing w:line="240" w:lineRule="auto"/>
              <w:ind w:firstLine="0" w:firstLineChars="0"/>
              <w:jc w:val="center"/>
              <w:rPr>
                <w:rFonts w:hAnsi="Times New Roman" w:cs="Times New Roman"/>
                <w:kern w:val="0"/>
                <w:sz w:val="20"/>
                <w:szCs w:val="20"/>
              </w:rPr>
            </w:pPr>
          </w:p>
        </w:tc>
      </w:tr>
      <w:tr w14:paraId="79F98FC9">
        <w:tblPrEx>
          <w:tblCellMar>
            <w:top w:w="0" w:type="dxa"/>
            <w:left w:w="108" w:type="dxa"/>
            <w:bottom w:w="0" w:type="dxa"/>
            <w:right w:w="108" w:type="dxa"/>
          </w:tblCellMar>
        </w:tblPrEx>
        <w:trPr>
          <w:trHeight w:val="302" w:hRule="atLeast"/>
        </w:trPr>
        <w:tc>
          <w:tcPr>
            <w:tcW w:w="4267" w:type="pct"/>
            <w:gridSpan w:val="5"/>
            <w:tcBorders>
              <w:top w:val="nil"/>
              <w:left w:val="nil"/>
              <w:bottom w:val="nil"/>
              <w:right w:val="nil"/>
            </w:tcBorders>
            <w:shd w:val="clear" w:color="auto" w:fill="FFFFFF"/>
            <w:noWrap/>
            <w:vAlign w:val="center"/>
          </w:tcPr>
          <w:p w14:paraId="3046FBE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定额编号：10242（2m</w:t>
            </w:r>
            <w:r>
              <w:rPr>
                <w:rFonts w:hint="eastAsia" w:cs="宋体"/>
                <w:color w:val="000000"/>
                <w:kern w:val="0"/>
                <w:sz w:val="20"/>
                <w:szCs w:val="20"/>
                <w:vertAlign w:val="superscript"/>
              </w:rPr>
              <w:t>3</w:t>
            </w:r>
            <w:r>
              <w:rPr>
                <w:rFonts w:hint="eastAsia" w:cs="宋体"/>
                <w:color w:val="000000"/>
                <w:kern w:val="0"/>
                <w:sz w:val="20"/>
                <w:szCs w:val="20"/>
              </w:rPr>
              <w:t>挖掘机挖装20t自卸汽车运，三类土，运距0-0.5km）</w:t>
            </w:r>
          </w:p>
        </w:tc>
        <w:tc>
          <w:tcPr>
            <w:tcW w:w="733" w:type="pct"/>
            <w:tcBorders>
              <w:top w:val="nil"/>
              <w:left w:val="nil"/>
              <w:bottom w:val="nil"/>
              <w:right w:val="nil"/>
            </w:tcBorders>
            <w:shd w:val="clear" w:color="auto" w:fill="FFFFFF"/>
            <w:noWrap/>
            <w:vAlign w:val="center"/>
          </w:tcPr>
          <w:p w14:paraId="2E39C9A5">
            <w:pPr>
              <w:widowControl/>
              <w:adjustRightInd/>
              <w:snapToGrid/>
              <w:spacing w:line="240" w:lineRule="auto"/>
              <w:ind w:firstLine="0" w:firstLineChars="0"/>
              <w:jc w:val="center"/>
              <w:rPr>
                <w:rFonts w:cs="宋体"/>
                <w:color w:val="000000"/>
                <w:kern w:val="0"/>
                <w:sz w:val="20"/>
                <w:szCs w:val="20"/>
              </w:rPr>
            </w:pPr>
          </w:p>
        </w:tc>
      </w:tr>
      <w:tr w14:paraId="78819EFD">
        <w:tblPrEx>
          <w:tblCellMar>
            <w:top w:w="0" w:type="dxa"/>
            <w:left w:w="108" w:type="dxa"/>
            <w:bottom w:w="0" w:type="dxa"/>
            <w:right w:w="108" w:type="dxa"/>
          </w:tblCellMar>
        </w:tblPrEx>
        <w:trPr>
          <w:trHeight w:val="193" w:hRule="atLeast"/>
        </w:trPr>
        <w:tc>
          <w:tcPr>
            <w:tcW w:w="3501" w:type="pct"/>
            <w:gridSpan w:val="4"/>
            <w:tcBorders>
              <w:top w:val="nil"/>
              <w:left w:val="nil"/>
              <w:bottom w:val="single" w:color="000000" w:sz="4" w:space="0"/>
              <w:right w:val="nil"/>
            </w:tcBorders>
            <w:shd w:val="clear" w:color="auto" w:fill="FFFFFF"/>
            <w:vAlign w:val="center"/>
          </w:tcPr>
          <w:p w14:paraId="760E11D8">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工作内容：挖装、运输、卸除、空回</w:t>
            </w:r>
          </w:p>
        </w:tc>
        <w:tc>
          <w:tcPr>
            <w:tcW w:w="1499" w:type="pct"/>
            <w:gridSpan w:val="2"/>
            <w:tcBorders>
              <w:top w:val="nil"/>
              <w:left w:val="nil"/>
              <w:bottom w:val="single" w:color="000000" w:sz="4" w:space="0"/>
              <w:right w:val="nil"/>
            </w:tcBorders>
            <w:shd w:val="clear" w:color="auto" w:fill="FFFFFF"/>
            <w:noWrap/>
            <w:vAlign w:val="center"/>
          </w:tcPr>
          <w:p w14:paraId="14CF872E">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单位：100m</w:t>
            </w:r>
            <w:r>
              <w:rPr>
                <w:rFonts w:hint="eastAsia" w:cs="宋体"/>
                <w:color w:val="000000"/>
                <w:kern w:val="0"/>
                <w:sz w:val="20"/>
                <w:szCs w:val="20"/>
                <w:vertAlign w:val="superscript"/>
              </w:rPr>
              <w:t>3</w:t>
            </w:r>
          </w:p>
        </w:tc>
      </w:tr>
      <w:tr w14:paraId="2D58F306">
        <w:tblPrEx>
          <w:tblCellMar>
            <w:top w:w="0" w:type="dxa"/>
            <w:left w:w="108" w:type="dxa"/>
            <w:bottom w:w="0" w:type="dxa"/>
            <w:right w:w="108" w:type="dxa"/>
          </w:tblCellMar>
        </w:tblPrEx>
        <w:trPr>
          <w:trHeight w:val="231"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D415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80F3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项目名称</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71FE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0900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1461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单价(元)</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AAB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11A42518">
        <w:tblPrEx>
          <w:tblCellMar>
            <w:top w:w="0" w:type="dxa"/>
            <w:left w:w="108" w:type="dxa"/>
            <w:bottom w:w="0" w:type="dxa"/>
            <w:right w:w="108" w:type="dxa"/>
          </w:tblCellMar>
        </w:tblPrEx>
        <w:trPr>
          <w:trHeight w:val="123"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00B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C547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人工费</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16605">
            <w:pPr>
              <w:widowControl/>
              <w:adjustRightInd/>
              <w:snapToGrid/>
              <w:spacing w:line="240" w:lineRule="auto"/>
              <w:ind w:firstLine="0" w:firstLineChars="0"/>
              <w:jc w:val="center"/>
              <w:rPr>
                <w:rFonts w:cs="宋体"/>
                <w:color w:val="000000"/>
                <w:kern w:val="0"/>
                <w:sz w:val="20"/>
                <w:szCs w:val="20"/>
              </w:rPr>
            </w:pP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B346">
            <w:pPr>
              <w:widowControl/>
              <w:adjustRightInd/>
              <w:snapToGrid/>
              <w:spacing w:line="240" w:lineRule="auto"/>
              <w:ind w:firstLine="0" w:firstLineChars="0"/>
              <w:jc w:val="center"/>
              <w:rPr>
                <w:rFonts w:hAnsi="Times New Roman" w:cs="Times New Roman"/>
                <w:kern w:val="0"/>
                <w:sz w:val="20"/>
                <w:szCs w:val="20"/>
              </w:rPr>
            </w:pP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135CF">
            <w:pPr>
              <w:widowControl/>
              <w:adjustRightInd/>
              <w:snapToGrid/>
              <w:spacing w:line="240" w:lineRule="auto"/>
              <w:ind w:firstLine="0" w:firstLineChars="0"/>
              <w:jc w:val="center"/>
              <w:rPr>
                <w:rFonts w:hAnsi="Times New Roman" w:cs="Times New Roman"/>
                <w:kern w:val="0"/>
                <w:sz w:val="20"/>
                <w:szCs w:val="20"/>
              </w:rPr>
            </w:pP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A149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39.05 </w:t>
            </w:r>
          </w:p>
        </w:tc>
      </w:tr>
      <w:tr w14:paraId="29370015">
        <w:tblPrEx>
          <w:tblCellMar>
            <w:top w:w="0" w:type="dxa"/>
            <w:left w:w="108" w:type="dxa"/>
            <w:bottom w:w="0" w:type="dxa"/>
            <w:right w:w="108" w:type="dxa"/>
          </w:tblCellMar>
        </w:tblPrEx>
        <w:trPr>
          <w:trHeight w:val="157"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FCD7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9BCC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甲类工</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BC56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0F995">
            <w:pPr>
              <w:widowControl/>
              <w:adjustRightInd/>
              <w:snapToGrid/>
              <w:spacing w:line="240" w:lineRule="auto"/>
              <w:ind w:firstLine="0" w:firstLineChars="0"/>
              <w:jc w:val="center"/>
              <w:rPr>
                <w:rFonts w:cs="宋体"/>
                <w:color w:val="000000"/>
                <w:kern w:val="0"/>
                <w:sz w:val="20"/>
                <w:szCs w:val="20"/>
              </w:rPr>
            </w:pP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38898">
            <w:pPr>
              <w:widowControl/>
              <w:adjustRightInd/>
              <w:snapToGrid/>
              <w:spacing w:line="240" w:lineRule="auto"/>
              <w:ind w:firstLine="0" w:firstLineChars="0"/>
              <w:jc w:val="center"/>
              <w:rPr>
                <w:rFonts w:hAnsi="Times New Roman" w:cs="Times New Roman"/>
                <w:kern w:val="0"/>
                <w:sz w:val="20"/>
                <w:szCs w:val="20"/>
              </w:rPr>
            </w:pP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C034B">
            <w:pPr>
              <w:widowControl/>
              <w:adjustRightInd/>
              <w:snapToGrid/>
              <w:spacing w:line="240" w:lineRule="auto"/>
              <w:ind w:firstLine="0" w:firstLineChars="0"/>
              <w:jc w:val="center"/>
              <w:rPr>
                <w:rFonts w:hAnsi="Times New Roman" w:cs="Times New Roman"/>
                <w:kern w:val="0"/>
                <w:sz w:val="20"/>
                <w:szCs w:val="20"/>
              </w:rPr>
            </w:pPr>
          </w:p>
        </w:tc>
      </w:tr>
      <w:tr w14:paraId="4C17006D">
        <w:tblPrEx>
          <w:tblCellMar>
            <w:top w:w="0" w:type="dxa"/>
            <w:left w:w="108" w:type="dxa"/>
            <w:bottom w:w="0" w:type="dxa"/>
            <w:right w:w="108" w:type="dxa"/>
          </w:tblCellMar>
        </w:tblPrEx>
        <w:trPr>
          <w:trHeight w:val="191"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AE31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6014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乙类工</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BF58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73C1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0.80 </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94E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48.82 </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1898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39.05 </w:t>
            </w:r>
          </w:p>
        </w:tc>
      </w:tr>
      <w:tr w14:paraId="511D1819">
        <w:tblPrEx>
          <w:tblCellMar>
            <w:top w:w="0" w:type="dxa"/>
            <w:left w:w="108" w:type="dxa"/>
            <w:bottom w:w="0" w:type="dxa"/>
            <w:right w:w="108" w:type="dxa"/>
          </w:tblCellMar>
        </w:tblPrEx>
        <w:trPr>
          <w:trHeight w:val="225"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8286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2798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材料费</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C9A17">
            <w:pPr>
              <w:widowControl/>
              <w:adjustRightInd/>
              <w:snapToGrid/>
              <w:spacing w:line="240" w:lineRule="auto"/>
              <w:ind w:firstLine="0" w:firstLineChars="0"/>
              <w:jc w:val="center"/>
              <w:rPr>
                <w:rFonts w:cs="宋体"/>
                <w:color w:val="000000"/>
                <w:kern w:val="0"/>
                <w:sz w:val="20"/>
                <w:szCs w:val="20"/>
              </w:rPr>
            </w:pP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035BB">
            <w:pPr>
              <w:widowControl/>
              <w:adjustRightInd/>
              <w:snapToGrid/>
              <w:spacing w:line="240" w:lineRule="auto"/>
              <w:ind w:firstLine="0" w:firstLineChars="0"/>
              <w:jc w:val="center"/>
              <w:rPr>
                <w:rFonts w:hAnsi="Times New Roman" w:cs="Times New Roman"/>
                <w:kern w:val="0"/>
                <w:sz w:val="20"/>
                <w:szCs w:val="20"/>
              </w:rPr>
            </w:pP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A1B75">
            <w:pPr>
              <w:widowControl/>
              <w:adjustRightInd/>
              <w:snapToGrid/>
              <w:spacing w:line="240" w:lineRule="auto"/>
              <w:ind w:firstLine="0" w:firstLineChars="0"/>
              <w:jc w:val="center"/>
              <w:rPr>
                <w:rFonts w:hAnsi="Times New Roman" w:cs="Times New Roman"/>
                <w:kern w:val="0"/>
                <w:sz w:val="20"/>
                <w:szCs w:val="20"/>
              </w:rPr>
            </w:pP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C06C9">
            <w:pPr>
              <w:widowControl/>
              <w:adjustRightInd/>
              <w:snapToGrid/>
              <w:spacing w:line="240" w:lineRule="auto"/>
              <w:ind w:firstLine="0" w:firstLineChars="0"/>
              <w:jc w:val="center"/>
              <w:rPr>
                <w:rFonts w:hAnsi="Times New Roman" w:cs="Times New Roman"/>
                <w:kern w:val="0"/>
                <w:sz w:val="20"/>
                <w:szCs w:val="20"/>
              </w:rPr>
            </w:pPr>
          </w:p>
        </w:tc>
      </w:tr>
      <w:tr w14:paraId="58D4E9D8">
        <w:tblPrEx>
          <w:tblCellMar>
            <w:top w:w="0" w:type="dxa"/>
            <w:left w:w="108" w:type="dxa"/>
            <w:bottom w:w="0" w:type="dxa"/>
            <w:right w:w="108" w:type="dxa"/>
          </w:tblCellMar>
        </w:tblPrEx>
        <w:trPr>
          <w:trHeight w:val="259"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2511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CFF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机械费</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525F3">
            <w:pPr>
              <w:widowControl/>
              <w:adjustRightInd/>
              <w:snapToGrid/>
              <w:spacing w:line="240" w:lineRule="auto"/>
              <w:ind w:firstLine="0" w:firstLineChars="0"/>
              <w:jc w:val="center"/>
              <w:rPr>
                <w:rFonts w:cs="宋体"/>
                <w:color w:val="000000"/>
                <w:kern w:val="0"/>
                <w:sz w:val="20"/>
                <w:szCs w:val="20"/>
              </w:rPr>
            </w:pP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DD0B0">
            <w:pPr>
              <w:widowControl/>
              <w:adjustRightInd/>
              <w:snapToGrid/>
              <w:spacing w:line="240" w:lineRule="auto"/>
              <w:ind w:firstLine="0" w:firstLineChars="0"/>
              <w:jc w:val="center"/>
              <w:rPr>
                <w:rFonts w:hAnsi="Times New Roman" w:cs="Times New Roman"/>
                <w:kern w:val="0"/>
                <w:sz w:val="20"/>
                <w:szCs w:val="20"/>
              </w:rPr>
            </w:pP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BE20D">
            <w:pPr>
              <w:widowControl/>
              <w:adjustRightInd/>
              <w:snapToGrid/>
              <w:spacing w:line="240" w:lineRule="auto"/>
              <w:ind w:firstLine="0" w:firstLineChars="0"/>
              <w:jc w:val="center"/>
              <w:rPr>
                <w:rFonts w:hAnsi="Times New Roman" w:cs="Times New Roman"/>
                <w:kern w:val="0"/>
                <w:sz w:val="20"/>
                <w:szCs w:val="20"/>
              </w:rPr>
            </w:pP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BFF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365.30 </w:t>
            </w:r>
          </w:p>
        </w:tc>
      </w:tr>
      <w:tr w14:paraId="195BE5E5">
        <w:tblPrEx>
          <w:tblCellMar>
            <w:top w:w="0" w:type="dxa"/>
            <w:left w:w="108" w:type="dxa"/>
            <w:bottom w:w="0" w:type="dxa"/>
            <w:right w:w="108" w:type="dxa"/>
          </w:tblCellMar>
        </w:tblPrEx>
        <w:trPr>
          <w:trHeight w:val="293"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BE5F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3625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挖掘机2m</w:t>
            </w:r>
            <w:r>
              <w:rPr>
                <w:rFonts w:hint="eastAsia" w:cs="宋体"/>
                <w:color w:val="000000"/>
                <w:kern w:val="0"/>
                <w:sz w:val="20"/>
                <w:szCs w:val="20"/>
                <w:vertAlign w:val="superscript"/>
              </w:rPr>
              <w:t>3</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19E5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台班</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555D7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0.08 </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00FA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1375.52 </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5369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103.16 </w:t>
            </w:r>
          </w:p>
        </w:tc>
      </w:tr>
      <w:tr w14:paraId="703CDF61">
        <w:tblPrEx>
          <w:tblCellMar>
            <w:top w:w="0" w:type="dxa"/>
            <w:left w:w="108" w:type="dxa"/>
            <w:bottom w:w="0" w:type="dxa"/>
            <w:right w:w="108" w:type="dxa"/>
          </w:tblCellMar>
        </w:tblPrEx>
        <w:trPr>
          <w:trHeight w:val="327"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F4E0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0E8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推土机59kw</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E5D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台班</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C91B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0.06 </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EC11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273.46 </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3792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15.04 </w:t>
            </w:r>
          </w:p>
        </w:tc>
      </w:tr>
      <w:tr w14:paraId="7BA4764C">
        <w:tblPrEx>
          <w:tblCellMar>
            <w:top w:w="0" w:type="dxa"/>
            <w:left w:w="108" w:type="dxa"/>
            <w:bottom w:w="0" w:type="dxa"/>
            <w:right w:w="108" w:type="dxa"/>
          </w:tblCellMar>
        </w:tblPrEx>
        <w:trPr>
          <w:trHeight w:val="219"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28E3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799B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自卸汽车 20t</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00BD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台班</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1330B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0.25 </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0AE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988.38 </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CE68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247.10 </w:t>
            </w:r>
          </w:p>
        </w:tc>
      </w:tr>
      <w:tr w14:paraId="494D78F9">
        <w:tblPrEx>
          <w:tblCellMar>
            <w:top w:w="0" w:type="dxa"/>
            <w:left w:w="108" w:type="dxa"/>
            <w:bottom w:w="0" w:type="dxa"/>
            <w:right w:w="108" w:type="dxa"/>
          </w:tblCellMar>
        </w:tblPrEx>
        <w:trPr>
          <w:trHeight w:val="253"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5B36B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F2D7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其他费用</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8F71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AF06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0.50 </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5F0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4.04 </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5B1B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2.02 </w:t>
            </w:r>
          </w:p>
        </w:tc>
      </w:tr>
      <w:tr w14:paraId="108BD95A">
        <w:tblPrEx>
          <w:tblCellMar>
            <w:top w:w="0" w:type="dxa"/>
            <w:left w:w="108" w:type="dxa"/>
            <w:bottom w:w="0" w:type="dxa"/>
            <w:right w:w="108" w:type="dxa"/>
          </w:tblCellMar>
        </w:tblPrEx>
        <w:trPr>
          <w:trHeight w:val="145" w:hRule="atLeast"/>
        </w:trPr>
        <w:tc>
          <w:tcPr>
            <w:tcW w:w="7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6CDE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14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63B3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6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0B539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6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2F6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7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07E8F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0280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406.38 </w:t>
            </w:r>
          </w:p>
        </w:tc>
      </w:tr>
    </w:tbl>
    <w:p w14:paraId="39CF6F3A">
      <w:pPr>
        <w:rPr>
          <w:rFonts w:hint="eastAsia" w:hAnsi="仿宋"/>
        </w:rPr>
      </w:pPr>
    </w:p>
    <w:tbl>
      <w:tblPr>
        <w:tblStyle w:val="13"/>
        <w:tblW w:w="8398" w:type="dxa"/>
        <w:tblInd w:w="0" w:type="dxa"/>
        <w:tblLayout w:type="autofit"/>
        <w:tblCellMar>
          <w:top w:w="0" w:type="dxa"/>
          <w:left w:w="108" w:type="dxa"/>
          <w:bottom w:w="0" w:type="dxa"/>
          <w:right w:w="108" w:type="dxa"/>
        </w:tblCellMar>
      </w:tblPr>
      <w:tblGrid>
        <w:gridCol w:w="1150"/>
        <w:gridCol w:w="1827"/>
        <w:gridCol w:w="889"/>
        <w:gridCol w:w="1149"/>
        <w:gridCol w:w="1648"/>
        <w:gridCol w:w="1735"/>
      </w:tblGrid>
      <w:tr w14:paraId="6DA06699">
        <w:tblPrEx>
          <w:tblCellMar>
            <w:top w:w="0" w:type="dxa"/>
            <w:left w:w="108" w:type="dxa"/>
            <w:bottom w:w="0" w:type="dxa"/>
            <w:right w:w="108" w:type="dxa"/>
          </w:tblCellMar>
        </w:tblPrEx>
        <w:trPr>
          <w:trHeight w:val="127" w:hRule="atLeast"/>
        </w:trPr>
        <w:tc>
          <w:tcPr>
            <w:tcW w:w="8398" w:type="dxa"/>
            <w:gridSpan w:val="6"/>
            <w:tcBorders>
              <w:top w:val="nil"/>
              <w:left w:val="nil"/>
              <w:bottom w:val="nil"/>
              <w:right w:val="nil"/>
            </w:tcBorders>
            <w:shd w:val="clear" w:color="auto" w:fill="FFFFFF"/>
            <w:noWrap/>
            <w:vAlign w:val="center"/>
          </w:tcPr>
          <w:p w14:paraId="3ABC8754">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直接工程费单价表</w:t>
            </w:r>
          </w:p>
        </w:tc>
      </w:tr>
      <w:tr w14:paraId="2F1B8814">
        <w:tblPrEx>
          <w:tblCellMar>
            <w:top w:w="0" w:type="dxa"/>
            <w:left w:w="108" w:type="dxa"/>
            <w:bottom w:w="0" w:type="dxa"/>
            <w:right w:w="108" w:type="dxa"/>
          </w:tblCellMar>
        </w:tblPrEx>
        <w:trPr>
          <w:trHeight w:val="161" w:hRule="atLeast"/>
        </w:trPr>
        <w:tc>
          <w:tcPr>
            <w:tcW w:w="1150" w:type="dxa"/>
            <w:tcBorders>
              <w:top w:val="nil"/>
              <w:left w:val="nil"/>
              <w:bottom w:val="nil"/>
              <w:right w:val="nil"/>
            </w:tcBorders>
            <w:shd w:val="clear" w:color="auto" w:fill="FFFFFF"/>
            <w:noWrap/>
            <w:vAlign w:val="center"/>
          </w:tcPr>
          <w:p w14:paraId="3D8CE78E">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附表1-3</w:t>
            </w:r>
          </w:p>
        </w:tc>
        <w:tc>
          <w:tcPr>
            <w:tcW w:w="1827" w:type="dxa"/>
            <w:tcBorders>
              <w:top w:val="nil"/>
              <w:left w:val="nil"/>
              <w:bottom w:val="nil"/>
              <w:right w:val="nil"/>
            </w:tcBorders>
            <w:shd w:val="clear" w:color="auto" w:fill="FFFFFF"/>
            <w:noWrap/>
            <w:vAlign w:val="center"/>
          </w:tcPr>
          <w:p w14:paraId="619C02AF">
            <w:pPr>
              <w:widowControl/>
              <w:adjustRightInd/>
              <w:snapToGrid/>
              <w:spacing w:line="240" w:lineRule="auto"/>
              <w:ind w:firstLine="0" w:firstLineChars="0"/>
              <w:jc w:val="left"/>
              <w:rPr>
                <w:rFonts w:cs="宋体"/>
                <w:color w:val="000000"/>
                <w:kern w:val="0"/>
                <w:sz w:val="20"/>
                <w:szCs w:val="20"/>
              </w:rPr>
            </w:pPr>
          </w:p>
        </w:tc>
        <w:tc>
          <w:tcPr>
            <w:tcW w:w="889" w:type="dxa"/>
            <w:tcBorders>
              <w:top w:val="nil"/>
              <w:left w:val="nil"/>
              <w:bottom w:val="nil"/>
              <w:right w:val="nil"/>
            </w:tcBorders>
            <w:shd w:val="clear" w:color="auto" w:fill="FFFFFF"/>
            <w:noWrap/>
            <w:vAlign w:val="center"/>
          </w:tcPr>
          <w:p w14:paraId="391FD415">
            <w:pPr>
              <w:widowControl/>
              <w:adjustRightInd/>
              <w:snapToGrid/>
              <w:spacing w:line="240" w:lineRule="auto"/>
              <w:ind w:firstLine="0" w:firstLineChars="0"/>
              <w:jc w:val="center"/>
              <w:rPr>
                <w:rFonts w:hAnsi="Times New Roman" w:cs="Times New Roman"/>
                <w:kern w:val="0"/>
                <w:sz w:val="20"/>
                <w:szCs w:val="20"/>
              </w:rPr>
            </w:pPr>
          </w:p>
        </w:tc>
        <w:tc>
          <w:tcPr>
            <w:tcW w:w="1149" w:type="dxa"/>
            <w:tcBorders>
              <w:top w:val="nil"/>
              <w:left w:val="nil"/>
              <w:bottom w:val="nil"/>
              <w:right w:val="nil"/>
            </w:tcBorders>
            <w:shd w:val="clear" w:color="auto" w:fill="FFFFFF"/>
            <w:noWrap/>
            <w:vAlign w:val="center"/>
          </w:tcPr>
          <w:p w14:paraId="151801AC">
            <w:pPr>
              <w:widowControl/>
              <w:adjustRightInd/>
              <w:snapToGrid/>
              <w:spacing w:line="240" w:lineRule="auto"/>
              <w:ind w:firstLine="0" w:firstLineChars="0"/>
              <w:jc w:val="center"/>
              <w:rPr>
                <w:rFonts w:hAnsi="Times New Roman" w:cs="Times New Roman"/>
                <w:kern w:val="0"/>
                <w:sz w:val="20"/>
                <w:szCs w:val="20"/>
              </w:rPr>
            </w:pPr>
          </w:p>
        </w:tc>
        <w:tc>
          <w:tcPr>
            <w:tcW w:w="1648" w:type="dxa"/>
            <w:tcBorders>
              <w:top w:val="nil"/>
              <w:left w:val="nil"/>
              <w:bottom w:val="nil"/>
              <w:right w:val="nil"/>
            </w:tcBorders>
            <w:shd w:val="clear" w:color="auto" w:fill="FFFFFF"/>
            <w:noWrap/>
            <w:vAlign w:val="center"/>
          </w:tcPr>
          <w:p w14:paraId="5504E75E">
            <w:pPr>
              <w:widowControl/>
              <w:adjustRightInd/>
              <w:snapToGrid/>
              <w:spacing w:line="240" w:lineRule="auto"/>
              <w:ind w:firstLine="0" w:firstLineChars="0"/>
              <w:jc w:val="center"/>
              <w:rPr>
                <w:rFonts w:hAnsi="Times New Roman" w:cs="Times New Roman"/>
                <w:kern w:val="0"/>
                <w:sz w:val="20"/>
                <w:szCs w:val="20"/>
              </w:rPr>
            </w:pPr>
          </w:p>
        </w:tc>
        <w:tc>
          <w:tcPr>
            <w:tcW w:w="1735" w:type="dxa"/>
            <w:tcBorders>
              <w:top w:val="nil"/>
              <w:left w:val="nil"/>
              <w:bottom w:val="nil"/>
              <w:right w:val="nil"/>
            </w:tcBorders>
            <w:shd w:val="clear" w:color="auto" w:fill="FFFFFF"/>
            <w:noWrap/>
            <w:vAlign w:val="center"/>
          </w:tcPr>
          <w:p w14:paraId="382CF0B8">
            <w:pPr>
              <w:widowControl/>
              <w:adjustRightInd/>
              <w:snapToGrid/>
              <w:spacing w:line="240" w:lineRule="auto"/>
              <w:ind w:firstLine="0" w:firstLineChars="0"/>
              <w:jc w:val="center"/>
              <w:rPr>
                <w:rFonts w:hAnsi="Times New Roman" w:cs="Times New Roman"/>
                <w:kern w:val="0"/>
                <w:sz w:val="20"/>
                <w:szCs w:val="20"/>
              </w:rPr>
            </w:pPr>
          </w:p>
        </w:tc>
      </w:tr>
      <w:tr w14:paraId="793746E8">
        <w:tblPrEx>
          <w:tblCellMar>
            <w:top w:w="0" w:type="dxa"/>
            <w:left w:w="108" w:type="dxa"/>
            <w:bottom w:w="0" w:type="dxa"/>
            <w:right w:w="108" w:type="dxa"/>
          </w:tblCellMar>
        </w:tblPrEx>
        <w:trPr>
          <w:trHeight w:val="209" w:hRule="atLeast"/>
        </w:trPr>
        <w:tc>
          <w:tcPr>
            <w:tcW w:w="5015" w:type="dxa"/>
            <w:gridSpan w:val="4"/>
            <w:tcBorders>
              <w:top w:val="nil"/>
              <w:left w:val="nil"/>
              <w:bottom w:val="nil"/>
              <w:right w:val="nil"/>
            </w:tcBorders>
            <w:shd w:val="clear" w:color="auto" w:fill="FFFFFF"/>
            <w:noWrap/>
            <w:vAlign w:val="center"/>
          </w:tcPr>
          <w:p w14:paraId="68824818">
            <w:pPr>
              <w:widowControl/>
              <w:adjustRightInd/>
              <w:snapToGrid/>
              <w:spacing w:line="240" w:lineRule="auto"/>
              <w:ind w:firstLine="0" w:firstLineChars="0"/>
              <w:jc w:val="left"/>
              <w:rPr>
                <w:rFonts w:hAnsi="Times New Roman" w:cs="Times New Roman"/>
                <w:kern w:val="0"/>
                <w:sz w:val="20"/>
                <w:szCs w:val="20"/>
              </w:rPr>
            </w:pPr>
            <w:r>
              <w:rPr>
                <w:rFonts w:hint="eastAsia" w:cs="宋体"/>
                <w:color w:val="000000"/>
                <w:kern w:val="0"/>
                <w:sz w:val="20"/>
                <w:szCs w:val="20"/>
              </w:rPr>
              <w:t>定额编号：10330   （平地机平土  一般平土）</w:t>
            </w:r>
          </w:p>
        </w:tc>
        <w:tc>
          <w:tcPr>
            <w:tcW w:w="1648" w:type="dxa"/>
            <w:tcBorders>
              <w:top w:val="nil"/>
              <w:left w:val="nil"/>
              <w:bottom w:val="nil"/>
              <w:right w:val="nil"/>
            </w:tcBorders>
            <w:shd w:val="clear" w:color="auto" w:fill="FFFFFF"/>
            <w:noWrap/>
            <w:vAlign w:val="center"/>
          </w:tcPr>
          <w:p w14:paraId="6914A7BE">
            <w:pPr>
              <w:widowControl/>
              <w:adjustRightInd/>
              <w:snapToGrid/>
              <w:spacing w:line="240" w:lineRule="auto"/>
              <w:ind w:firstLine="0" w:firstLineChars="0"/>
              <w:jc w:val="left"/>
              <w:rPr>
                <w:rFonts w:hAnsi="Times New Roman" w:cs="Times New Roman"/>
                <w:kern w:val="0"/>
                <w:sz w:val="20"/>
                <w:szCs w:val="20"/>
              </w:rPr>
            </w:pPr>
          </w:p>
        </w:tc>
        <w:tc>
          <w:tcPr>
            <w:tcW w:w="1735" w:type="dxa"/>
            <w:tcBorders>
              <w:top w:val="nil"/>
              <w:left w:val="nil"/>
              <w:bottom w:val="nil"/>
              <w:right w:val="nil"/>
            </w:tcBorders>
            <w:shd w:val="clear" w:color="auto" w:fill="FFFFFF"/>
            <w:noWrap/>
            <w:vAlign w:val="center"/>
          </w:tcPr>
          <w:p w14:paraId="58741ADC">
            <w:pPr>
              <w:widowControl/>
              <w:adjustRightInd/>
              <w:snapToGrid/>
              <w:spacing w:line="240" w:lineRule="auto"/>
              <w:ind w:firstLine="0" w:firstLineChars="0"/>
              <w:jc w:val="left"/>
              <w:rPr>
                <w:rFonts w:hAnsi="Times New Roman" w:cs="Times New Roman"/>
                <w:kern w:val="0"/>
                <w:sz w:val="20"/>
                <w:szCs w:val="20"/>
              </w:rPr>
            </w:pPr>
          </w:p>
        </w:tc>
      </w:tr>
      <w:tr w14:paraId="69700EEC">
        <w:tblPrEx>
          <w:tblCellMar>
            <w:top w:w="0" w:type="dxa"/>
            <w:left w:w="108" w:type="dxa"/>
            <w:bottom w:w="0" w:type="dxa"/>
            <w:right w:w="108" w:type="dxa"/>
          </w:tblCellMar>
        </w:tblPrEx>
        <w:trPr>
          <w:trHeight w:val="257" w:hRule="atLeast"/>
        </w:trPr>
        <w:tc>
          <w:tcPr>
            <w:tcW w:w="5015" w:type="dxa"/>
            <w:gridSpan w:val="4"/>
            <w:tcBorders>
              <w:top w:val="nil"/>
              <w:left w:val="nil"/>
              <w:bottom w:val="single" w:color="000000" w:sz="4" w:space="0"/>
              <w:right w:val="nil"/>
            </w:tcBorders>
            <w:shd w:val="clear" w:color="auto" w:fill="FFFFFF"/>
            <w:vAlign w:val="center"/>
          </w:tcPr>
          <w:p w14:paraId="58A81C14">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工作内容:推平土料</w:t>
            </w:r>
          </w:p>
        </w:tc>
        <w:tc>
          <w:tcPr>
            <w:tcW w:w="3383" w:type="dxa"/>
            <w:gridSpan w:val="2"/>
            <w:tcBorders>
              <w:top w:val="nil"/>
              <w:left w:val="nil"/>
              <w:bottom w:val="single" w:color="000000" w:sz="4" w:space="0"/>
              <w:right w:val="nil"/>
            </w:tcBorders>
            <w:shd w:val="clear" w:color="auto" w:fill="FFFFFF"/>
            <w:noWrap/>
            <w:vAlign w:val="center"/>
          </w:tcPr>
          <w:p w14:paraId="444A1763">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单位：100m</w:t>
            </w:r>
            <w:r>
              <w:rPr>
                <w:rFonts w:hint="eastAsia" w:cs="宋体"/>
                <w:color w:val="000000"/>
                <w:kern w:val="0"/>
                <w:sz w:val="20"/>
                <w:szCs w:val="20"/>
                <w:vertAlign w:val="superscript"/>
              </w:rPr>
              <w:t>2</w:t>
            </w:r>
          </w:p>
        </w:tc>
      </w:tr>
      <w:tr w14:paraId="18D4C914">
        <w:tblPrEx>
          <w:tblCellMar>
            <w:top w:w="0" w:type="dxa"/>
            <w:left w:w="108" w:type="dxa"/>
            <w:bottom w:w="0" w:type="dxa"/>
            <w:right w:w="108" w:type="dxa"/>
          </w:tblCellMar>
        </w:tblPrEx>
        <w:trPr>
          <w:trHeight w:val="295"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96B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9DE9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项目名称</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D9CC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4482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019D9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单价(元)</w:t>
            </w: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6BED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367AA879">
        <w:tblPrEx>
          <w:tblCellMar>
            <w:top w:w="0" w:type="dxa"/>
            <w:left w:w="108" w:type="dxa"/>
            <w:bottom w:w="0" w:type="dxa"/>
            <w:right w:w="108" w:type="dxa"/>
          </w:tblCellMar>
        </w:tblPrEx>
        <w:trPr>
          <w:trHeight w:val="173"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2BED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0D96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人工费</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3162AB">
            <w:pPr>
              <w:widowControl/>
              <w:adjustRightInd/>
              <w:snapToGrid/>
              <w:spacing w:line="240" w:lineRule="auto"/>
              <w:ind w:firstLine="0" w:firstLineChars="0"/>
              <w:jc w:val="center"/>
              <w:rPr>
                <w:rFonts w:cs="宋体"/>
                <w:color w:val="000000"/>
                <w:kern w:val="0"/>
                <w:sz w:val="20"/>
                <w:szCs w:val="20"/>
              </w:rPr>
            </w:pP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30594">
            <w:pPr>
              <w:widowControl/>
              <w:adjustRightInd/>
              <w:snapToGrid/>
              <w:spacing w:line="240" w:lineRule="auto"/>
              <w:ind w:firstLine="0" w:firstLineChars="0"/>
              <w:jc w:val="center"/>
              <w:rPr>
                <w:rFonts w:hAnsi="Times New Roman" w:cs="Times New Roman"/>
                <w:kern w:val="0"/>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19AEDE">
            <w:pPr>
              <w:widowControl/>
              <w:adjustRightInd/>
              <w:snapToGrid/>
              <w:spacing w:line="240" w:lineRule="auto"/>
              <w:ind w:firstLine="0" w:firstLineChars="0"/>
              <w:jc w:val="center"/>
              <w:rPr>
                <w:rFonts w:hAnsi="Times New Roman" w:cs="Times New Roman"/>
                <w:kern w:val="0"/>
                <w:sz w:val="20"/>
                <w:szCs w:val="20"/>
              </w:rPr>
            </w:pP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566C0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9.76 </w:t>
            </w:r>
          </w:p>
        </w:tc>
      </w:tr>
      <w:tr w14:paraId="28063B8F">
        <w:tblPrEx>
          <w:tblCellMar>
            <w:top w:w="0" w:type="dxa"/>
            <w:left w:w="108" w:type="dxa"/>
            <w:bottom w:w="0" w:type="dxa"/>
            <w:right w:w="108" w:type="dxa"/>
          </w:tblCellMar>
        </w:tblPrEx>
        <w:trPr>
          <w:trHeight w:val="221"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E0DB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FE9B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甲类工</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5BD9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8095A">
            <w:pPr>
              <w:widowControl/>
              <w:adjustRightInd/>
              <w:snapToGrid/>
              <w:spacing w:line="240" w:lineRule="auto"/>
              <w:ind w:firstLine="0" w:firstLineChars="0"/>
              <w:jc w:val="center"/>
              <w:rPr>
                <w:rFonts w:cs="宋体"/>
                <w:color w:val="000000"/>
                <w:kern w:val="0"/>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B88F3">
            <w:pPr>
              <w:widowControl/>
              <w:adjustRightInd/>
              <w:snapToGrid/>
              <w:spacing w:line="240" w:lineRule="auto"/>
              <w:ind w:firstLine="0" w:firstLineChars="0"/>
              <w:jc w:val="center"/>
              <w:rPr>
                <w:rFonts w:hAnsi="Times New Roman" w:cs="Times New Roman"/>
                <w:kern w:val="0"/>
                <w:sz w:val="20"/>
                <w:szCs w:val="20"/>
              </w:rPr>
            </w:pP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1C88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0.00 </w:t>
            </w:r>
          </w:p>
        </w:tc>
      </w:tr>
      <w:tr w14:paraId="345DF290">
        <w:tblPrEx>
          <w:tblCellMar>
            <w:top w:w="0" w:type="dxa"/>
            <w:left w:w="108" w:type="dxa"/>
            <w:bottom w:w="0" w:type="dxa"/>
            <w:right w:w="108" w:type="dxa"/>
          </w:tblCellMar>
        </w:tblPrEx>
        <w:trPr>
          <w:trHeight w:val="113"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79A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1C5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乙类工</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0BE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A7625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0.20 </w:t>
            </w: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3B1C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48.82 </w:t>
            </w: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86F9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9.76 </w:t>
            </w:r>
          </w:p>
        </w:tc>
      </w:tr>
      <w:tr w14:paraId="3ACCA91E">
        <w:tblPrEx>
          <w:tblCellMar>
            <w:top w:w="0" w:type="dxa"/>
            <w:left w:w="108" w:type="dxa"/>
            <w:bottom w:w="0" w:type="dxa"/>
            <w:right w:w="108" w:type="dxa"/>
          </w:tblCellMar>
        </w:tblPrEx>
        <w:trPr>
          <w:trHeight w:val="57"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F435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685C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材料费</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790E5">
            <w:pPr>
              <w:widowControl/>
              <w:adjustRightInd/>
              <w:snapToGrid/>
              <w:spacing w:line="240" w:lineRule="auto"/>
              <w:ind w:firstLine="0" w:firstLineChars="0"/>
              <w:jc w:val="center"/>
              <w:rPr>
                <w:rFonts w:cs="宋体"/>
                <w:color w:val="000000"/>
                <w:kern w:val="0"/>
                <w:sz w:val="20"/>
                <w:szCs w:val="20"/>
              </w:rPr>
            </w:pP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E53FF">
            <w:pPr>
              <w:widowControl/>
              <w:adjustRightInd/>
              <w:snapToGrid/>
              <w:spacing w:line="240" w:lineRule="auto"/>
              <w:ind w:firstLine="0" w:firstLineChars="0"/>
              <w:jc w:val="center"/>
              <w:rPr>
                <w:rFonts w:hAnsi="Times New Roman" w:cs="Times New Roman"/>
                <w:kern w:val="0"/>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916F4">
            <w:pPr>
              <w:widowControl/>
              <w:adjustRightInd/>
              <w:snapToGrid/>
              <w:spacing w:line="240" w:lineRule="auto"/>
              <w:ind w:firstLine="0" w:firstLineChars="0"/>
              <w:jc w:val="center"/>
              <w:rPr>
                <w:rFonts w:hAnsi="Times New Roman" w:cs="Times New Roman"/>
                <w:kern w:val="0"/>
                <w:sz w:val="20"/>
                <w:szCs w:val="20"/>
              </w:rPr>
            </w:pP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28D1F">
            <w:pPr>
              <w:widowControl/>
              <w:adjustRightInd/>
              <w:snapToGrid/>
              <w:spacing w:line="240" w:lineRule="auto"/>
              <w:ind w:firstLine="0" w:firstLineChars="0"/>
              <w:jc w:val="center"/>
              <w:rPr>
                <w:rFonts w:hAnsi="Times New Roman" w:cs="Times New Roman"/>
                <w:kern w:val="0"/>
                <w:sz w:val="20"/>
                <w:szCs w:val="20"/>
              </w:rPr>
            </w:pPr>
          </w:p>
        </w:tc>
      </w:tr>
      <w:tr w14:paraId="6C4C34EA">
        <w:tblPrEx>
          <w:tblCellMar>
            <w:top w:w="0" w:type="dxa"/>
            <w:left w:w="108" w:type="dxa"/>
            <w:bottom w:w="0" w:type="dxa"/>
            <w:right w:w="108" w:type="dxa"/>
          </w:tblCellMar>
        </w:tblPrEx>
        <w:trPr>
          <w:trHeight w:val="57"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0A8F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(三)</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F912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机械费</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07B8E">
            <w:pPr>
              <w:widowControl/>
              <w:adjustRightInd/>
              <w:snapToGrid/>
              <w:spacing w:line="240" w:lineRule="auto"/>
              <w:ind w:firstLine="0" w:firstLineChars="0"/>
              <w:jc w:val="center"/>
              <w:rPr>
                <w:rFonts w:cs="宋体"/>
                <w:color w:val="000000"/>
                <w:kern w:val="0"/>
                <w:sz w:val="20"/>
                <w:szCs w:val="20"/>
              </w:rPr>
            </w:pP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0D020">
            <w:pPr>
              <w:widowControl/>
              <w:adjustRightInd/>
              <w:snapToGrid/>
              <w:spacing w:line="240" w:lineRule="auto"/>
              <w:ind w:firstLine="0" w:firstLineChars="0"/>
              <w:jc w:val="center"/>
              <w:rPr>
                <w:rFonts w:hAnsi="Times New Roman" w:cs="Times New Roman"/>
                <w:kern w:val="0"/>
                <w:sz w:val="20"/>
                <w:szCs w:val="20"/>
              </w:rPr>
            </w:pP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D37C9">
            <w:pPr>
              <w:widowControl/>
              <w:adjustRightInd/>
              <w:snapToGrid/>
              <w:spacing w:line="240" w:lineRule="auto"/>
              <w:ind w:firstLine="0" w:firstLineChars="0"/>
              <w:jc w:val="center"/>
              <w:rPr>
                <w:rFonts w:hAnsi="Times New Roman" w:cs="Times New Roman"/>
                <w:kern w:val="0"/>
                <w:sz w:val="20"/>
                <w:szCs w:val="20"/>
              </w:rPr>
            </w:pP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203E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46.05 </w:t>
            </w:r>
          </w:p>
        </w:tc>
      </w:tr>
      <w:tr w14:paraId="09411D6E">
        <w:tblPrEx>
          <w:tblCellMar>
            <w:top w:w="0" w:type="dxa"/>
            <w:left w:w="108" w:type="dxa"/>
            <w:bottom w:w="0" w:type="dxa"/>
            <w:right w:w="108" w:type="dxa"/>
          </w:tblCellMar>
        </w:tblPrEx>
        <w:trPr>
          <w:trHeight w:val="484"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6F53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9EA5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自行式平地机118kw</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B0D2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台班</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A9F8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0.06 </w:t>
            </w: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789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837.34 </w:t>
            </w: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5775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46.05 </w:t>
            </w:r>
          </w:p>
        </w:tc>
      </w:tr>
      <w:tr w14:paraId="29F78414">
        <w:tblPrEx>
          <w:tblCellMar>
            <w:top w:w="0" w:type="dxa"/>
            <w:left w:w="108" w:type="dxa"/>
            <w:bottom w:w="0" w:type="dxa"/>
            <w:right w:w="108" w:type="dxa"/>
          </w:tblCellMar>
        </w:tblPrEx>
        <w:trPr>
          <w:trHeight w:val="283"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12B4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(四)</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6384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其他费用</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B05D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BEC7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5.00 </w:t>
            </w: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B3F2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0.56 </w:t>
            </w: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2EE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2.79 </w:t>
            </w:r>
          </w:p>
        </w:tc>
      </w:tr>
      <w:tr w14:paraId="11294E3C">
        <w:tblPrEx>
          <w:tblCellMar>
            <w:top w:w="0" w:type="dxa"/>
            <w:left w:w="108" w:type="dxa"/>
            <w:bottom w:w="0" w:type="dxa"/>
            <w:right w:w="108" w:type="dxa"/>
          </w:tblCellMar>
        </w:tblPrEx>
        <w:trPr>
          <w:trHeight w:val="175" w:hRule="atLeast"/>
        </w:trPr>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2CC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18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B0D80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8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C8F6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1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592C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6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C662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w:t>
            </w:r>
          </w:p>
        </w:tc>
        <w:tc>
          <w:tcPr>
            <w:tcW w:w="17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B8F20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58.61 </w:t>
            </w:r>
          </w:p>
        </w:tc>
      </w:tr>
    </w:tbl>
    <w:p w14:paraId="7D9ED949">
      <w:pPr>
        <w:rPr>
          <w:rFonts w:hAnsi="仿宋"/>
        </w:rPr>
      </w:pPr>
    </w:p>
    <w:p w14:paraId="69BE1410">
      <w:pPr>
        <w:rPr>
          <w:rFonts w:hAnsi="仿宋"/>
        </w:rPr>
      </w:pPr>
    </w:p>
    <w:p w14:paraId="00102A06">
      <w:pPr>
        <w:rPr>
          <w:rFonts w:hAnsi="仿宋"/>
        </w:rPr>
      </w:pPr>
    </w:p>
    <w:p w14:paraId="47DB328C">
      <w:pPr>
        <w:rPr>
          <w:rFonts w:hAnsi="仿宋"/>
        </w:rPr>
      </w:pPr>
    </w:p>
    <w:p w14:paraId="07B270E1">
      <w:pPr>
        <w:rPr>
          <w:rFonts w:hAnsi="仿宋"/>
        </w:rPr>
      </w:pPr>
    </w:p>
    <w:p w14:paraId="3514105F">
      <w:pPr>
        <w:rPr>
          <w:rFonts w:hAnsi="仿宋"/>
        </w:rPr>
      </w:pPr>
    </w:p>
    <w:p w14:paraId="6413CFE5">
      <w:pPr>
        <w:rPr>
          <w:rFonts w:hAnsi="仿宋"/>
        </w:rPr>
      </w:pPr>
    </w:p>
    <w:p w14:paraId="2126BCBE">
      <w:pPr>
        <w:rPr>
          <w:rFonts w:hAnsi="仿宋"/>
        </w:rPr>
      </w:pPr>
    </w:p>
    <w:p w14:paraId="7CA9D773">
      <w:pPr>
        <w:rPr>
          <w:rFonts w:hAnsi="仿宋"/>
        </w:rPr>
      </w:pPr>
    </w:p>
    <w:p w14:paraId="1EEDD98D">
      <w:pPr>
        <w:rPr>
          <w:rFonts w:hAnsi="仿宋"/>
        </w:rPr>
      </w:pPr>
    </w:p>
    <w:p w14:paraId="494D769D">
      <w:pPr>
        <w:rPr>
          <w:rFonts w:hAnsi="仿宋"/>
        </w:rPr>
      </w:pPr>
    </w:p>
    <w:p w14:paraId="3DFCF9AE">
      <w:pPr>
        <w:rPr>
          <w:rFonts w:hAnsi="仿宋"/>
        </w:rPr>
      </w:pPr>
    </w:p>
    <w:p w14:paraId="777ECB40">
      <w:pPr>
        <w:rPr>
          <w:rFonts w:hAnsi="仿宋"/>
        </w:rPr>
      </w:pPr>
    </w:p>
    <w:p w14:paraId="30ADABF1">
      <w:pPr>
        <w:rPr>
          <w:rFonts w:hAnsi="仿宋"/>
        </w:rPr>
      </w:pPr>
    </w:p>
    <w:p w14:paraId="40BA5F15">
      <w:pPr>
        <w:rPr>
          <w:rFonts w:hint="eastAsia" w:hAnsi="仿宋"/>
        </w:rPr>
      </w:pPr>
    </w:p>
    <w:p w14:paraId="28C82431">
      <w:pPr>
        <w:rPr>
          <w:rFonts w:hAnsi="仿宋"/>
        </w:rPr>
      </w:pPr>
    </w:p>
    <w:p w14:paraId="10DEBFC4">
      <w:pPr>
        <w:rPr>
          <w:rFonts w:hAnsi="仿宋"/>
        </w:rPr>
      </w:pPr>
    </w:p>
    <w:tbl>
      <w:tblPr>
        <w:tblStyle w:val="13"/>
        <w:tblW w:w="8385" w:type="dxa"/>
        <w:tblInd w:w="0" w:type="dxa"/>
        <w:tblLayout w:type="autofit"/>
        <w:tblCellMar>
          <w:top w:w="0" w:type="dxa"/>
          <w:left w:w="108" w:type="dxa"/>
          <w:bottom w:w="0" w:type="dxa"/>
          <w:right w:w="108" w:type="dxa"/>
        </w:tblCellMar>
      </w:tblPr>
      <w:tblGrid>
        <w:gridCol w:w="1134"/>
        <w:gridCol w:w="2907"/>
        <w:gridCol w:w="3330"/>
        <w:gridCol w:w="1014"/>
      </w:tblGrid>
      <w:tr w14:paraId="287DEF37">
        <w:tblPrEx>
          <w:tblCellMar>
            <w:top w:w="0" w:type="dxa"/>
            <w:left w:w="108" w:type="dxa"/>
            <w:bottom w:w="0" w:type="dxa"/>
            <w:right w:w="108" w:type="dxa"/>
          </w:tblCellMar>
        </w:tblPrEx>
        <w:trPr>
          <w:trHeight w:val="347" w:hRule="atLeast"/>
        </w:trPr>
        <w:tc>
          <w:tcPr>
            <w:tcW w:w="8385" w:type="dxa"/>
            <w:gridSpan w:val="4"/>
            <w:tcBorders>
              <w:top w:val="nil"/>
              <w:left w:val="nil"/>
              <w:bottom w:val="nil"/>
              <w:right w:val="nil"/>
            </w:tcBorders>
            <w:shd w:val="clear" w:color="auto" w:fill="auto"/>
            <w:noWrap/>
            <w:vAlign w:val="center"/>
          </w:tcPr>
          <w:p w14:paraId="53B3818D">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人工预算单价计算表</w:t>
            </w:r>
          </w:p>
        </w:tc>
      </w:tr>
      <w:tr w14:paraId="1649F635">
        <w:tblPrEx>
          <w:tblCellMar>
            <w:top w:w="0" w:type="dxa"/>
            <w:left w:w="108" w:type="dxa"/>
            <w:bottom w:w="0" w:type="dxa"/>
            <w:right w:w="108" w:type="dxa"/>
          </w:tblCellMar>
        </w:tblPrEx>
        <w:trPr>
          <w:trHeight w:val="381" w:hRule="atLeast"/>
        </w:trPr>
        <w:tc>
          <w:tcPr>
            <w:tcW w:w="1134" w:type="dxa"/>
            <w:tcBorders>
              <w:top w:val="nil"/>
              <w:left w:val="nil"/>
              <w:bottom w:val="single" w:color="000000" w:sz="4" w:space="0"/>
              <w:right w:val="nil"/>
            </w:tcBorders>
            <w:shd w:val="clear" w:color="auto" w:fill="auto"/>
            <w:noWrap/>
            <w:vAlign w:val="center"/>
          </w:tcPr>
          <w:p w14:paraId="024EE787">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附表2-1</w:t>
            </w:r>
          </w:p>
        </w:tc>
        <w:tc>
          <w:tcPr>
            <w:tcW w:w="2907" w:type="dxa"/>
            <w:tcBorders>
              <w:top w:val="nil"/>
              <w:left w:val="nil"/>
              <w:bottom w:val="single" w:color="000000" w:sz="4" w:space="0"/>
              <w:right w:val="nil"/>
            </w:tcBorders>
            <w:shd w:val="clear" w:color="auto" w:fill="auto"/>
            <w:noWrap/>
            <w:vAlign w:val="center"/>
          </w:tcPr>
          <w:p w14:paraId="2814D1A7">
            <w:pPr>
              <w:widowControl/>
              <w:adjustRightInd/>
              <w:snapToGrid/>
              <w:spacing w:line="240" w:lineRule="auto"/>
              <w:ind w:firstLine="0" w:firstLineChars="0"/>
              <w:jc w:val="left"/>
              <w:rPr>
                <w:rFonts w:cs="宋体"/>
                <w:color w:val="000000"/>
                <w:kern w:val="0"/>
                <w:sz w:val="20"/>
                <w:szCs w:val="20"/>
              </w:rPr>
            </w:pPr>
          </w:p>
        </w:tc>
        <w:tc>
          <w:tcPr>
            <w:tcW w:w="3330" w:type="dxa"/>
            <w:tcBorders>
              <w:top w:val="nil"/>
              <w:left w:val="nil"/>
              <w:bottom w:val="single" w:color="000000" w:sz="4" w:space="0"/>
              <w:right w:val="nil"/>
            </w:tcBorders>
            <w:shd w:val="clear" w:color="auto" w:fill="auto"/>
            <w:noWrap/>
            <w:vAlign w:val="center"/>
          </w:tcPr>
          <w:p w14:paraId="41BBC292">
            <w:pPr>
              <w:widowControl/>
              <w:adjustRightInd/>
              <w:snapToGrid/>
              <w:spacing w:line="240" w:lineRule="auto"/>
              <w:ind w:firstLine="0" w:firstLineChars="0"/>
              <w:jc w:val="center"/>
              <w:rPr>
                <w:rFonts w:hAnsi="Times New Roman" w:cs="Times New Roman"/>
                <w:kern w:val="0"/>
                <w:sz w:val="20"/>
                <w:szCs w:val="20"/>
              </w:rPr>
            </w:pPr>
          </w:p>
        </w:tc>
        <w:tc>
          <w:tcPr>
            <w:tcW w:w="1012" w:type="dxa"/>
            <w:tcBorders>
              <w:top w:val="nil"/>
              <w:left w:val="nil"/>
              <w:bottom w:val="single" w:color="000000" w:sz="4" w:space="0"/>
              <w:right w:val="nil"/>
            </w:tcBorders>
            <w:shd w:val="clear" w:color="auto" w:fill="auto"/>
            <w:noWrap/>
            <w:vAlign w:val="center"/>
          </w:tcPr>
          <w:p w14:paraId="5B242FC8">
            <w:pPr>
              <w:widowControl/>
              <w:adjustRightInd/>
              <w:snapToGrid/>
              <w:spacing w:line="240" w:lineRule="auto"/>
              <w:ind w:firstLine="0" w:firstLineChars="0"/>
              <w:jc w:val="center"/>
              <w:rPr>
                <w:rFonts w:hAnsi="Times New Roman" w:cs="Times New Roman"/>
                <w:kern w:val="0"/>
                <w:sz w:val="20"/>
                <w:szCs w:val="20"/>
              </w:rPr>
            </w:pPr>
          </w:p>
        </w:tc>
      </w:tr>
      <w:tr w14:paraId="10B4F7DE">
        <w:tblPrEx>
          <w:tblCellMar>
            <w:top w:w="0" w:type="dxa"/>
            <w:left w:w="108" w:type="dxa"/>
            <w:bottom w:w="0" w:type="dxa"/>
            <w:right w:w="108" w:type="dxa"/>
          </w:tblCellMar>
        </w:tblPrEx>
        <w:trPr>
          <w:trHeight w:val="499" w:hRule="atLeast"/>
        </w:trPr>
        <w:tc>
          <w:tcPr>
            <w:tcW w:w="1134" w:type="dxa"/>
            <w:tcBorders>
              <w:top w:val="nil"/>
              <w:left w:val="single" w:color="000000" w:sz="4" w:space="0"/>
              <w:bottom w:val="single" w:color="000000" w:sz="4" w:space="0"/>
              <w:right w:val="single" w:color="000000" w:sz="4" w:space="0"/>
            </w:tcBorders>
            <w:shd w:val="clear" w:color="auto" w:fill="auto"/>
            <w:noWrap/>
            <w:vAlign w:val="center"/>
          </w:tcPr>
          <w:p w14:paraId="2E770D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地区类别</w:t>
            </w:r>
          </w:p>
        </w:tc>
        <w:tc>
          <w:tcPr>
            <w:tcW w:w="2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BE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十一类工资地区二类生活补贴区</w:t>
            </w:r>
          </w:p>
        </w:tc>
        <w:tc>
          <w:tcPr>
            <w:tcW w:w="3330" w:type="dxa"/>
            <w:tcBorders>
              <w:top w:val="nil"/>
              <w:left w:val="single" w:color="000000" w:sz="4" w:space="0"/>
              <w:bottom w:val="single" w:color="000000" w:sz="4" w:space="0"/>
              <w:right w:val="single" w:color="000000" w:sz="4" w:space="0"/>
            </w:tcBorders>
            <w:shd w:val="clear" w:color="auto" w:fill="auto"/>
            <w:noWrap/>
            <w:vAlign w:val="center"/>
          </w:tcPr>
          <w:p w14:paraId="7C10CC4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定额人工等级</w:t>
            </w:r>
          </w:p>
        </w:tc>
        <w:tc>
          <w:tcPr>
            <w:tcW w:w="1012" w:type="dxa"/>
            <w:tcBorders>
              <w:top w:val="nil"/>
              <w:left w:val="single" w:color="000000" w:sz="4" w:space="0"/>
              <w:bottom w:val="single" w:color="000000" w:sz="4" w:space="0"/>
              <w:right w:val="single" w:color="000000" w:sz="4" w:space="0"/>
            </w:tcBorders>
            <w:shd w:val="clear" w:color="auto" w:fill="auto"/>
            <w:noWrap/>
            <w:vAlign w:val="center"/>
          </w:tcPr>
          <w:p w14:paraId="2B7A5FA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甲类工</w:t>
            </w:r>
          </w:p>
        </w:tc>
      </w:tr>
      <w:tr w14:paraId="68B9071B">
        <w:tblPrEx>
          <w:tblCellMar>
            <w:top w:w="0" w:type="dxa"/>
            <w:left w:w="108" w:type="dxa"/>
            <w:bottom w:w="0" w:type="dxa"/>
            <w:right w:w="108" w:type="dxa"/>
          </w:tblCellMar>
        </w:tblPrEx>
        <w:trPr>
          <w:trHeight w:val="359"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C3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A77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0E9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计算式</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987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单价(元)</w:t>
            </w:r>
          </w:p>
        </w:tc>
      </w:tr>
      <w:tr w14:paraId="32AA980E">
        <w:tblPrEx>
          <w:tblCellMar>
            <w:top w:w="0" w:type="dxa"/>
            <w:left w:w="108" w:type="dxa"/>
            <w:bottom w:w="0" w:type="dxa"/>
            <w:right w:w="108" w:type="dxa"/>
          </w:tblCellMar>
        </w:tblPrEx>
        <w:trPr>
          <w:trHeight w:val="158"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91E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4A88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基本工资</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334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540×1.1304×12÷（250-10）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38D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30.52 </w:t>
            </w:r>
          </w:p>
        </w:tc>
      </w:tr>
      <w:tr w14:paraId="6D1A88CF">
        <w:tblPrEx>
          <w:tblCellMar>
            <w:top w:w="0" w:type="dxa"/>
            <w:left w:w="108" w:type="dxa"/>
            <w:bottom w:w="0" w:type="dxa"/>
            <w:right w:w="108" w:type="dxa"/>
          </w:tblCellMar>
        </w:tblPrEx>
        <w:trPr>
          <w:trHeight w:val="333"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831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2D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辅助工资</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8EE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(1)+(2)+(3)+(4)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3B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10.45 </w:t>
            </w:r>
          </w:p>
        </w:tc>
      </w:tr>
      <w:tr w14:paraId="52A84CDF">
        <w:tblPrEx>
          <w:tblCellMar>
            <w:top w:w="0" w:type="dxa"/>
            <w:left w:w="108" w:type="dxa"/>
            <w:bottom w:w="0" w:type="dxa"/>
            <w:right w:w="108" w:type="dxa"/>
          </w:tblCellMar>
        </w:tblPrEx>
        <w:trPr>
          <w:trHeight w:val="225"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6FC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D60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地区津贴</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9A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73×12÷(250-10)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46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3.65 </w:t>
            </w:r>
          </w:p>
        </w:tc>
      </w:tr>
      <w:tr w14:paraId="58B59FE3">
        <w:tblPrEx>
          <w:tblCellMar>
            <w:top w:w="0" w:type="dxa"/>
            <w:left w:w="108" w:type="dxa"/>
            <w:bottom w:w="0" w:type="dxa"/>
            <w:right w:w="108" w:type="dxa"/>
          </w:tblCellMar>
        </w:tblPrEx>
        <w:trPr>
          <w:trHeight w:val="259"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F59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0190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施工津贴</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9DC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3.5×365×0.95÷（250-10）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B80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5.06 </w:t>
            </w:r>
          </w:p>
        </w:tc>
      </w:tr>
      <w:tr w14:paraId="2374CED0">
        <w:tblPrEx>
          <w:tblCellMar>
            <w:top w:w="0" w:type="dxa"/>
            <w:left w:w="108" w:type="dxa"/>
            <w:bottom w:w="0" w:type="dxa"/>
            <w:right w:w="108" w:type="dxa"/>
          </w:tblCellMar>
        </w:tblPrEx>
        <w:trPr>
          <w:trHeight w:val="15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9BE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1085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夜餐津贴</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00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(4.5+3.5)÷2×0.2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C38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0.80 </w:t>
            </w:r>
          </w:p>
        </w:tc>
      </w:tr>
      <w:tr w14:paraId="0872E589">
        <w:tblPrEx>
          <w:tblCellMar>
            <w:top w:w="0" w:type="dxa"/>
            <w:left w:w="108" w:type="dxa"/>
            <w:bottom w:w="0" w:type="dxa"/>
            <w:right w:w="108" w:type="dxa"/>
          </w:tblCellMar>
        </w:tblPrEx>
        <w:trPr>
          <w:trHeight w:val="327"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C0F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1DB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节日加班津贴</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D85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30.52×2×11÷250×0.35</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65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0.94 </w:t>
            </w:r>
          </w:p>
        </w:tc>
      </w:tr>
      <w:tr w14:paraId="15DCAA27">
        <w:tblPrEx>
          <w:tblCellMar>
            <w:top w:w="0" w:type="dxa"/>
            <w:left w:w="108" w:type="dxa"/>
            <w:bottom w:w="0" w:type="dxa"/>
            <w:right w:w="108" w:type="dxa"/>
          </w:tblCellMar>
        </w:tblPrEx>
        <w:trPr>
          <w:trHeight w:val="219"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756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2EC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工资附加费</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5F840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(1)+(2)+(3)+(4)+(5)+(6)+(7)</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C99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21.10 </w:t>
            </w:r>
          </w:p>
        </w:tc>
      </w:tr>
      <w:tr w14:paraId="4659E0CE">
        <w:tblPrEx>
          <w:tblCellMar>
            <w:top w:w="0" w:type="dxa"/>
            <w:left w:w="108" w:type="dxa"/>
            <w:bottom w:w="0" w:type="dxa"/>
            <w:right w:w="108" w:type="dxa"/>
          </w:tblCellMar>
        </w:tblPrEx>
        <w:trPr>
          <w:trHeight w:val="253"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51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3D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职工福利基金</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B521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（30.52+10.45）×14%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8D39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5.74 </w:t>
            </w:r>
          </w:p>
        </w:tc>
      </w:tr>
      <w:tr w14:paraId="6052C5F6">
        <w:tblPrEx>
          <w:tblCellMar>
            <w:top w:w="0" w:type="dxa"/>
            <w:left w:w="108" w:type="dxa"/>
            <w:bottom w:w="0" w:type="dxa"/>
            <w:right w:w="108" w:type="dxa"/>
          </w:tblCellMar>
        </w:tblPrEx>
        <w:trPr>
          <w:trHeight w:val="287"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2B5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5365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工会经费</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1A47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FECF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0.82 </w:t>
            </w:r>
          </w:p>
        </w:tc>
      </w:tr>
      <w:tr w14:paraId="782B5B55">
        <w:tblPrEx>
          <w:tblCellMar>
            <w:top w:w="0" w:type="dxa"/>
            <w:left w:w="108" w:type="dxa"/>
            <w:bottom w:w="0" w:type="dxa"/>
            <w:right w:w="108" w:type="dxa"/>
          </w:tblCellMar>
        </w:tblPrEx>
        <w:trPr>
          <w:trHeight w:val="179"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6B1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FE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养老保险费</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5B8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（30.52+10.45）×20%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17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8.19 </w:t>
            </w:r>
          </w:p>
        </w:tc>
      </w:tr>
      <w:tr w14:paraId="2018712A">
        <w:tblPrEx>
          <w:tblCellMar>
            <w:top w:w="0" w:type="dxa"/>
            <w:left w:w="108" w:type="dxa"/>
            <w:bottom w:w="0" w:type="dxa"/>
            <w:right w:w="108" w:type="dxa"/>
          </w:tblCellMar>
        </w:tblPrEx>
        <w:trPr>
          <w:trHeight w:val="214"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CEB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AEE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医疗保险费</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844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（30.52+10.45）×4%</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6AE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1.64 </w:t>
            </w:r>
          </w:p>
        </w:tc>
      </w:tr>
      <w:tr w14:paraId="5F8B332A">
        <w:tblPrEx>
          <w:tblCellMar>
            <w:top w:w="0" w:type="dxa"/>
            <w:left w:w="108" w:type="dxa"/>
            <w:bottom w:w="0" w:type="dxa"/>
            <w:right w:w="108" w:type="dxa"/>
          </w:tblCellMar>
        </w:tblPrEx>
        <w:trPr>
          <w:trHeight w:val="105"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24E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D18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工伤保险费</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8AB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（30.52+10.45）×1.5%</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9A6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0.61 </w:t>
            </w:r>
          </w:p>
        </w:tc>
      </w:tr>
      <w:tr w14:paraId="71ABBA82">
        <w:tblPrEx>
          <w:tblCellMar>
            <w:top w:w="0" w:type="dxa"/>
            <w:left w:w="108" w:type="dxa"/>
            <w:bottom w:w="0" w:type="dxa"/>
            <w:right w:w="108" w:type="dxa"/>
          </w:tblCellMar>
        </w:tblPrEx>
        <w:trPr>
          <w:trHeight w:val="28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B2B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2016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职工失业保险基金</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880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（30.52+10.45）×2%</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71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0.82 </w:t>
            </w:r>
          </w:p>
        </w:tc>
      </w:tr>
      <w:tr w14:paraId="5AE4FEC8">
        <w:tblPrEx>
          <w:tblCellMar>
            <w:top w:w="0" w:type="dxa"/>
            <w:left w:w="108" w:type="dxa"/>
            <w:bottom w:w="0" w:type="dxa"/>
            <w:right w:w="108" w:type="dxa"/>
          </w:tblCellMar>
        </w:tblPrEx>
        <w:trPr>
          <w:trHeight w:val="315"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041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(7)</w:t>
            </w: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BB6F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住房公积金</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59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（30.52+10.45）×8%</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193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3.28 </w:t>
            </w:r>
          </w:p>
        </w:tc>
      </w:tr>
      <w:tr w14:paraId="53E2278E">
        <w:tblPrEx>
          <w:tblCellMar>
            <w:top w:w="0" w:type="dxa"/>
            <w:left w:w="108" w:type="dxa"/>
            <w:bottom w:w="0" w:type="dxa"/>
            <w:right w:w="108" w:type="dxa"/>
          </w:tblCellMar>
        </w:tblPrEx>
        <w:trPr>
          <w:trHeight w:val="207" w:hRule="atLeast"/>
        </w:trPr>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F2F47">
            <w:pPr>
              <w:widowControl/>
              <w:adjustRightInd/>
              <w:snapToGrid/>
              <w:spacing w:line="240" w:lineRule="auto"/>
              <w:ind w:firstLine="0" w:firstLineChars="0"/>
              <w:jc w:val="center"/>
              <w:rPr>
                <w:rFonts w:cs="宋体"/>
                <w:color w:val="000000"/>
                <w:kern w:val="0"/>
                <w:sz w:val="20"/>
                <w:szCs w:val="20"/>
              </w:rPr>
            </w:pPr>
          </w:p>
        </w:tc>
        <w:tc>
          <w:tcPr>
            <w:tcW w:w="2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6A7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人工工日预算单价</w:t>
            </w:r>
          </w:p>
        </w:tc>
        <w:tc>
          <w:tcPr>
            <w:tcW w:w="3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4A5A">
            <w:pPr>
              <w:widowControl/>
              <w:adjustRightInd/>
              <w:snapToGrid/>
              <w:spacing w:line="240" w:lineRule="auto"/>
              <w:ind w:firstLine="0" w:firstLineChars="0"/>
              <w:jc w:val="center"/>
              <w:rPr>
                <w:rFonts w:cs="宋体"/>
                <w:color w:val="000000"/>
                <w:kern w:val="0"/>
                <w:sz w:val="20"/>
                <w:szCs w:val="20"/>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2BB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62.07 </w:t>
            </w:r>
          </w:p>
        </w:tc>
      </w:tr>
    </w:tbl>
    <w:p w14:paraId="65B98C1E">
      <w:pPr>
        <w:rPr>
          <w:rFonts w:hAnsi="仿宋"/>
        </w:rPr>
      </w:pPr>
    </w:p>
    <w:p w14:paraId="6DB726B6">
      <w:pPr>
        <w:rPr>
          <w:rFonts w:hAnsi="仿宋"/>
        </w:rPr>
      </w:pPr>
    </w:p>
    <w:p w14:paraId="298BF904">
      <w:pPr>
        <w:rPr>
          <w:rFonts w:hAnsi="仿宋"/>
        </w:rPr>
      </w:pPr>
    </w:p>
    <w:p w14:paraId="2A0D7F53">
      <w:pPr>
        <w:rPr>
          <w:rFonts w:hAnsi="仿宋"/>
        </w:rPr>
      </w:pPr>
    </w:p>
    <w:p w14:paraId="706BDFC1">
      <w:pPr>
        <w:rPr>
          <w:rFonts w:hAnsi="仿宋"/>
        </w:rPr>
      </w:pPr>
    </w:p>
    <w:p w14:paraId="78C569CB">
      <w:pPr>
        <w:rPr>
          <w:rFonts w:hAnsi="仿宋"/>
        </w:rPr>
      </w:pPr>
    </w:p>
    <w:p w14:paraId="1DAA0B77">
      <w:pPr>
        <w:rPr>
          <w:rFonts w:hAnsi="仿宋"/>
        </w:rPr>
      </w:pPr>
    </w:p>
    <w:p w14:paraId="0672E38B">
      <w:pPr>
        <w:rPr>
          <w:rFonts w:hAnsi="仿宋"/>
        </w:rPr>
      </w:pPr>
    </w:p>
    <w:p w14:paraId="2E9D0EFC">
      <w:pPr>
        <w:rPr>
          <w:rFonts w:hint="eastAsia" w:hAnsi="仿宋"/>
        </w:rPr>
      </w:pPr>
    </w:p>
    <w:p w14:paraId="16366D7C">
      <w:pPr>
        <w:rPr>
          <w:rFonts w:hint="eastAsia" w:hAnsi="仿宋"/>
        </w:rPr>
      </w:pPr>
    </w:p>
    <w:p w14:paraId="54F3054C">
      <w:pPr>
        <w:rPr>
          <w:rFonts w:hAnsi="仿宋"/>
        </w:rPr>
      </w:pPr>
    </w:p>
    <w:tbl>
      <w:tblPr>
        <w:tblStyle w:val="13"/>
        <w:tblW w:w="8295" w:type="dxa"/>
        <w:tblInd w:w="0" w:type="dxa"/>
        <w:tblLayout w:type="autofit"/>
        <w:tblCellMar>
          <w:top w:w="0" w:type="dxa"/>
          <w:left w:w="108" w:type="dxa"/>
          <w:bottom w:w="0" w:type="dxa"/>
          <w:right w:w="108" w:type="dxa"/>
        </w:tblCellMar>
      </w:tblPr>
      <w:tblGrid>
        <w:gridCol w:w="1126"/>
        <w:gridCol w:w="2857"/>
        <w:gridCol w:w="3305"/>
        <w:gridCol w:w="1007"/>
      </w:tblGrid>
      <w:tr w14:paraId="30E7C4D4">
        <w:tblPrEx>
          <w:tblCellMar>
            <w:top w:w="0" w:type="dxa"/>
            <w:left w:w="108" w:type="dxa"/>
            <w:bottom w:w="0" w:type="dxa"/>
            <w:right w:w="108" w:type="dxa"/>
          </w:tblCellMar>
        </w:tblPrEx>
        <w:trPr>
          <w:trHeight w:val="284" w:hRule="atLeast"/>
        </w:trPr>
        <w:tc>
          <w:tcPr>
            <w:tcW w:w="8295" w:type="dxa"/>
            <w:gridSpan w:val="4"/>
            <w:tcBorders>
              <w:top w:val="nil"/>
              <w:left w:val="nil"/>
              <w:bottom w:val="nil"/>
              <w:right w:val="nil"/>
            </w:tcBorders>
            <w:shd w:val="clear" w:color="auto" w:fill="auto"/>
            <w:noWrap/>
            <w:vAlign w:val="center"/>
          </w:tcPr>
          <w:p w14:paraId="7293F340">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人工预算单价计算表</w:t>
            </w:r>
          </w:p>
        </w:tc>
      </w:tr>
      <w:tr w14:paraId="603D8BC3">
        <w:tblPrEx>
          <w:tblCellMar>
            <w:top w:w="0" w:type="dxa"/>
            <w:left w:w="108" w:type="dxa"/>
            <w:bottom w:w="0" w:type="dxa"/>
            <w:right w:w="108" w:type="dxa"/>
          </w:tblCellMar>
        </w:tblPrEx>
        <w:trPr>
          <w:trHeight w:val="318" w:hRule="atLeast"/>
        </w:trPr>
        <w:tc>
          <w:tcPr>
            <w:tcW w:w="1126" w:type="dxa"/>
            <w:tcBorders>
              <w:top w:val="nil"/>
              <w:left w:val="nil"/>
              <w:bottom w:val="single" w:color="000000" w:sz="4" w:space="0"/>
              <w:right w:val="nil"/>
            </w:tcBorders>
            <w:shd w:val="clear" w:color="auto" w:fill="auto"/>
            <w:noWrap/>
            <w:vAlign w:val="center"/>
          </w:tcPr>
          <w:p w14:paraId="4676C61E">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附表2-2</w:t>
            </w:r>
          </w:p>
        </w:tc>
        <w:tc>
          <w:tcPr>
            <w:tcW w:w="2857" w:type="dxa"/>
            <w:tcBorders>
              <w:top w:val="nil"/>
              <w:left w:val="nil"/>
              <w:bottom w:val="single" w:color="000000" w:sz="4" w:space="0"/>
              <w:right w:val="nil"/>
            </w:tcBorders>
            <w:shd w:val="clear" w:color="auto" w:fill="auto"/>
            <w:noWrap/>
            <w:vAlign w:val="center"/>
          </w:tcPr>
          <w:p w14:paraId="559B4337">
            <w:pPr>
              <w:widowControl/>
              <w:adjustRightInd/>
              <w:snapToGrid/>
              <w:spacing w:line="240" w:lineRule="auto"/>
              <w:ind w:firstLine="0" w:firstLineChars="0"/>
              <w:jc w:val="left"/>
              <w:rPr>
                <w:rFonts w:cs="宋体"/>
                <w:color w:val="000000"/>
                <w:kern w:val="0"/>
                <w:sz w:val="20"/>
                <w:szCs w:val="20"/>
              </w:rPr>
            </w:pPr>
          </w:p>
        </w:tc>
        <w:tc>
          <w:tcPr>
            <w:tcW w:w="3305" w:type="dxa"/>
            <w:tcBorders>
              <w:top w:val="nil"/>
              <w:left w:val="nil"/>
              <w:bottom w:val="single" w:color="000000" w:sz="4" w:space="0"/>
              <w:right w:val="nil"/>
            </w:tcBorders>
            <w:shd w:val="clear" w:color="auto" w:fill="auto"/>
            <w:noWrap/>
            <w:vAlign w:val="center"/>
          </w:tcPr>
          <w:p w14:paraId="406E7869">
            <w:pPr>
              <w:widowControl/>
              <w:adjustRightInd/>
              <w:snapToGrid/>
              <w:spacing w:line="240" w:lineRule="auto"/>
              <w:ind w:firstLine="0" w:firstLineChars="0"/>
              <w:jc w:val="center"/>
              <w:rPr>
                <w:rFonts w:hAnsi="Times New Roman" w:cs="Times New Roman"/>
                <w:kern w:val="0"/>
                <w:sz w:val="20"/>
                <w:szCs w:val="20"/>
              </w:rPr>
            </w:pPr>
          </w:p>
        </w:tc>
        <w:tc>
          <w:tcPr>
            <w:tcW w:w="1005" w:type="dxa"/>
            <w:tcBorders>
              <w:top w:val="nil"/>
              <w:left w:val="nil"/>
              <w:bottom w:val="single" w:color="000000" w:sz="4" w:space="0"/>
              <w:right w:val="nil"/>
            </w:tcBorders>
            <w:shd w:val="clear" w:color="auto" w:fill="auto"/>
            <w:noWrap/>
            <w:vAlign w:val="center"/>
          </w:tcPr>
          <w:p w14:paraId="690E2F68">
            <w:pPr>
              <w:widowControl/>
              <w:adjustRightInd/>
              <w:snapToGrid/>
              <w:spacing w:line="240" w:lineRule="auto"/>
              <w:ind w:firstLine="0" w:firstLineChars="0"/>
              <w:jc w:val="center"/>
              <w:rPr>
                <w:rFonts w:hAnsi="Times New Roman" w:cs="Times New Roman"/>
                <w:kern w:val="0"/>
                <w:sz w:val="20"/>
                <w:szCs w:val="20"/>
              </w:rPr>
            </w:pPr>
          </w:p>
        </w:tc>
      </w:tr>
      <w:tr w14:paraId="4A0E489B">
        <w:tblPrEx>
          <w:tblCellMar>
            <w:top w:w="0" w:type="dxa"/>
            <w:left w:w="108" w:type="dxa"/>
            <w:bottom w:w="0" w:type="dxa"/>
            <w:right w:w="108" w:type="dxa"/>
          </w:tblCellMar>
        </w:tblPrEx>
        <w:trPr>
          <w:trHeight w:val="505"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8FA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地区类别</w:t>
            </w:r>
          </w:p>
        </w:tc>
        <w:tc>
          <w:tcPr>
            <w:tcW w:w="2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F55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十一类工资地区二类生活补贴区</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397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定额人工等级</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8EA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乙类工</w:t>
            </w:r>
          </w:p>
        </w:tc>
      </w:tr>
      <w:tr w14:paraId="5D4AF904">
        <w:tblPrEx>
          <w:tblCellMar>
            <w:top w:w="0" w:type="dxa"/>
            <w:left w:w="108" w:type="dxa"/>
            <w:bottom w:w="0" w:type="dxa"/>
            <w:right w:w="108" w:type="dxa"/>
          </w:tblCellMar>
        </w:tblPrEx>
        <w:trPr>
          <w:trHeight w:val="43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404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685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项目</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94B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计算式</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537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单价(元)</w:t>
            </w:r>
          </w:p>
        </w:tc>
      </w:tr>
      <w:tr w14:paraId="2D413161">
        <w:tblPrEx>
          <w:tblCellMar>
            <w:top w:w="0" w:type="dxa"/>
            <w:left w:w="108" w:type="dxa"/>
            <w:bottom w:w="0" w:type="dxa"/>
            <w:right w:w="108" w:type="dxa"/>
          </w:tblCellMar>
        </w:tblPrEx>
        <w:trPr>
          <w:trHeight w:val="235"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C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F107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基本工资</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FD4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445×1.1304×12÷（250-10）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07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25.15 </w:t>
            </w:r>
          </w:p>
        </w:tc>
      </w:tr>
      <w:tr w14:paraId="46A63911">
        <w:tblPrEx>
          <w:tblCellMar>
            <w:top w:w="0" w:type="dxa"/>
            <w:left w:w="108" w:type="dxa"/>
            <w:bottom w:w="0" w:type="dxa"/>
            <w:right w:w="108" w:type="dxa"/>
          </w:tblCellMar>
        </w:tblPrEx>
        <w:trPr>
          <w:trHeight w:val="12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027C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2F4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辅助工资</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D26B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(1)+(2)+(3)+(4)</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057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7.07 </w:t>
            </w:r>
          </w:p>
        </w:tc>
      </w:tr>
      <w:tr w14:paraId="0BAFB954">
        <w:tblPrEx>
          <w:tblCellMar>
            <w:top w:w="0" w:type="dxa"/>
            <w:left w:w="108" w:type="dxa"/>
            <w:bottom w:w="0" w:type="dxa"/>
            <w:right w:w="108" w:type="dxa"/>
          </w:tblCellMar>
        </w:tblPrEx>
        <w:trPr>
          <w:trHeight w:val="161"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24E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A90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地区津贴</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50B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73×12÷(250-10)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BFD4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3.65 </w:t>
            </w:r>
          </w:p>
        </w:tc>
      </w:tr>
      <w:tr w14:paraId="7B336E61">
        <w:tblPrEx>
          <w:tblCellMar>
            <w:top w:w="0" w:type="dxa"/>
            <w:left w:w="108" w:type="dxa"/>
            <w:bottom w:w="0" w:type="dxa"/>
            <w:right w:w="108" w:type="dxa"/>
          </w:tblCellMar>
        </w:tblPrEx>
        <w:trPr>
          <w:trHeight w:val="5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571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5FE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施工津贴</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27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2.0×365×0.95÷（250-10）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9627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2.89 </w:t>
            </w:r>
          </w:p>
        </w:tc>
      </w:tr>
      <w:tr w14:paraId="16F063F8">
        <w:tblPrEx>
          <w:tblCellMar>
            <w:top w:w="0" w:type="dxa"/>
            <w:left w:w="108" w:type="dxa"/>
            <w:bottom w:w="0" w:type="dxa"/>
            <w:right w:w="108" w:type="dxa"/>
          </w:tblCellMar>
        </w:tblPrEx>
        <w:trPr>
          <w:trHeight w:val="88"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E88C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338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夜餐津贴</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BE0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(4.5+3.5)÷2×0.05</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0A0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0.20 </w:t>
            </w:r>
          </w:p>
        </w:tc>
      </w:tr>
      <w:tr w14:paraId="60AB2B46">
        <w:tblPrEx>
          <w:tblCellMar>
            <w:top w:w="0" w:type="dxa"/>
            <w:left w:w="108" w:type="dxa"/>
            <w:bottom w:w="0" w:type="dxa"/>
            <w:right w:w="108" w:type="dxa"/>
          </w:tblCellMar>
        </w:tblPrEx>
        <w:trPr>
          <w:trHeight w:val="5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E82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0F4F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节日加班津贴</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232F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25.151×2×11÷250×0.15</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375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0.33 </w:t>
            </w:r>
          </w:p>
        </w:tc>
      </w:tr>
      <w:tr w14:paraId="027C6254">
        <w:tblPrEx>
          <w:tblCellMar>
            <w:top w:w="0" w:type="dxa"/>
            <w:left w:w="108" w:type="dxa"/>
            <w:bottom w:w="0" w:type="dxa"/>
            <w:right w:w="108" w:type="dxa"/>
          </w:tblCellMar>
        </w:tblPrEx>
        <w:trPr>
          <w:trHeight w:val="155"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80EB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9C9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工资附加费</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BB26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(1)+(2)+(3)+(4)+(5)+(6)+(7)</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150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16.59 </w:t>
            </w:r>
          </w:p>
        </w:tc>
      </w:tr>
      <w:tr w14:paraId="6568EBC8">
        <w:tblPrEx>
          <w:tblCellMar>
            <w:top w:w="0" w:type="dxa"/>
            <w:left w:w="108" w:type="dxa"/>
            <w:bottom w:w="0" w:type="dxa"/>
            <w:right w:w="108" w:type="dxa"/>
          </w:tblCellMar>
        </w:tblPrEx>
        <w:trPr>
          <w:trHeight w:val="189"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4D26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7D75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职工福利基金</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F80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（25.15+7.07）×14%</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F83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4.51 </w:t>
            </w:r>
          </w:p>
        </w:tc>
      </w:tr>
      <w:tr w14:paraId="06E22360">
        <w:tblPrEx>
          <w:tblCellMar>
            <w:top w:w="0" w:type="dxa"/>
            <w:left w:w="108" w:type="dxa"/>
            <w:bottom w:w="0" w:type="dxa"/>
            <w:right w:w="108" w:type="dxa"/>
          </w:tblCellMar>
        </w:tblPrEx>
        <w:trPr>
          <w:trHeight w:val="224"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526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78E0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工会经费</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C29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（25.15+7.07）×2%</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F41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0.64 </w:t>
            </w:r>
          </w:p>
        </w:tc>
      </w:tr>
      <w:tr w14:paraId="45BF6C43">
        <w:tblPrEx>
          <w:tblCellMar>
            <w:top w:w="0" w:type="dxa"/>
            <w:left w:w="108" w:type="dxa"/>
            <w:bottom w:w="0" w:type="dxa"/>
            <w:right w:w="108" w:type="dxa"/>
          </w:tblCellMar>
        </w:tblPrEx>
        <w:trPr>
          <w:trHeight w:val="115"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C78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917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养老保险费</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F71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（25.15+7.07）×20%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1E9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6.44 </w:t>
            </w:r>
          </w:p>
        </w:tc>
      </w:tr>
      <w:tr w14:paraId="13117CD9">
        <w:tblPrEx>
          <w:tblCellMar>
            <w:top w:w="0" w:type="dxa"/>
            <w:left w:w="108" w:type="dxa"/>
            <w:bottom w:w="0" w:type="dxa"/>
            <w:right w:w="108" w:type="dxa"/>
          </w:tblCellMar>
        </w:tblPrEx>
        <w:trPr>
          <w:trHeight w:val="291"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30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FA3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医疗保险费</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F32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（25.15+7.07）×4%</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518B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1.29 </w:t>
            </w:r>
          </w:p>
        </w:tc>
      </w:tr>
      <w:tr w14:paraId="374100AA">
        <w:tblPrEx>
          <w:tblCellMar>
            <w:top w:w="0" w:type="dxa"/>
            <w:left w:w="108" w:type="dxa"/>
            <w:bottom w:w="0" w:type="dxa"/>
            <w:right w:w="108" w:type="dxa"/>
          </w:tblCellMar>
        </w:tblPrEx>
        <w:trPr>
          <w:trHeight w:val="19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40F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023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工伤保险费</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FE4D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（25.15+7.07）×1.5%</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A300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0.48 </w:t>
            </w:r>
          </w:p>
        </w:tc>
      </w:tr>
      <w:tr w14:paraId="0FE9E8C4">
        <w:tblPrEx>
          <w:tblCellMar>
            <w:top w:w="0" w:type="dxa"/>
            <w:left w:w="108" w:type="dxa"/>
            <w:bottom w:w="0" w:type="dxa"/>
            <w:right w:w="108" w:type="dxa"/>
          </w:tblCellMar>
        </w:tblPrEx>
        <w:trPr>
          <w:trHeight w:val="217"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353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C86E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职工失业保险基金</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138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（25.15+7.07）×2%</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AD49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0.64 </w:t>
            </w:r>
          </w:p>
        </w:tc>
      </w:tr>
      <w:tr w14:paraId="36290B79">
        <w:tblPrEx>
          <w:tblCellMar>
            <w:top w:w="0" w:type="dxa"/>
            <w:left w:w="108" w:type="dxa"/>
            <w:bottom w:w="0" w:type="dxa"/>
            <w:right w:w="108" w:type="dxa"/>
          </w:tblCellMar>
        </w:tblPrEx>
        <w:trPr>
          <w:trHeight w:val="251"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671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(7)</w:t>
            </w: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7C16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住房公积金</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3DF5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（25.15+7.07)×8%</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BF2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2.58 </w:t>
            </w:r>
          </w:p>
        </w:tc>
      </w:tr>
      <w:tr w14:paraId="4E877F64">
        <w:tblPrEx>
          <w:tblCellMar>
            <w:top w:w="0" w:type="dxa"/>
            <w:left w:w="108" w:type="dxa"/>
            <w:bottom w:w="0" w:type="dxa"/>
            <w:right w:w="108" w:type="dxa"/>
          </w:tblCellMar>
        </w:tblPrEx>
        <w:trPr>
          <w:trHeight w:val="285" w:hRule="atLeast"/>
        </w:trPr>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DEC5">
            <w:pPr>
              <w:widowControl/>
              <w:adjustRightInd/>
              <w:snapToGrid/>
              <w:spacing w:line="240" w:lineRule="auto"/>
              <w:ind w:firstLine="0" w:firstLineChars="0"/>
              <w:jc w:val="center"/>
              <w:rPr>
                <w:rFonts w:cs="宋体"/>
                <w:color w:val="000000"/>
                <w:kern w:val="0"/>
                <w:sz w:val="20"/>
                <w:szCs w:val="20"/>
              </w:rPr>
            </w:pPr>
          </w:p>
        </w:tc>
        <w:tc>
          <w:tcPr>
            <w:tcW w:w="2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4262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人工工日预算单价</w:t>
            </w:r>
          </w:p>
        </w:tc>
        <w:tc>
          <w:tcPr>
            <w:tcW w:w="3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5FEF">
            <w:pPr>
              <w:widowControl/>
              <w:adjustRightInd/>
              <w:snapToGrid/>
              <w:spacing w:line="240" w:lineRule="auto"/>
              <w:ind w:firstLine="0" w:firstLineChars="0"/>
              <w:jc w:val="center"/>
              <w:rPr>
                <w:rFonts w:cs="宋体"/>
                <w:color w:val="000000"/>
                <w:kern w:val="0"/>
                <w:sz w:val="20"/>
                <w:szCs w:val="20"/>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555B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48.82 </w:t>
            </w:r>
          </w:p>
        </w:tc>
      </w:tr>
    </w:tbl>
    <w:p w14:paraId="65AC36D5">
      <w:pPr>
        <w:rPr>
          <w:rFonts w:hAnsi="仿宋"/>
        </w:rPr>
      </w:pPr>
    </w:p>
    <w:p w14:paraId="52B94685">
      <w:pPr>
        <w:rPr>
          <w:rFonts w:hAnsi="仿宋"/>
        </w:rPr>
      </w:pPr>
    </w:p>
    <w:p w14:paraId="67D59CC7">
      <w:pPr>
        <w:rPr>
          <w:rFonts w:hAnsi="仿宋"/>
        </w:rPr>
      </w:pPr>
    </w:p>
    <w:p w14:paraId="72FD0878">
      <w:pPr>
        <w:rPr>
          <w:rFonts w:hAnsi="仿宋"/>
        </w:rPr>
      </w:pPr>
    </w:p>
    <w:p w14:paraId="1F52EEA6">
      <w:pPr>
        <w:rPr>
          <w:rFonts w:hAnsi="仿宋"/>
        </w:rPr>
      </w:pPr>
    </w:p>
    <w:p w14:paraId="7050857F">
      <w:pPr>
        <w:rPr>
          <w:rFonts w:hAnsi="仿宋"/>
        </w:rPr>
      </w:pPr>
    </w:p>
    <w:p w14:paraId="12537BFF">
      <w:pPr>
        <w:rPr>
          <w:rFonts w:hAnsi="仿宋"/>
        </w:rPr>
      </w:pPr>
    </w:p>
    <w:p w14:paraId="2FDD6498">
      <w:pPr>
        <w:rPr>
          <w:rFonts w:hAnsi="仿宋"/>
        </w:rPr>
      </w:pPr>
    </w:p>
    <w:p w14:paraId="603E43C8">
      <w:pPr>
        <w:rPr>
          <w:rFonts w:hAnsi="仿宋"/>
        </w:rPr>
      </w:pPr>
    </w:p>
    <w:p w14:paraId="5B926F08">
      <w:pPr>
        <w:rPr>
          <w:rFonts w:hAnsi="仿宋"/>
        </w:rPr>
      </w:pPr>
    </w:p>
    <w:p w14:paraId="574B7BD1">
      <w:pPr>
        <w:rPr>
          <w:rFonts w:hint="eastAsia" w:hAnsi="仿宋"/>
        </w:rPr>
      </w:pPr>
    </w:p>
    <w:tbl>
      <w:tblPr>
        <w:tblStyle w:val="13"/>
        <w:tblW w:w="8251" w:type="dxa"/>
        <w:tblInd w:w="0" w:type="dxa"/>
        <w:tblLayout w:type="autofit"/>
        <w:tblCellMar>
          <w:top w:w="0" w:type="dxa"/>
          <w:left w:w="108" w:type="dxa"/>
          <w:bottom w:w="0" w:type="dxa"/>
          <w:right w:w="108" w:type="dxa"/>
        </w:tblCellMar>
      </w:tblPr>
      <w:tblGrid>
        <w:gridCol w:w="1928"/>
        <w:gridCol w:w="1722"/>
        <w:gridCol w:w="891"/>
        <w:gridCol w:w="1098"/>
        <w:gridCol w:w="1098"/>
        <w:gridCol w:w="1514"/>
      </w:tblGrid>
      <w:tr w14:paraId="2BA9BBB4">
        <w:tblPrEx>
          <w:tblCellMar>
            <w:top w:w="0" w:type="dxa"/>
            <w:left w:w="108" w:type="dxa"/>
            <w:bottom w:w="0" w:type="dxa"/>
            <w:right w:w="108" w:type="dxa"/>
          </w:tblCellMar>
        </w:tblPrEx>
        <w:trPr>
          <w:trHeight w:val="142" w:hRule="atLeast"/>
        </w:trPr>
        <w:tc>
          <w:tcPr>
            <w:tcW w:w="8251" w:type="dxa"/>
            <w:gridSpan w:val="6"/>
            <w:tcBorders>
              <w:top w:val="nil"/>
              <w:left w:val="nil"/>
              <w:bottom w:val="nil"/>
              <w:right w:val="nil"/>
            </w:tcBorders>
            <w:shd w:val="clear" w:color="auto" w:fill="FFFFFF"/>
            <w:noWrap/>
            <w:vAlign w:val="center"/>
          </w:tcPr>
          <w:p w14:paraId="32421198">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机械台班预算单价计算表</w:t>
            </w:r>
          </w:p>
        </w:tc>
      </w:tr>
      <w:tr w14:paraId="7146476B">
        <w:tblPrEx>
          <w:tblCellMar>
            <w:top w:w="0" w:type="dxa"/>
            <w:left w:w="108" w:type="dxa"/>
            <w:bottom w:w="0" w:type="dxa"/>
            <w:right w:w="108" w:type="dxa"/>
          </w:tblCellMar>
        </w:tblPrEx>
        <w:trPr>
          <w:trHeight w:val="318" w:hRule="atLeast"/>
        </w:trPr>
        <w:tc>
          <w:tcPr>
            <w:tcW w:w="1928" w:type="dxa"/>
            <w:tcBorders>
              <w:top w:val="nil"/>
              <w:left w:val="nil"/>
              <w:bottom w:val="nil"/>
              <w:right w:val="nil"/>
            </w:tcBorders>
            <w:shd w:val="clear" w:color="auto" w:fill="FFFFFF"/>
            <w:noWrap/>
            <w:vAlign w:val="center"/>
          </w:tcPr>
          <w:p w14:paraId="2992A6CF">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附表3-1</w:t>
            </w:r>
          </w:p>
        </w:tc>
        <w:tc>
          <w:tcPr>
            <w:tcW w:w="1722" w:type="dxa"/>
            <w:tcBorders>
              <w:top w:val="nil"/>
              <w:left w:val="nil"/>
              <w:bottom w:val="nil"/>
              <w:right w:val="nil"/>
            </w:tcBorders>
            <w:shd w:val="clear" w:color="auto" w:fill="FFFFFF"/>
            <w:noWrap/>
            <w:vAlign w:val="center"/>
          </w:tcPr>
          <w:p w14:paraId="7A16126F">
            <w:pPr>
              <w:widowControl/>
              <w:adjustRightInd/>
              <w:snapToGrid/>
              <w:spacing w:line="240" w:lineRule="auto"/>
              <w:ind w:firstLine="0" w:firstLineChars="0"/>
              <w:jc w:val="left"/>
              <w:rPr>
                <w:rFonts w:cs="宋体"/>
                <w:color w:val="000000"/>
                <w:kern w:val="0"/>
                <w:sz w:val="20"/>
                <w:szCs w:val="20"/>
              </w:rPr>
            </w:pPr>
          </w:p>
        </w:tc>
        <w:tc>
          <w:tcPr>
            <w:tcW w:w="891" w:type="dxa"/>
            <w:tcBorders>
              <w:top w:val="nil"/>
              <w:left w:val="nil"/>
              <w:bottom w:val="nil"/>
              <w:right w:val="nil"/>
            </w:tcBorders>
            <w:shd w:val="clear" w:color="auto" w:fill="FFFFFF"/>
            <w:noWrap/>
            <w:vAlign w:val="center"/>
          </w:tcPr>
          <w:p w14:paraId="3BCE3837">
            <w:pPr>
              <w:widowControl/>
              <w:adjustRightInd/>
              <w:snapToGrid/>
              <w:spacing w:line="240" w:lineRule="auto"/>
              <w:ind w:firstLine="0" w:firstLineChars="0"/>
              <w:jc w:val="center"/>
              <w:rPr>
                <w:rFonts w:hAnsi="Times New Roman" w:cs="Times New Roman"/>
                <w:kern w:val="0"/>
                <w:sz w:val="20"/>
                <w:szCs w:val="20"/>
              </w:rPr>
            </w:pPr>
          </w:p>
        </w:tc>
        <w:tc>
          <w:tcPr>
            <w:tcW w:w="1098" w:type="dxa"/>
            <w:tcBorders>
              <w:top w:val="nil"/>
              <w:left w:val="nil"/>
              <w:bottom w:val="nil"/>
              <w:right w:val="nil"/>
            </w:tcBorders>
            <w:shd w:val="clear" w:color="auto" w:fill="FFFFFF"/>
            <w:noWrap/>
            <w:vAlign w:val="center"/>
          </w:tcPr>
          <w:p w14:paraId="714F749D">
            <w:pPr>
              <w:widowControl/>
              <w:adjustRightInd/>
              <w:snapToGrid/>
              <w:spacing w:line="240" w:lineRule="auto"/>
              <w:ind w:firstLine="0" w:firstLineChars="0"/>
              <w:jc w:val="center"/>
              <w:rPr>
                <w:rFonts w:hAnsi="Times New Roman" w:cs="Times New Roman"/>
                <w:kern w:val="0"/>
                <w:sz w:val="20"/>
                <w:szCs w:val="20"/>
              </w:rPr>
            </w:pPr>
          </w:p>
        </w:tc>
        <w:tc>
          <w:tcPr>
            <w:tcW w:w="1098" w:type="dxa"/>
            <w:tcBorders>
              <w:top w:val="nil"/>
              <w:left w:val="nil"/>
              <w:bottom w:val="nil"/>
              <w:right w:val="nil"/>
            </w:tcBorders>
            <w:shd w:val="clear" w:color="auto" w:fill="FFFFFF"/>
            <w:noWrap/>
            <w:vAlign w:val="center"/>
          </w:tcPr>
          <w:p w14:paraId="103994B0">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nil"/>
              <w:left w:val="nil"/>
              <w:bottom w:val="nil"/>
              <w:right w:val="nil"/>
            </w:tcBorders>
            <w:shd w:val="clear" w:color="auto" w:fill="FFFFFF"/>
            <w:noWrap/>
            <w:vAlign w:val="center"/>
          </w:tcPr>
          <w:p w14:paraId="0C09DBEA">
            <w:pPr>
              <w:widowControl/>
              <w:adjustRightInd/>
              <w:snapToGrid/>
              <w:spacing w:line="240" w:lineRule="auto"/>
              <w:ind w:firstLine="0" w:firstLineChars="0"/>
              <w:jc w:val="center"/>
              <w:rPr>
                <w:rFonts w:hAnsi="Times New Roman" w:cs="Times New Roman"/>
                <w:kern w:val="0"/>
                <w:sz w:val="20"/>
                <w:szCs w:val="20"/>
              </w:rPr>
            </w:pPr>
          </w:p>
        </w:tc>
      </w:tr>
      <w:tr w14:paraId="76F45269">
        <w:tblPrEx>
          <w:tblCellMar>
            <w:top w:w="0" w:type="dxa"/>
            <w:left w:w="108" w:type="dxa"/>
            <w:bottom w:w="0" w:type="dxa"/>
            <w:right w:w="108" w:type="dxa"/>
          </w:tblCellMar>
        </w:tblPrEx>
        <w:trPr>
          <w:trHeight w:val="238" w:hRule="atLeast"/>
        </w:trPr>
        <w:tc>
          <w:tcPr>
            <w:tcW w:w="3650" w:type="dxa"/>
            <w:gridSpan w:val="2"/>
            <w:tcBorders>
              <w:top w:val="nil"/>
              <w:left w:val="nil"/>
              <w:bottom w:val="single" w:color="000000" w:sz="4" w:space="0"/>
              <w:right w:val="nil"/>
            </w:tcBorders>
            <w:shd w:val="clear" w:color="auto" w:fill="FFFFFF"/>
            <w:noWrap/>
            <w:vAlign w:val="center"/>
          </w:tcPr>
          <w:p w14:paraId="302EC28B">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定额编号:1018</w:t>
            </w:r>
          </w:p>
        </w:tc>
        <w:tc>
          <w:tcPr>
            <w:tcW w:w="1989" w:type="dxa"/>
            <w:gridSpan w:val="2"/>
            <w:tcBorders>
              <w:top w:val="nil"/>
              <w:left w:val="nil"/>
              <w:bottom w:val="single" w:color="000000" w:sz="4" w:space="0"/>
              <w:right w:val="nil"/>
            </w:tcBorders>
            <w:shd w:val="clear" w:color="auto" w:fill="FFFFFF"/>
            <w:noWrap/>
            <w:vAlign w:val="center"/>
          </w:tcPr>
          <w:p w14:paraId="0CEA0CE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   (推土机132KW)</w:t>
            </w:r>
          </w:p>
        </w:tc>
        <w:tc>
          <w:tcPr>
            <w:tcW w:w="2612" w:type="dxa"/>
            <w:gridSpan w:val="2"/>
            <w:tcBorders>
              <w:top w:val="nil"/>
              <w:left w:val="nil"/>
              <w:bottom w:val="single" w:color="000000" w:sz="4" w:space="0"/>
              <w:right w:val="nil"/>
            </w:tcBorders>
            <w:shd w:val="clear" w:color="auto" w:fill="FFFFFF"/>
            <w:noWrap/>
            <w:vAlign w:val="center"/>
          </w:tcPr>
          <w:p w14:paraId="09FE2C40">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金额单位:元</w:t>
            </w:r>
          </w:p>
        </w:tc>
      </w:tr>
      <w:tr w14:paraId="7327467A">
        <w:tblPrEx>
          <w:tblCellMar>
            <w:top w:w="0" w:type="dxa"/>
            <w:left w:w="108" w:type="dxa"/>
            <w:bottom w:w="0" w:type="dxa"/>
            <w:right w:w="108" w:type="dxa"/>
          </w:tblCellMar>
        </w:tblPrEx>
        <w:trPr>
          <w:trHeight w:val="120"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A8B1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5EE0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088C9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6F3E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C76D0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DD7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1F6D81A3">
        <w:tblPrEx>
          <w:tblCellMar>
            <w:top w:w="0" w:type="dxa"/>
            <w:left w:w="108" w:type="dxa"/>
            <w:bottom w:w="0" w:type="dxa"/>
            <w:right w:w="108" w:type="dxa"/>
          </w:tblCellMar>
        </w:tblPrEx>
        <w:trPr>
          <w:trHeight w:val="295"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C7B82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1419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一类费用</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DC38E">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3CA92">
            <w:pPr>
              <w:widowControl/>
              <w:adjustRightInd/>
              <w:snapToGrid/>
              <w:spacing w:line="240" w:lineRule="auto"/>
              <w:ind w:firstLine="0" w:firstLineChars="0"/>
              <w:jc w:val="center"/>
              <w:rPr>
                <w:rFonts w:hAnsi="Times New Roman" w:cs="Times New Roman"/>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F0E6A">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8EE6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460.40 </w:t>
            </w:r>
          </w:p>
        </w:tc>
      </w:tr>
      <w:tr w14:paraId="657ADEC8">
        <w:tblPrEx>
          <w:tblCellMar>
            <w:top w:w="0" w:type="dxa"/>
            <w:left w:w="108" w:type="dxa"/>
            <w:bottom w:w="0" w:type="dxa"/>
            <w:right w:w="108" w:type="dxa"/>
          </w:tblCellMar>
        </w:tblPrEx>
        <w:trPr>
          <w:trHeight w:val="5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31CD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70B2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二类费用</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47C5D">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3CC68">
            <w:pPr>
              <w:widowControl/>
              <w:adjustRightInd/>
              <w:snapToGrid/>
              <w:spacing w:line="240" w:lineRule="auto"/>
              <w:ind w:firstLine="0" w:firstLineChars="0"/>
              <w:jc w:val="center"/>
              <w:rPr>
                <w:rFonts w:hAnsi="Times New Roman" w:cs="Times New Roman"/>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59CB4">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986F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569.63 </w:t>
            </w:r>
          </w:p>
        </w:tc>
      </w:tr>
      <w:tr w14:paraId="58637E00">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C19BF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814A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C91E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4FD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2.00 </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0B4E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62.07 </w:t>
            </w: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97C5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124.13 </w:t>
            </w:r>
          </w:p>
        </w:tc>
      </w:tr>
      <w:tr w14:paraId="07F3298D">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E5BDE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278E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汽油</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5A5E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AD3FB">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31316">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FF0BB">
            <w:pPr>
              <w:widowControl/>
              <w:adjustRightInd/>
              <w:snapToGrid/>
              <w:spacing w:line="240" w:lineRule="auto"/>
              <w:ind w:firstLine="0" w:firstLineChars="0"/>
              <w:jc w:val="center"/>
              <w:rPr>
                <w:rFonts w:hAnsi="Times New Roman" w:cs="Times New Roman"/>
                <w:kern w:val="0"/>
                <w:sz w:val="20"/>
                <w:szCs w:val="20"/>
              </w:rPr>
            </w:pPr>
          </w:p>
        </w:tc>
      </w:tr>
      <w:tr w14:paraId="78CEF032">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DC41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967B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柴油</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D003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E404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99.00 </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4DF2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4.50 </w:t>
            </w: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0A7B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445.50 </w:t>
            </w:r>
          </w:p>
        </w:tc>
      </w:tr>
      <w:tr w14:paraId="13DDFCEC">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195D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F28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电</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298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kwh</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EA122">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861C7">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BF39F">
            <w:pPr>
              <w:widowControl/>
              <w:adjustRightInd/>
              <w:snapToGrid/>
              <w:spacing w:line="240" w:lineRule="auto"/>
              <w:ind w:firstLine="0" w:firstLineChars="0"/>
              <w:jc w:val="center"/>
              <w:rPr>
                <w:rFonts w:hAnsi="Times New Roman" w:cs="Times New Roman"/>
                <w:kern w:val="0"/>
                <w:sz w:val="20"/>
                <w:szCs w:val="20"/>
              </w:rPr>
            </w:pPr>
          </w:p>
        </w:tc>
      </w:tr>
      <w:tr w14:paraId="7C6CBE80">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3C9B4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D35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风</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A0191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05862">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B8232">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3E5C6F">
            <w:pPr>
              <w:widowControl/>
              <w:adjustRightInd/>
              <w:snapToGrid/>
              <w:spacing w:line="240" w:lineRule="auto"/>
              <w:ind w:firstLine="0" w:firstLineChars="0"/>
              <w:jc w:val="center"/>
              <w:rPr>
                <w:rFonts w:hAnsi="Times New Roman" w:cs="Times New Roman"/>
                <w:kern w:val="0"/>
                <w:sz w:val="20"/>
                <w:szCs w:val="20"/>
              </w:rPr>
            </w:pPr>
          </w:p>
        </w:tc>
      </w:tr>
      <w:tr w14:paraId="6E8A1E56">
        <w:tblPrEx>
          <w:tblCellMar>
            <w:top w:w="0" w:type="dxa"/>
            <w:left w:w="108" w:type="dxa"/>
            <w:bottom w:w="0" w:type="dxa"/>
            <w:right w:w="108" w:type="dxa"/>
          </w:tblCellMar>
        </w:tblPrEx>
        <w:trPr>
          <w:trHeight w:val="319" w:hRule="atLeast"/>
        </w:trPr>
        <w:tc>
          <w:tcPr>
            <w:tcW w:w="19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5385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17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F18D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水</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851E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B29D8">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8100E8">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CC262">
            <w:pPr>
              <w:widowControl/>
              <w:adjustRightInd/>
              <w:snapToGrid/>
              <w:spacing w:line="240" w:lineRule="auto"/>
              <w:ind w:firstLine="0" w:firstLineChars="0"/>
              <w:jc w:val="center"/>
              <w:rPr>
                <w:rFonts w:hAnsi="Times New Roman" w:cs="Times New Roman"/>
                <w:kern w:val="0"/>
                <w:sz w:val="20"/>
                <w:szCs w:val="20"/>
              </w:rPr>
            </w:pPr>
          </w:p>
        </w:tc>
      </w:tr>
      <w:tr w14:paraId="7DE4B690">
        <w:tblPrEx>
          <w:tblCellMar>
            <w:top w:w="0" w:type="dxa"/>
            <w:left w:w="108" w:type="dxa"/>
            <w:bottom w:w="0" w:type="dxa"/>
            <w:right w:w="108" w:type="dxa"/>
          </w:tblCellMar>
        </w:tblPrEx>
        <w:trPr>
          <w:trHeight w:val="319" w:hRule="atLeast"/>
        </w:trPr>
        <w:tc>
          <w:tcPr>
            <w:tcW w:w="36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BAC97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8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CEEC29">
            <w:pPr>
              <w:widowControl/>
              <w:adjustRightInd/>
              <w:snapToGrid/>
              <w:spacing w:line="240" w:lineRule="auto"/>
              <w:ind w:firstLine="0" w:firstLineChars="0"/>
              <w:jc w:val="center"/>
              <w:rPr>
                <w:rFonts w:cs="宋体"/>
                <w:color w:val="000000"/>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6C140">
            <w:pPr>
              <w:widowControl/>
              <w:adjustRightInd/>
              <w:snapToGrid/>
              <w:spacing w:line="240" w:lineRule="auto"/>
              <w:ind w:firstLine="0" w:firstLineChars="0"/>
              <w:jc w:val="center"/>
              <w:rPr>
                <w:rFonts w:hAnsi="Times New Roman" w:cs="Times New Roman"/>
                <w:kern w:val="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0A4DE">
            <w:pPr>
              <w:widowControl/>
              <w:adjustRightInd/>
              <w:snapToGrid/>
              <w:spacing w:line="240" w:lineRule="auto"/>
              <w:ind w:firstLine="0" w:firstLineChars="0"/>
              <w:jc w:val="center"/>
              <w:rPr>
                <w:rFonts w:hAnsi="Times New Roman" w:cs="Times New Roman"/>
                <w:kern w:val="0"/>
                <w:sz w:val="20"/>
                <w:szCs w:val="20"/>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1B2C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1030.03 </w:t>
            </w:r>
          </w:p>
        </w:tc>
      </w:tr>
    </w:tbl>
    <w:p w14:paraId="6A398CC2">
      <w:pPr>
        <w:rPr>
          <w:rFonts w:hAnsi="仿宋"/>
        </w:rPr>
      </w:pPr>
    </w:p>
    <w:p w14:paraId="620F9F51">
      <w:pPr>
        <w:rPr>
          <w:rFonts w:hAnsi="仿宋"/>
        </w:rPr>
      </w:pPr>
    </w:p>
    <w:p w14:paraId="080F159D">
      <w:pPr>
        <w:rPr>
          <w:rFonts w:hint="eastAsia" w:hAnsi="仿宋"/>
        </w:rPr>
      </w:pPr>
    </w:p>
    <w:tbl>
      <w:tblPr>
        <w:tblStyle w:val="13"/>
        <w:tblW w:w="8231" w:type="dxa"/>
        <w:tblInd w:w="0" w:type="dxa"/>
        <w:tblLayout w:type="autofit"/>
        <w:tblCellMar>
          <w:top w:w="0" w:type="dxa"/>
          <w:left w:w="108" w:type="dxa"/>
          <w:bottom w:w="0" w:type="dxa"/>
          <w:right w:w="108" w:type="dxa"/>
        </w:tblCellMar>
      </w:tblPr>
      <w:tblGrid>
        <w:gridCol w:w="1444"/>
        <w:gridCol w:w="1289"/>
        <w:gridCol w:w="668"/>
        <w:gridCol w:w="978"/>
        <w:gridCol w:w="823"/>
        <w:gridCol w:w="3029"/>
      </w:tblGrid>
      <w:tr w14:paraId="408E70DA">
        <w:tblPrEx>
          <w:tblCellMar>
            <w:top w:w="0" w:type="dxa"/>
            <w:left w:w="108" w:type="dxa"/>
            <w:bottom w:w="0" w:type="dxa"/>
            <w:right w:w="108" w:type="dxa"/>
          </w:tblCellMar>
        </w:tblPrEx>
        <w:trPr>
          <w:trHeight w:val="313" w:hRule="atLeast"/>
        </w:trPr>
        <w:tc>
          <w:tcPr>
            <w:tcW w:w="8231" w:type="dxa"/>
            <w:gridSpan w:val="6"/>
            <w:tcBorders>
              <w:top w:val="nil"/>
              <w:left w:val="nil"/>
              <w:bottom w:val="nil"/>
              <w:right w:val="nil"/>
            </w:tcBorders>
            <w:shd w:val="clear" w:color="auto" w:fill="FFFFFF"/>
            <w:noWrap/>
            <w:vAlign w:val="center"/>
          </w:tcPr>
          <w:p w14:paraId="57D5CFB6">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机械台班预算单价计算表</w:t>
            </w:r>
          </w:p>
        </w:tc>
      </w:tr>
      <w:tr w14:paraId="46251AD2">
        <w:tblPrEx>
          <w:tblCellMar>
            <w:top w:w="0" w:type="dxa"/>
            <w:left w:w="108" w:type="dxa"/>
            <w:bottom w:w="0" w:type="dxa"/>
            <w:right w:w="108" w:type="dxa"/>
          </w:tblCellMar>
        </w:tblPrEx>
        <w:trPr>
          <w:trHeight w:val="347" w:hRule="atLeast"/>
        </w:trPr>
        <w:tc>
          <w:tcPr>
            <w:tcW w:w="1444" w:type="dxa"/>
            <w:tcBorders>
              <w:top w:val="nil"/>
              <w:left w:val="nil"/>
              <w:bottom w:val="nil"/>
              <w:right w:val="nil"/>
            </w:tcBorders>
            <w:shd w:val="clear" w:color="auto" w:fill="FFFFFF"/>
            <w:noWrap/>
            <w:vAlign w:val="center"/>
          </w:tcPr>
          <w:p w14:paraId="338C3F13">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附表3-2</w:t>
            </w:r>
          </w:p>
        </w:tc>
        <w:tc>
          <w:tcPr>
            <w:tcW w:w="1288" w:type="dxa"/>
            <w:tcBorders>
              <w:top w:val="nil"/>
              <w:left w:val="nil"/>
              <w:bottom w:val="nil"/>
              <w:right w:val="nil"/>
            </w:tcBorders>
            <w:shd w:val="clear" w:color="auto" w:fill="FFFFFF"/>
            <w:noWrap/>
            <w:vAlign w:val="center"/>
          </w:tcPr>
          <w:p w14:paraId="265C9A9D">
            <w:pPr>
              <w:widowControl/>
              <w:adjustRightInd/>
              <w:snapToGrid/>
              <w:spacing w:line="240" w:lineRule="auto"/>
              <w:ind w:firstLine="0" w:firstLineChars="0"/>
              <w:jc w:val="left"/>
              <w:rPr>
                <w:rFonts w:cs="宋体"/>
                <w:color w:val="000000"/>
                <w:kern w:val="0"/>
                <w:sz w:val="20"/>
                <w:szCs w:val="20"/>
              </w:rPr>
            </w:pPr>
          </w:p>
        </w:tc>
        <w:tc>
          <w:tcPr>
            <w:tcW w:w="668" w:type="dxa"/>
            <w:tcBorders>
              <w:top w:val="nil"/>
              <w:left w:val="nil"/>
              <w:bottom w:val="nil"/>
              <w:right w:val="nil"/>
            </w:tcBorders>
            <w:shd w:val="clear" w:color="auto" w:fill="FFFFFF"/>
            <w:noWrap/>
            <w:vAlign w:val="center"/>
          </w:tcPr>
          <w:p w14:paraId="49A4434A">
            <w:pPr>
              <w:widowControl/>
              <w:adjustRightInd/>
              <w:snapToGrid/>
              <w:spacing w:line="240" w:lineRule="auto"/>
              <w:ind w:firstLine="0" w:firstLineChars="0"/>
              <w:jc w:val="center"/>
              <w:rPr>
                <w:rFonts w:hAnsi="Times New Roman" w:cs="Times New Roman"/>
                <w:kern w:val="0"/>
                <w:sz w:val="20"/>
                <w:szCs w:val="20"/>
              </w:rPr>
            </w:pPr>
          </w:p>
        </w:tc>
        <w:tc>
          <w:tcPr>
            <w:tcW w:w="978" w:type="dxa"/>
            <w:tcBorders>
              <w:top w:val="nil"/>
              <w:left w:val="nil"/>
              <w:bottom w:val="nil"/>
              <w:right w:val="nil"/>
            </w:tcBorders>
            <w:shd w:val="clear" w:color="auto" w:fill="FFFFFF"/>
            <w:noWrap/>
            <w:vAlign w:val="center"/>
          </w:tcPr>
          <w:p w14:paraId="3DB647F2">
            <w:pPr>
              <w:widowControl/>
              <w:adjustRightInd/>
              <w:snapToGrid/>
              <w:spacing w:line="240" w:lineRule="auto"/>
              <w:ind w:firstLine="0" w:firstLineChars="0"/>
              <w:jc w:val="center"/>
              <w:rPr>
                <w:rFonts w:hAnsi="Times New Roman" w:cs="Times New Roman"/>
                <w:kern w:val="0"/>
                <w:sz w:val="20"/>
                <w:szCs w:val="20"/>
              </w:rPr>
            </w:pPr>
          </w:p>
        </w:tc>
        <w:tc>
          <w:tcPr>
            <w:tcW w:w="823" w:type="dxa"/>
            <w:tcBorders>
              <w:top w:val="nil"/>
              <w:left w:val="nil"/>
              <w:bottom w:val="nil"/>
              <w:right w:val="nil"/>
            </w:tcBorders>
            <w:shd w:val="clear" w:color="auto" w:fill="FFFFFF"/>
            <w:noWrap/>
            <w:vAlign w:val="center"/>
          </w:tcPr>
          <w:p w14:paraId="14F2F57E">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nil"/>
              <w:left w:val="nil"/>
              <w:bottom w:val="nil"/>
              <w:right w:val="nil"/>
            </w:tcBorders>
            <w:shd w:val="clear" w:color="auto" w:fill="FFFFFF"/>
            <w:noWrap/>
            <w:vAlign w:val="center"/>
          </w:tcPr>
          <w:p w14:paraId="47C0AFCD">
            <w:pPr>
              <w:widowControl/>
              <w:adjustRightInd/>
              <w:snapToGrid/>
              <w:spacing w:line="240" w:lineRule="auto"/>
              <w:ind w:firstLine="0" w:firstLineChars="0"/>
              <w:jc w:val="center"/>
              <w:rPr>
                <w:rFonts w:hAnsi="Times New Roman" w:cs="Times New Roman"/>
                <w:kern w:val="0"/>
                <w:sz w:val="20"/>
                <w:szCs w:val="20"/>
              </w:rPr>
            </w:pPr>
          </w:p>
        </w:tc>
      </w:tr>
      <w:tr w14:paraId="6D4199C6">
        <w:tblPrEx>
          <w:tblCellMar>
            <w:top w:w="0" w:type="dxa"/>
            <w:left w:w="108" w:type="dxa"/>
            <w:bottom w:w="0" w:type="dxa"/>
            <w:right w:w="108" w:type="dxa"/>
          </w:tblCellMar>
        </w:tblPrEx>
        <w:trPr>
          <w:trHeight w:val="267" w:hRule="atLeast"/>
        </w:trPr>
        <w:tc>
          <w:tcPr>
            <w:tcW w:w="5202" w:type="dxa"/>
            <w:gridSpan w:val="5"/>
            <w:tcBorders>
              <w:top w:val="nil"/>
              <w:left w:val="nil"/>
              <w:bottom w:val="single" w:color="000000" w:sz="4" w:space="0"/>
              <w:right w:val="nil"/>
            </w:tcBorders>
            <w:shd w:val="clear" w:color="auto" w:fill="FFFFFF"/>
            <w:noWrap/>
            <w:vAlign w:val="center"/>
          </w:tcPr>
          <w:p w14:paraId="1882D1D8">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定额编号:1007               (单斗挖掘机 液压 2m</w:t>
            </w:r>
            <w:r>
              <w:rPr>
                <w:rFonts w:hint="eastAsia" w:cs="宋体"/>
                <w:color w:val="000000"/>
                <w:kern w:val="0"/>
                <w:sz w:val="20"/>
                <w:szCs w:val="20"/>
                <w:vertAlign w:val="superscript"/>
              </w:rPr>
              <w:t>3</w:t>
            </w:r>
            <w:r>
              <w:rPr>
                <w:rFonts w:hint="eastAsia" w:cs="宋体"/>
                <w:color w:val="000000"/>
                <w:kern w:val="0"/>
                <w:sz w:val="20"/>
                <w:szCs w:val="20"/>
              </w:rPr>
              <w:t>)</w:t>
            </w:r>
          </w:p>
        </w:tc>
        <w:tc>
          <w:tcPr>
            <w:tcW w:w="3028" w:type="dxa"/>
            <w:tcBorders>
              <w:top w:val="nil"/>
              <w:left w:val="nil"/>
              <w:bottom w:val="single" w:color="000000" w:sz="4" w:space="0"/>
              <w:right w:val="nil"/>
            </w:tcBorders>
            <w:shd w:val="clear" w:color="auto" w:fill="FFFFFF"/>
            <w:noWrap/>
            <w:vAlign w:val="center"/>
          </w:tcPr>
          <w:p w14:paraId="6DB8FFFE">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金额单位:元</w:t>
            </w:r>
          </w:p>
        </w:tc>
      </w:tr>
      <w:tr w14:paraId="141C1EB3">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52D5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9A9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FE774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3C59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1603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6118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21F4F755">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26FA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21D1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一类费用</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35A91">
            <w:pPr>
              <w:widowControl/>
              <w:adjustRightInd/>
              <w:snapToGrid/>
              <w:spacing w:line="240" w:lineRule="auto"/>
              <w:ind w:firstLine="0" w:firstLineChars="0"/>
              <w:jc w:val="center"/>
              <w:rPr>
                <w:rFonts w:cs="宋体"/>
                <w:color w:val="000000"/>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64AA3">
            <w:pPr>
              <w:widowControl/>
              <w:adjustRightInd/>
              <w:snapToGrid/>
              <w:spacing w:line="240" w:lineRule="auto"/>
              <w:ind w:firstLine="0" w:firstLineChars="0"/>
              <w:jc w:val="center"/>
              <w:rPr>
                <w:rFonts w:hAnsi="Times New Roman" w:cs="Times New Roman"/>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A2084">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E1E7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796.89 </w:t>
            </w:r>
          </w:p>
        </w:tc>
      </w:tr>
      <w:tr w14:paraId="7D826277">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141D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76CF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二类费用</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ADD85">
            <w:pPr>
              <w:widowControl/>
              <w:adjustRightInd/>
              <w:snapToGrid/>
              <w:spacing w:line="240" w:lineRule="auto"/>
              <w:ind w:firstLine="0" w:firstLineChars="0"/>
              <w:jc w:val="center"/>
              <w:rPr>
                <w:rFonts w:cs="宋体"/>
                <w:color w:val="000000"/>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12936">
            <w:pPr>
              <w:widowControl/>
              <w:adjustRightInd/>
              <w:snapToGrid/>
              <w:spacing w:line="240" w:lineRule="auto"/>
              <w:ind w:firstLine="0" w:firstLineChars="0"/>
              <w:jc w:val="center"/>
              <w:rPr>
                <w:rFonts w:hAnsi="Times New Roman" w:cs="Times New Roman"/>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6B3B1">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8542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578.63 </w:t>
            </w:r>
          </w:p>
        </w:tc>
      </w:tr>
      <w:tr w14:paraId="240F53D6">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875C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C1C0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B26B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9C22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2.00 </w:t>
            </w: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A336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62.07 </w:t>
            </w: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3B9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124.13 </w:t>
            </w:r>
          </w:p>
        </w:tc>
      </w:tr>
      <w:tr w14:paraId="1D102DF1">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FF4F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642E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汽油</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0C21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4204B">
            <w:pPr>
              <w:widowControl/>
              <w:adjustRightInd/>
              <w:snapToGrid/>
              <w:spacing w:line="240" w:lineRule="auto"/>
              <w:ind w:firstLine="0" w:firstLineChars="0"/>
              <w:jc w:val="center"/>
              <w:rPr>
                <w:rFonts w:cs="宋体"/>
                <w:color w:val="000000"/>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788A1">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168D9">
            <w:pPr>
              <w:widowControl/>
              <w:adjustRightInd/>
              <w:snapToGrid/>
              <w:spacing w:line="240" w:lineRule="auto"/>
              <w:ind w:firstLine="0" w:firstLineChars="0"/>
              <w:jc w:val="center"/>
              <w:rPr>
                <w:rFonts w:hAnsi="Times New Roman" w:cs="Times New Roman"/>
                <w:kern w:val="0"/>
                <w:sz w:val="20"/>
                <w:szCs w:val="20"/>
              </w:rPr>
            </w:pPr>
          </w:p>
        </w:tc>
      </w:tr>
      <w:tr w14:paraId="0B22F30F">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F399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205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柴油</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2C0A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4AFE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101.00 </w:t>
            </w: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D6C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4.50 </w:t>
            </w: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B5E0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454.50 </w:t>
            </w:r>
          </w:p>
        </w:tc>
      </w:tr>
      <w:tr w14:paraId="1675F308">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D349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6B0A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电</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38ED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kwh</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CCE32">
            <w:pPr>
              <w:widowControl/>
              <w:adjustRightInd/>
              <w:snapToGrid/>
              <w:spacing w:line="240" w:lineRule="auto"/>
              <w:ind w:firstLine="0" w:firstLineChars="0"/>
              <w:jc w:val="center"/>
              <w:rPr>
                <w:rFonts w:cs="宋体"/>
                <w:color w:val="000000"/>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EFBBA">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BE4D2">
            <w:pPr>
              <w:widowControl/>
              <w:adjustRightInd/>
              <w:snapToGrid/>
              <w:spacing w:line="240" w:lineRule="auto"/>
              <w:ind w:firstLine="0" w:firstLineChars="0"/>
              <w:jc w:val="center"/>
              <w:rPr>
                <w:rFonts w:hAnsi="Times New Roman" w:cs="Times New Roman"/>
                <w:kern w:val="0"/>
                <w:sz w:val="20"/>
                <w:szCs w:val="20"/>
              </w:rPr>
            </w:pPr>
          </w:p>
        </w:tc>
      </w:tr>
      <w:tr w14:paraId="4793CBFD">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929D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7C05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风</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B17F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42F4FD">
            <w:pPr>
              <w:widowControl/>
              <w:adjustRightInd/>
              <w:snapToGrid/>
              <w:spacing w:line="240" w:lineRule="auto"/>
              <w:ind w:firstLine="0" w:firstLineChars="0"/>
              <w:jc w:val="center"/>
              <w:rPr>
                <w:rFonts w:cs="宋体"/>
                <w:color w:val="000000"/>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D565D">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7206E">
            <w:pPr>
              <w:widowControl/>
              <w:adjustRightInd/>
              <w:snapToGrid/>
              <w:spacing w:line="240" w:lineRule="auto"/>
              <w:ind w:firstLine="0" w:firstLineChars="0"/>
              <w:jc w:val="center"/>
              <w:rPr>
                <w:rFonts w:hAnsi="Times New Roman" w:cs="Times New Roman"/>
                <w:kern w:val="0"/>
                <w:sz w:val="20"/>
                <w:szCs w:val="20"/>
              </w:rPr>
            </w:pPr>
          </w:p>
        </w:tc>
      </w:tr>
      <w:tr w14:paraId="0142AF22">
        <w:tblPrEx>
          <w:tblCellMar>
            <w:top w:w="0" w:type="dxa"/>
            <w:left w:w="108" w:type="dxa"/>
            <w:bottom w:w="0" w:type="dxa"/>
            <w:right w:w="108" w:type="dxa"/>
          </w:tblCellMar>
        </w:tblPrEx>
        <w:trPr>
          <w:trHeight w:val="304" w:hRule="atLeast"/>
        </w:trPr>
        <w:tc>
          <w:tcPr>
            <w:tcW w:w="14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5935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12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114D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水</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95F7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00628">
            <w:pPr>
              <w:widowControl/>
              <w:adjustRightInd/>
              <w:snapToGrid/>
              <w:spacing w:line="240" w:lineRule="auto"/>
              <w:ind w:firstLine="0" w:firstLineChars="0"/>
              <w:jc w:val="center"/>
              <w:rPr>
                <w:rFonts w:cs="宋体"/>
                <w:color w:val="000000"/>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93A00">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2C314">
            <w:pPr>
              <w:widowControl/>
              <w:adjustRightInd/>
              <w:snapToGrid/>
              <w:spacing w:line="240" w:lineRule="auto"/>
              <w:ind w:firstLine="0" w:firstLineChars="0"/>
              <w:jc w:val="center"/>
              <w:rPr>
                <w:rFonts w:hAnsi="Times New Roman" w:cs="Times New Roman"/>
                <w:kern w:val="0"/>
                <w:sz w:val="20"/>
                <w:szCs w:val="20"/>
              </w:rPr>
            </w:pPr>
          </w:p>
        </w:tc>
      </w:tr>
      <w:tr w14:paraId="384DA81A">
        <w:tblPrEx>
          <w:tblCellMar>
            <w:top w:w="0" w:type="dxa"/>
            <w:left w:w="108" w:type="dxa"/>
            <w:bottom w:w="0" w:type="dxa"/>
            <w:right w:w="108" w:type="dxa"/>
          </w:tblCellMar>
        </w:tblPrEx>
        <w:trPr>
          <w:trHeight w:val="304"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56F2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6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6607E">
            <w:pPr>
              <w:widowControl/>
              <w:adjustRightInd/>
              <w:snapToGrid/>
              <w:spacing w:line="240" w:lineRule="auto"/>
              <w:ind w:firstLine="0" w:firstLineChars="0"/>
              <w:jc w:val="center"/>
              <w:rPr>
                <w:rFonts w:cs="宋体"/>
                <w:color w:val="000000"/>
                <w:kern w:val="0"/>
                <w:sz w:val="20"/>
                <w:szCs w:val="20"/>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0BD08">
            <w:pPr>
              <w:widowControl/>
              <w:adjustRightInd/>
              <w:snapToGrid/>
              <w:spacing w:line="240" w:lineRule="auto"/>
              <w:ind w:firstLine="0" w:firstLineChars="0"/>
              <w:jc w:val="center"/>
              <w:rPr>
                <w:rFonts w:hAnsi="Times New Roman" w:cs="Times New Roman"/>
                <w:kern w:val="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0AE07">
            <w:pPr>
              <w:widowControl/>
              <w:adjustRightInd/>
              <w:snapToGrid/>
              <w:spacing w:line="240" w:lineRule="auto"/>
              <w:ind w:firstLine="0" w:firstLineChars="0"/>
              <w:jc w:val="center"/>
              <w:rPr>
                <w:rFonts w:hAnsi="Times New Roman" w:cs="Times New Roman"/>
                <w:kern w:val="0"/>
                <w:sz w:val="20"/>
                <w:szCs w:val="20"/>
              </w:rPr>
            </w:pPr>
          </w:p>
        </w:tc>
        <w:tc>
          <w:tcPr>
            <w:tcW w:w="30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11F6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1375.52 </w:t>
            </w:r>
          </w:p>
        </w:tc>
      </w:tr>
    </w:tbl>
    <w:p w14:paraId="0C87743F">
      <w:pPr>
        <w:rPr>
          <w:rFonts w:hAnsi="仿宋"/>
        </w:rPr>
      </w:pPr>
    </w:p>
    <w:p w14:paraId="51DFE056">
      <w:pPr>
        <w:rPr>
          <w:rFonts w:hAnsi="仿宋"/>
        </w:rPr>
      </w:pPr>
    </w:p>
    <w:p w14:paraId="7804B05B">
      <w:pPr>
        <w:rPr>
          <w:rFonts w:hint="eastAsia" w:hAnsi="仿宋"/>
        </w:rPr>
      </w:pPr>
    </w:p>
    <w:p w14:paraId="1C08400C">
      <w:pPr>
        <w:rPr>
          <w:rFonts w:hint="eastAsia" w:hAnsi="仿宋"/>
        </w:rPr>
      </w:pPr>
    </w:p>
    <w:tbl>
      <w:tblPr>
        <w:tblStyle w:val="13"/>
        <w:tblW w:w="8231" w:type="dxa"/>
        <w:tblInd w:w="0" w:type="dxa"/>
        <w:tblLayout w:type="autofit"/>
        <w:tblCellMar>
          <w:top w:w="0" w:type="dxa"/>
          <w:left w:w="108" w:type="dxa"/>
          <w:bottom w:w="0" w:type="dxa"/>
          <w:right w:w="108" w:type="dxa"/>
        </w:tblCellMar>
      </w:tblPr>
      <w:tblGrid>
        <w:gridCol w:w="2025"/>
        <w:gridCol w:w="1807"/>
        <w:gridCol w:w="936"/>
        <w:gridCol w:w="1154"/>
        <w:gridCol w:w="936"/>
        <w:gridCol w:w="1373"/>
      </w:tblGrid>
      <w:tr w14:paraId="05279F37">
        <w:tblPrEx>
          <w:tblCellMar>
            <w:top w:w="0" w:type="dxa"/>
            <w:left w:w="108" w:type="dxa"/>
            <w:bottom w:w="0" w:type="dxa"/>
            <w:right w:w="108" w:type="dxa"/>
          </w:tblCellMar>
        </w:tblPrEx>
        <w:trPr>
          <w:trHeight w:val="132" w:hRule="atLeast"/>
        </w:trPr>
        <w:tc>
          <w:tcPr>
            <w:tcW w:w="8231" w:type="dxa"/>
            <w:gridSpan w:val="6"/>
            <w:tcBorders>
              <w:top w:val="single" w:color="000000" w:sz="4" w:space="0"/>
              <w:left w:val="nil"/>
              <w:bottom w:val="nil"/>
              <w:right w:val="nil"/>
            </w:tcBorders>
            <w:shd w:val="clear" w:color="auto" w:fill="auto"/>
            <w:noWrap/>
            <w:vAlign w:val="center"/>
          </w:tcPr>
          <w:p w14:paraId="1A27D51E">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机械台班预算单价计算表</w:t>
            </w:r>
          </w:p>
        </w:tc>
      </w:tr>
      <w:tr w14:paraId="66F4FE5A">
        <w:tblPrEx>
          <w:tblCellMar>
            <w:top w:w="0" w:type="dxa"/>
            <w:left w:w="108" w:type="dxa"/>
            <w:bottom w:w="0" w:type="dxa"/>
            <w:right w:w="108" w:type="dxa"/>
          </w:tblCellMar>
        </w:tblPrEx>
        <w:trPr>
          <w:trHeight w:val="177" w:hRule="atLeast"/>
        </w:trPr>
        <w:tc>
          <w:tcPr>
            <w:tcW w:w="2025" w:type="dxa"/>
            <w:tcBorders>
              <w:top w:val="nil"/>
              <w:left w:val="nil"/>
              <w:bottom w:val="nil"/>
              <w:right w:val="nil"/>
            </w:tcBorders>
            <w:shd w:val="clear" w:color="auto" w:fill="auto"/>
            <w:noWrap/>
            <w:vAlign w:val="center"/>
          </w:tcPr>
          <w:p w14:paraId="5C13C71D">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附表3-3</w:t>
            </w:r>
          </w:p>
        </w:tc>
        <w:tc>
          <w:tcPr>
            <w:tcW w:w="1807" w:type="dxa"/>
            <w:tcBorders>
              <w:top w:val="nil"/>
              <w:left w:val="nil"/>
              <w:bottom w:val="nil"/>
              <w:right w:val="nil"/>
            </w:tcBorders>
            <w:shd w:val="clear" w:color="auto" w:fill="auto"/>
            <w:noWrap/>
            <w:vAlign w:val="center"/>
          </w:tcPr>
          <w:p w14:paraId="7DCA7DF8">
            <w:pPr>
              <w:widowControl/>
              <w:adjustRightInd/>
              <w:snapToGrid/>
              <w:spacing w:line="240" w:lineRule="auto"/>
              <w:ind w:firstLine="0" w:firstLineChars="0"/>
              <w:jc w:val="left"/>
              <w:rPr>
                <w:rFonts w:cs="宋体"/>
                <w:color w:val="000000"/>
                <w:kern w:val="0"/>
                <w:sz w:val="20"/>
                <w:szCs w:val="20"/>
              </w:rPr>
            </w:pPr>
          </w:p>
        </w:tc>
        <w:tc>
          <w:tcPr>
            <w:tcW w:w="936" w:type="dxa"/>
            <w:tcBorders>
              <w:top w:val="nil"/>
              <w:left w:val="nil"/>
              <w:bottom w:val="nil"/>
              <w:right w:val="nil"/>
            </w:tcBorders>
            <w:shd w:val="clear" w:color="auto" w:fill="auto"/>
            <w:noWrap/>
            <w:vAlign w:val="center"/>
          </w:tcPr>
          <w:p w14:paraId="5C4F9C83">
            <w:pPr>
              <w:widowControl/>
              <w:adjustRightInd/>
              <w:snapToGrid/>
              <w:spacing w:line="240" w:lineRule="auto"/>
              <w:ind w:firstLine="0" w:firstLineChars="0"/>
              <w:jc w:val="center"/>
              <w:rPr>
                <w:rFonts w:hAnsi="Times New Roman" w:cs="Times New Roman"/>
                <w:kern w:val="0"/>
                <w:sz w:val="20"/>
                <w:szCs w:val="20"/>
              </w:rPr>
            </w:pPr>
          </w:p>
        </w:tc>
        <w:tc>
          <w:tcPr>
            <w:tcW w:w="1154" w:type="dxa"/>
            <w:tcBorders>
              <w:top w:val="nil"/>
              <w:left w:val="nil"/>
              <w:bottom w:val="nil"/>
              <w:right w:val="nil"/>
            </w:tcBorders>
            <w:shd w:val="clear" w:color="auto" w:fill="auto"/>
            <w:noWrap/>
            <w:vAlign w:val="center"/>
          </w:tcPr>
          <w:p w14:paraId="75342C85">
            <w:pPr>
              <w:widowControl/>
              <w:adjustRightInd/>
              <w:snapToGrid/>
              <w:spacing w:line="240" w:lineRule="auto"/>
              <w:ind w:firstLine="0" w:firstLineChars="0"/>
              <w:jc w:val="center"/>
              <w:rPr>
                <w:rFonts w:hAnsi="Times New Roman" w:cs="Times New Roman"/>
                <w:kern w:val="0"/>
                <w:sz w:val="20"/>
                <w:szCs w:val="20"/>
              </w:rPr>
            </w:pPr>
          </w:p>
        </w:tc>
        <w:tc>
          <w:tcPr>
            <w:tcW w:w="936" w:type="dxa"/>
            <w:tcBorders>
              <w:top w:val="nil"/>
              <w:left w:val="nil"/>
              <w:bottom w:val="nil"/>
              <w:right w:val="nil"/>
            </w:tcBorders>
            <w:shd w:val="clear" w:color="auto" w:fill="auto"/>
            <w:noWrap/>
            <w:vAlign w:val="center"/>
          </w:tcPr>
          <w:p w14:paraId="6D9CEFD6">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nil"/>
              <w:left w:val="nil"/>
              <w:bottom w:val="nil"/>
              <w:right w:val="nil"/>
            </w:tcBorders>
            <w:shd w:val="clear" w:color="auto" w:fill="auto"/>
            <w:noWrap/>
            <w:vAlign w:val="center"/>
          </w:tcPr>
          <w:p w14:paraId="38A9D8F5">
            <w:pPr>
              <w:widowControl/>
              <w:adjustRightInd/>
              <w:snapToGrid/>
              <w:spacing w:line="240" w:lineRule="auto"/>
              <w:ind w:firstLine="0" w:firstLineChars="0"/>
              <w:jc w:val="center"/>
              <w:rPr>
                <w:rFonts w:hAnsi="Times New Roman" w:cs="Times New Roman"/>
                <w:kern w:val="0"/>
                <w:sz w:val="20"/>
                <w:szCs w:val="20"/>
              </w:rPr>
            </w:pPr>
          </w:p>
        </w:tc>
      </w:tr>
      <w:tr w14:paraId="6BF9A761">
        <w:tblPrEx>
          <w:tblCellMar>
            <w:top w:w="0" w:type="dxa"/>
            <w:left w:w="108" w:type="dxa"/>
            <w:bottom w:w="0" w:type="dxa"/>
            <w:right w:w="108" w:type="dxa"/>
          </w:tblCellMar>
        </w:tblPrEx>
        <w:trPr>
          <w:trHeight w:val="224" w:hRule="atLeast"/>
        </w:trPr>
        <w:tc>
          <w:tcPr>
            <w:tcW w:w="3832" w:type="dxa"/>
            <w:gridSpan w:val="2"/>
            <w:tcBorders>
              <w:top w:val="nil"/>
              <w:left w:val="nil"/>
              <w:bottom w:val="single" w:color="000000" w:sz="4" w:space="0"/>
              <w:right w:val="nil"/>
            </w:tcBorders>
            <w:shd w:val="clear" w:color="auto" w:fill="auto"/>
            <w:noWrap/>
            <w:vAlign w:val="center"/>
          </w:tcPr>
          <w:p w14:paraId="5FCEAA3F">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定额编号:1013</w:t>
            </w:r>
          </w:p>
        </w:tc>
        <w:tc>
          <w:tcPr>
            <w:tcW w:w="2090" w:type="dxa"/>
            <w:gridSpan w:val="2"/>
            <w:tcBorders>
              <w:top w:val="nil"/>
              <w:left w:val="nil"/>
              <w:bottom w:val="single" w:color="000000" w:sz="4" w:space="0"/>
              <w:right w:val="nil"/>
            </w:tcBorders>
            <w:shd w:val="clear" w:color="auto" w:fill="auto"/>
            <w:noWrap/>
            <w:vAlign w:val="center"/>
          </w:tcPr>
          <w:p w14:paraId="16660DC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   (推土机59kw)</w:t>
            </w:r>
          </w:p>
        </w:tc>
        <w:tc>
          <w:tcPr>
            <w:tcW w:w="2309" w:type="dxa"/>
            <w:gridSpan w:val="2"/>
            <w:tcBorders>
              <w:top w:val="nil"/>
              <w:left w:val="nil"/>
              <w:bottom w:val="single" w:color="000000" w:sz="4" w:space="0"/>
              <w:right w:val="nil"/>
            </w:tcBorders>
            <w:shd w:val="clear" w:color="auto" w:fill="auto"/>
            <w:noWrap/>
            <w:vAlign w:val="center"/>
          </w:tcPr>
          <w:p w14:paraId="642B4B6E">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金额单位:元</w:t>
            </w:r>
          </w:p>
        </w:tc>
      </w:tr>
      <w:tr w14:paraId="3DD0B00A">
        <w:tblPrEx>
          <w:tblCellMar>
            <w:top w:w="0" w:type="dxa"/>
            <w:left w:w="108" w:type="dxa"/>
            <w:bottom w:w="0" w:type="dxa"/>
            <w:right w:w="108" w:type="dxa"/>
          </w:tblCellMar>
        </w:tblPrEx>
        <w:trPr>
          <w:trHeight w:val="262"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72E1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4FD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BDA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2BC5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B3F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5F54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52FFE1B2">
        <w:tblPrEx>
          <w:tblCellMar>
            <w:top w:w="0" w:type="dxa"/>
            <w:left w:w="108" w:type="dxa"/>
            <w:bottom w:w="0" w:type="dxa"/>
            <w:right w:w="108" w:type="dxa"/>
          </w:tblCellMar>
        </w:tblPrEx>
        <w:trPr>
          <w:trHeight w:val="140"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E4F7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6E4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一类费用</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A922">
            <w:pPr>
              <w:widowControl/>
              <w:adjustRightInd/>
              <w:snapToGrid/>
              <w:spacing w:line="240" w:lineRule="auto"/>
              <w:ind w:firstLine="0" w:firstLineChars="0"/>
              <w:jc w:val="center"/>
              <w:rPr>
                <w:rFonts w:cs="宋体"/>
                <w:color w:val="000000"/>
                <w:kern w:val="0"/>
                <w:sz w:val="20"/>
                <w:szCs w:val="20"/>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F4342">
            <w:pPr>
              <w:widowControl/>
              <w:adjustRightInd/>
              <w:snapToGrid/>
              <w:spacing w:line="240" w:lineRule="auto"/>
              <w:ind w:firstLine="0" w:firstLineChars="0"/>
              <w:jc w:val="center"/>
              <w:rPr>
                <w:rFonts w:hAnsi="Times New Roman" w:cs="Times New Roman"/>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26DF">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286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75.46 </w:t>
            </w:r>
          </w:p>
        </w:tc>
      </w:tr>
      <w:tr w14:paraId="07552C1E">
        <w:tblPrEx>
          <w:tblCellMar>
            <w:top w:w="0" w:type="dxa"/>
            <w:left w:w="108" w:type="dxa"/>
            <w:bottom w:w="0" w:type="dxa"/>
            <w:right w:w="108" w:type="dxa"/>
          </w:tblCellMar>
        </w:tblPrEx>
        <w:trPr>
          <w:trHeight w:val="187"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4C6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8E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二类费用</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C0325">
            <w:pPr>
              <w:widowControl/>
              <w:adjustRightInd/>
              <w:snapToGrid/>
              <w:spacing w:line="240" w:lineRule="auto"/>
              <w:ind w:firstLine="0" w:firstLineChars="0"/>
              <w:jc w:val="center"/>
              <w:rPr>
                <w:rFonts w:cs="宋体"/>
                <w:color w:val="000000"/>
                <w:kern w:val="0"/>
                <w:sz w:val="20"/>
                <w:szCs w:val="20"/>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9D41">
            <w:pPr>
              <w:widowControl/>
              <w:adjustRightInd/>
              <w:snapToGrid/>
              <w:spacing w:line="240" w:lineRule="auto"/>
              <w:ind w:firstLine="0" w:firstLineChars="0"/>
              <w:jc w:val="center"/>
              <w:rPr>
                <w:rFonts w:hAnsi="Times New Roman" w:cs="Times New Roman"/>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6F01">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29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198.00 </w:t>
            </w:r>
          </w:p>
        </w:tc>
      </w:tr>
      <w:tr w14:paraId="63ED03F3">
        <w:tblPrEx>
          <w:tblCellMar>
            <w:top w:w="0" w:type="dxa"/>
            <w:left w:w="108" w:type="dxa"/>
            <w:bottom w:w="0" w:type="dxa"/>
            <w:right w:w="108" w:type="dxa"/>
          </w:tblCellMar>
        </w:tblPrEx>
        <w:trPr>
          <w:trHeight w:val="207"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A38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B9D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322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F8DC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2.00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116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0.00 </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EE9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0.00 </w:t>
            </w:r>
          </w:p>
        </w:tc>
      </w:tr>
      <w:tr w14:paraId="51F62D56">
        <w:tblPrEx>
          <w:tblCellMar>
            <w:top w:w="0" w:type="dxa"/>
            <w:left w:w="108" w:type="dxa"/>
            <w:bottom w:w="0" w:type="dxa"/>
            <w:right w:w="108" w:type="dxa"/>
          </w:tblCellMar>
        </w:tblPrEx>
        <w:trPr>
          <w:trHeight w:val="114"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D6D1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408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汽油</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832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A3ED">
            <w:pPr>
              <w:widowControl/>
              <w:adjustRightInd/>
              <w:snapToGrid/>
              <w:spacing w:line="240" w:lineRule="auto"/>
              <w:ind w:firstLine="0" w:firstLineChars="0"/>
              <w:jc w:val="center"/>
              <w:rPr>
                <w:rFonts w:cs="宋体"/>
                <w:color w:val="000000"/>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8CB1">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5B16">
            <w:pPr>
              <w:widowControl/>
              <w:adjustRightInd/>
              <w:snapToGrid/>
              <w:spacing w:line="240" w:lineRule="auto"/>
              <w:ind w:firstLine="0" w:firstLineChars="0"/>
              <w:jc w:val="center"/>
              <w:rPr>
                <w:rFonts w:hAnsi="Times New Roman" w:cs="Times New Roman"/>
                <w:kern w:val="0"/>
                <w:sz w:val="20"/>
                <w:szCs w:val="20"/>
              </w:rPr>
            </w:pPr>
          </w:p>
        </w:tc>
      </w:tr>
      <w:tr w14:paraId="4CBDD924">
        <w:tblPrEx>
          <w:tblCellMar>
            <w:top w:w="0" w:type="dxa"/>
            <w:left w:w="108" w:type="dxa"/>
            <w:bottom w:w="0" w:type="dxa"/>
            <w:right w:w="108" w:type="dxa"/>
          </w:tblCellMar>
        </w:tblPrEx>
        <w:trPr>
          <w:trHeight w:val="57"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2DF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EC0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柴油</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579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E2A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44.00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71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4.50 </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EBB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198.00 </w:t>
            </w:r>
          </w:p>
        </w:tc>
      </w:tr>
      <w:tr w14:paraId="4B0E6BB2">
        <w:tblPrEx>
          <w:tblCellMar>
            <w:top w:w="0" w:type="dxa"/>
            <w:left w:w="108" w:type="dxa"/>
            <w:bottom w:w="0" w:type="dxa"/>
            <w:right w:w="108" w:type="dxa"/>
          </w:tblCellMar>
        </w:tblPrEx>
        <w:trPr>
          <w:trHeight w:val="57"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0CE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BC3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电</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CDA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kwh</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C434">
            <w:pPr>
              <w:widowControl/>
              <w:adjustRightInd/>
              <w:snapToGrid/>
              <w:spacing w:line="240" w:lineRule="auto"/>
              <w:ind w:firstLine="0" w:firstLineChars="0"/>
              <w:jc w:val="center"/>
              <w:rPr>
                <w:rFonts w:cs="宋体"/>
                <w:color w:val="000000"/>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E9BC">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D267">
            <w:pPr>
              <w:widowControl/>
              <w:adjustRightInd/>
              <w:snapToGrid/>
              <w:spacing w:line="240" w:lineRule="auto"/>
              <w:ind w:firstLine="0" w:firstLineChars="0"/>
              <w:jc w:val="center"/>
              <w:rPr>
                <w:rFonts w:hAnsi="Times New Roman" w:cs="Times New Roman"/>
                <w:kern w:val="0"/>
                <w:sz w:val="20"/>
                <w:szCs w:val="20"/>
              </w:rPr>
            </w:pPr>
          </w:p>
        </w:tc>
      </w:tr>
      <w:tr w14:paraId="58C326AB">
        <w:tblPrEx>
          <w:tblCellMar>
            <w:top w:w="0" w:type="dxa"/>
            <w:left w:w="108" w:type="dxa"/>
            <w:bottom w:w="0" w:type="dxa"/>
            <w:right w:w="108" w:type="dxa"/>
          </w:tblCellMar>
        </w:tblPrEx>
        <w:trPr>
          <w:trHeight w:val="73"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660F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7F6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风</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240D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DF9C1">
            <w:pPr>
              <w:widowControl/>
              <w:adjustRightInd/>
              <w:snapToGrid/>
              <w:spacing w:line="240" w:lineRule="auto"/>
              <w:ind w:firstLine="0" w:firstLineChars="0"/>
              <w:jc w:val="center"/>
              <w:rPr>
                <w:rFonts w:cs="宋体"/>
                <w:color w:val="000000"/>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33ACE">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3B492">
            <w:pPr>
              <w:widowControl/>
              <w:adjustRightInd/>
              <w:snapToGrid/>
              <w:spacing w:line="240" w:lineRule="auto"/>
              <w:ind w:firstLine="0" w:firstLineChars="0"/>
              <w:jc w:val="center"/>
              <w:rPr>
                <w:rFonts w:hAnsi="Times New Roman" w:cs="Times New Roman"/>
                <w:kern w:val="0"/>
                <w:sz w:val="20"/>
                <w:szCs w:val="20"/>
              </w:rPr>
            </w:pPr>
          </w:p>
        </w:tc>
      </w:tr>
      <w:tr w14:paraId="505764DD">
        <w:tblPrEx>
          <w:tblCellMar>
            <w:top w:w="0" w:type="dxa"/>
            <w:left w:w="108" w:type="dxa"/>
            <w:bottom w:w="0" w:type="dxa"/>
            <w:right w:w="108" w:type="dxa"/>
          </w:tblCellMar>
        </w:tblPrEx>
        <w:trPr>
          <w:trHeight w:val="94" w:hRule="atLeast"/>
        </w:trPr>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61F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1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ED2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水</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331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489C4">
            <w:pPr>
              <w:widowControl/>
              <w:adjustRightInd/>
              <w:snapToGrid/>
              <w:spacing w:line="240" w:lineRule="auto"/>
              <w:ind w:firstLine="0" w:firstLineChars="0"/>
              <w:jc w:val="center"/>
              <w:rPr>
                <w:rFonts w:cs="宋体"/>
                <w:color w:val="000000"/>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5F593">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EC48">
            <w:pPr>
              <w:widowControl/>
              <w:adjustRightInd/>
              <w:snapToGrid/>
              <w:spacing w:line="240" w:lineRule="auto"/>
              <w:ind w:firstLine="0" w:firstLineChars="0"/>
              <w:jc w:val="center"/>
              <w:rPr>
                <w:rFonts w:hAnsi="Times New Roman" w:cs="Times New Roman"/>
                <w:kern w:val="0"/>
                <w:sz w:val="20"/>
                <w:szCs w:val="20"/>
              </w:rPr>
            </w:pPr>
          </w:p>
        </w:tc>
      </w:tr>
      <w:tr w14:paraId="561A6243">
        <w:tblPrEx>
          <w:tblCellMar>
            <w:top w:w="0" w:type="dxa"/>
            <w:left w:w="108" w:type="dxa"/>
            <w:bottom w:w="0" w:type="dxa"/>
            <w:right w:w="108" w:type="dxa"/>
          </w:tblCellMar>
        </w:tblPrEx>
        <w:trPr>
          <w:trHeight w:val="141" w:hRule="atLeast"/>
        </w:trPr>
        <w:tc>
          <w:tcPr>
            <w:tcW w:w="38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562E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11FC">
            <w:pPr>
              <w:widowControl/>
              <w:adjustRightInd/>
              <w:snapToGrid/>
              <w:spacing w:line="240" w:lineRule="auto"/>
              <w:ind w:firstLine="0" w:firstLineChars="0"/>
              <w:jc w:val="center"/>
              <w:rPr>
                <w:rFonts w:cs="宋体"/>
                <w:color w:val="000000"/>
                <w:kern w:val="0"/>
                <w:sz w:val="20"/>
                <w:szCs w:val="20"/>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B0C3">
            <w:pPr>
              <w:widowControl/>
              <w:adjustRightInd/>
              <w:snapToGrid/>
              <w:spacing w:line="240" w:lineRule="auto"/>
              <w:ind w:firstLine="0" w:firstLineChars="0"/>
              <w:jc w:val="center"/>
              <w:rPr>
                <w:rFonts w:hAnsi="Times New Roman" w:cs="Times New Roman"/>
                <w:kern w:val="0"/>
                <w:sz w:val="20"/>
                <w:szCs w:val="20"/>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F5DD">
            <w:pPr>
              <w:widowControl/>
              <w:adjustRightInd/>
              <w:snapToGrid/>
              <w:spacing w:line="240" w:lineRule="auto"/>
              <w:ind w:firstLine="0" w:firstLineChars="0"/>
              <w:jc w:val="center"/>
              <w:rPr>
                <w:rFonts w:hAnsi="Times New Roman" w:cs="Times New Roman"/>
                <w:kern w:val="0"/>
                <w:sz w:val="20"/>
                <w:szCs w:val="20"/>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14F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273.46 </w:t>
            </w:r>
          </w:p>
        </w:tc>
      </w:tr>
    </w:tbl>
    <w:p w14:paraId="3501A7FD">
      <w:pPr>
        <w:rPr>
          <w:rFonts w:hAnsi="仿宋"/>
        </w:rPr>
      </w:pPr>
    </w:p>
    <w:p w14:paraId="27CAE724">
      <w:pPr>
        <w:rPr>
          <w:rFonts w:hAnsi="仿宋"/>
        </w:rPr>
      </w:pPr>
    </w:p>
    <w:p w14:paraId="05E27BF5">
      <w:pPr>
        <w:rPr>
          <w:rFonts w:hint="eastAsia" w:hAnsi="仿宋"/>
        </w:rPr>
      </w:pPr>
    </w:p>
    <w:tbl>
      <w:tblPr>
        <w:tblStyle w:val="13"/>
        <w:tblW w:w="8258" w:type="dxa"/>
        <w:tblInd w:w="0" w:type="dxa"/>
        <w:tblLayout w:type="autofit"/>
        <w:tblCellMar>
          <w:top w:w="0" w:type="dxa"/>
          <w:left w:w="108" w:type="dxa"/>
          <w:bottom w:w="0" w:type="dxa"/>
          <w:right w:w="108" w:type="dxa"/>
        </w:tblCellMar>
      </w:tblPr>
      <w:tblGrid>
        <w:gridCol w:w="1134"/>
        <w:gridCol w:w="1649"/>
        <w:gridCol w:w="1069"/>
        <w:gridCol w:w="856"/>
        <w:gridCol w:w="1070"/>
        <w:gridCol w:w="2480"/>
      </w:tblGrid>
      <w:tr w14:paraId="5E6D3F5A">
        <w:tblPrEx>
          <w:tblCellMar>
            <w:top w:w="0" w:type="dxa"/>
            <w:left w:w="108" w:type="dxa"/>
            <w:bottom w:w="0" w:type="dxa"/>
            <w:right w:w="108" w:type="dxa"/>
          </w:tblCellMar>
        </w:tblPrEx>
        <w:trPr>
          <w:trHeight w:val="377" w:hRule="atLeast"/>
        </w:trPr>
        <w:tc>
          <w:tcPr>
            <w:tcW w:w="8258" w:type="dxa"/>
            <w:gridSpan w:val="6"/>
            <w:tcBorders>
              <w:top w:val="nil"/>
              <w:left w:val="nil"/>
              <w:bottom w:val="nil"/>
              <w:right w:val="nil"/>
            </w:tcBorders>
            <w:shd w:val="clear" w:color="auto" w:fill="FFFFFF"/>
            <w:noWrap/>
            <w:vAlign w:val="center"/>
          </w:tcPr>
          <w:p w14:paraId="017E1EB9">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机械台班预算单价计算表</w:t>
            </w:r>
          </w:p>
        </w:tc>
      </w:tr>
      <w:tr w14:paraId="533DC44A">
        <w:tblPrEx>
          <w:tblCellMar>
            <w:top w:w="0" w:type="dxa"/>
            <w:left w:w="108" w:type="dxa"/>
            <w:bottom w:w="0" w:type="dxa"/>
            <w:right w:w="108" w:type="dxa"/>
          </w:tblCellMar>
        </w:tblPrEx>
        <w:trPr>
          <w:trHeight w:val="141" w:hRule="atLeast"/>
        </w:trPr>
        <w:tc>
          <w:tcPr>
            <w:tcW w:w="1134" w:type="dxa"/>
            <w:tcBorders>
              <w:top w:val="nil"/>
              <w:left w:val="nil"/>
              <w:bottom w:val="nil"/>
              <w:right w:val="nil"/>
            </w:tcBorders>
            <w:shd w:val="clear" w:color="auto" w:fill="FFFFFF"/>
            <w:noWrap/>
            <w:vAlign w:val="center"/>
          </w:tcPr>
          <w:p w14:paraId="2024369E">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附表3-4</w:t>
            </w:r>
          </w:p>
        </w:tc>
        <w:tc>
          <w:tcPr>
            <w:tcW w:w="1649" w:type="dxa"/>
            <w:tcBorders>
              <w:top w:val="nil"/>
              <w:left w:val="nil"/>
              <w:bottom w:val="nil"/>
              <w:right w:val="nil"/>
            </w:tcBorders>
            <w:shd w:val="clear" w:color="auto" w:fill="FFFFFF"/>
            <w:noWrap/>
            <w:vAlign w:val="center"/>
          </w:tcPr>
          <w:p w14:paraId="284FFEF3">
            <w:pPr>
              <w:widowControl/>
              <w:adjustRightInd/>
              <w:snapToGrid/>
              <w:spacing w:line="240" w:lineRule="auto"/>
              <w:ind w:firstLine="0" w:firstLineChars="0"/>
              <w:jc w:val="left"/>
              <w:rPr>
                <w:rFonts w:cs="宋体"/>
                <w:color w:val="000000"/>
                <w:kern w:val="0"/>
                <w:sz w:val="20"/>
                <w:szCs w:val="20"/>
              </w:rPr>
            </w:pPr>
          </w:p>
        </w:tc>
        <w:tc>
          <w:tcPr>
            <w:tcW w:w="1069" w:type="dxa"/>
            <w:tcBorders>
              <w:top w:val="nil"/>
              <w:left w:val="nil"/>
              <w:bottom w:val="nil"/>
              <w:right w:val="nil"/>
            </w:tcBorders>
            <w:shd w:val="clear" w:color="auto" w:fill="FFFFFF"/>
            <w:noWrap/>
            <w:vAlign w:val="center"/>
          </w:tcPr>
          <w:p w14:paraId="1FF488EB">
            <w:pPr>
              <w:widowControl/>
              <w:adjustRightInd/>
              <w:snapToGrid/>
              <w:spacing w:line="240" w:lineRule="auto"/>
              <w:ind w:firstLine="0" w:firstLineChars="0"/>
              <w:jc w:val="center"/>
              <w:rPr>
                <w:rFonts w:hAnsi="Times New Roman" w:cs="Times New Roman"/>
                <w:kern w:val="0"/>
                <w:sz w:val="20"/>
                <w:szCs w:val="20"/>
              </w:rPr>
            </w:pPr>
          </w:p>
        </w:tc>
        <w:tc>
          <w:tcPr>
            <w:tcW w:w="856" w:type="dxa"/>
            <w:tcBorders>
              <w:top w:val="nil"/>
              <w:left w:val="nil"/>
              <w:bottom w:val="nil"/>
              <w:right w:val="nil"/>
            </w:tcBorders>
            <w:shd w:val="clear" w:color="auto" w:fill="FFFFFF"/>
            <w:noWrap/>
            <w:vAlign w:val="center"/>
          </w:tcPr>
          <w:p w14:paraId="033574A5">
            <w:pPr>
              <w:widowControl/>
              <w:adjustRightInd/>
              <w:snapToGrid/>
              <w:spacing w:line="240" w:lineRule="auto"/>
              <w:ind w:firstLine="0" w:firstLineChars="0"/>
              <w:jc w:val="center"/>
              <w:rPr>
                <w:rFonts w:hAnsi="Times New Roman" w:cs="Times New Roman"/>
                <w:kern w:val="0"/>
                <w:sz w:val="20"/>
                <w:szCs w:val="20"/>
              </w:rPr>
            </w:pPr>
          </w:p>
        </w:tc>
        <w:tc>
          <w:tcPr>
            <w:tcW w:w="1070" w:type="dxa"/>
            <w:tcBorders>
              <w:top w:val="nil"/>
              <w:left w:val="nil"/>
              <w:bottom w:val="nil"/>
              <w:right w:val="nil"/>
            </w:tcBorders>
            <w:shd w:val="clear" w:color="auto" w:fill="FFFFFF"/>
            <w:noWrap/>
            <w:vAlign w:val="center"/>
          </w:tcPr>
          <w:p w14:paraId="34C8862E">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nil"/>
              <w:left w:val="nil"/>
              <w:bottom w:val="nil"/>
              <w:right w:val="nil"/>
            </w:tcBorders>
            <w:shd w:val="clear" w:color="auto" w:fill="FFFFFF"/>
            <w:noWrap/>
            <w:vAlign w:val="center"/>
          </w:tcPr>
          <w:p w14:paraId="0BD05AF3">
            <w:pPr>
              <w:widowControl/>
              <w:adjustRightInd/>
              <w:snapToGrid/>
              <w:spacing w:line="240" w:lineRule="auto"/>
              <w:ind w:firstLine="0" w:firstLineChars="0"/>
              <w:jc w:val="center"/>
              <w:rPr>
                <w:rFonts w:hAnsi="Times New Roman" w:cs="Times New Roman"/>
                <w:kern w:val="0"/>
                <w:sz w:val="20"/>
                <w:szCs w:val="20"/>
              </w:rPr>
            </w:pPr>
          </w:p>
        </w:tc>
      </w:tr>
      <w:tr w14:paraId="2E434DE0">
        <w:tblPrEx>
          <w:tblCellMar>
            <w:top w:w="0" w:type="dxa"/>
            <w:left w:w="108" w:type="dxa"/>
            <w:bottom w:w="0" w:type="dxa"/>
            <w:right w:w="108" w:type="dxa"/>
          </w:tblCellMar>
        </w:tblPrEx>
        <w:trPr>
          <w:trHeight w:val="189" w:hRule="atLeast"/>
        </w:trPr>
        <w:tc>
          <w:tcPr>
            <w:tcW w:w="5778" w:type="dxa"/>
            <w:gridSpan w:val="5"/>
            <w:tcBorders>
              <w:top w:val="nil"/>
              <w:left w:val="nil"/>
              <w:bottom w:val="single" w:color="000000" w:sz="4" w:space="0"/>
              <w:right w:val="nil"/>
            </w:tcBorders>
            <w:shd w:val="clear" w:color="auto" w:fill="FFFFFF"/>
            <w:noWrap/>
            <w:vAlign w:val="center"/>
          </w:tcPr>
          <w:p w14:paraId="433709FF">
            <w:pPr>
              <w:widowControl/>
              <w:adjustRightInd/>
              <w:snapToGrid/>
              <w:spacing w:line="240" w:lineRule="auto"/>
              <w:ind w:firstLine="0" w:firstLineChars="0"/>
              <w:jc w:val="left"/>
              <w:rPr>
                <w:rFonts w:hAnsi="Times New Roman" w:cs="Times New Roman"/>
                <w:kern w:val="0"/>
                <w:sz w:val="20"/>
                <w:szCs w:val="20"/>
              </w:rPr>
            </w:pPr>
            <w:r>
              <w:rPr>
                <w:rFonts w:hint="eastAsia" w:cs="宋体"/>
                <w:color w:val="000000"/>
                <w:kern w:val="0"/>
                <w:sz w:val="20"/>
                <w:szCs w:val="20"/>
              </w:rPr>
              <w:t>定额编号:4017 (自卸汽车  柴油型 载重量20t)</w:t>
            </w:r>
          </w:p>
        </w:tc>
        <w:tc>
          <w:tcPr>
            <w:tcW w:w="2480" w:type="dxa"/>
            <w:tcBorders>
              <w:top w:val="nil"/>
              <w:left w:val="nil"/>
              <w:bottom w:val="single" w:color="000000" w:sz="4" w:space="0"/>
              <w:right w:val="nil"/>
            </w:tcBorders>
            <w:shd w:val="clear" w:color="auto" w:fill="FFFFFF"/>
            <w:noWrap/>
            <w:vAlign w:val="center"/>
          </w:tcPr>
          <w:p w14:paraId="31874A8A">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金额单位:元</w:t>
            </w:r>
          </w:p>
        </w:tc>
      </w:tr>
      <w:tr w14:paraId="5CB567AB">
        <w:tblPrEx>
          <w:tblCellMar>
            <w:top w:w="0" w:type="dxa"/>
            <w:left w:w="108" w:type="dxa"/>
            <w:bottom w:w="0" w:type="dxa"/>
            <w:right w:w="108" w:type="dxa"/>
          </w:tblCellMar>
        </w:tblPrEx>
        <w:trPr>
          <w:trHeight w:val="213"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0F57A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A1796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BA59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05869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9EA9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A37A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59EE01F3">
        <w:tblPrEx>
          <w:tblCellMar>
            <w:top w:w="0" w:type="dxa"/>
            <w:left w:w="108" w:type="dxa"/>
            <w:bottom w:w="0" w:type="dxa"/>
            <w:right w:w="108" w:type="dxa"/>
          </w:tblCellMar>
        </w:tblPrEx>
        <w:trPr>
          <w:trHeight w:val="260"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6E3D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F64F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一类费用</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81BBA9">
            <w:pPr>
              <w:widowControl/>
              <w:adjustRightInd/>
              <w:snapToGrid/>
              <w:spacing w:line="240" w:lineRule="auto"/>
              <w:ind w:firstLine="0" w:firstLineChars="0"/>
              <w:jc w:val="center"/>
              <w:rPr>
                <w:rFonts w:cs="宋体"/>
                <w:color w:val="000000"/>
                <w:kern w:val="0"/>
                <w:sz w:val="20"/>
                <w:szCs w:val="20"/>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9315D">
            <w:pPr>
              <w:widowControl/>
              <w:adjustRightInd/>
              <w:snapToGrid/>
              <w:spacing w:line="240" w:lineRule="auto"/>
              <w:ind w:firstLine="0" w:firstLineChars="0"/>
              <w:jc w:val="center"/>
              <w:rPr>
                <w:rFonts w:hAnsi="Times New Roman" w:cs="Times New Roman"/>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79700">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8A92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549.25 </w:t>
            </w:r>
          </w:p>
        </w:tc>
      </w:tr>
      <w:tr w14:paraId="225CDF2E">
        <w:tblPrEx>
          <w:tblCellMar>
            <w:top w:w="0" w:type="dxa"/>
            <w:left w:w="108" w:type="dxa"/>
            <w:bottom w:w="0" w:type="dxa"/>
            <w:right w:w="108" w:type="dxa"/>
          </w:tblCellMar>
        </w:tblPrEx>
        <w:trPr>
          <w:trHeight w:val="153"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DBDB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4DC2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二类费用</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F35AA">
            <w:pPr>
              <w:widowControl/>
              <w:adjustRightInd/>
              <w:snapToGrid/>
              <w:spacing w:line="240" w:lineRule="auto"/>
              <w:ind w:firstLine="0" w:firstLineChars="0"/>
              <w:jc w:val="center"/>
              <w:rPr>
                <w:rFonts w:cs="宋体"/>
                <w:color w:val="000000"/>
                <w:kern w:val="0"/>
                <w:sz w:val="20"/>
                <w:szCs w:val="20"/>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A7EA5">
            <w:pPr>
              <w:widowControl/>
              <w:adjustRightInd/>
              <w:snapToGrid/>
              <w:spacing w:line="240" w:lineRule="auto"/>
              <w:ind w:firstLine="0" w:firstLineChars="0"/>
              <w:jc w:val="center"/>
              <w:rPr>
                <w:rFonts w:hAnsi="Times New Roman" w:cs="Times New Roman"/>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94926">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7FC0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439.13 </w:t>
            </w:r>
          </w:p>
        </w:tc>
      </w:tr>
      <w:tr w14:paraId="52BA99CA">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AAF7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B4F1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4EDE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8AA7D">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2.00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14DE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62.07 </w:t>
            </w: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5B41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124.13 </w:t>
            </w:r>
          </w:p>
        </w:tc>
      </w:tr>
      <w:tr w14:paraId="2F5117A7">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AC68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E20D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汽油</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E0FF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6BA30">
            <w:pPr>
              <w:widowControl/>
              <w:adjustRightInd/>
              <w:snapToGrid/>
              <w:spacing w:line="240" w:lineRule="auto"/>
              <w:ind w:firstLine="0" w:firstLineChars="0"/>
              <w:jc w:val="center"/>
              <w:rPr>
                <w:rFonts w:cs="宋体"/>
                <w:color w:val="000000"/>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1A644">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F46EF3">
            <w:pPr>
              <w:widowControl/>
              <w:adjustRightInd/>
              <w:snapToGrid/>
              <w:spacing w:line="240" w:lineRule="auto"/>
              <w:ind w:firstLine="0" w:firstLineChars="0"/>
              <w:jc w:val="center"/>
              <w:rPr>
                <w:rFonts w:hAnsi="Times New Roman" w:cs="Times New Roman"/>
                <w:kern w:val="0"/>
                <w:sz w:val="20"/>
                <w:szCs w:val="20"/>
              </w:rPr>
            </w:pPr>
          </w:p>
        </w:tc>
      </w:tr>
      <w:tr w14:paraId="495E7B3D">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51E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F0EB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柴油</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C4B0E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3D57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70.00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091D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4.50 </w:t>
            </w: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6CE2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315.00 </w:t>
            </w:r>
          </w:p>
        </w:tc>
      </w:tr>
      <w:tr w14:paraId="701B008C">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AB64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01AA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电</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AAAC5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kwh</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175BE">
            <w:pPr>
              <w:widowControl/>
              <w:adjustRightInd/>
              <w:snapToGrid/>
              <w:spacing w:line="240" w:lineRule="auto"/>
              <w:ind w:firstLine="0" w:firstLineChars="0"/>
              <w:jc w:val="center"/>
              <w:rPr>
                <w:rFonts w:cs="宋体"/>
                <w:color w:val="000000"/>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EDD73">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28668">
            <w:pPr>
              <w:widowControl/>
              <w:adjustRightInd/>
              <w:snapToGrid/>
              <w:spacing w:line="240" w:lineRule="auto"/>
              <w:ind w:firstLine="0" w:firstLineChars="0"/>
              <w:jc w:val="center"/>
              <w:rPr>
                <w:rFonts w:hAnsi="Times New Roman" w:cs="Times New Roman"/>
                <w:kern w:val="0"/>
                <w:sz w:val="20"/>
                <w:szCs w:val="20"/>
              </w:rPr>
            </w:pPr>
          </w:p>
        </w:tc>
      </w:tr>
      <w:tr w14:paraId="0470BC82">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0E09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5B44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风</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238C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8DF44">
            <w:pPr>
              <w:widowControl/>
              <w:adjustRightInd/>
              <w:snapToGrid/>
              <w:spacing w:line="240" w:lineRule="auto"/>
              <w:ind w:firstLine="0" w:firstLineChars="0"/>
              <w:jc w:val="center"/>
              <w:rPr>
                <w:rFonts w:cs="宋体"/>
                <w:color w:val="000000"/>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A1DA6">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0635E">
            <w:pPr>
              <w:widowControl/>
              <w:adjustRightInd/>
              <w:snapToGrid/>
              <w:spacing w:line="240" w:lineRule="auto"/>
              <w:ind w:firstLine="0" w:firstLineChars="0"/>
              <w:jc w:val="center"/>
              <w:rPr>
                <w:rFonts w:hAnsi="Times New Roman" w:cs="Times New Roman"/>
                <w:kern w:val="0"/>
                <w:sz w:val="20"/>
                <w:szCs w:val="20"/>
              </w:rPr>
            </w:pPr>
          </w:p>
        </w:tc>
      </w:tr>
      <w:tr w14:paraId="5F84E27F">
        <w:tblPrEx>
          <w:tblCellMar>
            <w:top w:w="0" w:type="dxa"/>
            <w:left w:w="108" w:type="dxa"/>
            <w:bottom w:w="0" w:type="dxa"/>
            <w:right w:w="108" w:type="dxa"/>
          </w:tblCellMar>
        </w:tblPrEx>
        <w:trPr>
          <w:trHeight w:val="301" w:hRule="atLeast"/>
        </w:trPr>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C72E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12A8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水</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8C3B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hint="eastAsia" w:cs="宋体"/>
                <w:color w:val="000000"/>
                <w:kern w:val="0"/>
                <w:sz w:val="20"/>
                <w:szCs w:val="20"/>
                <w:vertAlign w:val="superscript"/>
              </w:rPr>
              <w:t>3</w:t>
            </w: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96BC6">
            <w:pPr>
              <w:widowControl/>
              <w:adjustRightInd/>
              <w:snapToGrid/>
              <w:spacing w:line="240" w:lineRule="auto"/>
              <w:ind w:firstLine="0" w:firstLineChars="0"/>
              <w:jc w:val="center"/>
              <w:rPr>
                <w:rFonts w:cs="宋体"/>
                <w:color w:val="000000"/>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83D0F">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B2FC8">
            <w:pPr>
              <w:widowControl/>
              <w:adjustRightInd/>
              <w:snapToGrid/>
              <w:spacing w:line="240" w:lineRule="auto"/>
              <w:ind w:firstLine="0" w:firstLineChars="0"/>
              <w:jc w:val="center"/>
              <w:rPr>
                <w:rFonts w:hAnsi="Times New Roman" w:cs="Times New Roman"/>
                <w:kern w:val="0"/>
                <w:sz w:val="20"/>
                <w:szCs w:val="20"/>
              </w:rPr>
            </w:pPr>
          </w:p>
        </w:tc>
      </w:tr>
      <w:tr w14:paraId="2E019B79">
        <w:tblPrEx>
          <w:tblCellMar>
            <w:top w:w="0" w:type="dxa"/>
            <w:left w:w="108" w:type="dxa"/>
            <w:bottom w:w="0" w:type="dxa"/>
            <w:right w:w="108" w:type="dxa"/>
          </w:tblCellMar>
        </w:tblPrEx>
        <w:trPr>
          <w:trHeight w:val="301" w:hRule="atLeast"/>
        </w:trPr>
        <w:tc>
          <w:tcPr>
            <w:tcW w:w="278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20FF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BF4F6">
            <w:pPr>
              <w:widowControl/>
              <w:adjustRightInd/>
              <w:snapToGrid/>
              <w:spacing w:line="240" w:lineRule="auto"/>
              <w:ind w:firstLine="0" w:firstLineChars="0"/>
              <w:jc w:val="center"/>
              <w:rPr>
                <w:rFonts w:cs="宋体"/>
                <w:color w:val="000000"/>
                <w:kern w:val="0"/>
                <w:sz w:val="20"/>
                <w:szCs w:val="20"/>
              </w:rPr>
            </w:pPr>
          </w:p>
        </w:tc>
        <w:tc>
          <w:tcPr>
            <w:tcW w:w="8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D166F9">
            <w:pPr>
              <w:widowControl/>
              <w:adjustRightInd/>
              <w:snapToGrid/>
              <w:spacing w:line="240" w:lineRule="auto"/>
              <w:ind w:firstLine="0" w:firstLineChars="0"/>
              <w:jc w:val="center"/>
              <w:rPr>
                <w:rFonts w:hAnsi="Times New Roman" w:cs="Times New Roman"/>
                <w:kern w:val="0"/>
                <w:sz w:val="20"/>
                <w:szCs w:val="20"/>
              </w:rPr>
            </w:pP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81D9F">
            <w:pPr>
              <w:widowControl/>
              <w:adjustRightInd/>
              <w:snapToGrid/>
              <w:spacing w:line="240" w:lineRule="auto"/>
              <w:ind w:firstLine="0" w:firstLineChars="0"/>
              <w:jc w:val="center"/>
              <w:rPr>
                <w:rFonts w:hAnsi="Times New Roman" w:cs="Times New Roman"/>
                <w:kern w:val="0"/>
                <w:sz w:val="20"/>
                <w:szCs w:val="20"/>
              </w:rPr>
            </w:pPr>
          </w:p>
        </w:tc>
        <w:tc>
          <w:tcPr>
            <w:tcW w:w="24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453B5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988.38 </w:t>
            </w:r>
          </w:p>
        </w:tc>
      </w:tr>
    </w:tbl>
    <w:p w14:paraId="03AB2833">
      <w:pPr>
        <w:rPr>
          <w:rFonts w:hAnsi="仿宋"/>
        </w:rPr>
      </w:pPr>
    </w:p>
    <w:p w14:paraId="1F7C58AF">
      <w:pPr>
        <w:rPr>
          <w:rFonts w:hAnsi="仿宋"/>
        </w:rPr>
      </w:pPr>
    </w:p>
    <w:p w14:paraId="6B256D35">
      <w:pPr>
        <w:rPr>
          <w:rFonts w:hAnsi="仿宋"/>
        </w:rPr>
      </w:pPr>
    </w:p>
    <w:p w14:paraId="1DE08FC7">
      <w:pPr>
        <w:rPr>
          <w:rFonts w:hAnsi="仿宋"/>
        </w:rPr>
      </w:pPr>
    </w:p>
    <w:tbl>
      <w:tblPr>
        <w:tblStyle w:val="13"/>
        <w:tblW w:w="8166" w:type="dxa"/>
        <w:tblInd w:w="0" w:type="dxa"/>
        <w:tblLayout w:type="autofit"/>
        <w:tblCellMar>
          <w:top w:w="0" w:type="dxa"/>
          <w:left w:w="108" w:type="dxa"/>
          <w:bottom w:w="0" w:type="dxa"/>
          <w:right w:w="108" w:type="dxa"/>
        </w:tblCellMar>
      </w:tblPr>
      <w:tblGrid>
        <w:gridCol w:w="1918"/>
        <w:gridCol w:w="1711"/>
        <w:gridCol w:w="960"/>
        <w:gridCol w:w="1185"/>
        <w:gridCol w:w="1092"/>
        <w:gridCol w:w="1300"/>
      </w:tblGrid>
      <w:tr w14:paraId="6ECE8F22">
        <w:tblPrEx>
          <w:tblCellMar>
            <w:top w:w="0" w:type="dxa"/>
            <w:left w:w="108" w:type="dxa"/>
            <w:bottom w:w="0" w:type="dxa"/>
            <w:right w:w="108" w:type="dxa"/>
          </w:tblCellMar>
        </w:tblPrEx>
        <w:trPr>
          <w:trHeight w:val="81" w:hRule="atLeast"/>
        </w:trPr>
        <w:tc>
          <w:tcPr>
            <w:tcW w:w="8166" w:type="dxa"/>
            <w:gridSpan w:val="6"/>
            <w:tcBorders>
              <w:top w:val="nil"/>
              <w:left w:val="nil"/>
              <w:bottom w:val="nil"/>
              <w:right w:val="nil"/>
            </w:tcBorders>
            <w:shd w:val="clear" w:color="auto" w:fill="FFFFFF"/>
            <w:noWrap/>
            <w:vAlign w:val="center"/>
          </w:tcPr>
          <w:p w14:paraId="00F269B9">
            <w:pPr>
              <w:widowControl/>
              <w:adjustRightInd/>
              <w:snapToGrid/>
              <w:spacing w:line="240" w:lineRule="auto"/>
              <w:ind w:firstLine="0" w:firstLineChars="0"/>
              <w:jc w:val="center"/>
              <w:rPr>
                <w:rFonts w:cs="宋体"/>
                <w:color w:val="000000"/>
                <w:kern w:val="0"/>
                <w:sz w:val="24"/>
                <w:szCs w:val="24"/>
              </w:rPr>
            </w:pPr>
            <w:r>
              <w:rPr>
                <w:rFonts w:hint="eastAsia" w:cs="宋体"/>
                <w:color w:val="000000"/>
                <w:kern w:val="0"/>
                <w:sz w:val="24"/>
                <w:szCs w:val="24"/>
              </w:rPr>
              <w:t>机械台班预算单价计算表</w:t>
            </w:r>
          </w:p>
        </w:tc>
      </w:tr>
      <w:tr w14:paraId="23C66A0B">
        <w:tblPrEx>
          <w:tblCellMar>
            <w:top w:w="0" w:type="dxa"/>
            <w:left w:w="108" w:type="dxa"/>
            <w:bottom w:w="0" w:type="dxa"/>
            <w:right w:w="108" w:type="dxa"/>
          </w:tblCellMar>
        </w:tblPrEx>
        <w:trPr>
          <w:trHeight w:val="622" w:hRule="atLeast"/>
        </w:trPr>
        <w:tc>
          <w:tcPr>
            <w:tcW w:w="1918" w:type="dxa"/>
            <w:tcBorders>
              <w:top w:val="nil"/>
              <w:left w:val="nil"/>
              <w:bottom w:val="nil"/>
              <w:right w:val="nil"/>
            </w:tcBorders>
            <w:shd w:val="clear" w:color="auto" w:fill="FFFFFF"/>
            <w:noWrap/>
            <w:vAlign w:val="center"/>
          </w:tcPr>
          <w:p w14:paraId="0555FCA6">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附表3-</w:t>
            </w:r>
            <w:r>
              <w:rPr>
                <w:rFonts w:cs="宋体"/>
                <w:color w:val="000000"/>
                <w:kern w:val="0"/>
                <w:sz w:val="20"/>
                <w:szCs w:val="20"/>
              </w:rPr>
              <w:t>5</w:t>
            </w:r>
          </w:p>
        </w:tc>
        <w:tc>
          <w:tcPr>
            <w:tcW w:w="1711" w:type="dxa"/>
            <w:tcBorders>
              <w:top w:val="nil"/>
              <w:left w:val="nil"/>
              <w:bottom w:val="nil"/>
              <w:right w:val="nil"/>
            </w:tcBorders>
            <w:shd w:val="clear" w:color="auto" w:fill="FFFFFF"/>
            <w:noWrap/>
            <w:vAlign w:val="center"/>
          </w:tcPr>
          <w:p w14:paraId="4ECA1D88">
            <w:pPr>
              <w:widowControl/>
              <w:adjustRightInd/>
              <w:snapToGrid/>
              <w:spacing w:line="240" w:lineRule="auto"/>
              <w:ind w:firstLine="0" w:firstLineChars="0"/>
              <w:jc w:val="left"/>
              <w:rPr>
                <w:rFonts w:cs="宋体"/>
                <w:color w:val="000000"/>
                <w:kern w:val="0"/>
                <w:sz w:val="20"/>
                <w:szCs w:val="20"/>
              </w:rPr>
            </w:pPr>
          </w:p>
        </w:tc>
        <w:tc>
          <w:tcPr>
            <w:tcW w:w="960" w:type="dxa"/>
            <w:tcBorders>
              <w:top w:val="nil"/>
              <w:left w:val="nil"/>
              <w:bottom w:val="nil"/>
              <w:right w:val="nil"/>
            </w:tcBorders>
            <w:shd w:val="clear" w:color="auto" w:fill="FFFFFF"/>
            <w:noWrap/>
            <w:vAlign w:val="center"/>
          </w:tcPr>
          <w:p w14:paraId="3ADBD135">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185" w:type="dxa"/>
            <w:tcBorders>
              <w:top w:val="nil"/>
              <w:left w:val="nil"/>
              <w:bottom w:val="nil"/>
              <w:right w:val="nil"/>
            </w:tcBorders>
            <w:shd w:val="clear" w:color="auto" w:fill="FFFFFF"/>
            <w:noWrap/>
            <w:vAlign w:val="center"/>
          </w:tcPr>
          <w:p w14:paraId="1DF5C030">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092" w:type="dxa"/>
            <w:tcBorders>
              <w:top w:val="nil"/>
              <w:left w:val="nil"/>
              <w:bottom w:val="nil"/>
              <w:right w:val="nil"/>
            </w:tcBorders>
            <w:shd w:val="clear" w:color="auto" w:fill="FFFFFF"/>
            <w:noWrap/>
            <w:vAlign w:val="center"/>
          </w:tcPr>
          <w:p w14:paraId="77DAB46C">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nil"/>
              <w:left w:val="nil"/>
              <w:bottom w:val="nil"/>
              <w:right w:val="nil"/>
            </w:tcBorders>
            <w:shd w:val="clear" w:color="auto" w:fill="FFFFFF"/>
            <w:noWrap/>
            <w:vAlign w:val="center"/>
          </w:tcPr>
          <w:p w14:paraId="1C487BE9">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38257A71">
        <w:tblPrEx>
          <w:tblCellMar>
            <w:top w:w="0" w:type="dxa"/>
            <w:left w:w="108" w:type="dxa"/>
            <w:bottom w:w="0" w:type="dxa"/>
            <w:right w:w="108" w:type="dxa"/>
          </w:tblCellMar>
        </w:tblPrEx>
        <w:trPr>
          <w:trHeight w:val="568" w:hRule="atLeast"/>
        </w:trPr>
        <w:tc>
          <w:tcPr>
            <w:tcW w:w="5774" w:type="dxa"/>
            <w:gridSpan w:val="4"/>
            <w:tcBorders>
              <w:top w:val="nil"/>
              <w:left w:val="nil"/>
              <w:bottom w:val="single" w:color="000000" w:sz="4" w:space="0"/>
              <w:right w:val="nil"/>
            </w:tcBorders>
            <w:shd w:val="clear" w:color="auto" w:fill="FFFFFF"/>
            <w:noWrap/>
            <w:vAlign w:val="center"/>
          </w:tcPr>
          <w:p w14:paraId="3EC3A703">
            <w:pPr>
              <w:widowControl/>
              <w:adjustRightInd/>
              <w:snapToGrid/>
              <w:spacing w:line="240" w:lineRule="auto"/>
              <w:ind w:firstLine="0" w:firstLineChars="0"/>
              <w:jc w:val="left"/>
              <w:rPr>
                <w:rFonts w:cs="宋体"/>
                <w:color w:val="000000"/>
                <w:kern w:val="0"/>
                <w:sz w:val="20"/>
                <w:szCs w:val="20"/>
              </w:rPr>
            </w:pPr>
            <w:r>
              <w:rPr>
                <w:rFonts w:hint="eastAsia" w:cs="宋体"/>
                <w:color w:val="000000"/>
                <w:kern w:val="0"/>
                <w:sz w:val="20"/>
                <w:szCs w:val="20"/>
              </w:rPr>
              <w:t xml:space="preserve">定额编号:1031 </w:t>
            </w:r>
            <w:r>
              <w:rPr>
                <w:rFonts w:cs="宋体"/>
                <w:color w:val="000000"/>
                <w:kern w:val="0"/>
                <w:sz w:val="20"/>
                <w:szCs w:val="20"/>
              </w:rPr>
              <w:t xml:space="preserve">                 </w:t>
            </w:r>
            <w:r>
              <w:rPr>
                <w:rFonts w:hint="eastAsia"/>
                <w:sz w:val="20"/>
                <w:szCs w:val="20"/>
              </w:rPr>
              <w:t>(自行式平地机  118kw)</w:t>
            </w:r>
          </w:p>
        </w:tc>
        <w:tc>
          <w:tcPr>
            <w:tcW w:w="2392" w:type="dxa"/>
            <w:gridSpan w:val="2"/>
            <w:tcBorders>
              <w:top w:val="nil"/>
              <w:left w:val="nil"/>
              <w:bottom w:val="single" w:color="000000" w:sz="4" w:space="0"/>
              <w:right w:val="nil"/>
            </w:tcBorders>
            <w:shd w:val="clear" w:color="auto" w:fill="FFFFFF"/>
            <w:noWrap/>
            <w:vAlign w:val="center"/>
          </w:tcPr>
          <w:p w14:paraId="72EAE378">
            <w:pPr>
              <w:widowControl/>
              <w:adjustRightInd/>
              <w:snapToGrid/>
              <w:spacing w:line="240" w:lineRule="auto"/>
              <w:ind w:firstLine="0" w:firstLineChars="0"/>
              <w:jc w:val="right"/>
              <w:rPr>
                <w:rFonts w:cs="宋体"/>
                <w:color w:val="000000"/>
                <w:kern w:val="0"/>
                <w:sz w:val="20"/>
                <w:szCs w:val="20"/>
              </w:rPr>
            </w:pPr>
            <w:r>
              <w:rPr>
                <w:rFonts w:hint="eastAsia" w:cs="宋体"/>
                <w:color w:val="000000"/>
                <w:kern w:val="0"/>
                <w:sz w:val="20"/>
                <w:szCs w:val="20"/>
              </w:rPr>
              <w:t xml:space="preserve">     金额单位:元</w:t>
            </w:r>
          </w:p>
        </w:tc>
      </w:tr>
      <w:tr w14:paraId="78C33273">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D700A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序号</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15B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费用名称</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A382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单位</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F93B1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数量</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C8BB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单价</w:t>
            </w: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7D0D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小计</w:t>
            </w:r>
          </w:p>
        </w:tc>
      </w:tr>
      <w:tr w14:paraId="284663DD">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73530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44E0B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一类费用</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6E076E">
            <w:pPr>
              <w:widowControl/>
              <w:adjustRightInd/>
              <w:snapToGrid/>
              <w:spacing w:line="240" w:lineRule="auto"/>
              <w:ind w:firstLine="0" w:firstLineChars="0"/>
              <w:jc w:val="center"/>
              <w:rPr>
                <w:rFonts w:cs="宋体"/>
                <w:color w:val="000000"/>
                <w:kern w:val="0"/>
                <w:sz w:val="20"/>
                <w:szCs w:val="20"/>
              </w:rPr>
            </w:pP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FC1DB">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5CBF8D">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D91F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317.21 </w:t>
            </w:r>
          </w:p>
        </w:tc>
      </w:tr>
      <w:tr w14:paraId="15FA7E63">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71DDA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1AE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二类费用</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D8C79">
            <w:pPr>
              <w:widowControl/>
              <w:adjustRightInd/>
              <w:snapToGrid/>
              <w:spacing w:line="240" w:lineRule="auto"/>
              <w:ind w:firstLine="0" w:firstLineChars="0"/>
              <w:jc w:val="center"/>
              <w:rPr>
                <w:rFonts w:cs="宋体"/>
                <w:color w:val="000000"/>
                <w:kern w:val="0"/>
                <w:sz w:val="20"/>
                <w:szCs w:val="20"/>
              </w:rPr>
            </w:pP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2E7FB">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2A62D9">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EF06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520.13 </w:t>
            </w:r>
          </w:p>
        </w:tc>
      </w:tr>
      <w:tr w14:paraId="2B378AD6">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CF47F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(1)</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0800A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人工</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DFC8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工日</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DBC8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2.00 </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6800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62.07 </w:t>
            </w: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B59FA">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124.13 </w:t>
            </w:r>
          </w:p>
        </w:tc>
      </w:tr>
      <w:tr w14:paraId="00EBE504">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6045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(2)</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24EB6">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汽油</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2575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C5E91">
            <w:pPr>
              <w:widowControl/>
              <w:adjustRightInd/>
              <w:snapToGrid/>
              <w:spacing w:line="240" w:lineRule="auto"/>
              <w:ind w:firstLine="0" w:firstLineChars="0"/>
              <w:jc w:val="center"/>
              <w:rPr>
                <w:rFonts w:cs="宋体"/>
                <w:color w:val="000000"/>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4DDF6">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A3D9EB">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78D942B2">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D87BE">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(3)</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D743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柴油</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F5E08">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Kg</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737C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88.00 </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3328B">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4.50 </w:t>
            </w: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6DE42">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396.00 </w:t>
            </w:r>
          </w:p>
        </w:tc>
      </w:tr>
      <w:tr w14:paraId="22024C8A">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E093C3">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(4)</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1654C">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电</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7FD0F">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kwh</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40A3B">
            <w:pPr>
              <w:widowControl/>
              <w:adjustRightInd/>
              <w:snapToGrid/>
              <w:spacing w:line="240" w:lineRule="auto"/>
              <w:ind w:firstLine="0" w:firstLineChars="0"/>
              <w:jc w:val="center"/>
              <w:rPr>
                <w:rFonts w:cs="宋体"/>
                <w:color w:val="000000"/>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954D8">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8D362">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0CB0D427">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F2060">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(5)</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9DF57">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风</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9C5A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cs="宋体"/>
                <w:color w:val="000000"/>
                <w:kern w:val="0"/>
                <w:sz w:val="20"/>
                <w:szCs w:val="20"/>
                <w:vertAlign w:val="superscript"/>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6F6DBB">
            <w:pPr>
              <w:widowControl/>
              <w:adjustRightInd/>
              <w:snapToGrid/>
              <w:spacing w:line="240" w:lineRule="auto"/>
              <w:ind w:firstLine="0" w:firstLineChars="0"/>
              <w:jc w:val="center"/>
              <w:rPr>
                <w:rFonts w:cs="宋体"/>
                <w:color w:val="000000"/>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17A46">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C9304">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1BED8E1B">
        <w:tblPrEx>
          <w:tblCellMar>
            <w:top w:w="0" w:type="dxa"/>
            <w:left w:w="108" w:type="dxa"/>
            <w:bottom w:w="0" w:type="dxa"/>
            <w:right w:w="108" w:type="dxa"/>
          </w:tblCellMar>
        </w:tblPrEx>
        <w:trPr>
          <w:trHeight w:val="530" w:hRule="atLeast"/>
        </w:trPr>
        <w:tc>
          <w:tcPr>
            <w:tcW w:w="1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78B85">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(6)</w:t>
            </w:r>
          </w:p>
        </w:tc>
        <w:tc>
          <w:tcPr>
            <w:tcW w:w="17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065B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水</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8B6684">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m</w:t>
            </w:r>
            <w:r>
              <w:rPr>
                <w:rFonts w:cs="宋体"/>
                <w:color w:val="000000"/>
                <w:kern w:val="0"/>
                <w:sz w:val="20"/>
                <w:szCs w:val="20"/>
                <w:vertAlign w:val="superscript"/>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E8968A">
            <w:pPr>
              <w:widowControl/>
              <w:adjustRightInd/>
              <w:snapToGrid/>
              <w:spacing w:line="240" w:lineRule="auto"/>
              <w:ind w:firstLine="0" w:firstLineChars="0"/>
              <w:jc w:val="center"/>
              <w:rPr>
                <w:rFonts w:cs="宋体"/>
                <w:color w:val="000000"/>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41C01">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130D2E">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r>
      <w:tr w14:paraId="06CD3383">
        <w:tblPrEx>
          <w:tblCellMar>
            <w:top w:w="0" w:type="dxa"/>
            <w:left w:w="108" w:type="dxa"/>
            <w:bottom w:w="0" w:type="dxa"/>
            <w:right w:w="108" w:type="dxa"/>
          </w:tblCellMar>
        </w:tblPrEx>
        <w:trPr>
          <w:trHeight w:val="530" w:hRule="atLeast"/>
        </w:trPr>
        <w:tc>
          <w:tcPr>
            <w:tcW w:w="362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166F9">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804AC">
            <w:pPr>
              <w:widowControl/>
              <w:adjustRightInd/>
              <w:snapToGrid/>
              <w:spacing w:line="240" w:lineRule="auto"/>
              <w:ind w:firstLine="0" w:firstLineChars="0"/>
              <w:jc w:val="center"/>
              <w:rPr>
                <w:rFonts w:cs="宋体"/>
                <w:color w:val="000000"/>
                <w:kern w:val="0"/>
                <w:sz w:val="20"/>
                <w:szCs w:val="20"/>
              </w:rPr>
            </w:pPr>
          </w:p>
        </w:tc>
        <w:tc>
          <w:tcPr>
            <w:tcW w:w="11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80662">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89DDE1">
            <w:pPr>
              <w:widowControl/>
              <w:adjustRightInd/>
              <w:snapToGrid/>
              <w:spacing w:line="240" w:lineRule="auto"/>
              <w:ind w:firstLine="0" w:firstLineChars="0"/>
              <w:jc w:val="center"/>
              <w:rPr>
                <w:rFonts w:ascii="Times New Roman" w:hAnsi="Times New Roman" w:eastAsia="Times New Roman" w:cs="Times New Roman"/>
                <w:kern w:val="0"/>
                <w:sz w:val="20"/>
                <w:szCs w:val="20"/>
              </w:rPr>
            </w:pPr>
          </w:p>
        </w:tc>
        <w:tc>
          <w:tcPr>
            <w:tcW w:w="13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1D961">
            <w:pPr>
              <w:widowControl/>
              <w:adjustRightInd/>
              <w:snapToGrid/>
              <w:spacing w:line="240" w:lineRule="auto"/>
              <w:ind w:firstLine="0" w:firstLineChars="0"/>
              <w:jc w:val="center"/>
              <w:rPr>
                <w:rFonts w:cs="宋体"/>
                <w:color w:val="000000"/>
                <w:kern w:val="0"/>
                <w:sz w:val="20"/>
                <w:szCs w:val="20"/>
              </w:rPr>
            </w:pPr>
            <w:r>
              <w:rPr>
                <w:rFonts w:hint="eastAsia" w:cs="宋体"/>
                <w:color w:val="000000"/>
                <w:kern w:val="0"/>
                <w:sz w:val="20"/>
                <w:szCs w:val="20"/>
              </w:rPr>
              <w:t xml:space="preserve">837.34 </w:t>
            </w:r>
          </w:p>
        </w:tc>
      </w:tr>
    </w:tbl>
    <w:p w14:paraId="214F6220">
      <w:pPr>
        <w:rPr>
          <w:rFonts w:hAnsi="仿宋"/>
        </w:rPr>
      </w:pPr>
    </w:p>
    <w:p w14:paraId="568E2F5B">
      <w:pPr>
        <w:rPr>
          <w:rFonts w:hAnsi="仿宋"/>
        </w:rPr>
      </w:pPr>
    </w:p>
    <w:p w14:paraId="5B948126">
      <w:pPr>
        <w:rPr>
          <w:rFonts w:hAnsi="仿宋"/>
        </w:rPr>
      </w:pPr>
    </w:p>
    <w:p w14:paraId="14F577DE">
      <w:pPr>
        <w:rPr>
          <w:rFonts w:hAnsi="仿宋"/>
        </w:rPr>
        <w:sectPr>
          <w:pgSz w:w="11906" w:h="16838"/>
          <w:pgMar w:top="1440" w:right="1800" w:bottom="1440" w:left="1800" w:header="851" w:footer="992" w:gutter="0"/>
          <w:cols w:space="425" w:num="1"/>
          <w:docGrid w:type="lines" w:linePitch="381" w:charSpace="0"/>
        </w:sectPr>
      </w:pPr>
    </w:p>
    <w:p w14:paraId="45526356">
      <w:pPr>
        <w:pStyle w:val="2"/>
        <w:spacing w:before="156" w:beforeLines="50" w:after="156" w:afterLines="50"/>
        <w:rPr>
          <w:snapToGrid w:val="0"/>
          <w:color w:val="000000"/>
          <w:kern w:val="0"/>
          <w:sz w:val="32"/>
          <w:szCs w:val="32"/>
        </w:rPr>
      </w:pPr>
      <w:bookmarkStart w:id="358" w:name="_Toc106400227"/>
      <w:bookmarkStart w:id="359" w:name="_Toc106400442"/>
      <w:r>
        <w:rPr>
          <w:rFonts w:hint="eastAsia"/>
          <w:snapToGrid w:val="0"/>
          <w:color w:val="000000"/>
          <w:kern w:val="0"/>
          <w:sz w:val="32"/>
          <w:szCs w:val="32"/>
        </w:rPr>
        <w:t>第九章  治理效果</w:t>
      </w:r>
      <w:bookmarkEnd w:id="348"/>
      <w:bookmarkEnd w:id="349"/>
      <w:r>
        <w:rPr>
          <w:rFonts w:hint="eastAsia"/>
          <w:snapToGrid w:val="0"/>
          <w:color w:val="000000"/>
          <w:kern w:val="0"/>
          <w:sz w:val="32"/>
          <w:szCs w:val="32"/>
        </w:rPr>
        <w:t>及效益分析</w:t>
      </w:r>
      <w:bookmarkEnd w:id="350"/>
      <w:bookmarkEnd w:id="351"/>
      <w:bookmarkEnd w:id="358"/>
      <w:bookmarkEnd w:id="359"/>
    </w:p>
    <w:p w14:paraId="04B9C64B">
      <w:pPr>
        <w:ind w:firstLine="562"/>
        <w:rPr>
          <w:b/>
          <w:bCs/>
        </w:rPr>
      </w:pPr>
      <w:bookmarkStart w:id="360" w:name="_Toc513716309"/>
      <w:r>
        <w:rPr>
          <w:rFonts w:hint="eastAsia"/>
          <w:b/>
          <w:bCs/>
        </w:rPr>
        <w:t>一、治理效果</w:t>
      </w:r>
    </w:p>
    <w:p w14:paraId="65F8DBDF">
      <w:r>
        <w:rPr>
          <w:rFonts w:hint="eastAsia"/>
        </w:rPr>
        <w:t>矿山治理后能基本消除</w:t>
      </w:r>
      <w:r>
        <w:rPr>
          <w:rFonts w:hint="eastAsia"/>
          <w:color w:val="000000"/>
        </w:rPr>
        <w:t>采坑历史遗留问题</w:t>
      </w:r>
      <w:r>
        <w:rPr>
          <w:rFonts w:hint="eastAsia"/>
        </w:rPr>
        <w:t>活动产生的地质环境问题，治理后土地平整，与周边地形衔接合理。</w:t>
      </w:r>
    </w:p>
    <w:p w14:paraId="1717F5CC">
      <w:pPr>
        <w:ind w:firstLine="562"/>
        <w:rPr>
          <w:b/>
          <w:bCs/>
        </w:rPr>
      </w:pPr>
      <w:r>
        <w:rPr>
          <w:rFonts w:hint="eastAsia"/>
          <w:b/>
          <w:bCs/>
        </w:rPr>
        <w:t>二、社会效益</w:t>
      </w:r>
      <w:bookmarkEnd w:id="360"/>
    </w:p>
    <w:p w14:paraId="0D3D4949">
      <w:pPr>
        <w:overflowPunct w:val="0"/>
        <w:rPr>
          <w:rFonts w:cs="Arial"/>
        </w:rPr>
      </w:pPr>
      <w:bookmarkStart w:id="361" w:name="_Toc513716311"/>
      <w:r>
        <w:rPr>
          <w:rFonts w:hint="eastAsia" w:cs="Arial"/>
          <w:lang w:val="sq-AL"/>
        </w:rPr>
        <w:t>通过治理有效改善治理区内凹凸不平的地质环境问题，通过合理衔接与周边保持协调一致。</w:t>
      </w:r>
      <w:r>
        <w:rPr>
          <w:rFonts w:hint="eastAsia" w:cs="Arial"/>
        </w:rPr>
        <w:t>治理工作积极</w:t>
      </w:r>
      <w:r>
        <w:rPr>
          <w:rFonts w:hint="eastAsia" w:cs="Arial"/>
          <w:lang w:val="sq-AL"/>
        </w:rPr>
        <w:t>响应十九大提出的绿色矿山建设要求，符合国家构建和谐社会的意愿。</w:t>
      </w:r>
      <w:r>
        <w:rPr>
          <w:rFonts w:hint="eastAsia" w:cs="Arial"/>
        </w:rPr>
        <w:t>也充分体现了和布克赛尔县人民政府对历史遗留采坑的重视和零容忍的态度。</w:t>
      </w:r>
    </w:p>
    <w:p w14:paraId="03313583">
      <w:pPr>
        <w:ind w:firstLine="562"/>
        <w:rPr>
          <w:b/>
          <w:bCs/>
          <w:lang w:val="sq-AL"/>
        </w:rPr>
      </w:pPr>
      <w:r>
        <w:rPr>
          <w:rFonts w:hint="eastAsia"/>
          <w:b/>
          <w:bCs/>
          <w:lang w:val="sq-AL"/>
        </w:rPr>
        <w:t>三、环境效益</w:t>
      </w:r>
      <w:bookmarkEnd w:id="361"/>
    </w:p>
    <w:p w14:paraId="11DE9AB7">
      <w:pPr>
        <w:rPr>
          <w:lang w:val="sq-AL"/>
        </w:rPr>
      </w:pPr>
      <w:r>
        <w:rPr>
          <w:rFonts w:hint="eastAsia"/>
          <w:lang w:val="sq-AL"/>
        </w:rPr>
        <w:t>通过对治理区的治理，既可消除采矿活动对地质环境质量造成的影响，又可改善当地的地质环境条件，综合治理恢复后，恢复了该地的地质环境地貌景观，充分体现人与自然和谐发展，有着明显的环境效益。</w:t>
      </w:r>
    </w:p>
    <w:p w14:paraId="23E213D5">
      <w:pPr>
        <w:pStyle w:val="2"/>
      </w:pPr>
      <w:r>
        <w:rPr>
          <w:rFonts w:hint="eastAsia" w:cs="宋体"/>
          <w:kern w:val="0"/>
          <w:sz w:val="28"/>
          <w:szCs w:val="28"/>
        </w:rPr>
        <w:br w:type="page"/>
      </w:r>
      <w:bookmarkStart w:id="362" w:name="_Toc29271"/>
      <w:bookmarkStart w:id="363" w:name="_Toc102927637"/>
      <w:bookmarkStart w:id="364" w:name="_Toc106400228"/>
      <w:bookmarkStart w:id="365" w:name="_Toc106400443"/>
      <w:r>
        <w:rPr>
          <w:rFonts w:hint="eastAsia"/>
        </w:rPr>
        <w:t>第十章</w:t>
      </w:r>
      <w:r>
        <w:t xml:space="preserve">  </w:t>
      </w:r>
      <w:r>
        <w:rPr>
          <w:rFonts w:hint="eastAsia"/>
        </w:rPr>
        <w:t>预期提交设计、施工成果</w:t>
      </w:r>
      <w:bookmarkEnd w:id="352"/>
      <w:bookmarkEnd w:id="353"/>
      <w:bookmarkEnd w:id="354"/>
      <w:bookmarkEnd w:id="355"/>
      <w:bookmarkEnd w:id="356"/>
      <w:bookmarkEnd w:id="357"/>
      <w:bookmarkEnd w:id="362"/>
      <w:bookmarkEnd w:id="363"/>
      <w:bookmarkEnd w:id="364"/>
      <w:bookmarkEnd w:id="365"/>
    </w:p>
    <w:p w14:paraId="331FA972">
      <w:pPr>
        <w:pStyle w:val="3"/>
      </w:pPr>
      <w:bookmarkStart w:id="366" w:name="_Toc251583579"/>
      <w:bookmarkStart w:id="367" w:name="_Toc28995"/>
      <w:bookmarkStart w:id="368" w:name="_Toc521058895"/>
      <w:bookmarkStart w:id="369" w:name="_Toc14588"/>
      <w:bookmarkStart w:id="370" w:name="_Toc251581099"/>
      <w:bookmarkStart w:id="371" w:name="_Toc106400229"/>
      <w:bookmarkStart w:id="372" w:name="_Toc106400444"/>
      <w:bookmarkStart w:id="373" w:name="_Toc251582339"/>
      <w:bookmarkStart w:id="374" w:name="_Toc507432254"/>
      <w:bookmarkStart w:id="375" w:name="_Toc251865292"/>
      <w:bookmarkStart w:id="376" w:name="_Toc102927638"/>
      <w:bookmarkStart w:id="377" w:name="_Toc508019117"/>
      <w:bookmarkStart w:id="378" w:name="_Toc188705968"/>
      <w:bookmarkStart w:id="379" w:name="_Toc508028870"/>
      <w:bookmarkStart w:id="380" w:name="_Toc458963950"/>
      <w:bookmarkStart w:id="381" w:name="_Toc182376572"/>
      <w:r>
        <w:rPr>
          <w:rFonts w:hint="eastAsia"/>
        </w:rPr>
        <w:t>第一节</w:t>
      </w:r>
      <w:r>
        <w:t xml:space="preserve">  </w:t>
      </w:r>
      <w:r>
        <w:rPr>
          <w:rFonts w:hint="eastAsia"/>
        </w:rPr>
        <w:t>预期提交成果</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bookmarkEnd w:id="381"/>
    <w:p w14:paraId="60B456CD">
      <w:pPr>
        <w:ind w:firstLine="562"/>
        <w:rPr>
          <w:b/>
          <w:bCs/>
        </w:rPr>
      </w:pPr>
      <w:bookmarkStart w:id="382" w:name="_Toc251865293"/>
      <w:bookmarkStart w:id="383" w:name="_Toc251583831"/>
      <w:bookmarkStart w:id="384" w:name="_Toc251581351"/>
      <w:bookmarkStart w:id="385" w:name="_Toc251582591"/>
      <w:bookmarkStart w:id="386" w:name="_Toc188705969"/>
      <w:r>
        <w:rPr>
          <w:rFonts w:hint="eastAsia"/>
          <w:b/>
          <w:bCs/>
        </w:rPr>
        <w:t>一、治理工程设计成果</w:t>
      </w:r>
    </w:p>
    <w:p w14:paraId="0172CEE4">
      <w:pPr>
        <w:rPr>
          <w:kern w:val="0"/>
        </w:rPr>
      </w:pPr>
      <w:r>
        <w:rPr>
          <w:rFonts w:hint="eastAsia"/>
          <w:kern w:val="0"/>
        </w:rPr>
        <w:t>1、《</w:t>
      </w:r>
      <w:r>
        <w:rPr>
          <w:rFonts w:hint="eastAsia"/>
        </w:rPr>
        <w:t>新疆和布克赛尔县7号历史遗留采坑地质环境治理恢复方案</w:t>
      </w:r>
      <w:r>
        <w:rPr>
          <w:rFonts w:hint="eastAsia"/>
          <w:kern w:val="0"/>
        </w:rPr>
        <w:t>》；</w:t>
      </w:r>
    </w:p>
    <w:p w14:paraId="2C77C131">
      <w:pPr>
        <w:rPr>
          <w:kern w:val="0"/>
        </w:rPr>
      </w:pPr>
      <w:r>
        <w:rPr>
          <w:rFonts w:hint="eastAsia"/>
          <w:kern w:val="0"/>
        </w:rPr>
        <w:t>2、《</w:t>
      </w:r>
      <w:r>
        <w:rPr>
          <w:rFonts w:hint="eastAsia"/>
        </w:rPr>
        <w:t>新疆和布克赛尔县7号历史遗留采坑地质环境恢复治理施工设计及施工</w:t>
      </w:r>
      <w:r>
        <w:rPr>
          <w:rFonts w:hint="eastAsia"/>
          <w:kern w:val="0"/>
        </w:rPr>
        <w:t>平面布置图》；</w:t>
      </w:r>
    </w:p>
    <w:p w14:paraId="093B4FC5">
      <w:r>
        <w:rPr>
          <w:rFonts w:hint="eastAsia"/>
          <w:kern w:val="0"/>
        </w:rPr>
        <w:t>3、《</w:t>
      </w:r>
      <w:r>
        <w:rPr>
          <w:rFonts w:hint="eastAsia"/>
        </w:rPr>
        <w:t>新疆和布克赛尔县7号历史遗留采坑</w:t>
      </w:r>
      <w:r>
        <w:rPr>
          <w:rFonts w:hint="eastAsia"/>
          <w:kern w:val="0"/>
        </w:rPr>
        <w:t>地质环境恢复治理施工断面图》</w:t>
      </w:r>
    </w:p>
    <w:p w14:paraId="436FE4D0">
      <w:pPr>
        <w:ind w:firstLine="562"/>
        <w:rPr>
          <w:b/>
          <w:bCs/>
        </w:rPr>
      </w:pPr>
      <w:r>
        <w:rPr>
          <w:rFonts w:hint="eastAsia"/>
          <w:b/>
          <w:bCs/>
        </w:rPr>
        <w:t>二、施工成果资料</w:t>
      </w:r>
    </w:p>
    <w:p w14:paraId="36A9D026">
      <w:r>
        <w:rPr>
          <w:rFonts w:hint="eastAsia"/>
        </w:rPr>
        <w:t>1、《新疆和布克赛尔县7号历史遗留采坑地质环境恢复治理施工管理资料》；</w:t>
      </w:r>
    </w:p>
    <w:p w14:paraId="2BA31607">
      <w:r>
        <w:rPr>
          <w:rFonts w:hint="eastAsia"/>
        </w:rPr>
        <w:t>2、《新疆和布克赛尔县7号历史遗留采坑地质环境恢复治理竣工报告》；</w:t>
      </w:r>
    </w:p>
    <w:p w14:paraId="2A90C450">
      <w:pPr>
        <w:rPr>
          <w:kern w:val="0"/>
        </w:rPr>
      </w:pPr>
      <w:r>
        <w:rPr>
          <w:rFonts w:hint="eastAsia"/>
          <w:kern w:val="0"/>
        </w:rPr>
        <w:t>3、照片和影像资料；</w:t>
      </w:r>
    </w:p>
    <w:p w14:paraId="0EC80CA1">
      <w:pPr>
        <w:rPr>
          <w:kern w:val="0"/>
        </w:rPr>
      </w:pPr>
      <w:r>
        <w:rPr>
          <w:rFonts w:hint="eastAsia"/>
          <w:kern w:val="0"/>
        </w:rPr>
        <w:t>4、其他原始资料；</w:t>
      </w:r>
    </w:p>
    <w:p w14:paraId="2B992E9E">
      <w:pPr>
        <w:pStyle w:val="3"/>
      </w:pPr>
      <w:bookmarkStart w:id="387" w:name="_Toc102927639"/>
      <w:bookmarkStart w:id="388" w:name="_Toc507432255"/>
      <w:bookmarkStart w:id="389" w:name="_Toc106400230"/>
      <w:bookmarkStart w:id="390" w:name="_Toc12671"/>
      <w:bookmarkStart w:id="391" w:name="_Toc508019118"/>
      <w:bookmarkStart w:id="392" w:name="_Toc508028871"/>
      <w:bookmarkStart w:id="393" w:name="_Toc458963951"/>
      <w:bookmarkStart w:id="394" w:name="_Toc106400445"/>
      <w:bookmarkStart w:id="395" w:name="_Toc521058896"/>
      <w:bookmarkStart w:id="396" w:name="_Toc16023"/>
      <w:r>
        <w:rPr>
          <w:rFonts w:hint="eastAsia"/>
        </w:rPr>
        <w:t>第二节</w:t>
      </w:r>
      <w:r>
        <w:t xml:space="preserve">  </w:t>
      </w:r>
      <w:r>
        <w:rPr>
          <w:rFonts w:hint="eastAsia"/>
        </w:rPr>
        <w:t>竣工报告编写提纲</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A028B26">
      <w:pPr>
        <w:rPr>
          <w:rFonts w:hAnsi="华文中宋"/>
        </w:rPr>
      </w:pPr>
      <w:bookmarkStart w:id="397" w:name="_Toc251582592"/>
      <w:bookmarkStart w:id="398" w:name="_Toc251583832"/>
      <w:bookmarkStart w:id="399" w:name="_Toc251581352"/>
      <w:r>
        <w:rPr>
          <w:rFonts w:hint="eastAsia" w:hAnsi="华文中宋"/>
        </w:rPr>
        <w:t>本次治理工程竣工总结报告编写提纲：</w:t>
      </w:r>
      <w:bookmarkEnd w:id="397"/>
      <w:bookmarkEnd w:id="398"/>
      <w:bookmarkEnd w:id="399"/>
    </w:p>
    <w:p w14:paraId="6EA0DE82">
      <w:bookmarkStart w:id="400" w:name="_Toc251583833"/>
      <w:bookmarkStart w:id="401" w:name="_Toc251582593"/>
      <w:bookmarkStart w:id="402" w:name="_Toc251581353"/>
      <w:r>
        <w:rPr>
          <w:rFonts w:hint="eastAsia"/>
        </w:rPr>
        <w:t>第一章　治理工程概况</w:t>
      </w:r>
      <w:bookmarkEnd w:id="400"/>
      <w:bookmarkEnd w:id="401"/>
      <w:bookmarkEnd w:id="402"/>
    </w:p>
    <w:p w14:paraId="2C8519CA">
      <w:bookmarkStart w:id="403" w:name="_Toc251582594"/>
      <w:bookmarkStart w:id="404" w:name="_Toc251583834"/>
      <w:bookmarkStart w:id="405" w:name="_Toc251581354"/>
      <w:r>
        <w:rPr>
          <w:rFonts w:hint="eastAsia"/>
        </w:rPr>
        <w:t>第一节　治理工程概况</w:t>
      </w:r>
      <w:bookmarkEnd w:id="403"/>
      <w:bookmarkEnd w:id="404"/>
      <w:bookmarkEnd w:id="405"/>
    </w:p>
    <w:p w14:paraId="093B17E7">
      <w:bookmarkStart w:id="406" w:name="_Toc251581355"/>
      <w:bookmarkStart w:id="407" w:name="_Toc251583835"/>
      <w:bookmarkStart w:id="408" w:name="_Toc251582595"/>
      <w:r>
        <w:rPr>
          <w:rFonts w:hint="eastAsia"/>
        </w:rPr>
        <w:t>第二节　工程任务和工作技术要求</w:t>
      </w:r>
      <w:bookmarkEnd w:id="406"/>
      <w:bookmarkEnd w:id="407"/>
      <w:bookmarkEnd w:id="408"/>
    </w:p>
    <w:p w14:paraId="3B10B144">
      <w:bookmarkStart w:id="409" w:name="_Toc251583836"/>
      <w:bookmarkStart w:id="410" w:name="_Toc251581356"/>
      <w:bookmarkStart w:id="411" w:name="_Toc251582596"/>
      <w:r>
        <w:rPr>
          <w:rFonts w:hint="eastAsia"/>
        </w:rPr>
        <w:t>第三节　完成主要工作量及质量评述</w:t>
      </w:r>
      <w:bookmarkEnd w:id="409"/>
      <w:bookmarkEnd w:id="410"/>
      <w:bookmarkEnd w:id="411"/>
    </w:p>
    <w:p w14:paraId="0A6D47F6">
      <w:bookmarkStart w:id="412" w:name="_Toc251583837"/>
      <w:bookmarkStart w:id="413" w:name="_Toc251581357"/>
      <w:bookmarkStart w:id="414" w:name="_Toc251582597"/>
      <w:r>
        <w:rPr>
          <w:rFonts w:hint="eastAsia"/>
        </w:rPr>
        <w:t>第二章　历史遗留采坑自然环境</w:t>
      </w:r>
      <w:bookmarkEnd w:id="412"/>
      <w:bookmarkEnd w:id="413"/>
      <w:bookmarkEnd w:id="414"/>
    </w:p>
    <w:p w14:paraId="1D6E5C12">
      <w:bookmarkStart w:id="415" w:name="_Toc251581358"/>
      <w:bookmarkStart w:id="416" w:name="_Toc251582598"/>
      <w:bookmarkStart w:id="417" w:name="_Toc251583838"/>
      <w:r>
        <w:rPr>
          <w:rFonts w:hint="eastAsia"/>
        </w:rPr>
        <w:t>第一节　历史遗留采坑地理交通位置</w:t>
      </w:r>
      <w:bookmarkEnd w:id="415"/>
      <w:bookmarkEnd w:id="416"/>
      <w:bookmarkEnd w:id="417"/>
    </w:p>
    <w:p w14:paraId="2DCEDEC1">
      <w:bookmarkStart w:id="418" w:name="_Toc251582599"/>
      <w:bookmarkStart w:id="419" w:name="_Toc251583839"/>
      <w:bookmarkStart w:id="420" w:name="_Toc251581359"/>
      <w:r>
        <w:rPr>
          <w:rFonts w:hint="eastAsia"/>
        </w:rPr>
        <w:t>第二节　历史遗留采坑自然地理概况</w:t>
      </w:r>
      <w:bookmarkEnd w:id="418"/>
      <w:bookmarkEnd w:id="419"/>
      <w:bookmarkEnd w:id="420"/>
    </w:p>
    <w:p w14:paraId="74445F23">
      <w:bookmarkStart w:id="421" w:name="_Toc251582600"/>
      <w:bookmarkStart w:id="422" w:name="_Toc251581360"/>
      <w:bookmarkStart w:id="423" w:name="_Toc251583840"/>
      <w:r>
        <w:rPr>
          <w:rFonts w:hint="eastAsia"/>
        </w:rPr>
        <w:t>第三节　地质、水文地质概况</w:t>
      </w:r>
      <w:bookmarkEnd w:id="421"/>
      <w:bookmarkEnd w:id="422"/>
      <w:bookmarkEnd w:id="423"/>
    </w:p>
    <w:p w14:paraId="7E02B76C">
      <w:bookmarkStart w:id="424" w:name="_Toc251583841"/>
      <w:bookmarkStart w:id="425" w:name="_Toc251582601"/>
      <w:bookmarkStart w:id="426" w:name="_Toc251581361"/>
      <w:r>
        <w:rPr>
          <w:rFonts w:hint="eastAsia"/>
        </w:rPr>
        <w:t>第四节　社会经济概况、地质环境现状</w:t>
      </w:r>
      <w:bookmarkEnd w:id="424"/>
      <w:bookmarkEnd w:id="425"/>
      <w:bookmarkEnd w:id="426"/>
    </w:p>
    <w:p w14:paraId="4943B839">
      <w:bookmarkStart w:id="427" w:name="_Toc251581362"/>
      <w:bookmarkStart w:id="428" w:name="_Toc251583842"/>
      <w:bookmarkStart w:id="429" w:name="_Toc251582602"/>
      <w:r>
        <w:rPr>
          <w:rFonts w:hint="eastAsia"/>
        </w:rPr>
        <w:t>第五节　历史遗留采坑开发利用概况</w:t>
      </w:r>
      <w:bookmarkEnd w:id="427"/>
      <w:bookmarkEnd w:id="428"/>
      <w:bookmarkEnd w:id="429"/>
    </w:p>
    <w:p w14:paraId="45FF44A3">
      <w:bookmarkStart w:id="430" w:name="_Toc251582603"/>
      <w:bookmarkStart w:id="431" w:name="_Toc251583843"/>
      <w:bookmarkStart w:id="432" w:name="_Toc251581363"/>
      <w:r>
        <w:rPr>
          <w:rFonts w:hint="eastAsia"/>
        </w:rPr>
        <w:t>第三章　地质环境治理工程</w:t>
      </w:r>
      <w:bookmarkEnd w:id="430"/>
      <w:bookmarkEnd w:id="431"/>
      <w:bookmarkEnd w:id="432"/>
    </w:p>
    <w:p w14:paraId="6CF90A90">
      <w:bookmarkStart w:id="433" w:name="_Toc251583845"/>
      <w:bookmarkStart w:id="434" w:name="_Toc251582605"/>
      <w:bookmarkStart w:id="435" w:name="_Toc251581365"/>
      <w:r>
        <w:rPr>
          <w:rFonts w:hint="eastAsia"/>
        </w:rPr>
        <w:t>第一节　地质环境治理工程设计</w:t>
      </w:r>
      <w:bookmarkEnd w:id="433"/>
      <w:bookmarkEnd w:id="434"/>
      <w:bookmarkEnd w:id="435"/>
    </w:p>
    <w:p w14:paraId="29171EFD">
      <w:bookmarkStart w:id="436" w:name="_Toc251582606"/>
      <w:bookmarkStart w:id="437" w:name="_Toc251581366"/>
      <w:bookmarkStart w:id="438" w:name="_Toc251583846"/>
      <w:r>
        <w:rPr>
          <w:rFonts w:hint="eastAsia"/>
        </w:rPr>
        <w:t>第二节　地质环境治理工程施工</w:t>
      </w:r>
      <w:bookmarkEnd w:id="436"/>
      <w:bookmarkEnd w:id="437"/>
      <w:bookmarkEnd w:id="438"/>
    </w:p>
    <w:p w14:paraId="770CA04E">
      <w:bookmarkStart w:id="439" w:name="_Toc251583848"/>
      <w:bookmarkStart w:id="440" w:name="_Toc251581368"/>
      <w:bookmarkStart w:id="441" w:name="_Toc251582608"/>
      <w:r>
        <w:rPr>
          <w:rFonts w:hint="eastAsia"/>
        </w:rPr>
        <w:t>第四章　治理工程效益分析</w:t>
      </w:r>
      <w:bookmarkEnd w:id="439"/>
      <w:bookmarkEnd w:id="440"/>
      <w:bookmarkEnd w:id="441"/>
    </w:p>
    <w:p w14:paraId="3A6ECCB8">
      <w:bookmarkStart w:id="442" w:name="_Toc251581369"/>
      <w:bookmarkStart w:id="443" w:name="_Toc251583849"/>
      <w:bookmarkStart w:id="444" w:name="_Toc251582609"/>
      <w:r>
        <w:rPr>
          <w:rFonts w:hint="eastAsia"/>
        </w:rPr>
        <w:t>第一节　治理前历史遗留采坑地质环境问题</w:t>
      </w:r>
      <w:bookmarkEnd w:id="442"/>
      <w:bookmarkEnd w:id="443"/>
      <w:bookmarkEnd w:id="444"/>
    </w:p>
    <w:p w14:paraId="47B07666">
      <w:bookmarkStart w:id="445" w:name="_Toc251581370"/>
      <w:bookmarkStart w:id="446" w:name="_Toc251582610"/>
      <w:bookmarkStart w:id="447" w:name="_Toc251583850"/>
      <w:r>
        <w:rPr>
          <w:rFonts w:hint="eastAsia"/>
        </w:rPr>
        <w:t>第二节　地质环境治理情况评价</w:t>
      </w:r>
      <w:bookmarkEnd w:id="445"/>
      <w:bookmarkEnd w:id="446"/>
      <w:bookmarkEnd w:id="447"/>
    </w:p>
    <w:p w14:paraId="57BB12CD">
      <w:bookmarkStart w:id="448" w:name="_Toc251582611"/>
      <w:bookmarkStart w:id="449" w:name="_Toc251581371"/>
      <w:bookmarkStart w:id="450" w:name="_Toc251583851"/>
      <w:r>
        <w:rPr>
          <w:rFonts w:hint="eastAsia"/>
        </w:rPr>
        <w:t>第三节　实施效益评价</w:t>
      </w:r>
      <w:bookmarkEnd w:id="448"/>
      <w:bookmarkEnd w:id="449"/>
      <w:bookmarkEnd w:id="450"/>
    </w:p>
    <w:p w14:paraId="3ECD23F4">
      <w:bookmarkStart w:id="451" w:name="_Toc251581372"/>
      <w:bookmarkStart w:id="452" w:name="_Toc251583852"/>
      <w:bookmarkStart w:id="453" w:name="_Toc251582612"/>
      <w:r>
        <w:rPr>
          <w:rFonts w:hint="eastAsia"/>
        </w:rPr>
        <w:t>第四节　资金使用情况</w:t>
      </w:r>
      <w:bookmarkEnd w:id="451"/>
      <w:bookmarkEnd w:id="452"/>
      <w:bookmarkEnd w:id="453"/>
    </w:p>
    <w:p w14:paraId="5EE92D8B">
      <w:bookmarkStart w:id="454" w:name="_Toc251581373"/>
      <w:bookmarkStart w:id="455" w:name="_Toc251583853"/>
      <w:bookmarkStart w:id="456" w:name="_Toc251582613"/>
      <w:r>
        <w:rPr>
          <w:rFonts w:hint="eastAsia"/>
        </w:rPr>
        <w:t>第五章　结论与建议</w:t>
      </w:r>
      <w:bookmarkEnd w:id="454"/>
      <w:bookmarkEnd w:id="455"/>
      <w:bookmarkEnd w:id="456"/>
    </w:p>
    <w:sectPr>
      <w:type w:val="oddPage"/>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0C336">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9F3D9">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3AAF0">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8124482"/>
      <w:docPartObj>
        <w:docPartGallery w:val="autotext"/>
      </w:docPartObj>
    </w:sdtPr>
    <w:sdtContent>
      <w:p w14:paraId="6A7AEAFA">
        <w:pPr>
          <w:pStyle w:val="9"/>
          <w:ind w:firstLine="360"/>
          <w:jc w:val="center"/>
        </w:pPr>
        <w:r>
          <w:fldChar w:fldCharType="begin"/>
        </w:r>
        <w:r>
          <w:instrText xml:space="preserve">PAGE   \* MERGEFORMAT</w:instrText>
        </w:r>
        <w:r>
          <w:fldChar w:fldCharType="separate"/>
        </w:r>
        <w:r>
          <w:rPr>
            <w:lang w:val="zh-CN"/>
          </w:rPr>
          <w:t>2</w:t>
        </w:r>
        <w:r>
          <w:fldChar w:fldCharType="end"/>
        </w:r>
      </w:p>
    </w:sdtContent>
  </w:sdt>
  <w:p w14:paraId="08956BC4">
    <w:pPr>
      <w:pStyle w:val="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4C9F1">
    <w:pPr>
      <w:pStyle w:val="9"/>
      <w:ind w:right="360" w:firstLine="360"/>
      <w:jc w:val="center"/>
    </w:pPr>
    <w:r>
      <w:fldChar w:fldCharType="begin"/>
    </w:r>
    <w:r>
      <w:rPr>
        <w:rStyle w:val="16"/>
      </w:rPr>
      <w:instrText xml:space="preserve"> PAGE </w:instrText>
    </w:r>
    <w:r>
      <w:fldChar w:fldCharType="separate"/>
    </w:r>
    <w:r>
      <w:rPr>
        <w:rStyle w:val="16"/>
      </w:rPr>
      <w:t>86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F4986">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CA168">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5414A">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BkZTIwZTNjOGQyZWYzMTJhZDQyMzI2OWUyYWIzMzMifQ=="/>
  </w:docVars>
  <w:rsids>
    <w:rsidRoot w:val="005D6808"/>
    <w:rsid w:val="00017B77"/>
    <w:rsid w:val="000223BB"/>
    <w:rsid w:val="000279E5"/>
    <w:rsid w:val="00040445"/>
    <w:rsid w:val="00042A03"/>
    <w:rsid w:val="00046257"/>
    <w:rsid w:val="00057340"/>
    <w:rsid w:val="00071C87"/>
    <w:rsid w:val="00090728"/>
    <w:rsid w:val="0009346E"/>
    <w:rsid w:val="000B44D8"/>
    <w:rsid w:val="000D46A8"/>
    <w:rsid w:val="000D655A"/>
    <w:rsid w:val="000F30E5"/>
    <w:rsid w:val="001066A6"/>
    <w:rsid w:val="00134BD2"/>
    <w:rsid w:val="00170C93"/>
    <w:rsid w:val="00172646"/>
    <w:rsid w:val="001729A4"/>
    <w:rsid w:val="0017506C"/>
    <w:rsid w:val="00182E4E"/>
    <w:rsid w:val="001934CD"/>
    <w:rsid w:val="00194B9F"/>
    <w:rsid w:val="001C05C0"/>
    <w:rsid w:val="001C1CCD"/>
    <w:rsid w:val="001F1B97"/>
    <w:rsid w:val="00203584"/>
    <w:rsid w:val="002047DC"/>
    <w:rsid w:val="00205996"/>
    <w:rsid w:val="00210B6A"/>
    <w:rsid w:val="00222022"/>
    <w:rsid w:val="00223DC4"/>
    <w:rsid w:val="0022482C"/>
    <w:rsid w:val="002330DB"/>
    <w:rsid w:val="00233F65"/>
    <w:rsid w:val="00246487"/>
    <w:rsid w:val="00281821"/>
    <w:rsid w:val="00297F4D"/>
    <w:rsid w:val="002A04C9"/>
    <w:rsid w:val="002B2C22"/>
    <w:rsid w:val="002C68A8"/>
    <w:rsid w:val="002E35A0"/>
    <w:rsid w:val="003110E0"/>
    <w:rsid w:val="00326050"/>
    <w:rsid w:val="00336BA2"/>
    <w:rsid w:val="00342812"/>
    <w:rsid w:val="0038108F"/>
    <w:rsid w:val="00387739"/>
    <w:rsid w:val="00391C21"/>
    <w:rsid w:val="00397EB2"/>
    <w:rsid w:val="003D5FED"/>
    <w:rsid w:val="003F2A85"/>
    <w:rsid w:val="003F7C22"/>
    <w:rsid w:val="0041405C"/>
    <w:rsid w:val="00422C2A"/>
    <w:rsid w:val="00431C73"/>
    <w:rsid w:val="00460666"/>
    <w:rsid w:val="0047682E"/>
    <w:rsid w:val="00485176"/>
    <w:rsid w:val="004B14CF"/>
    <w:rsid w:val="00516282"/>
    <w:rsid w:val="005252E5"/>
    <w:rsid w:val="00543F73"/>
    <w:rsid w:val="00552DBC"/>
    <w:rsid w:val="00555E95"/>
    <w:rsid w:val="00555FEC"/>
    <w:rsid w:val="00560C64"/>
    <w:rsid w:val="00563F83"/>
    <w:rsid w:val="00570E82"/>
    <w:rsid w:val="0057445D"/>
    <w:rsid w:val="00574A97"/>
    <w:rsid w:val="00583A49"/>
    <w:rsid w:val="00596A4D"/>
    <w:rsid w:val="005A00BC"/>
    <w:rsid w:val="005D6808"/>
    <w:rsid w:val="005E3D85"/>
    <w:rsid w:val="005F02FD"/>
    <w:rsid w:val="0061588F"/>
    <w:rsid w:val="006351FC"/>
    <w:rsid w:val="00690E6C"/>
    <w:rsid w:val="006949BC"/>
    <w:rsid w:val="006B1402"/>
    <w:rsid w:val="0070613D"/>
    <w:rsid w:val="0072619A"/>
    <w:rsid w:val="007335D9"/>
    <w:rsid w:val="0074072F"/>
    <w:rsid w:val="00757597"/>
    <w:rsid w:val="00782833"/>
    <w:rsid w:val="00787D41"/>
    <w:rsid w:val="00790C90"/>
    <w:rsid w:val="007B5B6B"/>
    <w:rsid w:val="007D7136"/>
    <w:rsid w:val="00815B5A"/>
    <w:rsid w:val="00815F58"/>
    <w:rsid w:val="008350D3"/>
    <w:rsid w:val="00836200"/>
    <w:rsid w:val="00845939"/>
    <w:rsid w:val="00892398"/>
    <w:rsid w:val="008B3839"/>
    <w:rsid w:val="008C25CB"/>
    <w:rsid w:val="008C53FD"/>
    <w:rsid w:val="008E5836"/>
    <w:rsid w:val="008F7003"/>
    <w:rsid w:val="00932FE2"/>
    <w:rsid w:val="00967C8C"/>
    <w:rsid w:val="00992F5C"/>
    <w:rsid w:val="009B7AAC"/>
    <w:rsid w:val="009C6807"/>
    <w:rsid w:val="009C69B5"/>
    <w:rsid w:val="009C7B6B"/>
    <w:rsid w:val="009D2276"/>
    <w:rsid w:val="009F7F97"/>
    <w:rsid w:val="00A17841"/>
    <w:rsid w:val="00A47C0E"/>
    <w:rsid w:val="00A818F9"/>
    <w:rsid w:val="00AA15F7"/>
    <w:rsid w:val="00AB1683"/>
    <w:rsid w:val="00AB31CF"/>
    <w:rsid w:val="00B22941"/>
    <w:rsid w:val="00B32F13"/>
    <w:rsid w:val="00B568E5"/>
    <w:rsid w:val="00B72D89"/>
    <w:rsid w:val="00B82B67"/>
    <w:rsid w:val="00BB718D"/>
    <w:rsid w:val="00BF0A96"/>
    <w:rsid w:val="00C23728"/>
    <w:rsid w:val="00C4598A"/>
    <w:rsid w:val="00C65274"/>
    <w:rsid w:val="00C92534"/>
    <w:rsid w:val="00C97F15"/>
    <w:rsid w:val="00CA3FA2"/>
    <w:rsid w:val="00CB00F8"/>
    <w:rsid w:val="00CE1FAD"/>
    <w:rsid w:val="00D03E03"/>
    <w:rsid w:val="00D11F04"/>
    <w:rsid w:val="00DA431F"/>
    <w:rsid w:val="00DE6A3C"/>
    <w:rsid w:val="00E03810"/>
    <w:rsid w:val="00E23E9F"/>
    <w:rsid w:val="00E32B4D"/>
    <w:rsid w:val="00E4405C"/>
    <w:rsid w:val="00E556DA"/>
    <w:rsid w:val="00E94348"/>
    <w:rsid w:val="00EB169E"/>
    <w:rsid w:val="00EC70D4"/>
    <w:rsid w:val="00ED370D"/>
    <w:rsid w:val="00EE4246"/>
    <w:rsid w:val="00EE593B"/>
    <w:rsid w:val="00EF75AE"/>
    <w:rsid w:val="00F17252"/>
    <w:rsid w:val="00F34B14"/>
    <w:rsid w:val="00F3624A"/>
    <w:rsid w:val="00F41F8C"/>
    <w:rsid w:val="00F45D73"/>
    <w:rsid w:val="00F64364"/>
    <w:rsid w:val="00F74CCB"/>
    <w:rsid w:val="00F752E4"/>
    <w:rsid w:val="00F86142"/>
    <w:rsid w:val="00FB4883"/>
    <w:rsid w:val="00FC23F8"/>
    <w:rsid w:val="00FE2105"/>
    <w:rsid w:val="1077180F"/>
    <w:rsid w:val="4BC85D83"/>
    <w:rsid w:val="57886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00" w:lineRule="exact"/>
      <w:ind w:firstLine="560" w:firstLineChars="200"/>
      <w:jc w:val="both"/>
    </w:pPr>
    <w:rPr>
      <w:rFonts w:ascii="仿宋_GB2312" w:hAnsi="宋体" w:eastAsia="仿宋_GB2312" w:cstheme="minorBidi"/>
      <w:kern w:val="2"/>
      <w:sz w:val="28"/>
      <w:szCs w:val="28"/>
      <w:lang w:val="en-US" w:eastAsia="zh-CN" w:bidi="ar-SA"/>
    </w:rPr>
  </w:style>
  <w:style w:type="paragraph" w:styleId="2">
    <w:name w:val="heading 1"/>
    <w:basedOn w:val="1"/>
    <w:next w:val="1"/>
    <w:link w:val="24"/>
    <w:qFormat/>
    <w:uiPriority w:val="9"/>
    <w:pPr>
      <w:keepNext/>
      <w:keepLines/>
      <w:ind w:firstLine="0" w:firstLineChars="0"/>
      <w:jc w:val="center"/>
      <w:outlineLvl w:val="0"/>
    </w:pPr>
    <w:rPr>
      <w:b/>
      <w:bCs/>
      <w:kern w:val="44"/>
      <w:sz w:val="30"/>
      <w:szCs w:val="44"/>
    </w:rPr>
  </w:style>
  <w:style w:type="paragraph" w:styleId="3">
    <w:name w:val="heading 2"/>
    <w:basedOn w:val="1"/>
    <w:next w:val="1"/>
    <w:link w:val="21"/>
    <w:qFormat/>
    <w:uiPriority w:val="0"/>
    <w:pPr>
      <w:keepNext/>
      <w:keepLines/>
      <w:ind w:firstLine="0" w:firstLineChars="0"/>
      <w:jc w:val="center"/>
      <w:outlineLvl w:val="1"/>
    </w:pPr>
    <w:rPr>
      <w:rFonts w:cs="Times New Roman"/>
      <w:b/>
      <w:sz w:val="30"/>
      <w:szCs w:val="30"/>
    </w:rPr>
  </w:style>
  <w:style w:type="paragraph" w:styleId="4">
    <w:name w:val="heading 3"/>
    <w:basedOn w:val="1"/>
    <w:next w:val="1"/>
    <w:link w:val="28"/>
    <w:unhideWhenUsed/>
    <w:qFormat/>
    <w:uiPriority w:val="9"/>
    <w:pPr>
      <w:keepNext/>
      <w:keepLines/>
      <w:ind w:firstLine="562"/>
      <w:outlineLvl w:val="2"/>
    </w:pPr>
    <w:rPr>
      <w:b/>
      <w:bCs/>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8"/>
    <w:semiHidden/>
    <w:unhideWhenUsed/>
    <w:uiPriority w:val="99"/>
    <w:pPr>
      <w:jc w:val="left"/>
    </w:pPr>
  </w:style>
  <w:style w:type="paragraph" w:styleId="6">
    <w:name w:val="Body Text"/>
    <w:basedOn w:val="1"/>
    <w:link w:val="27"/>
    <w:qFormat/>
    <w:uiPriority w:val="0"/>
    <w:pPr>
      <w:ind w:firstLine="480"/>
    </w:pPr>
    <w:rPr>
      <w:rFonts w:ascii="Calibri" w:hAnsi="Calibri" w:eastAsia="宋体" w:cs="Times New Roman"/>
      <w:sz w:val="24"/>
      <w:szCs w:val="20"/>
    </w:rPr>
  </w:style>
  <w:style w:type="paragraph" w:styleId="7">
    <w:name w:val="Body Text Indent"/>
    <w:basedOn w:val="1"/>
    <w:link w:val="32"/>
    <w:qFormat/>
    <w:uiPriority w:val="0"/>
    <w:pPr>
      <w:adjustRightInd/>
      <w:snapToGrid/>
      <w:spacing w:after="120" w:line="240" w:lineRule="auto"/>
      <w:ind w:left="420" w:leftChars="200" w:firstLine="0" w:firstLineChars="0"/>
    </w:pPr>
    <w:rPr>
      <w:rFonts w:ascii="Calibri" w:hAnsi="Calibri" w:eastAsiaTheme="minorEastAsia"/>
      <w:sz w:val="21"/>
      <w:szCs w:val="24"/>
    </w:rPr>
  </w:style>
  <w:style w:type="paragraph" w:styleId="8">
    <w:name w:val="toc 3"/>
    <w:basedOn w:val="1"/>
    <w:next w:val="1"/>
    <w:unhideWhenUsed/>
    <w:qFormat/>
    <w:uiPriority w:val="39"/>
    <w:pPr>
      <w:widowControl/>
      <w:adjustRightInd/>
      <w:snapToGrid/>
      <w:spacing w:after="100" w:line="259" w:lineRule="auto"/>
      <w:ind w:left="440" w:firstLine="0" w:firstLineChars="0"/>
      <w:jc w:val="left"/>
    </w:pPr>
    <w:rPr>
      <w:rFonts w:cs="Times New Roman" w:asciiTheme="minorHAnsi" w:hAnsiTheme="minorHAnsi" w:eastAsiaTheme="minorEastAsia"/>
      <w:kern w:val="0"/>
      <w:sz w:val="22"/>
      <w:szCs w:val="22"/>
    </w:rPr>
  </w:style>
  <w:style w:type="paragraph" w:styleId="9">
    <w:name w:val="footer"/>
    <w:basedOn w:val="1"/>
    <w:link w:val="19"/>
    <w:unhideWhenUsed/>
    <w:qFormat/>
    <w:uiPriority w:val="99"/>
    <w:pPr>
      <w:tabs>
        <w:tab w:val="center" w:pos="4153"/>
        <w:tab w:val="right" w:pos="8306"/>
      </w:tabs>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uiPriority w:val="39"/>
    <w:pPr>
      <w:widowControl/>
      <w:adjustRightInd/>
      <w:snapToGrid/>
      <w:ind w:firstLine="0" w:firstLineChars="0"/>
      <w:jc w:val="left"/>
    </w:pPr>
    <w:rPr>
      <w:rFonts w:cs="Times New Roman" w:asciiTheme="minorHAnsi" w:hAnsiTheme="minorHAnsi"/>
      <w:kern w:val="0"/>
      <w:szCs w:val="22"/>
    </w:rPr>
  </w:style>
  <w:style w:type="paragraph" w:styleId="12">
    <w:name w:val="toc 2"/>
    <w:basedOn w:val="1"/>
    <w:next w:val="1"/>
    <w:unhideWhenUsed/>
    <w:qFormat/>
    <w:uiPriority w:val="39"/>
    <w:pPr>
      <w:widowControl/>
      <w:adjustRightInd/>
      <w:snapToGrid/>
      <w:ind w:firstLine="0" w:firstLineChars="0"/>
      <w:jc w:val="left"/>
    </w:pPr>
    <w:rPr>
      <w:rFonts w:cs="Times New Roman" w:asciiTheme="minorHAnsi" w:hAnsiTheme="minorHAnsi"/>
      <w:kern w:val="0"/>
      <w:szCs w:val="22"/>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_Style 48"/>
    <w:basedOn w:val="1"/>
    <w:qFormat/>
    <w:uiPriority w:val="0"/>
    <w:rPr>
      <w:rFonts w:eastAsia="宋体" w:cs="Times New Roman"/>
      <w:szCs w:val="24"/>
    </w:rPr>
  </w:style>
  <w:style w:type="character" w:customStyle="1" w:styleId="21">
    <w:name w:val="标题 2 字符"/>
    <w:basedOn w:val="15"/>
    <w:link w:val="3"/>
    <w:qFormat/>
    <w:uiPriority w:val="0"/>
    <w:rPr>
      <w:rFonts w:ascii="仿宋_GB2312" w:hAnsi="宋体" w:eastAsia="仿宋_GB2312" w:cs="Times New Roman"/>
      <w:b/>
      <w:sz w:val="30"/>
      <w:szCs w:val="30"/>
    </w:rPr>
  </w:style>
  <w:style w:type="paragraph" w:customStyle="1" w:styleId="22">
    <w:name w:val="图名"/>
    <w:basedOn w:val="1"/>
    <w:qFormat/>
    <w:uiPriority w:val="0"/>
    <w:pPr>
      <w:ind w:firstLine="200"/>
      <w:jc w:val="center"/>
    </w:pPr>
    <w:rPr>
      <w:rFonts w:hAnsi="Calibri" w:cs="Times New Roman"/>
    </w:rPr>
  </w:style>
  <w:style w:type="paragraph" w:customStyle="1" w:styleId="23">
    <w:name w:val="L正文"/>
    <w:basedOn w:val="1"/>
    <w:qFormat/>
    <w:uiPriority w:val="0"/>
    <w:pPr>
      <w:spacing w:line="520" w:lineRule="exact"/>
    </w:pPr>
    <w:rPr>
      <w:rFonts w:ascii="Calibri" w:hAnsi="Calibri" w:eastAsia="宋体" w:cs="Times New Roman"/>
    </w:rPr>
  </w:style>
  <w:style w:type="character" w:customStyle="1" w:styleId="24">
    <w:name w:val="标题 1 字符"/>
    <w:basedOn w:val="15"/>
    <w:link w:val="2"/>
    <w:qFormat/>
    <w:uiPriority w:val="9"/>
    <w:rPr>
      <w:rFonts w:ascii="仿宋_GB2312" w:hAnsi="宋体" w:eastAsia="仿宋_GB2312"/>
      <w:b/>
      <w:bCs/>
      <w:kern w:val="44"/>
      <w:sz w:val="30"/>
      <w:szCs w:val="44"/>
    </w:rPr>
  </w:style>
  <w:style w:type="paragraph" w:customStyle="1" w:styleId="25">
    <w:name w:val="_Style 11"/>
    <w:basedOn w:val="1"/>
    <w:qFormat/>
    <w:uiPriority w:val="0"/>
    <w:pPr>
      <w:keepNext/>
      <w:spacing w:before="312" w:beforeLines="100" w:after="312" w:afterLines="100" w:line="720" w:lineRule="auto"/>
      <w:ind w:firstLine="567" w:firstLineChars="0"/>
    </w:pPr>
    <w:rPr>
      <w:rFonts w:cs="Times New Roman"/>
      <w:szCs w:val="20"/>
    </w:rPr>
  </w:style>
  <w:style w:type="paragraph" w:styleId="26">
    <w:name w:val="List Paragraph"/>
    <w:basedOn w:val="1"/>
    <w:qFormat/>
    <w:uiPriority w:val="34"/>
    <w:pPr>
      <w:ind w:firstLine="420"/>
    </w:pPr>
  </w:style>
  <w:style w:type="character" w:customStyle="1" w:styleId="27">
    <w:name w:val="正文文本 字符"/>
    <w:basedOn w:val="15"/>
    <w:link w:val="6"/>
    <w:qFormat/>
    <w:uiPriority w:val="0"/>
    <w:rPr>
      <w:rFonts w:ascii="Calibri" w:hAnsi="Calibri" w:eastAsia="宋体" w:cs="Times New Roman"/>
      <w:sz w:val="24"/>
      <w:szCs w:val="20"/>
    </w:rPr>
  </w:style>
  <w:style w:type="character" w:customStyle="1" w:styleId="28">
    <w:name w:val="标题 3 字符"/>
    <w:basedOn w:val="15"/>
    <w:link w:val="4"/>
    <w:qFormat/>
    <w:uiPriority w:val="9"/>
    <w:rPr>
      <w:rFonts w:ascii="仿宋_GB2312" w:hAnsi="Times New Roman" w:eastAsia="仿宋_GB2312"/>
      <w:b/>
      <w:bCs/>
      <w:sz w:val="28"/>
      <w:szCs w:val="32"/>
    </w:rPr>
  </w:style>
  <w:style w:type="paragraph" w:customStyle="1" w:styleId="29">
    <w:name w:val="表（正文）"/>
    <w:basedOn w:val="1"/>
    <w:link w:val="31"/>
    <w:qFormat/>
    <w:uiPriority w:val="0"/>
    <w:pPr>
      <w:ind w:firstLine="0" w:firstLineChars="0"/>
      <w:jc w:val="center"/>
    </w:pPr>
    <w:rPr>
      <w:rFonts w:ascii="宋体" w:eastAsia="宋体"/>
      <w:sz w:val="21"/>
    </w:rPr>
  </w:style>
  <w:style w:type="paragraph" w:customStyle="1" w:styleId="30">
    <w:name w:val="Char1"/>
    <w:basedOn w:val="1"/>
    <w:qFormat/>
    <w:uiPriority w:val="0"/>
    <w:pPr>
      <w:adjustRightInd/>
      <w:snapToGrid/>
      <w:spacing w:line="240" w:lineRule="auto"/>
      <w:ind w:firstLine="0" w:firstLineChars="0"/>
    </w:pPr>
    <w:rPr>
      <w:rFonts w:ascii="Calibri" w:hAnsi="Calibri" w:eastAsia="宋体" w:cs="Times New Roman"/>
      <w:sz w:val="21"/>
      <w:szCs w:val="24"/>
    </w:rPr>
  </w:style>
  <w:style w:type="character" w:customStyle="1" w:styleId="31">
    <w:name w:val="表（正文） 字符"/>
    <w:basedOn w:val="15"/>
    <w:link w:val="29"/>
    <w:qFormat/>
    <w:uiPriority w:val="0"/>
    <w:rPr>
      <w:rFonts w:ascii="宋体" w:hAnsi="宋体" w:eastAsia="宋体"/>
      <w:szCs w:val="28"/>
    </w:rPr>
  </w:style>
  <w:style w:type="character" w:customStyle="1" w:styleId="32">
    <w:name w:val="正文文本缩进 字符"/>
    <w:link w:val="7"/>
    <w:qFormat/>
    <w:uiPriority w:val="0"/>
    <w:rPr>
      <w:rFonts w:ascii="Calibri" w:hAnsi="Calibri"/>
      <w:szCs w:val="24"/>
    </w:rPr>
  </w:style>
  <w:style w:type="character" w:customStyle="1" w:styleId="33">
    <w:name w:val="正文文本缩进 字符1"/>
    <w:basedOn w:val="15"/>
    <w:semiHidden/>
    <w:qFormat/>
    <w:uiPriority w:val="99"/>
    <w:rPr>
      <w:rFonts w:ascii="仿宋_GB2312" w:hAnsi="宋体" w:eastAsia="仿宋_GB2312"/>
      <w:sz w:val="28"/>
      <w:szCs w:val="28"/>
    </w:rPr>
  </w:style>
  <w:style w:type="paragraph" w:customStyle="1" w:styleId="34">
    <w:name w:val="Char Char Char Char Char Char Char Char Char Char"/>
    <w:basedOn w:val="1"/>
    <w:semiHidden/>
    <w:qFormat/>
    <w:uiPriority w:val="0"/>
    <w:pPr>
      <w:widowControl/>
      <w:adjustRightInd/>
      <w:snapToGrid/>
      <w:spacing w:line="240" w:lineRule="auto"/>
      <w:ind w:firstLine="0" w:firstLineChars="0"/>
      <w:jc w:val="left"/>
    </w:pPr>
    <w:rPr>
      <w:rFonts w:ascii="宋体" w:eastAsia="宋体" w:cs="宋体"/>
      <w:kern w:val="0"/>
      <w:sz w:val="24"/>
      <w:szCs w:val="24"/>
    </w:rPr>
  </w:style>
  <w:style w:type="paragraph" w:customStyle="1" w:styleId="35">
    <w:name w:val="设计正文"/>
    <w:basedOn w:val="1"/>
    <w:qFormat/>
    <w:uiPriority w:val="0"/>
    <w:pPr>
      <w:spacing w:before="156" w:beforeLines="50" w:line="500" w:lineRule="atLeast"/>
    </w:pPr>
    <w:rPr>
      <w:rFonts w:hAnsi="Calibri" w:cs="Times New Roman"/>
      <w:szCs w:val="21"/>
    </w:rPr>
  </w:style>
  <w:style w:type="paragraph" w:customStyle="1" w:styleId="36">
    <w:name w:val="TOC 标题1"/>
    <w:basedOn w:val="2"/>
    <w:next w:val="1"/>
    <w:unhideWhenUsed/>
    <w:qFormat/>
    <w:uiPriority w:val="39"/>
    <w:pPr>
      <w:widowControl/>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7">
    <w:name w:val="Char11"/>
    <w:basedOn w:val="1"/>
    <w:qFormat/>
    <w:uiPriority w:val="0"/>
    <w:pPr>
      <w:adjustRightInd/>
      <w:snapToGrid/>
      <w:spacing w:line="240" w:lineRule="auto"/>
      <w:ind w:firstLine="0" w:firstLineChars="0"/>
    </w:pPr>
    <w:rPr>
      <w:rFonts w:ascii="Calibri" w:hAnsi="Calibri" w:eastAsia="宋体" w:cs="Times New Roman"/>
      <w:sz w:val="21"/>
      <w:szCs w:val="24"/>
    </w:rPr>
  </w:style>
  <w:style w:type="character" w:customStyle="1" w:styleId="38">
    <w:name w:val="批注文字 字符"/>
    <w:basedOn w:val="15"/>
    <w:link w:val="5"/>
    <w:semiHidden/>
    <w:qFormat/>
    <w:uiPriority w:val="99"/>
    <w:rPr>
      <w:rFonts w:ascii="仿宋_GB2312" w:hAnsi="宋体" w:eastAsia="仿宋_GB2312"/>
      <w:kern w:val="2"/>
      <w:sz w:val="28"/>
      <w:szCs w:val="28"/>
    </w:rPr>
  </w:style>
  <w:style w:type="paragraph" w:customStyle="1" w:styleId="39">
    <w:name w:val="报告正文"/>
    <w:basedOn w:val="1"/>
    <w:qFormat/>
    <w:uiPriority w:val="0"/>
    <w:pPr>
      <w:tabs>
        <w:tab w:val="left" w:pos="3319"/>
      </w:tabs>
      <w:spacing w:before="156" w:beforeLines="50" w:line="360" w:lineRule="auto"/>
      <w:ind w:firstLine="544"/>
    </w:pPr>
    <w:rPr>
      <w:bCs/>
      <w:color w:val="000000"/>
      <w:spacing w:val="-4"/>
    </w:rPr>
  </w:style>
  <w:style w:type="paragraph" w:customStyle="1" w:styleId="40">
    <w:name w:val="报告表格内容"/>
    <w:basedOn w:val="1"/>
    <w:qFormat/>
    <w:uiPriority w:val="0"/>
    <w:pPr>
      <w:spacing w:line="0" w:lineRule="atLeast"/>
      <w:ind w:firstLine="0" w:firstLineChars="0"/>
      <w:jc w:val="center"/>
    </w:pPr>
    <w:rPr>
      <w:rFonts w:ascii="宋体" w:hAnsi="Times New Roman" w:eastAsia="宋体" w:cs="Times New Roman"/>
      <w:sz w:val="21"/>
      <w:szCs w:val="24"/>
    </w:rPr>
  </w:style>
  <w:style w:type="paragraph" w:customStyle="1" w:styleId="41">
    <w:name w:val="报告表格标题"/>
    <w:basedOn w:val="1"/>
    <w:qFormat/>
    <w:uiPriority w:val="0"/>
    <w:pPr>
      <w:spacing w:before="50" w:beforeLines="50" w:after="50" w:afterLines="50" w:line="420" w:lineRule="atLeast"/>
      <w:ind w:firstLine="0" w:firstLineChars="0"/>
      <w:jc w:val="center"/>
    </w:pPr>
    <w:rPr>
      <w:rFonts w:ascii="宋体" w:hAnsi="Calibri" w:eastAsia="宋体" w:cs="Times New Roman"/>
      <w:sz w:val="24"/>
      <w:szCs w:val="24"/>
    </w:rPr>
  </w:style>
  <w:style w:type="paragraph" w:customStyle="1" w:styleId="42">
    <w:name w:val="TOC Heading"/>
    <w:basedOn w:val="2"/>
    <w:next w:val="1"/>
    <w:unhideWhenUsed/>
    <w:qFormat/>
    <w:uiPriority w:val="39"/>
    <w:pPr>
      <w:widowControl/>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3">
    <w:name w:val="font71"/>
    <w:basedOn w:val="15"/>
    <w:qFormat/>
    <w:uiPriority w:val="0"/>
    <w:rPr>
      <w:rFonts w:hint="eastAsia" w:ascii="仿宋_GB2312" w:eastAsia="仿宋_GB2312"/>
      <w:color w:val="000000"/>
      <w:sz w:val="20"/>
      <w:szCs w:val="20"/>
      <w:u w:val="none"/>
      <w:vertAlign w:val="superscript"/>
    </w:rPr>
  </w:style>
  <w:style w:type="character" w:customStyle="1" w:styleId="44">
    <w:name w:val="font81"/>
    <w:basedOn w:val="15"/>
    <w:qFormat/>
    <w:uiPriority w:val="0"/>
    <w:rPr>
      <w:rFonts w:hint="eastAsia" w:ascii="仿宋_GB2312" w:eastAsia="仿宋_GB2312"/>
      <w:color w:val="000000"/>
      <w:sz w:val="20"/>
      <w:szCs w:val="20"/>
      <w:u w:val="none"/>
      <w:vertAlign w:val="superscript"/>
    </w:rPr>
  </w:style>
  <w:style w:type="character" w:customStyle="1" w:styleId="45">
    <w:name w:val="font61"/>
    <w:basedOn w:val="15"/>
    <w:qFormat/>
    <w:uiPriority w:val="0"/>
    <w:rPr>
      <w:rFonts w:hint="eastAsia" w:ascii="仿宋_GB2312" w:eastAsia="仿宋_GB2312"/>
      <w:color w:val="000000"/>
      <w:sz w:val="20"/>
      <w:szCs w:val="20"/>
      <w:u w:val="none"/>
    </w:rPr>
  </w:style>
  <w:style w:type="character" w:customStyle="1" w:styleId="46">
    <w:name w:val="font31"/>
    <w:basedOn w:val="15"/>
    <w:qFormat/>
    <w:uiPriority w:val="0"/>
    <w:rPr>
      <w:rFonts w:hint="eastAsia" w:ascii="仿宋_GB2312" w:eastAsia="仿宋_GB2312"/>
      <w:color w:val="000000"/>
      <w:sz w:val="24"/>
      <w:szCs w:val="24"/>
      <w:u w:val="none"/>
      <w:vertAlign w:val="superscript"/>
    </w:rPr>
  </w:style>
  <w:style w:type="character" w:customStyle="1" w:styleId="47">
    <w:name w:val="font21"/>
    <w:basedOn w:val="15"/>
    <w:qFormat/>
    <w:uiPriority w:val="0"/>
    <w:rPr>
      <w:rFonts w:hint="eastAsia" w:ascii="仿宋_GB2312" w:eastAsia="仿宋_GB2312"/>
      <w:color w:val="000000"/>
      <w:sz w:val="24"/>
      <w:szCs w:val="24"/>
      <w:u w:val="none"/>
    </w:rPr>
  </w:style>
  <w:style w:type="character" w:customStyle="1" w:styleId="48">
    <w:name w:val="font41"/>
    <w:basedOn w:val="15"/>
    <w:qFormat/>
    <w:uiPriority w:val="0"/>
    <w:rPr>
      <w:rFonts w:hint="eastAsia" w:ascii="仿宋_GB2312" w:eastAsia="仿宋_GB2312"/>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customXml" Target="../customXml/item1.xml"/><Relationship Id="rId27" Type="http://schemas.openxmlformats.org/officeDocument/2006/relationships/image" Target="../../../../../Users/ss/AppData/Roaming/JisuOffice/ETemp/1232_6941448/poclip1/01/image12.png" TargetMode="External"/><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file:///D:\..\..\..\Users\ss\AppData\Roaming\JisuOffice\ETemp\1232_6941448\poclip1\01\image10.png" TargetMode="External"/><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customXml" Target="ink/ink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cm"/>
        </inkml:traceFormat>
        <inkml:channelProperties>
          <inkml:channelProperty channel="X" name="resolution" value="28.34646" units="1/cm"/>
          <inkml:channelProperty channel="Y" name="resolution" value="28.34646" units="1/cm"/>
          <inkml:channelProperty channel="F" name="resolution" value="2.84167" units="1/cm"/>
        </inkml:channelProperties>
      </inkml:inkSource>
      <inkml:timestamp xml:id="ts0" timeString="2022-05-06T10:40:07"/>
    </inkml:context>
    <inkml:brush xml:id="br0">
      <inkml:brushProperty name="width" value="0.05" units="cm"/>
      <inkml:brushProperty name="height" value="0.05" units="cm"/>
      <inkml:brushProperty name="color" value="#000000"/>
    </inkml:brush>
  </inkml:definitions>
  <inkml:trace contextRef="#ctx0" brushRef="#br0">0.000 1.000 1023,'0.000'0.000'0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F90375-8850-45B5-9B94-746FACED7638}">
  <ds:schemaRefs/>
</ds:datastoreItem>
</file>

<file path=docProps/app.xml><?xml version="1.0" encoding="utf-8"?>
<Properties xmlns="http://schemas.openxmlformats.org/officeDocument/2006/extended-properties" xmlns:vt="http://schemas.openxmlformats.org/officeDocument/2006/docPropsVTypes">
  <Template>Normal</Template>
  <Pages>55</Pages>
  <Words>4990</Words>
  <Characters>5960</Characters>
  <Lines>294</Lines>
  <Paragraphs>82</Paragraphs>
  <TotalTime>215</TotalTime>
  <ScaleCrop>false</ScaleCrop>
  <LinksUpToDate>false</LinksUpToDate>
  <CharactersWithSpaces>6313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2022-04-25T08:02:00Z</dcterms:created>
  <dc:creator>赵 龙</dc:creator>
  <cp:lastModifiedBy>CC</cp:lastModifiedBy>
  <dcterms:modified xsi:type="dcterms:W3CDTF">2024-11-20T10:01:10Z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A8118184D12D44D5A7FBDA0C8EC15E94</vt:lpwstr>
  </property>
</Properties>
</file>