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4D5A">
      <w:pPr>
        <w:spacing w:beforeLines="0" w:afterLines="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玉树州曲麻莱县动物疫病预防控制中心提升改造项目更正公告</w:t>
      </w:r>
      <w:bookmarkEnd w:id="1"/>
    </w:p>
    <w:p w14:paraId="75D7E4A6">
      <w:pPr>
        <w:spacing w:beforeLines="0" w:afterLines="0"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青海起达工程项目管理有限公司</w:t>
      </w:r>
      <w:r>
        <w:rPr>
          <w:rFonts w:hint="eastAsia" w:ascii="宋体" w:hAnsi="宋体" w:eastAsia="宋体" w:cs="宋体"/>
          <w:sz w:val="24"/>
        </w:rPr>
        <w:t>受</w:t>
      </w:r>
      <w:r>
        <w:rPr>
          <w:rFonts w:hint="eastAsia" w:ascii="宋体" w:hAnsi="宋体" w:eastAsia="宋体" w:cs="宋体"/>
          <w:sz w:val="24"/>
          <w:lang w:val="en-US" w:eastAsia="zh-CN"/>
        </w:rPr>
        <w:t>曲麻莱县畜牧兽医站</w:t>
      </w:r>
      <w:r>
        <w:rPr>
          <w:rFonts w:hint="eastAsia" w:ascii="宋体" w:hAnsi="宋体" w:eastAsia="宋体" w:cs="宋体"/>
          <w:sz w:val="24"/>
          <w:lang w:eastAsia="zh-CN"/>
        </w:rPr>
        <w:t>委托，已于202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lang w:eastAsia="zh-CN"/>
        </w:rPr>
        <w:t>日发</w:t>
      </w:r>
      <w:r>
        <w:rPr>
          <w:rFonts w:hint="eastAsia" w:ascii="宋体" w:hAnsi="宋体" w:eastAsia="宋体" w:cs="宋体"/>
          <w:sz w:val="24"/>
          <w:lang w:val="zh-CN" w:eastAsia="zh-CN"/>
        </w:rPr>
        <w:t>布了玉树州曲麻莱县动物疫病预防控制中心提升改造项目</w:t>
      </w:r>
      <w:r>
        <w:rPr>
          <w:rFonts w:hint="eastAsia" w:ascii="宋体" w:hAnsi="宋体" w:eastAsia="宋体" w:cs="宋体"/>
          <w:sz w:val="24"/>
          <w:lang w:val="en-US" w:eastAsia="zh-CN"/>
        </w:rPr>
        <w:t>竞争性磋商</w:t>
      </w:r>
      <w:r>
        <w:rPr>
          <w:rFonts w:hint="eastAsia" w:ascii="宋体" w:hAnsi="宋体" w:eastAsia="宋体" w:cs="宋体"/>
          <w:sz w:val="24"/>
          <w:lang w:eastAsia="zh-CN"/>
        </w:rPr>
        <w:t>公告，现发布</w:t>
      </w:r>
      <w:r>
        <w:rPr>
          <w:rFonts w:hint="eastAsia" w:ascii="宋体" w:hAnsi="宋体" w:eastAsia="宋体" w:cs="宋体"/>
          <w:sz w:val="24"/>
          <w:lang w:val="en-US" w:eastAsia="zh-CN"/>
        </w:rPr>
        <w:t>更正</w:t>
      </w:r>
      <w:r>
        <w:rPr>
          <w:rFonts w:hint="eastAsia" w:ascii="宋体" w:hAnsi="宋体" w:eastAsia="宋体" w:cs="宋体"/>
          <w:sz w:val="24"/>
          <w:lang w:eastAsia="zh-CN"/>
        </w:rPr>
        <w:t>公告。</w:t>
      </w:r>
    </w:p>
    <w:tbl>
      <w:tblPr>
        <w:tblStyle w:val="12"/>
        <w:tblW w:w="1014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7962"/>
      </w:tblGrid>
      <w:tr w14:paraId="7DF305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2C48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采购项目名称</w:t>
            </w:r>
          </w:p>
        </w:tc>
        <w:tc>
          <w:tcPr>
            <w:tcW w:w="7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30FE00">
            <w:pPr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玉树州曲麻莱县动物疫病预防控制中心提升改造项目</w:t>
            </w:r>
          </w:p>
        </w:tc>
      </w:tr>
      <w:tr w14:paraId="59A557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292CB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采购项目编号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6AF60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青海起达竞磋（货物）2025-176</w:t>
            </w:r>
          </w:p>
        </w:tc>
      </w:tr>
      <w:tr w14:paraId="3811762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A5E44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采购方式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9644A2">
            <w:pPr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竞争性磋商</w:t>
            </w:r>
          </w:p>
        </w:tc>
      </w:tr>
      <w:tr w14:paraId="46C99C5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525E1">
            <w:pPr>
              <w:pStyle w:val="19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预算控制额度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5D521">
            <w:pPr>
              <w:pStyle w:val="2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总预算控制价：1640000.00元   大写：壹佰陆拾肆万元整</w:t>
            </w:r>
          </w:p>
          <w:p w14:paraId="59F3C115">
            <w:pPr>
              <w:pStyle w:val="19"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其中：</w:t>
            </w: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包1：925500.00元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包2：557500.00元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包3：157000.00元</w:t>
            </w:r>
          </w:p>
        </w:tc>
      </w:tr>
      <w:tr w14:paraId="766C2D5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85661">
            <w:pPr>
              <w:pStyle w:val="19"/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最高限价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236DB">
            <w:pPr>
              <w:pStyle w:val="19"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包1：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925177.64元（大写：玖拾贰万伍仟壹佰柒拾柒元陆角肆分）</w:t>
            </w:r>
          </w:p>
          <w:p w14:paraId="5A6C32BD">
            <w:pPr>
              <w:pStyle w:val="19"/>
              <w:spacing w:line="360" w:lineRule="auto"/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包2：557500.00元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大写：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伍拾伍万柒仟伍佰元整）</w:t>
            </w:r>
          </w:p>
          <w:p w14:paraId="1D5CB3E0">
            <w:pPr>
              <w:pStyle w:val="19"/>
              <w:spacing w:line="360" w:lineRule="auto"/>
              <w:jc w:val="left"/>
              <w:rPr>
                <w:rFonts w:hint="eastAsia" w:ascii="Calibri" w:hAnsi="Calibri" w:eastAsia="宋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包3：157000.00元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大写：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壹拾伍万柒仟元整）</w:t>
            </w:r>
          </w:p>
        </w:tc>
      </w:tr>
      <w:tr w14:paraId="0F13860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9CD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更正事项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C145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原采购文件中：</w:t>
            </w:r>
          </w:p>
          <w:p w14:paraId="04A3AFD8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采购单位：曲麻“菜”县畜牧兽医站</w:t>
            </w:r>
          </w:p>
          <w:p w14:paraId="70F2B831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现更正为：</w:t>
            </w:r>
          </w:p>
          <w:p w14:paraId="5DAC08D2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采购单位：曲麻“莱”县畜牧兽医站</w:t>
            </w:r>
          </w:p>
          <w:p w14:paraId="25788A6D"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其余事项不变！</w:t>
            </w:r>
          </w:p>
        </w:tc>
      </w:tr>
      <w:tr w14:paraId="3DAD50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BF58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采购人及联系人电话</w:t>
            </w:r>
          </w:p>
        </w:tc>
        <w:tc>
          <w:tcPr>
            <w:tcW w:w="79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1D681">
            <w:pPr>
              <w:pStyle w:val="19"/>
              <w:spacing w:line="360" w:lineRule="auto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采购人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曲麻莱县畜牧兽医站</w:t>
            </w:r>
          </w:p>
          <w:p w14:paraId="33798DF8">
            <w:pPr>
              <w:pStyle w:val="19"/>
              <w:spacing w:line="360" w:lineRule="auto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  <w:t xml:space="preserve">联系人： </w:t>
            </w:r>
            <w:r>
              <w:rPr>
                <w:rFonts w:hint="default" w:ascii="宋体" w:hAnsi="宋体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尕先生    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  <w:t xml:space="preserve">  联系电话：0976-8851881</w:t>
            </w:r>
          </w:p>
          <w:p w14:paraId="78ADF5F9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联系地址：玉树藏族自治州曲麻莱县黄河路37号</w:t>
            </w:r>
          </w:p>
        </w:tc>
      </w:tr>
      <w:tr w14:paraId="2567E3E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73B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采购代理机构及联系人电话</w:t>
            </w:r>
          </w:p>
        </w:tc>
        <w:tc>
          <w:tcPr>
            <w:tcW w:w="79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F6A8B3">
            <w:pPr>
              <w:widowControl/>
              <w:spacing w:line="400" w:lineRule="exact"/>
              <w:rPr>
                <w:rFonts w:hint="default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购代理机构：青海起达工程项目管理有限公司</w:t>
            </w:r>
          </w:p>
          <w:p w14:paraId="3B14E842">
            <w:pPr>
              <w:widowControl/>
              <w:spacing w:line="400" w:lineRule="exact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联系人：肖女士       联系电话：0971-8227187</w:t>
            </w:r>
          </w:p>
          <w:p w14:paraId="5FBD28B5">
            <w:pPr>
              <w:widowControl/>
              <w:spacing w:line="400" w:lineRule="exact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邮箱地址：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instrText xml:space="preserve"> HYPERLINK "mailto:xhzbqhfgs@163.com" </w:instrTex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qhqdyxgs@163.com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  <w:p w14:paraId="243E7CB7"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联系地址：西宁市城西区五四西路53号三榆西城天街2号楼5楼20505室</w:t>
            </w:r>
          </w:p>
        </w:tc>
      </w:tr>
      <w:tr w14:paraId="18AA9B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906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其他事项</w:t>
            </w:r>
          </w:p>
        </w:tc>
        <w:tc>
          <w:tcPr>
            <w:tcW w:w="7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D33CB"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本公告发布于《青海省政府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网》、《青海项目信息网》、《中国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与招标网》</w:t>
            </w:r>
          </w:p>
        </w:tc>
      </w:tr>
      <w:tr w14:paraId="32CE04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5DA4A"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eastAsia="zh-CN"/>
              </w:rPr>
              <w:t>财政监督部门及电话</w:t>
            </w:r>
          </w:p>
        </w:tc>
        <w:tc>
          <w:tcPr>
            <w:tcW w:w="7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78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监督单位：曲麻莱县财政局 </w:t>
            </w:r>
          </w:p>
          <w:p w14:paraId="7DA14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联系电话：0976-8851064</w:t>
            </w:r>
          </w:p>
        </w:tc>
      </w:tr>
    </w:tbl>
    <w:p w14:paraId="415D456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 xml:space="preserve">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lang w:eastAsia="zh-CN"/>
        </w:rPr>
        <w:t>青海起达工程项目管理有限公司</w:t>
      </w:r>
    </w:p>
    <w:p w14:paraId="63007D5F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</w:rPr>
        <w:t>日</w:t>
      </w:r>
    </w:p>
    <w:p w14:paraId="1BF759F7">
      <w:pPr>
        <w:jc w:val="center"/>
        <w:rPr>
          <w:rFonts w:hint="eastAsia" w:ascii="宋体" w:hAnsi="宋体" w:eastAsia="宋体" w:cs="宋体"/>
        </w:rPr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NDA2NzZjOGIyZmM1MTBkZWVlMjIyMmEwYjA1ZDAifQ=="/>
  </w:docVars>
  <w:rsids>
    <w:rsidRoot w:val="00D31D50"/>
    <w:rsid w:val="001E2489"/>
    <w:rsid w:val="00323B43"/>
    <w:rsid w:val="003D37D8"/>
    <w:rsid w:val="00426133"/>
    <w:rsid w:val="004358AB"/>
    <w:rsid w:val="0050718A"/>
    <w:rsid w:val="0052229A"/>
    <w:rsid w:val="00646EDF"/>
    <w:rsid w:val="00833D2E"/>
    <w:rsid w:val="008B7726"/>
    <w:rsid w:val="00950189"/>
    <w:rsid w:val="00A53EC8"/>
    <w:rsid w:val="00D31D50"/>
    <w:rsid w:val="00D91659"/>
    <w:rsid w:val="01216934"/>
    <w:rsid w:val="01415CD2"/>
    <w:rsid w:val="023068C5"/>
    <w:rsid w:val="02E25D32"/>
    <w:rsid w:val="043A5387"/>
    <w:rsid w:val="04692935"/>
    <w:rsid w:val="04833D8A"/>
    <w:rsid w:val="048D195A"/>
    <w:rsid w:val="057C19CF"/>
    <w:rsid w:val="05850883"/>
    <w:rsid w:val="08C15248"/>
    <w:rsid w:val="090B3E49"/>
    <w:rsid w:val="0A522CFE"/>
    <w:rsid w:val="0CC70C69"/>
    <w:rsid w:val="0CF533B1"/>
    <w:rsid w:val="0EC51CF1"/>
    <w:rsid w:val="0EFF09BE"/>
    <w:rsid w:val="0F2F183E"/>
    <w:rsid w:val="0F3B0205"/>
    <w:rsid w:val="0F4A3BDE"/>
    <w:rsid w:val="10855BDB"/>
    <w:rsid w:val="13693592"/>
    <w:rsid w:val="13F50DBA"/>
    <w:rsid w:val="142B6A9A"/>
    <w:rsid w:val="142C10B4"/>
    <w:rsid w:val="14463CC3"/>
    <w:rsid w:val="149D2509"/>
    <w:rsid w:val="14BF5434"/>
    <w:rsid w:val="153E0A4F"/>
    <w:rsid w:val="16185B2C"/>
    <w:rsid w:val="16677B31"/>
    <w:rsid w:val="182C2DE0"/>
    <w:rsid w:val="18894B45"/>
    <w:rsid w:val="19033B41"/>
    <w:rsid w:val="190B6E9A"/>
    <w:rsid w:val="1A864A2A"/>
    <w:rsid w:val="1B140288"/>
    <w:rsid w:val="1B746F78"/>
    <w:rsid w:val="1B75684C"/>
    <w:rsid w:val="1B974A15"/>
    <w:rsid w:val="1BE7774A"/>
    <w:rsid w:val="1BF31771"/>
    <w:rsid w:val="1C7F7EE1"/>
    <w:rsid w:val="1CE75528"/>
    <w:rsid w:val="1EB31B66"/>
    <w:rsid w:val="20C95670"/>
    <w:rsid w:val="224C6559"/>
    <w:rsid w:val="22803E88"/>
    <w:rsid w:val="22934188"/>
    <w:rsid w:val="23906919"/>
    <w:rsid w:val="23AD38F6"/>
    <w:rsid w:val="248903D7"/>
    <w:rsid w:val="248B0E8F"/>
    <w:rsid w:val="268F694B"/>
    <w:rsid w:val="2696250C"/>
    <w:rsid w:val="270F7B55"/>
    <w:rsid w:val="2778394C"/>
    <w:rsid w:val="299A22A0"/>
    <w:rsid w:val="29F87B95"/>
    <w:rsid w:val="2A336250"/>
    <w:rsid w:val="2A5A4EA6"/>
    <w:rsid w:val="2A911AAD"/>
    <w:rsid w:val="2AE66E5F"/>
    <w:rsid w:val="2BDD2FF1"/>
    <w:rsid w:val="2BFE39B8"/>
    <w:rsid w:val="2C136339"/>
    <w:rsid w:val="2CF30611"/>
    <w:rsid w:val="2D0F6B01"/>
    <w:rsid w:val="2DA82AB1"/>
    <w:rsid w:val="2DD12008"/>
    <w:rsid w:val="2E5F13C2"/>
    <w:rsid w:val="2FCF4C47"/>
    <w:rsid w:val="2FE52B11"/>
    <w:rsid w:val="30422D49"/>
    <w:rsid w:val="30E37846"/>
    <w:rsid w:val="3158648C"/>
    <w:rsid w:val="317539AF"/>
    <w:rsid w:val="31880C30"/>
    <w:rsid w:val="31975317"/>
    <w:rsid w:val="31DE2F46"/>
    <w:rsid w:val="31F462C5"/>
    <w:rsid w:val="32D45AFE"/>
    <w:rsid w:val="32D56480"/>
    <w:rsid w:val="32E0684A"/>
    <w:rsid w:val="32E220DE"/>
    <w:rsid w:val="3433527E"/>
    <w:rsid w:val="355A28E3"/>
    <w:rsid w:val="358D2CB9"/>
    <w:rsid w:val="35D3505E"/>
    <w:rsid w:val="3623074C"/>
    <w:rsid w:val="36C4095C"/>
    <w:rsid w:val="3706626E"/>
    <w:rsid w:val="37853A0C"/>
    <w:rsid w:val="38CD7870"/>
    <w:rsid w:val="39B660C2"/>
    <w:rsid w:val="3A251BD7"/>
    <w:rsid w:val="3B4A74D4"/>
    <w:rsid w:val="3C1732DC"/>
    <w:rsid w:val="3DF26CD0"/>
    <w:rsid w:val="3EC47C24"/>
    <w:rsid w:val="3F460A4F"/>
    <w:rsid w:val="3FD4083B"/>
    <w:rsid w:val="40B170EC"/>
    <w:rsid w:val="40F55BB6"/>
    <w:rsid w:val="40F81DB6"/>
    <w:rsid w:val="410C362B"/>
    <w:rsid w:val="419B69D4"/>
    <w:rsid w:val="42607C51"/>
    <w:rsid w:val="426C7C4C"/>
    <w:rsid w:val="429C350F"/>
    <w:rsid w:val="42C13FA2"/>
    <w:rsid w:val="440A3726"/>
    <w:rsid w:val="446217B4"/>
    <w:rsid w:val="44AD191E"/>
    <w:rsid w:val="44D81773"/>
    <w:rsid w:val="450F7093"/>
    <w:rsid w:val="45790B64"/>
    <w:rsid w:val="45B1133D"/>
    <w:rsid w:val="47354F5E"/>
    <w:rsid w:val="47413903"/>
    <w:rsid w:val="477B0C82"/>
    <w:rsid w:val="47E349BA"/>
    <w:rsid w:val="487E7A11"/>
    <w:rsid w:val="4A147BD4"/>
    <w:rsid w:val="4A657908"/>
    <w:rsid w:val="4AA04DE4"/>
    <w:rsid w:val="4BB61222"/>
    <w:rsid w:val="4C526437"/>
    <w:rsid w:val="4C647D8F"/>
    <w:rsid w:val="4CB94CA0"/>
    <w:rsid w:val="503A5393"/>
    <w:rsid w:val="50993A40"/>
    <w:rsid w:val="518C1C1F"/>
    <w:rsid w:val="51E43809"/>
    <w:rsid w:val="51EE28D9"/>
    <w:rsid w:val="528D3EA0"/>
    <w:rsid w:val="548A494C"/>
    <w:rsid w:val="559B61EA"/>
    <w:rsid w:val="55F83D27"/>
    <w:rsid w:val="56237212"/>
    <w:rsid w:val="56383296"/>
    <w:rsid w:val="56694E8E"/>
    <w:rsid w:val="56786AE3"/>
    <w:rsid w:val="57032983"/>
    <w:rsid w:val="57A32B2B"/>
    <w:rsid w:val="59030A18"/>
    <w:rsid w:val="59CE0523"/>
    <w:rsid w:val="59CF2C27"/>
    <w:rsid w:val="5A551748"/>
    <w:rsid w:val="5B06293B"/>
    <w:rsid w:val="5C1F028C"/>
    <w:rsid w:val="5C507329"/>
    <w:rsid w:val="5D1D6C7A"/>
    <w:rsid w:val="5E157005"/>
    <w:rsid w:val="5EE2702E"/>
    <w:rsid w:val="5F482BBF"/>
    <w:rsid w:val="5F9C2267"/>
    <w:rsid w:val="5FCB6008"/>
    <w:rsid w:val="5FF21DE4"/>
    <w:rsid w:val="60C11692"/>
    <w:rsid w:val="62A36DC8"/>
    <w:rsid w:val="63097573"/>
    <w:rsid w:val="64076422"/>
    <w:rsid w:val="64E01472"/>
    <w:rsid w:val="64ED07CF"/>
    <w:rsid w:val="653300CF"/>
    <w:rsid w:val="654900FB"/>
    <w:rsid w:val="65961075"/>
    <w:rsid w:val="65A86E75"/>
    <w:rsid w:val="670E33AA"/>
    <w:rsid w:val="671B1623"/>
    <w:rsid w:val="672347EF"/>
    <w:rsid w:val="6773320D"/>
    <w:rsid w:val="682A61C5"/>
    <w:rsid w:val="68DF0924"/>
    <w:rsid w:val="69576741"/>
    <w:rsid w:val="6AC24631"/>
    <w:rsid w:val="6AC64D71"/>
    <w:rsid w:val="6B291B3C"/>
    <w:rsid w:val="6B414D1C"/>
    <w:rsid w:val="6C1430B7"/>
    <w:rsid w:val="6C1D5E3D"/>
    <w:rsid w:val="6C7214C7"/>
    <w:rsid w:val="6D997955"/>
    <w:rsid w:val="6EA036FA"/>
    <w:rsid w:val="6EA168B2"/>
    <w:rsid w:val="6F12155D"/>
    <w:rsid w:val="6F4E3C49"/>
    <w:rsid w:val="6F9B77A5"/>
    <w:rsid w:val="702A0B29"/>
    <w:rsid w:val="70976D97"/>
    <w:rsid w:val="70FC417A"/>
    <w:rsid w:val="71320A19"/>
    <w:rsid w:val="71CB2BDD"/>
    <w:rsid w:val="720E0702"/>
    <w:rsid w:val="72227D09"/>
    <w:rsid w:val="73816CB2"/>
    <w:rsid w:val="746F2FAE"/>
    <w:rsid w:val="75227D6E"/>
    <w:rsid w:val="752E4C17"/>
    <w:rsid w:val="77000835"/>
    <w:rsid w:val="786F17CF"/>
    <w:rsid w:val="78840882"/>
    <w:rsid w:val="7A1F7753"/>
    <w:rsid w:val="7A5E5147"/>
    <w:rsid w:val="7A910122"/>
    <w:rsid w:val="7AA249C5"/>
    <w:rsid w:val="7C572CA5"/>
    <w:rsid w:val="7CC425C7"/>
    <w:rsid w:val="7ED06D3F"/>
    <w:rsid w:val="7ED338CB"/>
    <w:rsid w:val="7F102B9A"/>
    <w:rsid w:val="7F4F5EB6"/>
    <w:rsid w:val="7F794EAC"/>
    <w:rsid w:val="7FC3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kern w:val="0"/>
      <w:sz w:val="20"/>
    </w:rPr>
  </w:style>
  <w:style w:type="paragraph" w:customStyle="1" w:styleId="3">
    <w:name w:val="一级条标题"/>
    <w:basedOn w:val="4"/>
    <w:next w:val="5"/>
    <w:autoRedefine/>
    <w:qFormat/>
    <w:uiPriority w:val="0"/>
    <w:pPr>
      <w:tabs>
        <w:tab w:val="left" w:pos="720"/>
      </w:tabs>
      <w:spacing w:beforeLines="0" w:afterLines="0"/>
      <w:ind w:left="567" w:hanging="567"/>
      <w:outlineLvl w:val="2"/>
    </w:pPr>
  </w:style>
  <w:style w:type="paragraph" w:customStyle="1" w:styleId="4">
    <w:name w:val="章标题"/>
    <w:next w:val="1"/>
    <w:autoRedefine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next w:val="1"/>
    <w:autoRedefine/>
    <w:qFormat/>
    <w:uiPriority w:val="0"/>
    <w:pPr>
      <w:tabs>
        <w:tab w:val="left" w:pos="2160"/>
      </w:tabs>
      <w:ind w:left="2159" w:leftChars="1028" w:firstLine="1"/>
    </w:pPr>
    <w:rPr>
      <w:rFonts w:ascii="宋体" w:hAnsi="宋体"/>
      <w:kern w:val="0"/>
      <w:sz w:val="20"/>
      <w:szCs w:val="21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able of figures"/>
    <w:basedOn w:val="1"/>
    <w:next w:val="1"/>
    <w:autoRedefine/>
    <w:unhideWhenUsed/>
    <w:qFormat/>
    <w:uiPriority w:val="0"/>
    <w:pPr>
      <w:spacing w:beforeLines="0" w:afterLines="0"/>
      <w:ind w:leftChars="200" w:hanging="200" w:hangingChars="200"/>
    </w:pPr>
    <w:rPr>
      <w:rFonts w:hint="eastAsia"/>
      <w:sz w:val="21"/>
    </w:rPr>
  </w:style>
  <w:style w:type="paragraph" w:styleId="11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Hyperlink"/>
    <w:autoRedefine/>
    <w:qFormat/>
    <w:uiPriority w:val="0"/>
    <w:rPr>
      <w:color w:val="000099"/>
      <w:u w:val="none"/>
    </w:rPr>
  </w:style>
  <w:style w:type="paragraph" w:customStyle="1" w:styleId="16">
    <w:name w:val="_Style 2"/>
    <w:basedOn w:val="1"/>
    <w:next w:val="1"/>
    <w:autoRedefine/>
    <w:qFormat/>
    <w:uiPriority w:val="0"/>
    <w:pPr>
      <w:widowControl/>
      <w:ind w:firstLine="420" w:firstLineChars="200"/>
      <w:jc w:val="left"/>
    </w:pPr>
    <w:rPr>
      <w:rFonts w:ascii="Calibri" w:hAnsi="Calibri"/>
      <w:sz w:val="24"/>
    </w:rPr>
  </w:style>
  <w:style w:type="character" w:customStyle="1" w:styleId="17">
    <w:name w:val="方案正文 Char"/>
    <w:link w:val="18"/>
    <w:autoRedefine/>
    <w:qFormat/>
    <w:uiPriority w:val="0"/>
    <w:rPr>
      <w:rFonts w:ascii="Calibri" w:hAnsi="Calibri"/>
      <w:kern w:val="2"/>
      <w:sz w:val="24"/>
      <w:szCs w:val="24"/>
    </w:rPr>
  </w:style>
  <w:style w:type="paragraph" w:customStyle="1" w:styleId="18">
    <w:name w:val="方案正文"/>
    <w:basedOn w:val="1"/>
    <w:link w:val="17"/>
    <w:autoRedefine/>
    <w:qFormat/>
    <w:uiPriority w:val="0"/>
    <w:pPr>
      <w:widowControl w:val="0"/>
      <w:spacing w:after="0" w:line="360" w:lineRule="auto"/>
      <w:ind w:firstLine="480" w:firstLineChars="200"/>
    </w:pPr>
    <w:rPr>
      <w:rFonts w:ascii="Calibri" w:hAnsi="Calibri"/>
      <w:kern w:val="2"/>
      <w:sz w:val="24"/>
      <w:szCs w:val="24"/>
    </w:rPr>
  </w:style>
  <w:style w:type="paragraph" w:customStyle="1" w:styleId="19">
    <w:name w:val="_Style 32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Table Text"/>
    <w:basedOn w:val="1"/>
    <w:qFormat/>
    <w:uiPriority w:val="0"/>
    <w:pPr>
      <w:widowControl/>
      <w:tabs>
        <w:tab w:val="decimal" w:pos="0"/>
      </w:tabs>
      <w:autoSpaceDE w:val="0"/>
      <w:autoSpaceDN w:val="0"/>
      <w:adjustRightInd w:val="0"/>
      <w:spacing w:before="80" w:after="80"/>
    </w:pPr>
    <w:rPr>
      <w:rFonts w:ascii="Arial" w:hAnsi="Arial"/>
      <w:kern w:val="0"/>
      <w:sz w:val="18"/>
      <w:szCs w:val="20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975</Words>
  <Characters>1173</Characters>
  <Lines>5</Lines>
  <Paragraphs>1</Paragraphs>
  <TotalTime>5</TotalTime>
  <ScaleCrop>false</ScaleCrop>
  <LinksUpToDate>false</LinksUpToDate>
  <CharactersWithSpaces>1307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开心果</cp:lastModifiedBy>
  <dcterms:modified xsi:type="dcterms:W3CDTF">2025-01-21T07:39:42Z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F4EAD8DB7EFF4F4AA55388F247B17E6D_13</vt:lpwstr>
  </property>
  <property fmtid="{D5CDD505-2E9C-101B-9397-08002B2CF9AE}" pid="4" name="KSOTemplateDocerSaveRecord">
    <vt:lpwstr>eyJoZGlkIjoiZjFmNDA2NzZjOGIyZmM1MTBkZWVlMjIyMmEwYjA1ZDAiLCJ1c2VySWQiOiIzMTE5NzE5MTQifQ==</vt:lpwstr>
  </property>
</Properties>
</file>