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0C12C">
      <w:pPr>
        <w:autoSpaceDE w:val="0"/>
        <w:autoSpaceDN w:val="0"/>
        <w:adjustRightInd w:val="0"/>
        <w:spacing w:line="360" w:lineRule="auto"/>
        <w:ind w:firstLine="2349" w:firstLineChars="45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lang w:val="zh-CN"/>
        </w:rPr>
        <w:t xml:space="preserve"> 青海省政府采购</w:t>
      </w:r>
    </w:p>
    <w:p w14:paraId="1DE9AC31">
      <w:pPr>
        <w:autoSpaceDE w:val="0"/>
        <w:autoSpaceDN w:val="0"/>
        <w:adjustRightInd w:val="0"/>
        <w:spacing w:line="360" w:lineRule="auto"/>
        <w:rPr>
          <w:rFonts w:hint="eastAsia" w:ascii="宋体" w:hAnsi="宋体" w:eastAsia="宋体" w:cs="宋体"/>
          <w:b/>
          <w:color w:val="auto"/>
          <w:sz w:val="36"/>
          <w:szCs w:val="36"/>
          <w:highlight w:val="none"/>
        </w:rPr>
      </w:pPr>
    </w:p>
    <w:p w14:paraId="08BF4F99">
      <w:pPr>
        <w:autoSpaceDE w:val="0"/>
        <w:autoSpaceDN w:val="0"/>
        <w:adjustRightInd w:val="0"/>
        <w:spacing w:line="360" w:lineRule="auto"/>
        <w:ind w:firstLine="720"/>
        <w:rPr>
          <w:rFonts w:hint="eastAsia" w:ascii="宋体" w:hAnsi="宋体" w:eastAsia="宋体" w:cs="宋体"/>
          <w:b/>
          <w:color w:val="auto"/>
          <w:sz w:val="36"/>
          <w:szCs w:val="36"/>
          <w:highlight w:val="none"/>
          <w:lang w:val="zh-CN"/>
        </w:rPr>
      </w:pPr>
    </w:p>
    <w:p w14:paraId="3D1C497C">
      <w:pPr>
        <w:autoSpaceDE w:val="0"/>
        <w:autoSpaceDN w:val="0"/>
        <w:adjustRightInd w:val="0"/>
        <w:spacing w:line="360" w:lineRule="auto"/>
        <w:ind w:firstLine="1459" w:firstLineChars="173"/>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lang w:val="zh-CN"/>
        </w:rPr>
        <w:t>竞争性磋商文</w:t>
      </w:r>
    </w:p>
    <w:p w14:paraId="10B98568">
      <w:pPr>
        <w:adjustRightInd w:val="0"/>
        <w:spacing w:line="360" w:lineRule="auto"/>
        <w:textAlignment w:val="baseline"/>
        <w:rPr>
          <w:rFonts w:hint="eastAsia" w:ascii="宋体" w:hAnsi="宋体" w:eastAsia="宋体" w:cs="宋体"/>
          <w:b/>
          <w:color w:val="auto"/>
          <w:sz w:val="36"/>
          <w:szCs w:val="36"/>
          <w:highlight w:val="none"/>
        </w:rPr>
      </w:pPr>
    </w:p>
    <w:p w14:paraId="2A6598DC">
      <w:pPr>
        <w:adjustRightInd w:val="0"/>
        <w:spacing w:line="360" w:lineRule="auto"/>
        <w:ind w:left="2645" w:leftChars="55" w:right="-248" w:rightChars="-118" w:hanging="2530" w:hangingChars="700"/>
        <w:textAlignment w:val="baseline"/>
        <w:rPr>
          <w:rFonts w:hint="eastAsia" w:ascii="宋体" w:hAnsi="宋体" w:cs="宋体"/>
          <w:b/>
          <w:color w:val="auto"/>
          <w:sz w:val="36"/>
          <w:szCs w:val="36"/>
          <w:highlight w:val="none"/>
          <w:lang w:eastAsia="zh-CN"/>
        </w:rPr>
      </w:pPr>
      <w:r>
        <w:rPr>
          <w:rFonts w:hint="eastAsia" w:ascii="宋体" w:hAnsi="宋体" w:eastAsia="宋体" w:cs="宋体"/>
          <w:b/>
          <w:color w:val="auto"/>
          <w:sz w:val="36"/>
          <w:szCs w:val="36"/>
          <w:highlight w:val="none"/>
        </w:rPr>
        <w:t>采购项目编号：</w:t>
      </w:r>
      <w:r>
        <w:rPr>
          <w:rFonts w:hint="eastAsia" w:ascii="宋体" w:hAnsi="宋体" w:cs="宋体"/>
          <w:b/>
          <w:color w:val="auto"/>
          <w:sz w:val="36"/>
          <w:szCs w:val="36"/>
          <w:highlight w:val="none"/>
          <w:lang w:eastAsia="zh-CN"/>
        </w:rPr>
        <w:t>兰州众信磋商（服务）2024-016号</w:t>
      </w:r>
    </w:p>
    <w:p w14:paraId="22DF0C02">
      <w:pPr>
        <w:adjustRightInd w:val="0"/>
        <w:spacing w:line="360" w:lineRule="auto"/>
        <w:ind w:left="2645" w:leftChars="55" w:right="-248" w:rightChars="-118" w:hanging="2530" w:hangingChars="700"/>
        <w:textAlignment w:val="baseline"/>
        <w:rPr>
          <w:rFonts w:hint="eastAsia" w:ascii="宋体" w:hAnsi="宋体" w:cs="宋体"/>
          <w:b/>
          <w:color w:val="auto"/>
          <w:sz w:val="36"/>
          <w:szCs w:val="36"/>
          <w:highlight w:val="none"/>
          <w:lang w:eastAsia="zh-CN"/>
        </w:rPr>
      </w:pPr>
      <w:r>
        <w:rPr>
          <w:rFonts w:hint="eastAsia" w:ascii="宋体" w:hAnsi="宋体" w:eastAsia="宋体" w:cs="宋体"/>
          <w:b/>
          <w:color w:val="auto"/>
          <w:sz w:val="36"/>
          <w:szCs w:val="36"/>
          <w:highlight w:val="none"/>
        </w:rPr>
        <w:t>采购项目名称：</w:t>
      </w:r>
      <w:r>
        <w:rPr>
          <w:rFonts w:hint="eastAsia" w:ascii="宋体" w:hAnsi="宋体" w:cs="宋体"/>
          <w:b/>
          <w:color w:val="auto"/>
          <w:sz w:val="36"/>
          <w:szCs w:val="36"/>
          <w:highlight w:val="none"/>
          <w:lang w:eastAsia="zh-CN"/>
        </w:rPr>
        <w:t>西宁市第三人民医院医院病房提升改造初步设计、施工图纸设计项目</w:t>
      </w:r>
    </w:p>
    <w:p w14:paraId="65980689">
      <w:pPr>
        <w:adjustRightInd w:val="0"/>
        <w:spacing w:line="360" w:lineRule="auto"/>
        <w:ind w:left="2645" w:leftChars="55" w:right="-248" w:rightChars="-118" w:hanging="2530" w:hangingChars="700"/>
        <w:textAlignment w:val="baseline"/>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 购 单 位：</w:t>
      </w:r>
      <w:r>
        <w:rPr>
          <w:rFonts w:hint="eastAsia" w:ascii="宋体" w:hAnsi="宋体" w:cs="宋体"/>
          <w:b/>
          <w:color w:val="auto"/>
          <w:sz w:val="36"/>
          <w:szCs w:val="36"/>
          <w:highlight w:val="none"/>
          <w:lang w:val="zh-CN"/>
        </w:rPr>
        <w:t>西宁市第三人民医院</w:t>
      </w:r>
    </w:p>
    <w:p w14:paraId="7BCD9BF6">
      <w:pPr>
        <w:adjustRightInd w:val="0"/>
        <w:spacing w:line="360" w:lineRule="auto"/>
        <w:textAlignment w:val="baseline"/>
        <w:rPr>
          <w:rFonts w:hint="eastAsia" w:ascii="宋体" w:hAnsi="宋体" w:eastAsia="宋体" w:cs="宋体"/>
          <w:b/>
          <w:color w:val="auto"/>
          <w:highlight w:val="none"/>
        </w:rPr>
      </w:pPr>
    </w:p>
    <w:p w14:paraId="5731B31F">
      <w:pPr>
        <w:adjustRightInd w:val="0"/>
        <w:spacing w:line="360" w:lineRule="auto"/>
        <w:textAlignment w:val="baseline"/>
        <w:rPr>
          <w:rFonts w:hint="eastAsia" w:ascii="宋体" w:hAnsi="宋体" w:eastAsia="宋体" w:cs="宋体"/>
          <w:b/>
          <w:color w:val="auto"/>
          <w:highlight w:val="none"/>
        </w:rPr>
      </w:pPr>
    </w:p>
    <w:p w14:paraId="1825F864">
      <w:pPr>
        <w:pStyle w:val="11"/>
        <w:rPr>
          <w:rFonts w:hint="eastAsia" w:ascii="宋体" w:hAnsi="宋体" w:eastAsia="宋体" w:cs="宋体"/>
          <w:b/>
          <w:color w:val="auto"/>
          <w:highlight w:val="none"/>
        </w:rPr>
      </w:pPr>
    </w:p>
    <w:p w14:paraId="32DFA448">
      <w:pPr>
        <w:pStyle w:val="6"/>
        <w:rPr>
          <w:rFonts w:hint="eastAsia" w:ascii="宋体" w:hAnsi="宋体" w:eastAsia="宋体" w:cs="宋体"/>
          <w:b/>
          <w:color w:val="auto"/>
          <w:highlight w:val="none"/>
        </w:rPr>
      </w:pPr>
    </w:p>
    <w:p w14:paraId="03450DA8">
      <w:pPr>
        <w:pStyle w:val="24"/>
        <w:rPr>
          <w:rFonts w:hint="eastAsia" w:ascii="宋体" w:hAnsi="宋体" w:eastAsia="宋体" w:cs="宋体"/>
          <w:b/>
          <w:color w:val="auto"/>
          <w:highlight w:val="none"/>
        </w:rPr>
      </w:pPr>
    </w:p>
    <w:p w14:paraId="5819B7C6">
      <w:pPr>
        <w:pStyle w:val="26"/>
        <w:rPr>
          <w:rFonts w:hint="eastAsia"/>
          <w:highlight w:val="none"/>
        </w:rPr>
      </w:pPr>
    </w:p>
    <w:p w14:paraId="01462CF3">
      <w:pPr>
        <w:rPr>
          <w:rFonts w:hint="eastAsia" w:ascii="宋体" w:hAnsi="宋体" w:eastAsia="宋体" w:cs="宋体"/>
          <w:highlight w:val="none"/>
        </w:rPr>
      </w:pPr>
    </w:p>
    <w:p w14:paraId="28FFA80A">
      <w:pPr>
        <w:adjustRightInd w:val="0"/>
        <w:spacing w:line="360" w:lineRule="auto"/>
        <w:textAlignment w:val="baseline"/>
        <w:rPr>
          <w:rFonts w:hint="eastAsia" w:ascii="宋体" w:hAnsi="宋体" w:eastAsia="宋体" w:cs="宋体"/>
          <w:b/>
          <w:color w:val="auto"/>
          <w:highlight w:val="none"/>
        </w:rPr>
      </w:pPr>
    </w:p>
    <w:p w14:paraId="0A183604">
      <w:pPr>
        <w:adjustRightInd w:val="0"/>
        <w:spacing w:line="360" w:lineRule="auto"/>
        <w:jc w:val="center"/>
        <w:textAlignment w:val="baseline"/>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兰州众信招标有限公司</w:t>
      </w:r>
    </w:p>
    <w:p w14:paraId="4CFD43F7">
      <w:pPr>
        <w:adjustRightInd w:val="0"/>
        <w:spacing w:line="360" w:lineRule="auto"/>
        <w:jc w:val="center"/>
        <w:textAlignment w:val="baseline"/>
        <w:rPr>
          <w:rFonts w:hint="eastAsia" w:ascii="宋体" w:hAnsi="宋体" w:eastAsia="宋体" w:cs="宋体"/>
          <w:color w:val="auto"/>
          <w:highlight w:val="none"/>
        </w:rPr>
      </w:pPr>
      <w:r>
        <w:rPr>
          <w:rFonts w:hint="eastAsia" w:ascii="宋体" w:hAnsi="宋体" w:eastAsia="宋体" w:cs="宋体"/>
          <w:b/>
          <w:color w:val="auto"/>
          <w:sz w:val="32"/>
          <w:szCs w:val="32"/>
          <w:highlight w:val="none"/>
          <w:lang w:eastAsia="zh-CN"/>
        </w:rPr>
        <w:t>202</w:t>
      </w:r>
      <w:r>
        <w:rPr>
          <w:rFonts w:hint="eastAsia" w:ascii="宋体" w:hAnsi="宋体" w:cs="宋体"/>
          <w:b/>
          <w:color w:val="auto"/>
          <w:sz w:val="32"/>
          <w:szCs w:val="32"/>
          <w:highlight w:val="none"/>
          <w:lang w:val="en-US" w:eastAsia="zh-CN"/>
        </w:rPr>
        <w:t>4</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12</w:t>
      </w:r>
      <w:r>
        <w:rPr>
          <w:rFonts w:hint="eastAsia" w:ascii="宋体" w:hAnsi="宋体" w:eastAsia="宋体" w:cs="宋体"/>
          <w:b/>
          <w:color w:val="auto"/>
          <w:sz w:val="32"/>
          <w:szCs w:val="32"/>
          <w:highlight w:val="none"/>
        </w:rPr>
        <w:t>月</w:t>
      </w:r>
      <w:r>
        <w:rPr>
          <w:rFonts w:hint="eastAsia" w:ascii="宋体" w:hAnsi="宋体" w:eastAsia="宋体" w:cs="宋体"/>
          <w:b/>
          <w:color w:val="auto"/>
          <w:sz w:val="40"/>
          <w:szCs w:val="30"/>
          <w:highlight w:val="none"/>
        </w:rPr>
        <w:br w:type="page"/>
      </w:r>
    </w:p>
    <w:p w14:paraId="02A02EBA">
      <w:pPr>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目录</w:t>
      </w:r>
    </w:p>
    <w:p w14:paraId="07BCBACB">
      <w:pPr>
        <w:pStyle w:val="12"/>
        <w:tabs>
          <w:tab w:val="right" w:leader="dot" w:pos="8787"/>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TOC \o "1-3" \h \u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_Toc29086 </w:instrText>
      </w:r>
      <w:r>
        <w:rPr>
          <w:rFonts w:hint="eastAsia" w:ascii="宋体" w:hAnsi="宋体" w:eastAsia="宋体" w:cs="宋体"/>
          <w:i w:val="0"/>
          <w:iCs w:val="0"/>
          <w:highlight w:val="none"/>
        </w:rPr>
        <w:fldChar w:fldCharType="separate"/>
      </w:r>
      <w:r>
        <w:rPr>
          <w:rFonts w:hint="eastAsia" w:ascii="宋体" w:hAnsi="宋体" w:eastAsia="宋体" w:cs="宋体"/>
          <w:highlight w:val="none"/>
        </w:rPr>
        <w:t>第一部分  投标人须知前附表</w:t>
      </w:r>
      <w:r>
        <w:tab/>
      </w:r>
      <w:r>
        <w:fldChar w:fldCharType="begin"/>
      </w:r>
      <w:r>
        <w:instrText xml:space="preserve"> PAGEREF _Toc29086 \h </w:instrText>
      </w:r>
      <w:r>
        <w:fldChar w:fldCharType="separate"/>
      </w:r>
      <w:r>
        <w:t>3</w:t>
      </w:r>
      <w:r>
        <w:fldChar w:fldCharType="end"/>
      </w:r>
      <w:r>
        <w:rPr>
          <w:rFonts w:hint="eastAsia" w:ascii="宋体" w:hAnsi="宋体" w:eastAsia="宋体" w:cs="宋体"/>
          <w:i w:val="0"/>
          <w:iCs w:val="0"/>
          <w:color w:val="auto"/>
          <w:highlight w:val="none"/>
        </w:rPr>
        <w:fldChar w:fldCharType="end"/>
      </w:r>
    </w:p>
    <w:p w14:paraId="21EA996A">
      <w:pPr>
        <w:pStyle w:val="12"/>
        <w:tabs>
          <w:tab w:val="right" w:leader="dot" w:pos="8787"/>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_Toc4069 </w:instrText>
      </w:r>
      <w:r>
        <w:rPr>
          <w:rFonts w:hint="eastAsia" w:ascii="宋体" w:hAnsi="宋体" w:eastAsia="宋体" w:cs="宋体"/>
          <w:i w:val="0"/>
          <w:iCs w:val="0"/>
          <w:highlight w:val="none"/>
        </w:rPr>
        <w:fldChar w:fldCharType="separate"/>
      </w:r>
      <w:r>
        <w:rPr>
          <w:rFonts w:hint="eastAsia" w:ascii="宋体" w:hAnsi="宋体" w:eastAsia="宋体" w:cs="宋体"/>
          <w:kern w:val="28"/>
          <w:szCs w:val="20"/>
          <w:highlight w:val="none"/>
        </w:rPr>
        <w:t>第二部分  投标人须知</w:t>
      </w:r>
      <w:r>
        <w:tab/>
      </w:r>
      <w:r>
        <w:fldChar w:fldCharType="begin"/>
      </w:r>
      <w:r>
        <w:instrText xml:space="preserve"> PAGEREF _Toc4069 \h </w:instrText>
      </w:r>
      <w:r>
        <w:fldChar w:fldCharType="separate"/>
      </w:r>
      <w:r>
        <w:t>6</w:t>
      </w:r>
      <w:r>
        <w:fldChar w:fldCharType="end"/>
      </w:r>
      <w:r>
        <w:rPr>
          <w:rFonts w:hint="eastAsia" w:ascii="宋体" w:hAnsi="宋体" w:eastAsia="宋体" w:cs="宋体"/>
          <w:i w:val="0"/>
          <w:iCs w:val="0"/>
          <w:color w:val="auto"/>
          <w:highlight w:val="none"/>
        </w:rPr>
        <w:fldChar w:fldCharType="end"/>
      </w:r>
    </w:p>
    <w:p w14:paraId="36D26B2E">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_Toc30588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一、说  明</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_Toc30588 \h </w:instrText>
      </w:r>
      <w:r>
        <w:rPr>
          <w:rFonts w:hint="eastAsia" w:ascii="宋体" w:hAnsi="宋体" w:eastAsia="宋体" w:cs="宋体"/>
          <w:i w:val="0"/>
          <w:iCs w:val="0"/>
        </w:rPr>
        <w:fldChar w:fldCharType="separate"/>
      </w:r>
      <w:r>
        <w:rPr>
          <w:rFonts w:hint="eastAsia" w:ascii="宋体" w:hAnsi="宋体" w:eastAsia="宋体" w:cs="宋体"/>
          <w:i w:val="0"/>
          <w:iCs w:val="0"/>
        </w:rPr>
        <w:t>6</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413982F2">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_Toc2593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1.适用范围</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_Toc2593 \h </w:instrText>
      </w:r>
      <w:r>
        <w:rPr>
          <w:rFonts w:hint="eastAsia" w:ascii="宋体" w:hAnsi="宋体" w:eastAsia="宋体" w:cs="宋体"/>
          <w:i w:val="0"/>
          <w:iCs w:val="0"/>
        </w:rPr>
        <w:fldChar w:fldCharType="separate"/>
      </w:r>
      <w:r>
        <w:rPr>
          <w:rFonts w:hint="eastAsia" w:ascii="宋体" w:hAnsi="宋体" w:eastAsia="宋体" w:cs="宋体"/>
          <w:i w:val="0"/>
          <w:iCs w:val="0"/>
        </w:rPr>
        <w:t>6</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35BA84D3">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_Toc996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2.采购方式、合格的投标人</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_Toc996 \h </w:instrText>
      </w:r>
      <w:r>
        <w:rPr>
          <w:rFonts w:hint="eastAsia" w:ascii="宋体" w:hAnsi="宋体" w:eastAsia="宋体" w:cs="宋体"/>
          <w:i w:val="0"/>
          <w:iCs w:val="0"/>
        </w:rPr>
        <w:fldChar w:fldCharType="separate"/>
      </w:r>
      <w:r>
        <w:rPr>
          <w:rFonts w:hint="eastAsia" w:ascii="宋体" w:hAnsi="宋体" w:eastAsia="宋体" w:cs="宋体"/>
          <w:i w:val="0"/>
          <w:iCs w:val="0"/>
        </w:rPr>
        <w:t>6</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2F1E3D85">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_Toc6075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3.磋商费用</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_Toc6075 \h </w:instrText>
      </w:r>
      <w:r>
        <w:rPr>
          <w:rFonts w:hint="eastAsia" w:ascii="宋体" w:hAnsi="宋体" w:eastAsia="宋体" w:cs="宋体"/>
          <w:i w:val="0"/>
          <w:iCs w:val="0"/>
        </w:rPr>
        <w:fldChar w:fldCharType="separate"/>
      </w:r>
      <w:r>
        <w:rPr>
          <w:rFonts w:hint="eastAsia" w:ascii="宋体" w:hAnsi="宋体" w:eastAsia="宋体" w:cs="宋体"/>
          <w:i w:val="0"/>
          <w:iCs w:val="0"/>
        </w:rPr>
        <w:t>6</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2D7176F5">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_Toc22084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二、磋商文件说明</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_Toc22084 \h </w:instrText>
      </w:r>
      <w:r>
        <w:rPr>
          <w:rFonts w:hint="eastAsia" w:ascii="宋体" w:hAnsi="宋体" w:eastAsia="宋体" w:cs="宋体"/>
          <w:i w:val="0"/>
          <w:iCs w:val="0"/>
        </w:rPr>
        <w:fldChar w:fldCharType="separate"/>
      </w:r>
      <w:r>
        <w:rPr>
          <w:rFonts w:hint="eastAsia" w:ascii="宋体" w:hAnsi="宋体" w:eastAsia="宋体" w:cs="宋体"/>
          <w:i w:val="0"/>
          <w:iCs w:val="0"/>
        </w:rPr>
        <w:t>6</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760F0274">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_Toc29742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4.磋商文件的构成</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_Toc29742 \h </w:instrText>
      </w:r>
      <w:r>
        <w:rPr>
          <w:rFonts w:hint="eastAsia" w:ascii="宋体" w:hAnsi="宋体" w:eastAsia="宋体" w:cs="宋体"/>
          <w:i w:val="0"/>
          <w:iCs w:val="0"/>
        </w:rPr>
        <w:fldChar w:fldCharType="separate"/>
      </w:r>
      <w:r>
        <w:rPr>
          <w:rFonts w:hint="eastAsia" w:ascii="宋体" w:hAnsi="宋体" w:eastAsia="宋体" w:cs="宋体"/>
          <w:i w:val="0"/>
          <w:iCs w:val="0"/>
        </w:rPr>
        <w:t>6</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3FC3B84F">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_Toc30416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5.磋商文件的质疑</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_Toc30416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350C2714">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_Toc24314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6.磋商文件的澄清、修改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_Toc24314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774AB4B4">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_Toc1722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三、磋商响应文件的编制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_Toc1722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1273AEB6">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_Toc7541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7.磋商响应文件的语言及度量衡单位</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_Toc7541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2C3A6083">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_Toc25408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8.磋商报价及币种</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_Toc25408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77BE7DA1">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_Toc6173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9.磋商保证金</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_Toc6173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5ED9BBAC">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_Toc14906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lang w:val="en-US" w:eastAsia="zh-CN"/>
        </w:rPr>
        <w:t>免缴</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_Toc14906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6376B21F">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_Toc22386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10.磋商有效期</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_Toc22386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5B80F4CE">
      <w:pPr>
        <w:pStyle w:val="12"/>
        <w:tabs>
          <w:tab w:val="right" w:leader="dot" w:pos="878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_Toc25615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lang w:val="zh-CN"/>
        </w:rPr>
        <w:t>11.磋商响应文件构成</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_Toc25615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3C5A7DAD">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_Toc1182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12.响应文件编制要求</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_Toc1182 \h </w:instrText>
      </w:r>
      <w:r>
        <w:rPr>
          <w:rFonts w:hint="eastAsia" w:ascii="宋体" w:hAnsi="宋体" w:eastAsia="宋体" w:cs="宋体"/>
          <w:i w:val="0"/>
          <w:iCs w:val="0"/>
        </w:rPr>
        <w:fldChar w:fldCharType="separate"/>
      </w:r>
      <w:r>
        <w:rPr>
          <w:rFonts w:hint="eastAsia" w:ascii="宋体" w:hAnsi="宋体" w:eastAsia="宋体" w:cs="宋体"/>
          <w:i w:val="0"/>
          <w:iCs w:val="0"/>
        </w:rPr>
        <w:t>9</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779230E0">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_Toc13869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四、磋商响应文件的递交</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_Toc13869 \h </w:instrText>
      </w:r>
      <w:r>
        <w:rPr>
          <w:rFonts w:hint="eastAsia" w:ascii="宋体" w:hAnsi="宋体" w:eastAsia="宋体" w:cs="宋体"/>
          <w:i w:val="0"/>
          <w:iCs w:val="0"/>
        </w:rPr>
        <w:fldChar w:fldCharType="separate"/>
      </w:r>
      <w:r>
        <w:rPr>
          <w:rFonts w:hint="eastAsia" w:ascii="宋体" w:hAnsi="宋体" w:eastAsia="宋体" w:cs="宋体"/>
          <w:i w:val="0"/>
          <w:iCs w:val="0"/>
        </w:rPr>
        <w:t>9</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023D5C85">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_Toc29822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13.响应文件的密封和标记</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_Toc29822 \h </w:instrText>
      </w:r>
      <w:r>
        <w:rPr>
          <w:rFonts w:hint="eastAsia" w:ascii="宋体" w:hAnsi="宋体" w:eastAsia="宋体" w:cs="宋体"/>
          <w:i w:val="0"/>
          <w:iCs w:val="0"/>
        </w:rPr>
        <w:fldChar w:fldCharType="separate"/>
      </w:r>
      <w:r>
        <w:rPr>
          <w:rFonts w:hint="eastAsia" w:ascii="宋体" w:hAnsi="宋体" w:eastAsia="宋体" w:cs="宋体"/>
          <w:i w:val="0"/>
          <w:iCs w:val="0"/>
        </w:rPr>
        <w:t>9</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05B13237">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_Toc23169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14.递交磋商响应文件程序</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_Toc23169 \h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3273ADF3">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_Toc14276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五、资格审查程序及方法</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_Toc14276 \h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5FB8FF0E">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_Toc23431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15. 资格审查程序</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_Toc23431 \h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4E2B20D1">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_Toc16710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16.资格审查不通过的情形</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_Toc16710 \h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589276FE">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_Toc20961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六、磋商程序及方法</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_Toc20961 \h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1826F94A">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_Toc31677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17.磋商小组</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_Toc31677 \h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055F26B2">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_Toc18324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18.磋商工作程序</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_Toc18324 \h </w:instrText>
      </w:r>
      <w:r>
        <w:rPr>
          <w:rFonts w:hint="eastAsia" w:ascii="宋体" w:hAnsi="宋体" w:eastAsia="宋体" w:cs="宋体"/>
          <w:i w:val="0"/>
          <w:iCs w:val="0"/>
        </w:rPr>
        <w:fldChar w:fldCharType="separate"/>
      </w:r>
      <w:r>
        <w:rPr>
          <w:rFonts w:hint="eastAsia" w:ascii="宋体" w:hAnsi="宋体" w:eastAsia="宋体" w:cs="宋体"/>
          <w:i w:val="0"/>
          <w:iCs w:val="0"/>
        </w:rPr>
        <w:t>11</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6F17F6C9">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_Toc12924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19.答疑的方式和情形</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_Toc12924 \h </w:instrText>
      </w:r>
      <w:r>
        <w:rPr>
          <w:rFonts w:hint="eastAsia" w:ascii="宋体" w:hAnsi="宋体" w:eastAsia="宋体" w:cs="宋体"/>
          <w:i w:val="0"/>
          <w:iCs w:val="0"/>
        </w:rPr>
        <w:fldChar w:fldCharType="separate"/>
      </w:r>
      <w:r>
        <w:rPr>
          <w:rFonts w:hint="eastAsia" w:ascii="宋体" w:hAnsi="宋体" w:eastAsia="宋体" w:cs="宋体"/>
          <w:i w:val="0"/>
          <w:iCs w:val="0"/>
        </w:rPr>
        <w:t>12</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131EB5E4">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_Toc18024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20.评审办法</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_Toc18024 \h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17ADFF9D">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_Toc3308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七、成交办法</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_Toc3308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48812EB1">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_Toc29173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21.推荐并确定成交供应商</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_Toc29173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4BE480D5">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_Toc6860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22.成交通知</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_Toc6860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5A90D072">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_Toc21345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八、授予合同</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_Toc21345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1AB2B4F8">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_Toc8068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23.签订合同</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_Toc8068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660D956E">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_Toc27622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九、串通投标的认定及处理办法</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_Toc27622 \h </w:instrText>
      </w:r>
      <w:r>
        <w:rPr>
          <w:rFonts w:hint="eastAsia" w:ascii="宋体" w:hAnsi="宋体" w:eastAsia="宋体" w:cs="宋体"/>
          <w:i w:val="0"/>
          <w:iCs w:val="0"/>
        </w:rPr>
        <w:fldChar w:fldCharType="separate"/>
      </w:r>
      <w:r>
        <w:rPr>
          <w:rFonts w:hint="eastAsia" w:ascii="宋体" w:hAnsi="宋体" w:eastAsia="宋体" w:cs="宋体"/>
          <w:i w:val="0"/>
          <w:iCs w:val="0"/>
        </w:rPr>
        <w:t>17</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3A7727ED">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_Toc32018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24.串通投标的情形</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_Toc32018 \h </w:instrText>
      </w:r>
      <w:r>
        <w:rPr>
          <w:rFonts w:hint="eastAsia" w:ascii="宋体" w:hAnsi="宋体" w:eastAsia="宋体" w:cs="宋体"/>
          <w:i w:val="0"/>
          <w:iCs w:val="0"/>
        </w:rPr>
        <w:fldChar w:fldCharType="separate"/>
      </w:r>
      <w:r>
        <w:rPr>
          <w:rFonts w:hint="eastAsia" w:ascii="宋体" w:hAnsi="宋体" w:eastAsia="宋体" w:cs="宋体"/>
          <w:i w:val="0"/>
          <w:iCs w:val="0"/>
        </w:rPr>
        <w:t>17</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21F57BE0">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_Toc3211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十、磋商活动终止</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_Toc3211 \h </w:instrText>
      </w:r>
      <w:r>
        <w:rPr>
          <w:rFonts w:hint="eastAsia" w:ascii="宋体" w:hAnsi="宋体" w:eastAsia="宋体" w:cs="宋体"/>
          <w:i w:val="0"/>
          <w:iCs w:val="0"/>
        </w:rPr>
        <w:fldChar w:fldCharType="separate"/>
      </w:r>
      <w:r>
        <w:rPr>
          <w:rFonts w:hint="eastAsia" w:ascii="宋体" w:hAnsi="宋体" w:eastAsia="宋体" w:cs="宋体"/>
          <w:i w:val="0"/>
          <w:iCs w:val="0"/>
        </w:rPr>
        <w:t>17</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29364034">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_Toc25430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25. 终止情形</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_Toc25430 \h </w:instrText>
      </w:r>
      <w:r>
        <w:rPr>
          <w:rFonts w:hint="eastAsia" w:ascii="宋体" w:hAnsi="宋体" w:eastAsia="宋体" w:cs="宋体"/>
          <w:i w:val="0"/>
          <w:iCs w:val="0"/>
        </w:rPr>
        <w:fldChar w:fldCharType="separate"/>
      </w:r>
      <w:r>
        <w:rPr>
          <w:rFonts w:hint="eastAsia" w:ascii="宋体" w:hAnsi="宋体" w:eastAsia="宋体" w:cs="宋体"/>
          <w:i w:val="0"/>
          <w:iCs w:val="0"/>
        </w:rPr>
        <w:t>17</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04FF26AC">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_Toc9410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十一、处罚</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_Toc9410 \h </w:instrText>
      </w:r>
      <w:r>
        <w:rPr>
          <w:rFonts w:hint="eastAsia" w:ascii="宋体" w:hAnsi="宋体" w:eastAsia="宋体" w:cs="宋体"/>
          <w:i w:val="0"/>
          <w:iCs w:val="0"/>
        </w:rPr>
        <w:fldChar w:fldCharType="separate"/>
      </w:r>
      <w:r>
        <w:rPr>
          <w:rFonts w:hint="eastAsia" w:ascii="宋体" w:hAnsi="宋体" w:eastAsia="宋体" w:cs="宋体"/>
          <w:i w:val="0"/>
          <w:iCs w:val="0"/>
        </w:rPr>
        <w:t>18</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26C78049">
      <w:pPr>
        <w:pStyle w:val="8"/>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_Toc20170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27"/>
          <w:highlight w:val="none"/>
        </w:rPr>
        <w:t>26.处罚情形</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_Toc20170 \h </w:instrText>
      </w:r>
      <w:r>
        <w:rPr>
          <w:rFonts w:hint="eastAsia" w:ascii="宋体" w:hAnsi="宋体" w:eastAsia="宋体" w:cs="宋体"/>
          <w:i w:val="0"/>
          <w:iCs w:val="0"/>
        </w:rPr>
        <w:fldChar w:fldCharType="separate"/>
      </w:r>
      <w:r>
        <w:rPr>
          <w:rFonts w:hint="eastAsia" w:ascii="宋体" w:hAnsi="宋体" w:eastAsia="宋体" w:cs="宋体"/>
          <w:i w:val="0"/>
          <w:iCs w:val="0"/>
        </w:rPr>
        <w:t>18</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26763857">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_Toc1727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十二、其他</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_Toc1727 \h </w:instrText>
      </w:r>
      <w:r>
        <w:rPr>
          <w:rFonts w:hint="eastAsia" w:ascii="宋体" w:hAnsi="宋体" w:eastAsia="宋体" w:cs="宋体"/>
          <w:i w:val="0"/>
          <w:iCs w:val="0"/>
        </w:rPr>
        <w:fldChar w:fldCharType="separate"/>
      </w:r>
      <w:r>
        <w:rPr>
          <w:rFonts w:hint="eastAsia" w:ascii="宋体" w:hAnsi="宋体" w:eastAsia="宋体" w:cs="宋体"/>
          <w:i w:val="0"/>
          <w:iCs w:val="0"/>
        </w:rPr>
        <w:t>18</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7FECDE56">
      <w:pPr>
        <w:pStyle w:val="12"/>
        <w:tabs>
          <w:tab w:val="right" w:leader="dot" w:pos="878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_Toc31207 </w:instrText>
      </w:r>
      <w:r>
        <w:rPr>
          <w:rFonts w:hint="eastAsia" w:ascii="宋体" w:hAnsi="宋体" w:eastAsia="宋体" w:cs="宋体"/>
          <w:i w:val="0"/>
          <w:iCs w:val="0"/>
          <w:highlight w:val="none"/>
        </w:rPr>
        <w:fldChar w:fldCharType="separate"/>
      </w:r>
      <w:r>
        <w:rPr>
          <w:rFonts w:hint="eastAsia" w:ascii="宋体" w:hAnsi="宋体" w:eastAsia="宋体" w:cs="宋体"/>
          <w:i w:val="0"/>
          <w:iCs w:val="0"/>
          <w:kern w:val="28"/>
          <w:szCs w:val="20"/>
          <w:highlight w:val="none"/>
        </w:rPr>
        <w:t>第三部分  青海省政府采购项目合同书范本</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_Toc31207 \h </w:instrText>
      </w:r>
      <w:r>
        <w:rPr>
          <w:rFonts w:hint="eastAsia" w:ascii="宋体" w:hAnsi="宋体" w:eastAsia="宋体" w:cs="宋体"/>
          <w:i w:val="0"/>
          <w:iCs w:val="0"/>
        </w:rPr>
        <w:fldChar w:fldCharType="separate"/>
      </w:r>
      <w:r>
        <w:rPr>
          <w:rFonts w:hint="eastAsia" w:ascii="宋体" w:hAnsi="宋体" w:eastAsia="宋体" w:cs="宋体"/>
          <w:i w:val="0"/>
          <w:iCs w:val="0"/>
        </w:rPr>
        <w:t>19</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18070D67">
      <w:pPr>
        <w:pStyle w:val="12"/>
        <w:tabs>
          <w:tab w:val="right" w:leader="dot" w:pos="878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_Toc22472 </w:instrText>
      </w:r>
      <w:r>
        <w:rPr>
          <w:rFonts w:hint="eastAsia" w:ascii="宋体" w:hAnsi="宋体" w:eastAsia="宋体" w:cs="宋体"/>
          <w:i w:val="0"/>
          <w:iCs w:val="0"/>
          <w:highlight w:val="none"/>
        </w:rPr>
        <w:fldChar w:fldCharType="separate"/>
      </w:r>
      <w:r>
        <w:rPr>
          <w:rFonts w:hint="eastAsia" w:ascii="宋体" w:hAnsi="宋体" w:eastAsia="宋体" w:cs="宋体"/>
          <w:i w:val="0"/>
          <w:iCs w:val="0"/>
          <w:kern w:val="28"/>
          <w:szCs w:val="20"/>
          <w:highlight w:val="none"/>
        </w:rPr>
        <w:t>（货物类）</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_Toc22472 \h </w:instrText>
      </w:r>
      <w:r>
        <w:rPr>
          <w:rFonts w:hint="eastAsia" w:ascii="宋体" w:hAnsi="宋体" w:eastAsia="宋体" w:cs="宋体"/>
          <w:i w:val="0"/>
          <w:iCs w:val="0"/>
        </w:rPr>
        <w:fldChar w:fldCharType="separate"/>
      </w:r>
      <w:r>
        <w:rPr>
          <w:rFonts w:hint="eastAsia" w:ascii="宋体" w:hAnsi="宋体" w:eastAsia="宋体" w:cs="宋体"/>
          <w:i w:val="0"/>
          <w:iCs w:val="0"/>
        </w:rPr>
        <w:t>19</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582F16B6">
      <w:pPr>
        <w:pStyle w:val="12"/>
        <w:tabs>
          <w:tab w:val="right" w:leader="dot" w:pos="878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_Toc16071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48"/>
          <w:highlight w:val="none"/>
        </w:rPr>
        <w:t>青海省政府采购项目合同书</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_Toc16071 \h </w:instrText>
      </w:r>
      <w:r>
        <w:rPr>
          <w:rFonts w:hint="eastAsia" w:ascii="宋体" w:hAnsi="宋体" w:eastAsia="宋体" w:cs="宋体"/>
          <w:i w:val="0"/>
          <w:iCs w:val="0"/>
        </w:rPr>
        <w:fldChar w:fldCharType="separate"/>
      </w:r>
      <w:r>
        <w:rPr>
          <w:rFonts w:hint="eastAsia" w:ascii="宋体" w:hAnsi="宋体" w:eastAsia="宋体" w:cs="宋体"/>
          <w:i w:val="0"/>
          <w:iCs w:val="0"/>
        </w:rPr>
        <w:t>19</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45045831">
      <w:pPr>
        <w:pStyle w:val="12"/>
        <w:tabs>
          <w:tab w:val="right" w:leader="dot" w:pos="878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_Toc21458 </w:instrText>
      </w:r>
      <w:r>
        <w:rPr>
          <w:rFonts w:hint="eastAsia" w:ascii="宋体" w:hAnsi="宋体" w:eastAsia="宋体" w:cs="宋体"/>
          <w:i w:val="0"/>
          <w:iCs w:val="0"/>
          <w:highlight w:val="none"/>
        </w:rPr>
        <w:fldChar w:fldCharType="separate"/>
      </w:r>
      <w:r>
        <w:rPr>
          <w:rFonts w:hint="eastAsia" w:ascii="宋体" w:hAnsi="宋体" w:eastAsia="宋体" w:cs="宋体"/>
          <w:i w:val="0"/>
          <w:iCs w:val="0"/>
          <w:kern w:val="28"/>
          <w:szCs w:val="20"/>
          <w:highlight w:val="none"/>
        </w:rPr>
        <w:t>第四部分  磋商响应文件格式</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_Toc21458 \h </w:instrText>
      </w:r>
      <w:r>
        <w:rPr>
          <w:rFonts w:hint="eastAsia" w:ascii="宋体" w:hAnsi="宋体" w:eastAsia="宋体" w:cs="宋体"/>
          <w:i w:val="0"/>
          <w:iCs w:val="0"/>
        </w:rPr>
        <w:fldChar w:fldCharType="separate"/>
      </w:r>
      <w:r>
        <w:rPr>
          <w:rFonts w:hint="eastAsia" w:ascii="宋体" w:hAnsi="宋体" w:eastAsia="宋体" w:cs="宋体"/>
          <w:i w:val="0"/>
          <w:iCs w:val="0"/>
        </w:rPr>
        <w:t>25</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3C8B6471">
      <w:pPr>
        <w:pStyle w:val="12"/>
        <w:tabs>
          <w:tab w:val="right" w:leader="dot" w:pos="878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_Toc4806 </w:instrText>
      </w:r>
      <w:r>
        <w:rPr>
          <w:rFonts w:hint="eastAsia" w:ascii="宋体" w:hAnsi="宋体" w:eastAsia="宋体" w:cs="宋体"/>
          <w:i w:val="0"/>
          <w:iCs w:val="0"/>
          <w:highlight w:val="none"/>
        </w:rPr>
        <w:fldChar w:fldCharType="separate"/>
      </w:r>
      <w:r>
        <w:rPr>
          <w:rFonts w:hint="eastAsia" w:ascii="宋体" w:hAnsi="宋体" w:eastAsia="宋体" w:cs="宋体"/>
          <w:i w:val="0"/>
          <w:iCs w:val="0"/>
          <w:kern w:val="28"/>
          <w:szCs w:val="20"/>
          <w:highlight w:val="none"/>
        </w:rPr>
        <w:t>磋商响应文件的组成</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_Toc4806 \h </w:instrText>
      </w:r>
      <w:r>
        <w:rPr>
          <w:rFonts w:hint="eastAsia" w:ascii="宋体" w:hAnsi="宋体" w:eastAsia="宋体" w:cs="宋体"/>
          <w:i w:val="0"/>
          <w:iCs w:val="0"/>
        </w:rPr>
        <w:fldChar w:fldCharType="separate"/>
      </w:r>
      <w:r>
        <w:rPr>
          <w:rFonts w:hint="eastAsia" w:ascii="宋体" w:hAnsi="宋体" w:eastAsia="宋体" w:cs="宋体"/>
          <w:i w:val="0"/>
          <w:iCs w:val="0"/>
        </w:rPr>
        <w:t>25</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449FA038">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_Toc1823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附件1：磋商函</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_Toc1823 \h </w:instrText>
      </w:r>
      <w:r>
        <w:rPr>
          <w:rFonts w:hint="eastAsia" w:ascii="宋体" w:hAnsi="宋体" w:eastAsia="宋体" w:cs="宋体"/>
          <w:i w:val="0"/>
          <w:iCs w:val="0"/>
        </w:rPr>
        <w:fldChar w:fldCharType="separate"/>
      </w:r>
      <w:r>
        <w:rPr>
          <w:rFonts w:hint="eastAsia" w:ascii="宋体" w:hAnsi="宋体" w:eastAsia="宋体" w:cs="宋体"/>
          <w:i w:val="0"/>
          <w:iCs w:val="0"/>
        </w:rPr>
        <w:t>27</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6AAA10A0">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_Toc21545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附件2：法定代表人证明书</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_Toc21545 \h </w:instrText>
      </w:r>
      <w:r>
        <w:rPr>
          <w:rFonts w:hint="eastAsia" w:ascii="宋体" w:hAnsi="宋体" w:eastAsia="宋体" w:cs="宋体"/>
          <w:i w:val="0"/>
          <w:iCs w:val="0"/>
        </w:rPr>
        <w:fldChar w:fldCharType="separate"/>
      </w:r>
      <w:r>
        <w:rPr>
          <w:rFonts w:hint="eastAsia" w:ascii="宋体" w:hAnsi="宋体" w:eastAsia="宋体" w:cs="宋体"/>
          <w:i w:val="0"/>
          <w:iCs w:val="0"/>
        </w:rPr>
        <w:t>28</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7AD2CF99">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_Toc30141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附件3：法定代表人授权书</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_Toc30141 \h </w:instrText>
      </w:r>
      <w:r>
        <w:rPr>
          <w:rFonts w:hint="eastAsia" w:ascii="宋体" w:hAnsi="宋体" w:eastAsia="宋体" w:cs="宋体"/>
          <w:i w:val="0"/>
          <w:iCs w:val="0"/>
        </w:rPr>
        <w:fldChar w:fldCharType="separate"/>
      </w:r>
      <w:r>
        <w:rPr>
          <w:rFonts w:hint="eastAsia" w:ascii="宋体" w:hAnsi="宋体" w:eastAsia="宋体" w:cs="宋体"/>
          <w:i w:val="0"/>
          <w:iCs w:val="0"/>
        </w:rPr>
        <w:t>29</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57F8F290">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_Toc8732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附件4：供应商承诺函</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_Toc8732 \h </w:instrText>
      </w:r>
      <w:r>
        <w:rPr>
          <w:rFonts w:hint="eastAsia" w:ascii="宋体" w:hAnsi="宋体" w:eastAsia="宋体" w:cs="宋体"/>
          <w:i w:val="0"/>
          <w:iCs w:val="0"/>
        </w:rPr>
        <w:fldChar w:fldCharType="separate"/>
      </w:r>
      <w:r>
        <w:rPr>
          <w:rFonts w:hint="eastAsia" w:ascii="宋体" w:hAnsi="宋体" w:eastAsia="宋体" w:cs="宋体"/>
          <w:i w:val="0"/>
          <w:iCs w:val="0"/>
        </w:rPr>
        <w:t>30</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495EEA16">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_Toc10264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附件5：供应商诚信承诺书</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_Toc10264 \h </w:instrText>
      </w:r>
      <w:r>
        <w:rPr>
          <w:rFonts w:hint="eastAsia" w:ascii="宋体" w:hAnsi="宋体" w:eastAsia="宋体" w:cs="宋体"/>
          <w:i w:val="0"/>
          <w:iCs w:val="0"/>
        </w:rPr>
        <w:fldChar w:fldCharType="separate"/>
      </w:r>
      <w:r>
        <w:rPr>
          <w:rFonts w:hint="eastAsia" w:ascii="宋体" w:hAnsi="宋体" w:eastAsia="宋体" w:cs="宋体"/>
          <w:i w:val="0"/>
          <w:iCs w:val="0"/>
        </w:rPr>
        <w:t>31</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7C0DE28D">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_Toc31113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附件6：供应商资格证明文件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_Toc31113 \h </w:instrText>
      </w:r>
      <w:r>
        <w:rPr>
          <w:rFonts w:hint="eastAsia" w:ascii="宋体" w:hAnsi="宋体" w:eastAsia="宋体" w:cs="宋体"/>
          <w:i w:val="0"/>
          <w:iCs w:val="0"/>
        </w:rPr>
        <w:fldChar w:fldCharType="separate"/>
      </w:r>
      <w:r>
        <w:rPr>
          <w:rFonts w:hint="eastAsia" w:ascii="宋体" w:hAnsi="宋体" w:eastAsia="宋体" w:cs="宋体"/>
          <w:i w:val="0"/>
          <w:iCs w:val="0"/>
        </w:rPr>
        <w:t>32</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38F2DB0B">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_Toc3323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附件7：财务状况、缴纳税收和社会保障资金证明</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_Toc3323 \h </w:instrText>
      </w:r>
      <w:r>
        <w:rPr>
          <w:rFonts w:hint="eastAsia" w:ascii="宋体" w:hAnsi="宋体" w:eastAsia="宋体" w:cs="宋体"/>
          <w:i w:val="0"/>
          <w:iCs w:val="0"/>
        </w:rPr>
        <w:fldChar w:fldCharType="separate"/>
      </w:r>
      <w:r>
        <w:rPr>
          <w:rFonts w:hint="eastAsia" w:ascii="宋体" w:hAnsi="宋体" w:eastAsia="宋体" w:cs="宋体"/>
          <w:i w:val="0"/>
          <w:iCs w:val="0"/>
        </w:rPr>
        <w:t>33</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568171D5">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_Toc25989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附件8：无重大违法记录声明</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_Toc25989 \h </w:instrText>
      </w:r>
      <w:r>
        <w:rPr>
          <w:rFonts w:hint="eastAsia" w:ascii="宋体" w:hAnsi="宋体" w:eastAsia="宋体" w:cs="宋体"/>
          <w:i w:val="0"/>
          <w:iCs w:val="0"/>
        </w:rPr>
        <w:fldChar w:fldCharType="separate"/>
      </w:r>
      <w:r>
        <w:rPr>
          <w:rFonts w:hint="eastAsia" w:ascii="宋体" w:hAnsi="宋体" w:eastAsia="宋体" w:cs="宋体"/>
          <w:i w:val="0"/>
          <w:iCs w:val="0"/>
        </w:rPr>
        <w:t>34</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6DE9C9EF">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_Toc25780 </w:instrText>
      </w:r>
      <w:r>
        <w:rPr>
          <w:rFonts w:hint="eastAsia" w:ascii="宋体" w:hAnsi="宋体" w:eastAsia="宋体" w:cs="宋体"/>
          <w:i w:val="0"/>
          <w:iCs w:val="0"/>
          <w:highlight w:val="none"/>
        </w:rPr>
        <w:fldChar w:fldCharType="separate"/>
      </w:r>
      <w:r>
        <w:rPr>
          <w:rFonts w:hint="eastAsia" w:ascii="宋体" w:hAnsi="宋体" w:eastAsia="宋体" w:cs="宋体"/>
          <w:bCs w:val="0"/>
          <w:i w:val="0"/>
          <w:iCs w:val="0"/>
          <w:szCs w:val="28"/>
          <w:highlight w:val="none"/>
        </w:rPr>
        <w:t>附件9：</w:t>
      </w:r>
      <w:r>
        <w:rPr>
          <w:rFonts w:hint="eastAsia" w:ascii="宋体" w:hAnsi="宋体" w:eastAsia="宋体" w:cs="宋体"/>
          <w:i w:val="0"/>
          <w:iCs w:val="0"/>
          <w:szCs w:val="30"/>
          <w:highlight w:val="none"/>
          <w:lang w:val="zh-CN"/>
        </w:rPr>
        <w:t>具备履行合同所必需的设备和专业技术能力的证明材料</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_Toc25780 \h </w:instrText>
      </w:r>
      <w:r>
        <w:rPr>
          <w:rFonts w:hint="eastAsia" w:ascii="宋体" w:hAnsi="宋体" w:eastAsia="宋体" w:cs="宋体"/>
          <w:i w:val="0"/>
          <w:iCs w:val="0"/>
        </w:rPr>
        <w:fldChar w:fldCharType="separate"/>
      </w:r>
      <w:r>
        <w:rPr>
          <w:rFonts w:hint="eastAsia" w:ascii="宋体" w:hAnsi="宋体" w:eastAsia="宋体" w:cs="宋体"/>
          <w:i w:val="0"/>
          <w:iCs w:val="0"/>
        </w:rPr>
        <w:t>35</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38DC083A">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_Toc18550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附件1</w:t>
      </w:r>
      <w:r>
        <w:rPr>
          <w:rFonts w:hint="eastAsia" w:ascii="宋体" w:hAnsi="宋体" w:eastAsia="宋体" w:cs="宋体"/>
          <w:i w:val="0"/>
          <w:iCs w:val="0"/>
          <w:szCs w:val="28"/>
          <w:highlight w:val="none"/>
          <w:lang w:val="en-US" w:eastAsia="zh-CN"/>
        </w:rPr>
        <w:t>0</w:t>
      </w:r>
      <w:r>
        <w:rPr>
          <w:rFonts w:hint="eastAsia" w:ascii="宋体" w:hAnsi="宋体" w:eastAsia="宋体" w:cs="宋体"/>
          <w:i w:val="0"/>
          <w:iCs w:val="0"/>
          <w:szCs w:val="28"/>
          <w:highlight w:val="none"/>
        </w:rPr>
        <w:t>：</w:t>
      </w:r>
      <w:r>
        <w:rPr>
          <w:rFonts w:hint="eastAsia" w:ascii="宋体" w:hAnsi="宋体" w:eastAsia="宋体" w:cs="宋体"/>
          <w:i w:val="0"/>
          <w:iCs w:val="0"/>
          <w:szCs w:val="28"/>
          <w:highlight w:val="none"/>
          <w:lang w:val="en-US" w:eastAsia="zh-CN"/>
        </w:rPr>
        <w:t>中小企业声明函</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_Toc18550 \h </w:instrText>
      </w:r>
      <w:r>
        <w:rPr>
          <w:rFonts w:hint="eastAsia" w:ascii="宋体" w:hAnsi="宋体" w:eastAsia="宋体" w:cs="宋体"/>
          <w:i w:val="0"/>
          <w:iCs w:val="0"/>
        </w:rPr>
        <w:fldChar w:fldCharType="separate"/>
      </w:r>
      <w:r>
        <w:rPr>
          <w:rFonts w:hint="eastAsia" w:ascii="宋体" w:hAnsi="宋体" w:eastAsia="宋体" w:cs="宋体"/>
          <w:i w:val="0"/>
          <w:iCs w:val="0"/>
        </w:rPr>
        <w:t>36</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64218DCD">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_Toc17971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附件</w:t>
      </w:r>
      <w:r>
        <w:rPr>
          <w:rFonts w:hint="eastAsia" w:ascii="宋体" w:hAnsi="宋体" w:eastAsia="宋体" w:cs="宋体"/>
          <w:i w:val="0"/>
          <w:iCs w:val="0"/>
          <w:szCs w:val="28"/>
          <w:highlight w:val="none"/>
          <w:lang w:val="en-US" w:eastAsia="zh-CN"/>
        </w:rPr>
        <w:t>11</w:t>
      </w:r>
      <w:r>
        <w:rPr>
          <w:rFonts w:hint="eastAsia" w:ascii="宋体" w:hAnsi="宋体" w:eastAsia="宋体" w:cs="宋体"/>
          <w:i w:val="0"/>
          <w:iCs w:val="0"/>
          <w:szCs w:val="28"/>
          <w:highlight w:val="none"/>
        </w:rPr>
        <w:t>：竞争性磋商首次报价表</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_Toc17971 \h </w:instrText>
      </w:r>
      <w:r>
        <w:rPr>
          <w:rFonts w:hint="eastAsia" w:ascii="宋体" w:hAnsi="宋体" w:eastAsia="宋体" w:cs="宋体"/>
          <w:i w:val="0"/>
          <w:iCs w:val="0"/>
        </w:rPr>
        <w:fldChar w:fldCharType="separate"/>
      </w:r>
      <w:r>
        <w:rPr>
          <w:rFonts w:hint="eastAsia" w:ascii="宋体" w:hAnsi="宋体" w:eastAsia="宋体" w:cs="宋体"/>
          <w:i w:val="0"/>
          <w:iCs w:val="0"/>
        </w:rPr>
        <w:t>38</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0369459C">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_Toc11038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附件1</w:t>
      </w:r>
      <w:r>
        <w:rPr>
          <w:rFonts w:hint="eastAsia" w:ascii="宋体" w:hAnsi="宋体" w:eastAsia="宋体" w:cs="宋体"/>
          <w:i w:val="0"/>
          <w:iCs w:val="0"/>
          <w:szCs w:val="28"/>
          <w:highlight w:val="none"/>
          <w:lang w:val="en-US" w:eastAsia="zh-CN"/>
        </w:rPr>
        <w:t>2</w:t>
      </w:r>
      <w:r>
        <w:rPr>
          <w:rFonts w:hint="eastAsia" w:ascii="宋体" w:hAnsi="宋体" w:eastAsia="宋体" w:cs="宋体"/>
          <w:i w:val="0"/>
          <w:iCs w:val="0"/>
          <w:szCs w:val="28"/>
          <w:highlight w:val="none"/>
        </w:rPr>
        <w:t>：</w:t>
      </w:r>
      <w:r>
        <w:rPr>
          <w:rFonts w:hint="eastAsia" w:ascii="宋体" w:hAnsi="宋体" w:eastAsia="宋体" w:cs="宋体"/>
          <w:i w:val="0"/>
          <w:iCs w:val="0"/>
          <w:szCs w:val="28"/>
          <w:highlight w:val="none"/>
          <w:lang w:eastAsia="zh-CN"/>
        </w:rPr>
        <w:t>服务</w:t>
      </w:r>
      <w:r>
        <w:rPr>
          <w:rFonts w:hint="eastAsia" w:ascii="宋体" w:hAnsi="宋体" w:eastAsia="宋体" w:cs="宋体"/>
          <w:i w:val="0"/>
          <w:iCs w:val="0"/>
          <w:szCs w:val="28"/>
          <w:highlight w:val="none"/>
        </w:rPr>
        <w:t>响应表</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_Toc11038 \h </w:instrText>
      </w:r>
      <w:r>
        <w:rPr>
          <w:rFonts w:hint="eastAsia" w:ascii="宋体" w:hAnsi="宋体" w:eastAsia="宋体" w:cs="宋体"/>
          <w:i w:val="0"/>
          <w:iCs w:val="0"/>
        </w:rPr>
        <w:fldChar w:fldCharType="separate"/>
      </w:r>
      <w:r>
        <w:rPr>
          <w:rFonts w:hint="eastAsia" w:ascii="宋体" w:hAnsi="宋体" w:eastAsia="宋体" w:cs="宋体"/>
          <w:i w:val="0"/>
          <w:iCs w:val="0"/>
        </w:rPr>
        <w:t>39</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35D7A62B">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_Toc5734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附件1</w:t>
      </w:r>
      <w:r>
        <w:rPr>
          <w:rFonts w:hint="eastAsia" w:ascii="宋体" w:hAnsi="宋体" w:eastAsia="宋体" w:cs="宋体"/>
          <w:i w:val="0"/>
          <w:iCs w:val="0"/>
          <w:szCs w:val="28"/>
          <w:highlight w:val="none"/>
          <w:lang w:val="en-US" w:eastAsia="zh-CN"/>
        </w:rPr>
        <w:t>4</w:t>
      </w:r>
      <w:r>
        <w:rPr>
          <w:rFonts w:hint="eastAsia" w:ascii="宋体" w:hAnsi="宋体" w:eastAsia="宋体" w:cs="宋体"/>
          <w:i w:val="0"/>
          <w:iCs w:val="0"/>
          <w:szCs w:val="28"/>
          <w:highlight w:val="none"/>
        </w:rPr>
        <w:t>：其他资格证明材料</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_Toc5734 \h </w:instrText>
      </w:r>
      <w:r>
        <w:rPr>
          <w:rFonts w:hint="eastAsia" w:ascii="宋体" w:hAnsi="宋体" w:eastAsia="宋体" w:cs="宋体"/>
          <w:i w:val="0"/>
          <w:iCs w:val="0"/>
        </w:rPr>
        <w:fldChar w:fldCharType="separate"/>
      </w:r>
      <w:r>
        <w:rPr>
          <w:rFonts w:hint="eastAsia" w:ascii="宋体" w:hAnsi="宋体" w:eastAsia="宋体" w:cs="宋体"/>
          <w:i w:val="0"/>
          <w:iCs w:val="0"/>
        </w:rPr>
        <w:t>41</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4D515ACF">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_Toc10533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附件1</w:t>
      </w:r>
      <w:r>
        <w:rPr>
          <w:rFonts w:hint="eastAsia" w:ascii="宋体" w:hAnsi="宋体" w:eastAsia="宋体" w:cs="宋体"/>
          <w:i w:val="0"/>
          <w:iCs w:val="0"/>
          <w:szCs w:val="28"/>
          <w:highlight w:val="none"/>
          <w:lang w:val="en-US" w:eastAsia="zh-CN"/>
        </w:rPr>
        <w:t>5</w:t>
      </w:r>
      <w:r>
        <w:rPr>
          <w:rFonts w:hint="eastAsia" w:ascii="宋体" w:hAnsi="宋体" w:eastAsia="宋体" w:cs="宋体"/>
          <w:i w:val="0"/>
          <w:iCs w:val="0"/>
          <w:szCs w:val="28"/>
          <w:highlight w:val="none"/>
        </w:rPr>
        <w:t>：供应商类似业绩证明材料</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_Toc10533 \h </w:instrText>
      </w:r>
      <w:r>
        <w:rPr>
          <w:rFonts w:hint="eastAsia" w:ascii="宋体" w:hAnsi="宋体" w:eastAsia="宋体" w:cs="宋体"/>
          <w:i w:val="0"/>
          <w:iCs w:val="0"/>
        </w:rPr>
        <w:fldChar w:fldCharType="separate"/>
      </w:r>
      <w:r>
        <w:rPr>
          <w:rFonts w:hint="eastAsia" w:ascii="宋体" w:hAnsi="宋体" w:eastAsia="宋体" w:cs="宋体"/>
          <w:i w:val="0"/>
          <w:iCs w:val="0"/>
        </w:rPr>
        <w:t>42</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5EAC13BE">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_Toc19223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附件1</w:t>
      </w:r>
      <w:r>
        <w:rPr>
          <w:rFonts w:hint="eastAsia" w:ascii="宋体" w:hAnsi="宋体" w:eastAsia="宋体" w:cs="宋体"/>
          <w:i w:val="0"/>
          <w:iCs w:val="0"/>
          <w:szCs w:val="28"/>
          <w:highlight w:val="none"/>
          <w:lang w:val="en-US" w:eastAsia="zh-CN"/>
        </w:rPr>
        <w:t>6</w:t>
      </w:r>
      <w:r>
        <w:rPr>
          <w:rFonts w:hint="eastAsia" w:ascii="宋体" w:hAnsi="宋体" w:eastAsia="宋体" w:cs="宋体"/>
          <w:i w:val="0"/>
          <w:iCs w:val="0"/>
          <w:szCs w:val="28"/>
          <w:highlight w:val="none"/>
        </w:rPr>
        <w:t>：残疾人福利性单位声明函</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_Toc19223 \h </w:instrText>
      </w:r>
      <w:r>
        <w:rPr>
          <w:rFonts w:hint="eastAsia" w:ascii="宋体" w:hAnsi="宋体" w:eastAsia="宋体" w:cs="宋体"/>
          <w:i w:val="0"/>
          <w:iCs w:val="0"/>
        </w:rPr>
        <w:fldChar w:fldCharType="separate"/>
      </w:r>
      <w:r>
        <w:rPr>
          <w:rFonts w:hint="eastAsia" w:ascii="宋体" w:hAnsi="宋体" w:eastAsia="宋体" w:cs="宋体"/>
          <w:i w:val="0"/>
          <w:iCs w:val="0"/>
        </w:rPr>
        <w:t>43</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5AB826A3">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_Toc3808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rPr>
        <w:t>附件1</w:t>
      </w:r>
      <w:r>
        <w:rPr>
          <w:rFonts w:hint="eastAsia" w:ascii="宋体" w:hAnsi="宋体" w:eastAsia="宋体" w:cs="宋体"/>
          <w:i w:val="0"/>
          <w:iCs w:val="0"/>
          <w:szCs w:val="28"/>
          <w:highlight w:val="none"/>
          <w:lang w:val="en-US" w:eastAsia="zh-CN"/>
        </w:rPr>
        <w:t>7</w:t>
      </w:r>
      <w:r>
        <w:rPr>
          <w:rFonts w:hint="eastAsia" w:ascii="宋体" w:hAnsi="宋体" w:eastAsia="宋体" w:cs="宋体"/>
          <w:i w:val="0"/>
          <w:iCs w:val="0"/>
          <w:szCs w:val="28"/>
          <w:highlight w:val="none"/>
        </w:rPr>
        <w:t>：供应商认为在其他方面有必要说明的事项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_Toc3808 \h </w:instrText>
      </w:r>
      <w:r>
        <w:rPr>
          <w:rFonts w:hint="eastAsia" w:ascii="宋体" w:hAnsi="宋体" w:eastAsia="宋体" w:cs="宋体"/>
          <w:i w:val="0"/>
          <w:iCs w:val="0"/>
        </w:rPr>
        <w:fldChar w:fldCharType="separate"/>
      </w:r>
      <w:r>
        <w:rPr>
          <w:rFonts w:hint="eastAsia" w:ascii="宋体" w:hAnsi="宋体" w:eastAsia="宋体" w:cs="宋体"/>
          <w:i w:val="0"/>
          <w:iCs w:val="0"/>
        </w:rPr>
        <w:t>44</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27DF2367">
      <w:pPr>
        <w:pStyle w:val="12"/>
        <w:tabs>
          <w:tab w:val="right" w:leader="dot" w:pos="878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_Toc24089 </w:instrText>
      </w:r>
      <w:r>
        <w:rPr>
          <w:rFonts w:hint="eastAsia" w:ascii="宋体" w:hAnsi="宋体" w:eastAsia="宋体" w:cs="宋体"/>
          <w:i w:val="0"/>
          <w:iCs w:val="0"/>
          <w:highlight w:val="none"/>
        </w:rPr>
        <w:fldChar w:fldCharType="separate"/>
      </w:r>
      <w:r>
        <w:rPr>
          <w:rFonts w:hint="eastAsia" w:ascii="宋体" w:hAnsi="宋体" w:eastAsia="宋体" w:cs="宋体"/>
          <w:i w:val="0"/>
          <w:iCs w:val="0"/>
          <w:kern w:val="28"/>
          <w:szCs w:val="20"/>
          <w:highlight w:val="none"/>
        </w:rPr>
        <w:t>第五部分  磋商及采购项目内容要求</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_Toc24089 \h </w:instrText>
      </w:r>
      <w:r>
        <w:rPr>
          <w:rFonts w:hint="eastAsia" w:ascii="宋体" w:hAnsi="宋体" w:eastAsia="宋体" w:cs="宋体"/>
          <w:i w:val="0"/>
          <w:iCs w:val="0"/>
        </w:rPr>
        <w:fldChar w:fldCharType="separate"/>
      </w:r>
      <w:r>
        <w:rPr>
          <w:rFonts w:hint="eastAsia" w:ascii="宋体" w:hAnsi="宋体" w:eastAsia="宋体" w:cs="宋体"/>
          <w:i w:val="0"/>
          <w:iCs w:val="0"/>
        </w:rPr>
        <w:t>45</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07763E00">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_Toc6756 </w:instrText>
      </w:r>
      <w:r>
        <w:rPr>
          <w:rFonts w:hint="eastAsia" w:ascii="宋体" w:hAnsi="宋体" w:eastAsia="宋体" w:cs="宋体"/>
          <w:i w:val="0"/>
          <w:iCs w:val="0"/>
          <w:highlight w:val="none"/>
        </w:rPr>
        <w:fldChar w:fldCharType="separate"/>
      </w:r>
      <w:r>
        <w:rPr>
          <w:rFonts w:hint="eastAsia" w:ascii="宋体" w:hAnsi="宋体" w:eastAsia="宋体" w:cs="宋体"/>
          <w:bCs/>
          <w:i w:val="0"/>
          <w:iCs w:val="0"/>
          <w:kern w:val="0"/>
          <w:szCs w:val="36"/>
          <w:highlight w:val="none"/>
        </w:rPr>
        <w:t>一、磋商要求</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_Toc6756 \h </w:instrText>
      </w:r>
      <w:r>
        <w:rPr>
          <w:rFonts w:hint="eastAsia" w:ascii="宋体" w:hAnsi="宋体" w:eastAsia="宋体" w:cs="宋体"/>
          <w:i w:val="0"/>
          <w:iCs w:val="0"/>
        </w:rPr>
        <w:fldChar w:fldCharType="separate"/>
      </w:r>
      <w:r>
        <w:rPr>
          <w:rFonts w:hint="eastAsia" w:ascii="宋体" w:hAnsi="宋体" w:eastAsia="宋体" w:cs="宋体"/>
          <w:i w:val="0"/>
          <w:iCs w:val="0"/>
        </w:rPr>
        <w:t>45</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42172ABD">
      <w:pPr>
        <w:pStyle w:val="15"/>
        <w:tabs>
          <w:tab w:val="right" w:leader="dot" w:pos="8787"/>
          <w:tab w:val="clear" w:pos="8777"/>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_Toc14988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lang w:val="zh-CN"/>
        </w:rPr>
        <w:t>1.投标说明</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_Toc14988 \h </w:instrText>
      </w:r>
      <w:r>
        <w:rPr>
          <w:rFonts w:hint="eastAsia" w:ascii="宋体" w:hAnsi="宋体" w:eastAsia="宋体" w:cs="宋体"/>
          <w:i w:val="0"/>
          <w:iCs w:val="0"/>
        </w:rPr>
        <w:fldChar w:fldCharType="separate"/>
      </w:r>
      <w:r>
        <w:rPr>
          <w:rFonts w:hint="eastAsia" w:ascii="宋体" w:hAnsi="宋体" w:eastAsia="宋体" w:cs="宋体"/>
          <w:i w:val="0"/>
          <w:iCs w:val="0"/>
        </w:rPr>
        <w:t>45</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0F9965A3">
      <w:pPr>
        <w:pStyle w:val="15"/>
        <w:tabs>
          <w:tab w:val="right" w:leader="dot" w:pos="8787"/>
          <w:tab w:val="clear" w:pos="8777"/>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_Toc8748 </w:instrText>
      </w:r>
      <w:r>
        <w:rPr>
          <w:rFonts w:hint="eastAsia" w:ascii="宋体" w:hAnsi="宋体" w:eastAsia="宋体" w:cs="宋体"/>
          <w:i w:val="0"/>
          <w:iCs w:val="0"/>
          <w:highlight w:val="none"/>
        </w:rPr>
        <w:fldChar w:fldCharType="separate"/>
      </w:r>
      <w:r>
        <w:rPr>
          <w:rFonts w:hint="eastAsia" w:ascii="宋体" w:hAnsi="宋体" w:eastAsia="宋体" w:cs="宋体"/>
          <w:i w:val="0"/>
          <w:iCs w:val="0"/>
          <w:szCs w:val="28"/>
          <w:highlight w:val="none"/>
          <w:lang w:val="en-US" w:eastAsia="zh-CN"/>
        </w:rPr>
        <w:t>2</w:t>
      </w:r>
      <w:r>
        <w:rPr>
          <w:rFonts w:hint="eastAsia" w:ascii="宋体" w:hAnsi="宋体" w:eastAsia="宋体" w:cs="宋体"/>
          <w:i w:val="0"/>
          <w:iCs w:val="0"/>
          <w:szCs w:val="28"/>
          <w:highlight w:val="none"/>
          <w:lang w:val="zh-CN"/>
        </w:rPr>
        <w:t>.商务要求</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_Toc8748 \h </w:instrText>
      </w:r>
      <w:r>
        <w:rPr>
          <w:rFonts w:hint="eastAsia" w:ascii="宋体" w:hAnsi="宋体" w:eastAsia="宋体" w:cs="宋体"/>
          <w:i w:val="0"/>
          <w:iCs w:val="0"/>
        </w:rPr>
        <w:fldChar w:fldCharType="separate"/>
      </w:r>
      <w:r>
        <w:rPr>
          <w:rFonts w:hint="eastAsia" w:ascii="宋体" w:hAnsi="宋体" w:eastAsia="宋体" w:cs="宋体"/>
          <w:i w:val="0"/>
          <w:iCs w:val="0"/>
        </w:rPr>
        <w:t>45</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14:paraId="40FB2E8C">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rFonts w:hint="eastAsia" w:ascii="宋体" w:hAnsi="宋体" w:eastAsia="宋体" w:cs="宋体"/>
          <w:i w:val="0"/>
          <w:iCs w:val="0"/>
          <w:color w:val="auto"/>
          <w:highlight w:val="none"/>
        </w:rPr>
        <w:fldChar w:fldCharType="end"/>
      </w:r>
    </w:p>
    <w:p w14:paraId="3023A1A4">
      <w:pPr>
        <w:pStyle w:val="2"/>
        <w:rPr>
          <w:rFonts w:hint="eastAsia" w:ascii="宋体" w:hAnsi="宋体" w:eastAsia="宋体" w:cs="宋体"/>
          <w:color w:val="auto"/>
          <w:highlight w:val="none"/>
        </w:rPr>
      </w:pPr>
      <w:bookmarkStart w:id="0" w:name="_Toc496626191"/>
      <w:bookmarkStart w:id="1" w:name="_Toc29086"/>
      <w:bookmarkStart w:id="2" w:name="_Toc325725996"/>
      <w:r>
        <w:rPr>
          <w:rFonts w:hint="eastAsia" w:ascii="宋体" w:hAnsi="宋体" w:eastAsia="宋体" w:cs="宋体"/>
          <w:color w:val="auto"/>
          <w:highlight w:val="none"/>
        </w:rPr>
        <w:t>第一部分  投标人须知前附表</w:t>
      </w:r>
      <w:bookmarkEnd w:id="0"/>
      <w:bookmarkEnd w:id="1"/>
    </w:p>
    <w:bookmarkEnd w:id="2"/>
    <w:tbl>
      <w:tblPr>
        <w:tblStyle w:val="1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6335"/>
      </w:tblGrid>
      <w:tr w14:paraId="296B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84" w:type="dxa"/>
            <w:vAlign w:val="center"/>
          </w:tcPr>
          <w:p w14:paraId="7CD6631A">
            <w:pPr>
              <w:widowControl/>
              <w:spacing w:line="240" w:lineRule="auto"/>
              <w:rPr>
                <w:rFonts w:hint="eastAsia" w:ascii="宋体" w:hAnsi="宋体" w:eastAsia="宋体" w:cs="宋体"/>
                <w:color w:val="auto"/>
                <w:spacing w:val="-2"/>
                <w:kern w:val="16"/>
                <w:sz w:val="24"/>
                <w:szCs w:val="24"/>
                <w:highlight w:val="none"/>
              </w:rPr>
            </w:pPr>
            <w:r>
              <w:rPr>
                <w:rFonts w:hint="eastAsia" w:ascii="宋体" w:hAnsi="宋体" w:eastAsia="宋体" w:cs="宋体"/>
                <w:color w:val="auto"/>
                <w:spacing w:val="-2"/>
                <w:kern w:val="16"/>
                <w:sz w:val="24"/>
                <w:szCs w:val="24"/>
                <w:highlight w:val="none"/>
              </w:rPr>
              <w:t>采购项目名称</w:t>
            </w:r>
          </w:p>
        </w:tc>
        <w:tc>
          <w:tcPr>
            <w:tcW w:w="6335" w:type="dxa"/>
            <w:vAlign w:val="center"/>
          </w:tcPr>
          <w:p w14:paraId="1E8D0560">
            <w:pPr>
              <w:widowControl/>
              <w:spacing w:line="240" w:lineRule="auto"/>
              <w:rPr>
                <w:rFonts w:hint="eastAsia" w:ascii="宋体" w:hAnsi="宋体" w:eastAsia="宋体" w:cs="宋体"/>
                <w:color w:val="auto"/>
                <w:spacing w:val="-2"/>
                <w:kern w:val="16"/>
                <w:sz w:val="24"/>
                <w:szCs w:val="24"/>
                <w:highlight w:val="none"/>
                <w:lang w:eastAsia="zh-CN"/>
              </w:rPr>
            </w:pPr>
            <w:r>
              <w:rPr>
                <w:rFonts w:hint="eastAsia" w:ascii="宋体" w:hAnsi="宋体" w:cs="宋体"/>
                <w:color w:val="auto"/>
                <w:spacing w:val="-2"/>
                <w:kern w:val="16"/>
                <w:sz w:val="24"/>
                <w:szCs w:val="24"/>
                <w:highlight w:val="none"/>
                <w:lang w:eastAsia="zh-CN"/>
              </w:rPr>
              <w:t>西宁市第三人民医院医院病房提升改造初步设计、施工图纸设计项目</w:t>
            </w:r>
          </w:p>
        </w:tc>
      </w:tr>
      <w:tr w14:paraId="6987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84" w:type="dxa"/>
            <w:vAlign w:val="center"/>
          </w:tcPr>
          <w:p w14:paraId="70EE3E49">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采购项目编号</w:t>
            </w:r>
          </w:p>
        </w:tc>
        <w:tc>
          <w:tcPr>
            <w:tcW w:w="6335" w:type="dxa"/>
            <w:vAlign w:val="center"/>
          </w:tcPr>
          <w:p w14:paraId="732DF0D8">
            <w:pPr>
              <w:widowControl/>
              <w:spacing w:line="24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spacing w:val="-2"/>
                <w:kern w:val="16"/>
                <w:sz w:val="24"/>
                <w:szCs w:val="24"/>
                <w:highlight w:val="none"/>
                <w:lang w:eastAsia="zh-CN"/>
              </w:rPr>
              <w:t>兰州众信磋商（服务）2024-016号</w:t>
            </w:r>
          </w:p>
        </w:tc>
      </w:tr>
      <w:tr w14:paraId="3A1E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84" w:type="dxa"/>
            <w:vAlign w:val="center"/>
          </w:tcPr>
          <w:p w14:paraId="05764CA0">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w:t>
            </w:r>
          </w:p>
        </w:tc>
        <w:tc>
          <w:tcPr>
            <w:tcW w:w="6335" w:type="dxa"/>
            <w:vAlign w:val="center"/>
          </w:tcPr>
          <w:p w14:paraId="193FDB70">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竞争性磋商</w:t>
            </w:r>
          </w:p>
        </w:tc>
      </w:tr>
      <w:tr w14:paraId="00E2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84" w:type="dxa"/>
            <w:vAlign w:val="center"/>
          </w:tcPr>
          <w:p w14:paraId="4BA16A7A">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采购预算额度</w:t>
            </w:r>
          </w:p>
        </w:tc>
        <w:tc>
          <w:tcPr>
            <w:tcW w:w="6335" w:type="dxa"/>
            <w:vAlign w:val="center"/>
          </w:tcPr>
          <w:p w14:paraId="40B0A9B9">
            <w:pPr>
              <w:widowControl/>
              <w:spacing w:line="240" w:lineRule="auto"/>
              <w:rPr>
                <w:rFonts w:hint="eastAsia" w:ascii="宋体" w:hAnsi="宋体" w:eastAsia="宋体" w:cs="宋体"/>
                <w:color w:val="auto"/>
                <w:spacing w:val="-2"/>
                <w:kern w:val="16"/>
                <w:sz w:val="24"/>
                <w:szCs w:val="24"/>
                <w:highlight w:val="none"/>
                <w:lang w:eastAsia="zh-CN"/>
              </w:rPr>
            </w:pPr>
            <w:r>
              <w:rPr>
                <w:rFonts w:hint="eastAsia" w:ascii="宋体" w:hAnsi="宋体" w:cs="宋体"/>
                <w:color w:val="auto"/>
                <w:spacing w:val="-2"/>
                <w:kern w:val="16"/>
                <w:sz w:val="24"/>
                <w:szCs w:val="24"/>
                <w:highlight w:val="none"/>
                <w:lang w:val="en-US" w:eastAsia="zh-CN"/>
              </w:rPr>
              <w:t>80</w:t>
            </w:r>
            <w:r>
              <w:rPr>
                <w:rFonts w:hint="eastAsia" w:ascii="宋体" w:hAnsi="宋体" w:eastAsia="宋体" w:cs="宋体"/>
                <w:color w:val="auto"/>
                <w:spacing w:val="-2"/>
                <w:kern w:val="16"/>
                <w:sz w:val="24"/>
                <w:szCs w:val="24"/>
                <w:highlight w:val="none"/>
                <w:lang w:eastAsia="zh-CN"/>
              </w:rPr>
              <w:t>万元</w:t>
            </w:r>
          </w:p>
        </w:tc>
      </w:tr>
      <w:tr w14:paraId="6D74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84" w:type="dxa"/>
            <w:vAlign w:val="center"/>
          </w:tcPr>
          <w:p w14:paraId="678126AA">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项目分包个数</w:t>
            </w:r>
          </w:p>
        </w:tc>
        <w:tc>
          <w:tcPr>
            <w:tcW w:w="6335" w:type="dxa"/>
            <w:vAlign w:val="center"/>
          </w:tcPr>
          <w:p w14:paraId="290952CA">
            <w:pPr>
              <w:widowControl/>
              <w:spacing w:line="240" w:lineRule="auto"/>
              <w:rPr>
                <w:rFonts w:hint="eastAsia" w:ascii="宋体" w:hAnsi="宋体" w:eastAsia="宋体" w:cs="宋体"/>
                <w:color w:val="auto"/>
                <w:spacing w:val="-2"/>
                <w:kern w:val="16"/>
                <w:sz w:val="24"/>
                <w:szCs w:val="24"/>
                <w:highlight w:val="none"/>
                <w:lang w:eastAsia="zh-CN"/>
              </w:rPr>
            </w:pPr>
            <w:r>
              <w:rPr>
                <w:rFonts w:hint="eastAsia" w:ascii="宋体" w:hAnsi="宋体" w:eastAsia="宋体" w:cs="宋体"/>
                <w:color w:val="auto"/>
                <w:spacing w:val="-2"/>
                <w:kern w:val="16"/>
                <w:sz w:val="24"/>
                <w:szCs w:val="24"/>
                <w:highlight w:val="none"/>
                <w:lang w:eastAsia="zh-CN"/>
              </w:rPr>
              <w:t>不分包</w:t>
            </w:r>
          </w:p>
        </w:tc>
      </w:tr>
      <w:tr w14:paraId="17B1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84" w:type="dxa"/>
            <w:vAlign w:val="center"/>
          </w:tcPr>
          <w:p w14:paraId="203289A5">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采购要求</w:t>
            </w:r>
          </w:p>
        </w:tc>
        <w:tc>
          <w:tcPr>
            <w:tcW w:w="6335" w:type="dxa"/>
            <w:vAlign w:val="center"/>
          </w:tcPr>
          <w:p w14:paraId="6B8CBCFB">
            <w:pPr>
              <w:widowControl/>
              <w:spacing w:line="24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具体要求详见《磋商文件》。</w:t>
            </w:r>
          </w:p>
        </w:tc>
      </w:tr>
      <w:tr w14:paraId="58D8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4" w:type="dxa"/>
            <w:vAlign w:val="center"/>
          </w:tcPr>
          <w:p w14:paraId="083CDC08">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供应商资格条件</w:t>
            </w:r>
          </w:p>
        </w:tc>
        <w:tc>
          <w:tcPr>
            <w:tcW w:w="6335" w:type="dxa"/>
            <w:vAlign w:val="center"/>
          </w:tcPr>
          <w:p w14:paraId="26C5A11A">
            <w:pPr>
              <w:pStyle w:val="9"/>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(1) 符合《政府采购法》第22条规定，并提供下列材料：</w:t>
            </w:r>
          </w:p>
          <w:p w14:paraId="0A2700B0">
            <w:pPr>
              <w:pStyle w:val="9"/>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&lt;1&gt;投标人的营业执照等证明文件，自然人的身份证明。</w:t>
            </w:r>
          </w:p>
          <w:p w14:paraId="0EA5DDE0">
            <w:pPr>
              <w:pStyle w:val="9"/>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&lt;2&gt;财务状况报告，依法缴纳税收和社会保障资金的相关材料。</w:t>
            </w:r>
          </w:p>
          <w:p w14:paraId="79205149">
            <w:pPr>
              <w:pStyle w:val="9"/>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&lt;3&gt;具备履行合同所必需的设备和专业技术能力的证明材料。</w:t>
            </w:r>
          </w:p>
          <w:p w14:paraId="0092C433">
            <w:pPr>
              <w:pStyle w:val="9"/>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&lt;4&gt;参加政府采购活动前3年内在经营活动中没有重大违法记录的书面声明。</w:t>
            </w:r>
          </w:p>
          <w:p w14:paraId="4A6EACFF">
            <w:pPr>
              <w:pStyle w:val="9"/>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&lt;5&gt;具备法律、行政法规规定的其他条件的证明材料。</w:t>
            </w:r>
          </w:p>
          <w:p w14:paraId="02807A36">
            <w:pPr>
              <w:pStyle w:val="9"/>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(2) 单位负责人为同一人或者存在直接控股、管理关系的不同投标人，不得参加同一合同项下的政府采购活动。否则，皆取消投标资格；</w:t>
            </w:r>
          </w:p>
          <w:p w14:paraId="5C2B580C">
            <w:pPr>
              <w:pStyle w:val="9"/>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(3) 为本采购项目提供整体设计、规范编制或者项目管理、监理、检测等服务的投标人，不得再参加该采购项目的其他采购活动；</w:t>
            </w:r>
          </w:p>
          <w:p w14:paraId="382016C3">
            <w:pPr>
              <w:pStyle w:val="9"/>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(4) 本项目不接受投标人以联合体方式进行投标；</w:t>
            </w:r>
          </w:p>
          <w:p w14:paraId="74C659E2">
            <w:pPr>
              <w:pStyle w:val="9"/>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(5)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10天内）；</w:t>
            </w:r>
          </w:p>
          <w:p w14:paraId="54B9ACDE">
            <w:pPr>
              <w:pStyle w:val="9"/>
              <w:rPr>
                <w:rFonts w:hint="default" w:ascii="宋体" w:hAnsi="宋体" w:eastAsia="宋体" w:cs="宋体"/>
                <w:color w:val="auto"/>
                <w:kern w:val="0"/>
                <w:sz w:val="24"/>
                <w:szCs w:val="24"/>
                <w:highlight w:val="none"/>
                <w:lang w:val="en-US" w:eastAsia="zh-CN" w:bidi="ar-SA"/>
              </w:rPr>
            </w:pPr>
            <w:r>
              <w:rPr>
                <w:rFonts w:hint="eastAsia" w:hAnsi="宋体" w:cs="宋体"/>
                <w:color w:val="auto"/>
                <w:kern w:val="0"/>
                <w:sz w:val="24"/>
                <w:szCs w:val="24"/>
                <w:highlight w:val="none"/>
                <w:lang w:val="en-US" w:eastAsia="zh-CN" w:bidi="ar-SA"/>
              </w:rPr>
              <w:t>(6)</w:t>
            </w:r>
            <w:r>
              <w:rPr>
                <w:rFonts w:hint="default" w:ascii="宋体" w:hAnsi="宋体" w:eastAsia="宋体" w:cs="宋体"/>
                <w:color w:val="auto"/>
                <w:kern w:val="0"/>
                <w:sz w:val="24"/>
                <w:szCs w:val="24"/>
                <w:highlight w:val="none"/>
                <w:lang w:val="en-US" w:eastAsia="zh-CN" w:bidi="ar-SA"/>
              </w:rPr>
              <w:t>供应商应具备建筑行业（建筑工程）</w:t>
            </w:r>
            <w:r>
              <w:rPr>
                <w:rFonts w:hint="eastAsia" w:hAnsi="宋体" w:cs="宋体"/>
                <w:color w:val="auto"/>
                <w:kern w:val="0"/>
                <w:sz w:val="24"/>
                <w:szCs w:val="24"/>
                <w:highlight w:val="none"/>
                <w:lang w:val="en-US" w:eastAsia="zh-CN" w:bidi="ar-SA"/>
              </w:rPr>
              <w:t>设计</w:t>
            </w:r>
            <w:r>
              <w:rPr>
                <w:rFonts w:hint="default" w:ascii="宋体" w:hAnsi="宋体" w:eastAsia="宋体" w:cs="宋体"/>
                <w:color w:val="auto"/>
                <w:kern w:val="0"/>
                <w:sz w:val="24"/>
                <w:szCs w:val="24"/>
                <w:highlight w:val="none"/>
                <w:lang w:val="en-US" w:eastAsia="zh-CN" w:bidi="ar-SA"/>
              </w:rPr>
              <w:t>乙级及以上资质。</w:t>
            </w:r>
          </w:p>
          <w:p w14:paraId="7B89C532">
            <w:pPr>
              <w:pStyle w:val="9"/>
              <w:rPr>
                <w:rFonts w:hint="default" w:ascii="宋体" w:hAnsi="宋体" w:eastAsia="宋体" w:cs="宋体"/>
                <w:color w:val="auto"/>
                <w:kern w:val="0"/>
                <w:sz w:val="24"/>
                <w:szCs w:val="24"/>
                <w:highlight w:val="none"/>
                <w:lang w:val="en-US" w:eastAsia="zh-CN" w:bidi="ar-SA"/>
              </w:rPr>
            </w:pPr>
            <w:r>
              <w:rPr>
                <w:rFonts w:hint="eastAsia" w:hAnsi="宋体" w:cs="宋体"/>
                <w:color w:val="auto"/>
                <w:kern w:val="0"/>
                <w:sz w:val="24"/>
                <w:szCs w:val="24"/>
                <w:highlight w:val="none"/>
                <w:lang w:val="en-US" w:eastAsia="zh-CN" w:bidi="ar-SA"/>
              </w:rPr>
              <w:t>(7)</w:t>
            </w:r>
            <w:r>
              <w:rPr>
                <w:rFonts w:hint="default" w:ascii="宋体" w:hAnsi="宋体" w:eastAsia="宋体" w:cs="宋体"/>
                <w:color w:val="auto"/>
                <w:kern w:val="0"/>
                <w:sz w:val="24"/>
                <w:szCs w:val="24"/>
                <w:highlight w:val="none"/>
                <w:lang w:val="en-US" w:eastAsia="zh-CN" w:bidi="ar-SA"/>
              </w:rPr>
              <w:t>项目负责人具备注册二级</w:t>
            </w:r>
            <w:r>
              <w:rPr>
                <w:rFonts w:hint="eastAsia" w:hAnsi="宋体" w:cs="宋体"/>
                <w:color w:val="auto"/>
                <w:kern w:val="0"/>
                <w:sz w:val="24"/>
                <w:szCs w:val="24"/>
                <w:highlight w:val="none"/>
                <w:lang w:val="en-US" w:eastAsia="zh-CN" w:bidi="ar-SA"/>
              </w:rPr>
              <w:t>及以上</w:t>
            </w:r>
            <w:r>
              <w:rPr>
                <w:rFonts w:hint="default" w:ascii="宋体" w:hAnsi="宋体" w:eastAsia="宋体" w:cs="宋体"/>
                <w:color w:val="auto"/>
                <w:kern w:val="0"/>
                <w:sz w:val="24"/>
                <w:szCs w:val="24"/>
                <w:highlight w:val="none"/>
                <w:lang w:val="en-US" w:eastAsia="zh-CN" w:bidi="ar-SA"/>
              </w:rPr>
              <w:t>建筑师资格。</w:t>
            </w:r>
          </w:p>
          <w:p w14:paraId="41975BA2">
            <w:pPr>
              <w:pStyle w:val="9"/>
              <w:rPr>
                <w:rFonts w:hint="default"/>
                <w:lang w:val="en-US" w:eastAsia="zh-CN"/>
              </w:rPr>
            </w:pPr>
            <w:r>
              <w:rPr>
                <w:rFonts w:hint="eastAsia" w:hAnsi="宋体" w:cs="宋体"/>
                <w:color w:val="auto"/>
                <w:kern w:val="0"/>
                <w:sz w:val="24"/>
                <w:szCs w:val="24"/>
                <w:highlight w:val="none"/>
                <w:lang w:val="en-US" w:eastAsia="zh-CN" w:bidi="ar-SA"/>
              </w:rPr>
              <w:t>(8)</w:t>
            </w:r>
            <w:r>
              <w:rPr>
                <w:rFonts w:hint="default" w:ascii="宋体" w:hAnsi="宋体" w:eastAsia="宋体" w:cs="宋体"/>
                <w:color w:val="auto"/>
                <w:kern w:val="0"/>
                <w:sz w:val="24"/>
                <w:szCs w:val="24"/>
                <w:highlight w:val="none"/>
                <w:lang w:val="en-US" w:eastAsia="zh-CN" w:bidi="ar-SA"/>
              </w:rPr>
              <w:t>省外企业需提供进青备案。</w:t>
            </w:r>
          </w:p>
        </w:tc>
      </w:tr>
      <w:tr w14:paraId="370B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84" w:type="dxa"/>
            <w:vAlign w:val="center"/>
          </w:tcPr>
          <w:p w14:paraId="0B6C1895">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公告发布时间</w:t>
            </w:r>
          </w:p>
        </w:tc>
        <w:tc>
          <w:tcPr>
            <w:tcW w:w="6335" w:type="dxa"/>
            <w:vAlign w:val="center"/>
          </w:tcPr>
          <w:p w14:paraId="628EC1E7">
            <w:pPr>
              <w:widowControl/>
              <w:spacing w:line="24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2024</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日</w:t>
            </w:r>
          </w:p>
        </w:tc>
      </w:tr>
      <w:tr w14:paraId="4975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84" w:type="dxa"/>
            <w:vAlign w:val="center"/>
          </w:tcPr>
          <w:p w14:paraId="0F52D507">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报名、磋商文件发售起始时间</w:t>
            </w:r>
          </w:p>
        </w:tc>
        <w:tc>
          <w:tcPr>
            <w:tcW w:w="6335" w:type="dxa"/>
            <w:vAlign w:val="center"/>
          </w:tcPr>
          <w:p w14:paraId="727EC4D5">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rPr>
              <w:t>日起，至</w:t>
            </w:r>
            <w:r>
              <w:rPr>
                <w:rFonts w:hint="eastAsia" w:ascii="宋体" w:hAnsi="宋体" w:eastAsia="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月</w:t>
            </w:r>
            <w:r>
              <w:rPr>
                <w:rFonts w:hint="default" w:ascii="宋体" w:hAnsi="宋体" w:cs="宋体"/>
                <w:color w:val="auto"/>
                <w:kern w:val="0"/>
                <w:sz w:val="24"/>
                <w:szCs w:val="24"/>
                <w:highlight w:val="none"/>
                <w:lang w:val="en-US" w:eastAsia="zh-CN"/>
              </w:rPr>
              <w:t>26</w:t>
            </w:r>
            <w:r>
              <w:rPr>
                <w:rFonts w:hint="eastAsia" w:ascii="宋体" w:hAnsi="宋体" w:eastAsia="宋体" w:cs="宋体"/>
                <w:color w:val="auto"/>
                <w:kern w:val="0"/>
                <w:sz w:val="24"/>
                <w:szCs w:val="24"/>
                <w:highlight w:val="none"/>
              </w:rPr>
              <w:t>日止（公休日、节假日除外）。</w:t>
            </w:r>
          </w:p>
        </w:tc>
      </w:tr>
      <w:tr w14:paraId="7009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84" w:type="dxa"/>
            <w:vAlign w:val="center"/>
          </w:tcPr>
          <w:p w14:paraId="6E419A97">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磋商文件发售方式</w:t>
            </w:r>
          </w:p>
        </w:tc>
        <w:tc>
          <w:tcPr>
            <w:tcW w:w="6335" w:type="dxa"/>
            <w:vAlign w:val="center"/>
          </w:tcPr>
          <w:p w14:paraId="2077FD17">
            <w:pPr>
              <w:autoSpaceDE w:val="0"/>
              <w:autoSpaceDN w:val="0"/>
              <w:spacing w:line="240" w:lineRule="auto"/>
              <w:rPr>
                <w:rFonts w:hint="eastAsia" w:ascii="宋体" w:hAnsi="宋体" w:eastAsia="宋体" w:cs="宋体"/>
                <w:color w:val="auto"/>
                <w:kern w:val="0"/>
                <w:sz w:val="24"/>
                <w:szCs w:val="24"/>
                <w:highlight w:val="none"/>
              </w:rPr>
            </w:pPr>
            <w:r>
              <w:rPr>
                <w:rFonts w:hint="eastAsia" w:ascii="宋体" w:hAnsi="宋体" w:cs="宋体"/>
                <w:b/>
                <w:bCs/>
                <w:kern w:val="0"/>
                <w:sz w:val="24"/>
                <w:highlight w:val="none"/>
                <w:lang w:val="zh-CN"/>
              </w:rPr>
              <w:t>供应商登录政采云平台https://www.zcygov.cn/在线申请获取采购文件（进入“项目采购”应用，在获取采购文件菜单中选择项目，申请获取采购文件），具体方式请咨询线上电子化交易系统：咨询电话：政采云</w:t>
            </w:r>
            <w:r>
              <w:rPr>
                <w:rFonts w:hint="eastAsia" w:ascii="宋体" w:hAnsi="宋体" w:cs="宋体"/>
                <w:b/>
                <w:bCs/>
                <w:kern w:val="0"/>
                <w:sz w:val="24"/>
                <w:highlight w:val="none"/>
              </w:rPr>
              <w:t>95763。《青海省政府采购网》下载磋商文件。（提示：请潜在供应商报名前务必完成网上企业注册及CA锁办理等手续；具体操作详见附件操作指南）</w:t>
            </w:r>
          </w:p>
        </w:tc>
      </w:tr>
      <w:tr w14:paraId="5BBA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84" w:type="dxa"/>
            <w:vAlign w:val="center"/>
          </w:tcPr>
          <w:p w14:paraId="38D82953">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磋商文件售价</w:t>
            </w:r>
          </w:p>
        </w:tc>
        <w:tc>
          <w:tcPr>
            <w:tcW w:w="6335" w:type="dxa"/>
            <w:vAlign w:val="center"/>
          </w:tcPr>
          <w:p w14:paraId="1DA70FBA">
            <w:pPr>
              <w:autoSpaceDE w:val="0"/>
              <w:autoSpaceDN w:val="0"/>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zh-CN"/>
              </w:rPr>
              <w:t>元（磋商文件售后不退,投标资格不能转让）</w:t>
            </w:r>
          </w:p>
        </w:tc>
      </w:tr>
      <w:tr w14:paraId="7B89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84" w:type="dxa"/>
            <w:vAlign w:val="center"/>
          </w:tcPr>
          <w:p w14:paraId="0FEFD82F">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磋商文件发售地点</w:t>
            </w:r>
          </w:p>
        </w:tc>
        <w:tc>
          <w:tcPr>
            <w:tcW w:w="6335" w:type="dxa"/>
            <w:vAlign w:val="center"/>
          </w:tcPr>
          <w:p w14:paraId="5DA5084C">
            <w:pPr>
              <w:autoSpaceDE w:val="0"/>
              <w:autoSpaceDN w:val="0"/>
              <w:spacing w:line="240" w:lineRule="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政采云平台线上获取 </w:t>
            </w:r>
          </w:p>
          <w:p w14:paraId="3F1F8B89">
            <w:pPr>
              <w:autoSpaceDE w:val="0"/>
              <w:autoSpaceDN w:val="0"/>
              <w:spacing w:line="24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地址：青海省西宁市城西区西川南路三榆山水文园二期商铺（40-16号）</w:t>
            </w:r>
          </w:p>
          <w:p w14:paraId="3E42FA43">
            <w:pPr>
              <w:autoSpaceDE w:val="0"/>
              <w:autoSpaceDN w:val="0"/>
              <w:spacing w:line="24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联系人：马女士</w:t>
            </w:r>
          </w:p>
          <w:p w14:paraId="1AA1CDA3">
            <w:pPr>
              <w:autoSpaceDE w:val="0"/>
              <w:autoSpaceDN w:val="0"/>
              <w:spacing w:line="24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联系电话：18997165957</w:t>
            </w:r>
          </w:p>
          <w:p w14:paraId="3E39302F">
            <w:pPr>
              <w:autoSpaceDE w:val="0"/>
              <w:autoSpaceDN w:val="0"/>
              <w:spacing w:line="24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电子邮箱：lzzxzb11@163.com</w:t>
            </w:r>
          </w:p>
        </w:tc>
      </w:tr>
      <w:tr w14:paraId="524C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2184" w:type="dxa"/>
            <w:vAlign w:val="center"/>
          </w:tcPr>
          <w:p w14:paraId="70CFD834">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6335" w:type="dxa"/>
            <w:vAlign w:val="center"/>
          </w:tcPr>
          <w:p w14:paraId="07A89AB2">
            <w:pPr>
              <w:autoSpaceDE w:val="0"/>
              <w:autoSpaceDN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磋商保证金：</w:t>
            </w:r>
            <w:r>
              <w:rPr>
                <w:rFonts w:hint="eastAsia" w:ascii="宋体" w:hAnsi="宋体" w:eastAsia="宋体" w:cs="宋体"/>
                <w:color w:val="auto"/>
                <w:sz w:val="24"/>
                <w:szCs w:val="24"/>
                <w:highlight w:val="none"/>
                <w:lang w:val="en-US" w:eastAsia="zh-CN"/>
              </w:rPr>
              <w:t>免缴</w:t>
            </w:r>
          </w:p>
          <w:p w14:paraId="0963F042">
            <w:pPr>
              <w:autoSpaceDE w:val="0"/>
              <w:autoSpaceDN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缴纳投标保证金账户：兰州众信招标有限公司青海分公司</w:t>
            </w:r>
          </w:p>
          <w:p w14:paraId="366E36F0">
            <w:pPr>
              <w:autoSpaceDE w:val="0"/>
              <w:autoSpaceDN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开户行：青海银行股份有限公司中心广场支行</w:t>
            </w:r>
          </w:p>
          <w:p w14:paraId="1634E426">
            <w:pPr>
              <w:autoSpaceDE w:val="0"/>
              <w:autoSpaceDN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帐号：0701201000155335</w:t>
            </w:r>
          </w:p>
        </w:tc>
      </w:tr>
      <w:tr w14:paraId="7511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84" w:type="dxa"/>
            <w:vAlign w:val="center"/>
          </w:tcPr>
          <w:p w14:paraId="3F5BB0F1">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递交磋商响应文件截止时间</w:t>
            </w:r>
          </w:p>
        </w:tc>
        <w:tc>
          <w:tcPr>
            <w:tcW w:w="6335" w:type="dxa"/>
            <w:vAlign w:val="center"/>
          </w:tcPr>
          <w:p w14:paraId="5B5F4F86">
            <w:pPr>
              <w:widowControl/>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月</w:t>
            </w:r>
            <w:r>
              <w:rPr>
                <w:rFonts w:hint="default" w:ascii="宋体" w:hAnsi="宋体" w:cs="宋体"/>
                <w:sz w:val="24"/>
                <w:szCs w:val="24"/>
                <w:highlight w:val="none"/>
                <w:lang w:val="en-US" w:eastAsia="zh-CN"/>
              </w:rPr>
              <w:t>31</w:t>
            </w:r>
            <w:r>
              <w:rPr>
                <w:rFonts w:hint="eastAsia" w:ascii="宋体" w:hAnsi="宋体" w:eastAsia="宋体" w:cs="宋体"/>
                <w:sz w:val="24"/>
                <w:szCs w:val="24"/>
                <w:highlight w:val="none"/>
              </w:rPr>
              <w:t>日</w:t>
            </w:r>
            <w:r>
              <w:rPr>
                <w:rFonts w:hint="default" w:ascii="宋体" w:hAnsi="宋体" w:cs="宋体"/>
                <w:sz w:val="24"/>
                <w:szCs w:val="24"/>
                <w:highlight w:val="none"/>
                <w:lang w:val="en-US" w:eastAsia="zh-CN"/>
              </w:rPr>
              <w:t>14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（北京时间）</w:t>
            </w:r>
          </w:p>
          <w:p w14:paraId="79207151">
            <w:pPr>
              <w:pStyle w:val="9"/>
              <w:spacing w:line="240" w:lineRule="auto"/>
              <w:rPr>
                <w:rFonts w:hint="eastAsia" w:ascii="宋体" w:hAnsi="宋体" w:eastAsia="宋体" w:cs="宋体"/>
                <w:sz w:val="24"/>
                <w:szCs w:val="24"/>
                <w:highlight w:val="none"/>
              </w:rPr>
            </w:pPr>
            <w:r>
              <w:rPr>
                <w:rFonts w:hint="eastAsia" w:ascii="宋体" w:hAnsi="宋体" w:cs="宋体"/>
                <w:b/>
                <w:bCs/>
                <w:kern w:val="0"/>
                <w:sz w:val="24"/>
                <w:lang w:val="en-US" w:eastAsia="zh-CN"/>
              </w:rPr>
              <w:t>注：投标供应商务必在开标截止之前进入电子开标系统完成电子签到。</w:t>
            </w:r>
          </w:p>
        </w:tc>
      </w:tr>
      <w:tr w14:paraId="60EA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84" w:type="dxa"/>
            <w:vAlign w:val="center"/>
          </w:tcPr>
          <w:p w14:paraId="3B211839">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磋商时间</w:t>
            </w:r>
          </w:p>
        </w:tc>
        <w:tc>
          <w:tcPr>
            <w:tcW w:w="6335" w:type="dxa"/>
            <w:vAlign w:val="center"/>
          </w:tcPr>
          <w:p w14:paraId="0B87E1C7">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sz w:val="24"/>
                <w:szCs w:val="24"/>
                <w:highlight w:val="none"/>
                <w:lang w:eastAsia="zh-CN"/>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月</w:t>
            </w:r>
            <w:r>
              <w:rPr>
                <w:rFonts w:hint="default" w:ascii="宋体" w:hAnsi="宋体" w:cs="宋体"/>
                <w:sz w:val="24"/>
                <w:szCs w:val="24"/>
                <w:highlight w:val="none"/>
                <w:lang w:val="en-US" w:eastAsia="zh-CN"/>
              </w:rPr>
              <w:t>31</w:t>
            </w:r>
            <w:r>
              <w:rPr>
                <w:rFonts w:hint="eastAsia" w:ascii="宋体" w:hAnsi="宋体" w:eastAsia="宋体" w:cs="宋体"/>
                <w:sz w:val="24"/>
                <w:szCs w:val="24"/>
                <w:highlight w:val="none"/>
              </w:rPr>
              <w:t>日</w:t>
            </w:r>
            <w:r>
              <w:rPr>
                <w:rFonts w:hint="default" w:ascii="宋体" w:hAnsi="宋体" w:cs="宋体"/>
                <w:sz w:val="24"/>
                <w:szCs w:val="24"/>
                <w:highlight w:val="none"/>
                <w:lang w:val="en-US" w:eastAsia="zh-CN"/>
              </w:rPr>
              <w:t>14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（北京时间）</w:t>
            </w:r>
          </w:p>
        </w:tc>
      </w:tr>
      <w:tr w14:paraId="0EBE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vAlign w:val="center"/>
          </w:tcPr>
          <w:p w14:paraId="06C8C1B0">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递交磋商响应文件及磋商地点</w:t>
            </w:r>
          </w:p>
        </w:tc>
        <w:tc>
          <w:tcPr>
            <w:tcW w:w="6335" w:type="dxa"/>
            <w:vAlign w:val="center"/>
          </w:tcPr>
          <w:p w14:paraId="00919CFA">
            <w:pPr>
              <w:widowControl/>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兰州众信招标有限公司</w:t>
            </w:r>
          </w:p>
          <w:p w14:paraId="41B962ED">
            <w:pPr>
              <w:pStyle w:val="9"/>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val="zh-CN"/>
              </w:rPr>
              <w:t>青海省西宁市城西区西川南路三榆山水文园二期商铺（40-16号）</w:t>
            </w:r>
          </w:p>
          <w:p w14:paraId="345440B0">
            <w:pPr>
              <w:pStyle w:val="9"/>
              <w:spacing w:line="240" w:lineRule="auto"/>
              <w:rPr>
                <w:rFonts w:hint="eastAsia" w:ascii="宋体" w:hAnsi="宋体" w:eastAsia="宋体" w:cs="宋体"/>
                <w:sz w:val="24"/>
                <w:szCs w:val="24"/>
                <w:highlight w:val="none"/>
              </w:rPr>
            </w:pPr>
            <w:r>
              <w:rPr>
                <w:rFonts w:hint="eastAsia" w:hAnsi="宋体" w:cs="宋体"/>
                <w:b/>
                <w:bCs/>
                <w:color w:val="000000"/>
                <w:kern w:val="0"/>
                <w:sz w:val="24"/>
                <w:szCs w:val="24"/>
                <w:highlight w:val="none"/>
                <w:lang w:val="zh-CN"/>
              </w:rPr>
              <w:t>加密电子响应文件</w:t>
            </w:r>
            <w:r>
              <w:rPr>
                <w:rFonts w:hint="eastAsia" w:hAnsi="宋体" w:cs="宋体"/>
                <w:b/>
                <w:bCs/>
                <w:color w:val="000000"/>
                <w:kern w:val="0"/>
                <w:sz w:val="24"/>
                <w:szCs w:val="24"/>
                <w:highlight w:val="none"/>
              </w:rPr>
              <w:t>1份务必在开标截止前上传至电子开评标系统并进行线上签到，在规定的时间内进行解密。</w:t>
            </w:r>
          </w:p>
        </w:tc>
      </w:tr>
      <w:tr w14:paraId="6071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84" w:type="dxa"/>
            <w:vAlign w:val="center"/>
          </w:tcPr>
          <w:p w14:paraId="52827335">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磋商响应文件格式及编制要求</w:t>
            </w:r>
          </w:p>
        </w:tc>
        <w:tc>
          <w:tcPr>
            <w:tcW w:w="6335" w:type="dxa"/>
            <w:vAlign w:val="center"/>
          </w:tcPr>
          <w:p w14:paraId="67930290">
            <w:pPr>
              <w:widowControl/>
              <w:spacing w:line="320" w:lineRule="exact"/>
              <w:rPr>
                <w:rFonts w:hAnsi="宋体" w:cs="宋体"/>
                <w:b/>
                <w:bCs/>
                <w:color w:val="000000"/>
                <w:kern w:val="0"/>
                <w:sz w:val="24"/>
                <w:highlight w:val="none"/>
              </w:rPr>
            </w:pPr>
            <w:r>
              <w:rPr>
                <w:rFonts w:hint="eastAsia" w:hAnsi="宋体" w:cs="宋体"/>
                <w:b/>
                <w:bCs/>
                <w:color w:val="000000"/>
                <w:kern w:val="0"/>
                <w:sz w:val="24"/>
                <w:highlight w:val="none"/>
                <w:lang w:val="zh-CN"/>
              </w:rPr>
              <w:t>供应商须提交加密电子响应文件</w:t>
            </w:r>
            <w:r>
              <w:rPr>
                <w:rFonts w:hint="eastAsia" w:hAnsi="宋体" w:cs="宋体"/>
                <w:b/>
                <w:bCs/>
                <w:color w:val="000000"/>
                <w:kern w:val="0"/>
                <w:sz w:val="24"/>
                <w:highlight w:val="none"/>
              </w:rPr>
              <w:t>1份务必在开标截止前上传至电子开评标系统</w:t>
            </w:r>
            <w:r>
              <w:rPr>
                <w:rFonts w:hint="eastAsia" w:hAnsi="宋体" w:cs="宋体"/>
                <w:color w:val="000000"/>
                <w:kern w:val="0"/>
                <w:sz w:val="24"/>
                <w:highlight w:val="none"/>
              </w:rPr>
              <w:t>；</w:t>
            </w:r>
            <w:r>
              <w:rPr>
                <w:rFonts w:hint="eastAsia" w:hAnsi="宋体" w:cs="宋体"/>
                <w:b/>
                <w:bCs/>
                <w:color w:val="000000"/>
                <w:kern w:val="0"/>
                <w:sz w:val="24"/>
                <w:highlight w:val="none"/>
                <w:lang w:val="zh-CN"/>
              </w:rPr>
              <w:t>加密电子响应文件制作详情请咨询政采云，咨询电话：</w:t>
            </w:r>
            <w:r>
              <w:rPr>
                <w:rFonts w:hint="eastAsia" w:hAnsi="宋体" w:cs="宋体"/>
                <w:b/>
                <w:bCs/>
                <w:color w:val="000000"/>
                <w:kern w:val="0"/>
                <w:sz w:val="24"/>
                <w:highlight w:val="none"/>
              </w:rPr>
              <w:t>95763.</w:t>
            </w:r>
          </w:p>
          <w:p w14:paraId="016E0C35">
            <w:pPr>
              <w:widowControl/>
              <w:spacing w:line="320" w:lineRule="exact"/>
              <w:ind w:firstLine="0" w:firstLineChars="0"/>
              <w:rPr>
                <w:rFonts w:hint="eastAsia" w:ascii="宋体" w:hAnsi="宋体" w:eastAsia="宋体" w:cs="宋体"/>
                <w:color w:val="auto"/>
                <w:sz w:val="24"/>
                <w:szCs w:val="24"/>
                <w:highlight w:val="none"/>
              </w:rPr>
            </w:pPr>
            <w:r>
              <w:rPr>
                <w:rFonts w:hint="eastAsia" w:ascii="宋体" w:hAnsi="宋体"/>
                <w:sz w:val="24"/>
                <w:highlight w:val="none"/>
              </w:rPr>
              <w:t>按照磋商文件及线上响应文件格式要求制作电子响应文件并上传至政采云评标系统。</w:t>
            </w:r>
          </w:p>
        </w:tc>
      </w:tr>
      <w:tr w14:paraId="1871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184" w:type="dxa"/>
            <w:vAlign w:val="center"/>
          </w:tcPr>
          <w:p w14:paraId="2A3651F9">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递交磋商响应文件程序</w:t>
            </w:r>
          </w:p>
        </w:tc>
        <w:tc>
          <w:tcPr>
            <w:tcW w:w="6335" w:type="dxa"/>
            <w:vAlign w:val="center"/>
          </w:tcPr>
          <w:p w14:paraId="7A1966BC">
            <w:pPr>
              <w:widowControl/>
              <w:spacing w:line="240" w:lineRule="auto"/>
              <w:rPr>
                <w:rFonts w:hint="eastAsia" w:ascii="宋体" w:hAnsi="宋体" w:eastAsia="宋体" w:cs="宋体"/>
                <w:color w:val="auto"/>
                <w:sz w:val="24"/>
                <w:szCs w:val="24"/>
                <w:highlight w:val="none"/>
              </w:rPr>
            </w:pPr>
            <w:r>
              <w:rPr>
                <w:rFonts w:hint="eastAsia" w:ascii="宋体" w:hAnsi="宋体" w:cs="宋体"/>
                <w:sz w:val="24"/>
                <w:highlight w:val="none"/>
              </w:rPr>
              <w:t>供应商应当在磋商文件要求的截止时间前，将</w:t>
            </w:r>
            <w:r>
              <w:rPr>
                <w:rFonts w:hint="eastAsia" w:hAnsi="宋体" w:cs="宋体"/>
                <w:b/>
                <w:bCs/>
                <w:color w:val="000000"/>
                <w:kern w:val="0"/>
                <w:sz w:val="24"/>
                <w:highlight w:val="none"/>
                <w:lang w:val="zh-CN"/>
              </w:rPr>
              <w:t>加密电子投标文件</w:t>
            </w:r>
            <w:r>
              <w:rPr>
                <w:rFonts w:hint="eastAsia" w:hAnsi="宋体" w:cs="宋体"/>
                <w:b/>
                <w:bCs/>
                <w:color w:val="000000"/>
                <w:kern w:val="0"/>
                <w:sz w:val="24"/>
                <w:highlight w:val="none"/>
              </w:rPr>
              <w:t>1份务必在开标截止前上传至电子开评标系统并进行线上签到。</w:t>
            </w:r>
          </w:p>
        </w:tc>
      </w:tr>
      <w:tr w14:paraId="7CC0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184" w:type="dxa"/>
            <w:vAlign w:val="center"/>
          </w:tcPr>
          <w:p w14:paraId="093B78F7">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答疑澄清方式</w:t>
            </w:r>
          </w:p>
        </w:tc>
        <w:tc>
          <w:tcPr>
            <w:tcW w:w="6335" w:type="dxa"/>
          </w:tcPr>
          <w:p w14:paraId="2D51236D">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采用网上答疑。磋商供应商须提供准确的联系方式（手机和固定电话），应在规定的时间内进行答疑澄清，如在规定的时间内联系无果或未按时答疑的，视同放弃答疑。</w:t>
            </w:r>
          </w:p>
        </w:tc>
      </w:tr>
      <w:tr w14:paraId="3CE2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184" w:type="dxa"/>
            <w:vAlign w:val="center"/>
          </w:tcPr>
          <w:p w14:paraId="25CC78D3">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代理服务费收取</w:t>
            </w:r>
          </w:p>
        </w:tc>
        <w:tc>
          <w:tcPr>
            <w:tcW w:w="6335" w:type="dxa"/>
          </w:tcPr>
          <w:p w14:paraId="26183229">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收取对象：中标人</w:t>
            </w:r>
          </w:p>
          <w:p w14:paraId="3BB8A8E9">
            <w:pPr>
              <w:autoSpaceDE w:val="0"/>
              <w:autoSpaceDN w:val="0"/>
              <w:adjustRightInd w:val="0"/>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收取金额：在领取中标通知书前向采购代理机构缴纳中标金额1.5%</w:t>
            </w:r>
          </w:p>
        </w:tc>
      </w:tr>
      <w:tr w14:paraId="6C02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84" w:type="dxa"/>
            <w:vAlign w:val="center"/>
          </w:tcPr>
          <w:p w14:paraId="1B0FC782">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合同签订有效期</w:t>
            </w:r>
          </w:p>
        </w:tc>
        <w:tc>
          <w:tcPr>
            <w:tcW w:w="6335" w:type="dxa"/>
            <w:vAlign w:val="center"/>
          </w:tcPr>
          <w:p w14:paraId="4A79A8A2">
            <w:pPr>
              <w:autoSpaceDE w:val="0"/>
              <w:autoSpaceDN w:val="0"/>
              <w:adjustRightInd w:val="0"/>
              <w:spacing w:line="24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自中标通知书发出之日起</w:t>
            </w:r>
            <w:r>
              <w:rPr>
                <w:rFonts w:hint="eastAsia" w:ascii="宋体" w:hAnsi="宋体" w:eastAsia="宋体" w:cs="宋体"/>
                <w:color w:val="auto"/>
                <w:kern w:val="0"/>
                <w:sz w:val="24"/>
                <w:szCs w:val="24"/>
                <w:highlight w:val="none"/>
              </w:rPr>
              <w:t>30</w:t>
            </w:r>
            <w:r>
              <w:rPr>
                <w:rFonts w:hint="eastAsia" w:ascii="宋体" w:hAnsi="宋体" w:eastAsia="宋体" w:cs="宋体"/>
                <w:color w:val="auto"/>
                <w:kern w:val="0"/>
                <w:sz w:val="24"/>
                <w:szCs w:val="24"/>
                <w:highlight w:val="none"/>
                <w:lang w:val="zh-CN"/>
              </w:rPr>
              <w:t>日内与采购人签订合同。</w:t>
            </w:r>
          </w:p>
        </w:tc>
      </w:tr>
      <w:tr w14:paraId="5CE8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84" w:type="dxa"/>
            <w:vAlign w:val="center"/>
          </w:tcPr>
          <w:p w14:paraId="600882EC">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政府采购合同备案</w:t>
            </w:r>
          </w:p>
        </w:tc>
        <w:tc>
          <w:tcPr>
            <w:tcW w:w="6335" w:type="dxa"/>
          </w:tcPr>
          <w:p w14:paraId="13E3D9C2">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采购合同全数返回采购代理机构鉴证，盖章。</w:t>
            </w:r>
          </w:p>
          <w:p w14:paraId="5B2DCD1A">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采购代理机构留存</w:t>
            </w:r>
            <w:r>
              <w:rPr>
                <w:rFonts w:hint="eastAsia" w:ascii="宋体" w:hAnsi="宋体" w:eastAsia="宋体" w:cs="宋体"/>
                <w:color w:val="auto"/>
                <w:kern w:val="0"/>
                <w:sz w:val="24"/>
                <w:szCs w:val="24"/>
                <w:highlight w:val="none"/>
              </w:rPr>
              <w:t>叁</w:t>
            </w:r>
            <w:r>
              <w:rPr>
                <w:rFonts w:hint="eastAsia" w:ascii="宋体" w:hAnsi="宋体" w:eastAsia="宋体" w:cs="宋体"/>
                <w:color w:val="auto"/>
                <w:kern w:val="0"/>
                <w:sz w:val="24"/>
                <w:szCs w:val="24"/>
                <w:highlight w:val="none"/>
                <w:lang w:val="zh-CN"/>
              </w:rPr>
              <w:t>份原件备案。</w:t>
            </w:r>
          </w:p>
        </w:tc>
      </w:tr>
      <w:tr w14:paraId="7D65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84" w:type="dxa"/>
            <w:vAlign w:val="center"/>
          </w:tcPr>
          <w:p w14:paraId="2EDCE3F9">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投标有效期</w:t>
            </w:r>
          </w:p>
        </w:tc>
        <w:tc>
          <w:tcPr>
            <w:tcW w:w="6335" w:type="dxa"/>
          </w:tcPr>
          <w:p w14:paraId="59470E60">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本次投标有效期为开标之日起</w:t>
            </w:r>
            <w:r>
              <w:rPr>
                <w:rFonts w:hint="eastAsia" w:ascii="宋体" w:hAnsi="宋体" w:eastAsia="宋体" w:cs="宋体"/>
                <w:color w:val="auto"/>
                <w:kern w:val="0"/>
                <w:sz w:val="24"/>
                <w:szCs w:val="24"/>
                <w:highlight w:val="none"/>
              </w:rPr>
              <w:t>60</w:t>
            </w:r>
            <w:r>
              <w:rPr>
                <w:rFonts w:hint="eastAsia" w:ascii="宋体" w:hAnsi="宋体" w:eastAsia="宋体" w:cs="宋体"/>
                <w:color w:val="auto"/>
                <w:kern w:val="0"/>
                <w:sz w:val="24"/>
                <w:szCs w:val="24"/>
                <w:highlight w:val="none"/>
                <w:lang w:val="zh-CN"/>
              </w:rPr>
              <w:t>个日历日。</w:t>
            </w:r>
          </w:p>
        </w:tc>
      </w:tr>
      <w:tr w14:paraId="5247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184" w:type="dxa"/>
            <w:vAlign w:val="center"/>
          </w:tcPr>
          <w:p w14:paraId="467E15AE">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采购单位及联系人</w:t>
            </w:r>
          </w:p>
        </w:tc>
        <w:tc>
          <w:tcPr>
            <w:tcW w:w="6335" w:type="dxa"/>
            <w:vAlign w:val="center"/>
          </w:tcPr>
          <w:p w14:paraId="2A9A3F33">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采购人：</w:t>
            </w:r>
            <w:r>
              <w:rPr>
                <w:rFonts w:hint="eastAsia" w:ascii="宋体" w:hAnsi="宋体" w:cs="宋体"/>
                <w:color w:val="auto"/>
                <w:kern w:val="0"/>
                <w:sz w:val="24"/>
                <w:szCs w:val="24"/>
                <w:highlight w:val="none"/>
                <w:lang w:val="zh-CN"/>
              </w:rPr>
              <w:t>西宁市第三人民医院</w:t>
            </w:r>
          </w:p>
          <w:p w14:paraId="7F6DEF22">
            <w:pPr>
              <w:autoSpaceDE w:val="0"/>
              <w:autoSpaceDN w:val="0"/>
              <w:adjustRightInd w:val="0"/>
              <w:spacing w:line="240" w:lineRule="auto"/>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联系人：</w:t>
            </w:r>
            <w:r>
              <w:rPr>
                <w:rFonts w:hint="eastAsia" w:ascii="宋体" w:hAnsi="宋体" w:cs="宋体"/>
                <w:color w:val="auto"/>
                <w:kern w:val="0"/>
                <w:sz w:val="24"/>
                <w:szCs w:val="24"/>
                <w:highlight w:val="none"/>
                <w:lang w:val="en-US" w:eastAsia="zh-CN"/>
              </w:rPr>
              <w:t>勾</w:t>
            </w:r>
            <w:r>
              <w:rPr>
                <w:rFonts w:hint="eastAsia" w:ascii="宋体" w:hAnsi="宋体" w:cs="宋体"/>
                <w:color w:val="auto"/>
                <w:kern w:val="0"/>
                <w:sz w:val="24"/>
                <w:szCs w:val="24"/>
                <w:highlight w:val="none"/>
                <w:lang w:val="zh-CN"/>
              </w:rPr>
              <w:t>老师</w:t>
            </w:r>
          </w:p>
          <w:p w14:paraId="42257272">
            <w:pPr>
              <w:autoSpaceDE w:val="0"/>
              <w:autoSpaceDN w:val="0"/>
              <w:adjustRightInd w:val="0"/>
              <w:spacing w:line="240" w:lineRule="auto"/>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zh-CN"/>
              </w:rPr>
              <w:t>联系电话：0971-3658051</w:t>
            </w:r>
          </w:p>
          <w:p w14:paraId="6BBD2984">
            <w:pPr>
              <w:autoSpaceDE w:val="0"/>
              <w:autoSpaceDN w:val="0"/>
              <w:adjustRightInd w:val="0"/>
              <w:spacing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zh-CN"/>
              </w:rPr>
              <w:t>联系地址：西宁市城北区柴达木路377号</w:t>
            </w:r>
          </w:p>
        </w:tc>
      </w:tr>
      <w:tr w14:paraId="31DC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2184" w:type="dxa"/>
            <w:vAlign w:val="center"/>
          </w:tcPr>
          <w:p w14:paraId="4A2778C6">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采购代理机构及联系人电话</w:t>
            </w:r>
          </w:p>
        </w:tc>
        <w:tc>
          <w:tcPr>
            <w:tcW w:w="6335" w:type="dxa"/>
            <w:vAlign w:val="center"/>
          </w:tcPr>
          <w:p w14:paraId="0534B5E1">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兰州众信招标有限公司</w:t>
            </w:r>
          </w:p>
          <w:p w14:paraId="719D052B">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联系人：马女士</w:t>
            </w:r>
          </w:p>
          <w:p w14:paraId="18B7486C">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联系电话：18997165957</w:t>
            </w:r>
          </w:p>
          <w:p w14:paraId="741E9CD1">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电子邮箱：</w:t>
            </w:r>
            <w:r>
              <w:rPr>
                <w:rFonts w:hint="eastAsia" w:ascii="宋体" w:hAnsi="宋体" w:eastAsia="宋体" w:cs="宋体"/>
                <w:color w:val="auto"/>
                <w:kern w:val="0"/>
                <w:sz w:val="24"/>
                <w:szCs w:val="24"/>
                <w:highlight w:val="none"/>
                <w:lang w:val="zh-CN"/>
              </w:rPr>
              <w:fldChar w:fldCharType="begin"/>
            </w:r>
            <w:r>
              <w:rPr>
                <w:rFonts w:hint="eastAsia" w:ascii="宋体" w:hAnsi="宋体" w:eastAsia="宋体" w:cs="宋体"/>
                <w:color w:val="auto"/>
                <w:kern w:val="0"/>
                <w:sz w:val="24"/>
                <w:szCs w:val="24"/>
                <w:highlight w:val="none"/>
                <w:lang w:val="zh-CN"/>
              </w:rPr>
              <w:instrText xml:space="preserve"> HYPERLINK "mailto:lzzxzb11@163.com" </w:instrText>
            </w:r>
            <w:r>
              <w:rPr>
                <w:rFonts w:hint="eastAsia" w:ascii="宋体" w:hAnsi="宋体" w:eastAsia="宋体" w:cs="宋体"/>
                <w:color w:val="auto"/>
                <w:kern w:val="0"/>
                <w:sz w:val="24"/>
                <w:szCs w:val="24"/>
                <w:highlight w:val="none"/>
                <w:lang w:val="zh-CN"/>
              </w:rPr>
              <w:fldChar w:fldCharType="separate"/>
            </w:r>
            <w:r>
              <w:rPr>
                <w:rStyle w:val="23"/>
                <w:rFonts w:hint="eastAsia" w:ascii="宋体" w:hAnsi="宋体" w:eastAsia="宋体" w:cs="宋体"/>
                <w:kern w:val="0"/>
                <w:sz w:val="24"/>
                <w:szCs w:val="24"/>
                <w:highlight w:val="none"/>
                <w:lang w:val="zh-CN"/>
              </w:rPr>
              <w:t>lzzxzb11@163.com</w:t>
            </w:r>
            <w:r>
              <w:rPr>
                <w:rFonts w:hint="eastAsia" w:ascii="宋体" w:hAnsi="宋体" w:eastAsia="宋体" w:cs="宋体"/>
                <w:color w:val="auto"/>
                <w:kern w:val="0"/>
                <w:sz w:val="24"/>
                <w:szCs w:val="24"/>
                <w:highlight w:val="none"/>
                <w:lang w:val="zh-CN"/>
              </w:rPr>
              <w:fldChar w:fldCharType="end"/>
            </w:r>
          </w:p>
          <w:p w14:paraId="76D2AFD6">
            <w:pPr>
              <w:autoSpaceDE w:val="0"/>
              <w:autoSpaceDN w:val="0"/>
              <w:adjustRightInd w:val="0"/>
              <w:spacing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地址：青海省西宁市城西区西川南路三榆山水文园二期商铺（40-16号）</w:t>
            </w:r>
          </w:p>
        </w:tc>
      </w:tr>
      <w:tr w14:paraId="183B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84" w:type="dxa"/>
            <w:vAlign w:val="center"/>
          </w:tcPr>
          <w:p w14:paraId="7A8129F4">
            <w:pPr>
              <w:autoSpaceDE w:val="0"/>
              <w:autoSpaceDN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其他事项</w:t>
            </w:r>
          </w:p>
        </w:tc>
        <w:tc>
          <w:tcPr>
            <w:tcW w:w="6335" w:type="dxa"/>
            <w:vAlign w:val="center"/>
          </w:tcPr>
          <w:p w14:paraId="4A017F0C">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1、本次项目招标采用线上进行，线上电子加密响应文件必须在响应文件递交截止时间前上传至电子开评标系统；</w:t>
            </w:r>
          </w:p>
          <w:p w14:paraId="24F5FA0F">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2、线上电子化开评标系统操作及办理CA锁等相关事宜请咨询政采云：咨询电话：</w:t>
            </w:r>
            <w:r>
              <w:rPr>
                <w:rFonts w:hint="eastAsia" w:ascii="宋体" w:hAnsi="宋体" w:cs="宋体"/>
                <w:b/>
                <w:bCs/>
                <w:kern w:val="0"/>
                <w:sz w:val="24"/>
                <w:highlight w:val="none"/>
              </w:rPr>
              <w:t>95763</w:t>
            </w:r>
            <w:r>
              <w:rPr>
                <w:rFonts w:hint="eastAsia" w:ascii="宋体" w:hAnsi="宋体" w:cs="宋体"/>
                <w:b/>
                <w:bCs/>
                <w:kern w:val="0"/>
                <w:sz w:val="24"/>
                <w:highlight w:val="none"/>
                <w:lang w:val="zh-CN"/>
              </w:rPr>
              <w:t>。</w:t>
            </w:r>
          </w:p>
          <w:p w14:paraId="5B56FAE3">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3、线上CA：</w:t>
            </w:r>
          </w:p>
          <w:p w14:paraId="722E1293">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PC咨询网址（可及时反馈问题截图，让客服快速定位问题）:http://tseal.cn/k.html，咨询电话：</w:t>
            </w:r>
            <w:r>
              <w:rPr>
                <w:rFonts w:hint="eastAsia" w:ascii="宋体" w:hAnsi="宋体" w:cs="宋体"/>
                <w:b/>
                <w:bCs/>
                <w:kern w:val="0"/>
                <w:sz w:val="24"/>
                <w:highlight w:val="none"/>
              </w:rPr>
              <w:t>95763</w:t>
            </w:r>
            <w:r>
              <w:rPr>
                <w:rFonts w:hint="eastAsia" w:ascii="宋体" w:hAnsi="宋体" w:cs="宋体"/>
                <w:b/>
                <w:bCs/>
                <w:kern w:val="0"/>
                <w:sz w:val="24"/>
                <w:highlight w:val="none"/>
                <w:lang w:val="zh-CN"/>
              </w:rPr>
              <w:t>。</w:t>
            </w:r>
          </w:p>
          <w:p w14:paraId="109721DA">
            <w:pPr>
              <w:autoSpaceDE w:val="0"/>
              <w:autoSpaceDN w:val="0"/>
              <w:adjustRightInd w:val="0"/>
              <w:jc w:val="left"/>
              <w:rPr>
                <w:rFonts w:ascii="宋体" w:cs="宋体"/>
                <w:b/>
                <w:bCs/>
                <w:kern w:val="0"/>
                <w:sz w:val="24"/>
                <w:highlight w:val="none"/>
              </w:rPr>
            </w:pPr>
            <w:r>
              <w:rPr>
                <w:rFonts w:hint="eastAsia" w:ascii="宋体" w:hAnsi="宋体" w:cs="宋体"/>
                <w:b/>
                <w:bCs/>
                <w:kern w:val="0"/>
                <w:sz w:val="24"/>
                <w:highlight w:val="none"/>
              </w:rPr>
              <w:t>4、</w:t>
            </w:r>
            <w:r>
              <w:rPr>
                <w:rFonts w:hint="eastAsia" w:ascii="宋体" w:hAnsi="宋体" w:cs="宋体"/>
                <w:b/>
                <w:bCs/>
                <w:kern w:val="0"/>
                <w:sz w:val="24"/>
                <w:highlight w:val="none"/>
                <w:lang w:val="zh-CN"/>
              </w:rPr>
              <w:t>公示网址</w:t>
            </w:r>
            <w:r>
              <w:rPr>
                <w:rFonts w:hint="eastAsia" w:ascii="宋体" w:hAnsi="宋体" w:cs="宋体"/>
                <w:b/>
                <w:bCs/>
                <w:kern w:val="0"/>
                <w:sz w:val="24"/>
                <w:highlight w:val="none"/>
              </w:rPr>
              <w:t>：</w:t>
            </w:r>
          </w:p>
          <w:p w14:paraId="6B84F1F4">
            <w:pPr>
              <w:pStyle w:val="9"/>
              <w:numPr>
                <w:ilvl w:val="0"/>
                <w:numId w:val="0"/>
              </w:numPr>
              <w:spacing w:line="240" w:lineRule="auto"/>
              <w:jc w:val="left"/>
              <w:rPr>
                <w:rFonts w:hint="eastAsia" w:ascii="宋体" w:hAnsi="宋体" w:eastAsia="宋体" w:cs="宋体"/>
                <w:color w:val="auto"/>
                <w:sz w:val="24"/>
                <w:szCs w:val="24"/>
                <w:highlight w:val="none"/>
                <w:lang w:val="zh-CN"/>
              </w:rPr>
            </w:pPr>
            <w:r>
              <w:rPr>
                <w:rFonts w:hint="eastAsia" w:ascii="宋体" w:cs="宋体"/>
                <w:b/>
                <w:bCs/>
                <w:kern w:val="0"/>
                <w:sz w:val="24"/>
                <w:highlight w:val="none"/>
                <w:lang w:val="zh-CN"/>
              </w:rPr>
              <w:t>青海省政府采购网</w:t>
            </w:r>
            <w:r>
              <w:rPr>
                <w:rFonts w:hint="eastAsia" w:ascii="宋体" w:cs="宋体"/>
                <w:b/>
                <w:bCs/>
                <w:kern w:val="0"/>
                <w:sz w:val="24"/>
                <w:highlight w:val="none"/>
              </w:rPr>
              <w:t>（http://www.ccgp-qinghai.gov.cn/home.html）</w:t>
            </w:r>
          </w:p>
        </w:tc>
      </w:tr>
      <w:tr w14:paraId="392F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84" w:type="dxa"/>
            <w:vAlign w:val="center"/>
          </w:tcPr>
          <w:p w14:paraId="5DCBAF87">
            <w:pPr>
              <w:autoSpaceDE w:val="0"/>
              <w:autoSpaceDN w:val="0"/>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财政部门监督电话</w:t>
            </w:r>
          </w:p>
        </w:tc>
        <w:tc>
          <w:tcPr>
            <w:tcW w:w="6335" w:type="dxa"/>
            <w:vAlign w:val="center"/>
          </w:tcPr>
          <w:p w14:paraId="32B8B296">
            <w:pPr>
              <w:autoSpaceDE w:val="0"/>
              <w:autoSpaceDN w:val="0"/>
              <w:rPr>
                <w:rFonts w:hint="default" w:ascii="宋体" w:eastAsia="宋体" w:cs="宋体"/>
                <w:kern w:val="0"/>
                <w:sz w:val="24"/>
                <w:highlight w:val="none"/>
                <w:lang w:val="en-US" w:eastAsia="zh-CN"/>
              </w:rPr>
            </w:pPr>
            <w:r>
              <w:rPr>
                <w:rFonts w:hint="default" w:ascii="宋体" w:eastAsia="宋体" w:cs="宋体"/>
                <w:kern w:val="0"/>
                <w:sz w:val="24"/>
                <w:highlight w:val="none"/>
                <w:lang w:val="en-US" w:eastAsia="zh-CN"/>
              </w:rPr>
              <w:t>监督单位： 西宁市财政局</w:t>
            </w:r>
          </w:p>
          <w:p w14:paraId="36D4CFD6">
            <w:pPr>
              <w:autoSpaceDE w:val="0"/>
              <w:autoSpaceDN w:val="0"/>
              <w:spacing w:line="240" w:lineRule="auto"/>
              <w:rPr>
                <w:rFonts w:hint="eastAsia" w:ascii="宋体" w:hAnsi="宋体" w:eastAsia="宋体" w:cs="宋体"/>
                <w:color w:val="auto"/>
                <w:kern w:val="0"/>
                <w:sz w:val="24"/>
                <w:szCs w:val="24"/>
                <w:highlight w:val="none"/>
                <w:lang w:val="en-US" w:eastAsia="zh-CN"/>
              </w:rPr>
            </w:pPr>
            <w:r>
              <w:rPr>
                <w:rFonts w:hint="default" w:ascii="宋体" w:eastAsia="宋体" w:cs="宋体"/>
                <w:kern w:val="0"/>
                <w:sz w:val="24"/>
                <w:highlight w:val="none"/>
                <w:lang w:val="en-US" w:eastAsia="zh-CN"/>
              </w:rPr>
              <w:t>联系电话：0971-6304026</w:t>
            </w:r>
          </w:p>
        </w:tc>
      </w:tr>
    </w:tbl>
    <w:p w14:paraId="4528BF59">
      <w:pPr>
        <w:keepNext/>
        <w:keepLines/>
        <w:widowControl/>
        <w:snapToGrid w:val="0"/>
        <w:spacing w:line="400" w:lineRule="atLeast"/>
        <w:jc w:val="center"/>
        <w:outlineLvl w:val="0"/>
        <w:rPr>
          <w:rFonts w:hint="eastAsia" w:ascii="宋体" w:hAnsi="宋体" w:eastAsia="宋体" w:cs="宋体"/>
          <w:b/>
          <w:color w:val="auto"/>
          <w:kern w:val="28"/>
          <w:sz w:val="36"/>
          <w:szCs w:val="20"/>
          <w:highlight w:val="none"/>
        </w:rPr>
      </w:pPr>
      <w:bookmarkStart w:id="3" w:name="_Toc376936727"/>
      <w:r>
        <w:rPr>
          <w:rFonts w:hint="eastAsia" w:ascii="宋体" w:hAnsi="宋体" w:eastAsia="宋体" w:cs="宋体"/>
          <w:b/>
          <w:color w:val="auto"/>
          <w:kern w:val="28"/>
          <w:sz w:val="36"/>
          <w:szCs w:val="20"/>
          <w:highlight w:val="none"/>
        </w:rPr>
        <w:br w:type="page"/>
      </w:r>
      <w:bookmarkStart w:id="4" w:name="_Toc4069"/>
      <w:bookmarkStart w:id="5" w:name="_Toc496626192"/>
      <w:r>
        <w:rPr>
          <w:rFonts w:hint="eastAsia" w:ascii="宋体" w:hAnsi="宋体" w:eastAsia="宋体" w:cs="宋体"/>
          <w:b/>
          <w:color w:val="auto"/>
          <w:kern w:val="28"/>
          <w:sz w:val="36"/>
          <w:szCs w:val="20"/>
          <w:highlight w:val="none"/>
        </w:rPr>
        <w:t>第二部分  投标人须知</w:t>
      </w:r>
      <w:bookmarkEnd w:id="3"/>
      <w:bookmarkEnd w:id="4"/>
      <w:bookmarkEnd w:id="5"/>
      <w:bookmarkStart w:id="6" w:name="_Toc325725997"/>
    </w:p>
    <w:p w14:paraId="777B4AEA">
      <w:pPr>
        <w:widowControl/>
        <w:spacing w:before="624" w:beforeLines="200" w:after="624" w:afterLines="200"/>
        <w:jc w:val="center"/>
        <w:outlineLvl w:val="1"/>
        <w:rPr>
          <w:rFonts w:hint="eastAsia" w:ascii="宋体" w:hAnsi="宋体" w:eastAsia="宋体" w:cs="宋体"/>
          <w:b/>
          <w:bCs/>
          <w:color w:val="auto"/>
          <w:kern w:val="0"/>
          <w:sz w:val="36"/>
          <w:szCs w:val="36"/>
          <w:highlight w:val="none"/>
        </w:rPr>
      </w:pPr>
      <w:bookmarkStart w:id="7" w:name="_Toc30588"/>
      <w:bookmarkStart w:id="8" w:name="_Toc496626193"/>
      <w:bookmarkStart w:id="9" w:name="_Toc376936728"/>
      <w:r>
        <w:rPr>
          <w:rFonts w:hint="eastAsia" w:ascii="宋体" w:hAnsi="宋体" w:eastAsia="宋体" w:cs="宋体"/>
          <w:b/>
          <w:bCs/>
          <w:color w:val="auto"/>
          <w:kern w:val="0"/>
          <w:sz w:val="36"/>
          <w:szCs w:val="36"/>
          <w:highlight w:val="none"/>
        </w:rPr>
        <w:t>一、说  明</w:t>
      </w:r>
      <w:bookmarkEnd w:id="6"/>
      <w:bookmarkEnd w:id="7"/>
      <w:bookmarkEnd w:id="8"/>
      <w:bookmarkEnd w:id="9"/>
    </w:p>
    <w:p w14:paraId="22E7123C">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0" w:name="_Toc376936729"/>
      <w:bookmarkStart w:id="11" w:name="_Toc496626194"/>
      <w:bookmarkStart w:id="12" w:name="_Toc325725998"/>
      <w:bookmarkStart w:id="13" w:name="_Toc2593"/>
      <w:r>
        <w:rPr>
          <w:rFonts w:hint="eastAsia" w:ascii="宋体" w:hAnsi="宋体" w:eastAsia="宋体" w:cs="宋体"/>
          <w:b/>
          <w:bCs/>
          <w:color w:val="auto"/>
          <w:kern w:val="0"/>
          <w:sz w:val="27"/>
          <w:szCs w:val="27"/>
          <w:highlight w:val="none"/>
        </w:rPr>
        <w:t>1.适用范围</w:t>
      </w:r>
      <w:bookmarkEnd w:id="10"/>
      <w:bookmarkEnd w:id="11"/>
      <w:bookmarkEnd w:id="12"/>
      <w:bookmarkEnd w:id="13"/>
    </w:p>
    <w:p w14:paraId="33CDD295">
      <w:pPr>
        <w:tabs>
          <w:tab w:val="left" w:pos="840"/>
        </w:tabs>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1.1本次采购依据政府采购下达的采购计划，仅适用于本竞争性磋商文件（以下简称“磋商文件”）中所叙述的项目。</w:t>
      </w:r>
    </w:p>
    <w:p w14:paraId="56F8C661">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4" w:name="_Toc325725999"/>
      <w:bookmarkStart w:id="15" w:name="_Toc496626195"/>
      <w:bookmarkStart w:id="16" w:name="_Toc376936730"/>
      <w:bookmarkStart w:id="17" w:name="_Toc996"/>
      <w:r>
        <w:rPr>
          <w:rFonts w:hint="eastAsia" w:ascii="宋体" w:hAnsi="宋体" w:eastAsia="宋体" w:cs="宋体"/>
          <w:b/>
          <w:bCs/>
          <w:color w:val="auto"/>
          <w:kern w:val="0"/>
          <w:sz w:val="27"/>
          <w:szCs w:val="27"/>
          <w:highlight w:val="none"/>
        </w:rPr>
        <w:t>2.采购方式、合格的投标人</w:t>
      </w:r>
      <w:bookmarkEnd w:id="14"/>
      <w:bookmarkEnd w:id="15"/>
      <w:bookmarkEnd w:id="16"/>
      <w:bookmarkEnd w:id="17"/>
    </w:p>
    <w:p w14:paraId="3A8D04FA">
      <w:pPr>
        <w:tabs>
          <w:tab w:val="left" w:pos="840"/>
        </w:tabs>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2.1本次采购采取竞争性磋商方式。</w:t>
      </w:r>
    </w:p>
    <w:p w14:paraId="02D6F422">
      <w:pPr>
        <w:tabs>
          <w:tab w:val="left" w:pos="840"/>
        </w:tabs>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2.2合格的投标人：详见第一部分投标人须知前附表“供应商资格条件”。</w:t>
      </w:r>
    </w:p>
    <w:p w14:paraId="3F2126CE">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8" w:name="_Toc6075"/>
      <w:bookmarkStart w:id="19" w:name="_Toc496626196"/>
      <w:bookmarkStart w:id="20" w:name="_Toc376936731"/>
      <w:bookmarkStart w:id="21" w:name="_Toc325726000"/>
      <w:r>
        <w:rPr>
          <w:rFonts w:hint="eastAsia" w:ascii="宋体" w:hAnsi="宋体" w:eastAsia="宋体" w:cs="宋体"/>
          <w:b/>
          <w:bCs/>
          <w:color w:val="auto"/>
          <w:kern w:val="0"/>
          <w:sz w:val="27"/>
          <w:szCs w:val="27"/>
          <w:highlight w:val="none"/>
        </w:rPr>
        <w:t>3.磋商费用</w:t>
      </w:r>
      <w:bookmarkEnd w:id="18"/>
      <w:bookmarkEnd w:id="19"/>
      <w:bookmarkEnd w:id="20"/>
      <w:bookmarkEnd w:id="21"/>
    </w:p>
    <w:p w14:paraId="669D75F2">
      <w:pPr>
        <w:tabs>
          <w:tab w:val="left" w:pos="840"/>
        </w:tabs>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供应商应自愿承担准备和参加本次投标有关的所有费用。</w:t>
      </w:r>
      <w:r>
        <w:rPr>
          <w:rFonts w:hint="eastAsia" w:ascii="宋体" w:hAnsi="宋体" w:eastAsia="宋体" w:cs="宋体"/>
          <w:color w:val="auto"/>
          <w:highlight w:val="none"/>
          <w:lang w:val="en-US" w:eastAsia="zh-CN"/>
        </w:rPr>
        <w:t>采购人和</w:t>
      </w:r>
      <w:r>
        <w:rPr>
          <w:rFonts w:hint="eastAsia" w:ascii="宋体" w:hAnsi="宋体" w:eastAsia="宋体" w:cs="宋体"/>
          <w:color w:val="auto"/>
          <w:highlight w:val="none"/>
        </w:rPr>
        <w:t>采购代理机构对供应商发生的费用均不承担任何责任。</w:t>
      </w:r>
    </w:p>
    <w:p w14:paraId="4D2A5C93">
      <w:pPr>
        <w:widowControl/>
        <w:spacing w:before="624" w:beforeLines="200" w:after="624" w:afterLines="200"/>
        <w:jc w:val="center"/>
        <w:outlineLvl w:val="1"/>
        <w:rPr>
          <w:rFonts w:hint="eastAsia" w:ascii="宋体" w:hAnsi="宋体" w:eastAsia="宋体" w:cs="宋体"/>
          <w:b/>
          <w:bCs/>
          <w:color w:val="auto"/>
          <w:kern w:val="0"/>
          <w:sz w:val="36"/>
          <w:szCs w:val="36"/>
          <w:highlight w:val="none"/>
        </w:rPr>
      </w:pPr>
      <w:bookmarkStart w:id="22" w:name="_Toc325726001"/>
      <w:bookmarkStart w:id="23" w:name="_Toc22084"/>
      <w:bookmarkStart w:id="24" w:name="_Toc376936732"/>
      <w:bookmarkStart w:id="25" w:name="_Toc496626197"/>
      <w:r>
        <w:rPr>
          <w:rFonts w:hint="eastAsia" w:ascii="宋体" w:hAnsi="宋体" w:eastAsia="宋体" w:cs="宋体"/>
          <w:b/>
          <w:bCs/>
          <w:color w:val="auto"/>
          <w:kern w:val="0"/>
          <w:sz w:val="36"/>
          <w:szCs w:val="36"/>
          <w:highlight w:val="none"/>
        </w:rPr>
        <w:t>二、磋商文件说明</w:t>
      </w:r>
      <w:bookmarkEnd w:id="22"/>
      <w:bookmarkEnd w:id="23"/>
      <w:bookmarkEnd w:id="24"/>
      <w:bookmarkEnd w:id="25"/>
    </w:p>
    <w:p w14:paraId="0892AE0A">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26" w:name="_Toc376936733"/>
      <w:bookmarkStart w:id="27" w:name="_Toc29742"/>
      <w:bookmarkStart w:id="28" w:name="_Toc496626198"/>
      <w:bookmarkStart w:id="29" w:name="_Toc325726002"/>
      <w:r>
        <w:rPr>
          <w:rFonts w:hint="eastAsia" w:ascii="宋体" w:hAnsi="宋体" w:eastAsia="宋体" w:cs="宋体"/>
          <w:b/>
          <w:bCs/>
          <w:color w:val="auto"/>
          <w:kern w:val="0"/>
          <w:sz w:val="27"/>
          <w:szCs w:val="27"/>
          <w:highlight w:val="none"/>
        </w:rPr>
        <w:t>4.磋商文件的构成</w:t>
      </w:r>
      <w:bookmarkEnd w:id="26"/>
      <w:bookmarkEnd w:id="27"/>
      <w:bookmarkEnd w:id="28"/>
      <w:bookmarkEnd w:id="29"/>
    </w:p>
    <w:p w14:paraId="13390F7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4.1磋商文件包括：</w:t>
      </w:r>
    </w:p>
    <w:p w14:paraId="6FE14F1E">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（1）投标人须知前附表</w:t>
      </w:r>
    </w:p>
    <w:p w14:paraId="32DA8529">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（2）投标人须知</w:t>
      </w:r>
    </w:p>
    <w:p w14:paraId="5B16B696">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（3）政府采购项目合同书范本</w:t>
      </w:r>
    </w:p>
    <w:p w14:paraId="45C3B90A">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（4）磋商响应文件格式（相关附件）</w:t>
      </w:r>
    </w:p>
    <w:p w14:paraId="273A0E1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（5）磋商及采购项目服务要求</w:t>
      </w:r>
    </w:p>
    <w:p w14:paraId="7961242E">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（6）磋商过程中发生的澄清、变更和补充文件</w:t>
      </w:r>
    </w:p>
    <w:p w14:paraId="2164238C">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4.2</w:t>
      </w:r>
      <w:r>
        <w:rPr>
          <w:rFonts w:hint="eastAsia" w:ascii="宋体" w:hAnsi="宋体" w:eastAsia="宋体" w:cs="宋体"/>
          <w:color w:val="auto"/>
          <w:kern w:val="0"/>
          <w:highlight w:val="none"/>
        </w:rPr>
        <w:t>供应商应当按照磋商文件的要求编制磋商响应文件。磋商响应文件应当对磋商文件提出的要求和条件作出明确响应。</w:t>
      </w:r>
    </w:p>
    <w:p w14:paraId="4CBD4043">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30" w:name="_Toc376936734"/>
      <w:bookmarkStart w:id="31" w:name="_Toc325726003"/>
      <w:bookmarkStart w:id="32" w:name="_Toc496626199"/>
      <w:bookmarkStart w:id="33" w:name="_Toc30416"/>
      <w:r>
        <w:rPr>
          <w:rFonts w:hint="eastAsia" w:ascii="宋体" w:hAnsi="宋体" w:eastAsia="宋体" w:cs="宋体"/>
          <w:b/>
          <w:bCs/>
          <w:color w:val="auto"/>
          <w:kern w:val="0"/>
          <w:sz w:val="27"/>
          <w:szCs w:val="27"/>
          <w:highlight w:val="none"/>
        </w:rPr>
        <w:t>5.磋商文件的</w:t>
      </w:r>
      <w:bookmarkEnd w:id="30"/>
      <w:bookmarkEnd w:id="31"/>
      <w:r>
        <w:rPr>
          <w:rFonts w:hint="eastAsia" w:ascii="宋体" w:hAnsi="宋体" w:eastAsia="宋体" w:cs="宋体"/>
          <w:b/>
          <w:bCs/>
          <w:color w:val="auto"/>
          <w:kern w:val="0"/>
          <w:sz w:val="27"/>
          <w:szCs w:val="27"/>
          <w:highlight w:val="none"/>
        </w:rPr>
        <w:t>质疑</w:t>
      </w:r>
      <w:bookmarkEnd w:id="32"/>
      <w:bookmarkEnd w:id="33"/>
    </w:p>
    <w:p w14:paraId="11C82D3D">
      <w:pPr>
        <w:spacing w:line="360" w:lineRule="auto"/>
        <w:ind w:firstLine="480"/>
        <w:rPr>
          <w:rFonts w:hint="eastAsia" w:ascii="宋体" w:hAnsi="宋体" w:eastAsia="宋体" w:cs="宋体"/>
          <w:color w:val="auto"/>
          <w:highlight w:val="none"/>
        </w:rPr>
      </w:pPr>
      <w:bookmarkStart w:id="34" w:name="_Toc376936735"/>
      <w:bookmarkStart w:id="35" w:name="_Toc325726004"/>
      <w:r>
        <w:rPr>
          <w:rFonts w:hint="eastAsia" w:ascii="宋体" w:hAnsi="宋体" w:eastAsia="宋体" w:cs="宋体"/>
          <w:color w:val="auto"/>
          <w:highlight w:val="none"/>
        </w:rPr>
        <w:t>供应商认为磋商文件使自己的权益受到损害的，应在获取磋商文件之后以书面形式提出质疑（不接受匿名质疑），采购代理机构在收到供应商的书面质疑后7个工作日内予以答复，并将变更事宜在青海政府采购网上发布公告，告知本项目的所有潜在供应商。</w:t>
      </w:r>
    </w:p>
    <w:p w14:paraId="6BB48912">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36" w:name="_Toc24314"/>
      <w:bookmarkStart w:id="37" w:name="_Toc496626200"/>
      <w:r>
        <w:rPr>
          <w:rFonts w:hint="eastAsia" w:ascii="宋体" w:hAnsi="宋体" w:eastAsia="宋体" w:cs="宋体"/>
          <w:b/>
          <w:bCs/>
          <w:color w:val="auto"/>
          <w:kern w:val="0"/>
          <w:sz w:val="27"/>
          <w:szCs w:val="27"/>
          <w:highlight w:val="none"/>
        </w:rPr>
        <w:t>6.磋商文件的澄清、修改</w:t>
      </w:r>
      <w:bookmarkEnd w:id="34"/>
      <w:bookmarkEnd w:id="35"/>
      <w:bookmarkEnd w:id="36"/>
      <w:bookmarkEnd w:id="37"/>
    </w:p>
    <w:p w14:paraId="443F58E6">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6.1 在投标截止期前，采购代理机构可对磋商文件进行必要的修改或者澄清。</w:t>
      </w:r>
    </w:p>
    <w:p w14:paraId="3F19F6F2">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6.2澄清或者修改的内容可能影响磋商响应文件编制的，采购人、采购代理机构应当在提交首次响应文件截止时间至少5日前，在</w:t>
      </w:r>
      <w:r>
        <w:rPr>
          <w:rFonts w:hint="eastAsia" w:ascii="宋体" w:hAnsi="宋体" w:cs="宋体"/>
          <w:color w:val="auto"/>
          <w:highlight w:val="none"/>
          <w:lang w:eastAsia="zh-CN"/>
        </w:rPr>
        <w:t>青海政府采购网</w:t>
      </w:r>
      <w:r>
        <w:rPr>
          <w:rFonts w:hint="eastAsia" w:ascii="宋体" w:hAnsi="宋体" w:eastAsia="宋体" w:cs="宋体"/>
          <w:color w:val="auto"/>
          <w:highlight w:val="none"/>
        </w:rPr>
        <w:t>上发布公告；不足5日的，采购人、采购代理机构应当顺延提交首次响应文件截止时间。该澄清或者修改的内容为磋商文件的组成部分。</w:t>
      </w:r>
    </w:p>
    <w:p w14:paraId="24377F47">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6.3在投标截止时间前，采购人或采购代理机构可以视采购具体情况，延长投标截止时间和开标时间，并在磋商文件中要求的磋商截止时间和磋商时间的三日前，将变更公告发布在青海省政府采购网上。</w:t>
      </w:r>
    </w:p>
    <w:p w14:paraId="42AC7263">
      <w:pPr>
        <w:widowControl/>
        <w:spacing w:before="624" w:beforeLines="200" w:after="624" w:afterLines="200"/>
        <w:jc w:val="center"/>
        <w:outlineLvl w:val="1"/>
        <w:rPr>
          <w:rFonts w:hint="eastAsia" w:ascii="宋体" w:hAnsi="宋体" w:eastAsia="宋体" w:cs="宋体"/>
          <w:b/>
          <w:bCs/>
          <w:color w:val="auto"/>
          <w:kern w:val="0"/>
          <w:sz w:val="36"/>
          <w:szCs w:val="36"/>
          <w:highlight w:val="none"/>
        </w:rPr>
      </w:pPr>
      <w:bookmarkStart w:id="38" w:name="_Toc376936736"/>
      <w:bookmarkStart w:id="39" w:name="_Toc1722"/>
      <w:bookmarkStart w:id="40" w:name="_Toc496626201"/>
      <w:bookmarkStart w:id="41" w:name="_Toc325726005"/>
      <w:r>
        <w:rPr>
          <w:rFonts w:hint="eastAsia" w:ascii="宋体" w:hAnsi="宋体" w:eastAsia="宋体" w:cs="宋体"/>
          <w:b/>
          <w:bCs/>
          <w:color w:val="auto"/>
          <w:kern w:val="0"/>
          <w:sz w:val="36"/>
          <w:szCs w:val="36"/>
          <w:highlight w:val="none"/>
        </w:rPr>
        <w:t>三、磋商响应文件的编制</w:t>
      </w:r>
      <w:bookmarkEnd w:id="38"/>
      <w:bookmarkEnd w:id="39"/>
      <w:bookmarkEnd w:id="40"/>
      <w:bookmarkEnd w:id="41"/>
    </w:p>
    <w:p w14:paraId="76DAB4F3">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42" w:name="_Toc496626202"/>
      <w:bookmarkStart w:id="43" w:name="_Toc376936737"/>
      <w:bookmarkStart w:id="44" w:name="_Toc7541"/>
      <w:bookmarkStart w:id="45" w:name="_Toc325726006"/>
      <w:r>
        <w:rPr>
          <w:rFonts w:hint="eastAsia" w:ascii="宋体" w:hAnsi="宋体" w:eastAsia="宋体" w:cs="宋体"/>
          <w:b/>
          <w:bCs/>
          <w:color w:val="auto"/>
          <w:kern w:val="0"/>
          <w:sz w:val="27"/>
          <w:szCs w:val="27"/>
          <w:highlight w:val="none"/>
        </w:rPr>
        <w:t>7.磋商响应文件的语言及度量衡单位</w:t>
      </w:r>
      <w:bookmarkEnd w:id="42"/>
      <w:bookmarkEnd w:id="43"/>
      <w:bookmarkEnd w:id="44"/>
      <w:bookmarkEnd w:id="45"/>
    </w:p>
    <w:p w14:paraId="3391F723">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7.1供应商提交的磋商响应文件以及供应商与采购代理机构就此磋商发生的所有来往函电均应使用简体中文。</w:t>
      </w:r>
    </w:p>
    <w:p w14:paraId="0D2781EE">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7.2 除磋商文件中另有规定外，磋商响应文件所使用的度量衡单位，均须采用国家法定计量单位。</w:t>
      </w:r>
    </w:p>
    <w:p w14:paraId="7BE3A73C">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7.3附有外文资料的，须翻译成中文并加盖供应商公章，如果翻译的中文资料与外文资料存在差异和矛盾时，以中文资料为准。其准确性由供应商负责。</w:t>
      </w:r>
    </w:p>
    <w:p w14:paraId="5610F301">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46" w:name="_Toc325726007"/>
      <w:bookmarkStart w:id="47" w:name="_Toc496626203"/>
      <w:bookmarkStart w:id="48" w:name="_Toc376936738"/>
      <w:bookmarkStart w:id="49" w:name="_Toc25408"/>
      <w:r>
        <w:rPr>
          <w:rFonts w:hint="eastAsia" w:ascii="宋体" w:hAnsi="宋体" w:eastAsia="宋体" w:cs="宋体"/>
          <w:b/>
          <w:bCs/>
          <w:color w:val="auto"/>
          <w:kern w:val="0"/>
          <w:sz w:val="27"/>
          <w:szCs w:val="27"/>
          <w:highlight w:val="none"/>
        </w:rPr>
        <w:t>8.磋商报价及币种</w:t>
      </w:r>
      <w:bookmarkEnd w:id="46"/>
      <w:bookmarkEnd w:id="47"/>
      <w:bookmarkEnd w:id="48"/>
      <w:bookmarkEnd w:id="49"/>
    </w:p>
    <w:p w14:paraId="4E6EBF9E">
      <w:pPr>
        <w:spacing w:before="240" w:line="360" w:lineRule="auto"/>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8.l</w:t>
      </w:r>
      <w:r>
        <w:rPr>
          <w:rFonts w:hint="eastAsia" w:ascii="宋体" w:hAnsi="宋体" w:eastAsia="宋体" w:cs="宋体"/>
          <w:color w:val="auto"/>
          <w:kern w:val="0"/>
          <w:highlight w:val="none"/>
          <w:lang w:val="zh-CN"/>
        </w:rPr>
        <w:t>磋商报价为投标总价。投标报价必须包括：</w:t>
      </w:r>
      <w:r>
        <w:rPr>
          <w:rFonts w:hint="eastAsia" w:ascii="宋体" w:hAnsi="宋体" w:cs="宋体"/>
          <w:color w:val="auto"/>
          <w:sz w:val="21"/>
          <w:szCs w:val="21"/>
          <w:highlight w:val="none"/>
          <w:lang w:eastAsia="zh-CN"/>
        </w:rPr>
        <w:t>服务费、招标代理费、税金及不可预见费等全部费用。</w:t>
      </w:r>
    </w:p>
    <w:p w14:paraId="52D3BF7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8.2 磋商函中应注明磋商有效期。</w:t>
      </w:r>
    </w:p>
    <w:p w14:paraId="1426E72C">
      <w:pPr>
        <w:spacing w:line="360" w:lineRule="auto"/>
        <w:ind w:firstLine="480"/>
        <w:rPr>
          <w:rFonts w:hint="eastAsia" w:ascii="宋体" w:hAnsi="宋体" w:eastAsia="宋体" w:cs="宋体"/>
          <w:color w:val="auto"/>
          <w:kern w:val="0"/>
          <w:highlight w:val="none"/>
          <w:shd w:val="pct10" w:color="auto" w:fill="FFFFFF"/>
        </w:rPr>
      </w:pPr>
      <w:r>
        <w:rPr>
          <w:rFonts w:hint="eastAsia" w:ascii="宋体" w:hAnsi="宋体" w:eastAsia="宋体" w:cs="宋体"/>
          <w:color w:val="auto"/>
          <w:highlight w:val="none"/>
        </w:rPr>
        <w:t>8.3 供应商应根据磋商文件规定的格式完整填写所有内容，并保证所提供的全部资料真实可信，自愿承担相应责任。</w:t>
      </w:r>
    </w:p>
    <w:p w14:paraId="514F5C73">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8.4 最后磋商报价为闭口价，即成交后在合同有效期内价格不变。</w:t>
      </w:r>
    </w:p>
    <w:p w14:paraId="73905D0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8.5 磋商币种为人民币。</w:t>
      </w:r>
    </w:p>
    <w:p w14:paraId="6718B27D">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50" w:name="_Toc325726012"/>
      <w:bookmarkStart w:id="51" w:name="_Toc6173"/>
      <w:bookmarkStart w:id="52" w:name="_Toc376936743"/>
      <w:bookmarkStart w:id="53" w:name="_Toc496626204"/>
      <w:r>
        <w:rPr>
          <w:rFonts w:hint="eastAsia" w:ascii="宋体" w:hAnsi="宋体" w:eastAsia="宋体" w:cs="宋体"/>
          <w:b/>
          <w:bCs/>
          <w:color w:val="auto"/>
          <w:kern w:val="0"/>
          <w:sz w:val="27"/>
          <w:szCs w:val="27"/>
          <w:highlight w:val="none"/>
        </w:rPr>
        <w:t>9.磋商保证金</w:t>
      </w:r>
      <w:bookmarkEnd w:id="50"/>
      <w:bookmarkEnd w:id="51"/>
      <w:bookmarkEnd w:id="52"/>
      <w:bookmarkEnd w:id="53"/>
    </w:p>
    <w:p w14:paraId="0DE6965C">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lang w:val="en-US" w:eastAsia="zh-CN"/>
        </w:rPr>
      </w:pPr>
      <w:bookmarkStart w:id="54" w:name="_Toc14906"/>
      <w:bookmarkStart w:id="55" w:name="_Toc376936744"/>
      <w:bookmarkStart w:id="56" w:name="_Toc496626205"/>
      <w:bookmarkStart w:id="57" w:name="_Toc325726013"/>
      <w:r>
        <w:rPr>
          <w:rFonts w:hint="eastAsia" w:ascii="宋体" w:hAnsi="宋体" w:eastAsia="宋体" w:cs="宋体"/>
          <w:b/>
          <w:bCs/>
          <w:color w:val="auto"/>
          <w:kern w:val="0"/>
          <w:sz w:val="27"/>
          <w:szCs w:val="27"/>
          <w:highlight w:val="none"/>
          <w:lang w:val="en-US" w:eastAsia="zh-CN"/>
        </w:rPr>
        <w:t>免缴</w:t>
      </w:r>
      <w:bookmarkEnd w:id="54"/>
    </w:p>
    <w:p w14:paraId="3D9741B9">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58" w:name="_Toc22386"/>
      <w:r>
        <w:rPr>
          <w:rFonts w:hint="eastAsia" w:ascii="宋体" w:hAnsi="宋体" w:eastAsia="宋体" w:cs="宋体"/>
          <w:b/>
          <w:bCs/>
          <w:color w:val="auto"/>
          <w:kern w:val="0"/>
          <w:sz w:val="27"/>
          <w:szCs w:val="27"/>
          <w:highlight w:val="none"/>
        </w:rPr>
        <w:t>10.磋商有效期</w:t>
      </w:r>
      <w:bookmarkEnd w:id="55"/>
      <w:bookmarkEnd w:id="56"/>
      <w:bookmarkEnd w:id="57"/>
      <w:bookmarkEnd w:id="58"/>
    </w:p>
    <w:p w14:paraId="22C6405C">
      <w:pPr>
        <w:ind w:firstLine="480"/>
        <w:rPr>
          <w:rFonts w:hint="eastAsia" w:ascii="宋体" w:hAnsi="宋体" w:eastAsia="宋体" w:cs="宋体"/>
          <w:color w:val="auto"/>
          <w:highlight w:val="none"/>
        </w:rPr>
      </w:pPr>
      <w:r>
        <w:rPr>
          <w:rFonts w:hint="eastAsia" w:ascii="宋体" w:hAnsi="宋体" w:eastAsia="宋体" w:cs="宋体"/>
          <w:color w:val="auto"/>
          <w:highlight w:val="none"/>
        </w:rPr>
        <w:t>磋商有效期为自磋商开始之日起60天。</w:t>
      </w:r>
    </w:p>
    <w:p w14:paraId="37BCD315">
      <w:pPr>
        <w:pStyle w:val="17"/>
        <w:spacing w:line="360" w:lineRule="auto"/>
        <w:jc w:val="left"/>
        <w:rPr>
          <w:rFonts w:hint="eastAsia" w:ascii="宋体" w:hAnsi="宋体" w:eastAsia="宋体" w:cs="宋体"/>
          <w:color w:val="auto"/>
          <w:highlight w:val="none"/>
          <w:lang w:val="zh-CN"/>
        </w:rPr>
      </w:pPr>
      <w:bookmarkStart w:id="59" w:name="_Toc515908182"/>
      <w:bookmarkStart w:id="60" w:name="_Toc25615"/>
      <w:bookmarkStart w:id="61" w:name="_Toc412617729"/>
      <w:bookmarkStart w:id="62" w:name="_Toc496626207"/>
      <w:bookmarkStart w:id="63" w:name="_Toc373392580"/>
      <w:r>
        <w:rPr>
          <w:rFonts w:hint="eastAsia" w:ascii="宋体" w:hAnsi="宋体" w:eastAsia="宋体" w:cs="宋体"/>
          <w:color w:val="auto"/>
          <w:sz w:val="28"/>
          <w:szCs w:val="28"/>
          <w:highlight w:val="none"/>
          <w:lang w:val="zh-CN"/>
        </w:rPr>
        <w:t>11.磋商响应文件构成</w:t>
      </w:r>
      <w:bookmarkEnd w:id="59"/>
      <w:bookmarkEnd w:id="60"/>
    </w:p>
    <w:p w14:paraId="77022529">
      <w:p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投标人应提交相关证明材料，作为其参加投标和中标后有能力履行合同的证明。编写的磋商响应文件须包括以下内容（格式见招标文件第四部分）：</w:t>
      </w:r>
    </w:p>
    <w:p w14:paraId="42F09822">
      <w:pPr>
        <w:autoSpaceDE w:val="0"/>
        <w:autoSpaceDN w:val="0"/>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kern w:val="0"/>
          <w:highlight w:val="none"/>
        </w:rPr>
        <w:t>11.1</w:t>
      </w:r>
      <w:r>
        <w:rPr>
          <w:rFonts w:hint="eastAsia" w:ascii="宋体" w:hAnsi="宋体" w:eastAsia="宋体" w:cs="宋体"/>
          <w:b/>
          <w:bCs/>
          <w:color w:val="auto"/>
          <w:kern w:val="0"/>
          <w:highlight w:val="none"/>
          <w:lang w:val="zh-CN"/>
        </w:rPr>
        <w:t>磋商响应文件（上册）（资格审查）</w:t>
      </w:r>
    </w:p>
    <w:p w14:paraId="3E805D6A">
      <w:pPr>
        <w:numPr>
          <w:ilvl w:val="0"/>
          <w:numId w:val="1"/>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磋商函</w:t>
      </w:r>
    </w:p>
    <w:p w14:paraId="1CEC310A">
      <w:pPr>
        <w:numPr>
          <w:ilvl w:val="0"/>
          <w:numId w:val="1"/>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法定代表人证明书</w:t>
      </w:r>
    </w:p>
    <w:p w14:paraId="1485BE37">
      <w:pPr>
        <w:numPr>
          <w:ilvl w:val="0"/>
          <w:numId w:val="1"/>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法定代表人授权书</w:t>
      </w:r>
    </w:p>
    <w:p w14:paraId="6DA993C4">
      <w:pPr>
        <w:numPr>
          <w:ilvl w:val="0"/>
          <w:numId w:val="1"/>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供应商承诺函</w:t>
      </w:r>
    </w:p>
    <w:p w14:paraId="54B00287">
      <w:pPr>
        <w:numPr>
          <w:ilvl w:val="0"/>
          <w:numId w:val="1"/>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供应商诚信承诺书</w:t>
      </w:r>
    </w:p>
    <w:p w14:paraId="0E9433E1">
      <w:pPr>
        <w:numPr>
          <w:ilvl w:val="0"/>
          <w:numId w:val="1"/>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供应商资格证明材料</w:t>
      </w:r>
    </w:p>
    <w:p w14:paraId="12A2A479">
      <w:pPr>
        <w:numPr>
          <w:ilvl w:val="0"/>
          <w:numId w:val="1"/>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财务状况、缴纳税收和社会保障资金证明</w:t>
      </w:r>
    </w:p>
    <w:p w14:paraId="2353A6B8">
      <w:pPr>
        <w:numPr>
          <w:ilvl w:val="0"/>
          <w:numId w:val="1"/>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无重大违法记录声明</w:t>
      </w:r>
    </w:p>
    <w:p w14:paraId="3618ACC1">
      <w:pPr>
        <w:numPr>
          <w:ilvl w:val="0"/>
          <w:numId w:val="1"/>
        </w:numPr>
        <w:autoSpaceDE w:val="0"/>
        <w:autoSpaceDN w:val="0"/>
        <w:spacing w:line="360" w:lineRule="auto"/>
        <w:ind w:firstLine="420" w:firstLineChars="200"/>
        <w:rPr>
          <w:rFonts w:hint="eastAsia" w:ascii="宋体" w:hAnsi="宋体" w:eastAsia="宋体" w:cs="宋体"/>
          <w:highlight w:val="none"/>
          <w:lang w:val="zh-CN"/>
        </w:rPr>
      </w:pPr>
      <w:r>
        <w:rPr>
          <w:rFonts w:hint="eastAsia" w:ascii="宋体" w:hAnsi="宋体" w:eastAsia="宋体" w:cs="宋体"/>
          <w:kern w:val="0"/>
          <w:highlight w:val="none"/>
          <w:lang w:val="zh-CN"/>
        </w:rPr>
        <w:t>具备履行合同所必需的设备和专业技术能力的证明材料</w:t>
      </w:r>
    </w:p>
    <w:p w14:paraId="76AD7C72">
      <w:pPr>
        <w:autoSpaceDE w:val="0"/>
        <w:autoSpaceDN w:val="0"/>
        <w:spacing w:line="360" w:lineRule="auto"/>
        <w:ind w:firstLine="422" w:firstLineChars="200"/>
        <w:rPr>
          <w:rFonts w:hint="eastAsia" w:ascii="宋体" w:hAnsi="宋体" w:eastAsia="宋体" w:cs="宋体"/>
          <w:color w:val="auto"/>
          <w:kern w:val="0"/>
          <w:highlight w:val="none"/>
          <w:lang w:val="zh-CN"/>
        </w:rPr>
      </w:pPr>
      <w:r>
        <w:rPr>
          <w:rFonts w:hint="eastAsia" w:ascii="宋体" w:hAnsi="宋体" w:eastAsia="宋体" w:cs="宋体"/>
          <w:b/>
          <w:bCs/>
          <w:color w:val="auto"/>
          <w:kern w:val="0"/>
          <w:highlight w:val="none"/>
        </w:rPr>
        <w:t xml:space="preserve">11.2 </w:t>
      </w:r>
      <w:r>
        <w:rPr>
          <w:rFonts w:hint="eastAsia" w:ascii="宋体" w:hAnsi="宋体" w:eastAsia="宋体" w:cs="宋体"/>
          <w:b/>
          <w:bCs/>
          <w:color w:val="auto"/>
          <w:kern w:val="0"/>
          <w:highlight w:val="none"/>
          <w:lang w:val="zh-CN"/>
        </w:rPr>
        <w:t>磋商响应文件（下册）（符合性审查）</w:t>
      </w:r>
    </w:p>
    <w:p w14:paraId="6F923894">
      <w:pPr>
        <w:numPr>
          <w:ilvl w:val="0"/>
          <w:numId w:val="0"/>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cs="宋体"/>
          <w:color w:val="auto"/>
          <w:kern w:val="0"/>
          <w:highlight w:val="none"/>
          <w:lang w:val="zh-CN"/>
        </w:rPr>
        <w:t>（</w:t>
      </w:r>
      <w:r>
        <w:rPr>
          <w:rFonts w:hint="default" w:ascii="宋体" w:hAnsi="宋体" w:cs="宋体"/>
          <w:color w:val="auto"/>
          <w:kern w:val="0"/>
          <w:highlight w:val="none"/>
          <w:lang w:val="en-US" w:eastAsia="zh-CN"/>
        </w:rPr>
        <w:t>10</w:t>
      </w:r>
      <w:r>
        <w:rPr>
          <w:rFonts w:hint="eastAsia" w:ascii="宋体" w:hAnsi="宋体" w:cs="宋体"/>
          <w:color w:val="auto"/>
          <w:kern w:val="0"/>
          <w:highlight w:val="none"/>
          <w:lang w:val="zh-CN"/>
        </w:rPr>
        <w:t>）</w:t>
      </w:r>
      <w:r>
        <w:rPr>
          <w:rFonts w:hint="eastAsia" w:ascii="宋体" w:hAnsi="宋体" w:eastAsia="宋体" w:cs="宋体"/>
          <w:color w:val="auto"/>
          <w:kern w:val="0"/>
          <w:highlight w:val="none"/>
          <w:lang w:val="zh-CN"/>
        </w:rPr>
        <w:t>竞争性磋商首次报价表</w:t>
      </w:r>
    </w:p>
    <w:p w14:paraId="7001737C">
      <w:pPr>
        <w:autoSpaceDE w:val="0"/>
        <w:autoSpaceDN w:val="0"/>
        <w:spacing w:line="360" w:lineRule="auto"/>
        <w:ind w:firstLine="420" w:firstLine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en-US" w:eastAsia="zh-CN"/>
        </w:rPr>
        <w:t>（1</w:t>
      </w:r>
      <w:r>
        <w:rPr>
          <w:rFonts w:hint="default" w:ascii="宋体" w:hAnsi="宋体" w:cs="宋体"/>
          <w:color w:val="000000"/>
          <w:kern w:val="0"/>
          <w:highlight w:val="none"/>
          <w:lang w:val="en-US" w:eastAsia="zh-CN"/>
        </w:rPr>
        <w:t>1</w:t>
      </w:r>
      <w:r>
        <w:rPr>
          <w:rFonts w:hint="eastAsia" w:ascii="宋体" w:hAnsi="宋体" w:eastAsia="宋体" w:cs="宋体"/>
          <w:color w:val="000000"/>
          <w:kern w:val="0"/>
          <w:highlight w:val="none"/>
          <w:lang w:val="en-US" w:eastAsia="zh-CN"/>
        </w:rPr>
        <w:t>）</w:t>
      </w:r>
      <w:r>
        <w:rPr>
          <w:rFonts w:hint="eastAsia" w:ascii="宋体" w:hAnsi="宋体" w:eastAsia="宋体" w:cs="宋体"/>
          <w:color w:val="000000"/>
          <w:kern w:val="0"/>
          <w:highlight w:val="none"/>
          <w:lang w:val="zh-CN"/>
        </w:rPr>
        <w:t>服务响应表</w:t>
      </w:r>
    </w:p>
    <w:p w14:paraId="2B2367A5">
      <w:pPr>
        <w:autoSpaceDE w:val="0"/>
        <w:autoSpaceDN w:val="0"/>
        <w:spacing w:line="360" w:lineRule="auto"/>
        <w:ind w:firstLine="420" w:firstLineChars="200"/>
        <w:rPr>
          <w:rFonts w:ascii="宋体" w:cs="宋体"/>
          <w:color w:val="000000"/>
          <w:kern w:val="0"/>
          <w:highlight w:val="none"/>
          <w:lang w:val="zh-CN"/>
        </w:rPr>
      </w:pPr>
      <w:r>
        <w:rPr>
          <w:rFonts w:hint="eastAsia" w:ascii="宋体" w:hAnsi="宋体" w:cs="宋体"/>
          <w:color w:val="000000"/>
          <w:kern w:val="0"/>
          <w:highlight w:val="none"/>
          <w:lang w:val="zh-CN"/>
        </w:rPr>
        <w:t>（</w:t>
      </w:r>
      <w:r>
        <w:rPr>
          <w:rFonts w:hint="eastAsia" w:ascii="宋体" w:hAnsi="宋体" w:cs="宋体"/>
          <w:color w:val="000000"/>
          <w:kern w:val="0"/>
          <w:highlight w:val="none"/>
          <w:lang w:val="en-US" w:eastAsia="zh-CN"/>
        </w:rPr>
        <w:t>1</w:t>
      </w:r>
      <w:r>
        <w:rPr>
          <w:rFonts w:hint="default" w:ascii="宋体" w:hAnsi="宋体" w:cs="宋体"/>
          <w:color w:val="000000"/>
          <w:kern w:val="0"/>
          <w:highlight w:val="none"/>
          <w:lang w:val="en-US" w:eastAsia="zh-CN"/>
        </w:rPr>
        <w:t>2</w:t>
      </w:r>
      <w:r>
        <w:rPr>
          <w:rFonts w:hint="eastAsia" w:ascii="宋体" w:hAnsi="宋体" w:cs="宋体"/>
          <w:color w:val="000000"/>
          <w:kern w:val="0"/>
          <w:highlight w:val="none"/>
          <w:lang w:val="zh-CN"/>
        </w:rPr>
        <w:t>）服务方案</w:t>
      </w:r>
    </w:p>
    <w:p w14:paraId="02CD1F7C">
      <w:pPr>
        <w:pStyle w:val="9"/>
        <w:ind w:firstLine="420" w:firstLineChars="200"/>
        <w:rPr>
          <w:rFonts w:hint="eastAsia" w:ascii="宋体" w:hAnsi="宋体" w:eastAsia="宋体" w:cs="宋体"/>
          <w:color w:val="auto"/>
          <w:highlight w:val="none"/>
          <w:lang w:val="zh-CN"/>
        </w:rPr>
      </w:pP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rPr>
        <w:t>1</w:t>
      </w:r>
      <w:r>
        <w:rPr>
          <w:rFonts w:hint="default" w:hAnsi="宋体" w:cs="宋体"/>
          <w:color w:val="auto"/>
          <w:kern w:val="0"/>
          <w:highlight w:val="none"/>
          <w:lang w:val="en-US" w:eastAsia="zh-CN"/>
        </w:rPr>
        <w:t>3</w:t>
      </w: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rPr>
        <w:t>其他资格证明材料</w:t>
      </w:r>
    </w:p>
    <w:p w14:paraId="2FC34B5F">
      <w:p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rPr>
        <w:t>1</w:t>
      </w:r>
      <w:r>
        <w:rPr>
          <w:rFonts w:hint="default" w:ascii="宋体" w:hAnsi="宋体" w:cs="宋体"/>
          <w:color w:val="auto"/>
          <w:kern w:val="0"/>
          <w:highlight w:val="none"/>
          <w:lang w:val="en-US" w:eastAsia="zh-CN"/>
        </w:rPr>
        <w:t>4</w:t>
      </w:r>
      <w:r>
        <w:rPr>
          <w:rFonts w:hint="eastAsia" w:ascii="宋体" w:hAnsi="宋体" w:eastAsia="宋体" w:cs="宋体"/>
          <w:color w:val="auto"/>
          <w:kern w:val="0"/>
          <w:highlight w:val="none"/>
          <w:lang w:val="zh-CN"/>
        </w:rPr>
        <w:t>）供应商类似业绩证明材料</w:t>
      </w:r>
    </w:p>
    <w:p w14:paraId="4F85DA37">
      <w:p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rPr>
        <w:t>1</w:t>
      </w:r>
      <w:r>
        <w:rPr>
          <w:rFonts w:hint="default" w:ascii="宋体" w:hAnsi="宋体" w:cs="宋体"/>
          <w:color w:val="auto"/>
          <w:kern w:val="0"/>
          <w:highlight w:val="none"/>
          <w:lang w:val="en-US" w:eastAsia="zh-CN"/>
        </w:rPr>
        <w:t>5</w:t>
      </w:r>
      <w:r>
        <w:rPr>
          <w:rFonts w:hint="eastAsia" w:ascii="宋体" w:hAnsi="宋体" w:eastAsia="宋体" w:cs="宋体"/>
          <w:color w:val="auto"/>
          <w:kern w:val="0"/>
          <w:highlight w:val="none"/>
          <w:lang w:val="zh-CN"/>
        </w:rPr>
        <w:t>）</w:t>
      </w:r>
      <w:r>
        <w:rPr>
          <w:rFonts w:hint="eastAsia" w:ascii="宋体" w:hAnsi="宋体" w:eastAsia="宋体" w:cs="宋体"/>
          <w:color w:val="auto"/>
          <w:highlight w:val="none"/>
        </w:rPr>
        <w:t>中小企业声明函</w:t>
      </w:r>
    </w:p>
    <w:p w14:paraId="12ABF07E">
      <w:p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16</w:t>
      </w:r>
      <w:r>
        <w:rPr>
          <w:rFonts w:hint="eastAsia" w:ascii="宋体" w:hAnsi="宋体" w:eastAsia="宋体" w:cs="宋体"/>
          <w:color w:val="auto"/>
          <w:highlight w:val="none"/>
        </w:rPr>
        <w:t>）残疾人福利性单位声明函</w:t>
      </w:r>
    </w:p>
    <w:p w14:paraId="0A97CFA8">
      <w:p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rPr>
        <w:t>1</w:t>
      </w:r>
      <w:r>
        <w:rPr>
          <w:rFonts w:hint="eastAsia" w:ascii="宋体" w:hAnsi="宋体" w:cs="宋体"/>
          <w:color w:val="auto"/>
          <w:kern w:val="0"/>
          <w:highlight w:val="none"/>
          <w:lang w:val="en-US" w:eastAsia="zh-CN"/>
        </w:rPr>
        <w:t>7</w:t>
      </w:r>
      <w:r>
        <w:rPr>
          <w:rFonts w:hint="eastAsia" w:ascii="宋体" w:hAnsi="宋体" w:eastAsia="宋体" w:cs="宋体"/>
          <w:color w:val="auto"/>
          <w:kern w:val="0"/>
          <w:highlight w:val="none"/>
          <w:lang w:val="zh-CN"/>
        </w:rPr>
        <w:t>）供应商认为在其他方面有必要说明的事项</w:t>
      </w:r>
    </w:p>
    <w:p w14:paraId="1FE213E5">
      <w:pPr>
        <w:autoSpaceDE w:val="0"/>
        <w:autoSpaceDN w:val="0"/>
        <w:spacing w:line="360" w:lineRule="auto"/>
        <w:ind w:firstLine="525" w:firstLineChars="25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注：投标人须按上述内容、顺序和格式编制磋商响应文件，并按要求编制目录、页码，并保证所提供的全部资料真实可信，自愿承担相应责任。</w:t>
      </w:r>
    </w:p>
    <w:bookmarkEnd w:id="61"/>
    <w:bookmarkEnd w:id="62"/>
    <w:bookmarkEnd w:id="63"/>
    <w:p w14:paraId="49852DEB">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64" w:name="_Toc9679"/>
      <w:bookmarkStart w:id="65" w:name="_Toc1182"/>
      <w:bookmarkStart w:id="66" w:name="_Toc412617730"/>
      <w:bookmarkStart w:id="67" w:name="_Toc496626208"/>
      <w:bookmarkStart w:id="68" w:name="_Toc376936748"/>
      <w:bookmarkStart w:id="69" w:name="_Toc371090029"/>
      <w:r>
        <w:rPr>
          <w:rFonts w:hint="eastAsia" w:ascii="宋体" w:hAnsi="宋体" w:eastAsia="宋体" w:cs="宋体"/>
          <w:b/>
          <w:bCs/>
          <w:color w:val="auto"/>
          <w:kern w:val="0"/>
          <w:sz w:val="27"/>
          <w:szCs w:val="27"/>
          <w:highlight w:val="none"/>
        </w:rPr>
        <w:t>12.</w:t>
      </w:r>
      <w:bookmarkEnd w:id="64"/>
      <w:r>
        <w:rPr>
          <w:rFonts w:hint="eastAsia" w:ascii="宋体" w:hAnsi="宋体" w:eastAsia="宋体" w:cs="宋体"/>
          <w:b/>
          <w:bCs/>
          <w:color w:val="auto"/>
          <w:kern w:val="0"/>
          <w:sz w:val="27"/>
          <w:szCs w:val="27"/>
          <w:highlight w:val="none"/>
        </w:rPr>
        <w:t>响应文件编制要求</w:t>
      </w:r>
      <w:bookmarkEnd w:id="65"/>
    </w:p>
    <w:p w14:paraId="5B6C5AEA">
      <w:pPr>
        <w:pStyle w:val="9"/>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 xml:space="preserve"> </w:t>
      </w:r>
      <w:r>
        <w:rPr>
          <w:rFonts w:hint="eastAsia" w:ascii="宋体" w:hAnsi="宋体" w:eastAsia="宋体" w:cs="宋体"/>
          <w:color w:val="auto"/>
          <w:highlight w:val="none"/>
        </w:rPr>
        <w:t>磋商文件要求签字、盖章的地方必须由供应商的法定代表人或委托代理人按要求签字和盖章，其他地方均需加盖公章。</w:t>
      </w:r>
    </w:p>
    <w:p w14:paraId="3ADF0212">
      <w:pPr>
        <w:pStyle w:val="9"/>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响应文件中不得行间插字、涂改或增删，如有修改错漏处，须由供应商法定代表人或其委托代理人签字和盖章。</w:t>
      </w:r>
    </w:p>
    <w:p w14:paraId="7CD5F021">
      <w:pPr>
        <w:widowControl/>
        <w:spacing w:before="624" w:beforeLines="200" w:after="624" w:afterLines="200"/>
        <w:jc w:val="center"/>
        <w:outlineLvl w:val="1"/>
        <w:rPr>
          <w:rFonts w:hint="eastAsia" w:ascii="宋体" w:hAnsi="宋体" w:eastAsia="宋体" w:cs="宋体"/>
          <w:b/>
          <w:bCs/>
          <w:color w:val="auto"/>
          <w:kern w:val="0"/>
          <w:sz w:val="36"/>
          <w:szCs w:val="36"/>
          <w:highlight w:val="none"/>
        </w:rPr>
      </w:pPr>
      <w:bookmarkStart w:id="70" w:name="_Toc13869"/>
      <w:r>
        <w:rPr>
          <w:rFonts w:hint="eastAsia" w:ascii="宋体" w:hAnsi="宋体" w:eastAsia="宋体" w:cs="宋体"/>
          <w:b/>
          <w:bCs/>
          <w:color w:val="auto"/>
          <w:kern w:val="0"/>
          <w:sz w:val="36"/>
          <w:szCs w:val="36"/>
          <w:highlight w:val="none"/>
        </w:rPr>
        <w:t>四、磋商响应文件的递交</w:t>
      </w:r>
      <w:bookmarkEnd w:id="66"/>
      <w:bookmarkEnd w:id="67"/>
      <w:bookmarkEnd w:id="70"/>
    </w:p>
    <w:bookmarkEnd w:id="68"/>
    <w:bookmarkEnd w:id="69"/>
    <w:p w14:paraId="3FB22BDC">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71" w:name="_Toc29822"/>
      <w:bookmarkStart w:id="72" w:name="_Toc373392582"/>
      <w:bookmarkStart w:id="73" w:name="_Toc12087"/>
      <w:bookmarkStart w:id="74" w:name="_Toc412617731"/>
      <w:bookmarkStart w:id="75" w:name="_Toc325726016"/>
      <w:bookmarkStart w:id="76" w:name="_Toc412617732"/>
      <w:bookmarkStart w:id="77" w:name="_Toc373392583"/>
      <w:bookmarkStart w:id="78" w:name="_Toc325726017"/>
      <w:bookmarkStart w:id="79" w:name="_Toc496626210"/>
      <w:bookmarkStart w:id="80" w:name="_Toc376936749"/>
      <w:bookmarkStart w:id="81" w:name="_Toc371090030"/>
      <w:r>
        <w:rPr>
          <w:rFonts w:hint="eastAsia" w:ascii="宋体" w:hAnsi="宋体" w:eastAsia="宋体" w:cs="宋体"/>
          <w:b/>
          <w:bCs/>
          <w:color w:val="auto"/>
          <w:kern w:val="0"/>
          <w:sz w:val="27"/>
          <w:szCs w:val="27"/>
          <w:highlight w:val="none"/>
        </w:rPr>
        <w:t>13.响应文件的密封和标记</w:t>
      </w:r>
      <w:bookmarkEnd w:id="71"/>
      <w:bookmarkEnd w:id="72"/>
      <w:bookmarkEnd w:id="73"/>
      <w:bookmarkEnd w:id="74"/>
      <w:bookmarkEnd w:id="75"/>
    </w:p>
    <w:p w14:paraId="7EAC10E6">
      <w:pPr>
        <w:pStyle w:val="9"/>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13.1供应商将加密的响应文在磋商截止时间前上传至政采云开标系统，</w:t>
      </w:r>
      <w:r>
        <w:rPr>
          <w:rFonts w:hint="eastAsia" w:ascii="宋体" w:hAnsi="宋体" w:eastAsia="宋体" w:cs="宋体"/>
          <w:color w:val="auto"/>
          <w:highlight w:val="none"/>
        </w:rPr>
        <w:t>如果供应商未按要求将</w:t>
      </w:r>
      <w:r>
        <w:rPr>
          <w:rFonts w:hint="eastAsia" w:ascii="宋体" w:hAnsi="宋体" w:eastAsia="宋体" w:cs="宋体"/>
          <w:color w:val="auto"/>
          <w:highlight w:val="none"/>
          <w:lang w:eastAsia="zh-CN"/>
        </w:rPr>
        <w:t>加密的</w:t>
      </w:r>
      <w:r>
        <w:rPr>
          <w:rFonts w:hint="eastAsia" w:ascii="宋体" w:hAnsi="宋体" w:eastAsia="宋体" w:cs="宋体"/>
          <w:color w:val="auto"/>
          <w:highlight w:val="none"/>
        </w:rPr>
        <w:t>磋商响应文件</w:t>
      </w:r>
      <w:r>
        <w:rPr>
          <w:rFonts w:hint="eastAsia" w:ascii="宋体" w:hAnsi="宋体" w:eastAsia="宋体" w:cs="宋体"/>
          <w:color w:val="auto"/>
          <w:highlight w:val="none"/>
          <w:lang w:eastAsia="zh-CN"/>
        </w:rPr>
        <w:t>进行上传</w:t>
      </w:r>
      <w:r>
        <w:rPr>
          <w:rFonts w:hint="eastAsia" w:ascii="宋体" w:hAnsi="宋体" w:eastAsia="宋体" w:cs="宋体"/>
          <w:color w:val="auto"/>
          <w:highlight w:val="none"/>
        </w:rPr>
        <w:t>，采购代理机构将不予受理。</w:t>
      </w:r>
    </w:p>
    <w:p w14:paraId="0F5008D3">
      <w:pPr>
        <w:pStyle w:val="9"/>
        <w:spacing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供应商以电报、电话、传真形式投标的，采购代理机构概不接受。</w:t>
      </w:r>
    </w:p>
    <w:p w14:paraId="0027A1E0">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82" w:name="_Toc23169"/>
      <w:r>
        <w:rPr>
          <w:rFonts w:hint="eastAsia" w:ascii="宋体" w:hAnsi="宋体" w:eastAsia="宋体" w:cs="宋体"/>
          <w:b/>
          <w:bCs/>
          <w:color w:val="auto"/>
          <w:kern w:val="0"/>
          <w:sz w:val="27"/>
          <w:szCs w:val="27"/>
          <w:highlight w:val="none"/>
        </w:rPr>
        <w:t>14.递交磋商响应文件</w:t>
      </w:r>
      <w:bookmarkEnd w:id="76"/>
      <w:bookmarkEnd w:id="77"/>
      <w:bookmarkEnd w:id="78"/>
      <w:r>
        <w:rPr>
          <w:rFonts w:hint="eastAsia" w:ascii="宋体" w:hAnsi="宋体" w:eastAsia="宋体" w:cs="宋体"/>
          <w:b/>
          <w:bCs/>
          <w:color w:val="auto"/>
          <w:kern w:val="0"/>
          <w:sz w:val="27"/>
          <w:szCs w:val="27"/>
          <w:highlight w:val="none"/>
        </w:rPr>
        <w:t>程序</w:t>
      </w:r>
      <w:bookmarkEnd w:id="79"/>
      <w:bookmarkEnd w:id="82"/>
    </w:p>
    <w:bookmarkEnd w:id="80"/>
    <w:bookmarkEnd w:id="81"/>
    <w:p w14:paraId="2E5F0E2A">
      <w:pPr>
        <w:pStyle w:val="9"/>
        <w:spacing w:line="360" w:lineRule="auto"/>
        <w:ind w:firstLine="480"/>
        <w:rPr>
          <w:rFonts w:hint="eastAsia" w:ascii="宋体" w:hAnsi="宋体" w:eastAsia="宋体" w:cs="宋体"/>
          <w:color w:val="auto"/>
          <w:highlight w:val="none"/>
        </w:rPr>
      </w:pPr>
      <w:bookmarkStart w:id="83" w:name="_Toc325726019"/>
      <w:bookmarkStart w:id="84" w:name="_Toc376936750"/>
      <w:bookmarkStart w:id="85" w:name="_Toc496626211"/>
      <w:r>
        <w:rPr>
          <w:rFonts w:hint="eastAsia" w:ascii="宋体" w:hAnsi="宋体" w:eastAsia="宋体" w:cs="宋体"/>
          <w:color w:val="auto"/>
          <w:highlight w:val="none"/>
        </w:rPr>
        <w:t>14.1递交磋商响应文件程序：详见第一部分投标人须知前附表“递交磋商响应文件程序”。</w:t>
      </w:r>
    </w:p>
    <w:p w14:paraId="698F245E">
      <w:pPr>
        <w:pStyle w:val="9"/>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14.2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654C845C">
      <w:pPr>
        <w:pStyle w:val="9"/>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14.3供应商以电报、电话、传真形式递交磋商响应文件的，采购代理机构概不接受。</w:t>
      </w:r>
    </w:p>
    <w:p w14:paraId="0EC3402F">
      <w:pPr>
        <w:widowControl/>
        <w:spacing w:before="624" w:beforeLines="200" w:after="624" w:afterLines="200"/>
        <w:jc w:val="center"/>
        <w:outlineLvl w:val="1"/>
        <w:rPr>
          <w:rFonts w:hint="eastAsia" w:ascii="宋体" w:hAnsi="宋体" w:eastAsia="宋体" w:cs="宋体"/>
          <w:b/>
          <w:bCs/>
          <w:color w:val="auto"/>
          <w:kern w:val="0"/>
          <w:sz w:val="36"/>
          <w:szCs w:val="36"/>
          <w:highlight w:val="none"/>
        </w:rPr>
      </w:pPr>
      <w:bookmarkStart w:id="86" w:name="_Toc14276"/>
      <w:r>
        <w:rPr>
          <w:rFonts w:hint="eastAsia" w:ascii="宋体" w:hAnsi="宋体" w:eastAsia="宋体" w:cs="宋体"/>
          <w:b/>
          <w:bCs/>
          <w:color w:val="auto"/>
          <w:kern w:val="0"/>
          <w:sz w:val="36"/>
          <w:szCs w:val="36"/>
          <w:highlight w:val="none"/>
        </w:rPr>
        <w:t>五、</w:t>
      </w:r>
      <w:bookmarkEnd w:id="83"/>
      <w:bookmarkEnd w:id="84"/>
      <w:r>
        <w:rPr>
          <w:rFonts w:hint="eastAsia" w:ascii="宋体" w:hAnsi="宋体" w:eastAsia="宋体" w:cs="宋体"/>
          <w:b/>
          <w:bCs/>
          <w:color w:val="auto"/>
          <w:kern w:val="0"/>
          <w:sz w:val="36"/>
          <w:szCs w:val="36"/>
          <w:highlight w:val="none"/>
        </w:rPr>
        <w:t>资格审查程序及方法</w:t>
      </w:r>
      <w:bookmarkEnd w:id="85"/>
      <w:bookmarkEnd w:id="86"/>
    </w:p>
    <w:p w14:paraId="1B3A9C67">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87" w:name="_Toc496189551"/>
      <w:bookmarkStart w:id="88" w:name="_Toc23431"/>
      <w:bookmarkStart w:id="89" w:name="_Toc496004007"/>
      <w:bookmarkStart w:id="90" w:name="_Toc496626212"/>
      <w:r>
        <w:rPr>
          <w:rFonts w:hint="eastAsia" w:ascii="宋体" w:hAnsi="宋体" w:eastAsia="宋体" w:cs="宋体"/>
          <w:b/>
          <w:bCs/>
          <w:color w:val="auto"/>
          <w:kern w:val="0"/>
          <w:sz w:val="27"/>
          <w:szCs w:val="27"/>
          <w:highlight w:val="none"/>
        </w:rPr>
        <w:t>15. 资格审查程序</w:t>
      </w:r>
      <w:bookmarkEnd w:id="87"/>
      <w:bookmarkEnd w:id="88"/>
      <w:bookmarkEnd w:id="89"/>
      <w:bookmarkEnd w:id="90"/>
    </w:p>
    <w:p w14:paraId="321E77F4">
      <w:pPr>
        <w:ind w:firstLine="480"/>
        <w:rPr>
          <w:rFonts w:hint="eastAsia" w:ascii="宋体" w:hAnsi="宋体" w:eastAsia="宋体" w:cs="宋体"/>
          <w:color w:val="auto"/>
          <w:highlight w:val="none"/>
        </w:rPr>
      </w:pPr>
      <w:r>
        <w:rPr>
          <w:rFonts w:hint="eastAsia" w:ascii="宋体" w:hAnsi="宋体" w:eastAsia="宋体" w:cs="宋体"/>
          <w:color w:val="auto"/>
          <w:highlight w:val="none"/>
        </w:rPr>
        <w:t>15.1</w:t>
      </w:r>
      <w:r>
        <w:rPr>
          <w:rFonts w:hint="eastAsia" w:ascii="宋体" w:hAnsi="宋体" w:eastAsia="宋体" w:cs="宋体"/>
          <w:color w:val="auto"/>
          <w:kern w:val="0"/>
          <w:highlight w:val="none"/>
        </w:rPr>
        <w:t>递交首次磋商响应文件截止时间后</w:t>
      </w:r>
      <w:r>
        <w:rPr>
          <w:rFonts w:hint="eastAsia" w:ascii="宋体" w:hAnsi="宋体" w:eastAsia="宋体" w:cs="宋体"/>
          <w:color w:val="auto"/>
          <w:highlight w:val="none"/>
        </w:rPr>
        <w:t>，由磋商小组依法对供应商的资格进行审查。</w:t>
      </w:r>
    </w:p>
    <w:p w14:paraId="1ECC2220">
      <w:pPr>
        <w:ind w:firstLine="480"/>
        <w:rPr>
          <w:rFonts w:hint="eastAsia" w:ascii="宋体" w:hAnsi="宋体" w:eastAsia="宋体" w:cs="宋体"/>
          <w:color w:val="auto"/>
          <w:highlight w:val="none"/>
        </w:rPr>
      </w:pPr>
      <w:r>
        <w:rPr>
          <w:rFonts w:hint="eastAsia" w:ascii="宋体" w:hAnsi="宋体" w:eastAsia="宋体" w:cs="宋体"/>
          <w:color w:val="auto"/>
          <w:highlight w:val="none"/>
        </w:rPr>
        <w:t>15.2 供应商数量不满足相关规定的，不得评审。</w:t>
      </w:r>
    </w:p>
    <w:p w14:paraId="6E937525">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91" w:name="_Toc16710"/>
      <w:bookmarkStart w:id="92" w:name="_Toc496626213"/>
      <w:bookmarkStart w:id="93" w:name="_Toc496004008"/>
      <w:bookmarkStart w:id="94" w:name="_Toc496189552"/>
      <w:r>
        <w:rPr>
          <w:rFonts w:hint="eastAsia" w:ascii="宋体" w:hAnsi="宋体" w:eastAsia="宋体" w:cs="宋体"/>
          <w:b/>
          <w:bCs/>
          <w:color w:val="auto"/>
          <w:kern w:val="0"/>
          <w:sz w:val="27"/>
          <w:szCs w:val="27"/>
          <w:highlight w:val="none"/>
        </w:rPr>
        <w:t>16.资格审查不通过的情形</w:t>
      </w:r>
      <w:bookmarkEnd w:id="91"/>
      <w:bookmarkEnd w:id="92"/>
      <w:bookmarkEnd w:id="93"/>
      <w:bookmarkEnd w:id="94"/>
    </w:p>
    <w:p w14:paraId="4792AB18">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资格审查时，供应商存在下列情况之一的，按无效投标处理：</w:t>
      </w:r>
    </w:p>
    <w:p w14:paraId="27443D77">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 不符合磋商文件第一部分投标人须知前附表“供应商资格条件”的；</w:t>
      </w:r>
    </w:p>
    <w:p w14:paraId="7953D774">
      <w:pPr>
        <w:spacing w:line="360" w:lineRule="auto"/>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16.2 未按第11.1款（1）-（</w:t>
      </w:r>
      <w:r>
        <w:rPr>
          <w:rFonts w:hint="eastAsia" w:ascii="宋体" w:hAnsi="宋体" w:cs="宋体"/>
          <w:color w:val="auto"/>
          <w:highlight w:val="none"/>
          <w:lang w:val="en-US" w:eastAsia="zh-CN"/>
        </w:rPr>
        <w:t>9</w:t>
      </w:r>
      <w:r>
        <w:rPr>
          <w:rFonts w:hint="eastAsia" w:ascii="宋体" w:hAnsi="宋体" w:eastAsia="宋体" w:cs="宋体"/>
          <w:color w:val="auto"/>
          <w:highlight w:val="none"/>
        </w:rPr>
        <w:t>）要求提供相关资料的；</w:t>
      </w:r>
    </w:p>
    <w:p w14:paraId="1B27C2FE">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16.3 资格审查文件没有按磋商文件规定和要求签字、盖章的；</w:t>
      </w:r>
    </w:p>
    <w:p w14:paraId="0651A0AE">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16.4 擅自修改磋商文件规定的磋商响应文件格式以及编制要求的。</w:t>
      </w:r>
    </w:p>
    <w:p w14:paraId="15D00605">
      <w:pPr>
        <w:widowControl/>
        <w:spacing w:before="624" w:beforeLines="200" w:after="624" w:afterLines="200"/>
        <w:jc w:val="center"/>
        <w:outlineLvl w:val="1"/>
        <w:rPr>
          <w:rFonts w:hint="eastAsia" w:ascii="宋体" w:hAnsi="宋体" w:eastAsia="宋体" w:cs="宋体"/>
          <w:b/>
          <w:bCs/>
          <w:color w:val="auto"/>
          <w:kern w:val="0"/>
          <w:sz w:val="36"/>
          <w:szCs w:val="36"/>
          <w:highlight w:val="none"/>
        </w:rPr>
      </w:pPr>
      <w:bookmarkStart w:id="95" w:name="_Toc325726021"/>
      <w:bookmarkStart w:id="96" w:name="_Toc376936752"/>
      <w:bookmarkStart w:id="97" w:name="_Toc20961"/>
      <w:bookmarkStart w:id="98" w:name="_Toc496626214"/>
      <w:r>
        <w:rPr>
          <w:rFonts w:hint="eastAsia" w:ascii="宋体" w:hAnsi="宋体" w:eastAsia="宋体" w:cs="宋体"/>
          <w:b/>
          <w:bCs/>
          <w:color w:val="auto"/>
          <w:kern w:val="0"/>
          <w:sz w:val="36"/>
          <w:szCs w:val="36"/>
          <w:highlight w:val="none"/>
        </w:rPr>
        <w:t>六、磋商程序及方法</w:t>
      </w:r>
      <w:bookmarkEnd w:id="95"/>
      <w:bookmarkEnd w:id="96"/>
      <w:bookmarkEnd w:id="97"/>
      <w:bookmarkEnd w:id="98"/>
    </w:p>
    <w:p w14:paraId="4C825D1E">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99" w:name="_Toc31677"/>
      <w:bookmarkStart w:id="100" w:name="_Toc376936753"/>
      <w:bookmarkStart w:id="101" w:name="_Toc325726022"/>
      <w:bookmarkStart w:id="102" w:name="_Toc496626215"/>
      <w:r>
        <w:rPr>
          <w:rFonts w:hint="eastAsia" w:ascii="宋体" w:hAnsi="宋体" w:eastAsia="宋体" w:cs="宋体"/>
          <w:b/>
          <w:bCs/>
          <w:color w:val="auto"/>
          <w:kern w:val="0"/>
          <w:sz w:val="27"/>
          <w:szCs w:val="27"/>
          <w:highlight w:val="none"/>
        </w:rPr>
        <w:t>17.磋商小组</w:t>
      </w:r>
      <w:bookmarkEnd w:id="99"/>
      <w:bookmarkEnd w:id="100"/>
      <w:bookmarkEnd w:id="101"/>
      <w:bookmarkEnd w:id="102"/>
    </w:p>
    <w:p w14:paraId="23B7CDBF">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F6BB9DB">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17.2磋商由采购代理机构负责组织，具体磋商事务由依法组建的磋商小组负责，并独立履行下列职责：</w:t>
      </w:r>
    </w:p>
    <w:p w14:paraId="5533AE48">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（1）审查通过资格条件供应商的磋商响应文件，并作出评价；</w:t>
      </w:r>
    </w:p>
    <w:p w14:paraId="20CADA4E">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（2）要求供应商对解释或澄清其磋商响应文件；</w:t>
      </w:r>
    </w:p>
    <w:p w14:paraId="51C1C5E7">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（3）推荐预成交候选供应商；</w:t>
      </w:r>
    </w:p>
    <w:p w14:paraId="73D0774E">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（4）对非法干预评标工作的人员和机构进行举报或投诉。</w:t>
      </w:r>
    </w:p>
    <w:p w14:paraId="5FC14ACE">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17.3磋商小组应遵守并履行下列义务：</w:t>
      </w:r>
    </w:p>
    <w:p w14:paraId="65FA9352">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（1）遵纪守法，客观、公正、廉洁地履行职责；</w:t>
      </w:r>
    </w:p>
    <w:p w14:paraId="2688A779">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（2）按照磋商文件规定的评审方法和评审标准进行评审，对评审意见承担磋商小组成员责任；</w:t>
      </w:r>
    </w:p>
    <w:p w14:paraId="048796C0">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（3）对磋商响应文件、磋商情况和磋商中获悉的商业秘密保密；</w:t>
      </w:r>
    </w:p>
    <w:p w14:paraId="274C5290">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（4）参与磋商报告的起草；</w:t>
      </w:r>
    </w:p>
    <w:p w14:paraId="7ECA6FA9">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（5）解答供应商及有关方面的质疑；</w:t>
      </w:r>
    </w:p>
    <w:p w14:paraId="0AB32DB0">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（6）配合纪检部门进行投诉处理工作。</w:t>
      </w:r>
    </w:p>
    <w:p w14:paraId="5FBBE9F7">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17.4磋商工作由采购代理机构组织，采购人、采购监管、纪检监察等有关方面代表可根据采购项目的具体情况列席。</w:t>
      </w:r>
    </w:p>
    <w:p w14:paraId="44532752">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17.5磋商工作在有关部门的监督和严格保密的情况下依法进行，任何单位和个人不得非法干预、影响磋商工作和磋商结果。</w:t>
      </w:r>
    </w:p>
    <w:p w14:paraId="74EAE1B7">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D0B556D">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03" w:name="_Toc376936754"/>
      <w:bookmarkStart w:id="104" w:name="_Toc18324"/>
      <w:bookmarkStart w:id="105" w:name="_Toc325726023"/>
      <w:bookmarkStart w:id="106" w:name="_Toc496626216"/>
      <w:r>
        <w:rPr>
          <w:rFonts w:hint="eastAsia" w:ascii="宋体" w:hAnsi="宋体" w:eastAsia="宋体" w:cs="宋体"/>
          <w:b/>
          <w:bCs/>
          <w:color w:val="auto"/>
          <w:kern w:val="0"/>
          <w:sz w:val="27"/>
          <w:szCs w:val="27"/>
          <w:highlight w:val="none"/>
        </w:rPr>
        <w:t>18.磋商工作程序</w:t>
      </w:r>
      <w:bookmarkEnd w:id="103"/>
      <w:bookmarkEnd w:id="104"/>
      <w:bookmarkEnd w:id="105"/>
      <w:bookmarkEnd w:id="106"/>
    </w:p>
    <w:p w14:paraId="129282AA">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szCs w:val="20"/>
          <w:highlight w:val="none"/>
        </w:rPr>
        <w:t>18.1</w:t>
      </w:r>
      <w:r>
        <w:rPr>
          <w:rFonts w:hint="eastAsia" w:ascii="宋体" w:hAnsi="宋体" w:eastAsia="宋体" w:cs="宋体"/>
          <w:color w:val="auto"/>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10A7E0E5">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18.2符合性审查时，存在下列情况之一的，按无效处理：</w:t>
      </w:r>
    </w:p>
    <w:p w14:paraId="59E47398">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（1）未按第11.2款（</w:t>
      </w:r>
      <w:r>
        <w:rPr>
          <w:rFonts w:hint="eastAsia" w:ascii="宋体" w:hAnsi="宋体" w:cs="宋体"/>
          <w:color w:val="auto"/>
          <w:highlight w:val="none"/>
          <w:lang w:val="en-US" w:eastAsia="zh-CN"/>
        </w:rPr>
        <w:t>10</w:t>
      </w:r>
      <w:r>
        <w:rPr>
          <w:rFonts w:hint="eastAsia" w:ascii="宋体" w:hAnsi="宋体" w:eastAsia="宋体" w:cs="宋体"/>
          <w:color w:val="auto"/>
          <w:highlight w:val="none"/>
        </w:rPr>
        <w:t>）-（1</w:t>
      </w:r>
      <w:r>
        <w:rPr>
          <w:rFonts w:hint="eastAsia" w:ascii="宋体" w:hAnsi="宋体" w:cs="宋体"/>
          <w:color w:val="auto"/>
          <w:highlight w:val="none"/>
          <w:lang w:val="en-US" w:eastAsia="zh-CN"/>
        </w:rPr>
        <w:t>1</w:t>
      </w:r>
      <w:r>
        <w:rPr>
          <w:rFonts w:hint="eastAsia" w:ascii="宋体" w:hAnsi="宋体" w:eastAsia="宋体" w:cs="宋体"/>
          <w:color w:val="auto"/>
          <w:highlight w:val="none"/>
        </w:rPr>
        <w:t>）要求提供相关资料的；</w:t>
      </w:r>
    </w:p>
    <w:p w14:paraId="7C2E254C">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（2）符合性审查文件没有按磋商文件规定和要求签字、盖章的；</w:t>
      </w:r>
    </w:p>
    <w:p w14:paraId="737D8D2D">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（3）供应商最后磋商报价出现两个或两个以上报价方案的；</w:t>
      </w:r>
    </w:p>
    <w:p w14:paraId="740DA7CA">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cs="宋体"/>
          <w:color w:val="auto"/>
          <w:highlight w:val="none"/>
          <w:lang w:val="en-US" w:eastAsia="zh-CN"/>
        </w:rPr>
        <w:t>服务期</w:t>
      </w:r>
      <w:r>
        <w:rPr>
          <w:rFonts w:hint="eastAsia" w:ascii="宋体" w:hAnsi="宋体" w:eastAsia="宋体" w:cs="宋体"/>
          <w:color w:val="auto"/>
          <w:highlight w:val="none"/>
        </w:rPr>
        <w:t>、投标有效期不能满足磋商文件要求的；</w:t>
      </w:r>
    </w:p>
    <w:p w14:paraId="30FC7DE0">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（5）投标报价超过磋商文件规定的采购预算额度；</w:t>
      </w:r>
    </w:p>
    <w:p w14:paraId="7967E65E">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（6）投标产品的技术规格、技术标准明显不符合采购项目要求的；</w:t>
      </w:r>
    </w:p>
    <w:p w14:paraId="6E6E4E15">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（7）投标产品未完全满足磋商文件确定的重要技术指标、参数的；</w:t>
      </w:r>
    </w:p>
    <w:p w14:paraId="21BD1F88">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（8）磋商响应文件含有采购人不能接受的附加条件的；</w:t>
      </w:r>
    </w:p>
    <w:p w14:paraId="36BF3751">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（9）磋商小组认为应按无效投标处理的其他情况；</w:t>
      </w:r>
    </w:p>
    <w:p w14:paraId="57C34385">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（10）法律、法规规定的其他情形。</w:t>
      </w:r>
    </w:p>
    <w:p w14:paraId="2BFE6F02">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18.3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7EF3D66B">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18.4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59870084">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07" w:name="_Toc496004012"/>
      <w:bookmarkStart w:id="108" w:name="_Toc496626217"/>
      <w:bookmarkStart w:id="109" w:name="_Toc12924"/>
      <w:r>
        <w:rPr>
          <w:rFonts w:hint="eastAsia" w:ascii="宋体" w:hAnsi="宋体" w:eastAsia="宋体" w:cs="宋体"/>
          <w:b/>
          <w:bCs/>
          <w:color w:val="auto"/>
          <w:kern w:val="0"/>
          <w:sz w:val="27"/>
          <w:szCs w:val="27"/>
          <w:highlight w:val="none"/>
        </w:rPr>
        <w:t>19.答疑的方式和情形</w:t>
      </w:r>
      <w:bookmarkEnd w:id="107"/>
      <w:bookmarkEnd w:id="108"/>
      <w:bookmarkEnd w:id="109"/>
    </w:p>
    <w:p w14:paraId="48F4336C">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FD455E8">
      <w:pPr>
        <w:tabs>
          <w:tab w:val="left" w:pos="8787"/>
        </w:tabs>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19.2 磋商小组应当要求供应商在规定的时间内予以澄清、说明或者更正。澄清、说明或者更正材料由供应商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14:paraId="7ED09940">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19.3 答疑期间，供应商存在以下情况的，澄清、说明或者更正的内容将不予接受，磋商小组将按照磋商文件的要求对现有的资料做出评审意见：</w:t>
      </w:r>
    </w:p>
    <w:p w14:paraId="517F8D78">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（1）拒绝或在规定的时间内未做出澄清、说明或者更正；</w:t>
      </w:r>
    </w:p>
    <w:p w14:paraId="03204D5B">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kern w:val="0"/>
          <w:highlight w:val="none"/>
        </w:rPr>
        <w:t>供应商的澄清、说明或者更正</w:t>
      </w:r>
      <w:r>
        <w:rPr>
          <w:rFonts w:hint="eastAsia" w:ascii="宋体" w:hAnsi="宋体" w:eastAsia="宋体" w:cs="宋体"/>
          <w:color w:val="auto"/>
          <w:highlight w:val="none"/>
        </w:rPr>
        <w:t>超出磋商响应文件的范围或者改变磋商响应文件的实质性内容；</w:t>
      </w:r>
    </w:p>
    <w:p w14:paraId="0C89CBD7">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（3）澄清、说明或者更正的内容仍不能说明问题的；</w:t>
      </w:r>
    </w:p>
    <w:p w14:paraId="343E11D5">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（4）供应商主动提出的澄清、说明或者更正的内容；</w:t>
      </w:r>
    </w:p>
    <w:p w14:paraId="5D78C892">
      <w:pPr>
        <w:tabs>
          <w:tab w:val="left" w:pos="8787"/>
        </w:tabs>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（5）磋商小组认为应不予接受的其他情况</w:t>
      </w:r>
    </w:p>
    <w:p w14:paraId="773C2DE4">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10" w:name="_Toc325726024"/>
      <w:bookmarkStart w:id="111" w:name="_Toc496626218"/>
      <w:bookmarkStart w:id="112" w:name="_Toc18024"/>
      <w:bookmarkStart w:id="113" w:name="_Toc376936755"/>
      <w:r>
        <w:rPr>
          <w:rFonts w:hint="eastAsia" w:ascii="宋体" w:hAnsi="宋体" w:eastAsia="宋体" w:cs="宋体"/>
          <w:b/>
          <w:bCs/>
          <w:color w:val="auto"/>
          <w:kern w:val="0"/>
          <w:sz w:val="27"/>
          <w:szCs w:val="27"/>
          <w:highlight w:val="none"/>
        </w:rPr>
        <w:t>20.评审办法</w:t>
      </w:r>
      <w:bookmarkEnd w:id="110"/>
      <w:bookmarkEnd w:id="111"/>
      <w:bookmarkEnd w:id="112"/>
      <w:bookmarkEnd w:id="113"/>
    </w:p>
    <w:p w14:paraId="0686C5EB">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20.1依照《中华人民共和国政府采购法》、《中华人民共和国政府采购法实施条例》、《政府采购竞争性磋商采购方式管理暂行办法》的规定，结合该项目的特点制定本评审办法。本次评审采用综合评分法。</w:t>
      </w:r>
    </w:p>
    <w:p w14:paraId="539BC5BE">
      <w:pPr>
        <w:spacing w:line="360" w:lineRule="auto"/>
        <w:ind w:firstLine="480"/>
        <w:jc w:val="left"/>
        <w:rPr>
          <w:rFonts w:hint="eastAsia" w:ascii="宋体" w:hAnsi="宋体" w:eastAsia="宋体" w:cs="宋体"/>
          <w:b/>
          <w:color w:val="auto"/>
          <w:highlight w:val="none"/>
        </w:rPr>
      </w:pPr>
      <w:r>
        <w:rPr>
          <w:rFonts w:hint="eastAsia" w:ascii="宋体" w:hAnsi="宋体" w:eastAsia="宋体" w:cs="宋体"/>
          <w:color w:val="auto"/>
          <w:highlight w:val="none"/>
        </w:rPr>
        <w:t>本次综合评分的主要因素是：</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报价、</w:t>
      </w:r>
      <w:r>
        <w:rPr>
          <w:rFonts w:hint="eastAsia" w:ascii="宋体" w:hAnsi="宋体" w:cs="宋体"/>
          <w:color w:val="auto"/>
          <w:szCs w:val="21"/>
          <w:highlight w:val="none"/>
          <w:lang w:val="en-US" w:eastAsia="zh-CN"/>
        </w:rPr>
        <w:t>履约能力、</w:t>
      </w:r>
      <w:r>
        <w:rPr>
          <w:rFonts w:hint="eastAsia" w:ascii="宋体" w:hAnsi="宋体" w:cs="宋体"/>
          <w:color w:val="auto"/>
          <w:highlight w:val="none"/>
          <w:lang w:val="en-US" w:eastAsia="zh-CN"/>
        </w:rPr>
        <w:t>技术水平</w:t>
      </w:r>
      <w:r>
        <w:rPr>
          <w:rFonts w:hint="eastAsia" w:ascii="宋体" w:hAnsi="宋体" w:eastAsia="宋体" w:cs="宋体"/>
          <w:color w:val="auto"/>
          <w:highlight w:val="none"/>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2635C868">
      <w:pPr>
        <w:spacing w:line="360" w:lineRule="auto"/>
        <w:ind w:firstLine="480"/>
        <w:jc w:val="left"/>
        <w:rPr>
          <w:rFonts w:hint="eastAsia" w:ascii="宋体" w:hAnsi="宋体" w:eastAsia="宋体" w:cs="宋体"/>
          <w:bCs/>
          <w:color w:val="auto"/>
          <w:highlight w:val="none"/>
        </w:rPr>
      </w:pPr>
      <w:r>
        <w:rPr>
          <w:rFonts w:hint="eastAsia" w:ascii="宋体" w:hAnsi="宋体" w:eastAsia="宋体" w:cs="宋体"/>
          <w:color w:val="auto"/>
          <w:highlight w:val="none"/>
        </w:rPr>
        <w:t>根据《政府采购促进中小企业发展暂行办法》，属小型、微型企业制造的货物（产品），供应商须提供该制造（生产）企业出具的《中小企业声明函》，并由供应商加盖公章，其划型标准严格按照国家工信部、国家统计局、国家发改委、财政部出台的《中小企业划型标准规定》（工信部联企业[2011]300号）执行。 供应商提供的《中小企业声明函》资料必须真实，否则</w:t>
      </w:r>
      <w:r>
        <w:rPr>
          <w:rFonts w:hint="eastAsia" w:ascii="宋体" w:hAnsi="宋体" w:eastAsia="宋体" w:cs="宋体"/>
          <w:bCs/>
          <w:color w:val="auto"/>
          <w:highlight w:val="none"/>
        </w:rPr>
        <w:t>，按照有关规定予以处理。</w:t>
      </w:r>
    </w:p>
    <w:p w14:paraId="7DB16774">
      <w:pPr>
        <w:spacing w:line="360" w:lineRule="auto"/>
        <w:ind w:firstLine="480"/>
        <w:jc w:val="left"/>
        <w:rPr>
          <w:rFonts w:hint="eastAsia" w:ascii="宋体" w:hAnsi="宋体" w:eastAsia="宋体" w:cs="宋体"/>
          <w:bCs/>
          <w:color w:val="auto"/>
          <w:highlight w:val="none"/>
        </w:rPr>
      </w:pPr>
      <w:r>
        <w:rPr>
          <w:rFonts w:hint="eastAsia" w:ascii="宋体" w:hAnsi="宋体" w:eastAsia="宋体" w:cs="宋体"/>
          <w:bCs/>
          <w:color w:val="auto"/>
          <w:highlight w:val="none"/>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72D7B09C">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26719CB6">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评审标准和分值分配：</w:t>
      </w:r>
    </w:p>
    <w:tbl>
      <w:tblPr>
        <w:tblStyle w:val="19"/>
        <w:tblpPr w:leftFromText="180" w:rightFromText="180" w:vertAnchor="text" w:horzAnchor="page" w:tblpX="1795" w:tblpY="439"/>
        <w:tblOverlap w:val="never"/>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211"/>
        <w:gridCol w:w="6603"/>
      </w:tblGrid>
      <w:tr w14:paraId="04CB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0" w:type="pct"/>
            <w:vAlign w:val="center"/>
          </w:tcPr>
          <w:p w14:paraId="44522610">
            <w:pPr>
              <w:autoSpaceDE w:val="0"/>
              <w:autoSpaceDN w:val="0"/>
              <w:adjustRightInd w:val="0"/>
              <w:spacing w:line="360" w:lineRule="auto"/>
              <w:jc w:val="center"/>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评审项目</w:t>
            </w:r>
          </w:p>
        </w:tc>
        <w:tc>
          <w:tcPr>
            <w:tcW w:w="705" w:type="pct"/>
            <w:vAlign w:val="center"/>
          </w:tcPr>
          <w:p w14:paraId="0001E700">
            <w:pPr>
              <w:autoSpaceDE w:val="0"/>
              <w:autoSpaceDN w:val="0"/>
              <w:adjustRightInd w:val="0"/>
              <w:spacing w:line="360" w:lineRule="auto"/>
              <w:jc w:val="center"/>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评审因素</w:t>
            </w:r>
          </w:p>
        </w:tc>
        <w:tc>
          <w:tcPr>
            <w:tcW w:w="3844" w:type="pct"/>
            <w:vAlign w:val="center"/>
          </w:tcPr>
          <w:p w14:paraId="0069F161">
            <w:pPr>
              <w:autoSpaceDE w:val="0"/>
              <w:autoSpaceDN w:val="0"/>
              <w:adjustRightInd w:val="0"/>
              <w:spacing w:line="360" w:lineRule="auto"/>
              <w:jc w:val="center"/>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评审标准</w:t>
            </w:r>
          </w:p>
        </w:tc>
      </w:tr>
      <w:tr w14:paraId="018A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450" w:type="pct"/>
            <w:vAlign w:val="center"/>
          </w:tcPr>
          <w:p w14:paraId="0CBDC09D">
            <w:pPr>
              <w:autoSpaceDE w:val="0"/>
              <w:autoSpaceDN w:val="0"/>
              <w:adjustRightInd w:val="0"/>
              <w:spacing w:line="360" w:lineRule="auto"/>
              <w:jc w:val="center"/>
              <w:rPr>
                <w:rFonts w:hint="eastAsia" w:ascii="宋体" w:hAnsi="宋体" w:eastAsia="宋体" w:cs="宋体"/>
                <w:kern w:val="0"/>
                <w:sz w:val="22"/>
                <w:szCs w:val="22"/>
                <w:lang w:val="zh-CN"/>
              </w:rPr>
            </w:pPr>
            <w:r>
              <w:rPr>
                <w:rFonts w:hint="eastAsia" w:ascii="宋体" w:hAnsi="宋体" w:eastAsia="宋体" w:cs="宋体"/>
                <w:sz w:val="22"/>
                <w:szCs w:val="22"/>
              </w:rPr>
              <w:t>磋商报价</w:t>
            </w:r>
          </w:p>
          <w:p w14:paraId="5D1AAE34">
            <w:pPr>
              <w:autoSpaceDE w:val="0"/>
              <w:autoSpaceDN w:val="0"/>
              <w:adjustRightInd w:val="0"/>
              <w:spacing w:line="360" w:lineRule="auto"/>
              <w:jc w:val="center"/>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w:t>
            </w:r>
            <w:r>
              <w:rPr>
                <w:rFonts w:hint="eastAsia" w:ascii="宋体" w:hAnsi="宋体" w:eastAsia="宋体" w:cs="宋体"/>
                <w:kern w:val="0"/>
                <w:sz w:val="22"/>
                <w:szCs w:val="22"/>
                <w:lang w:val="en-US" w:eastAsia="zh-CN"/>
              </w:rPr>
              <w:t>15</w:t>
            </w:r>
            <w:r>
              <w:rPr>
                <w:rFonts w:hint="eastAsia" w:ascii="宋体" w:hAnsi="宋体" w:eastAsia="宋体" w:cs="宋体"/>
                <w:kern w:val="0"/>
                <w:sz w:val="22"/>
                <w:szCs w:val="22"/>
                <w:lang w:val="zh-CN"/>
              </w:rPr>
              <w:t>分）</w:t>
            </w:r>
          </w:p>
        </w:tc>
        <w:tc>
          <w:tcPr>
            <w:tcW w:w="705" w:type="pct"/>
            <w:vAlign w:val="center"/>
          </w:tcPr>
          <w:p w14:paraId="22786AAB">
            <w:pPr>
              <w:autoSpaceDE w:val="0"/>
              <w:autoSpaceDN w:val="0"/>
              <w:adjustRightInd w:val="0"/>
              <w:spacing w:line="360" w:lineRule="auto"/>
              <w:jc w:val="center"/>
              <w:rPr>
                <w:rFonts w:hint="eastAsia" w:ascii="宋体" w:hAnsi="宋体" w:eastAsia="宋体" w:cs="宋体"/>
                <w:kern w:val="0"/>
                <w:sz w:val="22"/>
                <w:szCs w:val="22"/>
                <w:lang w:val="zh-CN"/>
              </w:rPr>
            </w:pPr>
            <w:r>
              <w:rPr>
                <w:rFonts w:hint="eastAsia" w:ascii="宋体" w:hAnsi="宋体" w:eastAsia="宋体" w:cs="宋体"/>
                <w:sz w:val="22"/>
                <w:szCs w:val="22"/>
              </w:rPr>
              <w:t>磋商报价</w:t>
            </w:r>
          </w:p>
          <w:p w14:paraId="2B904CB0">
            <w:pPr>
              <w:autoSpaceDE w:val="0"/>
              <w:autoSpaceDN w:val="0"/>
              <w:adjustRightInd w:val="0"/>
              <w:spacing w:line="360" w:lineRule="auto"/>
              <w:jc w:val="center"/>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w:t>
            </w:r>
            <w:r>
              <w:rPr>
                <w:rFonts w:hint="eastAsia" w:ascii="宋体" w:hAnsi="宋体" w:eastAsia="宋体" w:cs="宋体"/>
                <w:kern w:val="0"/>
                <w:sz w:val="22"/>
                <w:szCs w:val="22"/>
                <w:lang w:val="en-US" w:eastAsia="zh-CN"/>
              </w:rPr>
              <w:t>15</w:t>
            </w:r>
            <w:r>
              <w:rPr>
                <w:rFonts w:hint="eastAsia" w:ascii="宋体" w:hAnsi="宋体" w:eastAsia="宋体" w:cs="宋体"/>
                <w:kern w:val="0"/>
                <w:sz w:val="22"/>
                <w:szCs w:val="22"/>
                <w:lang w:val="zh-CN"/>
              </w:rPr>
              <w:t>分)</w:t>
            </w:r>
          </w:p>
        </w:tc>
        <w:tc>
          <w:tcPr>
            <w:tcW w:w="3844" w:type="pct"/>
            <w:vAlign w:val="center"/>
          </w:tcPr>
          <w:p w14:paraId="4A90A60C">
            <w:pPr>
              <w:widowControl/>
              <w:rPr>
                <w:rFonts w:hint="eastAsia" w:ascii="宋体" w:hAnsi="宋体" w:eastAsia="宋体" w:cs="宋体"/>
                <w:kern w:val="0"/>
                <w:sz w:val="22"/>
                <w:szCs w:val="22"/>
              </w:rPr>
            </w:pPr>
            <w:r>
              <w:rPr>
                <w:rFonts w:hint="eastAsia" w:ascii="宋体" w:hAnsi="宋体" w:eastAsia="宋体" w:cs="宋体"/>
                <w:kern w:val="0"/>
                <w:sz w:val="22"/>
                <w:szCs w:val="22"/>
              </w:rPr>
              <w:t>基准价=满足磋商文件要求且最后报价最低的供应商的价格为基准价。</w:t>
            </w:r>
          </w:p>
          <w:p w14:paraId="4B9EA638">
            <w:pPr>
              <w:widowControl/>
              <w:rPr>
                <w:rFonts w:hint="eastAsia" w:ascii="宋体" w:hAnsi="宋体" w:eastAsia="宋体" w:cs="宋体"/>
                <w:kern w:val="0"/>
                <w:sz w:val="22"/>
                <w:szCs w:val="22"/>
              </w:rPr>
            </w:pPr>
            <w:r>
              <w:rPr>
                <w:rFonts w:hint="eastAsia" w:ascii="宋体" w:hAnsi="宋体" w:eastAsia="宋体" w:cs="宋体"/>
                <w:kern w:val="0"/>
                <w:sz w:val="22"/>
                <w:szCs w:val="22"/>
              </w:rPr>
              <w:t>报价得分=（基准价/投标报价）×价格权值（</w:t>
            </w:r>
            <w:r>
              <w:rPr>
                <w:rFonts w:hint="eastAsia" w:ascii="宋体" w:hAnsi="宋体" w:eastAsia="宋体" w:cs="宋体"/>
                <w:kern w:val="0"/>
                <w:sz w:val="22"/>
                <w:szCs w:val="22"/>
                <w:lang w:val="en-US" w:eastAsia="zh-CN"/>
              </w:rPr>
              <w:t>15</w:t>
            </w:r>
            <w:r>
              <w:rPr>
                <w:rFonts w:hint="eastAsia" w:ascii="宋体" w:hAnsi="宋体" w:eastAsia="宋体" w:cs="宋体"/>
                <w:kern w:val="0"/>
                <w:sz w:val="22"/>
                <w:szCs w:val="22"/>
              </w:rPr>
              <w:t>%）×100（四舍五入后保留小数点后两位）。</w:t>
            </w:r>
          </w:p>
          <w:p w14:paraId="6E4ACAF3">
            <w:pPr>
              <w:widowControl/>
              <w:rPr>
                <w:rFonts w:hint="eastAsia" w:ascii="宋体" w:hAnsi="宋体" w:eastAsia="宋体" w:cs="宋体"/>
                <w:kern w:val="0"/>
                <w:sz w:val="22"/>
                <w:szCs w:val="22"/>
              </w:rPr>
            </w:pPr>
            <w:r>
              <w:rPr>
                <w:rFonts w:hint="eastAsia" w:ascii="宋体" w:hAnsi="宋体" w:eastAsia="宋体" w:cs="宋体"/>
                <w:kern w:val="0"/>
                <w:sz w:val="22"/>
                <w:szCs w:val="22"/>
              </w:rPr>
              <w:t>注：1、根据（财库〔2020〕46号）和（财库〔2022〕19号）的规定，对于经主管预算单位统筹后未预留份额专门面向中小企业招标的项目，对符合规定的小微企业报价、残疾人福利性单位、监狱企业价格给予10%的扣除，用扣除后的价格参与评标。</w:t>
            </w:r>
          </w:p>
          <w:p w14:paraId="023281A1">
            <w:pPr>
              <w:widowControl/>
              <w:rPr>
                <w:rFonts w:hint="eastAsia" w:ascii="宋体" w:hAnsi="宋体" w:eastAsia="宋体" w:cs="宋体"/>
                <w:kern w:val="0"/>
                <w:sz w:val="22"/>
                <w:szCs w:val="22"/>
              </w:rPr>
            </w:pPr>
            <w:r>
              <w:rPr>
                <w:rFonts w:hint="eastAsia" w:ascii="宋体" w:hAnsi="宋体" w:eastAsia="宋体" w:cs="宋体"/>
                <w:kern w:val="0"/>
                <w:sz w:val="22"/>
                <w:szCs w:val="22"/>
              </w:rPr>
              <w:t>2、监狱企业、残疾人福利性单位属于小型、微型企业的，不重复享受政策。</w:t>
            </w:r>
          </w:p>
        </w:tc>
      </w:tr>
      <w:tr w14:paraId="5860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vMerge w:val="restart"/>
            <w:vAlign w:val="center"/>
          </w:tcPr>
          <w:p w14:paraId="683CC960">
            <w:pPr>
              <w:widowControl/>
              <w:jc w:val="center"/>
              <w:rPr>
                <w:rFonts w:hint="eastAsia" w:ascii="宋体" w:hAnsi="宋体" w:eastAsia="宋体" w:cs="宋体"/>
                <w:kern w:val="0"/>
                <w:sz w:val="22"/>
                <w:szCs w:val="22"/>
              </w:rPr>
            </w:pPr>
            <w:r>
              <w:rPr>
                <w:rStyle w:val="40"/>
                <w:rFonts w:hint="eastAsia" w:ascii="宋体" w:hAnsi="宋体" w:eastAsia="宋体" w:cs="宋体"/>
                <w:sz w:val="22"/>
                <w:szCs w:val="22"/>
              </w:rPr>
              <w:t>履约能力（</w:t>
            </w:r>
            <w:r>
              <w:rPr>
                <w:rStyle w:val="40"/>
                <w:rFonts w:hint="eastAsia" w:ascii="宋体" w:hAnsi="宋体" w:eastAsia="宋体" w:cs="宋体"/>
                <w:sz w:val="22"/>
                <w:szCs w:val="22"/>
                <w:lang w:val="en-US" w:eastAsia="zh-CN"/>
              </w:rPr>
              <w:t>18</w:t>
            </w:r>
            <w:r>
              <w:rPr>
                <w:rStyle w:val="40"/>
                <w:rFonts w:hint="eastAsia" w:ascii="宋体" w:hAnsi="宋体" w:eastAsia="宋体" w:cs="宋体"/>
                <w:sz w:val="22"/>
                <w:szCs w:val="22"/>
              </w:rPr>
              <w:t>分）</w:t>
            </w:r>
          </w:p>
          <w:p w14:paraId="78454D6F">
            <w:pPr>
              <w:autoSpaceDE w:val="0"/>
              <w:autoSpaceDN w:val="0"/>
              <w:adjustRightInd w:val="0"/>
              <w:spacing w:line="360" w:lineRule="auto"/>
              <w:jc w:val="center"/>
              <w:rPr>
                <w:rFonts w:hint="eastAsia" w:ascii="宋体" w:hAnsi="宋体" w:eastAsia="宋体" w:cs="宋体"/>
                <w:kern w:val="0"/>
                <w:sz w:val="22"/>
                <w:szCs w:val="22"/>
                <w:lang w:val="zh-CN"/>
              </w:rPr>
            </w:pPr>
          </w:p>
        </w:tc>
        <w:tc>
          <w:tcPr>
            <w:tcW w:w="705" w:type="pct"/>
            <w:vAlign w:val="center"/>
          </w:tcPr>
          <w:p w14:paraId="7562DC51">
            <w:pPr>
              <w:widowControl/>
              <w:jc w:val="center"/>
              <w:rPr>
                <w:rFonts w:hint="default" w:ascii="宋体" w:hAnsi="宋体" w:eastAsia="宋体" w:cs="宋体"/>
                <w:kern w:val="0"/>
                <w:sz w:val="22"/>
                <w:szCs w:val="22"/>
                <w:lang w:val="en-US" w:eastAsia="zh-CN"/>
              </w:rPr>
            </w:pPr>
            <w:r>
              <w:rPr>
                <w:rStyle w:val="40"/>
                <w:rFonts w:hint="eastAsia" w:ascii="宋体" w:hAnsi="宋体" w:eastAsia="宋体" w:cs="宋体"/>
                <w:sz w:val="22"/>
                <w:szCs w:val="22"/>
              </w:rPr>
              <w:t>企业类似项目</w:t>
            </w:r>
            <w:r>
              <w:rPr>
                <w:rStyle w:val="40"/>
                <w:rFonts w:hint="eastAsia" w:ascii="宋体" w:hAnsi="宋体" w:cs="宋体"/>
                <w:sz w:val="22"/>
                <w:szCs w:val="22"/>
                <w:lang w:val="en-US" w:eastAsia="zh-CN"/>
              </w:rPr>
              <w:t>业绩</w:t>
            </w:r>
          </w:p>
          <w:p w14:paraId="329469FC">
            <w:pPr>
              <w:autoSpaceDE w:val="0"/>
              <w:autoSpaceDN w:val="0"/>
              <w:adjustRightInd w:val="0"/>
              <w:spacing w:line="360" w:lineRule="auto"/>
              <w:jc w:val="center"/>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（10分）</w:t>
            </w:r>
          </w:p>
        </w:tc>
        <w:tc>
          <w:tcPr>
            <w:tcW w:w="3844" w:type="pct"/>
            <w:vAlign w:val="center"/>
          </w:tcPr>
          <w:p w14:paraId="04F7EFA2">
            <w:pPr>
              <w:widowControl/>
              <w:jc w:val="both"/>
              <w:rPr>
                <w:rFonts w:hint="eastAsia" w:ascii="宋体" w:hAnsi="宋体" w:eastAsia="宋体" w:cs="宋体"/>
                <w:kern w:val="0"/>
                <w:sz w:val="22"/>
                <w:szCs w:val="22"/>
                <w:lang w:val="zh-CN"/>
              </w:rPr>
            </w:pPr>
            <w:r>
              <w:rPr>
                <w:rStyle w:val="40"/>
                <w:rFonts w:hint="eastAsia" w:ascii="宋体" w:hAnsi="宋体" w:eastAsia="宋体" w:cs="宋体"/>
                <w:sz w:val="22"/>
                <w:szCs w:val="22"/>
              </w:rPr>
              <w:t>企业类似项目</w:t>
            </w:r>
            <w:r>
              <w:rPr>
                <w:rStyle w:val="40"/>
                <w:rFonts w:hint="eastAsia" w:ascii="宋体" w:hAnsi="宋体" w:cs="宋体"/>
                <w:sz w:val="22"/>
                <w:szCs w:val="22"/>
                <w:lang w:val="en-US" w:eastAsia="zh-CN"/>
              </w:rPr>
              <w:t>业绩</w:t>
            </w:r>
            <w:r>
              <w:rPr>
                <w:rFonts w:hint="eastAsia" w:ascii="宋体" w:hAnsi="宋体" w:eastAsia="宋体" w:cs="宋体"/>
                <w:kern w:val="0"/>
                <w:sz w:val="22"/>
                <w:szCs w:val="22"/>
                <w:lang w:val="zh-CN"/>
              </w:rPr>
              <w:t>（10分）：</w:t>
            </w:r>
            <w:r>
              <w:rPr>
                <w:rStyle w:val="40"/>
                <w:rFonts w:hint="eastAsia" w:ascii="宋体" w:hAnsi="宋体" w:eastAsia="宋体" w:cs="宋体"/>
                <w:sz w:val="22"/>
                <w:szCs w:val="22"/>
              </w:rPr>
              <w:t>自2021年01月01日至今，每提供一项企业类似工程的设计业绩的得2分，满分10分。业绩以生效的中标通知书或合同复印件为准。</w:t>
            </w:r>
          </w:p>
        </w:tc>
      </w:tr>
      <w:tr w14:paraId="689A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450" w:type="pct"/>
            <w:vMerge w:val="continue"/>
            <w:vAlign w:val="center"/>
          </w:tcPr>
          <w:p w14:paraId="2346D01F">
            <w:pPr>
              <w:autoSpaceDE w:val="0"/>
              <w:autoSpaceDN w:val="0"/>
              <w:adjustRightInd w:val="0"/>
              <w:spacing w:line="360" w:lineRule="auto"/>
              <w:jc w:val="center"/>
              <w:rPr>
                <w:rFonts w:hint="eastAsia" w:ascii="宋体" w:hAnsi="宋体" w:eastAsia="宋体" w:cs="宋体"/>
                <w:kern w:val="0"/>
                <w:sz w:val="22"/>
                <w:szCs w:val="22"/>
                <w:lang w:val="zh-CN"/>
              </w:rPr>
            </w:pPr>
          </w:p>
        </w:tc>
        <w:tc>
          <w:tcPr>
            <w:tcW w:w="705" w:type="pct"/>
            <w:vAlign w:val="center"/>
          </w:tcPr>
          <w:p w14:paraId="1EB9D5FE">
            <w:pPr>
              <w:widowControl/>
              <w:jc w:val="center"/>
              <w:rPr>
                <w:rFonts w:hint="eastAsia" w:ascii="宋体" w:hAnsi="宋体" w:eastAsia="宋体" w:cs="宋体"/>
                <w:kern w:val="0"/>
                <w:sz w:val="22"/>
                <w:szCs w:val="22"/>
              </w:rPr>
            </w:pPr>
            <w:r>
              <w:rPr>
                <w:rStyle w:val="40"/>
                <w:rFonts w:hint="eastAsia" w:ascii="宋体" w:hAnsi="宋体" w:eastAsia="宋体" w:cs="宋体"/>
                <w:sz w:val="22"/>
                <w:szCs w:val="22"/>
              </w:rPr>
              <w:t>设计团队</w:t>
            </w:r>
          </w:p>
          <w:p w14:paraId="20A1162A">
            <w:pPr>
              <w:widowControl/>
              <w:jc w:val="center"/>
              <w:rPr>
                <w:rStyle w:val="40"/>
                <w:rFonts w:hint="eastAsia" w:ascii="宋体" w:hAnsi="宋体" w:eastAsia="宋体" w:cs="宋体"/>
                <w:sz w:val="22"/>
                <w:szCs w:val="22"/>
              </w:rPr>
            </w:pPr>
            <w:r>
              <w:rPr>
                <w:rStyle w:val="40"/>
                <w:rFonts w:hint="eastAsia" w:ascii="宋体" w:hAnsi="宋体" w:eastAsia="宋体" w:cs="宋体"/>
                <w:sz w:val="22"/>
                <w:szCs w:val="22"/>
              </w:rPr>
              <w:t>（</w:t>
            </w:r>
            <w:r>
              <w:rPr>
                <w:rStyle w:val="40"/>
                <w:rFonts w:hint="eastAsia" w:ascii="宋体" w:hAnsi="宋体" w:eastAsia="宋体" w:cs="宋体"/>
                <w:sz w:val="22"/>
                <w:szCs w:val="22"/>
                <w:lang w:val="en-US" w:eastAsia="zh-CN"/>
              </w:rPr>
              <w:t>8</w:t>
            </w:r>
            <w:r>
              <w:rPr>
                <w:rStyle w:val="40"/>
                <w:rFonts w:hint="eastAsia" w:ascii="宋体" w:hAnsi="宋体" w:eastAsia="宋体" w:cs="宋体"/>
                <w:sz w:val="22"/>
                <w:szCs w:val="22"/>
              </w:rPr>
              <w:t>分）</w:t>
            </w:r>
          </w:p>
        </w:tc>
        <w:tc>
          <w:tcPr>
            <w:tcW w:w="3844" w:type="pct"/>
            <w:vAlign w:val="center"/>
          </w:tcPr>
          <w:p w14:paraId="08344BFC">
            <w:pPr>
              <w:widowControl/>
              <w:jc w:val="both"/>
              <w:rPr>
                <w:rStyle w:val="40"/>
                <w:rFonts w:hint="eastAsia" w:ascii="宋体" w:hAnsi="宋体" w:eastAsia="宋体" w:cs="宋体"/>
                <w:color w:val="auto"/>
                <w:kern w:val="0"/>
                <w:sz w:val="22"/>
                <w:szCs w:val="22"/>
              </w:rPr>
            </w:pPr>
            <w:r>
              <w:rPr>
                <w:rStyle w:val="40"/>
                <w:rFonts w:hint="eastAsia" w:ascii="宋体" w:hAnsi="宋体" w:eastAsia="宋体" w:cs="宋体"/>
                <w:sz w:val="22"/>
                <w:szCs w:val="22"/>
              </w:rPr>
              <w:t>设计团队（</w:t>
            </w:r>
            <w:r>
              <w:rPr>
                <w:rStyle w:val="40"/>
                <w:rFonts w:hint="eastAsia" w:ascii="宋体" w:hAnsi="宋体" w:eastAsia="宋体" w:cs="宋体"/>
                <w:sz w:val="22"/>
                <w:szCs w:val="22"/>
                <w:lang w:val="en-US" w:eastAsia="zh-CN"/>
              </w:rPr>
              <w:t>8</w:t>
            </w:r>
            <w:r>
              <w:rPr>
                <w:rStyle w:val="40"/>
                <w:rFonts w:hint="eastAsia" w:ascii="宋体" w:hAnsi="宋体" w:eastAsia="宋体" w:cs="宋体"/>
                <w:sz w:val="22"/>
                <w:szCs w:val="22"/>
              </w:rPr>
              <w:t>分</w:t>
            </w:r>
            <w:r>
              <w:rPr>
                <w:rStyle w:val="40"/>
                <w:rFonts w:hint="eastAsia" w:ascii="宋体" w:hAnsi="宋体" w:eastAsia="宋体" w:cs="宋体"/>
                <w:sz w:val="22"/>
                <w:szCs w:val="22"/>
                <w:lang w:eastAsia="zh-CN"/>
              </w:rPr>
              <w:t>）：</w:t>
            </w:r>
            <w:r>
              <w:rPr>
                <w:rStyle w:val="40"/>
                <w:rFonts w:hint="eastAsia" w:ascii="宋体" w:hAnsi="宋体" w:eastAsia="宋体" w:cs="宋体"/>
                <w:sz w:val="22"/>
                <w:szCs w:val="22"/>
              </w:rPr>
              <w:t>（1） 项目负责人具备高级职称的，得4分。具备中级职称的，得 2 分。（须提供职称证、近半年内任意1个月的人员社保缴纳证明材料）不提供不得分。(2)设计团队人员中需包括建筑、结构等专业人员</w:t>
            </w:r>
            <w:r>
              <w:rPr>
                <w:rStyle w:val="40"/>
                <w:rFonts w:hint="eastAsia" w:ascii="宋体" w:hAnsi="宋体" w:eastAsia="宋体" w:cs="宋体"/>
                <w:sz w:val="22"/>
                <w:szCs w:val="22"/>
                <w:lang w:eastAsia="zh-CN"/>
              </w:rPr>
              <w:t>，</w:t>
            </w:r>
            <w:r>
              <w:rPr>
                <w:rStyle w:val="40"/>
                <w:rFonts w:hint="eastAsia" w:ascii="宋体" w:hAnsi="宋体" w:eastAsia="宋体" w:cs="宋体"/>
                <w:sz w:val="22"/>
                <w:szCs w:val="22"/>
              </w:rPr>
              <w:t>需提供中级及以上职称证书， 每提供1名得</w:t>
            </w:r>
            <w:r>
              <w:rPr>
                <w:rStyle w:val="40"/>
                <w:rFonts w:hint="eastAsia" w:ascii="宋体" w:hAnsi="宋体" w:eastAsia="宋体" w:cs="宋体"/>
                <w:sz w:val="22"/>
                <w:szCs w:val="22"/>
                <w:lang w:val="en-US" w:eastAsia="zh-CN"/>
              </w:rPr>
              <w:t>2</w:t>
            </w:r>
            <w:r>
              <w:rPr>
                <w:rStyle w:val="40"/>
                <w:rFonts w:hint="eastAsia" w:ascii="宋体" w:hAnsi="宋体" w:eastAsia="宋体" w:cs="宋体"/>
                <w:sz w:val="22"/>
                <w:szCs w:val="22"/>
              </w:rPr>
              <w:t>分， 最高得</w:t>
            </w:r>
            <w:r>
              <w:rPr>
                <w:rStyle w:val="40"/>
                <w:rFonts w:hint="eastAsia" w:ascii="宋体" w:hAnsi="宋体" w:eastAsia="宋体" w:cs="宋体"/>
                <w:sz w:val="22"/>
                <w:szCs w:val="22"/>
                <w:lang w:val="en-US" w:eastAsia="zh-CN"/>
              </w:rPr>
              <w:t>4</w:t>
            </w:r>
            <w:r>
              <w:rPr>
                <w:rStyle w:val="40"/>
                <w:rFonts w:hint="eastAsia" w:ascii="宋体" w:hAnsi="宋体" w:eastAsia="宋体" w:cs="宋体"/>
                <w:sz w:val="22"/>
                <w:szCs w:val="22"/>
              </w:rPr>
              <w:t>分。 (须提供职称证、 近半年内任意 1 个月的人员社保缴纳证明材料)不提供不得分。注： 以上人员不重复得分。</w:t>
            </w:r>
          </w:p>
        </w:tc>
      </w:tr>
      <w:tr w14:paraId="043E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450" w:type="pct"/>
            <w:vMerge w:val="restart"/>
            <w:vAlign w:val="center"/>
          </w:tcPr>
          <w:p w14:paraId="696EF600">
            <w:pPr>
              <w:widowControl/>
              <w:jc w:val="center"/>
              <w:rPr>
                <w:rFonts w:hint="eastAsia" w:ascii="宋体" w:hAnsi="宋体" w:eastAsia="宋体" w:cs="宋体"/>
                <w:kern w:val="0"/>
                <w:sz w:val="22"/>
                <w:szCs w:val="22"/>
              </w:rPr>
            </w:pPr>
            <w:r>
              <w:rPr>
                <w:rStyle w:val="40"/>
                <w:rFonts w:hint="eastAsia" w:ascii="宋体" w:hAnsi="宋体" w:eastAsia="宋体" w:cs="宋体"/>
                <w:sz w:val="22"/>
                <w:szCs w:val="22"/>
              </w:rPr>
              <w:t>技术水平</w:t>
            </w:r>
            <w:r>
              <w:rPr>
                <w:rStyle w:val="40"/>
                <w:rFonts w:hint="eastAsia" w:ascii="宋体" w:hAnsi="宋体" w:eastAsia="宋体" w:cs="宋体"/>
                <w:sz w:val="22"/>
                <w:szCs w:val="22"/>
                <w:lang w:val="en-US" w:eastAsia="zh-CN"/>
              </w:rPr>
              <w:t>67</w:t>
            </w:r>
            <w:r>
              <w:rPr>
                <w:rStyle w:val="40"/>
                <w:rFonts w:hint="eastAsia" w:ascii="宋体" w:hAnsi="宋体" w:eastAsia="宋体" w:cs="宋体"/>
                <w:sz w:val="22"/>
                <w:szCs w:val="22"/>
              </w:rPr>
              <w:t>分</w:t>
            </w:r>
          </w:p>
          <w:p w14:paraId="230BCA0A">
            <w:pPr>
              <w:autoSpaceDE w:val="0"/>
              <w:autoSpaceDN w:val="0"/>
              <w:adjustRightInd w:val="0"/>
              <w:spacing w:line="360" w:lineRule="auto"/>
              <w:jc w:val="center"/>
              <w:rPr>
                <w:rFonts w:hint="eastAsia" w:ascii="宋体" w:hAnsi="宋体" w:eastAsia="宋体" w:cs="宋体"/>
                <w:kern w:val="0"/>
                <w:sz w:val="22"/>
                <w:szCs w:val="22"/>
                <w:lang w:val="zh-CN"/>
              </w:rPr>
            </w:pPr>
          </w:p>
        </w:tc>
        <w:tc>
          <w:tcPr>
            <w:tcW w:w="705" w:type="pct"/>
            <w:vAlign w:val="center"/>
          </w:tcPr>
          <w:p w14:paraId="75E0A77D">
            <w:pPr>
              <w:widowControl/>
              <w:jc w:val="center"/>
              <w:rPr>
                <w:rFonts w:hint="eastAsia" w:ascii="宋体" w:hAnsi="宋体" w:eastAsia="宋体" w:cs="宋体"/>
                <w:kern w:val="0"/>
                <w:sz w:val="22"/>
                <w:szCs w:val="22"/>
              </w:rPr>
            </w:pPr>
            <w:r>
              <w:rPr>
                <w:rStyle w:val="40"/>
                <w:rFonts w:hint="eastAsia" w:ascii="宋体" w:hAnsi="宋体" w:eastAsia="宋体" w:cs="宋体"/>
                <w:sz w:val="22"/>
                <w:szCs w:val="22"/>
              </w:rPr>
              <w:t>设计方案</w:t>
            </w:r>
          </w:p>
          <w:p w14:paraId="2C2E2A15">
            <w:pPr>
              <w:widowControl/>
              <w:jc w:val="center"/>
              <w:rPr>
                <w:rStyle w:val="40"/>
                <w:rFonts w:hint="eastAsia" w:ascii="宋体" w:hAnsi="宋体" w:eastAsia="宋体" w:cs="宋体"/>
                <w:sz w:val="22"/>
                <w:szCs w:val="22"/>
              </w:rPr>
            </w:pPr>
            <w:r>
              <w:rPr>
                <w:rStyle w:val="40"/>
                <w:rFonts w:hint="eastAsia" w:ascii="宋体" w:hAnsi="宋体" w:eastAsia="宋体" w:cs="宋体"/>
                <w:sz w:val="22"/>
                <w:szCs w:val="22"/>
              </w:rPr>
              <w:t>（</w:t>
            </w:r>
            <w:r>
              <w:rPr>
                <w:rStyle w:val="40"/>
                <w:rFonts w:hint="eastAsia" w:ascii="宋体" w:hAnsi="宋体" w:eastAsia="宋体" w:cs="宋体"/>
                <w:sz w:val="22"/>
                <w:szCs w:val="22"/>
                <w:lang w:val="en-US" w:eastAsia="zh-CN"/>
              </w:rPr>
              <w:t>15</w:t>
            </w:r>
            <w:r>
              <w:rPr>
                <w:rStyle w:val="40"/>
                <w:rFonts w:hint="eastAsia" w:ascii="宋体" w:hAnsi="宋体" w:eastAsia="宋体" w:cs="宋体"/>
                <w:sz w:val="22"/>
                <w:szCs w:val="22"/>
              </w:rPr>
              <w:t>分）</w:t>
            </w:r>
          </w:p>
        </w:tc>
        <w:tc>
          <w:tcPr>
            <w:tcW w:w="3844" w:type="pct"/>
            <w:vAlign w:val="center"/>
          </w:tcPr>
          <w:p w14:paraId="6D5A04AC">
            <w:pPr>
              <w:widowControl/>
              <w:jc w:val="both"/>
              <w:rPr>
                <w:rStyle w:val="40"/>
                <w:rFonts w:hint="eastAsia" w:ascii="宋体" w:hAnsi="宋体" w:eastAsia="宋体" w:cs="宋体"/>
                <w:sz w:val="22"/>
                <w:szCs w:val="22"/>
                <w:lang w:val="en-US" w:eastAsia="zh-CN"/>
              </w:rPr>
            </w:pPr>
            <w:r>
              <w:rPr>
                <w:rStyle w:val="40"/>
                <w:rFonts w:hint="eastAsia" w:ascii="宋体" w:hAnsi="宋体" w:eastAsia="宋体" w:cs="宋体"/>
                <w:sz w:val="22"/>
                <w:szCs w:val="22"/>
              </w:rPr>
              <w:t>设计方案（</w:t>
            </w:r>
            <w:r>
              <w:rPr>
                <w:rStyle w:val="40"/>
                <w:rFonts w:hint="eastAsia" w:ascii="宋体" w:hAnsi="宋体" w:eastAsia="宋体" w:cs="宋体"/>
                <w:sz w:val="22"/>
                <w:szCs w:val="22"/>
                <w:lang w:val="en-US" w:eastAsia="zh-CN"/>
              </w:rPr>
              <w:t>15</w:t>
            </w:r>
            <w:r>
              <w:rPr>
                <w:rStyle w:val="40"/>
                <w:rFonts w:hint="eastAsia" w:ascii="宋体" w:hAnsi="宋体" w:eastAsia="宋体" w:cs="宋体"/>
                <w:sz w:val="22"/>
                <w:szCs w:val="22"/>
              </w:rPr>
              <w:t>分）</w:t>
            </w:r>
            <w:r>
              <w:rPr>
                <w:rStyle w:val="40"/>
                <w:rFonts w:hint="eastAsia" w:ascii="宋体" w:hAnsi="宋体" w:eastAsia="宋体" w:cs="宋体"/>
                <w:sz w:val="22"/>
                <w:szCs w:val="22"/>
                <w:lang w:eastAsia="zh-CN"/>
              </w:rPr>
              <w:t>：</w:t>
            </w:r>
            <w:r>
              <w:rPr>
                <w:rStyle w:val="40"/>
                <w:rFonts w:hint="eastAsia" w:ascii="宋体" w:hAnsi="宋体" w:eastAsia="宋体" w:cs="宋体"/>
                <w:sz w:val="22"/>
                <w:szCs w:val="22"/>
              </w:rPr>
              <w:t>设计方案内容详尽合理， 清晰、 明确，完全满足要求， 得</w:t>
            </w:r>
            <w:r>
              <w:rPr>
                <w:rStyle w:val="40"/>
                <w:rFonts w:hint="eastAsia" w:ascii="宋体" w:hAnsi="宋体" w:eastAsia="宋体" w:cs="宋体"/>
                <w:sz w:val="22"/>
                <w:szCs w:val="22"/>
                <w:lang w:val="en-US" w:eastAsia="zh-CN"/>
              </w:rPr>
              <w:t>15</w:t>
            </w:r>
            <w:r>
              <w:rPr>
                <w:rStyle w:val="40"/>
                <w:rFonts w:hint="eastAsia" w:ascii="宋体" w:hAnsi="宋体" w:eastAsia="宋体" w:cs="宋体"/>
                <w:sz w:val="22"/>
                <w:szCs w:val="22"/>
              </w:rPr>
              <w:t xml:space="preserve"> 分； 设计方案基本满足要求的， 得</w:t>
            </w:r>
            <w:r>
              <w:rPr>
                <w:rStyle w:val="40"/>
                <w:rFonts w:hint="eastAsia" w:ascii="宋体" w:hAnsi="宋体" w:eastAsia="宋体" w:cs="宋体"/>
                <w:sz w:val="22"/>
                <w:szCs w:val="22"/>
                <w:lang w:val="en-US" w:eastAsia="zh-CN"/>
              </w:rPr>
              <w:t>11</w:t>
            </w:r>
            <w:r>
              <w:rPr>
                <w:rStyle w:val="40"/>
                <w:rFonts w:hint="eastAsia" w:ascii="宋体" w:hAnsi="宋体" w:eastAsia="宋体" w:cs="宋体"/>
                <w:sz w:val="22"/>
                <w:szCs w:val="22"/>
              </w:rPr>
              <w:t>分； 设计方案可行的， 得</w:t>
            </w:r>
            <w:r>
              <w:rPr>
                <w:rStyle w:val="40"/>
                <w:rFonts w:hint="eastAsia" w:ascii="宋体" w:hAnsi="宋体" w:eastAsia="宋体" w:cs="宋体"/>
                <w:sz w:val="22"/>
                <w:szCs w:val="22"/>
                <w:lang w:val="en-US" w:eastAsia="zh-CN"/>
              </w:rPr>
              <w:t>7</w:t>
            </w:r>
            <w:r>
              <w:rPr>
                <w:rStyle w:val="40"/>
                <w:rFonts w:hint="eastAsia" w:ascii="宋体" w:hAnsi="宋体" w:eastAsia="宋体" w:cs="宋体"/>
                <w:sz w:val="22"/>
                <w:szCs w:val="22"/>
              </w:rPr>
              <w:t>分； 仅提供了简单的设计方案的，得3分； 不提供的不得分</w:t>
            </w:r>
            <w:r>
              <w:rPr>
                <w:rStyle w:val="40"/>
                <w:rFonts w:hint="eastAsia" w:ascii="宋体" w:hAnsi="宋体" w:eastAsia="宋体" w:cs="宋体"/>
                <w:sz w:val="22"/>
                <w:szCs w:val="22"/>
                <w:lang w:eastAsia="zh-CN"/>
              </w:rPr>
              <w:t>。</w:t>
            </w:r>
          </w:p>
        </w:tc>
      </w:tr>
      <w:tr w14:paraId="798E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50" w:type="pct"/>
            <w:vMerge w:val="continue"/>
            <w:vAlign w:val="center"/>
          </w:tcPr>
          <w:p w14:paraId="45B3D1EB">
            <w:pPr>
              <w:autoSpaceDE w:val="0"/>
              <w:autoSpaceDN w:val="0"/>
              <w:adjustRightInd w:val="0"/>
              <w:spacing w:line="360" w:lineRule="auto"/>
              <w:jc w:val="center"/>
              <w:rPr>
                <w:rFonts w:hint="eastAsia" w:ascii="宋体" w:hAnsi="宋体" w:eastAsia="宋体" w:cs="宋体"/>
                <w:kern w:val="0"/>
                <w:sz w:val="22"/>
                <w:szCs w:val="22"/>
                <w:lang w:val="zh-CN"/>
              </w:rPr>
            </w:pPr>
          </w:p>
        </w:tc>
        <w:tc>
          <w:tcPr>
            <w:tcW w:w="705" w:type="pct"/>
            <w:vAlign w:val="center"/>
          </w:tcPr>
          <w:p w14:paraId="25085046">
            <w:pPr>
              <w:widowControl/>
              <w:jc w:val="center"/>
              <w:rPr>
                <w:rFonts w:hint="eastAsia" w:ascii="宋体" w:hAnsi="宋体" w:eastAsia="宋体" w:cs="宋体"/>
                <w:kern w:val="0"/>
                <w:sz w:val="22"/>
                <w:szCs w:val="22"/>
              </w:rPr>
            </w:pPr>
            <w:r>
              <w:rPr>
                <w:rStyle w:val="40"/>
                <w:rFonts w:hint="eastAsia" w:ascii="宋体" w:hAnsi="宋体" w:eastAsia="宋体" w:cs="宋体"/>
                <w:sz w:val="22"/>
                <w:szCs w:val="22"/>
              </w:rPr>
              <w:t>设计质量、 保证措</w:t>
            </w:r>
          </w:p>
          <w:p w14:paraId="5A19C7D6">
            <w:pPr>
              <w:widowControl/>
              <w:jc w:val="center"/>
              <w:rPr>
                <w:rStyle w:val="40"/>
                <w:rFonts w:hint="eastAsia" w:ascii="宋体" w:hAnsi="宋体" w:eastAsia="宋体" w:cs="宋体"/>
                <w:sz w:val="22"/>
                <w:szCs w:val="22"/>
              </w:rPr>
            </w:pPr>
            <w:r>
              <w:rPr>
                <w:rStyle w:val="40"/>
                <w:rFonts w:hint="eastAsia" w:ascii="宋体" w:hAnsi="宋体" w:eastAsia="宋体" w:cs="宋体"/>
                <w:sz w:val="22"/>
                <w:szCs w:val="22"/>
              </w:rPr>
              <w:t>（</w:t>
            </w:r>
            <w:r>
              <w:rPr>
                <w:rStyle w:val="40"/>
                <w:rFonts w:hint="eastAsia" w:ascii="宋体" w:hAnsi="宋体" w:eastAsia="宋体" w:cs="宋体"/>
                <w:sz w:val="22"/>
                <w:szCs w:val="22"/>
                <w:lang w:val="en-US" w:eastAsia="zh-CN"/>
              </w:rPr>
              <w:t>5</w:t>
            </w:r>
            <w:r>
              <w:rPr>
                <w:rStyle w:val="40"/>
                <w:rFonts w:hint="eastAsia" w:ascii="宋体" w:hAnsi="宋体" w:eastAsia="宋体" w:cs="宋体"/>
                <w:sz w:val="22"/>
                <w:szCs w:val="22"/>
              </w:rPr>
              <w:t>分）</w:t>
            </w:r>
          </w:p>
        </w:tc>
        <w:tc>
          <w:tcPr>
            <w:tcW w:w="3844" w:type="pct"/>
            <w:vAlign w:val="center"/>
          </w:tcPr>
          <w:p w14:paraId="16D04FF9">
            <w:pPr>
              <w:widowControl/>
              <w:jc w:val="both"/>
              <w:rPr>
                <w:rStyle w:val="40"/>
                <w:rFonts w:hint="eastAsia" w:ascii="宋体" w:hAnsi="宋体" w:eastAsia="宋体" w:cs="宋体"/>
                <w:sz w:val="22"/>
                <w:szCs w:val="22"/>
                <w:lang w:eastAsia="zh-CN"/>
              </w:rPr>
            </w:pPr>
            <w:r>
              <w:rPr>
                <w:rStyle w:val="40"/>
                <w:rFonts w:hint="eastAsia" w:ascii="宋体" w:hAnsi="宋体" w:eastAsia="宋体" w:cs="宋体"/>
                <w:sz w:val="22"/>
                <w:szCs w:val="22"/>
              </w:rPr>
              <w:t>设计质量、保证措（</w:t>
            </w:r>
            <w:r>
              <w:rPr>
                <w:rStyle w:val="40"/>
                <w:rFonts w:hint="eastAsia" w:ascii="宋体" w:hAnsi="宋体" w:eastAsia="宋体" w:cs="宋体"/>
                <w:sz w:val="22"/>
                <w:szCs w:val="22"/>
                <w:lang w:val="en-US" w:eastAsia="zh-CN"/>
              </w:rPr>
              <w:t>5</w:t>
            </w:r>
            <w:r>
              <w:rPr>
                <w:rStyle w:val="40"/>
                <w:rFonts w:hint="eastAsia" w:ascii="宋体" w:hAnsi="宋体" w:eastAsia="宋体" w:cs="宋体"/>
                <w:sz w:val="22"/>
                <w:szCs w:val="22"/>
              </w:rPr>
              <w:t>分）</w:t>
            </w:r>
            <w:r>
              <w:rPr>
                <w:rStyle w:val="40"/>
                <w:rFonts w:hint="eastAsia" w:ascii="宋体" w:hAnsi="宋体" w:eastAsia="宋体" w:cs="宋体"/>
                <w:sz w:val="22"/>
                <w:szCs w:val="22"/>
                <w:lang w:eastAsia="zh-CN"/>
              </w:rPr>
              <w:t>：</w:t>
            </w:r>
            <w:r>
              <w:rPr>
                <w:rStyle w:val="40"/>
                <w:rFonts w:hint="eastAsia" w:ascii="宋体" w:hAnsi="宋体" w:eastAsia="宋体" w:cs="宋体"/>
                <w:sz w:val="22"/>
                <w:szCs w:val="22"/>
              </w:rPr>
              <w:t xml:space="preserve">设计质量等保证措施内容全面、 切实可行、 有针对性的，得 </w:t>
            </w:r>
            <w:r>
              <w:rPr>
                <w:rStyle w:val="40"/>
                <w:rFonts w:hint="eastAsia" w:ascii="宋体" w:hAnsi="宋体" w:eastAsia="宋体" w:cs="宋体"/>
                <w:sz w:val="22"/>
                <w:szCs w:val="22"/>
                <w:lang w:val="en-US" w:eastAsia="zh-CN"/>
              </w:rPr>
              <w:t>5</w:t>
            </w:r>
            <w:r>
              <w:rPr>
                <w:rStyle w:val="40"/>
                <w:rFonts w:hint="eastAsia" w:ascii="宋体" w:hAnsi="宋体" w:eastAsia="宋体" w:cs="宋体"/>
                <w:sz w:val="22"/>
                <w:szCs w:val="22"/>
              </w:rPr>
              <w:t xml:space="preserve">分； 设计质量等保证措施基本满足要求的， 得 </w:t>
            </w:r>
            <w:r>
              <w:rPr>
                <w:rStyle w:val="40"/>
                <w:rFonts w:hint="eastAsia" w:ascii="宋体" w:hAnsi="宋体" w:eastAsia="宋体" w:cs="宋体"/>
                <w:sz w:val="22"/>
                <w:szCs w:val="22"/>
                <w:lang w:val="en-US" w:eastAsia="zh-CN"/>
              </w:rPr>
              <w:t>3</w:t>
            </w:r>
            <w:r>
              <w:rPr>
                <w:rStyle w:val="40"/>
                <w:rFonts w:hint="eastAsia" w:ascii="宋体" w:hAnsi="宋体" w:eastAsia="宋体" w:cs="宋体"/>
                <w:sz w:val="22"/>
                <w:szCs w:val="22"/>
              </w:rPr>
              <w:t xml:space="preserve">分；设计质量等保证措施可行的得 </w:t>
            </w:r>
            <w:r>
              <w:rPr>
                <w:rStyle w:val="40"/>
                <w:rFonts w:hint="eastAsia" w:ascii="宋体" w:hAnsi="宋体" w:eastAsia="宋体" w:cs="宋体"/>
                <w:sz w:val="22"/>
                <w:szCs w:val="22"/>
                <w:lang w:val="en-US" w:eastAsia="zh-CN"/>
              </w:rPr>
              <w:t>2</w:t>
            </w:r>
            <w:r>
              <w:rPr>
                <w:rStyle w:val="40"/>
                <w:rFonts w:hint="eastAsia" w:ascii="宋体" w:hAnsi="宋体" w:eastAsia="宋体" w:cs="宋体"/>
                <w:sz w:val="22"/>
                <w:szCs w:val="22"/>
              </w:rPr>
              <w:t xml:space="preserve">分； 仅提供了简单的设计质量、 保密等保证措施的， 得 </w:t>
            </w:r>
            <w:r>
              <w:rPr>
                <w:rStyle w:val="40"/>
                <w:rFonts w:hint="eastAsia" w:ascii="宋体" w:hAnsi="宋体" w:eastAsia="宋体" w:cs="宋体"/>
                <w:sz w:val="22"/>
                <w:szCs w:val="22"/>
                <w:lang w:val="en-US" w:eastAsia="zh-CN"/>
              </w:rPr>
              <w:t>1</w:t>
            </w:r>
            <w:r>
              <w:rPr>
                <w:rStyle w:val="40"/>
                <w:rFonts w:hint="eastAsia" w:ascii="宋体" w:hAnsi="宋体" w:eastAsia="宋体" w:cs="宋体"/>
                <w:sz w:val="22"/>
                <w:szCs w:val="22"/>
              </w:rPr>
              <w:t>分； 不提供的不得分。</w:t>
            </w:r>
          </w:p>
        </w:tc>
      </w:tr>
      <w:tr w14:paraId="6FD8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450" w:type="pct"/>
            <w:vMerge w:val="continue"/>
            <w:vAlign w:val="center"/>
          </w:tcPr>
          <w:p w14:paraId="0A66AB50">
            <w:pPr>
              <w:autoSpaceDE w:val="0"/>
              <w:autoSpaceDN w:val="0"/>
              <w:adjustRightInd w:val="0"/>
              <w:spacing w:line="360" w:lineRule="auto"/>
              <w:jc w:val="center"/>
              <w:rPr>
                <w:rFonts w:hint="eastAsia" w:ascii="宋体" w:hAnsi="宋体" w:eastAsia="宋体" w:cs="宋体"/>
                <w:kern w:val="0"/>
                <w:sz w:val="22"/>
                <w:szCs w:val="22"/>
                <w:lang w:val="zh-CN"/>
              </w:rPr>
            </w:pPr>
          </w:p>
        </w:tc>
        <w:tc>
          <w:tcPr>
            <w:tcW w:w="705" w:type="pct"/>
            <w:vAlign w:val="center"/>
          </w:tcPr>
          <w:p w14:paraId="6DE2BBDB">
            <w:pPr>
              <w:widowControl/>
              <w:jc w:val="center"/>
              <w:rPr>
                <w:rFonts w:hint="eastAsia" w:ascii="宋体" w:hAnsi="宋体" w:eastAsia="宋体" w:cs="宋体"/>
                <w:kern w:val="0"/>
                <w:sz w:val="22"/>
                <w:szCs w:val="22"/>
              </w:rPr>
            </w:pPr>
            <w:r>
              <w:rPr>
                <w:rStyle w:val="40"/>
                <w:rFonts w:hint="eastAsia" w:ascii="宋体" w:hAnsi="宋体" w:eastAsia="宋体" w:cs="宋体"/>
                <w:sz w:val="22"/>
                <w:szCs w:val="22"/>
              </w:rPr>
              <w:t>设计工作重点、难 点分析</w:t>
            </w:r>
          </w:p>
          <w:p w14:paraId="2A09D6FA">
            <w:pPr>
              <w:widowControl/>
              <w:jc w:val="center"/>
              <w:rPr>
                <w:rStyle w:val="40"/>
                <w:rFonts w:hint="eastAsia" w:ascii="宋体" w:hAnsi="宋体" w:eastAsia="宋体" w:cs="宋体"/>
                <w:sz w:val="22"/>
                <w:szCs w:val="22"/>
              </w:rPr>
            </w:pPr>
            <w:r>
              <w:rPr>
                <w:rStyle w:val="40"/>
                <w:rFonts w:hint="eastAsia" w:ascii="宋体" w:hAnsi="宋体" w:eastAsia="宋体" w:cs="宋体"/>
                <w:sz w:val="22"/>
                <w:szCs w:val="22"/>
              </w:rPr>
              <w:t>（</w:t>
            </w:r>
            <w:r>
              <w:rPr>
                <w:rStyle w:val="40"/>
                <w:rFonts w:hint="eastAsia" w:ascii="宋体" w:hAnsi="宋体" w:eastAsia="宋体" w:cs="宋体"/>
                <w:sz w:val="22"/>
                <w:szCs w:val="22"/>
                <w:lang w:val="en-US" w:eastAsia="zh-CN"/>
              </w:rPr>
              <w:t>10</w:t>
            </w:r>
            <w:r>
              <w:rPr>
                <w:rStyle w:val="40"/>
                <w:rFonts w:hint="eastAsia" w:ascii="宋体" w:hAnsi="宋体" w:eastAsia="宋体" w:cs="宋体"/>
                <w:sz w:val="22"/>
                <w:szCs w:val="22"/>
              </w:rPr>
              <w:t>分）</w:t>
            </w:r>
          </w:p>
        </w:tc>
        <w:tc>
          <w:tcPr>
            <w:tcW w:w="3844" w:type="pct"/>
            <w:vAlign w:val="center"/>
          </w:tcPr>
          <w:p w14:paraId="0505D9BD">
            <w:pPr>
              <w:widowControl/>
              <w:jc w:val="both"/>
              <w:rPr>
                <w:rStyle w:val="40"/>
                <w:rFonts w:hint="eastAsia" w:ascii="宋体" w:hAnsi="宋体" w:eastAsia="宋体" w:cs="宋体"/>
                <w:sz w:val="22"/>
                <w:szCs w:val="22"/>
              </w:rPr>
            </w:pPr>
            <w:r>
              <w:rPr>
                <w:rStyle w:val="40"/>
                <w:rFonts w:hint="eastAsia" w:ascii="宋体" w:hAnsi="宋体" w:eastAsia="宋体" w:cs="宋体"/>
                <w:sz w:val="22"/>
                <w:szCs w:val="22"/>
              </w:rPr>
              <w:t>设计工作重点、难点分析（</w:t>
            </w:r>
            <w:r>
              <w:rPr>
                <w:rStyle w:val="40"/>
                <w:rFonts w:hint="eastAsia" w:ascii="宋体" w:hAnsi="宋体" w:eastAsia="宋体" w:cs="宋体"/>
                <w:sz w:val="22"/>
                <w:szCs w:val="22"/>
                <w:lang w:val="en-US" w:eastAsia="zh-CN"/>
              </w:rPr>
              <w:t>10</w:t>
            </w:r>
            <w:r>
              <w:rPr>
                <w:rStyle w:val="40"/>
                <w:rFonts w:hint="eastAsia" w:ascii="宋体" w:hAnsi="宋体" w:eastAsia="宋体" w:cs="宋体"/>
                <w:sz w:val="22"/>
                <w:szCs w:val="22"/>
              </w:rPr>
              <w:t>分）</w:t>
            </w:r>
            <w:r>
              <w:rPr>
                <w:rStyle w:val="40"/>
                <w:rFonts w:hint="eastAsia" w:ascii="宋体" w:hAnsi="宋体" w:eastAsia="宋体" w:cs="宋体"/>
                <w:sz w:val="22"/>
                <w:szCs w:val="22"/>
                <w:lang w:eastAsia="zh-CN"/>
              </w:rPr>
              <w:t>：</w:t>
            </w:r>
            <w:r>
              <w:rPr>
                <w:rStyle w:val="40"/>
                <w:rFonts w:hint="eastAsia" w:ascii="宋体" w:hAnsi="宋体" w:eastAsia="宋体" w:cs="宋体"/>
                <w:sz w:val="22"/>
                <w:szCs w:val="22"/>
              </w:rPr>
              <w:t xml:space="preserve">设计工作重点、 难点分析依据本项目的特点， 对其重点、难点制定专项方案。 内容全面、 详细、 完整的， 得 </w:t>
            </w:r>
            <w:r>
              <w:rPr>
                <w:rStyle w:val="40"/>
                <w:rFonts w:hint="eastAsia" w:ascii="宋体" w:hAnsi="宋体" w:eastAsia="宋体" w:cs="宋体"/>
                <w:sz w:val="22"/>
                <w:szCs w:val="22"/>
                <w:lang w:val="en-US" w:eastAsia="zh-CN"/>
              </w:rPr>
              <w:t>10</w:t>
            </w:r>
            <w:r>
              <w:rPr>
                <w:rStyle w:val="40"/>
                <w:rFonts w:hint="eastAsia" w:ascii="宋体" w:hAnsi="宋体" w:eastAsia="宋体" w:cs="宋体"/>
                <w:sz w:val="22"/>
                <w:szCs w:val="22"/>
              </w:rPr>
              <w:t xml:space="preserve">分；设计工作重点、 难点分析内容基本满足要求的， 得 </w:t>
            </w:r>
            <w:r>
              <w:rPr>
                <w:rStyle w:val="40"/>
                <w:rFonts w:hint="eastAsia" w:ascii="宋体" w:hAnsi="宋体" w:eastAsia="宋体" w:cs="宋体"/>
                <w:sz w:val="22"/>
                <w:szCs w:val="22"/>
                <w:lang w:val="en-US" w:eastAsia="zh-CN"/>
              </w:rPr>
              <w:t>7</w:t>
            </w:r>
            <w:r>
              <w:rPr>
                <w:rStyle w:val="40"/>
                <w:rFonts w:hint="eastAsia" w:ascii="宋体" w:hAnsi="宋体" w:eastAsia="宋体" w:cs="宋体"/>
                <w:sz w:val="22"/>
                <w:szCs w:val="22"/>
              </w:rPr>
              <w:t>分；设计工作重点、 难点分析可行的， 得 4 分； 仅简单提供了设计工作重点、 难点分析的，得</w:t>
            </w:r>
            <w:r>
              <w:rPr>
                <w:rStyle w:val="40"/>
                <w:rFonts w:hint="eastAsia" w:ascii="宋体" w:hAnsi="宋体" w:eastAsia="宋体" w:cs="宋体"/>
                <w:sz w:val="22"/>
                <w:szCs w:val="22"/>
                <w:lang w:val="en-US" w:eastAsia="zh-CN"/>
              </w:rPr>
              <w:t>1</w:t>
            </w:r>
            <w:r>
              <w:rPr>
                <w:rStyle w:val="40"/>
                <w:rFonts w:hint="eastAsia" w:ascii="宋体" w:hAnsi="宋体" w:eastAsia="宋体" w:cs="宋体"/>
                <w:sz w:val="22"/>
                <w:szCs w:val="22"/>
              </w:rPr>
              <w:t>分；不提供的不得分。</w:t>
            </w:r>
          </w:p>
        </w:tc>
      </w:tr>
      <w:tr w14:paraId="2051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450" w:type="pct"/>
            <w:vMerge w:val="continue"/>
            <w:vAlign w:val="center"/>
          </w:tcPr>
          <w:p w14:paraId="1D0B6A5B">
            <w:pPr>
              <w:autoSpaceDE w:val="0"/>
              <w:autoSpaceDN w:val="0"/>
              <w:adjustRightInd w:val="0"/>
              <w:spacing w:line="360" w:lineRule="auto"/>
              <w:jc w:val="center"/>
              <w:rPr>
                <w:rFonts w:hint="eastAsia" w:ascii="宋体" w:hAnsi="宋体" w:eastAsia="宋体" w:cs="宋体"/>
                <w:kern w:val="0"/>
                <w:sz w:val="22"/>
                <w:szCs w:val="22"/>
                <w:lang w:val="zh-CN"/>
              </w:rPr>
            </w:pPr>
          </w:p>
        </w:tc>
        <w:tc>
          <w:tcPr>
            <w:tcW w:w="705" w:type="pct"/>
            <w:vAlign w:val="center"/>
          </w:tcPr>
          <w:p w14:paraId="0E014910">
            <w:pPr>
              <w:widowControl/>
              <w:jc w:val="center"/>
              <w:rPr>
                <w:rFonts w:hint="eastAsia" w:ascii="宋体" w:hAnsi="宋体" w:eastAsia="宋体" w:cs="宋体"/>
                <w:kern w:val="0"/>
                <w:sz w:val="22"/>
                <w:szCs w:val="22"/>
              </w:rPr>
            </w:pPr>
            <w:r>
              <w:rPr>
                <w:rStyle w:val="40"/>
                <w:rFonts w:hint="eastAsia" w:ascii="宋体" w:hAnsi="宋体" w:eastAsia="宋体" w:cs="宋体"/>
                <w:sz w:val="22"/>
                <w:szCs w:val="22"/>
              </w:rPr>
              <w:t>设计安全 保证措</w:t>
            </w:r>
          </w:p>
          <w:p w14:paraId="1B1B19A2">
            <w:pPr>
              <w:widowControl/>
              <w:jc w:val="center"/>
              <w:rPr>
                <w:rStyle w:val="40"/>
                <w:rFonts w:hint="eastAsia" w:ascii="宋体" w:hAnsi="宋体" w:eastAsia="宋体" w:cs="宋体"/>
                <w:sz w:val="22"/>
                <w:szCs w:val="22"/>
              </w:rPr>
            </w:pPr>
            <w:r>
              <w:rPr>
                <w:rStyle w:val="40"/>
                <w:rFonts w:hint="eastAsia" w:ascii="宋体" w:hAnsi="宋体" w:eastAsia="宋体" w:cs="宋体"/>
                <w:sz w:val="22"/>
                <w:szCs w:val="22"/>
              </w:rPr>
              <w:t>（</w:t>
            </w:r>
            <w:r>
              <w:rPr>
                <w:rStyle w:val="40"/>
                <w:rFonts w:hint="eastAsia" w:ascii="宋体" w:hAnsi="宋体" w:eastAsia="宋体" w:cs="宋体"/>
                <w:sz w:val="22"/>
                <w:szCs w:val="22"/>
                <w:lang w:val="en-US" w:eastAsia="zh-CN"/>
              </w:rPr>
              <w:t>10</w:t>
            </w:r>
            <w:r>
              <w:rPr>
                <w:rStyle w:val="40"/>
                <w:rFonts w:hint="eastAsia" w:ascii="宋体" w:hAnsi="宋体" w:eastAsia="宋体" w:cs="宋体"/>
                <w:sz w:val="22"/>
                <w:szCs w:val="22"/>
              </w:rPr>
              <w:t>分）</w:t>
            </w:r>
          </w:p>
        </w:tc>
        <w:tc>
          <w:tcPr>
            <w:tcW w:w="3844" w:type="pct"/>
            <w:vAlign w:val="center"/>
          </w:tcPr>
          <w:p w14:paraId="10126398">
            <w:pPr>
              <w:widowControl/>
              <w:jc w:val="both"/>
              <w:rPr>
                <w:rStyle w:val="40"/>
                <w:rFonts w:hint="eastAsia" w:ascii="宋体" w:hAnsi="宋体" w:eastAsia="宋体" w:cs="宋体"/>
                <w:sz w:val="22"/>
                <w:szCs w:val="22"/>
              </w:rPr>
            </w:pPr>
            <w:r>
              <w:rPr>
                <w:rStyle w:val="40"/>
                <w:rFonts w:hint="eastAsia" w:ascii="宋体" w:hAnsi="宋体" w:eastAsia="宋体" w:cs="宋体"/>
                <w:sz w:val="22"/>
                <w:szCs w:val="22"/>
              </w:rPr>
              <w:t>设计安全保证措（</w:t>
            </w:r>
            <w:r>
              <w:rPr>
                <w:rStyle w:val="40"/>
                <w:rFonts w:hint="eastAsia" w:ascii="宋体" w:hAnsi="宋体" w:eastAsia="宋体" w:cs="宋体"/>
                <w:sz w:val="22"/>
                <w:szCs w:val="22"/>
                <w:lang w:val="en-US" w:eastAsia="zh-CN"/>
              </w:rPr>
              <w:t>10</w:t>
            </w:r>
            <w:r>
              <w:rPr>
                <w:rStyle w:val="40"/>
                <w:rFonts w:hint="eastAsia" w:ascii="宋体" w:hAnsi="宋体" w:eastAsia="宋体" w:cs="宋体"/>
                <w:sz w:val="22"/>
                <w:szCs w:val="22"/>
              </w:rPr>
              <w:t>分）</w:t>
            </w:r>
            <w:r>
              <w:rPr>
                <w:rStyle w:val="40"/>
                <w:rFonts w:hint="eastAsia" w:ascii="宋体" w:hAnsi="宋体" w:eastAsia="宋体" w:cs="宋体"/>
                <w:sz w:val="22"/>
                <w:szCs w:val="22"/>
                <w:lang w:eastAsia="zh-CN"/>
              </w:rPr>
              <w:t>：</w:t>
            </w:r>
            <w:r>
              <w:rPr>
                <w:rStyle w:val="40"/>
                <w:rFonts w:hint="eastAsia" w:ascii="宋体" w:hAnsi="宋体" w:eastAsia="宋体" w:cs="宋体"/>
                <w:sz w:val="22"/>
                <w:szCs w:val="22"/>
              </w:rPr>
              <w:t>设计安全保证措施内容全面、切实可行、有针对性的，得</w:t>
            </w:r>
            <w:r>
              <w:rPr>
                <w:rStyle w:val="40"/>
                <w:rFonts w:hint="eastAsia" w:ascii="宋体" w:hAnsi="宋体" w:eastAsia="宋体" w:cs="宋体"/>
                <w:sz w:val="22"/>
                <w:szCs w:val="22"/>
                <w:lang w:val="en-US" w:eastAsia="zh-CN"/>
              </w:rPr>
              <w:t>10</w:t>
            </w:r>
            <w:r>
              <w:rPr>
                <w:rStyle w:val="40"/>
                <w:rFonts w:hint="eastAsia" w:ascii="宋体" w:hAnsi="宋体" w:eastAsia="宋体" w:cs="宋体"/>
                <w:sz w:val="22"/>
                <w:szCs w:val="22"/>
              </w:rPr>
              <w:t>分； 设计安全保证措施基本满足要求的，得</w:t>
            </w:r>
            <w:r>
              <w:rPr>
                <w:rStyle w:val="40"/>
                <w:rFonts w:hint="eastAsia" w:ascii="宋体" w:hAnsi="宋体" w:eastAsia="宋体" w:cs="宋体"/>
                <w:sz w:val="22"/>
                <w:szCs w:val="22"/>
                <w:lang w:val="en-US" w:eastAsia="zh-CN"/>
              </w:rPr>
              <w:t>7</w:t>
            </w:r>
            <w:r>
              <w:rPr>
                <w:rStyle w:val="40"/>
                <w:rFonts w:hint="eastAsia" w:ascii="宋体" w:hAnsi="宋体" w:eastAsia="宋体" w:cs="宋体"/>
                <w:sz w:val="22"/>
                <w:szCs w:val="22"/>
              </w:rPr>
              <w:t xml:space="preserve">分； 设计安全保证措施可行的得 4 分； 仅提供了简单的设计安全保证措施的， 得 </w:t>
            </w:r>
            <w:r>
              <w:rPr>
                <w:rStyle w:val="40"/>
                <w:rFonts w:hint="eastAsia" w:ascii="宋体" w:hAnsi="宋体" w:eastAsia="宋体" w:cs="宋体"/>
                <w:sz w:val="22"/>
                <w:szCs w:val="22"/>
                <w:lang w:val="en-US" w:eastAsia="zh-CN"/>
              </w:rPr>
              <w:t>1</w:t>
            </w:r>
            <w:r>
              <w:rPr>
                <w:rStyle w:val="40"/>
                <w:rFonts w:hint="eastAsia" w:ascii="宋体" w:hAnsi="宋体" w:eastAsia="宋体" w:cs="宋体"/>
                <w:sz w:val="22"/>
                <w:szCs w:val="22"/>
              </w:rPr>
              <w:t xml:space="preserve"> 分； 不提供的不得分。</w:t>
            </w:r>
          </w:p>
        </w:tc>
      </w:tr>
      <w:tr w14:paraId="7D1F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450" w:type="pct"/>
            <w:vMerge w:val="continue"/>
            <w:vAlign w:val="center"/>
          </w:tcPr>
          <w:p w14:paraId="590D4F88">
            <w:pPr>
              <w:autoSpaceDE w:val="0"/>
              <w:autoSpaceDN w:val="0"/>
              <w:adjustRightInd w:val="0"/>
              <w:spacing w:line="360" w:lineRule="auto"/>
              <w:jc w:val="center"/>
              <w:rPr>
                <w:rFonts w:hint="eastAsia" w:ascii="宋体" w:hAnsi="宋体" w:eastAsia="宋体" w:cs="宋体"/>
                <w:kern w:val="0"/>
                <w:sz w:val="22"/>
                <w:szCs w:val="22"/>
                <w:lang w:val="zh-CN"/>
              </w:rPr>
            </w:pPr>
          </w:p>
        </w:tc>
        <w:tc>
          <w:tcPr>
            <w:tcW w:w="705" w:type="pct"/>
            <w:vAlign w:val="center"/>
          </w:tcPr>
          <w:p w14:paraId="49000B84">
            <w:pPr>
              <w:widowControl/>
              <w:jc w:val="center"/>
              <w:rPr>
                <w:rStyle w:val="40"/>
                <w:rFonts w:hint="eastAsia" w:ascii="宋体" w:hAnsi="宋体" w:eastAsia="宋体" w:cs="宋体"/>
                <w:sz w:val="22"/>
                <w:szCs w:val="22"/>
              </w:rPr>
            </w:pPr>
            <w:r>
              <w:rPr>
                <w:rStyle w:val="40"/>
                <w:rFonts w:hint="eastAsia" w:ascii="宋体" w:hAnsi="宋体" w:eastAsia="宋体" w:cs="宋体"/>
                <w:sz w:val="22"/>
                <w:szCs w:val="22"/>
              </w:rPr>
              <w:t>设计进度（</w:t>
            </w:r>
            <w:r>
              <w:rPr>
                <w:rStyle w:val="40"/>
                <w:rFonts w:hint="eastAsia" w:ascii="宋体" w:hAnsi="宋体" w:eastAsia="宋体" w:cs="宋体"/>
                <w:sz w:val="22"/>
                <w:szCs w:val="22"/>
                <w:lang w:val="en-US" w:eastAsia="zh-CN"/>
              </w:rPr>
              <w:t>10</w:t>
            </w:r>
            <w:r>
              <w:rPr>
                <w:rStyle w:val="40"/>
                <w:rFonts w:hint="eastAsia" w:ascii="宋体" w:hAnsi="宋体" w:eastAsia="宋体" w:cs="宋体"/>
                <w:sz w:val="22"/>
                <w:szCs w:val="22"/>
              </w:rPr>
              <w:t>分）</w:t>
            </w:r>
          </w:p>
        </w:tc>
        <w:tc>
          <w:tcPr>
            <w:tcW w:w="3844" w:type="pct"/>
            <w:vAlign w:val="center"/>
          </w:tcPr>
          <w:p w14:paraId="6930B373">
            <w:pPr>
              <w:widowControl/>
              <w:rPr>
                <w:rStyle w:val="40"/>
                <w:rFonts w:hint="eastAsia" w:ascii="宋体" w:hAnsi="宋体" w:eastAsia="宋体" w:cs="宋体"/>
                <w:sz w:val="22"/>
                <w:szCs w:val="22"/>
              </w:rPr>
            </w:pPr>
            <w:r>
              <w:rPr>
                <w:rStyle w:val="40"/>
                <w:rFonts w:hint="eastAsia" w:ascii="宋体" w:hAnsi="宋体" w:eastAsia="宋体" w:cs="宋体"/>
                <w:sz w:val="22"/>
                <w:szCs w:val="22"/>
              </w:rPr>
              <w:t>设计进度（</w:t>
            </w:r>
            <w:r>
              <w:rPr>
                <w:rStyle w:val="40"/>
                <w:rFonts w:hint="eastAsia" w:ascii="宋体" w:hAnsi="宋体" w:eastAsia="宋体" w:cs="宋体"/>
                <w:sz w:val="22"/>
                <w:szCs w:val="22"/>
                <w:lang w:val="en-US" w:eastAsia="zh-CN"/>
              </w:rPr>
              <w:t>10</w:t>
            </w:r>
            <w:r>
              <w:rPr>
                <w:rStyle w:val="40"/>
                <w:rFonts w:hint="eastAsia" w:ascii="宋体" w:hAnsi="宋体" w:eastAsia="宋体" w:cs="宋体"/>
                <w:sz w:val="22"/>
                <w:szCs w:val="22"/>
              </w:rPr>
              <w:t>分）</w:t>
            </w:r>
            <w:r>
              <w:rPr>
                <w:rStyle w:val="40"/>
                <w:rFonts w:hint="eastAsia" w:ascii="宋体" w:hAnsi="宋体" w:eastAsia="宋体" w:cs="宋体"/>
                <w:sz w:val="22"/>
                <w:szCs w:val="22"/>
                <w:lang w:eastAsia="zh-CN"/>
              </w:rPr>
              <w:t>：</w:t>
            </w:r>
            <w:r>
              <w:rPr>
                <w:rStyle w:val="40"/>
                <w:rFonts w:hint="eastAsia" w:ascii="宋体" w:hAnsi="宋体" w:eastAsia="宋体" w:cs="宋体"/>
                <w:sz w:val="22"/>
                <w:szCs w:val="22"/>
              </w:rPr>
              <w:t xml:space="preserve">进度安排完全满足项目需求且合理、 对影响因素的考虑全面、 合理的， 得 </w:t>
            </w:r>
            <w:r>
              <w:rPr>
                <w:rStyle w:val="40"/>
                <w:rFonts w:hint="eastAsia" w:ascii="宋体" w:hAnsi="宋体" w:eastAsia="宋体" w:cs="宋体"/>
                <w:sz w:val="22"/>
                <w:szCs w:val="22"/>
                <w:lang w:val="en-US" w:eastAsia="zh-CN"/>
              </w:rPr>
              <w:t>10</w:t>
            </w:r>
            <w:r>
              <w:rPr>
                <w:rStyle w:val="40"/>
                <w:rFonts w:hint="eastAsia" w:ascii="宋体" w:hAnsi="宋体" w:eastAsia="宋体" w:cs="宋体"/>
                <w:sz w:val="22"/>
                <w:szCs w:val="22"/>
              </w:rPr>
              <w:t>分； 进度安排基本能满足要求的， 得</w:t>
            </w:r>
            <w:r>
              <w:rPr>
                <w:rStyle w:val="40"/>
                <w:rFonts w:hint="eastAsia" w:ascii="宋体" w:hAnsi="宋体" w:eastAsia="宋体" w:cs="宋体"/>
                <w:sz w:val="22"/>
                <w:szCs w:val="22"/>
                <w:lang w:val="en-US" w:eastAsia="zh-CN"/>
              </w:rPr>
              <w:t>7</w:t>
            </w:r>
            <w:r>
              <w:rPr>
                <w:rStyle w:val="40"/>
                <w:rFonts w:hint="eastAsia" w:ascii="宋体" w:hAnsi="宋体" w:eastAsia="宋体" w:cs="宋体"/>
                <w:sz w:val="22"/>
                <w:szCs w:val="22"/>
              </w:rPr>
              <w:t xml:space="preserve">分； 进度安排可行的， 得 4 分； 仅提供了简单的进度安排的， 得 </w:t>
            </w:r>
            <w:r>
              <w:rPr>
                <w:rStyle w:val="40"/>
                <w:rFonts w:hint="eastAsia" w:ascii="宋体" w:hAnsi="宋体" w:eastAsia="宋体" w:cs="宋体"/>
                <w:sz w:val="22"/>
                <w:szCs w:val="22"/>
                <w:lang w:val="en-US" w:eastAsia="zh-CN"/>
              </w:rPr>
              <w:t>1</w:t>
            </w:r>
            <w:r>
              <w:rPr>
                <w:rStyle w:val="40"/>
                <w:rFonts w:hint="eastAsia" w:ascii="宋体" w:hAnsi="宋体" w:eastAsia="宋体" w:cs="宋体"/>
                <w:sz w:val="22"/>
                <w:szCs w:val="22"/>
              </w:rPr>
              <w:t xml:space="preserve"> 分； 不提供的不得分。</w:t>
            </w:r>
          </w:p>
        </w:tc>
      </w:tr>
      <w:tr w14:paraId="6661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450" w:type="pct"/>
            <w:vMerge w:val="continue"/>
            <w:vAlign w:val="center"/>
          </w:tcPr>
          <w:p w14:paraId="616ECDF3">
            <w:pPr>
              <w:autoSpaceDE w:val="0"/>
              <w:autoSpaceDN w:val="0"/>
              <w:adjustRightInd w:val="0"/>
              <w:spacing w:line="360" w:lineRule="auto"/>
              <w:jc w:val="center"/>
              <w:rPr>
                <w:rFonts w:hint="eastAsia" w:ascii="宋体" w:hAnsi="宋体" w:eastAsia="宋体" w:cs="宋体"/>
                <w:kern w:val="0"/>
                <w:sz w:val="22"/>
                <w:szCs w:val="22"/>
                <w:lang w:val="zh-CN"/>
              </w:rPr>
            </w:pPr>
          </w:p>
        </w:tc>
        <w:tc>
          <w:tcPr>
            <w:tcW w:w="705" w:type="pct"/>
            <w:vAlign w:val="center"/>
          </w:tcPr>
          <w:p w14:paraId="18B29972">
            <w:pPr>
              <w:widowControl/>
              <w:jc w:val="center"/>
              <w:rPr>
                <w:rFonts w:hint="eastAsia" w:ascii="宋体" w:hAnsi="宋体" w:eastAsia="宋体" w:cs="宋体"/>
                <w:kern w:val="0"/>
                <w:sz w:val="22"/>
                <w:szCs w:val="22"/>
              </w:rPr>
            </w:pPr>
            <w:r>
              <w:rPr>
                <w:rStyle w:val="40"/>
                <w:rFonts w:hint="eastAsia" w:ascii="宋体" w:hAnsi="宋体" w:eastAsia="宋体" w:cs="宋体"/>
                <w:sz w:val="22"/>
                <w:szCs w:val="22"/>
              </w:rPr>
              <w:t>设计机构 设置和岗位职</w:t>
            </w:r>
          </w:p>
          <w:p w14:paraId="1A074BB4">
            <w:pPr>
              <w:widowControl/>
              <w:jc w:val="center"/>
              <w:rPr>
                <w:rStyle w:val="40"/>
                <w:rFonts w:hint="eastAsia" w:ascii="宋体" w:hAnsi="宋体" w:eastAsia="宋体" w:cs="宋体"/>
                <w:sz w:val="22"/>
                <w:szCs w:val="22"/>
              </w:rPr>
            </w:pPr>
            <w:r>
              <w:rPr>
                <w:rStyle w:val="40"/>
                <w:rFonts w:hint="eastAsia" w:ascii="宋体" w:hAnsi="宋体" w:eastAsia="宋体" w:cs="宋体"/>
                <w:sz w:val="22"/>
                <w:szCs w:val="22"/>
              </w:rPr>
              <w:t>（</w:t>
            </w:r>
            <w:r>
              <w:rPr>
                <w:rStyle w:val="40"/>
                <w:rFonts w:hint="eastAsia" w:ascii="宋体" w:hAnsi="宋体" w:eastAsia="宋体" w:cs="宋体"/>
                <w:sz w:val="22"/>
                <w:szCs w:val="22"/>
                <w:lang w:val="en-US" w:eastAsia="zh-CN"/>
              </w:rPr>
              <w:t>9</w:t>
            </w:r>
            <w:r>
              <w:rPr>
                <w:rStyle w:val="40"/>
                <w:rFonts w:hint="eastAsia" w:ascii="宋体" w:hAnsi="宋体" w:eastAsia="宋体" w:cs="宋体"/>
                <w:sz w:val="22"/>
                <w:szCs w:val="22"/>
              </w:rPr>
              <w:t>分）</w:t>
            </w:r>
          </w:p>
        </w:tc>
        <w:tc>
          <w:tcPr>
            <w:tcW w:w="3844" w:type="pct"/>
            <w:vAlign w:val="center"/>
          </w:tcPr>
          <w:p w14:paraId="27602D69">
            <w:pPr>
              <w:widowControl/>
              <w:jc w:val="both"/>
              <w:rPr>
                <w:rStyle w:val="40"/>
                <w:rFonts w:hint="eastAsia" w:ascii="宋体" w:hAnsi="宋体" w:eastAsia="宋体" w:cs="宋体"/>
                <w:sz w:val="22"/>
                <w:szCs w:val="22"/>
              </w:rPr>
            </w:pPr>
            <w:r>
              <w:rPr>
                <w:rStyle w:val="40"/>
                <w:rFonts w:hint="eastAsia" w:ascii="宋体" w:hAnsi="宋体" w:eastAsia="宋体" w:cs="宋体"/>
                <w:sz w:val="22"/>
                <w:szCs w:val="22"/>
              </w:rPr>
              <w:t>设计机构设置和岗位职（</w:t>
            </w:r>
            <w:r>
              <w:rPr>
                <w:rStyle w:val="40"/>
                <w:rFonts w:hint="eastAsia" w:ascii="宋体" w:hAnsi="宋体" w:eastAsia="宋体" w:cs="宋体"/>
                <w:sz w:val="22"/>
                <w:szCs w:val="22"/>
                <w:lang w:val="en-US" w:eastAsia="zh-CN"/>
              </w:rPr>
              <w:t>9</w:t>
            </w:r>
            <w:r>
              <w:rPr>
                <w:rStyle w:val="40"/>
                <w:rFonts w:hint="eastAsia" w:ascii="宋体" w:hAnsi="宋体" w:eastAsia="宋体" w:cs="宋体"/>
                <w:sz w:val="22"/>
                <w:szCs w:val="22"/>
              </w:rPr>
              <w:t>分）</w:t>
            </w:r>
            <w:r>
              <w:rPr>
                <w:rStyle w:val="40"/>
                <w:rFonts w:hint="eastAsia" w:ascii="宋体" w:hAnsi="宋体" w:eastAsia="宋体" w:cs="宋体"/>
                <w:sz w:val="22"/>
                <w:szCs w:val="22"/>
                <w:lang w:eastAsia="zh-CN"/>
              </w:rPr>
              <w:t>：</w:t>
            </w:r>
            <w:r>
              <w:rPr>
                <w:rStyle w:val="40"/>
                <w:rFonts w:hint="eastAsia" w:ascii="宋体" w:hAnsi="宋体" w:eastAsia="宋体" w:cs="宋体"/>
                <w:sz w:val="22"/>
                <w:szCs w:val="22"/>
              </w:rPr>
              <w:t>设计机构设置合理， 岗位职责明确的， 得</w:t>
            </w:r>
            <w:r>
              <w:rPr>
                <w:rStyle w:val="40"/>
                <w:rFonts w:hint="eastAsia" w:ascii="宋体" w:hAnsi="宋体" w:eastAsia="宋体" w:cs="宋体"/>
                <w:sz w:val="22"/>
                <w:szCs w:val="22"/>
                <w:lang w:val="en-US" w:eastAsia="zh-CN"/>
              </w:rPr>
              <w:t>9</w:t>
            </w:r>
            <w:r>
              <w:rPr>
                <w:rStyle w:val="40"/>
                <w:rFonts w:hint="eastAsia" w:ascii="宋体" w:hAnsi="宋体" w:eastAsia="宋体" w:cs="宋体"/>
                <w:sz w:val="22"/>
                <w:szCs w:val="22"/>
              </w:rPr>
              <w:t xml:space="preserve">分； 设计机构设置和岗位职责基本能满足要求的， 得 6 分； 设计机构设置和岗位职责可行的， 得 </w:t>
            </w:r>
            <w:r>
              <w:rPr>
                <w:rStyle w:val="40"/>
                <w:rFonts w:hint="eastAsia" w:ascii="宋体" w:hAnsi="宋体" w:eastAsia="宋体" w:cs="宋体"/>
                <w:sz w:val="22"/>
                <w:szCs w:val="22"/>
                <w:lang w:val="en-US" w:eastAsia="zh-CN"/>
              </w:rPr>
              <w:t>3</w:t>
            </w:r>
            <w:r>
              <w:rPr>
                <w:rStyle w:val="40"/>
                <w:rFonts w:hint="eastAsia" w:ascii="宋体" w:hAnsi="宋体" w:eastAsia="宋体" w:cs="宋体"/>
                <w:sz w:val="22"/>
                <w:szCs w:val="22"/>
              </w:rPr>
              <w:t xml:space="preserve">分； 仅简单提供了设计机构设置和岗位职责的， 得 </w:t>
            </w:r>
            <w:r>
              <w:rPr>
                <w:rStyle w:val="40"/>
                <w:rFonts w:hint="eastAsia" w:ascii="宋体" w:hAnsi="宋体" w:eastAsia="宋体" w:cs="宋体"/>
                <w:sz w:val="22"/>
                <w:szCs w:val="22"/>
                <w:lang w:val="en-US" w:eastAsia="zh-CN"/>
              </w:rPr>
              <w:t>1</w:t>
            </w:r>
            <w:r>
              <w:rPr>
                <w:rStyle w:val="40"/>
                <w:rFonts w:hint="eastAsia" w:ascii="宋体" w:hAnsi="宋体" w:eastAsia="宋体" w:cs="宋体"/>
                <w:sz w:val="22"/>
                <w:szCs w:val="22"/>
              </w:rPr>
              <w:t xml:space="preserve"> 分； 不提供的不得分。</w:t>
            </w:r>
          </w:p>
        </w:tc>
      </w:tr>
      <w:tr w14:paraId="5647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450" w:type="pct"/>
            <w:vMerge w:val="continue"/>
            <w:vAlign w:val="center"/>
          </w:tcPr>
          <w:p w14:paraId="15ADB46D">
            <w:pPr>
              <w:autoSpaceDE w:val="0"/>
              <w:autoSpaceDN w:val="0"/>
              <w:adjustRightInd w:val="0"/>
              <w:spacing w:line="360" w:lineRule="auto"/>
              <w:jc w:val="center"/>
              <w:rPr>
                <w:rFonts w:hint="eastAsia" w:ascii="宋体" w:hAnsi="宋体" w:eastAsia="宋体" w:cs="宋体"/>
                <w:kern w:val="0"/>
                <w:sz w:val="22"/>
                <w:szCs w:val="22"/>
                <w:lang w:val="zh-CN"/>
              </w:rPr>
            </w:pPr>
          </w:p>
        </w:tc>
        <w:tc>
          <w:tcPr>
            <w:tcW w:w="705" w:type="pct"/>
            <w:vAlign w:val="center"/>
          </w:tcPr>
          <w:p w14:paraId="2CD9E306">
            <w:pPr>
              <w:widowControl/>
              <w:jc w:val="center"/>
              <w:rPr>
                <w:rFonts w:hint="eastAsia" w:ascii="宋体" w:hAnsi="宋体" w:eastAsia="宋体" w:cs="宋体"/>
                <w:kern w:val="0"/>
                <w:sz w:val="22"/>
                <w:szCs w:val="22"/>
              </w:rPr>
            </w:pPr>
            <w:r>
              <w:rPr>
                <w:rStyle w:val="40"/>
                <w:rFonts w:hint="eastAsia" w:ascii="宋体" w:hAnsi="宋体" w:eastAsia="宋体" w:cs="宋体"/>
                <w:sz w:val="22"/>
                <w:szCs w:val="22"/>
              </w:rPr>
              <w:t>合理化建</w:t>
            </w:r>
          </w:p>
          <w:p w14:paraId="0CE757FA">
            <w:pPr>
              <w:widowControl/>
              <w:jc w:val="center"/>
              <w:rPr>
                <w:rStyle w:val="40"/>
                <w:rFonts w:hint="eastAsia" w:ascii="宋体" w:hAnsi="宋体" w:eastAsia="宋体" w:cs="宋体"/>
                <w:sz w:val="22"/>
                <w:szCs w:val="22"/>
              </w:rPr>
            </w:pPr>
            <w:r>
              <w:rPr>
                <w:rStyle w:val="40"/>
                <w:rFonts w:hint="eastAsia" w:ascii="宋体" w:hAnsi="宋体" w:eastAsia="宋体" w:cs="宋体"/>
                <w:sz w:val="22"/>
                <w:szCs w:val="22"/>
              </w:rPr>
              <w:t>（8分）</w:t>
            </w:r>
          </w:p>
        </w:tc>
        <w:tc>
          <w:tcPr>
            <w:tcW w:w="3844" w:type="pct"/>
            <w:vAlign w:val="center"/>
          </w:tcPr>
          <w:p w14:paraId="60237FE1">
            <w:pPr>
              <w:widowControl/>
              <w:jc w:val="both"/>
              <w:rPr>
                <w:rStyle w:val="40"/>
                <w:rFonts w:hint="eastAsia" w:ascii="宋体" w:hAnsi="宋体" w:eastAsia="宋体" w:cs="宋体"/>
                <w:sz w:val="22"/>
                <w:szCs w:val="22"/>
                <w:lang w:eastAsia="zh-CN"/>
              </w:rPr>
            </w:pPr>
            <w:r>
              <w:rPr>
                <w:rStyle w:val="40"/>
                <w:rFonts w:hint="eastAsia" w:ascii="宋体" w:hAnsi="宋体" w:eastAsia="宋体" w:cs="宋体"/>
                <w:sz w:val="22"/>
                <w:szCs w:val="22"/>
              </w:rPr>
              <w:t>合理化建（8分）</w:t>
            </w:r>
            <w:r>
              <w:rPr>
                <w:rStyle w:val="40"/>
                <w:rFonts w:hint="eastAsia" w:ascii="宋体" w:hAnsi="宋体" w:eastAsia="宋体" w:cs="宋体"/>
                <w:sz w:val="22"/>
                <w:szCs w:val="22"/>
                <w:lang w:eastAsia="zh-CN"/>
              </w:rPr>
              <w:t>：</w:t>
            </w:r>
            <w:r>
              <w:rPr>
                <w:rStyle w:val="40"/>
                <w:rFonts w:hint="eastAsia" w:ascii="宋体" w:hAnsi="宋体" w:eastAsia="宋体" w:cs="宋体"/>
                <w:sz w:val="22"/>
                <w:szCs w:val="22"/>
              </w:rPr>
              <w:t>根据磋商供应商提供的合理化建议科学、 具体、 完整的，得 8 分； 提供的合理化建议切合本项目的， 得 6 分； 提供的合理化建议可行的， 得 4 分； 仅简单提供了合理化建议的， 得 2 分； 不提供的不得分</w:t>
            </w:r>
            <w:r>
              <w:rPr>
                <w:rFonts w:hint="eastAsia" w:ascii="宋体" w:hAnsi="宋体" w:eastAsia="宋体" w:cs="宋体"/>
                <w:kern w:val="0"/>
                <w:sz w:val="22"/>
                <w:szCs w:val="22"/>
                <w:lang w:eastAsia="zh-CN"/>
              </w:rPr>
              <w:t>。</w:t>
            </w:r>
          </w:p>
        </w:tc>
      </w:tr>
    </w:tbl>
    <w:p w14:paraId="5EBF4C43">
      <w:pPr>
        <w:widowControl/>
        <w:spacing w:before="624" w:beforeLines="200" w:after="624" w:afterLines="200"/>
        <w:ind w:firstLine="2891" w:firstLineChars="800"/>
        <w:jc w:val="both"/>
        <w:outlineLvl w:val="1"/>
        <w:rPr>
          <w:rFonts w:hint="eastAsia" w:ascii="宋体" w:hAnsi="宋体" w:eastAsia="宋体" w:cs="宋体"/>
          <w:b/>
          <w:bCs/>
          <w:color w:val="auto"/>
          <w:kern w:val="0"/>
          <w:sz w:val="36"/>
          <w:szCs w:val="36"/>
          <w:highlight w:val="none"/>
        </w:rPr>
      </w:pPr>
      <w:bookmarkStart w:id="114" w:name="_Toc325726025"/>
      <w:bookmarkStart w:id="115" w:name="_Toc376936756"/>
      <w:bookmarkStart w:id="116" w:name="_Toc3308"/>
      <w:bookmarkStart w:id="117" w:name="_Toc496626219"/>
      <w:r>
        <w:rPr>
          <w:rFonts w:hint="eastAsia" w:ascii="宋体" w:hAnsi="宋体" w:eastAsia="宋体" w:cs="宋体"/>
          <w:b/>
          <w:bCs/>
          <w:color w:val="auto"/>
          <w:kern w:val="0"/>
          <w:sz w:val="36"/>
          <w:szCs w:val="36"/>
          <w:highlight w:val="none"/>
        </w:rPr>
        <w:t>七、</w:t>
      </w:r>
      <w:bookmarkEnd w:id="114"/>
      <w:bookmarkEnd w:id="115"/>
      <w:r>
        <w:rPr>
          <w:rFonts w:hint="eastAsia" w:ascii="宋体" w:hAnsi="宋体" w:eastAsia="宋体" w:cs="宋体"/>
          <w:b/>
          <w:bCs/>
          <w:color w:val="auto"/>
          <w:kern w:val="0"/>
          <w:sz w:val="36"/>
          <w:szCs w:val="36"/>
          <w:highlight w:val="none"/>
        </w:rPr>
        <w:t>成交办法</w:t>
      </w:r>
      <w:bookmarkEnd w:id="116"/>
      <w:bookmarkEnd w:id="117"/>
    </w:p>
    <w:p w14:paraId="0453930A">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18" w:name="_Toc325726026"/>
      <w:bookmarkStart w:id="119" w:name="_Toc376936757"/>
      <w:bookmarkStart w:id="120" w:name="_Toc496626220"/>
      <w:bookmarkStart w:id="121" w:name="_Toc29173"/>
      <w:r>
        <w:rPr>
          <w:rFonts w:hint="eastAsia" w:ascii="宋体" w:hAnsi="宋体" w:eastAsia="宋体" w:cs="宋体"/>
          <w:b/>
          <w:bCs/>
          <w:color w:val="auto"/>
          <w:kern w:val="0"/>
          <w:sz w:val="27"/>
          <w:szCs w:val="27"/>
          <w:highlight w:val="none"/>
        </w:rPr>
        <w:t>21.推荐并确定成交</w:t>
      </w:r>
      <w:bookmarkEnd w:id="118"/>
      <w:bookmarkEnd w:id="119"/>
      <w:r>
        <w:rPr>
          <w:rFonts w:hint="eastAsia" w:ascii="宋体" w:hAnsi="宋体" w:eastAsia="宋体" w:cs="宋体"/>
          <w:b/>
          <w:bCs/>
          <w:color w:val="auto"/>
          <w:kern w:val="0"/>
          <w:sz w:val="27"/>
          <w:szCs w:val="27"/>
          <w:highlight w:val="none"/>
        </w:rPr>
        <w:t>供应商</w:t>
      </w:r>
      <w:bookmarkEnd w:id="120"/>
      <w:bookmarkEnd w:id="121"/>
    </w:p>
    <w:p w14:paraId="0AE25805">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21.1磋商小组根据评审总得分由高到低排序推荐预中标候选人，并由采购人按顺序确定成交供应商。</w:t>
      </w:r>
    </w:p>
    <w:p w14:paraId="03A13713">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21.2成交供应商因不可抗力或自身原因不能履行合同时，采购人可以按照磋商报告推荐的预成交供应商候选人名单排序，确定下一候选人为成交供应商，也可重新开展政府采购活动。</w:t>
      </w:r>
      <w:bookmarkStart w:id="122" w:name="_Toc325726027"/>
    </w:p>
    <w:p w14:paraId="725806AB">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23" w:name="_Toc376936759"/>
      <w:bookmarkStart w:id="124" w:name="_Toc496626221"/>
      <w:bookmarkStart w:id="125" w:name="_Toc325726028"/>
      <w:bookmarkStart w:id="126" w:name="_Toc6860"/>
      <w:r>
        <w:rPr>
          <w:rFonts w:hint="eastAsia" w:ascii="宋体" w:hAnsi="宋体" w:eastAsia="宋体" w:cs="宋体"/>
          <w:b/>
          <w:bCs/>
          <w:color w:val="auto"/>
          <w:kern w:val="0"/>
          <w:sz w:val="27"/>
          <w:szCs w:val="27"/>
          <w:highlight w:val="none"/>
        </w:rPr>
        <w:t>22.成交通知</w:t>
      </w:r>
      <w:bookmarkEnd w:id="123"/>
      <w:bookmarkEnd w:id="124"/>
      <w:bookmarkEnd w:id="125"/>
      <w:bookmarkEnd w:id="126"/>
    </w:p>
    <w:p w14:paraId="7E02A561">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22.1采购代理机构自成交供应商确定之日起2个工作日内发出《成交通知书》，并在</w:t>
      </w:r>
      <w:r>
        <w:rPr>
          <w:rFonts w:hint="eastAsia" w:ascii="宋体" w:hAnsi="宋体" w:cs="宋体"/>
          <w:color w:val="auto"/>
          <w:highlight w:val="none"/>
          <w:lang w:eastAsia="zh-CN"/>
        </w:rPr>
        <w:t>青海政府采购网</w:t>
      </w:r>
      <w:r>
        <w:rPr>
          <w:rFonts w:hint="eastAsia" w:ascii="宋体" w:hAnsi="宋体" w:eastAsia="宋体" w:cs="宋体"/>
          <w:color w:val="auto"/>
          <w:highlight w:val="none"/>
        </w:rPr>
        <w:t>上公告成交结果，公告期限为1个工作日。在公告成交结果的同时，采购代理机构应当向成交供应商发出成交通知书；对未通过资格审查的供应商，告知其未通过的原因；告知未成交供应商本人的评审得分与排序。</w:t>
      </w:r>
    </w:p>
    <w:p w14:paraId="5203BC66">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22.2《成交通知书》发出后，采购人改变成交结果的，或者成交供应商无正当理由放弃成交项目的，依法承担法律责任。</w:t>
      </w:r>
    </w:p>
    <w:p w14:paraId="42F8B363">
      <w:pPr>
        <w:widowControl/>
        <w:spacing w:before="624" w:beforeLines="200" w:after="624" w:afterLines="200"/>
        <w:jc w:val="center"/>
        <w:outlineLvl w:val="1"/>
        <w:rPr>
          <w:rFonts w:hint="eastAsia" w:ascii="宋体" w:hAnsi="宋体" w:eastAsia="宋体" w:cs="宋体"/>
          <w:b/>
          <w:bCs/>
          <w:color w:val="auto"/>
          <w:kern w:val="0"/>
          <w:sz w:val="36"/>
          <w:szCs w:val="36"/>
          <w:highlight w:val="none"/>
        </w:rPr>
      </w:pPr>
      <w:bookmarkStart w:id="127" w:name="_Toc21345"/>
      <w:bookmarkStart w:id="128" w:name="_Toc376936758"/>
      <w:bookmarkStart w:id="129" w:name="_Toc496626222"/>
      <w:r>
        <w:rPr>
          <w:rFonts w:hint="eastAsia" w:ascii="宋体" w:hAnsi="宋体" w:eastAsia="宋体" w:cs="宋体"/>
          <w:b/>
          <w:bCs/>
          <w:color w:val="auto"/>
          <w:kern w:val="0"/>
          <w:sz w:val="36"/>
          <w:szCs w:val="36"/>
          <w:highlight w:val="none"/>
        </w:rPr>
        <w:t>八、授予合同</w:t>
      </w:r>
      <w:bookmarkEnd w:id="122"/>
      <w:bookmarkEnd w:id="127"/>
      <w:bookmarkEnd w:id="128"/>
      <w:bookmarkEnd w:id="129"/>
    </w:p>
    <w:p w14:paraId="3C5CCE4B">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30" w:name="_Toc376936760"/>
      <w:bookmarkStart w:id="131" w:name="_Toc325726029"/>
      <w:bookmarkStart w:id="132" w:name="_Toc8068"/>
      <w:bookmarkStart w:id="133" w:name="_Toc496626223"/>
      <w:r>
        <w:rPr>
          <w:rFonts w:hint="eastAsia" w:ascii="宋体" w:hAnsi="宋体" w:eastAsia="宋体" w:cs="宋体"/>
          <w:b/>
          <w:bCs/>
          <w:color w:val="auto"/>
          <w:kern w:val="0"/>
          <w:sz w:val="27"/>
          <w:szCs w:val="27"/>
          <w:highlight w:val="none"/>
        </w:rPr>
        <w:t>23.签订合同</w:t>
      </w:r>
      <w:bookmarkEnd w:id="130"/>
      <w:bookmarkEnd w:id="131"/>
      <w:bookmarkEnd w:id="132"/>
      <w:bookmarkEnd w:id="133"/>
    </w:p>
    <w:p w14:paraId="28C45538">
      <w:pPr>
        <w:spacing w:line="360" w:lineRule="auto"/>
        <w:ind w:firstLine="480"/>
        <w:jc w:val="left"/>
        <w:rPr>
          <w:rFonts w:hint="eastAsia" w:ascii="宋体" w:hAnsi="宋体" w:eastAsia="宋体" w:cs="宋体"/>
          <w:color w:val="auto"/>
          <w:highlight w:val="none"/>
        </w:rPr>
      </w:pPr>
      <w:bookmarkStart w:id="134" w:name="_Toc376936761"/>
      <w:bookmarkStart w:id="135" w:name="_Toc325726030"/>
      <w:r>
        <w:rPr>
          <w:rFonts w:hint="eastAsia" w:ascii="宋体" w:hAnsi="宋体" w:eastAsia="宋体" w:cs="宋体"/>
          <w:color w:val="auto"/>
          <w:highlight w:val="none"/>
        </w:rPr>
        <w:t>23.1采购人与成交供应商双方应当自《成交通知书》发出之日起30日内，按照磋商文件确定的合同文本以及采购标的、规格型号、采购金额、采购数量、技术和服务要求等事项签订政府采购合同，并报</w:t>
      </w:r>
      <w:r>
        <w:rPr>
          <w:rFonts w:hint="eastAsia" w:ascii="宋体" w:hAnsi="宋体" w:eastAsia="宋体" w:cs="宋体"/>
          <w:color w:val="auto"/>
          <w:highlight w:val="none"/>
          <w:lang w:eastAsia="zh-CN"/>
        </w:rPr>
        <w:t>兰州众信招标有限公司</w:t>
      </w:r>
      <w:r>
        <w:rPr>
          <w:rFonts w:hint="eastAsia" w:ascii="宋体" w:hAnsi="宋体" w:eastAsia="宋体" w:cs="宋体"/>
          <w:color w:val="auto"/>
          <w:highlight w:val="none"/>
        </w:rPr>
        <w:t>审核备案。</w:t>
      </w:r>
    </w:p>
    <w:p w14:paraId="358123AB">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7A9C49FE">
      <w:pPr>
        <w:spacing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highlight w:val="none"/>
        </w:rPr>
        <w:t>23.3</w:t>
      </w:r>
      <w:r>
        <w:rPr>
          <w:rFonts w:hint="eastAsia" w:ascii="宋体" w:hAnsi="宋体" w:eastAsia="宋体" w:cs="宋体"/>
          <w:color w:val="auto"/>
          <w:szCs w:val="20"/>
          <w:highlight w:val="none"/>
        </w:rPr>
        <w:t>签订合同时，成交供应商应按规定向采购人提交履约保证金</w:t>
      </w:r>
      <w:r>
        <w:rPr>
          <w:rFonts w:hint="eastAsia" w:ascii="宋体" w:hAnsi="宋体" w:eastAsia="宋体" w:cs="宋体"/>
          <w:color w:val="auto"/>
          <w:highlight w:val="none"/>
          <w:lang w:val="zh-CN"/>
        </w:rPr>
        <w:t>（履约保证金的数额由采购人与成交供应商商定，但数额不得超出采购合同总金额的10%）</w:t>
      </w:r>
      <w:r>
        <w:rPr>
          <w:rFonts w:hint="eastAsia" w:ascii="宋体" w:hAnsi="宋体" w:eastAsia="宋体" w:cs="宋体"/>
          <w:color w:val="auto"/>
          <w:szCs w:val="20"/>
          <w:highlight w:val="none"/>
        </w:rPr>
        <w:t>，履约保证金须缴纳到采购人指定的账户。</w:t>
      </w:r>
    </w:p>
    <w:p w14:paraId="07C134D3">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23.4成交供应商在法定期限内无正当理由拒签合同的，按违约处理。同时，采购代理机构和采购人可依成交供应商候选人排序重新确定成交供应商，并协调双方签订采购合同。</w:t>
      </w:r>
    </w:p>
    <w:p w14:paraId="0FF31D7C">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23.5磋商文件、成交供应商的磋商响应文件、《成交通知书》及其澄清、说明文件等，均为签订采购合同的依据。</w:t>
      </w:r>
    </w:p>
    <w:p w14:paraId="26E720DE">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23.6采购人或采购代理机构应当自采购合同签订之日起2个工作日内，将采购合同在</w:t>
      </w:r>
      <w:r>
        <w:rPr>
          <w:rFonts w:hint="eastAsia" w:ascii="宋体" w:hAnsi="宋体" w:cs="宋体"/>
          <w:color w:val="auto"/>
          <w:highlight w:val="none"/>
          <w:lang w:eastAsia="zh-CN"/>
        </w:rPr>
        <w:t>青海政府采购网</w:t>
      </w:r>
      <w:r>
        <w:rPr>
          <w:rFonts w:hint="eastAsia" w:ascii="宋体" w:hAnsi="宋体" w:eastAsia="宋体" w:cs="宋体"/>
          <w:color w:val="auto"/>
          <w:highlight w:val="none"/>
        </w:rPr>
        <w:t>上公告，但政府采购合同中涉及国家秘密、商业秘密的内容除外。</w:t>
      </w:r>
    </w:p>
    <w:p w14:paraId="7DAAFFBE">
      <w:pPr>
        <w:widowControl/>
        <w:spacing w:before="624" w:beforeLines="200" w:after="624" w:afterLines="200"/>
        <w:jc w:val="center"/>
        <w:outlineLvl w:val="1"/>
        <w:rPr>
          <w:rFonts w:hint="eastAsia" w:ascii="宋体" w:hAnsi="宋体" w:eastAsia="宋体" w:cs="宋体"/>
          <w:b/>
          <w:bCs/>
          <w:color w:val="auto"/>
          <w:kern w:val="0"/>
          <w:sz w:val="36"/>
          <w:szCs w:val="36"/>
          <w:highlight w:val="none"/>
        </w:rPr>
      </w:pPr>
      <w:bookmarkStart w:id="136" w:name="_Toc496626224"/>
      <w:bookmarkStart w:id="137" w:name="_Toc27622"/>
      <w:r>
        <w:rPr>
          <w:rFonts w:hint="eastAsia" w:ascii="宋体" w:hAnsi="宋体" w:eastAsia="宋体" w:cs="宋体"/>
          <w:b/>
          <w:bCs/>
          <w:color w:val="auto"/>
          <w:kern w:val="0"/>
          <w:sz w:val="36"/>
          <w:szCs w:val="36"/>
          <w:highlight w:val="none"/>
        </w:rPr>
        <w:t>九、串通投标的认定及处理办法</w:t>
      </w:r>
      <w:bookmarkEnd w:id="136"/>
      <w:bookmarkEnd w:id="137"/>
    </w:p>
    <w:p w14:paraId="10058A10">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38" w:name="_Toc32018"/>
      <w:bookmarkStart w:id="139" w:name="_Toc496004020"/>
      <w:bookmarkStart w:id="140" w:name="_Toc496626225"/>
      <w:bookmarkStart w:id="141" w:name="_Toc496189563"/>
      <w:r>
        <w:rPr>
          <w:rFonts w:hint="eastAsia" w:ascii="宋体" w:hAnsi="宋体" w:eastAsia="宋体" w:cs="宋体"/>
          <w:b/>
          <w:bCs/>
          <w:color w:val="auto"/>
          <w:kern w:val="0"/>
          <w:sz w:val="27"/>
          <w:szCs w:val="27"/>
          <w:highlight w:val="none"/>
        </w:rPr>
        <w:t>24.串通投标的情形</w:t>
      </w:r>
      <w:bookmarkEnd w:id="138"/>
      <w:bookmarkEnd w:id="139"/>
      <w:bookmarkEnd w:id="140"/>
      <w:bookmarkEnd w:id="141"/>
    </w:p>
    <w:p w14:paraId="43AC745C">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24.1供应商应当遵循公平竞争的原则，不得恶意串通，不得妨碍其他供应商的竞争行为，不得损害采购人或者其他供应商的合法权益。</w:t>
      </w:r>
    </w:p>
    <w:p w14:paraId="70382D55">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24.2 有下列情形之一的，视为供应商串通投标，其投标无效：</w:t>
      </w:r>
    </w:p>
    <w:p w14:paraId="154B9839">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（1）不同供应商的磋商响应文件由同一单位或者个人编制；</w:t>
      </w:r>
    </w:p>
    <w:p w14:paraId="65F0725F">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（2）不同供应商委托同一单位或者个人办理投标事宜；</w:t>
      </w:r>
    </w:p>
    <w:p w14:paraId="71678550">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（3）不同供应商的磋商响应文件载明的项目管理成员或者联系人员为同一人；</w:t>
      </w:r>
    </w:p>
    <w:p w14:paraId="36EFE3C4">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（4）不同供应商的磋商响应文件异常一致或者投标报价呈规律性差异；</w:t>
      </w:r>
    </w:p>
    <w:p w14:paraId="155D8A97">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（5）不同供应商的磋商响应文件相互混装；</w:t>
      </w:r>
    </w:p>
    <w:p w14:paraId="476683F2">
      <w:pPr>
        <w:spacing w:line="360" w:lineRule="auto"/>
        <w:ind w:firstLine="480"/>
        <w:jc w:val="left"/>
        <w:rPr>
          <w:rFonts w:hint="eastAsia" w:ascii="宋体" w:hAnsi="宋体" w:eastAsia="宋体" w:cs="宋体"/>
          <w:b/>
          <w:bCs/>
          <w:color w:val="auto"/>
          <w:kern w:val="0"/>
          <w:sz w:val="36"/>
          <w:szCs w:val="36"/>
          <w:highlight w:val="none"/>
        </w:rPr>
      </w:pPr>
      <w:r>
        <w:rPr>
          <w:rFonts w:hint="eastAsia" w:ascii="宋体" w:hAnsi="宋体" w:eastAsia="宋体" w:cs="宋体"/>
          <w:color w:val="auto"/>
          <w:highlight w:val="none"/>
        </w:rPr>
        <w:t>（6）不同供应商的投标保证金从同一单位或者个人的账户转出。</w:t>
      </w:r>
    </w:p>
    <w:p w14:paraId="3C78D715">
      <w:pPr>
        <w:widowControl/>
        <w:spacing w:before="624" w:beforeLines="200" w:after="624" w:afterLines="200"/>
        <w:jc w:val="center"/>
        <w:outlineLvl w:val="1"/>
        <w:rPr>
          <w:rFonts w:hint="eastAsia" w:ascii="宋体" w:hAnsi="宋体" w:eastAsia="宋体" w:cs="宋体"/>
          <w:b/>
          <w:bCs/>
          <w:color w:val="auto"/>
          <w:kern w:val="0"/>
          <w:sz w:val="36"/>
          <w:szCs w:val="36"/>
          <w:highlight w:val="none"/>
        </w:rPr>
      </w:pPr>
      <w:bookmarkStart w:id="142" w:name="_Toc3211"/>
      <w:bookmarkStart w:id="143" w:name="_Toc496626226"/>
      <w:r>
        <w:rPr>
          <w:rFonts w:hint="eastAsia" w:ascii="宋体" w:hAnsi="宋体" w:eastAsia="宋体" w:cs="宋体"/>
          <w:b/>
          <w:bCs/>
          <w:color w:val="auto"/>
          <w:kern w:val="0"/>
          <w:sz w:val="36"/>
          <w:szCs w:val="36"/>
          <w:highlight w:val="none"/>
        </w:rPr>
        <w:t>十、</w:t>
      </w:r>
      <w:bookmarkEnd w:id="134"/>
      <w:bookmarkEnd w:id="135"/>
      <w:r>
        <w:rPr>
          <w:rFonts w:hint="eastAsia" w:ascii="宋体" w:hAnsi="宋体" w:eastAsia="宋体" w:cs="宋体"/>
          <w:b/>
          <w:bCs/>
          <w:color w:val="auto"/>
          <w:kern w:val="0"/>
          <w:sz w:val="36"/>
          <w:szCs w:val="36"/>
          <w:highlight w:val="none"/>
        </w:rPr>
        <w:t>磋商活动终止</w:t>
      </w:r>
      <w:bookmarkEnd w:id="142"/>
      <w:bookmarkEnd w:id="143"/>
    </w:p>
    <w:p w14:paraId="79ECD77B">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44" w:name="_Toc25430"/>
      <w:bookmarkStart w:id="145" w:name="_Toc496626227"/>
      <w:bookmarkStart w:id="146" w:name="_Toc325726031"/>
      <w:bookmarkStart w:id="147" w:name="_Toc376936762"/>
      <w:r>
        <w:rPr>
          <w:rFonts w:hint="eastAsia" w:ascii="宋体" w:hAnsi="宋体" w:eastAsia="宋体" w:cs="宋体"/>
          <w:b/>
          <w:bCs/>
          <w:color w:val="auto"/>
          <w:kern w:val="0"/>
          <w:sz w:val="27"/>
          <w:szCs w:val="27"/>
          <w:highlight w:val="none"/>
        </w:rPr>
        <w:t>25. 终止情形</w:t>
      </w:r>
      <w:bookmarkEnd w:id="144"/>
      <w:bookmarkEnd w:id="145"/>
    </w:p>
    <w:p w14:paraId="37C20AA2">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25.1在竞争性磋商采购中，出现下列情形之一的，终止磋商活动：</w:t>
      </w:r>
      <w:bookmarkEnd w:id="146"/>
      <w:bookmarkEnd w:id="147"/>
    </w:p>
    <w:p w14:paraId="56E9DA8E">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（1）因情况变化，不再符合规定的竞争性磋商采购方式适用情形的。</w:t>
      </w:r>
    </w:p>
    <w:p w14:paraId="460CD3B8">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（2）出现影响采购活动公正的违法、违规行为的。</w:t>
      </w:r>
    </w:p>
    <w:p w14:paraId="641E474B">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（3）符合要求的供应商或者报价未超过采购预算额度的供应商数量不满足相关规定的。</w:t>
      </w:r>
    </w:p>
    <w:p w14:paraId="588A36EA">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14:paraId="0B96D71E">
      <w:pPr>
        <w:spacing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highlight w:val="none"/>
        </w:rPr>
        <w:t>25.2终止磋商活动</w:t>
      </w:r>
      <w:r>
        <w:rPr>
          <w:rFonts w:hint="eastAsia" w:ascii="宋体" w:hAnsi="宋体" w:eastAsia="宋体" w:cs="宋体"/>
          <w:color w:val="auto"/>
          <w:szCs w:val="20"/>
          <w:highlight w:val="none"/>
        </w:rPr>
        <w:t>后，由</w:t>
      </w:r>
      <w:r>
        <w:rPr>
          <w:rFonts w:hint="eastAsia" w:ascii="宋体" w:hAnsi="宋体" w:eastAsia="宋体" w:cs="宋体"/>
          <w:color w:val="auto"/>
          <w:highlight w:val="none"/>
        </w:rPr>
        <w:t>采购代理机构</w:t>
      </w:r>
      <w:r>
        <w:rPr>
          <w:rFonts w:hint="eastAsia" w:ascii="宋体" w:hAnsi="宋体" w:eastAsia="宋体" w:cs="宋体"/>
          <w:color w:val="auto"/>
          <w:szCs w:val="20"/>
          <w:highlight w:val="none"/>
        </w:rPr>
        <w:t>发布终止公告并说明原因。</w:t>
      </w:r>
      <w:bookmarkStart w:id="148" w:name="_Toc325726032"/>
    </w:p>
    <w:p w14:paraId="310A0D74">
      <w:pPr>
        <w:widowControl/>
        <w:spacing w:before="624" w:beforeLines="200" w:after="624" w:afterLines="200"/>
        <w:jc w:val="center"/>
        <w:outlineLvl w:val="1"/>
        <w:rPr>
          <w:rFonts w:hint="eastAsia" w:ascii="宋体" w:hAnsi="宋体" w:eastAsia="宋体" w:cs="宋体"/>
          <w:b/>
          <w:bCs/>
          <w:color w:val="auto"/>
          <w:kern w:val="0"/>
          <w:sz w:val="36"/>
          <w:szCs w:val="36"/>
          <w:highlight w:val="none"/>
        </w:rPr>
      </w:pPr>
      <w:bookmarkStart w:id="149" w:name="_Toc9410"/>
      <w:bookmarkStart w:id="150" w:name="_Toc376936763"/>
      <w:bookmarkStart w:id="151" w:name="_Toc496626228"/>
      <w:r>
        <w:rPr>
          <w:rFonts w:hint="eastAsia" w:ascii="宋体" w:hAnsi="宋体" w:eastAsia="宋体" w:cs="宋体"/>
          <w:b/>
          <w:bCs/>
          <w:color w:val="auto"/>
          <w:kern w:val="0"/>
          <w:sz w:val="36"/>
          <w:szCs w:val="36"/>
          <w:highlight w:val="none"/>
        </w:rPr>
        <w:t>十一、处罚</w:t>
      </w:r>
      <w:bookmarkEnd w:id="148"/>
      <w:bookmarkEnd w:id="149"/>
      <w:bookmarkEnd w:id="150"/>
      <w:bookmarkEnd w:id="151"/>
    </w:p>
    <w:p w14:paraId="30F5E90B">
      <w:pPr>
        <w:widowControl/>
        <w:spacing w:before="100" w:beforeAutospacing="1" w:after="100" w:afterAutospacing="1"/>
        <w:ind w:firstLine="542"/>
        <w:jc w:val="left"/>
        <w:outlineLvl w:val="2"/>
        <w:rPr>
          <w:rFonts w:hint="eastAsia" w:ascii="宋体" w:hAnsi="宋体" w:eastAsia="宋体" w:cs="宋体"/>
          <w:b/>
          <w:bCs/>
          <w:color w:val="auto"/>
          <w:kern w:val="0"/>
          <w:sz w:val="27"/>
          <w:szCs w:val="27"/>
          <w:highlight w:val="none"/>
        </w:rPr>
      </w:pPr>
      <w:bookmarkStart w:id="152" w:name="_Toc376936764"/>
      <w:bookmarkStart w:id="153" w:name="_Toc20170"/>
      <w:bookmarkStart w:id="154" w:name="_Toc325726033"/>
      <w:bookmarkStart w:id="155" w:name="_Toc496626229"/>
      <w:r>
        <w:rPr>
          <w:rFonts w:hint="eastAsia" w:ascii="宋体" w:hAnsi="宋体" w:eastAsia="宋体" w:cs="宋体"/>
          <w:b/>
          <w:bCs/>
          <w:color w:val="auto"/>
          <w:kern w:val="0"/>
          <w:sz w:val="27"/>
          <w:szCs w:val="27"/>
          <w:highlight w:val="none"/>
        </w:rPr>
        <w:t>26.处罚情形</w:t>
      </w:r>
      <w:bookmarkEnd w:id="152"/>
      <w:bookmarkEnd w:id="153"/>
      <w:bookmarkEnd w:id="154"/>
      <w:bookmarkEnd w:id="155"/>
    </w:p>
    <w:p w14:paraId="45B5409A">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26.1有下列情形之一的，供应商的磋商保证金不予退还；成交供应商的成交结果无效，履约保证金不予退还。</w:t>
      </w:r>
    </w:p>
    <w:p w14:paraId="795108A4">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（1）供应商在提交磋商响应文件截止时间后撤回磋商响应文件的；</w:t>
      </w:r>
    </w:p>
    <w:p w14:paraId="65AB6456">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（2）供应商在响应文件中提供虚假材料的；</w:t>
      </w:r>
    </w:p>
    <w:p w14:paraId="569AA886">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（3）采取不正当手段诋毁、排挤其他供应商的；</w:t>
      </w:r>
    </w:p>
    <w:p w14:paraId="01A5BBD0">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（4）有恶意串通等不正当竞争行为的；</w:t>
      </w:r>
    </w:p>
    <w:p w14:paraId="4CC16FCB">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（5）成交后无正当理由拒不与采购人签订采购合同的；</w:t>
      </w:r>
    </w:p>
    <w:p w14:paraId="0070B977">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（6）未按照磋商文件、磋商响应文件确定的事项签订采购合同的；</w:t>
      </w:r>
    </w:p>
    <w:p w14:paraId="32A9FDC7">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（7）擅自变更、中止或者终止政府采购合同的；</w:t>
      </w:r>
    </w:p>
    <w:p w14:paraId="350817EC">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（8）成交供应商签订合同后，因种种原因不能履约或无故拖延履约期的；</w:t>
      </w:r>
    </w:p>
    <w:p w14:paraId="059306DD">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（9）法律、法规规定的其他情形的。</w:t>
      </w:r>
    </w:p>
    <w:p w14:paraId="4A3FE195">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26.2出现上述情况，情节严重的，报省财政厅依法进行处理。</w:t>
      </w:r>
    </w:p>
    <w:p w14:paraId="5A11E592">
      <w:pPr>
        <w:widowControl/>
        <w:spacing w:before="624" w:beforeLines="200" w:after="624" w:afterLines="200"/>
        <w:jc w:val="center"/>
        <w:outlineLvl w:val="1"/>
        <w:rPr>
          <w:rFonts w:hint="eastAsia" w:ascii="宋体" w:hAnsi="宋体" w:eastAsia="宋体" w:cs="宋体"/>
          <w:b/>
          <w:bCs/>
          <w:color w:val="auto"/>
          <w:kern w:val="0"/>
          <w:sz w:val="36"/>
          <w:szCs w:val="36"/>
          <w:highlight w:val="none"/>
        </w:rPr>
      </w:pPr>
      <w:bookmarkStart w:id="156" w:name="_Toc496626230"/>
      <w:bookmarkStart w:id="157" w:name="_Toc376936765"/>
      <w:bookmarkStart w:id="158" w:name="_Toc1727"/>
      <w:bookmarkStart w:id="159" w:name="_Toc325726034"/>
      <w:r>
        <w:rPr>
          <w:rFonts w:hint="eastAsia" w:ascii="宋体" w:hAnsi="宋体" w:eastAsia="宋体" w:cs="宋体"/>
          <w:b/>
          <w:bCs/>
          <w:color w:val="auto"/>
          <w:kern w:val="0"/>
          <w:sz w:val="36"/>
          <w:szCs w:val="36"/>
          <w:highlight w:val="none"/>
        </w:rPr>
        <w:t>十二、其他</w:t>
      </w:r>
      <w:bookmarkEnd w:id="156"/>
      <w:bookmarkEnd w:id="157"/>
      <w:bookmarkEnd w:id="158"/>
      <w:bookmarkEnd w:id="159"/>
    </w:p>
    <w:p w14:paraId="41371B1C">
      <w:pPr>
        <w:spacing w:line="360" w:lineRule="auto"/>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其他未尽事宜，按照《中华人民共和国政府采购法》、《中华人民共和国</w:t>
      </w:r>
      <w:r>
        <w:rPr>
          <w:rFonts w:hint="eastAsia" w:ascii="宋体" w:hAnsi="宋体" w:eastAsia="宋体" w:cs="宋体"/>
          <w:color w:val="auto"/>
          <w:highlight w:val="none"/>
          <w:lang w:eastAsia="zh-CN"/>
        </w:rPr>
        <w:t>民法典</w:t>
      </w:r>
      <w:r>
        <w:rPr>
          <w:rFonts w:hint="eastAsia" w:ascii="宋体" w:hAnsi="宋体" w:eastAsia="宋体" w:cs="宋体"/>
          <w:color w:val="auto"/>
          <w:highlight w:val="none"/>
        </w:rPr>
        <w:t>》、《中华人民共和国政府采购法实施条例》、《政府采购竞争性磋商采购方式管理暂行办法》等法律法规的有关条款执行。</w:t>
      </w:r>
    </w:p>
    <w:p w14:paraId="64A78398">
      <w:pPr>
        <w:spacing w:line="360" w:lineRule="auto"/>
        <w:ind w:firstLine="480"/>
        <w:jc w:val="left"/>
        <w:rPr>
          <w:rFonts w:hint="eastAsia" w:ascii="宋体" w:hAnsi="宋体" w:eastAsia="宋体" w:cs="宋体"/>
          <w:color w:val="auto"/>
          <w:highlight w:val="none"/>
        </w:rPr>
      </w:pPr>
    </w:p>
    <w:p w14:paraId="2A1CCBA2">
      <w:pPr>
        <w:spacing w:line="360" w:lineRule="auto"/>
        <w:ind w:firstLine="480"/>
        <w:jc w:val="left"/>
        <w:rPr>
          <w:rFonts w:hint="eastAsia" w:ascii="宋体" w:hAnsi="宋体" w:eastAsia="宋体" w:cs="宋体"/>
          <w:color w:val="auto"/>
          <w:highlight w:val="none"/>
        </w:rPr>
      </w:pPr>
    </w:p>
    <w:p w14:paraId="13388AAF">
      <w:pPr>
        <w:spacing w:line="360" w:lineRule="auto"/>
        <w:ind w:firstLine="480"/>
        <w:jc w:val="left"/>
        <w:rPr>
          <w:rFonts w:hint="eastAsia" w:ascii="宋体" w:hAnsi="宋体" w:eastAsia="宋体" w:cs="宋体"/>
          <w:color w:val="auto"/>
          <w:highlight w:val="none"/>
        </w:rPr>
      </w:pPr>
    </w:p>
    <w:p w14:paraId="295FFAD9">
      <w:pPr>
        <w:spacing w:line="360" w:lineRule="auto"/>
        <w:ind w:firstLine="480"/>
        <w:jc w:val="left"/>
        <w:rPr>
          <w:rFonts w:hint="eastAsia" w:ascii="宋体" w:hAnsi="宋体" w:eastAsia="宋体" w:cs="宋体"/>
          <w:color w:val="auto"/>
          <w:highlight w:val="none"/>
        </w:rPr>
      </w:pPr>
    </w:p>
    <w:p w14:paraId="0B2F8429">
      <w:pPr>
        <w:spacing w:line="360" w:lineRule="auto"/>
        <w:ind w:firstLine="480"/>
        <w:jc w:val="left"/>
        <w:rPr>
          <w:rFonts w:hint="eastAsia" w:ascii="宋体" w:hAnsi="宋体" w:eastAsia="宋体" w:cs="宋体"/>
          <w:color w:val="auto"/>
          <w:highlight w:val="none"/>
        </w:rPr>
      </w:pPr>
    </w:p>
    <w:p w14:paraId="536A7F5D">
      <w:pPr>
        <w:pStyle w:val="9"/>
        <w:rPr>
          <w:rFonts w:hint="eastAsia" w:ascii="宋体" w:hAnsi="宋体" w:eastAsia="宋体" w:cs="宋体"/>
          <w:color w:val="auto"/>
          <w:highlight w:val="none"/>
        </w:rPr>
      </w:pPr>
    </w:p>
    <w:p w14:paraId="6DD8231A">
      <w:pPr>
        <w:keepNext/>
        <w:keepLines/>
        <w:widowControl/>
        <w:snapToGrid w:val="0"/>
        <w:spacing w:line="400" w:lineRule="atLeast"/>
        <w:jc w:val="center"/>
        <w:outlineLvl w:val="0"/>
        <w:rPr>
          <w:rFonts w:hint="eastAsia" w:ascii="宋体" w:hAnsi="宋体" w:eastAsia="宋体" w:cs="宋体"/>
          <w:b/>
          <w:color w:val="auto"/>
          <w:kern w:val="28"/>
          <w:sz w:val="36"/>
          <w:szCs w:val="20"/>
          <w:highlight w:val="none"/>
        </w:rPr>
      </w:pPr>
      <w:bookmarkStart w:id="160" w:name="_Toc376936766"/>
      <w:bookmarkStart w:id="161" w:name="_Toc31207"/>
      <w:bookmarkStart w:id="162" w:name="_Toc496626231"/>
    </w:p>
    <w:p w14:paraId="1DDA5793">
      <w:pPr>
        <w:keepNext/>
        <w:keepLines/>
        <w:widowControl/>
        <w:snapToGrid w:val="0"/>
        <w:spacing w:line="400" w:lineRule="atLeast"/>
        <w:jc w:val="center"/>
        <w:outlineLvl w:val="0"/>
        <w:rPr>
          <w:rFonts w:hint="eastAsia" w:ascii="宋体" w:hAnsi="宋体" w:eastAsia="宋体" w:cs="宋体"/>
          <w:b/>
          <w:color w:val="auto"/>
          <w:kern w:val="28"/>
          <w:sz w:val="36"/>
          <w:szCs w:val="20"/>
          <w:highlight w:val="none"/>
        </w:rPr>
      </w:pPr>
      <w:r>
        <w:rPr>
          <w:rFonts w:hint="eastAsia" w:ascii="宋体" w:hAnsi="宋体" w:eastAsia="宋体" w:cs="宋体"/>
          <w:b/>
          <w:color w:val="auto"/>
          <w:kern w:val="28"/>
          <w:sz w:val="36"/>
          <w:szCs w:val="20"/>
          <w:highlight w:val="none"/>
        </w:rPr>
        <w:t xml:space="preserve">第三部分  </w:t>
      </w:r>
      <w:bookmarkEnd w:id="160"/>
      <w:r>
        <w:rPr>
          <w:rFonts w:hint="eastAsia" w:ascii="宋体" w:hAnsi="宋体" w:eastAsia="宋体" w:cs="宋体"/>
          <w:b/>
          <w:color w:val="auto"/>
          <w:kern w:val="28"/>
          <w:sz w:val="36"/>
          <w:szCs w:val="20"/>
          <w:highlight w:val="none"/>
        </w:rPr>
        <w:t>青海省政府采购项目合同书范本</w:t>
      </w:r>
      <w:bookmarkEnd w:id="161"/>
    </w:p>
    <w:p w14:paraId="33C74C3A">
      <w:pPr>
        <w:keepNext/>
        <w:keepLines/>
        <w:widowControl/>
        <w:snapToGrid w:val="0"/>
        <w:spacing w:line="400" w:lineRule="atLeast"/>
        <w:jc w:val="center"/>
        <w:outlineLvl w:val="0"/>
        <w:rPr>
          <w:rFonts w:hint="eastAsia" w:ascii="宋体" w:hAnsi="宋体" w:eastAsia="宋体" w:cs="宋体"/>
          <w:b/>
          <w:color w:val="auto"/>
          <w:kern w:val="28"/>
          <w:sz w:val="36"/>
          <w:szCs w:val="20"/>
          <w:highlight w:val="none"/>
        </w:rPr>
      </w:pPr>
      <w:bookmarkStart w:id="163" w:name="_Toc22472"/>
      <w:r>
        <w:rPr>
          <w:rFonts w:hint="eastAsia" w:ascii="宋体" w:hAnsi="宋体" w:eastAsia="宋体" w:cs="宋体"/>
          <w:b/>
          <w:color w:val="auto"/>
          <w:kern w:val="28"/>
          <w:sz w:val="36"/>
          <w:szCs w:val="20"/>
          <w:highlight w:val="none"/>
        </w:rPr>
        <w:t>（货物类）</w:t>
      </w:r>
      <w:bookmarkEnd w:id="162"/>
      <w:bookmarkEnd w:id="163"/>
    </w:p>
    <w:p w14:paraId="02F59868">
      <w:pPr>
        <w:ind w:firstLine="480"/>
        <w:rPr>
          <w:rFonts w:hint="eastAsia" w:ascii="宋体" w:hAnsi="宋体" w:eastAsia="宋体" w:cs="宋体"/>
          <w:color w:val="auto"/>
          <w:highlight w:val="none"/>
        </w:rPr>
      </w:pPr>
    </w:p>
    <w:p w14:paraId="06C7CDCD">
      <w:pPr>
        <w:ind w:firstLine="480"/>
        <w:rPr>
          <w:rFonts w:hint="eastAsia" w:ascii="宋体" w:hAnsi="宋体" w:eastAsia="宋体" w:cs="宋体"/>
          <w:color w:val="auto"/>
          <w:highlight w:val="none"/>
        </w:rPr>
      </w:pPr>
      <w:bookmarkStart w:id="164" w:name="_Toc373954603"/>
      <w:bookmarkStart w:id="165" w:name="_Toc373936315"/>
      <w:bookmarkStart w:id="166" w:name="_Toc375576842"/>
    </w:p>
    <w:p w14:paraId="515903A8">
      <w:pPr>
        <w:ind w:firstLine="480"/>
        <w:rPr>
          <w:rFonts w:hint="eastAsia" w:ascii="宋体" w:hAnsi="宋体" w:eastAsia="宋体" w:cs="宋体"/>
          <w:color w:val="auto"/>
          <w:highlight w:val="none"/>
        </w:rPr>
      </w:pPr>
    </w:p>
    <w:p w14:paraId="4E42B6CC">
      <w:pPr>
        <w:ind w:firstLine="480"/>
        <w:rPr>
          <w:rFonts w:hint="eastAsia" w:ascii="宋体" w:hAnsi="宋体" w:eastAsia="宋体" w:cs="宋体"/>
          <w:color w:val="auto"/>
          <w:highlight w:val="none"/>
        </w:rPr>
      </w:pPr>
    </w:p>
    <w:p w14:paraId="6A81E8F9">
      <w:pPr>
        <w:rPr>
          <w:rFonts w:hint="eastAsia" w:ascii="宋体" w:hAnsi="宋体" w:eastAsia="宋体" w:cs="宋体"/>
          <w:color w:val="auto"/>
          <w:highlight w:val="none"/>
        </w:rPr>
      </w:pPr>
    </w:p>
    <w:p w14:paraId="110BA81F">
      <w:pPr>
        <w:pStyle w:val="2"/>
        <w:ind w:firstLine="1378" w:firstLineChars="286"/>
        <w:jc w:val="both"/>
        <w:rPr>
          <w:rFonts w:hint="eastAsia" w:ascii="宋体" w:hAnsi="宋体" w:eastAsia="宋体" w:cs="宋体"/>
          <w:color w:val="auto"/>
          <w:sz w:val="48"/>
          <w:szCs w:val="48"/>
          <w:highlight w:val="none"/>
        </w:rPr>
      </w:pPr>
    </w:p>
    <w:p w14:paraId="6A2C18F2">
      <w:pPr>
        <w:pStyle w:val="2"/>
        <w:ind w:firstLine="1378" w:firstLineChars="286"/>
        <w:jc w:val="both"/>
        <w:rPr>
          <w:rFonts w:hint="eastAsia" w:ascii="宋体" w:hAnsi="宋体" w:eastAsia="宋体" w:cs="宋体"/>
          <w:color w:val="auto"/>
          <w:sz w:val="48"/>
          <w:szCs w:val="48"/>
          <w:highlight w:val="none"/>
        </w:rPr>
      </w:pPr>
      <w:bookmarkStart w:id="167" w:name="_Toc496626232"/>
      <w:bookmarkStart w:id="168" w:name="_Toc16071"/>
      <w:r>
        <w:rPr>
          <w:rFonts w:hint="eastAsia" w:ascii="宋体" w:hAnsi="宋体" w:eastAsia="宋体" w:cs="宋体"/>
          <w:color w:val="auto"/>
          <w:sz w:val="48"/>
          <w:szCs w:val="48"/>
          <w:highlight w:val="none"/>
        </w:rPr>
        <w:t>青海省政府采购项目合同</w:t>
      </w:r>
      <w:bookmarkEnd w:id="164"/>
      <w:bookmarkEnd w:id="165"/>
      <w:bookmarkEnd w:id="166"/>
      <w:r>
        <w:rPr>
          <w:rFonts w:hint="eastAsia" w:ascii="宋体" w:hAnsi="宋体" w:eastAsia="宋体" w:cs="宋体"/>
          <w:color w:val="auto"/>
          <w:sz w:val="48"/>
          <w:szCs w:val="48"/>
          <w:highlight w:val="none"/>
        </w:rPr>
        <w:t>书</w:t>
      </w:r>
      <w:bookmarkEnd w:id="167"/>
      <w:bookmarkEnd w:id="168"/>
    </w:p>
    <w:p w14:paraId="2AFA10B4">
      <w:pPr>
        <w:ind w:firstLine="480"/>
        <w:rPr>
          <w:rFonts w:hint="eastAsia" w:ascii="宋体" w:hAnsi="宋体" w:eastAsia="宋体" w:cs="宋体"/>
          <w:color w:val="auto"/>
          <w:highlight w:val="none"/>
        </w:rPr>
      </w:pPr>
    </w:p>
    <w:p w14:paraId="1728FD75">
      <w:pPr>
        <w:ind w:firstLine="480"/>
        <w:rPr>
          <w:rFonts w:hint="eastAsia" w:ascii="宋体" w:hAnsi="宋体" w:eastAsia="宋体" w:cs="宋体"/>
          <w:color w:val="auto"/>
          <w:highlight w:val="none"/>
        </w:rPr>
      </w:pPr>
    </w:p>
    <w:p w14:paraId="247C21DB">
      <w:pPr>
        <w:ind w:firstLine="480"/>
        <w:rPr>
          <w:rFonts w:hint="eastAsia" w:ascii="宋体" w:hAnsi="宋体" w:eastAsia="宋体" w:cs="宋体"/>
          <w:color w:val="auto"/>
          <w:highlight w:val="none"/>
        </w:rPr>
      </w:pPr>
    </w:p>
    <w:p w14:paraId="05277632">
      <w:pPr>
        <w:pStyle w:val="9"/>
        <w:rPr>
          <w:rFonts w:hint="eastAsia" w:ascii="宋体" w:hAnsi="宋体" w:eastAsia="宋体" w:cs="宋体"/>
          <w:color w:val="auto"/>
          <w:highlight w:val="none"/>
        </w:rPr>
      </w:pPr>
    </w:p>
    <w:p w14:paraId="74745A7B">
      <w:pPr>
        <w:pStyle w:val="9"/>
        <w:rPr>
          <w:rFonts w:hint="eastAsia" w:ascii="宋体" w:hAnsi="宋体" w:eastAsia="宋体" w:cs="宋体"/>
          <w:color w:val="auto"/>
          <w:highlight w:val="none"/>
        </w:rPr>
      </w:pPr>
    </w:p>
    <w:p w14:paraId="620D8B54">
      <w:pPr>
        <w:rPr>
          <w:rFonts w:hint="eastAsia" w:ascii="宋体" w:hAnsi="宋体" w:eastAsia="宋体" w:cs="宋体"/>
          <w:color w:val="auto"/>
          <w:highlight w:val="none"/>
        </w:rPr>
      </w:pPr>
    </w:p>
    <w:p w14:paraId="16452B26">
      <w:pPr>
        <w:ind w:firstLine="480"/>
        <w:rPr>
          <w:rFonts w:hint="eastAsia" w:ascii="宋体" w:hAnsi="宋体" w:eastAsia="宋体" w:cs="宋体"/>
          <w:color w:val="auto"/>
          <w:highlight w:val="none"/>
        </w:rPr>
      </w:pPr>
    </w:p>
    <w:p w14:paraId="64783F1E">
      <w:pPr>
        <w:spacing w:line="360" w:lineRule="auto"/>
        <w:ind w:left="2709" w:leftChars="286" w:hanging="2108" w:hangingChars="700"/>
        <w:rPr>
          <w:rFonts w:hint="eastAsia" w:ascii="宋体" w:hAnsi="宋体" w:eastAsia="宋体" w:cs="宋体"/>
          <w:b/>
          <w:color w:val="auto"/>
          <w:sz w:val="30"/>
          <w:szCs w:val="30"/>
          <w:highlight w:val="none"/>
          <w:u w:val="single"/>
          <w:lang w:val="en-US" w:eastAsia="zh-CN"/>
        </w:rPr>
      </w:pPr>
      <w:r>
        <w:rPr>
          <w:rFonts w:hint="eastAsia" w:ascii="宋体" w:hAnsi="宋体" w:eastAsia="宋体" w:cs="宋体"/>
          <w:b/>
          <w:color w:val="auto"/>
          <w:sz w:val="30"/>
          <w:szCs w:val="30"/>
          <w:highlight w:val="none"/>
        </w:rPr>
        <w:t>采购项目名称：</w:t>
      </w:r>
      <w:r>
        <w:rPr>
          <w:rFonts w:hint="eastAsia" w:ascii="宋体" w:hAnsi="宋体" w:eastAsia="宋体" w:cs="宋体"/>
          <w:b/>
          <w:color w:val="auto"/>
          <w:spacing w:val="-20"/>
          <w:sz w:val="30"/>
          <w:szCs w:val="30"/>
          <w:highlight w:val="none"/>
          <w:u w:val="single"/>
        </w:rPr>
        <w:t xml:space="preserve">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p>
    <w:p w14:paraId="15D5D264">
      <w:pPr>
        <w:spacing w:line="360" w:lineRule="auto"/>
        <w:ind w:firstLine="602"/>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rPr>
        <w:t>采购项目编号：</w:t>
      </w:r>
      <w:r>
        <w:rPr>
          <w:rFonts w:hint="eastAsia" w:ascii="宋体" w:hAnsi="宋体" w:eastAsia="宋体" w:cs="宋体"/>
          <w:b/>
          <w:color w:val="auto"/>
          <w:sz w:val="30"/>
          <w:szCs w:val="30"/>
          <w:highlight w:val="none"/>
          <w:u w:val="single"/>
        </w:rPr>
        <w:t xml:space="preserve">  </w:t>
      </w:r>
      <w:r>
        <w:rPr>
          <w:rFonts w:hint="eastAsia" w:ascii="宋体" w:hAnsi="宋体" w:cs="宋体"/>
          <w:b/>
          <w:bCs/>
          <w:color w:val="auto"/>
          <w:kern w:val="0"/>
          <w:sz w:val="30"/>
          <w:szCs w:val="30"/>
          <w:highlight w:val="none"/>
          <w:u w:val="single"/>
          <w:lang w:val="zh-CN"/>
        </w:rPr>
        <w:t>兰州众信磋商（服务）2024-016号</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 xml:space="preserve">                                              </w:t>
      </w:r>
    </w:p>
    <w:p w14:paraId="5D7892A9">
      <w:pPr>
        <w:spacing w:line="360" w:lineRule="auto"/>
        <w:ind w:firstLine="602"/>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rPr>
        <w:t>采购合同编号：</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LZZX</w:t>
      </w:r>
      <w:r>
        <w:rPr>
          <w:rFonts w:hint="eastAsia" w:ascii="宋体" w:hAnsi="宋体" w:eastAsia="宋体" w:cs="宋体"/>
          <w:b/>
          <w:color w:val="auto"/>
          <w:sz w:val="30"/>
          <w:szCs w:val="30"/>
          <w:highlight w:val="none"/>
          <w:u w:val="single"/>
        </w:rPr>
        <w:t>-</w:t>
      </w:r>
      <w:r>
        <w:rPr>
          <w:rFonts w:hint="eastAsia" w:ascii="宋体" w:hAnsi="宋体" w:eastAsia="宋体" w:cs="宋体"/>
          <w:b/>
          <w:color w:val="auto"/>
          <w:sz w:val="30"/>
          <w:szCs w:val="30"/>
          <w:highlight w:val="none"/>
          <w:u w:val="single"/>
          <w:lang w:eastAsia="zh-CN"/>
        </w:rPr>
        <w:t>202</w:t>
      </w:r>
      <w:r>
        <w:rPr>
          <w:rFonts w:hint="eastAsia" w:ascii="宋体" w:hAnsi="宋体" w:cs="宋体"/>
          <w:b/>
          <w:color w:val="auto"/>
          <w:sz w:val="30"/>
          <w:szCs w:val="30"/>
          <w:highlight w:val="none"/>
          <w:u w:val="single"/>
          <w:lang w:val="en-US" w:eastAsia="zh-CN"/>
        </w:rPr>
        <w:t>4</w:t>
      </w:r>
      <w:r>
        <w:rPr>
          <w:rFonts w:hint="eastAsia" w:ascii="宋体" w:hAnsi="宋体" w:eastAsia="宋体" w:cs="宋体"/>
          <w:b/>
          <w:color w:val="auto"/>
          <w:sz w:val="30"/>
          <w:szCs w:val="30"/>
          <w:highlight w:val="none"/>
          <w:u w:val="single"/>
        </w:rPr>
        <w:t>-</w:t>
      </w:r>
      <w:r>
        <w:rPr>
          <w:rFonts w:hint="eastAsia" w:ascii="宋体" w:hAnsi="宋体" w:cs="宋体"/>
          <w:b/>
          <w:color w:val="auto"/>
          <w:sz w:val="30"/>
          <w:szCs w:val="30"/>
          <w:highlight w:val="none"/>
          <w:u w:val="single"/>
          <w:lang w:val="en-US" w:eastAsia="zh-CN"/>
        </w:rPr>
        <w:t>016</w:t>
      </w:r>
      <w:r>
        <w:rPr>
          <w:rFonts w:hint="eastAsia" w:ascii="宋体" w:hAnsi="宋体" w:eastAsia="宋体" w:cs="宋体"/>
          <w:b/>
          <w:color w:val="auto"/>
          <w:sz w:val="30"/>
          <w:szCs w:val="30"/>
          <w:highlight w:val="none"/>
          <w:u w:val="single"/>
        </w:rPr>
        <w:t xml:space="preserve">号            </w:t>
      </w:r>
    </w:p>
    <w:p w14:paraId="5163A01E">
      <w:pPr>
        <w:spacing w:line="360" w:lineRule="auto"/>
        <w:ind w:firstLine="602"/>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合同金额（人民币）：</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 xml:space="preserve">                                     </w:t>
      </w:r>
    </w:p>
    <w:p w14:paraId="1BABCD37">
      <w:pPr>
        <w:spacing w:line="360" w:lineRule="auto"/>
        <w:ind w:firstLine="602"/>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采购单位（委托方）：</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（盖章）</w:t>
      </w:r>
    </w:p>
    <w:p w14:paraId="15854728">
      <w:pPr>
        <w:spacing w:line="360" w:lineRule="auto"/>
        <w:ind w:firstLine="602"/>
        <w:jc w:val="left"/>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rPr>
        <w:t>成交供应商（受托方）：</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（盖章）</w:t>
      </w:r>
    </w:p>
    <w:p w14:paraId="0DFD1A6B">
      <w:pPr>
        <w:spacing w:line="360" w:lineRule="auto"/>
        <w:ind w:firstLine="602"/>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rPr>
        <w:t>磋商日期：</w:t>
      </w:r>
      <w:r>
        <w:rPr>
          <w:rFonts w:hint="eastAsia" w:ascii="宋体" w:hAnsi="宋体" w:eastAsia="宋体" w:cs="宋体"/>
          <w:b/>
          <w:color w:val="auto"/>
          <w:sz w:val="30"/>
          <w:szCs w:val="30"/>
          <w:highlight w:val="none"/>
          <w:u w:val="single"/>
        </w:rPr>
        <w:t xml:space="preserve">                                      </w:t>
      </w:r>
      <w:bookmarkStart w:id="169" w:name="_Toc325726036"/>
      <w:bookmarkStart w:id="170" w:name="_Toc376936767"/>
    </w:p>
    <w:p w14:paraId="0192EAB6">
      <w:pPr>
        <w:pStyle w:val="6"/>
        <w:rPr>
          <w:rFonts w:hint="eastAsia" w:ascii="宋体" w:hAnsi="宋体" w:eastAsia="宋体" w:cs="宋体"/>
          <w:b/>
          <w:bCs/>
          <w:color w:val="auto"/>
          <w:sz w:val="21"/>
          <w:szCs w:val="21"/>
          <w:highlight w:val="none"/>
        </w:rPr>
      </w:pPr>
    </w:p>
    <w:p w14:paraId="70D653DF">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063E9D69">
      <w:pPr>
        <w:autoSpaceDE w:val="0"/>
        <w:autoSpaceDN w:val="0"/>
        <w:spacing w:line="360" w:lineRule="auto"/>
        <w:ind w:firstLine="480"/>
        <w:rPr>
          <w:rFonts w:hint="default" w:ascii="宋体" w:hAnsi="宋体" w:cs="宋体"/>
          <w:b/>
          <w:bCs/>
          <w:color w:val="000000"/>
          <w:kern w:val="0"/>
          <w:highlight w:val="none"/>
          <w:lang w:val="zh-CN" w:eastAsia="zh-CN"/>
        </w:rPr>
      </w:pPr>
      <w:bookmarkStart w:id="171" w:name="_Toc19345"/>
      <w:bookmarkStart w:id="172" w:name="_Toc15036"/>
      <w:bookmarkStart w:id="173" w:name="_Toc4963"/>
      <w:r>
        <w:rPr>
          <w:rFonts w:hint="eastAsia" w:ascii="宋体" w:hAnsi="宋体" w:cs="宋体"/>
          <w:b/>
          <w:bCs/>
          <w:color w:val="000000"/>
          <w:kern w:val="0"/>
          <w:highlight w:val="none"/>
          <w:lang w:val="zh-CN"/>
        </w:rPr>
        <w:t>采 购 人（以下简称甲方）：</w:t>
      </w:r>
      <w:bookmarkEnd w:id="171"/>
      <w:bookmarkEnd w:id="172"/>
      <w:bookmarkEnd w:id="173"/>
      <w:r>
        <w:rPr>
          <w:rFonts w:hint="eastAsia" w:ascii="宋体" w:hAnsi="宋体" w:cs="宋体"/>
          <w:b/>
          <w:bCs/>
          <w:color w:val="000000"/>
          <w:kern w:val="0"/>
          <w:highlight w:val="none"/>
          <w:lang w:val="zh-CN" w:eastAsia="zh-CN"/>
        </w:rPr>
        <w:t xml:space="preserve">                             </w:t>
      </w:r>
    </w:p>
    <w:p w14:paraId="216D59B4">
      <w:pPr>
        <w:autoSpaceDE w:val="0"/>
        <w:autoSpaceDN w:val="0"/>
        <w:spacing w:line="360" w:lineRule="auto"/>
        <w:ind w:firstLine="480"/>
        <w:rPr>
          <w:rFonts w:hint="default" w:ascii="宋体" w:hAnsi="宋体" w:cs="宋体"/>
          <w:color w:val="000000"/>
          <w:kern w:val="0"/>
          <w:highlight w:val="none"/>
          <w:lang w:val="zh-CN" w:eastAsia="zh-CN"/>
        </w:rPr>
      </w:pPr>
      <w:bookmarkStart w:id="174" w:name="_Toc13063"/>
      <w:bookmarkStart w:id="175" w:name="_Toc20456"/>
      <w:bookmarkStart w:id="176" w:name="_Toc31756"/>
      <w:r>
        <w:rPr>
          <w:rFonts w:hint="eastAsia" w:ascii="宋体" w:hAnsi="宋体" w:cs="宋体"/>
          <w:b/>
          <w:bCs/>
          <w:color w:val="000000"/>
          <w:kern w:val="0"/>
          <w:highlight w:val="none"/>
          <w:lang w:val="zh-CN"/>
        </w:rPr>
        <w:t>供 应 商（以下简称乙方）：</w:t>
      </w:r>
      <w:bookmarkEnd w:id="174"/>
      <w:bookmarkEnd w:id="175"/>
      <w:bookmarkEnd w:id="176"/>
      <w:r>
        <w:rPr>
          <w:rFonts w:hint="eastAsia" w:ascii="宋体" w:hAnsi="宋体" w:cs="宋体"/>
          <w:color w:val="000000"/>
          <w:kern w:val="0"/>
          <w:highlight w:val="none"/>
          <w:lang w:val="zh-CN" w:eastAsia="zh-CN"/>
        </w:rPr>
        <w:t xml:space="preserve">                             </w:t>
      </w:r>
    </w:p>
    <w:p w14:paraId="426E6523">
      <w:pPr>
        <w:pStyle w:val="7"/>
        <w:spacing w:after="0" w:line="360" w:lineRule="auto"/>
        <w:ind w:left="0" w:leftChars="0" w:firstLine="480"/>
        <w:rPr>
          <w:rFonts w:ascii="宋体" w:hAnsi="宋体" w:cs="宋体"/>
          <w:color w:val="000000"/>
          <w:kern w:val="0"/>
          <w:highlight w:val="none"/>
          <w:lang w:val="zh-CN"/>
        </w:rPr>
      </w:pPr>
      <w:r>
        <w:rPr>
          <w:rFonts w:hint="eastAsia" w:ascii="宋体" w:hAnsi="宋体" w:cs="宋体"/>
          <w:color w:val="000000"/>
          <w:kern w:val="0"/>
          <w:highlight w:val="none"/>
          <w:lang w:val="zh-CN"/>
        </w:rPr>
        <w:t>甲、乙双方根据XXXX年XX月XX日（</w:t>
      </w:r>
      <w:r>
        <w:rPr>
          <w:rFonts w:hint="eastAsia" w:ascii="宋体" w:hAnsi="宋体" w:cs="宋体"/>
          <w:color w:val="000000"/>
          <w:kern w:val="0"/>
          <w:highlight w:val="none"/>
          <w:u w:val="single"/>
          <w:lang w:val="zh-CN"/>
        </w:rPr>
        <w:t>采购项目名称）</w:t>
      </w:r>
      <w:r>
        <w:rPr>
          <w:rFonts w:hint="eastAsia" w:ascii="宋体" w:hAnsi="宋体" w:cs="宋体"/>
          <w:color w:val="000000"/>
          <w:kern w:val="0"/>
          <w:highlight w:val="none"/>
          <w:lang w:val="zh-CN"/>
        </w:rPr>
        <w:t>采购项目（</w:t>
      </w:r>
      <w:r>
        <w:rPr>
          <w:rFonts w:hint="eastAsia" w:ascii="宋体" w:hAnsi="宋体" w:cs="宋体"/>
          <w:color w:val="000000"/>
          <w:kern w:val="0"/>
          <w:highlight w:val="none"/>
          <w:u w:val="single"/>
          <w:lang w:val="zh-CN"/>
        </w:rPr>
        <w:t>采购项目编号</w:t>
      </w:r>
      <w:r>
        <w:rPr>
          <w:rFonts w:hint="eastAsia" w:ascii="宋体" w:hAnsi="宋体" w:cs="宋体"/>
          <w:color w:val="000000"/>
          <w:kern w:val="0"/>
          <w:highlight w:val="none"/>
          <w:lang w:val="zh-CN"/>
        </w:rPr>
        <w:t>）的磋商文件要求和</w:t>
      </w:r>
      <w:r>
        <w:rPr>
          <w:rFonts w:hint="eastAsia" w:ascii="宋体" w:hAnsi="宋体" w:cs="宋体"/>
          <w:color w:val="000000"/>
          <w:kern w:val="0"/>
          <w:highlight w:val="none"/>
          <w:u w:val="single"/>
          <w:lang w:val="zh-CN"/>
        </w:rPr>
        <w:t>采购代理机构</w:t>
      </w:r>
      <w:r>
        <w:rPr>
          <w:rFonts w:hint="eastAsia" w:ascii="宋体" w:hAnsi="宋体" w:cs="宋体"/>
          <w:color w:val="000000"/>
          <w:kern w:val="0"/>
          <w:highlight w:val="none"/>
          <w:lang w:val="zh-CN"/>
        </w:rPr>
        <w:t>出具的《中标通知书》，并经双方协商一致，签订本合同协议书。</w:t>
      </w:r>
    </w:p>
    <w:p w14:paraId="47290209">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一、签订本采购合同的依据</w:t>
      </w:r>
    </w:p>
    <w:p w14:paraId="785E2346">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本政府采购合同所附下列文件是构成本政府采购合同不可分割的部分：</w:t>
      </w:r>
    </w:p>
    <w:p w14:paraId="24022086">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en-US" w:eastAsia="zh-CN"/>
        </w:rPr>
        <w:t>1</w:t>
      </w:r>
      <w:r>
        <w:rPr>
          <w:rFonts w:hint="eastAsia" w:ascii="宋体" w:hAnsi="宋体" w:cs="宋体"/>
          <w:color w:val="000000"/>
          <w:kern w:val="0"/>
          <w:highlight w:val="none"/>
          <w:lang w:val="zh-CN"/>
        </w:rPr>
        <w:t>.磋商文件中规定的政府采购合同通用条款；</w:t>
      </w:r>
    </w:p>
    <w:p w14:paraId="523B2B3D">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en-US" w:eastAsia="zh-CN"/>
        </w:rPr>
        <w:t>2</w:t>
      </w:r>
      <w:r>
        <w:rPr>
          <w:rFonts w:hint="eastAsia" w:ascii="宋体" w:hAnsi="宋体" w:cs="宋体"/>
          <w:color w:val="000000"/>
          <w:kern w:val="0"/>
          <w:highlight w:val="none"/>
          <w:lang w:val="zh-CN"/>
        </w:rPr>
        <w:t>.</w:t>
      </w:r>
      <w:r>
        <w:rPr>
          <w:rFonts w:hint="eastAsia" w:ascii="宋体" w:hAnsi="宋体" w:cs="宋体"/>
          <w:color w:val="000000"/>
          <w:kern w:val="0"/>
          <w:highlight w:val="none"/>
          <w:lang w:val="en-US" w:eastAsia="zh-CN"/>
        </w:rPr>
        <w:t>成交</w:t>
      </w:r>
      <w:r>
        <w:rPr>
          <w:rFonts w:hint="eastAsia" w:ascii="宋体" w:hAnsi="宋体" w:cs="宋体"/>
          <w:color w:val="000000"/>
          <w:kern w:val="0"/>
          <w:highlight w:val="none"/>
          <w:lang w:val="zh-CN"/>
        </w:rPr>
        <w:t>通知书；</w:t>
      </w:r>
    </w:p>
    <w:p w14:paraId="1737A705">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en-US" w:eastAsia="zh-CN"/>
        </w:rPr>
        <w:t>3</w:t>
      </w:r>
      <w:r>
        <w:rPr>
          <w:rFonts w:hint="eastAsia" w:ascii="宋体" w:hAnsi="宋体" w:cs="宋体"/>
          <w:color w:val="000000"/>
          <w:kern w:val="0"/>
          <w:highlight w:val="none"/>
          <w:lang w:val="zh-CN"/>
        </w:rPr>
        <w:t>.履约保证金缴费证明。（</w:t>
      </w:r>
      <w:r>
        <w:rPr>
          <w:rFonts w:hint="eastAsia" w:ascii="宋体" w:hAnsi="宋体" w:cs="宋体"/>
          <w:color w:val="000000"/>
          <w:kern w:val="0"/>
          <w:highlight w:val="none"/>
          <w:lang w:val="en-US" w:eastAsia="zh-CN"/>
        </w:rPr>
        <w:t>如有</w:t>
      </w:r>
      <w:r>
        <w:rPr>
          <w:rFonts w:hint="eastAsia" w:ascii="宋体" w:hAnsi="宋体" w:cs="宋体"/>
          <w:color w:val="000000"/>
          <w:kern w:val="0"/>
          <w:highlight w:val="none"/>
          <w:lang w:val="zh-CN"/>
        </w:rPr>
        <w:t>）</w:t>
      </w:r>
    </w:p>
    <w:p w14:paraId="4191969D">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 xml:space="preserve">二、合同标的及金额                                     </w:t>
      </w:r>
    </w:p>
    <w:p w14:paraId="499B9616">
      <w:pPr>
        <w:autoSpaceDE w:val="0"/>
        <w:autoSpaceDN w:val="0"/>
        <w:spacing w:line="360" w:lineRule="auto"/>
        <w:ind w:firstLine="420" w:firstLineChars="200"/>
        <w:jc w:val="left"/>
        <w:rPr>
          <w:rFonts w:ascii="宋体" w:hAnsi="宋体" w:cs="宋体"/>
          <w:color w:val="000000"/>
          <w:kern w:val="0"/>
          <w:highlight w:val="none"/>
          <w:lang w:val="zh-CN"/>
        </w:rPr>
      </w:pPr>
      <w:r>
        <w:rPr>
          <w:rFonts w:hint="eastAsia" w:ascii="宋体" w:hAnsi="宋体" w:cs="宋体"/>
          <w:color w:val="000000"/>
          <w:kern w:val="0"/>
          <w:highlight w:val="none"/>
          <w:lang w:val="zh-CN"/>
        </w:rPr>
        <w:t>本采购合同的总金额为人民币</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（大写）</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lang w:val="zh-CN"/>
        </w:rPr>
        <w:t>元。</w:t>
      </w:r>
    </w:p>
    <w:p w14:paraId="10A5EBEF">
      <w:pPr>
        <w:autoSpaceDE w:val="0"/>
        <w:autoSpaceDN w:val="0"/>
        <w:spacing w:line="360" w:lineRule="auto"/>
        <w:ind w:firstLine="360"/>
        <w:rPr>
          <w:rFonts w:ascii="宋体" w:hAnsi="宋体" w:cs="宋体"/>
          <w:color w:val="000000"/>
          <w:kern w:val="0"/>
          <w:highlight w:val="none"/>
        </w:rPr>
      </w:pPr>
      <w:r>
        <w:rPr>
          <w:rFonts w:hint="eastAsia" w:ascii="宋体" w:hAnsi="宋体" w:cs="宋体"/>
          <w:color w:val="000000"/>
          <w:kern w:val="0"/>
          <w:highlight w:val="none"/>
          <w:lang w:val="zh-CN"/>
        </w:rPr>
        <w:t>本合同以人民币进行结算，合同总价包括：服务费、招标代理费、税金及不可预见费等全部费用。</w:t>
      </w:r>
    </w:p>
    <w:p w14:paraId="5B62CCE8">
      <w:pPr>
        <w:autoSpaceDE w:val="0"/>
        <w:autoSpaceDN w:val="0"/>
        <w:spacing w:line="360" w:lineRule="auto"/>
        <w:rPr>
          <w:rFonts w:ascii="宋体" w:hAnsi="宋体" w:cs="宋体"/>
          <w:color w:val="000000"/>
          <w:kern w:val="0"/>
          <w:highlight w:val="none"/>
        </w:rPr>
      </w:pPr>
      <w:r>
        <w:rPr>
          <w:rFonts w:hint="eastAsia" w:ascii="宋体" w:hAnsi="宋体" w:cs="宋体"/>
          <w:color w:val="000000"/>
          <w:kern w:val="0"/>
          <w:highlight w:val="none"/>
          <w:lang w:val="zh-CN"/>
        </w:rPr>
        <w:t>三、交付时间、地点和要求</w:t>
      </w:r>
    </w:p>
    <w:p w14:paraId="354DC9F1">
      <w:pPr>
        <w:autoSpaceDE w:val="0"/>
        <w:autoSpaceDN w:val="0"/>
        <w:spacing w:line="360" w:lineRule="auto"/>
        <w:ind w:firstLine="360"/>
        <w:jc w:val="left"/>
        <w:rPr>
          <w:rFonts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服务</w:t>
      </w:r>
      <w:r>
        <w:rPr>
          <w:rFonts w:hint="eastAsia" w:ascii="宋体" w:hAnsi="宋体" w:cs="宋体"/>
          <w:color w:val="000000"/>
          <w:kern w:val="0"/>
          <w:highlight w:val="none"/>
          <w:lang w:val="en-US" w:eastAsia="zh-CN"/>
        </w:rPr>
        <w:t>期</w:t>
      </w:r>
      <w:r>
        <w:rPr>
          <w:rFonts w:hint="eastAsia" w:ascii="宋体" w:hAnsi="宋体" w:cs="宋体"/>
          <w:color w:val="000000"/>
          <w:kern w:val="0"/>
          <w:highlight w:val="none"/>
          <w:lang w:val="zh-CN"/>
        </w:rPr>
        <w:t>：</w:t>
      </w:r>
      <w:r>
        <w:rPr>
          <w:rFonts w:hint="eastAsia" w:ascii="宋体" w:hAnsi="宋体" w:cs="宋体"/>
          <w:color w:val="000000"/>
          <w:kern w:val="0"/>
          <w:highlight w:val="none"/>
          <w:u w:val="single"/>
          <w:lang w:val="en-US" w:eastAsia="zh-CN"/>
        </w:rPr>
        <w:t xml:space="preserve">          </w:t>
      </w:r>
      <w:r>
        <w:rPr>
          <w:rFonts w:hint="eastAsia" w:ascii="宋体" w:hAnsi="宋体" w:cs="宋体"/>
          <w:color w:val="000000"/>
          <w:kern w:val="0"/>
          <w:highlight w:val="none"/>
          <w:lang w:val="zh-CN"/>
        </w:rPr>
        <w:t>；服务地点：</w:t>
      </w:r>
      <w:r>
        <w:rPr>
          <w:rFonts w:hint="eastAsia" w:ascii="宋体" w:hAnsi="宋体" w:cs="宋体"/>
          <w:color w:val="000000"/>
          <w:kern w:val="0"/>
          <w:highlight w:val="none"/>
          <w:u w:val="single"/>
          <w:lang w:val="en-US" w:eastAsia="zh-CN"/>
        </w:rPr>
        <w:t xml:space="preserve">          </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w:t>
      </w:r>
    </w:p>
    <w:p w14:paraId="12D4C464">
      <w:pPr>
        <w:autoSpaceDE w:val="0"/>
        <w:autoSpaceDN w:val="0"/>
        <w:spacing w:line="360" w:lineRule="auto"/>
        <w:rPr>
          <w:rFonts w:ascii="宋体" w:hAnsi="宋体" w:cs="宋体"/>
          <w:color w:val="000000"/>
          <w:kern w:val="0"/>
          <w:highlight w:val="none"/>
          <w:lang w:val="zh-CN"/>
        </w:rPr>
      </w:pPr>
      <w:r>
        <w:rPr>
          <w:rFonts w:hint="eastAsia" w:ascii="宋体" w:hAnsi="宋体" w:cs="宋体"/>
          <w:color w:val="000000"/>
          <w:kern w:val="0"/>
          <w:highlight w:val="none"/>
          <w:lang w:val="zh-CN"/>
        </w:rPr>
        <w:t>四、付款方式</w:t>
      </w:r>
    </w:p>
    <w:p w14:paraId="243C0C24">
      <w:pPr>
        <w:autoSpaceDE w:val="0"/>
        <w:autoSpaceDN w:val="0"/>
        <w:spacing w:line="360" w:lineRule="auto"/>
        <w:ind w:firstLine="420" w:firstLineChars="200"/>
        <w:rPr>
          <w:rFonts w:hint="eastAsia" w:ascii="宋体" w:hAnsi="宋体" w:cs="宋体"/>
          <w:color w:val="000000"/>
          <w:kern w:val="0"/>
          <w:highlight w:val="none"/>
          <w:lang w:val="zh-CN"/>
        </w:rPr>
      </w:pPr>
      <w:r>
        <w:rPr>
          <w:rFonts w:hint="eastAsia" w:ascii="宋体" w:hAnsi="宋体" w:cs="宋体"/>
          <w:color w:val="000000"/>
          <w:kern w:val="0"/>
          <w:highlight w:val="none"/>
          <w:lang w:val="zh-CN"/>
        </w:rPr>
        <w:t>签订合同时具体要求</w:t>
      </w:r>
    </w:p>
    <w:p w14:paraId="203CD605">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五、合同的变更、终止与转让</w:t>
      </w:r>
    </w:p>
    <w:p w14:paraId="3F54CA6B">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1.除《中华人民共和国政府采购法》第50条规定的情形外，本合同一经签订，甲乙双方不得擅自变更、中止或终止。</w:t>
      </w:r>
    </w:p>
    <w:p w14:paraId="749AFD09">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2.乙方不得擅自转让其应履行的合同义务。</w:t>
      </w:r>
    </w:p>
    <w:p w14:paraId="4A016038">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六、违约责任</w:t>
      </w:r>
    </w:p>
    <w:p w14:paraId="0AD65D3A">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1.乙方提供的服务如侵犯了第三方权益而引发纠纷或诉讼的，均由乙方负责交涉并承担全部责任。</w:t>
      </w:r>
    </w:p>
    <w:p w14:paraId="64E51131">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2.甲方无故延期接受项目服务和乙方逾期交付的，每天应向对方偿付未交付的3‰的违约金，但违约金累计不得超过违约款的5%，超过30天对方有权解除合同，违约方承担因此给对方造成的经济损失。</w:t>
      </w:r>
    </w:p>
    <w:p w14:paraId="53D74B63">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3.乙方未按本合同和磋商响应文件中规定的服务承诺提供售后服务的，乙方应按本合同合计金额的5%向甲方支付违约金。</w:t>
      </w:r>
    </w:p>
    <w:p w14:paraId="47AFC4C2">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4.其它违约行为按违约款额5%收取违约金并赔偿经济损失。</w:t>
      </w:r>
    </w:p>
    <w:p w14:paraId="1D5D1DAB">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七、知识产权：</w:t>
      </w:r>
    </w:p>
    <w:p w14:paraId="02A45454">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八、其他约定：</w:t>
      </w:r>
    </w:p>
    <w:p w14:paraId="43D7266F">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九、合同争议解决</w:t>
      </w:r>
    </w:p>
    <w:p w14:paraId="26260311">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en-US" w:eastAsia="zh-CN"/>
        </w:rPr>
        <w:t>1</w:t>
      </w:r>
      <w:r>
        <w:rPr>
          <w:rFonts w:hint="eastAsia" w:ascii="宋体" w:hAnsi="宋体" w:cs="宋体"/>
          <w:color w:val="000000"/>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3A2D4BB8">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3.诉讼期间，本合同继续履行。</w:t>
      </w:r>
    </w:p>
    <w:p w14:paraId="65B44A56">
      <w:pPr>
        <w:autoSpaceDE w:val="0"/>
        <w:autoSpaceDN w:val="0"/>
        <w:spacing w:line="360" w:lineRule="auto"/>
        <w:rPr>
          <w:rFonts w:ascii="宋体" w:hAnsi="宋体" w:cs="宋体"/>
          <w:color w:val="000000"/>
          <w:kern w:val="0"/>
          <w:highlight w:val="none"/>
        </w:rPr>
      </w:pPr>
      <w:r>
        <w:rPr>
          <w:rFonts w:hint="eastAsia" w:ascii="宋体" w:hAnsi="宋体" w:cs="宋体"/>
          <w:color w:val="000000"/>
          <w:kern w:val="0"/>
          <w:highlight w:val="none"/>
          <w:lang w:val="zh-CN"/>
        </w:rPr>
        <w:t>十、合同生效及其它</w:t>
      </w:r>
      <w:r>
        <w:rPr>
          <w:rFonts w:hint="eastAsia" w:ascii="宋体" w:hAnsi="宋体" w:cs="宋体"/>
          <w:color w:val="000000"/>
          <w:kern w:val="0"/>
          <w:highlight w:val="none"/>
        </w:rPr>
        <w:t>：</w:t>
      </w:r>
    </w:p>
    <w:p w14:paraId="5C2A4846">
      <w:pPr>
        <w:autoSpaceDE w:val="0"/>
        <w:autoSpaceDN w:val="0"/>
        <w:spacing w:line="360" w:lineRule="auto"/>
        <w:ind w:firstLine="360"/>
        <w:rPr>
          <w:rFonts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本合同一式</w:t>
      </w:r>
      <w:r>
        <w:rPr>
          <w:rFonts w:hint="eastAsia" w:ascii="宋体" w:hAnsi="宋体" w:cs="宋体"/>
          <w:color w:val="000000"/>
          <w:kern w:val="0"/>
          <w:highlight w:val="none"/>
          <w:u w:val="dashDotHeavy"/>
          <w:lang w:val="zh-CN"/>
        </w:rPr>
        <w:t>八</w:t>
      </w:r>
      <w:r>
        <w:rPr>
          <w:rFonts w:hint="eastAsia" w:ascii="宋体" w:hAnsi="宋体" w:cs="宋体"/>
          <w:color w:val="000000"/>
          <w:kern w:val="0"/>
          <w:highlight w:val="none"/>
          <w:lang w:val="zh-CN"/>
        </w:rPr>
        <w:t>份，经双方签字，并加盖公章即为生效。</w:t>
      </w:r>
    </w:p>
    <w:p w14:paraId="2D99C601">
      <w:pPr>
        <w:autoSpaceDE w:val="0"/>
        <w:autoSpaceDN w:val="0"/>
        <w:spacing w:line="360" w:lineRule="auto"/>
        <w:ind w:firstLine="360"/>
        <w:rPr>
          <w:rFonts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本合同未尽事宜，按</w:t>
      </w:r>
      <w:r>
        <w:rPr>
          <w:rFonts w:hint="eastAsia" w:ascii="宋体" w:hAnsi="宋体" w:cs="宋体"/>
          <w:color w:val="000000"/>
          <w:kern w:val="0"/>
          <w:highlight w:val="none"/>
          <w:lang w:val="en-US" w:eastAsia="zh-CN"/>
        </w:rPr>
        <w:t>民法典</w:t>
      </w:r>
      <w:r>
        <w:rPr>
          <w:rFonts w:hint="eastAsia" w:ascii="宋体" w:hAnsi="宋体" w:cs="宋体"/>
          <w:color w:val="000000"/>
          <w:kern w:val="0"/>
          <w:highlight w:val="none"/>
          <w:lang w:val="zh-CN"/>
        </w:rPr>
        <w:t>有关规定处理。</w:t>
      </w:r>
    </w:p>
    <w:p w14:paraId="2F2E08D8">
      <w:pPr>
        <w:autoSpaceDE w:val="0"/>
        <w:autoSpaceDN w:val="0"/>
        <w:spacing w:line="360" w:lineRule="auto"/>
        <w:ind w:firstLine="360"/>
        <w:rPr>
          <w:rFonts w:ascii="宋体" w:hAnsi="宋体"/>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val="zh-CN"/>
        </w:rPr>
        <w:t>本合同的组成包含《合同通用条款》。</w:t>
      </w:r>
    </w:p>
    <w:p w14:paraId="656ABBD1">
      <w:pPr>
        <w:autoSpaceDE w:val="0"/>
        <w:autoSpaceDN w:val="0"/>
        <w:spacing w:line="360" w:lineRule="auto"/>
        <w:ind w:firstLine="480"/>
        <w:rPr>
          <w:rFonts w:ascii="宋体" w:hAnsi="宋体" w:cs="宋体"/>
          <w:color w:val="000000"/>
          <w:kern w:val="0"/>
          <w:highlight w:val="none"/>
          <w:lang w:val="zh-CN"/>
        </w:rPr>
      </w:pPr>
      <w:r>
        <w:rPr>
          <w:rFonts w:ascii="宋体" w:hAnsi="宋体" w:cs="宋体"/>
          <w:color w:val="000000"/>
          <w:kern w:val="0"/>
          <w:highlight w:val="none"/>
          <w:lang w:val="zh-CN"/>
        </w:rPr>
        <w:t xml:space="preserve">甲方： </w:t>
      </w:r>
      <w:r>
        <w:rPr>
          <w:rFonts w:hint="eastAsia" w:ascii="宋体" w:hAnsi="宋体" w:cs="宋体"/>
          <w:color w:val="000000"/>
          <w:kern w:val="0"/>
          <w:highlight w:val="none"/>
        </w:rPr>
        <w:t xml:space="preserve">                             </w:t>
      </w:r>
      <w:r>
        <w:rPr>
          <w:rFonts w:hint="eastAsia" w:ascii="宋体" w:hAnsi="宋体" w:cs="宋体"/>
          <w:color w:val="000000"/>
          <w:kern w:val="0"/>
          <w:highlight w:val="none"/>
          <w:lang w:val="en-US" w:eastAsia="zh-CN"/>
        </w:rPr>
        <w:t xml:space="preserve">           </w:t>
      </w:r>
      <w:r>
        <w:rPr>
          <w:rFonts w:ascii="宋体" w:hAnsi="宋体" w:cs="宋体"/>
          <w:color w:val="000000"/>
          <w:kern w:val="0"/>
          <w:highlight w:val="none"/>
          <w:lang w:val="zh-CN"/>
        </w:rPr>
        <w:t>乙方：</w:t>
      </w:r>
    </w:p>
    <w:p w14:paraId="32F87A51">
      <w:pPr>
        <w:autoSpaceDE w:val="0"/>
        <w:autoSpaceDN w:val="0"/>
        <w:spacing w:line="360" w:lineRule="auto"/>
        <w:ind w:firstLine="480"/>
        <w:rPr>
          <w:rFonts w:ascii="宋体" w:hAnsi="宋体" w:cs="宋体"/>
          <w:color w:val="000000"/>
          <w:kern w:val="0"/>
          <w:highlight w:val="none"/>
          <w:lang w:val="zh-CN"/>
        </w:rPr>
      </w:pPr>
    </w:p>
    <w:p w14:paraId="04A6ED23">
      <w:pPr>
        <w:autoSpaceDE w:val="0"/>
        <w:autoSpaceDN w:val="0"/>
        <w:spacing w:line="360" w:lineRule="auto"/>
        <w:ind w:firstLine="480"/>
        <w:rPr>
          <w:rFonts w:ascii="宋体" w:hAnsi="宋体" w:cs="宋体"/>
          <w:color w:val="000000"/>
          <w:kern w:val="0"/>
          <w:highlight w:val="none"/>
          <w:lang w:val="zh-CN"/>
        </w:rPr>
      </w:pPr>
      <w:r>
        <w:rPr>
          <w:rFonts w:ascii="宋体" w:hAnsi="宋体" w:cs="宋体"/>
          <w:color w:val="000000"/>
          <w:kern w:val="0"/>
          <w:highlight w:val="none"/>
          <w:lang w:val="zh-CN"/>
        </w:rPr>
        <w:t xml:space="preserve">甲方盖章                             </w:t>
      </w:r>
      <w:r>
        <w:rPr>
          <w:rFonts w:hint="eastAsia" w:ascii="宋体" w:hAnsi="宋体" w:cs="宋体"/>
          <w:color w:val="000000"/>
          <w:kern w:val="0"/>
          <w:highlight w:val="none"/>
          <w:lang w:val="en-US" w:eastAsia="zh-CN"/>
        </w:rPr>
        <w:t xml:space="preserve">          </w:t>
      </w:r>
      <w:r>
        <w:rPr>
          <w:rFonts w:ascii="宋体" w:hAnsi="宋体" w:cs="宋体"/>
          <w:color w:val="000000"/>
          <w:kern w:val="0"/>
          <w:highlight w:val="none"/>
          <w:lang w:val="zh-CN"/>
        </w:rPr>
        <w:t>乙方盖章</w:t>
      </w:r>
    </w:p>
    <w:p w14:paraId="0CAEE984">
      <w:pPr>
        <w:autoSpaceDE w:val="0"/>
        <w:autoSpaceDN w:val="0"/>
        <w:spacing w:line="360" w:lineRule="auto"/>
        <w:ind w:firstLine="480"/>
        <w:rPr>
          <w:rFonts w:ascii="宋体" w:hAnsi="宋体" w:cs="宋体"/>
          <w:color w:val="000000"/>
          <w:kern w:val="0"/>
          <w:highlight w:val="none"/>
          <w:lang w:val="zh-CN"/>
        </w:rPr>
      </w:pPr>
    </w:p>
    <w:p w14:paraId="27B297DA">
      <w:pPr>
        <w:autoSpaceDE w:val="0"/>
        <w:autoSpaceDN w:val="0"/>
        <w:spacing w:line="360" w:lineRule="auto"/>
        <w:ind w:firstLine="480"/>
        <w:rPr>
          <w:rFonts w:ascii="宋体" w:hAnsi="宋体" w:cs="宋体"/>
          <w:color w:val="000000"/>
          <w:kern w:val="0"/>
          <w:highlight w:val="none"/>
          <w:lang w:val="zh-CN"/>
        </w:rPr>
      </w:pPr>
      <w:r>
        <w:rPr>
          <w:rFonts w:ascii="宋体" w:hAnsi="宋体" w:cs="宋体"/>
          <w:color w:val="000000"/>
          <w:kern w:val="0"/>
          <w:highlight w:val="none"/>
          <w:lang w:val="zh-CN"/>
        </w:rPr>
        <w:t>法定代表人</w:t>
      </w:r>
      <w:r>
        <w:rPr>
          <w:rFonts w:hint="eastAsia" w:ascii="宋体" w:hAnsi="宋体" w:cs="宋体"/>
          <w:color w:val="000000"/>
          <w:kern w:val="0"/>
          <w:highlight w:val="none"/>
          <w:lang w:val="en-US" w:eastAsia="zh-CN"/>
        </w:rPr>
        <w:t>或被授权人</w:t>
      </w:r>
      <w:r>
        <w:rPr>
          <w:rFonts w:ascii="宋体" w:hAnsi="宋体" w:cs="宋体"/>
          <w:color w:val="000000"/>
          <w:kern w:val="0"/>
          <w:highlight w:val="none"/>
          <w:lang w:val="zh-CN"/>
        </w:rPr>
        <w:t>签字：                     法定代表人签字：</w:t>
      </w:r>
    </w:p>
    <w:p w14:paraId="0D8BED5D">
      <w:pPr>
        <w:autoSpaceDE w:val="0"/>
        <w:autoSpaceDN w:val="0"/>
        <w:spacing w:line="360" w:lineRule="auto"/>
        <w:ind w:firstLine="480"/>
        <w:rPr>
          <w:rFonts w:ascii="宋体" w:hAnsi="宋体" w:cs="宋体"/>
          <w:color w:val="000000"/>
          <w:kern w:val="0"/>
          <w:highlight w:val="none"/>
          <w:lang w:val="zh-CN"/>
        </w:rPr>
      </w:pPr>
    </w:p>
    <w:p w14:paraId="0EB7927D">
      <w:pPr>
        <w:autoSpaceDE w:val="0"/>
        <w:autoSpaceDN w:val="0"/>
        <w:spacing w:line="360" w:lineRule="auto"/>
        <w:ind w:firstLine="480"/>
        <w:rPr>
          <w:rFonts w:ascii="宋体" w:hAnsi="宋体" w:cs="宋体"/>
          <w:color w:val="000000"/>
          <w:kern w:val="0"/>
          <w:highlight w:val="none"/>
          <w:lang w:val="zh-CN"/>
        </w:rPr>
      </w:pPr>
      <w:r>
        <w:rPr>
          <w:rFonts w:ascii="宋体" w:hAnsi="宋体" w:cs="宋体"/>
          <w:color w:val="000000"/>
          <w:kern w:val="0"/>
          <w:highlight w:val="none"/>
          <w:lang w:val="zh-CN"/>
        </w:rPr>
        <w:t xml:space="preserve">经办人签字：                      </w:t>
      </w:r>
      <w:r>
        <w:rPr>
          <w:rFonts w:hint="eastAsia" w:ascii="宋体" w:hAnsi="宋体" w:cs="宋体"/>
          <w:color w:val="000000"/>
          <w:kern w:val="0"/>
          <w:highlight w:val="none"/>
        </w:rPr>
        <w:t xml:space="preserve"> </w:t>
      </w:r>
      <w:r>
        <w:rPr>
          <w:rFonts w:ascii="宋体" w:hAnsi="宋体" w:cs="宋体"/>
          <w:color w:val="000000"/>
          <w:kern w:val="0"/>
          <w:highlight w:val="none"/>
          <w:lang w:val="zh-CN"/>
        </w:rPr>
        <w:t xml:space="preserve"> </w:t>
      </w:r>
      <w:r>
        <w:rPr>
          <w:rFonts w:hint="eastAsia" w:ascii="宋体" w:hAnsi="宋体" w:cs="宋体"/>
          <w:color w:val="000000"/>
          <w:kern w:val="0"/>
          <w:highlight w:val="none"/>
          <w:lang w:val="en-US" w:eastAsia="zh-CN"/>
        </w:rPr>
        <w:t xml:space="preserve">           </w:t>
      </w:r>
      <w:r>
        <w:rPr>
          <w:rFonts w:ascii="宋体" w:hAnsi="宋体" w:cs="宋体"/>
          <w:color w:val="000000"/>
          <w:kern w:val="0"/>
          <w:highlight w:val="none"/>
          <w:lang w:val="zh-CN"/>
        </w:rPr>
        <w:t xml:space="preserve">授权代理人签字：                          </w:t>
      </w:r>
    </w:p>
    <w:p w14:paraId="2BB72E73">
      <w:pPr>
        <w:autoSpaceDE w:val="0"/>
        <w:autoSpaceDN w:val="0"/>
        <w:spacing w:line="360" w:lineRule="auto"/>
        <w:ind w:firstLine="480"/>
        <w:rPr>
          <w:rFonts w:ascii="宋体" w:hAnsi="宋体" w:cs="宋体"/>
          <w:color w:val="000000"/>
          <w:kern w:val="0"/>
          <w:highlight w:val="none"/>
          <w:lang w:val="zh-CN"/>
        </w:rPr>
      </w:pPr>
    </w:p>
    <w:p w14:paraId="6FE4251C">
      <w:pPr>
        <w:autoSpaceDE w:val="0"/>
        <w:autoSpaceDN w:val="0"/>
        <w:spacing w:line="360" w:lineRule="auto"/>
        <w:ind w:firstLine="480"/>
        <w:rPr>
          <w:rFonts w:ascii="宋体" w:hAnsi="宋体" w:cs="宋体"/>
          <w:color w:val="000000"/>
          <w:kern w:val="0"/>
          <w:highlight w:val="none"/>
          <w:lang w:val="zh-CN"/>
        </w:rPr>
      </w:pPr>
      <w:r>
        <w:rPr>
          <w:rFonts w:ascii="宋体" w:hAnsi="宋体" w:cs="宋体"/>
          <w:color w:val="000000"/>
          <w:kern w:val="0"/>
          <w:highlight w:val="none"/>
          <w:lang w:val="zh-CN"/>
        </w:rPr>
        <w:t xml:space="preserve">电话、传真：                        </w:t>
      </w:r>
      <w:r>
        <w:rPr>
          <w:rFonts w:hint="eastAsia" w:ascii="宋体" w:hAnsi="宋体" w:cs="宋体"/>
          <w:color w:val="000000"/>
          <w:kern w:val="0"/>
          <w:highlight w:val="none"/>
          <w:lang w:val="en-US" w:eastAsia="zh-CN"/>
        </w:rPr>
        <w:t xml:space="preserve">           </w:t>
      </w:r>
      <w:r>
        <w:rPr>
          <w:rFonts w:ascii="宋体" w:hAnsi="宋体" w:cs="宋体"/>
          <w:color w:val="000000"/>
          <w:kern w:val="0"/>
          <w:highlight w:val="none"/>
          <w:lang w:val="zh-CN"/>
        </w:rPr>
        <w:t>乙方付款信息：</w:t>
      </w:r>
    </w:p>
    <w:p w14:paraId="69A03AC1">
      <w:pPr>
        <w:autoSpaceDE w:val="0"/>
        <w:autoSpaceDN w:val="0"/>
        <w:spacing w:line="360" w:lineRule="auto"/>
        <w:ind w:firstLine="1260" w:firstLineChars="600"/>
        <w:rPr>
          <w:rFonts w:ascii="宋体" w:hAnsi="宋体" w:cs="宋体"/>
          <w:color w:val="000000"/>
          <w:kern w:val="0"/>
          <w:highlight w:val="none"/>
          <w:lang w:val="zh-CN"/>
        </w:rPr>
      </w:pPr>
      <w:r>
        <w:rPr>
          <w:rFonts w:hint="eastAsia" w:ascii="宋体" w:hAnsi="宋体" w:cs="宋体"/>
          <w:color w:val="000000"/>
          <w:kern w:val="0"/>
          <w:highlight w:val="none"/>
        </w:rPr>
        <w:t xml:space="preserve">                           </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rPr>
        <w:t xml:space="preserve"> </w:t>
      </w:r>
      <w:r>
        <w:rPr>
          <w:rFonts w:hint="eastAsia" w:ascii="宋体" w:hAnsi="宋体" w:cs="宋体"/>
          <w:color w:val="000000"/>
          <w:kern w:val="0"/>
          <w:highlight w:val="none"/>
          <w:lang w:val="en-US" w:eastAsia="zh-CN"/>
        </w:rPr>
        <w:t xml:space="preserve">           </w:t>
      </w:r>
      <w:r>
        <w:rPr>
          <w:rFonts w:ascii="宋体" w:hAnsi="宋体" w:cs="宋体"/>
          <w:color w:val="000000"/>
          <w:kern w:val="0"/>
          <w:highlight w:val="none"/>
          <w:lang w:val="zh-CN"/>
        </w:rPr>
        <w:t>公司名称：</w:t>
      </w:r>
    </w:p>
    <w:p w14:paraId="5F673AA3">
      <w:pPr>
        <w:autoSpaceDE w:val="0"/>
        <w:autoSpaceDN w:val="0"/>
        <w:spacing w:line="360" w:lineRule="auto"/>
        <w:ind w:firstLine="5460" w:firstLineChars="2600"/>
        <w:rPr>
          <w:rFonts w:ascii="宋体" w:hAnsi="宋体" w:cs="宋体"/>
          <w:color w:val="000000"/>
          <w:kern w:val="0"/>
          <w:highlight w:val="none"/>
          <w:lang w:val="zh-CN"/>
        </w:rPr>
      </w:pPr>
      <w:r>
        <w:rPr>
          <w:rFonts w:ascii="宋体" w:hAnsi="宋体" w:cs="宋体"/>
          <w:color w:val="000000"/>
          <w:kern w:val="0"/>
          <w:highlight w:val="none"/>
          <w:lang w:val="zh-CN"/>
        </w:rPr>
        <w:t>开户行：</w:t>
      </w:r>
    </w:p>
    <w:p w14:paraId="14DCF08D">
      <w:pPr>
        <w:autoSpaceDE w:val="0"/>
        <w:autoSpaceDN w:val="0"/>
        <w:spacing w:line="360" w:lineRule="auto"/>
        <w:ind w:firstLine="480"/>
        <w:rPr>
          <w:rFonts w:ascii="宋体" w:hAnsi="宋体" w:cs="宋体"/>
          <w:color w:val="000000"/>
          <w:kern w:val="0"/>
          <w:highlight w:val="none"/>
          <w:lang w:val="zh-CN"/>
        </w:rPr>
      </w:pPr>
      <w:r>
        <w:rPr>
          <w:rFonts w:ascii="宋体" w:hAnsi="宋体" w:cs="宋体"/>
          <w:color w:val="000000"/>
          <w:kern w:val="0"/>
          <w:highlight w:val="none"/>
          <w:lang w:val="zh-CN"/>
        </w:rPr>
        <w:t>日期：</w:t>
      </w:r>
      <w:r>
        <w:rPr>
          <w:rFonts w:hint="eastAsia" w:ascii="宋体" w:hAnsi="宋体" w:cs="宋体"/>
          <w:color w:val="000000"/>
          <w:kern w:val="0"/>
          <w:highlight w:val="none"/>
        </w:rPr>
        <w:t xml:space="preserve">                               </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rPr>
        <w:t>日期</w:t>
      </w:r>
      <w:r>
        <w:rPr>
          <w:rFonts w:ascii="宋体" w:hAnsi="宋体" w:cs="宋体"/>
          <w:color w:val="000000"/>
          <w:kern w:val="0"/>
          <w:highlight w:val="none"/>
          <w:lang w:val="zh-CN"/>
        </w:rPr>
        <w:t>：</w:t>
      </w:r>
    </w:p>
    <w:p w14:paraId="5FCED586">
      <w:pPr>
        <w:jc w:val="both"/>
        <w:rPr>
          <w:rFonts w:hint="eastAsia" w:ascii="宋体" w:hAnsi="宋体"/>
          <w:b/>
          <w:sz w:val="36"/>
          <w:szCs w:val="36"/>
          <w:highlight w:val="none"/>
        </w:rPr>
      </w:pPr>
    </w:p>
    <w:p w14:paraId="3C024B66">
      <w:pPr>
        <w:pStyle w:val="6"/>
        <w:rPr>
          <w:rFonts w:hint="eastAsia" w:ascii="宋体" w:hAnsi="宋体"/>
          <w:b/>
          <w:sz w:val="36"/>
          <w:szCs w:val="36"/>
          <w:highlight w:val="none"/>
        </w:rPr>
      </w:pPr>
    </w:p>
    <w:p w14:paraId="026428EB">
      <w:pPr>
        <w:pStyle w:val="24"/>
        <w:rPr>
          <w:rFonts w:hint="eastAsia"/>
          <w:highlight w:val="none"/>
        </w:rPr>
      </w:pPr>
    </w:p>
    <w:p w14:paraId="7D3CBF38">
      <w:pPr>
        <w:pStyle w:val="10"/>
        <w:rPr>
          <w:rFonts w:hint="eastAsia" w:ascii="宋体" w:hAnsi="宋体"/>
          <w:b/>
          <w:sz w:val="36"/>
          <w:szCs w:val="36"/>
          <w:highlight w:val="none"/>
        </w:rPr>
      </w:pPr>
    </w:p>
    <w:p w14:paraId="73E6B04E">
      <w:pPr>
        <w:pStyle w:val="10"/>
        <w:rPr>
          <w:rFonts w:hint="eastAsia" w:ascii="宋体" w:hAnsi="宋体"/>
          <w:b/>
          <w:sz w:val="36"/>
          <w:szCs w:val="36"/>
          <w:highlight w:val="none"/>
        </w:rPr>
      </w:pPr>
    </w:p>
    <w:p w14:paraId="1AF729BB">
      <w:pPr>
        <w:pStyle w:val="10"/>
        <w:rPr>
          <w:rFonts w:hint="eastAsia" w:ascii="宋体" w:hAnsi="宋体"/>
          <w:b/>
          <w:sz w:val="36"/>
          <w:szCs w:val="36"/>
          <w:highlight w:val="none"/>
        </w:rPr>
      </w:pPr>
    </w:p>
    <w:p w14:paraId="1E966CD5">
      <w:pPr>
        <w:jc w:val="center"/>
        <w:rPr>
          <w:rFonts w:ascii="宋体"/>
          <w:b/>
          <w:sz w:val="36"/>
          <w:szCs w:val="36"/>
          <w:highlight w:val="none"/>
        </w:rPr>
      </w:pPr>
      <w:r>
        <w:rPr>
          <w:rFonts w:hint="eastAsia" w:ascii="宋体" w:hAnsi="宋体"/>
          <w:b/>
          <w:sz w:val="36"/>
          <w:szCs w:val="36"/>
          <w:highlight w:val="none"/>
        </w:rPr>
        <w:t>合同通用条款</w:t>
      </w:r>
    </w:p>
    <w:p w14:paraId="17C83B03">
      <w:pPr>
        <w:spacing w:line="360" w:lineRule="auto"/>
        <w:ind w:firstLine="480"/>
        <w:rPr>
          <w:rFonts w:ascii="宋体"/>
          <w:highlight w:val="none"/>
        </w:rPr>
      </w:pPr>
    </w:p>
    <w:p w14:paraId="123536FA">
      <w:pPr>
        <w:spacing w:line="360" w:lineRule="auto"/>
        <w:ind w:firstLine="480"/>
        <w:rPr>
          <w:rFonts w:ascii="宋体"/>
          <w:highlight w:val="none"/>
        </w:rPr>
      </w:pPr>
      <w:r>
        <w:rPr>
          <w:rFonts w:hint="eastAsia" w:ascii="宋体" w:hAnsi="宋体"/>
          <w:highlight w:val="none"/>
        </w:rPr>
        <w:t>根据《中华人民共和国</w:t>
      </w:r>
      <w:r>
        <w:rPr>
          <w:rFonts w:hint="eastAsia" w:ascii="宋体" w:hAnsi="宋体"/>
          <w:highlight w:val="none"/>
          <w:lang w:eastAsia="zh-CN"/>
        </w:rPr>
        <w:t>民法典</w:t>
      </w:r>
      <w:r>
        <w:rPr>
          <w:rFonts w:hint="eastAsia" w:ascii="宋体" w:hAnsi="宋体"/>
          <w:highlight w:val="none"/>
        </w:rPr>
        <w:t>》、《中华人民共和国政府采购法》的规定，合同双方经协商达成一致，自愿订立本合同，遵循公平原则明确双方的权利、义务，确保双方诚实守信地履行合同。</w:t>
      </w:r>
    </w:p>
    <w:p w14:paraId="21B1C06D">
      <w:pPr>
        <w:spacing w:line="360" w:lineRule="auto"/>
        <w:ind w:firstLine="482"/>
        <w:rPr>
          <w:rFonts w:ascii="宋体"/>
          <w:b/>
          <w:highlight w:val="none"/>
        </w:rPr>
      </w:pPr>
      <w:r>
        <w:rPr>
          <w:rFonts w:ascii="宋体" w:hAnsi="宋体"/>
          <w:b/>
          <w:highlight w:val="none"/>
        </w:rPr>
        <w:t>1.</w:t>
      </w:r>
      <w:r>
        <w:rPr>
          <w:rFonts w:hint="eastAsia" w:ascii="宋体" w:hAnsi="宋体"/>
          <w:b/>
          <w:highlight w:val="none"/>
        </w:rPr>
        <w:t>定义</w:t>
      </w:r>
    </w:p>
    <w:p w14:paraId="6F1E67E3">
      <w:pPr>
        <w:spacing w:line="360" w:lineRule="auto"/>
        <w:ind w:firstLine="480"/>
        <w:rPr>
          <w:rFonts w:ascii="宋体"/>
          <w:highlight w:val="none"/>
        </w:rPr>
      </w:pPr>
      <w:r>
        <w:rPr>
          <w:rFonts w:hint="eastAsia" w:ascii="宋体" w:hAnsi="宋体"/>
          <w:highlight w:val="none"/>
        </w:rPr>
        <w:t>本合同中的下列术语应解释为：</w:t>
      </w:r>
    </w:p>
    <w:p w14:paraId="73A90794">
      <w:pPr>
        <w:spacing w:line="360" w:lineRule="auto"/>
        <w:ind w:firstLine="480"/>
        <w:rPr>
          <w:rFonts w:ascii="宋体"/>
          <w:highlight w:val="none"/>
        </w:rPr>
      </w:pPr>
      <w:r>
        <w:rPr>
          <w:rFonts w:ascii="宋体" w:hAnsi="宋体"/>
          <w:highlight w:val="none"/>
        </w:rPr>
        <w:t xml:space="preserve">1.1 </w:t>
      </w:r>
      <w:r>
        <w:rPr>
          <w:rFonts w:hint="eastAsia" w:ascii="宋体" w:hAnsi="宋体"/>
          <w:highlight w:val="none"/>
        </w:rPr>
        <w:t>“合同</w:t>
      </w:r>
      <w:r>
        <w:rPr>
          <w:rFonts w:hint="eastAsia" w:ascii="宋体"/>
          <w:highlight w:val="none"/>
        </w:rPr>
        <w:t>”</w:t>
      </w:r>
      <w:r>
        <w:rPr>
          <w:rFonts w:hint="eastAsia" w:ascii="宋体" w:hAnsi="宋体"/>
          <w:highlight w:val="none"/>
        </w:rPr>
        <w:t>指甲乙双方签署的、载明的甲乙双方权利义务的协议，包括所有的附件、附录和上述文件所提到的构成合同的所有文件。</w:t>
      </w:r>
    </w:p>
    <w:p w14:paraId="7AC585B5">
      <w:pPr>
        <w:spacing w:line="360" w:lineRule="auto"/>
        <w:ind w:firstLine="480"/>
        <w:rPr>
          <w:rFonts w:ascii="宋体"/>
          <w:highlight w:val="none"/>
        </w:rPr>
      </w:pPr>
      <w:r>
        <w:rPr>
          <w:rFonts w:ascii="宋体" w:hAnsi="宋体"/>
          <w:highlight w:val="none"/>
        </w:rPr>
        <w:t xml:space="preserve">1.2 </w:t>
      </w:r>
      <w:r>
        <w:rPr>
          <w:rFonts w:hint="eastAsia" w:ascii="宋体" w:hAnsi="宋体"/>
          <w:highlight w:val="none"/>
        </w:rPr>
        <w:t>“合同金额</w:t>
      </w:r>
      <w:r>
        <w:rPr>
          <w:rFonts w:hint="eastAsia" w:ascii="宋体"/>
          <w:highlight w:val="none"/>
        </w:rPr>
        <w:t>”</w:t>
      </w:r>
      <w:r>
        <w:rPr>
          <w:rFonts w:hint="eastAsia" w:ascii="宋体" w:hAnsi="宋体"/>
          <w:highlight w:val="none"/>
        </w:rPr>
        <w:t>指根据合同规定，乙方在正确地完全履行合同义务后甲方应付给乙方的价款。</w:t>
      </w:r>
    </w:p>
    <w:p w14:paraId="79DC7A0F">
      <w:pPr>
        <w:spacing w:line="360" w:lineRule="auto"/>
        <w:ind w:firstLine="480"/>
        <w:rPr>
          <w:rFonts w:ascii="宋体"/>
          <w:highlight w:val="none"/>
        </w:rPr>
      </w:pPr>
      <w:r>
        <w:rPr>
          <w:rFonts w:ascii="宋体" w:hAnsi="宋体"/>
          <w:highlight w:val="none"/>
        </w:rPr>
        <w:t xml:space="preserve">1.3 </w:t>
      </w:r>
      <w:r>
        <w:rPr>
          <w:rFonts w:hint="eastAsia" w:ascii="宋体" w:hAnsi="宋体"/>
          <w:highlight w:val="none"/>
        </w:rPr>
        <w:t>“合同条款”指本合同条款。</w:t>
      </w:r>
    </w:p>
    <w:p w14:paraId="7D3AFCA9">
      <w:pPr>
        <w:spacing w:line="360" w:lineRule="auto"/>
        <w:ind w:firstLine="480"/>
        <w:rPr>
          <w:rFonts w:ascii="宋体"/>
          <w:highlight w:val="none"/>
        </w:rPr>
      </w:pPr>
      <w:r>
        <w:rPr>
          <w:rFonts w:ascii="宋体" w:hAnsi="宋体"/>
          <w:highlight w:val="none"/>
        </w:rPr>
        <w:t>1.</w:t>
      </w:r>
      <w:r>
        <w:rPr>
          <w:rFonts w:hint="eastAsia" w:ascii="宋体" w:hAnsi="宋体"/>
          <w:highlight w:val="none"/>
          <w:lang w:val="en-US" w:eastAsia="zh-CN"/>
        </w:rPr>
        <w:t>4</w:t>
      </w:r>
      <w:r>
        <w:rPr>
          <w:rFonts w:ascii="宋体" w:hAnsi="宋体"/>
          <w:highlight w:val="none"/>
        </w:rPr>
        <w:t xml:space="preserve"> </w:t>
      </w:r>
      <w:r>
        <w:rPr>
          <w:rFonts w:hint="eastAsia" w:ascii="宋体" w:hAnsi="宋体"/>
          <w:highlight w:val="none"/>
        </w:rPr>
        <w:t>“工作日”指国家法定工作日，“天”指日历天数。</w:t>
      </w:r>
    </w:p>
    <w:p w14:paraId="2B5684C8">
      <w:pPr>
        <w:spacing w:line="360" w:lineRule="auto"/>
        <w:ind w:firstLine="482"/>
        <w:rPr>
          <w:rFonts w:ascii="宋体"/>
          <w:b/>
          <w:highlight w:val="none"/>
        </w:rPr>
      </w:pPr>
      <w:r>
        <w:rPr>
          <w:rFonts w:hint="eastAsia" w:ascii="宋体" w:hAnsi="宋体"/>
          <w:b/>
          <w:highlight w:val="none"/>
          <w:lang w:val="en-US" w:eastAsia="zh-CN"/>
        </w:rPr>
        <w:t>2</w:t>
      </w:r>
      <w:r>
        <w:rPr>
          <w:rFonts w:ascii="宋体" w:hAnsi="宋体"/>
          <w:b/>
          <w:highlight w:val="none"/>
        </w:rPr>
        <w:t>.</w:t>
      </w:r>
      <w:r>
        <w:rPr>
          <w:rFonts w:hint="eastAsia" w:ascii="宋体" w:hAnsi="宋体"/>
          <w:b/>
          <w:highlight w:val="none"/>
        </w:rPr>
        <w:t>知识产权</w:t>
      </w:r>
    </w:p>
    <w:p w14:paraId="1F1A4080">
      <w:pPr>
        <w:spacing w:line="360" w:lineRule="auto"/>
        <w:ind w:firstLine="480"/>
        <w:rPr>
          <w:rFonts w:ascii="宋体"/>
          <w:highlight w:val="none"/>
        </w:rPr>
      </w:pPr>
      <w:r>
        <w:rPr>
          <w:rFonts w:hint="eastAsia" w:ascii="宋体" w:hAnsi="宋体"/>
          <w:highlight w:val="none"/>
          <w:lang w:val="en-US" w:eastAsia="zh-CN"/>
        </w:rPr>
        <w:t>2</w:t>
      </w:r>
      <w:r>
        <w:rPr>
          <w:rFonts w:ascii="宋体" w:hAnsi="宋体"/>
          <w:highlight w:val="none"/>
        </w:rPr>
        <w:t>.</w:t>
      </w:r>
      <w:r>
        <w:rPr>
          <w:rFonts w:hint="eastAsia" w:ascii="宋体" w:hAnsi="宋体"/>
          <w:highlight w:val="none"/>
          <w:lang w:val="en-US" w:eastAsia="zh-CN"/>
        </w:rPr>
        <w:t>1</w:t>
      </w:r>
      <w:r>
        <w:rPr>
          <w:rFonts w:hint="eastAsia" w:ascii="宋体" w:hAnsi="宋体"/>
          <w:highlight w:val="none"/>
        </w:rPr>
        <w:t>在本合同生效时已经存在并为各方合法拥有或使用的所有技术、资料和信息的知识产权，仍应属于其各自的原权利人所有或享有，另有约定的除外。</w:t>
      </w:r>
    </w:p>
    <w:p w14:paraId="0AE7DAFE">
      <w:pPr>
        <w:spacing w:line="360" w:lineRule="auto"/>
        <w:ind w:firstLine="482"/>
        <w:rPr>
          <w:rFonts w:ascii="宋体"/>
          <w:b/>
          <w:highlight w:val="none"/>
        </w:rPr>
      </w:pPr>
      <w:r>
        <w:rPr>
          <w:rFonts w:hint="eastAsia" w:ascii="宋体" w:hAnsi="宋体"/>
          <w:b/>
          <w:highlight w:val="none"/>
          <w:lang w:val="en-US" w:eastAsia="zh-CN"/>
        </w:rPr>
        <w:t>3</w:t>
      </w:r>
      <w:r>
        <w:rPr>
          <w:rFonts w:ascii="宋体" w:hAnsi="宋体"/>
          <w:b/>
          <w:highlight w:val="none"/>
        </w:rPr>
        <w:t>.</w:t>
      </w:r>
      <w:r>
        <w:rPr>
          <w:rFonts w:hint="eastAsia" w:ascii="宋体" w:hAnsi="宋体"/>
          <w:b/>
          <w:highlight w:val="none"/>
        </w:rPr>
        <w:t>保密</w:t>
      </w:r>
    </w:p>
    <w:p w14:paraId="2EA3FE75">
      <w:pPr>
        <w:spacing w:line="360" w:lineRule="auto"/>
        <w:ind w:firstLine="480"/>
        <w:rPr>
          <w:rFonts w:ascii="宋体"/>
          <w:highlight w:val="none"/>
        </w:rPr>
      </w:pPr>
      <w:r>
        <w:rPr>
          <w:rFonts w:hint="eastAsia" w:ascii="宋体" w:hAnsi="宋体"/>
          <w:highlight w:val="none"/>
          <w:lang w:val="en-US" w:eastAsia="zh-CN"/>
        </w:rPr>
        <w:t>3</w:t>
      </w:r>
      <w:r>
        <w:rPr>
          <w:rFonts w:ascii="宋体" w:hAnsi="宋体"/>
          <w:highlight w:val="none"/>
        </w:rPr>
        <w:t>.1</w:t>
      </w:r>
      <w:r>
        <w:rPr>
          <w:rFonts w:hint="eastAsia" w:ascii="宋体" w:hAnsi="宋体"/>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B546E13">
      <w:pPr>
        <w:spacing w:line="360" w:lineRule="auto"/>
        <w:ind w:firstLine="480"/>
        <w:rPr>
          <w:rFonts w:ascii="宋体"/>
          <w:highlight w:val="none"/>
        </w:rPr>
      </w:pPr>
      <w:r>
        <w:rPr>
          <w:rFonts w:hint="eastAsia" w:ascii="宋体" w:hAnsi="宋体"/>
          <w:highlight w:val="none"/>
          <w:lang w:val="en-US" w:eastAsia="zh-CN"/>
        </w:rPr>
        <w:t>3</w:t>
      </w:r>
      <w:r>
        <w:rPr>
          <w:rFonts w:ascii="宋体" w:hAnsi="宋体"/>
          <w:highlight w:val="none"/>
        </w:rPr>
        <w:t>.2</w:t>
      </w:r>
      <w:r>
        <w:rPr>
          <w:rFonts w:hint="eastAsia" w:ascii="宋体" w:hAnsi="宋体"/>
          <w:highlight w:val="none"/>
        </w:rPr>
        <w:t>保密信息指任何一方因履行本合同所知悉的任何以口头、书面、图表或电子形式存在的对方信息，具体包括：</w:t>
      </w:r>
    </w:p>
    <w:p w14:paraId="421A43A1">
      <w:pPr>
        <w:spacing w:line="360" w:lineRule="auto"/>
        <w:ind w:firstLine="480"/>
        <w:rPr>
          <w:rFonts w:ascii="宋体"/>
          <w:highlight w:val="none"/>
        </w:rPr>
      </w:pPr>
      <w:r>
        <w:rPr>
          <w:rFonts w:hint="eastAsia" w:ascii="宋体" w:hAnsi="宋体"/>
          <w:highlight w:val="none"/>
          <w:lang w:val="en-US" w:eastAsia="zh-CN"/>
        </w:rPr>
        <w:t>3</w:t>
      </w:r>
      <w:r>
        <w:rPr>
          <w:rFonts w:ascii="宋体" w:hAnsi="宋体"/>
          <w:highlight w:val="none"/>
        </w:rPr>
        <w:t>.2.1</w:t>
      </w:r>
      <w:r>
        <w:rPr>
          <w:rFonts w:hint="eastAsia" w:ascii="宋体" w:hAnsi="宋体"/>
          <w:highlight w:val="none"/>
        </w:rPr>
        <w:t>任何涉及对方过去、现在或将来的商业计划、规章制度、操作规程、处理手段、财务信息；</w:t>
      </w:r>
    </w:p>
    <w:p w14:paraId="70C6D70A">
      <w:pPr>
        <w:spacing w:line="360" w:lineRule="auto"/>
        <w:ind w:firstLine="480"/>
        <w:rPr>
          <w:rFonts w:ascii="宋体"/>
          <w:highlight w:val="none"/>
        </w:rPr>
      </w:pPr>
      <w:r>
        <w:rPr>
          <w:rFonts w:hint="eastAsia" w:ascii="宋体" w:hAnsi="宋体"/>
          <w:highlight w:val="none"/>
          <w:lang w:val="en-US" w:eastAsia="zh-CN"/>
        </w:rPr>
        <w:t>3</w:t>
      </w:r>
      <w:r>
        <w:rPr>
          <w:rFonts w:ascii="宋体" w:hAnsi="宋体"/>
          <w:highlight w:val="none"/>
        </w:rPr>
        <w:t>.2.2</w:t>
      </w:r>
      <w:r>
        <w:rPr>
          <w:rFonts w:hint="eastAsia" w:ascii="宋体" w:hAnsi="宋体"/>
          <w:highlight w:val="none"/>
        </w:rPr>
        <w:t>乙方应根据甲方的要求签署相应的保密协议，保密协议与本条款存在不一致的，以保密协议为准。</w:t>
      </w:r>
    </w:p>
    <w:p w14:paraId="5969B9DF">
      <w:pPr>
        <w:spacing w:line="360" w:lineRule="auto"/>
        <w:ind w:firstLine="482"/>
        <w:rPr>
          <w:rFonts w:ascii="宋体"/>
          <w:b/>
          <w:highlight w:val="none"/>
        </w:rPr>
      </w:pPr>
      <w:r>
        <w:rPr>
          <w:rFonts w:hint="eastAsia" w:ascii="宋体" w:hAnsi="宋体"/>
          <w:b/>
          <w:highlight w:val="none"/>
          <w:lang w:val="en-US" w:eastAsia="zh-CN"/>
        </w:rPr>
        <w:t>4</w:t>
      </w:r>
      <w:r>
        <w:rPr>
          <w:rFonts w:ascii="宋体" w:hAnsi="宋体"/>
          <w:b/>
          <w:highlight w:val="none"/>
        </w:rPr>
        <w:t>.</w:t>
      </w:r>
      <w:r>
        <w:rPr>
          <w:rFonts w:hint="eastAsia" w:ascii="宋体" w:hAnsi="宋体"/>
          <w:b/>
          <w:highlight w:val="none"/>
        </w:rPr>
        <w:t>付款条件</w:t>
      </w:r>
    </w:p>
    <w:p w14:paraId="4FF8D932">
      <w:pPr>
        <w:spacing w:line="360" w:lineRule="auto"/>
        <w:ind w:firstLine="480"/>
        <w:rPr>
          <w:rFonts w:ascii="宋体"/>
          <w:highlight w:val="none"/>
        </w:rPr>
      </w:pPr>
      <w:r>
        <w:rPr>
          <w:rFonts w:hint="eastAsia" w:ascii="宋体" w:hAnsi="宋体"/>
          <w:highlight w:val="none"/>
        </w:rPr>
        <w:t>本合同条款下的付款方法和条件在“合同专用条款”中具体规定。</w:t>
      </w:r>
    </w:p>
    <w:p w14:paraId="6C7D2564">
      <w:pPr>
        <w:spacing w:line="360" w:lineRule="auto"/>
        <w:ind w:firstLine="482"/>
        <w:rPr>
          <w:rFonts w:ascii="宋体"/>
          <w:b/>
          <w:highlight w:val="none"/>
        </w:rPr>
      </w:pPr>
      <w:r>
        <w:rPr>
          <w:rFonts w:hint="eastAsia" w:ascii="宋体" w:hAnsi="宋体"/>
          <w:b/>
          <w:highlight w:val="none"/>
          <w:lang w:val="en-US" w:eastAsia="zh-CN"/>
        </w:rPr>
        <w:t>5</w:t>
      </w:r>
      <w:r>
        <w:rPr>
          <w:rFonts w:ascii="宋体" w:hAnsi="宋体"/>
          <w:b/>
          <w:highlight w:val="none"/>
        </w:rPr>
        <w:t>.</w:t>
      </w:r>
      <w:r>
        <w:rPr>
          <w:rFonts w:hint="eastAsia" w:ascii="宋体" w:hAnsi="宋体"/>
          <w:b/>
          <w:highlight w:val="none"/>
        </w:rPr>
        <w:t>履约保证金</w:t>
      </w:r>
    </w:p>
    <w:p w14:paraId="69149F2B">
      <w:pPr>
        <w:spacing w:line="360" w:lineRule="auto"/>
        <w:ind w:firstLine="480"/>
        <w:rPr>
          <w:rFonts w:ascii="宋体"/>
          <w:highlight w:val="none"/>
        </w:rPr>
      </w:pPr>
      <w:r>
        <w:rPr>
          <w:rFonts w:hint="eastAsia" w:ascii="宋体" w:hAnsi="宋体"/>
          <w:highlight w:val="none"/>
          <w:lang w:val="en-US" w:eastAsia="zh-CN"/>
        </w:rPr>
        <w:t>5</w:t>
      </w:r>
      <w:r>
        <w:rPr>
          <w:rFonts w:ascii="宋体" w:hAnsi="宋体"/>
          <w:highlight w:val="none"/>
        </w:rPr>
        <w:t>.1</w:t>
      </w:r>
      <w:r>
        <w:rPr>
          <w:rFonts w:hint="eastAsia" w:ascii="宋体" w:hAnsi="宋体"/>
          <w:highlight w:val="none"/>
        </w:rPr>
        <w:t>乙方应在合同签订后，按合同专用条款的约定提交履约保证金。</w:t>
      </w:r>
    </w:p>
    <w:p w14:paraId="1D5E3554">
      <w:pPr>
        <w:spacing w:line="360" w:lineRule="auto"/>
        <w:ind w:firstLine="480"/>
        <w:rPr>
          <w:rFonts w:ascii="宋体"/>
          <w:highlight w:val="none"/>
        </w:rPr>
      </w:pPr>
      <w:r>
        <w:rPr>
          <w:rFonts w:hint="eastAsia" w:ascii="宋体" w:hAnsi="宋体"/>
          <w:highlight w:val="none"/>
          <w:lang w:val="en-US" w:eastAsia="zh-CN"/>
        </w:rPr>
        <w:t>5</w:t>
      </w:r>
      <w:r>
        <w:rPr>
          <w:rFonts w:ascii="宋体" w:hAnsi="宋体"/>
          <w:highlight w:val="none"/>
        </w:rPr>
        <w:t>.2</w:t>
      </w:r>
      <w:r>
        <w:rPr>
          <w:rFonts w:hint="eastAsia" w:ascii="宋体" w:hAnsi="宋体"/>
          <w:highlight w:val="none"/>
        </w:rPr>
        <w:t>履约保证金用于补偿甲方因卖方不能履行其合同义务而蒙受的损失。</w:t>
      </w:r>
    </w:p>
    <w:p w14:paraId="61ABFDEA">
      <w:pPr>
        <w:spacing w:line="360" w:lineRule="auto"/>
        <w:ind w:firstLine="480"/>
        <w:rPr>
          <w:rFonts w:ascii="宋体"/>
          <w:highlight w:val="none"/>
        </w:rPr>
      </w:pPr>
      <w:r>
        <w:rPr>
          <w:rFonts w:hint="eastAsia" w:ascii="宋体" w:hAnsi="宋体"/>
          <w:highlight w:val="none"/>
          <w:lang w:val="en-US" w:eastAsia="zh-CN"/>
        </w:rPr>
        <w:t>5</w:t>
      </w:r>
      <w:r>
        <w:rPr>
          <w:rFonts w:ascii="宋体" w:hAnsi="宋体"/>
          <w:highlight w:val="none"/>
        </w:rPr>
        <w:t>.3</w:t>
      </w:r>
      <w:r>
        <w:rPr>
          <w:rFonts w:hint="eastAsia" w:ascii="宋体" w:hAnsi="宋体"/>
          <w:highlight w:val="none"/>
        </w:rPr>
        <w:t>履约保证金应使用本合同货币，按下述方式之一提交（磋商文件中另有约定的除外）：</w:t>
      </w:r>
    </w:p>
    <w:p w14:paraId="673A40CF">
      <w:pPr>
        <w:spacing w:line="360" w:lineRule="auto"/>
        <w:ind w:firstLine="480"/>
        <w:rPr>
          <w:rFonts w:ascii="宋体"/>
          <w:highlight w:val="none"/>
        </w:rPr>
      </w:pPr>
      <w:r>
        <w:rPr>
          <w:rFonts w:hint="eastAsia" w:ascii="宋体" w:hAnsi="宋体"/>
          <w:highlight w:val="none"/>
          <w:lang w:val="en-US" w:eastAsia="zh-CN"/>
        </w:rPr>
        <w:t>5</w:t>
      </w:r>
      <w:r>
        <w:rPr>
          <w:rFonts w:ascii="宋体" w:hAnsi="宋体"/>
          <w:highlight w:val="none"/>
        </w:rPr>
        <w:t>.3.1</w:t>
      </w:r>
      <w:r>
        <w:rPr>
          <w:rFonts w:hint="eastAsia" w:ascii="宋体" w:hAnsi="宋体"/>
          <w:highlight w:val="none"/>
        </w:rPr>
        <w:t>甲方可接受的在中华人民共和国注册和营业的银行出具的履约保函；</w:t>
      </w:r>
      <w:r>
        <w:rPr>
          <w:rFonts w:ascii="宋体" w:hAnsi="宋体"/>
          <w:highlight w:val="none"/>
        </w:rPr>
        <w:t xml:space="preserve"> </w:t>
      </w:r>
    </w:p>
    <w:p w14:paraId="30ACD4F4">
      <w:pPr>
        <w:spacing w:line="360" w:lineRule="auto"/>
        <w:ind w:firstLine="480"/>
        <w:rPr>
          <w:rFonts w:ascii="宋体"/>
          <w:highlight w:val="none"/>
        </w:rPr>
      </w:pPr>
      <w:r>
        <w:rPr>
          <w:rFonts w:hint="eastAsia" w:ascii="宋体" w:hAnsi="宋体"/>
          <w:highlight w:val="none"/>
          <w:lang w:val="en-US" w:eastAsia="zh-CN"/>
        </w:rPr>
        <w:t>5</w:t>
      </w:r>
      <w:r>
        <w:rPr>
          <w:rFonts w:ascii="宋体" w:hAnsi="宋体"/>
          <w:highlight w:val="none"/>
        </w:rPr>
        <w:t xml:space="preserve">.3.2 </w:t>
      </w:r>
      <w:r>
        <w:rPr>
          <w:rFonts w:hint="eastAsia" w:ascii="宋体" w:hAnsi="宋体"/>
          <w:highlight w:val="none"/>
        </w:rPr>
        <w:t>支票、汇票或现金。</w:t>
      </w:r>
    </w:p>
    <w:p w14:paraId="28CE4CD3">
      <w:pPr>
        <w:spacing w:line="360" w:lineRule="auto"/>
        <w:ind w:firstLine="480"/>
        <w:rPr>
          <w:rFonts w:ascii="宋体"/>
          <w:highlight w:val="none"/>
        </w:rPr>
      </w:pPr>
      <w:r>
        <w:rPr>
          <w:rFonts w:hint="eastAsia" w:ascii="宋体" w:hAnsi="宋体"/>
          <w:highlight w:val="none"/>
          <w:lang w:val="en-US" w:eastAsia="zh-CN"/>
        </w:rPr>
        <w:t>5</w:t>
      </w:r>
      <w:r>
        <w:rPr>
          <w:rFonts w:ascii="宋体" w:hAnsi="宋体"/>
          <w:highlight w:val="none"/>
        </w:rPr>
        <w:t>.4</w:t>
      </w:r>
      <w:r>
        <w:rPr>
          <w:rFonts w:hint="eastAsia" w:ascii="宋体" w:hAnsi="宋体"/>
          <w:highlight w:val="none"/>
        </w:rPr>
        <w:t>乙方未能按合同规定履行其义务，甲方有权从履约保证金中取得补偿。验收合格后，甲方将履约保证金退还乙方或转为质量保证金。</w:t>
      </w:r>
    </w:p>
    <w:p w14:paraId="5DC40473">
      <w:pPr>
        <w:spacing w:line="360" w:lineRule="auto"/>
        <w:ind w:firstLine="482"/>
        <w:rPr>
          <w:rFonts w:ascii="宋体"/>
          <w:b/>
          <w:highlight w:val="none"/>
        </w:rPr>
      </w:pPr>
      <w:r>
        <w:rPr>
          <w:rFonts w:hint="eastAsia" w:ascii="宋体" w:hAnsi="宋体"/>
          <w:b/>
          <w:highlight w:val="none"/>
          <w:lang w:val="en-US" w:eastAsia="zh-CN"/>
        </w:rPr>
        <w:t>6</w:t>
      </w:r>
      <w:r>
        <w:rPr>
          <w:rFonts w:ascii="宋体" w:hAnsi="宋体"/>
          <w:b/>
          <w:highlight w:val="none"/>
        </w:rPr>
        <w:t>.</w:t>
      </w:r>
      <w:r>
        <w:rPr>
          <w:rFonts w:hint="eastAsia" w:ascii="宋体" w:hAnsi="宋体"/>
          <w:b/>
          <w:highlight w:val="none"/>
        </w:rPr>
        <w:t>索赔</w:t>
      </w:r>
    </w:p>
    <w:p w14:paraId="07CF8DBF">
      <w:pPr>
        <w:spacing w:line="360" w:lineRule="auto"/>
        <w:ind w:firstLine="480"/>
        <w:rPr>
          <w:rFonts w:ascii="宋体"/>
          <w:highlight w:val="none"/>
        </w:rPr>
      </w:pPr>
      <w:r>
        <w:rPr>
          <w:rFonts w:hint="eastAsia" w:ascii="宋体" w:hAnsi="宋体"/>
          <w:highlight w:val="none"/>
          <w:lang w:val="en-US" w:eastAsia="zh-CN"/>
        </w:rPr>
        <w:t>6</w:t>
      </w:r>
      <w:r>
        <w:rPr>
          <w:rFonts w:ascii="宋体" w:hAnsi="宋体"/>
          <w:highlight w:val="none"/>
        </w:rPr>
        <w:t>.</w:t>
      </w:r>
      <w:r>
        <w:rPr>
          <w:rFonts w:hint="eastAsia" w:ascii="宋体" w:hAnsi="宋体"/>
          <w:highlight w:val="none"/>
          <w:lang w:val="en-US" w:eastAsia="zh-CN"/>
        </w:rPr>
        <w:t>1</w:t>
      </w:r>
      <w:r>
        <w:rPr>
          <w:rFonts w:hint="eastAsia" w:ascii="宋体" w:hAnsi="宋体"/>
          <w:highlight w:val="none"/>
        </w:rPr>
        <w:t>在履约保证期和检验期内，乙方对甲方提出的索赔负有责任，乙方应按照甲方同意的下列一种或多种方式解决索赔事宜：</w:t>
      </w:r>
    </w:p>
    <w:p w14:paraId="1675C268">
      <w:pPr>
        <w:spacing w:line="360" w:lineRule="auto"/>
        <w:ind w:firstLine="480"/>
        <w:rPr>
          <w:rFonts w:ascii="宋体"/>
          <w:highlight w:val="none"/>
        </w:rPr>
      </w:pPr>
      <w:r>
        <w:rPr>
          <w:rFonts w:hint="eastAsia" w:ascii="宋体" w:hAnsi="宋体"/>
          <w:highlight w:val="none"/>
          <w:lang w:val="en-US" w:eastAsia="zh-CN"/>
        </w:rPr>
        <w:t>6</w:t>
      </w:r>
      <w:r>
        <w:rPr>
          <w:rFonts w:ascii="宋体" w:hAnsi="宋体"/>
          <w:highlight w:val="none"/>
        </w:rPr>
        <w:t>.</w:t>
      </w:r>
      <w:r>
        <w:rPr>
          <w:rFonts w:hint="eastAsia" w:ascii="宋体" w:hAnsi="宋体"/>
          <w:highlight w:val="none"/>
          <w:lang w:val="en-US" w:eastAsia="zh-CN"/>
        </w:rPr>
        <w:t>2</w:t>
      </w:r>
      <w:r>
        <w:rPr>
          <w:rFonts w:hint="eastAsia" w:ascii="宋体" w:hAnsi="宋体"/>
          <w:highlight w:val="none"/>
        </w:rPr>
        <w:t>乙方收到甲方发出的索赔通知之日起</w:t>
      </w:r>
      <w:r>
        <w:rPr>
          <w:rFonts w:ascii="宋体" w:hAnsi="宋体"/>
          <w:highlight w:val="none"/>
        </w:rPr>
        <w:t>5</w:t>
      </w:r>
      <w:r>
        <w:rPr>
          <w:rFonts w:hint="eastAsia" w:ascii="宋体" w:hAnsi="宋体"/>
          <w:highlight w:val="none"/>
        </w:rPr>
        <w:t>个工作日内未作答复的，甲方可从合同款或履约保证金中扣回索赔金额，如金额不足以补偿索赔金额，乙方应补足差额部分。</w:t>
      </w:r>
    </w:p>
    <w:p w14:paraId="48C4A7E2">
      <w:pPr>
        <w:spacing w:line="360" w:lineRule="auto"/>
        <w:ind w:firstLine="482"/>
        <w:rPr>
          <w:rFonts w:ascii="宋体"/>
          <w:b/>
          <w:highlight w:val="none"/>
        </w:rPr>
      </w:pPr>
      <w:r>
        <w:rPr>
          <w:rFonts w:hint="eastAsia" w:ascii="宋体" w:hAnsi="宋体"/>
          <w:b/>
          <w:highlight w:val="none"/>
          <w:lang w:val="en-US" w:eastAsia="zh-CN"/>
        </w:rPr>
        <w:t>7</w:t>
      </w:r>
      <w:r>
        <w:rPr>
          <w:rFonts w:ascii="宋体" w:hAnsi="宋体"/>
          <w:b/>
          <w:highlight w:val="none"/>
        </w:rPr>
        <w:t>.</w:t>
      </w:r>
      <w:r>
        <w:rPr>
          <w:rFonts w:hint="eastAsia" w:ascii="宋体" w:hAnsi="宋体"/>
          <w:b/>
          <w:highlight w:val="none"/>
        </w:rPr>
        <w:t>违约赔偿</w:t>
      </w:r>
    </w:p>
    <w:p w14:paraId="1E845E8D">
      <w:pPr>
        <w:spacing w:line="360" w:lineRule="auto"/>
        <w:ind w:firstLine="480"/>
        <w:rPr>
          <w:rFonts w:ascii="宋体"/>
          <w:highlight w:val="none"/>
        </w:rPr>
      </w:pPr>
      <w:r>
        <w:rPr>
          <w:rFonts w:hint="eastAsia" w:ascii="宋体" w:hAnsi="宋体"/>
          <w:highlight w:val="none"/>
        </w:rPr>
        <w:t>除不可抗力因素外，乙方没有按照合同规定的时间提供服务，甲方可要求乙方支付违约金。违约金每日按合同总价款的千分之五计收。</w:t>
      </w:r>
    </w:p>
    <w:p w14:paraId="2342EAD3">
      <w:pPr>
        <w:spacing w:line="360" w:lineRule="auto"/>
        <w:ind w:firstLine="482"/>
        <w:rPr>
          <w:rFonts w:ascii="宋体"/>
          <w:b/>
          <w:highlight w:val="none"/>
        </w:rPr>
      </w:pPr>
      <w:r>
        <w:rPr>
          <w:rFonts w:hint="eastAsia" w:ascii="宋体" w:hAnsi="宋体"/>
          <w:b/>
          <w:highlight w:val="none"/>
          <w:lang w:val="en-US" w:eastAsia="zh-CN"/>
        </w:rPr>
        <w:t>8</w:t>
      </w:r>
      <w:r>
        <w:rPr>
          <w:rFonts w:ascii="宋体" w:hAnsi="宋体"/>
          <w:b/>
          <w:highlight w:val="none"/>
        </w:rPr>
        <w:t>.</w:t>
      </w:r>
      <w:r>
        <w:rPr>
          <w:rFonts w:hint="eastAsia" w:ascii="宋体" w:hAnsi="宋体"/>
          <w:b/>
          <w:highlight w:val="none"/>
        </w:rPr>
        <w:t>不可抗力</w:t>
      </w:r>
    </w:p>
    <w:p w14:paraId="60234CF1">
      <w:pPr>
        <w:spacing w:line="360" w:lineRule="auto"/>
        <w:ind w:firstLine="480"/>
        <w:rPr>
          <w:rFonts w:ascii="宋体"/>
          <w:highlight w:val="none"/>
        </w:rPr>
      </w:pPr>
      <w:r>
        <w:rPr>
          <w:rFonts w:hint="eastAsia" w:ascii="宋体" w:hAnsi="宋体"/>
          <w:highlight w:val="none"/>
          <w:lang w:val="en-US" w:eastAsia="zh-CN"/>
        </w:rPr>
        <w:t>8</w:t>
      </w:r>
      <w:r>
        <w:rPr>
          <w:rFonts w:ascii="宋体" w:hAnsi="宋体"/>
          <w:highlight w:val="none"/>
        </w:rPr>
        <w:t>.1.</w:t>
      </w:r>
      <w:r>
        <w:rPr>
          <w:rFonts w:hint="eastAsia" w:ascii="宋体" w:hAnsi="宋体"/>
          <w:highlight w:val="none"/>
        </w:rPr>
        <w:t>双方中任何一方遭遇法律规定的不可抗力，致使合同履行受阻时，履行合同的期限应予延长，延长的期限应相当于不可抗力所影响的时间。</w:t>
      </w:r>
    </w:p>
    <w:p w14:paraId="24FE9453">
      <w:pPr>
        <w:spacing w:line="360" w:lineRule="auto"/>
        <w:ind w:firstLine="480"/>
        <w:rPr>
          <w:rFonts w:ascii="宋体"/>
          <w:highlight w:val="none"/>
        </w:rPr>
      </w:pPr>
      <w:r>
        <w:rPr>
          <w:rFonts w:hint="eastAsia" w:ascii="宋体" w:hAnsi="宋体"/>
          <w:highlight w:val="none"/>
          <w:lang w:val="en-US" w:eastAsia="zh-CN"/>
        </w:rPr>
        <w:t>8</w:t>
      </w:r>
      <w:r>
        <w:rPr>
          <w:rFonts w:ascii="宋体" w:hAnsi="宋体"/>
          <w:highlight w:val="none"/>
        </w:rPr>
        <w:t>.2</w:t>
      </w:r>
      <w:r>
        <w:rPr>
          <w:rFonts w:hint="eastAsia" w:ascii="宋体" w:hAnsi="宋体"/>
          <w:highlight w:val="none"/>
        </w:rPr>
        <w:t>受事故影响的一方应在不可抗力的事故发生后以书面形式通知另一方。</w:t>
      </w:r>
    </w:p>
    <w:p w14:paraId="2451A084">
      <w:pPr>
        <w:spacing w:line="360" w:lineRule="auto"/>
        <w:ind w:firstLine="480"/>
        <w:rPr>
          <w:rFonts w:ascii="宋体"/>
          <w:highlight w:val="none"/>
        </w:rPr>
      </w:pPr>
      <w:r>
        <w:rPr>
          <w:rFonts w:hint="eastAsia" w:ascii="宋体" w:hAnsi="宋体"/>
          <w:highlight w:val="none"/>
          <w:lang w:val="en-US" w:eastAsia="zh-CN"/>
        </w:rPr>
        <w:t>8</w:t>
      </w:r>
      <w:r>
        <w:rPr>
          <w:rFonts w:ascii="宋体" w:hAnsi="宋体"/>
          <w:highlight w:val="none"/>
        </w:rPr>
        <w:t>.3</w:t>
      </w:r>
      <w:r>
        <w:rPr>
          <w:rFonts w:hint="eastAsia" w:ascii="宋体" w:hAnsi="宋体"/>
          <w:highlight w:val="none"/>
        </w:rPr>
        <w:t>不可抗力使合同的某些内容有变更必要的，</w:t>
      </w:r>
      <w:r>
        <w:rPr>
          <w:rFonts w:ascii="宋体" w:hAnsi="宋体"/>
          <w:highlight w:val="none"/>
        </w:rPr>
        <w:t xml:space="preserve"> </w:t>
      </w:r>
      <w:r>
        <w:rPr>
          <w:rFonts w:hint="eastAsia" w:ascii="宋体" w:hAnsi="宋体"/>
          <w:highlight w:val="none"/>
        </w:rPr>
        <w:t>双方应通过协商达成进一步履行合同的协议，因不可抗力致使合同不能履行的，合同终止。</w:t>
      </w:r>
    </w:p>
    <w:p w14:paraId="488702F2">
      <w:pPr>
        <w:spacing w:line="360" w:lineRule="auto"/>
        <w:ind w:firstLine="482"/>
        <w:rPr>
          <w:rFonts w:ascii="宋体"/>
          <w:b/>
          <w:highlight w:val="none"/>
        </w:rPr>
      </w:pPr>
      <w:r>
        <w:rPr>
          <w:rFonts w:hint="eastAsia" w:ascii="宋体" w:hAnsi="宋体"/>
          <w:b/>
          <w:highlight w:val="none"/>
          <w:lang w:val="en-US" w:eastAsia="zh-CN"/>
        </w:rPr>
        <w:t>9</w:t>
      </w:r>
      <w:r>
        <w:rPr>
          <w:rFonts w:ascii="宋体" w:hAnsi="宋体"/>
          <w:b/>
          <w:highlight w:val="none"/>
        </w:rPr>
        <w:t>.</w:t>
      </w:r>
      <w:r>
        <w:rPr>
          <w:rFonts w:hint="eastAsia" w:ascii="宋体" w:hAnsi="宋体"/>
          <w:b/>
          <w:highlight w:val="none"/>
        </w:rPr>
        <w:t>税费</w:t>
      </w:r>
    </w:p>
    <w:p w14:paraId="56045831">
      <w:pPr>
        <w:spacing w:line="360" w:lineRule="auto"/>
        <w:ind w:firstLine="480"/>
        <w:rPr>
          <w:rFonts w:ascii="宋体"/>
          <w:highlight w:val="none"/>
        </w:rPr>
      </w:pPr>
      <w:r>
        <w:rPr>
          <w:rFonts w:hint="eastAsia" w:ascii="宋体" w:hAnsi="宋体"/>
          <w:highlight w:val="none"/>
        </w:rPr>
        <w:t>与本合同有关的一切税费均由乙方承担。</w:t>
      </w:r>
    </w:p>
    <w:p w14:paraId="3BCB69BC">
      <w:pPr>
        <w:spacing w:line="360" w:lineRule="auto"/>
        <w:ind w:firstLine="482"/>
        <w:rPr>
          <w:rFonts w:ascii="宋体"/>
          <w:b/>
          <w:highlight w:val="none"/>
        </w:rPr>
      </w:pPr>
      <w:r>
        <w:rPr>
          <w:rFonts w:ascii="宋体" w:hAnsi="宋体"/>
          <w:b/>
          <w:highlight w:val="none"/>
        </w:rPr>
        <w:t>1</w:t>
      </w:r>
      <w:r>
        <w:rPr>
          <w:rFonts w:hint="eastAsia" w:ascii="宋体" w:hAnsi="宋体"/>
          <w:b/>
          <w:highlight w:val="none"/>
          <w:lang w:val="en-US" w:eastAsia="zh-CN"/>
        </w:rPr>
        <w:t>0</w:t>
      </w:r>
      <w:r>
        <w:rPr>
          <w:rFonts w:ascii="宋体" w:hAnsi="宋体"/>
          <w:b/>
          <w:highlight w:val="none"/>
        </w:rPr>
        <w:t>.</w:t>
      </w:r>
      <w:r>
        <w:rPr>
          <w:rFonts w:hint="eastAsia" w:ascii="宋体" w:hAnsi="宋体"/>
          <w:b/>
          <w:highlight w:val="none"/>
        </w:rPr>
        <w:t>合同争议的解决</w:t>
      </w:r>
    </w:p>
    <w:p w14:paraId="5DBD6B3D">
      <w:pPr>
        <w:spacing w:line="360" w:lineRule="auto"/>
        <w:ind w:firstLine="480"/>
        <w:rPr>
          <w:rFonts w:ascii="宋体"/>
          <w:highlight w:val="none"/>
        </w:rPr>
      </w:pPr>
      <w:r>
        <w:rPr>
          <w:rFonts w:ascii="宋体" w:hAnsi="宋体"/>
          <w:highlight w:val="none"/>
        </w:rPr>
        <w:t>1</w:t>
      </w:r>
      <w:r>
        <w:rPr>
          <w:rFonts w:hint="eastAsia" w:ascii="宋体" w:hAnsi="宋体"/>
          <w:highlight w:val="none"/>
          <w:lang w:val="en-US" w:eastAsia="zh-CN"/>
        </w:rPr>
        <w:t>0</w:t>
      </w:r>
      <w:r>
        <w:rPr>
          <w:rFonts w:ascii="宋体" w:hAnsi="宋体"/>
          <w:highlight w:val="none"/>
        </w:rPr>
        <w:t>.1</w:t>
      </w:r>
      <w:r>
        <w:rPr>
          <w:rFonts w:hint="eastAsia" w:ascii="宋体" w:hAnsi="宋体"/>
          <w:highlight w:val="none"/>
        </w:rPr>
        <w:t>甲方和乙方由于本合同的履行而发生任何争议时，双方可先通过协商解决。</w:t>
      </w:r>
    </w:p>
    <w:p w14:paraId="22B4BC3C">
      <w:pPr>
        <w:spacing w:line="360" w:lineRule="auto"/>
        <w:ind w:firstLine="480"/>
        <w:rPr>
          <w:rFonts w:ascii="宋体"/>
          <w:highlight w:val="none"/>
        </w:rPr>
      </w:pPr>
      <w:r>
        <w:rPr>
          <w:rFonts w:ascii="宋体" w:hAnsi="宋体"/>
          <w:highlight w:val="none"/>
        </w:rPr>
        <w:t>1</w:t>
      </w:r>
      <w:r>
        <w:rPr>
          <w:rFonts w:hint="eastAsia" w:ascii="宋体" w:hAnsi="宋体"/>
          <w:highlight w:val="none"/>
          <w:lang w:val="en-US" w:eastAsia="zh-CN"/>
        </w:rPr>
        <w:t>0</w:t>
      </w:r>
      <w:r>
        <w:rPr>
          <w:rFonts w:ascii="宋体" w:hAnsi="宋体"/>
          <w:highlight w:val="none"/>
        </w:rPr>
        <w:t>.2</w:t>
      </w:r>
      <w:r>
        <w:rPr>
          <w:rFonts w:hint="eastAsia" w:ascii="宋体" w:hAnsi="宋体"/>
          <w:highlight w:val="none"/>
        </w:rPr>
        <w:t>任何一方不愿通过协商或通过协商仍不能解决争议，则双方中任何一方均应向甲方所在地人民法院起诉。</w:t>
      </w:r>
    </w:p>
    <w:p w14:paraId="4E204EBB">
      <w:pPr>
        <w:spacing w:line="360" w:lineRule="auto"/>
        <w:ind w:firstLine="482"/>
        <w:rPr>
          <w:rFonts w:ascii="宋体"/>
          <w:b/>
          <w:highlight w:val="none"/>
        </w:rPr>
      </w:pPr>
      <w:r>
        <w:rPr>
          <w:rFonts w:hint="eastAsia" w:ascii="宋体" w:hAnsi="宋体"/>
          <w:b/>
          <w:highlight w:val="none"/>
          <w:lang w:val="en-US" w:eastAsia="zh-CN"/>
        </w:rPr>
        <w:t>11</w:t>
      </w:r>
      <w:r>
        <w:rPr>
          <w:rFonts w:ascii="宋体" w:hAnsi="宋体"/>
          <w:b/>
          <w:highlight w:val="none"/>
        </w:rPr>
        <w:t>.</w:t>
      </w:r>
      <w:r>
        <w:rPr>
          <w:rFonts w:hint="eastAsia" w:ascii="宋体" w:hAnsi="宋体"/>
          <w:b/>
          <w:highlight w:val="none"/>
        </w:rPr>
        <w:t>违约解除合同</w:t>
      </w:r>
    </w:p>
    <w:p w14:paraId="0B8A41D0">
      <w:pPr>
        <w:spacing w:line="360" w:lineRule="auto"/>
        <w:ind w:firstLine="480"/>
        <w:rPr>
          <w:rFonts w:ascii="宋体"/>
          <w:highlight w:val="none"/>
        </w:rPr>
      </w:pPr>
      <w:r>
        <w:rPr>
          <w:rFonts w:hint="eastAsia" w:ascii="宋体" w:hAnsi="宋体"/>
          <w:highlight w:val="none"/>
          <w:lang w:val="en-US" w:eastAsia="zh-CN"/>
        </w:rPr>
        <w:t>11</w:t>
      </w:r>
      <w:r>
        <w:rPr>
          <w:rFonts w:ascii="宋体" w:hAnsi="宋体"/>
          <w:highlight w:val="none"/>
        </w:rPr>
        <w:t>.1</w:t>
      </w:r>
      <w:r>
        <w:rPr>
          <w:rFonts w:hint="eastAsia" w:ascii="宋体" w:hAnsi="宋体"/>
          <w:highlight w:val="none"/>
        </w:rPr>
        <w:t>出现下列情形之一的，视为乙方违约。甲方可向乙方发出书面通知，部分或全部终止合同，同时保留向乙方索赔的权利。</w:t>
      </w:r>
    </w:p>
    <w:p w14:paraId="655383A7">
      <w:pPr>
        <w:spacing w:line="360" w:lineRule="auto"/>
        <w:ind w:firstLine="480"/>
        <w:rPr>
          <w:rFonts w:ascii="宋体"/>
          <w:highlight w:val="none"/>
        </w:rPr>
      </w:pPr>
      <w:r>
        <w:rPr>
          <w:rFonts w:hint="eastAsia" w:ascii="宋体" w:hAnsi="宋体"/>
          <w:highlight w:val="none"/>
          <w:lang w:val="en-US" w:eastAsia="zh-CN"/>
        </w:rPr>
        <w:t>11</w:t>
      </w:r>
      <w:r>
        <w:rPr>
          <w:rFonts w:ascii="宋体" w:hAnsi="宋体"/>
          <w:highlight w:val="none"/>
        </w:rPr>
        <w:t>.1.1</w:t>
      </w:r>
      <w:r>
        <w:rPr>
          <w:rFonts w:hint="eastAsia" w:ascii="宋体" w:hAnsi="宋体"/>
          <w:highlight w:val="none"/>
        </w:rPr>
        <w:t>乙方未能在合同规定的限期或甲方同意延长的限期内，提供全部或部分</w:t>
      </w:r>
      <w:r>
        <w:rPr>
          <w:rFonts w:hint="eastAsia" w:ascii="宋体" w:hAnsi="宋体"/>
          <w:highlight w:val="none"/>
          <w:lang w:eastAsia="zh-CN"/>
        </w:rPr>
        <w:t>服务</w:t>
      </w:r>
      <w:r>
        <w:rPr>
          <w:rFonts w:hint="eastAsia" w:ascii="宋体" w:hAnsi="宋体"/>
          <w:highlight w:val="none"/>
        </w:rPr>
        <w:t>的；</w:t>
      </w:r>
      <w:r>
        <w:rPr>
          <w:rFonts w:ascii="宋体" w:hAnsi="宋体"/>
          <w:highlight w:val="none"/>
        </w:rPr>
        <w:t xml:space="preserve"> </w:t>
      </w:r>
    </w:p>
    <w:p w14:paraId="5A96ED70">
      <w:pPr>
        <w:spacing w:line="360" w:lineRule="auto"/>
        <w:ind w:firstLine="480"/>
        <w:rPr>
          <w:rFonts w:ascii="宋体"/>
          <w:highlight w:val="none"/>
        </w:rPr>
      </w:pPr>
      <w:r>
        <w:rPr>
          <w:rFonts w:hint="eastAsia" w:ascii="宋体" w:hAnsi="宋体"/>
          <w:highlight w:val="none"/>
          <w:lang w:val="en-US" w:eastAsia="zh-CN"/>
        </w:rPr>
        <w:t>11</w:t>
      </w:r>
      <w:r>
        <w:rPr>
          <w:rFonts w:ascii="宋体" w:hAnsi="宋体"/>
          <w:highlight w:val="none"/>
        </w:rPr>
        <w:t>.1.2</w:t>
      </w:r>
      <w:r>
        <w:rPr>
          <w:rFonts w:hint="eastAsia" w:ascii="宋体" w:hAnsi="宋体"/>
          <w:highlight w:val="none"/>
        </w:rPr>
        <w:t>乙方未能履行合同规定的其它主要义务的；</w:t>
      </w:r>
    </w:p>
    <w:p w14:paraId="2E16C2C8">
      <w:pPr>
        <w:spacing w:line="360" w:lineRule="auto"/>
        <w:ind w:firstLine="480"/>
        <w:rPr>
          <w:rFonts w:ascii="宋体"/>
          <w:highlight w:val="none"/>
        </w:rPr>
      </w:pPr>
      <w:r>
        <w:rPr>
          <w:rFonts w:hint="eastAsia" w:ascii="宋体" w:hAnsi="宋体"/>
          <w:highlight w:val="none"/>
          <w:lang w:val="en-US" w:eastAsia="zh-CN"/>
        </w:rPr>
        <w:t>11</w:t>
      </w:r>
      <w:r>
        <w:rPr>
          <w:rFonts w:ascii="宋体" w:hAnsi="宋体"/>
          <w:highlight w:val="none"/>
        </w:rPr>
        <w:t>.1.3</w:t>
      </w:r>
      <w:r>
        <w:rPr>
          <w:rFonts w:hint="eastAsia" w:ascii="宋体" w:hAnsi="宋体"/>
          <w:highlight w:val="none"/>
        </w:rPr>
        <w:t>乙方在本合同履行过程中有欺诈行为的。</w:t>
      </w:r>
    </w:p>
    <w:p w14:paraId="0BA374DA">
      <w:pPr>
        <w:spacing w:line="360" w:lineRule="auto"/>
        <w:ind w:firstLine="482"/>
        <w:rPr>
          <w:rFonts w:ascii="宋体"/>
          <w:b/>
          <w:highlight w:val="none"/>
        </w:rPr>
      </w:pPr>
      <w:r>
        <w:rPr>
          <w:rFonts w:hint="eastAsia" w:ascii="宋体" w:hAnsi="宋体"/>
          <w:b/>
          <w:highlight w:val="none"/>
          <w:lang w:val="en-US" w:eastAsia="zh-CN"/>
        </w:rPr>
        <w:t>12</w:t>
      </w:r>
      <w:r>
        <w:rPr>
          <w:rFonts w:ascii="宋体" w:hAnsi="宋体"/>
          <w:b/>
          <w:highlight w:val="none"/>
        </w:rPr>
        <w:t>.</w:t>
      </w:r>
      <w:r>
        <w:rPr>
          <w:rFonts w:hint="eastAsia" w:ascii="宋体" w:hAnsi="宋体"/>
          <w:b/>
          <w:highlight w:val="none"/>
        </w:rPr>
        <w:t>破产终止合同</w:t>
      </w:r>
    </w:p>
    <w:p w14:paraId="627433A4">
      <w:pPr>
        <w:spacing w:line="360" w:lineRule="auto"/>
        <w:ind w:firstLine="480"/>
        <w:rPr>
          <w:rFonts w:ascii="宋体"/>
          <w:highlight w:val="none"/>
        </w:rPr>
      </w:pPr>
      <w:r>
        <w:rPr>
          <w:rFonts w:hint="eastAsia" w:ascii="宋体" w:hAnsi="宋体"/>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550FEFD4">
      <w:pPr>
        <w:spacing w:line="360" w:lineRule="auto"/>
        <w:ind w:firstLine="482"/>
        <w:rPr>
          <w:rFonts w:ascii="宋体"/>
          <w:b/>
          <w:highlight w:val="none"/>
        </w:rPr>
      </w:pPr>
      <w:r>
        <w:rPr>
          <w:rFonts w:hint="eastAsia" w:ascii="宋体" w:hAnsi="宋体"/>
          <w:b/>
          <w:highlight w:val="none"/>
          <w:lang w:val="en-US" w:eastAsia="zh-CN"/>
        </w:rPr>
        <w:t>13</w:t>
      </w:r>
      <w:r>
        <w:rPr>
          <w:rFonts w:ascii="宋体" w:hAnsi="宋体"/>
          <w:b/>
          <w:highlight w:val="none"/>
        </w:rPr>
        <w:t>.</w:t>
      </w:r>
      <w:r>
        <w:rPr>
          <w:rFonts w:hint="eastAsia" w:ascii="宋体" w:hAnsi="宋体"/>
          <w:b/>
          <w:highlight w:val="none"/>
        </w:rPr>
        <w:t>转让和分包</w:t>
      </w:r>
    </w:p>
    <w:p w14:paraId="37D67886">
      <w:pPr>
        <w:spacing w:line="360" w:lineRule="auto"/>
        <w:ind w:firstLine="480"/>
        <w:rPr>
          <w:rFonts w:ascii="宋体"/>
          <w:highlight w:val="none"/>
        </w:rPr>
      </w:pPr>
      <w:r>
        <w:rPr>
          <w:rFonts w:hint="eastAsia" w:ascii="宋体" w:hAnsi="宋体"/>
          <w:highlight w:val="none"/>
          <w:lang w:val="en-US" w:eastAsia="zh-CN"/>
        </w:rPr>
        <w:t>13</w:t>
      </w:r>
      <w:r>
        <w:rPr>
          <w:rFonts w:ascii="宋体" w:hAnsi="宋体"/>
          <w:highlight w:val="none"/>
        </w:rPr>
        <w:t>.1</w:t>
      </w:r>
      <w:r>
        <w:rPr>
          <w:rFonts w:hint="eastAsia" w:ascii="宋体" w:hAnsi="宋体"/>
          <w:highlight w:val="none"/>
        </w:rPr>
        <w:t>政府采购合同不能转让。</w:t>
      </w:r>
    </w:p>
    <w:p w14:paraId="49C012A4">
      <w:pPr>
        <w:spacing w:line="360" w:lineRule="auto"/>
        <w:ind w:firstLine="480"/>
        <w:rPr>
          <w:rFonts w:ascii="宋体"/>
          <w:highlight w:val="none"/>
        </w:rPr>
      </w:pPr>
      <w:r>
        <w:rPr>
          <w:rFonts w:hint="eastAsia" w:ascii="宋体" w:hAnsi="宋体"/>
          <w:highlight w:val="none"/>
          <w:lang w:val="en-US" w:eastAsia="zh-CN"/>
        </w:rPr>
        <w:t>13</w:t>
      </w:r>
      <w:r>
        <w:rPr>
          <w:rFonts w:ascii="宋体" w:hAnsi="宋体"/>
          <w:highlight w:val="none"/>
        </w:rPr>
        <w:t>.2</w:t>
      </w:r>
      <w:r>
        <w:rPr>
          <w:rFonts w:hint="eastAsia" w:ascii="宋体" w:hAnsi="宋体"/>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B1B0E8D">
      <w:pPr>
        <w:spacing w:line="360" w:lineRule="auto"/>
        <w:ind w:firstLine="482"/>
        <w:rPr>
          <w:rFonts w:ascii="宋体"/>
          <w:b/>
          <w:highlight w:val="none"/>
        </w:rPr>
      </w:pPr>
      <w:r>
        <w:rPr>
          <w:rFonts w:hint="eastAsia" w:ascii="宋体" w:hAnsi="宋体"/>
          <w:b/>
          <w:highlight w:val="none"/>
          <w:lang w:val="en-US" w:eastAsia="zh-CN"/>
        </w:rPr>
        <w:t>14</w:t>
      </w:r>
      <w:r>
        <w:rPr>
          <w:rFonts w:ascii="宋体" w:hAnsi="宋体"/>
          <w:b/>
          <w:highlight w:val="none"/>
        </w:rPr>
        <w:t>.</w:t>
      </w:r>
      <w:r>
        <w:rPr>
          <w:rFonts w:hint="eastAsia" w:ascii="宋体" w:hAnsi="宋体"/>
          <w:b/>
          <w:highlight w:val="none"/>
        </w:rPr>
        <w:t>合同修改</w:t>
      </w:r>
    </w:p>
    <w:p w14:paraId="14742D81">
      <w:pPr>
        <w:spacing w:line="360" w:lineRule="auto"/>
        <w:ind w:firstLine="480"/>
        <w:rPr>
          <w:rFonts w:ascii="宋体"/>
          <w:highlight w:val="none"/>
        </w:rPr>
      </w:pPr>
      <w:r>
        <w:rPr>
          <w:rFonts w:hint="eastAsia" w:ascii="宋体" w:hAnsi="宋体"/>
          <w:highlight w:val="none"/>
        </w:rPr>
        <w:t>甲方和乙方都不得擅自变更本合同，但合同继续履行将损害国家和社会公共利益的除外。如必须对合同条款进行改动时，当事人双方须共同签署书面文件，</w:t>
      </w:r>
      <w:r>
        <w:rPr>
          <w:rFonts w:hint="eastAsia" w:ascii="宋体" w:hAnsi="宋体"/>
          <w:highlight w:val="none"/>
          <w:lang w:eastAsia="zh-CN"/>
        </w:rPr>
        <w:t>作</w:t>
      </w:r>
      <w:r>
        <w:rPr>
          <w:rFonts w:hint="eastAsia" w:ascii="宋体" w:hAnsi="宋体"/>
          <w:highlight w:val="none"/>
        </w:rPr>
        <w:t>为合同的补充。</w:t>
      </w:r>
    </w:p>
    <w:p w14:paraId="14BF38DB">
      <w:pPr>
        <w:spacing w:line="360" w:lineRule="auto"/>
        <w:ind w:firstLine="482"/>
        <w:rPr>
          <w:rFonts w:ascii="宋体"/>
          <w:b/>
          <w:highlight w:val="none"/>
        </w:rPr>
      </w:pPr>
      <w:r>
        <w:rPr>
          <w:rFonts w:hint="eastAsia" w:ascii="宋体" w:hAnsi="宋体"/>
          <w:b/>
          <w:highlight w:val="none"/>
          <w:lang w:val="en-US" w:eastAsia="zh-CN"/>
        </w:rPr>
        <w:t>15</w:t>
      </w:r>
      <w:r>
        <w:rPr>
          <w:rFonts w:ascii="宋体" w:hAnsi="宋体"/>
          <w:b/>
          <w:highlight w:val="none"/>
        </w:rPr>
        <w:t>.</w:t>
      </w:r>
      <w:r>
        <w:rPr>
          <w:rFonts w:hint="eastAsia" w:ascii="宋体" w:hAnsi="宋体"/>
          <w:b/>
          <w:highlight w:val="none"/>
        </w:rPr>
        <w:t>通知</w:t>
      </w:r>
    </w:p>
    <w:p w14:paraId="5D430CFD">
      <w:pPr>
        <w:spacing w:line="360" w:lineRule="auto"/>
        <w:ind w:firstLine="480"/>
        <w:rPr>
          <w:rFonts w:ascii="宋体"/>
          <w:highlight w:val="none"/>
        </w:rPr>
      </w:pPr>
      <w:r>
        <w:rPr>
          <w:rFonts w:hint="eastAsia" w:ascii="宋体" w:hAnsi="宋体"/>
          <w:highlight w:val="none"/>
        </w:rPr>
        <w:t>本合同任何一方给另一方的通知，都应以书面形式发送，而另一方也应以书面形式确认并发送到对方明确的地址。</w:t>
      </w:r>
    </w:p>
    <w:p w14:paraId="5E979E3C">
      <w:pPr>
        <w:spacing w:line="360" w:lineRule="auto"/>
        <w:ind w:firstLine="482"/>
        <w:rPr>
          <w:rFonts w:ascii="宋体"/>
          <w:b/>
          <w:highlight w:val="none"/>
        </w:rPr>
      </w:pPr>
      <w:r>
        <w:rPr>
          <w:rFonts w:hint="eastAsia" w:ascii="宋体" w:hAnsi="宋体"/>
          <w:b/>
          <w:highlight w:val="none"/>
          <w:lang w:val="en-US" w:eastAsia="zh-CN"/>
        </w:rPr>
        <w:t>16</w:t>
      </w:r>
      <w:r>
        <w:rPr>
          <w:rFonts w:ascii="宋体" w:hAnsi="宋体"/>
          <w:b/>
          <w:highlight w:val="none"/>
        </w:rPr>
        <w:t>.</w:t>
      </w:r>
      <w:r>
        <w:rPr>
          <w:rFonts w:hint="eastAsia" w:ascii="宋体" w:hAnsi="宋体"/>
          <w:b/>
          <w:highlight w:val="none"/>
        </w:rPr>
        <w:t>计量单位</w:t>
      </w:r>
    </w:p>
    <w:p w14:paraId="2F68C658">
      <w:pPr>
        <w:spacing w:line="360" w:lineRule="auto"/>
        <w:ind w:firstLine="480"/>
        <w:rPr>
          <w:rFonts w:ascii="宋体"/>
          <w:highlight w:val="none"/>
        </w:rPr>
      </w:pPr>
      <w:r>
        <w:rPr>
          <w:rFonts w:hint="eastAsia" w:ascii="宋体" w:hAnsi="宋体"/>
          <w:highlight w:val="none"/>
        </w:rPr>
        <w:t>除技术规范中另有规定外</w:t>
      </w:r>
      <w:r>
        <w:rPr>
          <w:rFonts w:hint="eastAsia" w:ascii="宋体" w:hAnsi="宋体"/>
          <w:highlight w:val="none"/>
          <w:lang w:eastAsia="zh-CN"/>
        </w:rPr>
        <w:t>，</w:t>
      </w:r>
      <w:r>
        <w:rPr>
          <w:rFonts w:hint="eastAsia" w:ascii="宋体" w:hAnsi="宋体"/>
          <w:highlight w:val="none"/>
        </w:rPr>
        <w:t>计量单位均使用国家法定计量单位。</w:t>
      </w:r>
    </w:p>
    <w:p w14:paraId="1215AA42">
      <w:pPr>
        <w:spacing w:line="360" w:lineRule="auto"/>
        <w:ind w:firstLine="482"/>
        <w:rPr>
          <w:rFonts w:ascii="宋体"/>
          <w:b/>
          <w:highlight w:val="none"/>
        </w:rPr>
      </w:pPr>
      <w:r>
        <w:rPr>
          <w:rFonts w:hint="eastAsia" w:ascii="宋体" w:hAnsi="宋体"/>
          <w:b/>
          <w:highlight w:val="none"/>
          <w:lang w:val="en-US" w:eastAsia="zh-CN"/>
        </w:rPr>
        <w:t>17</w:t>
      </w:r>
      <w:r>
        <w:rPr>
          <w:rFonts w:ascii="宋体" w:hAnsi="宋体"/>
          <w:b/>
          <w:highlight w:val="none"/>
        </w:rPr>
        <w:t>.</w:t>
      </w:r>
      <w:r>
        <w:rPr>
          <w:rFonts w:hint="eastAsia" w:ascii="宋体" w:hAnsi="宋体"/>
          <w:b/>
          <w:highlight w:val="none"/>
        </w:rPr>
        <w:t>适用法律</w:t>
      </w:r>
    </w:p>
    <w:p w14:paraId="7A0E3C41">
      <w:pPr>
        <w:spacing w:line="360" w:lineRule="auto"/>
        <w:ind w:firstLine="480"/>
        <w:rPr>
          <w:rFonts w:hint="eastAsia" w:ascii="宋体" w:hAnsi="宋体"/>
          <w:highlight w:val="none"/>
        </w:rPr>
      </w:pPr>
      <w:r>
        <w:rPr>
          <w:rFonts w:hint="eastAsia" w:ascii="宋体" w:hAnsi="宋体"/>
          <w:highlight w:val="none"/>
        </w:rPr>
        <w:t>本合同按照中华人民共和国的相关法律进行解释。</w:t>
      </w:r>
    </w:p>
    <w:p w14:paraId="6E7D0707">
      <w:pPr>
        <w:keepNext/>
        <w:keepLines/>
        <w:widowControl/>
        <w:snapToGrid w:val="0"/>
        <w:spacing w:line="400" w:lineRule="atLeast"/>
        <w:ind w:firstLine="1270" w:firstLineChars="605"/>
        <w:outlineLvl w:val="0"/>
        <w:rPr>
          <w:rFonts w:hint="eastAsia" w:ascii="宋体" w:hAnsi="宋体" w:eastAsia="宋体" w:cs="宋体"/>
          <w:b/>
          <w:color w:val="auto"/>
          <w:kern w:val="28"/>
          <w:sz w:val="36"/>
          <w:szCs w:val="20"/>
          <w:highlight w:val="none"/>
        </w:rPr>
      </w:pPr>
      <w:r>
        <w:rPr>
          <w:rFonts w:hint="eastAsia" w:ascii="宋体" w:hAnsi="宋体" w:eastAsia="宋体" w:cs="宋体"/>
          <w:color w:val="auto"/>
          <w:highlight w:val="none"/>
        </w:rPr>
        <w:br w:type="page"/>
      </w:r>
    </w:p>
    <w:p w14:paraId="561652B3">
      <w:pPr>
        <w:keepNext/>
        <w:keepLines/>
        <w:widowControl/>
        <w:snapToGrid w:val="0"/>
        <w:spacing w:line="400" w:lineRule="atLeast"/>
        <w:ind w:firstLine="2187" w:firstLineChars="605"/>
        <w:outlineLvl w:val="0"/>
        <w:rPr>
          <w:rFonts w:hint="eastAsia" w:ascii="宋体" w:hAnsi="宋体" w:eastAsia="宋体" w:cs="宋体"/>
          <w:b/>
          <w:color w:val="auto"/>
          <w:kern w:val="28"/>
          <w:sz w:val="36"/>
          <w:szCs w:val="20"/>
          <w:highlight w:val="none"/>
        </w:rPr>
      </w:pPr>
      <w:bookmarkStart w:id="177" w:name="_Toc21458"/>
      <w:bookmarkStart w:id="178" w:name="_Toc496004028"/>
      <w:bookmarkStart w:id="179" w:name="_Toc496626233"/>
      <w:r>
        <w:rPr>
          <w:rFonts w:hint="eastAsia" w:ascii="宋体" w:hAnsi="宋体" w:eastAsia="宋体" w:cs="宋体"/>
          <w:b/>
          <w:color w:val="auto"/>
          <w:kern w:val="28"/>
          <w:sz w:val="36"/>
          <w:szCs w:val="20"/>
          <w:highlight w:val="none"/>
        </w:rPr>
        <w:t>第四部分  磋商响应文件格式</w:t>
      </w:r>
      <w:bookmarkEnd w:id="177"/>
      <w:bookmarkEnd w:id="178"/>
      <w:bookmarkEnd w:id="179"/>
    </w:p>
    <w:p w14:paraId="54CE340F">
      <w:pPr>
        <w:keepNext/>
        <w:keepLines/>
        <w:widowControl/>
        <w:snapToGrid w:val="0"/>
        <w:spacing w:line="400" w:lineRule="atLeast"/>
        <w:outlineLvl w:val="0"/>
        <w:rPr>
          <w:rFonts w:hint="eastAsia" w:ascii="宋体" w:hAnsi="宋体" w:eastAsia="宋体" w:cs="宋体"/>
          <w:b/>
          <w:color w:val="auto"/>
          <w:kern w:val="28"/>
          <w:sz w:val="36"/>
          <w:szCs w:val="20"/>
          <w:highlight w:val="none"/>
        </w:rPr>
      </w:pPr>
    </w:p>
    <w:p w14:paraId="1143FF73">
      <w:pPr>
        <w:keepNext/>
        <w:keepLines/>
        <w:widowControl/>
        <w:snapToGrid w:val="0"/>
        <w:spacing w:line="400" w:lineRule="atLeast"/>
        <w:jc w:val="center"/>
        <w:outlineLvl w:val="0"/>
        <w:rPr>
          <w:rFonts w:hint="eastAsia" w:ascii="宋体" w:hAnsi="宋体" w:eastAsia="宋体" w:cs="宋体"/>
          <w:b/>
          <w:color w:val="auto"/>
          <w:kern w:val="28"/>
          <w:sz w:val="36"/>
          <w:szCs w:val="20"/>
          <w:highlight w:val="none"/>
        </w:rPr>
      </w:pPr>
      <w:bookmarkStart w:id="180" w:name="_Toc496626234"/>
      <w:bookmarkStart w:id="181" w:name="_Toc496004029"/>
      <w:bookmarkStart w:id="182" w:name="_Toc4806"/>
      <w:r>
        <w:rPr>
          <w:rFonts w:hint="eastAsia" w:ascii="宋体" w:hAnsi="宋体" w:eastAsia="宋体" w:cs="宋体"/>
          <w:b/>
          <w:color w:val="auto"/>
          <w:kern w:val="28"/>
          <w:sz w:val="36"/>
          <w:szCs w:val="20"/>
          <w:highlight w:val="none"/>
        </w:rPr>
        <w:t>磋商响应文件的组成</w:t>
      </w:r>
      <w:bookmarkEnd w:id="180"/>
      <w:bookmarkEnd w:id="181"/>
      <w:bookmarkEnd w:id="182"/>
    </w:p>
    <w:p w14:paraId="454FE0DE">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（一）资格</w:t>
      </w:r>
      <w:r>
        <w:rPr>
          <w:rFonts w:hint="eastAsia" w:ascii="宋体" w:hAnsi="宋体" w:cs="宋体"/>
          <w:color w:val="auto"/>
          <w:highlight w:val="none"/>
          <w:lang w:val="en-US" w:eastAsia="zh-CN"/>
        </w:rPr>
        <w:t>性</w:t>
      </w:r>
      <w:r>
        <w:rPr>
          <w:rFonts w:hint="eastAsia" w:ascii="宋体" w:hAnsi="宋体" w:eastAsia="宋体" w:cs="宋体"/>
          <w:color w:val="auto"/>
          <w:highlight w:val="none"/>
        </w:rPr>
        <w:t>审查文件</w:t>
      </w:r>
    </w:p>
    <w:p w14:paraId="17BE9B0B">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1、磋商函…………………………………………………………………（附件1）</w:t>
      </w:r>
    </w:p>
    <w:p w14:paraId="2B6B42F5">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2、法定代表人证明书……………………………………………………（附件2）</w:t>
      </w:r>
    </w:p>
    <w:p w14:paraId="1AFCEED1">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3、法定代表人授权书……………………………………………………（附件3）</w:t>
      </w:r>
    </w:p>
    <w:p w14:paraId="616E043D">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4、供应商承诺函…………………………………………………………（附件4）</w:t>
      </w:r>
    </w:p>
    <w:p w14:paraId="3643EFAF">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5、供应商诚信承诺书……………………………………………………（附件5）</w:t>
      </w:r>
    </w:p>
    <w:p w14:paraId="4984C72F">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6、供应商资格证明文件…………………………………………………（附件6）</w:t>
      </w:r>
    </w:p>
    <w:p w14:paraId="7EAD534B">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7、财务状况、缴纳税收和社会保障资金证明…………………………（附件7）</w:t>
      </w:r>
    </w:p>
    <w:p w14:paraId="7DF3814B">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8、无重大违法记录声明…………………………………………………（附件8）</w:t>
      </w:r>
    </w:p>
    <w:p w14:paraId="162F8A09">
      <w:pPr>
        <w:spacing w:line="500" w:lineRule="exact"/>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val="zh-CN"/>
        </w:rPr>
        <w:t>具备履行合同所必需的设备和专业技术能力的证明材料</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（附件</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w:t>
      </w:r>
    </w:p>
    <w:p w14:paraId="71DF48B7">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（二）符合性审查文件</w:t>
      </w:r>
    </w:p>
    <w:p w14:paraId="0754902A">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1、竞争性磋商首次报价表………………………………………………（附件</w:t>
      </w:r>
      <w:r>
        <w:rPr>
          <w:rFonts w:hint="eastAsia" w:ascii="宋体" w:hAnsi="宋体" w:cs="宋体"/>
          <w:color w:val="auto"/>
          <w:highlight w:val="none"/>
          <w:lang w:val="en-US" w:eastAsia="zh-CN"/>
        </w:rPr>
        <w:t>10</w:t>
      </w:r>
      <w:r>
        <w:rPr>
          <w:rFonts w:hint="eastAsia" w:ascii="宋体" w:hAnsi="宋体" w:eastAsia="宋体" w:cs="宋体"/>
          <w:color w:val="auto"/>
          <w:highlight w:val="none"/>
        </w:rPr>
        <w:t>）</w:t>
      </w:r>
    </w:p>
    <w:p w14:paraId="23908738">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服务响应</w:t>
      </w:r>
      <w:r>
        <w:rPr>
          <w:rFonts w:hint="eastAsia" w:ascii="宋体" w:hAnsi="宋体" w:eastAsia="宋体" w:cs="宋体"/>
          <w:color w:val="auto"/>
          <w:highlight w:val="none"/>
        </w:rPr>
        <w:t>表……………………………………………………………（附件</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1</w:t>
      </w:r>
      <w:r>
        <w:rPr>
          <w:rFonts w:hint="eastAsia" w:ascii="宋体" w:hAnsi="宋体" w:eastAsia="宋体" w:cs="宋体"/>
          <w:color w:val="auto"/>
          <w:highlight w:val="none"/>
        </w:rPr>
        <w:t>）</w:t>
      </w:r>
    </w:p>
    <w:p w14:paraId="59FABDD8">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服务方案</w:t>
      </w:r>
      <w:r>
        <w:rPr>
          <w:rFonts w:hint="eastAsia" w:ascii="宋体" w:hAnsi="宋体" w:eastAsia="宋体" w:cs="宋体"/>
          <w:color w:val="auto"/>
          <w:highlight w:val="none"/>
        </w:rPr>
        <w:t>………………………………………………………………（附件1</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p>
    <w:p w14:paraId="55899949">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4、其他资格证明材料……………………………………………………（附件</w:t>
      </w:r>
      <w:r>
        <w:rPr>
          <w:rFonts w:hint="eastAsia" w:ascii="宋体" w:hAnsi="宋体" w:cs="宋体"/>
          <w:color w:val="auto"/>
          <w:highlight w:val="none"/>
          <w:lang w:val="en-US" w:eastAsia="zh-CN"/>
        </w:rPr>
        <w:t>13</w:t>
      </w:r>
      <w:r>
        <w:rPr>
          <w:rFonts w:hint="eastAsia" w:ascii="宋体" w:hAnsi="宋体" w:eastAsia="宋体" w:cs="宋体"/>
          <w:color w:val="auto"/>
          <w:highlight w:val="none"/>
        </w:rPr>
        <w:t>）</w:t>
      </w:r>
    </w:p>
    <w:p w14:paraId="373F5F46">
      <w:pPr>
        <w:spacing w:line="500" w:lineRule="exact"/>
        <w:ind w:firstLine="480"/>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、供应商类似业绩证明材料……………………………………………（附件</w:t>
      </w:r>
      <w:r>
        <w:rPr>
          <w:rFonts w:hint="eastAsia" w:ascii="宋体" w:hAnsi="宋体" w:cs="宋体"/>
          <w:color w:val="auto"/>
          <w:highlight w:val="none"/>
          <w:lang w:val="en-US" w:eastAsia="zh-CN"/>
        </w:rPr>
        <w:t>14</w:t>
      </w:r>
      <w:r>
        <w:rPr>
          <w:rFonts w:hint="eastAsia" w:ascii="宋体" w:hAnsi="宋体" w:eastAsia="宋体" w:cs="宋体"/>
          <w:color w:val="auto"/>
          <w:highlight w:val="none"/>
        </w:rPr>
        <w:t>）</w:t>
      </w:r>
    </w:p>
    <w:p w14:paraId="168A1F9B">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中小企业声明函………………………………………………………（附件</w:t>
      </w:r>
      <w:r>
        <w:rPr>
          <w:rFonts w:hint="eastAsia" w:ascii="宋体" w:hAnsi="宋体" w:cs="宋体"/>
          <w:color w:val="auto"/>
          <w:highlight w:val="none"/>
          <w:lang w:val="en-US" w:eastAsia="zh-CN"/>
        </w:rPr>
        <w:t>15</w:t>
      </w:r>
      <w:r>
        <w:rPr>
          <w:rFonts w:hint="eastAsia" w:ascii="宋体" w:hAnsi="宋体" w:eastAsia="宋体" w:cs="宋体"/>
          <w:color w:val="auto"/>
          <w:highlight w:val="none"/>
        </w:rPr>
        <w:t>）</w:t>
      </w:r>
    </w:p>
    <w:p w14:paraId="22022327">
      <w:pPr>
        <w:spacing w:line="500" w:lineRule="exact"/>
        <w:ind w:firstLine="480"/>
        <w:rPr>
          <w:rFonts w:hint="eastAsia" w:ascii="宋体" w:hAnsi="宋体" w:eastAsia="宋体" w:cs="宋体"/>
          <w:color w:val="auto"/>
          <w:highlight w:val="none"/>
        </w:rPr>
      </w:pPr>
      <w:r>
        <w:rPr>
          <w:rFonts w:hint="eastAsia" w:ascii="宋体" w:hAnsi="宋体" w:cs="宋体"/>
          <w:color w:val="auto"/>
          <w:highlight w:val="none"/>
          <w:lang w:val="en-US" w:eastAsia="zh-CN"/>
        </w:rPr>
        <w:t>7</w:t>
      </w:r>
      <w:r>
        <w:rPr>
          <w:rFonts w:hint="eastAsia" w:ascii="宋体" w:hAnsi="宋体" w:eastAsia="宋体" w:cs="宋体"/>
          <w:color w:val="auto"/>
          <w:highlight w:val="none"/>
        </w:rPr>
        <w:t>、残疾人福利性单位声明函……………………………………………（附件</w:t>
      </w:r>
      <w:r>
        <w:rPr>
          <w:rFonts w:hint="eastAsia" w:ascii="宋体" w:hAnsi="宋体" w:cs="宋体"/>
          <w:color w:val="auto"/>
          <w:highlight w:val="none"/>
          <w:lang w:val="en-US" w:eastAsia="zh-CN"/>
        </w:rPr>
        <w:t>16</w:t>
      </w:r>
      <w:r>
        <w:rPr>
          <w:rFonts w:hint="eastAsia" w:ascii="宋体" w:hAnsi="宋体" w:eastAsia="宋体" w:cs="宋体"/>
          <w:color w:val="auto"/>
          <w:highlight w:val="none"/>
        </w:rPr>
        <w:t>）</w:t>
      </w:r>
    </w:p>
    <w:p w14:paraId="79A99461">
      <w:pPr>
        <w:spacing w:line="500" w:lineRule="exact"/>
        <w:ind w:firstLine="480"/>
        <w:rPr>
          <w:rFonts w:hint="eastAsia" w:ascii="宋体" w:hAnsi="宋体" w:eastAsia="宋体" w:cs="宋体"/>
          <w:color w:val="auto"/>
          <w:highlight w:val="none"/>
        </w:rPr>
      </w:pPr>
      <w:r>
        <w:rPr>
          <w:rFonts w:hint="eastAsia" w:ascii="宋体" w:hAnsi="宋体" w:cs="宋体"/>
          <w:color w:val="auto"/>
          <w:highlight w:val="none"/>
          <w:lang w:val="en-US" w:eastAsia="zh-CN"/>
        </w:rPr>
        <w:t>8</w:t>
      </w:r>
      <w:r>
        <w:rPr>
          <w:rFonts w:hint="eastAsia" w:ascii="宋体" w:hAnsi="宋体" w:eastAsia="宋体" w:cs="宋体"/>
          <w:color w:val="auto"/>
          <w:highlight w:val="none"/>
        </w:rPr>
        <w:t>、供应商认为在其他方面有必要说明的事项…………………………（附件</w:t>
      </w:r>
      <w:r>
        <w:rPr>
          <w:rFonts w:hint="eastAsia" w:ascii="宋体" w:hAnsi="宋体" w:cs="宋体"/>
          <w:color w:val="auto"/>
          <w:highlight w:val="none"/>
          <w:lang w:val="en-US" w:eastAsia="zh-CN"/>
        </w:rPr>
        <w:t>17</w:t>
      </w:r>
      <w:r>
        <w:rPr>
          <w:rFonts w:hint="eastAsia" w:ascii="宋体" w:hAnsi="宋体" w:eastAsia="宋体" w:cs="宋体"/>
          <w:color w:val="auto"/>
          <w:highlight w:val="none"/>
        </w:rPr>
        <w:t>）</w:t>
      </w:r>
    </w:p>
    <w:p w14:paraId="04E38928">
      <w:pPr>
        <w:ind w:firstLine="174" w:firstLineChars="83"/>
        <w:rPr>
          <w:rFonts w:hint="eastAsia" w:ascii="宋体" w:hAnsi="宋体" w:eastAsia="宋体" w:cs="宋体"/>
          <w:b/>
          <w:color w:val="auto"/>
          <w:highlight w:val="none"/>
        </w:rPr>
      </w:pPr>
      <w:r>
        <w:rPr>
          <w:rFonts w:hint="eastAsia" w:ascii="宋体" w:hAnsi="宋体" w:eastAsia="宋体" w:cs="宋体"/>
          <w:color w:val="auto"/>
          <w:highlight w:val="none"/>
        </w:rPr>
        <w:br w:type="page"/>
      </w:r>
      <w:bookmarkEnd w:id="169"/>
      <w:bookmarkEnd w:id="170"/>
      <w:r>
        <w:rPr>
          <w:rFonts w:hint="eastAsia" w:ascii="宋体" w:hAnsi="宋体" w:eastAsia="宋体" w:cs="宋体"/>
          <w:b/>
          <w:color w:val="auto"/>
          <w:highlight w:val="none"/>
        </w:rPr>
        <w:t>（磋商响应文件封面）</w:t>
      </w:r>
    </w:p>
    <w:p w14:paraId="00C68DD3">
      <w:pPr>
        <w:spacing w:line="360" w:lineRule="auto"/>
        <w:ind w:firstLine="2088" w:firstLineChars="400"/>
        <w:rPr>
          <w:rFonts w:hint="eastAsia" w:ascii="宋体" w:hAnsi="宋体" w:eastAsia="宋体" w:cs="宋体"/>
          <w:b/>
          <w:color w:val="auto"/>
          <w:sz w:val="52"/>
          <w:szCs w:val="52"/>
          <w:highlight w:val="none"/>
        </w:rPr>
      </w:pPr>
    </w:p>
    <w:p w14:paraId="63EF250E">
      <w:pPr>
        <w:spacing w:line="360" w:lineRule="auto"/>
        <w:ind w:firstLine="2088" w:firstLineChars="40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青海省政府采购项目</w:t>
      </w:r>
    </w:p>
    <w:p w14:paraId="3A0CD999">
      <w:pPr>
        <w:spacing w:line="360" w:lineRule="auto"/>
        <w:ind w:firstLine="826" w:firstLineChars="392"/>
        <w:rPr>
          <w:rFonts w:hint="eastAsia" w:ascii="宋体" w:hAnsi="宋体" w:eastAsia="宋体" w:cs="宋体"/>
          <w:b/>
          <w:color w:val="auto"/>
          <w:szCs w:val="21"/>
          <w:highlight w:val="none"/>
        </w:rPr>
      </w:pPr>
    </w:p>
    <w:p w14:paraId="66773950">
      <w:pPr>
        <w:spacing w:line="360" w:lineRule="auto"/>
        <w:ind w:firstLine="2364" w:firstLineChars="327"/>
        <w:rPr>
          <w:rFonts w:hint="eastAsia" w:ascii="宋体" w:hAnsi="宋体" w:eastAsia="宋体" w:cs="宋体"/>
          <w:b/>
          <w:color w:val="auto"/>
          <w:sz w:val="72"/>
          <w:szCs w:val="72"/>
          <w:highlight w:val="none"/>
        </w:rPr>
      </w:pPr>
    </w:p>
    <w:p w14:paraId="53A8288E">
      <w:pPr>
        <w:spacing w:line="360" w:lineRule="auto"/>
        <w:ind w:firstLine="2364" w:firstLineChars="327"/>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磋商响应文件</w:t>
      </w:r>
    </w:p>
    <w:p w14:paraId="7A0A2062">
      <w:pPr>
        <w:adjustRightInd w:val="0"/>
        <w:spacing w:line="360" w:lineRule="auto"/>
        <w:jc w:val="center"/>
        <w:textAlignment w:val="baseline"/>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w:t>
      </w:r>
      <w:r>
        <w:rPr>
          <w:rFonts w:hint="eastAsia" w:ascii="宋体" w:hAnsi="宋体" w:cs="宋体"/>
          <w:b/>
          <w:bCs/>
          <w:color w:val="auto"/>
          <w:sz w:val="36"/>
          <w:szCs w:val="36"/>
          <w:highlight w:val="none"/>
          <w:lang w:val="en-US" w:eastAsia="zh-CN"/>
        </w:rPr>
        <w:t>性</w:t>
      </w:r>
      <w:r>
        <w:rPr>
          <w:rFonts w:hint="eastAsia" w:ascii="宋体" w:hAnsi="宋体" w:eastAsia="宋体" w:cs="宋体"/>
          <w:b/>
          <w:bCs/>
          <w:color w:val="auto"/>
          <w:sz w:val="36"/>
          <w:szCs w:val="36"/>
          <w:highlight w:val="none"/>
        </w:rPr>
        <w:t>审查文件）</w:t>
      </w:r>
    </w:p>
    <w:p w14:paraId="2FB4FD86">
      <w:pPr>
        <w:spacing w:line="360" w:lineRule="auto"/>
        <w:ind w:firstLine="689" w:firstLineChars="327"/>
        <w:rPr>
          <w:rFonts w:hint="eastAsia" w:ascii="宋体" w:hAnsi="宋体" w:eastAsia="宋体" w:cs="宋体"/>
          <w:b/>
          <w:color w:val="auto"/>
          <w:highlight w:val="none"/>
        </w:rPr>
      </w:pPr>
    </w:p>
    <w:p w14:paraId="58081D5C">
      <w:pPr>
        <w:adjustRightInd w:val="0"/>
        <w:spacing w:line="360" w:lineRule="auto"/>
        <w:textAlignment w:val="baseline"/>
        <w:rPr>
          <w:rFonts w:hint="eastAsia" w:ascii="宋体" w:hAnsi="宋体" w:eastAsia="宋体" w:cs="宋体"/>
          <w:b/>
          <w:bCs/>
          <w:color w:val="auto"/>
          <w:sz w:val="32"/>
          <w:highlight w:val="none"/>
        </w:rPr>
      </w:pPr>
    </w:p>
    <w:p w14:paraId="58099CB5">
      <w:pPr>
        <w:adjustRightInd w:val="0"/>
        <w:spacing w:line="360" w:lineRule="auto"/>
        <w:ind w:left="2512" w:right="-248" w:rightChars="-118" w:hanging="2512" w:hangingChars="695"/>
        <w:textAlignment w:val="baseline"/>
        <w:rPr>
          <w:rFonts w:hint="eastAsia" w:ascii="宋体" w:hAnsi="宋体" w:cs="宋体"/>
          <w:b/>
          <w:color w:val="auto"/>
          <w:sz w:val="36"/>
          <w:szCs w:val="36"/>
          <w:highlight w:val="none"/>
          <w:lang w:eastAsia="zh-CN"/>
        </w:rPr>
      </w:pPr>
      <w:r>
        <w:rPr>
          <w:rFonts w:hint="eastAsia" w:ascii="宋体" w:hAnsi="宋体" w:eastAsia="宋体" w:cs="宋体"/>
          <w:b/>
          <w:bCs/>
          <w:color w:val="auto"/>
          <w:sz w:val="36"/>
          <w:szCs w:val="36"/>
          <w:highlight w:val="none"/>
        </w:rPr>
        <w:t>采购项目编号</w:t>
      </w:r>
      <w:r>
        <w:rPr>
          <w:rFonts w:hint="eastAsia" w:ascii="宋体" w:hAnsi="宋体" w:eastAsia="宋体" w:cs="宋体"/>
          <w:b/>
          <w:color w:val="auto"/>
          <w:sz w:val="36"/>
          <w:szCs w:val="36"/>
          <w:highlight w:val="none"/>
        </w:rPr>
        <w:t>：</w:t>
      </w:r>
    </w:p>
    <w:p w14:paraId="3014F38D">
      <w:pPr>
        <w:adjustRightInd w:val="0"/>
        <w:spacing w:line="360" w:lineRule="auto"/>
        <w:ind w:right="-248" w:rightChars="-118"/>
        <w:textAlignment w:val="baseline"/>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采购项目名称: </w:t>
      </w:r>
    </w:p>
    <w:p w14:paraId="4FA9041F">
      <w:pPr>
        <w:adjustRightInd w:val="0"/>
        <w:spacing w:line="360" w:lineRule="auto"/>
        <w:ind w:left="-248" w:leftChars="-118" w:firstLine="1"/>
        <w:jc w:val="center"/>
        <w:textAlignment w:val="baseline"/>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p>
    <w:p w14:paraId="62187D09">
      <w:pPr>
        <w:adjustRightInd w:val="0"/>
        <w:spacing w:line="360" w:lineRule="auto"/>
        <w:ind w:left="-248" w:leftChars="-118" w:firstLine="1"/>
        <w:jc w:val="center"/>
        <w:textAlignment w:val="baseline"/>
        <w:rPr>
          <w:rFonts w:hint="eastAsia" w:ascii="宋体" w:hAnsi="宋体" w:eastAsia="宋体" w:cs="宋体"/>
          <w:b/>
          <w:bCs/>
          <w:color w:val="auto"/>
          <w:sz w:val="36"/>
          <w:szCs w:val="36"/>
          <w:highlight w:val="none"/>
        </w:rPr>
      </w:pPr>
    </w:p>
    <w:p w14:paraId="270B5196">
      <w:pPr>
        <w:adjustRightInd w:val="0"/>
        <w:spacing w:line="360" w:lineRule="auto"/>
        <w:ind w:left="-248" w:leftChars="-118" w:firstLine="1"/>
        <w:jc w:val="center"/>
        <w:textAlignment w:val="baseline"/>
        <w:rPr>
          <w:rFonts w:hint="eastAsia" w:ascii="宋体" w:hAnsi="宋体" w:eastAsia="宋体" w:cs="宋体"/>
          <w:b/>
          <w:bCs/>
          <w:color w:val="auto"/>
          <w:sz w:val="36"/>
          <w:szCs w:val="36"/>
          <w:highlight w:val="none"/>
        </w:rPr>
      </w:pPr>
    </w:p>
    <w:p w14:paraId="0F286B19">
      <w:pPr>
        <w:adjustRightInd w:val="0"/>
        <w:spacing w:line="360" w:lineRule="auto"/>
        <w:ind w:left="-248" w:leftChars="-118" w:firstLine="1"/>
        <w:jc w:val="center"/>
        <w:textAlignment w:val="baseline"/>
        <w:rPr>
          <w:rFonts w:hint="eastAsia" w:ascii="宋体" w:hAnsi="宋体" w:eastAsia="宋体" w:cs="宋体"/>
          <w:b/>
          <w:color w:val="auto"/>
          <w:sz w:val="36"/>
          <w:szCs w:val="36"/>
          <w:highlight w:val="none"/>
        </w:rPr>
      </w:pPr>
      <w:r>
        <w:rPr>
          <w:rFonts w:hint="eastAsia" w:ascii="宋体" w:hAnsi="宋体" w:eastAsia="宋体" w:cs="宋体"/>
          <w:b/>
          <w:bCs/>
          <w:color w:val="auto"/>
          <w:sz w:val="36"/>
          <w:szCs w:val="36"/>
          <w:highlight w:val="none"/>
        </w:rPr>
        <w:t>投标单位</w:t>
      </w:r>
      <w:r>
        <w:rPr>
          <w:rFonts w:hint="eastAsia" w:ascii="宋体" w:hAnsi="宋体" w:eastAsia="宋体" w:cs="宋体"/>
          <w:b/>
          <w:color w:val="auto"/>
          <w:sz w:val="36"/>
          <w:szCs w:val="36"/>
          <w:highlight w:val="none"/>
        </w:rPr>
        <w:t>：</w:t>
      </w:r>
    </w:p>
    <w:p w14:paraId="1A1390CA">
      <w:pPr>
        <w:spacing w:line="360" w:lineRule="auto"/>
        <w:ind w:firstLine="3534" w:firstLineChars="11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年  月  日</w:t>
      </w:r>
    </w:p>
    <w:p w14:paraId="7515A496">
      <w:pPr>
        <w:widowControl/>
        <w:snapToGrid w:val="0"/>
        <w:spacing w:line="360" w:lineRule="auto"/>
        <w:jc w:val="left"/>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183" w:name="_Toc1823"/>
      <w:bookmarkStart w:id="184" w:name="_Toc496626235"/>
      <w:r>
        <w:rPr>
          <w:rFonts w:hint="eastAsia" w:ascii="宋体" w:hAnsi="宋体" w:eastAsia="宋体" w:cs="宋体"/>
          <w:b/>
          <w:color w:val="auto"/>
          <w:sz w:val="28"/>
          <w:szCs w:val="28"/>
          <w:highlight w:val="none"/>
        </w:rPr>
        <w:t>附件</w:t>
      </w:r>
      <w:bookmarkStart w:id="185" w:name="_Toc325726037"/>
      <w:bookmarkStart w:id="186" w:name="_Toc376936768"/>
      <w:r>
        <w:rPr>
          <w:rFonts w:hint="eastAsia" w:ascii="宋体" w:hAnsi="宋体" w:eastAsia="宋体" w:cs="宋体"/>
          <w:b/>
          <w:color w:val="auto"/>
          <w:sz w:val="28"/>
          <w:szCs w:val="28"/>
          <w:highlight w:val="none"/>
        </w:rPr>
        <w:t>1：磋商函</w:t>
      </w:r>
      <w:bookmarkEnd w:id="183"/>
      <w:bookmarkEnd w:id="184"/>
      <w:bookmarkEnd w:id="185"/>
      <w:bookmarkEnd w:id="186"/>
    </w:p>
    <w:p w14:paraId="69DD1B4A">
      <w:pPr>
        <w:ind w:firstLine="3813" w:firstLineChars="1055"/>
        <w:rPr>
          <w:rFonts w:hint="eastAsia" w:ascii="宋体" w:hAnsi="宋体" w:eastAsia="宋体" w:cs="宋体"/>
          <w:b/>
          <w:color w:val="auto"/>
          <w:sz w:val="36"/>
          <w:szCs w:val="36"/>
          <w:highlight w:val="none"/>
        </w:rPr>
      </w:pPr>
    </w:p>
    <w:p w14:paraId="0CC75C4D">
      <w:pPr>
        <w:ind w:firstLine="3813" w:firstLineChars="105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磋商函</w:t>
      </w:r>
    </w:p>
    <w:p w14:paraId="143017F9">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b/>
          <w:color w:val="auto"/>
          <w:highlight w:val="none"/>
        </w:rPr>
      </w:pPr>
    </w:p>
    <w:p w14:paraId="06316BD0">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b/>
          <w:color w:val="auto"/>
          <w:highlight w:val="none"/>
          <w:lang w:eastAsia="zh-CN"/>
        </w:rPr>
      </w:pPr>
      <w:r>
        <w:rPr>
          <w:rFonts w:hint="eastAsia" w:ascii="宋体" w:hAnsi="宋体" w:eastAsia="宋体" w:cs="宋体"/>
          <w:b/>
          <w:color w:val="auto"/>
          <w:highlight w:val="none"/>
        </w:rPr>
        <w:t>致：</w:t>
      </w:r>
      <w:r>
        <w:rPr>
          <w:rFonts w:hint="eastAsia" w:ascii="宋体" w:hAnsi="宋体" w:eastAsia="宋体" w:cs="宋体"/>
          <w:b/>
          <w:color w:val="auto"/>
          <w:highlight w:val="none"/>
          <w:lang w:eastAsia="zh-CN"/>
        </w:rPr>
        <w:t>兰州众信招标有限公司</w:t>
      </w:r>
    </w:p>
    <w:p w14:paraId="5A3387D3">
      <w:pPr>
        <w:keepNext w:val="0"/>
        <w:keepLines w:val="0"/>
        <w:pageBreakBefore w:val="0"/>
        <w:widowControl w:val="0"/>
        <w:kinsoku/>
        <w:wordWrap/>
        <w:overflowPunct/>
        <w:topLinePunct w:val="0"/>
        <w:autoSpaceDE/>
        <w:autoSpaceDN/>
        <w:bidi w:val="0"/>
        <w:adjustRightInd w:val="0"/>
        <w:snapToGrid/>
        <w:spacing w:line="360" w:lineRule="auto"/>
        <w:ind w:firstLine="480"/>
        <w:textAlignment w:val="baseline"/>
        <w:rPr>
          <w:rFonts w:hint="eastAsia" w:ascii="宋体" w:hAnsi="宋体" w:eastAsia="宋体" w:cs="宋体"/>
          <w:color w:val="auto"/>
          <w:highlight w:val="none"/>
        </w:rPr>
      </w:pPr>
    </w:p>
    <w:p w14:paraId="42597F14">
      <w:pPr>
        <w:keepNext w:val="0"/>
        <w:keepLines w:val="0"/>
        <w:pageBreakBefore w:val="0"/>
        <w:widowControl w:val="0"/>
        <w:kinsoku/>
        <w:wordWrap/>
        <w:overflowPunct/>
        <w:topLinePunct w:val="0"/>
        <w:autoSpaceDE/>
        <w:autoSpaceDN/>
        <w:bidi w:val="0"/>
        <w:adjustRightInd w:val="0"/>
        <w:snapToGrid/>
        <w:spacing w:line="360" w:lineRule="auto"/>
        <w:ind w:firstLine="688" w:firstLineChars="328"/>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我们收到</w:t>
      </w:r>
      <w:r>
        <w:rPr>
          <w:rFonts w:hint="eastAsia" w:ascii="宋体" w:hAnsi="宋体" w:cs="宋体"/>
          <w:color w:val="auto"/>
          <w:highlight w:val="none"/>
          <w:lang w:eastAsia="zh-CN"/>
        </w:rPr>
        <w:t>兰州众信磋商（服务）2024-016号</w:t>
      </w:r>
      <w:r>
        <w:rPr>
          <w:rFonts w:hint="eastAsia" w:ascii="宋体" w:hAnsi="宋体" w:eastAsia="宋体" w:cs="宋体"/>
          <w:color w:val="auto"/>
          <w:highlight w:val="none"/>
        </w:rPr>
        <w:t xml:space="preserve">磋商文件，经研究，法定代表人（姓名、职务）正式授权（委托代理人姓名、职务）代表供应商（供应商名称、地址）提交磋商响应文件。    </w:t>
      </w:r>
    </w:p>
    <w:p w14:paraId="42237EE5">
      <w:pPr>
        <w:keepNext w:val="0"/>
        <w:keepLines w:val="0"/>
        <w:pageBreakBefore w:val="0"/>
        <w:widowControl w:val="0"/>
        <w:kinsoku/>
        <w:wordWrap/>
        <w:overflowPunct/>
        <w:topLinePunct w:val="0"/>
        <w:autoSpaceDE/>
        <w:autoSpaceDN/>
        <w:bidi w:val="0"/>
        <w:adjustRightInd w:val="0"/>
        <w:snapToGrid/>
        <w:spacing w:line="360" w:lineRule="auto"/>
        <w:ind w:firstLine="371" w:firstLineChars="177"/>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70096CFD">
      <w:pPr>
        <w:keepNext w:val="0"/>
        <w:keepLines w:val="0"/>
        <w:pageBreakBefore w:val="0"/>
        <w:widowControl w:val="0"/>
        <w:kinsoku/>
        <w:wordWrap/>
        <w:overflowPunct/>
        <w:topLinePunct w:val="0"/>
        <w:autoSpaceDE/>
        <w:autoSpaceDN/>
        <w:bidi w:val="0"/>
        <w:adjustRightInd w:val="0"/>
        <w:snapToGrid/>
        <w:spacing w:line="360" w:lineRule="auto"/>
        <w:ind w:firstLine="371" w:firstLineChars="177"/>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1、我方已详阅磋商文件的全部内容，包括澄清、修改条款等有关附件，承诺对其完全理解并接受。</w:t>
      </w:r>
    </w:p>
    <w:p w14:paraId="67BC55BC">
      <w:pPr>
        <w:keepNext w:val="0"/>
        <w:keepLines w:val="0"/>
        <w:pageBreakBefore w:val="0"/>
        <w:widowControl w:val="0"/>
        <w:kinsoku/>
        <w:wordWrap/>
        <w:overflowPunct/>
        <w:topLinePunct w:val="0"/>
        <w:autoSpaceDE/>
        <w:autoSpaceDN/>
        <w:bidi w:val="0"/>
        <w:adjustRightInd w:val="0"/>
        <w:snapToGrid/>
        <w:spacing w:line="360" w:lineRule="auto"/>
        <w:ind w:firstLine="371" w:firstLineChars="177"/>
        <w:textAlignment w:val="baseline"/>
        <w:rPr>
          <w:rFonts w:hint="eastAsia"/>
        </w:rPr>
      </w:pPr>
      <w:r>
        <w:rPr>
          <w:rFonts w:hint="eastAsia" w:ascii="宋体" w:hAnsi="宋体" w:eastAsia="宋体" w:cs="宋体"/>
          <w:color w:val="auto"/>
          <w:highlight w:val="none"/>
        </w:rPr>
        <w:t>2、磋商有效期自开标之日起60天内有效。</w:t>
      </w:r>
    </w:p>
    <w:p w14:paraId="06FD3498">
      <w:pPr>
        <w:keepNext w:val="0"/>
        <w:keepLines w:val="0"/>
        <w:pageBreakBefore w:val="0"/>
        <w:widowControl w:val="0"/>
        <w:kinsoku/>
        <w:wordWrap/>
        <w:overflowPunct/>
        <w:topLinePunct w:val="0"/>
        <w:autoSpaceDE/>
        <w:autoSpaceDN/>
        <w:bidi w:val="0"/>
        <w:adjustRightInd w:val="0"/>
        <w:snapToGrid/>
        <w:spacing w:line="360" w:lineRule="auto"/>
        <w:ind w:firstLine="371" w:firstLineChars="177"/>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3、我方同意按照贵方要求提供与磋商有关的一切数据或资料，理解并接受贵方制定的评标办法。</w:t>
      </w:r>
    </w:p>
    <w:p w14:paraId="521E5352">
      <w:pPr>
        <w:keepNext w:val="0"/>
        <w:keepLines w:val="0"/>
        <w:pageBreakBefore w:val="0"/>
        <w:widowControl w:val="0"/>
        <w:kinsoku/>
        <w:wordWrap/>
        <w:overflowPunct/>
        <w:topLinePunct w:val="0"/>
        <w:autoSpaceDE/>
        <w:autoSpaceDN/>
        <w:bidi w:val="0"/>
        <w:adjustRightInd w:val="0"/>
        <w:snapToGrid/>
        <w:spacing w:line="360" w:lineRule="auto"/>
        <w:ind w:firstLine="371" w:firstLineChars="177"/>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4、与本磋商有关的一切正式往来通讯请寄：</w:t>
      </w:r>
    </w:p>
    <w:p w14:paraId="431DFED4">
      <w:pPr>
        <w:keepNext w:val="0"/>
        <w:keepLines w:val="0"/>
        <w:pageBreakBefore w:val="0"/>
        <w:widowControl w:val="0"/>
        <w:kinsoku/>
        <w:wordWrap/>
        <w:overflowPunct/>
        <w:topLinePunct w:val="0"/>
        <w:autoSpaceDE/>
        <w:autoSpaceDN/>
        <w:bidi w:val="0"/>
        <w:adjustRightInd w:val="0"/>
        <w:snapToGrid/>
        <w:spacing w:line="360" w:lineRule="auto"/>
        <w:ind w:firstLine="371" w:firstLineChars="177"/>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地址：_______________   邮编：______________</w:t>
      </w:r>
    </w:p>
    <w:p w14:paraId="7F33EC81">
      <w:pPr>
        <w:keepNext w:val="0"/>
        <w:keepLines w:val="0"/>
        <w:pageBreakBefore w:val="0"/>
        <w:widowControl w:val="0"/>
        <w:kinsoku/>
        <w:wordWrap/>
        <w:overflowPunct/>
        <w:topLinePunct w:val="0"/>
        <w:autoSpaceDE/>
        <w:autoSpaceDN/>
        <w:bidi w:val="0"/>
        <w:adjustRightInd w:val="0"/>
        <w:snapToGrid/>
        <w:spacing w:line="360" w:lineRule="auto"/>
        <w:ind w:firstLine="371" w:firstLineChars="177"/>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电话：_______________   传真：______________</w:t>
      </w:r>
    </w:p>
    <w:p w14:paraId="46CF1986">
      <w:pPr>
        <w:keepNext w:val="0"/>
        <w:keepLines w:val="0"/>
        <w:pageBreakBefore w:val="0"/>
        <w:widowControl w:val="0"/>
        <w:kinsoku/>
        <w:wordWrap/>
        <w:overflowPunct/>
        <w:topLinePunct w:val="0"/>
        <w:autoSpaceDE/>
        <w:autoSpaceDN/>
        <w:bidi w:val="0"/>
        <w:adjustRightInd w:val="0"/>
        <w:snapToGrid/>
        <w:spacing w:line="360" w:lineRule="auto"/>
        <w:ind w:firstLine="371" w:firstLineChars="177"/>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法定代表人姓名： ___________ 职务：____________</w:t>
      </w:r>
    </w:p>
    <w:p w14:paraId="48D753EC">
      <w:pPr>
        <w:adjustRightInd w:val="0"/>
        <w:ind w:firstLine="480"/>
        <w:textAlignment w:val="baseline"/>
        <w:rPr>
          <w:rFonts w:hint="eastAsia" w:ascii="宋体" w:hAnsi="宋体" w:eastAsia="宋体" w:cs="宋体"/>
          <w:color w:val="auto"/>
          <w:highlight w:val="none"/>
        </w:rPr>
      </w:pPr>
    </w:p>
    <w:p w14:paraId="4E3A3FDB">
      <w:pPr>
        <w:ind w:firstLine="480"/>
        <w:jc w:val="center"/>
        <w:rPr>
          <w:rFonts w:hint="eastAsia" w:ascii="宋体" w:hAnsi="宋体" w:eastAsia="宋体" w:cs="宋体"/>
          <w:color w:val="auto"/>
          <w:highlight w:val="none"/>
        </w:rPr>
      </w:pPr>
    </w:p>
    <w:p w14:paraId="0442FA8F">
      <w:pPr>
        <w:ind w:firstLine="480"/>
        <w:jc w:val="center"/>
        <w:rPr>
          <w:rFonts w:hint="eastAsia" w:ascii="宋体" w:hAnsi="宋体" w:eastAsia="宋体" w:cs="宋体"/>
          <w:color w:val="auto"/>
          <w:highlight w:val="none"/>
        </w:rPr>
      </w:pPr>
    </w:p>
    <w:p w14:paraId="79485D60">
      <w:pPr>
        <w:adjustRightInd w:val="0"/>
        <w:textAlignment w:val="baseline"/>
        <w:rPr>
          <w:rFonts w:hint="eastAsia" w:ascii="宋体" w:hAnsi="宋体" w:eastAsia="宋体" w:cs="宋体"/>
          <w:color w:val="auto"/>
          <w:sz w:val="28"/>
          <w:szCs w:val="28"/>
          <w:highlight w:val="none"/>
        </w:rPr>
      </w:pPr>
    </w:p>
    <w:p w14:paraId="3B801112">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sz w:val="28"/>
          <w:szCs w:val="28"/>
          <w:highlight w:val="none"/>
        </w:rPr>
      </w:pPr>
    </w:p>
    <w:p w14:paraId="3A355C6E">
      <w:pPr>
        <w:keepNext w:val="0"/>
        <w:keepLines w:val="0"/>
        <w:pageBreakBefore w:val="0"/>
        <w:widowControl w:val="0"/>
        <w:kinsoku/>
        <w:wordWrap/>
        <w:overflowPunct/>
        <w:topLinePunct w:val="0"/>
        <w:autoSpaceDE/>
        <w:autoSpaceDN/>
        <w:bidi w:val="0"/>
        <w:snapToGrid/>
        <w:spacing w:line="360" w:lineRule="auto"/>
        <w:ind w:firstLine="560"/>
        <w:jc w:val="center"/>
        <w:rPr>
          <w:rFonts w:hint="eastAsia" w:ascii="宋体" w:hAnsi="宋体" w:eastAsia="宋体" w:cs="宋体"/>
          <w:b/>
          <w:color w:val="auto"/>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color w:val="auto"/>
          <w:highlight w:val="none"/>
        </w:rPr>
        <w:t>投标单位：</w:t>
      </w:r>
      <w:r>
        <w:rPr>
          <w:rFonts w:hint="eastAsia" w:ascii="宋体" w:hAnsi="宋体" w:eastAsia="宋体" w:cs="宋体"/>
          <w:color w:val="auto"/>
          <w:kern w:val="0"/>
          <w:highlight w:val="none"/>
          <w:u w:val="single"/>
        </w:rPr>
        <w:t xml:space="preserve">       </w:t>
      </w:r>
      <w:r>
        <w:rPr>
          <w:rFonts w:hint="eastAsia" w:ascii="宋体" w:hAnsi="宋体" w:eastAsia="宋体" w:cs="宋体"/>
          <w:b/>
          <w:color w:val="auto"/>
          <w:highlight w:val="none"/>
        </w:rPr>
        <w:t>（公章）</w:t>
      </w:r>
    </w:p>
    <w:p w14:paraId="26FB2FC4">
      <w:pPr>
        <w:keepNext w:val="0"/>
        <w:keepLines w:val="0"/>
        <w:pageBreakBefore w:val="0"/>
        <w:widowControl w:val="0"/>
        <w:kinsoku/>
        <w:wordWrap/>
        <w:overflowPunct/>
        <w:topLinePunct w:val="0"/>
        <w:autoSpaceDE/>
        <w:autoSpaceDN/>
        <w:bidi w:val="0"/>
        <w:snapToGrid/>
        <w:spacing w:line="360" w:lineRule="auto"/>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法定代表人或委托代理人：</w:t>
      </w:r>
      <w:r>
        <w:rPr>
          <w:rFonts w:hint="eastAsia" w:ascii="宋体" w:hAnsi="宋体" w:eastAsia="宋体" w:cs="宋体"/>
          <w:color w:val="auto"/>
          <w:kern w:val="0"/>
          <w:highlight w:val="none"/>
          <w:u w:val="single"/>
        </w:rPr>
        <w:t xml:space="preserve">       </w:t>
      </w:r>
      <w:r>
        <w:rPr>
          <w:rFonts w:hint="eastAsia" w:ascii="宋体" w:hAnsi="宋体" w:eastAsia="宋体" w:cs="宋体"/>
          <w:b/>
          <w:color w:val="auto"/>
          <w:highlight w:val="none"/>
        </w:rPr>
        <w:t>（签字或盖章）</w:t>
      </w:r>
    </w:p>
    <w:p w14:paraId="5BF69941">
      <w:pPr>
        <w:keepNext w:val="0"/>
        <w:keepLines w:val="0"/>
        <w:pageBreakBefore w:val="0"/>
        <w:widowControl w:val="0"/>
        <w:kinsoku/>
        <w:wordWrap/>
        <w:overflowPunct/>
        <w:topLinePunct w:val="0"/>
        <w:autoSpaceDE/>
        <w:autoSpaceDN/>
        <w:bidi w:val="0"/>
        <w:snapToGrid/>
        <w:spacing w:line="360" w:lineRule="auto"/>
        <w:ind w:firstLine="480"/>
        <w:jc w:val="center"/>
        <w:rPr>
          <w:rFonts w:hint="eastAsia" w:ascii="宋体" w:hAnsi="宋体" w:eastAsia="宋体" w:cs="宋体"/>
          <w:color w:val="auto"/>
          <w:highlight w:val="none"/>
        </w:rPr>
      </w:pPr>
    </w:p>
    <w:p w14:paraId="5039AEAF">
      <w:pPr>
        <w:keepNext w:val="0"/>
        <w:keepLines w:val="0"/>
        <w:pageBreakBefore w:val="0"/>
        <w:widowControl w:val="0"/>
        <w:kinsoku/>
        <w:wordWrap/>
        <w:overflowPunct/>
        <w:topLinePunct w:val="0"/>
        <w:autoSpaceDE/>
        <w:autoSpaceDN/>
        <w:bidi w:val="0"/>
        <w:snapToGrid/>
        <w:spacing w:line="360" w:lineRule="auto"/>
        <w:ind w:firstLine="480"/>
        <w:jc w:val="center"/>
        <w:rPr>
          <w:rFonts w:hint="eastAsia" w:ascii="宋体" w:hAnsi="宋体" w:eastAsia="宋体" w:cs="宋体"/>
          <w:b/>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highlight w:val="none"/>
        </w:rPr>
        <w:t xml:space="preserve"> 年   月  日</w:t>
      </w:r>
    </w:p>
    <w:p w14:paraId="6C140DCC">
      <w:pPr>
        <w:ind w:firstLine="482"/>
        <w:jc w:val="center"/>
        <w:rPr>
          <w:rFonts w:hint="eastAsia" w:ascii="宋体" w:hAnsi="宋体" w:eastAsia="宋体" w:cs="宋体"/>
          <w:b/>
          <w:color w:val="auto"/>
          <w:highlight w:val="none"/>
        </w:rPr>
      </w:pPr>
    </w:p>
    <w:p w14:paraId="43899961">
      <w:pPr>
        <w:widowControl/>
        <w:snapToGrid w:val="0"/>
        <w:spacing w:line="360" w:lineRule="auto"/>
        <w:outlineLvl w:val="1"/>
        <w:rPr>
          <w:rFonts w:hint="eastAsia" w:ascii="宋体" w:hAnsi="宋体" w:eastAsia="宋体" w:cs="宋体"/>
          <w:b/>
          <w:color w:val="auto"/>
          <w:sz w:val="28"/>
          <w:szCs w:val="28"/>
          <w:highlight w:val="none"/>
        </w:rPr>
      </w:pPr>
      <w:bookmarkStart w:id="187" w:name="_Toc21545"/>
      <w:bookmarkStart w:id="188" w:name="_Toc496626236"/>
      <w:r>
        <w:rPr>
          <w:rFonts w:hint="eastAsia" w:ascii="宋体" w:hAnsi="宋体" w:eastAsia="宋体" w:cs="宋体"/>
          <w:b/>
          <w:color w:val="auto"/>
          <w:sz w:val="28"/>
          <w:szCs w:val="28"/>
          <w:highlight w:val="none"/>
        </w:rPr>
        <w:t>附件</w:t>
      </w:r>
      <w:bookmarkStart w:id="189" w:name="_Toc376936774"/>
      <w:bookmarkStart w:id="190" w:name="_Toc325726043"/>
      <w:bookmarkStart w:id="191" w:name="_Toc325726042"/>
      <w:bookmarkStart w:id="192" w:name="_Toc376936773"/>
      <w:r>
        <w:rPr>
          <w:rFonts w:hint="eastAsia" w:ascii="宋体" w:hAnsi="宋体" w:eastAsia="宋体" w:cs="宋体"/>
          <w:b/>
          <w:color w:val="auto"/>
          <w:sz w:val="28"/>
          <w:szCs w:val="28"/>
          <w:highlight w:val="none"/>
        </w:rPr>
        <w:t>2：法定代表人证明书</w:t>
      </w:r>
      <w:bookmarkEnd w:id="187"/>
      <w:bookmarkEnd w:id="188"/>
      <w:bookmarkEnd w:id="189"/>
      <w:bookmarkEnd w:id="190"/>
    </w:p>
    <w:p w14:paraId="6B8BA3F6">
      <w:pPr>
        <w:ind w:firstLine="723"/>
        <w:jc w:val="center"/>
        <w:rPr>
          <w:rFonts w:hint="eastAsia" w:ascii="宋体" w:hAnsi="宋体" w:eastAsia="宋体" w:cs="宋体"/>
          <w:b/>
          <w:bCs/>
          <w:color w:val="auto"/>
          <w:sz w:val="36"/>
          <w:szCs w:val="36"/>
          <w:highlight w:val="none"/>
        </w:rPr>
      </w:pPr>
    </w:p>
    <w:p w14:paraId="33E8B766">
      <w:pPr>
        <w:ind w:firstLine="723"/>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法定代表人证明书</w:t>
      </w:r>
    </w:p>
    <w:p w14:paraId="0237B4BF">
      <w:pPr>
        <w:rPr>
          <w:rFonts w:hint="eastAsia" w:ascii="宋体" w:hAnsi="宋体" w:eastAsia="宋体" w:cs="宋体"/>
          <w:b/>
          <w:bCs/>
          <w:color w:val="auto"/>
          <w:highlight w:val="none"/>
        </w:rPr>
      </w:pPr>
    </w:p>
    <w:p w14:paraId="7DFEA41C">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致：</w:t>
      </w:r>
      <w:r>
        <w:rPr>
          <w:rFonts w:hint="eastAsia" w:ascii="宋体" w:hAnsi="宋体" w:eastAsia="宋体" w:cs="宋体"/>
          <w:b/>
          <w:bCs/>
          <w:color w:val="auto"/>
          <w:highlight w:val="none"/>
          <w:lang w:eastAsia="zh-CN"/>
        </w:rPr>
        <w:t>兰州众信招标有限公司</w:t>
      </w:r>
    </w:p>
    <w:p w14:paraId="23100B64">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highlight w:val="none"/>
        </w:rPr>
      </w:pPr>
    </w:p>
    <w:p w14:paraId="59A539C1">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（法定代表人姓名）  </w:t>
      </w:r>
      <w:r>
        <w:rPr>
          <w:rFonts w:hint="eastAsia" w:ascii="宋体" w:hAnsi="宋体" w:eastAsia="宋体" w:cs="宋体"/>
          <w:color w:val="auto"/>
          <w:kern w:val="0"/>
          <w:highlight w:val="none"/>
        </w:rPr>
        <w:t>现任我单位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职务，为法定代表人，特此证明。</w:t>
      </w:r>
    </w:p>
    <w:p w14:paraId="31F62FAB">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highlight w:val="none"/>
        </w:rPr>
      </w:pPr>
    </w:p>
    <w:p w14:paraId="485DE475">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法定代表人基本情况：</w:t>
      </w:r>
    </w:p>
    <w:p w14:paraId="6BD3FB67">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性别：</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年龄：</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民族：</w:t>
      </w:r>
      <w:r>
        <w:rPr>
          <w:rFonts w:hint="eastAsia" w:ascii="宋体" w:hAnsi="宋体" w:eastAsia="宋体" w:cs="宋体"/>
          <w:color w:val="auto"/>
          <w:kern w:val="0"/>
          <w:highlight w:val="none"/>
          <w:u w:val="single"/>
        </w:rPr>
        <w:t xml:space="preserve">     </w:t>
      </w:r>
    </w:p>
    <w:p w14:paraId="2CC4ED17">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地址：</w:t>
      </w:r>
      <w:r>
        <w:rPr>
          <w:rFonts w:hint="eastAsia" w:ascii="宋体" w:hAnsi="宋体" w:eastAsia="宋体" w:cs="宋体"/>
          <w:color w:val="auto"/>
          <w:highlight w:val="none"/>
          <w:u w:val="single"/>
        </w:rPr>
        <w:t xml:space="preserve">                 </w:t>
      </w:r>
    </w:p>
    <w:p w14:paraId="33F6BC1F">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highlight w:val="none"/>
          <w:u w:val="single"/>
        </w:rPr>
      </w:pPr>
      <w:r>
        <w:rPr>
          <w:rFonts w:hint="eastAsia" w:ascii="宋体" w:hAnsi="宋体" w:eastAsia="宋体" w:cs="宋体"/>
          <w:color w:val="auto"/>
          <w:kern w:val="0"/>
          <w:highlight w:val="none"/>
        </w:rPr>
        <w:t>身份证号码：</w:t>
      </w:r>
      <w:r>
        <w:rPr>
          <w:rFonts w:hint="eastAsia" w:ascii="宋体" w:hAnsi="宋体" w:eastAsia="宋体" w:cs="宋体"/>
          <w:color w:val="auto"/>
          <w:highlight w:val="none"/>
          <w:u w:val="single"/>
        </w:rPr>
        <w:t xml:space="preserve">                 </w:t>
      </w:r>
    </w:p>
    <w:p w14:paraId="23D8A20B">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附法定代表人第二代身份证双面扫描（或复印）件</w:t>
      </w:r>
    </w:p>
    <w:p w14:paraId="205A6801">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highlight w:val="none"/>
        </w:rPr>
      </w:pPr>
    </w:p>
    <w:p w14:paraId="312CE89B">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highlight w:val="none"/>
        </w:rPr>
      </w:pPr>
    </w:p>
    <w:p w14:paraId="5089E3C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highlight w:val="none"/>
        </w:rPr>
      </w:pPr>
    </w:p>
    <w:p w14:paraId="2E8A01CA">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highlight w:val="none"/>
        </w:rPr>
      </w:pPr>
    </w:p>
    <w:p w14:paraId="0187BB9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highlight w:val="none"/>
        </w:rPr>
      </w:pPr>
    </w:p>
    <w:p w14:paraId="05D52E04">
      <w:pPr>
        <w:keepNext w:val="0"/>
        <w:keepLines w:val="0"/>
        <w:pageBreakBefore w:val="0"/>
        <w:widowControl w:val="0"/>
        <w:kinsoku/>
        <w:wordWrap/>
        <w:overflowPunct/>
        <w:topLinePunct w:val="0"/>
        <w:bidi w:val="0"/>
        <w:snapToGrid/>
        <w:spacing w:line="360" w:lineRule="auto"/>
        <w:ind w:firstLine="3584" w:firstLineChars="17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投标单位：</w:t>
      </w:r>
      <w:r>
        <w:rPr>
          <w:rFonts w:hint="eastAsia" w:ascii="宋体" w:hAnsi="宋体" w:eastAsia="宋体" w:cs="宋体"/>
          <w:color w:val="auto"/>
          <w:kern w:val="0"/>
          <w:highlight w:val="none"/>
          <w:u w:val="single"/>
        </w:rPr>
        <w:t xml:space="preserve">       </w:t>
      </w:r>
      <w:r>
        <w:rPr>
          <w:rFonts w:hint="eastAsia" w:ascii="宋体" w:hAnsi="宋体" w:eastAsia="宋体" w:cs="宋体"/>
          <w:b/>
          <w:color w:val="auto"/>
          <w:highlight w:val="none"/>
        </w:rPr>
        <w:t>（公章）</w:t>
      </w:r>
    </w:p>
    <w:p w14:paraId="50A0B086">
      <w:pPr>
        <w:keepNext w:val="0"/>
        <w:keepLines w:val="0"/>
        <w:pageBreakBefore w:val="0"/>
        <w:widowControl w:val="0"/>
        <w:kinsoku/>
        <w:wordWrap/>
        <w:overflowPunct/>
        <w:topLinePunct w:val="0"/>
        <w:bidi w:val="0"/>
        <w:snapToGrid/>
        <w:spacing w:line="360" w:lineRule="auto"/>
        <w:ind w:firstLine="482"/>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年   月   日</w:t>
      </w:r>
    </w:p>
    <w:bookmarkEnd w:id="191"/>
    <w:bookmarkEnd w:id="192"/>
    <w:p w14:paraId="75ADF54E">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highlight w:val="none"/>
        </w:rPr>
      </w:pPr>
    </w:p>
    <w:p w14:paraId="2B2319C7">
      <w:pPr>
        <w:rPr>
          <w:rFonts w:hint="eastAsia" w:ascii="宋体" w:hAnsi="宋体" w:eastAsia="宋体" w:cs="宋体"/>
          <w:b/>
          <w:bCs/>
          <w:color w:val="auto"/>
          <w:highlight w:val="none"/>
        </w:rPr>
      </w:pPr>
    </w:p>
    <w:p w14:paraId="5207F1B2">
      <w:pPr>
        <w:widowControl/>
        <w:snapToGrid w:val="0"/>
        <w:spacing w:line="360" w:lineRule="auto"/>
        <w:outlineLvl w:val="1"/>
        <w:rPr>
          <w:rFonts w:hint="eastAsia" w:ascii="宋体" w:hAnsi="宋体" w:eastAsia="宋体" w:cs="宋体"/>
          <w:b/>
          <w:color w:val="auto"/>
          <w:sz w:val="28"/>
          <w:szCs w:val="28"/>
          <w:highlight w:val="none"/>
        </w:rPr>
      </w:pPr>
      <w:bookmarkStart w:id="193" w:name="_Toc201287639"/>
      <w:bookmarkStart w:id="194" w:name="_Toc324756736"/>
      <w:bookmarkStart w:id="195" w:name="_Toc496626237"/>
    </w:p>
    <w:p w14:paraId="5F3FF9FE">
      <w:pPr>
        <w:widowControl/>
        <w:snapToGrid w:val="0"/>
        <w:spacing w:line="360" w:lineRule="auto"/>
        <w:outlineLvl w:val="1"/>
        <w:rPr>
          <w:rFonts w:hint="eastAsia" w:ascii="宋体" w:hAnsi="宋体" w:eastAsia="宋体" w:cs="宋体"/>
          <w:b/>
          <w:color w:val="auto"/>
          <w:sz w:val="28"/>
          <w:szCs w:val="28"/>
          <w:highlight w:val="none"/>
        </w:rPr>
      </w:pPr>
    </w:p>
    <w:p w14:paraId="544F6E1A">
      <w:pPr>
        <w:pStyle w:val="4"/>
        <w:rPr>
          <w:rFonts w:hint="eastAsia" w:ascii="宋体" w:hAnsi="宋体" w:eastAsia="宋体" w:cs="宋体"/>
          <w:b/>
          <w:color w:val="auto"/>
          <w:sz w:val="28"/>
          <w:szCs w:val="28"/>
          <w:highlight w:val="none"/>
        </w:rPr>
      </w:pPr>
    </w:p>
    <w:p w14:paraId="605AA7E2">
      <w:pPr>
        <w:pStyle w:val="4"/>
        <w:rPr>
          <w:rFonts w:hint="eastAsia" w:ascii="宋体" w:hAnsi="宋体" w:eastAsia="宋体" w:cs="宋体"/>
          <w:b/>
          <w:color w:val="auto"/>
          <w:sz w:val="28"/>
          <w:szCs w:val="28"/>
          <w:highlight w:val="none"/>
        </w:rPr>
      </w:pPr>
    </w:p>
    <w:p w14:paraId="4AC7787B">
      <w:pPr>
        <w:pStyle w:val="4"/>
        <w:rPr>
          <w:rFonts w:hint="eastAsia" w:ascii="宋体" w:hAnsi="宋体" w:eastAsia="宋体" w:cs="宋体"/>
          <w:b/>
          <w:color w:val="auto"/>
          <w:sz w:val="28"/>
          <w:szCs w:val="28"/>
          <w:highlight w:val="none"/>
        </w:rPr>
      </w:pPr>
    </w:p>
    <w:p w14:paraId="76617DA1">
      <w:pPr>
        <w:widowControl/>
        <w:snapToGrid w:val="0"/>
        <w:spacing w:line="360" w:lineRule="auto"/>
        <w:outlineLvl w:val="1"/>
        <w:rPr>
          <w:rFonts w:hint="eastAsia" w:ascii="宋体" w:hAnsi="宋体" w:eastAsia="宋体" w:cs="宋体"/>
          <w:b/>
          <w:color w:val="auto"/>
          <w:sz w:val="28"/>
          <w:szCs w:val="28"/>
          <w:highlight w:val="none"/>
        </w:rPr>
      </w:pPr>
    </w:p>
    <w:p w14:paraId="1A323D74">
      <w:pPr>
        <w:widowControl/>
        <w:snapToGrid w:val="0"/>
        <w:spacing w:line="360" w:lineRule="auto"/>
        <w:outlineLvl w:val="1"/>
        <w:rPr>
          <w:rFonts w:hint="eastAsia" w:ascii="宋体" w:hAnsi="宋体" w:eastAsia="宋体" w:cs="宋体"/>
          <w:b/>
          <w:color w:val="auto"/>
          <w:sz w:val="28"/>
          <w:szCs w:val="28"/>
          <w:highlight w:val="none"/>
        </w:rPr>
      </w:pPr>
      <w:bookmarkStart w:id="196" w:name="_Toc30141"/>
      <w:r>
        <w:rPr>
          <w:rFonts w:hint="eastAsia" w:ascii="宋体" w:hAnsi="宋体" w:eastAsia="宋体" w:cs="宋体"/>
          <w:b/>
          <w:color w:val="auto"/>
          <w:sz w:val="28"/>
          <w:szCs w:val="28"/>
          <w:highlight w:val="none"/>
        </w:rPr>
        <w:t>附件</w:t>
      </w:r>
      <w:bookmarkEnd w:id="193"/>
      <w:bookmarkEnd w:id="194"/>
      <w:r>
        <w:rPr>
          <w:rFonts w:hint="eastAsia" w:ascii="宋体" w:hAnsi="宋体" w:eastAsia="宋体" w:cs="宋体"/>
          <w:b/>
          <w:color w:val="auto"/>
          <w:sz w:val="28"/>
          <w:szCs w:val="28"/>
          <w:highlight w:val="none"/>
        </w:rPr>
        <w:t>3：法定代表人授权书</w:t>
      </w:r>
      <w:bookmarkEnd w:id="195"/>
      <w:bookmarkEnd w:id="196"/>
    </w:p>
    <w:p w14:paraId="62F39217">
      <w:pPr>
        <w:ind w:firstLine="3813" w:firstLineChars="1055"/>
        <w:rPr>
          <w:rFonts w:hint="eastAsia" w:ascii="宋体" w:hAnsi="宋体" w:eastAsia="宋体" w:cs="宋体"/>
          <w:b/>
          <w:color w:val="auto"/>
          <w:sz w:val="36"/>
          <w:szCs w:val="36"/>
          <w:highlight w:val="none"/>
        </w:rPr>
      </w:pPr>
    </w:p>
    <w:p w14:paraId="499B1F47">
      <w:pPr>
        <w:ind w:firstLine="2909" w:firstLineChars="80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法定代表人授权书</w:t>
      </w:r>
    </w:p>
    <w:p w14:paraId="1FBC2498">
      <w:pPr>
        <w:ind w:firstLine="173" w:firstLineChars="82"/>
        <w:rPr>
          <w:rFonts w:hint="eastAsia" w:ascii="宋体" w:hAnsi="宋体" w:eastAsia="宋体" w:cs="宋体"/>
          <w:b/>
          <w:bCs/>
          <w:color w:val="auto"/>
          <w:highlight w:val="none"/>
        </w:rPr>
      </w:pPr>
    </w:p>
    <w:p w14:paraId="1A70B2F8">
      <w:pPr>
        <w:keepNext w:val="0"/>
        <w:keepLines w:val="0"/>
        <w:pageBreakBefore w:val="0"/>
        <w:widowControl w:val="0"/>
        <w:kinsoku/>
        <w:wordWrap/>
        <w:overflowPunct/>
        <w:topLinePunct w:val="0"/>
        <w:bidi w:val="0"/>
        <w:snapToGrid/>
        <w:spacing w:line="360" w:lineRule="auto"/>
        <w:ind w:firstLine="173" w:firstLineChars="82"/>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致：</w:t>
      </w:r>
      <w:r>
        <w:rPr>
          <w:rFonts w:hint="eastAsia" w:ascii="宋体" w:hAnsi="宋体" w:eastAsia="宋体" w:cs="宋体"/>
          <w:b/>
          <w:bCs/>
          <w:color w:val="auto"/>
          <w:highlight w:val="none"/>
          <w:lang w:eastAsia="zh-CN"/>
        </w:rPr>
        <w:t>兰州众信招标有限公司</w:t>
      </w:r>
    </w:p>
    <w:p w14:paraId="5C02C79F">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u w:val="single"/>
        </w:rPr>
      </w:pPr>
    </w:p>
    <w:p w14:paraId="6571FB03">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（供应商名称）  </w:t>
      </w:r>
      <w:r>
        <w:rPr>
          <w:rFonts w:hint="eastAsia" w:ascii="宋体" w:hAnsi="宋体" w:eastAsia="宋体" w:cs="宋体"/>
          <w:color w:val="auto"/>
          <w:highlight w:val="none"/>
        </w:rPr>
        <w:t>系中华人民共和国合法企业，法定地址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0D67B5C">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（法定代表人姓名）   </w:t>
      </w:r>
      <w:r>
        <w:rPr>
          <w:rFonts w:hint="eastAsia" w:ascii="宋体" w:hAnsi="宋体" w:eastAsia="宋体" w:cs="宋体"/>
          <w:color w:val="auto"/>
          <w:highlight w:val="none"/>
        </w:rPr>
        <w:t>特授权</w:t>
      </w:r>
      <w:r>
        <w:rPr>
          <w:rFonts w:hint="eastAsia" w:ascii="宋体" w:hAnsi="宋体" w:eastAsia="宋体" w:cs="宋体"/>
          <w:color w:val="auto"/>
          <w:highlight w:val="none"/>
          <w:u w:val="single"/>
        </w:rPr>
        <w:t xml:space="preserve"> （委托代理人姓名）    </w:t>
      </w:r>
      <w:r>
        <w:rPr>
          <w:rFonts w:hint="eastAsia" w:ascii="宋体" w:hAnsi="宋体" w:eastAsia="宋体" w:cs="宋体"/>
          <w:color w:val="auto"/>
          <w:highlight w:val="none"/>
        </w:rPr>
        <w:t>代表我单位全权办理针对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项目的磋商、答疑等具体工作，并签署全部有关的文件、资料。</w:t>
      </w:r>
    </w:p>
    <w:p w14:paraId="08514A5C">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我单位对被授权人的签名负全部责任。</w:t>
      </w:r>
    </w:p>
    <w:p w14:paraId="5195B88F">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在撤销授权的书面通知以前，本授权书一直有效，被授权人签署的所有文件（在授权书有效期内签署的）不因授权的撤销而失效。</w:t>
      </w:r>
    </w:p>
    <w:p w14:paraId="5660D0A3">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rPr>
      </w:pPr>
    </w:p>
    <w:p w14:paraId="60AA8620">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授权期限：自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6880F2A1">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被授权人联系电话：</w:t>
      </w:r>
      <w:r>
        <w:rPr>
          <w:rFonts w:hint="eastAsia" w:ascii="宋体" w:hAnsi="宋体" w:eastAsia="宋体" w:cs="宋体"/>
          <w:color w:val="auto"/>
          <w:highlight w:val="none"/>
          <w:u w:val="single"/>
        </w:rPr>
        <w:t xml:space="preserve">           </w:t>
      </w:r>
    </w:p>
    <w:p w14:paraId="58AA1030">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被授权人（委托代理人）签字：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授权人（法定代表人）签字</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签章：</w:t>
      </w:r>
      <w:r>
        <w:rPr>
          <w:rFonts w:hint="eastAsia" w:ascii="宋体" w:hAnsi="宋体" w:eastAsia="宋体" w:cs="宋体"/>
          <w:color w:val="auto"/>
          <w:highlight w:val="none"/>
          <w:u w:val="single"/>
        </w:rPr>
        <w:t xml:space="preserve">          </w:t>
      </w:r>
    </w:p>
    <w:p w14:paraId="17721D26">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w:t>
      </w:r>
      <w:r>
        <w:rPr>
          <w:rFonts w:hint="eastAsia" w:ascii="宋体" w:hAnsi="宋体" w:eastAsia="宋体" w:cs="宋体"/>
          <w:color w:val="auto"/>
          <w:highlight w:val="none"/>
          <w:u w:val="single"/>
        </w:rPr>
        <w:t xml:space="preserve">            </w:t>
      </w:r>
    </w:p>
    <w:p w14:paraId="53536CD5">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附被授权人第二代身份证双面扫描（或复印）件</w:t>
      </w:r>
    </w:p>
    <w:p w14:paraId="123344FD">
      <w:pPr>
        <w:keepNext w:val="0"/>
        <w:keepLines w:val="0"/>
        <w:pageBreakBefore w:val="0"/>
        <w:widowControl w:val="0"/>
        <w:kinsoku/>
        <w:wordWrap/>
        <w:overflowPunct/>
        <w:topLinePunct w:val="0"/>
        <w:bidi w:val="0"/>
        <w:snapToGrid/>
        <w:spacing w:line="360" w:lineRule="auto"/>
        <w:ind w:firstLine="480"/>
        <w:jc w:val="both"/>
        <w:textAlignment w:val="auto"/>
        <w:rPr>
          <w:rFonts w:hint="eastAsia" w:ascii="宋体" w:hAnsi="宋体" w:eastAsia="宋体" w:cs="宋体"/>
          <w:color w:val="auto"/>
          <w:highlight w:val="none"/>
        </w:rPr>
      </w:pPr>
    </w:p>
    <w:p w14:paraId="0A8B749E">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highlight w:val="none"/>
        </w:rPr>
      </w:pPr>
    </w:p>
    <w:p w14:paraId="37C718E2">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highlight w:val="none"/>
        </w:rPr>
      </w:pPr>
    </w:p>
    <w:p w14:paraId="2A68BD0F">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highlight w:val="none"/>
        </w:rPr>
      </w:pPr>
    </w:p>
    <w:p w14:paraId="2956FF5B">
      <w:pPr>
        <w:keepNext w:val="0"/>
        <w:keepLines w:val="0"/>
        <w:pageBreakBefore w:val="0"/>
        <w:widowControl w:val="0"/>
        <w:kinsoku/>
        <w:wordWrap/>
        <w:overflowPunct/>
        <w:topLinePunct w:val="0"/>
        <w:bidi w:val="0"/>
        <w:snapToGrid/>
        <w:spacing w:line="360" w:lineRule="auto"/>
        <w:ind w:firstLine="3857" w:firstLineChars="1837"/>
        <w:textAlignment w:val="auto"/>
        <w:rPr>
          <w:rFonts w:hint="eastAsia" w:ascii="宋体" w:hAnsi="宋体" w:eastAsia="宋体" w:cs="宋体"/>
          <w:b/>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highlight w:val="none"/>
        </w:rPr>
        <w:t>投标单位：</w:t>
      </w:r>
      <w:r>
        <w:rPr>
          <w:rFonts w:hint="eastAsia" w:ascii="宋体" w:hAnsi="宋体" w:eastAsia="宋体" w:cs="宋体"/>
          <w:color w:val="auto"/>
          <w:kern w:val="0"/>
          <w:highlight w:val="none"/>
          <w:u w:val="single"/>
        </w:rPr>
        <w:t xml:space="preserve">       </w:t>
      </w:r>
      <w:r>
        <w:rPr>
          <w:rFonts w:hint="eastAsia" w:ascii="宋体" w:hAnsi="宋体" w:eastAsia="宋体" w:cs="宋体"/>
          <w:b/>
          <w:color w:val="auto"/>
          <w:highlight w:val="none"/>
        </w:rPr>
        <w:t>（公章）</w:t>
      </w:r>
    </w:p>
    <w:p w14:paraId="2F8F5027">
      <w:pPr>
        <w:keepNext w:val="0"/>
        <w:keepLines w:val="0"/>
        <w:pageBreakBefore w:val="0"/>
        <w:widowControl w:val="0"/>
        <w:kinsoku/>
        <w:wordWrap/>
        <w:overflowPunct/>
        <w:topLinePunct w:val="0"/>
        <w:bidi w:val="0"/>
        <w:snapToGrid/>
        <w:spacing w:line="360" w:lineRule="auto"/>
        <w:ind w:firstLine="3662" w:firstLineChars="1737"/>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年   月  日</w:t>
      </w:r>
    </w:p>
    <w:p w14:paraId="2DCDF5F3">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z w:val="28"/>
          <w:szCs w:val="28"/>
          <w:highlight w:val="none"/>
        </w:rPr>
      </w:pPr>
    </w:p>
    <w:p w14:paraId="0B08CE10">
      <w:pPr>
        <w:pStyle w:val="9"/>
        <w:rPr>
          <w:rFonts w:hint="eastAsia" w:ascii="宋体" w:hAnsi="宋体" w:eastAsia="宋体" w:cs="宋体"/>
          <w:b/>
          <w:bCs/>
          <w:color w:val="auto"/>
          <w:sz w:val="28"/>
          <w:szCs w:val="28"/>
          <w:highlight w:val="none"/>
        </w:rPr>
      </w:pPr>
    </w:p>
    <w:p w14:paraId="7BFB3576">
      <w:pPr>
        <w:pStyle w:val="9"/>
        <w:rPr>
          <w:rFonts w:hint="eastAsia" w:ascii="宋体" w:hAnsi="宋体" w:eastAsia="宋体" w:cs="宋体"/>
          <w:b/>
          <w:bCs/>
          <w:color w:val="auto"/>
          <w:sz w:val="28"/>
          <w:szCs w:val="28"/>
          <w:highlight w:val="none"/>
        </w:rPr>
      </w:pPr>
    </w:p>
    <w:p w14:paraId="75CE5138">
      <w:pPr>
        <w:pStyle w:val="9"/>
        <w:rPr>
          <w:rFonts w:hint="default" w:ascii="宋体" w:hAnsi="宋体" w:eastAsia="宋体" w:cs="宋体"/>
          <w:b/>
          <w:bCs/>
          <w:color w:val="auto"/>
          <w:sz w:val="28"/>
          <w:szCs w:val="28"/>
          <w:highlight w:val="none"/>
          <w:lang w:val="en-US" w:eastAsia="zh-CN"/>
        </w:rPr>
      </w:pPr>
    </w:p>
    <w:p w14:paraId="58F72EB9">
      <w:pPr>
        <w:widowControl/>
        <w:snapToGrid w:val="0"/>
        <w:spacing w:line="360" w:lineRule="auto"/>
        <w:outlineLvl w:val="1"/>
        <w:rPr>
          <w:rFonts w:hint="eastAsia" w:ascii="宋体" w:hAnsi="宋体" w:eastAsia="宋体" w:cs="宋体"/>
          <w:b/>
          <w:color w:val="auto"/>
          <w:sz w:val="28"/>
          <w:szCs w:val="28"/>
          <w:highlight w:val="none"/>
        </w:rPr>
      </w:pPr>
      <w:bookmarkStart w:id="197" w:name="_Toc496626238"/>
      <w:bookmarkStart w:id="198" w:name="_Toc8732"/>
      <w:r>
        <w:rPr>
          <w:rFonts w:hint="eastAsia" w:ascii="宋体" w:hAnsi="宋体" w:eastAsia="宋体" w:cs="宋体"/>
          <w:b/>
          <w:color w:val="auto"/>
          <w:sz w:val="28"/>
          <w:szCs w:val="28"/>
          <w:highlight w:val="none"/>
        </w:rPr>
        <w:t>附件4：供应商承诺函</w:t>
      </w:r>
      <w:bookmarkEnd w:id="197"/>
      <w:bookmarkEnd w:id="198"/>
    </w:p>
    <w:p w14:paraId="40C065A6">
      <w:pPr>
        <w:ind w:firstLine="723"/>
        <w:jc w:val="center"/>
        <w:rPr>
          <w:rFonts w:hint="eastAsia" w:ascii="宋体" w:hAnsi="宋体" w:eastAsia="宋体" w:cs="宋体"/>
          <w:b/>
          <w:bCs/>
          <w:color w:val="auto"/>
          <w:sz w:val="36"/>
          <w:szCs w:val="36"/>
          <w:highlight w:val="none"/>
        </w:rPr>
      </w:pPr>
    </w:p>
    <w:p w14:paraId="5CDB89C5">
      <w:pPr>
        <w:ind w:firstLine="3253" w:firstLineChars="90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供应商承诺函</w:t>
      </w:r>
    </w:p>
    <w:p w14:paraId="257E20A4">
      <w:pPr>
        <w:rPr>
          <w:rFonts w:hint="eastAsia" w:ascii="宋体" w:hAnsi="宋体" w:eastAsia="宋体" w:cs="宋体"/>
          <w:b/>
          <w:bCs/>
          <w:color w:val="auto"/>
          <w:highlight w:val="none"/>
        </w:rPr>
      </w:pPr>
    </w:p>
    <w:p w14:paraId="5E5A2A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致：</w:t>
      </w:r>
      <w:r>
        <w:rPr>
          <w:rFonts w:hint="eastAsia" w:ascii="宋体" w:hAnsi="宋体" w:eastAsia="宋体" w:cs="宋体"/>
          <w:b/>
          <w:bCs/>
          <w:color w:val="auto"/>
          <w:highlight w:val="none"/>
          <w:lang w:eastAsia="zh-CN"/>
        </w:rPr>
        <w:t>兰州众信招标有限公司</w:t>
      </w:r>
    </w:p>
    <w:p w14:paraId="74DAE51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关于贵方</w:t>
      </w:r>
      <w:r>
        <w:rPr>
          <w:rFonts w:hint="eastAsia" w:ascii="宋体" w:hAnsi="宋体" w:eastAsia="宋体" w:cs="宋体"/>
          <w:color w:val="auto"/>
          <w:highlight w:val="none"/>
          <w:lang w:eastAsia="zh-CN"/>
        </w:rPr>
        <w:t>202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r>
        <w:rPr>
          <w:rFonts w:hint="eastAsia" w:ascii="宋体" w:hAnsi="宋体" w:cs="宋体"/>
          <w:color w:val="auto"/>
          <w:highlight w:val="none"/>
          <w:lang w:eastAsia="zh-CN"/>
        </w:rPr>
        <w:t>兰州众信磋商（服务）2024-016号</w:t>
      </w:r>
      <w:r>
        <w:rPr>
          <w:rFonts w:hint="eastAsia" w:ascii="宋体" w:hAnsi="宋体" w:eastAsia="宋体" w:cs="宋体"/>
          <w:color w:val="auto"/>
          <w:highlight w:val="none"/>
        </w:rPr>
        <w:t>采购项目，本签字人愿意参加磋商，提供采购项目服务要求的所有服务，并证实提交的所有资料是准确的和真实的。同时，我代表</w:t>
      </w:r>
      <w:r>
        <w:rPr>
          <w:rFonts w:hint="eastAsia" w:ascii="宋体" w:hAnsi="宋体" w:eastAsia="宋体" w:cs="宋体"/>
          <w:color w:val="auto"/>
          <w:highlight w:val="none"/>
          <w:u w:val="single"/>
        </w:rPr>
        <w:t>（供应商名称）</w:t>
      </w:r>
      <w:r>
        <w:rPr>
          <w:rFonts w:hint="eastAsia" w:ascii="宋体" w:hAnsi="宋体" w:eastAsia="宋体" w:cs="宋体"/>
          <w:color w:val="auto"/>
          <w:highlight w:val="none"/>
        </w:rPr>
        <w:t>，在此作如下承诺：</w:t>
      </w:r>
    </w:p>
    <w:p w14:paraId="219DAD8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1、完全理解和接受磋商文件的一切规定和要求；</w:t>
      </w:r>
    </w:p>
    <w:p w14:paraId="250C1C6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106794B4">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3、我方保证甲方在使用该产品或其任何一部分时，不受第三方提出的侵犯专利权、著作权、商标权和工业设计权等知识产权的起诉，若有违犯，愿承担相应的一切责任。</w:t>
      </w:r>
    </w:p>
    <w:p w14:paraId="1BCB83B5">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4、我方承诺，除磋商文件中规定的进口产品外，所投的产品均为国产产品，且均符合国家强制性标准。若有不实，愿承担相应的责任。</w:t>
      </w:r>
    </w:p>
    <w:p w14:paraId="274F732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5、在整个磋商过程中我方若有违规行为，贵方可按磋商文件之规定给予处罚，我方完全接受。</w:t>
      </w:r>
    </w:p>
    <w:p w14:paraId="4A444CD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6、若成交，本承诺将成为合同不可分割的一部分，与合同具有同等的法律效力。</w:t>
      </w:r>
    </w:p>
    <w:p w14:paraId="0814305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p>
    <w:p w14:paraId="54A36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4B225B6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p>
    <w:p w14:paraId="5882ECD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p>
    <w:p w14:paraId="0EC9548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p>
    <w:p w14:paraId="0AF6A3DB">
      <w:pPr>
        <w:keepNext w:val="0"/>
        <w:keepLines w:val="0"/>
        <w:pageBreakBefore w:val="0"/>
        <w:widowControl w:val="0"/>
        <w:kinsoku/>
        <w:wordWrap/>
        <w:overflowPunct/>
        <w:topLinePunct w:val="0"/>
        <w:autoSpaceDE/>
        <w:autoSpaceDN/>
        <w:bidi w:val="0"/>
        <w:adjustRightInd/>
        <w:snapToGrid/>
        <w:spacing w:line="360" w:lineRule="auto"/>
        <w:ind w:firstLine="4294" w:firstLineChars="2037"/>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投标单位：</w:t>
      </w:r>
      <w:r>
        <w:rPr>
          <w:rFonts w:hint="eastAsia" w:ascii="宋体" w:hAnsi="宋体" w:eastAsia="宋体" w:cs="宋体"/>
          <w:color w:val="auto"/>
          <w:kern w:val="0"/>
          <w:highlight w:val="none"/>
          <w:u w:val="single"/>
        </w:rPr>
        <w:t xml:space="preserve">       </w:t>
      </w:r>
      <w:r>
        <w:rPr>
          <w:rFonts w:hint="eastAsia" w:ascii="宋体" w:hAnsi="宋体" w:eastAsia="宋体" w:cs="宋体"/>
          <w:b/>
          <w:color w:val="auto"/>
          <w:highlight w:val="none"/>
        </w:rPr>
        <w:t>（公章）</w:t>
      </w:r>
    </w:p>
    <w:p w14:paraId="14E4581B">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法定代表人或委托代理人：</w:t>
      </w:r>
      <w:r>
        <w:rPr>
          <w:rFonts w:hint="eastAsia" w:ascii="宋体" w:hAnsi="宋体" w:eastAsia="宋体" w:cs="宋体"/>
          <w:color w:val="auto"/>
          <w:kern w:val="0"/>
          <w:highlight w:val="none"/>
          <w:u w:val="single"/>
        </w:rPr>
        <w:t xml:space="preserve">       </w:t>
      </w:r>
      <w:r>
        <w:rPr>
          <w:rFonts w:hint="eastAsia" w:ascii="宋体" w:hAnsi="宋体" w:eastAsia="宋体" w:cs="宋体"/>
          <w:b/>
          <w:color w:val="auto"/>
          <w:highlight w:val="none"/>
        </w:rPr>
        <w:t>（签字或盖章）</w:t>
      </w:r>
    </w:p>
    <w:p w14:paraId="55B7A0F7">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年   月  日</w:t>
      </w:r>
    </w:p>
    <w:p w14:paraId="72365D43">
      <w:pPr>
        <w:widowControl/>
        <w:snapToGrid w:val="0"/>
        <w:spacing w:line="360" w:lineRule="auto"/>
        <w:outlineLvl w:val="1"/>
        <w:rPr>
          <w:rFonts w:hint="eastAsia" w:ascii="宋体" w:hAnsi="宋体" w:eastAsia="宋体" w:cs="宋体"/>
          <w:b/>
          <w:color w:val="auto"/>
          <w:sz w:val="28"/>
          <w:szCs w:val="28"/>
          <w:highlight w:val="none"/>
        </w:rPr>
      </w:pPr>
      <w:bookmarkStart w:id="199" w:name="_Toc496626239"/>
    </w:p>
    <w:p w14:paraId="4BEC5722">
      <w:pPr>
        <w:widowControl/>
        <w:snapToGrid w:val="0"/>
        <w:spacing w:line="360" w:lineRule="auto"/>
        <w:outlineLvl w:val="1"/>
        <w:rPr>
          <w:rFonts w:hint="eastAsia" w:ascii="宋体" w:hAnsi="宋体" w:eastAsia="宋体" w:cs="宋体"/>
          <w:b/>
          <w:color w:val="auto"/>
          <w:sz w:val="28"/>
          <w:szCs w:val="28"/>
          <w:highlight w:val="none"/>
        </w:rPr>
      </w:pPr>
    </w:p>
    <w:p w14:paraId="04F585D0">
      <w:pPr>
        <w:widowControl/>
        <w:snapToGrid w:val="0"/>
        <w:spacing w:line="360" w:lineRule="auto"/>
        <w:outlineLvl w:val="1"/>
        <w:rPr>
          <w:rFonts w:hint="eastAsia" w:ascii="宋体" w:hAnsi="宋体" w:eastAsia="宋体" w:cs="宋体"/>
          <w:b/>
          <w:color w:val="auto"/>
          <w:sz w:val="28"/>
          <w:szCs w:val="28"/>
          <w:highlight w:val="none"/>
        </w:rPr>
      </w:pPr>
      <w:bookmarkStart w:id="200" w:name="_Toc10264"/>
      <w:r>
        <w:rPr>
          <w:rFonts w:hint="eastAsia" w:ascii="宋体" w:hAnsi="宋体" w:eastAsia="宋体" w:cs="宋体"/>
          <w:b/>
          <w:color w:val="auto"/>
          <w:sz w:val="28"/>
          <w:szCs w:val="28"/>
          <w:highlight w:val="none"/>
        </w:rPr>
        <w:t>附件</w:t>
      </w:r>
      <w:bookmarkStart w:id="201" w:name="_Toc351475542"/>
      <w:bookmarkStart w:id="202" w:name="_Toc365019584"/>
      <w:bookmarkStart w:id="203" w:name="_Toc376936779"/>
      <w:r>
        <w:rPr>
          <w:rFonts w:hint="eastAsia" w:ascii="宋体" w:hAnsi="宋体" w:eastAsia="宋体" w:cs="宋体"/>
          <w:b/>
          <w:color w:val="auto"/>
          <w:sz w:val="28"/>
          <w:szCs w:val="28"/>
          <w:highlight w:val="none"/>
        </w:rPr>
        <w:t>5：供应商诚信承诺书</w:t>
      </w:r>
      <w:bookmarkEnd w:id="199"/>
      <w:bookmarkEnd w:id="200"/>
      <w:bookmarkEnd w:id="201"/>
      <w:bookmarkEnd w:id="202"/>
      <w:bookmarkEnd w:id="203"/>
    </w:p>
    <w:p w14:paraId="0784C0C9">
      <w:pPr>
        <w:widowControl/>
        <w:snapToGrid w:val="0"/>
        <w:spacing w:line="360" w:lineRule="auto"/>
        <w:outlineLvl w:val="1"/>
        <w:rPr>
          <w:rFonts w:hint="eastAsia" w:ascii="宋体" w:hAnsi="宋体" w:eastAsia="宋体" w:cs="宋体"/>
          <w:b/>
          <w:color w:val="auto"/>
          <w:sz w:val="28"/>
          <w:szCs w:val="28"/>
          <w:highlight w:val="none"/>
        </w:rPr>
      </w:pPr>
    </w:p>
    <w:p w14:paraId="3108F1A6">
      <w:pPr>
        <w:ind w:firstLine="2729" w:firstLineChars="75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供应商诚信承诺书</w:t>
      </w:r>
    </w:p>
    <w:p w14:paraId="646387F7">
      <w:pPr>
        <w:keepNext w:val="0"/>
        <w:keepLines w:val="0"/>
        <w:pageBreakBefore w:val="0"/>
        <w:widowControl w:val="0"/>
        <w:kinsoku/>
        <w:wordWrap/>
        <w:overflowPunct/>
        <w:topLinePunct w:val="0"/>
        <w:autoSpaceDE/>
        <w:autoSpaceDN/>
        <w:bidi w:val="0"/>
        <w:adjustRightInd/>
        <w:snapToGrid/>
        <w:spacing w:line="360" w:lineRule="auto"/>
        <w:ind w:firstLine="2729" w:firstLineChars="755"/>
        <w:textAlignment w:val="auto"/>
        <w:rPr>
          <w:rFonts w:hint="eastAsia" w:ascii="宋体" w:hAnsi="宋体" w:eastAsia="宋体" w:cs="宋体"/>
          <w:b/>
          <w:color w:val="auto"/>
          <w:sz w:val="36"/>
          <w:szCs w:val="36"/>
          <w:highlight w:val="none"/>
        </w:rPr>
      </w:pPr>
    </w:p>
    <w:p w14:paraId="0F228D5C">
      <w:pPr>
        <w:keepNext w:val="0"/>
        <w:keepLines w:val="0"/>
        <w:pageBreakBefore w:val="0"/>
        <w:widowControl w:val="0"/>
        <w:kinsoku/>
        <w:wordWrap/>
        <w:overflowPunct/>
        <w:topLinePunct w:val="0"/>
        <w:autoSpaceDE/>
        <w:autoSpaceDN/>
        <w:bidi w:val="0"/>
        <w:adjustRightInd/>
        <w:snapToGrid/>
        <w:spacing w:after="156" w:afterLines="50"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致：</w:t>
      </w:r>
      <w:r>
        <w:rPr>
          <w:rFonts w:hint="eastAsia" w:ascii="宋体" w:hAnsi="宋体" w:eastAsia="宋体" w:cs="宋体"/>
          <w:b/>
          <w:bCs/>
          <w:color w:val="auto"/>
          <w:highlight w:val="none"/>
          <w:lang w:eastAsia="zh-CN"/>
        </w:rPr>
        <w:t>兰州众信招标有限公司</w:t>
      </w:r>
    </w:p>
    <w:p w14:paraId="3E60FFC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为了诚实、客观、有序地参与青海省政府采购活动，愿就以下内容作出承诺：</w:t>
      </w:r>
    </w:p>
    <w:p w14:paraId="5E0CCC1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一、自觉遵守各项法律、法规、规章、制度以及社会公德，维护廉洁环境，与同场竞争的供应商平等参加政府采购活动。</w:t>
      </w:r>
    </w:p>
    <w:p w14:paraId="7654862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二、参加</w:t>
      </w:r>
      <w:r>
        <w:rPr>
          <w:rFonts w:hint="eastAsia" w:ascii="宋体" w:hAnsi="宋体" w:eastAsia="宋体" w:cs="宋体"/>
          <w:color w:val="auto"/>
          <w:highlight w:val="none"/>
          <w:lang w:eastAsia="zh-CN"/>
        </w:rPr>
        <w:t>兰州众信招标有限公司</w:t>
      </w:r>
      <w:r>
        <w:rPr>
          <w:rFonts w:hint="eastAsia" w:ascii="宋体" w:hAnsi="宋体" w:eastAsia="宋体" w:cs="宋体"/>
          <w:color w:val="auto"/>
          <w:highlight w:val="none"/>
        </w:rPr>
        <w:t>组织的政府采购活动时，严格按照磋商文件的规定和要求提供所需的相关材料，并对所提供的各类资料的真实性负责，不虚假应标，不虚列业绩。</w:t>
      </w:r>
    </w:p>
    <w:p w14:paraId="2993706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三、尊重参与政府采购活动各相关方的合法行为，接受政府采购活动依法形成的意见、结果。</w:t>
      </w:r>
    </w:p>
    <w:p w14:paraId="047FD34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四、依法参加政府采购活动，不围标、串标，维护市场秩序，不提供“三无”产品、以次充好。</w:t>
      </w:r>
    </w:p>
    <w:p w14:paraId="3D2F1AB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01894D1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六、认真履行成交供应商应承担的责任和义务，全面执行采购合同规定的各项内容，保质保量地按时提供采购物品。</w:t>
      </w:r>
    </w:p>
    <w:p w14:paraId="63AE80A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若本企业（单位）发生有悖于上述承诺的行为，愿意接受《中华人民共和国政府采购法》和《政府采购法实施条例》中对供应商的相关处理。</w:t>
      </w:r>
    </w:p>
    <w:p w14:paraId="16B7DB0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本承诺是采购项目磋商响应文件的组成部分。</w:t>
      </w:r>
    </w:p>
    <w:p w14:paraId="4A7DAF4D">
      <w:pPr>
        <w:keepNext w:val="0"/>
        <w:keepLines w:val="0"/>
        <w:pageBreakBefore w:val="0"/>
        <w:widowControl w:val="0"/>
        <w:kinsoku/>
        <w:wordWrap/>
        <w:overflowPunct/>
        <w:topLinePunct w:val="0"/>
        <w:autoSpaceDE/>
        <w:autoSpaceDN/>
        <w:bidi w:val="0"/>
        <w:adjustRightInd/>
        <w:snapToGrid/>
        <w:spacing w:line="360" w:lineRule="auto"/>
        <w:ind w:firstLine="3268" w:firstLineChars="1550"/>
        <w:textAlignment w:val="auto"/>
        <w:rPr>
          <w:rFonts w:hint="eastAsia" w:ascii="宋体" w:hAnsi="宋体" w:eastAsia="宋体" w:cs="宋体"/>
          <w:b/>
          <w:color w:val="auto"/>
          <w:highlight w:val="none"/>
        </w:rPr>
      </w:pPr>
    </w:p>
    <w:p w14:paraId="08B076F2">
      <w:pPr>
        <w:keepNext w:val="0"/>
        <w:keepLines w:val="0"/>
        <w:pageBreakBefore w:val="0"/>
        <w:widowControl w:val="0"/>
        <w:kinsoku/>
        <w:wordWrap/>
        <w:overflowPunct/>
        <w:topLinePunct w:val="0"/>
        <w:autoSpaceDE/>
        <w:autoSpaceDN/>
        <w:bidi w:val="0"/>
        <w:adjustRightInd/>
        <w:snapToGrid/>
        <w:spacing w:line="360" w:lineRule="auto"/>
        <w:ind w:firstLine="3268" w:firstLineChars="1550"/>
        <w:textAlignment w:val="auto"/>
        <w:rPr>
          <w:rFonts w:hint="eastAsia" w:ascii="宋体" w:hAnsi="宋体" w:eastAsia="宋体" w:cs="宋体"/>
          <w:b/>
          <w:color w:val="auto"/>
          <w:highlight w:val="none"/>
        </w:rPr>
      </w:pPr>
    </w:p>
    <w:p w14:paraId="7DC3D4E5">
      <w:pPr>
        <w:keepNext w:val="0"/>
        <w:keepLines w:val="0"/>
        <w:pageBreakBefore w:val="0"/>
        <w:widowControl w:val="0"/>
        <w:kinsoku/>
        <w:wordWrap/>
        <w:overflowPunct/>
        <w:topLinePunct w:val="0"/>
        <w:autoSpaceDE/>
        <w:autoSpaceDN/>
        <w:bidi w:val="0"/>
        <w:adjustRightInd/>
        <w:snapToGrid/>
        <w:spacing w:line="360" w:lineRule="auto"/>
        <w:ind w:firstLine="3335" w:firstLineChars="1582"/>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投标单位：</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b/>
          <w:color w:val="auto"/>
          <w:highlight w:val="none"/>
        </w:rPr>
        <w:t>（公章）</w:t>
      </w:r>
    </w:p>
    <w:p w14:paraId="1BE4011E">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法定代表人或委托代理人：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b/>
          <w:color w:val="auto"/>
          <w:highlight w:val="none"/>
        </w:rPr>
        <w:t>（签字或盖章）</w:t>
      </w:r>
    </w:p>
    <w:p w14:paraId="6559A883">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年   月  日</w:t>
      </w:r>
    </w:p>
    <w:p w14:paraId="6E070D41">
      <w:pPr>
        <w:rPr>
          <w:rFonts w:hint="eastAsia" w:ascii="宋体" w:hAnsi="宋体" w:eastAsia="宋体" w:cs="宋体"/>
          <w:b/>
          <w:bCs/>
          <w:color w:val="auto"/>
          <w:sz w:val="28"/>
          <w:szCs w:val="28"/>
          <w:highlight w:val="none"/>
        </w:rPr>
      </w:pPr>
    </w:p>
    <w:p w14:paraId="68715C21">
      <w:pPr>
        <w:widowControl/>
        <w:snapToGrid w:val="0"/>
        <w:spacing w:line="360" w:lineRule="auto"/>
        <w:outlineLvl w:val="1"/>
        <w:rPr>
          <w:rFonts w:hint="eastAsia" w:ascii="宋体" w:hAnsi="宋体" w:eastAsia="宋体" w:cs="宋体"/>
          <w:b/>
          <w:color w:val="auto"/>
          <w:sz w:val="28"/>
          <w:szCs w:val="28"/>
          <w:highlight w:val="none"/>
        </w:rPr>
      </w:pPr>
      <w:bookmarkStart w:id="204" w:name="_Toc496626240"/>
      <w:bookmarkStart w:id="205" w:name="_Toc31113"/>
      <w:r>
        <w:rPr>
          <w:rFonts w:hint="eastAsia" w:ascii="宋体" w:hAnsi="宋体" w:eastAsia="宋体" w:cs="宋体"/>
          <w:b/>
          <w:color w:val="auto"/>
          <w:sz w:val="28"/>
          <w:szCs w:val="28"/>
          <w:highlight w:val="none"/>
        </w:rPr>
        <w:t>附件6：供应商资格证明文件</w:t>
      </w:r>
      <w:bookmarkEnd w:id="204"/>
      <w:bookmarkEnd w:id="205"/>
    </w:p>
    <w:p w14:paraId="460AA44E">
      <w:pPr>
        <w:widowControl/>
        <w:snapToGrid w:val="0"/>
        <w:spacing w:line="360" w:lineRule="auto"/>
        <w:outlineLvl w:val="1"/>
        <w:rPr>
          <w:rFonts w:hint="eastAsia" w:ascii="宋体" w:hAnsi="宋体" w:eastAsia="宋体" w:cs="宋体"/>
          <w:b/>
          <w:color w:val="auto"/>
          <w:sz w:val="28"/>
          <w:szCs w:val="28"/>
          <w:highlight w:val="none"/>
        </w:rPr>
      </w:pPr>
    </w:p>
    <w:p w14:paraId="3C1AA67D">
      <w:pPr>
        <w:ind w:firstLine="3090" w:firstLineChars="855"/>
        <w:rPr>
          <w:rFonts w:hint="eastAsia" w:ascii="宋体" w:hAnsi="宋体" w:eastAsia="宋体" w:cs="宋体"/>
          <w:b/>
          <w:color w:val="auto"/>
          <w:sz w:val="36"/>
          <w:szCs w:val="36"/>
          <w:highlight w:val="none"/>
        </w:rPr>
      </w:pPr>
      <w:bookmarkStart w:id="206" w:name="_Toc482176311"/>
      <w:bookmarkStart w:id="207" w:name="_Toc475526729"/>
      <w:bookmarkStart w:id="208" w:name="_Toc450574560"/>
      <w:bookmarkStart w:id="209" w:name="_Toc441229743"/>
      <w:bookmarkStart w:id="210" w:name="_Toc492284572"/>
      <w:bookmarkStart w:id="211" w:name="_Toc451333907"/>
      <w:bookmarkStart w:id="212" w:name="_Toc491781021"/>
      <w:bookmarkStart w:id="213" w:name="_Toc455574903"/>
      <w:bookmarkStart w:id="214" w:name="_Toc465259557"/>
      <w:bookmarkStart w:id="215" w:name="_Toc444158184"/>
      <w:bookmarkStart w:id="216" w:name="_Toc490122951"/>
      <w:bookmarkStart w:id="217" w:name="_Toc451264359"/>
      <w:bookmarkStart w:id="218" w:name="_Toc469410485"/>
      <w:r>
        <w:rPr>
          <w:rFonts w:hint="eastAsia" w:ascii="宋体" w:hAnsi="宋体" w:eastAsia="宋体" w:cs="宋体"/>
          <w:b/>
          <w:color w:val="auto"/>
          <w:sz w:val="36"/>
          <w:szCs w:val="36"/>
          <w:highlight w:val="none"/>
        </w:rPr>
        <w:t>供应商资格证明文件</w:t>
      </w:r>
    </w:p>
    <w:p w14:paraId="1EF21588">
      <w:pPr>
        <w:ind w:firstLine="3090" w:firstLineChars="855"/>
        <w:rPr>
          <w:rFonts w:hint="eastAsia" w:ascii="宋体" w:hAnsi="宋体" w:eastAsia="宋体" w:cs="宋体"/>
          <w:b/>
          <w:color w:val="auto"/>
          <w:sz w:val="36"/>
          <w:szCs w:val="36"/>
          <w:highlight w:val="none"/>
        </w:rPr>
      </w:pPr>
    </w:p>
    <w:bookmarkEnd w:id="206"/>
    <w:bookmarkEnd w:id="207"/>
    <w:bookmarkEnd w:id="208"/>
    <w:bookmarkEnd w:id="209"/>
    <w:bookmarkEnd w:id="210"/>
    <w:bookmarkEnd w:id="211"/>
    <w:bookmarkEnd w:id="212"/>
    <w:bookmarkEnd w:id="213"/>
    <w:bookmarkEnd w:id="214"/>
    <w:bookmarkEnd w:id="215"/>
    <w:bookmarkEnd w:id="216"/>
    <w:bookmarkEnd w:id="217"/>
    <w:bookmarkEnd w:id="218"/>
    <w:p w14:paraId="69CF474F">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资格证明材料包括：提供有效的营业执照、税务登记证、机构代码证或三证（五证）合一统一社会代码证及其他资格证明文件（扫描或复印件）。</w:t>
      </w:r>
    </w:p>
    <w:p w14:paraId="1AA8DB18">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E4F04E9">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2、根据采购项目内容，提供投标人的相关资质证书、许可证等。</w:t>
      </w:r>
    </w:p>
    <w:p w14:paraId="751E0E92">
      <w:pPr>
        <w:widowControl/>
        <w:snapToGrid w:val="0"/>
        <w:spacing w:line="360" w:lineRule="auto"/>
        <w:outlineLvl w:val="1"/>
        <w:rPr>
          <w:rFonts w:hint="eastAsia" w:ascii="宋体" w:hAnsi="宋体" w:eastAsia="宋体" w:cs="宋体"/>
          <w:b/>
          <w:color w:val="auto"/>
          <w:sz w:val="28"/>
          <w:szCs w:val="28"/>
          <w:highlight w:val="none"/>
        </w:rPr>
      </w:pPr>
    </w:p>
    <w:p w14:paraId="05C52C1C">
      <w:pPr>
        <w:widowControl/>
        <w:snapToGrid w:val="0"/>
        <w:spacing w:line="360" w:lineRule="auto"/>
        <w:outlineLvl w:val="1"/>
        <w:rPr>
          <w:rFonts w:hint="eastAsia" w:ascii="宋体" w:hAnsi="宋体" w:eastAsia="宋体" w:cs="宋体"/>
          <w:b/>
          <w:color w:val="auto"/>
          <w:sz w:val="28"/>
          <w:szCs w:val="28"/>
          <w:highlight w:val="none"/>
        </w:rPr>
      </w:pPr>
    </w:p>
    <w:p w14:paraId="289C92B0">
      <w:pPr>
        <w:widowControl/>
        <w:snapToGrid w:val="0"/>
        <w:spacing w:line="360" w:lineRule="auto"/>
        <w:outlineLvl w:val="1"/>
        <w:rPr>
          <w:rFonts w:hint="eastAsia" w:ascii="宋体" w:hAnsi="宋体" w:eastAsia="宋体" w:cs="宋体"/>
          <w:b/>
          <w:color w:val="auto"/>
          <w:sz w:val="28"/>
          <w:szCs w:val="28"/>
          <w:highlight w:val="none"/>
        </w:rPr>
      </w:pPr>
    </w:p>
    <w:p w14:paraId="6D008ECA">
      <w:pPr>
        <w:widowControl/>
        <w:snapToGrid w:val="0"/>
        <w:spacing w:line="360" w:lineRule="auto"/>
        <w:outlineLvl w:val="1"/>
        <w:rPr>
          <w:rFonts w:hint="eastAsia" w:ascii="宋体" w:hAnsi="宋体" w:eastAsia="宋体" w:cs="宋体"/>
          <w:b/>
          <w:color w:val="auto"/>
          <w:sz w:val="28"/>
          <w:szCs w:val="28"/>
          <w:highlight w:val="none"/>
        </w:rPr>
      </w:pPr>
    </w:p>
    <w:p w14:paraId="4D016377">
      <w:pPr>
        <w:widowControl/>
        <w:snapToGrid w:val="0"/>
        <w:spacing w:line="360" w:lineRule="auto"/>
        <w:outlineLvl w:val="1"/>
        <w:rPr>
          <w:rFonts w:hint="eastAsia" w:ascii="宋体" w:hAnsi="宋体" w:eastAsia="宋体" w:cs="宋体"/>
          <w:b/>
          <w:color w:val="auto"/>
          <w:sz w:val="28"/>
          <w:szCs w:val="28"/>
          <w:highlight w:val="none"/>
        </w:rPr>
      </w:pPr>
    </w:p>
    <w:p w14:paraId="291F87EF">
      <w:pPr>
        <w:pStyle w:val="9"/>
        <w:rPr>
          <w:rFonts w:hint="eastAsia" w:ascii="宋体" w:hAnsi="宋体" w:eastAsia="宋体" w:cs="宋体"/>
          <w:color w:val="auto"/>
          <w:highlight w:val="none"/>
        </w:rPr>
      </w:pPr>
    </w:p>
    <w:p w14:paraId="51C35DC7">
      <w:pPr>
        <w:widowControl/>
        <w:snapToGrid w:val="0"/>
        <w:spacing w:line="360" w:lineRule="auto"/>
        <w:outlineLvl w:val="1"/>
        <w:rPr>
          <w:rFonts w:hint="eastAsia" w:ascii="宋体" w:hAnsi="宋体" w:eastAsia="宋体" w:cs="宋体"/>
          <w:b/>
          <w:color w:val="auto"/>
          <w:sz w:val="28"/>
          <w:szCs w:val="28"/>
          <w:highlight w:val="none"/>
        </w:rPr>
      </w:pPr>
    </w:p>
    <w:p w14:paraId="57145048">
      <w:pPr>
        <w:widowControl/>
        <w:snapToGrid w:val="0"/>
        <w:spacing w:line="360" w:lineRule="auto"/>
        <w:outlineLvl w:val="1"/>
        <w:rPr>
          <w:rFonts w:hint="eastAsia" w:ascii="宋体" w:hAnsi="宋体" w:eastAsia="宋体" w:cs="宋体"/>
          <w:b/>
          <w:color w:val="auto"/>
          <w:sz w:val="28"/>
          <w:szCs w:val="28"/>
          <w:highlight w:val="none"/>
        </w:rPr>
      </w:pPr>
    </w:p>
    <w:p w14:paraId="2B4F1E4E">
      <w:pPr>
        <w:widowControl/>
        <w:snapToGrid w:val="0"/>
        <w:spacing w:line="360" w:lineRule="auto"/>
        <w:outlineLvl w:val="1"/>
        <w:rPr>
          <w:rFonts w:hint="eastAsia" w:ascii="宋体" w:hAnsi="宋体" w:eastAsia="宋体" w:cs="宋体"/>
          <w:b/>
          <w:color w:val="auto"/>
          <w:sz w:val="28"/>
          <w:szCs w:val="28"/>
          <w:highlight w:val="none"/>
        </w:rPr>
      </w:pPr>
    </w:p>
    <w:p w14:paraId="48EE534D">
      <w:pPr>
        <w:widowControl/>
        <w:snapToGrid w:val="0"/>
        <w:spacing w:line="360" w:lineRule="auto"/>
        <w:outlineLvl w:val="1"/>
        <w:rPr>
          <w:rFonts w:hint="eastAsia" w:ascii="宋体" w:hAnsi="宋体" w:eastAsia="宋体" w:cs="宋体"/>
          <w:b/>
          <w:color w:val="auto"/>
          <w:sz w:val="28"/>
          <w:szCs w:val="28"/>
          <w:highlight w:val="none"/>
        </w:rPr>
      </w:pPr>
    </w:p>
    <w:p w14:paraId="796F21D1">
      <w:pPr>
        <w:widowControl/>
        <w:snapToGrid w:val="0"/>
        <w:spacing w:line="360" w:lineRule="auto"/>
        <w:outlineLvl w:val="1"/>
        <w:rPr>
          <w:rFonts w:hint="eastAsia" w:ascii="宋体" w:hAnsi="宋体" w:eastAsia="宋体" w:cs="宋体"/>
          <w:b/>
          <w:color w:val="auto"/>
          <w:sz w:val="28"/>
          <w:szCs w:val="28"/>
          <w:highlight w:val="none"/>
        </w:rPr>
      </w:pPr>
    </w:p>
    <w:p w14:paraId="744C1E84">
      <w:pPr>
        <w:widowControl/>
        <w:snapToGrid w:val="0"/>
        <w:spacing w:line="360" w:lineRule="auto"/>
        <w:outlineLvl w:val="1"/>
        <w:rPr>
          <w:rFonts w:hint="eastAsia" w:ascii="宋体" w:hAnsi="宋体" w:eastAsia="宋体" w:cs="宋体"/>
          <w:b/>
          <w:color w:val="auto"/>
          <w:sz w:val="28"/>
          <w:szCs w:val="28"/>
          <w:highlight w:val="none"/>
        </w:rPr>
      </w:pPr>
      <w:bookmarkStart w:id="219" w:name="_Toc496626241"/>
    </w:p>
    <w:p w14:paraId="2226F154">
      <w:pPr>
        <w:widowControl/>
        <w:snapToGrid w:val="0"/>
        <w:spacing w:line="360" w:lineRule="auto"/>
        <w:outlineLvl w:val="1"/>
        <w:rPr>
          <w:rFonts w:hint="eastAsia" w:ascii="宋体" w:hAnsi="宋体" w:eastAsia="宋体" w:cs="宋体"/>
          <w:b/>
          <w:color w:val="auto"/>
          <w:sz w:val="28"/>
          <w:szCs w:val="28"/>
          <w:highlight w:val="none"/>
        </w:rPr>
      </w:pPr>
      <w:bookmarkStart w:id="220" w:name="_Toc3323"/>
      <w:r>
        <w:rPr>
          <w:rFonts w:hint="eastAsia" w:ascii="宋体" w:hAnsi="宋体" w:eastAsia="宋体" w:cs="宋体"/>
          <w:b/>
          <w:color w:val="auto"/>
          <w:sz w:val="28"/>
          <w:szCs w:val="28"/>
          <w:highlight w:val="none"/>
        </w:rPr>
        <w:t>附件7：财务状况、缴纳税收和社会保障资金证明</w:t>
      </w:r>
      <w:bookmarkEnd w:id="219"/>
      <w:bookmarkEnd w:id="220"/>
    </w:p>
    <w:p w14:paraId="3DA55812">
      <w:pPr>
        <w:autoSpaceDE w:val="0"/>
        <w:autoSpaceDN w:val="0"/>
        <w:adjustRightInd w:val="0"/>
        <w:ind w:firstLine="904" w:firstLineChars="250"/>
        <w:jc w:val="center"/>
        <w:rPr>
          <w:rFonts w:hint="eastAsia" w:ascii="宋体" w:hAnsi="宋体" w:eastAsia="宋体" w:cs="宋体"/>
          <w:b/>
          <w:color w:val="auto"/>
          <w:sz w:val="36"/>
          <w:szCs w:val="36"/>
          <w:highlight w:val="none"/>
        </w:rPr>
      </w:pPr>
    </w:p>
    <w:p w14:paraId="3DB02BB5">
      <w:pPr>
        <w:autoSpaceDE w:val="0"/>
        <w:autoSpaceDN w:val="0"/>
        <w:adjustRightInd w:val="0"/>
        <w:ind w:firstLine="904" w:firstLineChars="25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财务状况、缴纳税收和社会保障资金证明</w:t>
      </w:r>
    </w:p>
    <w:p w14:paraId="7FBC4606">
      <w:pPr>
        <w:autoSpaceDE w:val="0"/>
        <w:autoSpaceDN w:val="0"/>
        <w:adjustRightInd w:val="0"/>
        <w:ind w:firstLine="904" w:firstLineChars="250"/>
        <w:rPr>
          <w:rFonts w:hint="eastAsia" w:ascii="宋体" w:hAnsi="宋体" w:eastAsia="宋体" w:cs="宋体"/>
          <w:b/>
          <w:color w:val="auto"/>
          <w:sz w:val="36"/>
          <w:szCs w:val="36"/>
          <w:highlight w:val="none"/>
        </w:rPr>
      </w:pPr>
    </w:p>
    <w:p w14:paraId="3FCA933A">
      <w:pPr>
        <w:keepNext w:val="0"/>
        <w:keepLines w:val="0"/>
        <w:pageBreakBefore w:val="0"/>
        <w:widowControl w:val="0"/>
        <w:kinsoku/>
        <w:wordWrap/>
        <w:overflowPunct/>
        <w:topLinePunct w:val="0"/>
        <w:autoSpaceDE w:val="0"/>
        <w:autoSpaceDN w:val="0"/>
        <w:bidi w:val="0"/>
        <w:adjustRightInd w:val="0"/>
        <w:snapToGrid/>
        <w:spacing w:line="360" w:lineRule="auto"/>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按照《政府采购法》第22条规定提供以下相关材料：</w:t>
      </w:r>
    </w:p>
    <w:p w14:paraId="4A03D8FD">
      <w:pPr>
        <w:keepNext w:val="0"/>
        <w:keepLines w:val="0"/>
        <w:pageBreakBefore w:val="0"/>
        <w:widowControl w:val="0"/>
        <w:kinsoku/>
        <w:wordWrap/>
        <w:overflowPunct/>
        <w:topLinePunct w:val="0"/>
        <w:autoSpaceDE w:val="0"/>
        <w:autoSpaceDN w:val="0"/>
        <w:bidi w:val="0"/>
        <w:adjustRightInd w:val="0"/>
        <w:snapToGrid/>
        <w:spacing w:line="360" w:lineRule="auto"/>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1、供应商是法人的，提供20</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2</w:t>
      </w:r>
      <w:r>
        <w:rPr>
          <w:rFonts w:hint="eastAsia" w:ascii="宋体" w:hAnsi="宋体" w:eastAsia="宋体" w:cs="宋体"/>
          <w:color w:val="auto"/>
          <w:highlight w:val="none"/>
        </w:rPr>
        <w:t>年度或20</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3</w:t>
      </w:r>
      <w:r>
        <w:rPr>
          <w:rFonts w:hint="eastAsia" w:ascii="宋体" w:hAnsi="宋体" w:eastAsia="宋体" w:cs="宋体"/>
          <w:color w:val="auto"/>
          <w:highlight w:val="none"/>
        </w:rPr>
        <w:t>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近三个月的资信证明（同时提供基本存款账户开户许可证）。</w:t>
      </w:r>
    </w:p>
    <w:p w14:paraId="57FB1E6B">
      <w:pPr>
        <w:keepNext w:val="0"/>
        <w:keepLines w:val="0"/>
        <w:pageBreakBefore w:val="0"/>
        <w:widowControl w:val="0"/>
        <w:tabs>
          <w:tab w:val="left" w:pos="168"/>
        </w:tabs>
        <w:kinsoku/>
        <w:wordWrap/>
        <w:overflowPunct/>
        <w:topLinePunct w:val="0"/>
        <w:bidi w:val="0"/>
        <w:adjustRightInd w:val="0"/>
        <w:snapToGrid/>
        <w:spacing w:line="360" w:lineRule="auto"/>
        <w:ind w:firstLine="48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202</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年</w:t>
      </w:r>
      <w:r>
        <w:rPr>
          <w:rFonts w:hint="eastAsia" w:ascii="宋体" w:hAnsi="宋体" w:cs="宋体"/>
          <w:color w:val="auto"/>
          <w:highlight w:val="none"/>
          <w:lang w:val="en-US" w:eastAsia="zh-CN"/>
        </w:rPr>
        <w:t>01</w:t>
      </w:r>
      <w:r>
        <w:rPr>
          <w:rFonts w:hint="eastAsia" w:ascii="宋体" w:hAnsi="宋体" w:eastAsia="宋体" w:cs="宋体"/>
          <w:color w:val="auto"/>
          <w:highlight w:val="none"/>
          <w:lang w:val="en-US" w:eastAsia="zh-CN"/>
        </w:rPr>
        <w:t>月至今任意三个月</w:t>
      </w:r>
      <w:r>
        <w:rPr>
          <w:rFonts w:hint="eastAsia" w:ascii="宋体" w:hAnsi="宋体" w:eastAsia="宋体" w:cs="宋体"/>
          <w:color w:val="auto"/>
          <w:highlight w:val="none"/>
        </w:rPr>
        <w:t>依法缴纳税收和社会保障资金记录的证明材料。依法免税或不需要缴纳社会保障资金的供应商，应提供相应文件证明其依法免税或不需要缴纳社会保障资金。</w:t>
      </w:r>
    </w:p>
    <w:p w14:paraId="557D5ACF">
      <w:pPr>
        <w:widowControl/>
        <w:snapToGrid w:val="0"/>
        <w:spacing w:line="360" w:lineRule="auto"/>
        <w:outlineLvl w:val="1"/>
        <w:rPr>
          <w:rFonts w:hint="eastAsia" w:ascii="宋体" w:hAnsi="宋体" w:eastAsia="宋体" w:cs="宋体"/>
          <w:color w:val="auto"/>
          <w:highlight w:val="none"/>
        </w:rPr>
      </w:pPr>
    </w:p>
    <w:p w14:paraId="72891615">
      <w:pPr>
        <w:tabs>
          <w:tab w:val="left" w:pos="168"/>
        </w:tabs>
        <w:adjustRightInd w:val="0"/>
        <w:ind w:firstLine="480"/>
        <w:textAlignment w:val="baseline"/>
        <w:rPr>
          <w:rFonts w:hint="eastAsia" w:ascii="宋体" w:hAnsi="宋体" w:eastAsia="宋体" w:cs="宋体"/>
          <w:color w:val="auto"/>
          <w:highlight w:val="none"/>
        </w:rPr>
      </w:pPr>
    </w:p>
    <w:p w14:paraId="5AF8A705">
      <w:pPr>
        <w:tabs>
          <w:tab w:val="left" w:pos="168"/>
        </w:tabs>
        <w:adjustRightInd w:val="0"/>
        <w:ind w:firstLine="480"/>
        <w:textAlignment w:val="baseline"/>
        <w:rPr>
          <w:rFonts w:hint="eastAsia" w:ascii="宋体" w:hAnsi="宋体" w:eastAsia="宋体" w:cs="宋体"/>
          <w:color w:val="auto"/>
          <w:highlight w:val="none"/>
        </w:rPr>
      </w:pPr>
    </w:p>
    <w:p w14:paraId="2F7C353A">
      <w:pPr>
        <w:widowControl/>
        <w:snapToGrid w:val="0"/>
        <w:spacing w:line="360" w:lineRule="auto"/>
        <w:outlineLvl w:val="1"/>
        <w:rPr>
          <w:rFonts w:hint="eastAsia" w:ascii="宋体" w:hAnsi="宋体" w:eastAsia="宋体" w:cs="宋体"/>
          <w:b/>
          <w:color w:val="auto"/>
          <w:highlight w:val="none"/>
        </w:rPr>
      </w:pPr>
    </w:p>
    <w:p w14:paraId="244A2393">
      <w:pPr>
        <w:rPr>
          <w:rFonts w:hint="eastAsia" w:ascii="宋体" w:hAnsi="宋体" w:eastAsia="宋体" w:cs="宋体"/>
          <w:b/>
          <w:bCs/>
          <w:color w:val="auto"/>
          <w:sz w:val="28"/>
          <w:szCs w:val="28"/>
          <w:highlight w:val="none"/>
        </w:rPr>
      </w:pPr>
    </w:p>
    <w:p w14:paraId="6E02CB62">
      <w:pPr>
        <w:rPr>
          <w:rFonts w:hint="eastAsia" w:ascii="宋体" w:hAnsi="宋体" w:eastAsia="宋体" w:cs="宋体"/>
          <w:b/>
          <w:bCs/>
          <w:color w:val="auto"/>
          <w:sz w:val="28"/>
          <w:szCs w:val="28"/>
          <w:highlight w:val="none"/>
        </w:rPr>
      </w:pPr>
    </w:p>
    <w:p w14:paraId="64167360">
      <w:pPr>
        <w:rPr>
          <w:rFonts w:hint="eastAsia" w:ascii="宋体" w:hAnsi="宋体" w:eastAsia="宋体" w:cs="宋体"/>
          <w:b/>
          <w:bCs/>
          <w:color w:val="auto"/>
          <w:sz w:val="28"/>
          <w:szCs w:val="28"/>
          <w:highlight w:val="none"/>
        </w:rPr>
      </w:pPr>
    </w:p>
    <w:p w14:paraId="70B60699">
      <w:pPr>
        <w:rPr>
          <w:rFonts w:hint="eastAsia" w:ascii="宋体" w:hAnsi="宋体" w:eastAsia="宋体" w:cs="宋体"/>
          <w:b/>
          <w:bCs/>
          <w:color w:val="auto"/>
          <w:sz w:val="28"/>
          <w:szCs w:val="28"/>
          <w:highlight w:val="none"/>
        </w:rPr>
      </w:pPr>
    </w:p>
    <w:p w14:paraId="4140EE7D">
      <w:pPr>
        <w:rPr>
          <w:rFonts w:hint="eastAsia" w:ascii="宋体" w:hAnsi="宋体" w:eastAsia="宋体" w:cs="宋体"/>
          <w:b/>
          <w:bCs/>
          <w:color w:val="auto"/>
          <w:sz w:val="28"/>
          <w:szCs w:val="28"/>
          <w:highlight w:val="none"/>
        </w:rPr>
      </w:pPr>
    </w:p>
    <w:p w14:paraId="4A62E4E0">
      <w:pPr>
        <w:rPr>
          <w:rFonts w:hint="eastAsia" w:ascii="宋体" w:hAnsi="宋体" w:eastAsia="宋体" w:cs="宋体"/>
          <w:b/>
          <w:bCs/>
          <w:color w:val="auto"/>
          <w:sz w:val="28"/>
          <w:szCs w:val="28"/>
          <w:highlight w:val="none"/>
        </w:rPr>
      </w:pPr>
    </w:p>
    <w:p w14:paraId="332D36DC">
      <w:pPr>
        <w:rPr>
          <w:rFonts w:hint="eastAsia" w:ascii="宋体" w:hAnsi="宋体" w:eastAsia="宋体" w:cs="宋体"/>
          <w:b/>
          <w:bCs/>
          <w:color w:val="auto"/>
          <w:sz w:val="28"/>
          <w:szCs w:val="28"/>
          <w:highlight w:val="none"/>
        </w:rPr>
      </w:pPr>
    </w:p>
    <w:p w14:paraId="5353EBD3">
      <w:pPr>
        <w:rPr>
          <w:rFonts w:hint="eastAsia" w:ascii="宋体" w:hAnsi="宋体" w:eastAsia="宋体" w:cs="宋体"/>
          <w:b/>
          <w:bCs/>
          <w:color w:val="auto"/>
          <w:sz w:val="28"/>
          <w:szCs w:val="28"/>
          <w:highlight w:val="none"/>
        </w:rPr>
      </w:pPr>
    </w:p>
    <w:p w14:paraId="40CC40C1">
      <w:pPr>
        <w:pStyle w:val="9"/>
        <w:rPr>
          <w:rFonts w:hint="eastAsia" w:ascii="宋体" w:hAnsi="宋体" w:eastAsia="宋体" w:cs="宋体"/>
          <w:highlight w:val="none"/>
        </w:rPr>
      </w:pPr>
    </w:p>
    <w:p w14:paraId="38C7CE1C">
      <w:pPr>
        <w:pStyle w:val="9"/>
        <w:rPr>
          <w:rFonts w:hint="eastAsia" w:ascii="宋体" w:hAnsi="宋体" w:eastAsia="宋体" w:cs="宋体"/>
          <w:b/>
          <w:bCs/>
          <w:color w:val="auto"/>
          <w:sz w:val="28"/>
          <w:szCs w:val="28"/>
          <w:highlight w:val="none"/>
        </w:rPr>
      </w:pPr>
    </w:p>
    <w:p w14:paraId="7A3D94FB">
      <w:pPr>
        <w:widowControl/>
        <w:snapToGrid w:val="0"/>
        <w:spacing w:line="360" w:lineRule="auto"/>
        <w:outlineLvl w:val="1"/>
        <w:rPr>
          <w:rFonts w:hint="eastAsia" w:ascii="宋体" w:hAnsi="宋体" w:eastAsia="宋体" w:cs="宋体"/>
          <w:b/>
          <w:color w:val="auto"/>
          <w:sz w:val="28"/>
          <w:szCs w:val="28"/>
          <w:highlight w:val="none"/>
        </w:rPr>
      </w:pPr>
      <w:bookmarkStart w:id="221" w:name="_Toc496626242"/>
      <w:bookmarkStart w:id="222" w:name="_Toc29145"/>
    </w:p>
    <w:p w14:paraId="564D3FF4">
      <w:pPr>
        <w:widowControl/>
        <w:snapToGrid w:val="0"/>
        <w:spacing w:line="360" w:lineRule="auto"/>
        <w:outlineLvl w:val="1"/>
        <w:rPr>
          <w:rFonts w:hint="eastAsia" w:ascii="宋体" w:hAnsi="宋体" w:eastAsia="宋体" w:cs="宋体"/>
          <w:b/>
          <w:color w:val="auto"/>
          <w:sz w:val="28"/>
          <w:szCs w:val="28"/>
          <w:highlight w:val="none"/>
        </w:rPr>
      </w:pPr>
      <w:bookmarkStart w:id="223" w:name="_Toc25989"/>
      <w:r>
        <w:rPr>
          <w:rFonts w:hint="eastAsia" w:ascii="宋体" w:hAnsi="宋体" w:eastAsia="宋体" w:cs="宋体"/>
          <w:b/>
          <w:color w:val="auto"/>
          <w:sz w:val="28"/>
          <w:szCs w:val="28"/>
          <w:highlight w:val="none"/>
        </w:rPr>
        <w:t>附件8：无重大违法记录声明</w:t>
      </w:r>
      <w:bookmarkEnd w:id="221"/>
      <w:bookmarkEnd w:id="223"/>
    </w:p>
    <w:p w14:paraId="636CA45E">
      <w:pPr>
        <w:ind w:firstLine="2909" w:firstLineChars="805"/>
        <w:rPr>
          <w:rFonts w:hint="eastAsia" w:ascii="宋体" w:hAnsi="宋体" w:eastAsia="宋体" w:cs="宋体"/>
          <w:b/>
          <w:color w:val="auto"/>
          <w:sz w:val="36"/>
          <w:szCs w:val="36"/>
          <w:highlight w:val="none"/>
        </w:rPr>
      </w:pPr>
    </w:p>
    <w:p w14:paraId="1E82B99B">
      <w:pPr>
        <w:ind w:firstLine="2909" w:firstLineChars="80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无重大违法记录声明</w:t>
      </w:r>
    </w:p>
    <w:p w14:paraId="768392D0">
      <w:pPr>
        <w:tabs>
          <w:tab w:val="left" w:pos="168"/>
        </w:tabs>
        <w:adjustRightInd w:val="0"/>
        <w:ind w:firstLine="2530" w:firstLineChars="700"/>
        <w:textAlignment w:val="baseline"/>
        <w:rPr>
          <w:rFonts w:hint="eastAsia" w:ascii="宋体" w:hAnsi="宋体" w:eastAsia="宋体" w:cs="宋体"/>
          <w:b/>
          <w:color w:val="auto"/>
          <w:sz w:val="36"/>
          <w:szCs w:val="36"/>
          <w:highlight w:val="none"/>
        </w:rPr>
      </w:pPr>
    </w:p>
    <w:p w14:paraId="7494A1EE">
      <w:pPr>
        <w:keepNext w:val="0"/>
        <w:keepLines w:val="0"/>
        <w:pageBreakBefore w:val="0"/>
        <w:widowControl w:val="0"/>
        <w:tabs>
          <w:tab w:val="left" w:pos="168"/>
        </w:tabs>
        <w:kinsoku/>
        <w:wordWrap/>
        <w:overflowPunct/>
        <w:topLinePunct w:val="0"/>
        <w:autoSpaceDE/>
        <w:autoSpaceDN/>
        <w:bidi w:val="0"/>
        <w:adjustRightInd w:val="0"/>
        <w:snapToGrid/>
        <w:spacing w:line="360" w:lineRule="auto"/>
        <w:ind w:firstLine="482"/>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提供参加政府采购活动前3年内在经营活动中没有重大违法记录的书面声明，并</w:t>
      </w:r>
      <w:r>
        <w:rPr>
          <w:rFonts w:hint="eastAsia" w:ascii="宋体" w:hAnsi="宋体" w:eastAsia="宋体" w:cs="宋体"/>
          <w:color w:val="auto"/>
          <w:kern w:val="0"/>
          <w:highlight w:val="none"/>
        </w:rPr>
        <w:t>附“信用中国”网站无任何不良记录的查询截图，时间为投标截止时间前</w:t>
      </w:r>
      <w:r>
        <w:rPr>
          <w:rFonts w:hint="eastAsia" w:ascii="宋体" w:hAnsi="宋体" w:cs="宋体"/>
          <w:color w:val="auto"/>
          <w:kern w:val="0"/>
          <w:highlight w:val="none"/>
          <w:lang w:val="en-US" w:eastAsia="zh-CN"/>
        </w:rPr>
        <w:t>10</w:t>
      </w:r>
      <w:r>
        <w:rPr>
          <w:rFonts w:hint="eastAsia" w:ascii="宋体" w:hAnsi="宋体" w:eastAsia="宋体" w:cs="宋体"/>
          <w:color w:val="auto"/>
          <w:kern w:val="0"/>
          <w:highlight w:val="none"/>
        </w:rPr>
        <w:t>天内</w:t>
      </w:r>
      <w:r>
        <w:rPr>
          <w:rFonts w:hint="eastAsia" w:ascii="宋体" w:hAnsi="宋体" w:eastAsia="宋体" w:cs="宋体"/>
          <w:color w:val="auto"/>
          <w:highlight w:val="none"/>
        </w:rPr>
        <w:t>。（格式可自定）</w:t>
      </w:r>
    </w:p>
    <w:p w14:paraId="1C710610">
      <w:pPr>
        <w:tabs>
          <w:tab w:val="left" w:pos="168"/>
        </w:tabs>
        <w:adjustRightInd w:val="0"/>
        <w:textAlignment w:val="baseline"/>
        <w:rPr>
          <w:rFonts w:hint="eastAsia" w:ascii="宋体" w:hAnsi="宋体" w:eastAsia="宋体" w:cs="宋体"/>
          <w:b/>
          <w:bCs/>
          <w:color w:val="auto"/>
          <w:highlight w:val="none"/>
        </w:rPr>
      </w:pPr>
    </w:p>
    <w:p w14:paraId="395C0424">
      <w:pPr>
        <w:tabs>
          <w:tab w:val="left" w:pos="168"/>
        </w:tabs>
        <w:adjustRightInd w:val="0"/>
        <w:textAlignment w:val="baseline"/>
        <w:rPr>
          <w:rFonts w:hint="eastAsia" w:ascii="宋体" w:hAnsi="宋体" w:eastAsia="宋体" w:cs="宋体"/>
          <w:b/>
          <w:bCs/>
          <w:color w:val="auto"/>
          <w:highlight w:val="none"/>
        </w:rPr>
      </w:pPr>
    </w:p>
    <w:p w14:paraId="3C3FBBC2">
      <w:pPr>
        <w:tabs>
          <w:tab w:val="left" w:pos="168"/>
        </w:tabs>
        <w:adjustRightInd w:val="0"/>
        <w:textAlignment w:val="baseline"/>
        <w:rPr>
          <w:rFonts w:hint="eastAsia" w:ascii="宋体" w:hAnsi="宋体" w:eastAsia="宋体" w:cs="宋体"/>
          <w:b/>
          <w:bCs/>
          <w:color w:val="auto"/>
          <w:highlight w:val="none"/>
        </w:rPr>
      </w:pPr>
    </w:p>
    <w:p w14:paraId="177FA6FD">
      <w:pPr>
        <w:tabs>
          <w:tab w:val="left" w:pos="168"/>
        </w:tabs>
        <w:adjustRightInd w:val="0"/>
        <w:textAlignment w:val="baseline"/>
        <w:rPr>
          <w:rFonts w:hint="eastAsia" w:ascii="宋体" w:hAnsi="宋体" w:eastAsia="宋体" w:cs="宋体"/>
          <w:b/>
          <w:bCs/>
          <w:color w:val="auto"/>
          <w:highlight w:val="none"/>
        </w:rPr>
      </w:pPr>
    </w:p>
    <w:p w14:paraId="5DDF88CB">
      <w:pPr>
        <w:tabs>
          <w:tab w:val="left" w:pos="168"/>
        </w:tabs>
        <w:adjustRightInd w:val="0"/>
        <w:textAlignment w:val="baseline"/>
        <w:rPr>
          <w:rFonts w:hint="eastAsia" w:ascii="宋体" w:hAnsi="宋体" w:eastAsia="宋体" w:cs="宋体"/>
          <w:b/>
          <w:bCs/>
          <w:color w:val="auto"/>
          <w:highlight w:val="none"/>
        </w:rPr>
      </w:pPr>
    </w:p>
    <w:p w14:paraId="59A86778">
      <w:pPr>
        <w:tabs>
          <w:tab w:val="left" w:pos="168"/>
        </w:tabs>
        <w:adjustRightInd w:val="0"/>
        <w:textAlignment w:val="baseline"/>
        <w:rPr>
          <w:rFonts w:hint="eastAsia" w:ascii="宋体" w:hAnsi="宋体" w:eastAsia="宋体" w:cs="宋体"/>
          <w:b/>
          <w:bCs/>
          <w:color w:val="auto"/>
          <w:highlight w:val="none"/>
        </w:rPr>
      </w:pPr>
    </w:p>
    <w:p w14:paraId="125C7EB9">
      <w:pPr>
        <w:tabs>
          <w:tab w:val="left" w:pos="168"/>
        </w:tabs>
        <w:adjustRightInd w:val="0"/>
        <w:textAlignment w:val="baseline"/>
        <w:rPr>
          <w:rFonts w:hint="eastAsia" w:ascii="宋体" w:hAnsi="宋体" w:eastAsia="宋体" w:cs="宋体"/>
          <w:b/>
          <w:bCs/>
          <w:color w:val="auto"/>
          <w:highlight w:val="none"/>
        </w:rPr>
      </w:pPr>
    </w:p>
    <w:p w14:paraId="7419631F">
      <w:pPr>
        <w:tabs>
          <w:tab w:val="left" w:pos="168"/>
        </w:tabs>
        <w:adjustRightInd w:val="0"/>
        <w:textAlignment w:val="baseline"/>
        <w:rPr>
          <w:rFonts w:hint="eastAsia" w:ascii="宋体" w:hAnsi="宋体" w:eastAsia="宋体" w:cs="宋体"/>
          <w:b/>
          <w:bCs/>
          <w:color w:val="auto"/>
          <w:highlight w:val="none"/>
        </w:rPr>
      </w:pPr>
    </w:p>
    <w:p w14:paraId="42375165">
      <w:pPr>
        <w:tabs>
          <w:tab w:val="left" w:pos="168"/>
        </w:tabs>
        <w:adjustRightInd w:val="0"/>
        <w:textAlignment w:val="baseline"/>
        <w:rPr>
          <w:rFonts w:hint="eastAsia" w:ascii="宋体" w:hAnsi="宋体" w:eastAsia="宋体" w:cs="宋体"/>
          <w:b/>
          <w:bCs/>
          <w:color w:val="auto"/>
          <w:highlight w:val="none"/>
        </w:rPr>
      </w:pPr>
    </w:p>
    <w:p w14:paraId="2F2F9053">
      <w:pPr>
        <w:tabs>
          <w:tab w:val="left" w:pos="168"/>
        </w:tabs>
        <w:adjustRightInd w:val="0"/>
        <w:textAlignment w:val="baseline"/>
        <w:rPr>
          <w:rFonts w:hint="eastAsia" w:ascii="宋体" w:hAnsi="宋体" w:eastAsia="宋体" w:cs="宋体"/>
          <w:b/>
          <w:bCs/>
          <w:color w:val="auto"/>
          <w:highlight w:val="none"/>
        </w:rPr>
      </w:pPr>
    </w:p>
    <w:p w14:paraId="65C1C164">
      <w:pPr>
        <w:tabs>
          <w:tab w:val="left" w:pos="168"/>
        </w:tabs>
        <w:adjustRightInd w:val="0"/>
        <w:textAlignment w:val="baseline"/>
        <w:rPr>
          <w:rFonts w:hint="eastAsia" w:ascii="宋体" w:hAnsi="宋体" w:eastAsia="宋体" w:cs="宋体"/>
          <w:b/>
          <w:bCs/>
          <w:color w:val="auto"/>
          <w:highlight w:val="none"/>
        </w:rPr>
      </w:pPr>
    </w:p>
    <w:p w14:paraId="78E318A9">
      <w:pPr>
        <w:tabs>
          <w:tab w:val="left" w:pos="168"/>
        </w:tabs>
        <w:adjustRightInd w:val="0"/>
        <w:textAlignment w:val="baseline"/>
        <w:rPr>
          <w:rFonts w:hint="eastAsia" w:ascii="宋体" w:hAnsi="宋体" w:eastAsia="宋体" w:cs="宋体"/>
          <w:b/>
          <w:bCs/>
          <w:color w:val="auto"/>
          <w:highlight w:val="none"/>
        </w:rPr>
      </w:pPr>
    </w:p>
    <w:p w14:paraId="364D4088">
      <w:pPr>
        <w:tabs>
          <w:tab w:val="left" w:pos="168"/>
        </w:tabs>
        <w:adjustRightInd w:val="0"/>
        <w:textAlignment w:val="baseline"/>
        <w:rPr>
          <w:rFonts w:hint="eastAsia" w:ascii="宋体" w:hAnsi="宋体" w:eastAsia="宋体" w:cs="宋体"/>
          <w:b/>
          <w:bCs/>
          <w:color w:val="auto"/>
          <w:highlight w:val="none"/>
        </w:rPr>
      </w:pPr>
    </w:p>
    <w:p w14:paraId="1CABD39D">
      <w:pPr>
        <w:tabs>
          <w:tab w:val="left" w:pos="168"/>
        </w:tabs>
        <w:adjustRightInd w:val="0"/>
        <w:textAlignment w:val="baseline"/>
        <w:rPr>
          <w:rFonts w:hint="eastAsia" w:ascii="宋体" w:hAnsi="宋体" w:eastAsia="宋体" w:cs="宋体"/>
          <w:b/>
          <w:bCs/>
          <w:color w:val="auto"/>
          <w:highlight w:val="none"/>
        </w:rPr>
      </w:pPr>
    </w:p>
    <w:p w14:paraId="4C1A1BF8">
      <w:pPr>
        <w:pStyle w:val="17"/>
        <w:spacing w:line="360" w:lineRule="auto"/>
        <w:jc w:val="left"/>
        <w:outlineLvl w:val="1"/>
        <w:rPr>
          <w:rFonts w:hint="eastAsia" w:ascii="宋体" w:hAnsi="宋体" w:eastAsia="宋体" w:cs="宋体"/>
          <w:bCs w:val="0"/>
          <w:sz w:val="28"/>
          <w:szCs w:val="28"/>
          <w:highlight w:val="none"/>
        </w:rPr>
      </w:pPr>
      <w:bookmarkStart w:id="224" w:name="_Toc496626243"/>
      <w:bookmarkStart w:id="225" w:name="_Toc3082"/>
    </w:p>
    <w:p w14:paraId="3504A122">
      <w:pPr>
        <w:pStyle w:val="17"/>
        <w:spacing w:line="360" w:lineRule="auto"/>
        <w:jc w:val="left"/>
        <w:outlineLvl w:val="1"/>
        <w:rPr>
          <w:rFonts w:hint="eastAsia" w:ascii="宋体" w:hAnsi="宋体" w:eastAsia="宋体" w:cs="宋体"/>
          <w:bCs w:val="0"/>
          <w:sz w:val="28"/>
          <w:szCs w:val="28"/>
          <w:highlight w:val="none"/>
        </w:rPr>
      </w:pPr>
    </w:p>
    <w:p w14:paraId="4F517F4B">
      <w:pPr>
        <w:pStyle w:val="17"/>
        <w:spacing w:line="360" w:lineRule="auto"/>
        <w:jc w:val="left"/>
        <w:outlineLvl w:val="1"/>
        <w:rPr>
          <w:rFonts w:hint="eastAsia" w:ascii="宋体" w:hAnsi="宋体" w:eastAsia="宋体" w:cs="宋体"/>
          <w:bCs w:val="0"/>
          <w:sz w:val="28"/>
          <w:szCs w:val="28"/>
          <w:highlight w:val="none"/>
        </w:rPr>
      </w:pPr>
    </w:p>
    <w:p w14:paraId="5E7201BC">
      <w:pPr>
        <w:pStyle w:val="17"/>
        <w:spacing w:line="360" w:lineRule="auto"/>
        <w:jc w:val="left"/>
        <w:outlineLvl w:val="1"/>
        <w:rPr>
          <w:rFonts w:hint="eastAsia" w:ascii="宋体" w:hAnsi="宋体" w:eastAsia="宋体" w:cs="宋体"/>
          <w:bCs w:val="0"/>
          <w:sz w:val="28"/>
          <w:szCs w:val="28"/>
          <w:highlight w:val="none"/>
        </w:rPr>
      </w:pPr>
    </w:p>
    <w:p w14:paraId="6587A911">
      <w:pPr>
        <w:pStyle w:val="17"/>
        <w:spacing w:line="360" w:lineRule="auto"/>
        <w:jc w:val="left"/>
        <w:outlineLvl w:val="1"/>
        <w:rPr>
          <w:rFonts w:hint="eastAsia" w:ascii="宋体" w:hAnsi="宋体" w:eastAsia="宋体" w:cs="宋体"/>
          <w:bCs w:val="0"/>
          <w:sz w:val="28"/>
          <w:szCs w:val="28"/>
          <w:highlight w:val="none"/>
        </w:rPr>
      </w:pPr>
    </w:p>
    <w:p w14:paraId="1B1053B7">
      <w:pPr>
        <w:pStyle w:val="17"/>
        <w:spacing w:line="360" w:lineRule="auto"/>
        <w:jc w:val="left"/>
        <w:outlineLvl w:val="1"/>
        <w:rPr>
          <w:rFonts w:hint="eastAsia" w:ascii="宋体" w:hAnsi="宋体" w:eastAsia="宋体" w:cs="宋体"/>
          <w:bCs w:val="0"/>
          <w:sz w:val="28"/>
          <w:szCs w:val="28"/>
          <w:highlight w:val="none"/>
        </w:rPr>
      </w:pPr>
    </w:p>
    <w:p w14:paraId="5C434288">
      <w:pPr>
        <w:pStyle w:val="17"/>
        <w:spacing w:line="360" w:lineRule="auto"/>
        <w:jc w:val="left"/>
        <w:outlineLvl w:val="1"/>
        <w:rPr>
          <w:rFonts w:hint="eastAsia" w:ascii="宋体" w:hAnsi="宋体" w:eastAsia="宋体" w:cs="宋体"/>
          <w:bCs w:val="0"/>
          <w:sz w:val="28"/>
          <w:szCs w:val="28"/>
          <w:highlight w:val="none"/>
        </w:rPr>
      </w:pPr>
    </w:p>
    <w:p w14:paraId="7AC8CB44">
      <w:pPr>
        <w:pStyle w:val="17"/>
        <w:spacing w:line="360" w:lineRule="auto"/>
        <w:jc w:val="left"/>
        <w:outlineLvl w:val="1"/>
        <w:rPr>
          <w:rFonts w:hint="eastAsia" w:ascii="宋体" w:hAnsi="宋体" w:eastAsia="宋体" w:cs="宋体"/>
          <w:bCs w:val="0"/>
          <w:sz w:val="28"/>
          <w:szCs w:val="28"/>
          <w:highlight w:val="none"/>
        </w:rPr>
      </w:pPr>
    </w:p>
    <w:p w14:paraId="58C5D2F5">
      <w:pPr>
        <w:pStyle w:val="17"/>
        <w:spacing w:line="360" w:lineRule="auto"/>
        <w:jc w:val="left"/>
        <w:outlineLvl w:val="1"/>
        <w:rPr>
          <w:rFonts w:hint="eastAsia" w:ascii="宋体" w:hAnsi="宋体" w:eastAsia="宋体" w:cs="宋体"/>
          <w:bCs w:val="0"/>
          <w:sz w:val="28"/>
          <w:szCs w:val="28"/>
          <w:highlight w:val="none"/>
        </w:rPr>
      </w:pPr>
    </w:p>
    <w:p w14:paraId="05BC8729">
      <w:pPr>
        <w:pStyle w:val="17"/>
        <w:spacing w:line="360" w:lineRule="auto"/>
        <w:jc w:val="left"/>
        <w:outlineLvl w:val="1"/>
        <w:rPr>
          <w:rFonts w:hint="eastAsia" w:ascii="宋体" w:hAnsi="宋体" w:eastAsia="宋体" w:cs="宋体"/>
          <w:bCs w:val="0"/>
          <w:sz w:val="28"/>
          <w:szCs w:val="28"/>
          <w:highlight w:val="none"/>
        </w:rPr>
      </w:pPr>
    </w:p>
    <w:p w14:paraId="600F532F">
      <w:pPr>
        <w:pStyle w:val="17"/>
        <w:spacing w:line="360" w:lineRule="auto"/>
        <w:jc w:val="left"/>
        <w:outlineLvl w:val="1"/>
        <w:rPr>
          <w:rFonts w:hint="eastAsia" w:ascii="宋体" w:hAnsi="宋体" w:eastAsia="宋体" w:cs="宋体"/>
          <w:highlight w:val="none"/>
        </w:rPr>
      </w:pPr>
      <w:bookmarkStart w:id="226" w:name="_Toc25780"/>
      <w:r>
        <w:rPr>
          <w:rFonts w:hint="eastAsia" w:ascii="宋体" w:hAnsi="宋体" w:eastAsia="宋体" w:cs="宋体"/>
          <w:bCs w:val="0"/>
          <w:sz w:val="28"/>
          <w:szCs w:val="28"/>
          <w:highlight w:val="none"/>
        </w:rPr>
        <w:t>附件9：</w:t>
      </w:r>
      <w:bookmarkEnd w:id="224"/>
      <w:r>
        <w:rPr>
          <w:rFonts w:hint="eastAsia" w:ascii="宋体" w:hAnsi="宋体" w:eastAsia="宋体" w:cs="宋体"/>
          <w:sz w:val="30"/>
          <w:szCs w:val="30"/>
          <w:highlight w:val="none"/>
          <w:lang w:val="zh-CN"/>
        </w:rPr>
        <w:t>具备履行合同所必需的设备和专业技术能力的证明材料</w:t>
      </w:r>
      <w:bookmarkEnd w:id="225"/>
      <w:bookmarkEnd w:id="226"/>
    </w:p>
    <w:p w14:paraId="754FCDA8">
      <w:pPr>
        <w:autoSpaceDE w:val="0"/>
        <w:autoSpaceDN w:val="0"/>
        <w:spacing w:line="360" w:lineRule="auto"/>
        <w:rPr>
          <w:rFonts w:hint="eastAsia" w:ascii="宋体" w:hAnsi="宋体" w:eastAsia="宋体" w:cs="宋体"/>
          <w:kern w:val="0"/>
          <w:sz w:val="28"/>
          <w:szCs w:val="28"/>
          <w:highlight w:val="none"/>
          <w:lang w:val="zh-CN"/>
        </w:rPr>
      </w:pPr>
    </w:p>
    <w:p w14:paraId="2B4251FE">
      <w:pPr>
        <w:autoSpaceDE w:val="0"/>
        <w:autoSpaceDN w:val="0"/>
        <w:spacing w:line="360" w:lineRule="auto"/>
        <w:jc w:val="center"/>
        <w:rPr>
          <w:rFonts w:hint="eastAsia" w:ascii="宋体" w:hAnsi="宋体" w:eastAsia="宋体" w:cs="宋体"/>
          <w:b/>
          <w:bCs/>
          <w:kern w:val="0"/>
          <w:sz w:val="36"/>
          <w:szCs w:val="36"/>
          <w:highlight w:val="none"/>
          <w:lang w:val="zh-CN"/>
        </w:rPr>
      </w:pPr>
      <w:r>
        <w:rPr>
          <w:rFonts w:hint="eastAsia" w:ascii="宋体" w:hAnsi="宋体" w:eastAsia="宋体" w:cs="宋体"/>
          <w:b/>
          <w:bCs/>
          <w:kern w:val="0"/>
          <w:sz w:val="28"/>
          <w:szCs w:val="28"/>
          <w:highlight w:val="none"/>
          <w:lang w:val="zh-CN"/>
        </w:rPr>
        <w:t>具备履行合同所必需的设备和专业技术能力的证明材料</w:t>
      </w:r>
    </w:p>
    <w:p w14:paraId="2416C4E6">
      <w:pPr>
        <w:autoSpaceDE w:val="0"/>
        <w:autoSpaceDN w:val="0"/>
        <w:spacing w:line="360" w:lineRule="auto"/>
        <w:ind w:firstLine="480"/>
        <w:rPr>
          <w:rFonts w:hint="eastAsia" w:ascii="宋体" w:hAnsi="宋体" w:eastAsia="宋体" w:cs="宋体"/>
          <w:kern w:val="0"/>
          <w:highlight w:val="none"/>
          <w:lang w:val="zh-CN"/>
        </w:rPr>
      </w:pPr>
    </w:p>
    <w:p w14:paraId="272A6C9A">
      <w:pPr>
        <w:autoSpaceDE w:val="0"/>
        <w:autoSpaceDN w:val="0"/>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为保证本项目合同的顺利履行，供应商必须具备履行合同的设备和专业技术能力，须提供必须具备履行合同的设备和专业技术能力的承诺函（格式自拟）。</w:t>
      </w:r>
    </w:p>
    <w:p w14:paraId="3268AE5F">
      <w:pPr>
        <w:tabs>
          <w:tab w:val="left" w:pos="168"/>
        </w:tabs>
        <w:adjustRightInd w:val="0"/>
        <w:textAlignment w:val="baseline"/>
        <w:rPr>
          <w:rFonts w:hint="eastAsia" w:ascii="宋体" w:hAnsi="宋体" w:eastAsia="宋体" w:cs="宋体"/>
          <w:b/>
          <w:bCs/>
          <w:color w:val="auto"/>
          <w:highlight w:val="none"/>
        </w:rPr>
      </w:pPr>
    </w:p>
    <w:p w14:paraId="50FAD776">
      <w:pPr>
        <w:tabs>
          <w:tab w:val="left" w:pos="168"/>
        </w:tabs>
        <w:adjustRightInd w:val="0"/>
        <w:textAlignment w:val="baseline"/>
        <w:rPr>
          <w:rFonts w:hint="eastAsia" w:ascii="宋体" w:hAnsi="宋体" w:eastAsia="宋体" w:cs="宋体"/>
          <w:b/>
          <w:bCs/>
          <w:color w:val="auto"/>
          <w:highlight w:val="none"/>
        </w:rPr>
      </w:pPr>
    </w:p>
    <w:p w14:paraId="11A8F5DC">
      <w:pPr>
        <w:tabs>
          <w:tab w:val="left" w:pos="168"/>
        </w:tabs>
        <w:adjustRightInd w:val="0"/>
        <w:textAlignment w:val="baseline"/>
        <w:rPr>
          <w:rFonts w:hint="eastAsia" w:ascii="宋体" w:hAnsi="宋体" w:eastAsia="宋体" w:cs="宋体"/>
          <w:b/>
          <w:bCs/>
          <w:color w:val="auto"/>
          <w:highlight w:val="none"/>
        </w:rPr>
      </w:pPr>
    </w:p>
    <w:p w14:paraId="775D17BB">
      <w:pPr>
        <w:tabs>
          <w:tab w:val="left" w:pos="168"/>
        </w:tabs>
        <w:adjustRightInd w:val="0"/>
        <w:textAlignment w:val="baseline"/>
        <w:rPr>
          <w:rFonts w:hint="eastAsia" w:ascii="宋体" w:hAnsi="宋体" w:eastAsia="宋体" w:cs="宋体"/>
          <w:b/>
          <w:bCs/>
          <w:color w:val="auto"/>
          <w:highlight w:val="none"/>
        </w:rPr>
      </w:pPr>
    </w:p>
    <w:p w14:paraId="6E69A839">
      <w:pPr>
        <w:tabs>
          <w:tab w:val="left" w:pos="168"/>
        </w:tabs>
        <w:adjustRightInd w:val="0"/>
        <w:textAlignment w:val="baseline"/>
        <w:rPr>
          <w:rFonts w:hint="eastAsia" w:ascii="宋体" w:hAnsi="宋体" w:eastAsia="宋体" w:cs="宋体"/>
          <w:b/>
          <w:bCs/>
          <w:color w:val="auto"/>
          <w:highlight w:val="none"/>
        </w:rPr>
      </w:pPr>
    </w:p>
    <w:p w14:paraId="5B7287AA">
      <w:pPr>
        <w:tabs>
          <w:tab w:val="left" w:pos="168"/>
        </w:tabs>
        <w:adjustRightInd w:val="0"/>
        <w:textAlignment w:val="baseline"/>
        <w:rPr>
          <w:rFonts w:hint="eastAsia" w:ascii="宋体" w:hAnsi="宋体" w:eastAsia="宋体" w:cs="宋体"/>
          <w:b/>
          <w:bCs/>
          <w:color w:val="auto"/>
          <w:highlight w:val="none"/>
        </w:rPr>
      </w:pPr>
    </w:p>
    <w:p w14:paraId="6D0537ED">
      <w:pPr>
        <w:tabs>
          <w:tab w:val="left" w:pos="168"/>
        </w:tabs>
        <w:adjustRightInd w:val="0"/>
        <w:textAlignment w:val="baseline"/>
        <w:rPr>
          <w:rFonts w:hint="eastAsia" w:ascii="宋体" w:hAnsi="宋体" w:eastAsia="宋体" w:cs="宋体"/>
          <w:b/>
          <w:bCs/>
          <w:color w:val="auto"/>
          <w:highlight w:val="none"/>
        </w:rPr>
      </w:pPr>
    </w:p>
    <w:p w14:paraId="6A2F5F24">
      <w:pPr>
        <w:tabs>
          <w:tab w:val="left" w:pos="168"/>
        </w:tabs>
        <w:adjustRightInd w:val="0"/>
        <w:textAlignment w:val="baseline"/>
        <w:rPr>
          <w:rFonts w:hint="eastAsia" w:ascii="宋体" w:hAnsi="宋体" w:eastAsia="宋体" w:cs="宋体"/>
          <w:b/>
          <w:bCs/>
          <w:color w:val="auto"/>
          <w:highlight w:val="none"/>
        </w:rPr>
      </w:pPr>
    </w:p>
    <w:p w14:paraId="7D581116">
      <w:pPr>
        <w:tabs>
          <w:tab w:val="left" w:pos="168"/>
        </w:tabs>
        <w:adjustRightInd w:val="0"/>
        <w:textAlignment w:val="baseline"/>
        <w:rPr>
          <w:rFonts w:hint="eastAsia" w:ascii="宋体" w:hAnsi="宋体" w:eastAsia="宋体" w:cs="宋体"/>
          <w:b/>
          <w:bCs/>
          <w:color w:val="auto"/>
          <w:highlight w:val="none"/>
        </w:rPr>
      </w:pPr>
    </w:p>
    <w:p w14:paraId="4861117D">
      <w:pPr>
        <w:widowControl/>
        <w:snapToGrid w:val="0"/>
        <w:spacing w:line="360" w:lineRule="auto"/>
        <w:outlineLvl w:val="1"/>
        <w:rPr>
          <w:rFonts w:hint="eastAsia" w:ascii="宋体" w:hAnsi="宋体" w:eastAsia="宋体" w:cs="宋体"/>
          <w:b/>
          <w:color w:val="auto"/>
          <w:sz w:val="28"/>
          <w:szCs w:val="28"/>
          <w:highlight w:val="none"/>
        </w:rPr>
      </w:pPr>
    </w:p>
    <w:p w14:paraId="6E64C972">
      <w:pPr>
        <w:widowControl/>
        <w:spacing w:beforeAutospacing="1" w:afterAutospacing="1" w:line="435" w:lineRule="atLeast"/>
        <w:ind w:firstLine="528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b/>
          <w:color w:val="auto"/>
          <w:sz w:val="28"/>
          <w:szCs w:val="28"/>
          <w:highlight w:val="none"/>
        </w:rPr>
        <w:br w:type="page"/>
      </w:r>
      <w:bookmarkEnd w:id="222"/>
      <w:bookmarkStart w:id="227" w:name="_Toc28726"/>
    </w:p>
    <w:p w14:paraId="2690E8D0">
      <w:pPr>
        <w:pStyle w:val="6"/>
        <w:rPr>
          <w:rFonts w:hint="eastAsia" w:ascii="宋体" w:hAnsi="宋体" w:eastAsia="宋体" w:cs="宋体"/>
          <w:kern w:val="0"/>
          <w:sz w:val="24"/>
          <w:highlight w:val="none"/>
          <w:shd w:val="clear" w:color="auto" w:fill="FFFFFF"/>
          <w:lang w:bidi="ar"/>
        </w:rPr>
      </w:pPr>
    </w:p>
    <w:p w14:paraId="58ADF833">
      <w:pPr>
        <w:pStyle w:val="6"/>
        <w:rPr>
          <w:rFonts w:hint="eastAsia" w:ascii="宋体" w:hAnsi="宋体" w:eastAsia="宋体" w:cs="宋体"/>
          <w:kern w:val="0"/>
          <w:sz w:val="24"/>
          <w:highlight w:val="none"/>
          <w:shd w:val="clear" w:color="auto" w:fill="FFFFFF"/>
          <w:lang w:bidi="ar"/>
        </w:rPr>
      </w:pPr>
    </w:p>
    <w:p w14:paraId="691348C3">
      <w:pPr>
        <w:ind w:firstLine="175" w:firstLineChars="83"/>
        <w:rPr>
          <w:rFonts w:hint="eastAsia" w:ascii="宋体" w:hAnsi="宋体" w:eastAsia="宋体" w:cs="宋体"/>
          <w:b/>
          <w:color w:val="auto"/>
          <w:highlight w:val="none"/>
        </w:rPr>
      </w:pPr>
      <w:r>
        <w:rPr>
          <w:rFonts w:hint="eastAsia" w:ascii="宋体" w:hAnsi="宋体" w:eastAsia="宋体" w:cs="宋体"/>
          <w:b/>
          <w:color w:val="auto"/>
          <w:highlight w:val="none"/>
        </w:rPr>
        <w:t>（磋商响应文件封面）</w:t>
      </w:r>
    </w:p>
    <w:p w14:paraId="255D99FA">
      <w:pPr>
        <w:spacing w:line="360" w:lineRule="auto"/>
        <w:ind w:firstLine="2088" w:firstLineChars="400"/>
        <w:rPr>
          <w:rFonts w:hint="eastAsia" w:ascii="宋体" w:hAnsi="宋体" w:eastAsia="宋体" w:cs="宋体"/>
          <w:b/>
          <w:color w:val="auto"/>
          <w:sz w:val="52"/>
          <w:szCs w:val="52"/>
          <w:highlight w:val="none"/>
        </w:rPr>
      </w:pPr>
    </w:p>
    <w:p w14:paraId="10FD1566">
      <w:pPr>
        <w:spacing w:line="360" w:lineRule="auto"/>
        <w:ind w:firstLine="2088" w:firstLineChars="40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青海省政府采购项目</w:t>
      </w:r>
    </w:p>
    <w:p w14:paraId="50E318E1">
      <w:pPr>
        <w:spacing w:line="360" w:lineRule="auto"/>
        <w:ind w:firstLine="826" w:firstLineChars="392"/>
        <w:rPr>
          <w:rFonts w:hint="eastAsia" w:ascii="宋体" w:hAnsi="宋体" w:eastAsia="宋体" w:cs="宋体"/>
          <w:b/>
          <w:color w:val="auto"/>
          <w:szCs w:val="21"/>
          <w:highlight w:val="none"/>
        </w:rPr>
      </w:pPr>
    </w:p>
    <w:p w14:paraId="7F4AA392">
      <w:pPr>
        <w:spacing w:line="360" w:lineRule="auto"/>
        <w:ind w:firstLine="2364" w:firstLineChars="327"/>
        <w:rPr>
          <w:rFonts w:hint="eastAsia" w:ascii="宋体" w:hAnsi="宋体" w:eastAsia="宋体" w:cs="宋体"/>
          <w:b/>
          <w:color w:val="auto"/>
          <w:sz w:val="72"/>
          <w:szCs w:val="72"/>
          <w:highlight w:val="none"/>
        </w:rPr>
      </w:pPr>
    </w:p>
    <w:p w14:paraId="35971285">
      <w:pPr>
        <w:spacing w:line="360" w:lineRule="auto"/>
        <w:ind w:firstLine="2364" w:firstLineChars="327"/>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磋商响应文件</w:t>
      </w:r>
    </w:p>
    <w:p w14:paraId="2747FAE7">
      <w:pPr>
        <w:adjustRightInd w:val="0"/>
        <w:spacing w:line="360" w:lineRule="auto"/>
        <w:jc w:val="center"/>
        <w:textAlignment w:val="baseline"/>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（符合性审查文件）</w:t>
      </w:r>
    </w:p>
    <w:p w14:paraId="6A533D6C">
      <w:pPr>
        <w:spacing w:line="360" w:lineRule="auto"/>
        <w:ind w:firstLine="689" w:firstLineChars="327"/>
        <w:rPr>
          <w:rFonts w:hint="eastAsia" w:ascii="宋体" w:hAnsi="宋体" w:eastAsia="宋体" w:cs="宋体"/>
          <w:b/>
          <w:color w:val="auto"/>
          <w:highlight w:val="none"/>
        </w:rPr>
      </w:pPr>
    </w:p>
    <w:p w14:paraId="057ACA25">
      <w:pPr>
        <w:adjustRightInd w:val="0"/>
        <w:spacing w:line="360" w:lineRule="auto"/>
        <w:textAlignment w:val="baseline"/>
        <w:rPr>
          <w:rFonts w:hint="eastAsia" w:ascii="宋体" w:hAnsi="宋体" w:eastAsia="宋体" w:cs="宋体"/>
          <w:b/>
          <w:bCs/>
          <w:color w:val="auto"/>
          <w:sz w:val="32"/>
          <w:highlight w:val="none"/>
        </w:rPr>
      </w:pPr>
    </w:p>
    <w:p w14:paraId="0E36494F">
      <w:pPr>
        <w:adjustRightInd w:val="0"/>
        <w:spacing w:line="360" w:lineRule="auto"/>
        <w:ind w:left="2512" w:right="-248" w:rightChars="-118" w:hanging="2512" w:hangingChars="695"/>
        <w:textAlignment w:val="baseline"/>
        <w:rPr>
          <w:rFonts w:hint="eastAsia" w:ascii="宋体" w:hAnsi="宋体" w:cs="宋体"/>
          <w:b/>
          <w:color w:val="auto"/>
          <w:sz w:val="36"/>
          <w:szCs w:val="36"/>
          <w:highlight w:val="none"/>
          <w:lang w:eastAsia="zh-CN"/>
        </w:rPr>
      </w:pPr>
      <w:r>
        <w:rPr>
          <w:rFonts w:hint="eastAsia" w:ascii="宋体" w:hAnsi="宋体" w:eastAsia="宋体" w:cs="宋体"/>
          <w:b/>
          <w:bCs/>
          <w:color w:val="auto"/>
          <w:sz w:val="36"/>
          <w:szCs w:val="36"/>
          <w:highlight w:val="none"/>
        </w:rPr>
        <w:t>采购项目编号</w:t>
      </w:r>
      <w:r>
        <w:rPr>
          <w:rFonts w:hint="eastAsia" w:ascii="宋体" w:hAnsi="宋体" w:eastAsia="宋体" w:cs="宋体"/>
          <w:b/>
          <w:color w:val="auto"/>
          <w:sz w:val="36"/>
          <w:szCs w:val="36"/>
          <w:highlight w:val="none"/>
        </w:rPr>
        <w:t>：</w:t>
      </w:r>
    </w:p>
    <w:p w14:paraId="19AEADA7">
      <w:pPr>
        <w:adjustRightInd w:val="0"/>
        <w:spacing w:line="360" w:lineRule="auto"/>
        <w:ind w:right="-248" w:rightChars="-118"/>
        <w:textAlignment w:val="baseline"/>
        <w:rPr>
          <w:rFonts w:hint="eastAsia" w:ascii="宋体" w:hAnsi="宋体" w:eastAsia="宋体" w:cs="宋体"/>
          <w:b/>
          <w:color w:val="auto"/>
          <w:sz w:val="36"/>
          <w:szCs w:val="36"/>
          <w:highlight w:val="none"/>
        </w:rPr>
      </w:pPr>
      <w:r>
        <w:rPr>
          <w:rFonts w:hint="eastAsia" w:ascii="宋体" w:hAnsi="宋体" w:eastAsia="宋体" w:cs="宋体"/>
          <w:b/>
          <w:bCs/>
          <w:color w:val="auto"/>
          <w:sz w:val="36"/>
          <w:szCs w:val="36"/>
          <w:highlight w:val="none"/>
        </w:rPr>
        <w:t>采购项目名</w:t>
      </w:r>
      <w:r>
        <w:rPr>
          <w:rFonts w:hint="eastAsia" w:ascii="宋体" w:hAnsi="宋体" w:eastAsia="宋体" w:cs="宋体"/>
          <w:b/>
          <w:color w:val="auto"/>
          <w:sz w:val="36"/>
          <w:szCs w:val="36"/>
          <w:highlight w:val="none"/>
        </w:rPr>
        <w:t xml:space="preserve">称: </w:t>
      </w:r>
    </w:p>
    <w:p w14:paraId="2004C5A7">
      <w:pPr>
        <w:pStyle w:val="10"/>
        <w:rPr>
          <w:rFonts w:hint="eastAsia" w:ascii="宋体" w:hAnsi="宋体" w:eastAsia="宋体" w:cs="宋体"/>
          <w:b/>
          <w:color w:val="auto"/>
          <w:sz w:val="36"/>
          <w:szCs w:val="36"/>
          <w:highlight w:val="none"/>
        </w:rPr>
      </w:pPr>
    </w:p>
    <w:p w14:paraId="1AF24183">
      <w:pPr>
        <w:pStyle w:val="10"/>
        <w:rPr>
          <w:rFonts w:hint="eastAsia" w:ascii="宋体" w:hAnsi="宋体" w:eastAsia="宋体" w:cs="宋体"/>
          <w:b/>
          <w:color w:val="auto"/>
          <w:sz w:val="36"/>
          <w:szCs w:val="36"/>
          <w:highlight w:val="none"/>
        </w:rPr>
      </w:pPr>
    </w:p>
    <w:p w14:paraId="419F707B">
      <w:pPr>
        <w:pStyle w:val="10"/>
        <w:rPr>
          <w:rFonts w:hint="eastAsia" w:ascii="宋体" w:hAnsi="宋体" w:eastAsia="宋体" w:cs="宋体"/>
          <w:b/>
          <w:color w:val="auto"/>
          <w:sz w:val="36"/>
          <w:szCs w:val="36"/>
          <w:highlight w:val="none"/>
        </w:rPr>
      </w:pPr>
    </w:p>
    <w:p w14:paraId="4EBD28A8">
      <w:pPr>
        <w:pStyle w:val="10"/>
        <w:rPr>
          <w:rFonts w:hint="eastAsia" w:ascii="宋体" w:hAnsi="宋体" w:eastAsia="宋体" w:cs="宋体"/>
          <w:b/>
          <w:color w:val="auto"/>
          <w:sz w:val="36"/>
          <w:szCs w:val="36"/>
          <w:highlight w:val="none"/>
        </w:rPr>
      </w:pPr>
    </w:p>
    <w:p w14:paraId="2FBE3491">
      <w:pPr>
        <w:adjustRightInd w:val="0"/>
        <w:spacing w:line="360" w:lineRule="auto"/>
        <w:ind w:left="-248" w:leftChars="-118" w:firstLine="1"/>
        <w:jc w:val="center"/>
        <w:textAlignment w:val="baseline"/>
        <w:rPr>
          <w:rFonts w:hint="eastAsia" w:ascii="宋体" w:hAnsi="宋体" w:eastAsia="宋体" w:cs="宋体"/>
          <w:b/>
          <w:color w:val="auto"/>
          <w:sz w:val="36"/>
          <w:szCs w:val="36"/>
          <w:highlight w:val="none"/>
        </w:rPr>
      </w:pPr>
      <w:r>
        <w:rPr>
          <w:rFonts w:hint="eastAsia" w:ascii="宋体" w:hAnsi="宋体" w:eastAsia="宋体" w:cs="宋体"/>
          <w:b/>
          <w:bCs/>
          <w:color w:val="auto"/>
          <w:sz w:val="36"/>
          <w:szCs w:val="36"/>
          <w:highlight w:val="none"/>
        </w:rPr>
        <w:t xml:space="preserve">  投标单位</w:t>
      </w:r>
      <w:r>
        <w:rPr>
          <w:rFonts w:hint="eastAsia" w:ascii="宋体" w:hAnsi="宋体" w:eastAsia="宋体" w:cs="宋体"/>
          <w:b/>
          <w:color w:val="auto"/>
          <w:sz w:val="36"/>
          <w:szCs w:val="36"/>
          <w:highlight w:val="none"/>
        </w:rPr>
        <w:t>：</w:t>
      </w:r>
    </w:p>
    <w:p w14:paraId="77FA7A91">
      <w:pPr>
        <w:spacing w:line="360" w:lineRule="auto"/>
        <w:ind w:firstLine="3534" w:firstLineChars="11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年  月  日</w:t>
      </w:r>
    </w:p>
    <w:p w14:paraId="5E7B6B36">
      <w:pPr>
        <w:widowControl/>
        <w:snapToGrid w:val="0"/>
        <w:spacing w:line="360" w:lineRule="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228" w:name="_Toc496626244"/>
      <w:bookmarkStart w:id="229" w:name="_Toc17971"/>
      <w:r>
        <w:rPr>
          <w:rFonts w:hint="eastAsia" w:ascii="宋体" w:hAnsi="宋体" w:eastAsia="宋体" w:cs="宋体"/>
          <w:b/>
          <w:color w:val="auto"/>
          <w:sz w:val="28"/>
          <w:szCs w:val="28"/>
          <w:highlight w:val="none"/>
        </w:rPr>
        <w:t>附件</w:t>
      </w:r>
      <w:bookmarkStart w:id="230" w:name="_Toc376936769"/>
      <w:bookmarkStart w:id="231" w:name="_Toc325726038"/>
      <w:r>
        <w:rPr>
          <w:rFonts w:hint="eastAsia" w:ascii="宋体" w:hAnsi="宋体" w:cs="宋体"/>
          <w:b/>
          <w:color w:val="auto"/>
          <w:sz w:val="28"/>
          <w:szCs w:val="28"/>
          <w:highlight w:val="none"/>
          <w:lang w:val="en-US" w:eastAsia="zh-CN"/>
        </w:rPr>
        <w:t>10</w:t>
      </w:r>
      <w:r>
        <w:rPr>
          <w:rFonts w:hint="eastAsia" w:ascii="宋体" w:hAnsi="宋体" w:eastAsia="宋体" w:cs="宋体"/>
          <w:b/>
          <w:color w:val="auto"/>
          <w:sz w:val="28"/>
          <w:szCs w:val="28"/>
          <w:highlight w:val="none"/>
        </w:rPr>
        <w:t>：</w:t>
      </w:r>
      <w:bookmarkEnd w:id="230"/>
      <w:bookmarkEnd w:id="231"/>
      <w:r>
        <w:rPr>
          <w:rFonts w:hint="eastAsia" w:ascii="宋体" w:hAnsi="宋体" w:eastAsia="宋体" w:cs="宋体"/>
          <w:b/>
          <w:color w:val="auto"/>
          <w:sz w:val="28"/>
          <w:szCs w:val="28"/>
          <w:highlight w:val="none"/>
        </w:rPr>
        <w:t>竞争性磋商首次报价表</w:t>
      </w:r>
      <w:bookmarkEnd w:id="228"/>
      <w:bookmarkEnd w:id="229"/>
    </w:p>
    <w:p w14:paraId="3CF5A201">
      <w:pPr>
        <w:widowControl/>
        <w:snapToGrid w:val="0"/>
        <w:spacing w:line="360" w:lineRule="auto"/>
        <w:jc w:val="center"/>
        <w:outlineLvl w:val="1"/>
        <w:rPr>
          <w:rFonts w:hint="eastAsia" w:ascii="宋体" w:hAnsi="宋体" w:eastAsia="宋体" w:cs="宋体"/>
          <w:b/>
          <w:color w:val="auto"/>
          <w:sz w:val="36"/>
          <w:szCs w:val="36"/>
          <w:highlight w:val="none"/>
        </w:rPr>
      </w:pPr>
    </w:p>
    <w:p w14:paraId="2460E98E">
      <w:pPr>
        <w:ind w:firstLine="2711" w:firstLineChars="750"/>
        <w:rPr>
          <w:rFonts w:ascii="宋体"/>
          <w:b/>
          <w:sz w:val="36"/>
          <w:szCs w:val="36"/>
          <w:highlight w:val="none"/>
        </w:rPr>
      </w:pPr>
      <w:r>
        <w:rPr>
          <w:rFonts w:hint="eastAsia" w:ascii="宋体" w:hAnsi="宋体"/>
          <w:b/>
          <w:sz w:val="36"/>
          <w:szCs w:val="36"/>
          <w:highlight w:val="none"/>
        </w:rPr>
        <w:t>竞争性磋商首次报价表</w:t>
      </w:r>
    </w:p>
    <w:p w14:paraId="29CEF061">
      <w:pPr>
        <w:ind w:firstLine="2711" w:firstLineChars="750"/>
        <w:rPr>
          <w:rFonts w:ascii="宋体"/>
          <w:b/>
          <w:sz w:val="36"/>
          <w:szCs w:val="36"/>
          <w:highlight w:val="none"/>
        </w:rPr>
      </w:pPr>
    </w:p>
    <w:p w14:paraId="2BB5F780">
      <w:pPr>
        <w:rPr>
          <w:rFonts w:ascii="宋体"/>
          <w:b/>
          <w:highlight w:val="none"/>
        </w:rPr>
      </w:pPr>
      <w:r>
        <w:rPr>
          <w:rFonts w:hint="eastAsia" w:ascii="宋体" w:hAnsi="宋体"/>
          <w:b/>
          <w:highlight w:val="none"/>
        </w:rPr>
        <w:t>供应商名称：</w:t>
      </w:r>
      <w:r>
        <w:rPr>
          <w:rFonts w:ascii="宋体" w:hAnsi="宋体"/>
          <w:b/>
          <w:highlight w:val="none"/>
        </w:rPr>
        <w:t xml:space="preserve">                                       </w:t>
      </w:r>
    </w:p>
    <w:p w14:paraId="41FB6AF3">
      <w:pPr>
        <w:tabs>
          <w:tab w:val="left" w:pos="219"/>
          <w:tab w:val="right" w:pos="8426"/>
        </w:tabs>
        <w:jc w:val="left"/>
        <w:rPr>
          <w:rFonts w:ascii="宋体"/>
          <w:b/>
          <w:highlight w:val="none"/>
        </w:rPr>
      </w:pPr>
      <w:r>
        <w:rPr>
          <w:rFonts w:ascii="宋体"/>
          <w:highlight w:val="none"/>
        </w:rPr>
        <w:tab/>
      </w:r>
      <w:r>
        <w:rPr>
          <w:rFonts w:ascii="宋体" w:hAnsi="宋体"/>
          <w:b/>
          <w:highlight w:val="none"/>
        </w:rPr>
        <w:t xml:space="preserve">    </w:t>
      </w:r>
      <w:r>
        <w:rPr>
          <w:rFonts w:ascii="宋体"/>
          <w:highlight w:val="none"/>
        </w:rPr>
        <w:tab/>
      </w:r>
      <w:r>
        <w:rPr>
          <w:rFonts w:ascii="宋体" w:hAnsi="宋体"/>
          <w:highlight w:val="none"/>
        </w:rPr>
        <w:t xml:space="preserve">                        </w:t>
      </w:r>
      <w:r>
        <w:rPr>
          <w:rFonts w:hint="eastAsia" w:ascii="宋体" w:hAnsi="宋体"/>
          <w:highlight w:val="none"/>
        </w:rPr>
        <w:t>单位：</w:t>
      </w:r>
      <w:r>
        <w:rPr>
          <w:rFonts w:hint="eastAsia" w:ascii="宋体" w:hAnsi="宋体"/>
          <w:bCs/>
          <w:highlight w:val="none"/>
        </w:rPr>
        <w:t>人民币</w:t>
      </w:r>
      <w:r>
        <w:rPr>
          <w:rFonts w:ascii="宋体" w:hAnsi="宋体"/>
          <w:bCs/>
          <w:highlight w:val="none"/>
        </w:rPr>
        <w:t>(</w:t>
      </w:r>
      <w:r>
        <w:rPr>
          <w:rFonts w:hint="eastAsia" w:ascii="宋体" w:hAnsi="宋体"/>
          <w:bCs/>
          <w:highlight w:val="none"/>
        </w:rPr>
        <w:t>元</w:t>
      </w:r>
      <w:r>
        <w:rPr>
          <w:rFonts w:ascii="宋体" w:hAnsi="宋体"/>
          <w:bCs/>
          <w:highlight w:val="none"/>
        </w:rPr>
        <w:t>)</w:t>
      </w:r>
    </w:p>
    <w:tbl>
      <w:tblPr>
        <w:tblStyle w:val="18"/>
        <w:tblW w:w="0" w:type="auto"/>
        <w:jc w:val="center"/>
        <w:tblLayout w:type="fixed"/>
        <w:tblCellMar>
          <w:top w:w="0" w:type="dxa"/>
          <w:left w:w="108" w:type="dxa"/>
          <w:bottom w:w="0" w:type="dxa"/>
          <w:right w:w="108" w:type="dxa"/>
        </w:tblCellMar>
      </w:tblPr>
      <w:tblGrid>
        <w:gridCol w:w="2336"/>
        <w:gridCol w:w="6186"/>
      </w:tblGrid>
      <w:tr w14:paraId="38C737B3">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noWrap w:val="0"/>
            <w:vAlign w:val="center"/>
          </w:tcPr>
          <w:p w14:paraId="5ABE8706">
            <w:pPr>
              <w:autoSpaceDE w:val="0"/>
              <w:autoSpaceDN w:val="0"/>
              <w:spacing w:line="360" w:lineRule="auto"/>
              <w:rPr>
                <w:rFonts w:ascii="宋体" w:cs="宋体"/>
                <w:color w:val="000000"/>
                <w:kern w:val="0"/>
                <w:highlight w:val="none"/>
                <w:lang w:val="zh-CN"/>
              </w:rPr>
            </w:pPr>
            <w:r>
              <w:rPr>
                <w:rFonts w:hint="eastAsia" w:ascii="宋体" w:hAnsi="宋体" w:cs="宋体"/>
                <w:color w:val="000000"/>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noWrap w:val="0"/>
            <w:vAlign w:val="center"/>
          </w:tcPr>
          <w:p w14:paraId="21BA2662">
            <w:pPr>
              <w:autoSpaceDE w:val="0"/>
              <w:autoSpaceDN w:val="0"/>
              <w:spacing w:line="360" w:lineRule="auto"/>
              <w:rPr>
                <w:rFonts w:hint="eastAsia" w:ascii="宋体" w:eastAsia="宋体" w:cs="宋体"/>
                <w:color w:val="000000"/>
                <w:kern w:val="0"/>
                <w:highlight w:val="none"/>
                <w:lang w:eastAsia="zh-CN"/>
              </w:rPr>
            </w:pPr>
          </w:p>
        </w:tc>
      </w:tr>
      <w:tr w14:paraId="1C93258B">
        <w:tblPrEx>
          <w:tblCellMar>
            <w:top w:w="0" w:type="dxa"/>
            <w:left w:w="108" w:type="dxa"/>
            <w:bottom w:w="0" w:type="dxa"/>
            <w:right w:w="108" w:type="dxa"/>
          </w:tblCellMar>
        </w:tblPrEx>
        <w:trPr>
          <w:trHeight w:val="647"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noWrap w:val="0"/>
            <w:vAlign w:val="center"/>
          </w:tcPr>
          <w:p w14:paraId="60E598F6">
            <w:pPr>
              <w:autoSpaceDE w:val="0"/>
              <w:autoSpaceDN w:val="0"/>
              <w:spacing w:line="360" w:lineRule="auto"/>
              <w:rPr>
                <w:rFonts w:ascii="宋体" w:cs="宋体"/>
                <w:color w:val="000000"/>
                <w:kern w:val="0"/>
                <w:highlight w:val="none"/>
                <w:lang w:val="zh-CN"/>
              </w:rPr>
            </w:pPr>
            <w:r>
              <w:rPr>
                <w:rFonts w:hint="eastAsia" w:ascii="宋体" w:hAnsi="宋体" w:cs="宋体"/>
                <w:color w:val="000000"/>
                <w:kern w:val="0"/>
                <w:highlight w:val="none"/>
                <w:lang w:val="zh-CN"/>
              </w:rPr>
              <w:t>项目编号</w:t>
            </w:r>
          </w:p>
        </w:tc>
        <w:tc>
          <w:tcPr>
            <w:tcW w:w="6186" w:type="dxa"/>
            <w:tcBorders>
              <w:top w:val="single" w:color="000000" w:sz="6" w:space="0"/>
              <w:left w:val="single" w:color="auto" w:sz="4" w:space="0"/>
              <w:bottom w:val="single" w:color="auto" w:sz="4" w:space="0"/>
              <w:right w:val="single" w:color="000000" w:sz="6" w:space="0"/>
            </w:tcBorders>
            <w:shd w:val="clear" w:color="000000" w:fill="auto"/>
            <w:noWrap w:val="0"/>
            <w:vAlign w:val="center"/>
          </w:tcPr>
          <w:p w14:paraId="1A2CDD4E">
            <w:pPr>
              <w:autoSpaceDE w:val="0"/>
              <w:autoSpaceDN w:val="0"/>
              <w:spacing w:line="360" w:lineRule="auto"/>
              <w:rPr>
                <w:rFonts w:ascii="宋体" w:cs="宋体"/>
                <w:color w:val="000000"/>
                <w:kern w:val="0"/>
                <w:highlight w:val="none"/>
                <w:lang w:val="zh-CN"/>
              </w:rPr>
            </w:pPr>
          </w:p>
        </w:tc>
      </w:tr>
      <w:tr w14:paraId="5A4935BC">
        <w:tblPrEx>
          <w:tblCellMar>
            <w:top w:w="0" w:type="dxa"/>
            <w:left w:w="108" w:type="dxa"/>
            <w:bottom w:w="0" w:type="dxa"/>
            <w:right w:w="108" w:type="dxa"/>
          </w:tblCellMar>
        </w:tblPrEx>
        <w:trPr>
          <w:trHeight w:val="58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noWrap w:val="0"/>
            <w:vAlign w:val="center"/>
          </w:tcPr>
          <w:p w14:paraId="78A2EA59">
            <w:pPr>
              <w:autoSpaceDE w:val="0"/>
              <w:autoSpaceDN w:val="0"/>
              <w:spacing w:line="360" w:lineRule="auto"/>
              <w:rPr>
                <w:rFonts w:ascii="宋体" w:cs="宋体"/>
                <w:color w:val="000000"/>
                <w:kern w:val="0"/>
                <w:highlight w:val="none"/>
                <w:lang w:val="zh-CN"/>
              </w:rPr>
            </w:pPr>
            <w:r>
              <w:rPr>
                <w:rFonts w:hint="eastAsia" w:ascii="宋体" w:hAnsi="宋体" w:cs="宋体"/>
                <w:color w:val="000000"/>
                <w:kern w:val="0"/>
                <w:highlight w:val="none"/>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noWrap w:val="0"/>
            <w:vAlign w:val="center"/>
          </w:tcPr>
          <w:p w14:paraId="1064DA7E">
            <w:pPr>
              <w:autoSpaceDE w:val="0"/>
              <w:autoSpaceDN w:val="0"/>
              <w:spacing w:line="360" w:lineRule="auto"/>
              <w:rPr>
                <w:rFonts w:ascii="宋体" w:cs="宋体"/>
                <w:color w:val="000000"/>
                <w:kern w:val="0"/>
                <w:highlight w:val="none"/>
                <w:u w:val="single"/>
              </w:rPr>
            </w:pPr>
          </w:p>
        </w:tc>
      </w:tr>
      <w:tr w14:paraId="6E214FE5">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noWrap w:val="0"/>
            <w:vAlign w:val="center"/>
          </w:tcPr>
          <w:p w14:paraId="5E46368D">
            <w:pPr>
              <w:autoSpaceDE w:val="0"/>
              <w:autoSpaceDN w:val="0"/>
              <w:spacing w:line="360" w:lineRule="auto"/>
              <w:rPr>
                <w:rFonts w:ascii="宋体" w:cs="宋体"/>
                <w:color w:val="000000"/>
                <w:kern w:val="0"/>
                <w:highlight w:val="none"/>
                <w:lang w:val="zh-CN"/>
              </w:rPr>
            </w:pPr>
            <w:r>
              <w:rPr>
                <w:rFonts w:hint="eastAsia" w:ascii="宋体" w:hAnsi="宋体" w:cs="宋体"/>
                <w:color w:val="000000"/>
                <w:kern w:val="0"/>
                <w:highlight w:val="none"/>
                <w:lang w:val="zh-CN"/>
              </w:rPr>
              <w:t>服务期</w:t>
            </w:r>
          </w:p>
        </w:tc>
        <w:tc>
          <w:tcPr>
            <w:tcW w:w="6186" w:type="dxa"/>
            <w:tcBorders>
              <w:top w:val="single" w:color="000000" w:sz="6" w:space="0"/>
              <w:left w:val="single" w:color="auto" w:sz="4" w:space="0"/>
              <w:bottom w:val="single" w:color="auto" w:sz="4" w:space="0"/>
              <w:right w:val="single" w:color="000000" w:sz="6" w:space="0"/>
            </w:tcBorders>
            <w:shd w:val="clear" w:color="000000" w:fill="auto"/>
            <w:noWrap w:val="0"/>
            <w:vAlign w:val="center"/>
          </w:tcPr>
          <w:p w14:paraId="5764DD07">
            <w:pPr>
              <w:autoSpaceDE w:val="0"/>
              <w:autoSpaceDN w:val="0"/>
              <w:spacing w:line="360" w:lineRule="auto"/>
              <w:rPr>
                <w:rFonts w:ascii="宋体" w:cs="宋体"/>
                <w:color w:val="000000"/>
                <w:kern w:val="0"/>
                <w:highlight w:val="none"/>
                <w:lang w:val="zh-CN"/>
              </w:rPr>
            </w:pPr>
          </w:p>
        </w:tc>
      </w:tr>
      <w:tr w14:paraId="0F001B85">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noWrap w:val="0"/>
            <w:vAlign w:val="center"/>
          </w:tcPr>
          <w:p w14:paraId="150CAC60">
            <w:pPr>
              <w:autoSpaceDE w:val="0"/>
              <w:autoSpaceDN w:val="0"/>
              <w:spacing w:line="360" w:lineRule="auto"/>
              <w:rPr>
                <w:rFonts w:ascii="宋体" w:cs="宋体"/>
                <w:color w:val="000000"/>
                <w:kern w:val="0"/>
                <w:highlight w:val="none"/>
                <w:lang w:val="zh-CN"/>
              </w:rPr>
            </w:pPr>
            <w:r>
              <w:rPr>
                <w:rFonts w:hint="eastAsia" w:ascii="宋体" w:hAnsi="宋体" w:cs="宋体"/>
                <w:color w:val="000000"/>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noWrap w:val="0"/>
            <w:vAlign w:val="center"/>
          </w:tcPr>
          <w:p w14:paraId="02454CAF">
            <w:pPr>
              <w:autoSpaceDE w:val="0"/>
              <w:autoSpaceDN w:val="0"/>
              <w:spacing w:line="360" w:lineRule="auto"/>
              <w:rPr>
                <w:rFonts w:ascii="宋体" w:cs="宋体"/>
                <w:color w:val="000000"/>
                <w:kern w:val="0"/>
                <w:highlight w:val="none"/>
                <w:lang w:val="zh-CN"/>
              </w:rPr>
            </w:pPr>
          </w:p>
        </w:tc>
      </w:tr>
    </w:tbl>
    <w:p w14:paraId="2636B4E6">
      <w:pPr>
        <w:adjustRightInd w:val="0"/>
        <w:spacing w:line="360" w:lineRule="auto"/>
        <w:ind w:firstLine="373" w:firstLineChars="177"/>
        <w:textAlignment w:val="baseline"/>
        <w:rPr>
          <w:rFonts w:ascii="宋体"/>
          <w:highlight w:val="none"/>
        </w:rPr>
      </w:pPr>
      <w:r>
        <w:rPr>
          <w:rFonts w:hint="eastAsia" w:ascii="宋体" w:hAnsi="宋体"/>
          <w:b/>
          <w:highlight w:val="none"/>
        </w:rPr>
        <w:t>注：</w:t>
      </w:r>
      <w:r>
        <w:rPr>
          <w:rFonts w:ascii="宋体" w:hAnsi="宋体"/>
          <w:highlight w:val="none"/>
        </w:rPr>
        <w:t>1</w:t>
      </w:r>
      <w:r>
        <w:rPr>
          <w:rFonts w:hint="eastAsia" w:ascii="宋体" w:hAnsi="宋体"/>
          <w:highlight w:val="none"/>
        </w:rPr>
        <w:t>、填写此表时不得改变表格形式。</w:t>
      </w:r>
    </w:p>
    <w:p w14:paraId="7AE5CF5F">
      <w:pPr>
        <w:autoSpaceDE w:val="0"/>
        <w:autoSpaceDN w:val="0"/>
        <w:spacing w:line="360" w:lineRule="auto"/>
        <w:ind w:firstLine="840" w:firstLineChars="400"/>
        <w:rPr>
          <w:rFonts w:ascii="宋体" w:cs="宋体"/>
          <w:color w:val="000000"/>
          <w:kern w:val="0"/>
          <w:highlight w:val="none"/>
          <w:lang w:val="zh-CN"/>
        </w:rPr>
      </w:pPr>
      <w:r>
        <w:rPr>
          <w:rFonts w:ascii="宋体" w:hAnsi="宋体" w:cs="宋体"/>
          <w:color w:val="000000"/>
          <w:kern w:val="0"/>
          <w:highlight w:val="none"/>
          <w:lang w:val="zh-CN"/>
        </w:rPr>
        <w:t>2</w:t>
      </w:r>
      <w:r>
        <w:rPr>
          <w:rFonts w:hint="eastAsia" w:ascii="宋体" w:hAnsi="宋体" w:cs="宋体"/>
          <w:color w:val="000000"/>
          <w:kern w:val="0"/>
          <w:highlight w:val="none"/>
          <w:lang w:val="zh-CN"/>
        </w:rPr>
        <w:t>、“投标报价”为投标总价。服务费、招标代理费、税金及不可预见费等全部费用。</w:t>
      </w:r>
    </w:p>
    <w:p w14:paraId="23A19DE7">
      <w:pPr>
        <w:adjustRightInd w:val="0"/>
        <w:spacing w:line="360" w:lineRule="auto"/>
        <w:ind w:firstLine="791" w:firstLineChars="377"/>
        <w:textAlignment w:val="baseline"/>
        <w:rPr>
          <w:rFonts w:ascii="宋体"/>
          <w:highlight w:val="none"/>
        </w:rPr>
      </w:pPr>
      <w:r>
        <w:rPr>
          <w:rFonts w:ascii="宋体" w:hAnsi="宋体"/>
          <w:highlight w:val="none"/>
        </w:rPr>
        <w:t>3</w:t>
      </w:r>
      <w:r>
        <w:rPr>
          <w:rFonts w:hint="eastAsia" w:ascii="宋体" w:hAnsi="宋体"/>
          <w:highlight w:val="none"/>
        </w:rPr>
        <w:t>、“</w:t>
      </w:r>
      <w:r>
        <w:rPr>
          <w:rFonts w:hint="eastAsia" w:ascii="宋体" w:hAnsi="宋体"/>
          <w:highlight w:val="none"/>
          <w:lang w:eastAsia="zh-CN"/>
        </w:rPr>
        <w:t>服务</w:t>
      </w:r>
      <w:r>
        <w:rPr>
          <w:rFonts w:hint="eastAsia" w:ascii="宋体" w:hAnsi="宋体"/>
          <w:highlight w:val="none"/>
        </w:rPr>
        <w:t>期”是指</w:t>
      </w:r>
      <w:r>
        <w:rPr>
          <w:rFonts w:hint="eastAsia" w:ascii="宋体" w:hAnsi="宋体"/>
          <w:highlight w:val="none"/>
          <w:lang w:eastAsia="zh-CN"/>
        </w:rPr>
        <w:t>服务</w:t>
      </w:r>
      <w:r>
        <w:rPr>
          <w:rFonts w:hint="eastAsia" w:ascii="宋体" w:hAnsi="宋体"/>
          <w:highlight w:val="none"/>
        </w:rPr>
        <w:t>的具体时间。</w:t>
      </w:r>
    </w:p>
    <w:p w14:paraId="2DB5D74C">
      <w:pPr>
        <w:adjustRightInd w:val="0"/>
        <w:textAlignment w:val="baseline"/>
        <w:rPr>
          <w:rFonts w:ascii="宋体"/>
          <w:highlight w:val="none"/>
        </w:rPr>
      </w:pPr>
    </w:p>
    <w:p w14:paraId="020DC706">
      <w:pPr>
        <w:adjustRightInd w:val="0"/>
        <w:textAlignment w:val="baseline"/>
        <w:rPr>
          <w:rFonts w:ascii="宋体"/>
          <w:highlight w:val="none"/>
        </w:rPr>
      </w:pPr>
    </w:p>
    <w:p w14:paraId="6AD714A1">
      <w:pPr>
        <w:adjustRightInd w:val="0"/>
        <w:textAlignment w:val="baseline"/>
        <w:rPr>
          <w:rFonts w:ascii="宋体"/>
          <w:highlight w:val="none"/>
        </w:rPr>
      </w:pPr>
    </w:p>
    <w:p w14:paraId="7DE0694D">
      <w:pPr>
        <w:adjustRightInd w:val="0"/>
        <w:textAlignment w:val="baseline"/>
        <w:rPr>
          <w:rFonts w:ascii="宋体"/>
          <w:highlight w:val="none"/>
        </w:rPr>
      </w:pPr>
    </w:p>
    <w:p w14:paraId="64E99F97">
      <w:pPr>
        <w:adjustRightInd w:val="0"/>
        <w:textAlignment w:val="baseline"/>
        <w:rPr>
          <w:rFonts w:ascii="宋体"/>
          <w:highlight w:val="none"/>
        </w:rPr>
      </w:pPr>
    </w:p>
    <w:p w14:paraId="5F2327DB">
      <w:pPr>
        <w:rPr>
          <w:rFonts w:ascii="宋体"/>
          <w:highlight w:val="none"/>
        </w:rPr>
      </w:pPr>
    </w:p>
    <w:p w14:paraId="4D70958B">
      <w:pPr>
        <w:ind w:firstLine="2215" w:firstLineChars="1055"/>
        <w:rPr>
          <w:rFonts w:ascii="宋体"/>
          <w:highlight w:val="none"/>
        </w:rPr>
      </w:pPr>
    </w:p>
    <w:p w14:paraId="7B3BE1C6">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061CDBF3">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766E1B37">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68C186D2">
      <w:pPr>
        <w:rPr>
          <w:rFonts w:ascii="宋体"/>
          <w:b/>
          <w:highlight w:val="none"/>
        </w:rPr>
      </w:pPr>
    </w:p>
    <w:p w14:paraId="7BEF177D">
      <w:pPr>
        <w:widowControl/>
        <w:snapToGrid w:val="0"/>
        <w:spacing w:line="360" w:lineRule="auto"/>
        <w:outlineLvl w:val="1"/>
        <w:rPr>
          <w:rFonts w:ascii="宋体"/>
          <w:b/>
          <w:sz w:val="28"/>
          <w:szCs w:val="28"/>
          <w:highlight w:val="none"/>
        </w:rPr>
      </w:pPr>
      <w:r>
        <w:rPr>
          <w:rFonts w:ascii="宋体"/>
          <w:b/>
          <w:sz w:val="28"/>
          <w:szCs w:val="28"/>
          <w:highlight w:val="none"/>
        </w:rPr>
        <w:br w:type="page"/>
      </w:r>
      <w:bookmarkStart w:id="232" w:name="_Toc11038"/>
      <w:bookmarkStart w:id="233" w:name="_Toc10297"/>
      <w:bookmarkStart w:id="234" w:name="_Toc496626246"/>
      <w:bookmarkStart w:id="235" w:name="_Toc427748095"/>
      <w:r>
        <w:rPr>
          <w:rFonts w:hint="eastAsia" w:ascii="宋体"/>
          <w:b/>
          <w:sz w:val="28"/>
          <w:szCs w:val="28"/>
          <w:highlight w:val="none"/>
        </w:rPr>
        <w:t>附件</w:t>
      </w:r>
      <w:bookmarkStart w:id="236" w:name="_Toc376936771"/>
      <w:bookmarkStart w:id="237" w:name="_Toc325726040"/>
      <w:r>
        <w:rPr>
          <w:rFonts w:hint="eastAsia" w:ascii="宋体"/>
          <w:b/>
          <w:sz w:val="28"/>
          <w:szCs w:val="28"/>
          <w:highlight w:val="none"/>
          <w:lang w:val="en-US" w:eastAsia="zh-CN"/>
        </w:rPr>
        <w:t>11</w:t>
      </w:r>
      <w:r>
        <w:rPr>
          <w:rFonts w:hint="eastAsia" w:ascii="宋体"/>
          <w:b/>
          <w:sz w:val="28"/>
          <w:szCs w:val="28"/>
          <w:highlight w:val="none"/>
        </w:rPr>
        <w:t>：</w:t>
      </w:r>
      <w:r>
        <w:rPr>
          <w:rFonts w:hint="eastAsia" w:ascii="宋体"/>
          <w:b/>
          <w:sz w:val="28"/>
          <w:szCs w:val="28"/>
          <w:highlight w:val="none"/>
          <w:lang w:eastAsia="zh-CN"/>
        </w:rPr>
        <w:t>服务</w:t>
      </w:r>
      <w:r>
        <w:rPr>
          <w:rFonts w:hint="eastAsia" w:ascii="宋体"/>
          <w:b/>
          <w:sz w:val="28"/>
          <w:szCs w:val="28"/>
          <w:highlight w:val="none"/>
        </w:rPr>
        <w:t>响应表</w:t>
      </w:r>
      <w:bookmarkEnd w:id="232"/>
      <w:bookmarkEnd w:id="233"/>
      <w:bookmarkEnd w:id="234"/>
      <w:bookmarkEnd w:id="235"/>
      <w:bookmarkEnd w:id="236"/>
      <w:bookmarkEnd w:id="237"/>
    </w:p>
    <w:p w14:paraId="41D692D0">
      <w:pPr>
        <w:jc w:val="center"/>
        <w:rPr>
          <w:rFonts w:ascii="宋体"/>
          <w:b/>
          <w:sz w:val="36"/>
          <w:szCs w:val="36"/>
          <w:highlight w:val="none"/>
        </w:rPr>
      </w:pPr>
    </w:p>
    <w:p w14:paraId="24C6649F">
      <w:pPr>
        <w:jc w:val="center"/>
        <w:rPr>
          <w:rFonts w:ascii="宋体" w:cs="宋体"/>
          <w:b/>
          <w:color w:val="000000"/>
          <w:sz w:val="36"/>
          <w:szCs w:val="36"/>
          <w:highlight w:val="none"/>
        </w:rPr>
      </w:pPr>
      <w:r>
        <w:rPr>
          <w:rFonts w:hint="eastAsia" w:ascii="宋体" w:hAnsi="宋体" w:cs="宋体"/>
          <w:b/>
          <w:color w:val="000000"/>
          <w:sz w:val="36"/>
          <w:szCs w:val="36"/>
          <w:highlight w:val="none"/>
          <w:lang w:eastAsia="zh-CN"/>
        </w:rPr>
        <w:t>服务</w:t>
      </w:r>
      <w:r>
        <w:rPr>
          <w:rFonts w:hint="eastAsia" w:ascii="宋体" w:hAnsi="宋体" w:cs="宋体"/>
          <w:b/>
          <w:color w:val="000000"/>
          <w:sz w:val="36"/>
          <w:szCs w:val="36"/>
          <w:highlight w:val="none"/>
        </w:rPr>
        <w:t>响应表</w:t>
      </w:r>
    </w:p>
    <w:p w14:paraId="33278BA0">
      <w:pPr>
        <w:rPr>
          <w:rFonts w:ascii="宋体" w:cs="宋体"/>
          <w:b/>
          <w:color w:val="000000"/>
          <w:highlight w:val="none"/>
        </w:rPr>
      </w:pPr>
      <w:r>
        <w:rPr>
          <w:rFonts w:hint="eastAsia" w:ascii="宋体" w:hAnsi="宋体" w:cs="宋体"/>
          <w:b/>
          <w:color w:val="000000"/>
          <w:highlight w:val="none"/>
        </w:rPr>
        <w:t>磋商供应商</w:t>
      </w:r>
      <w:r>
        <w:rPr>
          <w:rFonts w:hint="eastAsia" w:ascii="宋体" w:hAnsi="宋体" w:cs="宋体"/>
          <w:b/>
          <w:color w:val="000000"/>
          <w:highlight w:val="none"/>
          <w:lang w:eastAsia="zh-CN"/>
        </w:rPr>
        <w:t>：</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3261"/>
        <w:gridCol w:w="3557"/>
        <w:gridCol w:w="1467"/>
      </w:tblGrid>
      <w:tr w14:paraId="409120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noWrap w:val="0"/>
            <w:vAlign w:val="top"/>
          </w:tcPr>
          <w:p w14:paraId="18459706">
            <w:pPr>
              <w:spacing w:before="40" w:after="40"/>
              <w:jc w:val="both"/>
              <w:rPr>
                <w:rFonts w:ascii="宋体" w:cs="宋体"/>
                <w:color w:val="000000"/>
                <w:highlight w:val="none"/>
              </w:rPr>
            </w:pPr>
          </w:p>
        </w:tc>
        <w:tc>
          <w:tcPr>
            <w:tcW w:w="3261" w:type="dxa"/>
            <w:noWrap w:val="0"/>
            <w:vAlign w:val="top"/>
          </w:tcPr>
          <w:p w14:paraId="275C123A">
            <w:pPr>
              <w:spacing w:before="40" w:after="40"/>
              <w:ind w:firstLine="105" w:firstLineChars="50"/>
              <w:rPr>
                <w:rFonts w:hint="eastAsia" w:ascii="宋体" w:eastAsia="宋体" w:cs="宋体"/>
                <w:color w:val="000000"/>
                <w:highlight w:val="none"/>
                <w:lang w:val="en-US" w:eastAsia="zh-CN"/>
              </w:rPr>
            </w:pPr>
            <w:r>
              <w:rPr>
                <w:rFonts w:hint="eastAsia" w:ascii="宋体" w:hAnsi="宋体" w:cs="宋体"/>
                <w:color w:val="000000"/>
                <w:highlight w:val="none"/>
              </w:rPr>
              <w:t>采购需求</w:t>
            </w:r>
            <w:r>
              <w:rPr>
                <w:rFonts w:hint="eastAsia" w:ascii="宋体" w:hAnsi="宋体" w:cs="宋体"/>
                <w:color w:val="000000"/>
                <w:highlight w:val="none"/>
                <w:lang w:eastAsia="zh-CN"/>
              </w:rPr>
              <w:t>服务内容</w:t>
            </w:r>
          </w:p>
        </w:tc>
        <w:tc>
          <w:tcPr>
            <w:tcW w:w="3557" w:type="dxa"/>
            <w:noWrap w:val="0"/>
            <w:vAlign w:val="top"/>
          </w:tcPr>
          <w:p w14:paraId="156A9072">
            <w:pPr>
              <w:spacing w:before="40" w:after="40"/>
              <w:ind w:firstLine="480"/>
              <w:rPr>
                <w:rFonts w:ascii="宋体" w:cs="宋体"/>
                <w:color w:val="000000"/>
                <w:highlight w:val="none"/>
              </w:rPr>
            </w:pPr>
            <w:r>
              <w:rPr>
                <w:rFonts w:hint="eastAsia" w:ascii="宋体" w:hAnsi="宋体" w:cs="宋体"/>
                <w:color w:val="000000"/>
                <w:highlight w:val="none"/>
              </w:rPr>
              <w:t>投标</w:t>
            </w:r>
            <w:r>
              <w:rPr>
                <w:rFonts w:hint="eastAsia" w:ascii="宋体" w:hAnsi="宋体" w:cs="宋体"/>
                <w:color w:val="000000"/>
                <w:highlight w:val="none"/>
                <w:lang w:eastAsia="zh-CN"/>
              </w:rPr>
              <w:t>服务内容</w:t>
            </w:r>
          </w:p>
        </w:tc>
        <w:tc>
          <w:tcPr>
            <w:tcW w:w="1467" w:type="dxa"/>
            <w:noWrap w:val="0"/>
            <w:vAlign w:val="center"/>
          </w:tcPr>
          <w:p w14:paraId="62F9D476">
            <w:pPr>
              <w:spacing w:before="40" w:after="40"/>
              <w:jc w:val="center"/>
              <w:rPr>
                <w:rFonts w:ascii="宋体" w:cs="宋体"/>
                <w:color w:val="000000"/>
                <w:highlight w:val="none"/>
              </w:rPr>
            </w:pPr>
            <w:r>
              <w:rPr>
                <w:rFonts w:hint="eastAsia" w:ascii="宋体" w:hAnsi="宋体" w:cs="宋体"/>
                <w:color w:val="000000"/>
                <w:highlight w:val="none"/>
              </w:rPr>
              <w:t>偏离</w:t>
            </w:r>
          </w:p>
        </w:tc>
      </w:tr>
      <w:tr w14:paraId="6E689A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noWrap w:val="0"/>
            <w:vAlign w:val="center"/>
          </w:tcPr>
          <w:p w14:paraId="516C53D6">
            <w:pPr>
              <w:spacing w:before="40" w:after="40"/>
              <w:ind w:firstLine="174" w:firstLineChars="83"/>
              <w:jc w:val="center"/>
              <w:rPr>
                <w:rFonts w:ascii="宋体" w:cs="宋体"/>
                <w:color w:val="000000"/>
                <w:highlight w:val="none"/>
              </w:rPr>
            </w:pPr>
            <w:r>
              <w:rPr>
                <w:rFonts w:ascii="宋体" w:hAnsi="宋体" w:cs="宋体"/>
                <w:color w:val="000000"/>
                <w:highlight w:val="none"/>
              </w:rPr>
              <w:t>1</w:t>
            </w:r>
          </w:p>
        </w:tc>
        <w:tc>
          <w:tcPr>
            <w:tcW w:w="3261" w:type="dxa"/>
            <w:noWrap w:val="0"/>
            <w:vAlign w:val="top"/>
          </w:tcPr>
          <w:p w14:paraId="78C4F8AE">
            <w:pPr>
              <w:spacing w:before="40" w:after="40"/>
              <w:ind w:firstLine="480"/>
              <w:jc w:val="center"/>
              <w:rPr>
                <w:rFonts w:ascii="宋体" w:cs="宋体"/>
                <w:color w:val="000000"/>
                <w:highlight w:val="none"/>
              </w:rPr>
            </w:pPr>
          </w:p>
        </w:tc>
        <w:tc>
          <w:tcPr>
            <w:tcW w:w="3557" w:type="dxa"/>
            <w:noWrap w:val="0"/>
            <w:vAlign w:val="top"/>
          </w:tcPr>
          <w:p w14:paraId="2D493C0F">
            <w:pPr>
              <w:spacing w:before="40" w:after="40"/>
              <w:ind w:firstLine="480"/>
              <w:jc w:val="center"/>
              <w:rPr>
                <w:rFonts w:ascii="宋体" w:cs="宋体"/>
                <w:color w:val="000000"/>
                <w:highlight w:val="none"/>
              </w:rPr>
            </w:pPr>
          </w:p>
        </w:tc>
        <w:tc>
          <w:tcPr>
            <w:tcW w:w="1467" w:type="dxa"/>
            <w:noWrap w:val="0"/>
            <w:vAlign w:val="top"/>
          </w:tcPr>
          <w:p w14:paraId="6E60CEEF">
            <w:pPr>
              <w:spacing w:before="40" w:after="40"/>
              <w:ind w:firstLine="480"/>
              <w:jc w:val="center"/>
              <w:rPr>
                <w:rFonts w:ascii="宋体" w:cs="宋体"/>
                <w:color w:val="000000"/>
                <w:highlight w:val="none"/>
              </w:rPr>
            </w:pPr>
          </w:p>
        </w:tc>
      </w:tr>
      <w:tr w14:paraId="1DDC6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noWrap w:val="0"/>
            <w:vAlign w:val="center"/>
          </w:tcPr>
          <w:p w14:paraId="1FF67C1F">
            <w:pPr>
              <w:spacing w:before="40" w:after="40"/>
              <w:ind w:firstLine="174" w:firstLineChars="83"/>
              <w:jc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2</w:t>
            </w:r>
          </w:p>
        </w:tc>
        <w:tc>
          <w:tcPr>
            <w:tcW w:w="3261" w:type="dxa"/>
            <w:noWrap w:val="0"/>
            <w:vAlign w:val="top"/>
          </w:tcPr>
          <w:p w14:paraId="44B8B742">
            <w:pPr>
              <w:spacing w:before="40" w:after="40"/>
              <w:ind w:firstLine="480"/>
              <w:jc w:val="center"/>
              <w:rPr>
                <w:rFonts w:ascii="宋体" w:cs="宋体"/>
                <w:color w:val="000000"/>
                <w:highlight w:val="none"/>
              </w:rPr>
            </w:pPr>
          </w:p>
        </w:tc>
        <w:tc>
          <w:tcPr>
            <w:tcW w:w="3557" w:type="dxa"/>
            <w:noWrap w:val="0"/>
            <w:vAlign w:val="top"/>
          </w:tcPr>
          <w:p w14:paraId="7B08AA2E">
            <w:pPr>
              <w:spacing w:before="40" w:after="40"/>
              <w:ind w:firstLine="480"/>
              <w:jc w:val="center"/>
              <w:rPr>
                <w:rFonts w:ascii="宋体" w:cs="宋体"/>
                <w:color w:val="000000"/>
                <w:highlight w:val="none"/>
              </w:rPr>
            </w:pPr>
          </w:p>
        </w:tc>
        <w:tc>
          <w:tcPr>
            <w:tcW w:w="1467" w:type="dxa"/>
            <w:noWrap w:val="0"/>
            <w:vAlign w:val="top"/>
          </w:tcPr>
          <w:p w14:paraId="064F2928">
            <w:pPr>
              <w:spacing w:before="40" w:after="40"/>
              <w:ind w:firstLine="480"/>
              <w:jc w:val="center"/>
              <w:rPr>
                <w:rFonts w:ascii="宋体" w:cs="宋体"/>
                <w:color w:val="000000"/>
                <w:highlight w:val="none"/>
              </w:rPr>
            </w:pPr>
          </w:p>
        </w:tc>
      </w:tr>
      <w:tr w14:paraId="3BBC8F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noWrap w:val="0"/>
            <w:vAlign w:val="center"/>
          </w:tcPr>
          <w:p w14:paraId="7E4F3C48">
            <w:pPr>
              <w:spacing w:before="40" w:after="40"/>
              <w:ind w:firstLine="174" w:firstLineChars="83"/>
              <w:jc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3</w:t>
            </w:r>
          </w:p>
        </w:tc>
        <w:tc>
          <w:tcPr>
            <w:tcW w:w="3261" w:type="dxa"/>
            <w:noWrap w:val="0"/>
            <w:vAlign w:val="top"/>
          </w:tcPr>
          <w:p w14:paraId="3427A49E">
            <w:pPr>
              <w:spacing w:before="40" w:after="40"/>
              <w:ind w:firstLine="480"/>
              <w:jc w:val="center"/>
              <w:rPr>
                <w:rFonts w:ascii="宋体" w:cs="宋体"/>
                <w:color w:val="000000"/>
                <w:highlight w:val="none"/>
              </w:rPr>
            </w:pPr>
          </w:p>
        </w:tc>
        <w:tc>
          <w:tcPr>
            <w:tcW w:w="3557" w:type="dxa"/>
            <w:noWrap w:val="0"/>
            <w:vAlign w:val="top"/>
          </w:tcPr>
          <w:p w14:paraId="42AA7B76">
            <w:pPr>
              <w:spacing w:before="40" w:after="40"/>
              <w:ind w:firstLine="480"/>
              <w:jc w:val="center"/>
              <w:rPr>
                <w:rFonts w:ascii="宋体" w:cs="宋体"/>
                <w:color w:val="000000"/>
                <w:highlight w:val="none"/>
              </w:rPr>
            </w:pPr>
          </w:p>
        </w:tc>
        <w:tc>
          <w:tcPr>
            <w:tcW w:w="1467" w:type="dxa"/>
            <w:noWrap w:val="0"/>
            <w:vAlign w:val="top"/>
          </w:tcPr>
          <w:p w14:paraId="2B4F7FE5">
            <w:pPr>
              <w:spacing w:before="40" w:after="40"/>
              <w:ind w:firstLine="480"/>
              <w:jc w:val="center"/>
              <w:rPr>
                <w:rFonts w:ascii="宋体" w:cs="宋体"/>
                <w:color w:val="000000"/>
                <w:highlight w:val="none"/>
              </w:rPr>
            </w:pPr>
          </w:p>
        </w:tc>
      </w:tr>
    </w:tbl>
    <w:p w14:paraId="09CDD292">
      <w:pPr>
        <w:spacing w:line="276" w:lineRule="auto"/>
        <w:rPr>
          <w:rFonts w:ascii="宋体" w:cs="宋体"/>
          <w:color w:val="000000"/>
          <w:highlight w:val="none"/>
        </w:rPr>
      </w:pPr>
      <w:r>
        <w:rPr>
          <w:rFonts w:hint="eastAsia" w:ascii="宋体" w:hAnsi="宋体" w:cs="宋体"/>
          <w:color w:val="000000"/>
          <w:highlight w:val="none"/>
        </w:rPr>
        <w:t>注：</w:t>
      </w:r>
      <w:r>
        <w:rPr>
          <w:rFonts w:ascii="宋体" w:hAnsi="宋体" w:cs="宋体"/>
          <w:color w:val="000000"/>
          <w:highlight w:val="none"/>
        </w:rPr>
        <w:t>1</w:t>
      </w:r>
      <w:r>
        <w:rPr>
          <w:rFonts w:hint="eastAsia" w:ascii="宋体" w:hAnsi="宋体" w:cs="宋体"/>
          <w:color w:val="000000"/>
          <w:highlight w:val="none"/>
        </w:rPr>
        <w:t>、本表应按照</w:t>
      </w:r>
      <w:r>
        <w:rPr>
          <w:rFonts w:hint="eastAsia" w:ascii="宋体" w:hAnsi="宋体" w:cs="宋体"/>
          <w:color w:val="000000"/>
          <w:highlight w:val="none"/>
          <w:lang w:val="en-US" w:eastAsia="zh-CN"/>
        </w:rPr>
        <w:t>服务</w:t>
      </w:r>
      <w:r>
        <w:rPr>
          <w:rFonts w:hint="eastAsia" w:ascii="宋体" w:hAnsi="宋体" w:cs="宋体"/>
          <w:color w:val="000000"/>
          <w:highlight w:val="none"/>
          <w:lang w:eastAsia="zh-CN"/>
        </w:rPr>
        <w:t>参数</w:t>
      </w:r>
      <w:r>
        <w:rPr>
          <w:rFonts w:hint="eastAsia" w:ascii="宋体" w:hAnsi="宋体" w:cs="宋体"/>
          <w:color w:val="000000"/>
          <w:highlight w:val="none"/>
        </w:rPr>
        <w:t>逐项填写，不得遗漏。</w:t>
      </w:r>
    </w:p>
    <w:p w14:paraId="5B3DF267">
      <w:pPr>
        <w:ind w:right="480" w:firstLine="4075" w:firstLineChars="1933"/>
        <w:rPr>
          <w:rFonts w:ascii="宋体"/>
          <w:b/>
          <w:highlight w:val="none"/>
        </w:rPr>
      </w:pPr>
    </w:p>
    <w:p w14:paraId="15A673B6">
      <w:pPr>
        <w:ind w:right="480" w:firstLine="4075" w:firstLineChars="1933"/>
        <w:rPr>
          <w:rFonts w:ascii="宋体"/>
          <w:b/>
          <w:highlight w:val="none"/>
        </w:rPr>
      </w:pPr>
    </w:p>
    <w:p w14:paraId="78B54FF0">
      <w:pPr>
        <w:ind w:right="480" w:firstLine="4075" w:firstLineChars="1933"/>
        <w:rPr>
          <w:rFonts w:ascii="宋体"/>
          <w:b/>
          <w:highlight w:val="none"/>
        </w:rPr>
      </w:pPr>
    </w:p>
    <w:p w14:paraId="50B4DE6D">
      <w:pPr>
        <w:ind w:right="480" w:firstLine="4075" w:firstLineChars="1933"/>
        <w:rPr>
          <w:rFonts w:ascii="宋体"/>
          <w:b/>
          <w:highlight w:val="none"/>
        </w:rPr>
      </w:pPr>
    </w:p>
    <w:p w14:paraId="247E3B8C">
      <w:pPr>
        <w:ind w:right="480" w:firstLine="4075" w:firstLineChars="1933"/>
        <w:rPr>
          <w:rFonts w:ascii="宋体"/>
          <w:b/>
          <w:highlight w:val="none"/>
        </w:rPr>
      </w:pPr>
    </w:p>
    <w:p w14:paraId="3A63B1B2">
      <w:pPr>
        <w:ind w:right="480" w:firstLine="4075" w:firstLineChars="1933"/>
        <w:rPr>
          <w:rFonts w:ascii="宋体"/>
          <w:b/>
          <w:highlight w:val="none"/>
        </w:rPr>
      </w:pPr>
    </w:p>
    <w:p w14:paraId="341D054B">
      <w:pPr>
        <w:ind w:right="480" w:firstLine="4075" w:firstLineChars="1933"/>
        <w:rPr>
          <w:rFonts w:ascii="宋体"/>
          <w:b/>
          <w:highlight w:val="none"/>
        </w:rPr>
      </w:pPr>
    </w:p>
    <w:p w14:paraId="069EB6D8">
      <w:pPr>
        <w:ind w:right="480" w:firstLine="4075" w:firstLineChars="1933"/>
        <w:rPr>
          <w:rFonts w:ascii="宋体"/>
          <w:b/>
          <w:highlight w:val="none"/>
        </w:rPr>
      </w:pPr>
    </w:p>
    <w:p w14:paraId="06B54FD7">
      <w:pPr>
        <w:ind w:right="480" w:firstLine="4075" w:firstLineChars="1933"/>
        <w:rPr>
          <w:rFonts w:ascii="宋体"/>
          <w:b/>
          <w:highlight w:val="none"/>
        </w:rPr>
      </w:pPr>
    </w:p>
    <w:p w14:paraId="5779B353">
      <w:pPr>
        <w:ind w:right="480" w:firstLine="4075" w:firstLineChars="1933"/>
        <w:rPr>
          <w:rFonts w:ascii="宋体"/>
          <w:b/>
          <w:highlight w:val="none"/>
        </w:rPr>
      </w:pPr>
    </w:p>
    <w:p w14:paraId="0BEFA31A">
      <w:pPr>
        <w:ind w:right="480" w:firstLine="4075" w:firstLineChars="1933"/>
        <w:rPr>
          <w:rFonts w:ascii="宋体"/>
          <w:b/>
          <w:highlight w:val="none"/>
        </w:rPr>
      </w:pPr>
    </w:p>
    <w:p w14:paraId="5A9DC572">
      <w:pPr>
        <w:ind w:right="480"/>
        <w:rPr>
          <w:rFonts w:ascii="宋体"/>
          <w:b/>
          <w:highlight w:val="none"/>
        </w:rPr>
      </w:pPr>
    </w:p>
    <w:p w14:paraId="020817C0">
      <w:pPr>
        <w:ind w:right="480" w:firstLine="4075" w:firstLineChars="1933"/>
        <w:rPr>
          <w:rFonts w:ascii="宋体"/>
          <w:b/>
          <w:highlight w:val="none"/>
        </w:rPr>
      </w:pPr>
    </w:p>
    <w:p w14:paraId="07471139">
      <w:pPr>
        <w:ind w:right="480" w:firstLine="4075" w:firstLineChars="1933"/>
        <w:rPr>
          <w:rFonts w:ascii="宋体"/>
          <w:b/>
          <w:highlight w:val="none"/>
        </w:rPr>
      </w:pPr>
    </w:p>
    <w:p w14:paraId="3B33F17D">
      <w:pPr>
        <w:ind w:right="480" w:firstLine="4075" w:firstLineChars="1933"/>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10A32C52">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40D64E56">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39D1CF7F">
      <w:pPr>
        <w:ind w:firstLine="480"/>
        <w:rPr>
          <w:rFonts w:hint="eastAsia" w:ascii="宋体" w:eastAsia="宋体"/>
          <w:bCs/>
          <w:highlight w:val="none"/>
          <w:lang w:eastAsia="zh-CN"/>
        </w:rPr>
      </w:pPr>
      <w:r>
        <w:rPr>
          <w:rFonts w:ascii="宋体"/>
          <w:b/>
          <w:sz w:val="28"/>
          <w:szCs w:val="28"/>
          <w:highlight w:val="none"/>
        </w:rPr>
        <w:br w:type="page"/>
      </w:r>
      <w:r>
        <w:rPr>
          <w:rFonts w:hint="eastAsia" w:ascii="宋体"/>
          <w:b/>
          <w:sz w:val="28"/>
          <w:szCs w:val="28"/>
          <w:highlight w:val="none"/>
        </w:rPr>
        <w:t>附件</w:t>
      </w:r>
      <w:r>
        <w:rPr>
          <w:rFonts w:hint="eastAsia" w:ascii="宋体"/>
          <w:b/>
          <w:sz w:val="28"/>
          <w:szCs w:val="28"/>
          <w:highlight w:val="none"/>
          <w:lang w:val="en-US" w:eastAsia="zh-CN"/>
        </w:rPr>
        <w:t>12</w:t>
      </w:r>
      <w:r>
        <w:rPr>
          <w:rFonts w:hint="eastAsia" w:ascii="宋体"/>
          <w:b/>
          <w:sz w:val="28"/>
          <w:szCs w:val="28"/>
          <w:highlight w:val="none"/>
        </w:rPr>
        <w:t>：</w:t>
      </w:r>
      <w:r>
        <w:rPr>
          <w:rFonts w:hint="eastAsia" w:ascii="宋体"/>
          <w:b/>
          <w:sz w:val="28"/>
          <w:szCs w:val="28"/>
          <w:highlight w:val="none"/>
          <w:lang w:eastAsia="zh-CN"/>
        </w:rPr>
        <w:t>服务方案</w:t>
      </w:r>
    </w:p>
    <w:p w14:paraId="209A5CC5">
      <w:pPr>
        <w:widowControl/>
        <w:snapToGrid w:val="0"/>
        <w:spacing w:line="360" w:lineRule="auto"/>
        <w:outlineLvl w:val="1"/>
        <w:rPr>
          <w:rFonts w:hint="eastAsia" w:ascii="宋体" w:hAnsi="宋体" w:eastAsia="宋体" w:cs="宋体"/>
          <w:b/>
          <w:color w:val="auto"/>
          <w:sz w:val="28"/>
          <w:szCs w:val="28"/>
          <w:highlight w:val="none"/>
        </w:rPr>
      </w:pPr>
      <w:r>
        <w:rPr>
          <w:rFonts w:ascii="宋体"/>
          <w:b/>
          <w:sz w:val="28"/>
          <w:szCs w:val="28"/>
          <w:highlight w:val="none"/>
        </w:rPr>
        <w:br w:type="page"/>
      </w:r>
      <w:bookmarkStart w:id="238" w:name="_Toc496004041"/>
      <w:bookmarkStart w:id="239" w:name="_Toc5734"/>
      <w:bookmarkStart w:id="240" w:name="_Toc496626247"/>
      <w:r>
        <w:rPr>
          <w:rFonts w:hint="eastAsia" w:ascii="宋体" w:hAnsi="宋体" w:eastAsia="宋体" w:cs="宋体"/>
          <w:b/>
          <w:color w:val="auto"/>
          <w:sz w:val="28"/>
          <w:szCs w:val="28"/>
          <w:highlight w:val="none"/>
        </w:rPr>
        <w:t>附件</w:t>
      </w:r>
      <w:r>
        <w:rPr>
          <w:rFonts w:hint="eastAsia" w:ascii="宋体" w:hAnsi="宋体" w:cs="宋体"/>
          <w:b/>
          <w:color w:val="auto"/>
          <w:sz w:val="28"/>
          <w:szCs w:val="28"/>
          <w:highlight w:val="none"/>
          <w:lang w:val="en-US" w:eastAsia="zh-CN"/>
        </w:rPr>
        <w:t>13</w:t>
      </w:r>
      <w:r>
        <w:rPr>
          <w:rFonts w:hint="eastAsia" w:ascii="宋体" w:hAnsi="宋体" w:eastAsia="宋体" w:cs="宋体"/>
          <w:b/>
          <w:color w:val="auto"/>
          <w:sz w:val="28"/>
          <w:szCs w:val="28"/>
          <w:highlight w:val="none"/>
        </w:rPr>
        <w:t>：其他资格证明材料</w:t>
      </w:r>
      <w:bookmarkEnd w:id="238"/>
      <w:bookmarkEnd w:id="239"/>
      <w:bookmarkEnd w:id="240"/>
    </w:p>
    <w:p w14:paraId="1FBB55DB">
      <w:pPr>
        <w:ind w:firstLine="2909" w:firstLineChars="805"/>
        <w:rPr>
          <w:rFonts w:hint="eastAsia" w:ascii="宋体" w:hAnsi="宋体" w:eastAsia="宋体" w:cs="宋体"/>
          <w:b/>
          <w:color w:val="auto"/>
          <w:sz w:val="36"/>
          <w:szCs w:val="36"/>
          <w:highlight w:val="none"/>
        </w:rPr>
      </w:pPr>
    </w:p>
    <w:p w14:paraId="2E390925">
      <w:pPr>
        <w:ind w:firstLine="2909" w:firstLineChars="80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其他资格证明材料</w:t>
      </w:r>
    </w:p>
    <w:p w14:paraId="6765C696">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Cs/>
          <w:color w:val="auto"/>
          <w:highlight w:val="none"/>
        </w:rPr>
      </w:pPr>
    </w:p>
    <w:p w14:paraId="0F9BDFC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根据采购项目内容，投标时按磋商文件要求提供投标产品的相关认证、合格证等材料，生产厂家的相关资质、相关认证和投标人认为有必要提供的其他资格证明文件等材料。</w:t>
      </w:r>
    </w:p>
    <w:p w14:paraId="10475FF9">
      <w:pPr>
        <w:widowControl/>
        <w:snapToGrid w:val="0"/>
        <w:spacing w:line="360" w:lineRule="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241" w:name="_Toc496626249"/>
      <w:bookmarkStart w:id="242" w:name="_Toc10533"/>
      <w:r>
        <w:rPr>
          <w:rFonts w:hint="eastAsia" w:ascii="宋体" w:hAnsi="宋体" w:eastAsia="宋体" w:cs="宋体"/>
          <w:b/>
          <w:color w:val="auto"/>
          <w:sz w:val="28"/>
          <w:szCs w:val="28"/>
          <w:highlight w:val="none"/>
        </w:rPr>
        <w:t>附件</w:t>
      </w:r>
      <w:r>
        <w:rPr>
          <w:rFonts w:hint="eastAsia" w:ascii="宋体" w:hAnsi="宋体" w:cs="宋体"/>
          <w:b/>
          <w:color w:val="auto"/>
          <w:sz w:val="28"/>
          <w:szCs w:val="28"/>
          <w:highlight w:val="none"/>
          <w:lang w:val="en-US" w:eastAsia="zh-CN"/>
        </w:rPr>
        <w:t>14</w:t>
      </w:r>
      <w:r>
        <w:rPr>
          <w:rFonts w:hint="eastAsia" w:ascii="宋体" w:hAnsi="宋体" w:eastAsia="宋体" w:cs="宋体"/>
          <w:b/>
          <w:color w:val="auto"/>
          <w:sz w:val="28"/>
          <w:szCs w:val="28"/>
          <w:highlight w:val="none"/>
        </w:rPr>
        <w:t>：供应商类似业绩证明材料</w:t>
      </w:r>
      <w:bookmarkEnd w:id="227"/>
      <w:bookmarkEnd w:id="241"/>
      <w:bookmarkEnd w:id="242"/>
    </w:p>
    <w:p w14:paraId="45BB01C6">
      <w:pPr>
        <w:ind w:firstLine="2909" w:firstLineChars="805"/>
        <w:rPr>
          <w:rFonts w:hint="eastAsia" w:ascii="宋体" w:hAnsi="宋体" w:eastAsia="宋体" w:cs="宋体"/>
          <w:b/>
          <w:color w:val="auto"/>
          <w:sz w:val="36"/>
          <w:szCs w:val="36"/>
          <w:highlight w:val="none"/>
        </w:rPr>
      </w:pPr>
    </w:p>
    <w:p w14:paraId="295B1F64">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供应商类似业绩证明材料</w:t>
      </w:r>
    </w:p>
    <w:p w14:paraId="01C751D2">
      <w:pPr>
        <w:tabs>
          <w:tab w:val="left" w:pos="168"/>
        </w:tabs>
        <w:adjustRightInd w:val="0"/>
        <w:ind w:firstLine="2530" w:firstLineChars="700"/>
        <w:textAlignment w:val="baseline"/>
        <w:rPr>
          <w:rFonts w:hint="eastAsia" w:ascii="宋体" w:hAnsi="宋体" w:eastAsia="宋体" w:cs="宋体"/>
          <w:b/>
          <w:color w:val="auto"/>
          <w:sz w:val="36"/>
          <w:szCs w:val="36"/>
          <w:highlight w:val="none"/>
        </w:rPr>
      </w:pPr>
    </w:p>
    <w:p w14:paraId="382FA9D8">
      <w:pPr>
        <w:keepNext w:val="0"/>
        <w:keepLines w:val="0"/>
        <w:pageBreakBefore w:val="0"/>
        <w:tabs>
          <w:tab w:val="left" w:pos="168"/>
        </w:tabs>
        <w:kinsoku/>
        <w:wordWrap/>
        <w:overflowPunct/>
        <w:topLinePunct w:val="0"/>
        <w:autoSpaceDE/>
        <w:autoSpaceDN/>
        <w:bidi w:val="0"/>
        <w:adjustRightInd w:val="0"/>
        <w:spacing w:line="360" w:lineRule="auto"/>
        <w:ind w:firstLine="48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提供自20</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1</w:t>
      </w:r>
      <w:r>
        <w:rPr>
          <w:rFonts w:hint="eastAsia" w:ascii="宋体" w:hAnsi="宋体" w:eastAsia="宋体" w:cs="宋体"/>
          <w:color w:val="auto"/>
          <w:highlight w:val="none"/>
        </w:rPr>
        <w:t>年1月1日以来的类似业绩证明材料。类似业绩是指与采购项目在产品类型、使用功能、合同规模等方面相同或相近的项目。需提供包含合同首页、标的及金额所在页、供货合同签字盖章页的扫描（或复印）件。</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具体以评审标准为准</w:t>
      </w:r>
      <w:r>
        <w:rPr>
          <w:rFonts w:hint="eastAsia" w:ascii="宋体" w:hAnsi="宋体" w:cs="宋体"/>
          <w:color w:val="auto"/>
          <w:highlight w:val="none"/>
          <w:lang w:eastAsia="zh-CN"/>
        </w:rPr>
        <w:t>）</w:t>
      </w:r>
    </w:p>
    <w:p w14:paraId="43207F99">
      <w:pPr>
        <w:keepNext w:val="0"/>
        <w:keepLines w:val="0"/>
        <w:pageBreakBefore w:val="0"/>
        <w:widowControl/>
        <w:kinsoku/>
        <w:wordWrap/>
        <w:overflowPunct/>
        <w:topLinePunct w:val="0"/>
        <w:autoSpaceDE/>
        <w:autoSpaceDN/>
        <w:bidi w:val="0"/>
        <w:snapToGrid w:val="0"/>
        <w:spacing w:line="360" w:lineRule="auto"/>
        <w:outlineLvl w:val="1"/>
        <w:rPr>
          <w:rFonts w:hint="eastAsia" w:ascii="宋体" w:hAnsi="宋体" w:eastAsia="宋体" w:cs="宋体"/>
          <w:b/>
          <w:color w:val="auto"/>
          <w:highlight w:val="none"/>
        </w:rPr>
      </w:pPr>
    </w:p>
    <w:p w14:paraId="1162E273">
      <w:pPr>
        <w:widowControl/>
        <w:snapToGrid w:val="0"/>
        <w:spacing w:line="360" w:lineRule="auto"/>
        <w:outlineLvl w:val="1"/>
        <w:rPr>
          <w:rFonts w:hint="eastAsia" w:ascii="宋体" w:hAnsi="宋体" w:eastAsia="宋体" w:cs="宋体"/>
          <w:b/>
          <w:color w:val="auto"/>
          <w:sz w:val="28"/>
          <w:szCs w:val="28"/>
          <w:highlight w:val="none"/>
        </w:rPr>
      </w:pPr>
    </w:p>
    <w:p w14:paraId="51E34D77">
      <w:pPr>
        <w:widowControl/>
        <w:snapToGrid w:val="0"/>
        <w:spacing w:line="360" w:lineRule="auto"/>
        <w:outlineLvl w:val="1"/>
        <w:rPr>
          <w:rFonts w:hint="eastAsia" w:ascii="宋体" w:hAnsi="宋体" w:eastAsia="宋体" w:cs="宋体"/>
          <w:b/>
          <w:color w:val="auto"/>
          <w:sz w:val="28"/>
          <w:szCs w:val="28"/>
          <w:highlight w:val="none"/>
        </w:rPr>
      </w:pPr>
    </w:p>
    <w:p w14:paraId="138EDE2B">
      <w:pPr>
        <w:widowControl/>
        <w:snapToGrid w:val="0"/>
        <w:spacing w:line="360" w:lineRule="auto"/>
        <w:outlineLvl w:val="1"/>
        <w:rPr>
          <w:rFonts w:hint="eastAsia" w:ascii="宋体" w:hAnsi="宋体" w:eastAsia="宋体" w:cs="宋体"/>
          <w:b/>
          <w:color w:val="auto"/>
          <w:sz w:val="28"/>
          <w:szCs w:val="28"/>
          <w:highlight w:val="none"/>
        </w:rPr>
      </w:pPr>
    </w:p>
    <w:p w14:paraId="557B6963">
      <w:pPr>
        <w:widowControl/>
        <w:snapToGrid w:val="0"/>
        <w:spacing w:line="360" w:lineRule="auto"/>
        <w:outlineLvl w:val="1"/>
        <w:rPr>
          <w:rFonts w:hint="eastAsia" w:ascii="宋体" w:hAnsi="宋体" w:eastAsia="宋体" w:cs="宋体"/>
          <w:b/>
          <w:color w:val="auto"/>
          <w:sz w:val="28"/>
          <w:szCs w:val="28"/>
          <w:highlight w:val="none"/>
        </w:rPr>
      </w:pPr>
    </w:p>
    <w:p w14:paraId="7F744348">
      <w:pPr>
        <w:widowControl/>
        <w:snapToGrid w:val="0"/>
        <w:spacing w:line="360" w:lineRule="auto"/>
        <w:outlineLvl w:val="1"/>
        <w:rPr>
          <w:rFonts w:hint="eastAsia" w:ascii="宋体" w:hAnsi="宋体" w:eastAsia="宋体" w:cs="宋体"/>
          <w:b/>
          <w:color w:val="auto"/>
          <w:sz w:val="28"/>
          <w:szCs w:val="28"/>
          <w:highlight w:val="none"/>
        </w:rPr>
      </w:pPr>
    </w:p>
    <w:p w14:paraId="3A3154E8">
      <w:pPr>
        <w:widowControl/>
        <w:snapToGrid w:val="0"/>
        <w:spacing w:line="360" w:lineRule="auto"/>
        <w:outlineLvl w:val="1"/>
        <w:rPr>
          <w:rFonts w:hint="eastAsia" w:ascii="宋体" w:hAnsi="宋体" w:eastAsia="宋体" w:cs="宋体"/>
          <w:b/>
          <w:color w:val="auto"/>
          <w:sz w:val="28"/>
          <w:szCs w:val="28"/>
          <w:highlight w:val="none"/>
        </w:rPr>
      </w:pPr>
    </w:p>
    <w:p w14:paraId="768DA36F">
      <w:pPr>
        <w:widowControl/>
        <w:snapToGrid w:val="0"/>
        <w:spacing w:line="360" w:lineRule="auto"/>
        <w:outlineLvl w:val="1"/>
        <w:rPr>
          <w:rFonts w:hint="eastAsia" w:ascii="宋体" w:hAnsi="宋体" w:eastAsia="宋体" w:cs="宋体"/>
          <w:b/>
          <w:color w:val="auto"/>
          <w:sz w:val="28"/>
          <w:szCs w:val="28"/>
          <w:highlight w:val="none"/>
        </w:rPr>
      </w:pPr>
    </w:p>
    <w:p w14:paraId="5FAAD3D0">
      <w:pPr>
        <w:widowControl/>
        <w:snapToGrid w:val="0"/>
        <w:spacing w:line="360" w:lineRule="auto"/>
        <w:outlineLvl w:val="1"/>
        <w:rPr>
          <w:rFonts w:hint="eastAsia" w:ascii="宋体" w:hAnsi="宋体" w:eastAsia="宋体" w:cs="宋体"/>
          <w:b/>
          <w:color w:val="auto"/>
          <w:sz w:val="28"/>
          <w:szCs w:val="28"/>
          <w:highlight w:val="none"/>
        </w:rPr>
      </w:pPr>
    </w:p>
    <w:p w14:paraId="79AA6014">
      <w:pPr>
        <w:widowControl/>
        <w:snapToGrid w:val="0"/>
        <w:spacing w:line="360" w:lineRule="auto"/>
        <w:outlineLvl w:val="1"/>
        <w:rPr>
          <w:rFonts w:hint="eastAsia" w:ascii="宋体" w:hAnsi="宋体" w:eastAsia="宋体" w:cs="宋体"/>
          <w:b/>
          <w:color w:val="auto"/>
          <w:sz w:val="28"/>
          <w:szCs w:val="28"/>
          <w:highlight w:val="none"/>
        </w:rPr>
      </w:pPr>
    </w:p>
    <w:p w14:paraId="4523C334">
      <w:pPr>
        <w:widowControl/>
        <w:snapToGrid w:val="0"/>
        <w:spacing w:line="360" w:lineRule="auto"/>
        <w:outlineLvl w:val="1"/>
        <w:rPr>
          <w:rFonts w:hint="eastAsia" w:ascii="宋体" w:hAnsi="宋体" w:eastAsia="宋体" w:cs="宋体"/>
          <w:b/>
          <w:color w:val="auto"/>
          <w:sz w:val="28"/>
          <w:szCs w:val="28"/>
          <w:highlight w:val="none"/>
        </w:rPr>
      </w:pPr>
    </w:p>
    <w:p w14:paraId="562BB92B">
      <w:pPr>
        <w:widowControl/>
        <w:snapToGrid w:val="0"/>
        <w:spacing w:line="360" w:lineRule="auto"/>
        <w:outlineLvl w:val="1"/>
        <w:rPr>
          <w:rFonts w:hint="eastAsia" w:ascii="宋体" w:hAnsi="宋体" w:eastAsia="宋体" w:cs="宋体"/>
          <w:b/>
          <w:color w:val="auto"/>
          <w:sz w:val="28"/>
          <w:szCs w:val="28"/>
          <w:highlight w:val="none"/>
        </w:rPr>
      </w:pPr>
    </w:p>
    <w:p w14:paraId="7E2CF686">
      <w:pPr>
        <w:widowControl/>
        <w:snapToGrid w:val="0"/>
        <w:spacing w:line="360" w:lineRule="auto"/>
        <w:outlineLvl w:val="1"/>
        <w:rPr>
          <w:rFonts w:hint="eastAsia" w:ascii="宋体" w:hAnsi="宋体" w:eastAsia="宋体" w:cs="宋体"/>
          <w:b/>
          <w:color w:val="auto"/>
          <w:sz w:val="28"/>
          <w:szCs w:val="28"/>
          <w:highlight w:val="none"/>
        </w:rPr>
      </w:pPr>
    </w:p>
    <w:p w14:paraId="6B3EFA3E">
      <w:pPr>
        <w:widowControl/>
        <w:snapToGrid w:val="0"/>
        <w:spacing w:line="360" w:lineRule="auto"/>
        <w:outlineLvl w:val="1"/>
        <w:rPr>
          <w:rFonts w:hint="eastAsia" w:ascii="宋体" w:hAnsi="宋体" w:eastAsia="宋体" w:cs="宋体"/>
          <w:b/>
          <w:color w:val="auto"/>
          <w:sz w:val="28"/>
          <w:szCs w:val="28"/>
          <w:highlight w:val="none"/>
        </w:rPr>
      </w:pPr>
    </w:p>
    <w:p w14:paraId="0B634073">
      <w:pPr>
        <w:widowControl/>
        <w:snapToGrid w:val="0"/>
        <w:spacing w:line="360" w:lineRule="auto"/>
        <w:outlineLvl w:val="1"/>
        <w:rPr>
          <w:rFonts w:hint="eastAsia" w:ascii="宋体" w:hAnsi="宋体" w:eastAsia="宋体" w:cs="宋体"/>
          <w:b/>
          <w:color w:val="auto"/>
          <w:sz w:val="28"/>
          <w:szCs w:val="28"/>
          <w:highlight w:val="none"/>
        </w:rPr>
      </w:pPr>
    </w:p>
    <w:p w14:paraId="174B80D2">
      <w:pPr>
        <w:widowControl/>
        <w:snapToGrid w:val="0"/>
        <w:spacing w:line="360" w:lineRule="auto"/>
        <w:outlineLvl w:val="1"/>
        <w:rPr>
          <w:rFonts w:hint="eastAsia" w:ascii="宋体" w:hAnsi="宋体" w:eastAsia="宋体" w:cs="宋体"/>
          <w:b/>
          <w:color w:val="auto"/>
          <w:sz w:val="28"/>
          <w:szCs w:val="28"/>
          <w:highlight w:val="none"/>
        </w:rPr>
      </w:pPr>
    </w:p>
    <w:p w14:paraId="020A3EE2">
      <w:pPr>
        <w:widowControl/>
        <w:snapToGrid w:val="0"/>
        <w:spacing w:line="360" w:lineRule="auto"/>
        <w:outlineLvl w:val="1"/>
        <w:rPr>
          <w:rFonts w:hint="eastAsia" w:ascii="宋体" w:hAnsi="宋体" w:eastAsia="宋体" w:cs="宋体"/>
          <w:b/>
          <w:color w:val="auto"/>
          <w:sz w:val="28"/>
          <w:szCs w:val="28"/>
          <w:highlight w:val="none"/>
        </w:rPr>
      </w:pPr>
    </w:p>
    <w:p w14:paraId="05223CC9">
      <w:pPr>
        <w:widowControl/>
        <w:snapToGrid w:val="0"/>
        <w:spacing w:line="360" w:lineRule="auto"/>
        <w:outlineLvl w:val="1"/>
        <w:rPr>
          <w:rFonts w:hint="eastAsia" w:ascii="宋体" w:hAnsi="宋体" w:eastAsia="宋体" w:cs="宋体"/>
          <w:b/>
          <w:color w:val="auto"/>
          <w:sz w:val="28"/>
          <w:szCs w:val="28"/>
          <w:highlight w:val="none"/>
        </w:rPr>
      </w:pPr>
      <w:bookmarkStart w:id="243" w:name="_Toc496626251"/>
      <w:bookmarkStart w:id="244" w:name="_Toc496004045"/>
    </w:p>
    <w:p w14:paraId="4486BF9E">
      <w:pPr>
        <w:widowControl/>
        <w:snapToGrid w:val="0"/>
        <w:spacing w:line="360" w:lineRule="auto"/>
        <w:outlineLvl w:val="1"/>
        <w:rPr>
          <w:rFonts w:hint="eastAsia" w:ascii="宋体" w:hAnsi="宋体" w:eastAsia="宋体" w:cs="宋体"/>
          <w:b/>
          <w:color w:val="auto"/>
          <w:sz w:val="28"/>
          <w:szCs w:val="28"/>
          <w:highlight w:val="none"/>
        </w:rPr>
      </w:pPr>
    </w:p>
    <w:p w14:paraId="3DEE2CB4">
      <w:pPr>
        <w:widowControl/>
        <w:snapToGrid w:val="0"/>
        <w:spacing w:line="360" w:lineRule="auto"/>
        <w:outlineLvl w:val="1"/>
        <w:rPr>
          <w:rFonts w:hint="eastAsia" w:ascii="宋体" w:hAnsi="宋体" w:eastAsia="宋体" w:cs="宋体"/>
          <w:b/>
          <w:color w:val="auto"/>
          <w:sz w:val="28"/>
          <w:szCs w:val="28"/>
          <w:highlight w:val="none"/>
        </w:rPr>
        <w:sectPr>
          <w:footerReference r:id="rId9" w:type="default"/>
          <w:pgSz w:w="11906" w:h="16838"/>
          <w:pgMar w:top="1440" w:right="1800" w:bottom="1440" w:left="1800" w:header="851" w:footer="992" w:gutter="0"/>
          <w:cols w:space="425" w:num="1"/>
          <w:docGrid w:type="lines" w:linePitch="312" w:charSpace="0"/>
        </w:sectPr>
      </w:pPr>
      <w:bookmarkStart w:id="245" w:name="_Toc19223"/>
    </w:p>
    <w:p w14:paraId="418185F5">
      <w:pPr>
        <w:pStyle w:val="17"/>
        <w:ind w:firstLine="0" w:firstLineChars="0"/>
        <w:jc w:val="left"/>
        <w:outlineLvl w:val="1"/>
        <w:rPr>
          <w:rFonts w:ascii="宋体" w:hAnsi="宋体" w:cs="宋体"/>
          <w:bCs/>
          <w:kern w:val="0"/>
          <w:sz w:val="28"/>
          <w:szCs w:val="28"/>
          <w:highlight w:val="none"/>
          <w:lang w:eastAsia="zh-CN"/>
        </w:rPr>
      </w:pPr>
      <w:r>
        <w:rPr>
          <w:rFonts w:hint="eastAsia" w:ascii="宋体"/>
          <w:sz w:val="28"/>
          <w:szCs w:val="28"/>
          <w:highlight w:val="none"/>
          <w:lang w:eastAsia="zh-CN"/>
        </w:rPr>
        <w:t>附件</w:t>
      </w:r>
      <w:r>
        <w:rPr>
          <w:rFonts w:hint="eastAsia" w:ascii="宋体"/>
          <w:sz w:val="28"/>
          <w:szCs w:val="28"/>
          <w:highlight w:val="none"/>
          <w:lang w:val="en-US" w:eastAsia="zh-CN"/>
        </w:rPr>
        <w:t>15</w:t>
      </w:r>
      <w:r>
        <w:rPr>
          <w:rFonts w:hint="eastAsia" w:ascii="宋体"/>
          <w:sz w:val="28"/>
          <w:szCs w:val="28"/>
          <w:highlight w:val="none"/>
          <w:lang w:eastAsia="zh-CN"/>
        </w:rPr>
        <w:t>：</w:t>
      </w:r>
      <w:r>
        <w:rPr>
          <w:rFonts w:hint="eastAsia" w:ascii="宋体" w:hAnsi="宋体" w:cs="宋体"/>
          <w:bCs/>
          <w:sz w:val="30"/>
          <w:szCs w:val="30"/>
          <w:highlight w:val="none"/>
          <w:lang w:val="zh-CN" w:eastAsia="zh-CN"/>
        </w:rPr>
        <w:t>中小企业声明函</w:t>
      </w:r>
    </w:p>
    <w:p w14:paraId="7D07ED85">
      <w:pPr>
        <w:ind w:firstLine="562"/>
        <w:jc w:val="center"/>
        <w:rPr>
          <w:rFonts w:ascii="宋体" w:hAnsi="宋体" w:cs="宋体"/>
          <w:b/>
          <w:sz w:val="28"/>
          <w:szCs w:val="28"/>
          <w:highlight w:val="none"/>
          <w:lang w:val="zh-CN"/>
        </w:rPr>
      </w:pPr>
      <w:r>
        <w:rPr>
          <w:rFonts w:hint="eastAsia" w:ascii="宋体" w:hAnsi="宋体" w:cs="宋体"/>
          <w:b/>
          <w:sz w:val="28"/>
          <w:szCs w:val="28"/>
          <w:highlight w:val="none"/>
        </w:rPr>
        <w:t>中小企业声明函</w:t>
      </w:r>
    </w:p>
    <w:p w14:paraId="2434DECF">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本公司（联合体）郑重声明，根据《政府采购促进中小企业发展管理办法》（财库﹝2020﹞46号）的规定，本公司（联合体）参加</w:t>
      </w:r>
      <w:r>
        <w:rPr>
          <w:rFonts w:hint="eastAsia" w:ascii="宋体" w:hAnsi="宋体" w:cs="宋体"/>
          <w:color w:val="333333"/>
          <w:kern w:val="0"/>
          <w:highlight w:val="none"/>
          <w:u w:val="single"/>
          <w:shd w:val="clear" w:color="auto" w:fill="FFFFFF"/>
        </w:rPr>
        <w:t>    （单位名称）</w:t>
      </w:r>
      <w:r>
        <w:rPr>
          <w:rFonts w:hint="eastAsia" w:ascii="宋体" w:hAnsi="宋体" w:cs="宋体"/>
          <w:color w:val="333333"/>
          <w:kern w:val="0"/>
          <w:highlight w:val="none"/>
          <w:shd w:val="clear" w:color="auto" w:fill="FFFFFF"/>
        </w:rPr>
        <w:t>的（项目名称）采购活动，服务全部由符合政策要求的中小企业承接。相关企业（含联合体中的中小企业、签订分包意向协议的中小企业）的具体情况如下：</w:t>
      </w:r>
    </w:p>
    <w:p w14:paraId="78EF2B09">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u w:val="single"/>
          <w:shd w:val="clear" w:color="auto" w:fill="FFFFFF"/>
        </w:rPr>
        <w:t>1.   （标的名称）</w:t>
      </w:r>
      <w:r>
        <w:rPr>
          <w:rFonts w:hint="eastAsia" w:ascii="宋体" w:hAnsi="宋体" w:cs="宋体"/>
          <w:color w:val="333333"/>
          <w:kern w:val="0"/>
          <w:highlight w:val="none"/>
          <w:shd w:val="clear" w:color="auto" w:fill="FFFFFF"/>
        </w:rPr>
        <w:t>，属于</w:t>
      </w:r>
      <w:r>
        <w:rPr>
          <w:rFonts w:hint="eastAsia" w:ascii="宋体" w:hAnsi="宋体" w:cs="宋体"/>
          <w:color w:val="333333"/>
          <w:kern w:val="0"/>
          <w:highlight w:val="none"/>
          <w:u w:val="single"/>
          <w:shd w:val="clear" w:color="auto" w:fill="FFFFFF"/>
          <w:lang w:val="en-US" w:eastAsia="zh-CN"/>
        </w:rPr>
        <w:t>建筑业</w:t>
      </w:r>
      <w:r>
        <w:rPr>
          <w:rFonts w:hint="eastAsia" w:ascii="宋体" w:hAnsi="宋体" w:cs="宋体"/>
          <w:color w:val="333333"/>
          <w:kern w:val="0"/>
          <w:highlight w:val="none"/>
          <w:u w:val="single"/>
          <w:shd w:val="clear" w:color="auto" w:fill="FFFFFF"/>
        </w:rPr>
        <w:t>（采购文件中明确的所属行业）</w:t>
      </w:r>
      <w:r>
        <w:rPr>
          <w:rFonts w:hint="eastAsia" w:ascii="宋体" w:hAnsi="宋体" w:cs="宋体"/>
          <w:color w:val="333333"/>
          <w:kern w:val="0"/>
          <w:highlight w:val="none"/>
          <w:shd w:val="clear" w:color="auto" w:fill="FFFFFF"/>
        </w:rPr>
        <w:t>；承建（承接）企业为</w:t>
      </w:r>
      <w:r>
        <w:rPr>
          <w:rFonts w:hint="eastAsia" w:ascii="宋体" w:hAnsi="宋体" w:cs="宋体"/>
          <w:color w:val="333333"/>
          <w:kern w:val="0"/>
          <w:highlight w:val="none"/>
          <w:u w:val="single"/>
          <w:shd w:val="clear" w:color="auto" w:fill="FFFFFF"/>
        </w:rPr>
        <w:t>    （企业名称）</w:t>
      </w:r>
      <w:r>
        <w:rPr>
          <w:rFonts w:hint="eastAsia" w:ascii="宋体" w:hAnsi="宋体" w:cs="宋体"/>
          <w:color w:val="333333"/>
          <w:kern w:val="0"/>
          <w:highlight w:val="none"/>
          <w:shd w:val="clear" w:color="auto" w:fill="FFFFFF"/>
        </w:rPr>
        <w:t>，从业人员</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人，营业收入为</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万元，资产总额为</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万元，属于</w:t>
      </w:r>
      <w:r>
        <w:rPr>
          <w:rFonts w:hint="eastAsia" w:ascii="宋体" w:hAnsi="宋体" w:cs="宋体"/>
          <w:color w:val="333333"/>
          <w:kern w:val="0"/>
          <w:highlight w:val="none"/>
          <w:u w:val="single"/>
          <w:shd w:val="clear" w:color="auto" w:fill="FFFFFF"/>
        </w:rPr>
        <w:t>     （中型企业、小型企业、微型企业）</w:t>
      </w:r>
      <w:r>
        <w:rPr>
          <w:rFonts w:hint="eastAsia" w:ascii="宋体" w:hAnsi="宋体" w:cs="宋体"/>
          <w:color w:val="333333"/>
          <w:kern w:val="0"/>
          <w:highlight w:val="none"/>
          <w:shd w:val="clear" w:color="auto" w:fill="FFFFFF"/>
        </w:rPr>
        <w:t>；</w:t>
      </w:r>
    </w:p>
    <w:p w14:paraId="7CFBD6A7">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u w:val="single"/>
          <w:shd w:val="clear" w:color="auto" w:fill="FFFFFF"/>
        </w:rPr>
        <w:t>1.   （标的名称）</w:t>
      </w:r>
      <w:r>
        <w:rPr>
          <w:rFonts w:hint="eastAsia" w:ascii="宋体" w:hAnsi="宋体" w:cs="宋体"/>
          <w:color w:val="333333"/>
          <w:kern w:val="0"/>
          <w:highlight w:val="none"/>
          <w:shd w:val="clear" w:color="auto" w:fill="FFFFFF"/>
        </w:rPr>
        <w:t>，属于</w:t>
      </w:r>
      <w:r>
        <w:rPr>
          <w:rFonts w:hint="eastAsia" w:ascii="宋体" w:hAnsi="宋体" w:cs="宋体"/>
          <w:color w:val="333333"/>
          <w:kern w:val="0"/>
          <w:highlight w:val="none"/>
          <w:u w:val="single"/>
          <w:shd w:val="clear" w:color="auto" w:fill="FFFFFF"/>
          <w:lang w:val="en-US" w:eastAsia="zh-CN"/>
        </w:rPr>
        <w:t>建筑业</w:t>
      </w:r>
      <w:r>
        <w:rPr>
          <w:rFonts w:hint="eastAsia" w:ascii="宋体" w:hAnsi="宋体" w:cs="宋体"/>
          <w:color w:val="333333"/>
          <w:kern w:val="0"/>
          <w:highlight w:val="none"/>
          <w:u w:val="single"/>
          <w:shd w:val="clear" w:color="auto" w:fill="FFFFFF"/>
        </w:rPr>
        <w:t>（采购文件中明确的所属行业）</w:t>
      </w:r>
      <w:r>
        <w:rPr>
          <w:rFonts w:hint="eastAsia" w:ascii="宋体" w:hAnsi="宋体" w:cs="宋体"/>
          <w:color w:val="333333"/>
          <w:kern w:val="0"/>
          <w:highlight w:val="none"/>
          <w:shd w:val="clear" w:color="auto" w:fill="FFFFFF"/>
        </w:rPr>
        <w:t>；承建（承接）企业为</w:t>
      </w:r>
      <w:r>
        <w:rPr>
          <w:rFonts w:hint="eastAsia" w:ascii="宋体" w:hAnsi="宋体" w:cs="宋体"/>
          <w:color w:val="333333"/>
          <w:kern w:val="0"/>
          <w:highlight w:val="none"/>
          <w:u w:val="single"/>
          <w:shd w:val="clear" w:color="auto" w:fill="FFFFFF"/>
        </w:rPr>
        <w:t>    （企业名称）</w:t>
      </w:r>
      <w:r>
        <w:rPr>
          <w:rFonts w:hint="eastAsia" w:ascii="宋体" w:hAnsi="宋体" w:cs="宋体"/>
          <w:color w:val="333333"/>
          <w:kern w:val="0"/>
          <w:highlight w:val="none"/>
          <w:shd w:val="clear" w:color="auto" w:fill="FFFFFF"/>
        </w:rPr>
        <w:t>，从业人员</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人，营业收入为</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万元，资产总额为</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万元，属于</w:t>
      </w:r>
      <w:r>
        <w:rPr>
          <w:rFonts w:hint="eastAsia" w:ascii="宋体" w:hAnsi="宋体" w:cs="宋体"/>
          <w:color w:val="333333"/>
          <w:kern w:val="0"/>
          <w:highlight w:val="none"/>
          <w:u w:val="single"/>
          <w:shd w:val="clear" w:color="auto" w:fill="FFFFFF"/>
        </w:rPr>
        <w:t>     （中型企业、小型企业、微型企业）</w:t>
      </w:r>
      <w:r>
        <w:rPr>
          <w:rFonts w:hint="eastAsia" w:ascii="宋体" w:hAnsi="宋体" w:cs="宋体"/>
          <w:color w:val="333333"/>
          <w:kern w:val="0"/>
          <w:highlight w:val="none"/>
          <w:shd w:val="clear" w:color="auto" w:fill="FFFFFF"/>
        </w:rPr>
        <w:t>；</w:t>
      </w:r>
    </w:p>
    <w:p w14:paraId="1646D495">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w:t>
      </w:r>
    </w:p>
    <w:p w14:paraId="7C1444AB">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以上企业，不属于大企业的分支机构，不存在控股股东为大企业的情形，也不存在与大企业的负责人为同一人的情形。</w:t>
      </w:r>
    </w:p>
    <w:p w14:paraId="41B8B814">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本企业对上述声明内容的真实性负责。如有虚假，将依法承担相应责任。</w:t>
      </w:r>
    </w:p>
    <w:p w14:paraId="064B4C9F">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企业名称（盖章）：</w:t>
      </w:r>
    </w:p>
    <w:p w14:paraId="25845737">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日 期：</w:t>
      </w:r>
    </w:p>
    <w:p w14:paraId="1ADEDEA3">
      <w:pPr>
        <w:widowControl/>
        <w:snapToGrid w:val="0"/>
        <w:spacing w:line="360" w:lineRule="auto"/>
        <w:outlineLvl w:val="1"/>
        <w:rPr>
          <w:rFonts w:hint="eastAsia" w:ascii="宋体" w:hAnsi="宋体" w:cs="宋体"/>
          <w:b/>
          <w:bCs/>
          <w:color w:val="333333"/>
          <w:kern w:val="0"/>
          <w:sz w:val="16"/>
          <w:szCs w:val="16"/>
          <w:highlight w:val="none"/>
          <w:shd w:val="clear" w:color="auto" w:fill="FFFFFF"/>
        </w:rPr>
      </w:pPr>
      <w:r>
        <w:rPr>
          <w:rFonts w:hint="eastAsia" w:ascii="宋体" w:hAnsi="宋体" w:cs="宋体"/>
          <w:b/>
          <w:bCs/>
          <w:color w:val="333333"/>
          <w:kern w:val="0"/>
          <w:sz w:val="22"/>
          <w:szCs w:val="22"/>
          <w:highlight w:val="none"/>
          <w:shd w:val="clear" w:color="auto" w:fill="FFFFFF"/>
        </w:rPr>
        <w:t> </w:t>
      </w:r>
      <w:r>
        <w:rPr>
          <w:rFonts w:hint="eastAsia" w:ascii="宋体" w:hAnsi="宋体" w:cs="宋体"/>
          <w:b/>
          <w:bCs/>
          <w:color w:val="333333"/>
          <w:kern w:val="0"/>
          <w:sz w:val="16"/>
          <w:szCs w:val="16"/>
          <w:highlight w:val="none"/>
          <w:shd w:val="clear" w:color="auto" w:fill="FFFFFF"/>
          <w:vertAlign w:val="superscript"/>
        </w:rPr>
        <w:t>1</w:t>
      </w:r>
      <w:r>
        <w:rPr>
          <w:rFonts w:hint="eastAsia" w:ascii="宋体" w:hAnsi="宋体" w:cs="宋体"/>
          <w:b/>
          <w:bCs/>
          <w:color w:val="333333"/>
          <w:kern w:val="0"/>
          <w:sz w:val="16"/>
          <w:szCs w:val="16"/>
          <w:highlight w:val="none"/>
          <w:shd w:val="clear" w:color="auto" w:fill="FFFFFF"/>
        </w:rPr>
        <w:t>从业人员、营业收入、资产总额填报上一年度数据，无上一年度数据的新成立企业可不填报。</w:t>
      </w:r>
    </w:p>
    <w:p w14:paraId="65998FB3">
      <w:pPr>
        <w:widowControl/>
        <w:snapToGrid w:val="0"/>
        <w:spacing w:line="360" w:lineRule="auto"/>
        <w:outlineLvl w:val="1"/>
        <w:rPr>
          <w:rFonts w:hint="eastAsia" w:ascii="宋体" w:hAnsi="宋体" w:cs="宋体"/>
          <w:b/>
          <w:bCs/>
          <w:color w:val="333333"/>
          <w:kern w:val="0"/>
          <w:sz w:val="16"/>
          <w:szCs w:val="16"/>
          <w:highlight w:val="none"/>
          <w:shd w:val="clear" w:color="auto" w:fill="FFFFFF"/>
        </w:rPr>
      </w:pPr>
    </w:p>
    <w:p w14:paraId="531B7754">
      <w:pPr>
        <w:widowControl/>
        <w:snapToGrid w:val="0"/>
        <w:spacing w:line="360" w:lineRule="auto"/>
        <w:outlineLvl w:val="1"/>
        <w:rPr>
          <w:rFonts w:hint="eastAsia" w:ascii="宋体" w:hAnsi="宋体" w:cs="宋体"/>
          <w:b/>
          <w:bCs/>
          <w:color w:val="333333"/>
          <w:kern w:val="0"/>
          <w:sz w:val="16"/>
          <w:szCs w:val="16"/>
          <w:highlight w:val="none"/>
          <w:shd w:val="clear" w:color="auto" w:fill="FFFFFF"/>
        </w:rPr>
      </w:pPr>
    </w:p>
    <w:p w14:paraId="2A1A1469">
      <w:pPr>
        <w:widowControl/>
        <w:snapToGrid w:val="0"/>
        <w:spacing w:line="360" w:lineRule="auto"/>
        <w:outlineLvl w:val="1"/>
        <w:rPr>
          <w:rFonts w:hint="eastAsia" w:ascii="宋体" w:hAnsi="宋体" w:cs="宋体"/>
          <w:b/>
          <w:bCs/>
          <w:color w:val="333333"/>
          <w:kern w:val="0"/>
          <w:sz w:val="16"/>
          <w:szCs w:val="16"/>
          <w:highlight w:val="none"/>
          <w:shd w:val="clear" w:color="auto" w:fill="FFFFFF"/>
        </w:rPr>
      </w:pPr>
    </w:p>
    <w:p w14:paraId="1F59D85C">
      <w:pPr>
        <w:widowControl/>
        <w:snapToGrid w:val="0"/>
        <w:spacing w:line="360" w:lineRule="auto"/>
        <w:outlineLvl w:val="1"/>
        <w:rPr>
          <w:rFonts w:hint="eastAsia" w:ascii="宋体" w:hAnsi="宋体" w:cs="宋体"/>
          <w:b/>
          <w:bCs/>
          <w:color w:val="333333"/>
          <w:kern w:val="0"/>
          <w:sz w:val="16"/>
          <w:szCs w:val="16"/>
          <w:highlight w:val="none"/>
          <w:shd w:val="clear" w:color="auto" w:fill="FFFFFF"/>
        </w:rPr>
      </w:pPr>
    </w:p>
    <w:p w14:paraId="0092F2E4">
      <w:pPr>
        <w:widowControl/>
        <w:snapToGrid w:val="0"/>
        <w:spacing w:line="360" w:lineRule="auto"/>
        <w:outlineLvl w:val="1"/>
        <w:rPr>
          <w:rFonts w:hint="eastAsia" w:ascii="宋体" w:hAnsi="宋体" w:cs="宋体"/>
          <w:b/>
          <w:bCs/>
          <w:color w:val="333333"/>
          <w:kern w:val="0"/>
          <w:sz w:val="16"/>
          <w:szCs w:val="16"/>
          <w:highlight w:val="none"/>
          <w:shd w:val="clear" w:color="auto" w:fill="FFFFFF"/>
        </w:rPr>
      </w:pPr>
    </w:p>
    <w:p w14:paraId="6B9DC2C2">
      <w:pPr>
        <w:widowControl/>
        <w:snapToGrid w:val="0"/>
        <w:spacing w:line="360" w:lineRule="auto"/>
        <w:outlineLvl w:val="1"/>
        <w:rPr>
          <w:rFonts w:hint="eastAsia" w:ascii="宋体" w:hAnsi="宋体" w:cs="宋体"/>
          <w:b/>
          <w:bCs/>
          <w:color w:val="333333"/>
          <w:kern w:val="0"/>
          <w:sz w:val="16"/>
          <w:szCs w:val="16"/>
          <w:highlight w:val="none"/>
          <w:shd w:val="clear" w:color="auto" w:fill="FFFFFF"/>
        </w:rPr>
      </w:pPr>
    </w:p>
    <w:p w14:paraId="1A8CF918">
      <w:pPr>
        <w:widowControl/>
        <w:snapToGrid w:val="0"/>
        <w:spacing w:line="360" w:lineRule="auto"/>
        <w:outlineLvl w:val="1"/>
        <w:rPr>
          <w:rFonts w:hint="eastAsia" w:ascii="宋体" w:hAnsi="宋体" w:cs="宋体"/>
          <w:b/>
          <w:bCs/>
          <w:color w:val="333333"/>
          <w:kern w:val="0"/>
          <w:sz w:val="16"/>
          <w:szCs w:val="16"/>
          <w:highlight w:val="none"/>
          <w:shd w:val="clear" w:color="auto" w:fill="FFFFFF"/>
        </w:rPr>
      </w:pPr>
    </w:p>
    <w:p w14:paraId="400C45E9">
      <w:pPr>
        <w:widowControl/>
        <w:snapToGrid w:val="0"/>
        <w:spacing w:line="360" w:lineRule="auto"/>
        <w:outlineLvl w:val="1"/>
        <w:rPr>
          <w:rFonts w:hint="eastAsia" w:ascii="宋体" w:hAnsi="宋体" w:cs="宋体"/>
          <w:b/>
          <w:bCs/>
          <w:color w:val="333333"/>
          <w:kern w:val="0"/>
          <w:sz w:val="16"/>
          <w:szCs w:val="16"/>
          <w:highlight w:val="none"/>
          <w:shd w:val="clear" w:color="auto" w:fill="FFFFFF"/>
        </w:rPr>
      </w:pPr>
    </w:p>
    <w:p w14:paraId="6A901E1B">
      <w:pPr>
        <w:widowControl/>
        <w:snapToGrid w:val="0"/>
        <w:spacing w:line="360" w:lineRule="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r>
        <w:rPr>
          <w:rFonts w:hint="eastAsia" w:ascii="宋体" w:hAnsi="宋体" w:cs="宋体"/>
          <w:b/>
          <w:color w:val="auto"/>
          <w:sz w:val="28"/>
          <w:szCs w:val="28"/>
          <w:highlight w:val="none"/>
          <w:lang w:val="en-US" w:eastAsia="zh-CN"/>
        </w:rPr>
        <w:t>16</w:t>
      </w:r>
      <w:r>
        <w:rPr>
          <w:rFonts w:hint="eastAsia" w:ascii="宋体" w:hAnsi="宋体" w:eastAsia="宋体" w:cs="宋体"/>
          <w:b/>
          <w:color w:val="auto"/>
          <w:sz w:val="28"/>
          <w:szCs w:val="28"/>
          <w:highlight w:val="none"/>
        </w:rPr>
        <w:t>：残疾人福利性单位声明函</w:t>
      </w:r>
      <w:bookmarkEnd w:id="243"/>
      <w:bookmarkEnd w:id="244"/>
      <w:bookmarkEnd w:id="245"/>
    </w:p>
    <w:p w14:paraId="5DF91912">
      <w:pPr>
        <w:jc w:val="center"/>
        <w:rPr>
          <w:rFonts w:hint="eastAsia" w:ascii="宋体" w:hAnsi="宋体" w:eastAsia="宋体" w:cs="宋体"/>
          <w:b/>
          <w:color w:val="auto"/>
          <w:sz w:val="36"/>
          <w:szCs w:val="36"/>
          <w:highlight w:val="none"/>
        </w:rPr>
      </w:pPr>
      <w:bookmarkStart w:id="246" w:name="OLE_LINK14"/>
      <w:bookmarkStart w:id="247" w:name="OLE_LINK13"/>
    </w:p>
    <w:p w14:paraId="1E1884A9">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残疾人福利性单位声明函</w:t>
      </w:r>
    </w:p>
    <w:bookmarkEnd w:id="246"/>
    <w:bookmarkEnd w:id="247"/>
    <w:p w14:paraId="29AA42DB">
      <w:pPr>
        <w:keepNext w:val="0"/>
        <w:keepLines w:val="0"/>
        <w:pageBreakBefore w:val="0"/>
        <w:widowControl w:val="0"/>
        <w:kinsoku/>
        <w:wordWrap/>
        <w:overflowPunct/>
        <w:topLinePunct w:val="0"/>
        <w:autoSpaceDE/>
        <w:autoSpaceDN/>
        <w:bidi w:val="0"/>
        <w:adjustRightInd/>
        <w:snapToGrid/>
        <w:spacing w:after="156" w:afterLines="50" w:line="360" w:lineRule="auto"/>
        <w:textAlignment w:val="auto"/>
        <w:rPr>
          <w:rFonts w:hint="eastAsia" w:ascii="宋体" w:hAnsi="宋体" w:eastAsia="宋体" w:cs="宋体"/>
          <w:bCs/>
          <w:color w:val="auto"/>
          <w:highlight w:val="none"/>
        </w:rPr>
      </w:pPr>
    </w:p>
    <w:p w14:paraId="0796B5DD">
      <w:pPr>
        <w:keepNext w:val="0"/>
        <w:keepLines w:val="0"/>
        <w:pageBreakBefore w:val="0"/>
        <w:widowControl w:val="0"/>
        <w:kinsoku/>
        <w:wordWrap/>
        <w:overflowPunct/>
        <w:topLinePunct w:val="0"/>
        <w:autoSpaceDE/>
        <w:autoSpaceDN/>
        <w:bidi w:val="0"/>
        <w:adjustRightInd/>
        <w:snapToGrid/>
        <w:spacing w:after="156" w:afterLines="50"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致：</w:t>
      </w:r>
      <w:r>
        <w:rPr>
          <w:rFonts w:hint="eastAsia" w:ascii="宋体" w:hAnsi="宋体" w:eastAsia="宋体" w:cs="宋体"/>
          <w:b/>
          <w:bCs/>
          <w:color w:val="auto"/>
          <w:highlight w:val="none"/>
          <w:lang w:eastAsia="zh-CN"/>
        </w:rPr>
        <w:t>兰州众信招标有限公司</w:t>
      </w:r>
    </w:p>
    <w:p w14:paraId="3FD5288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p>
    <w:p w14:paraId="6393B16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人，安置的残疾人人数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人。且本单位参加______单位的______项目采购活动提供本单位制造的货物（由本单位承担工程/提供服务），或者提供其他残疾人福利性公司制造的货物（不包括使用非残疾人福利性公司注册商标的货物）。</w:t>
      </w:r>
    </w:p>
    <w:p w14:paraId="288291E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14:paraId="78FEC54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highlight w:val="none"/>
        </w:rPr>
      </w:pPr>
    </w:p>
    <w:p w14:paraId="6F2094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注：若无此项内容，可不提供此函。</w:t>
      </w:r>
    </w:p>
    <w:p w14:paraId="5692344D">
      <w:pPr>
        <w:spacing w:line="360" w:lineRule="auto"/>
        <w:ind w:firstLine="480"/>
        <w:rPr>
          <w:rFonts w:hint="eastAsia" w:ascii="宋体" w:hAnsi="宋体" w:eastAsia="宋体" w:cs="宋体"/>
          <w:color w:val="auto"/>
          <w:highlight w:val="none"/>
        </w:rPr>
      </w:pPr>
    </w:p>
    <w:p w14:paraId="52BB2CBF">
      <w:pPr>
        <w:spacing w:line="360" w:lineRule="auto"/>
        <w:ind w:firstLine="480"/>
        <w:rPr>
          <w:rFonts w:hint="eastAsia" w:ascii="宋体" w:hAnsi="宋体" w:eastAsia="宋体" w:cs="宋体"/>
          <w:color w:val="auto"/>
          <w:highlight w:val="none"/>
        </w:rPr>
      </w:pPr>
    </w:p>
    <w:p w14:paraId="00D9B597">
      <w:pPr>
        <w:spacing w:line="360" w:lineRule="auto"/>
        <w:ind w:firstLine="480"/>
        <w:rPr>
          <w:rFonts w:hint="eastAsia" w:ascii="宋体" w:hAnsi="宋体" w:eastAsia="宋体" w:cs="宋体"/>
          <w:color w:val="auto"/>
          <w:highlight w:val="none"/>
        </w:rPr>
      </w:pPr>
    </w:p>
    <w:p w14:paraId="698966BA">
      <w:pPr>
        <w:spacing w:line="360" w:lineRule="auto"/>
        <w:ind w:firstLine="480"/>
        <w:rPr>
          <w:rFonts w:hint="eastAsia" w:ascii="宋体" w:hAnsi="宋体" w:eastAsia="宋体" w:cs="宋体"/>
          <w:color w:val="auto"/>
          <w:highlight w:val="none"/>
        </w:rPr>
      </w:pPr>
    </w:p>
    <w:p w14:paraId="216A9071">
      <w:pPr>
        <w:spacing w:line="360" w:lineRule="auto"/>
        <w:ind w:firstLine="480"/>
        <w:rPr>
          <w:rFonts w:hint="eastAsia" w:ascii="宋体" w:hAnsi="宋体" w:eastAsia="宋体" w:cs="宋体"/>
          <w:color w:val="auto"/>
          <w:highlight w:val="none"/>
        </w:rPr>
      </w:pPr>
    </w:p>
    <w:p w14:paraId="5624A711">
      <w:pPr>
        <w:spacing w:line="360" w:lineRule="auto"/>
        <w:rPr>
          <w:rFonts w:hint="eastAsia" w:ascii="宋体" w:hAnsi="宋体" w:eastAsia="宋体" w:cs="宋体"/>
          <w:color w:val="auto"/>
          <w:highlight w:val="none"/>
        </w:rPr>
      </w:pPr>
    </w:p>
    <w:p w14:paraId="398237AA">
      <w:pPr>
        <w:spacing w:line="360" w:lineRule="auto"/>
        <w:ind w:firstLine="480"/>
        <w:rPr>
          <w:rFonts w:hint="eastAsia" w:ascii="宋体" w:hAnsi="宋体" w:eastAsia="宋体" w:cs="宋体"/>
          <w:color w:val="auto"/>
          <w:highlight w:val="none"/>
        </w:rPr>
      </w:pPr>
    </w:p>
    <w:p w14:paraId="430E15BA">
      <w:pPr>
        <w:spacing w:line="360" w:lineRule="auto"/>
        <w:ind w:firstLine="480"/>
        <w:rPr>
          <w:rFonts w:hint="eastAsia" w:ascii="宋体" w:hAnsi="宋体" w:eastAsia="宋体" w:cs="宋体"/>
          <w:color w:val="auto"/>
          <w:highlight w:val="none"/>
        </w:rPr>
      </w:pPr>
    </w:p>
    <w:p w14:paraId="0D953468">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企业名称：</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b/>
          <w:color w:val="auto"/>
          <w:highlight w:val="none"/>
        </w:rPr>
        <w:t>（公章）</w:t>
      </w:r>
    </w:p>
    <w:p w14:paraId="3A68DD9F">
      <w:pPr>
        <w:spacing w:line="360" w:lineRule="auto"/>
        <w:ind w:firstLine="482"/>
        <w:jc w:val="right"/>
        <w:rPr>
          <w:rFonts w:hint="eastAsia" w:ascii="宋体" w:hAnsi="宋体" w:eastAsia="宋体" w:cs="宋体"/>
          <w:b/>
          <w:color w:val="auto"/>
          <w:highlight w:val="none"/>
        </w:rPr>
      </w:pPr>
      <w:r>
        <w:rPr>
          <w:rFonts w:hint="eastAsia" w:ascii="宋体" w:hAnsi="宋体" w:eastAsia="宋体" w:cs="宋体"/>
          <w:b/>
          <w:color w:val="auto"/>
          <w:highlight w:val="none"/>
        </w:rPr>
        <w:t xml:space="preserve"> 企业法定代表人：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b/>
          <w:color w:val="auto"/>
          <w:highlight w:val="none"/>
        </w:rPr>
        <w:t>（签字或盖章）</w:t>
      </w:r>
    </w:p>
    <w:p w14:paraId="688732B3">
      <w:pPr>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年   月  日</w:t>
      </w:r>
      <w:bookmarkStart w:id="248" w:name="_Toc496626252"/>
      <w:bookmarkStart w:id="249" w:name="_Toc496004046"/>
      <w:bookmarkStart w:id="250" w:name="_Toc416363470"/>
    </w:p>
    <w:p w14:paraId="65435B92">
      <w:pPr>
        <w:pStyle w:val="9"/>
        <w:rPr>
          <w:rFonts w:hint="eastAsia" w:ascii="宋体" w:hAnsi="宋体" w:eastAsia="宋体" w:cs="宋体"/>
          <w:color w:val="auto"/>
          <w:highlight w:val="none"/>
        </w:rPr>
      </w:pPr>
    </w:p>
    <w:p w14:paraId="2E9883F8">
      <w:pPr>
        <w:widowControl/>
        <w:snapToGrid w:val="0"/>
        <w:spacing w:line="360" w:lineRule="auto"/>
        <w:outlineLvl w:val="1"/>
        <w:rPr>
          <w:rFonts w:hint="eastAsia" w:ascii="宋体" w:hAnsi="宋体" w:eastAsia="宋体" w:cs="宋体"/>
          <w:b/>
          <w:color w:val="auto"/>
          <w:sz w:val="28"/>
          <w:szCs w:val="28"/>
          <w:highlight w:val="none"/>
        </w:rPr>
      </w:pPr>
      <w:bookmarkStart w:id="251" w:name="_Toc30395"/>
    </w:p>
    <w:p w14:paraId="7CF6BA8F">
      <w:pPr>
        <w:widowControl/>
        <w:snapToGrid w:val="0"/>
        <w:spacing w:line="360" w:lineRule="auto"/>
        <w:outlineLvl w:val="1"/>
        <w:rPr>
          <w:rFonts w:hint="eastAsia" w:ascii="宋体" w:hAnsi="宋体" w:eastAsia="宋体" w:cs="宋体"/>
          <w:b/>
          <w:color w:val="auto"/>
          <w:sz w:val="28"/>
          <w:szCs w:val="28"/>
          <w:highlight w:val="none"/>
        </w:rPr>
      </w:pPr>
    </w:p>
    <w:bookmarkEnd w:id="248"/>
    <w:bookmarkEnd w:id="249"/>
    <w:bookmarkEnd w:id="251"/>
    <w:p w14:paraId="38B1F6C9">
      <w:pPr>
        <w:widowControl/>
        <w:snapToGrid w:val="0"/>
        <w:spacing w:line="360" w:lineRule="auto"/>
        <w:outlineLvl w:val="1"/>
        <w:rPr>
          <w:rFonts w:hint="eastAsia" w:ascii="宋体" w:hAnsi="宋体" w:eastAsia="宋体" w:cs="宋体"/>
          <w:b/>
          <w:color w:val="auto"/>
          <w:sz w:val="28"/>
          <w:szCs w:val="28"/>
          <w:highlight w:val="none"/>
        </w:rPr>
      </w:pPr>
      <w:bookmarkStart w:id="252" w:name="_Toc3808"/>
      <w:bookmarkStart w:id="253" w:name="_Toc496626253"/>
      <w:bookmarkStart w:id="254" w:name="_Toc496004047"/>
      <w:r>
        <w:rPr>
          <w:rFonts w:hint="eastAsia" w:ascii="宋体" w:hAnsi="宋体" w:eastAsia="宋体" w:cs="宋体"/>
          <w:b/>
          <w:color w:val="auto"/>
          <w:sz w:val="28"/>
          <w:szCs w:val="28"/>
          <w:highlight w:val="none"/>
        </w:rPr>
        <w:t>附件</w:t>
      </w:r>
      <w:r>
        <w:rPr>
          <w:rFonts w:hint="eastAsia" w:ascii="宋体" w:hAnsi="宋体" w:cs="宋体"/>
          <w:b/>
          <w:color w:val="auto"/>
          <w:sz w:val="28"/>
          <w:szCs w:val="28"/>
          <w:highlight w:val="none"/>
          <w:lang w:val="en-US" w:eastAsia="zh-CN"/>
        </w:rPr>
        <w:t>17</w:t>
      </w:r>
      <w:r>
        <w:rPr>
          <w:rFonts w:hint="eastAsia" w:ascii="宋体" w:hAnsi="宋体" w:eastAsia="宋体" w:cs="宋体"/>
          <w:b/>
          <w:color w:val="auto"/>
          <w:sz w:val="28"/>
          <w:szCs w:val="28"/>
          <w:highlight w:val="none"/>
        </w:rPr>
        <w:t>：供应商认为在其他方面有必要说明的事项</w:t>
      </w:r>
      <w:bookmarkEnd w:id="252"/>
      <w:bookmarkEnd w:id="253"/>
      <w:bookmarkEnd w:id="254"/>
    </w:p>
    <w:p w14:paraId="679AABE1">
      <w:pPr>
        <w:ind w:firstLine="723"/>
        <w:jc w:val="center"/>
        <w:rPr>
          <w:rFonts w:hint="eastAsia" w:ascii="宋体" w:hAnsi="宋体" w:eastAsia="宋体" w:cs="宋体"/>
          <w:b/>
          <w:color w:val="auto"/>
          <w:sz w:val="36"/>
          <w:szCs w:val="36"/>
          <w:highlight w:val="none"/>
        </w:rPr>
      </w:pPr>
    </w:p>
    <w:p w14:paraId="24D296C7">
      <w:pPr>
        <w:ind w:firstLine="723"/>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供应商认为在其他方面有必要说明的事项</w:t>
      </w:r>
    </w:p>
    <w:p w14:paraId="188FD7B9">
      <w:pPr>
        <w:ind w:firstLine="723"/>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（格式自定）</w:t>
      </w:r>
    </w:p>
    <w:p w14:paraId="4406333E">
      <w:pPr>
        <w:widowControl/>
        <w:snapToGrid w:val="0"/>
        <w:spacing w:line="360" w:lineRule="auto"/>
        <w:outlineLvl w:val="1"/>
        <w:rPr>
          <w:rFonts w:hint="eastAsia" w:ascii="宋体" w:hAnsi="宋体" w:eastAsia="宋体" w:cs="宋体"/>
          <w:b/>
          <w:color w:val="auto"/>
          <w:highlight w:val="none"/>
        </w:rPr>
      </w:pPr>
    </w:p>
    <w:p w14:paraId="27BC9AE3">
      <w:pPr>
        <w:widowControl/>
        <w:snapToGrid w:val="0"/>
        <w:spacing w:line="360" w:lineRule="auto"/>
        <w:outlineLvl w:val="1"/>
        <w:rPr>
          <w:rFonts w:hint="eastAsia" w:ascii="宋体" w:hAnsi="宋体" w:eastAsia="宋体" w:cs="宋体"/>
          <w:b/>
          <w:color w:val="auto"/>
          <w:sz w:val="28"/>
          <w:szCs w:val="28"/>
          <w:highlight w:val="none"/>
        </w:rPr>
      </w:pPr>
      <w:r>
        <w:rPr>
          <w:rFonts w:hint="eastAsia" w:ascii="宋体" w:hAnsi="宋体" w:eastAsia="宋体" w:cs="宋体"/>
          <w:b/>
          <w:color w:val="auto"/>
          <w:highlight w:val="none"/>
        </w:rPr>
        <w:br w:type="page"/>
      </w:r>
      <w:bookmarkEnd w:id="250"/>
    </w:p>
    <w:p w14:paraId="643FDACB">
      <w:pPr>
        <w:keepNext/>
        <w:keepLines/>
        <w:widowControl/>
        <w:snapToGrid w:val="0"/>
        <w:spacing w:line="240" w:lineRule="atLeast"/>
        <w:jc w:val="both"/>
        <w:outlineLvl w:val="0"/>
        <w:rPr>
          <w:rFonts w:hint="eastAsia" w:ascii="宋体" w:hAnsi="宋体" w:eastAsia="宋体" w:cs="宋体"/>
          <w:b/>
          <w:color w:val="auto"/>
          <w:kern w:val="28"/>
          <w:sz w:val="36"/>
          <w:szCs w:val="20"/>
          <w:highlight w:val="none"/>
        </w:rPr>
      </w:pPr>
      <w:bookmarkStart w:id="255" w:name="_Toc496626254"/>
      <w:bookmarkStart w:id="256" w:name="_Toc325726051"/>
      <w:bookmarkStart w:id="257" w:name="_Toc376936782"/>
    </w:p>
    <w:p w14:paraId="5C5248B5">
      <w:pPr>
        <w:keepNext/>
        <w:keepLines/>
        <w:widowControl/>
        <w:snapToGrid w:val="0"/>
        <w:spacing w:line="240" w:lineRule="atLeast"/>
        <w:jc w:val="center"/>
        <w:outlineLvl w:val="0"/>
        <w:rPr>
          <w:rFonts w:hint="eastAsia" w:ascii="宋体" w:hAnsi="宋体" w:eastAsia="宋体" w:cs="宋体"/>
          <w:b/>
          <w:color w:val="auto"/>
          <w:kern w:val="28"/>
          <w:sz w:val="36"/>
          <w:szCs w:val="20"/>
          <w:highlight w:val="none"/>
        </w:rPr>
      </w:pPr>
      <w:bookmarkStart w:id="258" w:name="_Toc24089"/>
      <w:r>
        <w:rPr>
          <w:rFonts w:hint="eastAsia" w:ascii="宋体" w:hAnsi="宋体" w:eastAsia="宋体" w:cs="宋体"/>
          <w:b/>
          <w:color w:val="auto"/>
          <w:kern w:val="28"/>
          <w:sz w:val="36"/>
          <w:szCs w:val="20"/>
          <w:highlight w:val="none"/>
        </w:rPr>
        <w:t>第五部分  磋商及采购项目内容要求</w:t>
      </w:r>
      <w:bookmarkEnd w:id="255"/>
      <w:bookmarkEnd w:id="256"/>
      <w:bookmarkEnd w:id="257"/>
      <w:bookmarkEnd w:id="258"/>
    </w:p>
    <w:p w14:paraId="62CC5AAA">
      <w:pPr>
        <w:widowControl/>
        <w:spacing w:beforeLines="200" w:afterLines="200" w:line="240" w:lineRule="atLeast"/>
        <w:jc w:val="center"/>
        <w:outlineLvl w:val="1"/>
        <w:rPr>
          <w:rFonts w:ascii="宋体"/>
          <w:b/>
          <w:bCs/>
          <w:kern w:val="0"/>
          <w:sz w:val="36"/>
          <w:szCs w:val="36"/>
          <w:highlight w:val="none"/>
        </w:rPr>
      </w:pPr>
      <w:bookmarkStart w:id="259" w:name="_Toc376936783"/>
      <w:bookmarkStart w:id="260" w:name="_Toc29558"/>
      <w:bookmarkStart w:id="261" w:name="_Toc325726052"/>
      <w:bookmarkStart w:id="262" w:name="_Toc6756"/>
      <w:bookmarkStart w:id="263" w:name="_Toc496626255"/>
      <w:r>
        <w:rPr>
          <w:rFonts w:hint="eastAsia" w:ascii="宋体" w:hAnsi="宋体"/>
          <w:b/>
          <w:bCs/>
          <w:kern w:val="0"/>
          <w:sz w:val="36"/>
          <w:szCs w:val="36"/>
          <w:highlight w:val="none"/>
        </w:rPr>
        <w:t>一、磋商要求</w:t>
      </w:r>
      <w:bookmarkEnd w:id="259"/>
      <w:bookmarkEnd w:id="260"/>
      <w:bookmarkEnd w:id="261"/>
      <w:bookmarkEnd w:id="262"/>
      <w:bookmarkEnd w:id="263"/>
      <w:bookmarkStart w:id="264" w:name="_Toc2073"/>
      <w:bookmarkStart w:id="265" w:name="_Toc376936784"/>
      <w:bookmarkStart w:id="266" w:name="_Toc496626256"/>
      <w:bookmarkStart w:id="267" w:name="_Toc325726053"/>
    </w:p>
    <w:bookmarkEnd w:id="264"/>
    <w:bookmarkEnd w:id="265"/>
    <w:bookmarkEnd w:id="266"/>
    <w:bookmarkEnd w:id="267"/>
    <w:p w14:paraId="16FC8E46">
      <w:pPr>
        <w:pStyle w:val="17"/>
        <w:spacing w:line="360" w:lineRule="auto"/>
        <w:jc w:val="left"/>
        <w:outlineLvl w:val="1"/>
        <w:rPr>
          <w:rFonts w:ascii="宋体" w:cs="宋体"/>
          <w:color w:val="000000"/>
          <w:highlight w:val="none"/>
          <w:lang w:val="zh-CN"/>
        </w:rPr>
      </w:pPr>
      <w:bookmarkStart w:id="268" w:name="_Toc14988"/>
      <w:bookmarkStart w:id="269" w:name="_Toc20332"/>
      <w:bookmarkStart w:id="270" w:name="_Toc3690"/>
      <w:bookmarkStart w:id="271" w:name="_Toc4601"/>
      <w:r>
        <w:rPr>
          <w:rFonts w:ascii="宋体" w:hAnsi="宋体" w:cs="宋体"/>
          <w:color w:val="000000"/>
          <w:sz w:val="28"/>
          <w:szCs w:val="28"/>
          <w:highlight w:val="none"/>
          <w:lang w:val="zh-CN"/>
        </w:rPr>
        <w:t>1.</w:t>
      </w:r>
      <w:r>
        <w:rPr>
          <w:rFonts w:hint="eastAsia" w:ascii="宋体" w:hAnsi="宋体" w:cs="宋体"/>
          <w:color w:val="000000"/>
          <w:sz w:val="28"/>
          <w:szCs w:val="28"/>
          <w:highlight w:val="none"/>
          <w:lang w:val="zh-CN"/>
        </w:rPr>
        <w:t>投标说明</w:t>
      </w:r>
      <w:bookmarkEnd w:id="268"/>
      <w:bookmarkEnd w:id="269"/>
      <w:bookmarkEnd w:id="270"/>
      <w:bookmarkEnd w:id="271"/>
    </w:p>
    <w:p w14:paraId="4BE163CA">
      <w:pPr>
        <w:autoSpaceDE w:val="0"/>
        <w:autoSpaceDN w:val="0"/>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1.1</w:t>
      </w:r>
      <w:r>
        <w:rPr>
          <w:rFonts w:hint="eastAsia"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lang w:val="zh-CN"/>
        </w:rPr>
        <w:t>供应商可以按照磋商文件规定的包号选择投标，但必须对所投包号中的所有内容作为一个整体进行投标，不能拆分或少报。否则，投标无效。</w:t>
      </w:r>
    </w:p>
    <w:p w14:paraId="1578606C">
      <w:pPr>
        <w:autoSpaceDE w:val="0"/>
        <w:autoSpaceDN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项目中标后分包情况：</w:t>
      </w:r>
      <w:r>
        <w:rPr>
          <w:rFonts w:hint="eastAsia" w:ascii="宋体" w:hAnsi="宋体" w:eastAsia="宋体" w:cs="宋体"/>
          <w:b/>
          <w:bCs/>
          <w:i w:val="0"/>
          <w:iCs w:val="0"/>
          <w:color w:val="000000"/>
          <w:kern w:val="0"/>
          <w:sz w:val="24"/>
          <w:szCs w:val="24"/>
          <w:highlight w:val="none"/>
          <w:u w:val="dashDotHeavy"/>
          <w:lang w:val="en-US" w:eastAsia="zh-CN"/>
        </w:rPr>
        <w:t>不</w:t>
      </w:r>
      <w:r>
        <w:rPr>
          <w:rFonts w:hint="eastAsia" w:ascii="宋体" w:hAnsi="宋体" w:eastAsia="宋体" w:cs="宋体"/>
          <w:b/>
          <w:bCs/>
          <w:i w:val="0"/>
          <w:iCs w:val="0"/>
          <w:color w:val="000000"/>
          <w:kern w:val="0"/>
          <w:sz w:val="24"/>
          <w:szCs w:val="24"/>
          <w:highlight w:val="none"/>
          <w:u w:val="dashDotHeavy"/>
        </w:rPr>
        <w:t>允许</w:t>
      </w:r>
      <w:r>
        <w:rPr>
          <w:rFonts w:hint="eastAsia" w:ascii="宋体" w:hAnsi="宋体" w:eastAsia="宋体" w:cs="宋体"/>
          <w:color w:val="000000"/>
          <w:kern w:val="0"/>
          <w:sz w:val="24"/>
          <w:szCs w:val="24"/>
          <w:highlight w:val="none"/>
          <w:u w:val="dashDotHeavy"/>
        </w:rPr>
        <w:t>。</w:t>
      </w:r>
      <w:r>
        <w:rPr>
          <w:rFonts w:hint="eastAsia" w:ascii="宋体" w:hAnsi="宋体" w:eastAsia="宋体" w:cs="宋体"/>
          <w:color w:val="000000"/>
          <w:kern w:val="0"/>
          <w:sz w:val="24"/>
          <w:szCs w:val="24"/>
          <w:highlight w:val="none"/>
        </w:rPr>
        <w:t>（允许，</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拟在中标后将中标项目的非主体、非关键性工作分包的，应当在投标文件中载明分包承担主体，分包承担主体应当具备相应资质条件且不得再次分包）</w:t>
      </w:r>
    </w:p>
    <w:p w14:paraId="5900C023">
      <w:pPr>
        <w:pStyle w:val="17"/>
        <w:spacing w:line="360" w:lineRule="auto"/>
        <w:jc w:val="left"/>
        <w:outlineLvl w:val="1"/>
        <w:rPr>
          <w:rFonts w:ascii="宋体" w:cs="宋体"/>
          <w:color w:val="auto"/>
          <w:highlight w:val="none"/>
          <w:lang w:val="zh-CN"/>
        </w:rPr>
      </w:pPr>
      <w:bookmarkStart w:id="272" w:name="_Toc8748"/>
      <w:bookmarkStart w:id="273" w:name="_Toc9467"/>
      <w:bookmarkStart w:id="274" w:name="_Toc16744"/>
      <w:bookmarkStart w:id="275" w:name="_Toc18880"/>
      <w:r>
        <w:rPr>
          <w:rFonts w:hint="eastAsia" w:ascii="宋体" w:hAnsi="宋体" w:cs="宋体"/>
          <w:color w:val="000000"/>
          <w:sz w:val="28"/>
          <w:szCs w:val="28"/>
          <w:highlight w:val="none"/>
          <w:lang w:val="en-US" w:eastAsia="zh-CN"/>
        </w:rPr>
        <w:t>2</w:t>
      </w:r>
      <w:r>
        <w:rPr>
          <w:rFonts w:ascii="宋体" w:cs="宋体"/>
          <w:color w:val="000000"/>
          <w:sz w:val="28"/>
          <w:szCs w:val="28"/>
          <w:highlight w:val="none"/>
          <w:lang w:val="zh-CN"/>
        </w:rPr>
        <w:t>.</w:t>
      </w:r>
      <w:r>
        <w:rPr>
          <w:rFonts w:hint="eastAsia" w:ascii="宋体" w:hAnsi="宋体" w:cs="宋体"/>
          <w:color w:val="auto"/>
          <w:sz w:val="28"/>
          <w:szCs w:val="28"/>
          <w:highlight w:val="none"/>
          <w:lang w:val="zh-CN"/>
        </w:rPr>
        <w:t>商务要求</w:t>
      </w:r>
      <w:bookmarkEnd w:id="272"/>
      <w:bookmarkEnd w:id="273"/>
      <w:bookmarkEnd w:id="274"/>
      <w:bookmarkEnd w:id="275"/>
    </w:p>
    <w:p w14:paraId="384FF5E0">
      <w:pPr>
        <w:autoSpaceDE w:val="0"/>
        <w:autoSpaceDN w:val="0"/>
        <w:spacing w:line="360" w:lineRule="auto"/>
        <w:ind w:firstLine="480" w:firstLineChars="200"/>
        <w:rPr>
          <w:rFonts w:hint="eastAsia" w:ascii="宋体" w:hAnsi="宋体" w:eastAsia="宋体" w:cs="宋体"/>
          <w:color w:val="0000FF"/>
          <w:kern w:val="0"/>
          <w:sz w:val="24"/>
          <w:szCs w:val="24"/>
          <w:highlight w:val="none"/>
          <w:lang w:val="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 xml:space="preserve"> 服务期</w:t>
      </w:r>
      <w:r>
        <w:rPr>
          <w:rFonts w:hint="eastAsia" w:ascii="宋体" w:hAnsi="宋体" w:eastAsia="宋体" w:cs="宋体"/>
          <w:color w:val="auto"/>
          <w:kern w:val="0"/>
          <w:sz w:val="24"/>
          <w:szCs w:val="24"/>
          <w:highlight w:val="none"/>
          <w:lang w:val="zh-CN"/>
        </w:rPr>
        <w:t>：签订合同后15日内完成。</w:t>
      </w:r>
    </w:p>
    <w:p w14:paraId="07EC0BB5">
      <w:pPr>
        <w:autoSpaceDE w:val="0"/>
        <w:autoSpaceDN w:val="0"/>
        <w:spacing w:line="480" w:lineRule="auto"/>
        <w:ind w:firstLine="480" w:firstLineChars="200"/>
        <w:rPr>
          <w:rFonts w:hint="eastAsia" w:ascii="宋体" w:hAnsi="宋体" w:eastAsia="宋体" w:cs="宋体"/>
          <w:kern w:val="0"/>
          <w:sz w:val="24"/>
          <w:szCs w:val="24"/>
          <w:highlight w:val="none"/>
          <w:lang w:val="en-US"/>
        </w:rPr>
      </w:pPr>
      <w:r>
        <w:rPr>
          <w:rFonts w:hint="eastAsia" w:ascii="宋体" w:hAnsi="宋体" w:eastAsia="宋体" w:cs="宋体"/>
          <w:kern w:val="0"/>
          <w:sz w:val="24"/>
          <w:szCs w:val="24"/>
          <w:highlight w:val="none"/>
          <w:lang w:val="en-US" w:eastAsia="zh-CN"/>
        </w:rPr>
        <w:t>2.2</w:t>
      </w:r>
      <w:r>
        <w:rPr>
          <w:rFonts w:hint="eastAsia" w:ascii="宋体" w:hAnsi="宋体" w:eastAsia="宋体" w:cs="宋体"/>
          <w:kern w:val="0"/>
          <w:sz w:val="24"/>
          <w:szCs w:val="24"/>
          <w:highlight w:val="none"/>
          <w:lang w:val="zh-CN"/>
        </w:rPr>
        <w:t>服务地点：</w:t>
      </w:r>
      <w:r>
        <w:rPr>
          <w:rFonts w:hint="eastAsia" w:ascii="宋体" w:hAnsi="宋体" w:eastAsia="宋体" w:cs="宋体"/>
          <w:kern w:val="0"/>
          <w:sz w:val="24"/>
          <w:szCs w:val="24"/>
          <w:highlight w:val="none"/>
          <w:lang w:val="en-US" w:eastAsia="zh-CN"/>
        </w:rPr>
        <w:t>甲方指定地点</w:t>
      </w:r>
    </w:p>
    <w:p w14:paraId="6EB79B44">
      <w:pPr>
        <w:autoSpaceDE w:val="0"/>
        <w:autoSpaceDN w:val="0"/>
        <w:spacing w:line="480" w:lineRule="auto"/>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2.3</w:t>
      </w:r>
      <w:r>
        <w:rPr>
          <w:rFonts w:hint="eastAsia" w:ascii="宋体" w:hAnsi="宋体" w:eastAsia="宋体" w:cs="宋体"/>
          <w:kern w:val="0"/>
          <w:sz w:val="24"/>
          <w:szCs w:val="24"/>
          <w:highlight w:val="none"/>
          <w:lang w:val="zh-CN"/>
        </w:rPr>
        <w:t>付款方式：</w:t>
      </w:r>
      <w:r>
        <w:rPr>
          <w:rFonts w:hint="eastAsia" w:ascii="宋体" w:hAnsi="宋体" w:eastAsia="宋体" w:cs="宋体"/>
          <w:kern w:val="0"/>
          <w:sz w:val="24"/>
          <w:szCs w:val="24"/>
          <w:highlight w:val="none"/>
        </w:rPr>
        <w:t>详见“第三部分  青海省政府采购项目合同书范本”中“第</w:t>
      </w:r>
      <w:r>
        <w:rPr>
          <w:rFonts w:hint="eastAsia" w:ascii="宋体" w:hAnsi="宋体" w:eastAsia="宋体" w:cs="宋体"/>
          <w:kern w:val="0"/>
          <w:sz w:val="24"/>
          <w:szCs w:val="24"/>
          <w:highlight w:val="none"/>
          <w:lang w:eastAsia="zh-CN"/>
        </w:rPr>
        <w:t>四条</w:t>
      </w:r>
      <w:r>
        <w:rPr>
          <w:rFonts w:hint="eastAsia" w:ascii="宋体" w:hAnsi="宋体" w:eastAsia="宋体" w:cs="宋体"/>
          <w:kern w:val="0"/>
          <w:sz w:val="24"/>
          <w:szCs w:val="24"/>
          <w:highlight w:val="none"/>
        </w:rPr>
        <w:t>资金拨付”的规定</w:t>
      </w:r>
      <w:r>
        <w:rPr>
          <w:rFonts w:hint="eastAsia" w:ascii="宋体" w:hAnsi="宋体" w:eastAsia="宋体" w:cs="宋体"/>
          <w:kern w:val="0"/>
          <w:sz w:val="24"/>
          <w:szCs w:val="24"/>
          <w:highlight w:val="none"/>
          <w:lang w:eastAsia="zh-CN"/>
        </w:rPr>
        <w:t>。</w:t>
      </w:r>
    </w:p>
    <w:p w14:paraId="5EE53784">
      <w:pPr>
        <w:pStyle w:val="6"/>
        <w:numPr>
          <w:ilvl w:val="0"/>
          <w:numId w:val="2"/>
        </w:numPr>
        <w:spacing w:line="360" w:lineRule="auto"/>
        <w:jc w:val="center"/>
        <w:rPr>
          <w:rFonts w:hint="eastAsia" w:ascii="宋体" w:hAnsi="宋体" w:eastAsia="宋体" w:cs="宋体"/>
          <w:b/>
          <w:bCs/>
          <w:color w:val="000000" w:themeColor="text1"/>
          <w:kern w:val="0"/>
          <w:sz w:val="36"/>
          <w:szCs w:val="36"/>
          <w:highlight w:val="none"/>
          <w:lang w:eastAsia="zh-CN"/>
          <w14:textFill>
            <w14:solidFill>
              <w14:schemeClr w14:val="tx1"/>
            </w14:solidFill>
          </w14:textFill>
        </w:rPr>
      </w:pPr>
      <w:r>
        <w:rPr>
          <w:rFonts w:hint="eastAsia" w:ascii="宋体" w:hAnsi="宋体" w:eastAsia="宋体" w:cs="宋体"/>
          <w:kern w:val="0"/>
          <w:highlight w:val="none"/>
          <w:lang w:eastAsia="zh-CN"/>
        </w:rPr>
        <w:br w:type="page"/>
      </w:r>
      <w:r>
        <w:rPr>
          <w:rFonts w:hint="eastAsia" w:ascii="宋体" w:hAnsi="宋体" w:cs="宋体"/>
          <w:b/>
          <w:bCs/>
          <w:color w:val="000000" w:themeColor="text1"/>
          <w:kern w:val="0"/>
          <w:sz w:val="36"/>
          <w:szCs w:val="36"/>
          <w:highlight w:val="none"/>
          <w:lang w:val="en-US" w:eastAsia="zh-CN"/>
          <w14:textFill>
            <w14:solidFill>
              <w14:schemeClr w14:val="tx1"/>
            </w14:solidFill>
          </w14:textFill>
        </w:rPr>
        <w:t>服务</w:t>
      </w:r>
      <w:r>
        <w:rPr>
          <w:rFonts w:hint="eastAsia" w:ascii="宋体" w:hAnsi="宋体" w:eastAsia="宋体" w:cs="宋体"/>
          <w:b/>
          <w:bCs/>
          <w:color w:val="000000" w:themeColor="text1"/>
          <w:kern w:val="0"/>
          <w:sz w:val="36"/>
          <w:szCs w:val="36"/>
          <w:highlight w:val="none"/>
          <w:lang w:eastAsia="zh-CN"/>
          <w14:textFill>
            <w14:solidFill>
              <w14:schemeClr w14:val="tx1"/>
            </w14:solidFill>
          </w14:textFill>
        </w:rPr>
        <w:t>要求</w:t>
      </w:r>
    </w:p>
    <w:p w14:paraId="2352001A">
      <w:pPr>
        <w:widowControl/>
        <w:numPr>
          <w:ilvl w:val="0"/>
          <w:numId w:val="3"/>
        </w:numPr>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初步设计规模及内容</w:t>
      </w:r>
    </w:p>
    <w:p w14:paraId="2F314372">
      <w:pPr>
        <w:ind w:firstLine="280" w:firstLineChars="1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建设传染病区与儿童诊疗中心综合大楼（儿科）连廊，建筑面积 100m2 ，钢结构连廊；</w:t>
      </w:r>
    </w:p>
    <w:p w14:paraId="682DFFC1">
      <w:pPr>
        <w:ind w:firstLine="280" w:firstLineChars="1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门诊楼地下增设柴油发电机组一台 1000kw，改造原有柴发机 房面积 50m2；</w:t>
      </w:r>
    </w:p>
    <w:p w14:paraId="0C9A20E5">
      <w:pPr>
        <w:ind w:firstLine="280" w:firstLineChars="1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儿童诊疗中心一至九层病房改造：改造面积 10000 平方米， 共改造病房 130 间，包含病房内卫生间防水、卫生洁具及无障碍设施 改造，病房地面、室内外墙面改造，公共走道地面改造；</w:t>
      </w:r>
    </w:p>
    <w:p w14:paraId="2D028F73">
      <w:pPr>
        <w:ind w:firstLine="280" w:firstLineChars="1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门诊楼一至四层诊室及公共走道改造：改造面积 5300 平方米， 包含一至四层诊室及公共走道地面改造、1-9 层公共走道及门厅吊顶 局部改造面积 1800 平方米；</w:t>
      </w:r>
    </w:p>
    <w:p w14:paraId="6404C1B7">
      <w:pPr>
        <w:ind w:firstLine="280" w:firstLineChars="1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更换传染病楼电梯 2 部，一部 6 站；</w:t>
      </w:r>
    </w:p>
    <w:p w14:paraId="057E39C2">
      <w:pPr>
        <w:ind w:firstLine="280" w:firstLineChars="1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6</w:t>
      </w:r>
      <w:r>
        <w:rPr>
          <w:rFonts w:hint="eastAsia" w:ascii="仿宋" w:hAnsi="仿宋" w:eastAsia="仿宋"/>
          <w:sz w:val="28"/>
          <w:szCs w:val="28"/>
          <w:lang w:eastAsia="zh-CN"/>
        </w:rPr>
        <w:t>）</w:t>
      </w:r>
      <w:r>
        <w:rPr>
          <w:rFonts w:hint="eastAsia" w:ascii="仿宋" w:hAnsi="仿宋" w:eastAsia="仿宋"/>
          <w:sz w:val="28"/>
          <w:szCs w:val="28"/>
        </w:rPr>
        <w:t>完善院区道路及院区室外照明工程：道路硬化 7500m2，院内</w:t>
      </w:r>
    </w:p>
    <w:p w14:paraId="04D9A4FC">
      <w:pPr>
        <w:ind w:firstLine="280" w:firstLineChars="100"/>
        <w:rPr>
          <w:rFonts w:hint="eastAsia" w:ascii="仿宋" w:hAnsi="仿宋" w:eastAsia="仿宋"/>
          <w:sz w:val="28"/>
          <w:szCs w:val="28"/>
        </w:rPr>
      </w:pPr>
      <w:r>
        <w:rPr>
          <w:rFonts w:hint="eastAsia" w:ascii="仿宋" w:hAnsi="仿宋" w:eastAsia="仿宋"/>
          <w:sz w:val="28"/>
          <w:szCs w:val="28"/>
        </w:rPr>
        <w:t>庭院灯 50 盏；新建核磁设备间室外电力电缆 4*185+1*95 共 460 米， CT机室外电力电缆 4*150+1*70 共 300 米，CT机室外电力电缆 4*120+1*70 共 300 米（一主一备）；</w:t>
      </w:r>
    </w:p>
    <w:p w14:paraId="252C09FE">
      <w:pPr>
        <w:ind w:firstLine="280" w:firstLineChars="1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7</w:t>
      </w:r>
      <w:r>
        <w:rPr>
          <w:rFonts w:hint="eastAsia" w:ascii="仿宋" w:hAnsi="仿宋" w:eastAsia="仿宋"/>
          <w:sz w:val="28"/>
          <w:szCs w:val="28"/>
          <w:lang w:eastAsia="zh-CN"/>
        </w:rPr>
        <w:t>）</w:t>
      </w:r>
      <w:r>
        <w:rPr>
          <w:rFonts w:hint="eastAsia" w:ascii="仿宋" w:hAnsi="仿宋" w:eastAsia="仿宋"/>
          <w:sz w:val="28"/>
          <w:szCs w:val="28"/>
        </w:rPr>
        <w:t>院区安防监控系统提升改造：原门诊楼消防控制室改造面积 60m2，门诊、儿童诊疗中心、全科医生培养基地室内监控改造，室外 新增监控摄像头；</w:t>
      </w:r>
    </w:p>
    <w:p w14:paraId="128EDA9A">
      <w:pPr>
        <w:ind w:firstLine="280" w:firstLineChars="1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8</w:t>
      </w:r>
      <w:r>
        <w:rPr>
          <w:rFonts w:hint="eastAsia" w:ascii="仿宋" w:hAnsi="仿宋" w:eastAsia="仿宋"/>
          <w:sz w:val="28"/>
          <w:szCs w:val="28"/>
          <w:lang w:eastAsia="zh-CN"/>
        </w:rPr>
        <w:t>）</w:t>
      </w:r>
      <w:r>
        <w:rPr>
          <w:rFonts w:hint="eastAsia" w:ascii="仿宋" w:hAnsi="仿宋" w:eastAsia="仿宋"/>
          <w:sz w:val="28"/>
          <w:szCs w:val="28"/>
        </w:rPr>
        <w:t>改造院内末端雨水管网,新建雨水提升泵站经压力管道提升雨 水至北侧柴达木路现状市政雨水管网；</w:t>
      </w:r>
    </w:p>
    <w:p w14:paraId="0D81FFFE">
      <w:pPr>
        <w:ind w:firstLine="280" w:firstLineChars="1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9</w:t>
      </w:r>
      <w:r>
        <w:rPr>
          <w:rFonts w:hint="eastAsia" w:ascii="仿宋" w:hAnsi="仿宋" w:eastAsia="仿宋"/>
          <w:sz w:val="28"/>
          <w:szCs w:val="28"/>
          <w:lang w:eastAsia="zh-CN"/>
        </w:rPr>
        <w:t>）</w:t>
      </w:r>
      <w:r>
        <w:rPr>
          <w:rFonts w:hint="eastAsia" w:ascii="仿宋" w:hAnsi="仿宋" w:eastAsia="仿宋"/>
          <w:sz w:val="28"/>
          <w:szCs w:val="28"/>
        </w:rPr>
        <w:t>院区专用线铁路道 口改造，拆除既有道口及线路，重新铺设 整体道口板；</w:t>
      </w:r>
    </w:p>
    <w:p w14:paraId="2CC67037">
      <w:pPr>
        <w:ind w:firstLine="280" w:firstLineChars="1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10</w:t>
      </w:r>
      <w:r>
        <w:rPr>
          <w:rFonts w:hint="eastAsia" w:ascii="仿宋" w:hAnsi="仿宋" w:eastAsia="仿宋"/>
          <w:sz w:val="28"/>
          <w:szCs w:val="28"/>
          <w:lang w:eastAsia="zh-CN"/>
        </w:rPr>
        <w:t>）</w:t>
      </w:r>
      <w:r>
        <w:rPr>
          <w:rFonts w:hint="eastAsia" w:ascii="仿宋" w:hAnsi="仿宋" w:eastAsia="仿宋"/>
          <w:sz w:val="28"/>
          <w:szCs w:val="28"/>
        </w:rPr>
        <w:t>实施西宁市第三人民医院灾备机房建设；</w:t>
      </w:r>
    </w:p>
    <w:p w14:paraId="0DC9B8A7">
      <w:pPr>
        <w:ind w:firstLine="280" w:firstLineChars="100"/>
        <w:rPr>
          <w:rFonts w:hint="eastAsia" w:ascii="仿宋" w:hAnsi="仿宋" w:eastAsia="仿宋"/>
          <w:sz w:val="28"/>
          <w:szCs w:val="28"/>
          <w:lang w:val="en-US" w:eastAsia="zh-CN"/>
        </w:rPr>
      </w:pPr>
      <w:r>
        <w:rPr>
          <w:rFonts w:hint="eastAsia" w:ascii="仿宋" w:hAnsi="仿宋" w:eastAsia="仿宋"/>
          <w:sz w:val="28"/>
          <w:szCs w:val="28"/>
          <w:lang w:val="en-US" w:eastAsia="zh-CN"/>
        </w:rPr>
        <w:t>建设内容和规模</w:t>
      </w:r>
    </w:p>
    <w:p w14:paraId="4D7DF299">
      <w:pPr>
        <w:widowControl/>
        <w:kinsoku w:val="0"/>
        <w:autoSpaceDE w:val="0"/>
        <w:autoSpaceDN w:val="0"/>
        <w:adjustRightInd w:val="0"/>
        <w:snapToGrid w:val="0"/>
        <w:spacing w:before="64" w:line="240" w:lineRule="auto"/>
        <w:jc w:val="left"/>
        <w:textAlignment w:val="baseline"/>
        <w:rPr>
          <w:rFonts w:ascii="Arial" w:hAnsi="Arial" w:eastAsia="Arial" w:cs="Arial"/>
          <w:snapToGrid w:val="0"/>
          <w:color w:val="000000"/>
          <w:kern w:val="0"/>
          <w:szCs w:val="21"/>
          <w:lang w:eastAsia="en-US"/>
        </w:rPr>
      </w:pPr>
    </w:p>
    <w:tbl>
      <w:tblPr>
        <w:tblStyle w:val="41"/>
        <w:tblW w:w="8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0"/>
        <w:gridCol w:w="3003"/>
        <w:gridCol w:w="625"/>
        <w:gridCol w:w="1213"/>
        <w:gridCol w:w="2589"/>
      </w:tblGrid>
      <w:tr w14:paraId="7A93D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10" w:type="dxa"/>
            <w:vAlign w:val="top"/>
          </w:tcPr>
          <w:p w14:paraId="3A5E89DD">
            <w:pPr>
              <w:kinsoku w:val="0"/>
              <w:autoSpaceDE w:val="0"/>
              <w:autoSpaceDN w:val="0"/>
              <w:adjustRightInd w:val="0"/>
              <w:snapToGrid w:val="0"/>
              <w:spacing w:before="143" w:line="183" w:lineRule="auto"/>
              <w:ind w:left="29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1.2</w:t>
            </w:r>
          </w:p>
        </w:tc>
        <w:tc>
          <w:tcPr>
            <w:tcW w:w="3003" w:type="dxa"/>
            <w:vAlign w:val="top"/>
          </w:tcPr>
          <w:p w14:paraId="5499C7A2">
            <w:pPr>
              <w:kinsoku w:val="0"/>
              <w:autoSpaceDE w:val="0"/>
              <w:autoSpaceDN w:val="0"/>
              <w:adjustRightInd w:val="0"/>
              <w:snapToGrid w:val="0"/>
              <w:spacing w:before="112" w:line="218" w:lineRule="auto"/>
              <w:ind w:left="105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电气工程</w:t>
            </w:r>
          </w:p>
        </w:tc>
        <w:tc>
          <w:tcPr>
            <w:tcW w:w="625" w:type="dxa"/>
            <w:vAlign w:val="top"/>
          </w:tcPr>
          <w:p w14:paraId="7B4ED1D6">
            <w:pPr>
              <w:widowControl/>
              <w:kinsoku w:val="0"/>
              <w:autoSpaceDE w:val="0"/>
              <w:autoSpaceDN w:val="0"/>
              <w:adjustRightInd w:val="0"/>
              <w:snapToGrid w:val="0"/>
              <w:spacing w:before="163" w:line="208" w:lineRule="auto"/>
              <w:ind w:left="1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w:t>
            </w:r>
          </w:p>
        </w:tc>
        <w:tc>
          <w:tcPr>
            <w:tcW w:w="1213" w:type="dxa"/>
            <w:vAlign w:val="top"/>
          </w:tcPr>
          <w:p w14:paraId="6F620659">
            <w:pPr>
              <w:kinsoku w:val="0"/>
              <w:autoSpaceDE w:val="0"/>
              <w:autoSpaceDN w:val="0"/>
              <w:adjustRightInd w:val="0"/>
              <w:snapToGrid w:val="0"/>
              <w:spacing w:before="196" w:line="183" w:lineRule="auto"/>
              <w:ind w:left="27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100.00</w:t>
            </w:r>
          </w:p>
        </w:tc>
        <w:tc>
          <w:tcPr>
            <w:tcW w:w="2589" w:type="dxa"/>
            <w:vAlign w:val="top"/>
          </w:tcPr>
          <w:p w14:paraId="6FE8856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5FE4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10" w:type="dxa"/>
            <w:vAlign w:val="top"/>
          </w:tcPr>
          <w:p w14:paraId="48315C1A">
            <w:pPr>
              <w:kinsoku w:val="0"/>
              <w:autoSpaceDE w:val="0"/>
              <w:autoSpaceDN w:val="0"/>
              <w:adjustRightInd w:val="0"/>
              <w:snapToGrid w:val="0"/>
              <w:spacing w:before="241" w:line="183" w:lineRule="auto"/>
              <w:ind w:left="29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1.3</w:t>
            </w:r>
          </w:p>
        </w:tc>
        <w:tc>
          <w:tcPr>
            <w:tcW w:w="3003" w:type="dxa"/>
            <w:vAlign w:val="top"/>
          </w:tcPr>
          <w:p w14:paraId="384C38FD">
            <w:pPr>
              <w:kinsoku w:val="0"/>
              <w:autoSpaceDE w:val="0"/>
              <w:autoSpaceDN w:val="0"/>
              <w:adjustRightInd w:val="0"/>
              <w:snapToGrid w:val="0"/>
              <w:spacing w:before="54" w:line="223" w:lineRule="auto"/>
              <w:ind w:left="549" w:right="60" w:hanging="47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原有室外台阶及坡道恢复工</w:t>
            </w:r>
            <w:r>
              <w:rPr>
                <w:rFonts w:ascii="仿宋" w:hAnsi="仿宋" w:eastAsia="仿宋" w:cs="仿宋"/>
                <w:snapToGrid w:val="0"/>
                <w:color w:val="000000"/>
                <w:spacing w:val="7"/>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程（花岗岩地面）</w:t>
            </w:r>
          </w:p>
        </w:tc>
        <w:tc>
          <w:tcPr>
            <w:tcW w:w="625" w:type="dxa"/>
            <w:vAlign w:val="top"/>
          </w:tcPr>
          <w:p w14:paraId="3D9847C1">
            <w:pPr>
              <w:widowControl/>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eastAsia="en-US"/>
              </w:rPr>
            </w:pPr>
          </w:p>
          <w:p w14:paraId="282283E0">
            <w:pPr>
              <w:widowControl/>
              <w:kinsoku w:val="0"/>
              <w:autoSpaceDE w:val="0"/>
              <w:autoSpaceDN w:val="0"/>
              <w:adjustRightInd w:val="0"/>
              <w:snapToGrid w:val="0"/>
              <w:spacing w:before="78" w:line="208" w:lineRule="auto"/>
              <w:ind w:left="1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w:t>
            </w:r>
          </w:p>
        </w:tc>
        <w:tc>
          <w:tcPr>
            <w:tcW w:w="1213" w:type="dxa"/>
            <w:vAlign w:val="top"/>
          </w:tcPr>
          <w:p w14:paraId="10E77203">
            <w:pPr>
              <w:widowControl/>
              <w:kinsoku w:val="0"/>
              <w:autoSpaceDE w:val="0"/>
              <w:autoSpaceDN w:val="0"/>
              <w:adjustRightInd w:val="0"/>
              <w:snapToGrid w:val="0"/>
              <w:spacing w:line="315" w:lineRule="auto"/>
              <w:jc w:val="left"/>
              <w:textAlignment w:val="baseline"/>
              <w:rPr>
                <w:rFonts w:ascii="Arial" w:hAnsi="Arial" w:eastAsia="Arial" w:cs="Arial"/>
                <w:snapToGrid w:val="0"/>
                <w:color w:val="000000"/>
                <w:kern w:val="0"/>
                <w:sz w:val="21"/>
                <w:szCs w:val="21"/>
                <w:lang w:eastAsia="en-US"/>
              </w:rPr>
            </w:pPr>
          </w:p>
          <w:p w14:paraId="4483C891">
            <w:pPr>
              <w:kinsoku w:val="0"/>
              <w:autoSpaceDE w:val="0"/>
              <w:autoSpaceDN w:val="0"/>
              <w:adjustRightInd w:val="0"/>
              <w:snapToGrid w:val="0"/>
              <w:spacing w:before="78" w:line="183" w:lineRule="auto"/>
              <w:ind w:left="27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100.00</w:t>
            </w:r>
          </w:p>
        </w:tc>
        <w:tc>
          <w:tcPr>
            <w:tcW w:w="2589" w:type="dxa"/>
            <w:vAlign w:val="top"/>
          </w:tcPr>
          <w:p w14:paraId="19043935">
            <w:pPr>
              <w:widowControl/>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1"/>
                <w:szCs w:val="21"/>
                <w:lang w:eastAsia="en-US"/>
              </w:rPr>
            </w:pPr>
          </w:p>
          <w:p w14:paraId="3401925A">
            <w:pPr>
              <w:kinsoku w:val="0"/>
              <w:autoSpaceDE w:val="0"/>
              <w:autoSpaceDN w:val="0"/>
              <w:adjustRightInd w:val="0"/>
              <w:snapToGrid w:val="0"/>
              <w:spacing w:before="78" w:line="208" w:lineRule="auto"/>
              <w:ind w:left="93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含拆除</w:t>
            </w:r>
          </w:p>
        </w:tc>
      </w:tr>
      <w:tr w14:paraId="6E4AA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10" w:type="dxa"/>
            <w:vAlign w:val="top"/>
          </w:tcPr>
          <w:p w14:paraId="17288B19">
            <w:pPr>
              <w:kinsoku w:val="0"/>
              <w:autoSpaceDE w:val="0"/>
              <w:autoSpaceDN w:val="0"/>
              <w:adjustRightInd w:val="0"/>
              <w:snapToGrid w:val="0"/>
              <w:spacing w:before="240" w:line="183" w:lineRule="auto"/>
              <w:ind w:left="29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1.4</w:t>
            </w:r>
          </w:p>
        </w:tc>
        <w:tc>
          <w:tcPr>
            <w:tcW w:w="3003" w:type="dxa"/>
            <w:vAlign w:val="top"/>
          </w:tcPr>
          <w:p w14:paraId="5374B1CC">
            <w:pPr>
              <w:kinsoku w:val="0"/>
              <w:autoSpaceDE w:val="0"/>
              <w:autoSpaceDN w:val="0"/>
              <w:adjustRightInd w:val="0"/>
              <w:snapToGrid w:val="0"/>
              <w:spacing w:before="54" w:line="223" w:lineRule="auto"/>
              <w:ind w:left="1389" w:right="60" w:hanging="131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原有入口门廊采光顶恢复工</w:t>
            </w:r>
            <w:r>
              <w:rPr>
                <w:rFonts w:ascii="仿宋" w:hAnsi="仿宋" w:eastAsia="仿宋" w:cs="仿宋"/>
                <w:snapToGrid w:val="0"/>
                <w:color w:val="000000"/>
                <w:spacing w:val="7"/>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程</w:t>
            </w:r>
          </w:p>
        </w:tc>
        <w:tc>
          <w:tcPr>
            <w:tcW w:w="625" w:type="dxa"/>
            <w:vAlign w:val="top"/>
          </w:tcPr>
          <w:p w14:paraId="1CF4E307">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14:paraId="0CC2DA2F">
            <w:pPr>
              <w:widowControl/>
              <w:kinsoku w:val="0"/>
              <w:autoSpaceDE w:val="0"/>
              <w:autoSpaceDN w:val="0"/>
              <w:adjustRightInd w:val="0"/>
              <w:snapToGrid w:val="0"/>
              <w:spacing w:before="78" w:line="207" w:lineRule="auto"/>
              <w:ind w:left="1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w:t>
            </w:r>
          </w:p>
        </w:tc>
        <w:tc>
          <w:tcPr>
            <w:tcW w:w="1213" w:type="dxa"/>
            <w:vAlign w:val="top"/>
          </w:tcPr>
          <w:p w14:paraId="5295F3AD">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14:paraId="0EE4AB37">
            <w:pPr>
              <w:kinsoku w:val="0"/>
              <w:autoSpaceDE w:val="0"/>
              <w:autoSpaceDN w:val="0"/>
              <w:adjustRightInd w:val="0"/>
              <w:snapToGrid w:val="0"/>
              <w:spacing w:before="78" w:line="183" w:lineRule="auto"/>
              <w:ind w:left="3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60.00</w:t>
            </w:r>
          </w:p>
        </w:tc>
        <w:tc>
          <w:tcPr>
            <w:tcW w:w="2589" w:type="dxa"/>
            <w:vAlign w:val="top"/>
          </w:tcPr>
          <w:p w14:paraId="72D9FC6E">
            <w:pPr>
              <w:widowControl/>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eastAsia="en-US"/>
              </w:rPr>
            </w:pPr>
          </w:p>
          <w:p w14:paraId="4B49366A">
            <w:pPr>
              <w:kinsoku w:val="0"/>
              <w:autoSpaceDE w:val="0"/>
              <w:autoSpaceDN w:val="0"/>
              <w:adjustRightInd w:val="0"/>
              <w:snapToGrid w:val="0"/>
              <w:spacing w:before="78" w:line="206" w:lineRule="auto"/>
              <w:ind w:left="93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含拆除</w:t>
            </w:r>
          </w:p>
        </w:tc>
      </w:tr>
      <w:tr w14:paraId="70B99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10" w:type="dxa"/>
            <w:vAlign w:val="top"/>
          </w:tcPr>
          <w:p w14:paraId="33E78072">
            <w:pPr>
              <w:kinsoku w:val="0"/>
              <w:autoSpaceDE w:val="0"/>
              <w:autoSpaceDN w:val="0"/>
              <w:adjustRightInd w:val="0"/>
              <w:snapToGrid w:val="0"/>
              <w:spacing w:before="239" w:line="180" w:lineRule="auto"/>
              <w:ind w:left="41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3"/>
                <w:kern w:val="0"/>
                <w:sz w:val="24"/>
                <w:szCs w:val="24"/>
                <w:lang w:val="en-US" w:eastAsia="en-US" w:bidi="ar-SA"/>
              </w:rPr>
              <w:t>2</w:t>
            </w:r>
          </w:p>
        </w:tc>
        <w:tc>
          <w:tcPr>
            <w:tcW w:w="3003" w:type="dxa"/>
            <w:vAlign w:val="top"/>
          </w:tcPr>
          <w:p w14:paraId="64EF20CC">
            <w:pPr>
              <w:kinsoku w:val="0"/>
              <w:autoSpaceDE w:val="0"/>
              <w:autoSpaceDN w:val="0"/>
              <w:adjustRightInd w:val="0"/>
              <w:snapToGrid w:val="0"/>
              <w:spacing w:before="53" w:line="223" w:lineRule="auto"/>
              <w:ind w:left="17" w:right="218" w:firstLine="2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5"/>
                <w:kern w:val="0"/>
                <w:sz w:val="24"/>
                <w:szCs w:val="24"/>
                <w:lang w:val="en-US" w:eastAsia="en-US" w:bidi="ar-SA"/>
              </w:rPr>
              <w:t>门诊楼地下设备用房-柴发</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b/>
                <w:bCs/>
                <w:snapToGrid w:val="0"/>
                <w:color w:val="000000"/>
                <w:spacing w:val="-4"/>
                <w:kern w:val="0"/>
                <w:sz w:val="24"/>
                <w:szCs w:val="24"/>
                <w:lang w:val="en-US" w:eastAsia="en-US" w:bidi="ar-SA"/>
              </w:rPr>
              <w:t>机房改造</w:t>
            </w:r>
          </w:p>
        </w:tc>
        <w:tc>
          <w:tcPr>
            <w:tcW w:w="625" w:type="dxa"/>
            <w:vAlign w:val="top"/>
          </w:tcPr>
          <w:p w14:paraId="69E3760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13" w:type="dxa"/>
            <w:vAlign w:val="top"/>
          </w:tcPr>
          <w:p w14:paraId="46F3D9C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589" w:type="dxa"/>
            <w:vAlign w:val="top"/>
          </w:tcPr>
          <w:p w14:paraId="055D706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1C19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10" w:type="dxa"/>
            <w:vAlign w:val="top"/>
          </w:tcPr>
          <w:p w14:paraId="2CD710D1">
            <w:pPr>
              <w:kinsoku w:val="0"/>
              <w:autoSpaceDE w:val="0"/>
              <w:autoSpaceDN w:val="0"/>
              <w:adjustRightInd w:val="0"/>
              <w:snapToGrid w:val="0"/>
              <w:spacing w:before="139" w:line="183" w:lineRule="auto"/>
              <w:ind w:left="29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2.1</w:t>
            </w:r>
          </w:p>
        </w:tc>
        <w:tc>
          <w:tcPr>
            <w:tcW w:w="3003" w:type="dxa"/>
            <w:vAlign w:val="top"/>
          </w:tcPr>
          <w:p w14:paraId="377AE2C9">
            <w:pPr>
              <w:kinsoku w:val="0"/>
              <w:autoSpaceDE w:val="0"/>
              <w:autoSpaceDN w:val="0"/>
              <w:adjustRightInd w:val="0"/>
              <w:snapToGrid w:val="0"/>
              <w:spacing w:before="107" w:line="217" w:lineRule="auto"/>
              <w:ind w:left="78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装饰装修工程</w:t>
            </w:r>
          </w:p>
        </w:tc>
        <w:tc>
          <w:tcPr>
            <w:tcW w:w="625" w:type="dxa"/>
            <w:vAlign w:val="top"/>
          </w:tcPr>
          <w:p w14:paraId="260CEDD4">
            <w:pPr>
              <w:widowControl/>
              <w:kinsoku w:val="0"/>
              <w:autoSpaceDE w:val="0"/>
              <w:autoSpaceDN w:val="0"/>
              <w:adjustRightInd w:val="0"/>
              <w:snapToGrid w:val="0"/>
              <w:spacing w:before="159" w:line="208" w:lineRule="auto"/>
              <w:ind w:left="1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3"/>
                <w:kern w:val="0"/>
                <w:sz w:val="24"/>
                <w:szCs w:val="24"/>
                <w:lang w:eastAsia="en-US"/>
              </w:rPr>
              <w:t>㎡</w:t>
            </w:r>
          </w:p>
        </w:tc>
        <w:tc>
          <w:tcPr>
            <w:tcW w:w="1213" w:type="dxa"/>
            <w:vAlign w:val="top"/>
          </w:tcPr>
          <w:p w14:paraId="7A439FE0">
            <w:pPr>
              <w:kinsoku w:val="0"/>
              <w:autoSpaceDE w:val="0"/>
              <w:autoSpaceDN w:val="0"/>
              <w:adjustRightInd w:val="0"/>
              <w:snapToGrid w:val="0"/>
              <w:spacing w:before="191" w:line="183" w:lineRule="auto"/>
              <w:ind w:left="32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50.00</w:t>
            </w:r>
          </w:p>
        </w:tc>
        <w:tc>
          <w:tcPr>
            <w:tcW w:w="2589" w:type="dxa"/>
            <w:vAlign w:val="top"/>
          </w:tcPr>
          <w:p w14:paraId="235047BC">
            <w:pPr>
              <w:kinsoku w:val="0"/>
              <w:autoSpaceDE w:val="0"/>
              <w:autoSpaceDN w:val="0"/>
              <w:adjustRightInd w:val="0"/>
              <w:snapToGrid w:val="0"/>
              <w:spacing w:before="160" w:line="207" w:lineRule="auto"/>
              <w:ind w:left="58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柴发机房扩建</w:t>
            </w:r>
          </w:p>
        </w:tc>
      </w:tr>
      <w:tr w14:paraId="3146E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10" w:type="dxa"/>
            <w:vAlign w:val="top"/>
          </w:tcPr>
          <w:p w14:paraId="55E89705">
            <w:pPr>
              <w:kinsoku w:val="0"/>
              <w:autoSpaceDE w:val="0"/>
              <w:autoSpaceDN w:val="0"/>
              <w:adjustRightInd w:val="0"/>
              <w:snapToGrid w:val="0"/>
              <w:spacing w:before="241" w:line="183" w:lineRule="auto"/>
              <w:ind w:left="29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2.2</w:t>
            </w:r>
          </w:p>
        </w:tc>
        <w:tc>
          <w:tcPr>
            <w:tcW w:w="3003" w:type="dxa"/>
            <w:vAlign w:val="top"/>
          </w:tcPr>
          <w:p w14:paraId="77324F12">
            <w:pPr>
              <w:kinsoku w:val="0"/>
              <w:autoSpaceDE w:val="0"/>
              <w:autoSpaceDN w:val="0"/>
              <w:adjustRightInd w:val="0"/>
              <w:snapToGrid w:val="0"/>
              <w:spacing w:before="209" w:line="218" w:lineRule="auto"/>
              <w:ind w:left="56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室外低压供电电缆</w:t>
            </w:r>
          </w:p>
        </w:tc>
        <w:tc>
          <w:tcPr>
            <w:tcW w:w="625" w:type="dxa"/>
            <w:vAlign w:val="top"/>
          </w:tcPr>
          <w:p w14:paraId="3DB2E6E3">
            <w:pPr>
              <w:widowControl/>
              <w:kinsoku w:val="0"/>
              <w:autoSpaceDE w:val="0"/>
              <w:autoSpaceDN w:val="0"/>
              <w:adjustRightInd w:val="0"/>
              <w:snapToGrid w:val="0"/>
              <w:spacing w:line="369" w:lineRule="auto"/>
              <w:jc w:val="left"/>
              <w:textAlignment w:val="baseline"/>
              <w:rPr>
                <w:rFonts w:ascii="Arial" w:hAnsi="Arial" w:eastAsia="Arial" w:cs="Arial"/>
                <w:snapToGrid w:val="0"/>
                <w:color w:val="000000"/>
                <w:kern w:val="0"/>
                <w:sz w:val="21"/>
                <w:szCs w:val="21"/>
                <w:lang w:eastAsia="en-US"/>
              </w:rPr>
            </w:pPr>
          </w:p>
          <w:p w14:paraId="6AEE2AA6">
            <w:pPr>
              <w:kinsoku w:val="0"/>
              <w:autoSpaceDE w:val="0"/>
              <w:autoSpaceDN w:val="0"/>
              <w:adjustRightInd w:val="0"/>
              <w:snapToGrid w:val="0"/>
              <w:spacing w:before="78" w:line="181" w:lineRule="exact"/>
              <w:ind w:left="2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m</w:t>
            </w:r>
          </w:p>
        </w:tc>
        <w:tc>
          <w:tcPr>
            <w:tcW w:w="1213" w:type="dxa"/>
            <w:vAlign w:val="top"/>
          </w:tcPr>
          <w:p w14:paraId="6532B10F">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14:paraId="11A22629">
            <w:pPr>
              <w:kinsoku w:val="0"/>
              <w:autoSpaceDE w:val="0"/>
              <w:autoSpaceDN w:val="0"/>
              <w:adjustRightInd w:val="0"/>
              <w:snapToGrid w:val="0"/>
              <w:spacing w:before="78" w:line="182" w:lineRule="auto"/>
              <w:ind w:left="21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1000.00</w:t>
            </w:r>
          </w:p>
        </w:tc>
        <w:tc>
          <w:tcPr>
            <w:tcW w:w="2589" w:type="dxa"/>
            <w:vAlign w:val="top"/>
          </w:tcPr>
          <w:p w14:paraId="7111D14F">
            <w:pPr>
              <w:kinsoku w:val="0"/>
              <w:autoSpaceDE w:val="0"/>
              <w:autoSpaceDN w:val="0"/>
              <w:adjustRightInd w:val="0"/>
              <w:snapToGrid w:val="0"/>
              <w:spacing w:before="54" w:line="223" w:lineRule="auto"/>
              <w:ind w:left="835" w:right="93" w:hanging="72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室外部分考虑在原有地</w:t>
            </w:r>
            <w:r>
              <w:rPr>
                <w:rFonts w:ascii="仿宋" w:hAnsi="仿宋" w:eastAsia="仿宋" w:cs="仿宋"/>
                <w:snapToGrid w:val="0"/>
                <w:color w:val="000000"/>
                <w:spacing w:val="4"/>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t>沟内敷设</w:t>
            </w:r>
          </w:p>
        </w:tc>
      </w:tr>
      <w:tr w14:paraId="2881A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10" w:type="dxa"/>
            <w:vAlign w:val="top"/>
          </w:tcPr>
          <w:p w14:paraId="4D66C2A4">
            <w:pPr>
              <w:kinsoku w:val="0"/>
              <w:autoSpaceDE w:val="0"/>
              <w:autoSpaceDN w:val="0"/>
              <w:adjustRightInd w:val="0"/>
              <w:snapToGrid w:val="0"/>
              <w:spacing w:before="242" w:line="181" w:lineRule="auto"/>
              <w:ind w:left="41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3"/>
                <w:kern w:val="0"/>
                <w:sz w:val="24"/>
                <w:szCs w:val="24"/>
                <w:lang w:val="en-US" w:eastAsia="en-US" w:bidi="ar-SA"/>
              </w:rPr>
              <w:t>3</w:t>
            </w:r>
          </w:p>
        </w:tc>
        <w:tc>
          <w:tcPr>
            <w:tcW w:w="3003" w:type="dxa"/>
            <w:vAlign w:val="top"/>
          </w:tcPr>
          <w:p w14:paraId="3388DABE">
            <w:pPr>
              <w:kinsoku w:val="0"/>
              <w:autoSpaceDE w:val="0"/>
              <w:autoSpaceDN w:val="0"/>
              <w:adjustRightInd w:val="0"/>
              <w:snapToGrid w:val="0"/>
              <w:spacing w:before="55" w:line="222" w:lineRule="auto"/>
              <w:ind w:left="43" w:right="98" w:hanging="2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3"/>
                <w:kern w:val="0"/>
                <w:sz w:val="24"/>
                <w:szCs w:val="24"/>
                <w:lang w:val="en-US" w:eastAsia="en-US" w:bidi="ar-SA"/>
              </w:rPr>
              <w:t>儿童诊疗中心综合大楼病房</w:t>
            </w:r>
            <w:r>
              <w:rPr>
                <w:rFonts w:ascii="仿宋" w:hAnsi="仿宋" w:eastAsia="仿宋" w:cs="仿宋"/>
                <w:snapToGrid w:val="0"/>
                <w:color w:val="000000"/>
                <w:spacing w:val="4"/>
                <w:kern w:val="0"/>
                <w:sz w:val="24"/>
                <w:szCs w:val="24"/>
                <w:lang w:val="en-US" w:eastAsia="en-US" w:bidi="ar-SA"/>
              </w:rPr>
              <w:t xml:space="preserve"> </w:t>
            </w:r>
            <w:r>
              <w:rPr>
                <w:rFonts w:ascii="仿宋" w:hAnsi="仿宋" w:eastAsia="仿宋" w:cs="仿宋"/>
                <w:b/>
                <w:bCs/>
                <w:snapToGrid w:val="0"/>
                <w:color w:val="000000"/>
                <w:spacing w:val="-20"/>
                <w:kern w:val="0"/>
                <w:sz w:val="24"/>
                <w:szCs w:val="24"/>
                <w:lang w:val="en-US" w:eastAsia="en-US" w:bidi="ar-SA"/>
              </w:rPr>
              <w:t>改造</w:t>
            </w:r>
          </w:p>
        </w:tc>
        <w:tc>
          <w:tcPr>
            <w:tcW w:w="625" w:type="dxa"/>
            <w:vAlign w:val="top"/>
          </w:tcPr>
          <w:p w14:paraId="24CFF187">
            <w:pPr>
              <w:widowControl/>
              <w:kinsoku w:val="0"/>
              <w:autoSpaceDE w:val="0"/>
              <w:autoSpaceDN w:val="0"/>
              <w:adjustRightInd w:val="0"/>
              <w:snapToGrid w:val="0"/>
              <w:spacing w:line="284" w:lineRule="auto"/>
              <w:jc w:val="left"/>
              <w:textAlignment w:val="baseline"/>
              <w:rPr>
                <w:rFonts w:ascii="Arial" w:hAnsi="Arial" w:eastAsia="Arial" w:cs="Arial"/>
                <w:snapToGrid w:val="0"/>
                <w:color w:val="000000"/>
                <w:kern w:val="0"/>
                <w:sz w:val="21"/>
                <w:szCs w:val="21"/>
                <w:lang w:eastAsia="en-US"/>
              </w:rPr>
            </w:pPr>
          </w:p>
          <w:p w14:paraId="18B7E1C8">
            <w:pPr>
              <w:widowControl/>
              <w:kinsoku w:val="0"/>
              <w:autoSpaceDE w:val="0"/>
              <w:autoSpaceDN w:val="0"/>
              <w:adjustRightInd w:val="0"/>
              <w:snapToGrid w:val="0"/>
              <w:spacing w:before="78" w:line="207" w:lineRule="auto"/>
              <w:ind w:left="1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3"/>
                <w:kern w:val="0"/>
                <w:sz w:val="24"/>
                <w:szCs w:val="24"/>
                <w:lang w:eastAsia="en-US"/>
              </w:rPr>
              <w:t>㎡</w:t>
            </w:r>
          </w:p>
        </w:tc>
        <w:tc>
          <w:tcPr>
            <w:tcW w:w="1213" w:type="dxa"/>
            <w:vAlign w:val="top"/>
          </w:tcPr>
          <w:p w14:paraId="7E8343A1">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14:paraId="3F1BC6FC">
            <w:pPr>
              <w:kinsoku w:val="0"/>
              <w:autoSpaceDE w:val="0"/>
              <w:autoSpaceDN w:val="0"/>
              <w:adjustRightInd w:val="0"/>
              <w:snapToGrid w:val="0"/>
              <w:spacing w:before="78" w:line="182" w:lineRule="auto"/>
              <w:ind w:left="15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5"/>
                <w:kern w:val="0"/>
                <w:sz w:val="24"/>
                <w:szCs w:val="24"/>
                <w:lang w:val="en-US" w:eastAsia="en-US" w:bidi="ar-SA"/>
              </w:rPr>
              <w:t>10500.00</w:t>
            </w:r>
          </w:p>
        </w:tc>
        <w:tc>
          <w:tcPr>
            <w:tcW w:w="2589" w:type="dxa"/>
            <w:vAlign w:val="top"/>
          </w:tcPr>
          <w:p w14:paraId="30D57D4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7A58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10" w:type="dxa"/>
            <w:vAlign w:val="top"/>
          </w:tcPr>
          <w:p w14:paraId="0D8FFA8A">
            <w:pPr>
              <w:kinsoku w:val="0"/>
              <w:autoSpaceDE w:val="0"/>
              <w:autoSpaceDN w:val="0"/>
              <w:adjustRightInd w:val="0"/>
              <w:snapToGrid w:val="0"/>
              <w:spacing w:before="242" w:line="183" w:lineRule="auto"/>
              <w:ind w:left="29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3.1</w:t>
            </w:r>
          </w:p>
        </w:tc>
        <w:tc>
          <w:tcPr>
            <w:tcW w:w="3003" w:type="dxa"/>
            <w:vAlign w:val="top"/>
          </w:tcPr>
          <w:p w14:paraId="3D222309">
            <w:pPr>
              <w:kinsoku w:val="0"/>
              <w:autoSpaceDE w:val="0"/>
              <w:autoSpaceDN w:val="0"/>
              <w:adjustRightInd w:val="0"/>
              <w:snapToGrid w:val="0"/>
              <w:spacing w:before="54" w:line="223" w:lineRule="auto"/>
              <w:ind w:left="785" w:right="60" w:hanging="71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病房原卫生间地面改造（含</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蹲便台拆除）</w:t>
            </w:r>
          </w:p>
        </w:tc>
        <w:tc>
          <w:tcPr>
            <w:tcW w:w="625" w:type="dxa"/>
            <w:vAlign w:val="top"/>
          </w:tcPr>
          <w:p w14:paraId="235DA16B">
            <w:pPr>
              <w:widowControl/>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eastAsia="en-US"/>
              </w:rPr>
            </w:pPr>
          </w:p>
          <w:p w14:paraId="27995D0F">
            <w:pPr>
              <w:widowControl/>
              <w:kinsoku w:val="0"/>
              <w:autoSpaceDE w:val="0"/>
              <w:autoSpaceDN w:val="0"/>
              <w:adjustRightInd w:val="0"/>
              <w:snapToGrid w:val="0"/>
              <w:spacing w:before="78" w:line="206" w:lineRule="auto"/>
              <w:ind w:left="1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w:t>
            </w:r>
          </w:p>
        </w:tc>
        <w:tc>
          <w:tcPr>
            <w:tcW w:w="1213" w:type="dxa"/>
            <w:vAlign w:val="top"/>
          </w:tcPr>
          <w:p w14:paraId="66531CB1">
            <w:pPr>
              <w:widowControl/>
              <w:kinsoku w:val="0"/>
              <w:autoSpaceDE w:val="0"/>
              <w:autoSpaceDN w:val="0"/>
              <w:adjustRightInd w:val="0"/>
              <w:snapToGrid w:val="0"/>
              <w:spacing w:line="318" w:lineRule="auto"/>
              <w:jc w:val="left"/>
              <w:textAlignment w:val="baseline"/>
              <w:rPr>
                <w:rFonts w:ascii="Arial" w:hAnsi="Arial" w:eastAsia="Arial" w:cs="Arial"/>
                <w:snapToGrid w:val="0"/>
                <w:color w:val="000000"/>
                <w:kern w:val="0"/>
                <w:sz w:val="21"/>
                <w:szCs w:val="21"/>
                <w:lang w:eastAsia="en-US"/>
              </w:rPr>
            </w:pPr>
          </w:p>
          <w:p w14:paraId="1502B961">
            <w:pPr>
              <w:kinsoku w:val="0"/>
              <w:autoSpaceDE w:val="0"/>
              <w:autoSpaceDN w:val="0"/>
              <w:adjustRightInd w:val="0"/>
              <w:snapToGrid w:val="0"/>
              <w:spacing w:before="78" w:line="181" w:lineRule="auto"/>
              <w:ind w:left="2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550.00</w:t>
            </w:r>
          </w:p>
        </w:tc>
        <w:tc>
          <w:tcPr>
            <w:tcW w:w="2589" w:type="dxa"/>
            <w:vAlign w:val="top"/>
          </w:tcPr>
          <w:p w14:paraId="7F090B64">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14:paraId="0483FAF0">
            <w:pPr>
              <w:kinsoku w:val="0"/>
              <w:autoSpaceDE w:val="0"/>
              <w:autoSpaceDN w:val="0"/>
              <w:adjustRightInd w:val="0"/>
              <w:snapToGrid w:val="0"/>
              <w:spacing w:before="78" w:line="205" w:lineRule="auto"/>
              <w:ind w:left="33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含防水、地砖更换</w:t>
            </w:r>
          </w:p>
        </w:tc>
      </w:tr>
      <w:tr w14:paraId="49CD4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10" w:type="dxa"/>
            <w:vAlign w:val="top"/>
          </w:tcPr>
          <w:p w14:paraId="7DE1AA17">
            <w:pPr>
              <w:kinsoku w:val="0"/>
              <w:autoSpaceDE w:val="0"/>
              <w:autoSpaceDN w:val="0"/>
              <w:adjustRightInd w:val="0"/>
              <w:snapToGrid w:val="0"/>
              <w:spacing w:before="244" w:line="183" w:lineRule="auto"/>
              <w:ind w:left="29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3.2</w:t>
            </w:r>
          </w:p>
        </w:tc>
        <w:tc>
          <w:tcPr>
            <w:tcW w:w="3003" w:type="dxa"/>
            <w:vAlign w:val="top"/>
          </w:tcPr>
          <w:p w14:paraId="31E215C0">
            <w:pPr>
              <w:kinsoku w:val="0"/>
              <w:autoSpaceDE w:val="0"/>
              <w:autoSpaceDN w:val="0"/>
              <w:adjustRightInd w:val="0"/>
              <w:snapToGrid w:val="0"/>
              <w:spacing w:before="55" w:line="222" w:lineRule="auto"/>
              <w:ind w:left="1292" w:right="89" w:hanging="117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1-9</w:t>
            </w:r>
            <w:r>
              <w:rPr>
                <w:rFonts w:ascii="仿宋" w:hAnsi="仿宋" w:eastAsia="仿宋" w:cs="仿宋"/>
                <w:snapToGrid w:val="0"/>
                <w:color w:val="000000"/>
                <w:spacing w:val="-34"/>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层病房及公共走道地面</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18"/>
                <w:kern w:val="0"/>
                <w:sz w:val="24"/>
                <w:szCs w:val="24"/>
                <w:lang w:val="en-US" w:eastAsia="en-US" w:bidi="ar-SA"/>
              </w:rPr>
              <w:t>改造</w:t>
            </w:r>
          </w:p>
        </w:tc>
        <w:tc>
          <w:tcPr>
            <w:tcW w:w="625" w:type="dxa"/>
            <w:vAlign w:val="top"/>
          </w:tcPr>
          <w:p w14:paraId="66A6393D">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14:paraId="11E925FC">
            <w:pPr>
              <w:widowControl/>
              <w:kinsoku w:val="0"/>
              <w:autoSpaceDE w:val="0"/>
              <w:autoSpaceDN w:val="0"/>
              <w:adjustRightInd w:val="0"/>
              <w:snapToGrid w:val="0"/>
              <w:spacing w:before="78" w:line="206" w:lineRule="auto"/>
              <w:ind w:left="1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w:t>
            </w:r>
          </w:p>
        </w:tc>
        <w:tc>
          <w:tcPr>
            <w:tcW w:w="1213" w:type="dxa"/>
            <w:vAlign w:val="top"/>
          </w:tcPr>
          <w:p w14:paraId="0C04A001">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14:paraId="5BAEBD1A">
            <w:pPr>
              <w:kinsoku w:val="0"/>
              <w:autoSpaceDE w:val="0"/>
              <w:autoSpaceDN w:val="0"/>
              <w:adjustRightInd w:val="0"/>
              <w:snapToGrid w:val="0"/>
              <w:spacing w:before="78" w:line="181" w:lineRule="auto"/>
              <w:ind w:left="20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9500.00</w:t>
            </w:r>
          </w:p>
        </w:tc>
        <w:tc>
          <w:tcPr>
            <w:tcW w:w="2589" w:type="dxa"/>
            <w:vAlign w:val="top"/>
          </w:tcPr>
          <w:p w14:paraId="5586B2E3">
            <w:pPr>
              <w:kinsoku w:val="0"/>
              <w:autoSpaceDE w:val="0"/>
              <w:autoSpaceDN w:val="0"/>
              <w:adjustRightInd w:val="0"/>
              <w:snapToGrid w:val="0"/>
              <w:spacing w:before="53" w:line="223" w:lineRule="auto"/>
              <w:ind w:left="1189" w:right="93" w:hanging="108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更换为通体橡胶卷材楼</w:t>
            </w:r>
            <w:r>
              <w:rPr>
                <w:rFonts w:ascii="仿宋" w:hAnsi="仿宋" w:eastAsia="仿宋" w:cs="仿宋"/>
                <w:snapToGrid w:val="0"/>
                <w:color w:val="000000"/>
                <w:spacing w:val="3"/>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面</w:t>
            </w:r>
          </w:p>
        </w:tc>
      </w:tr>
      <w:tr w14:paraId="0DAF8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10" w:type="dxa"/>
            <w:vAlign w:val="top"/>
          </w:tcPr>
          <w:p w14:paraId="47C57BB3">
            <w:pPr>
              <w:kinsoku w:val="0"/>
              <w:autoSpaceDE w:val="0"/>
              <w:autoSpaceDN w:val="0"/>
              <w:adjustRightInd w:val="0"/>
              <w:snapToGrid w:val="0"/>
              <w:spacing w:before="244" w:line="183" w:lineRule="auto"/>
              <w:ind w:left="29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3.3</w:t>
            </w:r>
          </w:p>
        </w:tc>
        <w:tc>
          <w:tcPr>
            <w:tcW w:w="3003" w:type="dxa"/>
            <w:vAlign w:val="top"/>
          </w:tcPr>
          <w:p w14:paraId="2EA47D7C">
            <w:pPr>
              <w:kinsoku w:val="0"/>
              <w:autoSpaceDE w:val="0"/>
              <w:autoSpaceDN w:val="0"/>
              <w:adjustRightInd w:val="0"/>
              <w:snapToGrid w:val="0"/>
              <w:spacing w:before="56" w:line="222" w:lineRule="auto"/>
              <w:ind w:left="1292" w:right="89" w:hanging="117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1-9</w:t>
            </w:r>
            <w:r>
              <w:rPr>
                <w:rFonts w:ascii="仿宋" w:hAnsi="仿宋" w:eastAsia="仿宋" w:cs="仿宋"/>
                <w:snapToGrid w:val="0"/>
                <w:color w:val="000000"/>
                <w:spacing w:val="-34"/>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层护士站及治疗室地面</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18"/>
                <w:kern w:val="0"/>
                <w:sz w:val="24"/>
                <w:szCs w:val="24"/>
                <w:lang w:val="en-US" w:eastAsia="en-US" w:bidi="ar-SA"/>
              </w:rPr>
              <w:t>改造</w:t>
            </w:r>
          </w:p>
        </w:tc>
        <w:tc>
          <w:tcPr>
            <w:tcW w:w="625" w:type="dxa"/>
            <w:vAlign w:val="top"/>
          </w:tcPr>
          <w:p w14:paraId="3E276CCB">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14:paraId="1756D6F3">
            <w:pPr>
              <w:widowControl/>
              <w:kinsoku w:val="0"/>
              <w:autoSpaceDE w:val="0"/>
              <w:autoSpaceDN w:val="0"/>
              <w:adjustRightInd w:val="0"/>
              <w:snapToGrid w:val="0"/>
              <w:spacing w:before="78" w:line="205" w:lineRule="auto"/>
              <w:ind w:left="1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w:t>
            </w:r>
          </w:p>
        </w:tc>
        <w:tc>
          <w:tcPr>
            <w:tcW w:w="1213" w:type="dxa"/>
            <w:vAlign w:val="top"/>
          </w:tcPr>
          <w:p w14:paraId="12BEF3E9">
            <w:pPr>
              <w:widowControl/>
              <w:kinsoku w:val="0"/>
              <w:autoSpaceDE w:val="0"/>
              <w:autoSpaceDN w:val="0"/>
              <w:adjustRightInd w:val="0"/>
              <w:snapToGrid w:val="0"/>
              <w:spacing w:line="320" w:lineRule="auto"/>
              <w:jc w:val="left"/>
              <w:textAlignment w:val="baseline"/>
              <w:rPr>
                <w:rFonts w:ascii="Arial" w:hAnsi="Arial" w:eastAsia="Arial" w:cs="Arial"/>
                <w:snapToGrid w:val="0"/>
                <w:color w:val="000000"/>
                <w:kern w:val="0"/>
                <w:sz w:val="21"/>
                <w:szCs w:val="21"/>
                <w:lang w:eastAsia="en-US"/>
              </w:rPr>
            </w:pPr>
          </w:p>
          <w:p w14:paraId="30DC4203">
            <w:pPr>
              <w:kinsoku w:val="0"/>
              <w:autoSpaceDE w:val="0"/>
              <w:autoSpaceDN w:val="0"/>
              <w:adjustRightInd w:val="0"/>
              <w:snapToGrid w:val="0"/>
              <w:spacing w:before="78" w:line="180" w:lineRule="auto"/>
              <w:ind w:left="2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500.00</w:t>
            </w:r>
          </w:p>
        </w:tc>
        <w:tc>
          <w:tcPr>
            <w:tcW w:w="2589" w:type="dxa"/>
            <w:vAlign w:val="top"/>
          </w:tcPr>
          <w:p w14:paraId="7ACDD54E">
            <w:pPr>
              <w:kinsoku w:val="0"/>
              <w:autoSpaceDE w:val="0"/>
              <w:autoSpaceDN w:val="0"/>
              <w:adjustRightInd w:val="0"/>
              <w:snapToGrid w:val="0"/>
              <w:spacing w:before="56" w:line="222" w:lineRule="auto"/>
              <w:ind w:left="1189" w:right="93" w:hanging="108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更换为通体橡胶卷材楼</w:t>
            </w:r>
            <w:r>
              <w:rPr>
                <w:rFonts w:ascii="仿宋" w:hAnsi="仿宋" w:eastAsia="仿宋" w:cs="仿宋"/>
                <w:snapToGrid w:val="0"/>
                <w:color w:val="000000"/>
                <w:spacing w:val="3"/>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面</w:t>
            </w:r>
          </w:p>
        </w:tc>
      </w:tr>
      <w:tr w14:paraId="40A70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256FCB4C">
            <w:pPr>
              <w:kinsoku w:val="0"/>
              <w:autoSpaceDE w:val="0"/>
              <w:autoSpaceDN w:val="0"/>
              <w:adjustRightInd w:val="0"/>
              <w:snapToGrid w:val="0"/>
              <w:spacing w:before="151" w:line="183" w:lineRule="auto"/>
              <w:ind w:left="29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3.4</w:t>
            </w:r>
          </w:p>
        </w:tc>
        <w:tc>
          <w:tcPr>
            <w:tcW w:w="3003" w:type="dxa"/>
            <w:vAlign w:val="top"/>
          </w:tcPr>
          <w:p w14:paraId="42E93CD5">
            <w:pPr>
              <w:kinsoku w:val="0"/>
              <w:autoSpaceDE w:val="0"/>
              <w:autoSpaceDN w:val="0"/>
              <w:adjustRightInd w:val="0"/>
              <w:snapToGrid w:val="0"/>
              <w:spacing w:before="120" w:line="217" w:lineRule="auto"/>
              <w:ind w:left="80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室内墙面改造</w:t>
            </w:r>
          </w:p>
        </w:tc>
        <w:tc>
          <w:tcPr>
            <w:tcW w:w="625" w:type="dxa"/>
            <w:vAlign w:val="top"/>
          </w:tcPr>
          <w:p w14:paraId="0BCB726C">
            <w:pPr>
              <w:widowControl/>
              <w:kinsoku w:val="0"/>
              <w:autoSpaceDE w:val="0"/>
              <w:autoSpaceDN w:val="0"/>
              <w:adjustRightInd w:val="0"/>
              <w:snapToGrid w:val="0"/>
              <w:spacing w:before="182" w:line="205" w:lineRule="auto"/>
              <w:ind w:left="1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w:t>
            </w:r>
          </w:p>
        </w:tc>
        <w:tc>
          <w:tcPr>
            <w:tcW w:w="1213" w:type="dxa"/>
            <w:vAlign w:val="top"/>
          </w:tcPr>
          <w:p w14:paraId="295DCB72">
            <w:pPr>
              <w:kinsoku w:val="0"/>
              <w:autoSpaceDE w:val="0"/>
              <w:autoSpaceDN w:val="0"/>
              <w:adjustRightInd w:val="0"/>
              <w:snapToGrid w:val="0"/>
              <w:spacing w:before="213" w:line="181" w:lineRule="auto"/>
              <w:ind w:left="14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22000.00</w:t>
            </w:r>
          </w:p>
        </w:tc>
        <w:tc>
          <w:tcPr>
            <w:tcW w:w="2589" w:type="dxa"/>
            <w:vAlign w:val="top"/>
          </w:tcPr>
          <w:p w14:paraId="15815BFB">
            <w:pPr>
              <w:kinsoku w:val="0"/>
              <w:autoSpaceDE w:val="0"/>
              <w:autoSpaceDN w:val="0"/>
              <w:adjustRightInd w:val="0"/>
              <w:snapToGrid w:val="0"/>
              <w:spacing w:before="182" w:line="205" w:lineRule="auto"/>
              <w:ind w:left="47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重新粉刷乳胶漆</w:t>
            </w:r>
          </w:p>
        </w:tc>
      </w:tr>
      <w:tr w14:paraId="33EB7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2AE8AE4B">
            <w:pPr>
              <w:kinsoku w:val="0"/>
              <w:autoSpaceDE w:val="0"/>
              <w:autoSpaceDN w:val="0"/>
              <w:adjustRightInd w:val="0"/>
              <w:snapToGrid w:val="0"/>
              <w:spacing w:before="151" w:line="183" w:lineRule="auto"/>
              <w:ind w:left="29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3.5</w:t>
            </w:r>
          </w:p>
        </w:tc>
        <w:tc>
          <w:tcPr>
            <w:tcW w:w="3003" w:type="dxa"/>
            <w:vAlign w:val="top"/>
          </w:tcPr>
          <w:p w14:paraId="02CF8796">
            <w:pPr>
              <w:kinsoku w:val="0"/>
              <w:autoSpaceDE w:val="0"/>
              <w:autoSpaceDN w:val="0"/>
              <w:adjustRightInd w:val="0"/>
              <w:snapToGrid w:val="0"/>
              <w:spacing w:before="119" w:line="217" w:lineRule="auto"/>
              <w:ind w:left="54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病房卫生洁具更换</w:t>
            </w:r>
          </w:p>
        </w:tc>
        <w:tc>
          <w:tcPr>
            <w:tcW w:w="625" w:type="dxa"/>
            <w:vAlign w:val="top"/>
          </w:tcPr>
          <w:p w14:paraId="7415C908">
            <w:pPr>
              <w:kinsoku w:val="0"/>
              <w:autoSpaceDE w:val="0"/>
              <w:autoSpaceDN w:val="0"/>
              <w:adjustRightInd w:val="0"/>
              <w:snapToGrid w:val="0"/>
              <w:spacing w:before="182" w:line="205" w:lineRule="auto"/>
              <w:ind w:left="20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套</w:t>
            </w:r>
          </w:p>
        </w:tc>
        <w:tc>
          <w:tcPr>
            <w:tcW w:w="1213" w:type="dxa"/>
            <w:vAlign w:val="top"/>
          </w:tcPr>
          <w:p w14:paraId="41D483FC">
            <w:pPr>
              <w:kinsoku w:val="0"/>
              <w:autoSpaceDE w:val="0"/>
              <w:autoSpaceDN w:val="0"/>
              <w:adjustRightInd w:val="0"/>
              <w:snapToGrid w:val="0"/>
              <w:spacing w:before="213" w:line="181" w:lineRule="auto"/>
              <w:ind w:left="27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130.00</w:t>
            </w:r>
          </w:p>
        </w:tc>
        <w:tc>
          <w:tcPr>
            <w:tcW w:w="2589" w:type="dxa"/>
            <w:vAlign w:val="top"/>
          </w:tcPr>
          <w:p w14:paraId="32CBE6D8">
            <w:pPr>
              <w:kinsoku w:val="0"/>
              <w:autoSpaceDE w:val="0"/>
              <w:autoSpaceDN w:val="0"/>
              <w:adjustRightInd w:val="0"/>
              <w:snapToGrid w:val="0"/>
              <w:spacing w:before="182" w:line="205" w:lineRule="auto"/>
              <w:ind w:left="57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蹲便改坐便器</w:t>
            </w:r>
          </w:p>
        </w:tc>
      </w:tr>
      <w:tr w14:paraId="4B5E1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10" w:type="dxa"/>
            <w:vAlign w:val="top"/>
          </w:tcPr>
          <w:p w14:paraId="4D07DF1F">
            <w:pPr>
              <w:kinsoku w:val="0"/>
              <w:autoSpaceDE w:val="0"/>
              <w:autoSpaceDN w:val="0"/>
              <w:adjustRightInd w:val="0"/>
              <w:snapToGrid w:val="0"/>
              <w:spacing w:before="243" w:line="183" w:lineRule="auto"/>
              <w:ind w:left="29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3.6</w:t>
            </w:r>
          </w:p>
        </w:tc>
        <w:tc>
          <w:tcPr>
            <w:tcW w:w="3003" w:type="dxa"/>
            <w:vAlign w:val="top"/>
          </w:tcPr>
          <w:p w14:paraId="211B475F">
            <w:pPr>
              <w:kinsoku w:val="0"/>
              <w:autoSpaceDE w:val="0"/>
              <w:autoSpaceDN w:val="0"/>
              <w:adjustRightInd w:val="0"/>
              <w:snapToGrid w:val="0"/>
              <w:spacing w:before="212" w:line="217" w:lineRule="auto"/>
              <w:ind w:left="6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病房卫生间适老化设施改造</w:t>
            </w:r>
          </w:p>
        </w:tc>
        <w:tc>
          <w:tcPr>
            <w:tcW w:w="625" w:type="dxa"/>
            <w:vAlign w:val="top"/>
          </w:tcPr>
          <w:p w14:paraId="38F2F144">
            <w:pPr>
              <w:widowControl/>
              <w:kinsoku w:val="0"/>
              <w:autoSpaceDE w:val="0"/>
              <w:autoSpaceDN w:val="0"/>
              <w:adjustRightInd w:val="0"/>
              <w:snapToGrid w:val="0"/>
              <w:spacing w:line="289" w:lineRule="auto"/>
              <w:jc w:val="left"/>
              <w:textAlignment w:val="baseline"/>
              <w:rPr>
                <w:rFonts w:ascii="Arial" w:hAnsi="Arial" w:eastAsia="Arial" w:cs="Arial"/>
                <w:snapToGrid w:val="0"/>
                <w:color w:val="000000"/>
                <w:kern w:val="0"/>
                <w:sz w:val="21"/>
                <w:szCs w:val="21"/>
                <w:lang w:eastAsia="en-US"/>
              </w:rPr>
            </w:pPr>
          </w:p>
          <w:p w14:paraId="2D7CF916">
            <w:pPr>
              <w:kinsoku w:val="0"/>
              <w:autoSpaceDE w:val="0"/>
              <w:autoSpaceDN w:val="0"/>
              <w:adjustRightInd w:val="0"/>
              <w:snapToGrid w:val="0"/>
              <w:spacing w:before="78" w:line="204" w:lineRule="auto"/>
              <w:ind w:left="20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套</w:t>
            </w:r>
          </w:p>
        </w:tc>
        <w:tc>
          <w:tcPr>
            <w:tcW w:w="1213" w:type="dxa"/>
            <w:vAlign w:val="top"/>
          </w:tcPr>
          <w:p w14:paraId="62D61451">
            <w:pPr>
              <w:widowControl/>
              <w:kinsoku w:val="0"/>
              <w:autoSpaceDE w:val="0"/>
              <w:autoSpaceDN w:val="0"/>
              <w:adjustRightInd w:val="0"/>
              <w:snapToGrid w:val="0"/>
              <w:spacing w:line="320" w:lineRule="auto"/>
              <w:jc w:val="left"/>
              <w:textAlignment w:val="baseline"/>
              <w:rPr>
                <w:rFonts w:ascii="Arial" w:hAnsi="Arial" w:eastAsia="Arial" w:cs="Arial"/>
                <w:snapToGrid w:val="0"/>
                <w:color w:val="000000"/>
                <w:kern w:val="0"/>
                <w:sz w:val="21"/>
                <w:szCs w:val="21"/>
                <w:lang w:eastAsia="en-US"/>
              </w:rPr>
            </w:pPr>
          </w:p>
          <w:p w14:paraId="4804B0DA">
            <w:pPr>
              <w:kinsoku w:val="0"/>
              <w:autoSpaceDE w:val="0"/>
              <w:autoSpaceDN w:val="0"/>
              <w:adjustRightInd w:val="0"/>
              <w:snapToGrid w:val="0"/>
              <w:spacing w:before="78" w:line="180" w:lineRule="auto"/>
              <w:ind w:left="27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130.00</w:t>
            </w:r>
          </w:p>
        </w:tc>
        <w:tc>
          <w:tcPr>
            <w:tcW w:w="2589" w:type="dxa"/>
            <w:vAlign w:val="top"/>
          </w:tcPr>
          <w:p w14:paraId="5FF3E7AB">
            <w:pPr>
              <w:kinsoku w:val="0"/>
              <w:autoSpaceDE w:val="0"/>
              <w:autoSpaceDN w:val="0"/>
              <w:adjustRightInd w:val="0"/>
              <w:snapToGrid w:val="0"/>
              <w:spacing w:before="56" w:line="222" w:lineRule="auto"/>
              <w:ind w:left="49" w:right="38" w:firstLine="17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安装坐便器安全扶手</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213*118*605（不锈钢）</w:t>
            </w:r>
          </w:p>
        </w:tc>
      </w:tr>
      <w:tr w14:paraId="756CE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3E3769C2">
            <w:pPr>
              <w:kinsoku w:val="0"/>
              <w:autoSpaceDE w:val="0"/>
              <w:autoSpaceDN w:val="0"/>
              <w:adjustRightInd w:val="0"/>
              <w:snapToGrid w:val="0"/>
              <w:spacing w:before="151" w:line="183" w:lineRule="auto"/>
              <w:ind w:left="29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3.7</w:t>
            </w:r>
          </w:p>
        </w:tc>
        <w:tc>
          <w:tcPr>
            <w:tcW w:w="3003" w:type="dxa"/>
            <w:vAlign w:val="top"/>
          </w:tcPr>
          <w:p w14:paraId="608DE047">
            <w:pPr>
              <w:kinsoku w:val="0"/>
              <w:autoSpaceDE w:val="0"/>
              <w:autoSpaceDN w:val="0"/>
              <w:adjustRightInd w:val="0"/>
              <w:snapToGrid w:val="0"/>
              <w:spacing w:before="116" w:line="220" w:lineRule="auto"/>
              <w:ind w:left="18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病房卫生间紧急报警装置</w:t>
            </w:r>
          </w:p>
        </w:tc>
        <w:tc>
          <w:tcPr>
            <w:tcW w:w="625" w:type="dxa"/>
            <w:vAlign w:val="top"/>
          </w:tcPr>
          <w:p w14:paraId="107F4C64">
            <w:pPr>
              <w:kinsoku w:val="0"/>
              <w:autoSpaceDE w:val="0"/>
              <w:autoSpaceDN w:val="0"/>
              <w:adjustRightInd w:val="0"/>
              <w:snapToGrid w:val="0"/>
              <w:spacing w:before="182" w:line="205" w:lineRule="auto"/>
              <w:ind w:left="20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套</w:t>
            </w:r>
          </w:p>
        </w:tc>
        <w:tc>
          <w:tcPr>
            <w:tcW w:w="1213" w:type="dxa"/>
            <w:vAlign w:val="top"/>
          </w:tcPr>
          <w:p w14:paraId="0EF3B589">
            <w:pPr>
              <w:kinsoku w:val="0"/>
              <w:autoSpaceDE w:val="0"/>
              <w:autoSpaceDN w:val="0"/>
              <w:adjustRightInd w:val="0"/>
              <w:snapToGrid w:val="0"/>
              <w:spacing w:before="213" w:line="181" w:lineRule="auto"/>
              <w:ind w:left="27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130.00</w:t>
            </w:r>
          </w:p>
        </w:tc>
        <w:tc>
          <w:tcPr>
            <w:tcW w:w="2589" w:type="dxa"/>
            <w:vAlign w:val="top"/>
          </w:tcPr>
          <w:p w14:paraId="27E5122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8DCE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5700BCFC">
            <w:pPr>
              <w:kinsoku w:val="0"/>
              <w:autoSpaceDE w:val="0"/>
              <w:autoSpaceDN w:val="0"/>
              <w:adjustRightInd w:val="0"/>
              <w:snapToGrid w:val="0"/>
              <w:spacing w:before="150" w:line="183" w:lineRule="auto"/>
              <w:ind w:left="29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3.8</w:t>
            </w:r>
          </w:p>
        </w:tc>
        <w:tc>
          <w:tcPr>
            <w:tcW w:w="3003" w:type="dxa"/>
            <w:vAlign w:val="top"/>
          </w:tcPr>
          <w:p w14:paraId="67DFC7AA">
            <w:pPr>
              <w:kinsoku w:val="0"/>
              <w:autoSpaceDE w:val="0"/>
              <w:autoSpaceDN w:val="0"/>
              <w:adjustRightInd w:val="0"/>
              <w:snapToGrid w:val="0"/>
              <w:spacing w:before="120" w:line="216" w:lineRule="auto"/>
              <w:ind w:left="66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病房暖气罩更换</w:t>
            </w:r>
          </w:p>
        </w:tc>
        <w:tc>
          <w:tcPr>
            <w:tcW w:w="625" w:type="dxa"/>
            <w:vAlign w:val="top"/>
          </w:tcPr>
          <w:p w14:paraId="40D5C5F9">
            <w:pPr>
              <w:widowControl/>
              <w:kinsoku w:val="0"/>
              <w:autoSpaceDE w:val="0"/>
              <w:autoSpaceDN w:val="0"/>
              <w:adjustRightInd w:val="0"/>
              <w:snapToGrid w:val="0"/>
              <w:spacing w:before="181" w:line="206" w:lineRule="auto"/>
              <w:ind w:left="1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w:t>
            </w:r>
          </w:p>
        </w:tc>
        <w:tc>
          <w:tcPr>
            <w:tcW w:w="1213" w:type="dxa"/>
            <w:vAlign w:val="top"/>
          </w:tcPr>
          <w:p w14:paraId="47B25700">
            <w:pPr>
              <w:kinsoku w:val="0"/>
              <w:autoSpaceDE w:val="0"/>
              <w:autoSpaceDN w:val="0"/>
              <w:adjustRightInd w:val="0"/>
              <w:snapToGrid w:val="0"/>
              <w:spacing w:before="212" w:line="182" w:lineRule="auto"/>
              <w:ind w:left="21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1100.00</w:t>
            </w:r>
          </w:p>
        </w:tc>
        <w:tc>
          <w:tcPr>
            <w:tcW w:w="2589" w:type="dxa"/>
            <w:vAlign w:val="top"/>
          </w:tcPr>
          <w:p w14:paraId="0C9A346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7D21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5DDC405C">
            <w:pPr>
              <w:kinsoku w:val="0"/>
              <w:autoSpaceDE w:val="0"/>
              <w:autoSpaceDN w:val="0"/>
              <w:adjustRightInd w:val="0"/>
              <w:snapToGrid w:val="0"/>
              <w:spacing w:before="150" w:line="183" w:lineRule="auto"/>
              <w:ind w:left="29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3.9</w:t>
            </w:r>
          </w:p>
        </w:tc>
        <w:tc>
          <w:tcPr>
            <w:tcW w:w="3003" w:type="dxa"/>
            <w:vAlign w:val="top"/>
          </w:tcPr>
          <w:p w14:paraId="6D6633BF">
            <w:pPr>
              <w:kinsoku w:val="0"/>
              <w:autoSpaceDE w:val="0"/>
              <w:autoSpaceDN w:val="0"/>
              <w:adjustRightInd w:val="0"/>
              <w:snapToGrid w:val="0"/>
              <w:spacing w:before="118" w:line="217" w:lineRule="auto"/>
              <w:ind w:left="5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3F-10F</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3"/>
                <w:kern w:val="0"/>
                <w:sz w:val="24"/>
                <w:szCs w:val="24"/>
                <w:lang w:val="en-US" w:eastAsia="en-US" w:bidi="ar-SA"/>
              </w:rPr>
              <w:t>建筑外立面重新粉刷</w:t>
            </w:r>
          </w:p>
        </w:tc>
        <w:tc>
          <w:tcPr>
            <w:tcW w:w="625" w:type="dxa"/>
            <w:vAlign w:val="top"/>
          </w:tcPr>
          <w:p w14:paraId="6BCB97C5">
            <w:pPr>
              <w:widowControl/>
              <w:kinsoku w:val="0"/>
              <w:autoSpaceDE w:val="0"/>
              <w:autoSpaceDN w:val="0"/>
              <w:adjustRightInd w:val="0"/>
              <w:snapToGrid w:val="0"/>
              <w:spacing w:before="182" w:line="205" w:lineRule="auto"/>
              <w:ind w:left="1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w:t>
            </w:r>
          </w:p>
        </w:tc>
        <w:tc>
          <w:tcPr>
            <w:tcW w:w="1213" w:type="dxa"/>
            <w:vAlign w:val="top"/>
          </w:tcPr>
          <w:p w14:paraId="4E6812C5">
            <w:pPr>
              <w:kinsoku w:val="0"/>
              <w:autoSpaceDE w:val="0"/>
              <w:autoSpaceDN w:val="0"/>
              <w:adjustRightInd w:val="0"/>
              <w:snapToGrid w:val="0"/>
              <w:spacing w:before="215" w:line="180" w:lineRule="auto"/>
              <w:ind w:left="20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6700.00</w:t>
            </w:r>
          </w:p>
        </w:tc>
        <w:tc>
          <w:tcPr>
            <w:tcW w:w="2589" w:type="dxa"/>
            <w:vAlign w:val="top"/>
          </w:tcPr>
          <w:p w14:paraId="4A34029C">
            <w:pPr>
              <w:kinsoku w:val="0"/>
              <w:autoSpaceDE w:val="0"/>
              <w:autoSpaceDN w:val="0"/>
              <w:adjustRightInd w:val="0"/>
              <w:snapToGrid w:val="0"/>
              <w:spacing w:before="183" w:line="204" w:lineRule="auto"/>
              <w:ind w:left="35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重刷外墙防水涂料</w:t>
            </w:r>
          </w:p>
        </w:tc>
      </w:tr>
      <w:tr w14:paraId="17EA6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7C04B63E">
            <w:pPr>
              <w:kinsoku w:val="0"/>
              <w:autoSpaceDE w:val="0"/>
              <w:autoSpaceDN w:val="0"/>
              <w:adjustRightInd w:val="0"/>
              <w:snapToGrid w:val="0"/>
              <w:spacing w:before="151" w:line="183" w:lineRule="auto"/>
              <w:ind w:left="23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3.10</w:t>
            </w:r>
          </w:p>
        </w:tc>
        <w:tc>
          <w:tcPr>
            <w:tcW w:w="3003" w:type="dxa"/>
            <w:vAlign w:val="top"/>
          </w:tcPr>
          <w:p w14:paraId="551392B3">
            <w:pPr>
              <w:kinsoku w:val="0"/>
              <w:autoSpaceDE w:val="0"/>
              <w:autoSpaceDN w:val="0"/>
              <w:adjustRightInd w:val="0"/>
              <w:snapToGrid w:val="0"/>
              <w:spacing w:before="120" w:line="218" w:lineRule="auto"/>
              <w:ind w:left="5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上人屋面防水更换</w:t>
            </w:r>
          </w:p>
        </w:tc>
        <w:tc>
          <w:tcPr>
            <w:tcW w:w="625" w:type="dxa"/>
            <w:vAlign w:val="top"/>
          </w:tcPr>
          <w:p w14:paraId="5D102F7D">
            <w:pPr>
              <w:widowControl/>
              <w:kinsoku w:val="0"/>
              <w:autoSpaceDE w:val="0"/>
              <w:autoSpaceDN w:val="0"/>
              <w:adjustRightInd w:val="0"/>
              <w:snapToGrid w:val="0"/>
              <w:spacing w:before="181" w:line="206" w:lineRule="auto"/>
              <w:ind w:left="1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w:t>
            </w:r>
          </w:p>
        </w:tc>
        <w:tc>
          <w:tcPr>
            <w:tcW w:w="1213" w:type="dxa"/>
            <w:vAlign w:val="top"/>
          </w:tcPr>
          <w:p w14:paraId="56320ED3">
            <w:pPr>
              <w:kinsoku w:val="0"/>
              <w:autoSpaceDE w:val="0"/>
              <w:autoSpaceDN w:val="0"/>
              <w:adjustRightInd w:val="0"/>
              <w:snapToGrid w:val="0"/>
              <w:spacing w:before="213" w:line="181" w:lineRule="auto"/>
              <w:ind w:left="26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550.00</w:t>
            </w:r>
          </w:p>
        </w:tc>
        <w:tc>
          <w:tcPr>
            <w:tcW w:w="2589" w:type="dxa"/>
            <w:vAlign w:val="top"/>
          </w:tcPr>
          <w:p w14:paraId="5CB7579C">
            <w:pPr>
              <w:kinsoku w:val="0"/>
              <w:autoSpaceDE w:val="0"/>
              <w:autoSpaceDN w:val="0"/>
              <w:adjustRightInd w:val="0"/>
              <w:snapToGrid w:val="0"/>
              <w:spacing w:before="182" w:line="205" w:lineRule="auto"/>
              <w:ind w:left="69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贴地砖地面</w:t>
            </w:r>
          </w:p>
        </w:tc>
      </w:tr>
      <w:tr w14:paraId="29370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64A8FB69">
            <w:pPr>
              <w:kinsoku w:val="0"/>
              <w:autoSpaceDE w:val="0"/>
              <w:autoSpaceDN w:val="0"/>
              <w:adjustRightInd w:val="0"/>
              <w:snapToGrid w:val="0"/>
              <w:spacing w:before="150" w:line="183" w:lineRule="auto"/>
              <w:ind w:left="23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3.11</w:t>
            </w:r>
          </w:p>
        </w:tc>
        <w:tc>
          <w:tcPr>
            <w:tcW w:w="3003" w:type="dxa"/>
            <w:vAlign w:val="top"/>
          </w:tcPr>
          <w:p w14:paraId="681225DC">
            <w:pPr>
              <w:kinsoku w:val="0"/>
              <w:autoSpaceDE w:val="0"/>
              <w:autoSpaceDN w:val="0"/>
              <w:adjustRightInd w:val="0"/>
              <w:snapToGrid w:val="0"/>
              <w:spacing w:before="119" w:line="215" w:lineRule="auto"/>
              <w:ind w:left="42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病房储物柜局部维修</w:t>
            </w:r>
          </w:p>
        </w:tc>
        <w:tc>
          <w:tcPr>
            <w:tcW w:w="625" w:type="dxa"/>
            <w:vAlign w:val="top"/>
          </w:tcPr>
          <w:p w14:paraId="73F10EB3">
            <w:pPr>
              <w:kinsoku w:val="0"/>
              <w:autoSpaceDE w:val="0"/>
              <w:autoSpaceDN w:val="0"/>
              <w:adjustRightInd w:val="0"/>
              <w:snapToGrid w:val="0"/>
              <w:spacing w:before="182" w:line="205" w:lineRule="auto"/>
              <w:ind w:left="20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套</w:t>
            </w:r>
          </w:p>
        </w:tc>
        <w:tc>
          <w:tcPr>
            <w:tcW w:w="1213" w:type="dxa"/>
            <w:vAlign w:val="top"/>
          </w:tcPr>
          <w:p w14:paraId="2341852D">
            <w:pPr>
              <w:kinsoku w:val="0"/>
              <w:autoSpaceDE w:val="0"/>
              <w:autoSpaceDN w:val="0"/>
              <w:adjustRightInd w:val="0"/>
              <w:snapToGrid w:val="0"/>
              <w:spacing w:before="212" w:line="182" w:lineRule="auto"/>
              <w:ind w:left="27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130.00</w:t>
            </w:r>
          </w:p>
        </w:tc>
        <w:tc>
          <w:tcPr>
            <w:tcW w:w="2589" w:type="dxa"/>
            <w:vAlign w:val="top"/>
          </w:tcPr>
          <w:p w14:paraId="67CA0D09">
            <w:pPr>
              <w:kinsoku w:val="0"/>
              <w:autoSpaceDE w:val="0"/>
              <w:autoSpaceDN w:val="0"/>
              <w:adjustRightInd w:val="0"/>
              <w:snapToGrid w:val="0"/>
              <w:spacing w:before="182" w:line="205" w:lineRule="auto"/>
              <w:ind w:left="34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双层四门木质衣柜</w:t>
            </w:r>
          </w:p>
        </w:tc>
      </w:tr>
      <w:tr w14:paraId="40914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19F5DAE4">
            <w:pPr>
              <w:kinsoku w:val="0"/>
              <w:autoSpaceDE w:val="0"/>
              <w:autoSpaceDN w:val="0"/>
              <w:adjustRightInd w:val="0"/>
              <w:snapToGrid w:val="0"/>
              <w:spacing w:before="149" w:line="180" w:lineRule="auto"/>
              <w:ind w:left="40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3"/>
                <w:kern w:val="0"/>
                <w:sz w:val="24"/>
                <w:szCs w:val="24"/>
                <w:lang w:val="en-US" w:eastAsia="en-US" w:bidi="ar-SA"/>
              </w:rPr>
              <w:t>4</w:t>
            </w:r>
          </w:p>
        </w:tc>
        <w:tc>
          <w:tcPr>
            <w:tcW w:w="3003" w:type="dxa"/>
            <w:vAlign w:val="top"/>
          </w:tcPr>
          <w:p w14:paraId="0F94D553">
            <w:pPr>
              <w:kinsoku w:val="0"/>
              <w:autoSpaceDE w:val="0"/>
              <w:autoSpaceDN w:val="0"/>
              <w:adjustRightInd w:val="0"/>
              <w:snapToGrid w:val="0"/>
              <w:spacing w:before="119" w:line="216" w:lineRule="auto"/>
              <w:ind w:left="4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门诊医技综合楼改造</w:t>
            </w:r>
          </w:p>
        </w:tc>
        <w:tc>
          <w:tcPr>
            <w:tcW w:w="625" w:type="dxa"/>
            <w:vAlign w:val="top"/>
          </w:tcPr>
          <w:p w14:paraId="72DEA046">
            <w:pPr>
              <w:widowControl/>
              <w:kinsoku w:val="0"/>
              <w:autoSpaceDE w:val="0"/>
              <w:autoSpaceDN w:val="0"/>
              <w:adjustRightInd w:val="0"/>
              <w:snapToGrid w:val="0"/>
              <w:spacing w:before="182" w:line="205" w:lineRule="auto"/>
              <w:ind w:left="1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3"/>
                <w:kern w:val="0"/>
                <w:sz w:val="24"/>
                <w:szCs w:val="24"/>
                <w:lang w:eastAsia="en-US"/>
              </w:rPr>
              <w:t>㎡</w:t>
            </w:r>
          </w:p>
        </w:tc>
        <w:tc>
          <w:tcPr>
            <w:tcW w:w="1213" w:type="dxa"/>
            <w:vAlign w:val="top"/>
          </w:tcPr>
          <w:p w14:paraId="47CC75A0">
            <w:pPr>
              <w:kinsoku w:val="0"/>
              <w:autoSpaceDE w:val="0"/>
              <w:autoSpaceDN w:val="0"/>
              <w:adjustRightInd w:val="0"/>
              <w:snapToGrid w:val="0"/>
              <w:spacing w:before="214" w:line="180" w:lineRule="auto"/>
              <w:ind w:left="20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5"/>
                <w:kern w:val="0"/>
                <w:sz w:val="24"/>
                <w:szCs w:val="24"/>
                <w:lang w:val="en-US" w:eastAsia="en-US" w:bidi="ar-SA"/>
              </w:rPr>
              <w:t>5300.00</w:t>
            </w:r>
          </w:p>
        </w:tc>
        <w:tc>
          <w:tcPr>
            <w:tcW w:w="2589" w:type="dxa"/>
            <w:vAlign w:val="top"/>
          </w:tcPr>
          <w:p w14:paraId="63237A8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EFF9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10" w:type="dxa"/>
            <w:vAlign w:val="top"/>
          </w:tcPr>
          <w:p w14:paraId="44A52E90">
            <w:pPr>
              <w:kinsoku w:val="0"/>
              <w:autoSpaceDE w:val="0"/>
              <w:autoSpaceDN w:val="0"/>
              <w:adjustRightInd w:val="0"/>
              <w:snapToGrid w:val="0"/>
              <w:spacing w:before="242" w:line="183" w:lineRule="auto"/>
              <w:ind w:left="28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4.1</w:t>
            </w:r>
          </w:p>
        </w:tc>
        <w:tc>
          <w:tcPr>
            <w:tcW w:w="3003" w:type="dxa"/>
            <w:vAlign w:val="top"/>
          </w:tcPr>
          <w:p w14:paraId="19AEC842">
            <w:pPr>
              <w:kinsoku w:val="0"/>
              <w:autoSpaceDE w:val="0"/>
              <w:autoSpaceDN w:val="0"/>
              <w:adjustRightInd w:val="0"/>
              <w:snapToGrid w:val="0"/>
              <w:spacing w:before="55" w:line="222" w:lineRule="auto"/>
              <w:ind w:left="1292" w:right="89" w:hanging="117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1-4</w:t>
            </w:r>
            <w:r>
              <w:rPr>
                <w:rFonts w:ascii="仿宋" w:hAnsi="仿宋" w:eastAsia="仿宋" w:cs="仿宋"/>
                <w:snapToGrid w:val="0"/>
                <w:color w:val="000000"/>
                <w:spacing w:val="-34"/>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层诊室及公共走道地面</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18"/>
                <w:kern w:val="0"/>
                <w:sz w:val="24"/>
                <w:szCs w:val="24"/>
                <w:lang w:val="en-US" w:eastAsia="en-US" w:bidi="ar-SA"/>
              </w:rPr>
              <w:t>改造</w:t>
            </w:r>
          </w:p>
        </w:tc>
        <w:tc>
          <w:tcPr>
            <w:tcW w:w="625" w:type="dxa"/>
            <w:vAlign w:val="top"/>
          </w:tcPr>
          <w:p w14:paraId="7DDC507A">
            <w:pPr>
              <w:widowControl/>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eastAsia="en-US"/>
              </w:rPr>
            </w:pPr>
          </w:p>
          <w:p w14:paraId="3C8356D2">
            <w:pPr>
              <w:widowControl/>
              <w:kinsoku w:val="0"/>
              <w:autoSpaceDE w:val="0"/>
              <w:autoSpaceDN w:val="0"/>
              <w:adjustRightInd w:val="0"/>
              <w:snapToGrid w:val="0"/>
              <w:spacing w:before="78" w:line="205" w:lineRule="auto"/>
              <w:ind w:left="1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w:t>
            </w:r>
          </w:p>
        </w:tc>
        <w:tc>
          <w:tcPr>
            <w:tcW w:w="1213" w:type="dxa"/>
            <w:vAlign w:val="top"/>
          </w:tcPr>
          <w:p w14:paraId="41D9FC04">
            <w:pPr>
              <w:widowControl/>
              <w:kinsoku w:val="0"/>
              <w:autoSpaceDE w:val="0"/>
              <w:autoSpaceDN w:val="0"/>
              <w:adjustRightInd w:val="0"/>
              <w:snapToGrid w:val="0"/>
              <w:spacing w:line="319" w:lineRule="auto"/>
              <w:jc w:val="left"/>
              <w:textAlignment w:val="baseline"/>
              <w:rPr>
                <w:rFonts w:ascii="Arial" w:hAnsi="Arial" w:eastAsia="Arial" w:cs="Arial"/>
                <w:snapToGrid w:val="0"/>
                <w:color w:val="000000"/>
                <w:kern w:val="0"/>
                <w:sz w:val="21"/>
                <w:szCs w:val="21"/>
                <w:lang w:eastAsia="en-US"/>
              </w:rPr>
            </w:pPr>
          </w:p>
          <w:p w14:paraId="205EAD4D">
            <w:pPr>
              <w:kinsoku w:val="0"/>
              <w:autoSpaceDE w:val="0"/>
              <w:autoSpaceDN w:val="0"/>
              <w:adjustRightInd w:val="0"/>
              <w:snapToGrid w:val="0"/>
              <w:spacing w:before="78" w:line="180" w:lineRule="auto"/>
              <w:ind w:left="20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5300.00</w:t>
            </w:r>
          </w:p>
        </w:tc>
        <w:tc>
          <w:tcPr>
            <w:tcW w:w="2589" w:type="dxa"/>
            <w:vAlign w:val="top"/>
          </w:tcPr>
          <w:p w14:paraId="03CFE33F">
            <w:pPr>
              <w:kinsoku w:val="0"/>
              <w:autoSpaceDE w:val="0"/>
              <w:autoSpaceDN w:val="0"/>
              <w:adjustRightInd w:val="0"/>
              <w:snapToGrid w:val="0"/>
              <w:spacing w:before="55" w:line="222" w:lineRule="auto"/>
              <w:ind w:left="1189" w:right="93" w:hanging="108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更换为通体橡胶卷材楼</w:t>
            </w:r>
            <w:r>
              <w:rPr>
                <w:rFonts w:ascii="仿宋" w:hAnsi="仿宋" w:eastAsia="仿宋" w:cs="仿宋"/>
                <w:snapToGrid w:val="0"/>
                <w:color w:val="000000"/>
                <w:spacing w:val="3"/>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面</w:t>
            </w:r>
          </w:p>
        </w:tc>
      </w:tr>
      <w:tr w14:paraId="21412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10" w:type="dxa"/>
            <w:vAlign w:val="top"/>
          </w:tcPr>
          <w:p w14:paraId="2878FD6C">
            <w:pPr>
              <w:kinsoku w:val="0"/>
              <w:autoSpaceDE w:val="0"/>
              <w:autoSpaceDN w:val="0"/>
              <w:adjustRightInd w:val="0"/>
              <w:snapToGrid w:val="0"/>
              <w:spacing w:before="245" w:line="183" w:lineRule="auto"/>
              <w:ind w:left="28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4.2</w:t>
            </w:r>
          </w:p>
        </w:tc>
        <w:tc>
          <w:tcPr>
            <w:tcW w:w="3003" w:type="dxa"/>
            <w:vAlign w:val="top"/>
          </w:tcPr>
          <w:p w14:paraId="78677798">
            <w:pPr>
              <w:kinsoku w:val="0"/>
              <w:autoSpaceDE w:val="0"/>
              <w:autoSpaceDN w:val="0"/>
              <w:adjustRightInd w:val="0"/>
              <w:snapToGrid w:val="0"/>
              <w:spacing w:before="56" w:line="222" w:lineRule="auto"/>
              <w:ind w:left="1030" w:right="89" w:hanging="91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1-9</w:t>
            </w:r>
            <w:r>
              <w:rPr>
                <w:rFonts w:ascii="仿宋" w:hAnsi="仿宋" w:eastAsia="仿宋" w:cs="仿宋"/>
                <w:snapToGrid w:val="0"/>
                <w:color w:val="000000"/>
                <w:spacing w:val="-34"/>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层公共走道及门厅吊顶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局部改造</w:t>
            </w:r>
          </w:p>
        </w:tc>
        <w:tc>
          <w:tcPr>
            <w:tcW w:w="625" w:type="dxa"/>
            <w:vAlign w:val="top"/>
          </w:tcPr>
          <w:p w14:paraId="2D29F6B5">
            <w:pPr>
              <w:widowControl/>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eastAsia="en-US"/>
              </w:rPr>
            </w:pPr>
          </w:p>
          <w:p w14:paraId="534FF8B0">
            <w:pPr>
              <w:widowControl/>
              <w:kinsoku w:val="0"/>
              <w:autoSpaceDE w:val="0"/>
              <w:autoSpaceDN w:val="0"/>
              <w:adjustRightInd w:val="0"/>
              <w:snapToGrid w:val="0"/>
              <w:spacing w:before="78" w:line="206" w:lineRule="auto"/>
              <w:ind w:left="1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w:t>
            </w:r>
          </w:p>
        </w:tc>
        <w:tc>
          <w:tcPr>
            <w:tcW w:w="1213" w:type="dxa"/>
            <w:vAlign w:val="top"/>
          </w:tcPr>
          <w:p w14:paraId="7F55294B">
            <w:pPr>
              <w:widowControl/>
              <w:kinsoku w:val="0"/>
              <w:autoSpaceDE w:val="0"/>
              <w:autoSpaceDN w:val="0"/>
              <w:adjustRightInd w:val="0"/>
              <w:snapToGrid w:val="0"/>
              <w:spacing w:line="318" w:lineRule="auto"/>
              <w:jc w:val="left"/>
              <w:textAlignment w:val="baseline"/>
              <w:rPr>
                <w:rFonts w:ascii="Arial" w:hAnsi="Arial" w:eastAsia="Arial" w:cs="Arial"/>
                <w:snapToGrid w:val="0"/>
                <w:color w:val="000000"/>
                <w:kern w:val="0"/>
                <w:sz w:val="21"/>
                <w:szCs w:val="21"/>
                <w:lang w:eastAsia="en-US"/>
              </w:rPr>
            </w:pPr>
          </w:p>
          <w:p w14:paraId="4D4E0E7B">
            <w:pPr>
              <w:kinsoku w:val="0"/>
              <w:autoSpaceDE w:val="0"/>
              <w:autoSpaceDN w:val="0"/>
              <w:adjustRightInd w:val="0"/>
              <w:snapToGrid w:val="0"/>
              <w:spacing w:before="78" w:line="181" w:lineRule="auto"/>
              <w:ind w:left="21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1800.00</w:t>
            </w:r>
          </w:p>
        </w:tc>
        <w:tc>
          <w:tcPr>
            <w:tcW w:w="2589" w:type="dxa"/>
            <w:vAlign w:val="top"/>
          </w:tcPr>
          <w:p w14:paraId="6A1A248F">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14:paraId="4AC84F70">
            <w:pPr>
              <w:kinsoku w:val="0"/>
              <w:autoSpaceDE w:val="0"/>
              <w:autoSpaceDN w:val="0"/>
              <w:adjustRightInd w:val="0"/>
              <w:snapToGrid w:val="0"/>
              <w:spacing w:before="78" w:line="205" w:lineRule="auto"/>
              <w:ind w:left="10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石膏板吊顶（含灯带）</w:t>
            </w:r>
          </w:p>
        </w:tc>
      </w:tr>
      <w:tr w14:paraId="494DB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0E7F3FC0">
            <w:pPr>
              <w:kinsoku w:val="0"/>
              <w:autoSpaceDE w:val="0"/>
              <w:autoSpaceDN w:val="0"/>
              <w:adjustRightInd w:val="0"/>
              <w:snapToGrid w:val="0"/>
              <w:spacing w:before="153" w:line="183" w:lineRule="auto"/>
              <w:ind w:left="28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4.3</w:t>
            </w:r>
          </w:p>
        </w:tc>
        <w:tc>
          <w:tcPr>
            <w:tcW w:w="3003" w:type="dxa"/>
            <w:vAlign w:val="top"/>
          </w:tcPr>
          <w:p w14:paraId="7E55A35F">
            <w:pPr>
              <w:kinsoku w:val="0"/>
              <w:autoSpaceDE w:val="0"/>
              <w:autoSpaceDN w:val="0"/>
              <w:adjustRightInd w:val="0"/>
              <w:snapToGrid w:val="0"/>
              <w:spacing w:before="121" w:line="217" w:lineRule="auto"/>
              <w:ind w:left="35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1-9</w:t>
            </w:r>
            <w:r>
              <w:rPr>
                <w:rFonts w:ascii="仿宋" w:hAnsi="仿宋" w:eastAsia="仿宋" w:cs="仿宋"/>
                <w:snapToGrid w:val="0"/>
                <w:color w:val="000000"/>
                <w:spacing w:val="-42"/>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层卫生间洁具更换</w:t>
            </w:r>
          </w:p>
        </w:tc>
        <w:tc>
          <w:tcPr>
            <w:tcW w:w="625" w:type="dxa"/>
            <w:vAlign w:val="top"/>
          </w:tcPr>
          <w:p w14:paraId="2A341DDE">
            <w:pPr>
              <w:kinsoku w:val="0"/>
              <w:autoSpaceDE w:val="0"/>
              <w:autoSpaceDN w:val="0"/>
              <w:adjustRightInd w:val="0"/>
              <w:snapToGrid w:val="0"/>
              <w:spacing w:before="183" w:line="204" w:lineRule="auto"/>
              <w:ind w:left="20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套</w:t>
            </w:r>
          </w:p>
        </w:tc>
        <w:tc>
          <w:tcPr>
            <w:tcW w:w="1213" w:type="dxa"/>
            <w:vAlign w:val="top"/>
          </w:tcPr>
          <w:p w14:paraId="49E3BBED">
            <w:pPr>
              <w:kinsoku w:val="0"/>
              <w:autoSpaceDE w:val="0"/>
              <w:autoSpaceDN w:val="0"/>
              <w:adjustRightInd w:val="0"/>
              <w:snapToGrid w:val="0"/>
              <w:spacing w:before="214" w:line="180" w:lineRule="auto"/>
              <w:ind w:left="32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45.00</w:t>
            </w:r>
          </w:p>
        </w:tc>
        <w:tc>
          <w:tcPr>
            <w:tcW w:w="2589" w:type="dxa"/>
            <w:vAlign w:val="top"/>
          </w:tcPr>
          <w:p w14:paraId="3467A08A">
            <w:pPr>
              <w:kinsoku w:val="0"/>
              <w:autoSpaceDE w:val="0"/>
              <w:autoSpaceDN w:val="0"/>
              <w:adjustRightInd w:val="0"/>
              <w:snapToGrid w:val="0"/>
              <w:spacing w:before="183" w:line="204" w:lineRule="auto"/>
              <w:ind w:left="12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医用感应式水龙头更换</w:t>
            </w:r>
          </w:p>
        </w:tc>
      </w:tr>
      <w:tr w14:paraId="3E411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4BA5B20D">
            <w:pPr>
              <w:kinsoku w:val="0"/>
              <w:autoSpaceDE w:val="0"/>
              <w:autoSpaceDN w:val="0"/>
              <w:adjustRightInd w:val="0"/>
              <w:snapToGrid w:val="0"/>
              <w:spacing w:before="152" w:line="183" w:lineRule="auto"/>
              <w:ind w:left="28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4.4</w:t>
            </w:r>
          </w:p>
        </w:tc>
        <w:tc>
          <w:tcPr>
            <w:tcW w:w="3003" w:type="dxa"/>
            <w:vAlign w:val="top"/>
          </w:tcPr>
          <w:p w14:paraId="4F7A637C">
            <w:pPr>
              <w:kinsoku w:val="0"/>
              <w:autoSpaceDE w:val="0"/>
              <w:autoSpaceDN w:val="0"/>
              <w:adjustRightInd w:val="0"/>
              <w:snapToGrid w:val="0"/>
              <w:spacing w:before="121" w:line="216" w:lineRule="auto"/>
              <w:ind w:left="45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门诊楼屋面防水维修</w:t>
            </w:r>
          </w:p>
        </w:tc>
        <w:tc>
          <w:tcPr>
            <w:tcW w:w="625" w:type="dxa"/>
            <w:vAlign w:val="top"/>
          </w:tcPr>
          <w:p w14:paraId="436760B5">
            <w:pPr>
              <w:widowControl/>
              <w:kinsoku w:val="0"/>
              <w:autoSpaceDE w:val="0"/>
              <w:autoSpaceDN w:val="0"/>
              <w:adjustRightInd w:val="0"/>
              <w:snapToGrid w:val="0"/>
              <w:spacing w:before="182" w:line="205" w:lineRule="auto"/>
              <w:ind w:left="1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w:t>
            </w:r>
          </w:p>
        </w:tc>
        <w:tc>
          <w:tcPr>
            <w:tcW w:w="1213" w:type="dxa"/>
            <w:vAlign w:val="top"/>
          </w:tcPr>
          <w:p w14:paraId="0C2BD853">
            <w:pPr>
              <w:kinsoku w:val="0"/>
              <w:autoSpaceDE w:val="0"/>
              <w:autoSpaceDN w:val="0"/>
              <w:adjustRightInd w:val="0"/>
              <w:snapToGrid w:val="0"/>
              <w:spacing w:before="214" w:line="180" w:lineRule="auto"/>
              <w:ind w:left="21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1000.00</w:t>
            </w:r>
          </w:p>
        </w:tc>
        <w:tc>
          <w:tcPr>
            <w:tcW w:w="2589" w:type="dxa"/>
            <w:vAlign w:val="top"/>
          </w:tcPr>
          <w:p w14:paraId="0374A1F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AF51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36A6DFC6">
            <w:pPr>
              <w:kinsoku w:val="0"/>
              <w:autoSpaceDE w:val="0"/>
              <w:autoSpaceDN w:val="0"/>
              <w:adjustRightInd w:val="0"/>
              <w:snapToGrid w:val="0"/>
              <w:spacing w:before="151" w:line="181" w:lineRule="auto"/>
              <w:ind w:left="41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3"/>
                <w:kern w:val="0"/>
                <w:sz w:val="24"/>
                <w:szCs w:val="24"/>
                <w:lang w:val="en-US" w:eastAsia="en-US" w:bidi="ar-SA"/>
              </w:rPr>
              <w:t>6</w:t>
            </w:r>
          </w:p>
        </w:tc>
        <w:tc>
          <w:tcPr>
            <w:tcW w:w="3003" w:type="dxa"/>
            <w:vAlign w:val="top"/>
          </w:tcPr>
          <w:p w14:paraId="0AAA2D4F">
            <w:pPr>
              <w:kinsoku w:val="0"/>
              <w:autoSpaceDE w:val="0"/>
              <w:autoSpaceDN w:val="0"/>
              <w:adjustRightInd w:val="0"/>
              <w:snapToGrid w:val="0"/>
              <w:spacing w:before="120" w:line="217" w:lineRule="auto"/>
              <w:ind w:left="3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5"/>
                <w:kern w:val="0"/>
                <w:sz w:val="24"/>
                <w:szCs w:val="24"/>
                <w:lang w:val="en-US" w:eastAsia="en-US" w:bidi="ar-SA"/>
              </w:rPr>
              <w:t>院区道路及室外照明</w:t>
            </w:r>
          </w:p>
        </w:tc>
        <w:tc>
          <w:tcPr>
            <w:tcW w:w="625" w:type="dxa"/>
            <w:vAlign w:val="top"/>
          </w:tcPr>
          <w:p w14:paraId="76621BD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13" w:type="dxa"/>
            <w:vAlign w:val="top"/>
          </w:tcPr>
          <w:p w14:paraId="69FB0D3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589" w:type="dxa"/>
            <w:vAlign w:val="top"/>
          </w:tcPr>
          <w:p w14:paraId="0B2D6E3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9FA0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910" w:type="dxa"/>
            <w:vAlign w:val="top"/>
          </w:tcPr>
          <w:p w14:paraId="1646A1EC">
            <w:pPr>
              <w:kinsoku w:val="0"/>
              <w:autoSpaceDE w:val="0"/>
              <w:autoSpaceDN w:val="0"/>
              <w:adjustRightInd w:val="0"/>
              <w:snapToGrid w:val="0"/>
              <w:spacing w:before="153"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6.1</w:t>
            </w:r>
          </w:p>
        </w:tc>
        <w:tc>
          <w:tcPr>
            <w:tcW w:w="3003" w:type="dxa"/>
            <w:vAlign w:val="top"/>
          </w:tcPr>
          <w:p w14:paraId="234A0684">
            <w:pPr>
              <w:kinsoku w:val="0"/>
              <w:autoSpaceDE w:val="0"/>
              <w:autoSpaceDN w:val="0"/>
              <w:adjustRightInd w:val="0"/>
              <w:snapToGrid w:val="0"/>
              <w:spacing w:before="121" w:line="217" w:lineRule="auto"/>
              <w:ind w:left="102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道路硬化</w:t>
            </w:r>
          </w:p>
        </w:tc>
        <w:tc>
          <w:tcPr>
            <w:tcW w:w="625" w:type="dxa"/>
            <w:vAlign w:val="top"/>
          </w:tcPr>
          <w:p w14:paraId="6327A213">
            <w:pPr>
              <w:widowControl/>
              <w:kinsoku w:val="0"/>
              <w:autoSpaceDE w:val="0"/>
              <w:autoSpaceDN w:val="0"/>
              <w:adjustRightInd w:val="0"/>
              <w:snapToGrid w:val="0"/>
              <w:spacing w:before="183" w:line="206" w:lineRule="auto"/>
              <w:ind w:left="1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w:t>
            </w:r>
          </w:p>
        </w:tc>
        <w:tc>
          <w:tcPr>
            <w:tcW w:w="1213" w:type="dxa"/>
            <w:vAlign w:val="top"/>
          </w:tcPr>
          <w:p w14:paraId="789A168D">
            <w:pPr>
              <w:kinsoku w:val="0"/>
              <w:autoSpaceDE w:val="0"/>
              <w:autoSpaceDN w:val="0"/>
              <w:adjustRightInd w:val="0"/>
              <w:snapToGrid w:val="0"/>
              <w:spacing w:before="215" w:line="181" w:lineRule="auto"/>
              <w:ind w:left="20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7500.00</w:t>
            </w:r>
          </w:p>
        </w:tc>
        <w:tc>
          <w:tcPr>
            <w:tcW w:w="2589" w:type="dxa"/>
            <w:vAlign w:val="top"/>
          </w:tcPr>
          <w:p w14:paraId="4372BF3E">
            <w:pPr>
              <w:kinsoku w:val="0"/>
              <w:autoSpaceDE w:val="0"/>
              <w:autoSpaceDN w:val="0"/>
              <w:adjustRightInd w:val="0"/>
              <w:snapToGrid w:val="0"/>
              <w:spacing w:before="184" w:line="205" w:lineRule="auto"/>
              <w:ind w:left="83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沥青路面</w:t>
            </w:r>
          </w:p>
        </w:tc>
      </w:tr>
      <w:tr w14:paraId="6B3E1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10" w:type="dxa"/>
            <w:vAlign w:val="top"/>
          </w:tcPr>
          <w:p w14:paraId="731E5B56">
            <w:pPr>
              <w:kinsoku w:val="0"/>
              <w:autoSpaceDE w:val="0"/>
              <w:autoSpaceDN w:val="0"/>
              <w:adjustRightInd w:val="0"/>
              <w:snapToGrid w:val="0"/>
              <w:spacing w:before="150"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6.2</w:t>
            </w:r>
          </w:p>
        </w:tc>
        <w:tc>
          <w:tcPr>
            <w:tcW w:w="3003" w:type="dxa"/>
            <w:vAlign w:val="top"/>
          </w:tcPr>
          <w:p w14:paraId="177CDBB9">
            <w:pPr>
              <w:kinsoku w:val="0"/>
              <w:autoSpaceDE w:val="0"/>
              <w:autoSpaceDN w:val="0"/>
              <w:adjustRightInd w:val="0"/>
              <w:snapToGrid w:val="0"/>
              <w:spacing w:before="119" w:line="218" w:lineRule="auto"/>
              <w:ind w:left="104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室外照明</w:t>
            </w:r>
          </w:p>
        </w:tc>
        <w:tc>
          <w:tcPr>
            <w:tcW w:w="625" w:type="dxa"/>
            <w:vAlign w:val="top"/>
          </w:tcPr>
          <w:p w14:paraId="5B49D2D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13" w:type="dxa"/>
            <w:vAlign w:val="top"/>
          </w:tcPr>
          <w:p w14:paraId="231F73C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589" w:type="dxa"/>
            <w:vAlign w:val="top"/>
          </w:tcPr>
          <w:p w14:paraId="6223DF1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AB53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10" w:type="dxa"/>
            <w:vAlign w:val="top"/>
          </w:tcPr>
          <w:p w14:paraId="597BA933">
            <w:pPr>
              <w:kinsoku w:val="0"/>
              <w:autoSpaceDE w:val="0"/>
              <w:autoSpaceDN w:val="0"/>
              <w:adjustRightInd w:val="0"/>
              <w:snapToGrid w:val="0"/>
              <w:spacing w:before="242"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6.3</w:t>
            </w:r>
          </w:p>
        </w:tc>
        <w:tc>
          <w:tcPr>
            <w:tcW w:w="3003" w:type="dxa"/>
            <w:vAlign w:val="top"/>
          </w:tcPr>
          <w:p w14:paraId="7D9D4E67">
            <w:pPr>
              <w:kinsoku w:val="0"/>
              <w:autoSpaceDE w:val="0"/>
              <w:autoSpaceDN w:val="0"/>
              <w:adjustRightInd w:val="0"/>
              <w:snapToGrid w:val="0"/>
              <w:spacing w:before="210" w:line="217" w:lineRule="auto"/>
              <w:ind w:left="114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庭院灯</w:t>
            </w:r>
          </w:p>
        </w:tc>
        <w:tc>
          <w:tcPr>
            <w:tcW w:w="625" w:type="dxa"/>
            <w:vAlign w:val="top"/>
          </w:tcPr>
          <w:p w14:paraId="0A360DF5">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14:paraId="3D56F38F">
            <w:pPr>
              <w:kinsoku w:val="0"/>
              <w:autoSpaceDE w:val="0"/>
              <w:autoSpaceDN w:val="0"/>
              <w:adjustRightInd w:val="0"/>
              <w:snapToGrid w:val="0"/>
              <w:spacing w:before="78" w:line="207" w:lineRule="auto"/>
              <w:ind w:left="20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盏</w:t>
            </w:r>
          </w:p>
        </w:tc>
        <w:tc>
          <w:tcPr>
            <w:tcW w:w="1213" w:type="dxa"/>
            <w:vAlign w:val="top"/>
          </w:tcPr>
          <w:p w14:paraId="47868BF5">
            <w:pPr>
              <w:widowControl/>
              <w:kinsoku w:val="0"/>
              <w:autoSpaceDE w:val="0"/>
              <w:autoSpaceDN w:val="0"/>
              <w:adjustRightInd w:val="0"/>
              <w:snapToGrid w:val="0"/>
              <w:spacing w:line="315" w:lineRule="auto"/>
              <w:jc w:val="left"/>
              <w:textAlignment w:val="baseline"/>
              <w:rPr>
                <w:rFonts w:ascii="Arial" w:hAnsi="Arial" w:eastAsia="Arial" w:cs="Arial"/>
                <w:snapToGrid w:val="0"/>
                <w:color w:val="000000"/>
                <w:kern w:val="0"/>
                <w:sz w:val="21"/>
                <w:szCs w:val="21"/>
                <w:lang w:eastAsia="en-US"/>
              </w:rPr>
            </w:pPr>
          </w:p>
          <w:p w14:paraId="6CAE2FF4">
            <w:pPr>
              <w:kinsoku w:val="0"/>
              <w:autoSpaceDE w:val="0"/>
              <w:autoSpaceDN w:val="0"/>
              <w:adjustRightInd w:val="0"/>
              <w:snapToGrid w:val="0"/>
              <w:spacing w:before="78" w:line="183" w:lineRule="auto"/>
              <w:ind w:left="32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50.00</w:t>
            </w:r>
          </w:p>
        </w:tc>
        <w:tc>
          <w:tcPr>
            <w:tcW w:w="2589" w:type="dxa"/>
            <w:vAlign w:val="top"/>
          </w:tcPr>
          <w:p w14:paraId="631D3764">
            <w:pPr>
              <w:kinsoku w:val="0"/>
              <w:autoSpaceDE w:val="0"/>
              <w:autoSpaceDN w:val="0"/>
              <w:adjustRightInd w:val="0"/>
              <w:snapToGrid w:val="0"/>
              <w:spacing w:before="51" w:line="224" w:lineRule="auto"/>
              <w:ind w:left="979" w:right="49" w:hanging="94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100W(配</w:t>
            </w:r>
            <w:r>
              <w:rPr>
                <w:rFonts w:ascii="仿宋" w:hAnsi="仿宋" w:eastAsia="仿宋" w:cs="仿宋"/>
                <w:snapToGrid w:val="0"/>
                <w:color w:val="000000"/>
                <w:spacing w:val="-44"/>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LED</w:t>
            </w:r>
            <w:r>
              <w:rPr>
                <w:rFonts w:ascii="仿宋" w:hAnsi="仿宋" w:eastAsia="仿宋" w:cs="仿宋"/>
                <w:snapToGrid w:val="0"/>
                <w:color w:val="000000"/>
                <w:spacing w:val="-42"/>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灯),灯杆高</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4.2</w:t>
            </w:r>
            <w:r>
              <w:rPr>
                <w:rFonts w:ascii="仿宋" w:hAnsi="仿宋" w:eastAsia="仿宋" w:cs="仿宋"/>
                <w:snapToGrid w:val="0"/>
                <w:color w:val="000000"/>
                <w:spacing w:val="-43"/>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米</w:t>
            </w:r>
          </w:p>
        </w:tc>
      </w:tr>
      <w:tr w14:paraId="15347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55620A73">
            <w:pPr>
              <w:kinsoku w:val="0"/>
              <w:autoSpaceDE w:val="0"/>
              <w:autoSpaceDN w:val="0"/>
              <w:adjustRightInd w:val="0"/>
              <w:snapToGrid w:val="0"/>
              <w:spacing w:before="147"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6.4</w:t>
            </w:r>
          </w:p>
        </w:tc>
        <w:tc>
          <w:tcPr>
            <w:tcW w:w="3003" w:type="dxa"/>
            <w:vAlign w:val="top"/>
          </w:tcPr>
          <w:p w14:paraId="2201E7C1">
            <w:pPr>
              <w:kinsoku w:val="0"/>
              <w:autoSpaceDE w:val="0"/>
              <w:autoSpaceDN w:val="0"/>
              <w:adjustRightInd w:val="0"/>
              <w:snapToGrid w:val="0"/>
              <w:spacing w:before="116" w:line="218" w:lineRule="auto"/>
              <w:ind w:left="104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照明线路</w:t>
            </w:r>
          </w:p>
        </w:tc>
        <w:tc>
          <w:tcPr>
            <w:tcW w:w="625" w:type="dxa"/>
            <w:vAlign w:val="top"/>
          </w:tcPr>
          <w:p w14:paraId="14A36FDF">
            <w:pPr>
              <w:kinsoku w:val="0"/>
              <w:autoSpaceDE w:val="0"/>
              <w:autoSpaceDN w:val="0"/>
              <w:adjustRightInd w:val="0"/>
              <w:snapToGrid w:val="0"/>
              <w:spacing w:before="262" w:line="181" w:lineRule="exact"/>
              <w:ind w:left="2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m</w:t>
            </w:r>
          </w:p>
        </w:tc>
        <w:tc>
          <w:tcPr>
            <w:tcW w:w="1213" w:type="dxa"/>
            <w:vAlign w:val="top"/>
          </w:tcPr>
          <w:p w14:paraId="7459A307">
            <w:pPr>
              <w:kinsoku w:val="0"/>
              <w:autoSpaceDE w:val="0"/>
              <w:autoSpaceDN w:val="0"/>
              <w:adjustRightInd w:val="0"/>
              <w:snapToGrid w:val="0"/>
              <w:spacing w:before="209" w:line="183" w:lineRule="auto"/>
              <w:ind w:left="26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875.00</w:t>
            </w:r>
          </w:p>
        </w:tc>
        <w:tc>
          <w:tcPr>
            <w:tcW w:w="2589" w:type="dxa"/>
            <w:vAlign w:val="top"/>
          </w:tcPr>
          <w:p w14:paraId="6508B83C">
            <w:pPr>
              <w:kinsoku w:val="0"/>
              <w:autoSpaceDE w:val="0"/>
              <w:autoSpaceDN w:val="0"/>
              <w:adjustRightInd w:val="0"/>
              <w:snapToGrid w:val="0"/>
              <w:spacing w:before="178" w:line="208" w:lineRule="auto"/>
              <w:ind w:left="106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直埋</w:t>
            </w:r>
          </w:p>
        </w:tc>
      </w:tr>
      <w:tr w14:paraId="7221F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10" w:type="dxa"/>
            <w:vAlign w:val="top"/>
          </w:tcPr>
          <w:p w14:paraId="56A15FF0">
            <w:pPr>
              <w:kinsoku w:val="0"/>
              <w:autoSpaceDE w:val="0"/>
              <w:autoSpaceDN w:val="0"/>
              <w:adjustRightInd w:val="0"/>
              <w:snapToGrid w:val="0"/>
              <w:spacing w:before="240"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6.5</w:t>
            </w:r>
          </w:p>
        </w:tc>
        <w:tc>
          <w:tcPr>
            <w:tcW w:w="3003" w:type="dxa"/>
            <w:vAlign w:val="top"/>
          </w:tcPr>
          <w:p w14:paraId="6770B0FC">
            <w:pPr>
              <w:kinsoku w:val="0"/>
              <w:autoSpaceDE w:val="0"/>
              <w:autoSpaceDN w:val="0"/>
              <w:adjustRightInd w:val="0"/>
              <w:snapToGrid w:val="0"/>
              <w:spacing w:before="54" w:line="223" w:lineRule="auto"/>
              <w:ind w:left="914" w:right="180" w:hanging="72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核磁设备间室外电力电缆</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4*185+1*95</w:t>
            </w:r>
          </w:p>
        </w:tc>
        <w:tc>
          <w:tcPr>
            <w:tcW w:w="625" w:type="dxa"/>
            <w:vAlign w:val="top"/>
          </w:tcPr>
          <w:p w14:paraId="36ABBE8B">
            <w:pPr>
              <w:widowControl/>
              <w:kinsoku w:val="0"/>
              <w:autoSpaceDE w:val="0"/>
              <w:autoSpaceDN w:val="0"/>
              <w:adjustRightInd w:val="0"/>
              <w:snapToGrid w:val="0"/>
              <w:spacing w:line="368" w:lineRule="auto"/>
              <w:jc w:val="left"/>
              <w:textAlignment w:val="baseline"/>
              <w:rPr>
                <w:rFonts w:ascii="Arial" w:hAnsi="Arial" w:eastAsia="Arial" w:cs="Arial"/>
                <w:snapToGrid w:val="0"/>
                <w:color w:val="000000"/>
                <w:kern w:val="0"/>
                <w:sz w:val="21"/>
                <w:szCs w:val="21"/>
                <w:lang w:eastAsia="en-US"/>
              </w:rPr>
            </w:pPr>
          </w:p>
          <w:p w14:paraId="7D199A40">
            <w:pPr>
              <w:kinsoku w:val="0"/>
              <w:autoSpaceDE w:val="0"/>
              <w:autoSpaceDN w:val="0"/>
              <w:adjustRightInd w:val="0"/>
              <w:snapToGrid w:val="0"/>
              <w:spacing w:before="78" w:line="181" w:lineRule="exact"/>
              <w:ind w:left="2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m</w:t>
            </w:r>
          </w:p>
        </w:tc>
        <w:tc>
          <w:tcPr>
            <w:tcW w:w="1213" w:type="dxa"/>
            <w:vAlign w:val="top"/>
          </w:tcPr>
          <w:p w14:paraId="207C90BA">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14:paraId="39668744">
            <w:pPr>
              <w:kinsoku w:val="0"/>
              <w:autoSpaceDE w:val="0"/>
              <w:autoSpaceDN w:val="0"/>
              <w:adjustRightInd w:val="0"/>
              <w:snapToGrid w:val="0"/>
              <w:spacing w:before="78" w:line="181" w:lineRule="auto"/>
              <w:ind w:left="44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460</w:t>
            </w:r>
          </w:p>
        </w:tc>
        <w:tc>
          <w:tcPr>
            <w:tcW w:w="2589" w:type="dxa"/>
            <w:vAlign w:val="top"/>
          </w:tcPr>
          <w:p w14:paraId="53BE292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00E2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10" w:type="dxa"/>
            <w:vAlign w:val="top"/>
          </w:tcPr>
          <w:p w14:paraId="637687D9">
            <w:pPr>
              <w:kinsoku w:val="0"/>
              <w:autoSpaceDE w:val="0"/>
              <w:autoSpaceDN w:val="0"/>
              <w:adjustRightInd w:val="0"/>
              <w:snapToGrid w:val="0"/>
              <w:spacing w:before="241"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6.6</w:t>
            </w:r>
          </w:p>
        </w:tc>
        <w:tc>
          <w:tcPr>
            <w:tcW w:w="3003" w:type="dxa"/>
            <w:vAlign w:val="top"/>
          </w:tcPr>
          <w:p w14:paraId="60A0B8DC">
            <w:pPr>
              <w:kinsoku w:val="0"/>
              <w:autoSpaceDE w:val="0"/>
              <w:autoSpaceDN w:val="0"/>
              <w:adjustRightInd w:val="0"/>
              <w:snapToGrid w:val="0"/>
              <w:spacing w:before="54" w:line="223" w:lineRule="auto"/>
              <w:ind w:left="915" w:right="509" w:hanging="39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CT</w:t>
            </w:r>
            <w:r>
              <w:rPr>
                <w:rFonts w:ascii="仿宋" w:hAnsi="仿宋" w:eastAsia="仿宋" w:cs="仿宋"/>
                <w:snapToGrid w:val="0"/>
                <w:color w:val="000000"/>
                <w:spacing w:val="-53"/>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机室外电力电缆</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4*150+1*70</w:t>
            </w:r>
          </w:p>
        </w:tc>
        <w:tc>
          <w:tcPr>
            <w:tcW w:w="625" w:type="dxa"/>
            <w:vAlign w:val="top"/>
          </w:tcPr>
          <w:p w14:paraId="3D250E7A">
            <w:pPr>
              <w:widowControl/>
              <w:kinsoku w:val="0"/>
              <w:autoSpaceDE w:val="0"/>
              <w:autoSpaceDN w:val="0"/>
              <w:adjustRightInd w:val="0"/>
              <w:snapToGrid w:val="0"/>
              <w:spacing w:line="367" w:lineRule="auto"/>
              <w:jc w:val="left"/>
              <w:textAlignment w:val="baseline"/>
              <w:rPr>
                <w:rFonts w:ascii="Arial" w:hAnsi="Arial" w:eastAsia="Arial" w:cs="Arial"/>
                <w:snapToGrid w:val="0"/>
                <w:color w:val="000000"/>
                <w:kern w:val="0"/>
                <w:sz w:val="21"/>
                <w:szCs w:val="21"/>
                <w:lang w:eastAsia="en-US"/>
              </w:rPr>
            </w:pPr>
          </w:p>
          <w:p w14:paraId="0CA474A8">
            <w:pPr>
              <w:kinsoku w:val="0"/>
              <w:autoSpaceDE w:val="0"/>
              <w:autoSpaceDN w:val="0"/>
              <w:adjustRightInd w:val="0"/>
              <w:snapToGrid w:val="0"/>
              <w:spacing w:before="78" w:line="181" w:lineRule="exact"/>
              <w:ind w:left="2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m</w:t>
            </w:r>
          </w:p>
        </w:tc>
        <w:tc>
          <w:tcPr>
            <w:tcW w:w="1213" w:type="dxa"/>
            <w:vAlign w:val="top"/>
          </w:tcPr>
          <w:p w14:paraId="4AF2F121">
            <w:pPr>
              <w:widowControl/>
              <w:kinsoku w:val="0"/>
              <w:autoSpaceDE w:val="0"/>
              <w:autoSpaceDN w:val="0"/>
              <w:adjustRightInd w:val="0"/>
              <w:snapToGrid w:val="0"/>
              <w:spacing w:line="315" w:lineRule="auto"/>
              <w:jc w:val="left"/>
              <w:textAlignment w:val="baseline"/>
              <w:rPr>
                <w:rFonts w:ascii="Arial" w:hAnsi="Arial" w:eastAsia="Arial" w:cs="Arial"/>
                <w:snapToGrid w:val="0"/>
                <w:color w:val="000000"/>
                <w:kern w:val="0"/>
                <w:sz w:val="21"/>
                <w:szCs w:val="21"/>
                <w:lang w:eastAsia="en-US"/>
              </w:rPr>
            </w:pPr>
          </w:p>
          <w:p w14:paraId="06F2FDA3">
            <w:pPr>
              <w:kinsoku w:val="0"/>
              <w:autoSpaceDE w:val="0"/>
              <w:autoSpaceDN w:val="0"/>
              <w:adjustRightInd w:val="0"/>
              <w:snapToGrid w:val="0"/>
              <w:spacing w:before="78" w:line="181" w:lineRule="auto"/>
              <w:ind w:left="45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300</w:t>
            </w:r>
          </w:p>
        </w:tc>
        <w:tc>
          <w:tcPr>
            <w:tcW w:w="2589" w:type="dxa"/>
            <w:vAlign w:val="top"/>
          </w:tcPr>
          <w:p w14:paraId="087EB3E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720E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10" w:type="dxa"/>
            <w:vAlign w:val="top"/>
          </w:tcPr>
          <w:p w14:paraId="6CD2E5EC">
            <w:pPr>
              <w:kinsoku w:val="0"/>
              <w:autoSpaceDE w:val="0"/>
              <w:autoSpaceDN w:val="0"/>
              <w:adjustRightInd w:val="0"/>
              <w:snapToGrid w:val="0"/>
              <w:spacing w:before="240"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6.7</w:t>
            </w:r>
          </w:p>
        </w:tc>
        <w:tc>
          <w:tcPr>
            <w:tcW w:w="3003" w:type="dxa"/>
            <w:vAlign w:val="top"/>
          </w:tcPr>
          <w:p w14:paraId="0D2106FE">
            <w:pPr>
              <w:kinsoku w:val="0"/>
              <w:autoSpaceDE w:val="0"/>
              <w:autoSpaceDN w:val="0"/>
              <w:adjustRightInd w:val="0"/>
              <w:snapToGrid w:val="0"/>
              <w:spacing w:before="54" w:line="223" w:lineRule="auto"/>
              <w:ind w:left="915" w:right="509" w:hanging="39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CT</w:t>
            </w:r>
            <w:r>
              <w:rPr>
                <w:rFonts w:ascii="仿宋" w:hAnsi="仿宋" w:eastAsia="仿宋" w:cs="仿宋"/>
                <w:snapToGrid w:val="0"/>
                <w:color w:val="000000"/>
                <w:spacing w:val="-53"/>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机室外电力电缆</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4*120+1*70</w:t>
            </w:r>
          </w:p>
        </w:tc>
        <w:tc>
          <w:tcPr>
            <w:tcW w:w="625" w:type="dxa"/>
            <w:vAlign w:val="top"/>
          </w:tcPr>
          <w:p w14:paraId="7D6145E0">
            <w:pPr>
              <w:widowControl/>
              <w:kinsoku w:val="0"/>
              <w:autoSpaceDE w:val="0"/>
              <w:autoSpaceDN w:val="0"/>
              <w:adjustRightInd w:val="0"/>
              <w:snapToGrid w:val="0"/>
              <w:spacing w:line="368" w:lineRule="auto"/>
              <w:jc w:val="left"/>
              <w:textAlignment w:val="baseline"/>
              <w:rPr>
                <w:rFonts w:ascii="Arial" w:hAnsi="Arial" w:eastAsia="Arial" w:cs="Arial"/>
                <w:snapToGrid w:val="0"/>
                <w:color w:val="000000"/>
                <w:kern w:val="0"/>
                <w:sz w:val="21"/>
                <w:szCs w:val="21"/>
                <w:lang w:eastAsia="en-US"/>
              </w:rPr>
            </w:pPr>
          </w:p>
          <w:p w14:paraId="0E77522A">
            <w:pPr>
              <w:kinsoku w:val="0"/>
              <w:autoSpaceDE w:val="0"/>
              <w:autoSpaceDN w:val="0"/>
              <w:adjustRightInd w:val="0"/>
              <w:snapToGrid w:val="0"/>
              <w:spacing w:before="78" w:line="181" w:lineRule="exact"/>
              <w:ind w:left="2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m</w:t>
            </w:r>
          </w:p>
        </w:tc>
        <w:tc>
          <w:tcPr>
            <w:tcW w:w="1213" w:type="dxa"/>
            <w:vAlign w:val="top"/>
          </w:tcPr>
          <w:p w14:paraId="7ABC5D76">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14:paraId="1114FBC5">
            <w:pPr>
              <w:kinsoku w:val="0"/>
              <w:autoSpaceDE w:val="0"/>
              <w:autoSpaceDN w:val="0"/>
              <w:adjustRightInd w:val="0"/>
              <w:snapToGrid w:val="0"/>
              <w:spacing w:before="78" w:line="181" w:lineRule="auto"/>
              <w:ind w:left="45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300</w:t>
            </w:r>
          </w:p>
        </w:tc>
        <w:tc>
          <w:tcPr>
            <w:tcW w:w="2589" w:type="dxa"/>
            <w:vAlign w:val="top"/>
          </w:tcPr>
          <w:p w14:paraId="3C476C5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8739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5A697516">
            <w:pPr>
              <w:kinsoku w:val="0"/>
              <w:autoSpaceDE w:val="0"/>
              <w:autoSpaceDN w:val="0"/>
              <w:adjustRightInd w:val="0"/>
              <w:snapToGrid w:val="0"/>
              <w:spacing w:before="152" w:line="178" w:lineRule="auto"/>
              <w:ind w:left="41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3"/>
                <w:kern w:val="0"/>
                <w:sz w:val="24"/>
                <w:szCs w:val="24"/>
                <w:lang w:val="en-US" w:eastAsia="en-US" w:bidi="ar-SA"/>
              </w:rPr>
              <w:t>7</w:t>
            </w:r>
          </w:p>
        </w:tc>
        <w:tc>
          <w:tcPr>
            <w:tcW w:w="3003" w:type="dxa"/>
            <w:vAlign w:val="top"/>
          </w:tcPr>
          <w:p w14:paraId="75ADCC12">
            <w:pPr>
              <w:kinsoku w:val="0"/>
              <w:autoSpaceDE w:val="0"/>
              <w:autoSpaceDN w:val="0"/>
              <w:adjustRightInd w:val="0"/>
              <w:snapToGrid w:val="0"/>
              <w:spacing w:before="117" w:line="216" w:lineRule="auto"/>
              <w:ind w:left="4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门诊楼消防控制室改造</w:t>
            </w:r>
          </w:p>
        </w:tc>
        <w:tc>
          <w:tcPr>
            <w:tcW w:w="625" w:type="dxa"/>
            <w:vAlign w:val="top"/>
          </w:tcPr>
          <w:p w14:paraId="1C1A3BA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13" w:type="dxa"/>
            <w:vAlign w:val="top"/>
          </w:tcPr>
          <w:p w14:paraId="676A5F2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589" w:type="dxa"/>
            <w:vAlign w:val="top"/>
          </w:tcPr>
          <w:p w14:paraId="2461FF7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A89B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10" w:type="dxa"/>
            <w:vAlign w:val="top"/>
          </w:tcPr>
          <w:p w14:paraId="10EFD0E6">
            <w:pPr>
              <w:kinsoku w:val="0"/>
              <w:autoSpaceDE w:val="0"/>
              <w:autoSpaceDN w:val="0"/>
              <w:adjustRightInd w:val="0"/>
              <w:snapToGrid w:val="0"/>
              <w:spacing w:before="147"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7.1</w:t>
            </w:r>
          </w:p>
        </w:tc>
        <w:tc>
          <w:tcPr>
            <w:tcW w:w="3003" w:type="dxa"/>
            <w:vAlign w:val="top"/>
          </w:tcPr>
          <w:p w14:paraId="34455940">
            <w:pPr>
              <w:kinsoku w:val="0"/>
              <w:autoSpaceDE w:val="0"/>
              <w:autoSpaceDN w:val="0"/>
              <w:adjustRightInd w:val="0"/>
              <w:snapToGrid w:val="0"/>
              <w:spacing w:before="116" w:line="216" w:lineRule="auto"/>
              <w:ind w:left="7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消防控制室--建筑装饰工程</w:t>
            </w:r>
          </w:p>
        </w:tc>
        <w:tc>
          <w:tcPr>
            <w:tcW w:w="625" w:type="dxa"/>
            <w:vAlign w:val="top"/>
          </w:tcPr>
          <w:p w14:paraId="1A4A151F">
            <w:pPr>
              <w:widowControl/>
              <w:kinsoku w:val="0"/>
              <w:autoSpaceDE w:val="0"/>
              <w:autoSpaceDN w:val="0"/>
              <w:adjustRightInd w:val="0"/>
              <w:snapToGrid w:val="0"/>
              <w:spacing w:before="177" w:line="209" w:lineRule="auto"/>
              <w:ind w:left="1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w:t>
            </w:r>
          </w:p>
        </w:tc>
        <w:tc>
          <w:tcPr>
            <w:tcW w:w="1213" w:type="dxa"/>
            <w:vAlign w:val="top"/>
          </w:tcPr>
          <w:p w14:paraId="225B21D3">
            <w:pPr>
              <w:kinsoku w:val="0"/>
              <w:autoSpaceDE w:val="0"/>
              <w:autoSpaceDN w:val="0"/>
              <w:adjustRightInd w:val="0"/>
              <w:snapToGrid w:val="0"/>
              <w:spacing w:before="210" w:line="183" w:lineRule="auto"/>
              <w:ind w:left="3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60.00</w:t>
            </w:r>
          </w:p>
        </w:tc>
        <w:tc>
          <w:tcPr>
            <w:tcW w:w="2589" w:type="dxa"/>
            <w:vAlign w:val="top"/>
          </w:tcPr>
          <w:p w14:paraId="3F47042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CD3B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10" w:type="dxa"/>
            <w:vAlign w:val="top"/>
          </w:tcPr>
          <w:p w14:paraId="0288BCD9">
            <w:pPr>
              <w:kinsoku w:val="0"/>
              <w:autoSpaceDE w:val="0"/>
              <w:autoSpaceDN w:val="0"/>
              <w:adjustRightInd w:val="0"/>
              <w:snapToGrid w:val="0"/>
              <w:spacing w:before="240"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7.2</w:t>
            </w:r>
          </w:p>
        </w:tc>
        <w:tc>
          <w:tcPr>
            <w:tcW w:w="3003" w:type="dxa"/>
            <w:vAlign w:val="top"/>
          </w:tcPr>
          <w:p w14:paraId="3DE04B6C">
            <w:pPr>
              <w:kinsoku w:val="0"/>
              <w:autoSpaceDE w:val="0"/>
              <w:autoSpaceDN w:val="0"/>
              <w:adjustRightInd w:val="0"/>
              <w:snapToGrid w:val="0"/>
              <w:spacing w:before="49" w:line="225" w:lineRule="auto"/>
              <w:ind w:left="1389" w:right="60" w:hanging="129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门诊楼火灾自动报警系统改</w:t>
            </w:r>
            <w:r>
              <w:rPr>
                <w:rFonts w:ascii="仿宋" w:hAnsi="仿宋" w:eastAsia="仿宋" w:cs="仿宋"/>
                <w:snapToGrid w:val="0"/>
                <w:color w:val="000000"/>
                <w:spacing w:val="10"/>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造</w:t>
            </w:r>
          </w:p>
        </w:tc>
        <w:tc>
          <w:tcPr>
            <w:tcW w:w="625" w:type="dxa"/>
            <w:vAlign w:val="top"/>
          </w:tcPr>
          <w:p w14:paraId="68D8ED5A">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14:paraId="1FC8A398">
            <w:pPr>
              <w:kinsoku w:val="0"/>
              <w:autoSpaceDE w:val="0"/>
              <w:autoSpaceDN w:val="0"/>
              <w:adjustRightInd w:val="0"/>
              <w:snapToGrid w:val="0"/>
              <w:spacing w:before="78" w:line="207" w:lineRule="auto"/>
              <w:ind w:left="20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项</w:t>
            </w:r>
          </w:p>
        </w:tc>
        <w:tc>
          <w:tcPr>
            <w:tcW w:w="1213" w:type="dxa"/>
            <w:vAlign w:val="top"/>
          </w:tcPr>
          <w:p w14:paraId="68ABA491">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14:paraId="7A76CC41">
            <w:pPr>
              <w:kinsoku w:val="0"/>
              <w:autoSpaceDE w:val="0"/>
              <w:autoSpaceDN w:val="0"/>
              <w:adjustRightInd w:val="0"/>
              <w:snapToGrid w:val="0"/>
              <w:spacing w:before="78" w:line="183" w:lineRule="auto"/>
              <w:ind w:left="39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1.00</w:t>
            </w:r>
          </w:p>
        </w:tc>
        <w:tc>
          <w:tcPr>
            <w:tcW w:w="2589" w:type="dxa"/>
            <w:vAlign w:val="top"/>
          </w:tcPr>
          <w:p w14:paraId="493B6957">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14:paraId="7B87ACE1">
            <w:pPr>
              <w:kinsoku w:val="0"/>
              <w:autoSpaceDE w:val="0"/>
              <w:autoSpaceDN w:val="0"/>
              <w:adjustRightInd w:val="0"/>
              <w:snapToGrid w:val="0"/>
              <w:spacing w:before="78" w:line="207" w:lineRule="auto"/>
              <w:ind w:left="58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详见设备清单</w:t>
            </w:r>
          </w:p>
        </w:tc>
      </w:tr>
      <w:tr w14:paraId="19EAF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0FA1AC44">
            <w:pPr>
              <w:kinsoku w:val="0"/>
              <w:autoSpaceDE w:val="0"/>
              <w:autoSpaceDN w:val="0"/>
              <w:adjustRightInd w:val="0"/>
              <w:snapToGrid w:val="0"/>
              <w:spacing w:before="148" w:line="181" w:lineRule="auto"/>
              <w:ind w:left="41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3"/>
                <w:kern w:val="0"/>
                <w:sz w:val="24"/>
                <w:szCs w:val="24"/>
                <w:lang w:val="en-US" w:eastAsia="en-US" w:bidi="ar-SA"/>
              </w:rPr>
              <w:t>8</w:t>
            </w:r>
          </w:p>
        </w:tc>
        <w:tc>
          <w:tcPr>
            <w:tcW w:w="3003" w:type="dxa"/>
            <w:vAlign w:val="top"/>
          </w:tcPr>
          <w:p w14:paraId="6FCCE4DC">
            <w:pPr>
              <w:kinsoku w:val="0"/>
              <w:autoSpaceDE w:val="0"/>
              <w:autoSpaceDN w:val="0"/>
              <w:adjustRightInd w:val="0"/>
              <w:snapToGrid w:val="0"/>
              <w:spacing w:before="117" w:line="217" w:lineRule="auto"/>
              <w:ind w:left="4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医院安防监控系统改造</w:t>
            </w:r>
          </w:p>
        </w:tc>
        <w:tc>
          <w:tcPr>
            <w:tcW w:w="625" w:type="dxa"/>
            <w:vAlign w:val="top"/>
          </w:tcPr>
          <w:p w14:paraId="63D1F5F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13" w:type="dxa"/>
            <w:vAlign w:val="top"/>
          </w:tcPr>
          <w:p w14:paraId="2F21F97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589" w:type="dxa"/>
            <w:vAlign w:val="top"/>
          </w:tcPr>
          <w:p w14:paraId="3386B5F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D22C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910" w:type="dxa"/>
            <w:vAlign w:val="top"/>
          </w:tcPr>
          <w:p w14:paraId="30C20FC8">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14:paraId="2E010348">
            <w:pPr>
              <w:kinsoku w:val="0"/>
              <w:autoSpaceDE w:val="0"/>
              <w:autoSpaceDN w:val="0"/>
              <w:adjustRightInd w:val="0"/>
              <w:snapToGrid w:val="0"/>
              <w:spacing w:before="78"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8.1</w:t>
            </w:r>
          </w:p>
        </w:tc>
        <w:tc>
          <w:tcPr>
            <w:tcW w:w="3003" w:type="dxa"/>
            <w:vAlign w:val="top"/>
          </w:tcPr>
          <w:p w14:paraId="2A84FD9B">
            <w:pPr>
              <w:widowControl/>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eastAsia="en-US"/>
              </w:rPr>
            </w:pPr>
          </w:p>
          <w:p w14:paraId="4776B3AC">
            <w:pPr>
              <w:kinsoku w:val="0"/>
              <w:autoSpaceDE w:val="0"/>
              <w:autoSpaceDN w:val="0"/>
              <w:adjustRightInd w:val="0"/>
              <w:snapToGrid w:val="0"/>
              <w:spacing w:before="78" w:line="216" w:lineRule="auto"/>
              <w:ind w:left="68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室外新增摄像机</w:t>
            </w:r>
          </w:p>
        </w:tc>
        <w:tc>
          <w:tcPr>
            <w:tcW w:w="625" w:type="dxa"/>
            <w:vAlign w:val="top"/>
          </w:tcPr>
          <w:p w14:paraId="5E807B88">
            <w:pPr>
              <w:widowControl/>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eastAsia="en-US"/>
              </w:rPr>
            </w:pPr>
          </w:p>
          <w:p w14:paraId="426D140C">
            <w:pPr>
              <w:widowControl/>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eastAsia="en-US"/>
              </w:rPr>
            </w:pPr>
          </w:p>
          <w:p w14:paraId="2888D86E">
            <w:pPr>
              <w:kinsoku w:val="0"/>
              <w:autoSpaceDE w:val="0"/>
              <w:autoSpaceDN w:val="0"/>
              <w:adjustRightInd w:val="0"/>
              <w:snapToGrid w:val="0"/>
              <w:spacing w:before="78" w:line="206" w:lineRule="auto"/>
              <w:ind w:left="2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台</w:t>
            </w:r>
          </w:p>
        </w:tc>
        <w:tc>
          <w:tcPr>
            <w:tcW w:w="1213" w:type="dxa"/>
            <w:vAlign w:val="top"/>
          </w:tcPr>
          <w:p w14:paraId="30F2D067">
            <w:pPr>
              <w:widowControl/>
              <w:kinsoku w:val="0"/>
              <w:autoSpaceDE w:val="0"/>
              <w:autoSpaceDN w:val="0"/>
              <w:adjustRightInd w:val="0"/>
              <w:snapToGrid w:val="0"/>
              <w:spacing w:line="313" w:lineRule="auto"/>
              <w:jc w:val="left"/>
              <w:textAlignment w:val="baseline"/>
              <w:rPr>
                <w:rFonts w:ascii="Arial" w:hAnsi="Arial" w:eastAsia="Arial" w:cs="Arial"/>
                <w:snapToGrid w:val="0"/>
                <w:color w:val="000000"/>
                <w:kern w:val="0"/>
                <w:sz w:val="21"/>
                <w:szCs w:val="21"/>
                <w:lang w:eastAsia="en-US"/>
              </w:rPr>
            </w:pPr>
          </w:p>
          <w:p w14:paraId="6AD39B56">
            <w:pPr>
              <w:widowControl/>
              <w:kinsoku w:val="0"/>
              <w:autoSpaceDE w:val="0"/>
              <w:autoSpaceDN w:val="0"/>
              <w:adjustRightInd w:val="0"/>
              <w:snapToGrid w:val="0"/>
              <w:spacing w:line="313" w:lineRule="auto"/>
              <w:jc w:val="left"/>
              <w:textAlignment w:val="baseline"/>
              <w:rPr>
                <w:rFonts w:ascii="Arial" w:hAnsi="Arial" w:eastAsia="Arial" w:cs="Arial"/>
                <w:snapToGrid w:val="0"/>
                <w:color w:val="000000"/>
                <w:kern w:val="0"/>
                <w:sz w:val="21"/>
                <w:szCs w:val="21"/>
                <w:lang w:eastAsia="en-US"/>
              </w:rPr>
            </w:pPr>
          </w:p>
          <w:p w14:paraId="1F69D52C">
            <w:pPr>
              <w:kinsoku w:val="0"/>
              <w:autoSpaceDE w:val="0"/>
              <w:autoSpaceDN w:val="0"/>
              <w:adjustRightInd w:val="0"/>
              <w:snapToGrid w:val="0"/>
              <w:spacing w:before="78" w:line="182" w:lineRule="auto"/>
              <w:ind w:left="38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8.00</w:t>
            </w:r>
          </w:p>
        </w:tc>
        <w:tc>
          <w:tcPr>
            <w:tcW w:w="2589" w:type="dxa"/>
            <w:vAlign w:val="top"/>
          </w:tcPr>
          <w:p w14:paraId="61842CBC">
            <w:pPr>
              <w:kinsoku w:val="0"/>
              <w:autoSpaceDE w:val="0"/>
              <w:autoSpaceDN w:val="0"/>
              <w:adjustRightInd w:val="0"/>
              <w:snapToGrid w:val="0"/>
              <w:spacing w:before="53" w:line="217" w:lineRule="auto"/>
              <w:ind w:left="8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500w</w:t>
            </w:r>
            <w:r>
              <w:rPr>
                <w:rFonts w:ascii="仿宋" w:hAnsi="仿宋" w:eastAsia="仿宋" w:cs="仿宋"/>
                <w:snapToGrid w:val="0"/>
                <w:color w:val="000000"/>
                <w:spacing w:val="-35"/>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室外红外日夜型筒</w:t>
            </w:r>
          </w:p>
          <w:p w14:paraId="12829A4E">
            <w:pPr>
              <w:kinsoku w:val="0"/>
              <w:autoSpaceDE w:val="0"/>
              <w:autoSpaceDN w:val="0"/>
              <w:adjustRightInd w:val="0"/>
              <w:snapToGrid w:val="0"/>
              <w:spacing w:before="29" w:line="215" w:lineRule="auto"/>
              <w:ind w:left="5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型网络摄像机(自带电源</w:t>
            </w:r>
          </w:p>
          <w:p w14:paraId="33EAD5B3">
            <w:pPr>
              <w:kinsoku w:val="0"/>
              <w:autoSpaceDE w:val="0"/>
              <w:autoSpaceDN w:val="0"/>
              <w:adjustRightInd w:val="0"/>
              <w:snapToGrid w:val="0"/>
              <w:spacing w:before="31" w:line="206" w:lineRule="auto"/>
              <w:ind w:left="88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适配器)</w:t>
            </w:r>
          </w:p>
        </w:tc>
      </w:tr>
      <w:tr w14:paraId="61F44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6E72FE9E">
            <w:pPr>
              <w:kinsoku w:val="0"/>
              <w:autoSpaceDE w:val="0"/>
              <w:autoSpaceDN w:val="0"/>
              <w:adjustRightInd w:val="0"/>
              <w:snapToGrid w:val="0"/>
              <w:spacing w:before="149"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8.2</w:t>
            </w:r>
          </w:p>
        </w:tc>
        <w:tc>
          <w:tcPr>
            <w:tcW w:w="3003" w:type="dxa"/>
            <w:vAlign w:val="top"/>
          </w:tcPr>
          <w:p w14:paraId="55E95C20">
            <w:pPr>
              <w:kinsoku w:val="0"/>
              <w:autoSpaceDE w:val="0"/>
              <w:autoSpaceDN w:val="0"/>
              <w:adjustRightInd w:val="0"/>
              <w:snapToGrid w:val="0"/>
              <w:spacing w:before="118" w:line="218" w:lineRule="auto"/>
              <w:ind w:left="80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2"/>
                <w:kern w:val="0"/>
                <w:sz w:val="24"/>
                <w:szCs w:val="24"/>
                <w:lang w:val="en-US" w:eastAsia="en-US" w:bidi="ar-SA"/>
              </w:rPr>
              <w:t>室外</w:t>
            </w:r>
            <w:r>
              <w:rPr>
                <w:rFonts w:ascii="仿宋" w:hAnsi="仿宋" w:eastAsia="仿宋" w:cs="仿宋"/>
                <w:snapToGrid w:val="0"/>
                <w:color w:val="000000"/>
                <w:spacing w:val="-36"/>
                <w:kern w:val="0"/>
                <w:sz w:val="24"/>
                <w:szCs w:val="24"/>
                <w:lang w:val="en-US" w:eastAsia="en-US" w:bidi="ar-SA"/>
              </w:rPr>
              <w:t xml:space="preserve"> </w:t>
            </w:r>
            <w:r>
              <w:rPr>
                <w:rFonts w:ascii="仿宋" w:hAnsi="仿宋" w:eastAsia="仿宋" w:cs="仿宋"/>
                <w:snapToGrid w:val="0"/>
                <w:color w:val="000000"/>
                <w:spacing w:val="-12"/>
                <w:kern w:val="0"/>
                <w:sz w:val="24"/>
                <w:szCs w:val="24"/>
                <w:lang w:val="en-US" w:eastAsia="en-US" w:bidi="ar-SA"/>
              </w:rPr>
              <w:t>6</w:t>
            </w:r>
            <w:r>
              <w:rPr>
                <w:rFonts w:ascii="仿宋" w:hAnsi="仿宋" w:eastAsia="仿宋" w:cs="仿宋"/>
                <w:snapToGrid w:val="0"/>
                <w:color w:val="000000"/>
                <w:spacing w:val="-38"/>
                <w:kern w:val="0"/>
                <w:sz w:val="24"/>
                <w:szCs w:val="24"/>
                <w:lang w:val="en-US" w:eastAsia="en-US" w:bidi="ar-SA"/>
              </w:rPr>
              <w:t xml:space="preserve"> </w:t>
            </w:r>
            <w:r>
              <w:rPr>
                <w:rFonts w:ascii="仿宋" w:hAnsi="仿宋" w:eastAsia="仿宋" w:cs="仿宋"/>
                <w:snapToGrid w:val="0"/>
                <w:color w:val="000000"/>
                <w:spacing w:val="-12"/>
                <w:kern w:val="0"/>
                <w:sz w:val="24"/>
                <w:szCs w:val="24"/>
                <w:lang w:val="en-US" w:eastAsia="en-US" w:bidi="ar-SA"/>
              </w:rPr>
              <w:t>类网线</w:t>
            </w:r>
          </w:p>
        </w:tc>
        <w:tc>
          <w:tcPr>
            <w:tcW w:w="625" w:type="dxa"/>
            <w:vAlign w:val="top"/>
          </w:tcPr>
          <w:p w14:paraId="53DE5DD2">
            <w:pPr>
              <w:kinsoku w:val="0"/>
              <w:autoSpaceDE w:val="0"/>
              <w:autoSpaceDN w:val="0"/>
              <w:adjustRightInd w:val="0"/>
              <w:snapToGrid w:val="0"/>
              <w:spacing w:before="264" w:line="181" w:lineRule="exact"/>
              <w:ind w:left="2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m</w:t>
            </w:r>
          </w:p>
        </w:tc>
        <w:tc>
          <w:tcPr>
            <w:tcW w:w="1213" w:type="dxa"/>
            <w:vAlign w:val="top"/>
          </w:tcPr>
          <w:p w14:paraId="75CAE435">
            <w:pPr>
              <w:kinsoku w:val="0"/>
              <w:autoSpaceDE w:val="0"/>
              <w:autoSpaceDN w:val="0"/>
              <w:adjustRightInd w:val="0"/>
              <w:snapToGrid w:val="0"/>
              <w:spacing w:before="212" w:line="182" w:lineRule="auto"/>
              <w:ind w:left="21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1500.00</w:t>
            </w:r>
          </w:p>
        </w:tc>
        <w:tc>
          <w:tcPr>
            <w:tcW w:w="2589" w:type="dxa"/>
            <w:vAlign w:val="top"/>
          </w:tcPr>
          <w:p w14:paraId="14376764">
            <w:pPr>
              <w:kinsoku w:val="0"/>
              <w:autoSpaceDE w:val="0"/>
              <w:autoSpaceDN w:val="0"/>
              <w:adjustRightInd w:val="0"/>
              <w:snapToGrid w:val="0"/>
              <w:spacing w:before="181" w:line="206" w:lineRule="auto"/>
              <w:ind w:left="106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0"/>
                <w:kern w:val="0"/>
                <w:sz w:val="24"/>
                <w:szCs w:val="24"/>
                <w:lang w:val="en-US" w:eastAsia="en-US" w:bidi="ar-SA"/>
              </w:rPr>
              <w:t>直埋</w:t>
            </w:r>
          </w:p>
        </w:tc>
      </w:tr>
      <w:tr w14:paraId="6CBC7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910" w:type="dxa"/>
            <w:vAlign w:val="top"/>
          </w:tcPr>
          <w:p w14:paraId="7918CA0B">
            <w:pPr>
              <w:widowControl/>
              <w:kinsoku w:val="0"/>
              <w:autoSpaceDE w:val="0"/>
              <w:autoSpaceDN w:val="0"/>
              <w:adjustRightInd w:val="0"/>
              <w:snapToGrid w:val="0"/>
              <w:spacing w:line="318" w:lineRule="auto"/>
              <w:jc w:val="left"/>
              <w:textAlignment w:val="baseline"/>
              <w:rPr>
                <w:rFonts w:ascii="Arial" w:hAnsi="Arial" w:eastAsia="Arial" w:cs="Arial"/>
                <w:snapToGrid w:val="0"/>
                <w:color w:val="000000"/>
                <w:kern w:val="0"/>
                <w:sz w:val="21"/>
                <w:szCs w:val="21"/>
                <w:lang w:eastAsia="en-US"/>
              </w:rPr>
            </w:pPr>
          </w:p>
          <w:p w14:paraId="61304F5F">
            <w:pPr>
              <w:kinsoku w:val="0"/>
              <w:autoSpaceDE w:val="0"/>
              <w:autoSpaceDN w:val="0"/>
              <w:adjustRightInd w:val="0"/>
              <w:snapToGrid w:val="0"/>
              <w:spacing w:before="78"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8.3</w:t>
            </w:r>
          </w:p>
        </w:tc>
        <w:tc>
          <w:tcPr>
            <w:tcW w:w="3003" w:type="dxa"/>
            <w:vAlign w:val="top"/>
          </w:tcPr>
          <w:p w14:paraId="2676D2E2">
            <w:pPr>
              <w:kinsoku w:val="0"/>
              <w:autoSpaceDE w:val="0"/>
              <w:autoSpaceDN w:val="0"/>
              <w:adjustRightInd w:val="0"/>
              <w:snapToGrid w:val="0"/>
              <w:spacing w:before="55" w:line="216" w:lineRule="auto"/>
              <w:ind w:left="9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门诊楼、儿童诊疗中心、全</w:t>
            </w:r>
          </w:p>
          <w:p w14:paraId="07F3FA23">
            <w:pPr>
              <w:kinsoku w:val="0"/>
              <w:autoSpaceDE w:val="0"/>
              <w:autoSpaceDN w:val="0"/>
              <w:adjustRightInd w:val="0"/>
              <w:snapToGrid w:val="0"/>
              <w:spacing w:before="30" w:line="216" w:lineRule="auto"/>
              <w:ind w:left="6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科医生培养基地室内新增摄</w:t>
            </w:r>
          </w:p>
          <w:p w14:paraId="60A85717">
            <w:pPr>
              <w:kinsoku w:val="0"/>
              <w:autoSpaceDE w:val="0"/>
              <w:autoSpaceDN w:val="0"/>
              <w:adjustRightInd w:val="0"/>
              <w:snapToGrid w:val="0"/>
              <w:spacing w:before="31" w:line="204" w:lineRule="auto"/>
              <w:ind w:left="126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像机</w:t>
            </w:r>
          </w:p>
        </w:tc>
        <w:tc>
          <w:tcPr>
            <w:tcW w:w="625" w:type="dxa"/>
            <w:vAlign w:val="top"/>
          </w:tcPr>
          <w:p w14:paraId="00E062F1">
            <w:pPr>
              <w:widowControl/>
              <w:kinsoku w:val="0"/>
              <w:autoSpaceDE w:val="0"/>
              <w:autoSpaceDN w:val="0"/>
              <w:adjustRightInd w:val="0"/>
              <w:snapToGrid w:val="0"/>
              <w:spacing w:line="297" w:lineRule="auto"/>
              <w:jc w:val="left"/>
              <w:textAlignment w:val="baseline"/>
              <w:rPr>
                <w:rFonts w:ascii="Arial" w:hAnsi="Arial" w:eastAsia="Arial" w:cs="Arial"/>
                <w:snapToGrid w:val="0"/>
                <w:color w:val="000000"/>
                <w:kern w:val="0"/>
                <w:sz w:val="21"/>
                <w:szCs w:val="21"/>
                <w:lang w:eastAsia="en-US"/>
              </w:rPr>
            </w:pPr>
          </w:p>
          <w:p w14:paraId="7E16C3AD">
            <w:pPr>
              <w:widowControl/>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eastAsia="en-US"/>
              </w:rPr>
            </w:pPr>
          </w:p>
          <w:p w14:paraId="2F6440A8">
            <w:pPr>
              <w:kinsoku w:val="0"/>
              <w:autoSpaceDE w:val="0"/>
              <w:autoSpaceDN w:val="0"/>
              <w:adjustRightInd w:val="0"/>
              <w:snapToGrid w:val="0"/>
              <w:spacing w:before="78" w:line="206" w:lineRule="auto"/>
              <w:ind w:left="2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台</w:t>
            </w:r>
          </w:p>
        </w:tc>
        <w:tc>
          <w:tcPr>
            <w:tcW w:w="1213" w:type="dxa"/>
            <w:vAlign w:val="top"/>
          </w:tcPr>
          <w:p w14:paraId="2EC11B13">
            <w:pPr>
              <w:widowControl/>
              <w:kinsoku w:val="0"/>
              <w:autoSpaceDE w:val="0"/>
              <w:autoSpaceDN w:val="0"/>
              <w:adjustRightInd w:val="0"/>
              <w:snapToGrid w:val="0"/>
              <w:spacing w:line="313" w:lineRule="auto"/>
              <w:jc w:val="left"/>
              <w:textAlignment w:val="baseline"/>
              <w:rPr>
                <w:rFonts w:ascii="Arial" w:hAnsi="Arial" w:eastAsia="Arial" w:cs="Arial"/>
                <w:snapToGrid w:val="0"/>
                <w:color w:val="000000"/>
                <w:kern w:val="0"/>
                <w:sz w:val="21"/>
                <w:szCs w:val="21"/>
                <w:lang w:eastAsia="en-US"/>
              </w:rPr>
            </w:pPr>
          </w:p>
          <w:p w14:paraId="414C7185">
            <w:pPr>
              <w:widowControl/>
              <w:kinsoku w:val="0"/>
              <w:autoSpaceDE w:val="0"/>
              <w:autoSpaceDN w:val="0"/>
              <w:adjustRightInd w:val="0"/>
              <w:snapToGrid w:val="0"/>
              <w:spacing w:line="313" w:lineRule="auto"/>
              <w:jc w:val="left"/>
              <w:textAlignment w:val="baseline"/>
              <w:rPr>
                <w:rFonts w:ascii="Arial" w:hAnsi="Arial" w:eastAsia="Arial" w:cs="Arial"/>
                <w:snapToGrid w:val="0"/>
                <w:color w:val="000000"/>
                <w:kern w:val="0"/>
                <w:sz w:val="21"/>
                <w:szCs w:val="21"/>
                <w:lang w:eastAsia="en-US"/>
              </w:rPr>
            </w:pPr>
          </w:p>
          <w:p w14:paraId="3B2A8095">
            <w:pPr>
              <w:kinsoku w:val="0"/>
              <w:autoSpaceDE w:val="0"/>
              <w:autoSpaceDN w:val="0"/>
              <w:adjustRightInd w:val="0"/>
              <w:snapToGrid w:val="0"/>
              <w:spacing w:before="78" w:line="182" w:lineRule="auto"/>
              <w:ind w:left="27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110.00</w:t>
            </w:r>
          </w:p>
        </w:tc>
        <w:tc>
          <w:tcPr>
            <w:tcW w:w="2589" w:type="dxa"/>
            <w:vAlign w:val="top"/>
          </w:tcPr>
          <w:p w14:paraId="196C2C98">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14:paraId="3E9CDAEC">
            <w:pPr>
              <w:kinsoku w:val="0"/>
              <w:autoSpaceDE w:val="0"/>
              <w:autoSpaceDN w:val="0"/>
              <w:adjustRightInd w:val="0"/>
              <w:snapToGrid w:val="0"/>
              <w:spacing w:before="78" w:line="223" w:lineRule="auto"/>
              <w:ind w:left="594" w:right="33" w:hanging="55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半球</w:t>
            </w:r>
            <w:r>
              <w:rPr>
                <w:rFonts w:ascii="仿宋" w:hAnsi="仿宋" w:eastAsia="仿宋" w:cs="仿宋"/>
                <w:snapToGrid w:val="0"/>
                <w:color w:val="000000"/>
                <w:spacing w:val="-33"/>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500w</w:t>
            </w:r>
            <w:r>
              <w:rPr>
                <w:rFonts w:ascii="仿宋" w:hAnsi="仿宋" w:eastAsia="仿宋" w:cs="仿宋"/>
                <w:snapToGrid w:val="0"/>
                <w:color w:val="000000"/>
                <w:spacing w:val="-41"/>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高清数字摄像</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头带夜视功能</w:t>
            </w:r>
          </w:p>
        </w:tc>
      </w:tr>
      <w:tr w14:paraId="1DB8F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10" w:type="dxa"/>
            <w:vAlign w:val="top"/>
          </w:tcPr>
          <w:p w14:paraId="75D276F1">
            <w:pPr>
              <w:kinsoku w:val="0"/>
              <w:autoSpaceDE w:val="0"/>
              <w:autoSpaceDN w:val="0"/>
              <w:adjustRightInd w:val="0"/>
              <w:snapToGrid w:val="0"/>
              <w:spacing w:before="242"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8.4</w:t>
            </w:r>
          </w:p>
        </w:tc>
        <w:tc>
          <w:tcPr>
            <w:tcW w:w="3003" w:type="dxa"/>
            <w:vAlign w:val="top"/>
          </w:tcPr>
          <w:p w14:paraId="0AFCD6D3">
            <w:pPr>
              <w:kinsoku w:val="0"/>
              <w:autoSpaceDE w:val="0"/>
              <w:autoSpaceDN w:val="0"/>
              <w:adjustRightInd w:val="0"/>
              <w:snapToGrid w:val="0"/>
              <w:spacing w:before="211" w:line="216" w:lineRule="auto"/>
              <w:ind w:left="33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门诊楼替换原有摄像头</w:t>
            </w:r>
          </w:p>
        </w:tc>
        <w:tc>
          <w:tcPr>
            <w:tcW w:w="625" w:type="dxa"/>
            <w:vAlign w:val="top"/>
          </w:tcPr>
          <w:p w14:paraId="05F339ED">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1"/>
                <w:szCs w:val="21"/>
                <w:lang w:eastAsia="en-US"/>
              </w:rPr>
            </w:pPr>
          </w:p>
          <w:p w14:paraId="274D6375">
            <w:pPr>
              <w:kinsoku w:val="0"/>
              <w:autoSpaceDE w:val="0"/>
              <w:autoSpaceDN w:val="0"/>
              <w:adjustRightInd w:val="0"/>
              <w:snapToGrid w:val="0"/>
              <w:spacing w:before="78" w:line="205" w:lineRule="auto"/>
              <w:ind w:left="2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台</w:t>
            </w:r>
          </w:p>
        </w:tc>
        <w:tc>
          <w:tcPr>
            <w:tcW w:w="1213" w:type="dxa"/>
            <w:vAlign w:val="top"/>
          </w:tcPr>
          <w:p w14:paraId="0DA114D6">
            <w:pPr>
              <w:widowControl/>
              <w:kinsoku w:val="0"/>
              <w:autoSpaceDE w:val="0"/>
              <w:autoSpaceDN w:val="0"/>
              <w:adjustRightInd w:val="0"/>
              <w:snapToGrid w:val="0"/>
              <w:spacing w:line="318" w:lineRule="auto"/>
              <w:jc w:val="left"/>
              <w:textAlignment w:val="baseline"/>
              <w:rPr>
                <w:rFonts w:ascii="Arial" w:hAnsi="Arial" w:eastAsia="Arial" w:cs="Arial"/>
                <w:snapToGrid w:val="0"/>
                <w:color w:val="000000"/>
                <w:kern w:val="0"/>
                <w:sz w:val="21"/>
                <w:szCs w:val="21"/>
                <w:lang w:eastAsia="en-US"/>
              </w:rPr>
            </w:pPr>
          </w:p>
          <w:p w14:paraId="12B05A9F">
            <w:pPr>
              <w:kinsoku w:val="0"/>
              <w:autoSpaceDE w:val="0"/>
              <w:autoSpaceDN w:val="0"/>
              <w:adjustRightInd w:val="0"/>
              <w:snapToGrid w:val="0"/>
              <w:spacing w:before="78" w:line="181" w:lineRule="auto"/>
              <w:ind w:left="3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80.00</w:t>
            </w:r>
          </w:p>
        </w:tc>
        <w:tc>
          <w:tcPr>
            <w:tcW w:w="2589" w:type="dxa"/>
            <w:vAlign w:val="top"/>
          </w:tcPr>
          <w:p w14:paraId="7963C7D0">
            <w:pPr>
              <w:kinsoku w:val="0"/>
              <w:autoSpaceDE w:val="0"/>
              <w:autoSpaceDN w:val="0"/>
              <w:adjustRightInd w:val="0"/>
              <w:snapToGrid w:val="0"/>
              <w:spacing w:before="54" w:line="223" w:lineRule="auto"/>
              <w:ind w:left="594" w:right="33" w:hanging="55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半球</w:t>
            </w:r>
            <w:r>
              <w:rPr>
                <w:rFonts w:ascii="仿宋" w:hAnsi="仿宋" w:eastAsia="仿宋" w:cs="仿宋"/>
                <w:snapToGrid w:val="0"/>
                <w:color w:val="000000"/>
                <w:spacing w:val="-33"/>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500w</w:t>
            </w:r>
            <w:r>
              <w:rPr>
                <w:rFonts w:ascii="仿宋" w:hAnsi="仿宋" w:eastAsia="仿宋" w:cs="仿宋"/>
                <w:snapToGrid w:val="0"/>
                <w:color w:val="000000"/>
                <w:spacing w:val="-41"/>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高清数字摄像</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头带夜视功能</w:t>
            </w:r>
          </w:p>
        </w:tc>
      </w:tr>
      <w:tr w14:paraId="6EB94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910" w:type="dxa"/>
            <w:vAlign w:val="top"/>
          </w:tcPr>
          <w:p w14:paraId="2C79626B">
            <w:pPr>
              <w:widowControl/>
              <w:kinsoku w:val="0"/>
              <w:autoSpaceDE w:val="0"/>
              <w:autoSpaceDN w:val="0"/>
              <w:adjustRightInd w:val="0"/>
              <w:snapToGrid w:val="0"/>
              <w:spacing w:line="320" w:lineRule="auto"/>
              <w:jc w:val="left"/>
              <w:textAlignment w:val="baseline"/>
              <w:rPr>
                <w:rFonts w:ascii="Arial" w:hAnsi="Arial" w:eastAsia="Arial" w:cs="Arial"/>
                <w:snapToGrid w:val="0"/>
                <w:color w:val="000000"/>
                <w:kern w:val="0"/>
                <w:sz w:val="21"/>
                <w:szCs w:val="21"/>
                <w:lang w:eastAsia="en-US"/>
              </w:rPr>
            </w:pPr>
          </w:p>
          <w:p w14:paraId="39B45A28">
            <w:pPr>
              <w:kinsoku w:val="0"/>
              <w:autoSpaceDE w:val="0"/>
              <w:autoSpaceDN w:val="0"/>
              <w:adjustRightInd w:val="0"/>
              <w:snapToGrid w:val="0"/>
              <w:spacing w:before="78"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8.5</w:t>
            </w:r>
          </w:p>
        </w:tc>
        <w:tc>
          <w:tcPr>
            <w:tcW w:w="3003" w:type="dxa"/>
            <w:vAlign w:val="top"/>
          </w:tcPr>
          <w:p w14:paraId="67AAA57B">
            <w:pPr>
              <w:kinsoku w:val="0"/>
              <w:autoSpaceDE w:val="0"/>
              <w:autoSpaceDN w:val="0"/>
              <w:adjustRightInd w:val="0"/>
              <w:snapToGrid w:val="0"/>
              <w:spacing w:before="213" w:line="228" w:lineRule="auto"/>
              <w:ind w:left="727" w:right="12" w:hanging="70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儿童诊疗中心</w:t>
            </w:r>
            <w:r>
              <w:rPr>
                <w:rFonts w:ascii="仿宋" w:hAnsi="仿宋" w:eastAsia="仿宋" w:cs="仿宋"/>
                <w:snapToGrid w:val="0"/>
                <w:color w:val="000000"/>
                <w:spacing w:val="-54"/>
                <w:kern w:val="0"/>
                <w:sz w:val="24"/>
                <w:szCs w:val="24"/>
                <w:lang w:val="en-US" w:eastAsia="en-US" w:bidi="ar-SA"/>
              </w:rPr>
              <w:t xml:space="preserve"> </w:t>
            </w:r>
            <w:r>
              <w:rPr>
                <w:rFonts w:ascii="仿宋" w:hAnsi="仿宋" w:eastAsia="仿宋" w:cs="仿宋"/>
                <w:snapToGrid w:val="0"/>
                <w:color w:val="000000"/>
                <w:spacing w:val="-3"/>
                <w:kern w:val="0"/>
                <w:sz w:val="24"/>
                <w:szCs w:val="24"/>
                <w:lang w:val="en-US" w:eastAsia="en-US" w:bidi="ar-SA"/>
              </w:rPr>
              <w:t>NICU</w:t>
            </w:r>
            <w:r>
              <w:rPr>
                <w:rFonts w:ascii="仿宋" w:hAnsi="仿宋" w:eastAsia="仿宋" w:cs="仿宋"/>
                <w:snapToGrid w:val="0"/>
                <w:color w:val="000000"/>
                <w:spacing w:val="-59"/>
                <w:kern w:val="0"/>
                <w:sz w:val="24"/>
                <w:szCs w:val="24"/>
                <w:lang w:val="en-US" w:eastAsia="en-US" w:bidi="ar-SA"/>
              </w:rPr>
              <w:t xml:space="preserve"> </w:t>
            </w:r>
            <w:r>
              <w:rPr>
                <w:rFonts w:ascii="仿宋" w:hAnsi="仿宋" w:eastAsia="仿宋" w:cs="仿宋"/>
                <w:snapToGrid w:val="0"/>
                <w:color w:val="000000"/>
                <w:spacing w:val="-3"/>
                <w:kern w:val="0"/>
                <w:sz w:val="24"/>
                <w:szCs w:val="24"/>
                <w:lang w:val="en-US" w:eastAsia="en-US" w:bidi="ar-SA"/>
              </w:rPr>
              <w:t>新增智能</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1"/>
                <w:kern w:val="0"/>
                <w:sz w:val="24"/>
                <w:szCs w:val="24"/>
                <w:lang w:val="en-US" w:eastAsia="en-US" w:bidi="ar-SA"/>
              </w:rPr>
              <w:t>人脸</w:t>
            </w:r>
            <w:r>
              <w:rPr>
                <w:rFonts w:ascii="仿宋" w:hAnsi="仿宋" w:eastAsia="仿宋" w:cs="仿宋"/>
                <w:snapToGrid w:val="0"/>
                <w:color w:val="000000"/>
                <w:kern w:val="0"/>
                <w:sz w:val="24"/>
                <w:szCs w:val="24"/>
                <w:lang w:val="en-US" w:eastAsia="en-US" w:bidi="ar-SA"/>
              </w:rPr>
              <w:t>AI</w:t>
            </w:r>
            <w:r>
              <w:rPr>
                <w:rFonts w:ascii="仿宋" w:hAnsi="仿宋" w:eastAsia="仿宋" w:cs="仿宋"/>
                <w:snapToGrid w:val="0"/>
                <w:color w:val="000000"/>
                <w:spacing w:val="21"/>
                <w:kern w:val="0"/>
                <w:sz w:val="24"/>
                <w:szCs w:val="24"/>
                <w:lang w:val="en-US" w:eastAsia="en-US" w:bidi="ar-SA"/>
              </w:rPr>
              <w:t>摄像机</w:t>
            </w:r>
          </w:p>
        </w:tc>
        <w:tc>
          <w:tcPr>
            <w:tcW w:w="625" w:type="dxa"/>
            <w:vAlign w:val="top"/>
          </w:tcPr>
          <w:p w14:paraId="240B7A2F">
            <w:pPr>
              <w:widowControl/>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eastAsia="en-US"/>
              </w:rPr>
            </w:pPr>
          </w:p>
          <w:p w14:paraId="2D03020C">
            <w:pPr>
              <w:widowControl/>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lang w:eastAsia="en-US"/>
              </w:rPr>
            </w:pPr>
          </w:p>
          <w:p w14:paraId="65D21F9D">
            <w:pPr>
              <w:kinsoku w:val="0"/>
              <w:autoSpaceDE w:val="0"/>
              <w:autoSpaceDN w:val="0"/>
              <w:adjustRightInd w:val="0"/>
              <w:snapToGrid w:val="0"/>
              <w:spacing w:before="78" w:line="205" w:lineRule="auto"/>
              <w:ind w:left="2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台</w:t>
            </w:r>
          </w:p>
        </w:tc>
        <w:tc>
          <w:tcPr>
            <w:tcW w:w="1213" w:type="dxa"/>
            <w:vAlign w:val="top"/>
          </w:tcPr>
          <w:p w14:paraId="76856799">
            <w:pPr>
              <w:widowControl/>
              <w:kinsoku w:val="0"/>
              <w:autoSpaceDE w:val="0"/>
              <w:autoSpaceDN w:val="0"/>
              <w:adjustRightInd w:val="0"/>
              <w:snapToGrid w:val="0"/>
              <w:spacing w:line="313" w:lineRule="auto"/>
              <w:jc w:val="left"/>
              <w:textAlignment w:val="baseline"/>
              <w:rPr>
                <w:rFonts w:ascii="Arial" w:hAnsi="Arial" w:eastAsia="Arial" w:cs="Arial"/>
                <w:snapToGrid w:val="0"/>
                <w:color w:val="000000"/>
                <w:kern w:val="0"/>
                <w:sz w:val="21"/>
                <w:szCs w:val="21"/>
                <w:lang w:eastAsia="en-US"/>
              </w:rPr>
            </w:pPr>
          </w:p>
          <w:p w14:paraId="527DF0F2">
            <w:pPr>
              <w:widowControl/>
              <w:kinsoku w:val="0"/>
              <w:autoSpaceDE w:val="0"/>
              <w:autoSpaceDN w:val="0"/>
              <w:adjustRightInd w:val="0"/>
              <w:snapToGrid w:val="0"/>
              <w:spacing w:line="314" w:lineRule="auto"/>
              <w:jc w:val="left"/>
              <w:textAlignment w:val="baseline"/>
              <w:rPr>
                <w:rFonts w:ascii="Arial" w:hAnsi="Arial" w:eastAsia="Arial" w:cs="Arial"/>
                <w:snapToGrid w:val="0"/>
                <w:color w:val="000000"/>
                <w:kern w:val="0"/>
                <w:sz w:val="21"/>
                <w:szCs w:val="21"/>
                <w:lang w:eastAsia="en-US"/>
              </w:rPr>
            </w:pPr>
          </w:p>
          <w:p w14:paraId="3C286F87">
            <w:pPr>
              <w:kinsoku w:val="0"/>
              <w:autoSpaceDE w:val="0"/>
              <w:autoSpaceDN w:val="0"/>
              <w:adjustRightInd w:val="0"/>
              <w:snapToGrid w:val="0"/>
              <w:spacing w:before="78" w:line="181" w:lineRule="auto"/>
              <w:ind w:left="32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20.00</w:t>
            </w:r>
          </w:p>
        </w:tc>
        <w:tc>
          <w:tcPr>
            <w:tcW w:w="2589" w:type="dxa"/>
            <w:vAlign w:val="top"/>
          </w:tcPr>
          <w:p w14:paraId="57A4A462">
            <w:pPr>
              <w:kinsoku w:val="0"/>
              <w:autoSpaceDE w:val="0"/>
              <w:autoSpaceDN w:val="0"/>
              <w:adjustRightInd w:val="0"/>
              <w:snapToGrid w:val="0"/>
              <w:spacing w:before="54" w:line="216" w:lineRule="auto"/>
              <w:ind w:left="4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半球</w:t>
            </w:r>
            <w:r>
              <w:rPr>
                <w:rFonts w:ascii="仿宋" w:hAnsi="仿宋" w:eastAsia="仿宋" w:cs="仿宋"/>
                <w:snapToGrid w:val="0"/>
                <w:color w:val="000000"/>
                <w:spacing w:val="-33"/>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500w</w:t>
            </w:r>
            <w:r>
              <w:rPr>
                <w:rFonts w:ascii="仿宋" w:hAnsi="仿宋" w:eastAsia="仿宋" w:cs="仿宋"/>
                <w:snapToGrid w:val="0"/>
                <w:color w:val="000000"/>
                <w:spacing w:val="-41"/>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高清数字摄像</w:t>
            </w:r>
          </w:p>
          <w:p w14:paraId="3E3DF38E">
            <w:pPr>
              <w:kinsoku w:val="0"/>
              <w:autoSpaceDE w:val="0"/>
              <w:autoSpaceDN w:val="0"/>
              <w:adjustRightInd w:val="0"/>
              <w:snapToGrid w:val="0"/>
              <w:spacing w:before="31" w:line="215" w:lineRule="auto"/>
              <w:ind w:left="11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头带夜视及语音同步功</w:t>
            </w:r>
          </w:p>
          <w:p w14:paraId="78B36EB9">
            <w:pPr>
              <w:kinsoku w:val="0"/>
              <w:autoSpaceDE w:val="0"/>
              <w:autoSpaceDN w:val="0"/>
              <w:adjustRightInd w:val="0"/>
              <w:snapToGrid w:val="0"/>
              <w:spacing w:before="32" w:line="205" w:lineRule="auto"/>
              <w:ind w:left="120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能</w:t>
            </w:r>
          </w:p>
        </w:tc>
      </w:tr>
      <w:tr w14:paraId="2798E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910" w:type="dxa"/>
            <w:vAlign w:val="top"/>
          </w:tcPr>
          <w:p w14:paraId="718036F9">
            <w:pPr>
              <w:widowControl/>
              <w:kinsoku w:val="0"/>
              <w:autoSpaceDE w:val="0"/>
              <w:autoSpaceDN w:val="0"/>
              <w:adjustRightInd w:val="0"/>
              <w:snapToGrid w:val="0"/>
              <w:spacing w:line="320" w:lineRule="auto"/>
              <w:jc w:val="left"/>
              <w:textAlignment w:val="baseline"/>
              <w:rPr>
                <w:rFonts w:ascii="Arial" w:hAnsi="Arial" w:eastAsia="Arial" w:cs="Arial"/>
                <w:snapToGrid w:val="0"/>
                <w:color w:val="000000"/>
                <w:kern w:val="0"/>
                <w:sz w:val="21"/>
                <w:szCs w:val="21"/>
                <w:lang w:eastAsia="en-US"/>
              </w:rPr>
            </w:pPr>
          </w:p>
          <w:p w14:paraId="6C47420C">
            <w:pPr>
              <w:kinsoku w:val="0"/>
              <w:autoSpaceDE w:val="0"/>
              <w:autoSpaceDN w:val="0"/>
              <w:adjustRightInd w:val="0"/>
              <w:snapToGrid w:val="0"/>
              <w:spacing w:before="78"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8.6</w:t>
            </w:r>
          </w:p>
        </w:tc>
        <w:tc>
          <w:tcPr>
            <w:tcW w:w="3003" w:type="dxa"/>
            <w:vAlign w:val="top"/>
          </w:tcPr>
          <w:p w14:paraId="27FB813A">
            <w:pPr>
              <w:kinsoku w:val="0"/>
              <w:autoSpaceDE w:val="0"/>
              <w:autoSpaceDN w:val="0"/>
              <w:adjustRightInd w:val="0"/>
              <w:snapToGrid w:val="0"/>
              <w:spacing w:before="213" w:line="228" w:lineRule="auto"/>
              <w:ind w:left="843" w:right="60" w:hanging="76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手术室监控设备改造智能人</w:t>
            </w:r>
            <w:r>
              <w:rPr>
                <w:rFonts w:ascii="仿宋" w:hAnsi="仿宋" w:eastAsia="仿宋" w:cs="仿宋"/>
                <w:snapToGrid w:val="0"/>
                <w:color w:val="000000"/>
                <w:spacing w:val="3"/>
                <w:kern w:val="0"/>
                <w:sz w:val="24"/>
                <w:szCs w:val="24"/>
                <w:lang w:val="en-US" w:eastAsia="en-US" w:bidi="ar-SA"/>
              </w:rPr>
              <w:t xml:space="preserve"> </w:t>
            </w:r>
            <w:r>
              <w:rPr>
                <w:rFonts w:ascii="仿宋" w:hAnsi="仿宋" w:eastAsia="仿宋" w:cs="仿宋"/>
                <w:snapToGrid w:val="0"/>
                <w:color w:val="000000"/>
                <w:spacing w:val="11"/>
                <w:kern w:val="0"/>
                <w:sz w:val="24"/>
                <w:szCs w:val="24"/>
                <w:lang w:val="en-US" w:eastAsia="en-US" w:bidi="ar-SA"/>
              </w:rPr>
              <w:t>脸</w:t>
            </w:r>
            <w:r>
              <w:rPr>
                <w:rFonts w:ascii="仿宋" w:hAnsi="仿宋" w:eastAsia="仿宋" w:cs="仿宋"/>
                <w:snapToGrid w:val="0"/>
                <w:color w:val="000000"/>
                <w:spacing w:val="-51"/>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AI</w:t>
            </w:r>
            <w:r>
              <w:rPr>
                <w:rFonts w:ascii="仿宋" w:hAnsi="仿宋" w:eastAsia="仿宋" w:cs="仿宋"/>
                <w:snapToGrid w:val="0"/>
                <w:color w:val="000000"/>
                <w:spacing w:val="11"/>
                <w:kern w:val="0"/>
                <w:sz w:val="24"/>
                <w:szCs w:val="24"/>
                <w:lang w:val="en-US" w:eastAsia="en-US" w:bidi="ar-SA"/>
              </w:rPr>
              <w:t>摄像机</w:t>
            </w:r>
          </w:p>
        </w:tc>
        <w:tc>
          <w:tcPr>
            <w:tcW w:w="625" w:type="dxa"/>
            <w:vAlign w:val="top"/>
          </w:tcPr>
          <w:p w14:paraId="4E2856A3">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1"/>
                <w:szCs w:val="21"/>
                <w:lang w:eastAsia="en-US"/>
              </w:rPr>
            </w:pPr>
          </w:p>
          <w:p w14:paraId="2AB93B44">
            <w:pPr>
              <w:widowControl/>
              <w:kinsoku w:val="0"/>
              <w:autoSpaceDE w:val="0"/>
              <w:autoSpaceDN w:val="0"/>
              <w:adjustRightInd w:val="0"/>
              <w:snapToGrid w:val="0"/>
              <w:spacing w:line="300" w:lineRule="auto"/>
              <w:jc w:val="left"/>
              <w:textAlignment w:val="baseline"/>
              <w:rPr>
                <w:rFonts w:ascii="Arial" w:hAnsi="Arial" w:eastAsia="Arial" w:cs="Arial"/>
                <w:snapToGrid w:val="0"/>
                <w:color w:val="000000"/>
                <w:kern w:val="0"/>
                <w:sz w:val="21"/>
                <w:szCs w:val="21"/>
                <w:lang w:eastAsia="en-US"/>
              </w:rPr>
            </w:pPr>
          </w:p>
          <w:p w14:paraId="1FD3916E">
            <w:pPr>
              <w:kinsoku w:val="0"/>
              <w:autoSpaceDE w:val="0"/>
              <w:autoSpaceDN w:val="0"/>
              <w:adjustRightInd w:val="0"/>
              <w:snapToGrid w:val="0"/>
              <w:spacing w:before="78" w:line="203" w:lineRule="auto"/>
              <w:ind w:left="2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台</w:t>
            </w:r>
          </w:p>
        </w:tc>
        <w:tc>
          <w:tcPr>
            <w:tcW w:w="1213" w:type="dxa"/>
            <w:vAlign w:val="top"/>
          </w:tcPr>
          <w:p w14:paraId="672B8BCE">
            <w:pPr>
              <w:widowControl/>
              <w:kinsoku w:val="0"/>
              <w:autoSpaceDE w:val="0"/>
              <w:autoSpaceDN w:val="0"/>
              <w:adjustRightInd w:val="0"/>
              <w:snapToGrid w:val="0"/>
              <w:spacing w:line="315" w:lineRule="auto"/>
              <w:jc w:val="left"/>
              <w:textAlignment w:val="baseline"/>
              <w:rPr>
                <w:rFonts w:ascii="Arial" w:hAnsi="Arial" w:eastAsia="Arial" w:cs="Arial"/>
                <w:snapToGrid w:val="0"/>
                <w:color w:val="000000"/>
                <w:kern w:val="0"/>
                <w:sz w:val="21"/>
                <w:szCs w:val="21"/>
                <w:lang w:eastAsia="en-US"/>
              </w:rPr>
            </w:pPr>
          </w:p>
          <w:p w14:paraId="4CBE7BAA">
            <w:pPr>
              <w:widowControl/>
              <w:kinsoku w:val="0"/>
              <w:autoSpaceDE w:val="0"/>
              <w:autoSpaceDN w:val="0"/>
              <w:adjustRightInd w:val="0"/>
              <w:snapToGrid w:val="0"/>
              <w:spacing w:line="315" w:lineRule="auto"/>
              <w:jc w:val="left"/>
              <w:textAlignment w:val="baseline"/>
              <w:rPr>
                <w:rFonts w:ascii="Arial" w:hAnsi="Arial" w:eastAsia="Arial" w:cs="Arial"/>
                <w:snapToGrid w:val="0"/>
                <w:color w:val="000000"/>
                <w:kern w:val="0"/>
                <w:sz w:val="21"/>
                <w:szCs w:val="21"/>
                <w:lang w:eastAsia="en-US"/>
              </w:rPr>
            </w:pPr>
          </w:p>
          <w:p w14:paraId="794F7483">
            <w:pPr>
              <w:kinsoku w:val="0"/>
              <w:autoSpaceDE w:val="0"/>
              <w:autoSpaceDN w:val="0"/>
              <w:adjustRightInd w:val="0"/>
              <w:snapToGrid w:val="0"/>
              <w:spacing w:before="78" w:line="179" w:lineRule="auto"/>
              <w:ind w:left="32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20.00</w:t>
            </w:r>
          </w:p>
        </w:tc>
        <w:tc>
          <w:tcPr>
            <w:tcW w:w="2589" w:type="dxa"/>
            <w:vAlign w:val="top"/>
          </w:tcPr>
          <w:p w14:paraId="3D0C7D4A">
            <w:pPr>
              <w:kinsoku w:val="0"/>
              <w:autoSpaceDE w:val="0"/>
              <w:autoSpaceDN w:val="0"/>
              <w:adjustRightInd w:val="0"/>
              <w:snapToGrid w:val="0"/>
              <w:spacing w:before="56" w:line="216" w:lineRule="auto"/>
              <w:ind w:left="4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半球</w:t>
            </w:r>
            <w:r>
              <w:rPr>
                <w:rFonts w:ascii="仿宋" w:hAnsi="仿宋" w:eastAsia="仿宋" w:cs="仿宋"/>
                <w:snapToGrid w:val="0"/>
                <w:color w:val="000000"/>
                <w:spacing w:val="-33"/>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500w</w:t>
            </w:r>
            <w:r>
              <w:rPr>
                <w:rFonts w:ascii="仿宋" w:hAnsi="仿宋" w:eastAsia="仿宋" w:cs="仿宋"/>
                <w:snapToGrid w:val="0"/>
                <w:color w:val="000000"/>
                <w:spacing w:val="-41"/>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高清数字摄像</w:t>
            </w:r>
          </w:p>
          <w:p w14:paraId="2A1752E1">
            <w:pPr>
              <w:kinsoku w:val="0"/>
              <w:autoSpaceDE w:val="0"/>
              <w:autoSpaceDN w:val="0"/>
              <w:adjustRightInd w:val="0"/>
              <w:snapToGrid w:val="0"/>
              <w:spacing w:before="31" w:line="215" w:lineRule="auto"/>
              <w:ind w:left="11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头带夜视及语音同步功</w:t>
            </w:r>
          </w:p>
          <w:p w14:paraId="5F42070C">
            <w:pPr>
              <w:kinsoku w:val="0"/>
              <w:autoSpaceDE w:val="0"/>
              <w:autoSpaceDN w:val="0"/>
              <w:adjustRightInd w:val="0"/>
              <w:snapToGrid w:val="0"/>
              <w:spacing w:before="32" w:line="203" w:lineRule="auto"/>
              <w:ind w:left="120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能</w:t>
            </w:r>
          </w:p>
        </w:tc>
      </w:tr>
      <w:tr w14:paraId="52CC4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10" w:type="dxa"/>
            <w:vAlign w:val="top"/>
          </w:tcPr>
          <w:p w14:paraId="7CCFD751">
            <w:pPr>
              <w:kinsoku w:val="0"/>
              <w:autoSpaceDE w:val="0"/>
              <w:autoSpaceDN w:val="0"/>
              <w:adjustRightInd w:val="0"/>
              <w:snapToGrid w:val="0"/>
              <w:spacing w:before="244"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8.7</w:t>
            </w:r>
          </w:p>
        </w:tc>
        <w:tc>
          <w:tcPr>
            <w:tcW w:w="3003" w:type="dxa"/>
            <w:vAlign w:val="top"/>
          </w:tcPr>
          <w:p w14:paraId="5B92ECC8">
            <w:pPr>
              <w:kinsoku w:val="0"/>
              <w:autoSpaceDE w:val="0"/>
              <w:autoSpaceDN w:val="0"/>
              <w:adjustRightInd w:val="0"/>
              <w:snapToGrid w:val="0"/>
              <w:spacing w:before="212" w:line="217" w:lineRule="auto"/>
              <w:ind w:left="8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院内设备用房监控设备改造</w:t>
            </w:r>
          </w:p>
        </w:tc>
        <w:tc>
          <w:tcPr>
            <w:tcW w:w="625" w:type="dxa"/>
            <w:vAlign w:val="top"/>
          </w:tcPr>
          <w:p w14:paraId="3E896842">
            <w:pPr>
              <w:widowControl/>
              <w:kinsoku w:val="0"/>
              <w:autoSpaceDE w:val="0"/>
              <w:autoSpaceDN w:val="0"/>
              <w:adjustRightInd w:val="0"/>
              <w:snapToGrid w:val="0"/>
              <w:spacing w:line="289" w:lineRule="auto"/>
              <w:jc w:val="left"/>
              <w:textAlignment w:val="baseline"/>
              <w:rPr>
                <w:rFonts w:ascii="Arial" w:hAnsi="Arial" w:eastAsia="Arial" w:cs="Arial"/>
                <w:snapToGrid w:val="0"/>
                <w:color w:val="000000"/>
                <w:kern w:val="0"/>
                <w:sz w:val="21"/>
                <w:szCs w:val="21"/>
                <w:lang w:eastAsia="en-US"/>
              </w:rPr>
            </w:pPr>
          </w:p>
          <w:p w14:paraId="360782D4">
            <w:pPr>
              <w:kinsoku w:val="0"/>
              <w:autoSpaceDE w:val="0"/>
              <w:autoSpaceDN w:val="0"/>
              <w:adjustRightInd w:val="0"/>
              <w:snapToGrid w:val="0"/>
              <w:spacing w:before="78" w:line="204" w:lineRule="auto"/>
              <w:ind w:left="2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台</w:t>
            </w:r>
          </w:p>
        </w:tc>
        <w:tc>
          <w:tcPr>
            <w:tcW w:w="1213" w:type="dxa"/>
            <w:vAlign w:val="top"/>
          </w:tcPr>
          <w:p w14:paraId="3BBFD3D1">
            <w:pPr>
              <w:widowControl/>
              <w:kinsoku w:val="0"/>
              <w:autoSpaceDE w:val="0"/>
              <w:autoSpaceDN w:val="0"/>
              <w:adjustRightInd w:val="0"/>
              <w:snapToGrid w:val="0"/>
              <w:spacing w:line="320" w:lineRule="auto"/>
              <w:jc w:val="left"/>
              <w:textAlignment w:val="baseline"/>
              <w:rPr>
                <w:rFonts w:ascii="Arial" w:hAnsi="Arial" w:eastAsia="Arial" w:cs="Arial"/>
                <w:snapToGrid w:val="0"/>
                <w:color w:val="000000"/>
                <w:kern w:val="0"/>
                <w:sz w:val="21"/>
                <w:szCs w:val="21"/>
                <w:lang w:eastAsia="en-US"/>
              </w:rPr>
            </w:pPr>
          </w:p>
          <w:p w14:paraId="77AD95C0">
            <w:pPr>
              <w:kinsoku w:val="0"/>
              <w:autoSpaceDE w:val="0"/>
              <w:autoSpaceDN w:val="0"/>
              <w:adjustRightInd w:val="0"/>
              <w:snapToGrid w:val="0"/>
              <w:spacing w:before="78" w:line="180" w:lineRule="auto"/>
              <w:ind w:left="38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7.00</w:t>
            </w:r>
          </w:p>
        </w:tc>
        <w:tc>
          <w:tcPr>
            <w:tcW w:w="2589" w:type="dxa"/>
            <w:vAlign w:val="top"/>
          </w:tcPr>
          <w:p w14:paraId="023AD78C">
            <w:pPr>
              <w:kinsoku w:val="0"/>
              <w:autoSpaceDE w:val="0"/>
              <w:autoSpaceDN w:val="0"/>
              <w:adjustRightInd w:val="0"/>
              <w:snapToGrid w:val="0"/>
              <w:spacing w:before="56" w:line="222" w:lineRule="auto"/>
              <w:ind w:left="594" w:right="33" w:hanging="55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半球</w:t>
            </w:r>
            <w:r>
              <w:rPr>
                <w:rFonts w:ascii="仿宋" w:hAnsi="仿宋" w:eastAsia="仿宋" w:cs="仿宋"/>
                <w:snapToGrid w:val="0"/>
                <w:color w:val="000000"/>
                <w:spacing w:val="-33"/>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500w</w:t>
            </w:r>
            <w:r>
              <w:rPr>
                <w:rFonts w:ascii="仿宋" w:hAnsi="仿宋" w:eastAsia="仿宋" w:cs="仿宋"/>
                <w:snapToGrid w:val="0"/>
                <w:color w:val="000000"/>
                <w:spacing w:val="-41"/>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高清数字摄像</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头带夜视功能</w:t>
            </w:r>
          </w:p>
        </w:tc>
      </w:tr>
      <w:tr w14:paraId="07FF3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3EE01E97">
            <w:pPr>
              <w:kinsoku w:val="0"/>
              <w:autoSpaceDE w:val="0"/>
              <w:autoSpaceDN w:val="0"/>
              <w:adjustRightInd w:val="0"/>
              <w:snapToGrid w:val="0"/>
              <w:spacing w:before="151"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8.8</w:t>
            </w:r>
          </w:p>
        </w:tc>
        <w:tc>
          <w:tcPr>
            <w:tcW w:w="3003" w:type="dxa"/>
            <w:vAlign w:val="top"/>
          </w:tcPr>
          <w:p w14:paraId="7F824A92">
            <w:pPr>
              <w:kinsoku w:val="0"/>
              <w:autoSpaceDE w:val="0"/>
              <w:autoSpaceDN w:val="0"/>
              <w:adjustRightInd w:val="0"/>
              <w:snapToGrid w:val="0"/>
              <w:spacing w:before="120" w:line="217" w:lineRule="auto"/>
              <w:ind w:left="103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监控主机</w:t>
            </w:r>
          </w:p>
        </w:tc>
        <w:tc>
          <w:tcPr>
            <w:tcW w:w="625" w:type="dxa"/>
            <w:vAlign w:val="top"/>
          </w:tcPr>
          <w:p w14:paraId="0F8A9C23">
            <w:pPr>
              <w:kinsoku w:val="0"/>
              <w:autoSpaceDE w:val="0"/>
              <w:autoSpaceDN w:val="0"/>
              <w:adjustRightInd w:val="0"/>
              <w:snapToGrid w:val="0"/>
              <w:spacing w:before="182" w:line="205" w:lineRule="auto"/>
              <w:ind w:left="20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套</w:t>
            </w:r>
          </w:p>
        </w:tc>
        <w:tc>
          <w:tcPr>
            <w:tcW w:w="1213" w:type="dxa"/>
            <w:vAlign w:val="top"/>
          </w:tcPr>
          <w:p w14:paraId="4160FE10">
            <w:pPr>
              <w:kinsoku w:val="0"/>
              <w:autoSpaceDE w:val="0"/>
              <w:autoSpaceDN w:val="0"/>
              <w:adjustRightInd w:val="0"/>
              <w:snapToGrid w:val="0"/>
              <w:spacing w:before="213" w:line="181" w:lineRule="auto"/>
              <w:ind w:left="39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3.00</w:t>
            </w:r>
          </w:p>
        </w:tc>
        <w:tc>
          <w:tcPr>
            <w:tcW w:w="2589" w:type="dxa"/>
            <w:vAlign w:val="top"/>
          </w:tcPr>
          <w:p w14:paraId="739DCB6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F797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3E5E4637">
            <w:pPr>
              <w:kinsoku w:val="0"/>
              <w:autoSpaceDE w:val="0"/>
              <w:autoSpaceDN w:val="0"/>
              <w:adjustRightInd w:val="0"/>
              <w:snapToGrid w:val="0"/>
              <w:spacing w:before="151"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8.9</w:t>
            </w:r>
          </w:p>
        </w:tc>
        <w:tc>
          <w:tcPr>
            <w:tcW w:w="3003" w:type="dxa"/>
            <w:vAlign w:val="top"/>
          </w:tcPr>
          <w:p w14:paraId="403C6C30">
            <w:pPr>
              <w:kinsoku w:val="0"/>
              <w:autoSpaceDE w:val="0"/>
              <w:autoSpaceDN w:val="0"/>
              <w:adjustRightInd w:val="0"/>
              <w:snapToGrid w:val="0"/>
              <w:spacing w:before="119" w:line="218" w:lineRule="auto"/>
              <w:ind w:left="31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监控显示屏（含支架）</w:t>
            </w:r>
          </w:p>
        </w:tc>
        <w:tc>
          <w:tcPr>
            <w:tcW w:w="625" w:type="dxa"/>
            <w:vAlign w:val="top"/>
          </w:tcPr>
          <w:p w14:paraId="58DAD5B6">
            <w:pPr>
              <w:kinsoku w:val="0"/>
              <w:autoSpaceDE w:val="0"/>
              <w:autoSpaceDN w:val="0"/>
              <w:adjustRightInd w:val="0"/>
              <w:snapToGrid w:val="0"/>
              <w:spacing w:before="185" w:line="203" w:lineRule="auto"/>
              <w:ind w:left="20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块</w:t>
            </w:r>
          </w:p>
        </w:tc>
        <w:tc>
          <w:tcPr>
            <w:tcW w:w="1213" w:type="dxa"/>
            <w:vAlign w:val="top"/>
          </w:tcPr>
          <w:p w14:paraId="62F2A3B4">
            <w:pPr>
              <w:kinsoku w:val="0"/>
              <w:autoSpaceDE w:val="0"/>
              <w:autoSpaceDN w:val="0"/>
              <w:adjustRightInd w:val="0"/>
              <w:snapToGrid w:val="0"/>
              <w:spacing w:before="214" w:line="180" w:lineRule="auto"/>
              <w:ind w:left="38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4.00</w:t>
            </w:r>
          </w:p>
        </w:tc>
        <w:tc>
          <w:tcPr>
            <w:tcW w:w="2589" w:type="dxa"/>
            <w:vAlign w:val="top"/>
          </w:tcPr>
          <w:p w14:paraId="02DA6FD4">
            <w:pPr>
              <w:kinsoku w:val="0"/>
              <w:autoSpaceDE w:val="0"/>
              <w:autoSpaceDN w:val="0"/>
              <w:adjustRightInd w:val="0"/>
              <w:snapToGrid w:val="0"/>
              <w:spacing w:before="185" w:line="203" w:lineRule="auto"/>
              <w:ind w:left="44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55</w:t>
            </w:r>
            <w:r>
              <w:rPr>
                <w:rFonts w:ascii="仿宋" w:hAnsi="仿宋" w:eastAsia="仿宋" w:cs="仿宋"/>
                <w:snapToGrid w:val="0"/>
                <w:color w:val="000000"/>
                <w:spacing w:val="-3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寸液晶拼接屏</w:t>
            </w:r>
          </w:p>
        </w:tc>
      </w:tr>
      <w:tr w14:paraId="377A7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423E14DA">
            <w:pPr>
              <w:kinsoku w:val="0"/>
              <w:autoSpaceDE w:val="0"/>
              <w:autoSpaceDN w:val="0"/>
              <w:adjustRightInd w:val="0"/>
              <w:snapToGrid w:val="0"/>
              <w:spacing w:before="152" w:line="183" w:lineRule="auto"/>
              <w:ind w:left="23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8.10</w:t>
            </w:r>
          </w:p>
        </w:tc>
        <w:tc>
          <w:tcPr>
            <w:tcW w:w="3003" w:type="dxa"/>
            <w:vAlign w:val="top"/>
          </w:tcPr>
          <w:p w14:paraId="0096C01D">
            <w:pPr>
              <w:kinsoku w:val="0"/>
              <w:autoSpaceDE w:val="0"/>
              <w:autoSpaceDN w:val="0"/>
              <w:adjustRightInd w:val="0"/>
              <w:snapToGrid w:val="0"/>
              <w:spacing w:before="121" w:line="217" w:lineRule="auto"/>
              <w:ind w:left="91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视频解码器</w:t>
            </w:r>
          </w:p>
        </w:tc>
        <w:tc>
          <w:tcPr>
            <w:tcW w:w="625" w:type="dxa"/>
            <w:vAlign w:val="top"/>
          </w:tcPr>
          <w:p w14:paraId="3F3D576F">
            <w:pPr>
              <w:kinsoku w:val="0"/>
              <w:autoSpaceDE w:val="0"/>
              <w:autoSpaceDN w:val="0"/>
              <w:adjustRightInd w:val="0"/>
              <w:snapToGrid w:val="0"/>
              <w:spacing w:before="183" w:line="204" w:lineRule="auto"/>
              <w:ind w:left="20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个</w:t>
            </w:r>
          </w:p>
        </w:tc>
        <w:tc>
          <w:tcPr>
            <w:tcW w:w="1213" w:type="dxa"/>
            <w:vAlign w:val="top"/>
          </w:tcPr>
          <w:p w14:paraId="32E98FE1">
            <w:pPr>
              <w:kinsoku w:val="0"/>
              <w:autoSpaceDE w:val="0"/>
              <w:autoSpaceDN w:val="0"/>
              <w:adjustRightInd w:val="0"/>
              <w:snapToGrid w:val="0"/>
              <w:spacing w:before="214" w:line="180" w:lineRule="auto"/>
              <w:ind w:left="39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1.00</w:t>
            </w:r>
          </w:p>
        </w:tc>
        <w:tc>
          <w:tcPr>
            <w:tcW w:w="2589" w:type="dxa"/>
            <w:vAlign w:val="top"/>
          </w:tcPr>
          <w:p w14:paraId="31CF53F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B215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1A6EAEFD">
            <w:pPr>
              <w:kinsoku w:val="0"/>
              <w:autoSpaceDE w:val="0"/>
              <w:autoSpaceDN w:val="0"/>
              <w:adjustRightInd w:val="0"/>
              <w:snapToGrid w:val="0"/>
              <w:spacing w:before="151" w:line="183" w:lineRule="auto"/>
              <w:ind w:left="23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8.11</w:t>
            </w:r>
          </w:p>
        </w:tc>
        <w:tc>
          <w:tcPr>
            <w:tcW w:w="3003" w:type="dxa"/>
            <w:vAlign w:val="top"/>
          </w:tcPr>
          <w:p w14:paraId="7BF57A8B">
            <w:pPr>
              <w:kinsoku w:val="0"/>
              <w:autoSpaceDE w:val="0"/>
              <w:autoSpaceDN w:val="0"/>
              <w:adjustRightInd w:val="0"/>
              <w:snapToGrid w:val="0"/>
              <w:spacing w:before="120" w:line="214" w:lineRule="auto"/>
              <w:ind w:left="81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网络存储设备</w:t>
            </w:r>
          </w:p>
        </w:tc>
        <w:tc>
          <w:tcPr>
            <w:tcW w:w="625" w:type="dxa"/>
            <w:vAlign w:val="top"/>
          </w:tcPr>
          <w:p w14:paraId="5E344263">
            <w:pPr>
              <w:kinsoku w:val="0"/>
              <w:autoSpaceDE w:val="0"/>
              <w:autoSpaceDN w:val="0"/>
              <w:adjustRightInd w:val="0"/>
              <w:snapToGrid w:val="0"/>
              <w:spacing w:before="182" w:line="205" w:lineRule="auto"/>
              <w:ind w:left="2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台</w:t>
            </w:r>
          </w:p>
        </w:tc>
        <w:tc>
          <w:tcPr>
            <w:tcW w:w="1213" w:type="dxa"/>
            <w:vAlign w:val="top"/>
          </w:tcPr>
          <w:p w14:paraId="3E61718C">
            <w:pPr>
              <w:kinsoku w:val="0"/>
              <w:autoSpaceDE w:val="0"/>
              <w:autoSpaceDN w:val="0"/>
              <w:adjustRightInd w:val="0"/>
              <w:snapToGrid w:val="0"/>
              <w:spacing w:before="213" w:line="181" w:lineRule="auto"/>
              <w:ind w:left="39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1.00</w:t>
            </w:r>
          </w:p>
        </w:tc>
        <w:tc>
          <w:tcPr>
            <w:tcW w:w="2589" w:type="dxa"/>
            <w:vAlign w:val="top"/>
          </w:tcPr>
          <w:p w14:paraId="4F4E8E78">
            <w:pPr>
              <w:kinsoku w:val="0"/>
              <w:autoSpaceDE w:val="0"/>
              <w:autoSpaceDN w:val="0"/>
              <w:adjustRightInd w:val="0"/>
              <w:snapToGrid w:val="0"/>
              <w:spacing w:before="182" w:line="205" w:lineRule="auto"/>
              <w:ind w:left="14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6U/48</w:t>
            </w:r>
            <w:r>
              <w:rPr>
                <w:rFonts w:ascii="仿宋" w:hAnsi="仿宋" w:eastAsia="仿宋" w:cs="仿宋"/>
                <w:snapToGrid w:val="0"/>
                <w:color w:val="000000"/>
                <w:spacing w:val="-34"/>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盘位集中存储；</w:t>
            </w:r>
          </w:p>
        </w:tc>
      </w:tr>
      <w:tr w14:paraId="16CF5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910" w:type="dxa"/>
            <w:vAlign w:val="top"/>
          </w:tcPr>
          <w:p w14:paraId="37C97BD9">
            <w:pPr>
              <w:kinsoku w:val="0"/>
              <w:autoSpaceDE w:val="0"/>
              <w:autoSpaceDN w:val="0"/>
              <w:adjustRightInd w:val="0"/>
              <w:snapToGrid w:val="0"/>
              <w:spacing w:before="151" w:line="183" w:lineRule="auto"/>
              <w:ind w:left="23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8.12</w:t>
            </w:r>
          </w:p>
        </w:tc>
        <w:tc>
          <w:tcPr>
            <w:tcW w:w="3003" w:type="dxa"/>
            <w:vAlign w:val="top"/>
          </w:tcPr>
          <w:p w14:paraId="1829C0AD">
            <w:pPr>
              <w:kinsoku w:val="0"/>
              <w:autoSpaceDE w:val="0"/>
              <w:autoSpaceDN w:val="0"/>
              <w:adjustRightInd w:val="0"/>
              <w:snapToGrid w:val="0"/>
              <w:spacing w:before="119" w:line="218" w:lineRule="auto"/>
              <w:ind w:left="126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硬盘</w:t>
            </w:r>
          </w:p>
        </w:tc>
        <w:tc>
          <w:tcPr>
            <w:tcW w:w="625" w:type="dxa"/>
            <w:vAlign w:val="top"/>
          </w:tcPr>
          <w:p w14:paraId="0958FC76">
            <w:pPr>
              <w:kinsoku w:val="0"/>
              <w:autoSpaceDE w:val="0"/>
              <w:autoSpaceDN w:val="0"/>
              <w:adjustRightInd w:val="0"/>
              <w:snapToGrid w:val="0"/>
              <w:spacing w:before="184" w:line="205" w:lineRule="auto"/>
              <w:ind w:left="20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块</w:t>
            </w:r>
          </w:p>
        </w:tc>
        <w:tc>
          <w:tcPr>
            <w:tcW w:w="1213" w:type="dxa"/>
            <w:vAlign w:val="top"/>
          </w:tcPr>
          <w:p w14:paraId="19573782">
            <w:pPr>
              <w:kinsoku w:val="0"/>
              <w:autoSpaceDE w:val="0"/>
              <w:autoSpaceDN w:val="0"/>
              <w:adjustRightInd w:val="0"/>
              <w:snapToGrid w:val="0"/>
              <w:spacing w:before="215" w:line="181" w:lineRule="auto"/>
              <w:ind w:left="3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78.00</w:t>
            </w:r>
          </w:p>
        </w:tc>
        <w:tc>
          <w:tcPr>
            <w:tcW w:w="2589" w:type="dxa"/>
            <w:vAlign w:val="top"/>
          </w:tcPr>
          <w:p w14:paraId="395A66A8">
            <w:pPr>
              <w:kinsoku w:val="0"/>
              <w:autoSpaceDE w:val="0"/>
              <w:autoSpaceDN w:val="0"/>
              <w:adjustRightInd w:val="0"/>
              <w:snapToGrid w:val="0"/>
              <w:spacing w:before="184" w:line="205" w:lineRule="auto"/>
              <w:ind w:left="74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16T</w:t>
            </w:r>
            <w:r>
              <w:rPr>
                <w:rFonts w:ascii="仿宋" w:hAnsi="仿宋" w:eastAsia="仿宋" w:cs="仿宋"/>
                <w:snapToGrid w:val="0"/>
                <w:color w:val="000000"/>
                <w:spacing w:val="-49"/>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企业级</w:t>
            </w:r>
          </w:p>
        </w:tc>
      </w:tr>
      <w:tr w14:paraId="2D30C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10" w:type="dxa"/>
            <w:vAlign w:val="top"/>
          </w:tcPr>
          <w:p w14:paraId="41DA77C9">
            <w:pPr>
              <w:kinsoku w:val="0"/>
              <w:autoSpaceDE w:val="0"/>
              <w:autoSpaceDN w:val="0"/>
              <w:adjustRightInd w:val="0"/>
              <w:snapToGrid w:val="0"/>
              <w:spacing w:before="150" w:line="183" w:lineRule="auto"/>
              <w:ind w:left="23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8.13</w:t>
            </w:r>
          </w:p>
        </w:tc>
        <w:tc>
          <w:tcPr>
            <w:tcW w:w="3003" w:type="dxa"/>
            <w:vAlign w:val="top"/>
          </w:tcPr>
          <w:p w14:paraId="0645E9EB">
            <w:pPr>
              <w:kinsoku w:val="0"/>
              <w:autoSpaceDE w:val="0"/>
              <w:autoSpaceDN w:val="0"/>
              <w:adjustRightInd w:val="0"/>
              <w:snapToGrid w:val="0"/>
              <w:spacing w:before="119" w:line="217" w:lineRule="auto"/>
              <w:ind w:left="32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室内监控线缆</w:t>
            </w:r>
            <w:r>
              <w:rPr>
                <w:rFonts w:ascii="仿宋" w:hAnsi="仿宋" w:eastAsia="仿宋" w:cs="仿宋"/>
                <w:snapToGrid w:val="0"/>
                <w:color w:val="000000"/>
                <w:spacing w:val="-38"/>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t>6</w:t>
            </w:r>
            <w:r>
              <w:rPr>
                <w:rFonts w:ascii="仿宋" w:hAnsi="仿宋" w:eastAsia="仿宋" w:cs="仿宋"/>
                <w:snapToGrid w:val="0"/>
                <w:color w:val="000000"/>
                <w:spacing w:val="-38"/>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t>类网线</w:t>
            </w:r>
          </w:p>
        </w:tc>
        <w:tc>
          <w:tcPr>
            <w:tcW w:w="625" w:type="dxa"/>
            <w:vAlign w:val="top"/>
          </w:tcPr>
          <w:p w14:paraId="6CAE65FE">
            <w:pPr>
              <w:kinsoku w:val="0"/>
              <w:autoSpaceDE w:val="0"/>
              <w:autoSpaceDN w:val="0"/>
              <w:adjustRightInd w:val="0"/>
              <w:snapToGrid w:val="0"/>
              <w:spacing w:before="267" w:line="182" w:lineRule="exact"/>
              <w:ind w:left="2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m</w:t>
            </w:r>
          </w:p>
        </w:tc>
        <w:tc>
          <w:tcPr>
            <w:tcW w:w="1213" w:type="dxa"/>
            <w:vAlign w:val="top"/>
          </w:tcPr>
          <w:p w14:paraId="4303C5E9">
            <w:pPr>
              <w:kinsoku w:val="0"/>
              <w:autoSpaceDE w:val="0"/>
              <w:autoSpaceDN w:val="0"/>
              <w:adjustRightInd w:val="0"/>
              <w:snapToGrid w:val="0"/>
              <w:spacing w:before="215" w:line="183" w:lineRule="auto"/>
              <w:ind w:left="15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11000.00</w:t>
            </w:r>
          </w:p>
        </w:tc>
        <w:tc>
          <w:tcPr>
            <w:tcW w:w="2589" w:type="dxa"/>
            <w:vAlign w:val="top"/>
          </w:tcPr>
          <w:p w14:paraId="01B91A33">
            <w:pPr>
              <w:kinsoku w:val="0"/>
              <w:autoSpaceDE w:val="0"/>
              <w:autoSpaceDN w:val="0"/>
              <w:adjustRightInd w:val="0"/>
              <w:snapToGrid w:val="0"/>
              <w:spacing w:before="183" w:line="207" w:lineRule="auto"/>
              <w:ind w:left="47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沿原有桥架敷设</w:t>
            </w:r>
          </w:p>
        </w:tc>
      </w:tr>
      <w:tr w14:paraId="332D7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37BADE4A">
            <w:pPr>
              <w:kinsoku w:val="0"/>
              <w:autoSpaceDE w:val="0"/>
              <w:autoSpaceDN w:val="0"/>
              <w:adjustRightInd w:val="0"/>
              <w:snapToGrid w:val="0"/>
              <w:spacing w:before="148" w:line="181" w:lineRule="auto"/>
              <w:ind w:left="41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3"/>
                <w:kern w:val="0"/>
                <w:sz w:val="24"/>
                <w:szCs w:val="24"/>
                <w:lang w:val="en-US" w:eastAsia="en-US" w:bidi="ar-SA"/>
              </w:rPr>
              <w:t>9</w:t>
            </w:r>
          </w:p>
        </w:tc>
        <w:tc>
          <w:tcPr>
            <w:tcW w:w="3003" w:type="dxa"/>
            <w:vAlign w:val="top"/>
          </w:tcPr>
          <w:p w14:paraId="496D3B5D">
            <w:pPr>
              <w:kinsoku w:val="0"/>
              <w:autoSpaceDE w:val="0"/>
              <w:autoSpaceDN w:val="0"/>
              <w:adjustRightInd w:val="0"/>
              <w:snapToGrid w:val="0"/>
              <w:spacing w:before="116" w:line="219" w:lineRule="auto"/>
              <w:ind w:left="10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5"/>
                <w:kern w:val="0"/>
                <w:sz w:val="24"/>
                <w:szCs w:val="24"/>
                <w:lang w:val="en-US" w:eastAsia="en-US" w:bidi="ar-SA"/>
              </w:rPr>
              <w:t>设备购置</w:t>
            </w:r>
          </w:p>
        </w:tc>
        <w:tc>
          <w:tcPr>
            <w:tcW w:w="625" w:type="dxa"/>
            <w:vAlign w:val="top"/>
          </w:tcPr>
          <w:p w14:paraId="7D8E1BF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13" w:type="dxa"/>
            <w:vAlign w:val="top"/>
          </w:tcPr>
          <w:p w14:paraId="686C440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589" w:type="dxa"/>
            <w:vAlign w:val="top"/>
          </w:tcPr>
          <w:p w14:paraId="6034080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CB30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7211014C">
            <w:pPr>
              <w:kinsoku w:val="0"/>
              <w:autoSpaceDE w:val="0"/>
              <w:autoSpaceDN w:val="0"/>
              <w:adjustRightInd w:val="0"/>
              <w:snapToGrid w:val="0"/>
              <w:spacing w:before="147"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9.1</w:t>
            </w:r>
          </w:p>
        </w:tc>
        <w:tc>
          <w:tcPr>
            <w:tcW w:w="3003" w:type="dxa"/>
            <w:vAlign w:val="top"/>
          </w:tcPr>
          <w:p w14:paraId="6FE0BA9D">
            <w:pPr>
              <w:kinsoku w:val="0"/>
              <w:autoSpaceDE w:val="0"/>
              <w:autoSpaceDN w:val="0"/>
              <w:adjustRightInd w:val="0"/>
              <w:snapToGrid w:val="0"/>
              <w:spacing w:before="116" w:line="217" w:lineRule="auto"/>
              <w:ind w:left="2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更换传染病区电梯</w:t>
            </w:r>
          </w:p>
        </w:tc>
        <w:tc>
          <w:tcPr>
            <w:tcW w:w="625" w:type="dxa"/>
            <w:vAlign w:val="top"/>
          </w:tcPr>
          <w:p w14:paraId="2D8E3339">
            <w:pPr>
              <w:kinsoku w:val="0"/>
              <w:autoSpaceDE w:val="0"/>
              <w:autoSpaceDN w:val="0"/>
              <w:adjustRightInd w:val="0"/>
              <w:snapToGrid w:val="0"/>
              <w:spacing w:before="178" w:line="208" w:lineRule="auto"/>
              <w:ind w:left="19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部</w:t>
            </w:r>
          </w:p>
        </w:tc>
        <w:tc>
          <w:tcPr>
            <w:tcW w:w="1213" w:type="dxa"/>
            <w:vAlign w:val="top"/>
          </w:tcPr>
          <w:p w14:paraId="0C05D41E">
            <w:pPr>
              <w:kinsoku w:val="0"/>
              <w:autoSpaceDE w:val="0"/>
              <w:autoSpaceDN w:val="0"/>
              <w:adjustRightInd w:val="0"/>
              <w:snapToGrid w:val="0"/>
              <w:spacing w:before="210" w:line="183" w:lineRule="auto"/>
              <w:ind w:left="3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2.00</w:t>
            </w:r>
          </w:p>
        </w:tc>
        <w:tc>
          <w:tcPr>
            <w:tcW w:w="2589" w:type="dxa"/>
            <w:vAlign w:val="top"/>
          </w:tcPr>
          <w:p w14:paraId="2B72F3E2">
            <w:pPr>
              <w:kinsoku w:val="0"/>
              <w:autoSpaceDE w:val="0"/>
              <w:autoSpaceDN w:val="0"/>
              <w:adjustRightInd w:val="0"/>
              <w:snapToGrid w:val="0"/>
              <w:spacing w:before="178" w:line="208" w:lineRule="auto"/>
              <w:ind w:left="5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6</w:t>
            </w:r>
            <w:r>
              <w:rPr>
                <w:rFonts w:ascii="仿宋" w:hAnsi="仿宋" w:eastAsia="仿宋" w:cs="仿宋"/>
                <w:snapToGrid w:val="0"/>
                <w:color w:val="000000"/>
                <w:spacing w:val="-37"/>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层/站、载重量</w:t>
            </w:r>
            <w:r>
              <w:rPr>
                <w:rFonts w:ascii="仿宋" w:hAnsi="仿宋" w:eastAsia="仿宋" w:cs="仿宋"/>
                <w:snapToGrid w:val="0"/>
                <w:color w:val="000000"/>
                <w:spacing w:val="-3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1800kg</w:t>
            </w:r>
          </w:p>
        </w:tc>
      </w:tr>
      <w:tr w14:paraId="57B6C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1C469EE4">
            <w:pPr>
              <w:kinsoku w:val="0"/>
              <w:autoSpaceDE w:val="0"/>
              <w:autoSpaceDN w:val="0"/>
              <w:adjustRightInd w:val="0"/>
              <w:snapToGrid w:val="0"/>
              <w:spacing w:before="146"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9.2</w:t>
            </w:r>
          </w:p>
        </w:tc>
        <w:tc>
          <w:tcPr>
            <w:tcW w:w="3003" w:type="dxa"/>
            <w:vAlign w:val="top"/>
          </w:tcPr>
          <w:p w14:paraId="2477C27F">
            <w:pPr>
              <w:kinsoku w:val="0"/>
              <w:autoSpaceDE w:val="0"/>
              <w:autoSpaceDN w:val="0"/>
              <w:adjustRightInd w:val="0"/>
              <w:snapToGrid w:val="0"/>
              <w:spacing w:before="116" w:line="216" w:lineRule="auto"/>
              <w:ind w:left="4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门诊楼门厅</w:t>
            </w:r>
            <w:r>
              <w:rPr>
                <w:rFonts w:ascii="仿宋" w:hAnsi="仿宋" w:eastAsia="仿宋" w:cs="仿宋"/>
                <w:snapToGrid w:val="0"/>
                <w:color w:val="000000"/>
                <w:spacing w:val="-44"/>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LED</w:t>
            </w:r>
            <w:r>
              <w:rPr>
                <w:rFonts w:ascii="仿宋" w:hAnsi="仿宋" w:eastAsia="仿宋" w:cs="仿宋"/>
                <w:snapToGrid w:val="0"/>
                <w:color w:val="000000"/>
                <w:spacing w:val="-36"/>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显示屏更换</w:t>
            </w:r>
          </w:p>
        </w:tc>
        <w:tc>
          <w:tcPr>
            <w:tcW w:w="625" w:type="dxa"/>
            <w:vAlign w:val="top"/>
          </w:tcPr>
          <w:p w14:paraId="271280F8">
            <w:pPr>
              <w:kinsoku w:val="0"/>
              <w:autoSpaceDE w:val="0"/>
              <w:autoSpaceDN w:val="0"/>
              <w:adjustRightInd w:val="0"/>
              <w:snapToGrid w:val="0"/>
              <w:spacing w:before="179" w:line="207" w:lineRule="auto"/>
              <w:ind w:left="2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台</w:t>
            </w:r>
          </w:p>
        </w:tc>
        <w:tc>
          <w:tcPr>
            <w:tcW w:w="1213" w:type="dxa"/>
            <w:vAlign w:val="top"/>
          </w:tcPr>
          <w:p w14:paraId="2B0EB534">
            <w:pPr>
              <w:kinsoku w:val="0"/>
              <w:autoSpaceDE w:val="0"/>
              <w:autoSpaceDN w:val="0"/>
              <w:adjustRightInd w:val="0"/>
              <w:snapToGrid w:val="0"/>
              <w:spacing w:before="211" w:line="183" w:lineRule="auto"/>
              <w:ind w:left="39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1.00</w:t>
            </w:r>
          </w:p>
        </w:tc>
        <w:tc>
          <w:tcPr>
            <w:tcW w:w="2589" w:type="dxa"/>
            <w:vAlign w:val="top"/>
          </w:tcPr>
          <w:p w14:paraId="6335DF36">
            <w:pPr>
              <w:kinsoku w:val="0"/>
              <w:autoSpaceDE w:val="0"/>
              <w:autoSpaceDN w:val="0"/>
              <w:adjustRightInd w:val="0"/>
              <w:snapToGrid w:val="0"/>
              <w:spacing w:before="179" w:line="207" w:lineRule="auto"/>
              <w:ind w:left="3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6.4*2.5m</w:t>
            </w:r>
            <w:r>
              <w:rPr>
                <w:rFonts w:ascii="仿宋" w:hAnsi="仿宋" w:eastAsia="仿宋" w:cs="仿宋"/>
                <w:snapToGrid w:val="0"/>
                <w:color w:val="000000"/>
                <w:spacing w:val="-57"/>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全彩</w:t>
            </w:r>
            <w:r>
              <w:rPr>
                <w:rFonts w:ascii="仿宋" w:hAnsi="仿宋" w:eastAsia="仿宋" w:cs="仿宋"/>
                <w:snapToGrid w:val="0"/>
                <w:color w:val="000000"/>
                <w:spacing w:val="-58"/>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P1.5</w:t>
            </w:r>
            <w:r>
              <w:rPr>
                <w:rFonts w:ascii="仿宋" w:hAnsi="仿宋" w:eastAsia="仿宋" w:cs="仿宋"/>
                <w:snapToGrid w:val="0"/>
                <w:color w:val="000000"/>
                <w:spacing w:val="-47"/>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高清</w:t>
            </w:r>
          </w:p>
        </w:tc>
      </w:tr>
      <w:tr w14:paraId="5EDCE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22FFB946">
            <w:pPr>
              <w:kinsoku w:val="0"/>
              <w:autoSpaceDE w:val="0"/>
              <w:autoSpaceDN w:val="0"/>
              <w:adjustRightInd w:val="0"/>
              <w:snapToGrid w:val="0"/>
              <w:spacing w:before="148"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9.3</w:t>
            </w:r>
          </w:p>
        </w:tc>
        <w:tc>
          <w:tcPr>
            <w:tcW w:w="3003" w:type="dxa"/>
            <w:vAlign w:val="top"/>
          </w:tcPr>
          <w:p w14:paraId="533025C4">
            <w:pPr>
              <w:kinsoku w:val="0"/>
              <w:autoSpaceDE w:val="0"/>
              <w:autoSpaceDN w:val="0"/>
              <w:adjustRightInd w:val="0"/>
              <w:snapToGrid w:val="0"/>
              <w:spacing w:before="117" w:line="217" w:lineRule="auto"/>
              <w:ind w:left="2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病房、护士站增加厨宝</w:t>
            </w:r>
          </w:p>
        </w:tc>
        <w:tc>
          <w:tcPr>
            <w:tcW w:w="625" w:type="dxa"/>
            <w:vAlign w:val="top"/>
          </w:tcPr>
          <w:p w14:paraId="3FEA3251">
            <w:pPr>
              <w:kinsoku w:val="0"/>
              <w:autoSpaceDE w:val="0"/>
              <w:autoSpaceDN w:val="0"/>
              <w:adjustRightInd w:val="0"/>
              <w:snapToGrid w:val="0"/>
              <w:spacing w:before="179" w:line="207" w:lineRule="auto"/>
              <w:ind w:left="2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台</w:t>
            </w:r>
          </w:p>
        </w:tc>
        <w:tc>
          <w:tcPr>
            <w:tcW w:w="1213" w:type="dxa"/>
            <w:vAlign w:val="top"/>
          </w:tcPr>
          <w:p w14:paraId="119CE85C">
            <w:pPr>
              <w:kinsoku w:val="0"/>
              <w:autoSpaceDE w:val="0"/>
              <w:autoSpaceDN w:val="0"/>
              <w:adjustRightInd w:val="0"/>
              <w:snapToGrid w:val="0"/>
              <w:spacing w:before="210" w:line="183" w:lineRule="auto"/>
              <w:ind w:left="27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300.00</w:t>
            </w:r>
          </w:p>
        </w:tc>
        <w:tc>
          <w:tcPr>
            <w:tcW w:w="2589" w:type="dxa"/>
            <w:vAlign w:val="top"/>
          </w:tcPr>
          <w:p w14:paraId="3034AA9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78DB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10" w:type="dxa"/>
            <w:vAlign w:val="top"/>
          </w:tcPr>
          <w:p w14:paraId="5F4211C6">
            <w:pPr>
              <w:kinsoku w:val="0"/>
              <w:autoSpaceDE w:val="0"/>
              <w:autoSpaceDN w:val="0"/>
              <w:adjustRightInd w:val="0"/>
              <w:snapToGrid w:val="0"/>
              <w:spacing w:before="138"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9.4</w:t>
            </w:r>
          </w:p>
        </w:tc>
        <w:tc>
          <w:tcPr>
            <w:tcW w:w="3003" w:type="dxa"/>
            <w:vAlign w:val="top"/>
          </w:tcPr>
          <w:p w14:paraId="77FBA0A4">
            <w:pPr>
              <w:kinsoku w:val="0"/>
              <w:autoSpaceDE w:val="0"/>
              <w:autoSpaceDN w:val="0"/>
              <w:adjustRightInd w:val="0"/>
              <w:snapToGrid w:val="0"/>
              <w:spacing w:before="106" w:line="215" w:lineRule="auto"/>
              <w:ind w:left="2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柴油发电机组设备购置</w:t>
            </w:r>
          </w:p>
        </w:tc>
        <w:tc>
          <w:tcPr>
            <w:tcW w:w="625" w:type="dxa"/>
            <w:vAlign w:val="top"/>
          </w:tcPr>
          <w:p w14:paraId="307F82DF">
            <w:pPr>
              <w:kinsoku w:val="0"/>
              <w:autoSpaceDE w:val="0"/>
              <w:autoSpaceDN w:val="0"/>
              <w:adjustRightInd w:val="0"/>
              <w:snapToGrid w:val="0"/>
              <w:spacing w:before="159" w:line="208" w:lineRule="auto"/>
              <w:ind w:left="2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台</w:t>
            </w:r>
          </w:p>
        </w:tc>
        <w:tc>
          <w:tcPr>
            <w:tcW w:w="1213" w:type="dxa"/>
            <w:vAlign w:val="top"/>
          </w:tcPr>
          <w:p w14:paraId="53536466">
            <w:pPr>
              <w:kinsoku w:val="0"/>
              <w:autoSpaceDE w:val="0"/>
              <w:autoSpaceDN w:val="0"/>
              <w:adjustRightInd w:val="0"/>
              <w:snapToGrid w:val="0"/>
              <w:spacing w:before="190" w:line="183" w:lineRule="auto"/>
              <w:ind w:left="39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1.00</w:t>
            </w:r>
          </w:p>
        </w:tc>
        <w:tc>
          <w:tcPr>
            <w:tcW w:w="2589" w:type="dxa"/>
            <w:vAlign w:val="top"/>
          </w:tcPr>
          <w:p w14:paraId="2F8B94E8">
            <w:pPr>
              <w:kinsoku w:val="0"/>
              <w:autoSpaceDE w:val="0"/>
              <w:autoSpaceDN w:val="0"/>
              <w:adjustRightInd w:val="0"/>
              <w:snapToGrid w:val="0"/>
              <w:spacing w:before="190" w:line="181" w:lineRule="auto"/>
              <w:ind w:left="95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1000KW</w:t>
            </w:r>
          </w:p>
        </w:tc>
      </w:tr>
      <w:tr w14:paraId="0EB03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10" w:type="dxa"/>
            <w:vAlign w:val="top"/>
          </w:tcPr>
          <w:p w14:paraId="02D397D8">
            <w:pPr>
              <w:kinsoku w:val="0"/>
              <w:autoSpaceDE w:val="0"/>
              <w:autoSpaceDN w:val="0"/>
              <w:adjustRightInd w:val="0"/>
              <w:snapToGrid w:val="0"/>
              <w:spacing w:before="240"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9.5</w:t>
            </w:r>
          </w:p>
        </w:tc>
        <w:tc>
          <w:tcPr>
            <w:tcW w:w="3003" w:type="dxa"/>
            <w:vAlign w:val="top"/>
          </w:tcPr>
          <w:p w14:paraId="15EFBD77">
            <w:pPr>
              <w:kinsoku w:val="0"/>
              <w:autoSpaceDE w:val="0"/>
              <w:autoSpaceDN w:val="0"/>
              <w:adjustRightInd w:val="0"/>
              <w:snapToGrid w:val="0"/>
              <w:spacing w:before="53" w:line="223" w:lineRule="auto"/>
              <w:ind w:left="21" w:right="108" w:firstLine="3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内科楼新增厨宝的位置更换</w:t>
            </w:r>
            <w:r>
              <w:rPr>
                <w:rFonts w:ascii="仿宋" w:hAnsi="仿宋" w:eastAsia="仿宋" w:cs="仿宋"/>
                <w:snapToGrid w:val="0"/>
                <w:color w:val="000000"/>
                <w:spacing w:val="3"/>
                <w:kern w:val="0"/>
                <w:sz w:val="24"/>
                <w:szCs w:val="24"/>
                <w:lang w:val="en-US" w:eastAsia="en-US" w:bidi="ar-SA"/>
              </w:rPr>
              <w:t xml:space="preserve"> </w:t>
            </w:r>
            <w:r>
              <w:rPr>
                <w:rFonts w:ascii="仿宋" w:hAnsi="仿宋" w:eastAsia="仿宋" w:cs="仿宋"/>
                <w:snapToGrid w:val="0"/>
                <w:color w:val="000000"/>
                <w:spacing w:val="-3"/>
                <w:kern w:val="0"/>
                <w:sz w:val="24"/>
                <w:szCs w:val="24"/>
                <w:lang w:val="en-US" w:eastAsia="en-US" w:bidi="ar-SA"/>
              </w:rPr>
              <w:t>冷热水龙头</w:t>
            </w:r>
          </w:p>
        </w:tc>
        <w:tc>
          <w:tcPr>
            <w:tcW w:w="625" w:type="dxa"/>
            <w:vAlign w:val="top"/>
          </w:tcPr>
          <w:p w14:paraId="45BA8AF5">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14:paraId="64EEB50E">
            <w:pPr>
              <w:kinsoku w:val="0"/>
              <w:autoSpaceDE w:val="0"/>
              <w:autoSpaceDN w:val="0"/>
              <w:adjustRightInd w:val="0"/>
              <w:snapToGrid w:val="0"/>
              <w:spacing w:before="78" w:line="206" w:lineRule="auto"/>
              <w:ind w:left="20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个</w:t>
            </w:r>
          </w:p>
        </w:tc>
        <w:tc>
          <w:tcPr>
            <w:tcW w:w="1213" w:type="dxa"/>
            <w:vAlign w:val="top"/>
          </w:tcPr>
          <w:p w14:paraId="2AA92F08">
            <w:pPr>
              <w:widowControl/>
              <w:kinsoku w:val="0"/>
              <w:autoSpaceDE w:val="0"/>
              <w:autoSpaceDN w:val="0"/>
              <w:adjustRightInd w:val="0"/>
              <w:snapToGrid w:val="0"/>
              <w:spacing w:line="316" w:lineRule="auto"/>
              <w:jc w:val="left"/>
              <w:textAlignment w:val="baseline"/>
              <w:rPr>
                <w:rFonts w:ascii="Arial" w:hAnsi="Arial" w:eastAsia="Arial" w:cs="Arial"/>
                <w:snapToGrid w:val="0"/>
                <w:color w:val="000000"/>
                <w:kern w:val="0"/>
                <w:sz w:val="21"/>
                <w:szCs w:val="21"/>
                <w:lang w:eastAsia="en-US"/>
              </w:rPr>
            </w:pPr>
          </w:p>
          <w:p w14:paraId="74E61921">
            <w:pPr>
              <w:kinsoku w:val="0"/>
              <w:autoSpaceDE w:val="0"/>
              <w:autoSpaceDN w:val="0"/>
              <w:adjustRightInd w:val="0"/>
              <w:snapToGrid w:val="0"/>
              <w:spacing w:before="78" w:line="182" w:lineRule="auto"/>
              <w:ind w:left="27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140.00</w:t>
            </w:r>
          </w:p>
        </w:tc>
        <w:tc>
          <w:tcPr>
            <w:tcW w:w="2589" w:type="dxa"/>
            <w:vAlign w:val="top"/>
          </w:tcPr>
          <w:p w14:paraId="1D8D0D8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B3A1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10" w:type="dxa"/>
            <w:vAlign w:val="top"/>
          </w:tcPr>
          <w:p w14:paraId="6DA0C463">
            <w:pPr>
              <w:kinsoku w:val="0"/>
              <w:autoSpaceDE w:val="0"/>
              <w:autoSpaceDN w:val="0"/>
              <w:adjustRightInd w:val="0"/>
              <w:snapToGrid w:val="0"/>
              <w:spacing w:before="139"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9.6</w:t>
            </w:r>
          </w:p>
        </w:tc>
        <w:tc>
          <w:tcPr>
            <w:tcW w:w="3003" w:type="dxa"/>
            <w:vAlign w:val="top"/>
          </w:tcPr>
          <w:p w14:paraId="39263562">
            <w:pPr>
              <w:kinsoku w:val="0"/>
              <w:autoSpaceDE w:val="0"/>
              <w:autoSpaceDN w:val="0"/>
              <w:adjustRightInd w:val="0"/>
              <w:snapToGrid w:val="0"/>
              <w:spacing w:before="108" w:line="218" w:lineRule="auto"/>
              <w:ind w:left="4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电缆线</w:t>
            </w:r>
            <w:r>
              <w:rPr>
                <w:rFonts w:ascii="仿宋" w:hAnsi="仿宋" w:eastAsia="仿宋" w:cs="仿宋"/>
                <w:snapToGrid w:val="0"/>
                <w:color w:val="000000"/>
                <w:spacing w:val="-34"/>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4*185+1*95</w:t>
            </w:r>
          </w:p>
        </w:tc>
        <w:tc>
          <w:tcPr>
            <w:tcW w:w="625" w:type="dxa"/>
            <w:vAlign w:val="top"/>
          </w:tcPr>
          <w:p w14:paraId="591B9383">
            <w:pPr>
              <w:kinsoku w:val="0"/>
              <w:autoSpaceDE w:val="0"/>
              <w:autoSpaceDN w:val="0"/>
              <w:adjustRightInd w:val="0"/>
              <w:snapToGrid w:val="0"/>
              <w:spacing w:before="244" w:line="181" w:lineRule="exact"/>
              <w:ind w:left="2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m</w:t>
            </w:r>
          </w:p>
        </w:tc>
        <w:tc>
          <w:tcPr>
            <w:tcW w:w="1213" w:type="dxa"/>
            <w:vAlign w:val="top"/>
          </w:tcPr>
          <w:p w14:paraId="2E3BEE3D">
            <w:pPr>
              <w:kinsoku w:val="0"/>
              <w:autoSpaceDE w:val="0"/>
              <w:autoSpaceDN w:val="0"/>
              <w:adjustRightInd w:val="0"/>
              <w:snapToGrid w:val="0"/>
              <w:spacing w:before="192" w:line="183" w:lineRule="auto"/>
              <w:ind w:left="26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450.00</w:t>
            </w:r>
          </w:p>
        </w:tc>
        <w:tc>
          <w:tcPr>
            <w:tcW w:w="2589" w:type="dxa"/>
            <w:vAlign w:val="top"/>
          </w:tcPr>
          <w:p w14:paraId="3C35F5E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2561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10" w:type="dxa"/>
            <w:vAlign w:val="top"/>
          </w:tcPr>
          <w:p w14:paraId="3290417D">
            <w:pPr>
              <w:kinsoku w:val="0"/>
              <w:autoSpaceDE w:val="0"/>
              <w:autoSpaceDN w:val="0"/>
              <w:adjustRightInd w:val="0"/>
              <w:snapToGrid w:val="0"/>
              <w:spacing w:before="140"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9.7</w:t>
            </w:r>
          </w:p>
        </w:tc>
        <w:tc>
          <w:tcPr>
            <w:tcW w:w="3003" w:type="dxa"/>
            <w:vAlign w:val="top"/>
          </w:tcPr>
          <w:p w14:paraId="165A95AF">
            <w:pPr>
              <w:kinsoku w:val="0"/>
              <w:autoSpaceDE w:val="0"/>
              <w:autoSpaceDN w:val="0"/>
              <w:adjustRightInd w:val="0"/>
              <w:snapToGrid w:val="0"/>
              <w:spacing w:before="109" w:line="218" w:lineRule="auto"/>
              <w:ind w:left="4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电缆线</w:t>
            </w:r>
            <w:r>
              <w:rPr>
                <w:rFonts w:ascii="仿宋" w:hAnsi="仿宋" w:eastAsia="仿宋" w:cs="仿宋"/>
                <w:snapToGrid w:val="0"/>
                <w:color w:val="000000"/>
                <w:spacing w:val="-39"/>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4*50+1*25</w:t>
            </w:r>
          </w:p>
        </w:tc>
        <w:tc>
          <w:tcPr>
            <w:tcW w:w="625" w:type="dxa"/>
            <w:vAlign w:val="top"/>
          </w:tcPr>
          <w:p w14:paraId="215A3441">
            <w:pPr>
              <w:kinsoku w:val="0"/>
              <w:autoSpaceDE w:val="0"/>
              <w:autoSpaceDN w:val="0"/>
              <w:adjustRightInd w:val="0"/>
              <w:snapToGrid w:val="0"/>
              <w:spacing w:before="245" w:line="182" w:lineRule="exact"/>
              <w:ind w:left="2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m</w:t>
            </w:r>
          </w:p>
        </w:tc>
        <w:tc>
          <w:tcPr>
            <w:tcW w:w="1213" w:type="dxa"/>
            <w:vAlign w:val="top"/>
          </w:tcPr>
          <w:p w14:paraId="14FF45A2">
            <w:pPr>
              <w:kinsoku w:val="0"/>
              <w:autoSpaceDE w:val="0"/>
              <w:autoSpaceDN w:val="0"/>
              <w:adjustRightInd w:val="0"/>
              <w:snapToGrid w:val="0"/>
              <w:spacing w:before="193" w:line="182" w:lineRule="auto"/>
              <w:ind w:left="27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300.00</w:t>
            </w:r>
          </w:p>
        </w:tc>
        <w:tc>
          <w:tcPr>
            <w:tcW w:w="2589" w:type="dxa"/>
            <w:vAlign w:val="top"/>
          </w:tcPr>
          <w:p w14:paraId="3765971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477F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10" w:type="dxa"/>
            <w:vAlign w:val="top"/>
          </w:tcPr>
          <w:p w14:paraId="58E0E1AB">
            <w:pPr>
              <w:kinsoku w:val="0"/>
              <w:autoSpaceDE w:val="0"/>
              <w:autoSpaceDN w:val="0"/>
              <w:adjustRightInd w:val="0"/>
              <w:snapToGrid w:val="0"/>
              <w:spacing w:before="139"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9.8</w:t>
            </w:r>
          </w:p>
        </w:tc>
        <w:tc>
          <w:tcPr>
            <w:tcW w:w="3003" w:type="dxa"/>
            <w:vAlign w:val="top"/>
          </w:tcPr>
          <w:p w14:paraId="413B7708">
            <w:pPr>
              <w:kinsoku w:val="0"/>
              <w:autoSpaceDE w:val="0"/>
              <w:autoSpaceDN w:val="0"/>
              <w:adjustRightInd w:val="0"/>
              <w:snapToGrid w:val="0"/>
              <w:spacing w:before="108" w:line="218" w:lineRule="auto"/>
              <w:ind w:left="1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铜芯线</w:t>
            </w:r>
            <w:r>
              <w:rPr>
                <w:rFonts w:ascii="仿宋" w:hAnsi="仿宋" w:eastAsia="仿宋" w:cs="仿宋"/>
                <w:snapToGrid w:val="0"/>
                <w:color w:val="000000"/>
                <w:spacing w:val="-38"/>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4mm</w:t>
            </w:r>
          </w:p>
        </w:tc>
        <w:tc>
          <w:tcPr>
            <w:tcW w:w="625" w:type="dxa"/>
            <w:vAlign w:val="top"/>
          </w:tcPr>
          <w:p w14:paraId="6C543429">
            <w:pPr>
              <w:kinsoku w:val="0"/>
              <w:autoSpaceDE w:val="0"/>
              <w:autoSpaceDN w:val="0"/>
              <w:adjustRightInd w:val="0"/>
              <w:snapToGrid w:val="0"/>
              <w:spacing w:before="244" w:line="182" w:lineRule="exact"/>
              <w:ind w:left="2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m</w:t>
            </w:r>
          </w:p>
        </w:tc>
        <w:tc>
          <w:tcPr>
            <w:tcW w:w="1213" w:type="dxa"/>
            <w:vAlign w:val="top"/>
          </w:tcPr>
          <w:p w14:paraId="7AA6667E">
            <w:pPr>
              <w:kinsoku w:val="0"/>
              <w:autoSpaceDE w:val="0"/>
              <w:autoSpaceDN w:val="0"/>
              <w:adjustRightInd w:val="0"/>
              <w:snapToGrid w:val="0"/>
              <w:spacing w:before="192" w:line="183" w:lineRule="auto"/>
              <w:ind w:left="14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50000.00</w:t>
            </w:r>
          </w:p>
        </w:tc>
        <w:tc>
          <w:tcPr>
            <w:tcW w:w="2589" w:type="dxa"/>
            <w:vAlign w:val="top"/>
          </w:tcPr>
          <w:p w14:paraId="5B1ABA1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E72C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10" w:type="dxa"/>
            <w:vAlign w:val="top"/>
          </w:tcPr>
          <w:p w14:paraId="55B7BC2D">
            <w:pPr>
              <w:kinsoku w:val="0"/>
              <w:autoSpaceDE w:val="0"/>
              <w:autoSpaceDN w:val="0"/>
              <w:adjustRightInd w:val="0"/>
              <w:snapToGrid w:val="0"/>
              <w:spacing w:before="138" w:line="183" w:lineRule="auto"/>
              <w:ind w:left="2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9.9</w:t>
            </w:r>
          </w:p>
        </w:tc>
        <w:tc>
          <w:tcPr>
            <w:tcW w:w="3003" w:type="dxa"/>
            <w:vAlign w:val="top"/>
          </w:tcPr>
          <w:p w14:paraId="10C7D9AD">
            <w:pPr>
              <w:kinsoku w:val="0"/>
              <w:autoSpaceDE w:val="0"/>
              <w:autoSpaceDN w:val="0"/>
              <w:adjustRightInd w:val="0"/>
              <w:snapToGrid w:val="0"/>
              <w:spacing w:before="107" w:line="217" w:lineRule="auto"/>
              <w:ind w:left="3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空气开关</w:t>
            </w:r>
          </w:p>
        </w:tc>
        <w:tc>
          <w:tcPr>
            <w:tcW w:w="625" w:type="dxa"/>
            <w:vAlign w:val="top"/>
          </w:tcPr>
          <w:p w14:paraId="509810A5">
            <w:pPr>
              <w:kinsoku w:val="0"/>
              <w:autoSpaceDE w:val="0"/>
              <w:autoSpaceDN w:val="0"/>
              <w:adjustRightInd w:val="0"/>
              <w:snapToGrid w:val="0"/>
              <w:spacing w:before="162" w:line="206" w:lineRule="auto"/>
              <w:ind w:left="20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个</w:t>
            </w:r>
          </w:p>
        </w:tc>
        <w:tc>
          <w:tcPr>
            <w:tcW w:w="1213" w:type="dxa"/>
            <w:vAlign w:val="top"/>
          </w:tcPr>
          <w:p w14:paraId="7AE0020A">
            <w:pPr>
              <w:kinsoku w:val="0"/>
              <w:autoSpaceDE w:val="0"/>
              <w:autoSpaceDN w:val="0"/>
              <w:adjustRightInd w:val="0"/>
              <w:snapToGrid w:val="0"/>
              <w:spacing w:before="193" w:line="182" w:lineRule="auto"/>
              <w:ind w:left="27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300.00</w:t>
            </w:r>
          </w:p>
        </w:tc>
        <w:tc>
          <w:tcPr>
            <w:tcW w:w="2589" w:type="dxa"/>
            <w:vAlign w:val="top"/>
          </w:tcPr>
          <w:p w14:paraId="7DB0EE3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A22F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10" w:type="dxa"/>
            <w:vAlign w:val="top"/>
          </w:tcPr>
          <w:p w14:paraId="03BFD793">
            <w:pPr>
              <w:kinsoku w:val="0"/>
              <w:autoSpaceDE w:val="0"/>
              <w:autoSpaceDN w:val="0"/>
              <w:adjustRightInd w:val="0"/>
              <w:snapToGrid w:val="0"/>
              <w:spacing w:before="140" w:line="183" w:lineRule="auto"/>
              <w:ind w:left="23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9.10</w:t>
            </w:r>
          </w:p>
        </w:tc>
        <w:tc>
          <w:tcPr>
            <w:tcW w:w="3003" w:type="dxa"/>
            <w:vAlign w:val="top"/>
          </w:tcPr>
          <w:p w14:paraId="31B594D6">
            <w:pPr>
              <w:kinsoku w:val="0"/>
              <w:autoSpaceDE w:val="0"/>
              <w:autoSpaceDN w:val="0"/>
              <w:adjustRightInd w:val="0"/>
              <w:snapToGrid w:val="0"/>
              <w:spacing w:before="108" w:line="216" w:lineRule="auto"/>
              <w:ind w:left="2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小配电箱</w:t>
            </w:r>
          </w:p>
        </w:tc>
        <w:tc>
          <w:tcPr>
            <w:tcW w:w="625" w:type="dxa"/>
            <w:vAlign w:val="top"/>
          </w:tcPr>
          <w:p w14:paraId="2F38F643">
            <w:pPr>
              <w:kinsoku w:val="0"/>
              <w:autoSpaceDE w:val="0"/>
              <w:autoSpaceDN w:val="0"/>
              <w:adjustRightInd w:val="0"/>
              <w:snapToGrid w:val="0"/>
              <w:spacing w:before="162" w:line="206" w:lineRule="auto"/>
              <w:ind w:left="20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个</w:t>
            </w:r>
          </w:p>
        </w:tc>
        <w:tc>
          <w:tcPr>
            <w:tcW w:w="1213" w:type="dxa"/>
            <w:vAlign w:val="top"/>
          </w:tcPr>
          <w:p w14:paraId="08821F21">
            <w:pPr>
              <w:kinsoku w:val="0"/>
              <w:autoSpaceDE w:val="0"/>
              <w:autoSpaceDN w:val="0"/>
              <w:adjustRightInd w:val="0"/>
              <w:snapToGrid w:val="0"/>
              <w:spacing w:before="193" w:line="182" w:lineRule="auto"/>
              <w:ind w:left="32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20.00</w:t>
            </w:r>
          </w:p>
        </w:tc>
        <w:tc>
          <w:tcPr>
            <w:tcW w:w="2589" w:type="dxa"/>
            <w:vAlign w:val="top"/>
          </w:tcPr>
          <w:p w14:paraId="46A9ED2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2F71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10" w:type="dxa"/>
            <w:vAlign w:val="top"/>
          </w:tcPr>
          <w:p w14:paraId="3EC3771C">
            <w:pPr>
              <w:kinsoku w:val="0"/>
              <w:autoSpaceDE w:val="0"/>
              <w:autoSpaceDN w:val="0"/>
              <w:adjustRightInd w:val="0"/>
              <w:snapToGrid w:val="0"/>
              <w:spacing w:before="139" w:line="183" w:lineRule="auto"/>
              <w:ind w:left="23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9.11</w:t>
            </w:r>
          </w:p>
        </w:tc>
        <w:tc>
          <w:tcPr>
            <w:tcW w:w="3003" w:type="dxa"/>
            <w:vAlign w:val="top"/>
          </w:tcPr>
          <w:p w14:paraId="5196F395">
            <w:pPr>
              <w:kinsoku w:val="0"/>
              <w:autoSpaceDE w:val="0"/>
              <w:autoSpaceDN w:val="0"/>
              <w:adjustRightInd w:val="0"/>
              <w:snapToGrid w:val="0"/>
              <w:spacing w:before="107" w:line="216" w:lineRule="auto"/>
              <w:ind w:left="2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配电箱</w:t>
            </w:r>
            <w:r>
              <w:rPr>
                <w:rFonts w:ascii="仿宋" w:hAnsi="仿宋" w:eastAsia="仿宋" w:cs="仿宋"/>
                <w:snapToGrid w:val="0"/>
                <w:color w:val="000000"/>
                <w:spacing w:val="-37"/>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800*1200</w:t>
            </w:r>
          </w:p>
        </w:tc>
        <w:tc>
          <w:tcPr>
            <w:tcW w:w="625" w:type="dxa"/>
            <w:vAlign w:val="top"/>
          </w:tcPr>
          <w:p w14:paraId="00138315">
            <w:pPr>
              <w:kinsoku w:val="0"/>
              <w:autoSpaceDE w:val="0"/>
              <w:autoSpaceDN w:val="0"/>
              <w:adjustRightInd w:val="0"/>
              <w:snapToGrid w:val="0"/>
              <w:spacing w:before="160" w:line="207" w:lineRule="auto"/>
              <w:ind w:left="20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个</w:t>
            </w:r>
          </w:p>
        </w:tc>
        <w:tc>
          <w:tcPr>
            <w:tcW w:w="1213" w:type="dxa"/>
            <w:vAlign w:val="top"/>
          </w:tcPr>
          <w:p w14:paraId="33C7FC2C">
            <w:pPr>
              <w:kinsoku w:val="0"/>
              <w:autoSpaceDE w:val="0"/>
              <w:autoSpaceDN w:val="0"/>
              <w:adjustRightInd w:val="0"/>
              <w:snapToGrid w:val="0"/>
              <w:spacing w:before="192" w:line="183" w:lineRule="auto"/>
              <w:ind w:left="3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2.00</w:t>
            </w:r>
          </w:p>
        </w:tc>
        <w:tc>
          <w:tcPr>
            <w:tcW w:w="2589" w:type="dxa"/>
            <w:vAlign w:val="top"/>
          </w:tcPr>
          <w:p w14:paraId="171E798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458D2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342493E5">
            <w:pPr>
              <w:kinsoku w:val="0"/>
              <w:autoSpaceDE w:val="0"/>
              <w:autoSpaceDN w:val="0"/>
              <w:adjustRightInd w:val="0"/>
              <w:snapToGrid w:val="0"/>
              <w:spacing w:before="147" w:line="181" w:lineRule="auto"/>
              <w:ind w:left="35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14"/>
                <w:kern w:val="0"/>
                <w:sz w:val="24"/>
                <w:szCs w:val="24"/>
                <w:lang w:val="en-US" w:eastAsia="en-US" w:bidi="ar-SA"/>
              </w:rPr>
              <w:t>10</w:t>
            </w:r>
          </w:p>
        </w:tc>
        <w:tc>
          <w:tcPr>
            <w:tcW w:w="3003" w:type="dxa"/>
            <w:vAlign w:val="top"/>
          </w:tcPr>
          <w:p w14:paraId="3AE6F401">
            <w:pPr>
              <w:kinsoku w:val="0"/>
              <w:autoSpaceDE w:val="0"/>
              <w:autoSpaceDN w:val="0"/>
              <w:adjustRightInd w:val="0"/>
              <w:snapToGrid w:val="0"/>
              <w:spacing w:before="117" w:line="216" w:lineRule="auto"/>
              <w:ind w:left="3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5"/>
                <w:kern w:val="0"/>
                <w:sz w:val="24"/>
                <w:szCs w:val="24"/>
                <w:lang w:val="en-US" w:eastAsia="en-US" w:bidi="ar-SA"/>
              </w:rPr>
              <w:t>灾备机房信息化建设</w:t>
            </w:r>
          </w:p>
        </w:tc>
        <w:tc>
          <w:tcPr>
            <w:tcW w:w="625" w:type="dxa"/>
            <w:vAlign w:val="top"/>
          </w:tcPr>
          <w:p w14:paraId="4DB3F284">
            <w:pPr>
              <w:kinsoku w:val="0"/>
              <w:autoSpaceDE w:val="0"/>
              <w:autoSpaceDN w:val="0"/>
              <w:adjustRightInd w:val="0"/>
              <w:snapToGrid w:val="0"/>
              <w:spacing w:before="181" w:line="206" w:lineRule="auto"/>
              <w:ind w:left="20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3"/>
                <w:kern w:val="0"/>
                <w:sz w:val="24"/>
                <w:szCs w:val="24"/>
                <w:lang w:val="en-US" w:eastAsia="en-US" w:bidi="ar-SA"/>
              </w:rPr>
              <w:t>项</w:t>
            </w:r>
          </w:p>
        </w:tc>
        <w:tc>
          <w:tcPr>
            <w:tcW w:w="1213" w:type="dxa"/>
            <w:vAlign w:val="top"/>
          </w:tcPr>
          <w:p w14:paraId="2B64B499">
            <w:pPr>
              <w:kinsoku w:val="0"/>
              <w:autoSpaceDE w:val="0"/>
              <w:autoSpaceDN w:val="0"/>
              <w:adjustRightInd w:val="0"/>
              <w:snapToGrid w:val="0"/>
              <w:spacing w:before="212" w:line="182" w:lineRule="auto"/>
              <w:ind w:left="39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9"/>
                <w:kern w:val="0"/>
                <w:sz w:val="24"/>
                <w:szCs w:val="24"/>
                <w:lang w:val="en-US" w:eastAsia="en-US" w:bidi="ar-SA"/>
              </w:rPr>
              <w:t>1.00</w:t>
            </w:r>
          </w:p>
        </w:tc>
        <w:tc>
          <w:tcPr>
            <w:tcW w:w="2589" w:type="dxa"/>
            <w:vAlign w:val="top"/>
          </w:tcPr>
          <w:p w14:paraId="675C4B11">
            <w:pPr>
              <w:kinsoku w:val="0"/>
              <w:autoSpaceDE w:val="0"/>
              <w:autoSpaceDN w:val="0"/>
              <w:adjustRightInd w:val="0"/>
              <w:snapToGrid w:val="0"/>
              <w:spacing w:before="181" w:line="206" w:lineRule="auto"/>
              <w:ind w:left="58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5"/>
                <w:kern w:val="0"/>
                <w:sz w:val="24"/>
                <w:szCs w:val="24"/>
                <w:lang w:val="en-US" w:eastAsia="en-US" w:bidi="ar-SA"/>
              </w:rPr>
              <w:t>详见设备清单</w:t>
            </w:r>
          </w:p>
        </w:tc>
      </w:tr>
      <w:tr w14:paraId="1F3BB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647997A0">
            <w:pPr>
              <w:kinsoku w:val="0"/>
              <w:autoSpaceDE w:val="0"/>
              <w:autoSpaceDN w:val="0"/>
              <w:adjustRightInd w:val="0"/>
              <w:snapToGrid w:val="0"/>
              <w:spacing w:before="148" w:line="180" w:lineRule="auto"/>
              <w:ind w:left="35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14"/>
                <w:kern w:val="0"/>
                <w:sz w:val="24"/>
                <w:szCs w:val="24"/>
                <w:lang w:val="en-US" w:eastAsia="en-US" w:bidi="ar-SA"/>
              </w:rPr>
              <w:t>11</w:t>
            </w:r>
          </w:p>
        </w:tc>
        <w:tc>
          <w:tcPr>
            <w:tcW w:w="3003" w:type="dxa"/>
            <w:vAlign w:val="top"/>
          </w:tcPr>
          <w:p w14:paraId="3C3A99C9">
            <w:pPr>
              <w:kinsoku w:val="0"/>
              <w:autoSpaceDE w:val="0"/>
              <w:autoSpaceDN w:val="0"/>
              <w:adjustRightInd w:val="0"/>
              <w:snapToGrid w:val="0"/>
              <w:spacing w:before="118" w:line="217" w:lineRule="auto"/>
              <w:ind w:left="3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b/>
                <w:bCs/>
                <w:snapToGrid w:val="0"/>
                <w:color w:val="000000"/>
                <w:spacing w:val="-5"/>
                <w:kern w:val="0"/>
                <w:sz w:val="24"/>
                <w:szCs w:val="24"/>
                <w:lang w:val="en-US" w:eastAsia="en-US" w:bidi="ar-SA"/>
              </w:rPr>
              <w:t>院区雨污分流系统改造</w:t>
            </w:r>
          </w:p>
        </w:tc>
        <w:tc>
          <w:tcPr>
            <w:tcW w:w="625" w:type="dxa"/>
            <w:vAlign w:val="top"/>
          </w:tcPr>
          <w:p w14:paraId="2D2CF14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213" w:type="dxa"/>
            <w:vAlign w:val="top"/>
          </w:tcPr>
          <w:p w14:paraId="37B2730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2589" w:type="dxa"/>
            <w:vAlign w:val="top"/>
          </w:tcPr>
          <w:p w14:paraId="715A98B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B18E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10" w:type="dxa"/>
            <w:vAlign w:val="top"/>
          </w:tcPr>
          <w:p w14:paraId="54F6EBD3">
            <w:pPr>
              <w:kinsoku w:val="0"/>
              <w:autoSpaceDE w:val="0"/>
              <w:autoSpaceDN w:val="0"/>
              <w:adjustRightInd w:val="0"/>
              <w:snapToGrid w:val="0"/>
              <w:spacing w:before="242" w:line="183" w:lineRule="auto"/>
              <w:ind w:left="23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11.1</w:t>
            </w:r>
          </w:p>
        </w:tc>
        <w:tc>
          <w:tcPr>
            <w:tcW w:w="3003" w:type="dxa"/>
            <w:vAlign w:val="top"/>
          </w:tcPr>
          <w:p w14:paraId="3E005099">
            <w:pPr>
              <w:kinsoku w:val="0"/>
              <w:autoSpaceDE w:val="0"/>
              <w:autoSpaceDN w:val="0"/>
              <w:adjustRightInd w:val="0"/>
              <w:snapToGrid w:val="0"/>
              <w:spacing w:before="211" w:line="217" w:lineRule="auto"/>
              <w:ind w:left="68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一体化雨水泵站</w:t>
            </w:r>
          </w:p>
        </w:tc>
        <w:tc>
          <w:tcPr>
            <w:tcW w:w="625" w:type="dxa"/>
            <w:vAlign w:val="top"/>
          </w:tcPr>
          <w:p w14:paraId="416FD558">
            <w:pPr>
              <w:widowControl/>
              <w:kinsoku w:val="0"/>
              <w:autoSpaceDE w:val="0"/>
              <w:autoSpaceDN w:val="0"/>
              <w:adjustRightInd w:val="0"/>
              <w:snapToGrid w:val="0"/>
              <w:spacing w:line="285" w:lineRule="auto"/>
              <w:jc w:val="left"/>
              <w:textAlignment w:val="baseline"/>
              <w:rPr>
                <w:rFonts w:ascii="Arial" w:hAnsi="Arial" w:eastAsia="Arial" w:cs="Arial"/>
                <w:snapToGrid w:val="0"/>
                <w:color w:val="000000"/>
                <w:kern w:val="0"/>
                <w:sz w:val="21"/>
                <w:szCs w:val="21"/>
                <w:lang w:eastAsia="en-US"/>
              </w:rPr>
            </w:pPr>
          </w:p>
          <w:p w14:paraId="247F5944">
            <w:pPr>
              <w:kinsoku w:val="0"/>
              <w:autoSpaceDE w:val="0"/>
              <w:autoSpaceDN w:val="0"/>
              <w:adjustRightInd w:val="0"/>
              <w:snapToGrid w:val="0"/>
              <w:spacing w:before="78" w:line="206" w:lineRule="auto"/>
              <w:ind w:left="19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座</w:t>
            </w:r>
          </w:p>
        </w:tc>
        <w:tc>
          <w:tcPr>
            <w:tcW w:w="1213" w:type="dxa"/>
            <w:vAlign w:val="top"/>
          </w:tcPr>
          <w:p w14:paraId="3A04195E">
            <w:pPr>
              <w:widowControl/>
              <w:kinsoku w:val="0"/>
              <w:autoSpaceDE w:val="0"/>
              <w:autoSpaceDN w:val="0"/>
              <w:adjustRightInd w:val="0"/>
              <w:snapToGrid w:val="0"/>
              <w:spacing w:line="315" w:lineRule="auto"/>
              <w:jc w:val="left"/>
              <w:textAlignment w:val="baseline"/>
              <w:rPr>
                <w:rFonts w:ascii="Arial" w:hAnsi="Arial" w:eastAsia="Arial" w:cs="Arial"/>
                <w:snapToGrid w:val="0"/>
                <w:color w:val="000000"/>
                <w:kern w:val="0"/>
                <w:sz w:val="21"/>
                <w:szCs w:val="21"/>
                <w:lang w:eastAsia="en-US"/>
              </w:rPr>
            </w:pPr>
          </w:p>
          <w:p w14:paraId="24D843E6">
            <w:pPr>
              <w:kinsoku w:val="0"/>
              <w:autoSpaceDE w:val="0"/>
              <w:autoSpaceDN w:val="0"/>
              <w:adjustRightInd w:val="0"/>
              <w:snapToGrid w:val="0"/>
              <w:spacing w:before="78" w:line="183" w:lineRule="auto"/>
              <w:ind w:left="39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1.00</w:t>
            </w:r>
          </w:p>
        </w:tc>
        <w:tc>
          <w:tcPr>
            <w:tcW w:w="2589" w:type="dxa"/>
            <w:vAlign w:val="top"/>
          </w:tcPr>
          <w:p w14:paraId="23710C68">
            <w:pPr>
              <w:kinsoku w:val="0"/>
              <w:autoSpaceDE w:val="0"/>
              <w:autoSpaceDN w:val="0"/>
              <w:adjustRightInd w:val="0"/>
              <w:snapToGrid w:val="0"/>
              <w:spacing w:before="53" w:line="223" w:lineRule="auto"/>
              <w:ind w:left="102" w:right="13" w:hanging="8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含筒体、水泵、格栅、管</w:t>
            </w:r>
            <w:r>
              <w:rPr>
                <w:rFonts w:ascii="仿宋" w:hAnsi="仿宋" w:eastAsia="仿宋" w:cs="仿宋"/>
                <w:snapToGrid w:val="0"/>
                <w:color w:val="000000"/>
                <w:spacing w:val="8"/>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道、阀门、控制系统等</w:t>
            </w:r>
          </w:p>
        </w:tc>
      </w:tr>
      <w:tr w14:paraId="2C1CA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10" w:type="dxa"/>
            <w:vAlign w:val="top"/>
          </w:tcPr>
          <w:p w14:paraId="6E316013">
            <w:pPr>
              <w:kinsoku w:val="0"/>
              <w:autoSpaceDE w:val="0"/>
              <w:autoSpaceDN w:val="0"/>
              <w:adjustRightInd w:val="0"/>
              <w:snapToGrid w:val="0"/>
              <w:spacing w:before="242" w:line="183" w:lineRule="auto"/>
              <w:ind w:left="23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11.2</w:t>
            </w:r>
          </w:p>
        </w:tc>
        <w:tc>
          <w:tcPr>
            <w:tcW w:w="3003" w:type="dxa"/>
            <w:vAlign w:val="top"/>
          </w:tcPr>
          <w:p w14:paraId="40369CB3">
            <w:pPr>
              <w:kinsoku w:val="0"/>
              <w:autoSpaceDE w:val="0"/>
              <w:autoSpaceDN w:val="0"/>
              <w:adjustRightInd w:val="0"/>
              <w:snapToGrid w:val="0"/>
              <w:spacing w:before="210" w:line="218" w:lineRule="auto"/>
              <w:ind w:left="114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提升泵</w:t>
            </w:r>
          </w:p>
        </w:tc>
        <w:tc>
          <w:tcPr>
            <w:tcW w:w="625" w:type="dxa"/>
            <w:vAlign w:val="top"/>
          </w:tcPr>
          <w:p w14:paraId="6ECFD7C0">
            <w:pPr>
              <w:widowControl/>
              <w:kinsoku w:val="0"/>
              <w:autoSpaceDE w:val="0"/>
              <w:autoSpaceDN w:val="0"/>
              <w:adjustRightInd w:val="0"/>
              <w:snapToGrid w:val="0"/>
              <w:spacing w:line="286" w:lineRule="auto"/>
              <w:jc w:val="left"/>
              <w:textAlignment w:val="baseline"/>
              <w:rPr>
                <w:rFonts w:ascii="Arial" w:hAnsi="Arial" w:eastAsia="Arial" w:cs="Arial"/>
                <w:snapToGrid w:val="0"/>
                <w:color w:val="000000"/>
                <w:kern w:val="0"/>
                <w:sz w:val="21"/>
                <w:szCs w:val="21"/>
                <w:lang w:eastAsia="en-US"/>
              </w:rPr>
            </w:pPr>
          </w:p>
          <w:p w14:paraId="7A76769F">
            <w:pPr>
              <w:kinsoku w:val="0"/>
              <w:autoSpaceDE w:val="0"/>
              <w:autoSpaceDN w:val="0"/>
              <w:adjustRightInd w:val="0"/>
              <w:snapToGrid w:val="0"/>
              <w:spacing w:before="78" w:line="205" w:lineRule="auto"/>
              <w:ind w:left="2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台</w:t>
            </w:r>
          </w:p>
        </w:tc>
        <w:tc>
          <w:tcPr>
            <w:tcW w:w="1213" w:type="dxa"/>
            <w:vAlign w:val="top"/>
          </w:tcPr>
          <w:p w14:paraId="66D012E8">
            <w:pPr>
              <w:widowControl/>
              <w:kinsoku w:val="0"/>
              <w:autoSpaceDE w:val="0"/>
              <w:autoSpaceDN w:val="0"/>
              <w:adjustRightInd w:val="0"/>
              <w:snapToGrid w:val="0"/>
              <w:spacing w:line="317" w:lineRule="auto"/>
              <w:jc w:val="left"/>
              <w:textAlignment w:val="baseline"/>
              <w:rPr>
                <w:rFonts w:ascii="Arial" w:hAnsi="Arial" w:eastAsia="Arial" w:cs="Arial"/>
                <w:snapToGrid w:val="0"/>
                <w:color w:val="000000"/>
                <w:kern w:val="0"/>
                <w:sz w:val="21"/>
                <w:szCs w:val="21"/>
                <w:lang w:eastAsia="en-US"/>
              </w:rPr>
            </w:pPr>
          </w:p>
          <w:p w14:paraId="1A20821C">
            <w:pPr>
              <w:kinsoku w:val="0"/>
              <w:autoSpaceDE w:val="0"/>
              <w:autoSpaceDN w:val="0"/>
              <w:adjustRightInd w:val="0"/>
              <w:snapToGrid w:val="0"/>
              <w:spacing w:before="78" w:line="181" w:lineRule="auto"/>
              <w:ind w:left="39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8"/>
                <w:kern w:val="0"/>
                <w:sz w:val="24"/>
                <w:szCs w:val="24"/>
                <w:lang w:val="en-US" w:eastAsia="en-US" w:bidi="ar-SA"/>
              </w:rPr>
              <w:t>3.00</w:t>
            </w:r>
          </w:p>
        </w:tc>
        <w:tc>
          <w:tcPr>
            <w:tcW w:w="2589" w:type="dxa"/>
            <w:vAlign w:val="top"/>
          </w:tcPr>
          <w:p w14:paraId="76F9E28A">
            <w:pPr>
              <w:kinsoku w:val="0"/>
              <w:autoSpaceDE w:val="0"/>
              <w:autoSpaceDN w:val="0"/>
              <w:adjustRightInd w:val="0"/>
              <w:snapToGrid w:val="0"/>
              <w:spacing w:before="55" w:line="222" w:lineRule="auto"/>
              <w:ind w:left="940" w:right="262" w:hanging="71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Q=415m3/h、H=15m、</w:t>
            </w:r>
            <w:r>
              <w:rPr>
                <w:rFonts w:ascii="仿宋" w:hAnsi="仿宋" w:eastAsia="仿宋" w:cs="仿宋"/>
                <w:snapToGrid w:val="0"/>
                <w:color w:val="000000"/>
                <w:spacing w:val="2"/>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N=30KW</w:t>
            </w:r>
          </w:p>
        </w:tc>
      </w:tr>
      <w:tr w14:paraId="3FA45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4BD5C3D5">
            <w:pPr>
              <w:kinsoku w:val="0"/>
              <w:autoSpaceDE w:val="0"/>
              <w:autoSpaceDN w:val="0"/>
              <w:adjustRightInd w:val="0"/>
              <w:snapToGrid w:val="0"/>
              <w:spacing w:before="151" w:line="183" w:lineRule="auto"/>
              <w:ind w:left="23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11.3</w:t>
            </w:r>
          </w:p>
        </w:tc>
        <w:tc>
          <w:tcPr>
            <w:tcW w:w="3003" w:type="dxa"/>
            <w:vAlign w:val="top"/>
          </w:tcPr>
          <w:p w14:paraId="5AE01E77">
            <w:pPr>
              <w:kinsoku w:val="0"/>
              <w:autoSpaceDE w:val="0"/>
              <w:autoSpaceDN w:val="0"/>
              <w:adjustRightInd w:val="0"/>
              <w:snapToGrid w:val="0"/>
              <w:spacing w:before="119" w:line="217" w:lineRule="auto"/>
              <w:ind w:left="79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泵站基坑支护</w:t>
            </w:r>
          </w:p>
        </w:tc>
        <w:tc>
          <w:tcPr>
            <w:tcW w:w="625" w:type="dxa"/>
            <w:vAlign w:val="top"/>
          </w:tcPr>
          <w:p w14:paraId="72BE77A4">
            <w:pPr>
              <w:widowControl/>
              <w:kinsoku w:val="0"/>
              <w:autoSpaceDE w:val="0"/>
              <w:autoSpaceDN w:val="0"/>
              <w:adjustRightInd w:val="0"/>
              <w:snapToGrid w:val="0"/>
              <w:spacing w:before="181" w:line="206" w:lineRule="auto"/>
              <w:ind w:left="1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w:t>
            </w:r>
          </w:p>
        </w:tc>
        <w:tc>
          <w:tcPr>
            <w:tcW w:w="1213" w:type="dxa"/>
            <w:vAlign w:val="top"/>
          </w:tcPr>
          <w:p w14:paraId="7499C18F">
            <w:pPr>
              <w:kinsoku w:val="0"/>
              <w:autoSpaceDE w:val="0"/>
              <w:autoSpaceDN w:val="0"/>
              <w:adjustRightInd w:val="0"/>
              <w:snapToGrid w:val="0"/>
              <w:spacing w:before="213" w:line="181" w:lineRule="auto"/>
              <w:ind w:left="27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395.00</w:t>
            </w:r>
          </w:p>
        </w:tc>
        <w:tc>
          <w:tcPr>
            <w:tcW w:w="2589" w:type="dxa"/>
            <w:vAlign w:val="top"/>
          </w:tcPr>
          <w:p w14:paraId="644DD55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25F2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46A23620">
            <w:pPr>
              <w:kinsoku w:val="0"/>
              <w:autoSpaceDE w:val="0"/>
              <w:autoSpaceDN w:val="0"/>
              <w:adjustRightInd w:val="0"/>
              <w:snapToGrid w:val="0"/>
              <w:spacing w:before="150" w:line="183" w:lineRule="auto"/>
              <w:ind w:left="23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11.5</w:t>
            </w:r>
          </w:p>
        </w:tc>
        <w:tc>
          <w:tcPr>
            <w:tcW w:w="3003" w:type="dxa"/>
            <w:vAlign w:val="top"/>
          </w:tcPr>
          <w:p w14:paraId="2773CA00">
            <w:pPr>
              <w:kinsoku w:val="0"/>
              <w:autoSpaceDE w:val="0"/>
              <w:autoSpaceDN w:val="0"/>
              <w:adjustRightInd w:val="0"/>
              <w:snapToGrid w:val="0"/>
              <w:spacing w:before="118" w:line="218" w:lineRule="auto"/>
              <w:ind w:left="30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压力雨水管道（直埋）</w:t>
            </w:r>
          </w:p>
        </w:tc>
        <w:tc>
          <w:tcPr>
            <w:tcW w:w="625" w:type="dxa"/>
            <w:vAlign w:val="top"/>
          </w:tcPr>
          <w:p w14:paraId="6552B07F">
            <w:pPr>
              <w:kinsoku w:val="0"/>
              <w:autoSpaceDE w:val="0"/>
              <w:autoSpaceDN w:val="0"/>
              <w:adjustRightInd w:val="0"/>
              <w:snapToGrid w:val="0"/>
              <w:spacing w:before="267" w:line="181" w:lineRule="exact"/>
              <w:ind w:left="2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m</w:t>
            </w:r>
          </w:p>
        </w:tc>
        <w:tc>
          <w:tcPr>
            <w:tcW w:w="1213" w:type="dxa"/>
            <w:vAlign w:val="top"/>
          </w:tcPr>
          <w:p w14:paraId="57729C97">
            <w:pPr>
              <w:kinsoku w:val="0"/>
              <w:autoSpaceDE w:val="0"/>
              <w:autoSpaceDN w:val="0"/>
              <w:adjustRightInd w:val="0"/>
              <w:snapToGrid w:val="0"/>
              <w:spacing w:before="215" w:line="180" w:lineRule="auto"/>
              <w:ind w:left="26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280.00</w:t>
            </w:r>
          </w:p>
        </w:tc>
        <w:tc>
          <w:tcPr>
            <w:tcW w:w="2589" w:type="dxa"/>
            <w:vAlign w:val="top"/>
          </w:tcPr>
          <w:p w14:paraId="5FA355E7">
            <w:pPr>
              <w:kinsoku w:val="0"/>
              <w:autoSpaceDE w:val="0"/>
              <w:autoSpaceDN w:val="0"/>
              <w:adjustRightInd w:val="0"/>
              <w:snapToGrid w:val="0"/>
              <w:spacing w:before="215" w:line="180" w:lineRule="auto"/>
              <w:ind w:left="88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DN200PE</w:t>
            </w:r>
          </w:p>
        </w:tc>
      </w:tr>
      <w:tr w14:paraId="32542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12066EF2">
            <w:pPr>
              <w:kinsoku w:val="0"/>
              <w:autoSpaceDE w:val="0"/>
              <w:autoSpaceDN w:val="0"/>
              <w:adjustRightInd w:val="0"/>
              <w:snapToGrid w:val="0"/>
              <w:spacing w:before="151" w:line="183" w:lineRule="auto"/>
              <w:ind w:left="23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11.6</w:t>
            </w:r>
          </w:p>
        </w:tc>
        <w:tc>
          <w:tcPr>
            <w:tcW w:w="3003" w:type="dxa"/>
            <w:vAlign w:val="top"/>
          </w:tcPr>
          <w:p w14:paraId="43368698">
            <w:pPr>
              <w:kinsoku w:val="0"/>
              <w:autoSpaceDE w:val="0"/>
              <w:autoSpaceDN w:val="0"/>
              <w:adjustRightInd w:val="0"/>
              <w:snapToGrid w:val="0"/>
              <w:spacing w:before="120" w:line="218" w:lineRule="auto"/>
              <w:ind w:left="68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雨水管（直埋）</w:t>
            </w:r>
          </w:p>
        </w:tc>
        <w:tc>
          <w:tcPr>
            <w:tcW w:w="625" w:type="dxa"/>
            <w:vAlign w:val="top"/>
          </w:tcPr>
          <w:p w14:paraId="00B7E07B">
            <w:pPr>
              <w:kinsoku w:val="0"/>
              <w:autoSpaceDE w:val="0"/>
              <w:autoSpaceDN w:val="0"/>
              <w:adjustRightInd w:val="0"/>
              <w:snapToGrid w:val="0"/>
              <w:spacing w:before="266" w:line="181" w:lineRule="exact"/>
              <w:ind w:left="2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m</w:t>
            </w:r>
          </w:p>
        </w:tc>
        <w:tc>
          <w:tcPr>
            <w:tcW w:w="1213" w:type="dxa"/>
            <w:vAlign w:val="top"/>
          </w:tcPr>
          <w:p w14:paraId="7F14161C">
            <w:pPr>
              <w:kinsoku w:val="0"/>
              <w:autoSpaceDE w:val="0"/>
              <w:autoSpaceDN w:val="0"/>
              <w:adjustRightInd w:val="0"/>
              <w:snapToGrid w:val="0"/>
              <w:spacing w:before="213" w:line="181" w:lineRule="auto"/>
              <w:ind w:left="32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20.00</w:t>
            </w:r>
          </w:p>
        </w:tc>
        <w:tc>
          <w:tcPr>
            <w:tcW w:w="2589" w:type="dxa"/>
            <w:vAlign w:val="top"/>
          </w:tcPr>
          <w:p w14:paraId="616CBD05">
            <w:pPr>
              <w:kinsoku w:val="0"/>
              <w:autoSpaceDE w:val="0"/>
              <w:autoSpaceDN w:val="0"/>
              <w:adjustRightInd w:val="0"/>
              <w:snapToGrid w:val="0"/>
              <w:spacing w:before="182" w:line="205" w:lineRule="auto"/>
              <w:ind w:left="2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DN300HDPE</w:t>
            </w:r>
            <w:r>
              <w:rPr>
                <w:rFonts w:ascii="仿宋" w:hAnsi="仿宋" w:eastAsia="仿宋" w:cs="仿宋"/>
                <w:snapToGrid w:val="0"/>
                <w:color w:val="000000"/>
                <w:spacing w:val="-51"/>
                <w:kern w:val="0"/>
                <w:sz w:val="24"/>
                <w:szCs w:val="24"/>
                <w:lang w:val="en-US" w:eastAsia="en-US" w:bidi="ar-SA"/>
              </w:rPr>
              <w:t xml:space="preserve"> </w:t>
            </w:r>
            <w:r>
              <w:rPr>
                <w:rFonts w:ascii="仿宋" w:hAnsi="仿宋" w:eastAsia="仿宋" w:cs="仿宋"/>
                <w:snapToGrid w:val="0"/>
                <w:color w:val="000000"/>
                <w:spacing w:val="-3"/>
                <w:kern w:val="0"/>
                <w:sz w:val="24"/>
                <w:szCs w:val="24"/>
                <w:lang w:val="en-US" w:eastAsia="en-US" w:bidi="ar-SA"/>
              </w:rPr>
              <w:t>室外雨水管网</w:t>
            </w:r>
          </w:p>
        </w:tc>
      </w:tr>
      <w:tr w14:paraId="0FCEC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6838BF0E">
            <w:pPr>
              <w:kinsoku w:val="0"/>
              <w:autoSpaceDE w:val="0"/>
              <w:autoSpaceDN w:val="0"/>
              <w:adjustRightInd w:val="0"/>
              <w:snapToGrid w:val="0"/>
              <w:spacing w:before="151" w:line="183" w:lineRule="auto"/>
              <w:ind w:left="23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11.7</w:t>
            </w:r>
          </w:p>
        </w:tc>
        <w:tc>
          <w:tcPr>
            <w:tcW w:w="3003" w:type="dxa"/>
            <w:vAlign w:val="top"/>
          </w:tcPr>
          <w:p w14:paraId="04071BC5">
            <w:pPr>
              <w:kinsoku w:val="0"/>
              <w:autoSpaceDE w:val="0"/>
              <w:autoSpaceDN w:val="0"/>
              <w:adjustRightInd w:val="0"/>
              <w:snapToGrid w:val="0"/>
              <w:spacing w:before="119" w:line="218" w:lineRule="auto"/>
              <w:ind w:left="68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雨水管（直埋）</w:t>
            </w:r>
          </w:p>
        </w:tc>
        <w:tc>
          <w:tcPr>
            <w:tcW w:w="625" w:type="dxa"/>
            <w:vAlign w:val="top"/>
          </w:tcPr>
          <w:p w14:paraId="17A72FFA">
            <w:pPr>
              <w:kinsoku w:val="0"/>
              <w:autoSpaceDE w:val="0"/>
              <w:autoSpaceDN w:val="0"/>
              <w:adjustRightInd w:val="0"/>
              <w:snapToGrid w:val="0"/>
              <w:spacing w:before="265" w:line="181" w:lineRule="exact"/>
              <w:ind w:left="2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m</w:t>
            </w:r>
          </w:p>
        </w:tc>
        <w:tc>
          <w:tcPr>
            <w:tcW w:w="1213" w:type="dxa"/>
            <w:vAlign w:val="top"/>
          </w:tcPr>
          <w:p w14:paraId="5C405AD0">
            <w:pPr>
              <w:kinsoku w:val="0"/>
              <w:autoSpaceDE w:val="0"/>
              <w:autoSpaceDN w:val="0"/>
              <w:adjustRightInd w:val="0"/>
              <w:snapToGrid w:val="0"/>
              <w:spacing w:before="213" w:line="181" w:lineRule="auto"/>
              <w:ind w:left="38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5.00</w:t>
            </w:r>
          </w:p>
        </w:tc>
        <w:tc>
          <w:tcPr>
            <w:tcW w:w="2589" w:type="dxa"/>
            <w:vAlign w:val="top"/>
          </w:tcPr>
          <w:p w14:paraId="5D9F2BA7">
            <w:pPr>
              <w:kinsoku w:val="0"/>
              <w:autoSpaceDE w:val="0"/>
              <w:autoSpaceDN w:val="0"/>
              <w:adjustRightInd w:val="0"/>
              <w:snapToGrid w:val="0"/>
              <w:spacing w:before="182" w:line="205" w:lineRule="auto"/>
              <w:ind w:left="2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DN400HDPE</w:t>
            </w:r>
            <w:r>
              <w:rPr>
                <w:rFonts w:ascii="仿宋" w:hAnsi="仿宋" w:eastAsia="仿宋" w:cs="仿宋"/>
                <w:snapToGrid w:val="0"/>
                <w:color w:val="000000"/>
                <w:spacing w:val="-51"/>
                <w:kern w:val="0"/>
                <w:sz w:val="24"/>
                <w:szCs w:val="24"/>
                <w:lang w:val="en-US" w:eastAsia="en-US" w:bidi="ar-SA"/>
              </w:rPr>
              <w:t xml:space="preserve"> </w:t>
            </w:r>
            <w:r>
              <w:rPr>
                <w:rFonts w:ascii="仿宋" w:hAnsi="仿宋" w:eastAsia="仿宋" w:cs="仿宋"/>
                <w:snapToGrid w:val="0"/>
                <w:color w:val="000000"/>
                <w:spacing w:val="-3"/>
                <w:kern w:val="0"/>
                <w:sz w:val="24"/>
                <w:szCs w:val="24"/>
                <w:lang w:val="en-US" w:eastAsia="en-US" w:bidi="ar-SA"/>
              </w:rPr>
              <w:t>室外雨水管网</w:t>
            </w:r>
          </w:p>
        </w:tc>
      </w:tr>
      <w:tr w14:paraId="08A80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5FF84E31">
            <w:pPr>
              <w:kinsoku w:val="0"/>
              <w:autoSpaceDE w:val="0"/>
              <w:autoSpaceDN w:val="0"/>
              <w:adjustRightInd w:val="0"/>
              <w:snapToGrid w:val="0"/>
              <w:spacing w:before="150" w:line="183" w:lineRule="auto"/>
              <w:ind w:left="23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11.8</w:t>
            </w:r>
          </w:p>
        </w:tc>
        <w:tc>
          <w:tcPr>
            <w:tcW w:w="3003" w:type="dxa"/>
            <w:vAlign w:val="top"/>
          </w:tcPr>
          <w:p w14:paraId="617B8B1F">
            <w:pPr>
              <w:kinsoku w:val="0"/>
              <w:autoSpaceDE w:val="0"/>
              <w:autoSpaceDN w:val="0"/>
              <w:adjustRightInd w:val="0"/>
              <w:snapToGrid w:val="0"/>
              <w:spacing w:before="118" w:line="218" w:lineRule="auto"/>
              <w:ind w:left="68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雨水管（直埋）</w:t>
            </w:r>
          </w:p>
        </w:tc>
        <w:tc>
          <w:tcPr>
            <w:tcW w:w="625" w:type="dxa"/>
            <w:vAlign w:val="top"/>
          </w:tcPr>
          <w:p w14:paraId="7BB95360">
            <w:pPr>
              <w:kinsoku w:val="0"/>
              <w:autoSpaceDE w:val="0"/>
              <w:autoSpaceDN w:val="0"/>
              <w:adjustRightInd w:val="0"/>
              <w:snapToGrid w:val="0"/>
              <w:spacing w:before="267" w:line="181" w:lineRule="exact"/>
              <w:ind w:left="2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m</w:t>
            </w:r>
          </w:p>
        </w:tc>
        <w:tc>
          <w:tcPr>
            <w:tcW w:w="1213" w:type="dxa"/>
            <w:vAlign w:val="top"/>
          </w:tcPr>
          <w:p w14:paraId="7505E843">
            <w:pPr>
              <w:kinsoku w:val="0"/>
              <w:autoSpaceDE w:val="0"/>
              <w:autoSpaceDN w:val="0"/>
              <w:adjustRightInd w:val="0"/>
              <w:snapToGrid w:val="0"/>
              <w:spacing w:before="214" w:line="180" w:lineRule="auto"/>
              <w:ind w:left="32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40.00</w:t>
            </w:r>
          </w:p>
        </w:tc>
        <w:tc>
          <w:tcPr>
            <w:tcW w:w="2589" w:type="dxa"/>
            <w:vAlign w:val="top"/>
          </w:tcPr>
          <w:p w14:paraId="48C474D1">
            <w:pPr>
              <w:kinsoku w:val="0"/>
              <w:autoSpaceDE w:val="0"/>
              <w:autoSpaceDN w:val="0"/>
              <w:adjustRightInd w:val="0"/>
              <w:snapToGrid w:val="0"/>
              <w:spacing w:before="183" w:line="204" w:lineRule="auto"/>
              <w:ind w:left="2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DN200HDPE</w:t>
            </w:r>
            <w:r>
              <w:rPr>
                <w:rFonts w:ascii="仿宋" w:hAnsi="仿宋" w:eastAsia="仿宋" w:cs="仿宋"/>
                <w:snapToGrid w:val="0"/>
                <w:color w:val="000000"/>
                <w:spacing w:val="-51"/>
                <w:kern w:val="0"/>
                <w:sz w:val="24"/>
                <w:szCs w:val="24"/>
                <w:lang w:val="en-US" w:eastAsia="en-US" w:bidi="ar-SA"/>
              </w:rPr>
              <w:t xml:space="preserve"> </w:t>
            </w:r>
            <w:r>
              <w:rPr>
                <w:rFonts w:ascii="仿宋" w:hAnsi="仿宋" w:eastAsia="仿宋" w:cs="仿宋"/>
                <w:snapToGrid w:val="0"/>
                <w:color w:val="000000"/>
                <w:spacing w:val="-3"/>
                <w:kern w:val="0"/>
                <w:sz w:val="24"/>
                <w:szCs w:val="24"/>
                <w:lang w:val="en-US" w:eastAsia="en-US" w:bidi="ar-SA"/>
              </w:rPr>
              <w:t>室外雨水管网</w:t>
            </w:r>
          </w:p>
        </w:tc>
      </w:tr>
      <w:tr w14:paraId="6E2C0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12A784DE">
            <w:pPr>
              <w:kinsoku w:val="0"/>
              <w:autoSpaceDE w:val="0"/>
              <w:autoSpaceDN w:val="0"/>
              <w:adjustRightInd w:val="0"/>
              <w:snapToGrid w:val="0"/>
              <w:spacing w:before="151" w:line="183" w:lineRule="auto"/>
              <w:ind w:left="23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11.9</w:t>
            </w:r>
          </w:p>
        </w:tc>
        <w:tc>
          <w:tcPr>
            <w:tcW w:w="3003" w:type="dxa"/>
            <w:vAlign w:val="top"/>
          </w:tcPr>
          <w:p w14:paraId="01380384">
            <w:pPr>
              <w:kinsoku w:val="0"/>
              <w:autoSpaceDE w:val="0"/>
              <w:autoSpaceDN w:val="0"/>
              <w:adjustRightInd w:val="0"/>
              <w:snapToGrid w:val="0"/>
              <w:spacing w:before="182" w:line="205" w:lineRule="auto"/>
              <w:ind w:left="68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雨水管（直埋）</w:t>
            </w:r>
          </w:p>
        </w:tc>
        <w:tc>
          <w:tcPr>
            <w:tcW w:w="625" w:type="dxa"/>
            <w:vAlign w:val="top"/>
          </w:tcPr>
          <w:p w14:paraId="07852804">
            <w:pPr>
              <w:kinsoku w:val="0"/>
              <w:autoSpaceDE w:val="0"/>
              <w:autoSpaceDN w:val="0"/>
              <w:adjustRightInd w:val="0"/>
              <w:snapToGrid w:val="0"/>
              <w:spacing w:before="266" w:line="181" w:lineRule="exact"/>
              <w:ind w:left="2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m</w:t>
            </w:r>
          </w:p>
        </w:tc>
        <w:tc>
          <w:tcPr>
            <w:tcW w:w="1213" w:type="dxa"/>
            <w:vAlign w:val="top"/>
          </w:tcPr>
          <w:p w14:paraId="72C21146">
            <w:pPr>
              <w:kinsoku w:val="0"/>
              <w:autoSpaceDE w:val="0"/>
              <w:autoSpaceDN w:val="0"/>
              <w:adjustRightInd w:val="0"/>
              <w:snapToGrid w:val="0"/>
              <w:spacing w:before="213" w:line="181" w:lineRule="auto"/>
              <w:ind w:left="33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30.00</w:t>
            </w:r>
          </w:p>
        </w:tc>
        <w:tc>
          <w:tcPr>
            <w:tcW w:w="2589" w:type="dxa"/>
            <w:vAlign w:val="top"/>
          </w:tcPr>
          <w:p w14:paraId="6E8FE7FF">
            <w:pPr>
              <w:kinsoku w:val="0"/>
              <w:autoSpaceDE w:val="0"/>
              <w:autoSpaceDN w:val="0"/>
              <w:adjustRightInd w:val="0"/>
              <w:snapToGrid w:val="0"/>
              <w:spacing w:before="213" w:line="181" w:lineRule="auto"/>
              <w:ind w:left="88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DN200PE</w:t>
            </w:r>
          </w:p>
        </w:tc>
      </w:tr>
      <w:tr w14:paraId="1920D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042F163F">
            <w:pPr>
              <w:kinsoku w:val="0"/>
              <w:autoSpaceDE w:val="0"/>
              <w:autoSpaceDN w:val="0"/>
              <w:adjustRightInd w:val="0"/>
              <w:snapToGrid w:val="0"/>
              <w:spacing w:before="151" w:line="183" w:lineRule="auto"/>
              <w:ind w:left="17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11.10</w:t>
            </w:r>
          </w:p>
        </w:tc>
        <w:tc>
          <w:tcPr>
            <w:tcW w:w="3003" w:type="dxa"/>
            <w:vAlign w:val="top"/>
          </w:tcPr>
          <w:p w14:paraId="27149A51">
            <w:pPr>
              <w:kinsoku w:val="0"/>
              <w:autoSpaceDE w:val="0"/>
              <w:autoSpaceDN w:val="0"/>
              <w:adjustRightInd w:val="0"/>
              <w:snapToGrid w:val="0"/>
              <w:spacing w:before="119" w:line="218" w:lineRule="auto"/>
              <w:ind w:left="80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雨水回用管道</w:t>
            </w:r>
          </w:p>
        </w:tc>
        <w:tc>
          <w:tcPr>
            <w:tcW w:w="625" w:type="dxa"/>
            <w:vAlign w:val="top"/>
          </w:tcPr>
          <w:p w14:paraId="02C7A427">
            <w:pPr>
              <w:kinsoku w:val="0"/>
              <w:autoSpaceDE w:val="0"/>
              <w:autoSpaceDN w:val="0"/>
              <w:adjustRightInd w:val="0"/>
              <w:snapToGrid w:val="0"/>
              <w:spacing w:before="265" w:line="181" w:lineRule="exact"/>
              <w:ind w:left="2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m</w:t>
            </w:r>
          </w:p>
        </w:tc>
        <w:tc>
          <w:tcPr>
            <w:tcW w:w="1213" w:type="dxa"/>
            <w:vAlign w:val="top"/>
          </w:tcPr>
          <w:p w14:paraId="5B8B2709">
            <w:pPr>
              <w:kinsoku w:val="0"/>
              <w:autoSpaceDE w:val="0"/>
              <w:autoSpaceDN w:val="0"/>
              <w:adjustRightInd w:val="0"/>
              <w:snapToGrid w:val="0"/>
              <w:spacing w:before="213" w:line="181" w:lineRule="auto"/>
              <w:ind w:left="33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16.00</w:t>
            </w:r>
          </w:p>
        </w:tc>
        <w:tc>
          <w:tcPr>
            <w:tcW w:w="2589" w:type="dxa"/>
            <w:vAlign w:val="top"/>
          </w:tcPr>
          <w:p w14:paraId="14E255D6">
            <w:pPr>
              <w:kinsoku w:val="0"/>
              <w:autoSpaceDE w:val="0"/>
              <w:autoSpaceDN w:val="0"/>
              <w:adjustRightInd w:val="0"/>
              <w:snapToGrid w:val="0"/>
              <w:spacing w:before="213" w:line="181" w:lineRule="auto"/>
              <w:ind w:left="94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DN50PE</w:t>
            </w:r>
          </w:p>
        </w:tc>
      </w:tr>
      <w:tr w14:paraId="6E725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6F2F9843">
            <w:pPr>
              <w:kinsoku w:val="0"/>
              <w:autoSpaceDE w:val="0"/>
              <w:autoSpaceDN w:val="0"/>
              <w:adjustRightInd w:val="0"/>
              <w:snapToGrid w:val="0"/>
              <w:spacing w:before="150" w:line="183" w:lineRule="auto"/>
              <w:ind w:left="17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11.11</w:t>
            </w:r>
          </w:p>
        </w:tc>
        <w:tc>
          <w:tcPr>
            <w:tcW w:w="3003" w:type="dxa"/>
            <w:vAlign w:val="top"/>
          </w:tcPr>
          <w:p w14:paraId="70FE9B7F">
            <w:pPr>
              <w:kinsoku w:val="0"/>
              <w:autoSpaceDE w:val="0"/>
              <w:autoSpaceDN w:val="0"/>
              <w:adjustRightInd w:val="0"/>
              <w:snapToGrid w:val="0"/>
              <w:spacing w:before="118" w:line="218" w:lineRule="auto"/>
              <w:ind w:left="79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顶管（含井）</w:t>
            </w:r>
          </w:p>
        </w:tc>
        <w:tc>
          <w:tcPr>
            <w:tcW w:w="625" w:type="dxa"/>
            <w:vAlign w:val="top"/>
          </w:tcPr>
          <w:p w14:paraId="35EFE299">
            <w:pPr>
              <w:kinsoku w:val="0"/>
              <w:autoSpaceDE w:val="0"/>
              <w:autoSpaceDN w:val="0"/>
              <w:adjustRightInd w:val="0"/>
              <w:snapToGrid w:val="0"/>
              <w:spacing w:before="267" w:line="181" w:lineRule="exact"/>
              <w:ind w:left="2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m</w:t>
            </w:r>
          </w:p>
        </w:tc>
        <w:tc>
          <w:tcPr>
            <w:tcW w:w="1213" w:type="dxa"/>
            <w:vAlign w:val="top"/>
          </w:tcPr>
          <w:p w14:paraId="71787025">
            <w:pPr>
              <w:kinsoku w:val="0"/>
              <w:autoSpaceDE w:val="0"/>
              <w:autoSpaceDN w:val="0"/>
              <w:adjustRightInd w:val="0"/>
              <w:snapToGrid w:val="0"/>
              <w:spacing w:before="214" w:line="180" w:lineRule="auto"/>
              <w:ind w:left="33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10.00</w:t>
            </w:r>
          </w:p>
        </w:tc>
        <w:tc>
          <w:tcPr>
            <w:tcW w:w="2589" w:type="dxa"/>
            <w:vAlign w:val="top"/>
          </w:tcPr>
          <w:p w14:paraId="6BA88A8A">
            <w:pPr>
              <w:kinsoku w:val="0"/>
              <w:autoSpaceDE w:val="0"/>
              <w:autoSpaceDN w:val="0"/>
              <w:adjustRightInd w:val="0"/>
              <w:snapToGrid w:val="0"/>
              <w:spacing w:before="214" w:line="180" w:lineRule="auto"/>
              <w:ind w:left="70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DN1000HDPE</w:t>
            </w:r>
          </w:p>
        </w:tc>
      </w:tr>
      <w:tr w14:paraId="42703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7876073A">
            <w:pPr>
              <w:kinsoku w:val="0"/>
              <w:autoSpaceDE w:val="0"/>
              <w:autoSpaceDN w:val="0"/>
              <w:adjustRightInd w:val="0"/>
              <w:snapToGrid w:val="0"/>
              <w:spacing w:before="151" w:line="183" w:lineRule="auto"/>
              <w:ind w:left="17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11.12</w:t>
            </w:r>
          </w:p>
        </w:tc>
        <w:tc>
          <w:tcPr>
            <w:tcW w:w="3003" w:type="dxa"/>
            <w:vAlign w:val="top"/>
          </w:tcPr>
          <w:p w14:paraId="49A5D985">
            <w:pPr>
              <w:kinsoku w:val="0"/>
              <w:autoSpaceDE w:val="0"/>
              <w:autoSpaceDN w:val="0"/>
              <w:adjustRightInd w:val="0"/>
              <w:snapToGrid w:val="0"/>
              <w:spacing w:before="120" w:line="219" w:lineRule="auto"/>
              <w:ind w:left="115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溢流井</w:t>
            </w:r>
          </w:p>
        </w:tc>
        <w:tc>
          <w:tcPr>
            <w:tcW w:w="625" w:type="dxa"/>
            <w:vAlign w:val="top"/>
          </w:tcPr>
          <w:p w14:paraId="5019C263">
            <w:pPr>
              <w:kinsoku w:val="0"/>
              <w:autoSpaceDE w:val="0"/>
              <w:autoSpaceDN w:val="0"/>
              <w:adjustRightInd w:val="0"/>
              <w:snapToGrid w:val="0"/>
              <w:spacing w:before="182" w:line="205" w:lineRule="auto"/>
              <w:ind w:left="19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座</w:t>
            </w:r>
          </w:p>
        </w:tc>
        <w:tc>
          <w:tcPr>
            <w:tcW w:w="1213" w:type="dxa"/>
            <w:vAlign w:val="top"/>
          </w:tcPr>
          <w:p w14:paraId="7B4D506D">
            <w:pPr>
              <w:kinsoku w:val="0"/>
              <w:autoSpaceDE w:val="0"/>
              <w:autoSpaceDN w:val="0"/>
              <w:adjustRightInd w:val="0"/>
              <w:snapToGrid w:val="0"/>
              <w:spacing w:before="213" w:line="181" w:lineRule="auto"/>
              <w:ind w:left="39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1.00</w:t>
            </w:r>
          </w:p>
        </w:tc>
        <w:tc>
          <w:tcPr>
            <w:tcW w:w="2589" w:type="dxa"/>
            <w:vAlign w:val="top"/>
          </w:tcPr>
          <w:p w14:paraId="000C4DDF">
            <w:pPr>
              <w:kinsoku w:val="0"/>
              <w:autoSpaceDE w:val="0"/>
              <w:autoSpaceDN w:val="0"/>
              <w:adjustRightInd w:val="0"/>
              <w:snapToGrid w:val="0"/>
              <w:spacing w:before="182" w:line="205" w:lineRule="auto"/>
              <w:ind w:left="89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620*920</w:t>
            </w:r>
          </w:p>
        </w:tc>
      </w:tr>
      <w:tr w14:paraId="501EB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910" w:type="dxa"/>
            <w:vAlign w:val="top"/>
          </w:tcPr>
          <w:p w14:paraId="236F856A">
            <w:pPr>
              <w:kinsoku w:val="0"/>
              <w:autoSpaceDE w:val="0"/>
              <w:autoSpaceDN w:val="0"/>
              <w:adjustRightInd w:val="0"/>
              <w:snapToGrid w:val="0"/>
              <w:spacing w:before="151" w:line="183" w:lineRule="auto"/>
              <w:ind w:left="17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11.13</w:t>
            </w:r>
          </w:p>
        </w:tc>
        <w:tc>
          <w:tcPr>
            <w:tcW w:w="3003" w:type="dxa"/>
            <w:vAlign w:val="top"/>
          </w:tcPr>
          <w:p w14:paraId="1782F405">
            <w:pPr>
              <w:kinsoku w:val="0"/>
              <w:autoSpaceDE w:val="0"/>
              <w:autoSpaceDN w:val="0"/>
              <w:adjustRightInd w:val="0"/>
              <w:snapToGrid w:val="0"/>
              <w:spacing w:before="119" w:line="215" w:lineRule="auto"/>
              <w:ind w:left="92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雨水检查井</w:t>
            </w:r>
          </w:p>
        </w:tc>
        <w:tc>
          <w:tcPr>
            <w:tcW w:w="625" w:type="dxa"/>
            <w:vAlign w:val="top"/>
          </w:tcPr>
          <w:p w14:paraId="2D5C1DC4">
            <w:pPr>
              <w:kinsoku w:val="0"/>
              <w:autoSpaceDE w:val="0"/>
              <w:autoSpaceDN w:val="0"/>
              <w:adjustRightInd w:val="0"/>
              <w:snapToGrid w:val="0"/>
              <w:spacing w:before="184" w:line="204" w:lineRule="auto"/>
              <w:ind w:left="19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座</w:t>
            </w:r>
          </w:p>
        </w:tc>
        <w:tc>
          <w:tcPr>
            <w:tcW w:w="1213" w:type="dxa"/>
            <w:vAlign w:val="top"/>
          </w:tcPr>
          <w:p w14:paraId="10F3DC9D">
            <w:pPr>
              <w:kinsoku w:val="0"/>
              <w:autoSpaceDE w:val="0"/>
              <w:autoSpaceDN w:val="0"/>
              <w:adjustRightInd w:val="0"/>
              <w:snapToGrid w:val="0"/>
              <w:spacing w:before="216" w:line="180" w:lineRule="auto"/>
              <w:ind w:left="3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2.00</w:t>
            </w:r>
          </w:p>
        </w:tc>
        <w:tc>
          <w:tcPr>
            <w:tcW w:w="2589" w:type="dxa"/>
            <w:vAlign w:val="top"/>
          </w:tcPr>
          <w:p w14:paraId="4A7D8C6A">
            <w:pPr>
              <w:kinsoku w:val="0"/>
              <w:autoSpaceDE w:val="0"/>
              <w:autoSpaceDN w:val="0"/>
              <w:adjustRightInd w:val="0"/>
              <w:snapToGrid w:val="0"/>
              <w:spacing w:before="184" w:line="204" w:lineRule="auto"/>
              <w:ind w:left="82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2150*860</w:t>
            </w:r>
          </w:p>
        </w:tc>
      </w:tr>
      <w:tr w14:paraId="6F55E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7B627FB9">
            <w:pPr>
              <w:kinsoku w:val="0"/>
              <w:autoSpaceDE w:val="0"/>
              <w:autoSpaceDN w:val="0"/>
              <w:adjustRightInd w:val="0"/>
              <w:snapToGrid w:val="0"/>
              <w:spacing w:before="151" w:line="183" w:lineRule="auto"/>
              <w:ind w:left="17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11.14</w:t>
            </w:r>
          </w:p>
        </w:tc>
        <w:tc>
          <w:tcPr>
            <w:tcW w:w="3003" w:type="dxa"/>
            <w:vAlign w:val="top"/>
          </w:tcPr>
          <w:p w14:paraId="7054B17C">
            <w:pPr>
              <w:kinsoku w:val="0"/>
              <w:autoSpaceDE w:val="0"/>
              <w:autoSpaceDN w:val="0"/>
              <w:adjustRightInd w:val="0"/>
              <w:snapToGrid w:val="0"/>
              <w:spacing w:before="120" w:line="217" w:lineRule="auto"/>
              <w:ind w:left="115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截流沟</w:t>
            </w:r>
          </w:p>
        </w:tc>
        <w:tc>
          <w:tcPr>
            <w:tcW w:w="625" w:type="dxa"/>
            <w:vAlign w:val="top"/>
          </w:tcPr>
          <w:p w14:paraId="567974DC">
            <w:pPr>
              <w:kinsoku w:val="0"/>
              <w:autoSpaceDE w:val="0"/>
              <w:autoSpaceDN w:val="0"/>
              <w:adjustRightInd w:val="0"/>
              <w:snapToGrid w:val="0"/>
              <w:spacing w:before="266" w:line="181" w:lineRule="exact"/>
              <w:ind w:left="2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m</w:t>
            </w:r>
          </w:p>
        </w:tc>
        <w:tc>
          <w:tcPr>
            <w:tcW w:w="1213" w:type="dxa"/>
            <w:vAlign w:val="top"/>
          </w:tcPr>
          <w:p w14:paraId="70FC3546">
            <w:pPr>
              <w:kinsoku w:val="0"/>
              <w:autoSpaceDE w:val="0"/>
              <w:autoSpaceDN w:val="0"/>
              <w:adjustRightInd w:val="0"/>
              <w:snapToGrid w:val="0"/>
              <w:spacing w:before="213" w:line="181" w:lineRule="auto"/>
              <w:ind w:left="3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90.00</w:t>
            </w:r>
          </w:p>
        </w:tc>
        <w:tc>
          <w:tcPr>
            <w:tcW w:w="2589" w:type="dxa"/>
            <w:vAlign w:val="top"/>
          </w:tcPr>
          <w:p w14:paraId="0DCCE442">
            <w:pPr>
              <w:kinsoku w:val="0"/>
              <w:autoSpaceDE w:val="0"/>
              <w:autoSpaceDN w:val="0"/>
              <w:adjustRightInd w:val="0"/>
              <w:snapToGrid w:val="0"/>
              <w:spacing w:before="182" w:line="205" w:lineRule="auto"/>
              <w:ind w:left="88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B=450mm</w:t>
            </w:r>
          </w:p>
        </w:tc>
      </w:tr>
      <w:tr w14:paraId="7639E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910" w:type="dxa"/>
            <w:tcBorders>
              <w:bottom w:val="nil"/>
            </w:tcBorders>
            <w:vAlign w:val="top"/>
          </w:tcPr>
          <w:p w14:paraId="33994BF6">
            <w:pPr>
              <w:kinsoku w:val="0"/>
              <w:autoSpaceDE w:val="0"/>
              <w:autoSpaceDN w:val="0"/>
              <w:adjustRightInd w:val="0"/>
              <w:snapToGrid w:val="0"/>
              <w:spacing w:before="150" w:line="183" w:lineRule="auto"/>
              <w:ind w:left="17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11.15</w:t>
            </w:r>
          </w:p>
        </w:tc>
        <w:tc>
          <w:tcPr>
            <w:tcW w:w="3003" w:type="dxa"/>
            <w:vAlign w:val="top"/>
          </w:tcPr>
          <w:p w14:paraId="385AF071">
            <w:pPr>
              <w:kinsoku w:val="0"/>
              <w:autoSpaceDE w:val="0"/>
              <w:autoSpaceDN w:val="0"/>
              <w:adjustRightInd w:val="0"/>
              <w:snapToGrid w:val="0"/>
              <w:spacing w:before="119" w:line="217" w:lineRule="auto"/>
              <w:ind w:left="104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雨水盲沟</w:t>
            </w:r>
          </w:p>
        </w:tc>
        <w:tc>
          <w:tcPr>
            <w:tcW w:w="625" w:type="dxa"/>
            <w:vAlign w:val="top"/>
          </w:tcPr>
          <w:p w14:paraId="7E9B93B7">
            <w:pPr>
              <w:kinsoku w:val="0"/>
              <w:autoSpaceDE w:val="0"/>
              <w:autoSpaceDN w:val="0"/>
              <w:adjustRightInd w:val="0"/>
              <w:snapToGrid w:val="0"/>
              <w:spacing w:before="267" w:line="182" w:lineRule="exact"/>
              <w:ind w:left="2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m</w:t>
            </w:r>
          </w:p>
        </w:tc>
        <w:tc>
          <w:tcPr>
            <w:tcW w:w="1213" w:type="dxa"/>
            <w:vAlign w:val="top"/>
          </w:tcPr>
          <w:p w14:paraId="45436D7C">
            <w:pPr>
              <w:kinsoku w:val="0"/>
              <w:autoSpaceDE w:val="0"/>
              <w:autoSpaceDN w:val="0"/>
              <w:adjustRightInd w:val="0"/>
              <w:snapToGrid w:val="0"/>
              <w:spacing w:before="215" w:line="181" w:lineRule="auto"/>
              <w:ind w:left="27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178.00</w:t>
            </w:r>
          </w:p>
        </w:tc>
        <w:tc>
          <w:tcPr>
            <w:tcW w:w="2589" w:type="dxa"/>
            <w:vAlign w:val="top"/>
          </w:tcPr>
          <w:p w14:paraId="145B124E">
            <w:pPr>
              <w:kinsoku w:val="0"/>
              <w:autoSpaceDE w:val="0"/>
              <w:autoSpaceDN w:val="0"/>
              <w:adjustRightInd w:val="0"/>
              <w:snapToGrid w:val="0"/>
              <w:spacing w:before="215" w:line="181" w:lineRule="auto"/>
              <w:ind w:left="100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DN300</w:t>
            </w:r>
          </w:p>
        </w:tc>
      </w:tr>
    </w:tbl>
    <w:p w14:paraId="72D903FA">
      <w:pPr>
        <w:widowControl/>
        <w:kinsoku w:val="0"/>
        <w:autoSpaceDE w:val="0"/>
        <w:autoSpaceDN w:val="0"/>
        <w:adjustRightInd w:val="0"/>
        <w:snapToGrid w:val="0"/>
        <w:spacing w:before="64" w:line="240" w:lineRule="auto"/>
        <w:jc w:val="left"/>
        <w:textAlignment w:val="baseline"/>
        <w:rPr>
          <w:rFonts w:ascii="Arial" w:hAnsi="Arial" w:eastAsia="Arial" w:cs="Arial"/>
          <w:snapToGrid w:val="0"/>
          <w:color w:val="000000"/>
          <w:kern w:val="0"/>
          <w:szCs w:val="21"/>
          <w:lang w:eastAsia="en-US"/>
        </w:rPr>
      </w:pPr>
    </w:p>
    <w:tbl>
      <w:tblPr>
        <w:tblStyle w:val="41"/>
        <w:tblW w:w="83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0"/>
        <w:gridCol w:w="3003"/>
        <w:gridCol w:w="625"/>
        <w:gridCol w:w="1213"/>
        <w:gridCol w:w="2589"/>
      </w:tblGrid>
      <w:tr w14:paraId="0D36D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10" w:type="dxa"/>
            <w:vAlign w:val="top"/>
          </w:tcPr>
          <w:p w14:paraId="38569E8D">
            <w:pPr>
              <w:kinsoku w:val="0"/>
              <w:autoSpaceDE w:val="0"/>
              <w:autoSpaceDN w:val="0"/>
              <w:adjustRightInd w:val="0"/>
              <w:snapToGrid w:val="0"/>
              <w:spacing w:before="150" w:line="183" w:lineRule="auto"/>
              <w:ind w:left="17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11.16</w:t>
            </w:r>
          </w:p>
        </w:tc>
        <w:tc>
          <w:tcPr>
            <w:tcW w:w="3003" w:type="dxa"/>
            <w:vAlign w:val="top"/>
          </w:tcPr>
          <w:p w14:paraId="5006051A">
            <w:pPr>
              <w:kinsoku w:val="0"/>
              <w:autoSpaceDE w:val="0"/>
              <w:autoSpaceDN w:val="0"/>
              <w:adjustRightInd w:val="0"/>
              <w:snapToGrid w:val="0"/>
              <w:spacing w:before="119" w:line="217" w:lineRule="auto"/>
              <w:ind w:left="103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洒水栓井</w:t>
            </w:r>
          </w:p>
        </w:tc>
        <w:tc>
          <w:tcPr>
            <w:tcW w:w="625" w:type="dxa"/>
            <w:vAlign w:val="top"/>
          </w:tcPr>
          <w:p w14:paraId="4C7A975F">
            <w:pPr>
              <w:kinsoku w:val="0"/>
              <w:autoSpaceDE w:val="0"/>
              <w:autoSpaceDN w:val="0"/>
              <w:adjustRightInd w:val="0"/>
              <w:snapToGrid w:val="0"/>
              <w:spacing w:before="183" w:line="207" w:lineRule="auto"/>
              <w:ind w:left="19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座</w:t>
            </w:r>
          </w:p>
        </w:tc>
        <w:tc>
          <w:tcPr>
            <w:tcW w:w="1213" w:type="dxa"/>
            <w:vAlign w:val="top"/>
          </w:tcPr>
          <w:p w14:paraId="500A182E">
            <w:pPr>
              <w:kinsoku w:val="0"/>
              <w:autoSpaceDE w:val="0"/>
              <w:autoSpaceDN w:val="0"/>
              <w:adjustRightInd w:val="0"/>
              <w:snapToGrid w:val="0"/>
              <w:spacing w:before="215" w:line="183" w:lineRule="auto"/>
              <w:ind w:left="38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2.00</w:t>
            </w:r>
          </w:p>
        </w:tc>
        <w:tc>
          <w:tcPr>
            <w:tcW w:w="2589" w:type="dxa"/>
            <w:vAlign w:val="top"/>
          </w:tcPr>
          <w:p w14:paraId="39119CA3">
            <w:pPr>
              <w:kinsoku w:val="0"/>
              <w:autoSpaceDE w:val="0"/>
              <w:autoSpaceDN w:val="0"/>
              <w:adjustRightInd w:val="0"/>
              <w:snapToGrid w:val="0"/>
              <w:spacing w:before="183" w:line="207" w:lineRule="auto"/>
              <w:ind w:left="77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1400*1400</w:t>
            </w:r>
          </w:p>
        </w:tc>
      </w:tr>
      <w:tr w14:paraId="0F725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0E422E1A">
            <w:pPr>
              <w:kinsoku w:val="0"/>
              <w:autoSpaceDE w:val="0"/>
              <w:autoSpaceDN w:val="0"/>
              <w:adjustRightInd w:val="0"/>
              <w:snapToGrid w:val="0"/>
              <w:spacing w:before="148" w:line="183" w:lineRule="auto"/>
              <w:ind w:left="17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11.17</w:t>
            </w:r>
          </w:p>
        </w:tc>
        <w:tc>
          <w:tcPr>
            <w:tcW w:w="3003" w:type="dxa"/>
            <w:vAlign w:val="top"/>
          </w:tcPr>
          <w:p w14:paraId="09B82CB7">
            <w:pPr>
              <w:kinsoku w:val="0"/>
              <w:autoSpaceDE w:val="0"/>
              <w:autoSpaceDN w:val="0"/>
              <w:adjustRightInd w:val="0"/>
              <w:snapToGrid w:val="0"/>
              <w:spacing w:before="117" w:line="215" w:lineRule="auto"/>
              <w:ind w:left="104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雨水花园</w:t>
            </w:r>
          </w:p>
        </w:tc>
        <w:tc>
          <w:tcPr>
            <w:tcW w:w="625" w:type="dxa"/>
            <w:vAlign w:val="top"/>
          </w:tcPr>
          <w:p w14:paraId="0BE8D8B5">
            <w:pPr>
              <w:widowControl/>
              <w:kinsoku w:val="0"/>
              <w:autoSpaceDE w:val="0"/>
              <w:autoSpaceDN w:val="0"/>
              <w:adjustRightInd w:val="0"/>
              <w:snapToGrid w:val="0"/>
              <w:spacing w:before="178" w:line="208" w:lineRule="auto"/>
              <w:ind w:left="1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w:t>
            </w:r>
          </w:p>
        </w:tc>
        <w:tc>
          <w:tcPr>
            <w:tcW w:w="1213" w:type="dxa"/>
            <w:vAlign w:val="top"/>
          </w:tcPr>
          <w:p w14:paraId="6863AA5E">
            <w:pPr>
              <w:kinsoku w:val="0"/>
              <w:autoSpaceDE w:val="0"/>
              <w:autoSpaceDN w:val="0"/>
              <w:adjustRightInd w:val="0"/>
              <w:snapToGrid w:val="0"/>
              <w:spacing w:before="210" w:line="183" w:lineRule="auto"/>
              <w:ind w:left="26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219.12</w:t>
            </w:r>
          </w:p>
        </w:tc>
        <w:tc>
          <w:tcPr>
            <w:tcW w:w="2589" w:type="dxa"/>
            <w:vAlign w:val="top"/>
          </w:tcPr>
          <w:p w14:paraId="14D075B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7D33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910" w:type="dxa"/>
            <w:vAlign w:val="top"/>
          </w:tcPr>
          <w:p w14:paraId="1A5C4D1C">
            <w:pPr>
              <w:kinsoku w:val="0"/>
              <w:autoSpaceDE w:val="0"/>
              <w:autoSpaceDN w:val="0"/>
              <w:adjustRightInd w:val="0"/>
              <w:snapToGrid w:val="0"/>
              <w:spacing w:before="147" w:line="183" w:lineRule="auto"/>
              <w:ind w:left="17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11.18</w:t>
            </w:r>
          </w:p>
        </w:tc>
        <w:tc>
          <w:tcPr>
            <w:tcW w:w="3003" w:type="dxa"/>
            <w:vAlign w:val="top"/>
          </w:tcPr>
          <w:p w14:paraId="7B9F5F15">
            <w:pPr>
              <w:kinsoku w:val="0"/>
              <w:autoSpaceDE w:val="0"/>
              <w:autoSpaceDN w:val="0"/>
              <w:adjustRightInd w:val="0"/>
              <w:snapToGrid w:val="0"/>
              <w:spacing w:before="178" w:line="207" w:lineRule="auto"/>
              <w:ind w:left="78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环保型溢流</w:t>
            </w:r>
            <w:r>
              <w:rPr>
                <w:rFonts w:ascii="仿宋" w:hAnsi="仿宋" w:eastAsia="仿宋" w:cs="仿宋"/>
                <w:snapToGrid w:val="0"/>
                <w:color w:val="000000"/>
                <w:spacing w:val="-66"/>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口</w:t>
            </w:r>
          </w:p>
        </w:tc>
        <w:tc>
          <w:tcPr>
            <w:tcW w:w="625" w:type="dxa"/>
            <w:vAlign w:val="top"/>
          </w:tcPr>
          <w:p w14:paraId="014A5F22">
            <w:pPr>
              <w:kinsoku w:val="0"/>
              <w:autoSpaceDE w:val="0"/>
              <w:autoSpaceDN w:val="0"/>
              <w:adjustRightInd w:val="0"/>
              <w:snapToGrid w:val="0"/>
              <w:spacing w:before="178" w:line="207" w:lineRule="auto"/>
              <w:ind w:left="19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座</w:t>
            </w:r>
          </w:p>
        </w:tc>
        <w:tc>
          <w:tcPr>
            <w:tcW w:w="1213" w:type="dxa"/>
            <w:vAlign w:val="top"/>
          </w:tcPr>
          <w:p w14:paraId="0964EFE8">
            <w:pPr>
              <w:kinsoku w:val="0"/>
              <w:autoSpaceDE w:val="0"/>
              <w:autoSpaceDN w:val="0"/>
              <w:adjustRightInd w:val="0"/>
              <w:snapToGrid w:val="0"/>
              <w:spacing w:before="210" w:line="183" w:lineRule="auto"/>
              <w:ind w:left="38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6.00</w:t>
            </w:r>
          </w:p>
        </w:tc>
        <w:tc>
          <w:tcPr>
            <w:tcW w:w="2589" w:type="dxa"/>
            <w:vAlign w:val="top"/>
          </w:tcPr>
          <w:p w14:paraId="0624F46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E650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60949852">
            <w:pPr>
              <w:kinsoku w:val="0"/>
              <w:autoSpaceDE w:val="0"/>
              <w:autoSpaceDN w:val="0"/>
              <w:adjustRightInd w:val="0"/>
              <w:snapToGrid w:val="0"/>
              <w:spacing w:before="147" w:line="183" w:lineRule="auto"/>
              <w:ind w:left="17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11.19</w:t>
            </w:r>
          </w:p>
        </w:tc>
        <w:tc>
          <w:tcPr>
            <w:tcW w:w="3003" w:type="dxa"/>
            <w:vAlign w:val="top"/>
          </w:tcPr>
          <w:p w14:paraId="114EE326">
            <w:pPr>
              <w:kinsoku w:val="0"/>
              <w:autoSpaceDE w:val="0"/>
              <w:autoSpaceDN w:val="0"/>
              <w:adjustRightInd w:val="0"/>
              <w:snapToGrid w:val="0"/>
              <w:spacing w:before="181" w:line="206" w:lineRule="auto"/>
              <w:ind w:left="103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沉砂石笼</w:t>
            </w:r>
          </w:p>
        </w:tc>
        <w:tc>
          <w:tcPr>
            <w:tcW w:w="625" w:type="dxa"/>
            <w:vAlign w:val="top"/>
          </w:tcPr>
          <w:p w14:paraId="7F2994E7">
            <w:pPr>
              <w:kinsoku w:val="0"/>
              <w:autoSpaceDE w:val="0"/>
              <w:autoSpaceDN w:val="0"/>
              <w:adjustRightInd w:val="0"/>
              <w:snapToGrid w:val="0"/>
              <w:spacing w:before="181" w:line="206" w:lineRule="auto"/>
              <w:ind w:left="194"/>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座</w:t>
            </w:r>
          </w:p>
        </w:tc>
        <w:tc>
          <w:tcPr>
            <w:tcW w:w="1213" w:type="dxa"/>
            <w:vAlign w:val="top"/>
          </w:tcPr>
          <w:p w14:paraId="4F5BF05F">
            <w:pPr>
              <w:kinsoku w:val="0"/>
              <w:autoSpaceDE w:val="0"/>
              <w:autoSpaceDN w:val="0"/>
              <w:adjustRightInd w:val="0"/>
              <w:snapToGrid w:val="0"/>
              <w:spacing w:before="212" w:line="182" w:lineRule="auto"/>
              <w:ind w:left="38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6.00</w:t>
            </w:r>
          </w:p>
        </w:tc>
        <w:tc>
          <w:tcPr>
            <w:tcW w:w="2589" w:type="dxa"/>
            <w:vAlign w:val="top"/>
          </w:tcPr>
          <w:p w14:paraId="4C63DEB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09405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10" w:type="dxa"/>
            <w:vAlign w:val="top"/>
          </w:tcPr>
          <w:p w14:paraId="3DC44E29">
            <w:pPr>
              <w:kinsoku w:val="0"/>
              <w:autoSpaceDE w:val="0"/>
              <w:autoSpaceDN w:val="0"/>
              <w:adjustRightInd w:val="0"/>
              <w:snapToGrid w:val="0"/>
              <w:spacing w:before="149" w:line="183" w:lineRule="auto"/>
              <w:ind w:left="17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11.20</w:t>
            </w:r>
          </w:p>
        </w:tc>
        <w:tc>
          <w:tcPr>
            <w:tcW w:w="3003" w:type="dxa"/>
            <w:vAlign w:val="top"/>
          </w:tcPr>
          <w:p w14:paraId="6AFBE90A">
            <w:pPr>
              <w:kinsoku w:val="0"/>
              <w:autoSpaceDE w:val="0"/>
              <w:autoSpaceDN w:val="0"/>
              <w:adjustRightInd w:val="0"/>
              <w:snapToGrid w:val="0"/>
              <w:spacing w:before="180" w:line="206" w:lineRule="auto"/>
              <w:ind w:left="80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雨水回用设备</w:t>
            </w:r>
          </w:p>
        </w:tc>
        <w:tc>
          <w:tcPr>
            <w:tcW w:w="625" w:type="dxa"/>
            <w:vAlign w:val="top"/>
          </w:tcPr>
          <w:p w14:paraId="02620548">
            <w:pPr>
              <w:kinsoku w:val="0"/>
              <w:autoSpaceDE w:val="0"/>
              <w:autoSpaceDN w:val="0"/>
              <w:adjustRightInd w:val="0"/>
              <w:snapToGrid w:val="0"/>
              <w:spacing w:before="180" w:line="206" w:lineRule="auto"/>
              <w:ind w:left="201"/>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套</w:t>
            </w:r>
          </w:p>
        </w:tc>
        <w:tc>
          <w:tcPr>
            <w:tcW w:w="1213" w:type="dxa"/>
            <w:vAlign w:val="top"/>
          </w:tcPr>
          <w:p w14:paraId="791CBDE5">
            <w:pPr>
              <w:kinsoku w:val="0"/>
              <w:autoSpaceDE w:val="0"/>
              <w:autoSpaceDN w:val="0"/>
              <w:adjustRightInd w:val="0"/>
              <w:snapToGrid w:val="0"/>
              <w:spacing w:before="211" w:line="182" w:lineRule="auto"/>
              <w:ind w:left="39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1.00</w:t>
            </w:r>
          </w:p>
        </w:tc>
        <w:tc>
          <w:tcPr>
            <w:tcW w:w="2589" w:type="dxa"/>
            <w:vAlign w:val="top"/>
          </w:tcPr>
          <w:p w14:paraId="7E43F94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6F9E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10" w:type="dxa"/>
            <w:vAlign w:val="top"/>
          </w:tcPr>
          <w:p w14:paraId="655086B9">
            <w:pPr>
              <w:kinsoku w:val="0"/>
              <w:autoSpaceDE w:val="0"/>
              <w:autoSpaceDN w:val="0"/>
              <w:adjustRightInd w:val="0"/>
              <w:snapToGrid w:val="0"/>
              <w:spacing w:before="149" w:line="183" w:lineRule="auto"/>
              <w:ind w:left="17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11.21</w:t>
            </w:r>
          </w:p>
        </w:tc>
        <w:tc>
          <w:tcPr>
            <w:tcW w:w="3003" w:type="dxa"/>
            <w:vAlign w:val="top"/>
          </w:tcPr>
          <w:p w14:paraId="4BF6E886">
            <w:pPr>
              <w:kinsoku w:val="0"/>
              <w:autoSpaceDE w:val="0"/>
              <w:autoSpaceDN w:val="0"/>
              <w:adjustRightInd w:val="0"/>
              <w:snapToGrid w:val="0"/>
              <w:spacing w:before="180" w:line="206" w:lineRule="auto"/>
              <w:ind w:left="1029"/>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道牙开</w:t>
            </w:r>
            <w:r>
              <w:rPr>
                <w:rFonts w:ascii="仿宋" w:hAnsi="仿宋" w:eastAsia="仿宋" w:cs="仿宋"/>
                <w:snapToGrid w:val="0"/>
                <w:color w:val="000000"/>
                <w:spacing w:val="-65"/>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口</w:t>
            </w:r>
          </w:p>
        </w:tc>
        <w:tc>
          <w:tcPr>
            <w:tcW w:w="625" w:type="dxa"/>
            <w:vAlign w:val="top"/>
          </w:tcPr>
          <w:p w14:paraId="39BD86C3">
            <w:pPr>
              <w:kinsoku w:val="0"/>
              <w:autoSpaceDE w:val="0"/>
              <w:autoSpaceDN w:val="0"/>
              <w:adjustRightInd w:val="0"/>
              <w:snapToGrid w:val="0"/>
              <w:spacing w:before="180" w:line="206" w:lineRule="auto"/>
              <w:ind w:left="207"/>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处</w:t>
            </w:r>
          </w:p>
        </w:tc>
        <w:tc>
          <w:tcPr>
            <w:tcW w:w="1213" w:type="dxa"/>
            <w:vAlign w:val="top"/>
          </w:tcPr>
          <w:p w14:paraId="054B7BE0">
            <w:pPr>
              <w:kinsoku w:val="0"/>
              <w:autoSpaceDE w:val="0"/>
              <w:autoSpaceDN w:val="0"/>
              <w:adjustRightInd w:val="0"/>
              <w:snapToGrid w:val="0"/>
              <w:spacing w:before="211" w:line="182" w:lineRule="auto"/>
              <w:ind w:left="33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35.00</w:t>
            </w:r>
          </w:p>
        </w:tc>
        <w:tc>
          <w:tcPr>
            <w:tcW w:w="2589" w:type="dxa"/>
            <w:vAlign w:val="top"/>
          </w:tcPr>
          <w:p w14:paraId="3AB0142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B335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11D9EF0B">
            <w:pPr>
              <w:kinsoku w:val="0"/>
              <w:autoSpaceDE w:val="0"/>
              <w:autoSpaceDN w:val="0"/>
              <w:adjustRightInd w:val="0"/>
              <w:snapToGrid w:val="0"/>
              <w:spacing w:before="149" w:line="183" w:lineRule="auto"/>
              <w:ind w:left="17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11.22</w:t>
            </w:r>
          </w:p>
        </w:tc>
        <w:tc>
          <w:tcPr>
            <w:tcW w:w="3003" w:type="dxa"/>
            <w:vAlign w:val="top"/>
          </w:tcPr>
          <w:p w14:paraId="60F536BC">
            <w:pPr>
              <w:kinsoku w:val="0"/>
              <w:autoSpaceDE w:val="0"/>
              <w:autoSpaceDN w:val="0"/>
              <w:adjustRightInd w:val="0"/>
              <w:snapToGrid w:val="0"/>
              <w:spacing w:before="183" w:line="204" w:lineRule="auto"/>
              <w:ind w:left="103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路面恢复</w:t>
            </w:r>
          </w:p>
        </w:tc>
        <w:tc>
          <w:tcPr>
            <w:tcW w:w="625" w:type="dxa"/>
            <w:vAlign w:val="top"/>
          </w:tcPr>
          <w:p w14:paraId="5BE6EA94">
            <w:pPr>
              <w:kinsoku w:val="0"/>
              <w:autoSpaceDE w:val="0"/>
              <w:autoSpaceDN w:val="0"/>
              <w:adjustRightInd w:val="0"/>
              <w:snapToGrid w:val="0"/>
              <w:spacing w:before="215" w:line="180" w:lineRule="auto"/>
              <w:ind w:left="1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m3</w:t>
            </w:r>
          </w:p>
        </w:tc>
        <w:tc>
          <w:tcPr>
            <w:tcW w:w="1213" w:type="dxa"/>
            <w:vAlign w:val="top"/>
          </w:tcPr>
          <w:p w14:paraId="5B21D0A9">
            <w:pPr>
              <w:kinsoku w:val="0"/>
              <w:autoSpaceDE w:val="0"/>
              <w:autoSpaceDN w:val="0"/>
              <w:adjustRightInd w:val="0"/>
              <w:snapToGrid w:val="0"/>
              <w:spacing w:before="215" w:line="180" w:lineRule="auto"/>
              <w:ind w:left="26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450.00</w:t>
            </w:r>
          </w:p>
        </w:tc>
        <w:tc>
          <w:tcPr>
            <w:tcW w:w="2589" w:type="dxa"/>
            <w:vAlign w:val="top"/>
          </w:tcPr>
          <w:p w14:paraId="6E60CAA9">
            <w:pPr>
              <w:kinsoku w:val="0"/>
              <w:autoSpaceDE w:val="0"/>
              <w:autoSpaceDN w:val="0"/>
              <w:adjustRightInd w:val="0"/>
              <w:snapToGrid w:val="0"/>
              <w:spacing w:before="183" w:line="204" w:lineRule="auto"/>
              <w:ind w:left="32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20cm</w:t>
            </w:r>
            <w:r>
              <w:rPr>
                <w:rFonts w:ascii="仿宋" w:hAnsi="仿宋" w:eastAsia="仿宋" w:cs="仿宋"/>
                <w:snapToGrid w:val="0"/>
                <w:color w:val="000000"/>
                <w:spacing w:val="-50"/>
                <w:kern w:val="0"/>
                <w:sz w:val="24"/>
                <w:szCs w:val="24"/>
                <w:lang w:val="en-US" w:eastAsia="en-US" w:bidi="ar-SA"/>
              </w:rPr>
              <w:t xml:space="preserve"> </w:t>
            </w:r>
            <w:r>
              <w:rPr>
                <w:rFonts w:ascii="仿宋" w:hAnsi="仿宋" w:eastAsia="仿宋" w:cs="仿宋"/>
                <w:snapToGrid w:val="0"/>
                <w:color w:val="000000"/>
                <w:spacing w:val="-3"/>
                <w:kern w:val="0"/>
                <w:sz w:val="24"/>
                <w:szCs w:val="24"/>
                <w:lang w:val="en-US" w:eastAsia="en-US" w:bidi="ar-SA"/>
              </w:rPr>
              <w:t>水泥砂浆路面</w:t>
            </w:r>
          </w:p>
        </w:tc>
      </w:tr>
      <w:tr w14:paraId="056A4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2428320B">
            <w:pPr>
              <w:kinsoku w:val="0"/>
              <w:autoSpaceDE w:val="0"/>
              <w:autoSpaceDN w:val="0"/>
              <w:adjustRightInd w:val="0"/>
              <w:snapToGrid w:val="0"/>
              <w:spacing w:before="151" w:line="183" w:lineRule="auto"/>
              <w:ind w:left="17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11.23</w:t>
            </w:r>
          </w:p>
        </w:tc>
        <w:tc>
          <w:tcPr>
            <w:tcW w:w="3003" w:type="dxa"/>
            <w:vAlign w:val="top"/>
          </w:tcPr>
          <w:p w14:paraId="6E4261BC">
            <w:pPr>
              <w:kinsoku w:val="0"/>
              <w:autoSpaceDE w:val="0"/>
              <w:autoSpaceDN w:val="0"/>
              <w:adjustRightInd w:val="0"/>
              <w:snapToGrid w:val="0"/>
              <w:spacing w:before="182" w:line="205" w:lineRule="auto"/>
              <w:ind w:left="308"/>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人行道及沥青路面恢复</w:t>
            </w:r>
          </w:p>
        </w:tc>
        <w:tc>
          <w:tcPr>
            <w:tcW w:w="625" w:type="dxa"/>
            <w:vAlign w:val="top"/>
          </w:tcPr>
          <w:p w14:paraId="3C9CC8E1">
            <w:pPr>
              <w:kinsoku w:val="0"/>
              <w:autoSpaceDE w:val="0"/>
              <w:autoSpaceDN w:val="0"/>
              <w:adjustRightInd w:val="0"/>
              <w:snapToGrid w:val="0"/>
              <w:spacing w:before="213" w:line="181" w:lineRule="auto"/>
              <w:ind w:left="19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m3</w:t>
            </w:r>
          </w:p>
        </w:tc>
        <w:tc>
          <w:tcPr>
            <w:tcW w:w="1213" w:type="dxa"/>
            <w:vAlign w:val="top"/>
          </w:tcPr>
          <w:p w14:paraId="01D3A55B">
            <w:pPr>
              <w:kinsoku w:val="0"/>
              <w:autoSpaceDE w:val="0"/>
              <w:autoSpaceDN w:val="0"/>
              <w:adjustRightInd w:val="0"/>
              <w:snapToGrid w:val="0"/>
              <w:spacing w:before="213" w:line="181" w:lineRule="auto"/>
              <w:ind w:left="333"/>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30.00</w:t>
            </w:r>
          </w:p>
        </w:tc>
        <w:tc>
          <w:tcPr>
            <w:tcW w:w="2589" w:type="dxa"/>
            <w:vAlign w:val="top"/>
          </w:tcPr>
          <w:p w14:paraId="1BE72A7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DB1C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1E5CC6C7">
            <w:pPr>
              <w:kinsoku w:val="0"/>
              <w:autoSpaceDE w:val="0"/>
              <w:autoSpaceDN w:val="0"/>
              <w:adjustRightInd w:val="0"/>
              <w:snapToGrid w:val="0"/>
              <w:spacing w:before="150" w:line="183" w:lineRule="auto"/>
              <w:ind w:left="17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11.24</w:t>
            </w:r>
          </w:p>
        </w:tc>
        <w:tc>
          <w:tcPr>
            <w:tcW w:w="3003" w:type="dxa"/>
            <w:vAlign w:val="top"/>
          </w:tcPr>
          <w:p w14:paraId="404E9D63">
            <w:pPr>
              <w:kinsoku w:val="0"/>
              <w:autoSpaceDE w:val="0"/>
              <w:autoSpaceDN w:val="0"/>
              <w:adjustRightInd w:val="0"/>
              <w:snapToGrid w:val="0"/>
              <w:spacing w:before="181" w:line="206" w:lineRule="auto"/>
              <w:ind w:left="785"/>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低压干线线缆</w:t>
            </w:r>
          </w:p>
        </w:tc>
        <w:tc>
          <w:tcPr>
            <w:tcW w:w="625" w:type="dxa"/>
            <w:vAlign w:val="top"/>
          </w:tcPr>
          <w:p w14:paraId="31D3FCFD">
            <w:pPr>
              <w:kinsoku w:val="0"/>
              <w:autoSpaceDE w:val="0"/>
              <w:autoSpaceDN w:val="0"/>
              <w:adjustRightInd w:val="0"/>
              <w:snapToGrid w:val="0"/>
              <w:spacing w:before="265" w:line="181" w:lineRule="exact"/>
              <w:ind w:left="252"/>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m</w:t>
            </w:r>
          </w:p>
        </w:tc>
        <w:tc>
          <w:tcPr>
            <w:tcW w:w="1213" w:type="dxa"/>
            <w:vAlign w:val="top"/>
          </w:tcPr>
          <w:p w14:paraId="77E2217B">
            <w:pPr>
              <w:kinsoku w:val="0"/>
              <w:autoSpaceDE w:val="0"/>
              <w:autoSpaceDN w:val="0"/>
              <w:adjustRightInd w:val="0"/>
              <w:snapToGrid w:val="0"/>
              <w:spacing w:before="212" w:line="182" w:lineRule="auto"/>
              <w:ind w:left="27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150.00</w:t>
            </w:r>
          </w:p>
        </w:tc>
        <w:tc>
          <w:tcPr>
            <w:tcW w:w="2589" w:type="dxa"/>
            <w:vAlign w:val="top"/>
          </w:tcPr>
          <w:p w14:paraId="2B2A8B58">
            <w:pPr>
              <w:kinsoku w:val="0"/>
              <w:autoSpaceDE w:val="0"/>
              <w:autoSpaceDN w:val="0"/>
              <w:adjustRightInd w:val="0"/>
              <w:snapToGrid w:val="0"/>
              <w:spacing w:before="181" w:line="206" w:lineRule="auto"/>
              <w:ind w:left="21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
                <w:kern w:val="0"/>
                <w:sz w:val="24"/>
                <w:szCs w:val="24"/>
                <w:lang w:val="en-US" w:eastAsia="en-US" w:bidi="ar-SA"/>
              </w:rPr>
              <w:t>含挖填方及土方外运</w:t>
            </w:r>
          </w:p>
        </w:tc>
      </w:tr>
      <w:tr w14:paraId="6054C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10" w:type="dxa"/>
            <w:vAlign w:val="top"/>
          </w:tcPr>
          <w:p w14:paraId="7F3FB58A">
            <w:pPr>
              <w:kinsoku w:val="0"/>
              <w:autoSpaceDE w:val="0"/>
              <w:autoSpaceDN w:val="0"/>
              <w:adjustRightInd w:val="0"/>
              <w:snapToGrid w:val="0"/>
              <w:spacing w:before="149" w:line="183" w:lineRule="auto"/>
              <w:ind w:left="17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11.25</w:t>
            </w:r>
          </w:p>
        </w:tc>
        <w:tc>
          <w:tcPr>
            <w:tcW w:w="3003" w:type="dxa"/>
            <w:vAlign w:val="top"/>
          </w:tcPr>
          <w:p w14:paraId="3282725A">
            <w:pPr>
              <w:kinsoku w:val="0"/>
              <w:autoSpaceDE w:val="0"/>
              <w:autoSpaceDN w:val="0"/>
              <w:adjustRightInd w:val="0"/>
              <w:snapToGrid w:val="0"/>
              <w:spacing w:before="183" w:line="204" w:lineRule="auto"/>
              <w:ind w:left="92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动力配电箱</w:t>
            </w:r>
          </w:p>
        </w:tc>
        <w:tc>
          <w:tcPr>
            <w:tcW w:w="625" w:type="dxa"/>
            <w:vAlign w:val="top"/>
          </w:tcPr>
          <w:p w14:paraId="3CA2708A">
            <w:pPr>
              <w:kinsoku w:val="0"/>
              <w:autoSpaceDE w:val="0"/>
              <w:autoSpaceDN w:val="0"/>
              <w:adjustRightInd w:val="0"/>
              <w:snapToGrid w:val="0"/>
              <w:spacing w:before="183" w:line="204" w:lineRule="auto"/>
              <w:ind w:left="226"/>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台</w:t>
            </w:r>
          </w:p>
        </w:tc>
        <w:tc>
          <w:tcPr>
            <w:tcW w:w="1213" w:type="dxa"/>
            <w:vAlign w:val="top"/>
          </w:tcPr>
          <w:p w14:paraId="3C878E08">
            <w:pPr>
              <w:kinsoku w:val="0"/>
              <w:autoSpaceDE w:val="0"/>
              <w:autoSpaceDN w:val="0"/>
              <w:adjustRightInd w:val="0"/>
              <w:snapToGrid w:val="0"/>
              <w:spacing w:before="215" w:line="180" w:lineRule="auto"/>
              <w:ind w:left="390"/>
              <w:jc w:val="left"/>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1.00</w:t>
            </w:r>
          </w:p>
        </w:tc>
        <w:tc>
          <w:tcPr>
            <w:tcW w:w="2589" w:type="dxa"/>
            <w:vAlign w:val="top"/>
          </w:tcPr>
          <w:p w14:paraId="1E91969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2E721450">
      <w:pPr>
        <w:widowControl/>
        <w:jc w:val="left"/>
        <w:rPr>
          <w:rFonts w:ascii="仿宋" w:hAnsi="仿宋" w:eastAsia="仿宋" w:cs="仿宋"/>
          <w:b/>
          <w:bCs/>
          <w:sz w:val="28"/>
          <w:szCs w:val="28"/>
        </w:rPr>
      </w:pPr>
      <w:bookmarkStart w:id="276" w:name="_GoBack"/>
      <w:bookmarkEnd w:id="276"/>
      <w:r>
        <w:rPr>
          <w:rFonts w:hint="eastAsia" w:ascii="仿宋" w:hAnsi="仿宋" w:eastAsia="仿宋"/>
          <w:sz w:val="28"/>
          <w:szCs w:val="28"/>
          <w:lang w:val="en-US" w:eastAsia="zh-CN"/>
        </w:rPr>
        <w:t>2、</w:t>
      </w:r>
      <w:r>
        <w:rPr>
          <w:rFonts w:hint="eastAsia" w:ascii="仿宋" w:hAnsi="仿宋" w:eastAsia="仿宋"/>
          <w:sz w:val="28"/>
          <w:szCs w:val="28"/>
        </w:rPr>
        <w:t>详见</w:t>
      </w:r>
      <w:r>
        <w:rPr>
          <w:rFonts w:hint="eastAsia" w:ascii="仿宋" w:hAnsi="仿宋" w:eastAsia="仿宋"/>
          <w:b w:val="0"/>
          <w:bCs w:val="0"/>
          <w:sz w:val="28"/>
          <w:szCs w:val="28"/>
        </w:rPr>
        <w:t>西</w:t>
      </w:r>
      <w:r>
        <w:rPr>
          <w:rFonts w:hint="eastAsia" w:ascii="仿宋" w:hAnsi="仿宋" w:eastAsia="仿宋"/>
          <w:sz w:val="28"/>
          <w:szCs w:val="28"/>
        </w:rPr>
        <w:t>宁市第三人民医院病房改造提升建设项目可行性研究报告。</w:t>
      </w:r>
    </w:p>
    <w:p w14:paraId="40B7B8EF">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jc w:val="both"/>
        <w:textAlignment w:val="auto"/>
        <w:outlineLvl w:val="9"/>
        <w:rPr>
          <w:rFonts w:hint="eastAsia" w:ascii="宋体" w:hAnsi="宋体" w:eastAsia="宋体" w:cs="Times New Roman"/>
          <w:bCs/>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40216">
    <w:pPr>
      <w:pStyle w:val="10"/>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57</w:t>
    </w:r>
    <w:r>
      <w:rPr>
        <w:rFonts w:ascii="宋体" w:hAnsi="宋体"/>
        <w:sz w:val="24"/>
      </w:rPr>
      <w:fldChar w:fldCharType="end"/>
    </w:r>
  </w:p>
  <w:p w14:paraId="6473F127">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3A68A">
    <w:pPr>
      <w:pStyle w:val="10"/>
      <w:framePr w:wrap="around" w:vAnchor="text" w:hAnchor="margin" w:y="1"/>
      <w:ind w:firstLine="360"/>
      <w:rPr>
        <w:rStyle w:val="22"/>
      </w:rPr>
    </w:pPr>
    <w:r>
      <w:rPr>
        <w:rStyle w:val="22"/>
      </w:rPr>
      <w:fldChar w:fldCharType="begin"/>
    </w:r>
    <w:r>
      <w:rPr>
        <w:rStyle w:val="22"/>
      </w:rPr>
      <w:instrText xml:space="preserve">PAGE  </w:instrText>
    </w:r>
    <w:r>
      <w:rPr>
        <w:rStyle w:val="22"/>
      </w:rPr>
      <w:fldChar w:fldCharType="separate"/>
    </w:r>
    <w:r>
      <w:rPr>
        <w:rStyle w:val="22"/>
      </w:rPr>
      <w:t>64</w:t>
    </w:r>
    <w:r>
      <w:rPr>
        <w:rStyle w:val="22"/>
      </w:rPr>
      <w:fldChar w:fldCharType="end"/>
    </w:r>
  </w:p>
  <w:p w14:paraId="1EA77506">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C153A">
    <w:pPr>
      <w:pStyle w:val="10"/>
      <w:framePr w:wrap="around" w:vAnchor="text" w:hAnchor="margin" w:xAlign="center" w:y="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6683011"/>
      <w:docPartObj>
        <w:docPartGallery w:val="autotext"/>
      </w:docPartObj>
    </w:sdtPr>
    <w:sdtContent>
      <w:p w14:paraId="78EDC5D8">
        <w:pPr>
          <w:pStyle w:val="10"/>
          <w:jc w:val="center"/>
        </w:pPr>
        <w:r>
          <w:fldChar w:fldCharType="begin"/>
        </w:r>
        <w:r>
          <w:instrText xml:space="preserve">PAGE   \* MERGEFORMAT</w:instrText>
        </w:r>
        <w:r>
          <w:fldChar w:fldCharType="separate"/>
        </w:r>
        <w:r>
          <w:rPr>
            <w:lang w:val="zh-CN"/>
          </w:rPr>
          <w:t>4</w:t>
        </w:r>
        <w:r>
          <w:fldChar w:fldCharType="end"/>
        </w:r>
      </w:p>
    </w:sdtContent>
  </w:sdt>
  <w:p w14:paraId="0832D39C">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93DD7">
    <w:pPr>
      <w:pStyle w:val="11"/>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03AFFB10">
    <w:pPr>
      <w:pStyle w:val="11"/>
      <w:pBdr>
        <w:top w:val="none" w:color="auto" w:sz="0" w:space="0"/>
        <w:left w:val="none" w:color="auto" w:sz="0" w:space="0"/>
        <w:bottom w:val="none" w:color="auto" w:sz="0" w:space="0"/>
        <w:right w:val="none" w:color="auto" w:sz="0" w:space="0"/>
      </w:pBdr>
      <w:rPr>
        <w:rFonts w:hint="eastAsia" w:ascii="仿宋_GB2312" w:eastAsia="仿宋_GB2312"/>
        <w:b/>
        <w:sz w:val="24"/>
        <w:u w:val="single"/>
        <w:lang w:eastAsia="zh-CN"/>
      </w:rPr>
    </w:pPr>
    <w:r>
      <w:rPr>
        <w:rFonts w:hint="eastAsia" w:ascii="仿宋_GB2312" w:eastAsia="仿宋_GB2312"/>
        <w:b/>
        <w:sz w:val="24"/>
        <w:u w:val="single"/>
      </w:rPr>
      <w:t>竞争性磋商文件</w:t>
    </w:r>
    <w:r>
      <w:rPr>
        <w:rFonts w:ascii="仿宋_GB2312" w:eastAsia="仿宋_GB2312"/>
        <w:b/>
        <w:sz w:val="24"/>
        <w:u w:val="single"/>
      </w:rPr>
      <w:t xml:space="preserve">                        </w:t>
    </w:r>
    <w:r>
      <w:rPr>
        <w:rFonts w:hint="eastAsia" w:ascii="仿宋_GB2312" w:eastAsia="仿宋_GB2312"/>
        <w:b/>
        <w:sz w:val="24"/>
        <w:u w:val="single"/>
        <w:lang w:eastAsia="zh-CN"/>
      </w:rPr>
      <w:t>兰州众信磋商（服务）2024-016号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8CC5">
    <w:pPr>
      <w:pStyle w:val="11"/>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609F8">
    <w:pPr>
      <w:pStyle w:val="11"/>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23EC24D4">
    <w:pPr>
      <w:ind w:left="480"/>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eastAsia="zh-CN"/>
      </w:rPr>
      <w:t>兰州众信磋商（服务）2024-016号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38480"/>
    <w:multiLevelType w:val="singleLevel"/>
    <w:tmpl w:val="24338480"/>
    <w:lvl w:ilvl="0" w:tentative="0">
      <w:start w:val="1"/>
      <w:numFmt w:val="decimal"/>
      <w:suff w:val="nothing"/>
      <w:lvlText w:val="%1、"/>
      <w:lvlJc w:val="left"/>
    </w:lvl>
  </w:abstractNum>
  <w:abstractNum w:abstractNumId="1">
    <w:nsid w:val="59FC3CC6"/>
    <w:multiLevelType w:val="singleLevel"/>
    <w:tmpl w:val="59FC3CC6"/>
    <w:lvl w:ilvl="0" w:tentative="0">
      <w:start w:val="1"/>
      <w:numFmt w:val="decimal"/>
      <w:suff w:val="nothing"/>
      <w:lvlText w:val="（%1）"/>
      <w:lvlJc w:val="left"/>
      <w:rPr>
        <w:rFonts w:cs="Times New Roman"/>
      </w:rPr>
    </w:lvl>
  </w:abstractNum>
  <w:abstractNum w:abstractNumId="2">
    <w:nsid w:val="67840197"/>
    <w:multiLevelType w:val="singleLevel"/>
    <w:tmpl w:val="67840197"/>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NjExZWE5ZTBmMmRkNmE5YWMwNzhjZGQ2MDBjOGEifQ=="/>
  </w:docVars>
  <w:rsids>
    <w:rsidRoot w:val="268F17CA"/>
    <w:rsid w:val="0006109E"/>
    <w:rsid w:val="000F0DF4"/>
    <w:rsid w:val="00101367"/>
    <w:rsid w:val="00104B52"/>
    <w:rsid w:val="001D4405"/>
    <w:rsid w:val="001F73BB"/>
    <w:rsid w:val="00263898"/>
    <w:rsid w:val="002A0207"/>
    <w:rsid w:val="002C47E1"/>
    <w:rsid w:val="0031380D"/>
    <w:rsid w:val="00371A5A"/>
    <w:rsid w:val="003D65AE"/>
    <w:rsid w:val="003E4D62"/>
    <w:rsid w:val="00560C8D"/>
    <w:rsid w:val="0058758B"/>
    <w:rsid w:val="005D4732"/>
    <w:rsid w:val="00632F62"/>
    <w:rsid w:val="00681326"/>
    <w:rsid w:val="006F01DB"/>
    <w:rsid w:val="007E5615"/>
    <w:rsid w:val="0085390E"/>
    <w:rsid w:val="008A7E08"/>
    <w:rsid w:val="008B430F"/>
    <w:rsid w:val="009C2568"/>
    <w:rsid w:val="00A2142F"/>
    <w:rsid w:val="00A35999"/>
    <w:rsid w:val="00AB4038"/>
    <w:rsid w:val="00BA6A16"/>
    <w:rsid w:val="00C2274B"/>
    <w:rsid w:val="00C22E2A"/>
    <w:rsid w:val="00C47AE6"/>
    <w:rsid w:val="00D34240"/>
    <w:rsid w:val="00D60E93"/>
    <w:rsid w:val="00DE36B0"/>
    <w:rsid w:val="00DF4225"/>
    <w:rsid w:val="00E16FE2"/>
    <w:rsid w:val="00E55843"/>
    <w:rsid w:val="00E86A09"/>
    <w:rsid w:val="00F70DE9"/>
    <w:rsid w:val="00FA7B2F"/>
    <w:rsid w:val="00FD18C4"/>
    <w:rsid w:val="010627DD"/>
    <w:rsid w:val="01B20283"/>
    <w:rsid w:val="01E52B54"/>
    <w:rsid w:val="022134C4"/>
    <w:rsid w:val="02551BCA"/>
    <w:rsid w:val="0271212B"/>
    <w:rsid w:val="02AD1803"/>
    <w:rsid w:val="03070CEC"/>
    <w:rsid w:val="034877EC"/>
    <w:rsid w:val="037C4AF6"/>
    <w:rsid w:val="03C47BAD"/>
    <w:rsid w:val="042C0E69"/>
    <w:rsid w:val="043A7E49"/>
    <w:rsid w:val="046C3066"/>
    <w:rsid w:val="04FF037E"/>
    <w:rsid w:val="05023D42"/>
    <w:rsid w:val="053C7FC0"/>
    <w:rsid w:val="0546627C"/>
    <w:rsid w:val="05492BAA"/>
    <w:rsid w:val="057A4137"/>
    <w:rsid w:val="05A57877"/>
    <w:rsid w:val="05BB6691"/>
    <w:rsid w:val="060C40C5"/>
    <w:rsid w:val="062A1A1D"/>
    <w:rsid w:val="063D40C6"/>
    <w:rsid w:val="069259DB"/>
    <w:rsid w:val="069939D7"/>
    <w:rsid w:val="06AD084E"/>
    <w:rsid w:val="06F2019A"/>
    <w:rsid w:val="06F762A4"/>
    <w:rsid w:val="07382BA3"/>
    <w:rsid w:val="077A4D0B"/>
    <w:rsid w:val="07DF0702"/>
    <w:rsid w:val="08017F69"/>
    <w:rsid w:val="08365982"/>
    <w:rsid w:val="085448F9"/>
    <w:rsid w:val="08665F5F"/>
    <w:rsid w:val="08732C15"/>
    <w:rsid w:val="089F7EAE"/>
    <w:rsid w:val="093D1475"/>
    <w:rsid w:val="097E317A"/>
    <w:rsid w:val="09C401AC"/>
    <w:rsid w:val="09C52395"/>
    <w:rsid w:val="09D516AE"/>
    <w:rsid w:val="09F25085"/>
    <w:rsid w:val="0A116CE5"/>
    <w:rsid w:val="0A5151D8"/>
    <w:rsid w:val="0A8428F6"/>
    <w:rsid w:val="0A9450C5"/>
    <w:rsid w:val="0AE72069"/>
    <w:rsid w:val="0AF42E98"/>
    <w:rsid w:val="0B062F91"/>
    <w:rsid w:val="0B2F577A"/>
    <w:rsid w:val="0B4D5952"/>
    <w:rsid w:val="0B554541"/>
    <w:rsid w:val="0B751E6B"/>
    <w:rsid w:val="0BB608BA"/>
    <w:rsid w:val="0BBD3CC4"/>
    <w:rsid w:val="0BE847A8"/>
    <w:rsid w:val="0BF51564"/>
    <w:rsid w:val="0C35192D"/>
    <w:rsid w:val="0C444224"/>
    <w:rsid w:val="0CA37841"/>
    <w:rsid w:val="0CCF14C0"/>
    <w:rsid w:val="0CEE7C1A"/>
    <w:rsid w:val="0D381A81"/>
    <w:rsid w:val="0D6916FC"/>
    <w:rsid w:val="0DB90FCB"/>
    <w:rsid w:val="0E0D41AB"/>
    <w:rsid w:val="0E16445F"/>
    <w:rsid w:val="0E18072F"/>
    <w:rsid w:val="0E4145C9"/>
    <w:rsid w:val="0E5B6625"/>
    <w:rsid w:val="0E833DCE"/>
    <w:rsid w:val="0EA27458"/>
    <w:rsid w:val="0ED84941"/>
    <w:rsid w:val="0EEF563B"/>
    <w:rsid w:val="0EF86BF3"/>
    <w:rsid w:val="0F000F7B"/>
    <w:rsid w:val="0F006AEC"/>
    <w:rsid w:val="0F0767AD"/>
    <w:rsid w:val="0F651E8C"/>
    <w:rsid w:val="0FE349C9"/>
    <w:rsid w:val="10015EDC"/>
    <w:rsid w:val="107255C2"/>
    <w:rsid w:val="109E6C9D"/>
    <w:rsid w:val="111F64CC"/>
    <w:rsid w:val="115C1FDD"/>
    <w:rsid w:val="115C29DA"/>
    <w:rsid w:val="11B038B5"/>
    <w:rsid w:val="11CB5870"/>
    <w:rsid w:val="11D20D72"/>
    <w:rsid w:val="11D839BF"/>
    <w:rsid w:val="11EA4393"/>
    <w:rsid w:val="11EB4164"/>
    <w:rsid w:val="121A1DB6"/>
    <w:rsid w:val="12C050BC"/>
    <w:rsid w:val="12C73EF9"/>
    <w:rsid w:val="12D42D15"/>
    <w:rsid w:val="12DE2ED6"/>
    <w:rsid w:val="12DE5D0A"/>
    <w:rsid w:val="12DF41F2"/>
    <w:rsid w:val="12F2507E"/>
    <w:rsid w:val="132873DD"/>
    <w:rsid w:val="13315BA7"/>
    <w:rsid w:val="13CC3CD0"/>
    <w:rsid w:val="13FC4DD4"/>
    <w:rsid w:val="147A0AD2"/>
    <w:rsid w:val="148166BA"/>
    <w:rsid w:val="149B0123"/>
    <w:rsid w:val="14C842E9"/>
    <w:rsid w:val="1520381C"/>
    <w:rsid w:val="1523025C"/>
    <w:rsid w:val="15296F69"/>
    <w:rsid w:val="156F29B6"/>
    <w:rsid w:val="15F80BFE"/>
    <w:rsid w:val="163A3AFE"/>
    <w:rsid w:val="16B415E1"/>
    <w:rsid w:val="16BB69BF"/>
    <w:rsid w:val="16EF184E"/>
    <w:rsid w:val="17066DEB"/>
    <w:rsid w:val="1773288D"/>
    <w:rsid w:val="17AF1E38"/>
    <w:rsid w:val="17CD58C0"/>
    <w:rsid w:val="17FA16AF"/>
    <w:rsid w:val="180B3C96"/>
    <w:rsid w:val="1816350A"/>
    <w:rsid w:val="181A637C"/>
    <w:rsid w:val="182C7CE5"/>
    <w:rsid w:val="186D3687"/>
    <w:rsid w:val="18C748B7"/>
    <w:rsid w:val="18E3288B"/>
    <w:rsid w:val="18F03E0E"/>
    <w:rsid w:val="19540841"/>
    <w:rsid w:val="197467ED"/>
    <w:rsid w:val="19766A09"/>
    <w:rsid w:val="19882507"/>
    <w:rsid w:val="19940C3D"/>
    <w:rsid w:val="19C257AA"/>
    <w:rsid w:val="19C5529B"/>
    <w:rsid w:val="19FF09AD"/>
    <w:rsid w:val="1A0E6C42"/>
    <w:rsid w:val="1A290DBB"/>
    <w:rsid w:val="1A5F3850"/>
    <w:rsid w:val="1A872550"/>
    <w:rsid w:val="1AAD791E"/>
    <w:rsid w:val="1AC21DB9"/>
    <w:rsid w:val="1B0260DE"/>
    <w:rsid w:val="1B197E44"/>
    <w:rsid w:val="1B373F76"/>
    <w:rsid w:val="1B491A7D"/>
    <w:rsid w:val="1B4B5DB3"/>
    <w:rsid w:val="1B760F4E"/>
    <w:rsid w:val="1BC617FD"/>
    <w:rsid w:val="1BC81072"/>
    <w:rsid w:val="1C07728B"/>
    <w:rsid w:val="1C3D7EE7"/>
    <w:rsid w:val="1C3E6DE4"/>
    <w:rsid w:val="1C823A83"/>
    <w:rsid w:val="1C851087"/>
    <w:rsid w:val="1CB358ED"/>
    <w:rsid w:val="1CC373F1"/>
    <w:rsid w:val="1CC91FE0"/>
    <w:rsid w:val="1D133BAC"/>
    <w:rsid w:val="1D4B1F5B"/>
    <w:rsid w:val="1D786FD8"/>
    <w:rsid w:val="1D7D370E"/>
    <w:rsid w:val="1D9F0C47"/>
    <w:rsid w:val="1DA63635"/>
    <w:rsid w:val="1DD40047"/>
    <w:rsid w:val="1DF30F5E"/>
    <w:rsid w:val="1EA7484D"/>
    <w:rsid w:val="1EF708E2"/>
    <w:rsid w:val="1F2F05A6"/>
    <w:rsid w:val="1F39155E"/>
    <w:rsid w:val="1F6031E5"/>
    <w:rsid w:val="1F6410B2"/>
    <w:rsid w:val="1F6471DB"/>
    <w:rsid w:val="1FB5190D"/>
    <w:rsid w:val="2020147D"/>
    <w:rsid w:val="202820DF"/>
    <w:rsid w:val="202B19E9"/>
    <w:rsid w:val="20561693"/>
    <w:rsid w:val="20621082"/>
    <w:rsid w:val="209B6D55"/>
    <w:rsid w:val="20A57E4E"/>
    <w:rsid w:val="20C57A15"/>
    <w:rsid w:val="20F46465"/>
    <w:rsid w:val="210823A6"/>
    <w:rsid w:val="213C5454"/>
    <w:rsid w:val="2148123F"/>
    <w:rsid w:val="21507F48"/>
    <w:rsid w:val="21684092"/>
    <w:rsid w:val="218029E1"/>
    <w:rsid w:val="21E169EA"/>
    <w:rsid w:val="221F5B56"/>
    <w:rsid w:val="229402E8"/>
    <w:rsid w:val="22AF6AE8"/>
    <w:rsid w:val="23121255"/>
    <w:rsid w:val="23627FFE"/>
    <w:rsid w:val="236D1CCB"/>
    <w:rsid w:val="23842664"/>
    <w:rsid w:val="23D50E2B"/>
    <w:rsid w:val="23F1506F"/>
    <w:rsid w:val="241B64CA"/>
    <w:rsid w:val="24305A06"/>
    <w:rsid w:val="245153D6"/>
    <w:rsid w:val="24756635"/>
    <w:rsid w:val="247E2C16"/>
    <w:rsid w:val="257D04CF"/>
    <w:rsid w:val="25861DB0"/>
    <w:rsid w:val="259D3570"/>
    <w:rsid w:val="261035E9"/>
    <w:rsid w:val="261857A9"/>
    <w:rsid w:val="26185C40"/>
    <w:rsid w:val="26291256"/>
    <w:rsid w:val="26506ACD"/>
    <w:rsid w:val="265369F2"/>
    <w:rsid w:val="26793A91"/>
    <w:rsid w:val="267B0A6C"/>
    <w:rsid w:val="26802C75"/>
    <w:rsid w:val="268F17CA"/>
    <w:rsid w:val="26CB1761"/>
    <w:rsid w:val="26F92CBD"/>
    <w:rsid w:val="2772209C"/>
    <w:rsid w:val="27A26F17"/>
    <w:rsid w:val="27BB1A8B"/>
    <w:rsid w:val="28537F15"/>
    <w:rsid w:val="285D7463"/>
    <w:rsid w:val="28760CC7"/>
    <w:rsid w:val="28C87BA2"/>
    <w:rsid w:val="28D472A8"/>
    <w:rsid w:val="2903434C"/>
    <w:rsid w:val="29A615E0"/>
    <w:rsid w:val="29C7367D"/>
    <w:rsid w:val="29FF65A7"/>
    <w:rsid w:val="2A137E7D"/>
    <w:rsid w:val="2A225A5E"/>
    <w:rsid w:val="2ABD4D61"/>
    <w:rsid w:val="2AC63C33"/>
    <w:rsid w:val="2B6378E1"/>
    <w:rsid w:val="2B6E786C"/>
    <w:rsid w:val="2BA44D6C"/>
    <w:rsid w:val="2BB94533"/>
    <w:rsid w:val="2BEF0F95"/>
    <w:rsid w:val="2C061777"/>
    <w:rsid w:val="2C502E0C"/>
    <w:rsid w:val="2C7B219E"/>
    <w:rsid w:val="2C82573A"/>
    <w:rsid w:val="2C976EAA"/>
    <w:rsid w:val="2CF47F19"/>
    <w:rsid w:val="2CFA2A6C"/>
    <w:rsid w:val="2D126ABA"/>
    <w:rsid w:val="2D197980"/>
    <w:rsid w:val="2D1C5260"/>
    <w:rsid w:val="2D964B2C"/>
    <w:rsid w:val="2DB464A8"/>
    <w:rsid w:val="2DCB08CC"/>
    <w:rsid w:val="2DCF595A"/>
    <w:rsid w:val="2DF277AF"/>
    <w:rsid w:val="2ED309E0"/>
    <w:rsid w:val="2F9C2AEA"/>
    <w:rsid w:val="2FE3518C"/>
    <w:rsid w:val="2FFC28E1"/>
    <w:rsid w:val="300D348D"/>
    <w:rsid w:val="301631A3"/>
    <w:rsid w:val="301B63C6"/>
    <w:rsid w:val="305B205D"/>
    <w:rsid w:val="305E62B4"/>
    <w:rsid w:val="306D193F"/>
    <w:rsid w:val="30793430"/>
    <w:rsid w:val="307A4B5B"/>
    <w:rsid w:val="30AD6E4C"/>
    <w:rsid w:val="30FE52FB"/>
    <w:rsid w:val="31F6761E"/>
    <w:rsid w:val="323A5AD1"/>
    <w:rsid w:val="3327702B"/>
    <w:rsid w:val="333C1E46"/>
    <w:rsid w:val="333F5C66"/>
    <w:rsid w:val="33416FC8"/>
    <w:rsid w:val="33900270"/>
    <w:rsid w:val="339D3167"/>
    <w:rsid w:val="33D339B9"/>
    <w:rsid w:val="33E762D2"/>
    <w:rsid w:val="340B294D"/>
    <w:rsid w:val="343C7F3B"/>
    <w:rsid w:val="345B5839"/>
    <w:rsid w:val="3498562E"/>
    <w:rsid w:val="34B013D3"/>
    <w:rsid w:val="34B47F8E"/>
    <w:rsid w:val="34BB7EFD"/>
    <w:rsid w:val="34F876FE"/>
    <w:rsid w:val="35246743"/>
    <w:rsid w:val="35747E49"/>
    <w:rsid w:val="359F6DD5"/>
    <w:rsid w:val="35B80622"/>
    <w:rsid w:val="35C629E6"/>
    <w:rsid w:val="35FD4C2E"/>
    <w:rsid w:val="360452E9"/>
    <w:rsid w:val="36734541"/>
    <w:rsid w:val="36CD29EA"/>
    <w:rsid w:val="36EC3A0F"/>
    <w:rsid w:val="37503F9E"/>
    <w:rsid w:val="37756081"/>
    <w:rsid w:val="37A470E2"/>
    <w:rsid w:val="37D22284"/>
    <w:rsid w:val="37D526F5"/>
    <w:rsid w:val="37DA7D0B"/>
    <w:rsid w:val="37EC35B9"/>
    <w:rsid w:val="37F45271"/>
    <w:rsid w:val="38514BAD"/>
    <w:rsid w:val="38754790"/>
    <w:rsid w:val="389322E0"/>
    <w:rsid w:val="38A247B6"/>
    <w:rsid w:val="38B16CBE"/>
    <w:rsid w:val="391767DF"/>
    <w:rsid w:val="392A258E"/>
    <w:rsid w:val="394D75A0"/>
    <w:rsid w:val="39BA23A1"/>
    <w:rsid w:val="39C86892"/>
    <w:rsid w:val="3A033D82"/>
    <w:rsid w:val="3A163D53"/>
    <w:rsid w:val="3A8B353F"/>
    <w:rsid w:val="3A920D71"/>
    <w:rsid w:val="3A9248CD"/>
    <w:rsid w:val="3AEA24FA"/>
    <w:rsid w:val="3BAB20EB"/>
    <w:rsid w:val="3BE745C4"/>
    <w:rsid w:val="3BF03690"/>
    <w:rsid w:val="3C463BC1"/>
    <w:rsid w:val="3C5C5800"/>
    <w:rsid w:val="3C6B3628"/>
    <w:rsid w:val="3C781121"/>
    <w:rsid w:val="3C9567AA"/>
    <w:rsid w:val="3CB53394"/>
    <w:rsid w:val="3CD967E3"/>
    <w:rsid w:val="3D112A60"/>
    <w:rsid w:val="3D1B504E"/>
    <w:rsid w:val="3D442528"/>
    <w:rsid w:val="3D837DCD"/>
    <w:rsid w:val="3D900CDD"/>
    <w:rsid w:val="3D960B78"/>
    <w:rsid w:val="3DAE5EC2"/>
    <w:rsid w:val="3DB0759C"/>
    <w:rsid w:val="3DC7351A"/>
    <w:rsid w:val="3DD516A1"/>
    <w:rsid w:val="3E2837AF"/>
    <w:rsid w:val="3E9A01F4"/>
    <w:rsid w:val="3F0C5071"/>
    <w:rsid w:val="3F311094"/>
    <w:rsid w:val="3F4F46E3"/>
    <w:rsid w:val="3F593C0C"/>
    <w:rsid w:val="3F867930"/>
    <w:rsid w:val="3F8769CB"/>
    <w:rsid w:val="3FE47979"/>
    <w:rsid w:val="3FEC2CD2"/>
    <w:rsid w:val="40082F8D"/>
    <w:rsid w:val="401610DE"/>
    <w:rsid w:val="401D4260"/>
    <w:rsid w:val="40A65AC6"/>
    <w:rsid w:val="40C41559"/>
    <w:rsid w:val="40D07E93"/>
    <w:rsid w:val="41483F38"/>
    <w:rsid w:val="414C6F51"/>
    <w:rsid w:val="4158794C"/>
    <w:rsid w:val="41594439"/>
    <w:rsid w:val="415C2130"/>
    <w:rsid w:val="41A236EE"/>
    <w:rsid w:val="41B20784"/>
    <w:rsid w:val="42535BB1"/>
    <w:rsid w:val="42703746"/>
    <w:rsid w:val="430F719D"/>
    <w:rsid w:val="431A5C44"/>
    <w:rsid w:val="433D4662"/>
    <w:rsid w:val="43BE6733"/>
    <w:rsid w:val="441B6520"/>
    <w:rsid w:val="4436483A"/>
    <w:rsid w:val="44885526"/>
    <w:rsid w:val="44934204"/>
    <w:rsid w:val="44A82C27"/>
    <w:rsid w:val="45660E30"/>
    <w:rsid w:val="45905EAD"/>
    <w:rsid w:val="45C86B40"/>
    <w:rsid w:val="45D731DC"/>
    <w:rsid w:val="463C6034"/>
    <w:rsid w:val="465A0BBB"/>
    <w:rsid w:val="46FC4313"/>
    <w:rsid w:val="47040901"/>
    <w:rsid w:val="473470C7"/>
    <w:rsid w:val="47663CE2"/>
    <w:rsid w:val="47787E77"/>
    <w:rsid w:val="47972A1D"/>
    <w:rsid w:val="47EA7AF7"/>
    <w:rsid w:val="481B4154"/>
    <w:rsid w:val="48471B9C"/>
    <w:rsid w:val="48631E8B"/>
    <w:rsid w:val="486378A9"/>
    <w:rsid w:val="487C3048"/>
    <w:rsid w:val="48A32E27"/>
    <w:rsid w:val="48B723D6"/>
    <w:rsid w:val="48D77032"/>
    <w:rsid w:val="491D1F51"/>
    <w:rsid w:val="493D38D3"/>
    <w:rsid w:val="495522C6"/>
    <w:rsid w:val="49731D6E"/>
    <w:rsid w:val="49754ACC"/>
    <w:rsid w:val="49DA5504"/>
    <w:rsid w:val="49EE483C"/>
    <w:rsid w:val="4A1F66C1"/>
    <w:rsid w:val="4A396B13"/>
    <w:rsid w:val="4A497872"/>
    <w:rsid w:val="4A6061F8"/>
    <w:rsid w:val="4A767D37"/>
    <w:rsid w:val="4ABD1C29"/>
    <w:rsid w:val="4AC03B68"/>
    <w:rsid w:val="4B0215FB"/>
    <w:rsid w:val="4B3A3E5B"/>
    <w:rsid w:val="4B4F60F9"/>
    <w:rsid w:val="4BBE2525"/>
    <w:rsid w:val="4BF36C44"/>
    <w:rsid w:val="4C6527D9"/>
    <w:rsid w:val="4CEC0189"/>
    <w:rsid w:val="4D185106"/>
    <w:rsid w:val="4D4629F1"/>
    <w:rsid w:val="4D50664E"/>
    <w:rsid w:val="4D5E565F"/>
    <w:rsid w:val="4D782049"/>
    <w:rsid w:val="4DC66910"/>
    <w:rsid w:val="4E147D3B"/>
    <w:rsid w:val="4E1E24A2"/>
    <w:rsid w:val="4E2D0C36"/>
    <w:rsid w:val="4E367BC3"/>
    <w:rsid w:val="4E544C58"/>
    <w:rsid w:val="4E784351"/>
    <w:rsid w:val="4E9543AB"/>
    <w:rsid w:val="4EBE3A8B"/>
    <w:rsid w:val="4EE32BDD"/>
    <w:rsid w:val="4EF64B4C"/>
    <w:rsid w:val="4F0641DF"/>
    <w:rsid w:val="4F6463E1"/>
    <w:rsid w:val="4F9D5D96"/>
    <w:rsid w:val="4FC37634"/>
    <w:rsid w:val="4FD31C97"/>
    <w:rsid w:val="4FE8196E"/>
    <w:rsid w:val="4FEC1A6E"/>
    <w:rsid w:val="502D711A"/>
    <w:rsid w:val="5087599F"/>
    <w:rsid w:val="50B23AFB"/>
    <w:rsid w:val="50C51DCA"/>
    <w:rsid w:val="50EA500B"/>
    <w:rsid w:val="50FC1938"/>
    <w:rsid w:val="51825244"/>
    <w:rsid w:val="519E57E5"/>
    <w:rsid w:val="51A2723F"/>
    <w:rsid w:val="51AC0513"/>
    <w:rsid w:val="51BD7398"/>
    <w:rsid w:val="51EE619F"/>
    <w:rsid w:val="51FA302C"/>
    <w:rsid w:val="5233072B"/>
    <w:rsid w:val="524B02E8"/>
    <w:rsid w:val="524E0372"/>
    <w:rsid w:val="52682829"/>
    <w:rsid w:val="527E5A0B"/>
    <w:rsid w:val="52911BE2"/>
    <w:rsid w:val="52945136"/>
    <w:rsid w:val="53236374"/>
    <w:rsid w:val="532E58C0"/>
    <w:rsid w:val="53456FDE"/>
    <w:rsid w:val="53482EDA"/>
    <w:rsid w:val="538D4B13"/>
    <w:rsid w:val="540549C1"/>
    <w:rsid w:val="549C410D"/>
    <w:rsid w:val="54FE3807"/>
    <w:rsid w:val="554946E9"/>
    <w:rsid w:val="55787A3E"/>
    <w:rsid w:val="55946974"/>
    <w:rsid w:val="559948FE"/>
    <w:rsid w:val="55C4407D"/>
    <w:rsid w:val="55D21BBD"/>
    <w:rsid w:val="561065E3"/>
    <w:rsid w:val="561C2EE1"/>
    <w:rsid w:val="570566FB"/>
    <w:rsid w:val="570A0E75"/>
    <w:rsid w:val="57284198"/>
    <w:rsid w:val="572B4110"/>
    <w:rsid w:val="57A744B3"/>
    <w:rsid w:val="581D7EAE"/>
    <w:rsid w:val="58AB2894"/>
    <w:rsid w:val="59047384"/>
    <w:rsid w:val="59C72A58"/>
    <w:rsid w:val="5A5D5F45"/>
    <w:rsid w:val="5A7122F9"/>
    <w:rsid w:val="5AEB4202"/>
    <w:rsid w:val="5AEC372E"/>
    <w:rsid w:val="5B050E1F"/>
    <w:rsid w:val="5B076DC2"/>
    <w:rsid w:val="5B8F47EA"/>
    <w:rsid w:val="5BB8579B"/>
    <w:rsid w:val="5C6C03B4"/>
    <w:rsid w:val="5CC130C4"/>
    <w:rsid w:val="5CE6696E"/>
    <w:rsid w:val="5CF12441"/>
    <w:rsid w:val="5D115E7F"/>
    <w:rsid w:val="5D292A17"/>
    <w:rsid w:val="5D5F0727"/>
    <w:rsid w:val="5D6C6EE5"/>
    <w:rsid w:val="5D9A56C3"/>
    <w:rsid w:val="5DDA56D7"/>
    <w:rsid w:val="5DFB404D"/>
    <w:rsid w:val="5E0B12EA"/>
    <w:rsid w:val="5E174F66"/>
    <w:rsid w:val="5E771C7F"/>
    <w:rsid w:val="5E8C745D"/>
    <w:rsid w:val="5EBD78BB"/>
    <w:rsid w:val="5EE1107F"/>
    <w:rsid w:val="5EF930F3"/>
    <w:rsid w:val="5F64242D"/>
    <w:rsid w:val="5F97494E"/>
    <w:rsid w:val="5FB753BE"/>
    <w:rsid w:val="5FCC33BE"/>
    <w:rsid w:val="5FF90DC7"/>
    <w:rsid w:val="5FFF76CF"/>
    <w:rsid w:val="60355A78"/>
    <w:rsid w:val="604638E0"/>
    <w:rsid w:val="604E3101"/>
    <w:rsid w:val="60855139"/>
    <w:rsid w:val="60935505"/>
    <w:rsid w:val="60E20F4D"/>
    <w:rsid w:val="61291238"/>
    <w:rsid w:val="612C03D7"/>
    <w:rsid w:val="613B3E0B"/>
    <w:rsid w:val="615A329B"/>
    <w:rsid w:val="62426280"/>
    <w:rsid w:val="62456545"/>
    <w:rsid w:val="626340F9"/>
    <w:rsid w:val="62B249B9"/>
    <w:rsid w:val="632D4618"/>
    <w:rsid w:val="63911785"/>
    <w:rsid w:val="63A04625"/>
    <w:rsid w:val="63A4104A"/>
    <w:rsid w:val="63A728E8"/>
    <w:rsid w:val="63E14484"/>
    <w:rsid w:val="63E83E49"/>
    <w:rsid w:val="641E5288"/>
    <w:rsid w:val="64713622"/>
    <w:rsid w:val="64805613"/>
    <w:rsid w:val="64F1485A"/>
    <w:rsid w:val="653F54CE"/>
    <w:rsid w:val="655C6080"/>
    <w:rsid w:val="65D010C8"/>
    <w:rsid w:val="65DA25DC"/>
    <w:rsid w:val="66220DFA"/>
    <w:rsid w:val="66B16BE3"/>
    <w:rsid w:val="66E47901"/>
    <w:rsid w:val="6739352D"/>
    <w:rsid w:val="67580ADF"/>
    <w:rsid w:val="67DB53F8"/>
    <w:rsid w:val="68297D70"/>
    <w:rsid w:val="683D7504"/>
    <w:rsid w:val="6841568F"/>
    <w:rsid w:val="6843742F"/>
    <w:rsid w:val="68AA0EB0"/>
    <w:rsid w:val="68CD5B3A"/>
    <w:rsid w:val="68D221B5"/>
    <w:rsid w:val="69C93490"/>
    <w:rsid w:val="69CE6BE4"/>
    <w:rsid w:val="6ACF10A2"/>
    <w:rsid w:val="6AF512CD"/>
    <w:rsid w:val="6B013226"/>
    <w:rsid w:val="6BAE30A6"/>
    <w:rsid w:val="6C3601D3"/>
    <w:rsid w:val="6C474C68"/>
    <w:rsid w:val="6CA64003"/>
    <w:rsid w:val="6CAF40F8"/>
    <w:rsid w:val="6CC95681"/>
    <w:rsid w:val="6CDB2402"/>
    <w:rsid w:val="6CDD3319"/>
    <w:rsid w:val="6CE52678"/>
    <w:rsid w:val="6CEC1F75"/>
    <w:rsid w:val="6D132A0B"/>
    <w:rsid w:val="6D3C2870"/>
    <w:rsid w:val="6D611FFE"/>
    <w:rsid w:val="6D7B72BF"/>
    <w:rsid w:val="6DA45E8D"/>
    <w:rsid w:val="6DA92CB2"/>
    <w:rsid w:val="6DD05ED4"/>
    <w:rsid w:val="6DEC2AC9"/>
    <w:rsid w:val="6E2A4841"/>
    <w:rsid w:val="6E4B13D6"/>
    <w:rsid w:val="6E996C00"/>
    <w:rsid w:val="6EAA0D8B"/>
    <w:rsid w:val="6EBC0B36"/>
    <w:rsid w:val="6EC96443"/>
    <w:rsid w:val="6EED083D"/>
    <w:rsid w:val="6F0E1A9E"/>
    <w:rsid w:val="6F28280D"/>
    <w:rsid w:val="6F285E67"/>
    <w:rsid w:val="6F340B83"/>
    <w:rsid w:val="6F3E05A4"/>
    <w:rsid w:val="6F6541CD"/>
    <w:rsid w:val="6F6760E8"/>
    <w:rsid w:val="6F811C8E"/>
    <w:rsid w:val="6F8C7562"/>
    <w:rsid w:val="6F9E025C"/>
    <w:rsid w:val="6FA5183E"/>
    <w:rsid w:val="6FB3005E"/>
    <w:rsid w:val="6FC147F6"/>
    <w:rsid w:val="6FED37B7"/>
    <w:rsid w:val="70085801"/>
    <w:rsid w:val="70F51137"/>
    <w:rsid w:val="7181015E"/>
    <w:rsid w:val="720C6738"/>
    <w:rsid w:val="72590E11"/>
    <w:rsid w:val="72656A1F"/>
    <w:rsid w:val="72961D50"/>
    <w:rsid w:val="733A5527"/>
    <w:rsid w:val="736138BF"/>
    <w:rsid w:val="738C497A"/>
    <w:rsid w:val="73F065F6"/>
    <w:rsid w:val="73F550D4"/>
    <w:rsid w:val="74273CFD"/>
    <w:rsid w:val="74315C67"/>
    <w:rsid w:val="74411B79"/>
    <w:rsid w:val="747661D6"/>
    <w:rsid w:val="74A87E3B"/>
    <w:rsid w:val="74FA31C0"/>
    <w:rsid w:val="75893E82"/>
    <w:rsid w:val="7599543F"/>
    <w:rsid w:val="75C64084"/>
    <w:rsid w:val="7601347A"/>
    <w:rsid w:val="76397D18"/>
    <w:rsid w:val="76530DD9"/>
    <w:rsid w:val="769D4A3B"/>
    <w:rsid w:val="76BE25BE"/>
    <w:rsid w:val="77024615"/>
    <w:rsid w:val="77AD340F"/>
    <w:rsid w:val="77CA0AC0"/>
    <w:rsid w:val="785900EE"/>
    <w:rsid w:val="78766A39"/>
    <w:rsid w:val="78A11CE6"/>
    <w:rsid w:val="78B90C9C"/>
    <w:rsid w:val="79444D45"/>
    <w:rsid w:val="7A044199"/>
    <w:rsid w:val="7A1E525A"/>
    <w:rsid w:val="7A570B53"/>
    <w:rsid w:val="7ABF218C"/>
    <w:rsid w:val="7AD141A3"/>
    <w:rsid w:val="7AE71AF0"/>
    <w:rsid w:val="7B0D52CF"/>
    <w:rsid w:val="7B4955E4"/>
    <w:rsid w:val="7B667ABD"/>
    <w:rsid w:val="7B75798B"/>
    <w:rsid w:val="7B784E3E"/>
    <w:rsid w:val="7B933A26"/>
    <w:rsid w:val="7BC260B9"/>
    <w:rsid w:val="7BFE3A89"/>
    <w:rsid w:val="7C0040DA"/>
    <w:rsid w:val="7C4371FA"/>
    <w:rsid w:val="7C730A93"/>
    <w:rsid w:val="7C9117F6"/>
    <w:rsid w:val="7CB9448F"/>
    <w:rsid w:val="7CF62F36"/>
    <w:rsid w:val="7D4025FE"/>
    <w:rsid w:val="7D4226CD"/>
    <w:rsid w:val="7EBC3294"/>
    <w:rsid w:val="7EEF3AC5"/>
    <w:rsid w:val="7F405C73"/>
    <w:rsid w:val="7F5060EC"/>
    <w:rsid w:val="7F89761A"/>
    <w:rsid w:val="7FBE6679"/>
    <w:rsid w:val="7FC328B2"/>
    <w:rsid w:val="7FCA3C53"/>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qFormat="1"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9"/>
    <w:pPr>
      <w:keepNext/>
      <w:keepLines/>
      <w:widowControl/>
      <w:snapToGrid w:val="0"/>
      <w:spacing w:line="400" w:lineRule="atLeast"/>
      <w:jc w:val="center"/>
      <w:outlineLvl w:val="0"/>
    </w:pPr>
    <w:rPr>
      <w:rFonts w:ascii="宋体"/>
      <w:b/>
      <w:kern w:val="28"/>
      <w:sz w:val="36"/>
      <w:szCs w:val="22"/>
    </w:rPr>
  </w:style>
  <w:style w:type="paragraph" w:styleId="3">
    <w:name w:val="heading 2"/>
    <w:basedOn w:val="1"/>
    <w:next w:val="1"/>
    <w:qFormat/>
    <w:locked/>
    <w:uiPriority w:val="0"/>
    <w:pPr>
      <w:keepNext/>
      <w:keepLines/>
      <w:spacing w:before="260" w:after="260" w:line="415" w:lineRule="auto"/>
      <w:outlineLvl w:val="1"/>
    </w:pPr>
    <w:rPr>
      <w:rFonts w:ascii="Cambria" w:hAnsi="Cambria"/>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locked/>
    <w:uiPriority w:val="0"/>
    <w:pPr>
      <w:ind w:firstLine="420"/>
    </w:pPr>
    <w:rPr>
      <w:rFonts w:ascii="Calibri" w:hAnsi="Calibri"/>
      <w:szCs w:val="20"/>
    </w:rPr>
  </w:style>
  <w:style w:type="paragraph" w:styleId="5">
    <w:name w:val="index 5"/>
    <w:basedOn w:val="1"/>
    <w:next w:val="1"/>
    <w:qFormat/>
    <w:locked/>
    <w:uiPriority w:val="0"/>
    <w:pPr>
      <w:ind w:left="1680"/>
    </w:pPr>
  </w:style>
  <w:style w:type="paragraph" w:styleId="6">
    <w:name w:val="Body Text"/>
    <w:basedOn w:val="1"/>
    <w:link w:val="29"/>
    <w:qFormat/>
    <w:uiPriority w:val="99"/>
    <w:pPr>
      <w:spacing w:after="120"/>
    </w:pPr>
    <w:rPr>
      <w:rFonts w:ascii="Calibri" w:hAnsi="Calibri"/>
    </w:rPr>
  </w:style>
  <w:style w:type="paragraph" w:styleId="7">
    <w:name w:val="Body Text Indent"/>
    <w:basedOn w:val="1"/>
    <w:qFormat/>
    <w:locked/>
    <w:uiPriority w:val="0"/>
    <w:pPr>
      <w:spacing w:after="120"/>
      <w:ind w:left="420" w:leftChars="200"/>
    </w:pPr>
  </w:style>
  <w:style w:type="paragraph" w:styleId="8">
    <w:name w:val="toc 3"/>
    <w:basedOn w:val="1"/>
    <w:next w:val="1"/>
    <w:qFormat/>
    <w:uiPriority w:val="99"/>
    <w:pPr>
      <w:tabs>
        <w:tab w:val="right" w:leader="dot" w:pos="8777"/>
      </w:tabs>
      <w:spacing w:line="480" w:lineRule="exact"/>
      <w:ind w:left="482" w:firstLine="103" w:firstLineChars="43"/>
      <w:jc w:val="left"/>
    </w:pPr>
    <w:rPr>
      <w:i/>
      <w:iCs/>
      <w:sz w:val="20"/>
      <w:szCs w:val="20"/>
    </w:rPr>
  </w:style>
  <w:style w:type="paragraph" w:styleId="9">
    <w:name w:val="Plain Text"/>
    <w:basedOn w:val="1"/>
    <w:next w:val="1"/>
    <w:link w:val="28"/>
    <w:qFormat/>
    <w:uiPriority w:val="99"/>
    <w:rPr>
      <w:rFonts w:ascii="宋体" w:hAnsi="Courier New"/>
      <w:szCs w:val="20"/>
    </w:rPr>
  </w:style>
  <w:style w:type="paragraph" w:styleId="10">
    <w:name w:val="footer"/>
    <w:basedOn w:val="1"/>
    <w:link w:val="30"/>
    <w:autoRedefine/>
    <w:qFormat/>
    <w:uiPriority w:val="99"/>
    <w:pPr>
      <w:tabs>
        <w:tab w:val="center" w:pos="4153"/>
        <w:tab w:val="right" w:pos="8306"/>
      </w:tabs>
      <w:snapToGrid w:val="0"/>
      <w:jc w:val="left"/>
    </w:pPr>
    <w:rPr>
      <w:sz w:val="18"/>
    </w:rPr>
  </w:style>
  <w:style w:type="paragraph" w:styleId="11">
    <w:name w:val="header"/>
    <w:basedOn w:val="1"/>
    <w:next w:val="6"/>
    <w:link w:val="3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99"/>
    <w:pPr>
      <w:jc w:val="left"/>
    </w:pPr>
    <w:rPr>
      <w:b/>
      <w:bCs/>
      <w:caps/>
      <w:sz w:val="20"/>
      <w:szCs w:val="20"/>
    </w:rPr>
  </w:style>
  <w:style w:type="paragraph" w:styleId="13">
    <w:name w:val="Subtitle"/>
    <w:basedOn w:val="1"/>
    <w:next w:val="1"/>
    <w:link w:val="32"/>
    <w:qFormat/>
    <w:uiPriority w:val="99"/>
    <w:pPr>
      <w:spacing w:before="240" w:after="60" w:line="312" w:lineRule="auto"/>
      <w:jc w:val="center"/>
      <w:outlineLvl w:val="1"/>
    </w:pPr>
    <w:rPr>
      <w:rFonts w:ascii="Cambria" w:hAnsi="Cambria"/>
      <w:b/>
      <w:bCs/>
      <w:kern w:val="28"/>
      <w:sz w:val="32"/>
      <w:szCs w:val="32"/>
    </w:rPr>
  </w:style>
  <w:style w:type="paragraph" w:styleId="14">
    <w:name w:val="footnote text"/>
    <w:basedOn w:val="1"/>
    <w:autoRedefine/>
    <w:semiHidden/>
    <w:unhideWhenUsed/>
    <w:qFormat/>
    <w:locked/>
    <w:uiPriority w:val="99"/>
    <w:pPr>
      <w:snapToGrid w:val="0"/>
      <w:spacing w:line="400" w:lineRule="exact"/>
      <w:jc w:val="left"/>
    </w:pPr>
    <w:rPr>
      <w:sz w:val="18"/>
    </w:rPr>
  </w:style>
  <w:style w:type="paragraph" w:styleId="15">
    <w:name w:val="toc 2"/>
    <w:basedOn w:val="1"/>
    <w:next w:val="1"/>
    <w:qFormat/>
    <w:uiPriority w:val="99"/>
    <w:pPr>
      <w:tabs>
        <w:tab w:val="right" w:leader="dot" w:pos="8777"/>
      </w:tabs>
      <w:ind w:firstLine="566" w:firstLineChars="236"/>
      <w:jc w:val="left"/>
    </w:pPr>
    <w:rPr>
      <w:smallCaps/>
      <w:sz w:val="20"/>
      <w:szCs w:val="20"/>
    </w:rPr>
  </w:style>
  <w:style w:type="paragraph" w:styleId="16">
    <w:name w:val="Normal (Web)"/>
    <w:basedOn w:val="1"/>
    <w:qFormat/>
    <w:uiPriority w:val="99"/>
    <w:pPr>
      <w:spacing w:before="100" w:beforeAutospacing="1" w:after="100" w:afterAutospacing="1"/>
      <w:jc w:val="left"/>
    </w:pPr>
    <w:rPr>
      <w:kern w:val="0"/>
    </w:rPr>
  </w:style>
  <w:style w:type="paragraph" w:styleId="17">
    <w:name w:val="Title"/>
    <w:basedOn w:val="1"/>
    <w:next w:val="1"/>
    <w:link w:val="33"/>
    <w:autoRedefine/>
    <w:qFormat/>
    <w:uiPriority w:val="99"/>
    <w:pPr>
      <w:jc w:val="center"/>
      <w:outlineLvl w:val="0"/>
    </w:pPr>
    <w:rPr>
      <w:rFonts w:ascii="Cambria" w:hAnsi="Cambria"/>
      <w:b/>
      <w:bCs/>
      <w:sz w:val="36"/>
      <w:szCs w:val="32"/>
    </w:rPr>
  </w:style>
  <w:style w:type="table" w:styleId="19">
    <w:name w:val="Table Grid"/>
    <w:basedOn w:val="1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locked/>
    <w:uiPriority w:val="22"/>
    <w:rPr>
      <w:b/>
    </w:rPr>
  </w:style>
  <w:style w:type="character" w:styleId="22">
    <w:name w:val="page number"/>
    <w:basedOn w:val="20"/>
    <w:qFormat/>
    <w:uiPriority w:val="99"/>
    <w:rPr>
      <w:rFonts w:cs="Times New Roman"/>
    </w:rPr>
  </w:style>
  <w:style w:type="character" w:styleId="23">
    <w:name w:val="Hyperlink"/>
    <w:autoRedefine/>
    <w:unhideWhenUsed/>
    <w:qFormat/>
    <w:locked/>
    <w:uiPriority w:val="99"/>
    <w:rPr>
      <w:color w:val="0000FF"/>
      <w:u w:val="single"/>
    </w:rPr>
  </w:style>
  <w:style w:type="paragraph" w:customStyle="1" w:styleId="24">
    <w:name w:val="一级条标题"/>
    <w:basedOn w:val="25"/>
    <w:next w:val="26"/>
    <w:autoRedefine/>
    <w:qFormat/>
    <w:uiPriority w:val="0"/>
    <w:pPr>
      <w:tabs>
        <w:tab w:val="left" w:pos="720"/>
      </w:tabs>
      <w:spacing w:beforeLines="0" w:afterLines="0"/>
      <w:outlineLvl w:val="2"/>
    </w:pPr>
  </w:style>
  <w:style w:type="paragraph" w:customStyle="1" w:styleId="25">
    <w:name w:val="章标题"/>
    <w:next w:val="1"/>
    <w:autoRedefine/>
    <w:qFormat/>
    <w:uiPriority w:val="0"/>
    <w:pPr>
      <w:tabs>
        <w:tab w:val="left" w:pos="720"/>
      </w:tabs>
      <w:spacing w:beforeLines="50" w:afterLines="50"/>
      <w:ind w:left="567" w:hanging="567"/>
      <w:jc w:val="both"/>
      <w:outlineLvl w:val="1"/>
    </w:pPr>
    <w:rPr>
      <w:rFonts w:ascii="黑体" w:hAnsi="Calibri" w:eastAsia="黑体" w:cs="Times New Roman"/>
      <w:sz w:val="21"/>
      <w:szCs w:val="22"/>
      <w:lang w:val="en-US" w:eastAsia="zh-CN" w:bidi="ar-SA"/>
    </w:rPr>
  </w:style>
  <w:style w:type="paragraph" w:customStyle="1" w:styleId="26">
    <w:name w:val="段"/>
    <w:basedOn w:val="9"/>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7">
    <w:name w:val="标题 1 Char"/>
    <w:basedOn w:val="20"/>
    <w:link w:val="2"/>
    <w:autoRedefine/>
    <w:qFormat/>
    <w:locked/>
    <w:uiPriority w:val="99"/>
    <w:rPr>
      <w:rFonts w:cs="Times New Roman"/>
      <w:b/>
      <w:bCs/>
      <w:kern w:val="44"/>
      <w:sz w:val="44"/>
      <w:szCs w:val="44"/>
    </w:rPr>
  </w:style>
  <w:style w:type="character" w:customStyle="1" w:styleId="28">
    <w:name w:val="纯文本 Char"/>
    <w:basedOn w:val="20"/>
    <w:link w:val="9"/>
    <w:semiHidden/>
    <w:qFormat/>
    <w:locked/>
    <w:uiPriority w:val="99"/>
    <w:rPr>
      <w:rFonts w:ascii="宋体" w:hAnsi="Courier New" w:cs="Courier New"/>
      <w:sz w:val="21"/>
      <w:szCs w:val="21"/>
    </w:rPr>
  </w:style>
  <w:style w:type="character" w:customStyle="1" w:styleId="29">
    <w:name w:val="正文文本 Char"/>
    <w:basedOn w:val="20"/>
    <w:link w:val="6"/>
    <w:semiHidden/>
    <w:qFormat/>
    <w:locked/>
    <w:uiPriority w:val="99"/>
    <w:rPr>
      <w:rFonts w:cs="Times New Roman"/>
      <w:sz w:val="24"/>
      <w:szCs w:val="24"/>
    </w:rPr>
  </w:style>
  <w:style w:type="character" w:customStyle="1" w:styleId="30">
    <w:name w:val="页脚 Char"/>
    <w:basedOn w:val="20"/>
    <w:link w:val="10"/>
    <w:autoRedefine/>
    <w:semiHidden/>
    <w:qFormat/>
    <w:locked/>
    <w:uiPriority w:val="99"/>
    <w:rPr>
      <w:rFonts w:cs="Times New Roman"/>
      <w:sz w:val="18"/>
      <w:szCs w:val="18"/>
    </w:rPr>
  </w:style>
  <w:style w:type="character" w:customStyle="1" w:styleId="31">
    <w:name w:val="页眉 Char"/>
    <w:basedOn w:val="20"/>
    <w:link w:val="11"/>
    <w:semiHidden/>
    <w:qFormat/>
    <w:locked/>
    <w:uiPriority w:val="99"/>
    <w:rPr>
      <w:rFonts w:cs="Times New Roman"/>
      <w:sz w:val="18"/>
      <w:szCs w:val="18"/>
    </w:rPr>
  </w:style>
  <w:style w:type="character" w:customStyle="1" w:styleId="32">
    <w:name w:val="副标题 Char"/>
    <w:basedOn w:val="20"/>
    <w:link w:val="13"/>
    <w:qFormat/>
    <w:locked/>
    <w:uiPriority w:val="99"/>
    <w:rPr>
      <w:rFonts w:ascii="Cambria" w:hAnsi="Cambria" w:cs="Times New Roman"/>
      <w:b/>
      <w:bCs/>
      <w:kern w:val="28"/>
      <w:sz w:val="32"/>
      <w:szCs w:val="32"/>
    </w:rPr>
  </w:style>
  <w:style w:type="character" w:customStyle="1" w:styleId="33">
    <w:name w:val="标题 Char"/>
    <w:basedOn w:val="20"/>
    <w:link w:val="17"/>
    <w:qFormat/>
    <w:locked/>
    <w:uiPriority w:val="99"/>
    <w:rPr>
      <w:rFonts w:ascii="Cambria" w:hAnsi="Cambria" w:cs="Times New Roman"/>
      <w:b/>
      <w:bCs/>
      <w:sz w:val="32"/>
      <w:szCs w:val="32"/>
    </w:rPr>
  </w:style>
  <w:style w:type="paragraph" w:customStyle="1" w:styleId="34">
    <w:name w:val="TOC 标题1"/>
    <w:basedOn w:val="2"/>
    <w:next w:val="1"/>
    <w:autoRedefine/>
    <w:qFormat/>
    <w:uiPriority w:val="99"/>
    <w:pPr>
      <w:spacing w:before="480" w:line="276" w:lineRule="auto"/>
      <w:outlineLvl w:val="9"/>
    </w:pPr>
    <w:rPr>
      <w:rFonts w:ascii="仿宋" w:hAnsi="仿宋" w:eastAsia="仿宋"/>
      <w:color w:val="000000"/>
      <w:kern w:val="0"/>
      <w:sz w:val="32"/>
      <w:szCs w:val="32"/>
    </w:rPr>
  </w:style>
  <w:style w:type="paragraph" w:customStyle="1" w:styleId="35">
    <w:name w:val="Char"/>
    <w:basedOn w:val="1"/>
    <w:autoRedefine/>
    <w:qFormat/>
    <w:uiPriority w:val="99"/>
    <w:pPr>
      <w:widowControl/>
      <w:spacing w:line="240" w:lineRule="exact"/>
      <w:jc w:val="left"/>
    </w:pPr>
    <w:rPr>
      <w:rFonts w:ascii="Verdana" w:hAnsi="Verdana"/>
      <w:kern w:val="0"/>
      <w:szCs w:val="20"/>
      <w:lang w:eastAsia="en-US"/>
    </w:rPr>
  </w:style>
  <w:style w:type="paragraph" w:styleId="36">
    <w:name w:val="List Paragraph"/>
    <w:basedOn w:val="1"/>
    <w:qFormat/>
    <w:uiPriority w:val="99"/>
    <w:pPr>
      <w:ind w:firstLine="420" w:firstLineChars="200"/>
    </w:pPr>
  </w:style>
  <w:style w:type="paragraph" w:styleId="3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NormalCharacter"/>
    <w:qFormat/>
    <w:uiPriority w:val="0"/>
    <w:rPr>
      <w:rFonts w:ascii="Times New Roman" w:hAnsi="Times New Roman" w:eastAsia="宋体"/>
    </w:rPr>
  </w:style>
  <w:style w:type="paragraph" w:customStyle="1" w:styleId="39">
    <w:name w:val="Default"/>
    <w:next w:val="5"/>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40">
    <w:name w:val="fontstyle01"/>
    <w:basedOn w:val="20"/>
    <w:qFormat/>
    <w:uiPriority w:val="0"/>
    <w:rPr>
      <w:rFonts w:hint="eastAsia" w:ascii="宋体" w:hAnsi="宋体" w:eastAsia="宋体"/>
      <w:color w:val="000000"/>
      <w:sz w:val="24"/>
      <w:szCs w:val="24"/>
    </w:rPr>
  </w:style>
  <w:style w:type="table" w:customStyle="1" w:styleId="41">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51</Pages>
  <Words>8369</Words>
  <Characters>9014</Characters>
  <Lines>1480</Lines>
  <Paragraphs>1164</Paragraphs>
  <TotalTime>20</TotalTime>
  <ScaleCrop>false</ScaleCrop>
  <LinksUpToDate>false</LinksUpToDate>
  <CharactersWithSpaces>9182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2020-05-08T00:29:00Z</dcterms:created>
  <dc:creator>Summer </dc:creator>
  <cp:lastModifiedBy>Administrator</cp:lastModifiedBy>
  <dcterms:modified xsi:type="dcterms:W3CDTF">2024-12-25T13:52:39Z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CA92C1C9CB514528A80DBC0BF426F11A_13</vt:lpwstr>
  </property>
</Properties>
</file>