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8175F">
      <w:pPr>
        <w:pStyle w:val="8"/>
        <w:spacing w:before="156" w:beforeLines="50" w:line="560" w:lineRule="exact"/>
        <w:jc w:val="center"/>
        <w:rPr>
          <w:rFonts w:hint="eastAsia" w:asciiTheme="minorEastAsia" w:hAnsiTheme="minorEastAsia" w:eastAsiaTheme="minorEastAsia" w:cstheme="minorEastAsia"/>
          <w:sz w:val="84"/>
          <w:szCs w:val="84"/>
        </w:rPr>
      </w:pPr>
    </w:p>
    <w:p w14:paraId="1852DD19">
      <w:pPr>
        <w:pStyle w:val="8"/>
        <w:spacing w:before="312" w:beforeLines="100" w:line="560" w:lineRule="exact"/>
        <w:jc w:val="center"/>
        <w:rPr>
          <w:rFonts w:hint="eastAsia" w:asciiTheme="minorEastAsia" w:hAnsiTheme="minorEastAsia" w:eastAsiaTheme="minorEastAsia" w:cstheme="minorEastAsia"/>
          <w:b/>
          <w:bCs/>
          <w:sz w:val="84"/>
          <w:szCs w:val="84"/>
        </w:rPr>
      </w:pPr>
      <w:bookmarkStart w:id="0" w:name="_Toc17463"/>
      <w:r>
        <w:rPr>
          <w:rFonts w:hint="eastAsia" w:ascii="宋体" w:hAnsi="宋体" w:cs="宋体"/>
          <w:b/>
          <w:color w:val="auto"/>
          <w:sz w:val="52"/>
          <w:szCs w:val="52"/>
          <w:lang w:val="zh-CN"/>
        </w:rPr>
        <w:t>青海省政府采购项目</w:t>
      </w:r>
      <w:bookmarkEnd w:id="0"/>
    </w:p>
    <w:p w14:paraId="39DDE055">
      <w:pPr>
        <w:pStyle w:val="8"/>
        <w:adjustRightInd w:val="0"/>
        <w:snapToGrid w:val="0"/>
        <w:spacing w:before="312" w:beforeLines="100" w:line="560" w:lineRule="exact"/>
        <w:jc w:val="center"/>
        <w:rPr>
          <w:rFonts w:hint="eastAsia" w:asciiTheme="minorEastAsia" w:hAnsiTheme="minorEastAsia" w:eastAsiaTheme="minorEastAsia" w:cstheme="minorEastAsia"/>
          <w:b/>
          <w:bCs/>
          <w:sz w:val="84"/>
          <w:szCs w:val="84"/>
        </w:rPr>
      </w:pPr>
    </w:p>
    <w:p w14:paraId="6A58BC23">
      <w:pPr>
        <w:pStyle w:val="8"/>
        <w:adjustRightInd w:val="0"/>
        <w:snapToGrid w:val="0"/>
        <w:spacing w:before="312" w:beforeLines="100" w:line="560" w:lineRule="exact"/>
        <w:jc w:val="center"/>
        <w:rPr>
          <w:rFonts w:hint="eastAsia" w:asciiTheme="minorEastAsia" w:hAnsiTheme="minorEastAsia" w:eastAsiaTheme="minorEastAsia" w:cstheme="minorEastAsia"/>
          <w:b/>
          <w:bCs/>
          <w:sz w:val="84"/>
          <w:szCs w:val="84"/>
        </w:rPr>
      </w:pPr>
    </w:p>
    <w:p w14:paraId="2DB57C2D">
      <w:pPr>
        <w:pStyle w:val="8"/>
        <w:adjustRightInd w:val="0"/>
        <w:snapToGrid w:val="0"/>
        <w:spacing w:before="312" w:beforeLines="100" w:line="560" w:lineRule="exact"/>
        <w:jc w:val="both"/>
        <w:rPr>
          <w:rFonts w:hint="eastAsia" w:asciiTheme="minorEastAsia" w:hAnsiTheme="minorEastAsia" w:eastAsiaTheme="minorEastAsia" w:cstheme="minorEastAsia"/>
          <w:b/>
          <w:bCs/>
          <w:sz w:val="84"/>
          <w:szCs w:val="84"/>
        </w:rPr>
      </w:pPr>
    </w:p>
    <w:p w14:paraId="3D1826BE">
      <w:pPr>
        <w:pStyle w:val="8"/>
        <w:adjustRightInd w:val="0"/>
        <w:snapToGrid w:val="0"/>
        <w:spacing w:before="312" w:beforeLines="100" w:line="560" w:lineRule="exact"/>
        <w:jc w:val="center"/>
        <w:rPr>
          <w:rFonts w:hint="eastAsia" w:asciiTheme="minorEastAsia" w:hAnsiTheme="minorEastAsia" w:eastAsiaTheme="minorEastAsia" w:cstheme="minorEastAsia"/>
          <w:b/>
          <w:bCs/>
          <w:sz w:val="84"/>
          <w:szCs w:val="84"/>
        </w:rPr>
      </w:pPr>
      <w:r>
        <w:rPr>
          <w:rFonts w:hint="eastAsia" w:asciiTheme="minorEastAsia" w:hAnsiTheme="minorEastAsia" w:eastAsiaTheme="minorEastAsia" w:cstheme="minorEastAsia"/>
          <w:b/>
          <w:bCs/>
          <w:sz w:val="84"/>
          <w:szCs w:val="84"/>
        </w:rPr>
        <w:t>竞争性谈判文件</w:t>
      </w:r>
    </w:p>
    <w:p w14:paraId="5A77892F">
      <w:pPr>
        <w:pStyle w:val="8"/>
        <w:adjustRightInd w:val="0"/>
        <w:snapToGrid w:val="0"/>
        <w:spacing w:before="312" w:beforeLines="100" w:line="560" w:lineRule="exact"/>
        <w:ind w:left="7043" w:leftChars="554" w:hanging="5880" w:hangingChars="700"/>
        <w:rPr>
          <w:rFonts w:hint="eastAsia" w:asciiTheme="minorEastAsia" w:hAnsiTheme="minorEastAsia" w:eastAsiaTheme="minorEastAsia" w:cstheme="minorEastAsia"/>
          <w:sz w:val="84"/>
          <w:szCs w:val="84"/>
        </w:rPr>
      </w:pPr>
    </w:p>
    <w:p w14:paraId="786FC61D">
      <w:pPr>
        <w:adjustRightInd w:val="0"/>
        <w:snapToGrid w:val="0"/>
        <w:spacing w:before="156" w:beforeLines="50" w:line="560" w:lineRule="exact"/>
        <w:ind w:left="2240" w:hanging="2249" w:hangingChars="700"/>
        <w:rPr>
          <w:rFonts w:hint="eastAsia" w:asciiTheme="minorEastAsia" w:hAnsiTheme="minorEastAsia" w:eastAsiaTheme="minorEastAsia" w:cstheme="minorEastAsia"/>
          <w:b/>
          <w:bCs w:val="0"/>
          <w:sz w:val="32"/>
          <w:szCs w:val="32"/>
        </w:rPr>
      </w:pPr>
    </w:p>
    <w:p w14:paraId="01F7E7C5">
      <w:pPr>
        <w:adjustRightInd w:val="0"/>
        <w:snapToGrid w:val="0"/>
        <w:spacing w:before="156" w:beforeLines="50" w:line="560" w:lineRule="exact"/>
        <w:ind w:left="2240" w:hanging="2249" w:hangingChars="700"/>
        <w:rPr>
          <w:rFonts w:hint="eastAsia" w:asciiTheme="minorEastAsia" w:hAnsiTheme="minorEastAsia" w:eastAsiaTheme="minorEastAsia" w:cstheme="minorEastAsia"/>
          <w:b/>
          <w:bCs w:val="0"/>
          <w:sz w:val="32"/>
          <w:szCs w:val="32"/>
        </w:rPr>
      </w:pPr>
    </w:p>
    <w:p w14:paraId="6A8135AB">
      <w:pPr>
        <w:adjustRightInd w:val="0"/>
        <w:snapToGrid w:val="0"/>
        <w:spacing w:before="156" w:beforeLines="50" w:line="560" w:lineRule="exact"/>
        <w:rPr>
          <w:rFonts w:hint="eastAsia" w:asciiTheme="minorEastAsia" w:hAnsiTheme="minorEastAsia" w:eastAsiaTheme="minorEastAsia" w:cstheme="minorEastAsia"/>
          <w:b/>
          <w:bCs w:val="0"/>
          <w:sz w:val="32"/>
          <w:szCs w:val="32"/>
        </w:rPr>
      </w:pPr>
    </w:p>
    <w:p w14:paraId="1C24F96E">
      <w:pPr>
        <w:adjustRightInd w:val="0"/>
        <w:snapToGrid w:val="0"/>
        <w:spacing w:before="156" w:beforeLines="50" w:line="560" w:lineRule="exact"/>
        <w:ind w:left="3089" w:leftChars="400" w:hanging="2249" w:hangingChars="700"/>
        <w:rPr>
          <w:rFonts w:hint="default"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rPr>
        <w:t>采购项目名称：</w:t>
      </w:r>
      <w:r>
        <w:rPr>
          <w:rFonts w:hint="eastAsia" w:asciiTheme="minorEastAsia" w:hAnsiTheme="minorEastAsia" w:eastAsiaTheme="minorEastAsia" w:cstheme="minorEastAsia"/>
          <w:b/>
          <w:bCs w:val="0"/>
          <w:sz w:val="32"/>
          <w:szCs w:val="32"/>
          <w:lang w:val="en-US" w:eastAsia="zh-CN"/>
        </w:rPr>
        <w:t>德令哈市2024年国有林管护项目管护设施设备采购</w:t>
      </w:r>
    </w:p>
    <w:p w14:paraId="7FF73B08">
      <w:pPr>
        <w:autoSpaceDE w:val="0"/>
        <w:autoSpaceDN w:val="0"/>
        <w:adjustRightInd w:val="0"/>
        <w:spacing w:before="156" w:beforeLines="50" w:line="560" w:lineRule="exact"/>
        <w:ind w:left="2254" w:leftChars="400" w:hanging="1414" w:hangingChars="440"/>
        <w:jc w:val="left"/>
        <w:rPr>
          <w:rFonts w:hint="eastAsia" w:asciiTheme="minorEastAsia" w:hAnsiTheme="minorEastAsia" w:eastAsiaTheme="minorEastAsia" w:cstheme="minorEastAsia"/>
          <w:b/>
          <w:bCs w:val="0"/>
          <w:sz w:val="32"/>
          <w:szCs w:val="32"/>
          <w:highlight w:val="yellow"/>
          <w:lang w:eastAsia="zh-CN"/>
        </w:rPr>
      </w:pPr>
      <w:r>
        <w:rPr>
          <w:rFonts w:hint="eastAsia" w:asciiTheme="minorEastAsia" w:hAnsiTheme="minorEastAsia" w:eastAsiaTheme="minorEastAsia" w:cstheme="minorEastAsia"/>
          <w:b/>
          <w:bCs w:val="0"/>
          <w:sz w:val="32"/>
          <w:szCs w:val="32"/>
        </w:rPr>
        <w:t>采购</w:t>
      </w:r>
      <w:r>
        <w:rPr>
          <w:rFonts w:hint="eastAsia" w:asciiTheme="minorEastAsia" w:hAnsiTheme="minorEastAsia" w:eastAsiaTheme="minorEastAsia" w:cstheme="minorEastAsia"/>
          <w:b/>
          <w:bCs w:val="0"/>
          <w:sz w:val="32"/>
          <w:szCs w:val="32"/>
          <w:lang w:eastAsia="zh-CN"/>
        </w:rPr>
        <w:t>项目</w:t>
      </w:r>
      <w:r>
        <w:rPr>
          <w:rFonts w:hint="eastAsia" w:asciiTheme="minorEastAsia" w:hAnsiTheme="minorEastAsia" w:eastAsiaTheme="minorEastAsia" w:cstheme="minorEastAsia"/>
          <w:b/>
          <w:bCs w:val="0"/>
          <w:sz w:val="32"/>
          <w:szCs w:val="32"/>
        </w:rPr>
        <w:t>编号：</w:t>
      </w:r>
      <w:r>
        <w:rPr>
          <w:rFonts w:hint="eastAsia" w:asciiTheme="minorEastAsia" w:hAnsiTheme="minorEastAsia" w:eastAsiaTheme="minorEastAsia" w:cstheme="minorEastAsia"/>
          <w:b/>
          <w:bCs w:val="0"/>
          <w:sz w:val="32"/>
          <w:szCs w:val="32"/>
          <w:highlight w:val="none"/>
          <w:lang w:eastAsia="zh-CN"/>
        </w:rPr>
        <w:t>城建招标竞谈（货物）2024-059</w:t>
      </w:r>
    </w:p>
    <w:p w14:paraId="35608FAE">
      <w:pPr>
        <w:adjustRightInd w:val="0"/>
        <w:snapToGrid w:val="0"/>
        <w:spacing w:before="156" w:beforeLines="50" w:line="560" w:lineRule="exact"/>
        <w:ind w:left="2254" w:leftChars="400" w:hanging="1414" w:hangingChars="44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rPr>
        <w:t>采   购   人：</w:t>
      </w:r>
      <w:r>
        <w:rPr>
          <w:rFonts w:hint="eastAsia" w:asciiTheme="minorEastAsia" w:hAnsiTheme="minorEastAsia" w:eastAsiaTheme="minorEastAsia" w:cstheme="minorEastAsia"/>
          <w:b/>
          <w:bCs w:val="0"/>
          <w:sz w:val="32"/>
          <w:szCs w:val="32"/>
          <w:lang w:val="en-US" w:eastAsia="zh-CN"/>
        </w:rPr>
        <w:t>德令哈市林业和草原局</w:t>
      </w:r>
    </w:p>
    <w:p w14:paraId="37A50347">
      <w:pPr>
        <w:adjustRightInd w:val="0"/>
        <w:snapToGrid w:val="0"/>
        <w:spacing w:before="156" w:beforeLines="50" w:line="560" w:lineRule="exact"/>
        <w:ind w:left="2254" w:leftChars="400" w:hanging="1414" w:hangingChars="440"/>
        <w:jc w:val="center"/>
        <w:rPr>
          <w:rFonts w:hint="eastAsia" w:asciiTheme="minorEastAsia" w:hAnsiTheme="minorEastAsia" w:eastAsiaTheme="minorEastAsia" w:cstheme="minorEastAsia"/>
          <w:b/>
          <w:bCs w:val="0"/>
          <w:sz w:val="32"/>
          <w:szCs w:val="32"/>
          <w:lang w:eastAsia="zh-CN"/>
        </w:rPr>
      </w:pPr>
    </w:p>
    <w:p w14:paraId="23828A7F">
      <w:pPr>
        <w:adjustRightInd w:val="0"/>
        <w:snapToGrid w:val="0"/>
        <w:spacing w:before="156" w:beforeLines="50" w:line="560" w:lineRule="exact"/>
        <w:ind w:left="2254" w:leftChars="400" w:hanging="1414" w:hangingChars="440"/>
        <w:jc w:val="center"/>
        <w:rPr>
          <w:rFonts w:hint="eastAsia" w:asciiTheme="minorEastAsia" w:hAnsiTheme="minorEastAsia" w:eastAsiaTheme="minorEastAsia" w:cstheme="minorEastAsia"/>
          <w:b/>
          <w:bCs w:val="0"/>
          <w:sz w:val="32"/>
          <w:szCs w:val="32"/>
          <w:lang w:eastAsia="zh-CN"/>
        </w:rPr>
      </w:pPr>
      <w:r>
        <w:rPr>
          <w:rFonts w:hint="eastAsia" w:asciiTheme="minorEastAsia" w:hAnsiTheme="minorEastAsia" w:eastAsiaTheme="minorEastAsia" w:cstheme="minorEastAsia"/>
          <w:b/>
          <w:bCs w:val="0"/>
          <w:sz w:val="32"/>
          <w:szCs w:val="32"/>
          <w:lang w:eastAsia="zh-CN"/>
        </w:rPr>
        <w:t>德令哈城乡建设综合开发有限公司</w:t>
      </w:r>
    </w:p>
    <w:p w14:paraId="44F04F30">
      <w:pPr>
        <w:rPr>
          <w:rFonts w:hint="eastAsia"/>
          <w:lang w:eastAsia="zh-CN"/>
        </w:rPr>
      </w:pPr>
    </w:p>
    <w:p w14:paraId="4C037002">
      <w:pPr>
        <w:jc w:val="center"/>
        <w:rPr>
          <w:rFonts w:hint="eastAsia" w:eastAsia="宋体"/>
          <w:lang w:val="en-US" w:eastAsia="zh-CN"/>
        </w:rPr>
        <w:sectPr>
          <w:footerReference r:id="rId3" w:type="default"/>
          <w:pgSz w:w="11906" w:h="16838"/>
          <w:pgMar w:top="1474" w:right="1474" w:bottom="1474" w:left="1474" w:header="851" w:footer="992" w:gutter="0"/>
          <w:pgNumType w:fmt="decimal" w:start="1"/>
          <w:cols w:space="720" w:num="1"/>
          <w:docGrid w:type="lines" w:linePitch="312" w:charSpace="0"/>
        </w:sectPr>
      </w:pPr>
      <w:r>
        <w:rPr>
          <w:rFonts w:hint="eastAsia"/>
          <w:b/>
          <w:bCs/>
          <w:color w:val="auto"/>
          <w:sz w:val="30"/>
          <w:szCs w:val="30"/>
          <w:lang w:eastAsia="zh-CN"/>
        </w:rPr>
        <w:t>202</w:t>
      </w:r>
      <w:r>
        <w:rPr>
          <w:rFonts w:hint="eastAsia"/>
          <w:b/>
          <w:bCs/>
          <w:color w:val="auto"/>
          <w:sz w:val="30"/>
          <w:szCs w:val="30"/>
          <w:lang w:val="en-US" w:eastAsia="zh-CN"/>
        </w:rPr>
        <w:t>4</w:t>
      </w:r>
      <w:r>
        <w:rPr>
          <w:rFonts w:hint="eastAsia"/>
          <w:b/>
          <w:bCs/>
          <w:color w:val="auto"/>
          <w:sz w:val="30"/>
          <w:szCs w:val="30"/>
        </w:rPr>
        <w:t>年</w:t>
      </w:r>
      <w:r>
        <w:rPr>
          <w:rFonts w:hint="eastAsia"/>
          <w:b/>
          <w:bCs/>
          <w:color w:val="auto"/>
          <w:sz w:val="30"/>
          <w:szCs w:val="30"/>
          <w:lang w:val="en-US" w:eastAsia="zh-CN"/>
        </w:rPr>
        <w:t>12月</w:t>
      </w:r>
    </w:p>
    <w:p w14:paraId="52AEC8F0">
      <w:pPr>
        <w:jc w:val="center"/>
        <w:rPr>
          <w:rFonts w:hint="eastAsia" w:asciiTheme="minorEastAsia" w:hAnsiTheme="minorEastAsia" w:eastAsiaTheme="minorEastAsia" w:cstheme="minorEastAsia"/>
          <w:sz w:val="18"/>
          <w:szCs w:val="21"/>
        </w:rPr>
      </w:pPr>
      <w:r>
        <w:rPr>
          <w:rFonts w:hint="eastAsia" w:asciiTheme="minorEastAsia" w:hAnsiTheme="minorEastAsia" w:eastAsiaTheme="minorEastAsia" w:cstheme="minorEastAsia"/>
          <w:sz w:val="36"/>
          <w:szCs w:val="36"/>
        </w:rPr>
        <w:t>目  录</w:t>
      </w:r>
    </w:p>
    <w:p w14:paraId="544A9B81">
      <w:pPr>
        <w:pStyle w:val="10"/>
        <w:tabs>
          <w:tab w:val="right" w:leader="dot" w:pos="830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Cs w:val="24"/>
        </w:rPr>
        <w:fldChar w:fldCharType="begin"/>
      </w:r>
      <w:r>
        <w:rPr>
          <w:rFonts w:hint="eastAsia" w:ascii="宋体" w:hAnsi="宋体" w:eastAsia="宋体" w:cs="宋体"/>
          <w:szCs w:val="24"/>
        </w:rPr>
        <w:instrText xml:space="preserve"> HYPERLINK \l _Toc2330 </w:instrText>
      </w:r>
      <w:r>
        <w:rPr>
          <w:rFonts w:hint="eastAsia" w:ascii="宋体" w:hAnsi="宋体" w:eastAsia="宋体" w:cs="宋体"/>
          <w:szCs w:val="24"/>
        </w:rPr>
        <w:fldChar w:fldCharType="separate"/>
      </w:r>
      <w:r>
        <w:rPr>
          <w:rFonts w:hint="eastAsia" w:hAnsi="宋体"/>
          <w:szCs w:val="24"/>
          <w:lang w:val="en-US" w:eastAsia="zh-CN"/>
        </w:rPr>
        <w:t>第一部分 投标邀请</w:t>
      </w:r>
      <w:r>
        <w:tab/>
      </w:r>
      <w:r>
        <w:fldChar w:fldCharType="begin"/>
      </w:r>
      <w:r>
        <w:instrText xml:space="preserve"> PAGEREF _Toc2330 \h </w:instrText>
      </w:r>
      <w:r>
        <w:fldChar w:fldCharType="separate"/>
      </w:r>
      <w:r>
        <w:t>3</w:t>
      </w:r>
      <w:r>
        <w:fldChar w:fldCharType="end"/>
      </w:r>
      <w:r>
        <w:rPr>
          <w:rFonts w:hint="eastAsia" w:ascii="宋体" w:hAnsi="宋体" w:eastAsia="宋体" w:cs="宋体"/>
          <w:szCs w:val="24"/>
        </w:rPr>
        <w:fldChar w:fldCharType="end"/>
      </w:r>
    </w:p>
    <w:p w14:paraId="1851D4B2">
      <w:pPr>
        <w:pStyle w:val="10"/>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_Toc1589 </w:instrText>
      </w:r>
      <w:r>
        <w:rPr>
          <w:rFonts w:hint="eastAsia" w:ascii="宋体" w:hAnsi="宋体" w:eastAsia="宋体" w:cs="宋体"/>
          <w:szCs w:val="24"/>
        </w:rPr>
        <w:fldChar w:fldCharType="separate"/>
      </w:r>
      <w:r>
        <w:rPr>
          <w:rFonts w:hint="eastAsia" w:hAnsi="宋体"/>
          <w:szCs w:val="24"/>
        </w:rPr>
        <w:t>第二部分 供应商须知前附表</w:t>
      </w:r>
      <w:r>
        <w:tab/>
      </w:r>
      <w:r>
        <w:fldChar w:fldCharType="begin"/>
      </w:r>
      <w:r>
        <w:instrText xml:space="preserve"> PAGEREF _Toc1589 \h </w:instrText>
      </w:r>
      <w:r>
        <w:fldChar w:fldCharType="separate"/>
      </w:r>
      <w:r>
        <w:t>6</w:t>
      </w:r>
      <w:r>
        <w:fldChar w:fldCharType="end"/>
      </w:r>
      <w:r>
        <w:rPr>
          <w:rFonts w:hint="eastAsia" w:ascii="宋体" w:hAnsi="宋体" w:eastAsia="宋体" w:cs="宋体"/>
          <w:szCs w:val="24"/>
        </w:rPr>
        <w:fldChar w:fldCharType="end"/>
      </w:r>
    </w:p>
    <w:p w14:paraId="49EA82D0">
      <w:pPr>
        <w:pStyle w:val="10"/>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_Toc18892 </w:instrText>
      </w:r>
      <w:r>
        <w:rPr>
          <w:rFonts w:hint="eastAsia" w:ascii="宋体" w:hAnsi="宋体" w:eastAsia="宋体" w:cs="宋体"/>
          <w:szCs w:val="24"/>
        </w:rPr>
        <w:fldChar w:fldCharType="separate"/>
      </w:r>
      <w:r>
        <w:rPr>
          <w:rFonts w:hint="eastAsia" w:hAnsi="宋体"/>
          <w:szCs w:val="24"/>
        </w:rPr>
        <w:t>第三部分 供应商须知</w:t>
      </w:r>
      <w:r>
        <w:tab/>
      </w:r>
      <w:r>
        <w:fldChar w:fldCharType="begin"/>
      </w:r>
      <w:r>
        <w:instrText xml:space="preserve"> PAGEREF _Toc18892 \h </w:instrText>
      </w:r>
      <w:r>
        <w:fldChar w:fldCharType="separate"/>
      </w:r>
      <w:r>
        <w:t>9</w:t>
      </w:r>
      <w:r>
        <w:fldChar w:fldCharType="end"/>
      </w:r>
      <w:r>
        <w:rPr>
          <w:rFonts w:hint="eastAsia" w:ascii="宋体" w:hAnsi="宋体" w:eastAsia="宋体" w:cs="宋体"/>
          <w:szCs w:val="24"/>
        </w:rPr>
        <w:fldChar w:fldCharType="end"/>
      </w:r>
    </w:p>
    <w:p w14:paraId="5E3D7F2A">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_Toc28870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一、说明</w:t>
      </w:r>
      <w:r>
        <w:tab/>
      </w:r>
      <w:r>
        <w:fldChar w:fldCharType="begin"/>
      </w:r>
      <w:r>
        <w:instrText xml:space="preserve"> PAGEREF _Toc28870 \h </w:instrText>
      </w:r>
      <w:r>
        <w:fldChar w:fldCharType="separate"/>
      </w:r>
      <w:r>
        <w:t>9</w:t>
      </w:r>
      <w:r>
        <w:fldChar w:fldCharType="end"/>
      </w:r>
      <w:r>
        <w:rPr>
          <w:rFonts w:hint="eastAsia" w:ascii="宋体" w:hAnsi="宋体" w:eastAsia="宋体" w:cs="宋体"/>
          <w:szCs w:val="24"/>
        </w:rPr>
        <w:fldChar w:fldCharType="end"/>
      </w:r>
    </w:p>
    <w:p w14:paraId="4227D05B">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_Toc32587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1.适用范围</w:t>
      </w:r>
      <w:r>
        <w:tab/>
      </w:r>
      <w:r>
        <w:fldChar w:fldCharType="begin"/>
      </w:r>
      <w:r>
        <w:instrText xml:space="preserve"> PAGEREF _Toc32587 \h </w:instrText>
      </w:r>
      <w:r>
        <w:fldChar w:fldCharType="separate"/>
      </w:r>
      <w:r>
        <w:t>9</w:t>
      </w:r>
      <w:r>
        <w:fldChar w:fldCharType="end"/>
      </w:r>
      <w:r>
        <w:rPr>
          <w:rFonts w:hint="eastAsia" w:ascii="宋体" w:hAnsi="宋体" w:eastAsia="宋体" w:cs="宋体"/>
          <w:szCs w:val="24"/>
        </w:rPr>
        <w:fldChar w:fldCharType="end"/>
      </w:r>
    </w:p>
    <w:p w14:paraId="79A98853">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_Toc32589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2.采购人及代理机构</w:t>
      </w:r>
      <w:r>
        <w:tab/>
      </w:r>
      <w:r>
        <w:fldChar w:fldCharType="begin"/>
      </w:r>
      <w:r>
        <w:instrText xml:space="preserve"> PAGEREF _Toc32589 \h </w:instrText>
      </w:r>
      <w:r>
        <w:fldChar w:fldCharType="separate"/>
      </w:r>
      <w:r>
        <w:t>9</w:t>
      </w:r>
      <w:r>
        <w:fldChar w:fldCharType="end"/>
      </w:r>
      <w:r>
        <w:rPr>
          <w:rFonts w:hint="eastAsia" w:ascii="宋体" w:hAnsi="宋体" w:eastAsia="宋体" w:cs="宋体"/>
          <w:szCs w:val="24"/>
        </w:rPr>
        <w:fldChar w:fldCharType="end"/>
      </w:r>
    </w:p>
    <w:p w14:paraId="612BC3D8">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_Toc6850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3.供应商的资格要求</w:t>
      </w:r>
      <w:r>
        <w:tab/>
      </w:r>
      <w:r>
        <w:fldChar w:fldCharType="begin"/>
      </w:r>
      <w:r>
        <w:instrText xml:space="preserve"> PAGEREF _Toc6850 \h </w:instrText>
      </w:r>
      <w:r>
        <w:fldChar w:fldCharType="separate"/>
      </w:r>
      <w:r>
        <w:t>9</w:t>
      </w:r>
      <w:r>
        <w:fldChar w:fldCharType="end"/>
      </w:r>
      <w:r>
        <w:rPr>
          <w:rFonts w:hint="eastAsia" w:ascii="宋体" w:hAnsi="宋体" w:eastAsia="宋体" w:cs="宋体"/>
          <w:szCs w:val="24"/>
        </w:rPr>
        <w:fldChar w:fldCharType="end"/>
      </w:r>
    </w:p>
    <w:p w14:paraId="0FB94096">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_Toc23396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bCs/>
          <w:kern w:val="2"/>
          <w:szCs w:val="24"/>
          <w:lang w:val="en-US" w:eastAsia="zh-CN" w:bidi="ar-SA"/>
        </w:rPr>
        <w:t>4.谈判费用</w:t>
      </w:r>
      <w:r>
        <w:tab/>
      </w:r>
      <w:r>
        <w:fldChar w:fldCharType="begin"/>
      </w:r>
      <w:r>
        <w:instrText xml:space="preserve"> PAGEREF _Toc23396 \h </w:instrText>
      </w:r>
      <w:r>
        <w:fldChar w:fldCharType="separate"/>
      </w:r>
      <w:r>
        <w:t>10</w:t>
      </w:r>
      <w:r>
        <w:fldChar w:fldCharType="end"/>
      </w:r>
      <w:r>
        <w:rPr>
          <w:rFonts w:hint="eastAsia" w:ascii="宋体" w:hAnsi="宋体" w:eastAsia="宋体" w:cs="宋体"/>
          <w:szCs w:val="24"/>
        </w:rPr>
        <w:fldChar w:fldCharType="end"/>
      </w:r>
    </w:p>
    <w:p w14:paraId="1ED46B94">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_Toc28716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二、谈判文件</w:t>
      </w:r>
      <w:r>
        <w:tab/>
      </w:r>
      <w:r>
        <w:fldChar w:fldCharType="begin"/>
      </w:r>
      <w:r>
        <w:instrText xml:space="preserve"> PAGEREF _Toc28716 \h </w:instrText>
      </w:r>
      <w:r>
        <w:fldChar w:fldCharType="separate"/>
      </w:r>
      <w:r>
        <w:t>10</w:t>
      </w:r>
      <w:r>
        <w:fldChar w:fldCharType="end"/>
      </w:r>
      <w:r>
        <w:rPr>
          <w:rFonts w:hint="eastAsia" w:ascii="宋体" w:hAnsi="宋体" w:eastAsia="宋体" w:cs="宋体"/>
          <w:szCs w:val="24"/>
        </w:rPr>
        <w:fldChar w:fldCharType="end"/>
      </w:r>
    </w:p>
    <w:p w14:paraId="6B5D6148">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_Toc16054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5.谈判文件的组成</w:t>
      </w:r>
      <w:r>
        <w:tab/>
      </w:r>
      <w:r>
        <w:fldChar w:fldCharType="begin"/>
      </w:r>
      <w:r>
        <w:instrText xml:space="preserve"> PAGEREF _Toc16054 \h </w:instrText>
      </w:r>
      <w:r>
        <w:fldChar w:fldCharType="separate"/>
      </w:r>
      <w:r>
        <w:t>10</w:t>
      </w:r>
      <w:r>
        <w:fldChar w:fldCharType="end"/>
      </w:r>
      <w:r>
        <w:rPr>
          <w:rFonts w:hint="eastAsia" w:ascii="宋体" w:hAnsi="宋体" w:eastAsia="宋体" w:cs="宋体"/>
          <w:szCs w:val="24"/>
        </w:rPr>
        <w:fldChar w:fldCharType="end"/>
      </w:r>
    </w:p>
    <w:p w14:paraId="180A65C1">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_Toc14755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6.谈判文件的澄清</w:t>
      </w:r>
      <w:r>
        <w:rPr>
          <w:rFonts w:hint="eastAsia" w:asciiTheme="minorEastAsia" w:hAnsiTheme="minorEastAsia" w:eastAsiaTheme="minorEastAsia" w:cstheme="minorEastAsia"/>
          <w:szCs w:val="24"/>
          <w:lang w:val="zh-CN"/>
        </w:rPr>
        <w:t>或者</w:t>
      </w:r>
      <w:r>
        <w:rPr>
          <w:rFonts w:hint="eastAsia" w:asciiTheme="minorEastAsia" w:hAnsiTheme="minorEastAsia" w:eastAsiaTheme="minorEastAsia" w:cstheme="minorEastAsia"/>
          <w:szCs w:val="24"/>
        </w:rPr>
        <w:t>修改</w:t>
      </w:r>
      <w:r>
        <w:tab/>
      </w:r>
      <w:r>
        <w:fldChar w:fldCharType="begin"/>
      </w:r>
      <w:r>
        <w:instrText xml:space="preserve"> PAGEREF _Toc14755 \h </w:instrText>
      </w:r>
      <w:r>
        <w:fldChar w:fldCharType="separate"/>
      </w:r>
      <w:r>
        <w:t>11</w:t>
      </w:r>
      <w:r>
        <w:fldChar w:fldCharType="end"/>
      </w:r>
      <w:r>
        <w:rPr>
          <w:rFonts w:hint="eastAsia" w:ascii="宋体" w:hAnsi="宋体" w:eastAsia="宋体" w:cs="宋体"/>
          <w:szCs w:val="24"/>
        </w:rPr>
        <w:fldChar w:fldCharType="end"/>
      </w:r>
    </w:p>
    <w:p w14:paraId="574D6650">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_Toc11690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7.谈判文件的询问或质疑</w:t>
      </w:r>
      <w:r>
        <w:tab/>
      </w:r>
      <w:r>
        <w:fldChar w:fldCharType="begin"/>
      </w:r>
      <w:r>
        <w:instrText xml:space="preserve"> PAGEREF _Toc11690 \h </w:instrText>
      </w:r>
      <w:r>
        <w:fldChar w:fldCharType="separate"/>
      </w:r>
      <w:r>
        <w:t>11</w:t>
      </w:r>
      <w:r>
        <w:fldChar w:fldCharType="end"/>
      </w:r>
      <w:r>
        <w:rPr>
          <w:rFonts w:hint="eastAsia" w:ascii="宋体" w:hAnsi="宋体" w:eastAsia="宋体" w:cs="宋体"/>
          <w:szCs w:val="24"/>
        </w:rPr>
        <w:fldChar w:fldCharType="end"/>
      </w:r>
    </w:p>
    <w:p w14:paraId="6469D943">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_Toc6621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三、响应文件</w:t>
      </w:r>
      <w:r>
        <w:tab/>
      </w:r>
      <w:r>
        <w:fldChar w:fldCharType="begin"/>
      </w:r>
      <w:r>
        <w:instrText xml:space="preserve"> PAGEREF _Toc6621 \h </w:instrText>
      </w:r>
      <w:r>
        <w:fldChar w:fldCharType="separate"/>
      </w:r>
      <w:r>
        <w:t>11</w:t>
      </w:r>
      <w:r>
        <w:fldChar w:fldCharType="end"/>
      </w:r>
      <w:r>
        <w:rPr>
          <w:rFonts w:hint="eastAsia" w:ascii="宋体" w:hAnsi="宋体" w:eastAsia="宋体" w:cs="宋体"/>
          <w:szCs w:val="24"/>
        </w:rPr>
        <w:fldChar w:fldCharType="end"/>
      </w:r>
    </w:p>
    <w:p w14:paraId="0C863B03">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_Toc22626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8.一般要求</w:t>
      </w:r>
      <w:r>
        <w:tab/>
      </w:r>
      <w:r>
        <w:fldChar w:fldCharType="begin"/>
      </w:r>
      <w:r>
        <w:instrText xml:space="preserve"> PAGEREF _Toc22626 \h </w:instrText>
      </w:r>
      <w:r>
        <w:fldChar w:fldCharType="separate"/>
      </w:r>
      <w:r>
        <w:t>11</w:t>
      </w:r>
      <w:r>
        <w:fldChar w:fldCharType="end"/>
      </w:r>
      <w:r>
        <w:rPr>
          <w:rFonts w:hint="eastAsia" w:ascii="宋体" w:hAnsi="宋体" w:eastAsia="宋体" w:cs="宋体"/>
          <w:szCs w:val="24"/>
        </w:rPr>
        <w:fldChar w:fldCharType="end"/>
      </w:r>
    </w:p>
    <w:p w14:paraId="5A56F30A">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_Toc16298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9.报价要求</w:t>
      </w:r>
      <w:r>
        <w:tab/>
      </w:r>
      <w:r>
        <w:fldChar w:fldCharType="begin"/>
      </w:r>
      <w:r>
        <w:instrText xml:space="preserve"> PAGEREF _Toc16298 \h </w:instrText>
      </w:r>
      <w:r>
        <w:fldChar w:fldCharType="separate"/>
      </w:r>
      <w:r>
        <w:t>12</w:t>
      </w:r>
      <w:r>
        <w:fldChar w:fldCharType="end"/>
      </w:r>
      <w:r>
        <w:rPr>
          <w:rFonts w:hint="eastAsia" w:ascii="宋体" w:hAnsi="宋体" w:eastAsia="宋体" w:cs="宋体"/>
          <w:szCs w:val="24"/>
        </w:rPr>
        <w:fldChar w:fldCharType="end"/>
      </w:r>
    </w:p>
    <w:p w14:paraId="7789FB8A">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_Toc23737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10.保证金</w:t>
      </w:r>
      <w:r>
        <w:tab/>
      </w:r>
      <w:r>
        <w:fldChar w:fldCharType="begin"/>
      </w:r>
      <w:r>
        <w:instrText xml:space="preserve"> PAGEREF _Toc23737 \h </w:instrText>
      </w:r>
      <w:r>
        <w:fldChar w:fldCharType="separate"/>
      </w:r>
      <w:r>
        <w:t>13</w:t>
      </w:r>
      <w:r>
        <w:fldChar w:fldCharType="end"/>
      </w:r>
      <w:r>
        <w:rPr>
          <w:rFonts w:hint="eastAsia" w:ascii="宋体" w:hAnsi="宋体" w:eastAsia="宋体" w:cs="宋体"/>
          <w:szCs w:val="24"/>
        </w:rPr>
        <w:fldChar w:fldCharType="end"/>
      </w:r>
    </w:p>
    <w:p w14:paraId="6C7EC026">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_Toc6790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11.响应文件的组成</w:t>
      </w:r>
      <w:r>
        <w:tab/>
      </w:r>
      <w:r>
        <w:fldChar w:fldCharType="begin"/>
      </w:r>
      <w:r>
        <w:instrText xml:space="preserve"> PAGEREF _Toc6790 \h </w:instrText>
      </w:r>
      <w:r>
        <w:fldChar w:fldCharType="separate"/>
      </w:r>
      <w:r>
        <w:t>13</w:t>
      </w:r>
      <w:r>
        <w:fldChar w:fldCharType="end"/>
      </w:r>
      <w:r>
        <w:rPr>
          <w:rFonts w:hint="eastAsia" w:ascii="宋体" w:hAnsi="宋体" w:eastAsia="宋体" w:cs="宋体"/>
          <w:szCs w:val="24"/>
        </w:rPr>
        <w:fldChar w:fldCharType="end"/>
      </w:r>
    </w:p>
    <w:p w14:paraId="6B5E9703">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_Toc14627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12.响应文件有效期</w:t>
      </w:r>
      <w:r>
        <w:tab/>
      </w:r>
      <w:r>
        <w:fldChar w:fldCharType="begin"/>
      </w:r>
      <w:r>
        <w:instrText xml:space="preserve"> PAGEREF _Toc14627 \h </w:instrText>
      </w:r>
      <w:r>
        <w:fldChar w:fldCharType="separate"/>
      </w:r>
      <w:r>
        <w:t>14</w:t>
      </w:r>
      <w:r>
        <w:fldChar w:fldCharType="end"/>
      </w:r>
      <w:r>
        <w:rPr>
          <w:rFonts w:hint="eastAsia" w:ascii="宋体" w:hAnsi="宋体" w:eastAsia="宋体" w:cs="宋体"/>
          <w:szCs w:val="24"/>
        </w:rPr>
        <w:fldChar w:fldCharType="end"/>
      </w:r>
    </w:p>
    <w:p w14:paraId="70263A17">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_Toc20588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13.响应文件的签署及规定</w:t>
      </w:r>
      <w:r>
        <w:tab/>
      </w:r>
      <w:r>
        <w:fldChar w:fldCharType="begin"/>
      </w:r>
      <w:r>
        <w:instrText xml:space="preserve"> PAGEREF _Toc20588 \h </w:instrText>
      </w:r>
      <w:r>
        <w:fldChar w:fldCharType="separate"/>
      </w:r>
      <w:r>
        <w:t>15</w:t>
      </w:r>
      <w:r>
        <w:fldChar w:fldCharType="end"/>
      </w:r>
      <w:r>
        <w:rPr>
          <w:rFonts w:hint="eastAsia" w:ascii="宋体" w:hAnsi="宋体" w:eastAsia="宋体" w:cs="宋体"/>
          <w:szCs w:val="24"/>
        </w:rPr>
        <w:fldChar w:fldCharType="end"/>
      </w:r>
    </w:p>
    <w:p w14:paraId="128B3C91">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_Toc32670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四、响应文件的递交</w:t>
      </w:r>
      <w:r>
        <w:tab/>
      </w:r>
      <w:r>
        <w:fldChar w:fldCharType="begin"/>
      </w:r>
      <w:r>
        <w:instrText xml:space="preserve"> PAGEREF _Toc32670 \h </w:instrText>
      </w:r>
      <w:r>
        <w:fldChar w:fldCharType="separate"/>
      </w:r>
      <w:r>
        <w:t>15</w:t>
      </w:r>
      <w:r>
        <w:fldChar w:fldCharType="end"/>
      </w:r>
      <w:r>
        <w:rPr>
          <w:rFonts w:hint="eastAsia" w:ascii="宋体" w:hAnsi="宋体" w:eastAsia="宋体" w:cs="宋体"/>
          <w:szCs w:val="24"/>
        </w:rPr>
        <w:fldChar w:fldCharType="end"/>
      </w:r>
    </w:p>
    <w:p w14:paraId="219EC2B9">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_Toc26512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14.响应文件的密封和标记</w:t>
      </w:r>
      <w:r>
        <w:tab/>
      </w:r>
      <w:r>
        <w:fldChar w:fldCharType="begin"/>
      </w:r>
      <w:r>
        <w:instrText xml:space="preserve"> PAGEREF _Toc26512 \h </w:instrText>
      </w:r>
      <w:r>
        <w:fldChar w:fldCharType="separate"/>
      </w:r>
      <w:r>
        <w:t>15</w:t>
      </w:r>
      <w:r>
        <w:fldChar w:fldCharType="end"/>
      </w:r>
      <w:r>
        <w:rPr>
          <w:rFonts w:hint="eastAsia" w:ascii="宋体" w:hAnsi="宋体" w:eastAsia="宋体" w:cs="宋体"/>
          <w:szCs w:val="24"/>
        </w:rPr>
        <w:fldChar w:fldCharType="end"/>
      </w:r>
    </w:p>
    <w:p w14:paraId="6931B598">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_Toc4371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15.响应文件的递交与接收</w:t>
      </w:r>
      <w:r>
        <w:tab/>
      </w:r>
      <w:r>
        <w:fldChar w:fldCharType="begin"/>
      </w:r>
      <w:r>
        <w:instrText xml:space="preserve"> PAGEREF _Toc4371 \h </w:instrText>
      </w:r>
      <w:r>
        <w:fldChar w:fldCharType="separate"/>
      </w:r>
      <w:r>
        <w:t>15</w:t>
      </w:r>
      <w:r>
        <w:fldChar w:fldCharType="end"/>
      </w:r>
      <w:r>
        <w:rPr>
          <w:rFonts w:hint="eastAsia" w:ascii="宋体" w:hAnsi="宋体" w:eastAsia="宋体" w:cs="宋体"/>
          <w:szCs w:val="24"/>
        </w:rPr>
        <w:fldChar w:fldCharType="end"/>
      </w:r>
    </w:p>
    <w:p w14:paraId="0649B26E">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_Toc27313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16.响应文件的</w:t>
      </w:r>
      <w:r>
        <w:rPr>
          <w:rFonts w:hint="eastAsia" w:asciiTheme="minorEastAsia" w:hAnsiTheme="minorEastAsia" w:eastAsiaTheme="minorEastAsia" w:cstheme="minorEastAsia"/>
          <w:szCs w:val="24"/>
          <w:lang w:val="zh-CN"/>
        </w:rPr>
        <w:t>补充、修改或者撤回</w:t>
      </w:r>
      <w:r>
        <w:tab/>
      </w:r>
      <w:r>
        <w:fldChar w:fldCharType="begin"/>
      </w:r>
      <w:r>
        <w:instrText xml:space="preserve"> PAGEREF _Toc27313 \h </w:instrText>
      </w:r>
      <w:r>
        <w:fldChar w:fldCharType="separate"/>
      </w:r>
      <w:r>
        <w:t>16</w:t>
      </w:r>
      <w:r>
        <w:fldChar w:fldCharType="end"/>
      </w:r>
      <w:r>
        <w:rPr>
          <w:rFonts w:hint="eastAsia" w:ascii="宋体" w:hAnsi="宋体" w:eastAsia="宋体" w:cs="宋体"/>
          <w:szCs w:val="24"/>
        </w:rPr>
        <w:fldChar w:fldCharType="end"/>
      </w:r>
    </w:p>
    <w:p w14:paraId="508EFBA5">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_Toc11479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五、响应文件的评审与谈判</w:t>
      </w:r>
      <w:r>
        <w:tab/>
      </w:r>
      <w:r>
        <w:fldChar w:fldCharType="begin"/>
      </w:r>
      <w:r>
        <w:instrText xml:space="preserve"> PAGEREF _Toc11479 \h </w:instrText>
      </w:r>
      <w:r>
        <w:fldChar w:fldCharType="separate"/>
      </w:r>
      <w:r>
        <w:t>16</w:t>
      </w:r>
      <w:r>
        <w:fldChar w:fldCharType="end"/>
      </w:r>
      <w:r>
        <w:rPr>
          <w:rFonts w:hint="eastAsia" w:ascii="宋体" w:hAnsi="宋体" w:eastAsia="宋体" w:cs="宋体"/>
          <w:szCs w:val="24"/>
        </w:rPr>
        <w:fldChar w:fldCharType="end"/>
      </w:r>
    </w:p>
    <w:p w14:paraId="0C02E428">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_Toc17686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17.谈判小组</w:t>
      </w:r>
      <w:r>
        <w:tab/>
      </w:r>
      <w:r>
        <w:fldChar w:fldCharType="begin"/>
      </w:r>
      <w:r>
        <w:instrText xml:space="preserve"> PAGEREF _Toc17686 \h </w:instrText>
      </w:r>
      <w:r>
        <w:fldChar w:fldCharType="separate"/>
      </w:r>
      <w:r>
        <w:t>16</w:t>
      </w:r>
      <w:r>
        <w:fldChar w:fldCharType="end"/>
      </w:r>
      <w:r>
        <w:rPr>
          <w:rFonts w:hint="eastAsia" w:ascii="宋体" w:hAnsi="宋体" w:eastAsia="宋体" w:cs="宋体"/>
          <w:szCs w:val="24"/>
        </w:rPr>
        <w:fldChar w:fldCharType="end"/>
      </w:r>
    </w:p>
    <w:p w14:paraId="274FAB1A">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_Toc15667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18.响应文件审查</w:t>
      </w:r>
      <w:r>
        <w:tab/>
      </w:r>
      <w:r>
        <w:fldChar w:fldCharType="begin"/>
      </w:r>
      <w:r>
        <w:instrText xml:space="preserve"> PAGEREF _Toc15667 \h </w:instrText>
      </w:r>
      <w:r>
        <w:fldChar w:fldCharType="separate"/>
      </w:r>
      <w:r>
        <w:t>17</w:t>
      </w:r>
      <w:r>
        <w:fldChar w:fldCharType="end"/>
      </w:r>
      <w:r>
        <w:rPr>
          <w:rFonts w:hint="eastAsia" w:ascii="宋体" w:hAnsi="宋体" w:eastAsia="宋体" w:cs="宋体"/>
          <w:szCs w:val="24"/>
        </w:rPr>
        <w:fldChar w:fldCharType="end"/>
      </w:r>
    </w:p>
    <w:p w14:paraId="0156A707">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_Toc15233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19.谈判程序</w:t>
      </w:r>
      <w:r>
        <w:tab/>
      </w:r>
      <w:r>
        <w:fldChar w:fldCharType="begin"/>
      </w:r>
      <w:r>
        <w:instrText xml:space="preserve"> PAGEREF _Toc15233 \h </w:instrText>
      </w:r>
      <w:r>
        <w:fldChar w:fldCharType="separate"/>
      </w:r>
      <w:r>
        <w:t>18</w:t>
      </w:r>
      <w:r>
        <w:fldChar w:fldCharType="end"/>
      </w:r>
      <w:r>
        <w:rPr>
          <w:rFonts w:hint="eastAsia" w:ascii="宋体" w:hAnsi="宋体" w:eastAsia="宋体" w:cs="宋体"/>
          <w:szCs w:val="24"/>
        </w:rPr>
        <w:fldChar w:fldCharType="end"/>
      </w:r>
    </w:p>
    <w:p w14:paraId="335186A9">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_Toc20755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20.澄清</w:t>
      </w:r>
      <w:r>
        <w:tab/>
      </w:r>
      <w:r>
        <w:fldChar w:fldCharType="begin"/>
      </w:r>
      <w:r>
        <w:instrText xml:space="preserve"> PAGEREF _Toc20755 \h </w:instrText>
      </w:r>
      <w:r>
        <w:fldChar w:fldCharType="separate"/>
      </w:r>
      <w:r>
        <w:t>19</w:t>
      </w:r>
      <w:r>
        <w:fldChar w:fldCharType="end"/>
      </w:r>
      <w:r>
        <w:rPr>
          <w:rFonts w:hint="eastAsia" w:ascii="宋体" w:hAnsi="宋体" w:eastAsia="宋体" w:cs="宋体"/>
          <w:szCs w:val="24"/>
        </w:rPr>
        <w:fldChar w:fldCharType="end"/>
      </w:r>
    </w:p>
    <w:p w14:paraId="424B6DE6">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_Toc20886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21.退出谈判</w:t>
      </w:r>
      <w:r>
        <w:tab/>
      </w:r>
      <w:r>
        <w:fldChar w:fldCharType="begin"/>
      </w:r>
      <w:r>
        <w:instrText xml:space="preserve"> PAGEREF _Toc20886 \h </w:instrText>
      </w:r>
      <w:r>
        <w:fldChar w:fldCharType="separate"/>
      </w:r>
      <w:r>
        <w:t>19</w:t>
      </w:r>
      <w:r>
        <w:fldChar w:fldCharType="end"/>
      </w:r>
      <w:r>
        <w:rPr>
          <w:rFonts w:hint="eastAsia" w:ascii="宋体" w:hAnsi="宋体" w:eastAsia="宋体" w:cs="宋体"/>
          <w:szCs w:val="24"/>
        </w:rPr>
        <w:fldChar w:fldCharType="end"/>
      </w:r>
    </w:p>
    <w:p w14:paraId="5F4BCA82">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_Toc29778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22.最后报价</w:t>
      </w:r>
      <w:r>
        <w:tab/>
      </w:r>
      <w:r>
        <w:fldChar w:fldCharType="begin"/>
      </w:r>
      <w:r>
        <w:instrText xml:space="preserve"> PAGEREF _Toc29778 \h </w:instrText>
      </w:r>
      <w:r>
        <w:fldChar w:fldCharType="separate"/>
      </w:r>
      <w:r>
        <w:t>19</w:t>
      </w:r>
      <w:r>
        <w:fldChar w:fldCharType="end"/>
      </w:r>
      <w:r>
        <w:rPr>
          <w:rFonts w:hint="eastAsia" w:ascii="宋体" w:hAnsi="宋体" w:eastAsia="宋体" w:cs="宋体"/>
          <w:szCs w:val="24"/>
        </w:rPr>
        <w:fldChar w:fldCharType="end"/>
      </w:r>
    </w:p>
    <w:p w14:paraId="3545E002">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_Toc10114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23.确定成交供应商</w:t>
      </w:r>
      <w:r>
        <w:tab/>
      </w:r>
      <w:r>
        <w:fldChar w:fldCharType="begin"/>
      </w:r>
      <w:r>
        <w:instrText xml:space="preserve"> PAGEREF _Toc10114 \h </w:instrText>
      </w:r>
      <w:r>
        <w:fldChar w:fldCharType="separate"/>
      </w:r>
      <w:r>
        <w:t>20</w:t>
      </w:r>
      <w:r>
        <w:fldChar w:fldCharType="end"/>
      </w:r>
      <w:r>
        <w:rPr>
          <w:rFonts w:hint="eastAsia" w:ascii="宋体" w:hAnsi="宋体" w:eastAsia="宋体" w:cs="宋体"/>
          <w:szCs w:val="24"/>
        </w:rPr>
        <w:fldChar w:fldCharType="end"/>
      </w:r>
    </w:p>
    <w:p w14:paraId="611C1938">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_Toc25402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24.重新评审</w:t>
      </w:r>
      <w:r>
        <w:tab/>
      </w:r>
      <w:r>
        <w:fldChar w:fldCharType="begin"/>
      </w:r>
      <w:r>
        <w:instrText xml:space="preserve"> PAGEREF _Toc25402 \h </w:instrText>
      </w:r>
      <w:r>
        <w:fldChar w:fldCharType="separate"/>
      </w:r>
      <w:r>
        <w:t>21</w:t>
      </w:r>
      <w:r>
        <w:fldChar w:fldCharType="end"/>
      </w:r>
      <w:r>
        <w:rPr>
          <w:rFonts w:hint="eastAsia" w:ascii="宋体" w:hAnsi="宋体" w:eastAsia="宋体" w:cs="宋体"/>
          <w:szCs w:val="24"/>
        </w:rPr>
        <w:fldChar w:fldCharType="end"/>
      </w:r>
    </w:p>
    <w:p w14:paraId="32BEB1DF">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_Toc31213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25.谈判终止</w:t>
      </w:r>
      <w:r>
        <w:tab/>
      </w:r>
      <w:r>
        <w:fldChar w:fldCharType="begin"/>
      </w:r>
      <w:r>
        <w:instrText xml:space="preserve"> PAGEREF _Toc31213 \h </w:instrText>
      </w:r>
      <w:r>
        <w:fldChar w:fldCharType="separate"/>
      </w:r>
      <w:r>
        <w:t>21</w:t>
      </w:r>
      <w:r>
        <w:fldChar w:fldCharType="end"/>
      </w:r>
      <w:r>
        <w:rPr>
          <w:rFonts w:hint="eastAsia" w:ascii="宋体" w:hAnsi="宋体" w:eastAsia="宋体" w:cs="宋体"/>
          <w:szCs w:val="24"/>
        </w:rPr>
        <w:fldChar w:fldCharType="end"/>
      </w:r>
    </w:p>
    <w:p w14:paraId="0A44E76E">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_Toc15153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26.串通情形认定及处理</w:t>
      </w:r>
      <w:r>
        <w:tab/>
      </w:r>
      <w:r>
        <w:fldChar w:fldCharType="begin"/>
      </w:r>
      <w:r>
        <w:instrText xml:space="preserve"> PAGEREF _Toc15153 \h </w:instrText>
      </w:r>
      <w:r>
        <w:fldChar w:fldCharType="separate"/>
      </w:r>
      <w:r>
        <w:t>21</w:t>
      </w:r>
      <w:r>
        <w:fldChar w:fldCharType="end"/>
      </w:r>
      <w:r>
        <w:rPr>
          <w:rFonts w:hint="eastAsia" w:ascii="宋体" w:hAnsi="宋体" w:eastAsia="宋体" w:cs="宋体"/>
          <w:szCs w:val="24"/>
        </w:rPr>
        <w:fldChar w:fldCharType="end"/>
      </w:r>
    </w:p>
    <w:p w14:paraId="620F60C4">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_Toc32385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六、成交结果信息公布与授予合同</w:t>
      </w:r>
      <w:r>
        <w:tab/>
      </w:r>
      <w:r>
        <w:fldChar w:fldCharType="begin"/>
      </w:r>
      <w:r>
        <w:instrText xml:space="preserve"> PAGEREF _Toc32385 \h </w:instrText>
      </w:r>
      <w:r>
        <w:fldChar w:fldCharType="separate"/>
      </w:r>
      <w:r>
        <w:t>22</w:t>
      </w:r>
      <w:r>
        <w:fldChar w:fldCharType="end"/>
      </w:r>
      <w:r>
        <w:rPr>
          <w:rFonts w:hint="eastAsia" w:ascii="宋体" w:hAnsi="宋体" w:eastAsia="宋体" w:cs="宋体"/>
          <w:szCs w:val="24"/>
        </w:rPr>
        <w:fldChar w:fldCharType="end"/>
      </w:r>
    </w:p>
    <w:p w14:paraId="488DD089">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_Toc27010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27.成交信息的公布与通知</w:t>
      </w:r>
      <w:r>
        <w:tab/>
      </w:r>
      <w:r>
        <w:fldChar w:fldCharType="begin"/>
      </w:r>
      <w:r>
        <w:instrText xml:space="preserve"> PAGEREF _Toc27010 \h </w:instrText>
      </w:r>
      <w:r>
        <w:fldChar w:fldCharType="separate"/>
      </w:r>
      <w:r>
        <w:t>22</w:t>
      </w:r>
      <w:r>
        <w:fldChar w:fldCharType="end"/>
      </w:r>
      <w:r>
        <w:rPr>
          <w:rFonts w:hint="eastAsia" w:ascii="宋体" w:hAnsi="宋体" w:eastAsia="宋体" w:cs="宋体"/>
          <w:szCs w:val="24"/>
        </w:rPr>
        <w:fldChar w:fldCharType="end"/>
      </w:r>
    </w:p>
    <w:p w14:paraId="7C7456F7">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_Toc25572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28.授予合同</w:t>
      </w:r>
      <w:r>
        <w:tab/>
      </w:r>
      <w:r>
        <w:fldChar w:fldCharType="begin"/>
      </w:r>
      <w:r>
        <w:instrText xml:space="preserve"> PAGEREF _Toc25572 \h </w:instrText>
      </w:r>
      <w:r>
        <w:fldChar w:fldCharType="separate"/>
      </w:r>
      <w:r>
        <w:t>23</w:t>
      </w:r>
      <w:r>
        <w:fldChar w:fldCharType="end"/>
      </w:r>
      <w:r>
        <w:rPr>
          <w:rFonts w:hint="eastAsia" w:ascii="宋体" w:hAnsi="宋体" w:eastAsia="宋体" w:cs="宋体"/>
          <w:szCs w:val="24"/>
        </w:rPr>
        <w:fldChar w:fldCharType="end"/>
      </w:r>
    </w:p>
    <w:p w14:paraId="2CF16D44">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_Toc3406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29.履约验收</w:t>
      </w:r>
      <w:r>
        <w:tab/>
      </w:r>
      <w:r>
        <w:fldChar w:fldCharType="begin"/>
      </w:r>
      <w:r>
        <w:instrText xml:space="preserve"> PAGEREF _Toc3406 \h </w:instrText>
      </w:r>
      <w:r>
        <w:fldChar w:fldCharType="separate"/>
      </w:r>
      <w:r>
        <w:t>23</w:t>
      </w:r>
      <w:r>
        <w:fldChar w:fldCharType="end"/>
      </w:r>
      <w:r>
        <w:rPr>
          <w:rFonts w:hint="eastAsia" w:ascii="宋体" w:hAnsi="宋体" w:eastAsia="宋体" w:cs="宋体"/>
          <w:szCs w:val="24"/>
        </w:rPr>
        <w:fldChar w:fldCharType="end"/>
      </w:r>
    </w:p>
    <w:p w14:paraId="4F2DCB08">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_Toc1231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七、询问与质疑</w:t>
      </w:r>
      <w:r>
        <w:tab/>
      </w:r>
      <w:r>
        <w:fldChar w:fldCharType="begin"/>
      </w:r>
      <w:r>
        <w:instrText xml:space="preserve"> PAGEREF _Toc1231 \h </w:instrText>
      </w:r>
      <w:r>
        <w:fldChar w:fldCharType="separate"/>
      </w:r>
      <w:r>
        <w:t>24</w:t>
      </w:r>
      <w:r>
        <w:fldChar w:fldCharType="end"/>
      </w:r>
      <w:r>
        <w:rPr>
          <w:rFonts w:hint="eastAsia" w:ascii="宋体" w:hAnsi="宋体" w:eastAsia="宋体" w:cs="宋体"/>
          <w:szCs w:val="24"/>
        </w:rPr>
        <w:fldChar w:fldCharType="end"/>
      </w:r>
    </w:p>
    <w:p w14:paraId="44C76034">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_Toc19137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30.对采购过程、结果的询问及质疑</w:t>
      </w:r>
      <w:r>
        <w:tab/>
      </w:r>
      <w:r>
        <w:fldChar w:fldCharType="begin"/>
      </w:r>
      <w:r>
        <w:instrText xml:space="preserve"> PAGEREF _Toc19137 \h </w:instrText>
      </w:r>
      <w:r>
        <w:fldChar w:fldCharType="separate"/>
      </w:r>
      <w:r>
        <w:t>24</w:t>
      </w:r>
      <w:r>
        <w:fldChar w:fldCharType="end"/>
      </w:r>
      <w:r>
        <w:rPr>
          <w:rFonts w:hint="eastAsia" w:ascii="宋体" w:hAnsi="宋体" w:eastAsia="宋体" w:cs="宋体"/>
          <w:szCs w:val="24"/>
        </w:rPr>
        <w:fldChar w:fldCharType="end"/>
      </w:r>
    </w:p>
    <w:p w14:paraId="2BA52915">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_Toc7291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八、政府采购政策</w:t>
      </w:r>
      <w:r>
        <w:tab/>
      </w:r>
      <w:r>
        <w:fldChar w:fldCharType="begin"/>
      </w:r>
      <w:r>
        <w:instrText xml:space="preserve"> PAGEREF _Toc7291 \h </w:instrText>
      </w:r>
      <w:r>
        <w:fldChar w:fldCharType="separate"/>
      </w:r>
      <w:r>
        <w:t>24</w:t>
      </w:r>
      <w:r>
        <w:fldChar w:fldCharType="end"/>
      </w:r>
      <w:r>
        <w:rPr>
          <w:rFonts w:hint="eastAsia" w:ascii="宋体" w:hAnsi="宋体" w:eastAsia="宋体" w:cs="宋体"/>
          <w:szCs w:val="24"/>
        </w:rPr>
        <w:fldChar w:fldCharType="end"/>
      </w:r>
    </w:p>
    <w:p w14:paraId="38222472">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_Toc461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31.政府采购政策</w:t>
      </w:r>
      <w:r>
        <w:tab/>
      </w:r>
      <w:r>
        <w:fldChar w:fldCharType="begin"/>
      </w:r>
      <w:r>
        <w:instrText xml:space="preserve"> PAGEREF _Toc461 \h </w:instrText>
      </w:r>
      <w:r>
        <w:fldChar w:fldCharType="separate"/>
      </w:r>
      <w:r>
        <w:t>24</w:t>
      </w:r>
      <w:r>
        <w:fldChar w:fldCharType="end"/>
      </w:r>
      <w:r>
        <w:rPr>
          <w:rFonts w:hint="eastAsia" w:ascii="宋体" w:hAnsi="宋体" w:eastAsia="宋体" w:cs="宋体"/>
          <w:szCs w:val="24"/>
        </w:rPr>
        <w:fldChar w:fldCharType="end"/>
      </w:r>
    </w:p>
    <w:p w14:paraId="05DC6FA8">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_Toc12996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九、其他规定</w:t>
      </w:r>
      <w:r>
        <w:tab/>
      </w:r>
      <w:r>
        <w:fldChar w:fldCharType="begin"/>
      </w:r>
      <w:r>
        <w:instrText xml:space="preserve"> PAGEREF _Toc12996 \h </w:instrText>
      </w:r>
      <w:r>
        <w:fldChar w:fldCharType="separate"/>
      </w:r>
      <w:r>
        <w:t>25</w:t>
      </w:r>
      <w:r>
        <w:fldChar w:fldCharType="end"/>
      </w:r>
      <w:r>
        <w:rPr>
          <w:rFonts w:hint="eastAsia" w:ascii="宋体" w:hAnsi="宋体" w:eastAsia="宋体" w:cs="宋体"/>
          <w:szCs w:val="24"/>
        </w:rPr>
        <w:fldChar w:fldCharType="end"/>
      </w:r>
    </w:p>
    <w:p w14:paraId="2E79E863">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_Toc27595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rPr>
        <w:t>32.代理服务费</w:t>
      </w:r>
      <w:r>
        <w:tab/>
      </w:r>
      <w:r>
        <w:fldChar w:fldCharType="begin"/>
      </w:r>
      <w:r>
        <w:instrText xml:space="preserve"> PAGEREF _Toc27595 \h </w:instrText>
      </w:r>
      <w:r>
        <w:fldChar w:fldCharType="separate"/>
      </w:r>
      <w:r>
        <w:t>25</w:t>
      </w:r>
      <w:r>
        <w:fldChar w:fldCharType="end"/>
      </w:r>
      <w:r>
        <w:rPr>
          <w:rFonts w:hint="eastAsia" w:ascii="宋体" w:hAnsi="宋体" w:eastAsia="宋体" w:cs="宋体"/>
          <w:szCs w:val="24"/>
        </w:rPr>
        <w:fldChar w:fldCharType="end"/>
      </w:r>
    </w:p>
    <w:p w14:paraId="1DBDC8E3">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_Toc20706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lang w:val="en-US" w:eastAsia="zh-CN"/>
        </w:rPr>
        <w:t>33.其他规定</w:t>
      </w:r>
      <w:r>
        <w:tab/>
      </w:r>
      <w:r>
        <w:fldChar w:fldCharType="begin"/>
      </w:r>
      <w:r>
        <w:instrText xml:space="preserve"> PAGEREF _Toc20706 \h </w:instrText>
      </w:r>
      <w:r>
        <w:fldChar w:fldCharType="separate"/>
      </w:r>
      <w:r>
        <w:t>25</w:t>
      </w:r>
      <w:r>
        <w:fldChar w:fldCharType="end"/>
      </w:r>
      <w:r>
        <w:rPr>
          <w:rFonts w:hint="eastAsia" w:ascii="宋体" w:hAnsi="宋体" w:eastAsia="宋体" w:cs="宋体"/>
          <w:szCs w:val="24"/>
        </w:rPr>
        <w:fldChar w:fldCharType="end"/>
      </w:r>
    </w:p>
    <w:p w14:paraId="3F38DB2D">
      <w:pPr>
        <w:pStyle w:val="10"/>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_Toc21834 </w:instrText>
      </w:r>
      <w:r>
        <w:rPr>
          <w:rFonts w:hint="eastAsia" w:ascii="宋体" w:hAnsi="宋体" w:eastAsia="宋体" w:cs="宋体"/>
          <w:szCs w:val="24"/>
        </w:rPr>
        <w:fldChar w:fldCharType="separate"/>
      </w:r>
      <w:r>
        <w:rPr>
          <w:rFonts w:hint="eastAsia" w:hAnsi="宋体"/>
          <w:szCs w:val="24"/>
        </w:rPr>
        <w:t>第</w:t>
      </w:r>
      <w:r>
        <w:rPr>
          <w:rFonts w:hint="eastAsia" w:hAnsi="宋体"/>
          <w:szCs w:val="24"/>
          <w:lang w:eastAsia="zh-CN"/>
        </w:rPr>
        <w:t>四</w:t>
      </w:r>
      <w:r>
        <w:rPr>
          <w:rFonts w:hint="eastAsia" w:hAnsi="宋体"/>
          <w:szCs w:val="24"/>
        </w:rPr>
        <w:t>部分 采购需求</w:t>
      </w:r>
      <w:r>
        <w:tab/>
      </w:r>
      <w:r>
        <w:fldChar w:fldCharType="begin"/>
      </w:r>
      <w:r>
        <w:instrText xml:space="preserve"> PAGEREF _Toc21834 \h </w:instrText>
      </w:r>
      <w:r>
        <w:fldChar w:fldCharType="separate"/>
      </w:r>
      <w:r>
        <w:t>26</w:t>
      </w:r>
      <w:r>
        <w:fldChar w:fldCharType="end"/>
      </w:r>
      <w:r>
        <w:rPr>
          <w:rFonts w:hint="eastAsia" w:ascii="宋体" w:hAnsi="宋体" w:eastAsia="宋体" w:cs="宋体"/>
          <w:szCs w:val="24"/>
        </w:rPr>
        <w:fldChar w:fldCharType="end"/>
      </w:r>
    </w:p>
    <w:p w14:paraId="4FE71037">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_Toc16505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4"/>
          <w:lang w:val="zh-CN"/>
        </w:rPr>
        <w:t>十、响应说明</w:t>
      </w:r>
      <w:r>
        <w:tab/>
      </w:r>
      <w:r>
        <w:fldChar w:fldCharType="begin"/>
      </w:r>
      <w:r>
        <w:instrText xml:space="preserve"> PAGEREF _Toc16505 \h </w:instrText>
      </w:r>
      <w:r>
        <w:fldChar w:fldCharType="separate"/>
      </w:r>
      <w:r>
        <w:t>26</w:t>
      </w:r>
      <w:r>
        <w:fldChar w:fldCharType="end"/>
      </w:r>
      <w:r>
        <w:rPr>
          <w:rFonts w:hint="eastAsia" w:ascii="宋体" w:hAnsi="宋体" w:eastAsia="宋体" w:cs="宋体"/>
          <w:szCs w:val="24"/>
        </w:rPr>
        <w:fldChar w:fldCharType="end"/>
      </w:r>
    </w:p>
    <w:p w14:paraId="48672DB6">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_Toc7019 </w:instrText>
      </w:r>
      <w:r>
        <w:rPr>
          <w:rFonts w:hint="eastAsia" w:ascii="宋体" w:hAnsi="宋体" w:eastAsia="宋体" w:cs="宋体"/>
          <w:szCs w:val="24"/>
        </w:rPr>
        <w:fldChar w:fldCharType="separate"/>
      </w:r>
      <w:r>
        <w:rPr>
          <w:rFonts w:hint="eastAsia" w:asciiTheme="minorEastAsia" w:hAnsiTheme="minorEastAsia" w:eastAsiaTheme="minorEastAsia" w:cstheme="minorEastAsia"/>
          <w:bCs w:val="0"/>
          <w:kern w:val="2"/>
          <w:szCs w:val="24"/>
          <w:lang w:val="zh-CN" w:eastAsia="zh-CN" w:bidi="ar-SA"/>
        </w:rPr>
        <w:t>十一、</w:t>
      </w:r>
      <w:r>
        <w:rPr>
          <w:rFonts w:hint="eastAsia" w:asciiTheme="minorEastAsia" w:hAnsiTheme="minorEastAsia" w:eastAsiaTheme="minorEastAsia" w:cstheme="minorEastAsia"/>
          <w:bCs w:val="0"/>
          <w:kern w:val="2"/>
          <w:szCs w:val="24"/>
          <w:lang w:val="en-US" w:eastAsia="zh-CN" w:bidi="ar-SA"/>
        </w:rPr>
        <w:t>采购</w:t>
      </w:r>
      <w:r>
        <w:rPr>
          <w:rFonts w:hint="eastAsia" w:asciiTheme="minorEastAsia" w:hAnsiTheme="minorEastAsia" w:eastAsiaTheme="minorEastAsia" w:cstheme="minorEastAsia"/>
          <w:bCs w:val="0"/>
          <w:kern w:val="2"/>
          <w:szCs w:val="24"/>
          <w:lang w:val="zh-CN" w:eastAsia="zh-CN" w:bidi="ar-SA"/>
        </w:rPr>
        <w:t>内容及要求</w:t>
      </w:r>
      <w:r>
        <w:tab/>
      </w:r>
      <w:r>
        <w:fldChar w:fldCharType="begin"/>
      </w:r>
      <w:r>
        <w:instrText xml:space="preserve"> PAGEREF _Toc7019 \h </w:instrText>
      </w:r>
      <w:r>
        <w:fldChar w:fldCharType="separate"/>
      </w:r>
      <w:r>
        <w:t>26</w:t>
      </w:r>
      <w:r>
        <w:fldChar w:fldCharType="end"/>
      </w:r>
      <w:r>
        <w:rPr>
          <w:rFonts w:hint="eastAsia" w:ascii="宋体" w:hAnsi="宋体" w:eastAsia="宋体" w:cs="宋体"/>
          <w:szCs w:val="24"/>
        </w:rPr>
        <w:fldChar w:fldCharType="end"/>
      </w:r>
    </w:p>
    <w:p w14:paraId="3B5A9732">
      <w:pPr>
        <w:pStyle w:val="10"/>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_Toc25606 </w:instrText>
      </w:r>
      <w:r>
        <w:rPr>
          <w:rFonts w:hint="eastAsia" w:ascii="宋体" w:hAnsi="宋体" w:eastAsia="宋体" w:cs="宋体"/>
          <w:szCs w:val="24"/>
        </w:rPr>
        <w:fldChar w:fldCharType="separate"/>
      </w:r>
      <w:r>
        <w:rPr>
          <w:rFonts w:hint="eastAsia" w:hAnsi="宋体"/>
          <w:szCs w:val="24"/>
          <w:lang w:val="en-US" w:eastAsia="zh-CN"/>
        </w:rPr>
        <w:t>第五部分 谈判响应文件格式</w:t>
      </w:r>
      <w:r>
        <w:tab/>
      </w:r>
      <w:r>
        <w:fldChar w:fldCharType="begin"/>
      </w:r>
      <w:r>
        <w:instrText xml:space="preserve"> PAGEREF _Toc25606 \h </w:instrText>
      </w:r>
      <w:r>
        <w:fldChar w:fldCharType="separate"/>
      </w:r>
      <w:r>
        <w:t>30</w:t>
      </w:r>
      <w:r>
        <w:fldChar w:fldCharType="end"/>
      </w:r>
      <w:r>
        <w:rPr>
          <w:rFonts w:hint="eastAsia" w:ascii="宋体" w:hAnsi="宋体" w:eastAsia="宋体" w:cs="宋体"/>
          <w:szCs w:val="24"/>
        </w:rPr>
        <w:fldChar w:fldCharType="end"/>
      </w:r>
    </w:p>
    <w:p w14:paraId="228B80A7">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_Toc12557 </w:instrText>
      </w:r>
      <w:r>
        <w:rPr>
          <w:rFonts w:hint="eastAsia" w:ascii="宋体" w:hAnsi="宋体" w:eastAsia="宋体" w:cs="宋体"/>
          <w:szCs w:val="24"/>
        </w:rPr>
        <w:fldChar w:fldCharType="separate"/>
      </w:r>
      <w:r>
        <w:rPr>
          <w:rFonts w:hint="eastAsia" w:hAnsi="宋体"/>
          <w:szCs w:val="28"/>
          <w:lang w:val="zh-CN"/>
        </w:rPr>
        <w:t>谈判响应文件目录</w:t>
      </w:r>
      <w:r>
        <w:tab/>
      </w:r>
      <w:r>
        <w:fldChar w:fldCharType="begin"/>
      </w:r>
      <w:r>
        <w:instrText xml:space="preserve"> PAGEREF _Toc12557 \h </w:instrText>
      </w:r>
      <w:r>
        <w:fldChar w:fldCharType="separate"/>
      </w:r>
      <w:r>
        <w:t>31</w:t>
      </w:r>
      <w:r>
        <w:fldChar w:fldCharType="end"/>
      </w:r>
      <w:r>
        <w:rPr>
          <w:rFonts w:hint="eastAsia" w:ascii="宋体" w:hAnsi="宋体" w:eastAsia="宋体" w:cs="宋体"/>
          <w:szCs w:val="24"/>
        </w:rPr>
        <w:fldChar w:fldCharType="end"/>
      </w:r>
    </w:p>
    <w:p w14:paraId="443E5083">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_Toc31716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附件1：响应函</w:t>
      </w:r>
      <w:r>
        <w:tab/>
      </w:r>
      <w:r>
        <w:fldChar w:fldCharType="begin"/>
      </w:r>
      <w:r>
        <w:instrText xml:space="preserve"> PAGEREF _Toc31716 \h </w:instrText>
      </w:r>
      <w:r>
        <w:fldChar w:fldCharType="separate"/>
      </w:r>
      <w:r>
        <w:t>32</w:t>
      </w:r>
      <w:r>
        <w:fldChar w:fldCharType="end"/>
      </w:r>
      <w:r>
        <w:rPr>
          <w:rFonts w:hint="eastAsia" w:ascii="宋体" w:hAnsi="宋体" w:eastAsia="宋体" w:cs="宋体"/>
          <w:szCs w:val="24"/>
        </w:rPr>
        <w:fldChar w:fldCharType="end"/>
      </w:r>
    </w:p>
    <w:p w14:paraId="537F9FFE">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_Toc21069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附件2：法定代表人证明书</w:t>
      </w:r>
      <w:r>
        <w:tab/>
      </w:r>
      <w:r>
        <w:fldChar w:fldCharType="begin"/>
      </w:r>
      <w:r>
        <w:instrText xml:space="preserve"> PAGEREF _Toc21069 \h </w:instrText>
      </w:r>
      <w:r>
        <w:fldChar w:fldCharType="separate"/>
      </w:r>
      <w:r>
        <w:t>33</w:t>
      </w:r>
      <w:r>
        <w:fldChar w:fldCharType="end"/>
      </w:r>
      <w:r>
        <w:rPr>
          <w:rFonts w:hint="eastAsia" w:ascii="宋体" w:hAnsi="宋体" w:eastAsia="宋体" w:cs="宋体"/>
          <w:szCs w:val="24"/>
        </w:rPr>
        <w:fldChar w:fldCharType="end"/>
      </w:r>
    </w:p>
    <w:p w14:paraId="141313D7">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_Toc1081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附件3：法定代表人授权书</w:t>
      </w:r>
      <w:r>
        <w:tab/>
      </w:r>
      <w:r>
        <w:fldChar w:fldCharType="begin"/>
      </w:r>
      <w:r>
        <w:instrText xml:space="preserve"> PAGEREF _Toc1081 \h </w:instrText>
      </w:r>
      <w:r>
        <w:fldChar w:fldCharType="separate"/>
      </w:r>
      <w:r>
        <w:t>34</w:t>
      </w:r>
      <w:r>
        <w:fldChar w:fldCharType="end"/>
      </w:r>
      <w:r>
        <w:rPr>
          <w:rFonts w:hint="eastAsia" w:ascii="宋体" w:hAnsi="宋体" w:eastAsia="宋体" w:cs="宋体"/>
          <w:szCs w:val="24"/>
        </w:rPr>
        <w:fldChar w:fldCharType="end"/>
      </w:r>
    </w:p>
    <w:p w14:paraId="553639F1">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_Toc302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附件4：供应商承诺函</w:t>
      </w:r>
      <w:r>
        <w:tab/>
      </w:r>
      <w:r>
        <w:fldChar w:fldCharType="begin"/>
      </w:r>
      <w:r>
        <w:instrText xml:space="preserve"> PAGEREF _Toc302 \h </w:instrText>
      </w:r>
      <w:r>
        <w:fldChar w:fldCharType="separate"/>
      </w:r>
      <w:r>
        <w:t>35</w:t>
      </w:r>
      <w:r>
        <w:fldChar w:fldCharType="end"/>
      </w:r>
      <w:r>
        <w:rPr>
          <w:rFonts w:hint="eastAsia" w:ascii="宋体" w:hAnsi="宋体" w:eastAsia="宋体" w:cs="宋体"/>
          <w:szCs w:val="24"/>
        </w:rPr>
        <w:fldChar w:fldCharType="end"/>
      </w:r>
    </w:p>
    <w:p w14:paraId="2F3D74B6">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_Toc31629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附件5：供应商诚信承诺书</w:t>
      </w:r>
      <w:r>
        <w:tab/>
      </w:r>
      <w:r>
        <w:fldChar w:fldCharType="begin"/>
      </w:r>
      <w:r>
        <w:instrText xml:space="preserve"> PAGEREF _Toc31629 \h </w:instrText>
      </w:r>
      <w:r>
        <w:fldChar w:fldCharType="separate"/>
      </w:r>
      <w:r>
        <w:t>36</w:t>
      </w:r>
      <w:r>
        <w:fldChar w:fldCharType="end"/>
      </w:r>
      <w:r>
        <w:rPr>
          <w:rFonts w:hint="eastAsia" w:ascii="宋体" w:hAnsi="宋体" w:eastAsia="宋体" w:cs="宋体"/>
          <w:szCs w:val="24"/>
        </w:rPr>
        <w:fldChar w:fldCharType="end"/>
      </w:r>
    </w:p>
    <w:p w14:paraId="74B8E0D9">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_Toc31850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附件6：供应商资格证明文件</w:t>
      </w:r>
      <w:r>
        <w:tab/>
      </w:r>
      <w:r>
        <w:fldChar w:fldCharType="begin"/>
      </w:r>
      <w:r>
        <w:instrText xml:space="preserve"> PAGEREF _Toc31850 \h </w:instrText>
      </w:r>
      <w:r>
        <w:fldChar w:fldCharType="separate"/>
      </w:r>
      <w:r>
        <w:t>37</w:t>
      </w:r>
      <w:r>
        <w:fldChar w:fldCharType="end"/>
      </w:r>
      <w:r>
        <w:rPr>
          <w:rFonts w:hint="eastAsia" w:ascii="宋体" w:hAnsi="宋体" w:eastAsia="宋体" w:cs="宋体"/>
          <w:szCs w:val="24"/>
        </w:rPr>
        <w:fldChar w:fldCharType="end"/>
      </w:r>
    </w:p>
    <w:p w14:paraId="0C8D245E">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_Toc7896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附件7：财务状况、缴纳税收和社会保障资金证明</w:t>
      </w:r>
      <w:r>
        <w:tab/>
      </w:r>
      <w:r>
        <w:fldChar w:fldCharType="begin"/>
      </w:r>
      <w:r>
        <w:instrText xml:space="preserve"> PAGEREF _Toc7896 \h </w:instrText>
      </w:r>
      <w:r>
        <w:fldChar w:fldCharType="separate"/>
      </w:r>
      <w:r>
        <w:t>38</w:t>
      </w:r>
      <w:r>
        <w:fldChar w:fldCharType="end"/>
      </w:r>
      <w:r>
        <w:rPr>
          <w:rFonts w:hint="eastAsia" w:ascii="宋体" w:hAnsi="宋体" w:eastAsia="宋体" w:cs="宋体"/>
          <w:szCs w:val="24"/>
        </w:rPr>
        <w:fldChar w:fldCharType="end"/>
      </w:r>
    </w:p>
    <w:p w14:paraId="3C5D5F91">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_Toc10667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附件8：无重大违法记录声明</w:t>
      </w:r>
      <w:r>
        <w:tab/>
      </w:r>
      <w:r>
        <w:fldChar w:fldCharType="begin"/>
      </w:r>
      <w:r>
        <w:instrText xml:space="preserve"> PAGEREF _Toc10667 \h </w:instrText>
      </w:r>
      <w:r>
        <w:fldChar w:fldCharType="separate"/>
      </w:r>
      <w:r>
        <w:t>39</w:t>
      </w:r>
      <w:r>
        <w:fldChar w:fldCharType="end"/>
      </w:r>
      <w:r>
        <w:rPr>
          <w:rFonts w:hint="eastAsia" w:ascii="宋体" w:hAnsi="宋体" w:eastAsia="宋体" w:cs="宋体"/>
          <w:szCs w:val="24"/>
        </w:rPr>
        <w:fldChar w:fldCharType="end"/>
      </w:r>
    </w:p>
    <w:p w14:paraId="67777E81">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_Toc20301 </w:instrText>
      </w:r>
      <w:r>
        <w:rPr>
          <w:rFonts w:hint="eastAsia" w:ascii="宋体" w:hAnsi="宋体" w:eastAsia="宋体" w:cs="宋体"/>
          <w:szCs w:val="24"/>
        </w:rPr>
        <w:fldChar w:fldCharType="separate"/>
      </w:r>
      <w:r>
        <w:rPr>
          <w:rFonts w:hint="eastAsia" w:asciiTheme="minorEastAsia" w:hAnsiTheme="minorEastAsia" w:eastAsiaTheme="minorEastAsia" w:cstheme="minorEastAsia"/>
          <w:bCs w:val="0"/>
          <w:kern w:val="2"/>
          <w:szCs w:val="28"/>
          <w:lang w:val="en-US" w:eastAsia="zh-CN" w:bidi="ar-SA"/>
        </w:rPr>
        <w:t>附件9：谈判</w:t>
      </w:r>
      <w:r>
        <w:rPr>
          <w:rFonts w:hint="eastAsia" w:asciiTheme="minorEastAsia" w:hAnsiTheme="minorEastAsia" w:eastAsiaTheme="minorEastAsia" w:cstheme="minorEastAsia"/>
          <w:bCs w:val="0"/>
          <w:kern w:val="2"/>
          <w:szCs w:val="28"/>
          <w:lang w:val="zh-CN" w:eastAsia="zh-CN" w:bidi="ar-SA"/>
        </w:rPr>
        <w:t>保证金证明</w:t>
      </w:r>
      <w:r>
        <w:tab/>
      </w:r>
      <w:r>
        <w:fldChar w:fldCharType="begin"/>
      </w:r>
      <w:r>
        <w:instrText xml:space="preserve"> PAGEREF _Toc20301 \h </w:instrText>
      </w:r>
      <w:r>
        <w:fldChar w:fldCharType="separate"/>
      </w:r>
      <w:r>
        <w:t>40</w:t>
      </w:r>
      <w:r>
        <w:fldChar w:fldCharType="end"/>
      </w:r>
      <w:r>
        <w:rPr>
          <w:rFonts w:hint="eastAsia" w:ascii="宋体" w:hAnsi="宋体" w:eastAsia="宋体" w:cs="宋体"/>
          <w:szCs w:val="24"/>
        </w:rPr>
        <w:fldChar w:fldCharType="end"/>
      </w:r>
    </w:p>
    <w:p w14:paraId="7232F97C">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_Toc30407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附件10：谈判首次报价表</w:t>
      </w:r>
      <w:r>
        <w:tab/>
      </w:r>
      <w:r>
        <w:fldChar w:fldCharType="begin"/>
      </w:r>
      <w:r>
        <w:instrText xml:space="preserve"> PAGEREF _Toc30407 \h </w:instrText>
      </w:r>
      <w:r>
        <w:fldChar w:fldCharType="separate"/>
      </w:r>
      <w:r>
        <w:t>41</w:t>
      </w:r>
      <w:r>
        <w:fldChar w:fldCharType="end"/>
      </w:r>
      <w:r>
        <w:rPr>
          <w:rFonts w:hint="eastAsia" w:ascii="宋体" w:hAnsi="宋体" w:eastAsia="宋体" w:cs="宋体"/>
          <w:szCs w:val="24"/>
        </w:rPr>
        <w:fldChar w:fldCharType="end"/>
      </w:r>
    </w:p>
    <w:p w14:paraId="30F91431">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_Toc14123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附件11：分项报价表</w:t>
      </w:r>
      <w:r>
        <w:tab/>
      </w:r>
      <w:r>
        <w:fldChar w:fldCharType="begin"/>
      </w:r>
      <w:r>
        <w:instrText xml:space="preserve"> PAGEREF _Toc14123 \h </w:instrText>
      </w:r>
      <w:r>
        <w:fldChar w:fldCharType="separate"/>
      </w:r>
      <w:r>
        <w:t>42</w:t>
      </w:r>
      <w:r>
        <w:fldChar w:fldCharType="end"/>
      </w:r>
      <w:r>
        <w:rPr>
          <w:rFonts w:hint="eastAsia" w:ascii="宋体" w:hAnsi="宋体" w:eastAsia="宋体" w:cs="宋体"/>
          <w:szCs w:val="24"/>
        </w:rPr>
        <w:fldChar w:fldCharType="end"/>
      </w:r>
    </w:p>
    <w:p w14:paraId="0DB0899E">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_Toc4536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附件1</w:t>
      </w:r>
      <w:r>
        <w:rPr>
          <w:rFonts w:hint="eastAsia" w:asciiTheme="minorEastAsia" w:hAnsiTheme="minorEastAsia" w:eastAsiaTheme="minorEastAsia" w:cstheme="minorEastAsia"/>
          <w:szCs w:val="28"/>
          <w:lang w:val="en-US" w:eastAsia="zh-CN"/>
        </w:rPr>
        <w:t>2：技术规格响应表</w:t>
      </w:r>
      <w:r>
        <w:tab/>
      </w:r>
      <w:r>
        <w:fldChar w:fldCharType="begin"/>
      </w:r>
      <w:r>
        <w:instrText xml:space="preserve"> PAGEREF _Toc4536 \h </w:instrText>
      </w:r>
      <w:r>
        <w:fldChar w:fldCharType="separate"/>
      </w:r>
      <w:r>
        <w:t>43</w:t>
      </w:r>
      <w:r>
        <w:fldChar w:fldCharType="end"/>
      </w:r>
      <w:r>
        <w:rPr>
          <w:rFonts w:hint="eastAsia" w:ascii="宋体" w:hAnsi="宋体" w:eastAsia="宋体" w:cs="宋体"/>
          <w:szCs w:val="24"/>
        </w:rPr>
        <w:fldChar w:fldCharType="end"/>
      </w:r>
    </w:p>
    <w:p w14:paraId="1CE01A68">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_Toc11861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lang w:val="zh-CN" w:eastAsia="zh-CN"/>
        </w:rPr>
        <w:t>附件</w:t>
      </w:r>
      <w:r>
        <w:rPr>
          <w:rFonts w:hint="eastAsia" w:asciiTheme="minorEastAsia" w:hAnsiTheme="minorEastAsia" w:eastAsiaTheme="minorEastAsia" w:cstheme="minorEastAsia"/>
          <w:szCs w:val="28"/>
          <w:lang w:val="en-US" w:eastAsia="zh-CN"/>
        </w:rPr>
        <w:t>13：</w:t>
      </w:r>
      <w:r>
        <w:rPr>
          <w:rFonts w:hint="eastAsia" w:asciiTheme="minorEastAsia" w:hAnsiTheme="minorEastAsia" w:eastAsiaTheme="minorEastAsia" w:cstheme="minorEastAsia"/>
          <w:szCs w:val="28"/>
          <w:lang w:val="zh-CN" w:eastAsia="zh-CN"/>
        </w:rPr>
        <w:t>投标产品相关资料</w:t>
      </w:r>
      <w:r>
        <w:tab/>
      </w:r>
      <w:r>
        <w:fldChar w:fldCharType="begin"/>
      </w:r>
      <w:r>
        <w:instrText xml:space="preserve"> PAGEREF _Toc11861 \h </w:instrText>
      </w:r>
      <w:r>
        <w:fldChar w:fldCharType="separate"/>
      </w:r>
      <w:r>
        <w:t>44</w:t>
      </w:r>
      <w:r>
        <w:fldChar w:fldCharType="end"/>
      </w:r>
      <w:r>
        <w:rPr>
          <w:rFonts w:hint="eastAsia" w:ascii="宋体" w:hAnsi="宋体" w:eastAsia="宋体" w:cs="宋体"/>
          <w:szCs w:val="24"/>
        </w:rPr>
        <w:fldChar w:fldCharType="end"/>
      </w:r>
    </w:p>
    <w:p w14:paraId="671EDC49">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_Toc5471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附件1</w:t>
      </w:r>
      <w:r>
        <w:rPr>
          <w:rFonts w:hint="eastAsia" w:asciiTheme="minorEastAsia" w:hAnsiTheme="minorEastAsia" w:eastAsiaTheme="minorEastAsia" w:cstheme="minorEastAsia"/>
          <w:szCs w:val="28"/>
          <w:lang w:val="en-US" w:eastAsia="zh-CN"/>
        </w:rPr>
        <w:t>4</w:t>
      </w:r>
      <w:r>
        <w:rPr>
          <w:rFonts w:hint="eastAsia" w:asciiTheme="minorEastAsia" w:hAnsiTheme="minorEastAsia" w:eastAsiaTheme="minorEastAsia" w:cstheme="minorEastAsia"/>
          <w:szCs w:val="28"/>
        </w:rPr>
        <w:t>：具备履行合同所必须的设备和专业技术能力证明</w:t>
      </w:r>
      <w:r>
        <w:tab/>
      </w:r>
      <w:r>
        <w:fldChar w:fldCharType="begin"/>
      </w:r>
      <w:r>
        <w:instrText xml:space="preserve"> PAGEREF _Toc5471 \h </w:instrText>
      </w:r>
      <w:r>
        <w:fldChar w:fldCharType="separate"/>
      </w:r>
      <w:r>
        <w:t>45</w:t>
      </w:r>
      <w:r>
        <w:fldChar w:fldCharType="end"/>
      </w:r>
      <w:r>
        <w:rPr>
          <w:rFonts w:hint="eastAsia" w:ascii="宋体" w:hAnsi="宋体" w:eastAsia="宋体" w:cs="宋体"/>
          <w:szCs w:val="24"/>
        </w:rPr>
        <w:fldChar w:fldCharType="end"/>
      </w:r>
    </w:p>
    <w:p w14:paraId="4BC60576">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_Toc9356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附件1</w:t>
      </w:r>
      <w:r>
        <w:rPr>
          <w:rFonts w:hint="eastAsia" w:asciiTheme="minorEastAsia" w:hAnsiTheme="minorEastAsia" w:eastAsiaTheme="minorEastAsia" w:cstheme="minorEastAsia"/>
          <w:szCs w:val="28"/>
          <w:lang w:val="en-US" w:eastAsia="zh-CN"/>
        </w:rPr>
        <w:t>5</w:t>
      </w:r>
      <w:r>
        <w:rPr>
          <w:rFonts w:hint="eastAsia" w:asciiTheme="minorEastAsia" w:hAnsiTheme="minorEastAsia" w:eastAsiaTheme="minorEastAsia" w:cstheme="minorEastAsia"/>
          <w:szCs w:val="28"/>
        </w:rPr>
        <w:t>：享受政府采购政策优惠的证明资料</w:t>
      </w:r>
      <w:r>
        <w:tab/>
      </w:r>
      <w:r>
        <w:fldChar w:fldCharType="begin"/>
      </w:r>
      <w:r>
        <w:instrText xml:space="preserve"> PAGEREF _Toc9356 \h </w:instrText>
      </w:r>
      <w:r>
        <w:fldChar w:fldCharType="separate"/>
      </w:r>
      <w:r>
        <w:t>46</w:t>
      </w:r>
      <w:r>
        <w:fldChar w:fldCharType="end"/>
      </w:r>
      <w:r>
        <w:rPr>
          <w:rFonts w:hint="eastAsia" w:ascii="宋体" w:hAnsi="宋体" w:eastAsia="宋体" w:cs="宋体"/>
          <w:szCs w:val="24"/>
        </w:rPr>
        <w:fldChar w:fldCharType="end"/>
      </w:r>
    </w:p>
    <w:p w14:paraId="7A8A04FD">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_Toc31062 </w:instrText>
      </w:r>
      <w:r>
        <w:rPr>
          <w:rFonts w:hint="eastAsia" w:ascii="宋体" w:hAnsi="宋体" w:eastAsia="宋体" w:cs="宋体"/>
          <w:szCs w:val="24"/>
        </w:rPr>
        <w:fldChar w:fldCharType="separate"/>
      </w:r>
      <w:r>
        <w:rPr>
          <w:rFonts w:hint="eastAsia" w:asciiTheme="minorEastAsia" w:hAnsiTheme="minorEastAsia" w:eastAsiaTheme="minorEastAsia" w:cstheme="minorEastAsia"/>
          <w:bCs w:val="0"/>
          <w:kern w:val="2"/>
          <w:szCs w:val="28"/>
          <w:lang w:val="zh-CN" w:eastAsia="zh-CN" w:bidi="ar-SA"/>
        </w:rPr>
        <w:t>附件1</w:t>
      </w:r>
      <w:r>
        <w:rPr>
          <w:rFonts w:hint="eastAsia" w:asciiTheme="minorEastAsia" w:hAnsiTheme="minorEastAsia" w:eastAsiaTheme="minorEastAsia" w:cstheme="minorEastAsia"/>
          <w:bCs w:val="0"/>
          <w:kern w:val="2"/>
          <w:szCs w:val="28"/>
          <w:lang w:val="en-US" w:eastAsia="zh-CN" w:bidi="ar-SA"/>
        </w:rPr>
        <w:t>6</w:t>
      </w:r>
      <w:r>
        <w:rPr>
          <w:rFonts w:hint="eastAsia" w:asciiTheme="minorEastAsia" w:hAnsiTheme="minorEastAsia" w:eastAsiaTheme="minorEastAsia" w:cstheme="minorEastAsia"/>
          <w:bCs w:val="0"/>
          <w:kern w:val="2"/>
          <w:szCs w:val="28"/>
          <w:lang w:val="zh-CN" w:eastAsia="zh-CN" w:bidi="ar-SA"/>
        </w:rPr>
        <w:t>：供应商认为在其他方面有必要说明的事项</w:t>
      </w:r>
      <w:r>
        <w:tab/>
      </w:r>
      <w:r>
        <w:fldChar w:fldCharType="begin"/>
      </w:r>
      <w:r>
        <w:instrText xml:space="preserve"> PAGEREF _Toc31062 \h </w:instrText>
      </w:r>
      <w:r>
        <w:fldChar w:fldCharType="separate"/>
      </w:r>
      <w:r>
        <w:t>49</w:t>
      </w:r>
      <w:r>
        <w:fldChar w:fldCharType="end"/>
      </w:r>
      <w:r>
        <w:rPr>
          <w:rFonts w:hint="eastAsia" w:ascii="宋体" w:hAnsi="宋体" w:eastAsia="宋体" w:cs="宋体"/>
          <w:szCs w:val="24"/>
        </w:rPr>
        <w:fldChar w:fldCharType="end"/>
      </w:r>
    </w:p>
    <w:p w14:paraId="3ECA30C1">
      <w:pPr>
        <w:pStyle w:val="7"/>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_Toc18035 </w:instrText>
      </w:r>
      <w:r>
        <w:rPr>
          <w:rFonts w:hint="eastAsia" w:ascii="宋体" w:hAnsi="宋体" w:eastAsia="宋体" w:cs="宋体"/>
          <w:szCs w:val="24"/>
        </w:rPr>
        <w:fldChar w:fldCharType="separate"/>
      </w:r>
      <w:r>
        <w:rPr>
          <w:rFonts w:hint="eastAsia" w:asciiTheme="minorEastAsia" w:hAnsiTheme="minorEastAsia" w:eastAsiaTheme="minorEastAsia" w:cstheme="minorEastAsia"/>
          <w:szCs w:val="28"/>
        </w:rPr>
        <w:t>附件1</w:t>
      </w:r>
      <w:r>
        <w:rPr>
          <w:rFonts w:hint="eastAsia" w:asciiTheme="minorEastAsia" w:hAnsiTheme="minorEastAsia" w:eastAsiaTheme="minorEastAsia" w:cstheme="minorEastAsia"/>
          <w:szCs w:val="28"/>
          <w:lang w:val="en-US" w:eastAsia="zh-CN"/>
        </w:rPr>
        <w:t>7</w:t>
      </w:r>
      <w:r>
        <w:rPr>
          <w:rFonts w:hint="eastAsia" w:asciiTheme="minorEastAsia" w:hAnsiTheme="minorEastAsia" w:eastAsiaTheme="minorEastAsia" w:cstheme="minorEastAsia"/>
          <w:szCs w:val="28"/>
        </w:rPr>
        <w:t>：最后报价表</w:t>
      </w:r>
      <w:r>
        <w:tab/>
      </w:r>
      <w:r>
        <w:fldChar w:fldCharType="begin"/>
      </w:r>
      <w:r>
        <w:instrText xml:space="preserve"> PAGEREF _Toc18035 \h </w:instrText>
      </w:r>
      <w:r>
        <w:fldChar w:fldCharType="separate"/>
      </w:r>
      <w:r>
        <w:t>50</w:t>
      </w:r>
      <w:r>
        <w:fldChar w:fldCharType="end"/>
      </w:r>
      <w:r>
        <w:rPr>
          <w:rFonts w:hint="eastAsia" w:ascii="宋体" w:hAnsi="宋体" w:eastAsia="宋体" w:cs="宋体"/>
          <w:szCs w:val="24"/>
        </w:rPr>
        <w:fldChar w:fldCharType="end"/>
      </w:r>
    </w:p>
    <w:p w14:paraId="33E71D6A">
      <w:pPr>
        <w:pStyle w:val="10"/>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_Toc17757 </w:instrText>
      </w:r>
      <w:r>
        <w:rPr>
          <w:rFonts w:hint="eastAsia" w:ascii="宋体" w:hAnsi="宋体" w:eastAsia="宋体" w:cs="宋体"/>
          <w:szCs w:val="24"/>
        </w:rPr>
        <w:fldChar w:fldCharType="separate"/>
      </w:r>
      <w:r>
        <w:rPr>
          <w:rFonts w:hint="eastAsia" w:hAnsi="宋体"/>
          <w:szCs w:val="24"/>
        </w:rPr>
        <w:t>第</w:t>
      </w:r>
      <w:r>
        <w:rPr>
          <w:rFonts w:hint="eastAsia" w:hAnsi="宋体"/>
          <w:szCs w:val="24"/>
          <w:lang w:val="en-US" w:eastAsia="zh-CN"/>
        </w:rPr>
        <w:t>六</w:t>
      </w:r>
      <w:r>
        <w:rPr>
          <w:rFonts w:hint="eastAsia" w:hAnsi="宋体"/>
          <w:szCs w:val="24"/>
        </w:rPr>
        <w:t>部分 青海省政府采购项目合同书范本</w:t>
      </w:r>
      <w:r>
        <w:tab/>
      </w:r>
      <w:r>
        <w:fldChar w:fldCharType="begin"/>
      </w:r>
      <w:r>
        <w:instrText xml:space="preserve"> PAGEREF _Toc17757 \h </w:instrText>
      </w:r>
      <w:r>
        <w:fldChar w:fldCharType="separate"/>
      </w:r>
      <w:r>
        <w:t>51</w:t>
      </w:r>
      <w:r>
        <w:fldChar w:fldCharType="end"/>
      </w:r>
      <w:r>
        <w:rPr>
          <w:rFonts w:hint="eastAsia" w:ascii="宋体" w:hAnsi="宋体" w:eastAsia="宋体" w:cs="宋体"/>
          <w:szCs w:val="24"/>
        </w:rPr>
        <w:fldChar w:fldCharType="end"/>
      </w:r>
    </w:p>
    <w:p w14:paraId="08BDB41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Cs w:val="24"/>
        </w:rPr>
        <w:fldChar w:fldCharType="end"/>
      </w:r>
      <w:bookmarkStart w:id="1" w:name="_Toc30916"/>
      <w:bookmarkStart w:id="2" w:name="_Toc531187954"/>
      <w:bookmarkStart w:id="3" w:name="_Toc7063_WPSOffice_Level1"/>
      <w:bookmarkStart w:id="4" w:name="_Toc17554"/>
      <w:bookmarkStart w:id="5" w:name="_Toc19849"/>
      <w:bookmarkStart w:id="6" w:name="_Toc68"/>
      <w:bookmarkStart w:id="7" w:name="_Toc13430_WPSOffice_Level1"/>
      <w:bookmarkStart w:id="8" w:name="_Toc29348_WPSOffice_Level1"/>
      <w:bookmarkStart w:id="9" w:name="_Toc29806_WPSOffice_Level1"/>
      <w:bookmarkStart w:id="10" w:name="_Toc25918_WPSOffice_Level1"/>
      <w:bookmarkStart w:id="11" w:name="_Toc26774_WPSOffice_Level1"/>
    </w:p>
    <w:p w14:paraId="47D6BC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p w14:paraId="61270E2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p w14:paraId="3A76AD3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p w14:paraId="32446B1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p w14:paraId="4A31E41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p w14:paraId="61D840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p w14:paraId="59AD591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p w14:paraId="38DBE8EA">
      <w:pPr>
        <w:rPr>
          <w:rFonts w:hint="eastAsia" w:hAnsi="宋体"/>
          <w:sz w:val="36"/>
          <w:szCs w:val="24"/>
          <w:lang w:val="en-US" w:eastAsia="zh-CN"/>
        </w:rPr>
      </w:pPr>
      <w:r>
        <w:rPr>
          <w:rFonts w:hint="eastAsia" w:hAnsi="宋体"/>
          <w:sz w:val="36"/>
          <w:szCs w:val="24"/>
          <w:lang w:val="en-US" w:eastAsia="zh-CN"/>
        </w:rPr>
        <w:br w:type="page"/>
      </w:r>
    </w:p>
    <w:p w14:paraId="4535A13C">
      <w:pPr>
        <w:pStyle w:val="3"/>
        <w:rPr>
          <w:rFonts w:hint="eastAsia" w:hAnsi="宋体"/>
          <w:sz w:val="36"/>
          <w:szCs w:val="24"/>
          <w:lang w:val="en-US" w:eastAsia="zh-CN"/>
        </w:rPr>
      </w:pPr>
      <w:bookmarkStart w:id="12" w:name="_Toc2330"/>
      <w:r>
        <w:rPr>
          <w:rFonts w:hint="eastAsia" w:hAnsi="宋体"/>
          <w:sz w:val="36"/>
          <w:szCs w:val="24"/>
          <w:lang w:val="en-US" w:eastAsia="zh-CN"/>
        </w:rPr>
        <w:t>第一部分 投标邀请</w:t>
      </w:r>
      <w:bookmarkEnd w:id="1"/>
      <w:bookmarkEnd w:id="2"/>
      <w:bookmarkEnd w:id="12"/>
    </w:p>
    <w:p w14:paraId="58B30347">
      <w:pPr>
        <w:pStyle w:val="13"/>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40" w:lineRule="auto"/>
        <w:ind w:firstLine="482"/>
        <w:textAlignment w:val="auto"/>
        <w:rPr>
          <w:rFonts w:hint="eastAsia" w:ascii="宋体" w:hAnsi="宋体" w:cs="宋体"/>
          <w:b/>
          <w:bCs/>
          <w:sz w:val="24"/>
          <w:szCs w:val="24"/>
        </w:rPr>
      </w:pPr>
      <w:r>
        <w:rPr>
          <w:rFonts w:hint="eastAsia" w:ascii="宋体" w:hAnsi="宋体" w:cs="宋体"/>
          <w:b/>
          <w:bCs/>
          <w:sz w:val="24"/>
          <w:szCs w:val="24"/>
        </w:rPr>
        <w:t>项目概况</w:t>
      </w:r>
    </w:p>
    <w:p w14:paraId="7EEFB6C4">
      <w:pPr>
        <w:pStyle w:val="13"/>
        <w:widowControl/>
        <w:pBdr>
          <w:top w:val="single" w:color="auto" w:sz="4" w:space="0"/>
          <w:left w:val="single" w:color="auto" w:sz="4" w:space="0"/>
          <w:bottom w:val="single" w:color="auto" w:sz="4" w:space="0"/>
          <w:right w:val="single" w:color="auto" w:sz="4" w:space="0"/>
        </w:pBdr>
        <w:spacing w:line="360" w:lineRule="auto"/>
        <w:ind w:firstLine="480"/>
        <w:rPr>
          <w:rFonts w:hint="eastAsia" w:ascii="宋体" w:hAnsi="宋体" w:cs="宋体"/>
          <w:sz w:val="24"/>
          <w:szCs w:val="24"/>
        </w:rPr>
      </w:pPr>
      <w:r>
        <w:rPr>
          <w:rFonts w:hint="eastAsia" w:ascii="宋体" w:hAnsi="宋体" w:cs="宋体"/>
          <w:sz w:val="24"/>
          <w:szCs w:val="24"/>
          <w:lang w:eastAsia="zh-CN"/>
        </w:rPr>
        <w:t>德令哈市2024年国有林管护项目管护设施设备采购</w:t>
      </w:r>
      <w:r>
        <w:rPr>
          <w:rFonts w:hint="eastAsia" w:ascii="宋体" w:hAnsi="宋体" w:cs="宋体"/>
          <w:sz w:val="24"/>
          <w:szCs w:val="24"/>
        </w:rPr>
        <w:t>的潜在供应商应在政采云平台线上获取采购文件，并于</w:t>
      </w:r>
      <w:r>
        <w:rPr>
          <w:rFonts w:hint="eastAsia" w:cs="宋体"/>
          <w:color w:val="000000"/>
          <w:sz w:val="24"/>
          <w:szCs w:val="24"/>
          <w:highlight w:val="none"/>
          <w:lang w:eastAsia="zh-CN"/>
        </w:rPr>
        <w:t>2024年12月30日09点00分（北京时间）</w:t>
      </w:r>
      <w:r>
        <w:rPr>
          <w:rFonts w:hint="eastAsia" w:ascii="宋体" w:hAnsi="宋体" w:cs="宋体"/>
          <w:sz w:val="24"/>
          <w:szCs w:val="24"/>
        </w:rPr>
        <w:t>前提交响应文件。</w:t>
      </w:r>
    </w:p>
    <w:p w14:paraId="7924AB47">
      <w:pPr>
        <w:spacing w:line="360" w:lineRule="auto"/>
        <w:ind w:firstLine="562"/>
        <w:rPr>
          <w:rFonts w:hint="eastAsia"/>
          <w:b/>
          <w:bCs/>
          <w:sz w:val="24"/>
          <w:szCs w:val="24"/>
        </w:rPr>
      </w:pPr>
      <w:bookmarkStart w:id="13" w:name="_Toc25939"/>
      <w:bookmarkStart w:id="14" w:name="_Toc25983"/>
      <w:bookmarkStart w:id="15" w:name="_Toc5435"/>
      <w:r>
        <w:rPr>
          <w:rFonts w:hint="eastAsia"/>
          <w:b/>
          <w:bCs/>
          <w:sz w:val="24"/>
          <w:szCs w:val="24"/>
        </w:rPr>
        <w:t>一、项目基本情况</w:t>
      </w:r>
      <w:bookmarkEnd w:id="13"/>
      <w:bookmarkEnd w:id="14"/>
      <w:bookmarkEnd w:id="15"/>
    </w:p>
    <w:p w14:paraId="7DF58094">
      <w:pPr>
        <w:spacing w:line="360" w:lineRule="auto"/>
        <w:ind w:firstLine="480"/>
        <w:rPr>
          <w:rFonts w:hint="eastAsia" w:ascii="宋体" w:hAnsi="宋体" w:eastAsia="宋体" w:cs="宋体"/>
          <w:sz w:val="24"/>
          <w:szCs w:val="24"/>
          <w:lang w:eastAsia="zh-CN"/>
        </w:rPr>
      </w:pPr>
      <w:r>
        <w:rPr>
          <w:rFonts w:hint="eastAsia" w:ascii="宋体" w:hAnsi="宋体" w:cs="宋体"/>
          <w:sz w:val="24"/>
          <w:szCs w:val="24"/>
        </w:rPr>
        <w:t>采购</w:t>
      </w:r>
      <w:r>
        <w:rPr>
          <w:rFonts w:hint="eastAsia" w:cs="宋体"/>
          <w:sz w:val="24"/>
          <w:szCs w:val="24"/>
        </w:rPr>
        <w:t>项目</w:t>
      </w:r>
      <w:r>
        <w:rPr>
          <w:rFonts w:hint="eastAsia" w:ascii="宋体" w:hAnsi="宋体" w:cs="宋体"/>
          <w:sz w:val="24"/>
          <w:szCs w:val="24"/>
        </w:rPr>
        <w:t>编号：</w:t>
      </w:r>
      <w:r>
        <w:rPr>
          <w:rFonts w:hint="eastAsia" w:ascii="宋体" w:hAnsi="宋体" w:cs="宋体"/>
          <w:sz w:val="24"/>
          <w:szCs w:val="24"/>
          <w:highlight w:val="none"/>
          <w:lang w:eastAsia="zh-CN"/>
        </w:rPr>
        <w:t>城建招标竞谈（货物）2024-059</w:t>
      </w:r>
    </w:p>
    <w:p w14:paraId="7549811E">
      <w:pPr>
        <w:spacing w:line="360" w:lineRule="auto"/>
        <w:ind w:firstLine="480"/>
        <w:rPr>
          <w:rFonts w:hint="eastAsia" w:ascii="宋体" w:hAnsi="宋体" w:eastAsia="宋体" w:cs="宋体"/>
          <w:sz w:val="24"/>
          <w:szCs w:val="24"/>
          <w:lang w:eastAsia="zh-CN"/>
        </w:rPr>
      </w:pPr>
      <w:r>
        <w:rPr>
          <w:rFonts w:hint="eastAsia" w:ascii="宋体" w:hAnsi="宋体" w:cs="宋体"/>
          <w:sz w:val="24"/>
          <w:szCs w:val="24"/>
        </w:rPr>
        <w:t>采购</w:t>
      </w:r>
      <w:r>
        <w:rPr>
          <w:rFonts w:hint="eastAsia" w:cs="宋体"/>
          <w:sz w:val="24"/>
          <w:szCs w:val="24"/>
        </w:rPr>
        <w:t>项目</w:t>
      </w:r>
      <w:r>
        <w:rPr>
          <w:rFonts w:hint="eastAsia" w:ascii="宋体" w:hAnsi="宋体" w:cs="宋体"/>
          <w:sz w:val="24"/>
          <w:szCs w:val="24"/>
        </w:rPr>
        <w:t>名称：</w:t>
      </w:r>
      <w:r>
        <w:rPr>
          <w:rFonts w:hint="eastAsia" w:ascii="宋体" w:hAnsi="宋体" w:cs="宋体"/>
          <w:sz w:val="24"/>
          <w:szCs w:val="24"/>
          <w:lang w:eastAsia="zh-CN"/>
        </w:rPr>
        <w:t>德令哈市2024年国有林管护项目管护设施设备采购</w:t>
      </w:r>
    </w:p>
    <w:p w14:paraId="42EEB201">
      <w:pPr>
        <w:spacing w:line="360" w:lineRule="auto"/>
        <w:ind w:left="479" w:leftChars="228" w:firstLine="0" w:firstLineChars="0"/>
        <w:rPr>
          <w:rFonts w:hint="eastAsia" w:ascii="宋体" w:hAnsi="宋体" w:eastAsia="宋体" w:cs="宋体"/>
          <w:sz w:val="24"/>
          <w:szCs w:val="24"/>
          <w:lang w:eastAsia="zh-CN"/>
        </w:rPr>
      </w:pPr>
      <w:r>
        <w:rPr>
          <w:rFonts w:hint="eastAsia" w:ascii="宋体" w:hAnsi="宋体" w:cs="宋体"/>
          <w:sz w:val="24"/>
          <w:szCs w:val="24"/>
        </w:rPr>
        <w:t>采购方式：竞争性</w:t>
      </w:r>
      <w:r>
        <w:rPr>
          <w:rFonts w:hint="eastAsia" w:ascii="宋体" w:hAnsi="宋体" w:cs="宋体"/>
          <w:sz w:val="24"/>
          <w:szCs w:val="24"/>
          <w:lang w:eastAsia="zh-CN"/>
        </w:rPr>
        <w:t>谈判</w:t>
      </w:r>
    </w:p>
    <w:p w14:paraId="105CE907">
      <w:pPr>
        <w:spacing w:line="360" w:lineRule="auto"/>
        <w:ind w:left="479" w:leftChars="228" w:firstLine="0" w:firstLineChars="0"/>
        <w:rPr>
          <w:rFonts w:hint="eastAsia"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val="en-US" w:eastAsia="zh-CN"/>
        </w:rPr>
        <w:t>480000.00元</w:t>
      </w:r>
    </w:p>
    <w:p w14:paraId="4E2439E5">
      <w:pPr>
        <w:spacing w:line="360" w:lineRule="auto"/>
        <w:ind w:left="479" w:leftChars="228" w:firstLine="0" w:firstLineChars="0"/>
        <w:rPr>
          <w:rFonts w:hint="eastAsia" w:ascii="宋体" w:hAnsi="宋体" w:cs="宋体"/>
          <w:sz w:val="24"/>
          <w:szCs w:val="24"/>
        </w:rPr>
      </w:pPr>
      <w:r>
        <w:rPr>
          <w:rFonts w:hint="eastAsia" w:ascii="宋体" w:hAnsi="宋体" w:cs="宋体"/>
          <w:sz w:val="24"/>
          <w:szCs w:val="24"/>
        </w:rPr>
        <w:t>最高限价：</w:t>
      </w:r>
      <w:r>
        <w:rPr>
          <w:rFonts w:hint="eastAsia" w:ascii="宋体" w:hAnsi="宋体" w:cs="宋体"/>
          <w:sz w:val="24"/>
          <w:szCs w:val="24"/>
          <w:lang w:val="en-US" w:eastAsia="zh-CN"/>
        </w:rPr>
        <w:t>480000.00元</w:t>
      </w:r>
    </w:p>
    <w:p w14:paraId="6114B1FE">
      <w:pPr>
        <w:spacing w:line="360" w:lineRule="auto"/>
        <w:ind w:firstLine="480"/>
        <w:rPr>
          <w:rFonts w:hint="eastAsia" w:ascii="宋体" w:hAnsi="宋体" w:cs="宋体"/>
          <w:sz w:val="24"/>
          <w:szCs w:val="24"/>
        </w:rPr>
      </w:pPr>
      <w:r>
        <w:rPr>
          <w:rFonts w:hint="eastAsia" w:ascii="宋体" w:hAnsi="宋体" w:cs="宋体"/>
          <w:sz w:val="24"/>
          <w:szCs w:val="24"/>
        </w:rPr>
        <w:t>采购需求：</w:t>
      </w:r>
      <w:r>
        <w:rPr>
          <w:rFonts w:hint="eastAsia" w:cs="宋体"/>
          <w:sz w:val="24"/>
          <w:szCs w:val="24"/>
        </w:rPr>
        <w:t>具体详见竞争性</w:t>
      </w:r>
      <w:r>
        <w:rPr>
          <w:rFonts w:hint="eastAsia" w:cs="宋体"/>
          <w:sz w:val="24"/>
          <w:szCs w:val="24"/>
          <w:lang w:eastAsia="zh-CN"/>
        </w:rPr>
        <w:t>谈判</w:t>
      </w:r>
      <w:r>
        <w:rPr>
          <w:rFonts w:hint="eastAsia" w:cs="宋体"/>
          <w:sz w:val="24"/>
          <w:szCs w:val="24"/>
        </w:rPr>
        <w:t>文件</w:t>
      </w:r>
      <w:r>
        <w:rPr>
          <w:rFonts w:hint="eastAsia" w:ascii="宋体" w:hAnsi="宋体" w:cs="宋体"/>
          <w:sz w:val="24"/>
          <w:szCs w:val="24"/>
        </w:rPr>
        <w:t>。</w:t>
      </w:r>
    </w:p>
    <w:p w14:paraId="3B757F5C">
      <w:pPr>
        <w:spacing w:line="360" w:lineRule="auto"/>
        <w:ind w:firstLine="480"/>
        <w:rPr>
          <w:rFonts w:hint="eastAsia" w:ascii="宋体" w:hAnsi="宋体" w:cs="宋体"/>
          <w:sz w:val="24"/>
          <w:szCs w:val="24"/>
          <w:highlight w:val="none"/>
        </w:rPr>
      </w:pPr>
      <w:r>
        <w:rPr>
          <w:rFonts w:hint="eastAsia" w:cs="宋体"/>
          <w:sz w:val="24"/>
          <w:szCs w:val="24"/>
          <w:highlight w:val="none"/>
          <w:lang w:val="en-US" w:eastAsia="zh-CN"/>
        </w:rPr>
        <w:t>交付（实施）</w:t>
      </w:r>
      <w:r>
        <w:rPr>
          <w:rFonts w:hint="eastAsia" w:cs="宋体"/>
          <w:sz w:val="24"/>
          <w:szCs w:val="24"/>
          <w:highlight w:val="none"/>
          <w:lang w:val="zh-CN"/>
        </w:rPr>
        <w:t>期限</w:t>
      </w:r>
      <w:r>
        <w:rPr>
          <w:rFonts w:hint="eastAsia" w:cs="宋体"/>
          <w:sz w:val="24"/>
          <w:szCs w:val="24"/>
          <w:highlight w:val="none"/>
        </w:rPr>
        <w:t>：</w:t>
      </w:r>
      <w:r>
        <w:rPr>
          <w:rFonts w:hint="eastAsia" w:ascii="Times New Roman" w:hAnsi="Times New Roman" w:eastAsia="宋体" w:cs="宋体"/>
          <w:sz w:val="24"/>
          <w:szCs w:val="24"/>
          <w:lang w:val="zh-CN" w:eastAsia="zh-CN"/>
        </w:rPr>
        <w:t>合同签订后</w:t>
      </w:r>
      <w:r>
        <w:rPr>
          <w:rFonts w:hint="eastAsia" w:cs="宋体"/>
          <w:sz w:val="24"/>
          <w:szCs w:val="24"/>
          <w:lang w:val="en-US" w:eastAsia="zh-CN"/>
        </w:rPr>
        <w:t>10</w:t>
      </w:r>
      <w:r>
        <w:rPr>
          <w:rFonts w:hint="eastAsia" w:ascii="Times New Roman" w:hAnsi="Times New Roman" w:eastAsia="宋体" w:cs="宋体"/>
          <w:sz w:val="24"/>
          <w:szCs w:val="24"/>
          <w:lang w:val="zh-CN" w:eastAsia="zh-CN"/>
        </w:rPr>
        <w:t>日内</w:t>
      </w:r>
      <w:r>
        <w:rPr>
          <w:rFonts w:hint="eastAsia" w:ascii="Times New Roman" w:hAnsi="Times New Roman" w:eastAsia="宋体" w:cs="宋体"/>
          <w:sz w:val="24"/>
          <w:szCs w:val="24"/>
          <w:lang w:eastAsia="zh-CN"/>
        </w:rPr>
        <w:t>。</w:t>
      </w:r>
    </w:p>
    <w:p w14:paraId="5B986136">
      <w:pPr>
        <w:spacing w:line="360" w:lineRule="auto"/>
        <w:ind w:firstLine="562"/>
        <w:rPr>
          <w:rFonts w:hint="eastAsia"/>
          <w:b/>
          <w:bCs/>
          <w:sz w:val="24"/>
          <w:szCs w:val="24"/>
        </w:rPr>
      </w:pPr>
      <w:bookmarkStart w:id="16" w:name="_Toc27690"/>
      <w:bookmarkStart w:id="17" w:name="_Toc4813"/>
      <w:bookmarkStart w:id="18" w:name="_Toc17363"/>
      <w:r>
        <w:rPr>
          <w:rFonts w:hint="eastAsia"/>
          <w:b/>
          <w:bCs/>
          <w:sz w:val="24"/>
          <w:szCs w:val="24"/>
        </w:rPr>
        <w:t>二、供应商的资格要求</w:t>
      </w:r>
      <w:bookmarkEnd w:id="16"/>
      <w:bookmarkEnd w:id="17"/>
      <w:bookmarkEnd w:id="18"/>
    </w:p>
    <w:p w14:paraId="78F5A293">
      <w:pPr>
        <w:numPr>
          <w:ilvl w:val="0"/>
          <w:numId w:val="0"/>
        </w:numPr>
        <w:spacing w:line="360" w:lineRule="auto"/>
        <w:ind w:firstLine="480" w:firstLineChars="0"/>
        <w:rPr>
          <w:rFonts w:hint="eastAsia" w:ascii="宋体" w:hAnsi="宋体" w:cs="宋体"/>
          <w:sz w:val="24"/>
          <w:szCs w:val="24"/>
          <w:lang w:val="zh-CN"/>
        </w:rPr>
      </w:pPr>
      <w:r>
        <w:rPr>
          <w:rFonts w:hint="eastAsia" w:ascii="宋体" w:hAnsi="宋体" w:cs="宋体"/>
          <w:sz w:val="24"/>
          <w:szCs w:val="24"/>
          <w:lang w:val="zh-CN"/>
        </w:rPr>
        <w:t>1、符合《政府采购法》第22条条件，并提供下列材料：</w:t>
      </w:r>
    </w:p>
    <w:p w14:paraId="7BEC01B4">
      <w:pPr>
        <w:numPr>
          <w:ilvl w:val="0"/>
          <w:numId w:val="0"/>
        </w:numPr>
        <w:spacing w:line="360" w:lineRule="auto"/>
        <w:ind w:firstLine="480" w:firstLineChars="0"/>
        <w:rPr>
          <w:rFonts w:hint="eastAsia" w:ascii="宋体" w:hAnsi="宋体" w:cs="宋体"/>
          <w:sz w:val="24"/>
          <w:szCs w:val="24"/>
          <w:lang w:val="zh-CN"/>
        </w:rPr>
      </w:pPr>
      <w:r>
        <w:rPr>
          <w:rFonts w:hint="eastAsia" w:ascii="宋体" w:hAnsi="宋体" w:cs="宋体"/>
          <w:sz w:val="24"/>
          <w:szCs w:val="24"/>
          <w:lang w:val="zh-CN"/>
        </w:rPr>
        <w:t>&lt;1&gt;供应商的营业执照等证明文件，自然人的身份证明。</w:t>
      </w:r>
    </w:p>
    <w:p w14:paraId="7E00DAC5">
      <w:pPr>
        <w:numPr>
          <w:ilvl w:val="0"/>
          <w:numId w:val="0"/>
        </w:numPr>
        <w:spacing w:line="360" w:lineRule="auto"/>
        <w:ind w:firstLine="480" w:firstLineChars="0"/>
        <w:rPr>
          <w:rFonts w:hint="eastAsia" w:ascii="宋体" w:hAnsi="宋体" w:cs="宋体"/>
          <w:sz w:val="24"/>
          <w:szCs w:val="24"/>
          <w:lang w:val="zh-CN"/>
        </w:rPr>
      </w:pPr>
      <w:r>
        <w:rPr>
          <w:rFonts w:hint="eastAsia" w:ascii="宋体" w:hAnsi="宋体" w:cs="宋体"/>
          <w:sz w:val="24"/>
          <w:szCs w:val="24"/>
          <w:lang w:val="zh-CN"/>
        </w:rPr>
        <w:t>&lt;2&gt;财务状况报告，依法缴纳税收和社会保障资金的相关材料。</w:t>
      </w:r>
    </w:p>
    <w:p w14:paraId="6E9555A2">
      <w:pPr>
        <w:numPr>
          <w:ilvl w:val="0"/>
          <w:numId w:val="0"/>
        </w:numPr>
        <w:spacing w:line="360" w:lineRule="auto"/>
        <w:ind w:firstLine="480" w:firstLineChars="0"/>
        <w:rPr>
          <w:rFonts w:hint="eastAsia" w:ascii="宋体" w:hAnsi="宋体" w:cs="宋体"/>
          <w:sz w:val="24"/>
          <w:szCs w:val="24"/>
          <w:lang w:val="zh-CN"/>
        </w:rPr>
      </w:pPr>
      <w:r>
        <w:rPr>
          <w:rFonts w:hint="eastAsia" w:ascii="宋体" w:hAnsi="宋体" w:cs="宋体"/>
          <w:sz w:val="24"/>
          <w:szCs w:val="24"/>
          <w:lang w:val="zh-CN"/>
        </w:rPr>
        <w:t>&lt;3&gt;具备履行合同所必需的设备和专业技术能力的证明材料。</w:t>
      </w:r>
    </w:p>
    <w:p w14:paraId="66A5C69E">
      <w:pPr>
        <w:numPr>
          <w:ilvl w:val="0"/>
          <w:numId w:val="0"/>
        </w:numPr>
        <w:spacing w:line="360" w:lineRule="auto"/>
        <w:ind w:firstLine="480" w:firstLineChars="0"/>
        <w:rPr>
          <w:rFonts w:hint="eastAsia" w:ascii="宋体" w:hAnsi="宋体" w:cs="宋体"/>
          <w:sz w:val="24"/>
          <w:szCs w:val="24"/>
          <w:lang w:val="zh-CN"/>
        </w:rPr>
      </w:pPr>
      <w:r>
        <w:rPr>
          <w:rFonts w:hint="eastAsia" w:ascii="宋体" w:hAnsi="宋体" w:cs="宋体"/>
          <w:sz w:val="24"/>
          <w:szCs w:val="24"/>
          <w:lang w:val="zh-CN"/>
        </w:rPr>
        <w:t>&lt;4&gt;参加政府采购活动前3年内在经营活动中没有重大违法记录的书面声明。</w:t>
      </w:r>
    </w:p>
    <w:p w14:paraId="7FF5FB36">
      <w:pPr>
        <w:numPr>
          <w:ilvl w:val="0"/>
          <w:numId w:val="0"/>
        </w:numPr>
        <w:spacing w:line="360" w:lineRule="auto"/>
        <w:ind w:firstLine="480" w:firstLineChars="0"/>
        <w:rPr>
          <w:rFonts w:hint="eastAsia" w:ascii="宋体" w:hAnsi="宋体" w:cs="宋体"/>
          <w:sz w:val="24"/>
          <w:szCs w:val="24"/>
          <w:lang w:val="zh-CN"/>
        </w:rPr>
      </w:pPr>
      <w:r>
        <w:rPr>
          <w:rFonts w:hint="eastAsia" w:ascii="宋体" w:hAnsi="宋体" w:cs="宋体"/>
          <w:sz w:val="24"/>
          <w:szCs w:val="24"/>
          <w:lang w:val="zh-CN"/>
        </w:rPr>
        <w:t>&lt;5&gt;具备法律、行政法规规定的其他条件的证明材料。</w:t>
      </w:r>
    </w:p>
    <w:p w14:paraId="6BE4B770">
      <w:pPr>
        <w:numPr>
          <w:ilvl w:val="0"/>
          <w:numId w:val="0"/>
        </w:numPr>
        <w:spacing w:line="360" w:lineRule="auto"/>
        <w:ind w:firstLine="480" w:firstLineChars="0"/>
        <w:rPr>
          <w:rFonts w:hint="eastAsia" w:ascii="宋体" w:hAnsi="宋体" w:cs="宋体"/>
          <w:sz w:val="24"/>
          <w:szCs w:val="24"/>
          <w:lang w:val="zh-CN"/>
        </w:rPr>
      </w:pPr>
      <w:r>
        <w:rPr>
          <w:rFonts w:hint="eastAsia" w:ascii="宋体" w:hAnsi="宋体" w:cs="宋体"/>
          <w:sz w:val="24"/>
          <w:szCs w:val="24"/>
          <w:lang w:val="zh-CN"/>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宋体" w:hAnsi="宋体" w:cs="宋体"/>
          <w:sz w:val="24"/>
          <w:szCs w:val="24"/>
          <w:lang w:val="en-US" w:eastAsia="zh-CN"/>
        </w:rPr>
        <w:t>10</w:t>
      </w:r>
      <w:r>
        <w:rPr>
          <w:rFonts w:hint="eastAsia" w:ascii="宋体" w:hAnsi="宋体" w:cs="宋体"/>
          <w:sz w:val="24"/>
          <w:szCs w:val="24"/>
          <w:lang w:val="zh-CN"/>
        </w:rPr>
        <w:t>天内）；</w:t>
      </w:r>
    </w:p>
    <w:p w14:paraId="6BACE16C">
      <w:pPr>
        <w:numPr>
          <w:ilvl w:val="0"/>
          <w:numId w:val="0"/>
        </w:numPr>
        <w:spacing w:line="360" w:lineRule="auto"/>
        <w:ind w:firstLine="480" w:firstLineChars="0"/>
        <w:rPr>
          <w:rFonts w:hint="eastAsia" w:ascii="宋体" w:hAnsi="宋体" w:cs="宋体"/>
          <w:sz w:val="24"/>
          <w:szCs w:val="24"/>
          <w:lang w:val="zh-CN"/>
        </w:rPr>
      </w:pPr>
      <w:r>
        <w:rPr>
          <w:rFonts w:hint="eastAsia" w:ascii="宋体" w:hAnsi="宋体" w:cs="宋体"/>
          <w:sz w:val="24"/>
          <w:szCs w:val="24"/>
          <w:lang w:val="zh-CN"/>
        </w:rPr>
        <w:t>3、单位负责人为同一人或者存在直接控股、管理关系的不同供应商，不得参加同一合同项下的政府采购活动。否则，皆取消投标资格；</w:t>
      </w:r>
    </w:p>
    <w:p w14:paraId="482186D5">
      <w:pPr>
        <w:numPr>
          <w:ilvl w:val="0"/>
          <w:numId w:val="0"/>
        </w:numPr>
        <w:spacing w:line="360" w:lineRule="auto"/>
        <w:ind w:firstLine="480" w:firstLineChars="0"/>
        <w:rPr>
          <w:rFonts w:hint="eastAsia" w:ascii="宋体" w:hAnsi="宋体" w:cs="宋体"/>
          <w:sz w:val="24"/>
          <w:szCs w:val="24"/>
          <w:lang w:val="zh-CN"/>
        </w:rPr>
      </w:pPr>
      <w:r>
        <w:rPr>
          <w:rFonts w:hint="eastAsia" w:ascii="宋体" w:hAnsi="宋体" w:cs="宋体"/>
          <w:sz w:val="24"/>
          <w:szCs w:val="24"/>
          <w:lang w:val="zh-CN"/>
        </w:rPr>
        <w:t>4、为本采购项目提供整体设计、规范编制或者项目管理、监理、检测等服务的供应商，不得再参加该采购项目的其他采购活动；</w:t>
      </w:r>
    </w:p>
    <w:p w14:paraId="2148B9C4">
      <w:pPr>
        <w:numPr>
          <w:ilvl w:val="0"/>
          <w:numId w:val="0"/>
        </w:numPr>
        <w:spacing w:line="360" w:lineRule="auto"/>
        <w:ind w:firstLine="480" w:firstLineChars="0"/>
        <w:rPr>
          <w:rFonts w:hint="eastAsia" w:ascii="宋体" w:hAnsi="宋体" w:cs="宋体"/>
          <w:sz w:val="24"/>
          <w:szCs w:val="24"/>
          <w:lang w:val="zh-CN"/>
        </w:rPr>
      </w:pPr>
      <w:r>
        <w:rPr>
          <w:rFonts w:hint="eastAsia" w:ascii="宋体" w:hAnsi="宋体" w:cs="宋体"/>
          <w:sz w:val="24"/>
          <w:szCs w:val="24"/>
          <w:lang w:val="zh-CN"/>
        </w:rPr>
        <w:t>5、本项目不接受供应商以联合体方式进行投标；</w:t>
      </w:r>
    </w:p>
    <w:p w14:paraId="719AAAA7">
      <w:pPr>
        <w:spacing w:line="360" w:lineRule="auto"/>
        <w:ind w:firstLine="562"/>
        <w:rPr>
          <w:rFonts w:hint="eastAsia" w:ascii="宋体" w:hAnsi="宋体" w:cs="宋体"/>
          <w:sz w:val="24"/>
          <w:szCs w:val="24"/>
          <w:lang w:val="en-US" w:eastAsia="zh-CN"/>
        </w:rPr>
      </w:pPr>
      <w:bookmarkStart w:id="19" w:name="_Toc26575"/>
      <w:bookmarkStart w:id="20" w:name="_Toc12026"/>
      <w:bookmarkStart w:id="21" w:name="_Toc9790"/>
      <w:r>
        <w:rPr>
          <w:rFonts w:hint="eastAsia" w:ascii="宋体" w:hAnsi="宋体" w:cs="宋体"/>
          <w:sz w:val="24"/>
          <w:szCs w:val="24"/>
          <w:lang w:val="en-US" w:eastAsia="zh-CN"/>
        </w:rPr>
        <w:t>6、落实政府采购政策需满足的资格要求：本项目为专门面向小微企业采购，供应商须提供《小微企业声明函》或《残疾人福利性单位声明函》或《监狱企业证明材料》。</w:t>
      </w:r>
    </w:p>
    <w:p w14:paraId="4A0EB2E2">
      <w:pPr>
        <w:spacing w:line="360" w:lineRule="auto"/>
        <w:ind w:firstLine="562"/>
        <w:rPr>
          <w:rFonts w:hint="eastAsia"/>
          <w:b/>
          <w:bCs/>
          <w:sz w:val="24"/>
          <w:szCs w:val="24"/>
        </w:rPr>
      </w:pPr>
      <w:r>
        <w:rPr>
          <w:rFonts w:hint="eastAsia"/>
          <w:b/>
          <w:bCs/>
          <w:sz w:val="24"/>
          <w:szCs w:val="24"/>
        </w:rPr>
        <w:t>三、获取采购文件</w:t>
      </w:r>
      <w:bookmarkEnd w:id="19"/>
      <w:bookmarkEnd w:id="20"/>
      <w:bookmarkEnd w:id="21"/>
    </w:p>
    <w:p w14:paraId="0475FB8A">
      <w:pPr>
        <w:spacing w:line="360" w:lineRule="auto"/>
        <w:ind w:firstLine="480"/>
        <w:rPr>
          <w:rFonts w:hint="eastAsia" w:ascii="宋体" w:hAnsi="宋体" w:cs="宋体"/>
          <w:sz w:val="24"/>
          <w:szCs w:val="24"/>
        </w:rPr>
      </w:pPr>
      <w:r>
        <w:rPr>
          <w:rFonts w:hint="eastAsia" w:ascii="宋体" w:hAnsi="宋体" w:cs="宋体"/>
          <w:sz w:val="24"/>
          <w:szCs w:val="24"/>
        </w:rPr>
        <w:t>时间：</w:t>
      </w:r>
      <w:r>
        <w:rPr>
          <w:rFonts w:hint="eastAsia" w:cs="宋体"/>
          <w:sz w:val="24"/>
          <w:szCs w:val="24"/>
          <w:highlight w:val="none"/>
        </w:rPr>
        <w:t>2024年</w:t>
      </w:r>
      <w:r>
        <w:rPr>
          <w:rFonts w:hint="eastAsia" w:cs="宋体"/>
          <w:sz w:val="24"/>
          <w:szCs w:val="24"/>
          <w:highlight w:val="none"/>
          <w:lang w:val="en-US" w:eastAsia="zh-CN"/>
        </w:rPr>
        <w:t>12</w:t>
      </w:r>
      <w:r>
        <w:rPr>
          <w:rFonts w:hint="eastAsia" w:cs="宋体"/>
          <w:sz w:val="24"/>
          <w:szCs w:val="24"/>
          <w:highlight w:val="none"/>
        </w:rPr>
        <w:t>月</w:t>
      </w:r>
      <w:r>
        <w:rPr>
          <w:rFonts w:hint="eastAsia" w:cs="宋体"/>
          <w:sz w:val="24"/>
          <w:szCs w:val="24"/>
          <w:highlight w:val="none"/>
          <w:lang w:val="en-US" w:eastAsia="zh-CN"/>
        </w:rPr>
        <w:t>25</w:t>
      </w:r>
      <w:r>
        <w:rPr>
          <w:rFonts w:hint="eastAsia" w:cs="宋体"/>
          <w:sz w:val="24"/>
          <w:szCs w:val="24"/>
          <w:highlight w:val="none"/>
        </w:rPr>
        <w:t>日至2024年</w:t>
      </w:r>
      <w:r>
        <w:rPr>
          <w:rFonts w:hint="eastAsia" w:cs="宋体"/>
          <w:sz w:val="24"/>
          <w:szCs w:val="24"/>
          <w:highlight w:val="none"/>
          <w:lang w:val="en-US" w:eastAsia="zh-CN"/>
        </w:rPr>
        <w:t>12</w:t>
      </w:r>
      <w:r>
        <w:rPr>
          <w:rFonts w:hint="eastAsia" w:cs="宋体"/>
          <w:sz w:val="24"/>
          <w:szCs w:val="24"/>
          <w:highlight w:val="none"/>
        </w:rPr>
        <w:t>月</w:t>
      </w:r>
      <w:r>
        <w:rPr>
          <w:rFonts w:hint="eastAsia" w:cs="宋体"/>
          <w:sz w:val="24"/>
          <w:szCs w:val="24"/>
          <w:highlight w:val="none"/>
          <w:lang w:val="en-US" w:eastAsia="zh-CN"/>
        </w:rPr>
        <w:t>27</w:t>
      </w:r>
      <w:r>
        <w:rPr>
          <w:rFonts w:hint="eastAsia" w:cs="宋体"/>
          <w:sz w:val="24"/>
          <w:szCs w:val="24"/>
          <w:highlight w:val="none"/>
        </w:rPr>
        <w:t>日</w:t>
      </w:r>
      <w:r>
        <w:rPr>
          <w:rFonts w:hint="eastAsia" w:cs="宋体"/>
          <w:sz w:val="24"/>
          <w:szCs w:val="24"/>
        </w:rPr>
        <w:t xml:space="preserve">，每天上午00:00至12:00，下午12:00至23:59（北京时间，法定节假日除外）  </w:t>
      </w:r>
    </w:p>
    <w:p w14:paraId="787BE617">
      <w:pPr>
        <w:spacing w:line="360" w:lineRule="auto"/>
        <w:ind w:firstLine="480"/>
        <w:rPr>
          <w:rFonts w:hint="eastAsia" w:ascii="宋体" w:hAnsi="宋体" w:cs="宋体"/>
          <w:sz w:val="24"/>
          <w:szCs w:val="24"/>
        </w:rPr>
      </w:pPr>
      <w:r>
        <w:rPr>
          <w:rFonts w:hint="eastAsia" w:ascii="宋体" w:hAnsi="宋体" w:cs="宋体"/>
          <w:sz w:val="24"/>
          <w:szCs w:val="24"/>
        </w:rPr>
        <w:t>地点：政采云平台线上获取</w:t>
      </w:r>
    </w:p>
    <w:p w14:paraId="4257ED0A">
      <w:pPr>
        <w:spacing w:line="360" w:lineRule="auto"/>
        <w:ind w:firstLine="480"/>
        <w:rPr>
          <w:rFonts w:hint="eastAsia" w:ascii="宋体" w:hAnsi="宋体" w:cs="宋体"/>
          <w:sz w:val="24"/>
          <w:szCs w:val="24"/>
        </w:rPr>
      </w:pPr>
      <w:r>
        <w:rPr>
          <w:rFonts w:hint="eastAsia" w:ascii="宋体" w:hAnsi="宋体" w:cs="宋体"/>
          <w:sz w:val="24"/>
          <w:szCs w:val="24"/>
        </w:rPr>
        <w:t>方式：供应商登录政采云平台https://www.zcygov.cn/在线申请获取采购文件（进入“项目采购”应用，在获取采购文件菜单中选择项目，申请获取采购文件）</w:t>
      </w:r>
    </w:p>
    <w:p w14:paraId="5A30C960">
      <w:pPr>
        <w:spacing w:line="360" w:lineRule="auto"/>
        <w:ind w:firstLine="480"/>
        <w:rPr>
          <w:rFonts w:hint="eastAsia" w:ascii="宋体" w:hAnsi="宋体" w:cs="宋体"/>
          <w:sz w:val="24"/>
          <w:szCs w:val="24"/>
        </w:rPr>
      </w:pPr>
      <w:r>
        <w:rPr>
          <w:rFonts w:hint="eastAsia" w:ascii="宋体" w:hAnsi="宋体" w:cs="宋体"/>
          <w:sz w:val="24"/>
          <w:szCs w:val="24"/>
        </w:rPr>
        <w:t>售价（元）：0</w:t>
      </w:r>
    </w:p>
    <w:p w14:paraId="7AFC44F2">
      <w:pPr>
        <w:spacing w:line="360" w:lineRule="auto"/>
        <w:ind w:firstLine="562"/>
        <w:rPr>
          <w:rFonts w:hint="eastAsia"/>
          <w:b/>
          <w:bCs/>
          <w:sz w:val="24"/>
          <w:szCs w:val="24"/>
        </w:rPr>
      </w:pPr>
      <w:bookmarkStart w:id="22" w:name="_Toc6626"/>
      <w:bookmarkStart w:id="23" w:name="_Toc8892"/>
      <w:bookmarkStart w:id="24" w:name="_Toc9308"/>
      <w:r>
        <w:rPr>
          <w:rFonts w:hint="eastAsia"/>
          <w:b/>
          <w:bCs/>
          <w:sz w:val="24"/>
          <w:szCs w:val="24"/>
        </w:rPr>
        <w:t>四、响应文件提交</w:t>
      </w:r>
      <w:bookmarkEnd w:id="22"/>
      <w:bookmarkEnd w:id="23"/>
      <w:bookmarkEnd w:id="24"/>
    </w:p>
    <w:p w14:paraId="35D5CE31">
      <w:pPr>
        <w:spacing w:line="360" w:lineRule="auto"/>
        <w:ind w:firstLine="480"/>
        <w:rPr>
          <w:rFonts w:hint="eastAsia" w:ascii="宋体" w:hAnsi="宋体" w:eastAsia="宋体" w:cs="宋体"/>
          <w:sz w:val="24"/>
          <w:szCs w:val="24"/>
          <w:lang w:eastAsia="zh-CN"/>
        </w:rPr>
      </w:pPr>
      <w:r>
        <w:rPr>
          <w:rFonts w:hint="eastAsia" w:ascii="宋体" w:hAnsi="宋体" w:cs="宋体"/>
          <w:sz w:val="24"/>
          <w:szCs w:val="24"/>
        </w:rPr>
        <w:t>截止时间：</w:t>
      </w:r>
      <w:r>
        <w:rPr>
          <w:rFonts w:hint="eastAsia" w:cs="宋体"/>
          <w:color w:val="000000"/>
          <w:sz w:val="24"/>
          <w:szCs w:val="24"/>
          <w:highlight w:val="none"/>
          <w:lang w:eastAsia="zh-CN"/>
        </w:rPr>
        <w:t>2024年12月30日09点00分（北京时间）</w:t>
      </w:r>
    </w:p>
    <w:p w14:paraId="0311C88A">
      <w:pPr>
        <w:spacing w:line="360" w:lineRule="auto"/>
        <w:ind w:firstLine="480"/>
        <w:rPr>
          <w:rFonts w:hint="eastAsia" w:ascii="宋体" w:hAnsi="宋体" w:cs="宋体"/>
          <w:sz w:val="24"/>
          <w:szCs w:val="24"/>
        </w:rPr>
      </w:pPr>
      <w:r>
        <w:rPr>
          <w:rFonts w:hint="eastAsia" w:ascii="宋体" w:hAnsi="宋体" w:cs="宋体"/>
          <w:sz w:val="24"/>
          <w:szCs w:val="24"/>
        </w:rPr>
        <w:t>地点：通过政采云投标客户端递交响应文件</w:t>
      </w:r>
    </w:p>
    <w:p w14:paraId="26EC7EB3">
      <w:pPr>
        <w:spacing w:line="360" w:lineRule="auto"/>
        <w:ind w:firstLine="562"/>
        <w:rPr>
          <w:rFonts w:hint="eastAsia"/>
          <w:b/>
          <w:bCs/>
          <w:sz w:val="24"/>
          <w:szCs w:val="24"/>
        </w:rPr>
      </w:pPr>
      <w:bookmarkStart w:id="25" w:name="_Toc10624"/>
      <w:bookmarkStart w:id="26" w:name="_Toc1254"/>
      <w:bookmarkStart w:id="27" w:name="_Toc24717"/>
      <w:r>
        <w:rPr>
          <w:rFonts w:hint="eastAsia"/>
          <w:b/>
          <w:bCs/>
          <w:sz w:val="24"/>
          <w:szCs w:val="24"/>
        </w:rPr>
        <w:t>五、响应文件开启</w:t>
      </w:r>
      <w:bookmarkEnd w:id="25"/>
      <w:bookmarkEnd w:id="26"/>
      <w:bookmarkEnd w:id="27"/>
    </w:p>
    <w:p w14:paraId="7C2CDF11">
      <w:pPr>
        <w:spacing w:line="360" w:lineRule="auto"/>
        <w:ind w:firstLine="480"/>
        <w:rPr>
          <w:rFonts w:hint="eastAsia" w:eastAsia="宋体" w:cs="宋体"/>
          <w:sz w:val="24"/>
          <w:szCs w:val="24"/>
          <w:lang w:eastAsia="zh-CN"/>
        </w:rPr>
      </w:pPr>
      <w:r>
        <w:rPr>
          <w:rFonts w:hint="eastAsia" w:cs="宋体"/>
          <w:sz w:val="24"/>
          <w:szCs w:val="24"/>
        </w:rPr>
        <w:t>开启时间：</w:t>
      </w:r>
      <w:r>
        <w:rPr>
          <w:rFonts w:hint="eastAsia" w:cs="宋体"/>
          <w:color w:val="000000"/>
          <w:sz w:val="24"/>
          <w:szCs w:val="24"/>
          <w:highlight w:val="none"/>
          <w:lang w:eastAsia="zh-CN"/>
        </w:rPr>
        <w:t>2024年12月30日09点00分（北京时间）</w:t>
      </w:r>
    </w:p>
    <w:p w14:paraId="0DCAB2AC">
      <w:pPr>
        <w:spacing w:line="360" w:lineRule="auto"/>
        <w:ind w:firstLine="480"/>
        <w:rPr>
          <w:rFonts w:hint="eastAsia" w:ascii="宋体" w:hAnsi="宋体" w:eastAsia="宋体" w:cs="宋体"/>
          <w:sz w:val="24"/>
          <w:szCs w:val="24"/>
          <w:lang w:eastAsia="zh-CN"/>
        </w:rPr>
      </w:pPr>
      <w:r>
        <w:rPr>
          <w:rFonts w:hint="eastAsia" w:ascii="宋体" w:hAnsi="宋体" w:cs="宋体"/>
          <w:sz w:val="24"/>
          <w:szCs w:val="24"/>
        </w:rPr>
        <w:t>地点：请登录政采云投标客户端投标</w:t>
      </w:r>
    </w:p>
    <w:p w14:paraId="66B45271">
      <w:pPr>
        <w:spacing w:line="360" w:lineRule="auto"/>
        <w:ind w:firstLine="562"/>
        <w:rPr>
          <w:rFonts w:hint="eastAsia"/>
          <w:b/>
          <w:bCs/>
          <w:sz w:val="24"/>
          <w:szCs w:val="24"/>
        </w:rPr>
      </w:pPr>
      <w:bookmarkStart w:id="28" w:name="_Toc21012"/>
      <w:bookmarkStart w:id="29" w:name="_Toc32359"/>
      <w:bookmarkStart w:id="30" w:name="_Toc12713"/>
      <w:r>
        <w:rPr>
          <w:rFonts w:hint="eastAsia"/>
          <w:b/>
          <w:bCs/>
          <w:sz w:val="24"/>
          <w:szCs w:val="24"/>
        </w:rPr>
        <w:t>六、公告期限</w:t>
      </w:r>
      <w:bookmarkEnd w:id="28"/>
      <w:bookmarkEnd w:id="29"/>
      <w:bookmarkEnd w:id="30"/>
    </w:p>
    <w:p w14:paraId="2142014A">
      <w:pPr>
        <w:spacing w:line="360" w:lineRule="auto"/>
        <w:ind w:firstLine="480"/>
        <w:rPr>
          <w:rFonts w:hint="eastAsia" w:cs="宋体"/>
          <w:sz w:val="24"/>
          <w:szCs w:val="24"/>
        </w:rPr>
      </w:pPr>
      <w:r>
        <w:rPr>
          <w:rFonts w:hint="eastAsia" w:cs="宋体"/>
          <w:sz w:val="24"/>
          <w:szCs w:val="24"/>
        </w:rPr>
        <w:t>自本公告发布之日起</w:t>
      </w:r>
      <w:r>
        <w:rPr>
          <w:rFonts w:hint="eastAsia" w:cs="宋体"/>
          <w:sz w:val="24"/>
          <w:szCs w:val="24"/>
          <w:lang w:val="en-US" w:eastAsia="zh-CN"/>
        </w:rPr>
        <w:t>3</w:t>
      </w:r>
      <w:r>
        <w:rPr>
          <w:rFonts w:hint="eastAsia" w:cs="宋体"/>
          <w:sz w:val="24"/>
          <w:szCs w:val="24"/>
        </w:rPr>
        <w:t>个工作日。</w:t>
      </w:r>
    </w:p>
    <w:p w14:paraId="0396AE26">
      <w:pPr>
        <w:spacing w:line="360" w:lineRule="auto"/>
        <w:ind w:firstLine="562"/>
        <w:rPr>
          <w:rFonts w:hint="eastAsia"/>
          <w:b/>
          <w:bCs/>
          <w:sz w:val="24"/>
          <w:szCs w:val="24"/>
        </w:rPr>
      </w:pPr>
      <w:bookmarkStart w:id="31" w:name="_Toc19819"/>
      <w:bookmarkStart w:id="32" w:name="_Toc23002"/>
      <w:bookmarkStart w:id="33" w:name="_Toc27207"/>
      <w:r>
        <w:rPr>
          <w:rFonts w:hint="eastAsia"/>
          <w:b/>
          <w:bCs/>
          <w:sz w:val="24"/>
          <w:szCs w:val="24"/>
        </w:rPr>
        <w:t>七、其他补充事宜</w:t>
      </w:r>
      <w:bookmarkEnd w:id="31"/>
      <w:bookmarkEnd w:id="32"/>
      <w:bookmarkEnd w:id="33"/>
    </w:p>
    <w:p w14:paraId="2F7FD81F">
      <w:pPr>
        <w:spacing w:line="360" w:lineRule="auto"/>
        <w:ind w:firstLine="480"/>
        <w:rPr>
          <w:rFonts w:hint="eastAsia" w:ascii="宋体" w:hAnsi="宋体" w:cs="宋体"/>
          <w:sz w:val="24"/>
          <w:szCs w:val="24"/>
        </w:rPr>
      </w:pPr>
      <w:r>
        <w:rPr>
          <w:rFonts w:hint="eastAsia" w:ascii="宋体" w:hAnsi="宋体" w:cs="宋体"/>
          <w:sz w:val="24"/>
          <w:szCs w:val="24"/>
        </w:rPr>
        <w:t>本公告同时在《青海政府采购网》</w:t>
      </w:r>
      <w:r>
        <w:rPr>
          <w:rFonts w:hint="eastAsia" w:ascii="宋体" w:hAnsi="宋体" w:cs="宋体"/>
          <w:sz w:val="24"/>
          <w:szCs w:val="24"/>
          <w:lang w:eastAsia="zh-CN"/>
        </w:rPr>
        <w:t>、</w:t>
      </w:r>
      <w:r>
        <w:rPr>
          <w:rFonts w:hint="eastAsia"/>
          <w:sz w:val="24"/>
          <w:szCs w:val="24"/>
        </w:rPr>
        <w:t>《青海省公共资源交易网》、</w:t>
      </w:r>
      <w:r>
        <w:rPr>
          <w:rFonts w:hint="eastAsia" w:ascii="宋体" w:hAnsi="宋体" w:cs="宋体"/>
          <w:sz w:val="24"/>
          <w:szCs w:val="24"/>
        </w:rPr>
        <w:t>《</w:t>
      </w:r>
      <w:r>
        <w:rPr>
          <w:rFonts w:hint="eastAsia" w:ascii="宋体" w:hAnsi="宋体" w:cs="宋体"/>
          <w:sz w:val="24"/>
          <w:szCs w:val="24"/>
          <w:lang w:eastAsia="zh-CN"/>
        </w:rPr>
        <w:t>中国采购与招标网</w:t>
      </w:r>
      <w:r>
        <w:rPr>
          <w:rFonts w:hint="eastAsia" w:ascii="宋体" w:hAnsi="宋体" w:cs="宋体"/>
          <w:sz w:val="24"/>
          <w:szCs w:val="24"/>
        </w:rPr>
        <w:t>》上发布，公告内容以《青海政府采购网》发布的为准。</w:t>
      </w:r>
    </w:p>
    <w:p w14:paraId="2C5B3418">
      <w:pPr>
        <w:spacing w:line="360" w:lineRule="auto"/>
        <w:ind w:firstLine="562"/>
        <w:rPr>
          <w:rFonts w:hint="eastAsia"/>
          <w:b/>
          <w:bCs/>
          <w:sz w:val="24"/>
          <w:szCs w:val="24"/>
        </w:rPr>
      </w:pPr>
      <w:bookmarkStart w:id="34" w:name="_Toc26274"/>
      <w:bookmarkStart w:id="35" w:name="_Toc13402"/>
      <w:bookmarkStart w:id="36" w:name="_Toc11378"/>
      <w:r>
        <w:rPr>
          <w:rFonts w:hint="eastAsia"/>
          <w:b/>
          <w:bCs/>
          <w:sz w:val="24"/>
          <w:szCs w:val="24"/>
        </w:rPr>
        <w:t>八、对本次采购提出询问，请按以下方式联系</w:t>
      </w:r>
      <w:bookmarkEnd w:id="34"/>
      <w:bookmarkEnd w:id="35"/>
      <w:bookmarkEnd w:id="36"/>
    </w:p>
    <w:p w14:paraId="197C9358">
      <w:pPr>
        <w:spacing w:line="360" w:lineRule="auto"/>
        <w:ind w:firstLine="240" w:firstLineChars="100"/>
        <w:rPr>
          <w:rFonts w:hint="eastAsia" w:ascii="宋体" w:hAnsi="宋体" w:cs="宋体"/>
          <w:sz w:val="24"/>
          <w:szCs w:val="24"/>
        </w:rPr>
      </w:pPr>
      <w:r>
        <w:rPr>
          <w:rFonts w:hint="eastAsia" w:ascii="宋体" w:hAnsi="宋体" w:cs="宋体"/>
          <w:sz w:val="24"/>
          <w:szCs w:val="24"/>
        </w:rPr>
        <w:t>1、采购人信息</w:t>
      </w:r>
    </w:p>
    <w:p w14:paraId="095B2237">
      <w:pPr>
        <w:spacing w:line="360" w:lineRule="auto"/>
        <w:ind w:firstLine="480"/>
        <w:rPr>
          <w:rFonts w:hint="eastAsia" w:ascii="宋体" w:hAnsi="宋体" w:eastAsia="宋体" w:cs="宋体"/>
          <w:sz w:val="24"/>
          <w:szCs w:val="24"/>
          <w:lang w:eastAsia="zh-CN"/>
        </w:rPr>
      </w:pPr>
      <w:r>
        <w:rPr>
          <w:rFonts w:ascii="宋体" w:hAnsi="宋体" w:cs="宋体"/>
          <w:sz w:val="24"/>
          <w:szCs w:val="24"/>
        </w:rPr>
        <w:t>名 称：</w:t>
      </w:r>
      <w:r>
        <w:rPr>
          <w:rFonts w:hint="eastAsia" w:ascii="宋体" w:hAnsi="宋体" w:cs="宋体"/>
          <w:sz w:val="24"/>
          <w:szCs w:val="24"/>
          <w:lang w:eastAsia="zh-CN"/>
        </w:rPr>
        <w:t>德令哈市林业和草原局</w:t>
      </w:r>
    </w:p>
    <w:p w14:paraId="408C99EC">
      <w:pPr>
        <w:spacing w:line="360" w:lineRule="auto"/>
        <w:ind w:firstLine="480"/>
        <w:rPr>
          <w:rFonts w:hint="default" w:ascii="宋体" w:hAnsi="宋体" w:eastAsia="宋体" w:cs="宋体"/>
          <w:sz w:val="24"/>
          <w:szCs w:val="24"/>
          <w:highlight w:val="none"/>
          <w:lang w:val="en-US" w:eastAsia="zh-CN"/>
        </w:rPr>
      </w:pPr>
      <w:r>
        <w:rPr>
          <w:rFonts w:ascii="宋体" w:hAnsi="宋体" w:cs="宋体"/>
          <w:sz w:val="24"/>
          <w:szCs w:val="24"/>
          <w:highlight w:val="none"/>
        </w:rPr>
        <w:t>项目联系人：</w:t>
      </w:r>
      <w:r>
        <w:rPr>
          <w:rFonts w:hint="eastAsia" w:ascii="宋体" w:hAnsi="宋体" w:cs="宋体"/>
          <w:sz w:val="24"/>
          <w:szCs w:val="24"/>
          <w:highlight w:val="none"/>
          <w:lang w:val="en-US" w:eastAsia="zh-CN"/>
        </w:rPr>
        <w:t>靳先生</w:t>
      </w:r>
    </w:p>
    <w:p w14:paraId="59B82614">
      <w:pPr>
        <w:spacing w:line="360" w:lineRule="auto"/>
        <w:ind w:firstLine="480"/>
        <w:rPr>
          <w:rFonts w:hint="default" w:eastAsia="宋体"/>
          <w:sz w:val="24"/>
          <w:szCs w:val="24"/>
          <w:highlight w:val="yellow"/>
          <w:lang w:val="en-US" w:eastAsia="zh-CN"/>
        </w:rPr>
      </w:pPr>
      <w:r>
        <w:rPr>
          <w:rFonts w:ascii="宋体" w:hAnsi="宋体" w:cs="宋体"/>
          <w:sz w:val="24"/>
          <w:szCs w:val="24"/>
          <w:highlight w:val="none"/>
        </w:rPr>
        <w:t>项目联系方式：</w:t>
      </w:r>
      <w:r>
        <w:rPr>
          <w:rFonts w:hint="eastAsia" w:ascii="宋体" w:hAnsi="宋体" w:cs="宋体"/>
          <w:sz w:val="24"/>
          <w:szCs w:val="24"/>
          <w:highlight w:val="none"/>
          <w:lang w:val="en-US" w:eastAsia="zh-CN"/>
        </w:rPr>
        <w:t>18809778283</w:t>
      </w:r>
    </w:p>
    <w:p w14:paraId="132A044C">
      <w:pPr>
        <w:spacing w:line="360" w:lineRule="auto"/>
        <w:ind w:firstLine="240" w:firstLineChars="100"/>
        <w:rPr>
          <w:rFonts w:hint="eastAsia" w:ascii="宋体" w:hAnsi="宋体" w:cs="宋体"/>
          <w:sz w:val="24"/>
          <w:szCs w:val="24"/>
        </w:rPr>
      </w:pPr>
      <w:r>
        <w:rPr>
          <w:rFonts w:hint="eastAsia" w:ascii="宋体" w:hAnsi="宋体" w:cs="宋体"/>
          <w:sz w:val="24"/>
          <w:szCs w:val="24"/>
        </w:rPr>
        <w:t>2、采购代理机构信息</w:t>
      </w:r>
    </w:p>
    <w:p w14:paraId="486AC049">
      <w:pPr>
        <w:spacing w:line="360" w:lineRule="auto"/>
        <w:ind w:firstLine="480"/>
        <w:rPr>
          <w:rFonts w:hint="eastAsia" w:ascii="宋体" w:hAnsi="宋体" w:eastAsia="宋体" w:cs="宋体"/>
          <w:sz w:val="24"/>
          <w:szCs w:val="24"/>
          <w:lang w:eastAsia="zh-CN"/>
        </w:rPr>
      </w:pPr>
      <w:r>
        <w:rPr>
          <w:rFonts w:ascii="宋体" w:hAnsi="宋体" w:cs="宋体"/>
          <w:sz w:val="24"/>
          <w:szCs w:val="24"/>
        </w:rPr>
        <w:t>名 称：</w:t>
      </w:r>
      <w:r>
        <w:rPr>
          <w:rFonts w:hint="eastAsia" w:cs="宋体"/>
          <w:sz w:val="24"/>
          <w:szCs w:val="24"/>
          <w:lang w:eastAsia="zh-CN"/>
        </w:rPr>
        <w:t>德令哈城乡建设综合开发有限公司</w:t>
      </w:r>
    </w:p>
    <w:p w14:paraId="771F4DD0">
      <w:pPr>
        <w:spacing w:line="360" w:lineRule="auto"/>
        <w:ind w:firstLine="480"/>
        <w:rPr>
          <w:rFonts w:hint="eastAsia" w:ascii="宋体" w:hAnsi="宋体" w:eastAsia="宋体" w:cs="宋体"/>
          <w:sz w:val="24"/>
          <w:szCs w:val="24"/>
          <w:lang w:eastAsia="zh-CN"/>
        </w:rPr>
      </w:pPr>
      <w:r>
        <w:rPr>
          <w:rFonts w:ascii="宋体" w:hAnsi="宋体" w:cs="宋体"/>
          <w:sz w:val="24"/>
          <w:szCs w:val="24"/>
        </w:rPr>
        <w:t>地 址：</w:t>
      </w:r>
      <w:r>
        <w:rPr>
          <w:rFonts w:hint="eastAsia" w:ascii="宋体" w:hAnsi="宋体" w:cs="宋体"/>
          <w:sz w:val="24"/>
          <w:szCs w:val="24"/>
          <w:lang w:eastAsia="zh-CN"/>
        </w:rPr>
        <w:t>德令哈市长江路（森元巴音河酒店往南100米）</w:t>
      </w:r>
    </w:p>
    <w:p w14:paraId="0D13CF92">
      <w:pPr>
        <w:spacing w:line="360" w:lineRule="auto"/>
        <w:ind w:firstLine="480"/>
        <w:rPr>
          <w:rFonts w:ascii="宋体" w:hAnsi="宋体" w:cs="宋体"/>
          <w:sz w:val="24"/>
          <w:szCs w:val="24"/>
        </w:rPr>
      </w:pPr>
      <w:r>
        <w:rPr>
          <w:rFonts w:ascii="宋体" w:hAnsi="宋体" w:cs="宋体"/>
          <w:sz w:val="24"/>
          <w:szCs w:val="24"/>
        </w:rPr>
        <w:t>联系人：</w:t>
      </w:r>
      <w:r>
        <w:rPr>
          <w:rFonts w:hint="eastAsia" w:ascii="宋体" w:hAnsi="宋体" w:cs="宋体"/>
          <w:sz w:val="24"/>
          <w:szCs w:val="24"/>
          <w:lang w:val="en-US" w:eastAsia="zh-CN"/>
        </w:rPr>
        <w:t>陈</w:t>
      </w:r>
      <w:r>
        <w:rPr>
          <w:rFonts w:ascii="宋体" w:hAnsi="宋体" w:cs="宋体"/>
          <w:sz w:val="24"/>
          <w:szCs w:val="24"/>
        </w:rPr>
        <w:t>女士</w:t>
      </w:r>
    </w:p>
    <w:p w14:paraId="20342019">
      <w:pPr>
        <w:spacing w:line="360" w:lineRule="auto"/>
        <w:ind w:firstLine="480"/>
        <w:rPr>
          <w:rFonts w:hint="default" w:ascii="宋体" w:hAnsi="宋体" w:cs="Arial"/>
          <w:sz w:val="24"/>
          <w:szCs w:val="24"/>
          <w:lang w:val="en-US"/>
        </w:rPr>
      </w:pPr>
      <w:r>
        <w:rPr>
          <w:rFonts w:ascii="宋体" w:hAnsi="宋体" w:cs="宋体"/>
          <w:sz w:val="24"/>
          <w:szCs w:val="24"/>
        </w:rPr>
        <w:t>联系方式：</w:t>
      </w:r>
      <w:r>
        <w:rPr>
          <w:rFonts w:hint="eastAsia" w:ascii="宋体" w:hAnsi="宋体" w:cs="Arial"/>
          <w:sz w:val="24"/>
          <w:szCs w:val="24"/>
          <w:lang w:val="en-US" w:eastAsia="zh-CN"/>
        </w:rPr>
        <w:t>0977-8901182</w:t>
      </w:r>
    </w:p>
    <w:bookmarkEnd w:id="3"/>
    <w:bookmarkEnd w:id="4"/>
    <w:bookmarkEnd w:id="5"/>
    <w:bookmarkEnd w:id="6"/>
    <w:bookmarkEnd w:id="7"/>
    <w:bookmarkEnd w:id="8"/>
    <w:bookmarkEnd w:id="9"/>
    <w:bookmarkEnd w:id="10"/>
    <w:bookmarkEnd w:id="11"/>
    <w:p w14:paraId="155AF6F8">
      <w:pPr>
        <w:rPr>
          <w:rFonts w:hint="eastAsia"/>
        </w:rPr>
      </w:pPr>
      <w:bookmarkStart w:id="37" w:name="_Toc24332"/>
    </w:p>
    <w:p w14:paraId="062822B0">
      <w:pPr>
        <w:rPr>
          <w:rFonts w:hint="eastAsia" w:hAnsi="宋体"/>
          <w:sz w:val="36"/>
          <w:szCs w:val="24"/>
        </w:rPr>
      </w:pPr>
      <w:r>
        <w:rPr>
          <w:rFonts w:hint="eastAsia" w:hAnsi="宋体"/>
          <w:sz w:val="36"/>
          <w:szCs w:val="24"/>
        </w:rPr>
        <w:br w:type="page"/>
      </w:r>
    </w:p>
    <w:p w14:paraId="64664A08">
      <w:pPr>
        <w:pStyle w:val="3"/>
        <w:rPr>
          <w:rFonts w:hint="eastAsia" w:hAnsi="宋体"/>
          <w:sz w:val="36"/>
          <w:szCs w:val="24"/>
        </w:rPr>
      </w:pPr>
      <w:bookmarkStart w:id="38" w:name="_Toc1589"/>
      <w:r>
        <w:rPr>
          <w:rFonts w:hint="eastAsia" w:hAnsi="宋体"/>
          <w:sz w:val="36"/>
          <w:szCs w:val="24"/>
        </w:rPr>
        <w:t>第二部分 供应商须知前附表</w:t>
      </w:r>
      <w:bookmarkEnd w:id="37"/>
      <w:bookmarkEnd w:id="38"/>
    </w:p>
    <w:tbl>
      <w:tblPr>
        <w:tblStyle w:val="16"/>
        <w:tblW w:w="9159" w:type="dxa"/>
        <w:jc w:val="center"/>
        <w:tblLayout w:type="fixed"/>
        <w:tblCellMar>
          <w:top w:w="0" w:type="dxa"/>
          <w:left w:w="57" w:type="dxa"/>
          <w:bottom w:w="0" w:type="dxa"/>
          <w:right w:w="57" w:type="dxa"/>
        </w:tblCellMar>
      </w:tblPr>
      <w:tblGrid>
        <w:gridCol w:w="708"/>
        <w:gridCol w:w="2328"/>
        <w:gridCol w:w="6123"/>
      </w:tblGrid>
      <w:tr w14:paraId="368ED0F0">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1C35EE1C">
            <w:pPr>
              <w:spacing w:line="360" w:lineRule="auto"/>
              <w:ind w:left="32" w:firstLine="31" w:firstLineChars="13"/>
              <w:rPr>
                <w:rFonts w:ascii="宋体" w:hAnsi="宋体" w:cs="宋体"/>
                <w:color w:val="000000"/>
                <w:kern w:val="0"/>
                <w:sz w:val="24"/>
                <w:szCs w:val="24"/>
                <w:lang w:val="zh-CN"/>
              </w:rPr>
            </w:pPr>
            <w:r>
              <w:rPr>
                <w:rFonts w:hint="eastAsia" w:ascii="宋体" w:hAnsi="宋体" w:cs="宋体"/>
                <w:color w:val="000000"/>
                <w:kern w:val="0"/>
                <w:sz w:val="24"/>
                <w:szCs w:val="24"/>
                <w:lang w:val="zh-CN"/>
              </w:rPr>
              <w:t>序号</w:t>
            </w:r>
          </w:p>
        </w:tc>
        <w:tc>
          <w:tcPr>
            <w:tcW w:w="8451" w:type="dxa"/>
            <w:gridSpan w:val="2"/>
            <w:tcBorders>
              <w:top w:val="single" w:color="000000" w:sz="6" w:space="0"/>
              <w:left w:val="single" w:color="000000" w:sz="6" w:space="0"/>
              <w:bottom w:val="single" w:color="000000" w:sz="6" w:space="0"/>
              <w:right w:val="single" w:color="000000" w:sz="6" w:space="0"/>
            </w:tcBorders>
            <w:noWrap w:val="0"/>
            <w:vAlign w:val="center"/>
          </w:tcPr>
          <w:p w14:paraId="7919FB5F">
            <w:pPr>
              <w:spacing w:line="360" w:lineRule="auto"/>
              <w:ind w:left="32" w:firstLine="31" w:firstLineChars="13"/>
              <w:rPr>
                <w:rFonts w:ascii="宋体" w:hAnsi="宋体" w:cs="宋体"/>
                <w:color w:val="000000"/>
                <w:kern w:val="0"/>
                <w:sz w:val="24"/>
                <w:szCs w:val="24"/>
                <w:lang w:val="zh-CN"/>
              </w:rPr>
            </w:pPr>
            <w:r>
              <w:rPr>
                <w:rFonts w:hint="eastAsia" w:ascii="宋体" w:hAnsi="宋体" w:cs="宋体"/>
                <w:color w:val="000000"/>
                <w:kern w:val="0"/>
                <w:sz w:val="24"/>
                <w:szCs w:val="24"/>
                <w:lang w:val="zh-CN"/>
              </w:rPr>
              <w:t>内容</w:t>
            </w:r>
          </w:p>
        </w:tc>
      </w:tr>
      <w:tr w14:paraId="08EDA44A">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5DF4DD88">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1</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0DE1734E">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采购项目编号</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7973BDC4">
            <w:pPr>
              <w:spacing w:line="360" w:lineRule="auto"/>
              <w:ind w:left="32" w:firstLine="31" w:firstLineChars="13"/>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城建招标竞谈（货物）2024-059</w:t>
            </w:r>
          </w:p>
        </w:tc>
      </w:tr>
      <w:tr w14:paraId="75637690">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523A898D">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2</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5BD064B1">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采购项目名称</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3F354A97">
            <w:pPr>
              <w:spacing w:line="360" w:lineRule="auto"/>
              <w:ind w:left="32" w:firstLine="31" w:firstLineChars="13"/>
              <w:rPr>
                <w:rFonts w:hint="eastAsia" w:ascii="宋体" w:hAnsi="宋体" w:eastAsia="宋体" w:cs="宋体"/>
                <w:color w:val="000000"/>
                <w:kern w:val="0"/>
                <w:sz w:val="24"/>
                <w:szCs w:val="24"/>
                <w:lang w:val="zh-CN" w:eastAsia="zh-CN"/>
              </w:rPr>
            </w:pPr>
            <w:r>
              <w:rPr>
                <w:rFonts w:hint="eastAsia" w:ascii="宋体" w:hAnsi="宋体"/>
                <w:sz w:val="24"/>
                <w:szCs w:val="24"/>
                <w:lang w:eastAsia="zh-CN"/>
              </w:rPr>
              <w:t>德令哈市2024年国有林管护项目管护设施设备采购</w:t>
            </w:r>
          </w:p>
        </w:tc>
      </w:tr>
      <w:tr w14:paraId="3EDC6DD6">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750C59A5">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3</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526A69BF">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采购人</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13A75029">
            <w:pPr>
              <w:spacing w:line="360" w:lineRule="auto"/>
              <w:ind w:left="32" w:firstLine="31" w:firstLineChars="13"/>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德令哈市林业和草原局</w:t>
            </w:r>
          </w:p>
        </w:tc>
      </w:tr>
      <w:tr w14:paraId="1D36A4AA">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00840509">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4</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29A40436">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采购代理机构</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7B2C6411">
            <w:pPr>
              <w:spacing w:line="360" w:lineRule="auto"/>
              <w:ind w:left="32" w:firstLine="31" w:firstLineChars="13"/>
              <w:rPr>
                <w:rFonts w:ascii="宋体" w:hAnsi="宋体" w:cs="宋体"/>
                <w:color w:val="000000"/>
                <w:kern w:val="0"/>
                <w:sz w:val="24"/>
                <w:szCs w:val="24"/>
                <w:lang w:val="zh-CN"/>
              </w:rPr>
            </w:pPr>
            <w:r>
              <w:rPr>
                <w:rFonts w:hint="eastAsia" w:ascii="宋体" w:hAnsi="宋体" w:cs="宋体"/>
                <w:color w:val="000000"/>
                <w:kern w:val="0"/>
                <w:sz w:val="24"/>
                <w:szCs w:val="24"/>
                <w:lang w:val="zh-CN"/>
              </w:rPr>
              <w:t>德令哈城乡建设综合开发有限公司</w:t>
            </w:r>
          </w:p>
        </w:tc>
      </w:tr>
      <w:tr w14:paraId="3E72565F">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24F9575F">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5</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116E247E">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采购方式</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6A9842CE">
            <w:pPr>
              <w:spacing w:line="360" w:lineRule="auto"/>
              <w:ind w:left="32" w:firstLine="31" w:firstLineChars="13"/>
              <w:rPr>
                <w:rFonts w:ascii="宋体" w:hAnsi="宋体" w:cs="宋体"/>
                <w:color w:val="000000"/>
                <w:kern w:val="0"/>
                <w:sz w:val="24"/>
                <w:szCs w:val="24"/>
                <w:lang w:val="zh-CN"/>
              </w:rPr>
            </w:pPr>
            <w:r>
              <w:rPr>
                <w:rFonts w:hint="eastAsia" w:ascii="宋体" w:hAnsi="宋体" w:cs="宋体"/>
                <w:color w:val="000000"/>
                <w:kern w:val="0"/>
                <w:sz w:val="24"/>
                <w:szCs w:val="24"/>
                <w:lang w:val="zh-CN"/>
              </w:rPr>
              <w:t>竞争性谈判</w:t>
            </w:r>
          </w:p>
        </w:tc>
      </w:tr>
      <w:tr w14:paraId="4598A5D0">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631D11EE">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07290402">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采购预算额度</w:t>
            </w:r>
          </w:p>
        </w:tc>
        <w:tc>
          <w:tcPr>
            <w:tcW w:w="6123" w:type="dxa"/>
            <w:tcBorders>
              <w:top w:val="single" w:color="000000" w:sz="6" w:space="0"/>
              <w:left w:val="single" w:color="000000" w:sz="6" w:space="0"/>
              <w:bottom w:val="single" w:color="000000" w:sz="6" w:space="0"/>
              <w:right w:val="single" w:color="000000" w:sz="6" w:space="0"/>
            </w:tcBorders>
            <w:noWrap w:val="0"/>
            <w:vAlign w:val="center"/>
          </w:tcPr>
          <w:p w14:paraId="5DBFD2EF">
            <w:pPr>
              <w:spacing w:line="240" w:lineRule="auto"/>
              <w:ind w:firstLine="0" w:firstLineChars="0"/>
              <w:jc w:val="left"/>
              <w:rPr>
                <w:rFonts w:hint="eastAsia" w:hAnsi="宋体"/>
                <w:sz w:val="24"/>
                <w:szCs w:val="24"/>
                <w:lang w:val="zh-CN"/>
              </w:rPr>
            </w:pPr>
            <w:r>
              <w:rPr>
                <w:rFonts w:hint="eastAsia" w:ascii="宋体" w:hAnsi="宋体"/>
                <w:sz w:val="24"/>
                <w:szCs w:val="24"/>
                <w:lang w:val="en-US" w:eastAsia="zh-CN"/>
              </w:rPr>
              <w:t>480000.00元</w:t>
            </w:r>
            <w:r>
              <w:rPr>
                <w:rFonts w:hint="eastAsia" w:ascii="宋体" w:hAnsi="宋体"/>
                <w:sz w:val="24"/>
                <w:szCs w:val="24"/>
              </w:rPr>
              <w:t>（大写：</w:t>
            </w:r>
            <w:r>
              <w:rPr>
                <w:rFonts w:hint="eastAsia" w:ascii="宋体" w:hAnsi="宋体"/>
                <w:sz w:val="24"/>
                <w:szCs w:val="24"/>
                <w:lang w:val="en-US" w:eastAsia="zh-CN"/>
              </w:rPr>
              <w:t>肆拾捌万元整</w:t>
            </w:r>
            <w:r>
              <w:rPr>
                <w:rFonts w:hint="eastAsia" w:ascii="宋体" w:hAnsi="宋体"/>
                <w:sz w:val="24"/>
                <w:szCs w:val="24"/>
              </w:rPr>
              <w:t>）</w:t>
            </w:r>
          </w:p>
        </w:tc>
      </w:tr>
      <w:tr w14:paraId="21D556C5">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497B9331">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07CC96A5">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项目分包个数</w:t>
            </w:r>
          </w:p>
        </w:tc>
        <w:tc>
          <w:tcPr>
            <w:tcW w:w="6123" w:type="dxa"/>
            <w:tcBorders>
              <w:top w:val="single" w:color="000000" w:sz="6" w:space="0"/>
              <w:left w:val="single" w:color="000000" w:sz="6" w:space="0"/>
              <w:bottom w:val="single" w:color="000000" w:sz="6" w:space="0"/>
              <w:right w:val="single" w:color="000000" w:sz="6" w:space="0"/>
            </w:tcBorders>
            <w:noWrap w:val="0"/>
            <w:vAlign w:val="center"/>
          </w:tcPr>
          <w:p w14:paraId="7905BE12">
            <w:pPr>
              <w:spacing w:line="360" w:lineRule="auto"/>
              <w:ind w:left="32" w:firstLine="31" w:firstLineChars="13"/>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不分包</w:t>
            </w:r>
          </w:p>
        </w:tc>
      </w:tr>
      <w:tr w14:paraId="0D198ADA">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2C1FD5DE">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098D4B56">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采购要求</w:t>
            </w:r>
          </w:p>
        </w:tc>
        <w:tc>
          <w:tcPr>
            <w:tcW w:w="6123" w:type="dxa"/>
            <w:tcBorders>
              <w:top w:val="single" w:color="000000" w:sz="6" w:space="0"/>
              <w:left w:val="single" w:color="000000" w:sz="6" w:space="0"/>
              <w:bottom w:val="single" w:color="000000" w:sz="6" w:space="0"/>
              <w:right w:val="single" w:color="000000" w:sz="6" w:space="0"/>
            </w:tcBorders>
            <w:noWrap w:val="0"/>
            <w:vAlign w:val="center"/>
          </w:tcPr>
          <w:p w14:paraId="327F3A88">
            <w:pPr>
              <w:spacing w:line="360" w:lineRule="auto"/>
              <w:rPr>
                <w:rFonts w:ascii="宋体" w:hAnsi="宋体" w:cs="宋体"/>
                <w:color w:val="000000"/>
                <w:kern w:val="0"/>
                <w:sz w:val="24"/>
                <w:szCs w:val="24"/>
                <w:lang w:val="zh-CN"/>
              </w:rPr>
            </w:pPr>
            <w:r>
              <w:rPr>
                <w:rFonts w:hint="eastAsia" w:cs="宋体"/>
                <w:sz w:val="24"/>
                <w:szCs w:val="24"/>
              </w:rPr>
              <w:t>具体详见竞争性</w:t>
            </w:r>
            <w:r>
              <w:rPr>
                <w:rFonts w:hint="eastAsia" w:cs="宋体"/>
                <w:sz w:val="24"/>
                <w:szCs w:val="24"/>
                <w:lang w:eastAsia="zh-CN"/>
              </w:rPr>
              <w:t>谈判</w:t>
            </w:r>
            <w:r>
              <w:rPr>
                <w:rFonts w:hint="eastAsia" w:cs="宋体"/>
                <w:sz w:val="24"/>
                <w:szCs w:val="24"/>
              </w:rPr>
              <w:t>文件</w:t>
            </w:r>
            <w:r>
              <w:rPr>
                <w:rFonts w:hint="eastAsia" w:ascii="宋体" w:hAnsi="宋体" w:cs="宋体"/>
                <w:sz w:val="24"/>
                <w:szCs w:val="24"/>
              </w:rPr>
              <w:t>。</w:t>
            </w:r>
          </w:p>
        </w:tc>
      </w:tr>
      <w:tr w14:paraId="3526E07E">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575902E3">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1FDC21AE">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供应商资格条件</w:t>
            </w:r>
          </w:p>
        </w:tc>
        <w:tc>
          <w:tcPr>
            <w:tcW w:w="6123" w:type="dxa"/>
            <w:tcBorders>
              <w:top w:val="single" w:color="000000" w:sz="6" w:space="0"/>
              <w:left w:val="single" w:color="000000" w:sz="6" w:space="0"/>
              <w:bottom w:val="single" w:color="000000" w:sz="6" w:space="0"/>
              <w:right w:val="single" w:color="000000" w:sz="6" w:space="0"/>
            </w:tcBorders>
            <w:noWrap w:val="0"/>
            <w:vAlign w:val="center"/>
          </w:tcPr>
          <w:p w14:paraId="32580EB2">
            <w:pPr>
              <w:numPr>
                <w:ilvl w:val="0"/>
                <w:numId w:val="0"/>
              </w:numPr>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1、符合《政府采购法》第22条条件，并提供下列材料：</w:t>
            </w:r>
          </w:p>
          <w:p w14:paraId="7BEE022F">
            <w:pPr>
              <w:numPr>
                <w:ilvl w:val="0"/>
                <w:numId w:val="0"/>
              </w:numPr>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&lt;1&gt;供应商的营业执照等证明文件，自然人的身份证明。</w:t>
            </w:r>
          </w:p>
          <w:p w14:paraId="174F3326">
            <w:pPr>
              <w:numPr>
                <w:ilvl w:val="0"/>
                <w:numId w:val="0"/>
              </w:numPr>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&lt;2&gt;财务状况报告，依法缴纳税收和社会保障资金的相关材料。</w:t>
            </w:r>
          </w:p>
          <w:p w14:paraId="1111CDC1">
            <w:pPr>
              <w:numPr>
                <w:ilvl w:val="0"/>
                <w:numId w:val="0"/>
              </w:numPr>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&lt;3&gt;具备履行合同所必需的设备和专业技术能力的证明材料。</w:t>
            </w:r>
          </w:p>
          <w:p w14:paraId="3069F1A1">
            <w:pPr>
              <w:numPr>
                <w:ilvl w:val="0"/>
                <w:numId w:val="0"/>
              </w:numPr>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&lt;4&gt;参加政府采购活动前3年内在经营活动中没有重大违法记录的书面声明。</w:t>
            </w:r>
          </w:p>
          <w:p w14:paraId="69051559">
            <w:pPr>
              <w:numPr>
                <w:ilvl w:val="0"/>
                <w:numId w:val="0"/>
              </w:numPr>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&lt;5&gt;具备法律、行政法规规定的其他条件的证明材料。</w:t>
            </w:r>
          </w:p>
          <w:p w14:paraId="0DC8E62D">
            <w:pPr>
              <w:numPr>
                <w:ilvl w:val="0"/>
                <w:numId w:val="0"/>
              </w:numPr>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14:paraId="2FCF20D6">
            <w:pPr>
              <w:numPr>
                <w:ilvl w:val="0"/>
                <w:numId w:val="0"/>
              </w:numPr>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3、单位负责人为同一人或者存在直接控股、管理关系的不同供应商，不得参加同一合同项下的政府采购活动。否则，皆取消投标资格；</w:t>
            </w:r>
          </w:p>
          <w:p w14:paraId="23A78AB3">
            <w:pPr>
              <w:numPr>
                <w:ilvl w:val="0"/>
                <w:numId w:val="0"/>
              </w:numPr>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4、为本采购项目提供整体设计、规范编制或者项目管理、监理、检测等服务的供应商，不得再参加该采购项目的其他采购活动；</w:t>
            </w:r>
          </w:p>
          <w:p w14:paraId="21AE085A">
            <w:pPr>
              <w:numPr>
                <w:ilvl w:val="0"/>
                <w:numId w:val="0"/>
              </w:numPr>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5、本项目不接受供应商以联合体方式进行投标；</w:t>
            </w:r>
          </w:p>
          <w:p w14:paraId="0A7A5130">
            <w:pPr>
              <w:numPr>
                <w:ilvl w:val="0"/>
                <w:numId w:val="0"/>
              </w:numPr>
              <w:spacing w:line="360" w:lineRule="auto"/>
              <w:rPr>
                <w:rFonts w:hint="eastAsia" w:ascii="宋体" w:hAnsi="宋体" w:cs="宋体"/>
                <w:color w:val="000000"/>
                <w:kern w:val="0"/>
                <w:sz w:val="24"/>
                <w:szCs w:val="24"/>
                <w:lang w:val="zh-CN"/>
              </w:rPr>
            </w:pPr>
            <w:r>
              <w:rPr>
                <w:rFonts w:hint="eastAsia" w:ascii="宋体" w:hAnsi="宋体" w:cs="宋体"/>
                <w:sz w:val="24"/>
                <w:szCs w:val="24"/>
                <w:lang w:val="en-US" w:eastAsia="zh-CN"/>
              </w:rPr>
              <w:t>6、落实政府采购政策需满足的资格要求：本项目为专门面向小微企业采购，供应商须提供《小微企业声明函》或《残疾人福利性单位声明函》或《监狱企业证明材料》。</w:t>
            </w:r>
          </w:p>
        </w:tc>
      </w:tr>
      <w:tr w14:paraId="53648F56">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3096C515">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zh-CN"/>
              </w:rPr>
              <w:t>1</w:t>
            </w:r>
            <w:r>
              <w:rPr>
                <w:rFonts w:hint="eastAsia" w:ascii="宋体" w:hAnsi="宋体" w:cs="宋体"/>
                <w:color w:val="000000"/>
                <w:kern w:val="0"/>
                <w:sz w:val="24"/>
                <w:szCs w:val="24"/>
                <w:lang w:val="en-US" w:eastAsia="zh-CN"/>
              </w:rPr>
              <w:t>0</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120DD8C4">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谈判保证金</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5E6C862D">
            <w:pPr>
              <w:widowControl/>
              <w:wordWrap w:val="0"/>
              <w:spacing w:line="450" w:lineRule="atLeast"/>
              <w:ind w:firstLine="0" w:firstLineChars="0"/>
              <w:jc w:val="left"/>
              <w:rPr>
                <w:rFonts w:hint="eastAsia" w:ascii="宋体" w:hAnsi="宋体" w:cs="宋体"/>
                <w:b/>
                <w:bCs/>
                <w:color w:val="auto"/>
                <w:sz w:val="24"/>
                <w:szCs w:val="24"/>
                <w:lang w:val="zh-CN"/>
              </w:rPr>
            </w:pPr>
            <w:r>
              <w:rPr>
                <w:rFonts w:hint="eastAsia" w:ascii="宋体" w:hAnsi="宋体" w:cs="宋体"/>
                <w:b/>
                <w:bCs/>
                <w:color w:val="auto"/>
                <w:sz w:val="24"/>
                <w:szCs w:val="24"/>
                <w:lang w:val="zh-CN"/>
              </w:rPr>
              <w:t>谈判保证金：</w:t>
            </w:r>
            <w:r>
              <w:rPr>
                <w:rFonts w:hint="eastAsia" w:ascii="宋体" w:hAnsi="宋体" w:cs="宋体"/>
                <w:b/>
                <w:bCs/>
                <w:color w:val="auto"/>
                <w:sz w:val="24"/>
                <w:szCs w:val="24"/>
                <w:lang w:val="en-US" w:eastAsia="zh-CN"/>
              </w:rPr>
              <w:t>8</w:t>
            </w:r>
            <w:r>
              <w:rPr>
                <w:rFonts w:hint="eastAsia" w:ascii="宋体" w:hAnsi="宋体" w:cs="宋体"/>
                <w:b/>
                <w:bCs/>
                <w:color w:val="auto"/>
                <w:sz w:val="24"/>
                <w:szCs w:val="24"/>
              </w:rPr>
              <w:t>000.00</w:t>
            </w:r>
            <w:r>
              <w:rPr>
                <w:rFonts w:hint="eastAsia" w:ascii="宋体" w:hAnsi="宋体" w:cs="宋体"/>
                <w:b/>
                <w:bCs/>
                <w:color w:val="auto"/>
                <w:sz w:val="24"/>
                <w:szCs w:val="24"/>
                <w:lang w:val="zh-CN"/>
              </w:rPr>
              <w:t>元（</w:t>
            </w:r>
            <w:r>
              <w:rPr>
                <w:rFonts w:hint="eastAsia" w:ascii="宋体" w:hAnsi="宋体" w:cs="宋体"/>
                <w:b/>
                <w:bCs/>
                <w:color w:val="auto"/>
                <w:sz w:val="24"/>
                <w:szCs w:val="24"/>
                <w:lang w:eastAsia="zh-CN"/>
              </w:rPr>
              <w:t>捌仟元整</w:t>
            </w:r>
            <w:r>
              <w:rPr>
                <w:rFonts w:hint="eastAsia" w:ascii="宋体" w:hAnsi="宋体" w:cs="宋体"/>
                <w:b/>
                <w:bCs/>
                <w:color w:val="auto"/>
                <w:sz w:val="24"/>
                <w:szCs w:val="24"/>
                <w:lang w:val="zh-CN"/>
              </w:rPr>
              <w:t>）；</w:t>
            </w:r>
          </w:p>
          <w:p w14:paraId="5BA00D0F">
            <w:pPr>
              <w:widowControl/>
              <w:wordWrap w:val="0"/>
              <w:spacing w:line="450" w:lineRule="atLeast"/>
              <w:ind w:firstLine="0" w:firstLineChars="0"/>
              <w:jc w:val="left"/>
              <w:rPr>
                <w:rFonts w:hint="eastAsia" w:ascii="宋体" w:hAnsi="宋体" w:eastAsia="宋体" w:cs="宋体"/>
                <w:b/>
                <w:bCs/>
                <w:color w:val="auto"/>
                <w:sz w:val="24"/>
                <w:szCs w:val="24"/>
                <w:lang w:val="zh-CN" w:eastAsia="zh-CN"/>
              </w:rPr>
            </w:pPr>
            <w:r>
              <w:rPr>
                <w:rFonts w:hint="eastAsia" w:ascii="宋体" w:hAnsi="宋体" w:cs="宋体"/>
                <w:b/>
                <w:bCs/>
                <w:color w:val="auto"/>
                <w:sz w:val="24"/>
                <w:szCs w:val="24"/>
                <w:lang w:val="zh-CN"/>
              </w:rPr>
              <w:t>收款单位：</w:t>
            </w:r>
            <w:r>
              <w:rPr>
                <w:rFonts w:hint="eastAsia" w:ascii="宋体" w:hAnsi="宋体" w:eastAsia="宋体" w:cs="宋体"/>
                <w:b/>
                <w:bCs/>
                <w:color w:val="auto"/>
                <w:sz w:val="24"/>
                <w:szCs w:val="24"/>
                <w:lang w:val="zh-CN" w:eastAsia="zh-CN"/>
              </w:rPr>
              <w:t>德令哈城乡建设综合开发有限公司</w:t>
            </w:r>
          </w:p>
          <w:p w14:paraId="380E662F">
            <w:pPr>
              <w:widowControl/>
              <w:wordWrap w:val="0"/>
              <w:spacing w:line="450" w:lineRule="atLeast"/>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开 户 行：</w:t>
            </w:r>
            <w:r>
              <w:rPr>
                <w:rFonts w:hint="eastAsia" w:ascii="宋体" w:hAnsi="宋体" w:eastAsia="宋体" w:cs="宋体"/>
                <w:b/>
                <w:bCs/>
                <w:color w:val="auto"/>
                <w:sz w:val="24"/>
                <w:szCs w:val="24"/>
                <w:lang w:val="zh-CN" w:eastAsia="zh-CN"/>
              </w:rPr>
              <w:t>工行海西支行营业室</w:t>
            </w:r>
          </w:p>
          <w:p w14:paraId="0A06DAA2">
            <w:pPr>
              <w:widowControl/>
              <w:wordWrap w:val="0"/>
              <w:spacing w:line="450" w:lineRule="atLeast"/>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银行账号：</w:t>
            </w:r>
            <w:r>
              <w:rPr>
                <w:rFonts w:hint="eastAsia" w:ascii="宋体" w:hAnsi="宋体" w:eastAsia="宋体" w:cs="宋体"/>
                <w:b/>
                <w:bCs/>
                <w:color w:val="auto"/>
                <w:sz w:val="24"/>
                <w:szCs w:val="24"/>
                <w:lang w:val="zh-CN" w:eastAsia="zh-CN"/>
              </w:rPr>
              <w:t xml:space="preserve">2806040419200110409  </w:t>
            </w:r>
          </w:p>
          <w:p w14:paraId="06DF5C5E">
            <w:pPr>
              <w:autoSpaceDE w:val="0"/>
              <w:autoSpaceDN w:val="0"/>
              <w:adjustRightInd w:val="0"/>
              <w:ind w:firstLine="0" w:firstLineChars="0"/>
              <w:rPr>
                <w:rFonts w:hint="eastAsia" w:ascii="宋体" w:hAnsi="宋体" w:cs="宋体"/>
                <w:color w:val="auto"/>
                <w:sz w:val="24"/>
                <w:szCs w:val="24"/>
              </w:rPr>
            </w:pPr>
            <w:r>
              <w:rPr>
                <w:rFonts w:hint="eastAsia" w:ascii="宋体" w:hAnsi="宋体" w:cs="宋体"/>
                <w:color w:val="auto"/>
                <w:sz w:val="24"/>
                <w:szCs w:val="24"/>
              </w:rPr>
              <w:t>款项用途：</w:t>
            </w:r>
            <w:r>
              <w:rPr>
                <w:rFonts w:hint="eastAsia" w:ascii="宋体" w:hAnsi="宋体" w:cs="宋体"/>
                <w:color w:val="auto"/>
                <w:sz w:val="24"/>
                <w:szCs w:val="24"/>
                <w:lang w:eastAsia="zh-CN"/>
              </w:rPr>
              <w:t>德令哈市2024年国有林管护项目管护设施设备采购</w:t>
            </w:r>
            <w:r>
              <w:rPr>
                <w:rFonts w:hint="eastAsia" w:ascii="宋体" w:hAnsi="宋体" w:cs="宋体"/>
                <w:color w:val="auto"/>
                <w:sz w:val="24"/>
                <w:lang w:val="zh-CN"/>
              </w:rPr>
              <w:t>谈判保证金</w:t>
            </w:r>
          </w:p>
          <w:p w14:paraId="2393D1A6">
            <w:pPr>
              <w:spacing w:line="360" w:lineRule="auto"/>
              <w:rPr>
                <w:rFonts w:hint="default" w:ascii="宋体" w:hAnsi="宋体" w:eastAsia="宋体" w:cs="宋体"/>
                <w:color w:val="000000"/>
                <w:kern w:val="0"/>
                <w:sz w:val="24"/>
                <w:szCs w:val="24"/>
                <w:lang w:val="en-US" w:eastAsia="zh-CN"/>
              </w:rPr>
            </w:pPr>
            <w:r>
              <w:rPr>
                <w:rFonts w:hint="eastAsia" w:ascii="宋体" w:hAnsi="宋体" w:cs="宋体"/>
                <w:color w:val="auto"/>
                <w:sz w:val="24"/>
                <w:szCs w:val="24"/>
              </w:rPr>
              <w:t>缴费时间：</w:t>
            </w:r>
            <w:r>
              <w:rPr>
                <w:rFonts w:hint="eastAsia" w:ascii="宋体" w:hAnsi="宋体" w:cs="宋体"/>
                <w:color w:val="auto"/>
                <w:sz w:val="24"/>
                <w:szCs w:val="24"/>
                <w:lang w:eastAsia="zh-CN"/>
              </w:rPr>
              <w:t>谈判</w:t>
            </w:r>
            <w:r>
              <w:rPr>
                <w:rFonts w:hint="eastAsia" w:ascii="宋体" w:hAnsi="宋体" w:cs="宋体"/>
                <w:color w:val="auto"/>
                <w:sz w:val="24"/>
                <w:szCs w:val="24"/>
              </w:rPr>
              <w:t>响应文件递交截止时间前，以采购代理机构账户到账时间为准。</w:t>
            </w:r>
          </w:p>
        </w:tc>
      </w:tr>
      <w:tr w14:paraId="657E4C8E">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5F5E56A6">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zh-CN"/>
              </w:rPr>
              <w:t>1</w:t>
            </w:r>
            <w:r>
              <w:rPr>
                <w:rFonts w:hint="eastAsia" w:ascii="宋体" w:hAnsi="宋体" w:cs="宋体"/>
                <w:color w:val="000000"/>
                <w:kern w:val="0"/>
                <w:sz w:val="24"/>
                <w:szCs w:val="24"/>
                <w:lang w:val="en-US" w:eastAsia="zh-CN"/>
              </w:rPr>
              <w:t>1</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70D7F3BC">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缴费方式</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2D5128EA">
            <w:pPr>
              <w:autoSpaceDE w:val="0"/>
              <w:autoSpaceDN w:val="0"/>
              <w:adjustRightInd w:val="0"/>
              <w:ind w:firstLine="0" w:firstLineChars="0"/>
              <w:rPr>
                <w:rFonts w:hint="eastAsia" w:ascii="宋体" w:hAnsi="宋体" w:cs="宋体"/>
                <w:color w:val="auto"/>
                <w:sz w:val="24"/>
                <w:szCs w:val="24"/>
                <w:lang w:val="zh-CN"/>
              </w:rPr>
            </w:pPr>
            <w:r>
              <w:rPr>
                <w:rFonts w:hint="eastAsia" w:ascii="宋体" w:hAnsi="宋体" w:cs="宋体"/>
                <w:color w:val="auto"/>
                <w:sz w:val="24"/>
                <w:szCs w:val="24"/>
                <w:lang w:val="zh-CN"/>
              </w:rPr>
              <w:t>缴费方式：谈判保证金应当通过银行保函、银行转账、电汇等非现金形式必须由供应商从其基本账户</w:t>
            </w:r>
            <w:r>
              <w:rPr>
                <w:rFonts w:hint="eastAsia" w:ascii="宋体" w:hAnsi="宋体" w:cs="宋体"/>
                <w:color w:val="auto"/>
                <w:sz w:val="24"/>
                <w:szCs w:val="24"/>
              </w:rPr>
              <w:t>(需提供开户许可证或基本存款账户信息)</w:t>
            </w:r>
            <w:r>
              <w:rPr>
                <w:rFonts w:hint="eastAsia" w:ascii="宋体" w:hAnsi="宋体" w:cs="宋体"/>
                <w:color w:val="auto"/>
                <w:sz w:val="24"/>
                <w:szCs w:val="24"/>
                <w:lang w:val="zh-CN"/>
              </w:rPr>
              <w:t>汇（转）入德令哈城乡建设综合开发有限公司指定账户。</w:t>
            </w:r>
          </w:p>
          <w:p w14:paraId="5F2F2463">
            <w:pPr>
              <w:spacing w:line="360" w:lineRule="auto"/>
              <w:ind w:left="32" w:firstLine="31" w:firstLineChars="13"/>
              <w:rPr>
                <w:rFonts w:hint="eastAsia" w:ascii="宋体" w:hAnsi="宋体" w:eastAsia="宋体" w:cs="宋体"/>
                <w:color w:val="000000"/>
                <w:kern w:val="0"/>
                <w:sz w:val="24"/>
                <w:szCs w:val="24"/>
                <w:lang w:val="en-US" w:eastAsia="zh-CN"/>
              </w:rPr>
            </w:pPr>
            <w:r>
              <w:rPr>
                <w:rFonts w:hint="eastAsia" w:ascii="宋体" w:hAnsi="宋体" w:cs="宋体"/>
                <w:color w:val="auto"/>
                <w:sz w:val="24"/>
                <w:szCs w:val="24"/>
                <w:lang w:val="zh-CN"/>
              </w:rPr>
              <w:t>供应商未按照谈判文件要求提交谈判保证金的，谈判无效。</w:t>
            </w:r>
          </w:p>
        </w:tc>
      </w:tr>
      <w:tr w14:paraId="517C3115">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65026A6E">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zh-CN"/>
              </w:rPr>
              <w:t>1</w:t>
            </w:r>
            <w:r>
              <w:rPr>
                <w:rFonts w:hint="eastAsia" w:ascii="宋体" w:hAnsi="宋体" w:cs="宋体"/>
                <w:color w:val="000000"/>
                <w:kern w:val="0"/>
                <w:sz w:val="24"/>
                <w:szCs w:val="24"/>
                <w:lang w:val="en-US" w:eastAsia="zh-CN"/>
              </w:rPr>
              <w:t>2</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49E5BF94">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递交响应文件方式</w:t>
            </w:r>
          </w:p>
        </w:tc>
        <w:tc>
          <w:tcPr>
            <w:tcW w:w="6123" w:type="dxa"/>
            <w:tcBorders>
              <w:top w:val="single" w:color="000000" w:sz="6" w:space="0"/>
              <w:left w:val="single" w:color="000000" w:sz="6" w:space="0"/>
              <w:bottom w:val="single" w:color="000000" w:sz="6" w:space="0"/>
              <w:right w:val="single" w:color="000000" w:sz="6" w:space="0"/>
            </w:tcBorders>
            <w:noWrap w:val="0"/>
            <w:vAlign w:val="center"/>
          </w:tcPr>
          <w:p w14:paraId="50313114">
            <w:pPr>
              <w:spacing w:line="360" w:lineRule="auto"/>
              <w:ind w:left="32" w:firstLine="31" w:firstLineChars="13"/>
              <w:rPr>
                <w:rFonts w:ascii="宋体" w:hAnsi="宋体" w:cs="宋体"/>
                <w:color w:val="000000"/>
                <w:kern w:val="0"/>
                <w:sz w:val="24"/>
                <w:szCs w:val="24"/>
                <w:lang w:val="zh-CN"/>
              </w:rPr>
            </w:pPr>
            <w:r>
              <w:rPr>
                <w:rFonts w:hint="eastAsia" w:ascii="宋体" w:hAnsi="宋体" w:cs="宋体"/>
                <w:color w:val="000000"/>
                <w:kern w:val="0"/>
                <w:sz w:val="24"/>
                <w:szCs w:val="24"/>
                <w:lang w:val="zh-CN"/>
              </w:rPr>
              <w:t>请登录政采云客户端进行线上投标</w:t>
            </w:r>
          </w:p>
        </w:tc>
      </w:tr>
      <w:tr w14:paraId="039F50D5">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6806299B">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zh-CN"/>
              </w:rPr>
              <w:t>1</w:t>
            </w:r>
            <w:r>
              <w:rPr>
                <w:rFonts w:hint="eastAsia" w:ascii="宋体" w:hAnsi="宋体" w:cs="宋体"/>
                <w:color w:val="000000"/>
                <w:kern w:val="0"/>
                <w:sz w:val="24"/>
                <w:szCs w:val="24"/>
                <w:lang w:val="en-US" w:eastAsia="zh-CN"/>
              </w:rPr>
              <w:t>3</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71FED5E5">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提交响应文件截止时间</w:t>
            </w:r>
          </w:p>
        </w:tc>
        <w:tc>
          <w:tcPr>
            <w:tcW w:w="6123" w:type="dxa"/>
            <w:tcBorders>
              <w:top w:val="single" w:color="000000" w:sz="6" w:space="0"/>
              <w:left w:val="single" w:color="000000" w:sz="6" w:space="0"/>
              <w:bottom w:val="single" w:color="000000" w:sz="6" w:space="0"/>
              <w:right w:val="single" w:color="000000" w:sz="6" w:space="0"/>
            </w:tcBorders>
            <w:noWrap w:val="0"/>
            <w:vAlign w:val="center"/>
          </w:tcPr>
          <w:p w14:paraId="3B1B26B8">
            <w:pPr>
              <w:spacing w:line="360" w:lineRule="auto"/>
              <w:ind w:left="32" w:firstLine="31" w:firstLineChars="13"/>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2024年12月30日09点00分（北京时间）</w:t>
            </w:r>
          </w:p>
        </w:tc>
      </w:tr>
      <w:tr w14:paraId="21124C2A">
        <w:tblPrEx>
          <w:tblCellMar>
            <w:top w:w="0" w:type="dxa"/>
            <w:left w:w="57" w:type="dxa"/>
            <w:bottom w:w="0" w:type="dxa"/>
            <w:right w:w="57" w:type="dxa"/>
          </w:tblCellMar>
        </w:tblPrEx>
        <w:trPr>
          <w:trHeight w:val="771"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6538AB21">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zh-CN"/>
              </w:rPr>
              <w:t>1</w:t>
            </w:r>
            <w:r>
              <w:rPr>
                <w:rFonts w:hint="eastAsia" w:ascii="宋体" w:hAnsi="宋体" w:cs="宋体"/>
                <w:color w:val="000000"/>
                <w:kern w:val="0"/>
                <w:sz w:val="24"/>
                <w:szCs w:val="24"/>
                <w:lang w:val="en-US" w:eastAsia="zh-CN"/>
              </w:rPr>
              <w:t>4</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2FCD3364">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首次响应文件开启时间</w:t>
            </w:r>
          </w:p>
        </w:tc>
        <w:tc>
          <w:tcPr>
            <w:tcW w:w="6123" w:type="dxa"/>
            <w:tcBorders>
              <w:top w:val="single" w:color="000000" w:sz="6" w:space="0"/>
              <w:left w:val="single" w:color="000000" w:sz="6" w:space="0"/>
              <w:bottom w:val="single" w:color="000000" w:sz="6" w:space="0"/>
              <w:right w:val="single" w:color="000000" w:sz="6" w:space="0"/>
            </w:tcBorders>
            <w:noWrap w:val="0"/>
            <w:vAlign w:val="center"/>
          </w:tcPr>
          <w:p w14:paraId="703EFEF6">
            <w:pPr>
              <w:spacing w:line="360" w:lineRule="auto"/>
              <w:ind w:left="32" w:firstLine="31" w:firstLineChars="13"/>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2024年12月30日09点00分（北京时间）</w:t>
            </w:r>
          </w:p>
        </w:tc>
      </w:tr>
      <w:tr w14:paraId="65BE0B1B">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0D2361BF">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zh-CN"/>
              </w:rPr>
              <w:t>1</w:t>
            </w:r>
            <w:r>
              <w:rPr>
                <w:rFonts w:hint="eastAsia" w:ascii="宋体" w:hAnsi="宋体" w:cs="宋体"/>
                <w:color w:val="000000"/>
                <w:kern w:val="0"/>
                <w:sz w:val="24"/>
                <w:szCs w:val="24"/>
                <w:lang w:val="en-US" w:eastAsia="zh-CN"/>
              </w:rPr>
              <w:t>5</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149B8CAB">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提交首次响应文件地点</w:t>
            </w:r>
          </w:p>
        </w:tc>
        <w:tc>
          <w:tcPr>
            <w:tcW w:w="6123" w:type="dxa"/>
            <w:tcBorders>
              <w:top w:val="single" w:color="000000" w:sz="6" w:space="0"/>
              <w:left w:val="single" w:color="000000" w:sz="6" w:space="0"/>
              <w:bottom w:val="single" w:color="000000" w:sz="6" w:space="0"/>
              <w:right w:val="single" w:color="000000" w:sz="6" w:space="0"/>
            </w:tcBorders>
            <w:noWrap w:val="0"/>
            <w:vAlign w:val="center"/>
          </w:tcPr>
          <w:p w14:paraId="289E9485">
            <w:pPr>
              <w:spacing w:line="360" w:lineRule="auto"/>
              <w:ind w:left="32" w:firstLine="31" w:firstLineChars="13"/>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请登录政采云客户端进行线上投标</w:t>
            </w:r>
          </w:p>
        </w:tc>
      </w:tr>
      <w:tr w14:paraId="389DD6A4">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3374118D">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zh-CN"/>
              </w:rPr>
              <w:t>1</w:t>
            </w:r>
            <w:r>
              <w:rPr>
                <w:rFonts w:hint="eastAsia" w:ascii="宋体" w:hAnsi="宋体" w:cs="宋体"/>
                <w:color w:val="000000"/>
                <w:kern w:val="0"/>
                <w:sz w:val="24"/>
                <w:szCs w:val="24"/>
                <w:lang w:val="en-US" w:eastAsia="zh-CN"/>
              </w:rPr>
              <w:t>6</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2513F1AE">
            <w:pPr>
              <w:spacing w:line="360" w:lineRule="auto"/>
              <w:ind w:left="32" w:firstLine="31" w:firstLineChars="13"/>
              <w:rPr>
                <w:rFonts w:ascii="宋体" w:hAnsi="宋体" w:cs="宋体"/>
                <w:color w:val="000000"/>
                <w:kern w:val="0"/>
                <w:sz w:val="24"/>
                <w:szCs w:val="24"/>
                <w:lang w:val="zh-CN"/>
              </w:rPr>
            </w:pPr>
            <w:r>
              <w:rPr>
                <w:rFonts w:hint="eastAsia" w:ascii="宋体" w:hAnsi="宋体" w:cs="宋体"/>
                <w:color w:val="000000"/>
                <w:kern w:val="0"/>
                <w:sz w:val="24"/>
                <w:szCs w:val="24"/>
                <w:lang w:val="zh-CN"/>
              </w:rPr>
              <w:t>答疑澄清方式</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612148E6">
            <w:pPr>
              <w:spacing w:line="360" w:lineRule="auto"/>
              <w:ind w:left="32" w:firstLine="31" w:firstLineChars="13"/>
              <w:rPr>
                <w:rFonts w:ascii="宋体" w:hAnsi="宋体" w:cs="宋体"/>
                <w:color w:val="000000"/>
                <w:kern w:val="0"/>
                <w:sz w:val="24"/>
                <w:szCs w:val="24"/>
                <w:lang w:val="zh-CN"/>
              </w:rPr>
            </w:pPr>
            <w:r>
              <w:rPr>
                <w:rFonts w:hint="eastAsia" w:ascii="宋体" w:hAnsi="宋体" w:cs="宋体"/>
                <w:color w:val="000000"/>
                <w:kern w:val="0"/>
                <w:sz w:val="24"/>
                <w:szCs w:val="24"/>
                <w:lang w:val="zh-CN"/>
              </w:rPr>
              <w:t>通过电子评标系统进行线上询问，供应商接到澄清通知登录评标系统在规定的时间内完成线上答复，超时视为认可评审专家所提出的所有问题。</w:t>
            </w:r>
          </w:p>
        </w:tc>
      </w:tr>
      <w:tr w14:paraId="1680AE0D">
        <w:tblPrEx>
          <w:tblCellMar>
            <w:top w:w="0" w:type="dxa"/>
            <w:left w:w="57" w:type="dxa"/>
            <w:bottom w:w="0" w:type="dxa"/>
            <w:right w:w="57" w:type="dxa"/>
          </w:tblCellMar>
        </w:tblPrEx>
        <w:trPr>
          <w:trHeight w:val="3146"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56579082">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ascii="宋体" w:hAnsi="宋体" w:cs="宋体"/>
                <w:color w:val="000000"/>
                <w:kern w:val="0"/>
                <w:sz w:val="24"/>
                <w:szCs w:val="24"/>
                <w:lang w:val="zh-CN"/>
              </w:rPr>
              <w:t>1</w:t>
            </w:r>
            <w:r>
              <w:rPr>
                <w:rFonts w:hint="eastAsia" w:ascii="宋体" w:hAnsi="宋体" w:cs="宋体"/>
                <w:color w:val="000000"/>
                <w:kern w:val="0"/>
                <w:sz w:val="24"/>
                <w:szCs w:val="24"/>
                <w:lang w:val="en-US" w:eastAsia="zh-CN"/>
              </w:rPr>
              <w:t>7</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185C0862">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代理服务费收取</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6A87E387">
            <w:pPr>
              <w:numPr>
                <w:ilvl w:val="0"/>
                <w:numId w:val="3"/>
              </w:numPr>
              <w:spacing w:line="360" w:lineRule="auto"/>
              <w:ind w:left="32" w:firstLine="31" w:firstLineChars="13"/>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根据国家发改委《关于进一步放开建设项目专业服务价格的通知》（发改价格[2015]299号）规定收取，本项目招标代理服务费由</w:t>
            </w:r>
            <w:r>
              <w:rPr>
                <w:rFonts w:hint="eastAsia" w:ascii="宋体" w:hAnsi="宋体" w:cs="宋体"/>
                <w:color w:val="000000"/>
                <w:kern w:val="0"/>
                <w:sz w:val="24"/>
                <w:szCs w:val="24"/>
                <w:lang w:val="en-US" w:eastAsia="zh-CN"/>
              </w:rPr>
              <w:t>中标人</w:t>
            </w:r>
            <w:r>
              <w:rPr>
                <w:rFonts w:hint="eastAsia" w:ascii="宋体" w:hAnsi="宋体" w:cs="宋体"/>
                <w:color w:val="000000"/>
                <w:kern w:val="0"/>
                <w:sz w:val="24"/>
                <w:szCs w:val="24"/>
                <w:lang w:val="zh-CN"/>
              </w:rPr>
              <w:t>支付；</w:t>
            </w:r>
          </w:p>
          <w:p w14:paraId="2EE83908">
            <w:pPr>
              <w:numPr>
                <w:ilvl w:val="0"/>
                <w:numId w:val="3"/>
              </w:numPr>
              <w:spacing w:line="360" w:lineRule="auto"/>
              <w:ind w:left="32" w:firstLine="31" w:firstLineChars="13"/>
              <w:rPr>
                <w:rFonts w:hint="eastAsia" w:ascii="宋体" w:hAnsi="宋体" w:cs="宋体"/>
                <w:color w:val="000000"/>
                <w:kern w:val="0"/>
                <w:sz w:val="24"/>
                <w:szCs w:val="24"/>
                <w:lang w:val="zh-CN"/>
              </w:rPr>
            </w:pPr>
            <w:r>
              <w:rPr>
                <w:rFonts w:hint="eastAsia" w:asciiTheme="minorEastAsia" w:hAnsiTheme="minorEastAsia" w:eastAsiaTheme="minorEastAsia" w:cstheme="minorEastAsia"/>
                <w:b w:val="0"/>
                <w:bCs w:val="0"/>
                <w:kern w:val="2"/>
                <w:sz w:val="24"/>
                <w:szCs w:val="24"/>
                <w:lang w:val="zh-CN" w:eastAsia="zh-CN" w:bidi="ar-SA"/>
              </w:rPr>
              <w:t>收费金额：</w:t>
            </w:r>
            <w:r>
              <w:rPr>
                <w:rFonts w:hint="eastAsia" w:asciiTheme="minorEastAsia" w:hAnsiTheme="minorEastAsia" w:eastAsiaTheme="minorEastAsia" w:cstheme="minorEastAsia"/>
                <w:b w:val="0"/>
                <w:bCs w:val="0"/>
                <w:kern w:val="2"/>
                <w:sz w:val="24"/>
                <w:szCs w:val="24"/>
                <w:lang w:val="en-US" w:eastAsia="zh-CN" w:bidi="ar-SA"/>
              </w:rPr>
              <w:t>5700.00</w:t>
            </w:r>
            <w:r>
              <w:rPr>
                <w:rFonts w:hint="eastAsia" w:asciiTheme="minorEastAsia" w:hAnsiTheme="minorEastAsia" w:eastAsiaTheme="minorEastAsia" w:cstheme="minorEastAsia"/>
                <w:b w:val="0"/>
                <w:bCs w:val="0"/>
                <w:kern w:val="2"/>
                <w:sz w:val="24"/>
                <w:szCs w:val="24"/>
                <w:lang w:val="zh-CN" w:eastAsia="zh-CN" w:bidi="ar-SA"/>
              </w:rPr>
              <w:t>元</w:t>
            </w:r>
          </w:p>
          <w:p w14:paraId="37FC4F39">
            <w:pPr>
              <w:autoSpaceDE w:val="0"/>
              <w:autoSpaceDN w:val="0"/>
              <w:adjustRightInd w:val="0"/>
              <w:spacing w:line="360" w:lineRule="auto"/>
              <w:ind w:firstLine="0" w:firstLineChars="0"/>
              <w:rPr>
                <w:rFonts w:hint="eastAsia" w:ascii="宋体" w:hAnsi="宋体" w:eastAsia="宋体" w:cs="宋体"/>
                <w:color w:val="auto"/>
                <w:sz w:val="24"/>
                <w:szCs w:val="22"/>
                <w:lang w:val="zh-CN" w:eastAsia="zh-CN"/>
              </w:rPr>
            </w:pPr>
            <w:r>
              <w:rPr>
                <w:rFonts w:hint="eastAsia" w:ascii="宋体" w:hAnsi="宋体" w:eastAsia="宋体" w:cs="宋体"/>
                <w:color w:val="auto"/>
                <w:sz w:val="24"/>
                <w:szCs w:val="22"/>
                <w:lang w:val="zh-CN"/>
              </w:rPr>
              <w:t>开户银行</w:t>
            </w:r>
            <w:r>
              <w:rPr>
                <w:rFonts w:hint="eastAsia" w:ascii="宋体" w:hAnsi="宋体" w:eastAsia="宋体" w:cs="宋体"/>
                <w:color w:val="auto"/>
                <w:sz w:val="24"/>
                <w:szCs w:val="22"/>
                <w:lang w:val="zh-CN" w:eastAsia="zh-CN"/>
              </w:rPr>
              <w:t>：农行德令哈市河东支行</w:t>
            </w:r>
          </w:p>
          <w:p w14:paraId="7AA67F13">
            <w:pPr>
              <w:autoSpaceDE w:val="0"/>
              <w:autoSpaceDN w:val="0"/>
              <w:adjustRightInd w:val="0"/>
              <w:spacing w:line="360" w:lineRule="auto"/>
              <w:ind w:firstLine="0" w:firstLineChars="0"/>
              <w:rPr>
                <w:rFonts w:hint="eastAsia" w:ascii="宋体" w:hAnsi="宋体" w:eastAsia="宋体" w:cs="宋体"/>
                <w:color w:val="auto"/>
                <w:sz w:val="24"/>
                <w:szCs w:val="22"/>
                <w:lang w:val="zh-CN" w:eastAsia="zh-CN"/>
              </w:rPr>
            </w:pPr>
            <w:r>
              <w:rPr>
                <w:rFonts w:hint="eastAsia" w:ascii="宋体" w:hAnsi="宋体" w:eastAsia="宋体" w:cs="宋体"/>
                <w:color w:val="auto"/>
                <w:sz w:val="24"/>
                <w:szCs w:val="22"/>
                <w:lang w:val="zh-CN"/>
              </w:rPr>
              <w:t>收</w:t>
            </w:r>
            <w:r>
              <w:rPr>
                <w:rFonts w:hint="eastAsia" w:ascii="宋体" w:hAnsi="宋体" w:eastAsia="宋体" w:cs="宋体"/>
                <w:color w:val="auto"/>
                <w:sz w:val="24"/>
                <w:szCs w:val="22"/>
                <w:lang w:val="en-US" w:eastAsia="zh-CN"/>
              </w:rPr>
              <w:t xml:space="preserve"> </w:t>
            </w:r>
            <w:r>
              <w:rPr>
                <w:rFonts w:hint="eastAsia" w:ascii="宋体" w:hAnsi="宋体" w:eastAsia="宋体" w:cs="宋体"/>
                <w:color w:val="auto"/>
                <w:sz w:val="24"/>
                <w:szCs w:val="22"/>
                <w:lang w:val="zh-CN"/>
              </w:rPr>
              <w:t>款</w:t>
            </w:r>
            <w:r>
              <w:rPr>
                <w:rFonts w:hint="eastAsia" w:ascii="宋体" w:hAnsi="宋体" w:eastAsia="宋体" w:cs="宋体"/>
                <w:color w:val="auto"/>
                <w:sz w:val="24"/>
                <w:szCs w:val="22"/>
                <w:lang w:val="en-US" w:eastAsia="zh-CN"/>
              </w:rPr>
              <w:t xml:space="preserve"> </w:t>
            </w:r>
            <w:r>
              <w:rPr>
                <w:rFonts w:hint="eastAsia" w:ascii="宋体" w:hAnsi="宋体" w:eastAsia="宋体" w:cs="宋体"/>
                <w:color w:val="auto"/>
                <w:sz w:val="24"/>
                <w:szCs w:val="22"/>
                <w:lang w:val="zh-CN"/>
              </w:rPr>
              <w:t>人</w:t>
            </w:r>
            <w:r>
              <w:rPr>
                <w:rFonts w:hint="eastAsia" w:ascii="宋体" w:hAnsi="宋体" w:eastAsia="宋体" w:cs="宋体"/>
                <w:color w:val="auto"/>
                <w:sz w:val="24"/>
                <w:szCs w:val="22"/>
                <w:lang w:val="zh-CN" w:eastAsia="zh-CN"/>
              </w:rPr>
              <w:t>：德令哈城乡建设综合开发有限公司</w:t>
            </w:r>
          </w:p>
          <w:p w14:paraId="5BF5CB47">
            <w:pPr>
              <w:autoSpaceDE w:val="0"/>
              <w:autoSpaceDN w:val="0"/>
              <w:adjustRightInd w:val="0"/>
              <w:spacing w:line="360" w:lineRule="auto"/>
              <w:ind w:firstLine="0" w:firstLineChars="0"/>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zh-CN"/>
              </w:rPr>
              <w:t>银行账号</w:t>
            </w:r>
            <w:r>
              <w:rPr>
                <w:rFonts w:hint="eastAsia" w:ascii="宋体" w:hAnsi="宋体" w:eastAsia="宋体" w:cs="宋体"/>
                <w:color w:val="auto"/>
                <w:sz w:val="24"/>
                <w:szCs w:val="22"/>
                <w:lang w:val="zh-CN" w:eastAsia="zh-CN"/>
              </w:rPr>
              <w:t>：</w:t>
            </w:r>
            <w:r>
              <w:rPr>
                <w:rFonts w:hint="eastAsia" w:ascii="宋体" w:hAnsi="宋体" w:eastAsia="宋体" w:cs="宋体"/>
                <w:color w:val="auto"/>
                <w:sz w:val="24"/>
                <w:szCs w:val="22"/>
                <w:lang w:val="en-US" w:eastAsia="zh-CN"/>
              </w:rPr>
              <w:t>28502001040005291</w:t>
            </w:r>
          </w:p>
          <w:p w14:paraId="68B82853">
            <w:pPr>
              <w:pStyle w:val="4"/>
              <w:jc w:val="both"/>
              <w:rPr>
                <w:rFonts w:hint="eastAsia"/>
                <w:lang w:val="zh-CN"/>
              </w:rPr>
            </w:pPr>
            <w:r>
              <w:rPr>
                <w:rFonts w:hint="eastAsia" w:ascii="宋体" w:hAnsi="宋体" w:eastAsia="宋体" w:cs="宋体"/>
                <w:color w:val="auto"/>
                <w:sz w:val="24"/>
                <w:szCs w:val="22"/>
                <w:lang w:val="en-US" w:eastAsia="zh-CN"/>
              </w:rPr>
              <w:t>（</w:t>
            </w:r>
            <w:r>
              <w:rPr>
                <w:rFonts w:hint="eastAsia" w:ascii="宋体" w:hAnsi="宋体" w:eastAsia="宋体" w:cs="宋体"/>
                <w:b/>
                <w:bCs/>
                <w:color w:val="auto"/>
                <w:sz w:val="24"/>
                <w:szCs w:val="22"/>
                <w:lang w:val="en-US" w:eastAsia="zh-CN"/>
              </w:rPr>
              <w:t>注：以上为招标代理费收款账号</w:t>
            </w:r>
            <w:r>
              <w:rPr>
                <w:rFonts w:hint="eastAsia" w:ascii="宋体" w:hAnsi="宋体" w:eastAsia="宋体" w:cs="宋体"/>
                <w:color w:val="auto"/>
                <w:sz w:val="24"/>
                <w:szCs w:val="22"/>
                <w:lang w:val="en-US" w:eastAsia="zh-CN"/>
              </w:rPr>
              <w:t>）</w:t>
            </w:r>
          </w:p>
        </w:tc>
      </w:tr>
      <w:tr w14:paraId="15A378EC">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11D1DD95">
            <w:pPr>
              <w:spacing w:line="360" w:lineRule="auto"/>
              <w:ind w:left="32" w:firstLine="31" w:firstLineChars="13"/>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18</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63D10F94">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合同签订有效期</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22E33B07">
            <w:pPr>
              <w:spacing w:line="360" w:lineRule="auto"/>
              <w:ind w:left="32" w:firstLine="31" w:firstLineChars="13"/>
              <w:rPr>
                <w:rFonts w:ascii="宋体" w:hAnsi="宋体" w:cs="宋体"/>
                <w:color w:val="000000"/>
                <w:kern w:val="0"/>
                <w:sz w:val="24"/>
                <w:szCs w:val="24"/>
                <w:lang w:val="zh-CN"/>
              </w:rPr>
            </w:pPr>
            <w:r>
              <w:rPr>
                <w:rFonts w:hint="eastAsia" w:ascii="宋体" w:hAnsi="宋体" w:cs="宋体"/>
                <w:color w:val="000000"/>
                <w:kern w:val="0"/>
                <w:sz w:val="24"/>
                <w:szCs w:val="24"/>
                <w:lang w:val="zh-CN"/>
              </w:rPr>
              <w:t>自成交通知书发出之日起</w:t>
            </w:r>
            <w:r>
              <w:rPr>
                <w:rFonts w:ascii="宋体" w:hAnsi="宋体" w:cs="宋体"/>
                <w:color w:val="000000"/>
                <w:kern w:val="0"/>
                <w:sz w:val="24"/>
                <w:szCs w:val="24"/>
                <w:lang w:val="zh-CN"/>
              </w:rPr>
              <w:t>30</w:t>
            </w:r>
            <w:r>
              <w:rPr>
                <w:rFonts w:hint="eastAsia" w:ascii="宋体" w:hAnsi="宋体" w:cs="宋体"/>
                <w:color w:val="000000"/>
                <w:kern w:val="0"/>
                <w:sz w:val="24"/>
                <w:szCs w:val="24"/>
                <w:lang w:val="zh-CN"/>
              </w:rPr>
              <w:t>日内与采购人签订服务合同</w:t>
            </w:r>
          </w:p>
        </w:tc>
      </w:tr>
      <w:tr w14:paraId="03F2BABC">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60BF7416">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zh-CN"/>
              </w:rPr>
              <w:t>2</w:t>
            </w:r>
            <w:r>
              <w:rPr>
                <w:rFonts w:hint="eastAsia" w:ascii="宋体" w:hAnsi="宋体" w:cs="宋体"/>
                <w:color w:val="000000"/>
                <w:kern w:val="0"/>
                <w:sz w:val="24"/>
                <w:szCs w:val="24"/>
                <w:lang w:val="en-US" w:eastAsia="zh-CN"/>
              </w:rPr>
              <w:t>9</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01FC227D">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政府采购合同备案</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53F5B073">
            <w:pPr>
              <w:spacing w:line="360" w:lineRule="auto"/>
              <w:ind w:left="32" w:firstLine="31" w:firstLineChars="13"/>
              <w:rPr>
                <w:rFonts w:ascii="宋体" w:hAnsi="宋体" w:cs="宋体"/>
                <w:color w:val="000000"/>
                <w:kern w:val="0"/>
                <w:sz w:val="24"/>
                <w:szCs w:val="24"/>
                <w:lang w:val="zh-CN"/>
              </w:rPr>
            </w:pPr>
            <w:r>
              <w:rPr>
                <w:rFonts w:ascii="宋体" w:hAnsi="宋体" w:cs="宋体"/>
                <w:color w:val="000000"/>
                <w:kern w:val="0"/>
                <w:sz w:val="24"/>
                <w:szCs w:val="24"/>
                <w:lang w:val="zh-CN"/>
              </w:rPr>
              <w:t>采购合同全数返回采购代理机构签证，盖章。</w:t>
            </w:r>
          </w:p>
          <w:p w14:paraId="6A392B7F">
            <w:pPr>
              <w:spacing w:line="360" w:lineRule="auto"/>
              <w:ind w:left="32" w:firstLine="31" w:firstLineChars="13"/>
              <w:rPr>
                <w:rFonts w:ascii="宋体" w:hAnsi="宋体" w:cs="宋体"/>
                <w:color w:val="000000"/>
                <w:kern w:val="0"/>
                <w:sz w:val="24"/>
                <w:szCs w:val="24"/>
                <w:lang w:val="zh-CN"/>
              </w:rPr>
            </w:pPr>
            <w:r>
              <w:rPr>
                <w:rFonts w:ascii="宋体" w:hAnsi="宋体" w:cs="宋体"/>
                <w:color w:val="000000"/>
                <w:kern w:val="0"/>
                <w:sz w:val="24"/>
                <w:szCs w:val="24"/>
                <w:lang w:val="zh-CN"/>
              </w:rPr>
              <w:t>采购代理机构留存</w:t>
            </w:r>
            <w:r>
              <w:rPr>
                <w:rFonts w:hint="eastAsia" w:ascii="宋体" w:hAnsi="宋体" w:cs="宋体"/>
                <w:color w:val="000000"/>
                <w:kern w:val="0"/>
                <w:sz w:val="24"/>
                <w:szCs w:val="24"/>
                <w:lang w:val="zh-CN" w:eastAsia="zh-CN"/>
              </w:rPr>
              <w:t>叁</w:t>
            </w:r>
            <w:r>
              <w:rPr>
                <w:rFonts w:ascii="宋体" w:hAnsi="宋体" w:cs="宋体"/>
                <w:color w:val="000000"/>
                <w:kern w:val="0"/>
                <w:sz w:val="24"/>
                <w:szCs w:val="24"/>
                <w:lang w:val="zh-CN"/>
              </w:rPr>
              <w:t>份原件备案。</w:t>
            </w:r>
          </w:p>
        </w:tc>
      </w:tr>
      <w:tr w14:paraId="5098FDA5">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5B3FF8B0">
            <w:pPr>
              <w:spacing w:line="360" w:lineRule="auto"/>
              <w:ind w:left="32" w:firstLine="31" w:firstLineChars="13"/>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zh-CN"/>
              </w:rPr>
              <w:t>2</w:t>
            </w:r>
            <w:r>
              <w:rPr>
                <w:rFonts w:hint="eastAsia" w:ascii="宋体" w:hAnsi="宋体" w:cs="宋体"/>
                <w:color w:val="000000"/>
                <w:kern w:val="0"/>
                <w:sz w:val="24"/>
                <w:szCs w:val="24"/>
                <w:lang w:val="en-US" w:eastAsia="zh-CN"/>
              </w:rPr>
              <w:t>0</w:t>
            </w:r>
          </w:p>
        </w:tc>
        <w:tc>
          <w:tcPr>
            <w:tcW w:w="2328" w:type="dxa"/>
            <w:tcBorders>
              <w:top w:val="single" w:color="000000" w:sz="6" w:space="0"/>
              <w:left w:val="single" w:color="000000" w:sz="6" w:space="0"/>
              <w:bottom w:val="single" w:color="000000" w:sz="6" w:space="0"/>
              <w:right w:val="single" w:color="000000" w:sz="6" w:space="0"/>
            </w:tcBorders>
            <w:noWrap w:val="0"/>
            <w:vAlign w:val="center"/>
          </w:tcPr>
          <w:p w14:paraId="6817A747">
            <w:pPr>
              <w:spacing w:line="360" w:lineRule="auto"/>
              <w:ind w:left="32" w:firstLine="31" w:firstLineChars="13"/>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谈判有效期</w:t>
            </w:r>
          </w:p>
        </w:tc>
        <w:tc>
          <w:tcPr>
            <w:tcW w:w="6123" w:type="dxa"/>
            <w:tcBorders>
              <w:top w:val="single" w:color="000000" w:sz="6" w:space="0"/>
              <w:left w:val="single" w:color="000000" w:sz="6" w:space="0"/>
              <w:bottom w:val="single" w:color="000000" w:sz="6" w:space="0"/>
              <w:right w:val="single" w:color="000000" w:sz="6" w:space="0"/>
            </w:tcBorders>
            <w:noWrap w:val="0"/>
            <w:vAlign w:val="top"/>
          </w:tcPr>
          <w:p w14:paraId="386702EA">
            <w:pPr>
              <w:spacing w:line="360" w:lineRule="auto"/>
              <w:ind w:left="32" w:firstLine="31" w:firstLineChars="13"/>
              <w:rPr>
                <w:rFonts w:ascii="宋体" w:hAnsi="宋体" w:cs="宋体"/>
                <w:color w:val="000000"/>
                <w:kern w:val="0"/>
                <w:sz w:val="24"/>
                <w:szCs w:val="24"/>
                <w:lang w:val="zh-CN"/>
              </w:rPr>
            </w:pPr>
            <w:r>
              <w:rPr>
                <w:rFonts w:hint="eastAsia" w:ascii="宋体" w:hAnsi="宋体" w:cs="宋体"/>
                <w:color w:val="000000"/>
                <w:kern w:val="0"/>
                <w:sz w:val="24"/>
                <w:szCs w:val="24"/>
                <w:lang w:val="zh-CN"/>
              </w:rPr>
              <w:t>本次谈判有效期为谈判之日起</w:t>
            </w:r>
            <w:r>
              <w:rPr>
                <w:rFonts w:hint="eastAsia" w:ascii="宋体" w:hAnsi="宋体" w:cs="宋体"/>
                <w:color w:val="000000"/>
                <w:kern w:val="0"/>
                <w:sz w:val="24"/>
                <w:szCs w:val="24"/>
                <w:lang w:val="zh-CN" w:eastAsia="zh-CN"/>
              </w:rPr>
              <w:t>60</w:t>
            </w:r>
            <w:r>
              <w:rPr>
                <w:rFonts w:hint="eastAsia" w:ascii="宋体" w:hAnsi="宋体" w:cs="宋体"/>
                <w:color w:val="000000"/>
                <w:kern w:val="0"/>
                <w:sz w:val="24"/>
                <w:szCs w:val="24"/>
                <w:lang w:val="zh-CN"/>
              </w:rPr>
              <w:t>个日历日</w:t>
            </w:r>
          </w:p>
        </w:tc>
      </w:tr>
    </w:tbl>
    <w:p w14:paraId="6AB199BB">
      <w:pPr>
        <w:rPr>
          <w:rFonts w:hint="eastAsia" w:hAnsi="宋体"/>
          <w:sz w:val="36"/>
          <w:szCs w:val="24"/>
        </w:rPr>
      </w:pPr>
      <w:bookmarkStart w:id="39" w:name="_Toc18892"/>
      <w:r>
        <w:rPr>
          <w:rFonts w:hint="eastAsia" w:hAnsi="宋体"/>
          <w:sz w:val="36"/>
          <w:szCs w:val="24"/>
        </w:rPr>
        <w:br w:type="page"/>
      </w:r>
    </w:p>
    <w:p w14:paraId="631352EF">
      <w:pPr>
        <w:pStyle w:val="3"/>
        <w:jc w:val="center"/>
        <w:rPr>
          <w:rFonts w:hint="eastAsia" w:hAnsi="宋体"/>
          <w:sz w:val="36"/>
          <w:szCs w:val="24"/>
        </w:rPr>
      </w:pPr>
      <w:r>
        <w:rPr>
          <w:rFonts w:hint="eastAsia" w:hAnsi="宋体"/>
          <w:sz w:val="36"/>
          <w:szCs w:val="24"/>
        </w:rPr>
        <w:t>第三部分 供应商须知</w:t>
      </w:r>
      <w:bookmarkEnd w:id="39"/>
    </w:p>
    <w:p w14:paraId="3FF4615F">
      <w:pPr>
        <w:adjustRightInd w:val="0"/>
        <w:snapToGrid w:val="0"/>
        <w:spacing w:before="156" w:beforeLines="50" w:line="560" w:lineRule="exact"/>
        <w:jc w:val="center"/>
        <w:outlineLvl w:val="1"/>
        <w:rPr>
          <w:rFonts w:hint="eastAsia" w:asciiTheme="minorEastAsia" w:hAnsiTheme="minorEastAsia" w:eastAsiaTheme="minorEastAsia" w:cstheme="minorEastAsia"/>
          <w:sz w:val="24"/>
          <w:szCs w:val="24"/>
        </w:rPr>
      </w:pPr>
      <w:bookmarkStart w:id="40" w:name="_Toc34637765"/>
      <w:bookmarkStart w:id="41" w:name="_Toc16562"/>
      <w:bookmarkStart w:id="42" w:name="_Toc9336"/>
      <w:bookmarkStart w:id="43" w:name="_Toc7063_WPSOffice_Level2"/>
      <w:bookmarkStart w:id="44" w:name="_Toc27795"/>
      <w:bookmarkStart w:id="45" w:name="_Toc29348_WPSOffice_Level2"/>
      <w:bookmarkStart w:id="46" w:name="_Toc28870"/>
      <w:bookmarkStart w:id="47" w:name="_Toc17019_WPSOffice_Level2"/>
      <w:r>
        <w:rPr>
          <w:rFonts w:hint="eastAsia" w:asciiTheme="minorEastAsia" w:hAnsiTheme="minorEastAsia" w:eastAsiaTheme="minorEastAsia" w:cstheme="minorEastAsia"/>
          <w:sz w:val="24"/>
          <w:szCs w:val="24"/>
        </w:rPr>
        <w:t>一、说明</w:t>
      </w:r>
      <w:bookmarkEnd w:id="40"/>
      <w:bookmarkEnd w:id="41"/>
      <w:bookmarkEnd w:id="42"/>
      <w:bookmarkEnd w:id="43"/>
      <w:bookmarkEnd w:id="44"/>
      <w:bookmarkEnd w:id="45"/>
      <w:bookmarkEnd w:id="46"/>
      <w:bookmarkEnd w:id="47"/>
    </w:p>
    <w:p w14:paraId="30C0B20D">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48" w:name="_Toc7063_WPSOffice_Level3"/>
      <w:bookmarkStart w:id="49" w:name="_Toc32587"/>
      <w:bookmarkStart w:id="50" w:name="_Toc13645"/>
      <w:bookmarkStart w:id="51" w:name="_Toc29482"/>
      <w:bookmarkStart w:id="52" w:name="_Toc11775_WPSOffice_Level3"/>
      <w:bookmarkStart w:id="53" w:name="_Toc29026"/>
      <w:r>
        <w:rPr>
          <w:rFonts w:hint="eastAsia" w:asciiTheme="minorEastAsia" w:hAnsiTheme="minorEastAsia" w:eastAsiaTheme="minorEastAsia" w:cstheme="minorEastAsia"/>
          <w:sz w:val="24"/>
          <w:szCs w:val="24"/>
        </w:rPr>
        <w:t>1.适用范围</w:t>
      </w:r>
      <w:bookmarkEnd w:id="48"/>
      <w:bookmarkEnd w:id="49"/>
      <w:bookmarkEnd w:id="50"/>
      <w:bookmarkEnd w:id="51"/>
      <w:bookmarkEnd w:id="52"/>
      <w:bookmarkEnd w:id="53"/>
    </w:p>
    <w:p w14:paraId="0B64A9A6">
      <w:pPr>
        <w:adjustRightInd w:val="0"/>
        <w:snapToGrid w:val="0"/>
        <w:spacing w:before="156" w:beforeLines="50"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1.1本竞争性谈判文件仅适用于前述【谈判须知前附表】中所叙述的采购项目。</w:t>
      </w:r>
    </w:p>
    <w:p w14:paraId="175E0E10">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54" w:name="_Toc15754_WPSOffice_Level3"/>
      <w:bookmarkStart w:id="55" w:name="_Toc12080"/>
      <w:bookmarkStart w:id="56" w:name="_Toc2404_WPSOffice_Level3"/>
      <w:bookmarkStart w:id="57" w:name="_Toc1646"/>
      <w:bookmarkStart w:id="58" w:name="_Toc32589"/>
      <w:bookmarkStart w:id="59" w:name="_Toc28503"/>
      <w:r>
        <w:rPr>
          <w:rFonts w:hint="eastAsia" w:asciiTheme="minorEastAsia" w:hAnsiTheme="minorEastAsia" w:eastAsiaTheme="minorEastAsia" w:cstheme="minorEastAsia"/>
          <w:sz w:val="24"/>
          <w:szCs w:val="24"/>
        </w:rPr>
        <w:t>2.采购人及代理机构</w:t>
      </w:r>
      <w:bookmarkEnd w:id="54"/>
      <w:bookmarkEnd w:id="55"/>
      <w:bookmarkEnd w:id="56"/>
      <w:bookmarkEnd w:id="57"/>
      <w:bookmarkEnd w:id="58"/>
      <w:bookmarkEnd w:id="59"/>
    </w:p>
    <w:p w14:paraId="404CDBAD">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2.2采购人名称、地址、电话、联系人见【谈判须知前附表】。</w:t>
      </w:r>
    </w:p>
    <w:p w14:paraId="44CD360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2.3采购代理机构名称、地址、电话、联系人见【谈判须知前附表】。</w:t>
      </w:r>
    </w:p>
    <w:p w14:paraId="306275A1">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60" w:name="_Toc8089_WPSOffice_Level3"/>
      <w:bookmarkStart w:id="61" w:name="_Toc31395"/>
      <w:bookmarkStart w:id="62" w:name="_Toc955_WPSOffice_Level3"/>
      <w:bookmarkStart w:id="63" w:name="_Toc6850"/>
      <w:bookmarkStart w:id="64" w:name="_Toc21695"/>
      <w:bookmarkStart w:id="65" w:name="_Toc27306"/>
      <w:r>
        <w:rPr>
          <w:rFonts w:hint="eastAsia" w:asciiTheme="minorEastAsia" w:hAnsiTheme="minorEastAsia" w:eastAsiaTheme="minorEastAsia" w:cstheme="minorEastAsia"/>
          <w:sz w:val="24"/>
          <w:szCs w:val="24"/>
        </w:rPr>
        <w:t>3.供应商的资格要求</w:t>
      </w:r>
      <w:bookmarkEnd w:id="60"/>
      <w:bookmarkEnd w:id="61"/>
      <w:bookmarkEnd w:id="62"/>
      <w:bookmarkEnd w:id="63"/>
      <w:bookmarkEnd w:id="64"/>
      <w:bookmarkEnd w:id="65"/>
    </w:p>
    <w:p w14:paraId="15C831C8">
      <w:pPr>
        <w:adjustRightInd w:val="0"/>
        <w:snapToGrid w:val="0"/>
        <w:spacing w:before="156" w:beforeLines="50" w:after="0" w:line="560" w:lineRule="exact"/>
        <w:ind w:firstLine="240" w:firstLineChars="100"/>
        <w:outlineLvl w:val="9"/>
        <w:rPr>
          <w:rFonts w:hint="eastAsia" w:asciiTheme="minorEastAsia" w:hAnsiTheme="minorEastAsia" w:eastAsiaTheme="minorEastAsia" w:cstheme="minorEastAsia"/>
          <w:b w:val="0"/>
          <w:bCs w:val="0"/>
          <w:kern w:val="2"/>
          <w:sz w:val="24"/>
          <w:szCs w:val="24"/>
          <w:lang w:val="en-US" w:eastAsia="zh-CN" w:bidi="ar-SA"/>
        </w:rPr>
      </w:pPr>
      <w:bookmarkStart w:id="66" w:name="_Toc29322_WPSOffice_Level3"/>
      <w:bookmarkStart w:id="67" w:name="_Toc18921"/>
      <w:bookmarkStart w:id="68" w:name="_Toc24112_WPSOffice_Level3"/>
      <w:bookmarkStart w:id="69" w:name="_Toc15386"/>
      <w:r>
        <w:rPr>
          <w:rFonts w:hint="eastAsia" w:asciiTheme="minorEastAsia" w:hAnsiTheme="minorEastAsia" w:eastAsiaTheme="minorEastAsia" w:cstheme="minorEastAsia"/>
          <w:b w:val="0"/>
          <w:bCs w:val="0"/>
          <w:kern w:val="2"/>
          <w:sz w:val="24"/>
          <w:szCs w:val="24"/>
          <w:lang w:val="en-US" w:eastAsia="zh-CN" w:bidi="ar-SA"/>
        </w:rPr>
        <w:t>符合《政府采购法》第22条条件，并提供下列材料:</w:t>
      </w:r>
    </w:p>
    <w:p w14:paraId="58440A98">
      <w:pPr>
        <w:adjustRightInd w:val="0"/>
        <w:snapToGrid w:val="0"/>
        <w:spacing w:before="156" w:beforeLines="50" w:after="0" w:line="560" w:lineRule="exact"/>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1、符合《政府采购法》第22条条件，并提供下列材料：</w:t>
      </w:r>
    </w:p>
    <w:p w14:paraId="6299CA41">
      <w:pPr>
        <w:adjustRightInd w:val="0"/>
        <w:snapToGrid w:val="0"/>
        <w:spacing w:before="156" w:beforeLines="50" w:after="0" w:line="560" w:lineRule="exact"/>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&lt;1&gt;供应商的营业执照等证明文件，自然人的身份证明。</w:t>
      </w:r>
    </w:p>
    <w:p w14:paraId="04EB65E6">
      <w:pPr>
        <w:adjustRightInd w:val="0"/>
        <w:snapToGrid w:val="0"/>
        <w:spacing w:before="156" w:beforeLines="50" w:after="0" w:line="560" w:lineRule="exact"/>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&lt;2&gt;财务状况报告，依法缴纳税收和社会保障资金的相关材料。</w:t>
      </w:r>
    </w:p>
    <w:p w14:paraId="4DE75CDE">
      <w:pPr>
        <w:adjustRightInd w:val="0"/>
        <w:snapToGrid w:val="0"/>
        <w:spacing w:before="156" w:beforeLines="50" w:after="0" w:line="560" w:lineRule="exact"/>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&lt;3&gt;具备履行合同所必需的设备和专业技术能力的证明材料。</w:t>
      </w:r>
    </w:p>
    <w:p w14:paraId="06EAD241">
      <w:pPr>
        <w:adjustRightInd w:val="0"/>
        <w:snapToGrid w:val="0"/>
        <w:spacing w:before="156" w:beforeLines="50" w:after="0" w:line="560" w:lineRule="exact"/>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&lt;4&gt;参加政府采购活动前3年内在经营活动中没有重大违法记录的书面声明。</w:t>
      </w:r>
    </w:p>
    <w:p w14:paraId="3F716E6F">
      <w:pPr>
        <w:adjustRightInd w:val="0"/>
        <w:snapToGrid w:val="0"/>
        <w:spacing w:before="156" w:beforeLines="50" w:after="0" w:line="560" w:lineRule="exact"/>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&lt;5&gt;具备法律、行政法规规定的其他条件的证明材料。</w:t>
      </w:r>
    </w:p>
    <w:p w14:paraId="63B6AE6D">
      <w:pPr>
        <w:adjustRightInd w:val="0"/>
        <w:snapToGrid w:val="0"/>
        <w:spacing w:before="156" w:beforeLines="50" w:after="0" w:line="560" w:lineRule="exact"/>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10天内）；</w:t>
      </w:r>
    </w:p>
    <w:p w14:paraId="3A7B4BD4">
      <w:pPr>
        <w:adjustRightInd w:val="0"/>
        <w:snapToGrid w:val="0"/>
        <w:spacing w:before="156" w:beforeLines="50" w:after="0" w:line="560" w:lineRule="exact"/>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3、单位负责人为同一人或者存在直接控股、管理关系的不同供应商，不得参加同一合同项下的政府采购活动。否则，皆取消投标资格；</w:t>
      </w:r>
    </w:p>
    <w:p w14:paraId="161626CB">
      <w:pPr>
        <w:adjustRightInd w:val="0"/>
        <w:snapToGrid w:val="0"/>
        <w:spacing w:before="156" w:beforeLines="50" w:after="0" w:line="560" w:lineRule="exact"/>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4、为本采购项目提供整体设计、规范编制或者项目管理、监理、检测等服务的供应商，不得再参加该采购项目的其他采购活动；</w:t>
      </w:r>
    </w:p>
    <w:p w14:paraId="126724F8">
      <w:pPr>
        <w:adjustRightInd w:val="0"/>
        <w:snapToGrid w:val="0"/>
        <w:spacing w:before="156" w:beforeLines="50" w:after="0" w:line="560" w:lineRule="exact"/>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5、本项目不接受供应商以联合体方式进行投标；</w:t>
      </w:r>
    </w:p>
    <w:p w14:paraId="4CD5BE3D">
      <w:pPr>
        <w:adjustRightInd w:val="0"/>
        <w:snapToGrid w:val="0"/>
        <w:spacing w:before="156" w:beforeLines="50" w:after="0" w:line="560" w:lineRule="exact"/>
        <w:ind w:firstLine="480" w:firstLineChars="200"/>
        <w:outlineLvl w:val="2"/>
        <w:rPr>
          <w:rFonts w:hint="eastAsia" w:ascii="宋体" w:hAnsi="宋体" w:cs="宋体"/>
          <w:sz w:val="24"/>
          <w:szCs w:val="24"/>
          <w:lang w:val="en-US" w:eastAsia="zh-CN"/>
        </w:rPr>
      </w:pPr>
      <w:bookmarkStart w:id="70" w:name="_Toc17103"/>
      <w:bookmarkStart w:id="71" w:name="_Toc23396"/>
      <w:r>
        <w:rPr>
          <w:rFonts w:hint="eastAsia" w:ascii="宋体" w:hAnsi="宋体" w:cs="宋体"/>
          <w:sz w:val="24"/>
          <w:szCs w:val="24"/>
          <w:lang w:val="en-US" w:eastAsia="zh-CN"/>
        </w:rPr>
        <w:t>6、落实政府采购政策需满足的资格要求：本项目为专门面向小微企业采购，供应商须提供《小微企业声明函》或《残疾人福利性单位声明函》或《监狱企业证明材料》。</w:t>
      </w:r>
    </w:p>
    <w:p w14:paraId="5AABA144">
      <w:pPr>
        <w:adjustRightInd w:val="0"/>
        <w:snapToGrid w:val="0"/>
        <w:spacing w:before="156" w:beforeLines="50" w:after="0" w:line="560" w:lineRule="exact"/>
        <w:ind w:firstLine="482" w:firstLineChars="200"/>
        <w:outlineLvl w:val="2"/>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4.谈判费用</w:t>
      </w:r>
      <w:bookmarkEnd w:id="66"/>
      <w:bookmarkEnd w:id="67"/>
      <w:bookmarkEnd w:id="68"/>
      <w:bookmarkEnd w:id="69"/>
      <w:bookmarkEnd w:id="70"/>
      <w:bookmarkEnd w:id="71"/>
      <w:r>
        <w:rPr>
          <w:rFonts w:hint="eastAsia" w:asciiTheme="minorEastAsia" w:hAnsiTheme="minorEastAsia" w:eastAsiaTheme="minorEastAsia" w:cstheme="minorEastAsia"/>
          <w:b/>
          <w:bCs/>
          <w:kern w:val="2"/>
          <w:sz w:val="24"/>
          <w:szCs w:val="24"/>
          <w:lang w:val="en-US" w:eastAsia="zh-CN" w:bidi="ar-SA"/>
        </w:rPr>
        <w:t xml:space="preserve"> </w:t>
      </w:r>
    </w:p>
    <w:p w14:paraId="722B9646">
      <w:pPr>
        <w:adjustRightInd w:val="0"/>
        <w:snapToGrid w:val="0"/>
        <w:spacing w:before="156" w:beforeLines="50" w:line="560" w:lineRule="exact"/>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无论谈判的结果如何，供应商应自行承担所有与竞争性谈判采购活动有关的全部费用。</w:t>
      </w:r>
    </w:p>
    <w:p w14:paraId="5A50A70F">
      <w:pPr>
        <w:adjustRightInd w:val="0"/>
        <w:snapToGrid w:val="0"/>
        <w:spacing w:before="156" w:beforeLines="50" w:line="560" w:lineRule="exact"/>
        <w:jc w:val="center"/>
        <w:outlineLvl w:val="1"/>
        <w:rPr>
          <w:rFonts w:hint="eastAsia" w:asciiTheme="minorEastAsia" w:hAnsiTheme="minorEastAsia" w:eastAsiaTheme="minorEastAsia" w:cstheme="minorEastAsia"/>
          <w:sz w:val="24"/>
          <w:szCs w:val="24"/>
        </w:rPr>
      </w:pPr>
      <w:bookmarkStart w:id="72" w:name="_Toc24182"/>
      <w:bookmarkStart w:id="73" w:name="_Toc2404_WPSOffice_Level2"/>
      <w:bookmarkStart w:id="74" w:name="_Toc4912_WPSOffice_Level2"/>
      <w:bookmarkStart w:id="75" w:name="_Toc19663_WPSOffice_Level2"/>
      <w:bookmarkStart w:id="76" w:name="_Toc28758"/>
      <w:bookmarkStart w:id="77" w:name="_Toc24356"/>
      <w:bookmarkStart w:id="78" w:name="_Toc34637766"/>
      <w:bookmarkStart w:id="79" w:name="_Toc28716"/>
      <w:r>
        <w:rPr>
          <w:rFonts w:hint="eastAsia" w:asciiTheme="minorEastAsia" w:hAnsiTheme="minorEastAsia" w:eastAsiaTheme="minorEastAsia" w:cstheme="minorEastAsia"/>
          <w:sz w:val="24"/>
          <w:szCs w:val="24"/>
        </w:rPr>
        <w:t>二、谈判文件</w:t>
      </w:r>
      <w:bookmarkEnd w:id="72"/>
      <w:bookmarkEnd w:id="73"/>
      <w:bookmarkEnd w:id="74"/>
      <w:bookmarkEnd w:id="75"/>
      <w:bookmarkEnd w:id="76"/>
      <w:bookmarkEnd w:id="77"/>
      <w:bookmarkEnd w:id="78"/>
      <w:bookmarkEnd w:id="79"/>
    </w:p>
    <w:p w14:paraId="692005D2">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80" w:name="_Toc18786_WPSOffice_Level3"/>
      <w:bookmarkStart w:id="81" w:name="_Toc29785_WPSOffice_Level3"/>
      <w:bookmarkStart w:id="82" w:name="_Toc16054"/>
      <w:bookmarkStart w:id="83" w:name="_Toc21516"/>
      <w:bookmarkStart w:id="84" w:name="_Toc14464"/>
      <w:bookmarkStart w:id="85" w:name="_Toc1826"/>
      <w:r>
        <w:rPr>
          <w:rFonts w:hint="eastAsia" w:asciiTheme="minorEastAsia" w:hAnsiTheme="minorEastAsia" w:eastAsiaTheme="minorEastAsia" w:cstheme="minorEastAsia"/>
          <w:sz w:val="24"/>
          <w:szCs w:val="24"/>
        </w:rPr>
        <w:t>5.谈判文件的组成</w:t>
      </w:r>
      <w:bookmarkEnd w:id="80"/>
      <w:bookmarkEnd w:id="81"/>
      <w:bookmarkEnd w:id="82"/>
      <w:bookmarkEnd w:id="83"/>
      <w:bookmarkEnd w:id="84"/>
      <w:bookmarkEnd w:id="85"/>
    </w:p>
    <w:p w14:paraId="40876B7B">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5.1谈判文件由下列文件组成：</w:t>
      </w:r>
    </w:p>
    <w:p w14:paraId="01C21CE3">
      <w:pPr>
        <w:pStyle w:val="8"/>
        <w:numPr>
          <w:ilvl w:val="0"/>
          <w:numId w:val="4"/>
        </w:numPr>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谈判邀请</w:t>
      </w:r>
    </w:p>
    <w:p w14:paraId="2195D136">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（2）谈判须知</w:t>
      </w:r>
    </w:p>
    <w:p w14:paraId="028FB771">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（3）采购需求</w:t>
      </w:r>
    </w:p>
    <w:p w14:paraId="7164C0FE">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（4）谈判响应文件格式</w:t>
      </w:r>
    </w:p>
    <w:p w14:paraId="4A487231">
      <w:pPr>
        <w:pStyle w:val="8"/>
        <w:adjustRightInd w:val="0"/>
        <w:snapToGrid w:val="0"/>
        <w:spacing w:line="560" w:lineRule="exact"/>
        <w:ind w:firstLine="480" w:firstLineChars="200"/>
        <w:rPr>
          <w:rFonts w:hint="eastAsia"/>
          <w:sz w:val="24"/>
          <w:szCs w:val="24"/>
        </w:rPr>
      </w:pPr>
      <w:r>
        <w:rPr>
          <w:rFonts w:hint="eastAsia" w:asciiTheme="minorEastAsia" w:hAnsiTheme="minorEastAsia" w:eastAsiaTheme="minorEastAsia" w:cstheme="minorEastAsia"/>
          <w:sz w:val="24"/>
          <w:szCs w:val="24"/>
        </w:rPr>
        <w:t>（5）政府采购项目合同书范本</w:t>
      </w:r>
      <w:r>
        <w:rPr>
          <w:rFonts w:hint="eastAsia" w:asciiTheme="minorEastAsia" w:hAnsiTheme="minorEastAsia" w:eastAsiaTheme="minorEastAsia" w:cstheme="minorEastAsia"/>
          <w:b w:val="0"/>
          <w:bCs w:val="0"/>
          <w:kern w:val="2"/>
          <w:sz w:val="24"/>
          <w:szCs w:val="24"/>
          <w:lang w:val="en-US" w:eastAsia="zh-CN" w:bidi="ar-SA"/>
        </w:rPr>
        <w:t xml:space="preserve">   </w:t>
      </w:r>
      <w:r>
        <w:rPr>
          <w:rFonts w:hint="eastAsia"/>
          <w:sz w:val="24"/>
          <w:szCs w:val="24"/>
          <w:lang w:val="en-US" w:eastAsia="zh-CN"/>
        </w:rPr>
        <w:t xml:space="preserve">         </w:t>
      </w:r>
    </w:p>
    <w:p w14:paraId="7A7E90A8">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5.2采购人、采购代理机构或者谈判小组在提交首次响应文件截止之日前对已发出的谈判文件进行的澄清或者修改，构成谈判文件的组成部分。</w:t>
      </w:r>
    </w:p>
    <w:p w14:paraId="7BC5336B">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5.3谈判文件中，谈判小组根据与供应商谈判情况可能实质性变动的内容见【谈判须知前附表】。对谈判文件作出的实质性变动是谈判文件的有效组成部分。</w:t>
      </w:r>
    </w:p>
    <w:p w14:paraId="0D4831D0">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86" w:name="_Toc14755"/>
      <w:bookmarkStart w:id="87" w:name="_Toc21161"/>
      <w:bookmarkStart w:id="88" w:name="_Toc1317"/>
      <w:bookmarkStart w:id="89" w:name="_Toc25455_WPSOffice_Level3"/>
      <w:bookmarkStart w:id="90" w:name="_Toc31604_WPSOffice_Level3"/>
      <w:bookmarkStart w:id="91" w:name="_Toc18056"/>
      <w:r>
        <w:rPr>
          <w:rFonts w:hint="eastAsia" w:asciiTheme="minorEastAsia" w:hAnsiTheme="minorEastAsia" w:eastAsiaTheme="minorEastAsia" w:cstheme="minorEastAsia"/>
          <w:sz w:val="24"/>
          <w:szCs w:val="24"/>
        </w:rPr>
        <w:t>6.谈判文件的澄清</w:t>
      </w:r>
      <w:r>
        <w:rPr>
          <w:rFonts w:hint="eastAsia" w:asciiTheme="minorEastAsia" w:hAnsiTheme="minorEastAsia" w:eastAsiaTheme="minorEastAsia" w:cstheme="minorEastAsia"/>
          <w:sz w:val="24"/>
          <w:szCs w:val="24"/>
          <w:lang w:val="zh-CN"/>
        </w:rPr>
        <w:t>或者</w:t>
      </w:r>
      <w:r>
        <w:rPr>
          <w:rFonts w:hint="eastAsia" w:asciiTheme="minorEastAsia" w:hAnsiTheme="minorEastAsia" w:eastAsiaTheme="minorEastAsia" w:cstheme="minorEastAsia"/>
          <w:sz w:val="24"/>
          <w:szCs w:val="24"/>
        </w:rPr>
        <w:t>修改</w:t>
      </w:r>
      <w:bookmarkEnd w:id="86"/>
      <w:bookmarkEnd w:id="87"/>
      <w:bookmarkEnd w:id="88"/>
      <w:bookmarkEnd w:id="89"/>
      <w:bookmarkEnd w:id="90"/>
      <w:bookmarkEnd w:id="91"/>
    </w:p>
    <w:p w14:paraId="741581F7">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6.1在提交首次响应文件截止之日前，采购人、采购代理机构或者谈判小组可以对已发出的谈判文件进行必要的澄清或者修改。</w:t>
      </w:r>
    </w:p>
    <w:p w14:paraId="3EA1A796">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7F6CC24C">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92" w:name="_Toc30"/>
      <w:bookmarkStart w:id="93" w:name="_Toc4138_WPSOffice_Level3"/>
      <w:bookmarkStart w:id="94" w:name="_Toc19891"/>
      <w:bookmarkStart w:id="95" w:name="_Toc27004"/>
      <w:bookmarkStart w:id="96" w:name="_Toc25126"/>
      <w:bookmarkStart w:id="97" w:name="_Toc11690"/>
      <w:bookmarkStart w:id="98" w:name="_Toc6866_WPSOffice_Level3"/>
      <w:bookmarkStart w:id="99" w:name="_Toc34637767"/>
      <w:r>
        <w:rPr>
          <w:rFonts w:hint="eastAsia" w:asciiTheme="minorEastAsia" w:hAnsiTheme="minorEastAsia" w:eastAsiaTheme="minorEastAsia" w:cstheme="minorEastAsia"/>
          <w:sz w:val="24"/>
          <w:szCs w:val="24"/>
        </w:rPr>
        <w:t>7.谈判文件的询问或质疑</w:t>
      </w:r>
      <w:bookmarkEnd w:id="92"/>
      <w:bookmarkEnd w:id="93"/>
      <w:bookmarkEnd w:id="94"/>
      <w:bookmarkEnd w:id="95"/>
      <w:bookmarkEnd w:id="96"/>
      <w:bookmarkEnd w:id="97"/>
      <w:bookmarkEnd w:id="98"/>
    </w:p>
    <w:p w14:paraId="583AB59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7.1供应商对谈判文件有疑问的，可以向采购人、采购代理机构提出询问。</w:t>
      </w:r>
    </w:p>
    <w:p w14:paraId="776818A5">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77887B0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7.3供应商认为谈判文件使自己的权益受到损害的，应以书面形式提出质疑（不接受匿名质疑），供应商须在法定质疑期内一次性提出针对同一采购程序环节的质疑。</w:t>
      </w:r>
    </w:p>
    <w:p w14:paraId="13912807">
      <w:pPr>
        <w:adjustRightInd w:val="0"/>
        <w:snapToGrid w:val="0"/>
        <w:spacing w:before="156" w:beforeLines="50" w:line="560" w:lineRule="exact"/>
        <w:ind w:firstLine="480" w:firstLineChars="200"/>
        <w:jc w:val="center"/>
        <w:outlineLvl w:val="1"/>
        <w:rPr>
          <w:rFonts w:hint="eastAsia" w:asciiTheme="minorEastAsia" w:hAnsiTheme="minorEastAsia" w:eastAsiaTheme="minorEastAsia" w:cstheme="minorEastAsia"/>
          <w:sz w:val="24"/>
          <w:szCs w:val="24"/>
        </w:rPr>
      </w:pPr>
      <w:bookmarkStart w:id="100" w:name="_Toc955_WPSOffice_Level2"/>
      <w:bookmarkStart w:id="101" w:name="_Toc6621"/>
      <w:bookmarkStart w:id="102" w:name="_Toc16902"/>
      <w:bookmarkStart w:id="103" w:name="_Toc28815"/>
      <w:bookmarkStart w:id="104" w:name="_Toc5732_WPSOffice_Level2"/>
      <w:bookmarkStart w:id="105" w:name="_Toc23235_WPSOffice_Level2"/>
      <w:r>
        <w:rPr>
          <w:rFonts w:hint="eastAsia" w:asciiTheme="minorEastAsia" w:hAnsiTheme="minorEastAsia" w:eastAsiaTheme="minorEastAsia" w:cstheme="minorEastAsia"/>
          <w:sz w:val="24"/>
          <w:szCs w:val="24"/>
        </w:rPr>
        <w:t>三、响应文件</w:t>
      </w:r>
      <w:bookmarkEnd w:id="99"/>
      <w:bookmarkEnd w:id="100"/>
      <w:bookmarkEnd w:id="101"/>
      <w:bookmarkEnd w:id="102"/>
      <w:bookmarkEnd w:id="103"/>
      <w:bookmarkEnd w:id="104"/>
      <w:bookmarkEnd w:id="105"/>
    </w:p>
    <w:p w14:paraId="4F7C5864">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06" w:name="_Toc22626"/>
      <w:bookmarkStart w:id="107" w:name="_Toc10843_WPSOffice_Level3"/>
      <w:bookmarkStart w:id="108" w:name="_Toc17983"/>
      <w:bookmarkStart w:id="109" w:name="_Toc22063"/>
      <w:bookmarkStart w:id="110" w:name="_Toc30586"/>
      <w:bookmarkStart w:id="111" w:name="_Toc1096_WPSOffice_Level3"/>
      <w:bookmarkStart w:id="112" w:name="_Toc2475"/>
      <w:r>
        <w:rPr>
          <w:rFonts w:hint="eastAsia" w:asciiTheme="minorEastAsia" w:hAnsiTheme="minorEastAsia" w:eastAsiaTheme="minorEastAsia" w:cstheme="minorEastAsia"/>
          <w:sz w:val="24"/>
          <w:szCs w:val="24"/>
        </w:rPr>
        <w:t>8.一般要求</w:t>
      </w:r>
      <w:bookmarkEnd w:id="106"/>
      <w:bookmarkEnd w:id="107"/>
      <w:bookmarkEnd w:id="108"/>
      <w:bookmarkEnd w:id="109"/>
      <w:bookmarkEnd w:id="110"/>
      <w:bookmarkEnd w:id="111"/>
      <w:bookmarkEnd w:id="112"/>
    </w:p>
    <w:p w14:paraId="6B07B772">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449ADC1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2A31543B">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8.3除谈判文件中另有规定外，谈判响应文件所使用的度量衡单位，均须采用国家法定计量单位。未列明时应默认为我国法定计量单位。</w:t>
      </w:r>
    </w:p>
    <w:p w14:paraId="3F76F109">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8.4响应文件应采用书面形式，电报、传真、电子邮件形式的响应文件概不接受。</w:t>
      </w:r>
    </w:p>
    <w:p w14:paraId="16839E29">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8.5供应商应按谈判文件中提供的响应文件格式进行填写。</w:t>
      </w:r>
    </w:p>
    <w:p w14:paraId="47DFD53D">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13" w:name="_Toc16298"/>
      <w:bookmarkStart w:id="114" w:name="_Toc16030"/>
      <w:bookmarkStart w:id="115" w:name="_Toc12007"/>
      <w:bookmarkStart w:id="116" w:name="_Toc12696"/>
      <w:bookmarkStart w:id="117" w:name="_Toc14527_WPSOffice_Level3"/>
      <w:bookmarkStart w:id="118" w:name="_Toc20423_WPSOffice_Level3"/>
      <w:r>
        <w:rPr>
          <w:rFonts w:hint="eastAsia" w:asciiTheme="minorEastAsia" w:hAnsiTheme="minorEastAsia" w:eastAsiaTheme="minorEastAsia" w:cstheme="minorEastAsia"/>
          <w:sz w:val="24"/>
          <w:szCs w:val="24"/>
        </w:rPr>
        <w:t>9.报价要求</w:t>
      </w:r>
      <w:bookmarkEnd w:id="113"/>
      <w:bookmarkEnd w:id="114"/>
      <w:bookmarkEnd w:id="115"/>
      <w:bookmarkEnd w:id="116"/>
      <w:bookmarkEnd w:id="117"/>
      <w:bookmarkEnd w:id="118"/>
    </w:p>
    <w:p w14:paraId="4990E53F">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9.1供应商应当根据谈判文件“分项报价表”逐一报价；</w:t>
      </w:r>
    </w:p>
    <w:p w14:paraId="7FD6A2A3">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9.2在首次报价表、分项报价表、最后报价表填写报价时应注意下列要求：</w:t>
      </w:r>
    </w:p>
    <w:p w14:paraId="4BB545C5">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（1）采购需求要求的</w:t>
      </w:r>
      <w:r>
        <w:rPr>
          <w:rFonts w:hint="eastAsia" w:asciiTheme="minorEastAsia" w:hAnsiTheme="minorEastAsia" w:eastAsiaTheme="minorEastAsia" w:cstheme="minorEastAsia"/>
          <w:sz w:val="24"/>
          <w:szCs w:val="24"/>
          <w:lang w:val="en-US" w:eastAsia="zh-CN"/>
        </w:rPr>
        <w:t>各项服务费</w:t>
      </w:r>
      <w:r>
        <w:rPr>
          <w:rFonts w:hint="eastAsia" w:asciiTheme="minorEastAsia" w:hAnsiTheme="minorEastAsia" w:eastAsiaTheme="minorEastAsia" w:cstheme="minorEastAsia"/>
          <w:sz w:val="24"/>
          <w:szCs w:val="24"/>
          <w:lang w:val="zh-CN"/>
        </w:rPr>
        <w:t>、招标代理费、税金及不可预见费等全部费用</w:t>
      </w:r>
      <w:r>
        <w:rPr>
          <w:rFonts w:hint="eastAsia" w:asciiTheme="minorEastAsia" w:hAnsiTheme="minorEastAsia" w:eastAsiaTheme="minorEastAsia" w:cstheme="minorEastAsia"/>
          <w:sz w:val="24"/>
          <w:szCs w:val="24"/>
        </w:rPr>
        <w:t>。</w:t>
      </w:r>
    </w:p>
    <w:p w14:paraId="0FA6CD1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（2）所有根据合同或其它原因应由供应商交纳和支付的税款和费用。</w:t>
      </w:r>
    </w:p>
    <w:p w14:paraId="308BE207">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（3）供应商报价应为完成本竞争性谈判文件中所要求的货物/服务/工程所应包括内容的所有价格。</w:t>
      </w:r>
    </w:p>
    <w:p w14:paraId="3541509C">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zh-CN"/>
        </w:rPr>
        <w:t>供应商</w:t>
      </w:r>
      <w:r>
        <w:rPr>
          <w:rFonts w:hint="eastAsia" w:asciiTheme="minorEastAsia" w:hAnsiTheme="minorEastAsia" w:eastAsiaTheme="minorEastAsia" w:cstheme="minorEastAsia"/>
          <w:sz w:val="24"/>
          <w:szCs w:val="24"/>
        </w:rPr>
        <w:t>的每次报价均不得超过采购项目预算，否则视为无效响应。采购项目预算见【谈判须知前附表】。</w:t>
      </w:r>
    </w:p>
    <w:p w14:paraId="3440AD3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9.4供应商提交的最后报价在合同执行过程中是固定不变的，不得以任何理由予以变更。以可变动价格提交的报价将被认为是非实质响应而被拒绝。</w:t>
      </w:r>
    </w:p>
    <w:p w14:paraId="639890B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9.5谈判报价为总价。供应商须按要求填写谈判总报价，最后报价不得出现两个或两个以上的报价方案。 </w:t>
      </w:r>
    </w:p>
    <w:p w14:paraId="1689358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9.6报价币种为人民币。</w:t>
      </w:r>
    </w:p>
    <w:p w14:paraId="257CE08E">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19" w:name="_Toc19609_WPSOffice_Level3"/>
      <w:bookmarkStart w:id="120" w:name="_Toc24956_WPSOffice_Level3"/>
      <w:bookmarkStart w:id="121" w:name="_Toc23737"/>
      <w:bookmarkStart w:id="122" w:name="_Toc32375"/>
      <w:bookmarkStart w:id="123" w:name="_Toc30839"/>
      <w:bookmarkStart w:id="124" w:name="_Toc30481"/>
      <w:r>
        <w:rPr>
          <w:rFonts w:hint="eastAsia" w:asciiTheme="minorEastAsia" w:hAnsiTheme="minorEastAsia" w:eastAsiaTheme="minorEastAsia" w:cstheme="minorEastAsia"/>
          <w:sz w:val="24"/>
          <w:szCs w:val="24"/>
        </w:rPr>
        <w:t>10.保证金</w:t>
      </w:r>
      <w:bookmarkEnd w:id="119"/>
      <w:bookmarkEnd w:id="120"/>
      <w:bookmarkEnd w:id="121"/>
      <w:bookmarkEnd w:id="122"/>
      <w:bookmarkEnd w:id="123"/>
      <w:bookmarkEnd w:id="124"/>
    </w:p>
    <w:p w14:paraId="2D8ED02D">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487A5AB6">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zh-CN"/>
        </w:rPr>
        <w:t>供应商为联合体的，可以由联合体中的一方或者共同交纳保证金，其交纳的保证金，对联合体各方均具有约束力。</w:t>
      </w:r>
      <w:r>
        <w:rPr>
          <w:rFonts w:hint="eastAsia" w:asciiTheme="minorEastAsia" w:hAnsiTheme="minorEastAsia" w:eastAsiaTheme="minorEastAsia" w:cstheme="minorEastAsia"/>
          <w:sz w:val="24"/>
          <w:szCs w:val="24"/>
        </w:rPr>
        <w:t xml:space="preserve">                                           </w:t>
      </w:r>
    </w:p>
    <w:p w14:paraId="39589DAB">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10.3保证金的退还按以下规定办理：</w:t>
      </w:r>
    </w:p>
    <w:p w14:paraId="18A97E95">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（1）成交供应商的保证金，在政府采购合同签订后5个工作日内退还，但因供应商自身原因导致无法退还的除外。</w:t>
      </w:r>
    </w:p>
    <w:p w14:paraId="097E9B2E">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（2）未成交供应商的保证金，在成交通知书发出后5个工作日内退还。</w:t>
      </w:r>
    </w:p>
    <w:p w14:paraId="09DB5E65">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（3）终止竞争性谈判采购活动的，在发布项目终止公告后5个工作日内退还。</w:t>
      </w:r>
    </w:p>
    <w:p w14:paraId="4864E982">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10.4有下列情形之一的，保证金不予退还，并上缴同级财政国库：</w:t>
      </w:r>
    </w:p>
    <w:p w14:paraId="2ED23F1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（1）供应商在提交响应文件截止时间后撤回响应文件的；</w:t>
      </w:r>
    </w:p>
    <w:p w14:paraId="5891A23E">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（2）供应商在响应文件中提供虚假材料的；</w:t>
      </w:r>
    </w:p>
    <w:p w14:paraId="7983E29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（3）除因不可抗力或谈判文件认可的情形以外，成交供应商不与采购人签订合同的； </w:t>
      </w:r>
    </w:p>
    <w:p w14:paraId="6DCC2B5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（4）供应商与采购人、其他供应商或者采购代理机构恶意串通的； </w:t>
      </w:r>
    </w:p>
    <w:p w14:paraId="5E7E0BC1">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（5）谈判文件规定的其他情形。</w:t>
      </w:r>
    </w:p>
    <w:p w14:paraId="1267D685">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25" w:name="_Toc4945_WPSOffice_Level3"/>
      <w:bookmarkStart w:id="126" w:name="_Toc5897"/>
      <w:bookmarkStart w:id="127" w:name="_Toc18765_WPSOffice_Level3"/>
      <w:bookmarkStart w:id="128" w:name="_Toc24350"/>
      <w:bookmarkStart w:id="129" w:name="_Toc6790"/>
      <w:bookmarkStart w:id="130" w:name="_Toc14144"/>
      <w:r>
        <w:rPr>
          <w:rFonts w:hint="eastAsia" w:asciiTheme="minorEastAsia" w:hAnsiTheme="minorEastAsia" w:eastAsiaTheme="minorEastAsia" w:cstheme="minorEastAsia"/>
          <w:sz w:val="24"/>
          <w:szCs w:val="24"/>
        </w:rPr>
        <w:t>11.响应文件的组成</w:t>
      </w:r>
      <w:bookmarkEnd w:id="125"/>
      <w:bookmarkEnd w:id="126"/>
      <w:bookmarkEnd w:id="127"/>
      <w:bookmarkEnd w:id="128"/>
      <w:bookmarkEnd w:id="129"/>
      <w:bookmarkEnd w:id="130"/>
    </w:p>
    <w:p w14:paraId="2F05A1A4">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11.1响应文件包括下列内容： </w:t>
      </w:r>
    </w:p>
    <w:p w14:paraId="33A815B4">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供应商应提交相关证明材料，作为其参加谈判和成交后有能力履行合同的证明。编写的谈判响应文件须包括以下内容（格式详见谈判文件第四部分内容）：</w:t>
      </w:r>
    </w:p>
    <w:p w14:paraId="1D15BB73">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响应函</w:t>
      </w:r>
    </w:p>
    <w:p w14:paraId="5EFE9F3D">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（2）法定代表人证明书</w:t>
      </w:r>
    </w:p>
    <w:p w14:paraId="67101D72">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（3）法定代表人授权书</w:t>
      </w:r>
    </w:p>
    <w:p w14:paraId="49214D7A">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（4）供应商承诺函</w:t>
      </w:r>
    </w:p>
    <w:p w14:paraId="4A2A65B7">
      <w:pPr>
        <w:pStyle w:val="8"/>
        <w:adjustRightInd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（5）供应商诚信承诺书</w:t>
      </w:r>
    </w:p>
    <w:p w14:paraId="38E8968B">
      <w:pPr>
        <w:pStyle w:val="8"/>
        <w:adjustRightInd w:val="0"/>
        <w:snapToGrid w:val="0"/>
        <w:spacing w:line="560" w:lineRule="exact"/>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（6）供应商资格证明文件附件</w:t>
      </w:r>
    </w:p>
    <w:p w14:paraId="588E218F">
      <w:pPr>
        <w:pStyle w:val="8"/>
        <w:adjustRightInd w:val="0"/>
        <w:snapToGrid w:val="0"/>
        <w:spacing w:line="560" w:lineRule="exact"/>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（7）财务状况、缴纳税收和社会保障资金证明</w:t>
      </w:r>
    </w:p>
    <w:p w14:paraId="5FFFD1E9">
      <w:pPr>
        <w:pStyle w:val="8"/>
        <w:adjustRightInd w:val="0"/>
        <w:snapToGrid w:val="0"/>
        <w:spacing w:line="560" w:lineRule="exact"/>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（8）无重大违法记录声明</w:t>
      </w:r>
    </w:p>
    <w:p w14:paraId="7AA38242">
      <w:pPr>
        <w:pStyle w:val="8"/>
        <w:adjustRightInd w:val="0"/>
        <w:snapToGrid w:val="0"/>
        <w:spacing w:line="560" w:lineRule="exact"/>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（9）谈判保证金证明</w:t>
      </w:r>
    </w:p>
    <w:p w14:paraId="1834E84B">
      <w:pPr>
        <w:pStyle w:val="8"/>
        <w:adjustRightInd w:val="0"/>
        <w:snapToGrid w:val="0"/>
        <w:spacing w:line="560" w:lineRule="exact"/>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（10）谈判首次报价表</w:t>
      </w:r>
    </w:p>
    <w:p w14:paraId="532934E4">
      <w:pPr>
        <w:pStyle w:val="8"/>
        <w:adjustRightInd w:val="0"/>
        <w:snapToGrid w:val="0"/>
        <w:spacing w:line="560" w:lineRule="exact"/>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（11）分项报价表</w:t>
      </w:r>
    </w:p>
    <w:p w14:paraId="44D2B9E8">
      <w:pPr>
        <w:pStyle w:val="8"/>
        <w:adjustRightInd w:val="0"/>
        <w:snapToGrid w:val="0"/>
        <w:spacing w:line="560" w:lineRule="exact"/>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（12）技术规格响应表</w:t>
      </w:r>
    </w:p>
    <w:p w14:paraId="3EF1C89A">
      <w:pPr>
        <w:pStyle w:val="8"/>
        <w:adjustRightInd w:val="0"/>
        <w:snapToGrid w:val="0"/>
        <w:spacing w:line="560" w:lineRule="exact"/>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（13）投标产品相关资料</w:t>
      </w:r>
    </w:p>
    <w:p w14:paraId="41F125C2">
      <w:pPr>
        <w:pStyle w:val="8"/>
        <w:adjustRightInd w:val="0"/>
        <w:snapToGrid w:val="0"/>
        <w:spacing w:line="560" w:lineRule="exact"/>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（14）具备履行合同所必须的设备和专业技术能力证明</w:t>
      </w:r>
    </w:p>
    <w:p w14:paraId="7A9BB94C">
      <w:pPr>
        <w:pStyle w:val="8"/>
        <w:adjustRightInd w:val="0"/>
        <w:snapToGrid w:val="0"/>
        <w:spacing w:line="560" w:lineRule="exact"/>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（15）享受政府采购政策优惠的证明资料</w:t>
      </w:r>
    </w:p>
    <w:p w14:paraId="274BB1E5">
      <w:pPr>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（16）供应商认为在其他方面有必要说明的事项</w:t>
      </w:r>
    </w:p>
    <w:p w14:paraId="6594AE6F">
      <w:pPr>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（17）最后报价表</w:t>
      </w:r>
    </w:p>
    <w:p w14:paraId="34BAE0E3">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供应商须按上述内容、顺序和格式编制响应文件，并按要求编制目录、页码，并保证所提供的全部资料真实可信，自愿承担相应责任。</w:t>
      </w:r>
    </w:p>
    <w:p w14:paraId="0240F419">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11.2在谈判过程中，供应商根据谈判小组</w:t>
      </w:r>
      <w:r>
        <w:rPr>
          <w:rFonts w:hint="eastAsia" w:asciiTheme="minorEastAsia" w:hAnsiTheme="minorEastAsia" w:eastAsiaTheme="minorEastAsia" w:cstheme="minorEastAsia"/>
          <w:sz w:val="24"/>
          <w:szCs w:val="24"/>
          <w:lang w:val="en-US" w:eastAsia="zh-CN"/>
        </w:rPr>
        <w:t>组竞谈文件</w:t>
      </w:r>
      <w:r>
        <w:rPr>
          <w:rFonts w:hint="eastAsia" w:asciiTheme="minorEastAsia" w:hAnsiTheme="minorEastAsia" w:eastAsiaTheme="minorEastAsia" w:cstheme="minorEastAsia"/>
          <w:sz w:val="24"/>
          <w:szCs w:val="24"/>
          <w:lang w:val="zh-CN"/>
        </w:rPr>
        <w:t>要求提交的最终报价是响应文件的有效组成部分。</w:t>
      </w:r>
    </w:p>
    <w:p w14:paraId="3BD5044A">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31" w:name="_Toc26621"/>
      <w:bookmarkStart w:id="132" w:name="_Toc14930_WPSOffice_Level3"/>
      <w:bookmarkStart w:id="133" w:name="_Toc14627"/>
      <w:bookmarkStart w:id="134" w:name="_Toc11674"/>
      <w:bookmarkStart w:id="135" w:name="_Toc31888"/>
      <w:bookmarkStart w:id="136" w:name="_Toc3694_WPSOffice_Level3"/>
      <w:r>
        <w:rPr>
          <w:rFonts w:hint="eastAsia" w:asciiTheme="minorEastAsia" w:hAnsiTheme="minorEastAsia" w:eastAsiaTheme="minorEastAsia" w:cstheme="minorEastAsia"/>
          <w:sz w:val="24"/>
          <w:szCs w:val="24"/>
        </w:rPr>
        <w:t>12.响应文件有效期</w:t>
      </w:r>
      <w:bookmarkEnd w:id="131"/>
      <w:bookmarkEnd w:id="132"/>
      <w:bookmarkEnd w:id="133"/>
      <w:bookmarkEnd w:id="134"/>
      <w:bookmarkEnd w:id="135"/>
      <w:bookmarkEnd w:id="136"/>
    </w:p>
    <w:p w14:paraId="7ABE21BF">
      <w:pPr>
        <w:adjustRightInd w:val="0"/>
        <w:snapToGrid w:val="0"/>
        <w:spacing w:before="156" w:beforeLines="50" w:line="560" w:lineRule="exact"/>
        <w:ind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响应文件有效期见【谈判须知前附表】，在此期间响应文件对供应商具有法律约束力，从提交首次响应文件截止时间之日起计算。响应文件有效期不足的将被视为无效响应。</w:t>
      </w:r>
    </w:p>
    <w:p w14:paraId="7083B9A9">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37" w:name="_Toc31682_WPSOffice_Level3"/>
      <w:bookmarkStart w:id="138" w:name="_Toc21033"/>
      <w:bookmarkStart w:id="139" w:name="_Toc26234"/>
      <w:bookmarkStart w:id="140" w:name="_Toc20265"/>
      <w:bookmarkStart w:id="141" w:name="_Toc20588"/>
      <w:bookmarkStart w:id="142" w:name="_Toc8507_WPSOffice_Level3"/>
      <w:r>
        <w:rPr>
          <w:rFonts w:hint="eastAsia" w:asciiTheme="minorEastAsia" w:hAnsiTheme="minorEastAsia" w:eastAsiaTheme="minorEastAsia" w:cstheme="minorEastAsia"/>
          <w:sz w:val="24"/>
          <w:szCs w:val="24"/>
        </w:rPr>
        <w:t>13.响应文件的签署及规定</w:t>
      </w:r>
      <w:bookmarkEnd w:id="137"/>
      <w:bookmarkEnd w:id="138"/>
      <w:bookmarkEnd w:id="139"/>
      <w:bookmarkEnd w:id="140"/>
      <w:bookmarkEnd w:id="141"/>
      <w:bookmarkEnd w:id="142"/>
    </w:p>
    <w:p w14:paraId="3E003E86">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5C185FBC">
      <w:pPr>
        <w:adjustRightInd w:val="0"/>
        <w:snapToGrid w:val="0"/>
        <w:spacing w:line="560" w:lineRule="exact"/>
        <w:ind w:firstLine="480" w:firstLineChars="200"/>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sz w:val="24"/>
          <w:szCs w:val="24"/>
        </w:rPr>
        <w:t xml:space="preserve">13.2 </w:t>
      </w:r>
      <w:r>
        <w:rPr>
          <w:rFonts w:hint="eastAsia" w:asciiTheme="minorEastAsia" w:hAnsiTheme="minorEastAsia" w:eastAsiaTheme="minorEastAsia" w:cstheme="minorEastAsia"/>
          <w:sz w:val="24"/>
          <w:szCs w:val="24"/>
          <w:lang w:val="zh-CN"/>
        </w:rPr>
        <w:t>供应商应按照谈判文件所提供的文件格式，分别填写谈判文件第四部分的内容，应分别注明所提供货物的名称、技术配置及参数、数量和价格等内容；谈判文件要求签字、盖章的地方必须由供应商的法定代表人或委托代理人签字、盖章。</w:t>
      </w:r>
    </w:p>
    <w:p w14:paraId="72F74ED3">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响应文件不得行间插字，若有修改错漏处，应由供应商法定代表人或者其委托代理人签字、加盖公章。否则，将导致响应文件无效。</w:t>
      </w:r>
      <w:r>
        <w:rPr>
          <w:rFonts w:hint="eastAsia" w:asciiTheme="minorEastAsia" w:hAnsiTheme="minorEastAsia" w:eastAsiaTheme="minorEastAsia" w:cstheme="minorEastAsia"/>
          <w:sz w:val="24"/>
          <w:szCs w:val="24"/>
          <w:lang w:val="zh-CN"/>
        </w:rPr>
        <w:t xml:space="preserve"> </w:t>
      </w:r>
    </w:p>
    <w:p w14:paraId="285BDB03">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在谈判过程中，供应商按谈判文件规定和谈判小组要求提交的最后报价(或者重新提交的响应文件和最后报价)，须打印或用不褪色材料书写，并经供应商代表签字，或者加盖供应商单位公章。否则，将导致响应文件无效。</w:t>
      </w:r>
    </w:p>
    <w:p w14:paraId="79E14C2F">
      <w:pPr>
        <w:adjustRightInd w:val="0"/>
        <w:snapToGrid w:val="0"/>
        <w:spacing w:before="156" w:beforeLines="50" w:line="560" w:lineRule="exact"/>
        <w:jc w:val="center"/>
        <w:outlineLvl w:val="1"/>
        <w:rPr>
          <w:rFonts w:hint="eastAsia" w:asciiTheme="minorEastAsia" w:hAnsiTheme="minorEastAsia" w:eastAsiaTheme="minorEastAsia" w:cstheme="minorEastAsia"/>
          <w:sz w:val="24"/>
          <w:szCs w:val="24"/>
        </w:rPr>
      </w:pPr>
      <w:bookmarkStart w:id="143" w:name="_Toc31349_WPSOffice_Level2"/>
      <w:bookmarkStart w:id="144" w:name="_Toc24112_WPSOffice_Level2"/>
      <w:bookmarkStart w:id="145" w:name="_Toc25869"/>
      <w:bookmarkStart w:id="146" w:name="_Toc32627_WPSOffice_Level2"/>
      <w:bookmarkStart w:id="147" w:name="_Toc34637768"/>
      <w:bookmarkStart w:id="148" w:name="_Toc32670"/>
      <w:bookmarkStart w:id="149" w:name="_Toc30575"/>
      <w:bookmarkStart w:id="150" w:name="_Toc8361"/>
      <w:r>
        <w:rPr>
          <w:rFonts w:hint="eastAsia" w:asciiTheme="minorEastAsia" w:hAnsiTheme="minorEastAsia" w:eastAsiaTheme="minorEastAsia" w:cstheme="minorEastAsia"/>
          <w:sz w:val="24"/>
          <w:szCs w:val="24"/>
        </w:rPr>
        <w:t>四、响应文件的递交</w:t>
      </w:r>
      <w:bookmarkEnd w:id="143"/>
      <w:bookmarkEnd w:id="144"/>
      <w:bookmarkEnd w:id="145"/>
      <w:bookmarkEnd w:id="146"/>
      <w:bookmarkEnd w:id="147"/>
      <w:bookmarkEnd w:id="148"/>
      <w:bookmarkEnd w:id="149"/>
      <w:bookmarkEnd w:id="150"/>
    </w:p>
    <w:p w14:paraId="6E61900C">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51" w:name="_Toc20825_WPSOffice_Level3"/>
      <w:bookmarkStart w:id="152" w:name="_Toc4459"/>
      <w:bookmarkStart w:id="153" w:name="_Toc6095"/>
      <w:bookmarkStart w:id="154" w:name="_Toc26512"/>
      <w:bookmarkStart w:id="155" w:name="_Toc23622_WPSOffice_Level3"/>
      <w:bookmarkStart w:id="156" w:name="_Toc3639"/>
      <w:r>
        <w:rPr>
          <w:rFonts w:hint="eastAsia" w:asciiTheme="minorEastAsia" w:hAnsiTheme="minorEastAsia" w:eastAsiaTheme="minorEastAsia" w:cstheme="minorEastAsia"/>
          <w:sz w:val="24"/>
          <w:szCs w:val="24"/>
        </w:rPr>
        <w:t>14.响应文件的密封和标记</w:t>
      </w:r>
      <w:bookmarkEnd w:id="151"/>
      <w:bookmarkEnd w:id="152"/>
      <w:bookmarkEnd w:id="153"/>
      <w:bookmarkEnd w:id="154"/>
      <w:bookmarkEnd w:id="155"/>
      <w:bookmarkEnd w:id="156"/>
    </w:p>
    <w:p w14:paraId="5CB81B3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lang w:val="zh-CN"/>
        </w:rPr>
      </w:pPr>
      <w:bookmarkStart w:id="157" w:name="_Toc18048"/>
      <w:bookmarkStart w:id="158" w:name="_Toc13231_WPSOffice_Level3"/>
      <w:bookmarkStart w:id="159" w:name="_Toc7845_WPSOffice_Level3"/>
      <w:bookmarkStart w:id="160" w:name="_Toc1241"/>
      <w:r>
        <w:rPr>
          <w:rFonts w:hint="eastAsia" w:asciiTheme="minorEastAsia" w:hAnsiTheme="minorEastAsia" w:eastAsiaTheme="minorEastAsia" w:cstheme="minorEastAsia"/>
          <w:sz w:val="24"/>
          <w:szCs w:val="24"/>
          <w:lang w:val="zh-CN"/>
        </w:rPr>
        <w:t>14.1 响应文件应</w:t>
      </w:r>
      <w:r>
        <w:rPr>
          <w:rFonts w:hint="eastAsia" w:asciiTheme="minorEastAsia" w:hAnsiTheme="minorEastAsia" w:eastAsiaTheme="minorEastAsia" w:cstheme="minorEastAsia"/>
          <w:sz w:val="24"/>
          <w:szCs w:val="24"/>
          <w:lang w:val="en-US" w:eastAsia="zh-CN"/>
        </w:rPr>
        <w:t>通过政采云电子投标客户端编制、加密并上传</w:t>
      </w:r>
      <w:r>
        <w:rPr>
          <w:rFonts w:hint="eastAsia" w:asciiTheme="minorEastAsia" w:hAnsiTheme="minorEastAsia" w:eastAsiaTheme="minorEastAsia" w:cstheme="minorEastAsia"/>
          <w:sz w:val="24"/>
          <w:szCs w:val="24"/>
          <w:lang w:val="zh-CN"/>
        </w:rPr>
        <w:t xml:space="preserve">，以保证其响应文件信息在提交首次响应文件截止时间前不被透露。 </w:t>
      </w:r>
    </w:p>
    <w:p w14:paraId="293D8C63">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14.2 响应文件</w:t>
      </w:r>
      <w:r>
        <w:rPr>
          <w:rFonts w:hint="eastAsia" w:asciiTheme="minorEastAsia" w:hAnsiTheme="minorEastAsia" w:eastAsiaTheme="minorEastAsia" w:cstheme="minorEastAsia"/>
          <w:sz w:val="24"/>
          <w:szCs w:val="24"/>
          <w:lang w:val="en-US" w:eastAsia="zh-CN"/>
        </w:rPr>
        <w:t>按照政采云系统及谈判文件要求的目录及格式上传提交。</w:t>
      </w:r>
      <w:r>
        <w:rPr>
          <w:rFonts w:hint="eastAsia" w:asciiTheme="minorEastAsia" w:hAnsiTheme="minorEastAsia" w:eastAsiaTheme="minorEastAsia" w:cstheme="minorEastAsia"/>
          <w:sz w:val="24"/>
          <w:szCs w:val="24"/>
          <w:lang w:val="zh-CN"/>
        </w:rPr>
        <w:t xml:space="preserve"> </w:t>
      </w:r>
    </w:p>
    <w:p w14:paraId="47254C6C">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61" w:name="_Toc4371"/>
      <w:bookmarkStart w:id="162" w:name="_Toc9573"/>
      <w:r>
        <w:rPr>
          <w:rFonts w:hint="eastAsia" w:asciiTheme="minorEastAsia" w:hAnsiTheme="minorEastAsia" w:eastAsiaTheme="minorEastAsia" w:cstheme="minorEastAsia"/>
          <w:sz w:val="24"/>
          <w:szCs w:val="24"/>
        </w:rPr>
        <w:t>15.响应文件的递交与接收</w:t>
      </w:r>
      <w:bookmarkEnd w:id="157"/>
      <w:bookmarkEnd w:id="158"/>
      <w:bookmarkEnd w:id="159"/>
      <w:bookmarkEnd w:id="160"/>
      <w:bookmarkEnd w:id="161"/>
      <w:bookmarkEnd w:id="162"/>
    </w:p>
    <w:p w14:paraId="67C646CA">
      <w:pPr>
        <w:adjustRightInd w:val="0"/>
        <w:snapToGrid w:val="0"/>
        <w:spacing w:before="156" w:beforeLines="50"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在【谈判须知前附表】规定的时间和地点提交响应文件。未按要求递交的响应文件采购代理机构概不接收。在截止时间后送达的响应文件为无效文件，采购人、采购代理机构或者谈判小组拒收逾期送达的响应文件。</w:t>
      </w:r>
    </w:p>
    <w:p w14:paraId="384ACA3C">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63" w:name="_Toc25558"/>
      <w:bookmarkStart w:id="164" w:name="_Toc27313"/>
      <w:bookmarkStart w:id="165" w:name="_Toc31959"/>
      <w:bookmarkStart w:id="166" w:name="_Toc19521_WPSOffice_Level3"/>
      <w:bookmarkStart w:id="167" w:name="_Toc17912"/>
      <w:bookmarkStart w:id="168" w:name="_Toc5063_WPSOffice_Level3"/>
      <w:r>
        <w:rPr>
          <w:rFonts w:hint="eastAsia" w:asciiTheme="minorEastAsia" w:hAnsiTheme="minorEastAsia" w:eastAsiaTheme="minorEastAsia" w:cstheme="minorEastAsia"/>
          <w:sz w:val="24"/>
          <w:szCs w:val="24"/>
        </w:rPr>
        <w:t>16.响应文件的</w:t>
      </w:r>
      <w:r>
        <w:rPr>
          <w:rFonts w:hint="eastAsia" w:asciiTheme="minorEastAsia" w:hAnsiTheme="minorEastAsia" w:eastAsiaTheme="minorEastAsia" w:cstheme="minorEastAsia"/>
          <w:sz w:val="24"/>
          <w:szCs w:val="24"/>
          <w:lang w:val="zh-CN"/>
        </w:rPr>
        <w:t>补充、修改或者撤回</w:t>
      </w:r>
      <w:bookmarkEnd w:id="163"/>
      <w:bookmarkEnd w:id="164"/>
      <w:bookmarkEnd w:id="165"/>
      <w:bookmarkEnd w:id="166"/>
      <w:bookmarkEnd w:id="167"/>
      <w:bookmarkEnd w:id="168"/>
    </w:p>
    <w:p w14:paraId="48BAF935">
      <w:pPr>
        <w:adjustRightInd w:val="0"/>
        <w:snapToGrid w:val="0"/>
        <w:spacing w:before="156" w:beforeLines="50" w:line="560" w:lineRule="exact"/>
        <w:ind w:firstLine="480" w:firstLineChars="200"/>
        <w:jc w:val="left"/>
        <w:rPr>
          <w:rFonts w:hint="eastAsia" w:asciiTheme="minorEastAsia" w:hAnsiTheme="minorEastAsia" w:eastAsiaTheme="minorEastAsia" w:cstheme="minorEastAsia"/>
          <w:sz w:val="24"/>
          <w:szCs w:val="24"/>
        </w:rPr>
      </w:pPr>
      <w:bookmarkStart w:id="169" w:name="_Toc32435"/>
      <w:bookmarkStart w:id="170" w:name="_Toc34637769"/>
      <w:r>
        <w:rPr>
          <w:rFonts w:hint="eastAsia" w:asciiTheme="minorEastAsia" w:hAnsiTheme="minorEastAsia" w:eastAsiaTheme="minorEastAsia" w:cstheme="minorEastAsia"/>
          <w:sz w:val="24"/>
          <w:szCs w:val="24"/>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69"/>
    </w:p>
    <w:p w14:paraId="3ECBFADB">
      <w:pPr>
        <w:adjustRightInd w:val="0"/>
        <w:snapToGrid w:val="0"/>
        <w:spacing w:before="156" w:beforeLines="50" w:line="560" w:lineRule="exact"/>
        <w:jc w:val="center"/>
        <w:outlineLvl w:val="1"/>
        <w:rPr>
          <w:rFonts w:hint="eastAsia" w:asciiTheme="minorEastAsia" w:hAnsiTheme="minorEastAsia" w:eastAsiaTheme="minorEastAsia" w:cstheme="minorEastAsia"/>
          <w:sz w:val="24"/>
          <w:szCs w:val="24"/>
        </w:rPr>
      </w:pPr>
      <w:bookmarkStart w:id="171" w:name="_Toc11479"/>
      <w:bookmarkStart w:id="172" w:name="_Toc18610_WPSOffice_Level2"/>
      <w:bookmarkStart w:id="173" w:name="_Toc10968"/>
      <w:bookmarkStart w:id="174" w:name="_Toc31993"/>
      <w:bookmarkStart w:id="175" w:name="_Toc12974"/>
      <w:bookmarkStart w:id="176" w:name="_Toc29785_WPSOffice_Level2"/>
      <w:bookmarkStart w:id="177" w:name="_Toc25721_WPSOffice_Level2"/>
      <w:r>
        <w:rPr>
          <w:rFonts w:hint="eastAsia" w:asciiTheme="minorEastAsia" w:hAnsiTheme="minorEastAsia" w:eastAsiaTheme="minorEastAsia" w:cstheme="minorEastAsia"/>
          <w:sz w:val="24"/>
          <w:szCs w:val="24"/>
        </w:rPr>
        <w:t>五、响应文件的评审与谈判</w:t>
      </w:r>
      <w:bookmarkEnd w:id="170"/>
      <w:bookmarkEnd w:id="171"/>
      <w:bookmarkEnd w:id="172"/>
      <w:bookmarkEnd w:id="173"/>
      <w:bookmarkEnd w:id="174"/>
      <w:bookmarkEnd w:id="175"/>
      <w:bookmarkEnd w:id="176"/>
      <w:bookmarkEnd w:id="177"/>
    </w:p>
    <w:p w14:paraId="5A523AFE">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78" w:name="_Toc26446"/>
      <w:bookmarkStart w:id="179" w:name="_Toc17686"/>
      <w:bookmarkStart w:id="180" w:name="_Toc10399"/>
      <w:bookmarkStart w:id="181" w:name="_Toc19596_WPSOffice_Level3"/>
      <w:bookmarkStart w:id="182" w:name="_Toc18713_WPSOffice_Level3"/>
      <w:bookmarkStart w:id="183" w:name="_Toc174"/>
      <w:r>
        <w:rPr>
          <w:rFonts w:hint="eastAsia" w:asciiTheme="minorEastAsia" w:hAnsiTheme="minorEastAsia" w:eastAsiaTheme="minorEastAsia" w:cstheme="minorEastAsia"/>
          <w:sz w:val="24"/>
          <w:szCs w:val="24"/>
        </w:rPr>
        <w:t>17.谈判小组</w:t>
      </w:r>
      <w:bookmarkEnd w:id="178"/>
      <w:bookmarkEnd w:id="179"/>
      <w:bookmarkEnd w:id="180"/>
      <w:bookmarkEnd w:id="181"/>
      <w:bookmarkEnd w:id="182"/>
      <w:bookmarkEnd w:id="183"/>
    </w:p>
    <w:p w14:paraId="30DFF9F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17.1竞争性谈判小组由采购人代表和评审专家共</w:t>
      </w:r>
      <w:r>
        <w:rPr>
          <w:rFonts w:hint="eastAsia" w:asciiTheme="minorEastAsia" w:hAnsiTheme="minorEastAsia" w:eastAsiaTheme="minorEastAsia" w:cstheme="minorEastAsia"/>
          <w:sz w:val="24"/>
          <w:szCs w:val="24"/>
          <w:u w:val="single"/>
        </w:rPr>
        <w:t>3</w:t>
      </w:r>
      <w:r>
        <w:rPr>
          <w:rFonts w:hint="eastAsia" w:asciiTheme="minorEastAsia" w:hAnsiTheme="minorEastAsia" w:eastAsiaTheme="minorEastAsia" w:cstheme="minorEastAsia"/>
          <w:sz w:val="24"/>
          <w:szCs w:val="24"/>
        </w:rPr>
        <w:t>人组成（3人以上单数组成），其中评审专家</w:t>
      </w:r>
      <w:r>
        <w:rPr>
          <w:rFonts w:hint="eastAsia" w:asciiTheme="minorEastAsia" w:hAnsiTheme="minorEastAsia" w:eastAsiaTheme="minorEastAsia" w:cstheme="minorEastAsia"/>
          <w:sz w:val="24"/>
          <w:szCs w:val="24"/>
          <w:u w:val="single"/>
        </w:rPr>
        <w:t>2</w:t>
      </w:r>
      <w:r>
        <w:rPr>
          <w:rFonts w:hint="eastAsia" w:asciiTheme="minorEastAsia" w:hAnsiTheme="minorEastAsia" w:eastAsiaTheme="minorEastAsia" w:cstheme="minorEastAsia"/>
          <w:sz w:val="24"/>
          <w:szCs w:val="24"/>
        </w:rPr>
        <w:t>名（评审专家人数不得少于竞争性谈判小组成员总数的2/3）。采购人不得以评审专家身份参加本采购项目的评审。谈判小组评审专家从政府采购评审专家库内相关专业的专家名单中随机抽取。</w:t>
      </w:r>
    </w:p>
    <w:p w14:paraId="086BCA9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17.2谈判由采购代理机构负责组织，具体谈判事务由依法组建的谈判小组负责，并独立履行下列职责：</w:t>
      </w:r>
    </w:p>
    <w:p w14:paraId="7C34F55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（1）确认谈判文件；</w:t>
      </w:r>
    </w:p>
    <w:p w14:paraId="3A1E28E5">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（2）审查供应商的响应文件并作出评价；</w:t>
      </w:r>
    </w:p>
    <w:p w14:paraId="6F967CA3">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（3）要求供应商对谈判文件有关事项作出澄清或者说明；</w:t>
      </w:r>
    </w:p>
    <w:p w14:paraId="12485901">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（4）编写评审报告；</w:t>
      </w:r>
    </w:p>
    <w:p w14:paraId="38924904">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（5）确定成交候选人名单，以及根据采购人委托直接确定成交供应商；</w:t>
      </w:r>
    </w:p>
    <w:p w14:paraId="6FE323BD">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（6）告知采购人、采购代理机构在评审过程中发现的供应商的违法违规行为。</w:t>
      </w:r>
    </w:p>
    <w:p w14:paraId="14DF0AC6">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17.3谈判小组应遵守并履行下列义务：</w:t>
      </w:r>
    </w:p>
    <w:p w14:paraId="416701D5">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（1）遵纪守法，客观、公正、廉洁地履行职责；</w:t>
      </w:r>
    </w:p>
    <w:p w14:paraId="109BCFDB">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（2）按照谈判文件规定的成交方法评审，对评审意见承担谈判小组成员责任；</w:t>
      </w:r>
    </w:p>
    <w:p w14:paraId="180D76DD">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（3）对谈判响应文件、谈判情况和谈判中获悉的国家秘密、商业秘密保密；</w:t>
      </w:r>
    </w:p>
    <w:p w14:paraId="1C9AA830">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（4）参与评审报告的起草；</w:t>
      </w:r>
    </w:p>
    <w:p w14:paraId="546675E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（5）配合采购人、采购代理机构答复供应商提出的质疑；</w:t>
      </w:r>
    </w:p>
    <w:p w14:paraId="001CAC71">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（6）配合财政部门的投诉处理和监督检查工作。</w:t>
      </w:r>
    </w:p>
    <w:p w14:paraId="2EB56DE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17.4谈判小组成员有下列情形之一的，应当回避：</w:t>
      </w:r>
    </w:p>
    <w:p w14:paraId="4E85446E">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（1）参加采购活动前 3 年内与供应商存在劳动关系；</w:t>
      </w:r>
    </w:p>
    <w:p w14:paraId="41BBF05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（2）参加采购活动前 3 年内担任供应商的董事、监事；</w:t>
      </w:r>
    </w:p>
    <w:p w14:paraId="5EC4E855">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（3）参加采购活动前 3 年内是供应商的控股股东或者实际控制人；</w:t>
      </w:r>
    </w:p>
    <w:p w14:paraId="14DE9DD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（4）与供应商的法定代表人或者负责人有夫妻、直系血亲、三代以内旁系血亲或者近姻亲关系；</w:t>
      </w:r>
    </w:p>
    <w:p w14:paraId="6BE9A8C9">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（5）与供应商有其他可能影响政府采购活动公平、公正进行的关系。</w:t>
      </w:r>
      <w:bookmarkStart w:id="184" w:name="_Toc16350_WPSOffice_Level3"/>
      <w:bookmarkStart w:id="185" w:name="_Toc19122"/>
    </w:p>
    <w:p w14:paraId="3B0BDB84">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86" w:name="_Toc25550"/>
      <w:bookmarkStart w:id="187" w:name="_Toc22044_WPSOffice_Level3"/>
      <w:bookmarkStart w:id="188" w:name="_Toc15667"/>
      <w:r>
        <w:rPr>
          <w:rFonts w:hint="eastAsia" w:asciiTheme="minorEastAsia" w:hAnsiTheme="minorEastAsia" w:eastAsiaTheme="minorEastAsia" w:cstheme="minorEastAsia"/>
          <w:sz w:val="24"/>
          <w:szCs w:val="24"/>
        </w:rPr>
        <w:t>18.响应文件审查</w:t>
      </w:r>
      <w:bookmarkEnd w:id="184"/>
      <w:bookmarkEnd w:id="185"/>
      <w:bookmarkEnd w:id="186"/>
      <w:bookmarkEnd w:id="187"/>
      <w:bookmarkEnd w:id="188"/>
    </w:p>
    <w:p w14:paraId="550D0243">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18.1谈判小组应当对响应文件进行评审，并根据谈判文件规定的程序、评定成交的标准等事项与实质性响应谈判文件要求的供应商进行谈判。</w:t>
      </w:r>
    </w:p>
    <w:p w14:paraId="7AD96285">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18.2在对供应商进行审查时，存在下列情况之一的，按无效处理：</w:t>
      </w:r>
    </w:p>
    <w:p w14:paraId="3F5262DC">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（1）不符合谈判文件第一部分谈判须知前附表“供应商资格条件”的；</w:t>
      </w:r>
    </w:p>
    <w:p w14:paraId="25CA8B65">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（2）未按第11.1.1款“</w:t>
      </w:r>
      <w:r>
        <w:rPr>
          <w:rFonts w:hint="eastAsia" w:asciiTheme="minorEastAsia" w:hAnsiTheme="minorEastAsia" w:eastAsiaTheme="minorEastAsia" w:cstheme="minorEastAsia"/>
          <w:sz w:val="24"/>
          <w:szCs w:val="24"/>
          <w:lang w:val="zh-CN"/>
        </w:rPr>
        <w:t>资格审查部分</w:t>
      </w:r>
      <w:r>
        <w:rPr>
          <w:rFonts w:hint="eastAsia" w:asciiTheme="minorEastAsia" w:hAnsiTheme="minorEastAsia" w:eastAsiaTheme="minorEastAsia" w:cstheme="minorEastAsia"/>
          <w:sz w:val="24"/>
          <w:szCs w:val="24"/>
        </w:rPr>
        <w:t>”要求提供相关资料的；</w:t>
      </w:r>
    </w:p>
    <w:p w14:paraId="27A499E5">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bookmarkStart w:id="189" w:name="OLE_LINK18"/>
      <w:r>
        <w:rPr>
          <w:rFonts w:hint="eastAsia" w:asciiTheme="minorEastAsia" w:hAnsiTheme="minorEastAsia" w:eastAsiaTheme="minorEastAsia" w:cstheme="minorEastAsia"/>
          <w:sz w:val="24"/>
          <w:szCs w:val="24"/>
        </w:rPr>
        <w:t>交货时间、交货地点</w:t>
      </w:r>
      <w:bookmarkStart w:id="190" w:name="OLE_LINK22"/>
      <w:r>
        <w:rPr>
          <w:rFonts w:hint="eastAsia" w:asciiTheme="minorEastAsia" w:hAnsiTheme="minorEastAsia" w:eastAsiaTheme="minorEastAsia" w:cstheme="minorEastAsia"/>
          <w:sz w:val="24"/>
          <w:szCs w:val="24"/>
        </w:rPr>
        <w:t>不能满足谈判文件要求的；</w:t>
      </w:r>
      <w:bookmarkEnd w:id="189"/>
      <w:bookmarkEnd w:id="190"/>
    </w:p>
    <w:p w14:paraId="718EC549">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（4）响应文件没有按谈判文件规定和要求编制及签字、盖章的；</w:t>
      </w:r>
    </w:p>
    <w:p w14:paraId="5ED81D1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（5）谈判有效期不能满足谈判文件要求的；</w:t>
      </w:r>
    </w:p>
    <w:p w14:paraId="0B2C67FC">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（6）谈判报价超过谈判文件规定的采购预算额度的；</w:t>
      </w:r>
    </w:p>
    <w:p w14:paraId="2D6799AB">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（7）所提供产品的技术规格、技术标准不符合采购项目要求的；</w:t>
      </w:r>
    </w:p>
    <w:p w14:paraId="34FEEFCC">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（8）谈判响应文件含有采购人不能接受的附加条件的；</w:t>
      </w:r>
    </w:p>
    <w:p w14:paraId="04FD561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（9）响应文件不满足谈判文件实质性要求和条件的；</w:t>
      </w:r>
    </w:p>
    <w:p w14:paraId="35DD6856">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（10）谈判小组认为应按无效谈判处理的其他情况；</w:t>
      </w:r>
    </w:p>
    <w:p w14:paraId="7935B55D">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（11）法律、法规规定的其他情形。</w:t>
      </w:r>
    </w:p>
    <w:p w14:paraId="2956A59D">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91" w:name="_Toc17197"/>
      <w:bookmarkStart w:id="192" w:name="_Toc15233"/>
      <w:bookmarkStart w:id="193" w:name="_Toc11154"/>
      <w:bookmarkStart w:id="194" w:name="_Toc1673_WPSOffice_Level3"/>
      <w:bookmarkStart w:id="195" w:name="_Toc17887_WPSOffice_Level3"/>
      <w:bookmarkStart w:id="196" w:name="_Toc19968"/>
      <w:r>
        <w:rPr>
          <w:rFonts w:hint="eastAsia" w:asciiTheme="minorEastAsia" w:hAnsiTheme="minorEastAsia" w:eastAsiaTheme="minorEastAsia" w:cstheme="minorEastAsia"/>
          <w:sz w:val="24"/>
          <w:szCs w:val="24"/>
        </w:rPr>
        <w:t>19.谈判程序</w:t>
      </w:r>
      <w:bookmarkEnd w:id="191"/>
      <w:bookmarkEnd w:id="192"/>
      <w:bookmarkEnd w:id="193"/>
      <w:bookmarkEnd w:id="194"/>
      <w:bookmarkEnd w:id="195"/>
      <w:bookmarkEnd w:id="196"/>
    </w:p>
    <w:p w14:paraId="1A9F8D0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7AC0AB47">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在谈判过程中，谈判小组可以根据谈判文件和谈判情况实质性变动技术标准及要求中的技术、服务要求以及合同草案条款，但不得变动谈判文件中的其他内容。实质性变动的内容，须经采购人代表确认，谈判小组将以书面形式将修改内容同时通知所有参加谈判的供应商。</w:t>
      </w:r>
    </w:p>
    <w:p w14:paraId="761C4AF3">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19.3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22430FD0">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19.4响应文件中首次报价表内的报价为首次报价，根据技术、服务等满足谈判文件要求的情况，供应商可进行二次报价。</w:t>
      </w:r>
    </w:p>
    <w:p w14:paraId="2746C14C">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19.5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511B329E">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19.6谈判工作在有关部门的监督下依法开展，任何单位和个人不得非法干预、影响谈判工作和谈判结果。</w:t>
      </w:r>
    </w:p>
    <w:p w14:paraId="1CA9F8DA">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197" w:name="_Toc25644_WPSOffice_Level3"/>
      <w:bookmarkStart w:id="198" w:name="_Toc22748"/>
      <w:bookmarkStart w:id="199" w:name="_Toc14903"/>
      <w:bookmarkStart w:id="200" w:name="_Toc2176"/>
      <w:bookmarkStart w:id="201" w:name="_Toc24288_WPSOffice_Level3"/>
      <w:bookmarkStart w:id="202" w:name="_Toc20755"/>
      <w:r>
        <w:rPr>
          <w:rFonts w:hint="eastAsia" w:asciiTheme="minorEastAsia" w:hAnsiTheme="minorEastAsia" w:eastAsiaTheme="minorEastAsia" w:cstheme="minorEastAsia"/>
          <w:sz w:val="24"/>
          <w:szCs w:val="24"/>
        </w:rPr>
        <w:t>20.澄清</w:t>
      </w:r>
      <w:bookmarkEnd w:id="197"/>
      <w:bookmarkEnd w:id="198"/>
      <w:bookmarkEnd w:id="199"/>
      <w:bookmarkEnd w:id="200"/>
      <w:bookmarkEnd w:id="201"/>
      <w:bookmarkEnd w:id="202"/>
    </w:p>
    <w:p w14:paraId="350676D9">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651C9141">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2CAB9BE4">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203" w:name="_Toc4997"/>
      <w:bookmarkStart w:id="204" w:name="_Toc20886"/>
      <w:bookmarkStart w:id="205" w:name="_Toc17890"/>
      <w:bookmarkStart w:id="206" w:name="_Toc8374"/>
      <w:bookmarkStart w:id="207" w:name="_Toc6898_WPSOffice_Level3"/>
      <w:bookmarkStart w:id="208" w:name="_Toc13262_WPSOffice_Level3"/>
      <w:r>
        <w:rPr>
          <w:rFonts w:hint="eastAsia" w:asciiTheme="minorEastAsia" w:hAnsiTheme="minorEastAsia" w:eastAsiaTheme="minorEastAsia" w:cstheme="minorEastAsia"/>
          <w:sz w:val="24"/>
          <w:szCs w:val="24"/>
        </w:rPr>
        <w:t>21.退出谈判</w:t>
      </w:r>
      <w:bookmarkEnd w:id="203"/>
      <w:bookmarkEnd w:id="204"/>
      <w:bookmarkEnd w:id="205"/>
      <w:bookmarkEnd w:id="206"/>
      <w:bookmarkEnd w:id="207"/>
      <w:bookmarkEnd w:id="208"/>
    </w:p>
    <w:p w14:paraId="124879CD">
      <w:pPr>
        <w:adjustRightInd w:val="0"/>
        <w:snapToGrid w:val="0"/>
        <w:spacing w:before="156" w:beforeLines="50"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4A1537AD">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209" w:name="_Toc5048_WPSOffice_Level3"/>
      <w:bookmarkStart w:id="210" w:name="_Toc14748"/>
      <w:bookmarkStart w:id="211" w:name="_Toc32003"/>
      <w:bookmarkStart w:id="212" w:name="_Toc18169_WPSOffice_Level3"/>
      <w:bookmarkStart w:id="213" w:name="_Toc29778"/>
      <w:bookmarkStart w:id="214" w:name="_Toc22575"/>
      <w:r>
        <w:rPr>
          <w:rFonts w:hint="eastAsia" w:asciiTheme="minorEastAsia" w:hAnsiTheme="minorEastAsia" w:eastAsiaTheme="minorEastAsia" w:cstheme="minorEastAsia"/>
          <w:sz w:val="24"/>
          <w:szCs w:val="24"/>
        </w:rPr>
        <w:t>22.最后报价</w:t>
      </w:r>
      <w:bookmarkEnd w:id="209"/>
      <w:bookmarkEnd w:id="210"/>
      <w:bookmarkEnd w:id="211"/>
      <w:bookmarkEnd w:id="212"/>
      <w:bookmarkEnd w:id="213"/>
      <w:bookmarkEnd w:id="214"/>
    </w:p>
    <w:p w14:paraId="468689FD">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39E90C6D">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A4DF0D1">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22.3最后报价的评审</w:t>
      </w:r>
    </w:p>
    <w:p w14:paraId="58F985E7">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（1）最后报价出现大写金额和小写金额不一致的，以大写金额为准。</w:t>
      </w:r>
    </w:p>
    <w:p w14:paraId="1F1A502C">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（2）需落实政府采购政策的，按相关规定进行价格扣除。</w:t>
      </w:r>
    </w:p>
    <w:p w14:paraId="18C1601B">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22.4最后报价如果高于其响应文件中的首次报价的，以最后报价为准。</w:t>
      </w:r>
    </w:p>
    <w:p w14:paraId="2E990D80">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22.5采购人、采购代理机构在按规定公布供应商的最后报价前，不得公开供应商的技术资料、价格和其他信息。</w:t>
      </w:r>
    </w:p>
    <w:p w14:paraId="49712A3E">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22.6若最后报价时出现最低价相同的情形，谈判小组应召集报价相同的供应商进行再次报价。</w:t>
      </w:r>
    </w:p>
    <w:p w14:paraId="111FEC82">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215" w:name="_Toc8242_WPSOffice_Level3"/>
      <w:bookmarkStart w:id="216" w:name="_Toc16084_WPSOffice_Level3"/>
      <w:bookmarkStart w:id="217" w:name="_Toc10114"/>
      <w:bookmarkStart w:id="218" w:name="_Toc7275"/>
      <w:bookmarkStart w:id="219" w:name="_Toc20121"/>
      <w:bookmarkStart w:id="220" w:name="_Toc1797"/>
      <w:r>
        <w:rPr>
          <w:rFonts w:hint="eastAsia" w:asciiTheme="minorEastAsia" w:hAnsiTheme="minorEastAsia" w:eastAsiaTheme="minorEastAsia" w:cstheme="minorEastAsia"/>
          <w:sz w:val="24"/>
          <w:szCs w:val="24"/>
        </w:rPr>
        <w:t>23.确定成交供应商</w:t>
      </w:r>
      <w:bookmarkEnd w:id="215"/>
      <w:bookmarkEnd w:id="216"/>
      <w:bookmarkEnd w:id="217"/>
      <w:bookmarkEnd w:id="218"/>
      <w:bookmarkEnd w:id="219"/>
      <w:bookmarkEnd w:id="220"/>
    </w:p>
    <w:p w14:paraId="5BB12C8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23.1</w:t>
      </w:r>
      <w:r>
        <w:rPr>
          <w:rFonts w:hint="eastAsia" w:asciiTheme="minorEastAsia" w:hAnsiTheme="minorEastAsia" w:eastAsiaTheme="minorEastAsia" w:cstheme="minorEastAsia"/>
          <w:sz w:val="24"/>
          <w:szCs w:val="24"/>
          <w:highlight w:val="none"/>
        </w:rPr>
        <w:t>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14:paraId="4E7397E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D766809">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23.3采购代理机构应当在评审结束后2个工作日内将评审报告送采购人确认。</w:t>
      </w:r>
    </w:p>
    <w:p w14:paraId="36BDB204">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6FB31FB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23.5采购人逾期未确定成交供应商且不提出异议的，视为确定评审报告提出的最后报价最低的供应商为成交供应商。</w:t>
      </w:r>
    </w:p>
    <w:p w14:paraId="3DC32293">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221" w:name="_Toc25402"/>
      <w:bookmarkStart w:id="222" w:name="_Toc20869_WPSOffice_Level3"/>
      <w:bookmarkStart w:id="223" w:name="_Toc30487"/>
      <w:bookmarkStart w:id="224" w:name="_Toc17639_WPSOffice_Level3"/>
      <w:bookmarkStart w:id="225" w:name="_Toc10295"/>
      <w:bookmarkStart w:id="226" w:name="_Toc24684"/>
      <w:r>
        <w:rPr>
          <w:rFonts w:hint="eastAsia" w:asciiTheme="minorEastAsia" w:hAnsiTheme="minorEastAsia" w:eastAsiaTheme="minorEastAsia" w:cstheme="minorEastAsia"/>
          <w:sz w:val="24"/>
          <w:szCs w:val="24"/>
        </w:rPr>
        <w:t>24.重新评审</w:t>
      </w:r>
      <w:bookmarkEnd w:id="221"/>
      <w:bookmarkEnd w:id="222"/>
      <w:bookmarkEnd w:id="223"/>
      <w:bookmarkEnd w:id="224"/>
      <w:bookmarkEnd w:id="225"/>
      <w:bookmarkEnd w:id="226"/>
    </w:p>
    <w:p w14:paraId="5146DBA3">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24.1除资格审查认定错误和价格计算错误外，采购人、采购代理机构不以任何理由组织重新评审。</w:t>
      </w:r>
    </w:p>
    <w:p w14:paraId="10DE8152">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24.2采购人、采购代理机构发现谈判小组未按照谈判文件规定的评定成交标准进行评审的，应当重新开展采购活动，并同时书面报告同级财政部门。</w:t>
      </w:r>
    </w:p>
    <w:p w14:paraId="1E686919">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227" w:name="_Toc31213"/>
      <w:bookmarkStart w:id="228" w:name="_Toc3509"/>
      <w:bookmarkStart w:id="229" w:name="_Toc24410"/>
      <w:bookmarkStart w:id="230" w:name="_Toc26374_WPSOffice_Level3"/>
      <w:bookmarkStart w:id="231" w:name="_Toc12673"/>
      <w:bookmarkStart w:id="232" w:name="_Toc1388_WPSOffice_Level3"/>
      <w:r>
        <w:rPr>
          <w:rFonts w:hint="eastAsia" w:asciiTheme="minorEastAsia" w:hAnsiTheme="minorEastAsia" w:eastAsiaTheme="minorEastAsia" w:cstheme="minorEastAsia"/>
          <w:sz w:val="24"/>
          <w:szCs w:val="24"/>
        </w:rPr>
        <w:t>25.谈判终止</w:t>
      </w:r>
      <w:bookmarkEnd w:id="227"/>
      <w:bookmarkEnd w:id="228"/>
      <w:bookmarkEnd w:id="229"/>
      <w:bookmarkEnd w:id="230"/>
      <w:bookmarkEnd w:id="231"/>
      <w:bookmarkEnd w:id="232"/>
    </w:p>
    <w:p w14:paraId="2FFB47D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25.1出现下列情形之一的，采购人、采购代理机构应当终止竞争性谈判采购活动，在指定的媒体上发布项目终止公告并说明原因，重新开展采购活动： </w:t>
      </w:r>
    </w:p>
    <w:p w14:paraId="1E89EA6C">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（1）因情况变化，不再符合规定的竞争性谈判采购方式适用情形的；</w:t>
      </w:r>
    </w:p>
    <w:p w14:paraId="4F19B513">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（2）出现影响采购公正的违法、违规行为的；</w:t>
      </w:r>
    </w:p>
    <w:p w14:paraId="50EC1DA0">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（3）在采购过程中符合谈判要求的供应商或者报价未超过采购预算的供应商不足3家的，或者提交最后报价的供应商少于3家的；</w:t>
      </w:r>
    </w:p>
    <w:p w14:paraId="75469430">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（4）因重大变故，采购任务取消的。</w:t>
      </w:r>
    </w:p>
    <w:p w14:paraId="206492B3">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233" w:name="_Toc15153"/>
      <w:bookmarkStart w:id="234" w:name="_Toc20688_WPSOffice_Level3"/>
      <w:bookmarkStart w:id="235" w:name="_Toc11721"/>
      <w:bookmarkStart w:id="236" w:name="_Toc12945"/>
      <w:bookmarkStart w:id="237" w:name="_Toc32730"/>
      <w:bookmarkStart w:id="238" w:name="_Toc18635_WPSOffice_Level3"/>
      <w:r>
        <w:rPr>
          <w:rFonts w:hint="eastAsia" w:asciiTheme="minorEastAsia" w:hAnsiTheme="minorEastAsia" w:eastAsiaTheme="minorEastAsia" w:cstheme="minorEastAsia"/>
          <w:sz w:val="24"/>
          <w:szCs w:val="24"/>
        </w:rPr>
        <w:t>26.串通情形认定及处理</w:t>
      </w:r>
      <w:bookmarkEnd w:id="233"/>
      <w:bookmarkEnd w:id="234"/>
      <w:bookmarkEnd w:id="235"/>
      <w:bookmarkEnd w:id="236"/>
      <w:bookmarkEnd w:id="237"/>
      <w:bookmarkEnd w:id="238"/>
    </w:p>
    <w:p w14:paraId="2BCA37D3">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供应商不得与采购人、采购代理机构、其他供应商恶意串通；不得向采购人、采购代理机构或者谈判小组成员行贿或者提供其他不正当利益；不得提供虚假材料谋取成交；不得以任何方式干扰、影响采购工作。</w:t>
      </w:r>
    </w:p>
    <w:p w14:paraId="62B3FB20">
      <w:pPr>
        <w:spacing w:line="56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26.2有下列情形之一的，成交无效，对供应商</w:t>
      </w:r>
      <w:r>
        <w:rPr>
          <w:rFonts w:hint="eastAsia" w:asciiTheme="minorEastAsia" w:hAnsiTheme="minorEastAsia" w:eastAsiaTheme="minorEastAsia" w:cstheme="minorEastAsia"/>
          <w:sz w:val="24"/>
          <w:szCs w:val="24"/>
          <w:lang w:val="zh-CN"/>
        </w:rPr>
        <w:t>依照《政府采购法》第七十七条的规定追究法律责任：</w:t>
      </w:r>
    </w:p>
    <w:p w14:paraId="2BEDB5EF">
      <w:pPr>
        <w:spacing w:line="560" w:lineRule="exact"/>
        <w:rPr>
          <w:rFonts w:hint="eastAsia" w:asciiTheme="minorEastAsia" w:hAnsiTheme="minorEastAsia" w:eastAsiaTheme="minorEastAsia" w:cstheme="minorEastAsia"/>
          <w:sz w:val="24"/>
          <w:szCs w:val="24"/>
        </w:rPr>
      </w:pPr>
      <w:bookmarkStart w:id="239" w:name="_Toc34637770"/>
      <w:bookmarkStart w:id="240" w:name="_Toc22761"/>
      <w:r>
        <w:rPr>
          <w:rFonts w:hint="eastAsia" w:asciiTheme="minorEastAsia" w:hAnsiTheme="minorEastAsia" w:eastAsiaTheme="minorEastAsia" w:cstheme="minorEastAsia"/>
          <w:sz w:val="24"/>
          <w:szCs w:val="24"/>
        </w:rPr>
        <w:t xml:space="preserve">   （1）供应商直接或者间接从采购人或者采购代理机构处获得其他供应商的相关情况并修改其响应文件；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（2）供应商按照采购人或者采购代理机构的授意撤换、修改响应文件；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（3）供应商之间协商报价、技术方案等响应文件的实质性内容；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（4）属于同一集团、协会、商会等组织成员的供应商按照该组织要求协同参加政府采购活动；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（5）供应商之间事先约定由某一特定供应商成交；</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（6）供应商之间商定部分供应商放弃参加政府采购活动或者放弃成交；</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（7）供应商与采购人或者采购代理机构之间、供应商相互之间，为谋求特定供应商成交或者排斥其他供应商的其他串通行为。</w:t>
      </w:r>
    </w:p>
    <w:p w14:paraId="04FF7FCB">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26.3 有下列情形之一的，视为供应商串通，其响应无效：</w:t>
      </w:r>
    </w:p>
    <w:p w14:paraId="303E77D7">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（1）不同供应商的响应文件由同一单位或者个人编制；</w:t>
      </w:r>
    </w:p>
    <w:p w14:paraId="5EAB3B4F">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（2）不同供应商委托同一单位或者个人办理谈判事宜；</w:t>
      </w:r>
    </w:p>
    <w:p w14:paraId="7677E84D">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（3）不同供应商的响应文件载明的项目管理成员或者联系人员为同一人；</w:t>
      </w:r>
    </w:p>
    <w:p w14:paraId="342811E9">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（4）不同供应商的响应文件异常一致或者报价呈规律性差异；</w:t>
      </w:r>
    </w:p>
    <w:p w14:paraId="307EDC24">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（5）不同供应商的响应文件相互混装；</w:t>
      </w:r>
    </w:p>
    <w:p w14:paraId="0307D294">
      <w:pPr>
        <w:spacing w:line="560" w:lineRule="exact"/>
        <w:ind w:firstLine="480" w:firstLineChars="200"/>
        <w:jc w:val="both"/>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（6）不同供应商的保证金从同一单位或者个人的账户转出。</w:t>
      </w:r>
    </w:p>
    <w:p w14:paraId="2436749A">
      <w:pPr>
        <w:spacing w:line="560" w:lineRule="exact"/>
        <w:ind w:firstLine="480" w:firstLineChars="200"/>
        <w:jc w:val="center"/>
        <w:outlineLvl w:val="1"/>
        <w:rPr>
          <w:rFonts w:hint="eastAsia" w:asciiTheme="minorEastAsia" w:hAnsiTheme="minorEastAsia" w:eastAsiaTheme="minorEastAsia" w:cstheme="minorEastAsia"/>
          <w:sz w:val="24"/>
          <w:szCs w:val="24"/>
        </w:rPr>
      </w:pPr>
      <w:bookmarkStart w:id="241" w:name="_Toc32385"/>
      <w:r>
        <w:rPr>
          <w:rFonts w:hint="eastAsia" w:asciiTheme="minorEastAsia" w:hAnsiTheme="minorEastAsia" w:eastAsiaTheme="minorEastAsia" w:cstheme="minorEastAsia"/>
          <w:sz w:val="24"/>
          <w:szCs w:val="24"/>
        </w:rPr>
        <w:t>六、成交结果信息公布与授予合同</w:t>
      </w:r>
      <w:bookmarkEnd w:id="239"/>
      <w:bookmarkEnd w:id="240"/>
      <w:bookmarkEnd w:id="241"/>
    </w:p>
    <w:p w14:paraId="4BA2A19D">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242" w:name="_Toc27010"/>
      <w:bookmarkStart w:id="243" w:name="_Toc8339_WPSOffice_Level3"/>
      <w:bookmarkStart w:id="244" w:name="_Toc947"/>
      <w:bookmarkStart w:id="245" w:name="_Toc30784_WPSOffice_Level3"/>
      <w:bookmarkStart w:id="246" w:name="_Toc13924"/>
      <w:bookmarkStart w:id="247" w:name="_Toc23126"/>
      <w:r>
        <w:rPr>
          <w:rFonts w:hint="eastAsia" w:asciiTheme="minorEastAsia" w:hAnsiTheme="minorEastAsia" w:eastAsiaTheme="minorEastAsia" w:cstheme="minorEastAsia"/>
          <w:sz w:val="24"/>
          <w:szCs w:val="24"/>
        </w:rPr>
        <w:t>27.成交信息的公布与通知</w:t>
      </w:r>
      <w:bookmarkEnd w:id="242"/>
      <w:bookmarkEnd w:id="243"/>
      <w:bookmarkEnd w:id="244"/>
      <w:bookmarkEnd w:id="245"/>
      <w:bookmarkEnd w:id="246"/>
      <w:bookmarkEnd w:id="247"/>
    </w:p>
    <w:p w14:paraId="4D9ED527">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27.1代理机构应自确定成交供应商之日起2个工作日内在青海政府采购网、</w:t>
      </w:r>
      <w:r>
        <w:rPr>
          <w:rFonts w:hint="eastAsia" w:asciiTheme="minorEastAsia" w:hAnsiTheme="minorEastAsia" w:eastAsiaTheme="minorEastAsia" w:cstheme="minorEastAsia"/>
          <w:kern w:val="0"/>
          <w:sz w:val="24"/>
          <w:szCs w:val="24"/>
          <w:lang w:val="zh-CN"/>
        </w:rPr>
        <w:t>青海省电子招标投标公共服务平台</w:t>
      </w:r>
      <w:r>
        <w:rPr>
          <w:rFonts w:hint="eastAsia" w:asciiTheme="minorEastAsia" w:hAnsiTheme="minorEastAsia" w:eastAsiaTheme="minorEastAsia" w:cstheme="minorEastAsia"/>
          <w:sz w:val="24"/>
          <w:szCs w:val="24"/>
        </w:rPr>
        <w:t>公告成交结果，同时向成交供应商发出《成交通知书》。成交通知书对采购人和成交供应商具有同等法律效力。</w:t>
      </w:r>
    </w:p>
    <w:p w14:paraId="2B30923F">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27.2成交结果公告应当包括以下内容：</w:t>
      </w:r>
    </w:p>
    <w:p w14:paraId="3773E9DC">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（1）采购人和采购代理机构的名称、地址和联系方式；</w:t>
      </w:r>
    </w:p>
    <w:p w14:paraId="5A254C10">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（2）项目名称和项目编号；</w:t>
      </w:r>
    </w:p>
    <w:p w14:paraId="20CC7E3F">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（3）成交供应商名称、地址和成交金额；</w:t>
      </w:r>
    </w:p>
    <w:p w14:paraId="27FCFB4E">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（4）主要成交标的的名称、规格型号、数量、单价、服务要求；</w:t>
      </w:r>
    </w:p>
    <w:p w14:paraId="7B440372">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（5）谈判小组成员名单。</w:t>
      </w:r>
    </w:p>
    <w:p w14:paraId="1130614C">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27.3《成交通知书》发出后，采购人不得违法改变采购结果，成交供应商无正当理由不得放弃。</w:t>
      </w:r>
    </w:p>
    <w:p w14:paraId="457334B7">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248" w:name="_Toc29441"/>
      <w:bookmarkStart w:id="249" w:name="_Toc13860_WPSOffice_Level3"/>
      <w:bookmarkStart w:id="250" w:name="_Toc25572"/>
      <w:bookmarkStart w:id="251" w:name="_Toc20586"/>
      <w:bookmarkStart w:id="252" w:name="_Toc778"/>
      <w:bookmarkStart w:id="253" w:name="_Toc5068_WPSOffice_Level3"/>
      <w:r>
        <w:rPr>
          <w:rFonts w:hint="eastAsia" w:asciiTheme="minorEastAsia" w:hAnsiTheme="minorEastAsia" w:eastAsiaTheme="minorEastAsia" w:cstheme="minorEastAsia"/>
          <w:sz w:val="24"/>
          <w:szCs w:val="24"/>
        </w:rPr>
        <w:t>28.授予合同</w:t>
      </w:r>
      <w:bookmarkEnd w:id="248"/>
      <w:bookmarkEnd w:id="249"/>
      <w:bookmarkEnd w:id="250"/>
      <w:bookmarkEnd w:id="251"/>
      <w:bookmarkEnd w:id="252"/>
      <w:bookmarkEnd w:id="253"/>
    </w:p>
    <w:p w14:paraId="73F8E58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28.1谈判文件、成交供应商的响应文件及其补充的响应文件、成交通知书等均为签订政府采购合同的依据。</w:t>
      </w:r>
    </w:p>
    <w:p w14:paraId="4852A2DC">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28.2采购人与成交供应商双方应当自《成交通知书》发出之日起30日内，按照谈判文件确定的合同文本以及采购标的、规格型号、采购金额、采购数量、技术和服务要求等事项签订政府采购合同。</w:t>
      </w:r>
    </w:p>
    <w:p w14:paraId="27EFDF2E">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079F3758">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bookmarkStart w:id="254" w:name="_Toc325726030"/>
      <w:bookmarkStart w:id="255" w:name="_Toc376936761"/>
      <w:r>
        <w:rPr>
          <w:rFonts w:hint="eastAsia" w:asciiTheme="minorEastAsia" w:hAnsiTheme="minorEastAsia" w:eastAsiaTheme="minorEastAsia" w:cstheme="minorEastAsia"/>
          <w:sz w:val="24"/>
          <w:szCs w:val="24"/>
        </w:rPr>
        <w:t>28.4采购人或采购代理机构应当自采购合同签订之日起2个工作日内，将采购合同在青海政府采购网上公告，但政府采购合同中涉及国家秘密、商业秘密的内容除外。</w:t>
      </w:r>
    </w:p>
    <w:p w14:paraId="7B990AB2">
      <w:pPr>
        <w:pStyle w:val="5"/>
        <w:adjustRightInd w:val="0"/>
        <w:snapToGrid w:val="0"/>
        <w:spacing w:before="156" w:beforeLines="50" w:after="0" w:line="560" w:lineRule="exact"/>
        <w:rPr>
          <w:rFonts w:hint="eastAsia" w:asciiTheme="minorEastAsia" w:hAnsiTheme="minorEastAsia" w:eastAsiaTheme="minorEastAsia" w:cstheme="minorEastAsia"/>
          <w:color w:val="auto"/>
          <w:sz w:val="24"/>
          <w:szCs w:val="24"/>
        </w:rPr>
      </w:pPr>
      <w:bookmarkStart w:id="256" w:name="_Toc8740_WPSOffice_Level3"/>
      <w:bookmarkStart w:id="257" w:name="_Toc3406"/>
      <w:bookmarkStart w:id="258" w:name="_Toc16374"/>
      <w:bookmarkStart w:id="259" w:name="_Toc32538"/>
      <w:bookmarkStart w:id="260" w:name="_Toc16258_WPSOffice_Level3"/>
      <w:bookmarkStart w:id="261" w:name="_Toc10741"/>
      <w:r>
        <w:rPr>
          <w:rFonts w:hint="eastAsia" w:asciiTheme="minorEastAsia" w:hAnsiTheme="minorEastAsia" w:eastAsiaTheme="minorEastAsia" w:cstheme="minorEastAsia"/>
          <w:sz w:val="24"/>
          <w:szCs w:val="24"/>
        </w:rPr>
        <w:t>29</w:t>
      </w:r>
      <w:r>
        <w:rPr>
          <w:rFonts w:hint="eastAsia" w:asciiTheme="minorEastAsia" w:hAnsiTheme="minorEastAsia" w:eastAsiaTheme="minorEastAsia" w:cstheme="minorEastAsia"/>
          <w:color w:val="auto"/>
          <w:sz w:val="24"/>
          <w:szCs w:val="24"/>
        </w:rPr>
        <w:t>.履约验收</w:t>
      </w:r>
      <w:bookmarkEnd w:id="256"/>
      <w:bookmarkEnd w:id="257"/>
      <w:bookmarkEnd w:id="258"/>
      <w:bookmarkEnd w:id="259"/>
      <w:bookmarkEnd w:id="260"/>
      <w:bookmarkEnd w:id="261"/>
    </w:p>
    <w:p w14:paraId="6E59A590">
      <w:pPr>
        <w:adjustRightInd w:val="0"/>
        <w:snapToGrid w:val="0"/>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29.1履约保证金：无</w:t>
      </w:r>
    </w:p>
    <w:p w14:paraId="485BA132">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29.2采购人或者采购代理机构应当按照政府采购合同规定的技术、服务、安全标准组织对供应商履约情况进行验收，并出具验收书。验收书应当包括每一项技术、服务、安全标准的履约情况。</w:t>
      </w:r>
    </w:p>
    <w:p w14:paraId="3DD0832E">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29.3采购人可以邀请参加本项目的其他供应商或者第三方机构参与验收。参与验收的供应商或者第三方机构的意见作为验收书的参考资料一并存档。</w:t>
      </w:r>
    </w:p>
    <w:p w14:paraId="423F7104">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29.4采购人应当加强履约管理，并按照采购合同约定，及时向成交供应商支付采购资金。对于成交供应商违反采购合同约定的行为，采购人应当及时处理，依法追究其违约责任。</w:t>
      </w:r>
    </w:p>
    <w:p w14:paraId="41EDFF8D">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29.5采购人、采购代理机构应当建立真实完整的谈判档案，妥善保存谈判的相关资料。</w:t>
      </w:r>
    </w:p>
    <w:p w14:paraId="716430FC">
      <w:pPr>
        <w:adjustRightInd w:val="0"/>
        <w:snapToGrid w:val="0"/>
        <w:spacing w:before="156" w:beforeLines="50" w:line="560" w:lineRule="exact"/>
        <w:jc w:val="center"/>
        <w:outlineLvl w:val="1"/>
        <w:rPr>
          <w:rFonts w:hint="eastAsia" w:asciiTheme="minorEastAsia" w:hAnsiTheme="minorEastAsia" w:eastAsiaTheme="minorEastAsia" w:cstheme="minorEastAsia"/>
          <w:sz w:val="24"/>
          <w:szCs w:val="24"/>
        </w:rPr>
      </w:pPr>
      <w:bookmarkStart w:id="262" w:name="_Toc1231"/>
      <w:bookmarkStart w:id="263" w:name="_Toc31604_WPSOffice_Level2"/>
      <w:bookmarkStart w:id="264" w:name="_Toc6881"/>
      <w:bookmarkStart w:id="265" w:name="_Toc2658_WPSOffice_Level2"/>
      <w:bookmarkStart w:id="266" w:name="_Toc4328"/>
      <w:bookmarkStart w:id="267" w:name="_Toc3517_WPSOffice_Level2"/>
      <w:bookmarkStart w:id="268" w:name="_Toc32362"/>
      <w:r>
        <w:rPr>
          <w:rFonts w:hint="eastAsia" w:asciiTheme="minorEastAsia" w:hAnsiTheme="minorEastAsia" w:eastAsiaTheme="minorEastAsia" w:cstheme="minorEastAsia"/>
          <w:sz w:val="24"/>
          <w:szCs w:val="24"/>
        </w:rPr>
        <w:t>七、询问与质疑</w:t>
      </w:r>
      <w:bookmarkEnd w:id="254"/>
      <w:bookmarkEnd w:id="255"/>
      <w:bookmarkEnd w:id="262"/>
      <w:bookmarkEnd w:id="263"/>
      <w:bookmarkEnd w:id="264"/>
      <w:bookmarkEnd w:id="265"/>
      <w:bookmarkEnd w:id="266"/>
      <w:bookmarkEnd w:id="267"/>
      <w:bookmarkEnd w:id="268"/>
    </w:p>
    <w:p w14:paraId="0627515A">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269" w:name="_Toc19137"/>
      <w:bookmarkStart w:id="270" w:name="_Toc25982_WPSOffice_Level3"/>
      <w:bookmarkStart w:id="271" w:name="_Toc23314_WPSOffice_Level3"/>
      <w:bookmarkStart w:id="272" w:name="_Toc21641"/>
      <w:bookmarkStart w:id="273" w:name="_Toc29785"/>
      <w:bookmarkStart w:id="274" w:name="_Toc6381"/>
      <w:r>
        <w:rPr>
          <w:rFonts w:hint="eastAsia" w:asciiTheme="minorEastAsia" w:hAnsiTheme="minorEastAsia" w:eastAsiaTheme="minorEastAsia" w:cstheme="minorEastAsia"/>
          <w:sz w:val="24"/>
          <w:szCs w:val="24"/>
        </w:rPr>
        <w:t>30.对采购过程、结果的询问及质疑</w:t>
      </w:r>
      <w:bookmarkEnd w:id="269"/>
      <w:bookmarkEnd w:id="270"/>
      <w:bookmarkEnd w:id="271"/>
      <w:bookmarkEnd w:id="272"/>
      <w:bookmarkEnd w:id="273"/>
      <w:bookmarkEnd w:id="274"/>
    </w:p>
    <w:p w14:paraId="4AB679DB">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30.1供应商对政府采购过程、结果有疑问的，可以向采购人、采购代理机构提出询问。</w:t>
      </w:r>
    </w:p>
    <w:p w14:paraId="23BB324D">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30.2参与所质疑项目的供应商认为采购过程、成交结果使自己的权益受到损害的，可以在知道或者应知其权益受到损害之日起7个工作日内，以书面形式向采购人、采购代理机构提出质疑。</w:t>
      </w:r>
    </w:p>
    <w:p w14:paraId="1D5E4D93">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30.3供应商应在法定质疑期内一次性提出针对同一采购程序环节的质疑。</w:t>
      </w:r>
    </w:p>
    <w:p w14:paraId="34A430C2">
      <w:pPr>
        <w:adjustRightInd w:val="0"/>
        <w:snapToGrid w:val="0"/>
        <w:spacing w:before="156" w:beforeLines="50" w:line="560" w:lineRule="exact"/>
        <w:jc w:val="center"/>
        <w:outlineLvl w:val="1"/>
        <w:rPr>
          <w:rFonts w:hint="eastAsia" w:asciiTheme="minorEastAsia" w:hAnsiTheme="minorEastAsia" w:eastAsiaTheme="minorEastAsia" w:cstheme="minorEastAsia"/>
          <w:sz w:val="24"/>
          <w:szCs w:val="24"/>
        </w:rPr>
      </w:pPr>
      <w:bookmarkStart w:id="275" w:name="_Toc22889"/>
      <w:bookmarkStart w:id="276" w:name="_Toc11509_WPSOffice_Level2"/>
      <w:bookmarkStart w:id="277" w:name="_Toc7291"/>
      <w:bookmarkStart w:id="278" w:name="_Toc9701_WPSOffice_Level2"/>
      <w:bookmarkStart w:id="279" w:name="_Toc4534"/>
      <w:bookmarkStart w:id="280" w:name="_Toc34637771"/>
      <w:bookmarkStart w:id="281" w:name="_Toc6866_WPSOffice_Level2"/>
      <w:bookmarkStart w:id="282" w:name="_Toc22201076"/>
      <w:bookmarkStart w:id="283" w:name="_Toc21832"/>
      <w:r>
        <w:rPr>
          <w:rFonts w:hint="eastAsia" w:asciiTheme="minorEastAsia" w:hAnsiTheme="minorEastAsia" w:eastAsiaTheme="minorEastAsia" w:cstheme="minorEastAsia"/>
          <w:sz w:val="24"/>
          <w:szCs w:val="24"/>
        </w:rPr>
        <w:t>八、政府采购政策</w:t>
      </w:r>
      <w:bookmarkEnd w:id="275"/>
      <w:bookmarkEnd w:id="276"/>
      <w:bookmarkEnd w:id="277"/>
      <w:bookmarkEnd w:id="278"/>
      <w:bookmarkEnd w:id="279"/>
      <w:bookmarkEnd w:id="280"/>
      <w:bookmarkEnd w:id="281"/>
      <w:bookmarkEnd w:id="282"/>
      <w:bookmarkEnd w:id="283"/>
    </w:p>
    <w:p w14:paraId="52E3ED01">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284" w:name="_Toc16893"/>
      <w:bookmarkStart w:id="285" w:name="_Toc32232"/>
      <w:bookmarkStart w:id="286" w:name="_Toc17253_WPSOffice_Level3"/>
      <w:bookmarkStart w:id="287" w:name="_Toc27584"/>
      <w:bookmarkStart w:id="288" w:name="_Toc461"/>
      <w:bookmarkStart w:id="289" w:name="_Toc19360_WPSOffice_Level3"/>
      <w:r>
        <w:rPr>
          <w:rFonts w:hint="eastAsia" w:asciiTheme="minorEastAsia" w:hAnsiTheme="minorEastAsia" w:eastAsiaTheme="minorEastAsia" w:cstheme="minorEastAsia"/>
          <w:sz w:val="24"/>
          <w:szCs w:val="24"/>
        </w:rPr>
        <w:t>31.政府采购政策</w:t>
      </w:r>
      <w:bookmarkEnd w:id="284"/>
      <w:bookmarkEnd w:id="285"/>
      <w:bookmarkEnd w:id="286"/>
      <w:bookmarkEnd w:id="287"/>
      <w:bookmarkEnd w:id="288"/>
      <w:bookmarkEnd w:id="289"/>
    </w:p>
    <w:p w14:paraId="3EB20159">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31.1节能产品、环境标志产品的采购：</w:t>
      </w:r>
    </w:p>
    <w:p w14:paraId="565CFC39">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94A1536">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31.2价格评审优惠：</w:t>
      </w:r>
    </w:p>
    <w:p w14:paraId="6ABE6E7A">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（1）本项目为专门面向小微企业采购，投标人须提供制造（生产）企业为小微企业的《小微企业声明函》，并由投标人加盖公章。 </w:t>
      </w:r>
    </w:p>
    <w:p w14:paraId="79F100FF">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本项所称货物不包括使用大、中型企业注册商标的货物；</w:t>
      </w:r>
    </w:p>
    <w:p w14:paraId="0B858C1B">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（2）监狱企业、残疾人福利性单位视同小型、微型企业，享受评审中价格 </w:t>
      </w:r>
    </w:p>
    <w:p w14:paraId="63AC4C2D">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扣除等促进中小企业发展的政府采购政策。</w:t>
      </w:r>
    </w:p>
    <w:p w14:paraId="6765C244">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31.3供应商同时符合小型、</w:t>
      </w:r>
      <w:r>
        <w:rPr>
          <w:rFonts w:hint="eastAsia" w:asciiTheme="minorEastAsia" w:hAnsiTheme="minorEastAsia" w:eastAsiaTheme="minorEastAsia" w:cstheme="minorEastAsia"/>
          <w:sz w:val="24"/>
          <w:szCs w:val="24"/>
          <w:lang w:val="en-US" w:eastAsia="zh-CN"/>
        </w:rPr>
        <w:t>微</w:t>
      </w:r>
      <w:r>
        <w:rPr>
          <w:rFonts w:hint="eastAsia" w:asciiTheme="minorEastAsia" w:hAnsiTheme="minorEastAsia" w:eastAsiaTheme="minorEastAsia" w:cstheme="minorEastAsia"/>
          <w:sz w:val="24"/>
          <w:szCs w:val="24"/>
        </w:rPr>
        <w:t>型企业及监狱企业、残疾人福利性单位要求的，评审时只有一种类型享受价格评审优惠政策；</w:t>
      </w:r>
    </w:p>
    <w:p w14:paraId="4104357E">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31.4响应文件符合本章前款规定的，供应商应提供相关证明资料，且所提供资料必须真实可信。如有虚假，将依法承担相应责任。</w:t>
      </w:r>
    </w:p>
    <w:p w14:paraId="6690A2AC">
      <w:pPr>
        <w:adjustRightInd w:val="0"/>
        <w:snapToGrid w:val="0"/>
        <w:spacing w:line="560" w:lineRule="exact"/>
        <w:ind w:firstLine="480" w:firstLineChars="200"/>
        <w:jc w:val="left"/>
        <w:rPr>
          <w:rFonts w:hint="eastAsia"/>
          <w:sz w:val="24"/>
          <w:szCs w:val="24"/>
        </w:rPr>
      </w:pPr>
      <w:r>
        <w:rPr>
          <w:rFonts w:hint="eastAsia" w:asciiTheme="minorEastAsia" w:hAnsiTheme="minorEastAsia" w:eastAsiaTheme="minorEastAsia" w:cstheme="minorEastAsia"/>
          <w:sz w:val="24"/>
          <w:szCs w:val="24"/>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191D41BB">
      <w:pPr>
        <w:adjustRightInd w:val="0"/>
        <w:snapToGrid w:val="0"/>
        <w:spacing w:before="156" w:beforeLines="50" w:line="560" w:lineRule="exact"/>
        <w:jc w:val="center"/>
        <w:outlineLvl w:val="1"/>
        <w:rPr>
          <w:rFonts w:hint="eastAsia" w:asciiTheme="minorEastAsia" w:hAnsiTheme="minorEastAsia" w:eastAsiaTheme="minorEastAsia" w:cstheme="minorEastAsia"/>
          <w:sz w:val="24"/>
          <w:szCs w:val="24"/>
        </w:rPr>
      </w:pPr>
      <w:bookmarkStart w:id="290" w:name="_Toc15316"/>
      <w:bookmarkStart w:id="291" w:name="_Toc10843_WPSOffice_Level2"/>
      <w:bookmarkStart w:id="292" w:name="_Toc34637772"/>
      <w:bookmarkStart w:id="293" w:name="_Toc28078_WPSOffice_Level2"/>
      <w:bookmarkStart w:id="294" w:name="_Toc30960"/>
      <w:bookmarkStart w:id="295" w:name="_Toc3719_WPSOffice_Level2"/>
      <w:bookmarkStart w:id="296" w:name="_Toc12996"/>
      <w:bookmarkStart w:id="297" w:name="_Toc15805"/>
      <w:r>
        <w:rPr>
          <w:rFonts w:hint="eastAsia" w:asciiTheme="minorEastAsia" w:hAnsiTheme="minorEastAsia" w:eastAsiaTheme="minorEastAsia" w:cstheme="minorEastAsia"/>
          <w:sz w:val="24"/>
          <w:szCs w:val="24"/>
        </w:rPr>
        <w:t>九、其他规定</w:t>
      </w:r>
      <w:bookmarkEnd w:id="290"/>
      <w:bookmarkEnd w:id="291"/>
      <w:bookmarkEnd w:id="292"/>
      <w:bookmarkEnd w:id="293"/>
      <w:bookmarkEnd w:id="294"/>
      <w:bookmarkEnd w:id="295"/>
      <w:bookmarkEnd w:id="296"/>
      <w:bookmarkEnd w:id="297"/>
    </w:p>
    <w:p w14:paraId="3DE84C72">
      <w:pPr>
        <w:pStyle w:val="5"/>
        <w:adjustRightInd w:val="0"/>
        <w:snapToGrid w:val="0"/>
        <w:spacing w:before="156" w:beforeLines="50" w:after="0" w:line="560" w:lineRule="exact"/>
        <w:rPr>
          <w:rFonts w:hint="eastAsia" w:asciiTheme="minorEastAsia" w:hAnsiTheme="minorEastAsia" w:eastAsiaTheme="minorEastAsia" w:cstheme="minorEastAsia"/>
          <w:sz w:val="24"/>
          <w:szCs w:val="24"/>
        </w:rPr>
      </w:pPr>
      <w:bookmarkStart w:id="298" w:name="_Toc26568"/>
      <w:bookmarkStart w:id="299" w:name="_Toc12390_WPSOffice_Level3"/>
      <w:bookmarkStart w:id="300" w:name="_Toc10855"/>
      <w:bookmarkStart w:id="301" w:name="_Toc27595"/>
      <w:bookmarkStart w:id="302" w:name="_Toc10247"/>
      <w:bookmarkStart w:id="303" w:name="_Toc22185_WPSOffice_Level3"/>
      <w:r>
        <w:rPr>
          <w:rFonts w:hint="eastAsia" w:asciiTheme="minorEastAsia" w:hAnsiTheme="minorEastAsia" w:eastAsiaTheme="minorEastAsia" w:cstheme="minorEastAsia"/>
          <w:sz w:val="24"/>
          <w:szCs w:val="24"/>
        </w:rPr>
        <w:t>32.代理服务费</w:t>
      </w:r>
      <w:bookmarkEnd w:id="298"/>
      <w:bookmarkEnd w:id="299"/>
      <w:bookmarkEnd w:id="300"/>
      <w:bookmarkEnd w:id="301"/>
      <w:bookmarkEnd w:id="302"/>
      <w:bookmarkEnd w:id="303"/>
    </w:p>
    <w:p w14:paraId="07C0A830">
      <w:pPr>
        <w:adjustRightInd w:val="0"/>
        <w:snapToGrid w:val="0"/>
        <w:spacing w:before="156" w:beforeLines="50" w:after="0" w:line="560" w:lineRule="exact"/>
        <w:ind w:firstLine="480" w:firstLineChars="200"/>
        <w:outlineLvl w:val="9"/>
        <w:rPr>
          <w:rFonts w:hint="eastAsia" w:asciiTheme="minorEastAsia" w:hAnsiTheme="minorEastAsia" w:eastAsiaTheme="minorEastAsia" w:cstheme="minorEastAsia"/>
          <w:b w:val="0"/>
          <w:bCs w:val="0"/>
          <w:kern w:val="2"/>
          <w:sz w:val="24"/>
          <w:szCs w:val="24"/>
          <w:lang w:val="zh-CN" w:eastAsia="zh-CN" w:bidi="ar-SA"/>
        </w:rPr>
      </w:pPr>
      <w:bookmarkStart w:id="304" w:name="_Toc1461_WPSOffice_Level3"/>
      <w:bookmarkStart w:id="305" w:name="_Toc18975"/>
      <w:bookmarkStart w:id="306" w:name="_Toc27699_WPSOffice_Level3"/>
      <w:bookmarkStart w:id="307" w:name="_Toc14580"/>
      <w:r>
        <w:rPr>
          <w:rFonts w:hint="eastAsia" w:asciiTheme="minorEastAsia" w:hAnsiTheme="minorEastAsia" w:eastAsiaTheme="minorEastAsia" w:cstheme="minorEastAsia"/>
          <w:b w:val="0"/>
          <w:bCs w:val="0"/>
          <w:kern w:val="2"/>
          <w:sz w:val="24"/>
          <w:szCs w:val="24"/>
          <w:lang w:val="zh-CN" w:eastAsia="zh-CN" w:bidi="ar-SA"/>
        </w:rPr>
        <w:t>收费金额：</w:t>
      </w:r>
      <w:r>
        <w:rPr>
          <w:rFonts w:hint="eastAsia" w:asciiTheme="minorEastAsia" w:hAnsiTheme="minorEastAsia" w:eastAsiaTheme="minorEastAsia" w:cstheme="minorEastAsia"/>
          <w:b w:val="0"/>
          <w:bCs w:val="0"/>
          <w:kern w:val="2"/>
          <w:sz w:val="24"/>
          <w:szCs w:val="24"/>
          <w:lang w:val="en-US" w:eastAsia="zh-CN" w:bidi="ar-SA"/>
        </w:rPr>
        <w:t>5700.00</w:t>
      </w:r>
      <w:r>
        <w:rPr>
          <w:rFonts w:hint="eastAsia" w:asciiTheme="minorEastAsia" w:hAnsiTheme="minorEastAsia" w:eastAsiaTheme="minorEastAsia" w:cstheme="minorEastAsia"/>
          <w:b w:val="0"/>
          <w:bCs w:val="0"/>
          <w:kern w:val="2"/>
          <w:sz w:val="24"/>
          <w:szCs w:val="24"/>
          <w:lang w:val="zh-CN" w:eastAsia="zh-CN" w:bidi="ar-SA"/>
        </w:rPr>
        <w:t>元，根据《关于进一步放开建设项目专项业务服务价格的通知》（发改价格[2015]299号）规定，实行市场调节价，应严格遵守《价格法》、《关于商品和服务实行明码标价的规定》等法律法规的规定。</w:t>
      </w:r>
    </w:p>
    <w:p w14:paraId="5C1B69C3">
      <w:pPr>
        <w:pStyle w:val="5"/>
        <w:adjustRightInd w:val="0"/>
        <w:snapToGrid w:val="0"/>
        <w:spacing w:before="156" w:beforeLines="50" w:after="0" w:line="560" w:lineRule="exact"/>
        <w:rPr>
          <w:rFonts w:hint="eastAsia" w:asciiTheme="minorEastAsia" w:hAnsiTheme="minorEastAsia" w:eastAsiaTheme="minorEastAsia" w:cstheme="minorEastAsia"/>
          <w:sz w:val="24"/>
          <w:szCs w:val="24"/>
          <w:lang w:val="en-US" w:eastAsia="zh-CN"/>
        </w:rPr>
      </w:pPr>
      <w:bookmarkStart w:id="308" w:name="_Toc4261"/>
      <w:bookmarkStart w:id="309" w:name="_Toc20706"/>
      <w:r>
        <w:rPr>
          <w:rFonts w:hint="eastAsia" w:asciiTheme="minorEastAsia" w:hAnsiTheme="minorEastAsia" w:eastAsiaTheme="minorEastAsia" w:cstheme="minorEastAsia"/>
          <w:sz w:val="24"/>
          <w:szCs w:val="24"/>
          <w:lang w:val="en-US" w:eastAsia="zh-CN"/>
        </w:rPr>
        <w:t>33.其他规定</w:t>
      </w:r>
      <w:bookmarkEnd w:id="304"/>
      <w:bookmarkEnd w:id="305"/>
      <w:bookmarkEnd w:id="306"/>
      <w:bookmarkEnd w:id="307"/>
      <w:bookmarkEnd w:id="308"/>
      <w:bookmarkEnd w:id="309"/>
    </w:p>
    <w:p w14:paraId="0D3B9B70">
      <w:pPr>
        <w:adjustRightInd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谈判文件的其他规定见【谈判须知前附表】。</w:t>
      </w:r>
    </w:p>
    <w:p w14:paraId="1FCAE93C">
      <w:pPr>
        <w:pStyle w:val="3"/>
        <w:adjustRightInd w:val="0"/>
        <w:snapToGrid w:val="0"/>
        <w:spacing w:before="156" w:beforeLines="50" w:line="560" w:lineRule="exact"/>
        <w:rPr>
          <w:rFonts w:hint="eastAsia" w:hAnsi="宋体"/>
          <w:sz w:val="36"/>
          <w:szCs w:val="24"/>
        </w:rPr>
      </w:pPr>
      <w:bookmarkStart w:id="310" w:name="_Toc34637773"/>
      <w:bookmarkStart w:id="311" w:name="_Toc7566"/>
      <w:bookmarkStart w:id="312" w:name="_Toc18130_WPSOffice_Level1"/>
      <w:bookmarkStart w:id="313" w:name="_Toc2404_WPSOffice_Level1"/>
      <w:bookmarkStart w:id="314" w:name="_Toc4912_WPSOffice_Level1"/>
      <w:bookmarkStart w:id="315" w:name="_Toc13204"/>
      <w:bookmarkStart w:id="316" w:name="_Toc20750"/>
      <w:bookmarkStart w:id="317" w:name="_Toc7780_WPSOffice_Level1"/>
      <w:bookmarkStart w:id="318" w:name="_Toc29561_WPSOffice_Level1"/>
      <w:bookmarkStart w:id="319" w:name="_Toc31765_WPSOffice_Level1"/>
      <w:r>
        <w:rPr>
          <w:rFonts w:hint="eastAsia" w:asciiTheme="minorEastAsia" w:hAnsiTheme="minorEastAsia" w:eastAsiaTheme="minorEastAsia" w:cstheme="minorEastAsia"/>
          <w:b w:val="0"/>
          <w:bCs w:val="0"/>
          <w:sz w:val="44"/>
          <w:szCs w:val="44"/>
        </w:rPr>
        <w:br w:type="page"/>
      </w:r>
      <w:bookmarkStart w:id="320" w:name="_Toc21834"/>
      <w:r>
        <w:rPr>
          <w:rFonts w:hint="eastAsia" w:hAnsi="宋体"/>
          <w:sz w:val="36"/>
          <w:szCs w:val="24"/>
        </w:rPr>
        <w:t>第</w:t>
      </w:r>
      <w:r>
        <w:rPr>
          <w:rFonts w:hint="eastAsia" w:hAnsi="宋体"/>
          <w:sz w:val="36"/>
          <w:szCs w:val="24"/>
          <w:lang w:eastAsia="zh-CN"/>
        </w:rPr>
        <w:t>四</w:t>
      </w:r>
      <w:r>
        <w:rPr>
          <w:rFonts w:hint="eastAsia" w:hAnsi="宋体"/>
          <w:sz w:val="36"/>
          <w:szCs w:val="24"/>
        </w:rPr>
        <w:t>部分 采购需求</w:t>
      </w:r>
      <w:bookmarkEnd w:id="310"/>
      <w:bookmarkEnd w:id="311"/>
      <w:bookmarkEnd w:id="312"/>
      <w:bookmarkEnd w:id="313"/>
      <w:bookmarkEnd w:id="314"/>
      <w:bookmarkEnd w:id="315"/>
      <w:bookmarkEnd w:id="316"/>
      <w:bookmarkEnd w:id="317"/>
      <w:bookmarkEnd w:id="318"/>
      <w:bookmarkEnd w:id="319"/>
      <w:bookmarkEnd w:id="320"/>
    </w:p>
    <w:p w14:paraId="683FFD75">
      <w:pPr>
        <w:adjustRightInd w:val="0"/>
        <w:snapToGrid w:val="0"/>
        <w:spacing w:before="156" w:beforeLines="50" w:line="560" w:lineRule="exact"/>
        <w:jc w:val="center"/>
        <w:outlineLvl w:val="1"/>
        <w:rPr>
          <w:rFonts w:hint="eastAsia" w:asciiTheme="minorEastAsia" w:hAnsiTheme="minorEastAsia" w:eastAsiaTheme="minorEastAsia" w:cstheme="minorEastAsia"/>
          <w:sz w:val="24"/>
          <w:szCs w:val="24"/>
          <w:lang w:val="zh-CN"/>
        </w:rPr>
      </w:pPr>
      <w:bookmarkStart w:id="321" w:name="_Toc20423_WPSOffice_Level2"/>
      <w:bookmarkStart w:id="322" w:name="_Toc8656"/>
      <w:bookmarkStart w:id="323" w:name="_Toc16505"/>
      <w:bookmarkStart w:id="324" w:name="_Toc17070"/>
      <w:bookmarkStart w:id="325" w:name="_Toc515908232"/>
      <w:bookmarkStart w:id="326" w:name="_Toc13326_WPSOffice_Level2"/>
      <w:bookmarkStart w:id="327" w:name="_Toc4601"/>
      <w:bookmarkStart w:id="328" w:name="_Toc19812_WPSOffice_Level2"/>
      <w:r>
        <w:rPr>
          <w:rFonts w:hint="eastAsia" w:asciiTheme="minorEastAsia" w:hAnsiTheme="minorEastAsia" w:eastAsiaTheme="minorEastAsia" w:cstheme="minorEastAsia"/>
          <w:sz w:val="24"/>
          <w:szCs w:val="24"/>
          <w:lang w:val="zh-CN"/>
        </w:rPr>
        <w:t>十、响应说明</w:t>
      </w:r>
      <w:bookmarkEnd w:id="321"/>
      <w:bookmarkEnd w:id="322"/>
      <w:bookmarkEnd w:id="323"/>
      <w:bookmarkEnd w:id="324"/>
      <w:bookmarkEnd w:id="325"/>
      <w:bookmarkEnd w:id="326"/>
      <w:bookmarkEnd w:id="327"/>
      <w:bookmarkEnd w:id="328"/>
    </w:p>
    <w:p w14:paraId="087EC3CE">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宋体" w:hAnsi="宋体" w:eastAsia="宋体" w:cs="宋体"/>
          <w:b/>
          <w:color w:val="auto"/>
          <w:sz w:val="24"/>
          <w:szCs w:val="24"/>
        </w:rPr>
      </w:pPr>
      <w:bookmarkStart w:id="329" w:name="_Toc28791"/>
      <w:bookmarkStart w:id="330" w:name="_Toc515908233"/>
      <w:bookmarkStart w:id="331" w:name="_Toc1475"/>
      <w:bookmarkStart w:id="332" w:name="_Toc22092"/>
      <w:bookmarkStart w:id="333" w:name="_Toc26560_WPSOffice_Level2"/>
      <w:bookmarkStart w:id="334" w:name="_Toc16271_WPSOffice_Level2"/>
      <w:bookmarkStart w:id="335" w:name="_Toc19609_WPSOffice_Level2"/>
      <w:bookmarkStart w:id="336" w:name="_Toc7019"/>
      <w:r>
        <w:rPr>
          <w:rFonts w:hint="eastAsia" w:ascii="宋体" w:hAnsi="宋体" w:eastAsia="宋体" w:cs="宋体"/>
          <w:b/>
          <w:color w:val="auto"/>
          <w:sz w:val="24"/>
          <w:szCs w:val="24"/>
        </w:rPr>
        <w:t>一、投标要求：</w:t>
      </w:r>
    </w:p>
    <w:p w14:paraId="1D5A010D">
      <w:pPr>
        <w:pStyle w:val="14"/>
        <w:keepNext w:val="0"/>
        <w:keepLines w:val="0"/>
        <w:pageBreakBefore w:val="0"/>
        <w:widowControl w:val="0"/>
        <w:kinsoku/>
        <w:wordWrap/>
        <w:overflowPunct/>
        <w:topLinePunct w:val="0"/>
        <w:bidi w:val="0"/>
        <w:adjustRightInd/>
        <w:snapToGrid/>
        <w:spacing w:before="0" w:after="0" w:line="360" w:lineRule="auto"/>
        <w:ind w:firstLine="482" w:firstLineChars="200"/>
        <w:jc w:val="left"/>
        <w:textAlignment w:val="auto"/>
        <w:rPr>
          <w:rFonts w:hint="eastAsia" w:ascii="宋体" w:hAnsi="宋体" w:eastAsia="宋体" w:cs="宋体"/>
          <w:color w:val="auto"/>
          <w:sz w:val="24"/>
          <w:szCs w:val="24"/>
          <w:lang w:val="zh-CN"/>
        </w:rPr>
      </w:pPr>
      <w:bookmarkStart w:id="337" w:name="_Toc20417"/>
      <w:bookmarkStart w:id="338" w:name="_Toc15074"/>
      <w:bookmarkStart w:id="339" w:name="_Toc4635"/>
      <w:r>
        <w:rPr>
          <w:rFonts w:hint="eastAsia" w:ascii="宋体" w:hAnsi="宋体" w:eastAsia="宋体" w:cs="宋体"/>
          <w:color w:val="auto"/>
          <w:sz w:val="24"/>
          <w:szCs w:val="24"/>
          <w:lang w:val="zh-CN"/>
        </w:rPr>
        <w:t>1.投标说明</w:t>
      </w:r>
      <w:bookmarkEnd w:id="337"/>
      <w:bookmarkEnd w:id="338"/>
      <w:bookmarkEnd w:id="339"/>
    </w:p>
    <w:p w14:paraId="2E01268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供应商必须对</w:t>
      </w:r>
      <w:r>
        <w:rPr>
          <w:rFonts w:hint="eastAsia" w:ascii="宋体" w:hAnsi="宋体" w:eastAsia="宋体" w:cs="宋体"/>
          <w:color w:val="auto"/>
          <w:sz w:val="24"/>
          <w:szCs w:val="24"/>
          <w:lang w:val="en-US" w:eastAsia="zh-CN"/>
        </w:rPr>
        <w:t>本文件</w:t>
      </w:r>
      <w:r>
        <w:rPr>
          <w:rFonts w:hint="eastAsia" w:ascii="宋体" w:hAnsi="宋体" w:eastAsia="宋体" w:cs="宋体"/>
          <w:color w:val="auto"/>
          <w:sz w:val="24"/>
          <w:szCs w:val="24"/>
          <w:lang w:val="zh-CN"/>
        </w:rPr>
        <w:t>中的所有内容作为一个整体进行投标，不能拆分或少报。否则，投标无效。</w:t>
      </w:r>
    </w:p>
    <w:p w14:paraId="0134F2EB">
      <w:pPr>
        <w:pStyle w:val="14"/>
        <w:keepNext w:val="0"/>
        <w:keepLines w:val="0"/>
        <w:pageBreakBefore w:val="0"/>
        <w:widowControl w:val="0"/>
        <w:kinsoku/>
        <w:wordWrap/>
        <w:overflowPunct/>
        <w:topLinePunct w:val="0"/>
        <w:bidi w:val="0"/>
        <w:adjustRightInd/>
        <w:snapToGrid/>
        <w:spacing w:before="0" w:after="0" w:line="360" w:lineRule="auto"/>
        <w:ind w:firstLine="482" w:firstLineChars="200"/>
        <w:jc w:val="left"/>
        <w:textAlignment w:val="auto"/>
        <w:rPr>
          <w:rFonts w:hint="eastAsia" w:ascii="宋体" w:hAnsi="宋体" w:eastAsia="宋体" w:cs="宋体"/>
          <w:color w:val="auto"/>
          <w:sz w:val="24"/>
          <w:szCs w:val="24"/>
        </w:rPr>
      </w:pPr>
      <w:bookmarkStart w:id="340" w:name="_Toc8172"/>
      <w:bookmarkStart w:id="341" w:name="_Toc21805"/>
      <w:bookmarkStart w:id="342" w:name="_Toc17561"/>
      <w:r>
        <w:rPr>
          <w:rFonts w:hint="eastAsia" w:ascii="宋体" w:hAnsi="宋体" w:eastAsia="宋体" w:cs="宋体"/>
          <w:color w:val="auto"/>
          <w:sz w:val="24"/>
          <w:szCs w:val="24"/>
        </w:rPr>
        <w:t>2.报价说明</w:t>
      </w:r>
      <w:bookmarkEnd w:id="340"/>
      <w:bookmarkEnd w:id="341"/>
      <w:bookmarkEnd w:id="342"/>
    </w:p>
    <w:p w14:paraId="50ACB44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本次竞谈文件中规定的采购预算额度为最高限价，供应商的投标报价不得超出此额度。否则，投标无效。</w:t>
      </w:r>
    </w:p>
    <w:p w14:paraId="68BB8F8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投标报价为投标总价。投标报价应包括：完成本次招标所有服务内容的费用，包含：产品费、维保费、人员工资、验收费、手续费、安装调试费、培训费、售前、售中、售后服务费、招标代理服务费、税金及不可预见费等全部费用。</w:t>
      </w:r>
    </w:p>
    <w:p w14:paraId="7B93A3A2">
      <w:pPr>
        <w:pStyle w:val="14"/>
        <w:outlineLvl w:val="1"/>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b w:val="0"/>
          <w:bCs w:val="0"/>
          <w:kern w:val="2"/>
          <w:sz w:val="24"/>
          <w:szCs w:val="24"/>
          <w:lang w:val="zh-CN" w:eastAsia="zh-CN" w:bidi="ar-SA"/>
        </w:rPr>
        <w:t>十一</w:t>
      </w:r>
      <w:bookmarkEnd w:id="329"/>
      <w:bookmarkEnd w:id="330"/>
      <w:bookmarkEnd w:id="331"/>
      <w:bookmarkEnd w:id="332"/>
      <w:bookmarkEnd w:id="333"/>
      <w:bookmarkEnd w:id="334"/>
      <w:bookmarkEnd w:id="335"/>
      <w:r>
        <w:rPr>
          <w:rFonts w:hint="eastAsia" w:asciiTheme="minorEastAsia" w:hAnsiTheme="minorEastAsia" w:eastAsiaTheme="minorEastAsia" w:cstheme="minorEastAsia"/>
          <w:b w:val="0"/>
          <w:bCs w:val="0"/>
          <w:kern w:val="2"/>
          <w:sz w:val="24"/>
          <w:szCs w:val="24"/>
          <w:lang w:val="zh-CN" w:eastAsia="zh-CN" w:bidi="ar-SA"/>
        </w:rPr>
        <w:t>、</w:t>
      </w:r>
      <w:r>
        <w:rPr>
          <w:rFonts w:hint="eastAsia" w:asciiTheme="minorEastAsia" w:hAnsiTheme="minorEastAsia" w:eastAsiaTheme="minorEastAsia" w:cstheme="minorEastAsia"/>
          <w:b w:val="0"/>
          <w:bCs w:val="0"/>
          <w:kern w:val="2"/>
          <w:sz w:val="24"/>
          <w:szCs w:val="24"/>
          <w:lang w:val="en-US" w:eastAsia="zh-CN" w:bidi="ar-SA"/>
        </w:rPr>
        <w:t>采购</w:t>
      </w:r>
      <w:r>
        <w:rPr>
          <w:rFonts w:hint="eastAsia" w:asciiTheme="minorEastAsia" w:hAnsiTheme="minorEastAsia" w:eastAsiaTheme="minorEastAsia" w:cstheme="minorEastAsia"/>
          <w:b w:val="0"/>
          <w:bCs w:val="0"/>
          <w:kern w:val="2"/>
          <w:sz w:val="24"/>
          <w:szCs w:val="24"/>
          <w:lang w:val="zh-CN" w:eastAsia="zh-CN" w:bidi="ar-SA"/>
        </w:rPr>
        <w:t>内容及要求</w:t>
      </w:r>
      <w:bookmarkEnd w:id="336"/>
    </w:p>
    <w:p w14:paraId="1030EBD0">
      <w:pPr>
        <w:shd w:val="clea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bookmarkStart w:id="343" w:name="_Toc18880"/>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lang w:val="en-US" w:eastAsia="zh-CN"/>
        </w:rPr>
        <w:t>交货期</w:t>
      </w:r>
      <w:r>
        <w:rPr>
          <w:rFonts w:hint="eastAsia" w:asciiTheme="minorEastAsia" w:hAnsiTheme="minorEastAsia" w:eastAsiaTheme="minorEastAsia" w:cstheme="minorEastAsia"/>
          <w:color w:val="auto"/>
          <w:sz w:val="24"/>
          <w:szCs w:val="24"/>
          <w:highlight w:val="none"/>
          <w:lang w:val="zh-CN"/>
        </w:rPr>
        <w:t>：</w:t>
      </w:r>
      <w:r>
        <w:rPr>
          <w:rFonts w:hint="eastAsia" w:ascii="宋体" w:hAnsi="宋体" w:eastAsia="宋体" w:cs="宋体"/>
          <w:color w:val="auto"/>
          <w:kern w:val="0"/>
          <w:sz w:val="24"/>
          <w:highlight w:val="none"/>
          <w:lang w:val="zh-CN"/>
        </w:rPr>
        <w:t>合同签订后</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lang w:val="zh-CN"/>
        </w:rPr>
        <w:t>日内</w:t>
      </w:r>
    </w:p>
    <w:p w14:paraId="17559F7B">
      <w:pPr>
        <w:shd w:val="clea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rPr>
        <w:t>2.</w:t>
      </w:r>
      <w:r>
        <w:rPr>
          <w:rFonts w:hint="eastAsia" w:asciiTheme="minorEastAsia" w:hAnsiTheme="minorEastAsia" w:eastAsiaTheme="minorEastAsia" w:cstheme="minorEastAsia"/>
          <w:color w:val="auto"/>
          <w:sz w:val="24"/>
          <w:szCs w:val="24"/>
          <w:highlight w:val="none"/>
          <w:lang w:val="en-US" w:eastAsia="zh-CN"/>
        </w:rPr>
        <w:t>交货</w:t>
      </w:r>
      <w:r>
        <w:rPr>
          <w:rFonts w:hint="eastAsia" w:asciiTheme="minorEastAsia" w:hAnsiTheme="minorEastAsia" w:eastAsiaTheme="minorEastAsia" w:cstheme="minorEastAsia"/>
          <w:color w:val="auto"/>
          <w:sz w:val="24"/>
          <w:szCs w:val="24"/>
          <w:highlight w:val="none"/>
          <w:lang w:val="zh-CN"/>
        </w:rPr>
        <w:t>地点：</w:t>
      </w:r>
      <w:r>
        <w:rPr>
          <w:rFonts w:hint="eastAsia" w:ascii="宋体" w:hAnsi="宋体" w:cs="宋体"/>
          <w:color w:val="auto"/>
          <w:kern w:val="0"/>
          <w:sz w:val="24"/>
          <w:highlight w:val="none"/>
          <w:lang w:val="en-US" w:eastAsia="zh-CN"/>
        </w:rPr>
        <w:t>德令哈市</w:t>
      </w:r>
    </w:p>
    <w:p w14:paraId="69A47348">
      <w:pPr>
        <w:pStyle w:val="8"/>
        <w:shd w:val="clea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3.付款方式：按合同约定</w:t>
      </w:r>
    </w:p>
    <w:p w14:paraId="7DC0D2F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免费质保期</w:t>
      </w:r>
      <w:r>
        <w:rPr>
          <w:rFonts w:hint="eastAsia" w:ascii="宋体" w:hAnsi="宋体" w:cs="宋体"/>
          <w:color w:val="auto"/>
          <w:sz w:val="24"/>
          <w:szCs w:val="24"/>
          <w:lang w:val="en-US" w:eastAsia="zh-CN"/>
        </w:rPr>
        <w:t>：验收合格后1年。</w:t>
      </w:r>
    </w:p>
    <w:p w14:paraId="5D7237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 xml:space="preserve">货物质量应符合本次采购要求，因成交方货物质量不达标造成采购方损失，采购方有权终止合同； </w:t>
      </w:r>
    </w:p>
    <w:p w14:paraId="5A460F90">
      <w:pPr>
        <w:pStyle w:val="6"/>
        <w:rPr>
          <w:rFonts w:hint="eastAsia"/>
          <w:lang w:val="en-US" w:eastAsia="zh-CN"/>
        </w:rPr>
      </w:pPr>
    </w:p>
    <w:p w14:paraId="286FA975">
      <w:pPr>
        <w:pStyle w:val="8"/>
        <w:shd w:val="clear"/>
        <w:spacing w:line="36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val="zh-CN"/>
        </w:rPr>
        <w:t xml:space="preserve"> </w:t>
      </w:r>
    </w:p>
    <w:p w14:paraId="76B2DD3B">
      <w:pPr>
        <w:adjustRightInd w:val="0"/>
        <w:snapToGrid w:val="0"/>
        <w:spacing w:line="560" w:lineRule="exact"/>
        <w:ind w:firstLine="643" w:firstLineChars="200"/>
        <w:jc w:val="center"/>
        <w:rPr>
          <w:rFonts w:hint="eastAsia" w:asciiTheme="minorEastAsia" w:hAnsiTheme="minorEastAsia" w:eastAsiaTheme="minorEastAsia" w:cstheme="minorEastAsia"/>
          <w:b/>
          <w:bCs/>
          <w:sz w:val="32"/>
          <w:szCs w:val="32"/>
        </w:rPr>
      </w:pPr>
    </w:p>
    <w:p w14:paraId="687C2D27">
      <w:pPr>
        <w:adjustRightInd w:val="0"/>
        <w:snapToGrid w:val="0"/>
        <w:spacing w:line="560" w:lineRule="exact"/>
        <w:ind w:firstLine="643" w:firstLineChars="200"/>
        <w:jc w:val="center"/>
        <w:rPr>
          <w:rFonts w:hint="eastAsia" w:asciiTheme="minorEastAsia" w:hAnsiTheme="minorEastAsia" w:eastAsiaTheme="minorEastAsia" w:cstheme="minorEastAsia"/>
          <w:b/>
          <w:bCs/>
          <w:sz w:val="32"/>
          <w:szCs w:val="32"/>
        </w:rPr>
      </w:pPr>
    </w:p>
    <w:p w14:paraId="47AD31E4">
      <w:pPr>
        <w:adjustRightInd w:val="0"/>
        <w:snapToGrid w:val="0"/>
        <w:spacing w:line="560" w:lineRule="exact"/>
        <w:ind w:firstLine="643" w:firstLineChars="200"/>
        <w:jc w:val="center"/>
        <w:rPr>
          <w:rFonts w:hint="eastAsia" w:asciiTheme="minorEastAsia" w:hAnsiTheme="minorEastAsia" w:eastAsiaTheme="minorEastAsia" w:cstheme="minorEastAsia"/>
          <w:b/>
          <w:bCs/>
          <w:sz w:val="32"/>
          <w:szCs w:val="32"/>
        </w:rPr>
      </w:pPr>
    </w:p>
    <w:p w14:paraId="779C8E5F">
      <w:pPr>
        <w:adjustRightInd w:val="0"/>
        <w:snapToGrid w:val="0"/>
        <w:spacing w:line="560" w:lineRule="exact"/>
        <w:ind w:firstLine="643" w:firstLineChars="200"/>
        <w:jc w:val="center"/>
        <w:rPr>
          <w:rFonts w:hint="eastAsia" w:asciiTheme="minorEastAsia" w:hAnsiTheme="minorEastAsia" w:eastAsiaTheme="minorEastAsia" w:cstheme="minorEastAsia"/>
          <w:b/>
          <w:bCs/>
          <w:sz w:val="32"/>
          <w:szCs w:val="32"/>
        </w:rPr>
      </w:pPr>
    </w:p>
    <w:p w14:paraId="5418FF73">
      <w:pP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br w:type="page"/>
      </w:r>
    </w:p>
    <w:p w14:paraId="2519C8C6">
      <w:pPr>
        <w:adjustRightInd w:val="0"/>
        <w:snapToGrid w:val="0"/>
        <w:spacing w:line="560" w:lineRule="exact"/>
        <w:ind w:firstLine="643" w:firstLineChars="200"/>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供货清单</w:t>
      </w:r>
    </w:p>
    <w:tbl>
      <w:tblPr>
        <w:tblStyle w:val="17"/>
        <w:tblW w:w="9138"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2127"/>
        <w:gridCol w:w="1250"/>
        <w:gridCol w:w="2100"/>
        <w:gridCol w:w="2500"/>
      </w:tblGrid>
      <w:tr w14:paraId="67C0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0395E64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127" w:type="dxa"/>
            <w:vAlign w:val="center"/>
          </w:tcPr>
          <w:p w14:paraId="4819C4A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1250" w:type="dxa"/>
            <w:vAlign w:val="center"/>
          </w:tcPr>
          <w:p w14:paraId="48D05E4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2100" w:type="dxa"/>
            <w:vAlign w:val="center"/>
          </w:tcPr>
          <w:p w14:paraId="77772EE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供货周期</w:t>
            </w:r>
          </w:p>
        </w:tc>
        <w:tc>
          <w:tcPr>
            <w:tcW w:w="2500" w:type="dxa"/>
            <w:vAlign w:val="center"/>
          </w:tcPr>
          <w:p w14:paraId="01A91F7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质保期</w:t>
            </w:r>
          </w:p>
        </w:tc>
      </w:tr>
      <w:tr w14:paraId="7B55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61" w:type="dxa"/>
            <w:vAlign w:val="center"/>
          </w:tcPr>
          <w:p w14:paraId="5ECA76E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127" w:type="dxa"/>
            <w:vAlign w:val="center"/>
          </w:tcPr>
          <w:p w14:paraId="35BC594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大型树木粉碎机</w:t>
            </w:r>
          </w:p>
        </w:tc>
        <w:tc>
          <w:tcPr>
            <w:tcW w:w="1250" w:type="dxa"/>
            <w:vAlign w:val="center"/>
          </w:tcPr>
          <w:p w14:paraId="5EA4087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100" w:type="dxa"/>
            <w:vAlign w:val="center"/>
          </w:tcPr>
          <w:p w14:paraId="3E0D9CC3">
            <w:pPr>
              <w:jc w:val="center"/>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highlight w:val="none"/>
                <w:lang w:val="zh-CN"/>
              </w:rPr>
              <w:t>合同签订后</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lang w:val="zh-CN"/>
              </w:rPr>
              <w:t>日内</w:t>
            </w:r>
          </w:p>
        </w:tc>
        <w:tc>
          <w:tcPr>
            <w:tcW w:w="2500" w:type="dxa"/>
            <w:vAlign w:val="center"/>
          </w:tcPr>
          <w:p w14:paraId="4725C8D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免费质保期一年</w:t>
            </w:r>
          </w:p>
        </w:tc>
      </w:tr>
    </w:tbl>
    <w:p w14:paraId="2E181D87">
      <w:pPr>
        <w:adjustRightInd w:val="0"/>
        <w:snapToGrid w:val="0"/>
        <w:spacing w:line="560" w:lineRule="exact"/>
        <w:ind w:firstLine="643" w:firstLineChars="200"/>
        <w:jc w:val="center"/>
        <w:rPr>
          <w:rFonts w:hint="eastAsia" w:ascii="宋体" w:hAnsi="宋体" w:eastAsia="宋体" w:cs="宋体"/>
          <w:sz w:val="28"/>
          <w:szCs w:val="28"/>
        </w:rPr>
      </w:pPr>
      <w:r>
        <w:rPr>
          <w:rFonts w:hint="eastAsia" w:asciiTheme="minorEastAsia" w:hAnsiTheme="minorEastAsia" w:eastAsiaTheme="minorEastAsia" w:cstheme="minorEastAsia"/>
          <w:b/>
          <w:bCs/>
          <w:sz w:val="32"/>
          <w:szCs w:val="32"/>
          <w:lang w:val="en-US" w:eastAsia="zh-CN"/>
        </w:rPr>
        <w:t>设备</w:t>
      </w:r>
      <w:r>
        <w:rPr>
          <w:rFonts w:hint="eastAsia" w:asciiTheme="minorEastAsia" w:hAnsiTheme="minorEastAsia" w:eastAsiaTheme="minorEastAsia" w:cstheme="minorEastAsia"/>
          <w:b/>
          <w:bCs/>
          <w:sz w:val="32"/>
          <w:szCs w:val="32"/>
        </w:rPr>
        <w:t>技术参数表</w:t>
      </w:r>
      <w:bookmarkEnd w:id="343"/>
      <w:bookmarkStart w:id="344" w:name="_Toc11968"/>
      <w:bookmarkStart w:id="345" w:name="_Toc4945_WPSOffice_Level2"/>
      <w:bookmarkStart w:id="346" w:name="_Toc20166_WPSOffice_Level2"/>
      <w:bookmarkStart w:id="347" w:name="_Toc12691_WPSOffice_Level2"/>
    </w:p>
    <w:tbl>
      <w:tblPr>
        <w:tblStyle w:val="16"/>
        <w:tblW w:w="9163" w:type="dxa"/>
        <w:tblInd w:w="-227" w:type="dxa"/>
        <w:tblLayout w:type="fixed"/>
        <w:tblCellMar>
          <w:top w:w="0" w:type="dxa"/>
          <w:left w:w="108" w:type="dxa"/>
          <w:bottom w:w="0" w:type="dxa"/>
          <w:right w:w="108" w:type="dxa"/>
        </w:tblCellMar>
      </w:tblPr>
      <w:tblGrid>
        <w:gridCol w:w="813"/>
        <w:gridCol w:w="4342"/>
        <w:gridCol w:w="4008"/>
      </w:tblGrid>
      <w:tr w14:paraId="552DCC63">
        <w:tblPrEx>
          <w:tblCellMar>
            <w:top w:w="0" w:type="dxa"/>
            <w:left w:w="108" w:type="dxa"/>
            <w:bottom w:w="0" w:type="dxa"/>
            <w:right w:w="108" w:type="dxa"/>
          </w:tblCellMar>
        </w:tblPrEx>
        <w:trPr>
          <w:trHeight w:val="443"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0FC9288A">
            <w:pP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4342" w:type="dxa"/>
            <w:tcBorders>
              <w:top w:val="single" w:color="000000" w:sz="6" w:space="0"/>
              <w:left w:val="single" w:color="0D0E00" w:sz="6" w:space="0"/>
              <w:bottom w:val="single" w:color="000000" w:sz="6" w:space="0"/>
              <w:right w:val="single" w:color="000000" w:sz="6" w:space="0"/>
            </w:tcBorders>
            <w:vAlign w:val="center"/>
          </w:tcPr>
          <w:p w14:paraId="7722E232">
            <w:pPr>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4008" w:type="dxa"/>
            <w:tcBorders>
              <w:top w:val="single" w:color="000000" w:sz="6" w:space="0"/>
              <w:left w:val="single" w:color="000000" w:sz="6" w:space="0"/>
              <w:bottom w:val="single" w:color="000000" w:sz="6" w:space="0"/>
              <w:right w:val="single" w:color="000000" w:sz="6" w:space="0"/>
            </w:tcBorders>
            <w:vAlign w:val="center"/>
          </w:tcPr>
          <w:p w14:paraId="015B8248">
            <w:pPr>
              <w:rPr>
                <w:rFonts w:hint="eastAsia" w:ascii="宋体" w:hAnsi="宋体" w:eastAsia="宋体" w:cs="宋体"/>
                <w:color w:val="auto"/>
                <w:sz w:val="24"/>
                <w:szCs w:val="24"/>
              </w:rPr>
            </w:pPr>
            <w:r>
              <w:rPr>
                <w:rFonts w:hint="eastAsia" w:ascii="宋体" w:hAnsi="宋体" w:eastAsia="宋体" w:cs="宋体"/>
                <w:color w:val="auto"/>
                <w:sz w:val="24"/>
                <w:szCs w:val="24"/>
              </w:rPr>
              <w:t>参数</w:t>
            </w:r>
          </w:p>
        </w:tc>
      </w:tr>
      <w:tr w14:paraId="57074E1D">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3A8E2550">
            <w:pP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342" w:type="dxa"/>
            <w:tcBorders>
              <w:top w:val="single" w:color="000000" w:sz="6" w:space="0"/>
              <w:left w:val="single" w:color="0D0E00" w:sz="6" w:space="0"/>
              <w:bottom w:val="single" w:color="000000" w:sz="6" w:space="0"/>
              <w:right w:val="single" w:color="000000" w:sz="6" w:space="0"/>
            </w:tcBorders>
            <w:vAlign w:val="center"/>
          </w:tcPr>
          <w:p w14:paraId="4FDBE423">
            <w:pPr>
              <w:rPr>
                <w:rFonts w:hint="eastAsia" w:ascii="宋体" w:hAnsi="宋体" w:eastAsia="宋体" w:cs="宋体"/>
                <w:color w:val="auto"/>
                <w:sz w:val="24"/>
                <w:szCs w:val="24"/>
              </w:rPr>
            </w:pPr>
            <w:r>
              <w:rPr>
                <w:rFonts w:hint="eastAsia" w:ascii="宋体" w:hAnsi="宋体" w:eastAsia="宋体" w:cs="宋体"/>
                <w:color w:val="auto"/>
                <w:sz w:val="24"/>
                <w:szCs w:val="24"/>
              </w:rPr>
              <w:t>外形尺寸 (长*宽*高)</w:t>
            </w:r>
          </w:p>
        </w:tc>
        <w:tc>
          <w:tcPr>
            <w:tcW w:w="4008" w:type="dxa"/>
            <w:tcBorders>
              <w:top w:val="single" w:color="000000" w:sz="6" w:space="0"/>
              <w:left w:val="single" w:color="000000" w:sz="6" w:space="0"/>
              <w:bottom w:val="single" w:color="000000" w:sz="6" w:space="0"/>
              <w:right w:val="single" w:color="000000" w:sz="6" w:space="0"/>
            </w:tcBorders>
            <w:vAlign w:val="center"/>
          </w:tcPr>
          <w:p w14:paraId="34182000">
            <w:pPr>
              <w:rPr>
                <w:rFonts w:hint="eastAsia" w:ascii="宋体" w:hAnsi="宋体" w:eastAsia="宋体" w:cs="宋体"/>
                <w:color w:val="auto"/>
                <w:sz w:val="24"/>
                <w:szCs w:val="24"/>
              </w:rPr>
            </w:pPr>
            <w:r>
              <w:rPr>
                <w:rFonts w:hint="eastAsia" w:ascii="宋体" w:hAnsi="宋体" w:eastAsia="宋体" w:cs="宋体"/>
                <w:color w:val="auto"/>
                <w:sz w:val="24"/>
                <w:szCs w:val="24"/>
              </w:rPr>
              <w:t>≥480*176*263</w:t>
            </w:r>
          </w:p>
        </w:tc>
      </w:tr>
      <w:tr w14:paraId="6A30A7AF">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173CB997">
            <w:pP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342" w:type="dxa"/>
            <w:tcBorders>
              <w:top w:val="single" w:color="000000" w:sz="6" w:space="0"/>
              <w:left w:val="single" w:color="0D0E00" w:sz="6" w:space="0"/>
              <w:bottom w:val="single" w:color="000000" w:sz="6" w:space="0"/>
              <w:right w:val="single" w:color="000000" w:sz="6" w:space="0"/>
            </w:tcBorders>
            <w:vAlign w:val="center"/>
          </w:tcPr>
          <w:p w14:paraId="1A81A031">
            <w:pPr>
              <w:rPr>
                <w:rFonts w:hint="eastAsia" w:ascii="宋体" w:hAnsi="宋体" w:eastAsia="宋体" w:cs="宋体"/>
                <w:color w:val="auto"/>
                <w:sz w:val="24"/>
                <w:szCs w:val="24"/>
              </w:rPr>
            </w:pPr>
            <w:r>
              <w:rPr>
                <w:rFonts w:hint="eastAsia" w:ascii="宋体" w:hAnsi="宋体" w:eastAsia="宋体" w:cs="宋体"/>
                <w:color w:val="auto"/>
                <w:sz w:val="24"/>
                <w:szCs w:val="24"/>
              </w:rPr>
              <w:t>重量</w:t>
            </w:r>
          </w:p>
        </w:tc>
        <w:tc>
          <w:tcPr>
            <w:tcW w:w="4008" w:type="dxa"/>
            <w:tcBorders>
              <w:top w:val="single" w:color="000000" w:sz="6" w:space="0"/>
              <w:left w:val="single" w:color="000000" w:sz="6" w:space="0"/>
              <w:bottom w:val="single" w:color="000000" w:sz="6" w:space="0"/>
              <w:right w:val="single" w:color="000000" w:sz="6" w:space="0"/>
            </w:tcBorders>
            <w:vAlign w:val="center"/>
          </w:tcPr>
          <w:p w14:paraId="5E678A4D">
            <w:pPr>
              <w:rPr>
                <w:rFonts w:hint="eastAsia" w:ascii="宋体" w:hAnsi="宋体" w:eastAsia="宋体" w:cs="宋体"/>
                <w:color w:val="auto"/>
                <w:sz w:val="24"/>
                <w:szCs w:val="24"/>
              </w:rPr>
            </w:pPr>
            <w:r>
              <w:rPr>
                <w:rFonts w:hint="eastAsia" w:ascii="宋体" w:hAnsi="宋体" w:eastAsia="宋体" w:cs="宋体"/>
                <w:color w:val="auto"/>
                <w:sz w:val="24"/>
                <w:szCs w:val="24"/>
              </w:rPr>
              <w:t>≥2200kg</w:t>
            </w:r>
          </w:p>
        </w:tc>
      </w:tr>
      <w:tr w14:paraId="4D67901C">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3BFF8D90">
            <w:pP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4342" w:type="dxa"/>
            <w:tcBorders>
              <w:top w:val="single" w:color="000000" w:sz="6" w:space="0"/>
              <w:left w:val="single" w:color="0D0E00" w:sz="6" w:space="0"/>
              <w:bottom w:val="single" w:color="000000" w:sz="6" w:space="0"/>
              <w:right w:val="single" w:color="000000" w:sz="6" w:space="0"/>
            </w:tcBorders>
            <w:vAlign w:val="center"/>
          </w:tcPr>
          <w:p w14:paraId="6BFB7784">
            <w:pPr>
              <w:rPr>
                <w:rFonts w:hint="eastAsia" w:ascii="宋体" w:hAnsi="宋体" w:eastAsia="宋体" w:cs="宋体"/>
                <w:color w:val="auto"/>
                <w:sz w:val="24"/>
                <w:szCs w:val="24"/>
              </w:rPr>
            </w:pPr>
            <w:r>
              <w:rPr>
                <w:rFonts w:hint="eastAsia" w:ascii="宋体" w:hAnsi="宋体" w:eastAsia="宋体" w:cs="宋体"/>
                <w:color w:val="auto"/>
                <w:sz w:val="24"/>
                <w:szCs w:val="24"/>
              </w:rPr>
              <w:t>旋碟∕滚筒</w:t>
            </w:r>
          </w:p>
        </w:tc>
        <w:tc>
          <w:tcPr>
            <w:tcW w:w="4008" w:type="dxa"/>
            <w:tcBorders>
              <w:top w:val="single" w:color="000000" w:sz="6" w:space="0"/>
              <w:left w:val="single" w:color="000000" w:sz="6" w:space="0"/>
              <w:bottom w:val="single" w:color="000000" w:sz="6" w:space="0"/>
              <w:right w:val="single" w:color="000000" w:sz="6" w:space="0"/>
            </w:tcBorders>
            <w:vAlign w:val="center"/>
          </w:tcPr>
          <w:p w14:paraId="0E27E82B">
            <w:pPr>
              <w:rPr>
                <w:rFonts w:hint="eastAsia" w:ascii="宋体" w:hAnsi="宋体" w:eastAsia="宋体" w:cs="宋体"/>
                <w:color w:val="auto"/>
                <w:sz w:val="24"/>
                <w:szCs w:val="24"/>
              </w:rPr>
            </w:pPr>
            <w:r>
              <w:rPr>
                <w:rFonts w:hint="eastAsia" w:ascii="宋体" w:hAnsi="宋体" w:eastAsia="宋体" w:cs="宋体"/>
                <w:color w:val="auto"/>
                <w:sz w:val="24"/>
                <w:szCs w:val="24"/>
              </w:rPr>
              <w:t>≥2150rpm</w:t>
            </w:r>
          </w:p>
        </w:tc>
      </w:tr>
      <w:tr w14:paraId="2D64ACF8">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40836A67">
            <w:pP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4342" w:type="dxa"/>
            <w:tcBorders>
              <w:top w:val="single" w:color="000000" w:sz="6" w:space="0"/>
              <w:left w:val="single" w:color="0D0E00" w:sz="6" w:space="0"/>
              <w:bottom w:val="single" w:color="000000" w:sz="6" w:space="0"/>
              <w:right w:val="single" w:color="000000" w:sz="6" w:space="0"/>
            </w:tcBorders>
            <w:vAlign w:val="center"/>
          </w:tcPr>
          <w:p w14:paraId="0E4D2D9D">
            <w:pPr>
              <w:rPr>
                <w:rFonts w:hint="eastAsia" w:ascii="宋体" w:hAnsi="宋体" w:eastAsia="宋体" w:cs="宋体"/>
                <w:color w:val="auto"/>
                <w:sz w:val="24"/>
                <w:szCs w:val="24"/>
              </w:rPr>
            </w:pPr>
            <w:r>
              <w:rPr>
                <w:rFonts w:hint="eastAsia" w:ascii="宋体" w:hAnsi="宋体" w:eastAsia="宋体" w:cs="宋体"/>
                <w:color w:val="auto"/>
                <w:sz w:val="24"/>
                <w:szCs w:val="24"/>
              </w:rPr>
              <w:t>进料辊</w:t>
            </w:r>
          </w:p>
        </w:tc>
        <w:tc>
          <w:tcPr>
            <w:tcW w:w="4008" w:type="dxa"/>
            <w:tcBorders>
              <w:top w:val="single" w:color="000000" w:sz="6" w:space="0"/>
              <w:left w:val="single" w:color="000000" w:sz="6" w:space="0"/>
              <w:bottom w:val="single" w:color="000000" w:sz="6" w:space="0"/>
              <w:right w:val="single" w:color="000000" w:sz="6" w:space="0"/>
            </w:tcBorders>
            <w:vAlign w:val="center"/>
          </w:tcPr>
          <w:p w14:paraId="45321668">
            <w:pPr>
              <w:rPr>
                <w:rFonts w:hint="eastAsia" w:ascii="宋体" w:hAnsi="宋体" w:eastAsia="宋体" w:cs="宋体"/>
                <w:color w:val="auto"/>
                <w:sz w:val="24"/>
                <w:szCs w:val="24"/>
              </w:rPr>
            </w:pPr>
            <w:r>
              <w:rPr>
                <w:rFonts w:hint="eastAsia" w:ascii="宋体" w:hAnsi="宋体" w:eastAsia="宋体" w:cs="宋体"/>
                <w:color w:val="auto"/>
                <w:sz w:val="24"/>
                <w:szCs w:val="24"/>
              </w:rPr>
              <w:t>1个</w:t>
            </w:r>
          </w:p>
        </w:tc>
      </w:tr>
      <w:tr w14:paraId="2D9640D5">
        <w:tblPrEx>
          <w:tblCellMar>
            <w:top w:w="0" w:type="dxa"/>
            <w:left w:w="108" w:type="dxa"/>
            <w:bottom w:w="0" w:type="dxa"/>
            <w:right w:w="108" w:type="dxa"/>
          </w:tblCellMar>
        </w:tblPrEx>
        <w:trPr>
          <w:trHeight w:val="337"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6C97486D">
            <w:pP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4342" w:type="dxa"/>
            <w:tcBorders>
              <w:top w:val="single" w:color="000000" w:sz="6" w:space="0"/>
              <w:left w:val="single" w:color="0D0E00" w:sz="6" w:space="0"/>
              <w:bottom w:val="single" w:color="000000" w:sz="6" w:space="0"/>
              <w:right w:val="single" w:color="000000" w:sz="6" w:space="0"/>
            </w:tcBorders>
            <w:vAlign w:val="center"/>
          </w:tcPr>
          <w:p w14:paraId="6EB3E677">
            <w:pPr>
              <w:rPr>
                <w:rFonts w:hint="eastAsia" w:ascii="宋体" w:hAnsi="宋体" w:eastAsia="宋体" w:cs="宋体"/>
                <w:color w:val="auto"/>
                <w:sz w:val="24"/>
                <w:szCs w:val="24"/>
              </w:rPr>
            </w:pPr>
            <w:r>
              <w:rPr>
                <w:rFonts w:hint="eastAsia" w:ascii="宋体" w:hAnsi="宋体" w:eastAsia="宋体" w:cs="宋体"/>
                <w:color w:val="auto"/>
                <w:sz w:val="24"/>
                <w:szCs w:val="24"/>
              </w:rPr>
              <w:t>刀片</w:t>
            </w:r>
          </w:p>
        </w:tc>
        <w:tc>
          <w:tcPr>
            <w:tcW w:w="4008" w:type="dxa"/>
            <w:tcBorders>
              <w:top w:val="single" w:color="000000" w:sz="6" w:space="0"/>
              <w:left w:val="single" w:color="000000" w:sz="6" w:space="0"/>
              <w:bottom w:val="single" w:color="000000" w:sz="6" w:space="0"/>
              <w:right w:val="single" w:color="000000" w:sz="6" w:space="0"/>
            </w:tcBorders>
            <w:vAlign w:val="center"/>
          </w:tcPr>
          <w:p w14:paraId="7246A73A">
            <w:pPr>
              <w:rPr>
                <w:rFonts w:hint="eastAsia" w:ascii="宋体" w:hAnsi="宋体" w:eastAsia="宋体" w:cs="宋体"/>
                <w:color w:val="auto"/>
                <w:sz w:val="24"/>
                <w:szCs w:val="24"/>
              </w:rPr>
            </w:pPr>
            <w:r>
              <w:rPr>
                <w:rFonts w:hint="eastAsia" w:ascii="宋体" w:hAnsi="宋体" w:eastAsia="宋体" w:cs="宋体"/>
                <w:color w:val="auto"/>
                <w:sz w:val="24"/>
                <w:szCs w:val="24"/>
              </w:rPr>
              <w:t>A8钢  双面刀锋  刀片2片</w:t>
            </w:r>
          </w:p>
        </w:tc>
      </w:tr>
      <w:tr w14:paraId="7A23F789">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6FD092E1">
            <w:pP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4342" w:type="dxa"/>
            <w:tcBorders>
              <w:top w:val="single" w:color="000000" w:sz="6" w:space="0"/>
              <w:left w:val="single" w:color="0D0E00" w:sz="6" w:space="0"/>
              <w:bottom w:val="single" w:color="000000" w:sz="6" w:space="0"/>
              <w:right w:val="single" w:color="000000" w:sz="6" w:space="0"/>
            </w:tcBorders>
            <w:vAlign w:val="center"/>
          </w:tcPr>
          <w:p w14:paraId="3E31931B">
            <w:pPr>
              <w:rPr>
                <w:rFonts w:hint="eastAsia" w:ascii="宋体" w:hAnsi="宋体" w:eastAsia="宋体" w:cs="宋体"/>
                <w:color w:val="auto"/>
                <w:sz w:val="24"/>
                <w:szCs w:val="24"/>
              </w:rPr>
            </w:pPr>
            <w:r>
              <w:rPr>
                <w:rFonts w:hint="eastAsia" w:ascii="宋体" w:hAnsi="宋体" w:eastAsia="宋体" w:cs="宋体"/>
                <w:color w:val="auto"/>
                <w:sz w:val="24"/>
                <w:szCs w:val="24"/>
              </w:rPr>
              <w:t>切枝能力（直径）</w:t>
            </w:r>
          </w:p>
        </w:tc>
        <w:tc>
          <w:tcPr>
            <w:tcW w:w="4008" w:type="dxa"/>
            <w:tcBorders>
              <w:top w:val="single" w:color="000000" w:sz="6" w:space="0"/>
              <w:left w:val="single" w:color="000000" w:sz="6" w:space="0"/>
              <w:bottom w:val="single" w:color="000000" w:sz="6" w:space="0"/>
              <w:right w:val="single" w:color="000000" w:sz="6" w:space="0"/>
            </w:tcBorders>
            <w:vAlign w:val="center"/>
          </w:tcPr>
          <w:p w14:paraId="68AFDF7A">
            <w:pPr>
              <w:rPr>
                <w:rFonts w:hint="eastAsia" w:ascii="宋体" w:hAnsi="宋体" w:eastAsia="宋体" w:cs="宋体"/>
                <w:color w:val="auto"/>
                <w:sz w:val="24"/>
                <w:szCs w:val="24"/>
              </w:rPr>
            </w:pPr>
            <w:r>
              <w:rPr>
                <w:rFonts w:hint="eastAsia" w:ascii="宋体" w:hAnsi="宋体" w:eastAsia="宋体" w:cs="宋体"/>
                <w:color w:val="auto"/>
                <w:sz w:val="24"/>
                <w:szCs w:val="24"/>
              </w:rPr>
              <w:t>≥30cm</w:t>
            </w:r>
          </w:p>
        </w:tc>
      </w:tr>
      <w:tr w14:paraId="504EB6F1">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5CD8CB8B">
            <w:pP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4342" w:type="dxa"/>
            <w:tcBorders>
              <w:top w:val="single" w:color="000000" w:sz="6" w:space="0"/>
              <w:left w:val="single" w:color="0D0E00" w:sz="6" w:space="0"/>
              <w:bottom w:val="single" w:color="000000" w:sz="6" w:space="0"/>
              <w:right w:val="single" w:color="000000" w:sz="6" w:space="0"/>
            </w:tcBorders>
            <w:vAlign w:val="center"/>
          </w:tcPr>
          <w:p w14:paraId="1587492F">
            <w:pPr>
              <w:rPr>
                <w:rFonts w:hint="eastAsia" w:ascii="宋体" w:hAnsi="宋体" w:eastAsia="宋体" w:cs="宋体"/>
                <w:color w:val="auto"/>
                <w:sz w:val="24"/>
                <w:szCs w:val="24"/>
              </w:rPr>
            </w:pPr>
            <w:r>
              <w:rPr>
                <w:rFonts w:hint="eastAsia" w:ascii="宋体" w:hAnsi="宋体" w:eastAsia="宋体" w:cs="宋体"/>
                <w:color w:val="auto"/>
                <w:sz w:val="24"/>
                <w:szCs w:val="24"/>
              </w:rPr>
              <w:t>进料喉</w:t>
            </w:r>
          </w:p>
        </w:tc>
        <w:tc>
          <w:tcPr>
            <w:tcW w:w="4008" w:type="dxa"/>
            <w:tcBorders>
              <w:top w:val="single" w:color="000000" w:sz="6" w:space="0"/>
              <w:left w:val="single" w:color="000000" w:sz="6" w:space="0"/>
              <w:bottom w:val="single" w:color="000000" w:sz="6" w:space="0"/>
              <w:right w:val="single" w:color="000000" w:sz="6" w:space="0"/>
            </w:tcBorders>
            <w:vAlign w:val="center"/>
          </w:tcPr>
          <w:p w14:paraId="29B86FD2">
            <w:pPr>
              <w:rPr>
                <w:rFonts w:hint="eastAsia" w:ascii="宋体" w:hAnsi="宋体" w:eastAsia="宋体" w:cs="宋体"/>
                <w:color w:val="auto"/>
                <w:sz w:val="24"/>
                <w:szCs w:val="24"/>
              </w:rPr>
            </w:pPr>
            <w:r>
              <w:rPr>
                <w:rFonts w:hint="eastAsia" w:ascii="宋体" w:hAnsi="宋体" w:eastAsia="宋体" w:cs="宋体"/>
                <w:color w:val="auto"/>
                <w:sz w:val="24"/>
                <w:szCs w:val="24"/>
              </w:rPr>
              <w:t>≥39*44.3cm</w:t>
            </w:r>
          </w:p>
        </w:tc>
      </w:tr>
      <w:tr w14:paraId="2768E0E4">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1FCBA845">
            <w:pP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4342" w:type="dxa"/>
            <w:tcBorders>
              <w:top w:val="single" w:color="000000" w:sz="6" w:space="0"/>
              <w:left w:val="single" w:color="0D0E00" w:sz="6" w:space="0"/>
              <w:bottom w:val="single" w:color="000000" w:sz="6" w:space="0"/>
              <w:right w:val="single" w:color="000000" w:sz="6" w:space="0"/>
            </w:tcBorders>
            <w:vAlign w:val="center"/>
          </w:tcPr>
          <w:p w14:paraId="0BDF08ED">
            <w:pPr>
              <w:rPr>
                <w:rFonts w:hint="eastAsia" w:ascii="宋体" w:hAnsi="宋体" w:eastAsia="宋体" w:cs="宋体"/>
                <w:color w:val="auto"/>
                <w:sz w:val="24"/>
                <w:szCs w:val="24"/>
              </w:rPr>
            </w:pPr>
            <w:r>
              <w:rPr>
                <w:rFonts w:hint="eastAsia" w:ascii="宋体" w:hAnsi="宋体" w:eastAsia="宋体" w:cs="宋体"/>
                <w:color w:val="auto"/>
                <w:sz w:val="24"/>
                <w:szCs w:val="24"/>
              </w:rPr>
              <w:t>送料平台高度</w:t>
            </w:r>
          </w:p>
        </w:tc>
        <w:tc>
          <w:tcPr>
            <w:tcW w:w="4008" w:type="dxa"/>
            <w:tcBorders>
              <w:top w:val="single" w:color="000000" w:sz="6" w:space="0"/>
              <w:left w:val="single" w:color="000000" w:sz="6" w:space="0"/>
              <w:bottom w:val="single" w:color="000000" w:sz="6" w:space="0"/>
              <w:right w:val="single" w:color="000000" w:sz="6" w:space="0"/>
            </w:tcBorders>
            <w:vAlign w:val="center"/>
          </w:tcPr>
          <w:p w14:paraId="04C78FAA">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H≦77cm </w:t>
            </w:r>
          </w:p>
        </w:tc>
      </w:tr>
      <w:tr w14:paraId="47244E51">
        <w:tblPrEx>
          <w:tblCellMar>
            <w:top w:w="0" w:type="dxa"/>
            <w:left w:w="108" w:type="dxa"/>
            <w:bottom w:w="0" w:type="dxa"/>
            <w:right w:w="108" w:type="dxa"/>
          </w:tblCellMar>
        </w:tblPrEx>
        <w:trPr>
          <w:trHeight w:val="332"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3B9864FB">
            <w:pP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4342" w:type="dxa"/>
            <w:tcBorders>
              <w:top w:val="single" w:color="000000" w:sz="6" w:space="0"/>
              <w:left w:val="single" w:color="0D0E00" w:sz="6" w:space="0"/>
              <w:bottom w:val="single" w:color="000000" w:sz="6" w:space="0"/>
              <w:right w:val="single" w:color="000000" w:sz="6" w:space="0"/>
            </w:tcBorders>
            <w:vAlign w:val="center"/>
          </w:tcPr>
          <w:p w14:paraId="12B6EDBF">
            <w:pPr>
              <w:rPr>
                <w:rFonts w:hint="eastAsia" w:ascii="宋体" w:hAnsi="宋体" w:eastAsia="宋体" w:cs="宋体"/>
                <w:color w:val="auto"/>
                <w:sz w:val="24"/>
                <w:szCs w:val="24"/>
              </w:rPr>
            </w:pPr>
            <w:r>
              <w:rPr>
                <w:rFonts w:hint="eastAsia" w:ascii="宋体" w:hAnsi="宋体" w:eastAsia="宋体" w:cs="宋体"/>
                <w:color w:val="auto"/>
                <w:sz w:val="24"/>
                <w:szCs w:val="24"/>
              </w:rPr>
              <w:t>最大送料速度</w:t>
            </w:r>
          </w:p>
        </w:tc>
        <w:tc>
          <w:tcPr>
            <w:tcW w:w="4008" w:type="dxa"/>
            <w:tcBorders>
              <w:top w:val="single" w:color="000000" w:sz="6" w:space="0"/>
              <w:left w:val="single" w:color="000000" w:sz="6" w:space="0"/>
              <w:bottom w:val="single" w:color="000000" w:sz="6" w:space="0"/>
              <w:right w:val="single" w:color="000000" w:sz="6" w:space="0"/>
            </w:tcBorders>
            <w:vAlign w:val="center"/>
          </w:tcPr>
          <w:p w14:paraId="29EFBA58">
            <w:pPr>
              <w:rPr>
                <w:rFonts w:hint="eastAsia" w:ascii="宋体" w:hAnsi="宋体" w:eastAsia="宋体" w:cs="宋体"/>
                <w:color w:val="auto"/>
                <w:sz w:val="24"/>
                <w:szCs w:val="24"/>
              </w:rPr>
            </w:pPr>
            <w:r>
              <w:rPr>
                <w:rFonts w:hint="eastAsia" w:ascii="宋体" w:hAnsi="宋体" w:eastAsia="宋体" w:cs="宋体"/>
                <w:color w:val="auto"/>
                <w:sz w:val="24"/>
                <w:szCs w:val="24"/>
              </w:rPr>
              <w:t>≥32m/min</w:t>
            </w:r>
          </w:p>
        </w:tc>
      </w:tr>
      <w:tr w14:paraId="6352DD84">
        <w:tblPrEx>
          <w:tblCellMar>
            <w:top w:w="0" w:type="dxa"/>
            <w:left w:w="108" w:type="dxa"/>
            <w:bottom w:w="0" w:type="dxa"/>
            <w:right w:w="108" w:type="dxa"/>
          </w:tblCellMar>
        </w:tblPrEx>
        <w:trPr>
          <w:trHeight w:val="332"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5423D886">
            <w:pP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4342" w:type="dxa"/>
            <w:tcBorders>
              <w:top w:val="single" w:color="000000" w:sz="6" w:space="0"/>
              <w:left w:val="single" w:color="0D0E00" w:sz="6" w:space="0"/>
              <w:bottom w:val="single" w:color="000000" w:sz="6" w:space="0"/>
              <w:right w:val="single" w:color="000000" w:sz="6" w:space="0"/>
            </w:tcBorders>
            <w:vAlign w:val="center"/>
          </w:tcPr>
          <w:p w14:paraId="1DBFEB7A">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最大切枝能力 </w:t>
            </w:r>
          </w:p>
        </w:tc>
        <w:tc>
          <w:tcPr>
            <w:tcW w:w="4008" w:type="dxa"/>
            <w:tcBorders>
              <w:top w:val="single" w:color="000000" w:sz="6" w:space="0"/>
              <w:left w:val="single" w:color="000000" w:sz="6" w:space="0"/>
              <w:bottom w:val="single" w:color="000000" w:sz="6" w:space="0"/>
              <w:right w:val="single" w:color="000000" w:sz="6" w:space="0"/>
            </w:tcBorders>
            <w:vAlign w:val="center"/>
          </w:tcPr>
          <w:p w14:paraId="1DFE0536">
            <w:pPr>
              <w:rPr>
                <w:rFonts w:hint="eastAsia" w:ascii="宋体" w:hAnsi="宋体" w:eastAsia="宋体" w:cs="宋体"/>
                <w:color w:val="auto"/>
                <w:sz w:val="24"/>
                <w:szCs w:val="24"/>
              </w:rPr>
            </w:pPr>
            <w:r>
              <w:rPr>
                <w:rFonts w:hint="eastAsia" w:ascii="宋体" w:hAnsi="宋体" w:eastAsia="宋体" w:cs="宋体"/>
                <w:color w:val="auto"/>
                <w:sz w:val="24"/>
                <w:szCs w:val="24"/>
              </w:rPr>
              <w:t>≥30cm</w:t>
            </w:r>
          </w:p>
        </w:tc>
      </w:tr>
      <w:tr w14:paraId="2B5DD60E">
        <w:tblPrEx>
          <w:tblCellMar>
            <w:top w:w="0" w:type="dxa"/>
            <w:left w:w="108" w:type="dxa"/>
            <w:bottom w:w="0" w:type="dxa"/>
            <w:right w:w="108" w:type="dxa"/>
          </w:tblCellMar>
        </w:tblPrEx>
        <w:trPr>
          <w:trHeight w:val="332"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2892B3F6">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4342" w:type="dxa"/>
            <w:tcBorders>
              <w:top w:val="single" w:color="000000" w:sz="6" w:space="0"/>
              <w:left w:val="single" w:color="0D0E00" w:sz="6" w:space="0"/>
              <w:bottom w:val="single" w:color="000000" w:sz="6" w:space="0"/>
              <w:right w:val="single" w:color="000000" w:sz="6" w:space="0"/>
            </w:tcBorders>
            <w:vAlign w:val="center"/>
          </w:tcPr>
          <w:p w14:paraId="799AF223">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扭矩</w:t>
            </w:r>
          </w:p>
        </w:tc>
        <w:tc>
          <w:tcPr>
            <w:tcW w:w="4008" w:type="dxa"/>
            <w:tcBorders>
              <w:top w:val="single" w:color="000000" w:sz="6" w:space="0"/>
              <w:left w:val="single" w:color="000000" w:sz="6" w:space="0"/>
              <w:bottom w:val="single" w:color="000000" w:sz="6" w:space="0"/>
              <w:right w:val="single" w:color="000000" w:sz="6" w:space="0"/>
            </w:tcBorders>
            <w:vAlign w:val="center"/>
          </w:tcPr>
          <w:p w14:paraId="0E5F8FD5">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250Nm</w:t>
            </w:r>
          </w:p>
        </w:tc>
      </w:tr>
      <w:tr w14:paraId="4281EC63">
        <w:tblPrEx>
          <w:tblCellMar>
            <w:top w:w="0" w:type="dxa"/>
            <w:left w:w="108" w:type="dxa"/>
            <w:bottom w:w="0" w:type="dxa"/>
            <w:right w:w="108" w:type="dxa"/>
          </w:tblCellMar>
        </w:tblPrEx>
        <w:trPr>
          <w:trHeight w:val="1025"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7CDF8114">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4342" w:type="dxa"/>
            <w:tcBorders>
              <w:top w:val="single" w:color="000000" w:sz="6" w:space="0"/>
              <w:left w:val="single" w:color="0D0E00" w:sz="6" w:space="0"/>
              <w:bottom w:val="single" w:color="000000" w:sz="6" w:space="0"/>
              <w:right w:val="single" w:color="000000" w:sz="6" w:space="0"/>
            </w:tcBorders>
            <w:vAlign w:val="center"/>
          </w:tcPr>
          <w:p w14:paraId="4AF6C1C3">
            <w:pPr>
              <w:rPr>
                <w:rFonts w:hint="eastAsia" w:ascii="宋体" w:hAnsi="宋体" w:eastAsia="宋体" w:cs="宋体"/>
                <w:color w:val="auto"/>
                <w:sz w:val="24"/>
                <w:szCs w:val="24"/>
              </w:rPr>
            </w:pPr>
            <w:r>
              <w:rPr>
                <w:rFonts w:hint="eastAsia" w:ascii="宋体" w:hAnsi="宋体" w:eastAsia="宋体" w:cs="宋体"/>
                <w:color w:val="auto"/>
                <w:sz w:val="24"/>
                <w:szCs w:val="24"/>
              </w:rPr>
              <w:t>机器四周安全急停控制杆</w:t>
            </w:r>
          </w:p>
        </w:tc>
        <w:tc>
          <w:tcPr>
            <w:tcW w:w="4008" w:type="dxa"/>
            <w:tcBorders>
              <w:top w:val="single" w:color="000000" w:sz="6" w:space="0"/>
              <w:left w:val="single" w:color="000000" w:sz="6" w:space="0"/>
              <w:bottom w:val="single" w:color="000000" w:sz="6" w:space="0"/>
              <w:right w:val="single" w:color="000000" w:sz="6" w:space="0"/>
            </w:tcBorders>
            <w:vAlign w:val="center"/>
          </w:tcPr>
          <w:p w14:paraId="686049AB">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能控制进料滚轮的停止，保障人身安全</w:t>
            </w:r>
            <w:r>
              <w:rPr>
                <w:rFonts w:hint="eastAsia" w:ascii="宋体" w:hAnsi="宋体" w:cs="宋体"/>
                <w:color w:val="auto"/>
                <w:sz w:val="24"/>
                <w:szCs w:val="24"/>
                <w:lang w:eastAsia="zh-CN"/>
              </w:rPr>
              <w:t>。</w:t>
            </w:r>
          </w:p>
        </w:tc>
      </w:tr>
      <w:tr w14:paraId="680B6760">
        <w:tblPrEx>
          <w:tblCellMar>
            <w:top w:w="0" w:type="dxa"/>
            <w:left w:w="108" w:type="dxa"/>
            <w:bottom w:w="0" w:type="dxa"/>
            <w:right w:w="108" w:type="dxa"/>
          </w:tblCellMar>
        </w:tblPrEx>
        <w:trPr>
          <w:trHeight w:val="1611"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730B8B68">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4342" w:type="dxa"/>
            <w:tcBorders>
              <w:top w:val="single" w:color="000000" w:sz="6" w:space="0"/>
              <w:left w:val="single" w:color="0D0E00" w:sz="6" w:space="0"/>
              <w:bottom w:val="single" w:color="000000" w:sz="6" w:space="0"/>
              <w:right w:val="single" w:color="000000" w:sz="6" w:space="0"/>
            </w:tcBorders>
            <w:vAlign w:val="center"/>
          </w:tcPr>
          <w:p w14:paraId="72EDF533">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智能进料、退料系统 </w:t>
            </w:r>
          </w:p>
        </w:tc>
        <w:tc>
          <w:tcPr>
            <w:tcW w:w="4008" w:type="dxa"/>
            <w:tcBorders>
              <w:top w:val="single" w:color="000000" w:sz="6" w:space="0"/>
              <w:left w:val="single" w:color="000000" w:sz="6" w:space="0"/>
              <w:bottom w:val="single" w:color="000000" w:sz="6" w:space="0"/>
              <w:right w:val="single" w:color="000000" w:sz="6" w:space="0"/>
            </w:tcBorders>
            <w:vAlign w:val="center"/>
          </w:tcPr>
          <w:p w14:paraId="56EA62A6">
            <w:pPr>
              <w:rPr>
                <w:rFonts w:hint="eastAsia" w:ascii="宋体" w:hAnsi="宋体" w:eastAsia="宋体" w:cs="宋体"/>
                <w:color w:val="auto"/>
                <w:sz w:val="24"/>
                <w:szCs w:val="24"/>
              </w:rPr>
            </w:pPr>
            <w:r>
              <w:rPr>
                <w:rFonts w:hint="eastAsia" w:ascii="宋体" w:hAnsi="宋体" w:eastAsia="宋体" w:cs="宋体"/>
                <w:color w:val="auto"/>
                <w:sz w:val="24"/>
                <w:szCs w:val="24"/>
              </w:rPr>
              <w:t>若进料太大或木材太硬，微电脑检测发动机转速等相关参数转速变化，智能进料系统自动进料辊进料或者停止防止堵料保障设备安全）</w:t>
            </w:r>
          </w:p>
        </w:tc>
      </w:tr>
      <w:tr w14:paraId="6A0F8604">
        <w:tblPrEx>
          <w:tblCellMar>
            <w:top w:w="0" w:type="dxa"/>
            <w:left w:w="108" w:type="dxa"/>
            <w:bottom w:w="0" w:type="dxa"/>
            <w:right w:w="108" w:type="dxa"/>
          </w:tblCellMar>
        </w:tblPrEx>
        <w:trPr>
          <w:trHeight w:val="1315"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46DACCCC">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p>
        </w:tc>
        <w:tc>
          <w:tcPr>
            <w:tcW w:w="4342" w:type="dxa"/>
            <w:tcBorders>
              <w:top w:val="single" w:color="000000" w:sz="6" w:space="0"/>
              <w:left w:val="single" w:color="0D0E00" w:sz="6" w:space="0"/>
              <w:bottom w:val="single" w:color="000000" w:sz="6" w:space="0"/>
              <w:right w:val="single" w:color="000000" w:sz="6" w:space="0"/>
            </w:tcBorders>
            <w:vAlign w:val="center"/>
          </w:tcPr>
          <w:p w14:paraId="4B3F2513">
            <w:pPr>
              <w:rPr>
                <w:rFonts w:hint="eastAsia" w:ascii="宋体" w:hAnsi="宋体" w:eastAsia="宋体" w:cs="宋体"/>
                <w:color w:val="auto"/>
                <w:sz w:val="24"/>
                <w:szCs w:val="24"/>
              </w:rPr>
            </w:pPr>
            <w:r>
              <w:rPr>
                <w:rFonts w:hint="eastAsia" w:ascii="宋体" w:hAnsi="宋体" w:eastAsia="宋体" w:cs="宋体"/>
                <w:color w:val="auto"/>
                <w:sz w:val="24"/>
                <w:szCs w:val="24"/>
              </w:rPr>
              <w:t>液晶显示屏</w:t>
            </w:r>
          </w:p>
        </w:tc>
        <w:tc>
          <w:tcPr>
            <w:tcW w:w="4008" w:type="dxa"/>
            <w:tcBorders>
              <w:top w:val="single" w:color="000000" w:sz="6" w:space="0"/>
              <w:left w:val="single" w:color="000000" w:sz="6" w:space="0"/>
              <w:bottom w:val="single" w:color="000000" w:sz="6" w:space="0"/>
              <w:right w:val="single" w:color="000000" w:sz="6" w:space="0"/>
            </w:tcBorders>
            <w:vAlign w:val="center"/>
          </w:tcPr>
          <w:p w14:paraId="5C58386A">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实时显示机器运行状态，并提醒用户维护刀片和更换机油、定期维护保养等操作</w:t>
            </w:r>
            <w:r>
              <w:rPr>
                <w:rFonts w:hint="eastAsia" w:ascii="宋体" w:hAnsi="宋体" w:cs="宋体"/>
                <w:color w:val="auto"/>
                <w:sz w:val="24"/>
                <w:szCs w:val="24"/>
                <w:lang w:eastAsia="zh-CN"/>
              </w:rPr>
              <w:t>。</w:t>
            </w:r>
          </w:p>
        </w:tc>
      </w:tr>
      <w:tr w14:paraId="10AADD15">
        <w:tblPrEx>
          <w:tblCellMar>
            <w:top w:w="0" w:type="dxa"/>
            <w:left w:w="108" w:type="dxa"/>
            <w:bottom w:w="0" w:type="dxa"/>
            <w:right w:w="108" w:type="dxa"/>
          </w:tblCellMar>
        </w:tblPrEx>
        <w:trPr>
          <w:trHeight w:val="2021"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09F78329">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p>
        </w:tc>
        <w:tc>
          <w:tcPr>
            <w:tcW w:w="4342" w:type="dxa"/>
            <w:tcBorders>
              <w:top w:val="single" w:color="000000" w:sz="6" w:space="0"/>
              <w:left w:val="single" w:color="0D0E00" w:sz="6" w:space="0"/>
              <w:bottom w:val="single" w:color="000000" w:sz="6" w:space="0"/>
              <w:right w:val="single" w:color="000000" w:sz="6" w:space="0"/>
            </w:tcBorders>
            <w:vAlign w:val="center"/>
          </w:tcPr>
          <w:p w14:paraId="3E9ADF29">
            <w:pPr>
              <w:rPr>
                <w:rFonts w:hint="eastAsia" w:ascii="宋体" w:hAnsi="宋体" w:eastAsia="宋体" w:cs="宋体"/>
                <w:color w:val="auto"/>
                <w:sz w:val="24"/>
                <w:szCs w:val="24"/>
              </w:rPr>
            </w:pPr>
            <w:r>
              <w:rPr>
                <w:rFonts w:hint="eastAsia" w:ascii="宋体" w:hAnsi="宋体" w:eastAsia="宋体" w:cs="宋体"/>
                <w:color w:val="auto"/>
                <w:sz w:val="24"/>
                <w:szCs w:val="24"/>
              </w:rPr>
              <w:t>可调节设定进料辊转速</w:t>
            </w:r>
          </w:p>
        </w:tc>
        <w:tc>
          <w:tcPr>
            <w:tcW w:w="4008" w:type="dxa"/>
            <w:tcBorders>
              <w:top w:val="single" w:color="000000" w:sz="6" w:space="0"/>
              <w:left w:val="single" w:color="000000" w:sz="6" w:space="0"/>
              <w:bottom w:val="single" w:color="000000" w:sz="6" w:space="0"/>
              <w:right w:val="single" w:color="000000" w:sz="6" w:space="0"/>
            </w:tcBorders>
            <w:vAlign w:val="center"/>
          </w:tcPr>
          <w:p w14:paraId="47421AE1">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用户可以根据需求调节控制进料辊转速以适应不同口径的枝干，从而控制粉碎颗粒物大小，粉碎颗粒物大小可控制在0.5cm-2cm范围，便于用户循环回收使用</w:t>
            </w:r>
            <w:r>
              <w:rPr>
                <w:rFonts w:hint="eastAsia" w:ascii="宋体" w:hAnsi="宋体" w:cs="宋体"/>
                <w:color w:val="auto"/>
                <w:sz w:val="24"/>
                <w:szCs w:val="24"/>
                <w:lang w:eastAsia="zh-CN"/>
              </w:rPr>
              <w:t>。</w:t>
            </w:r>
          </w:p>
        </w:tc>
      </w:tr>
      <w:tr w14:paraId="66026BDE">
        <w:tblPrEx>
          <w:tblCellMar>
            <w:top w:w="0" w:type="dxa"/>
            <w:left w:w="108" w:type="dxa"/>
            <w:bottom w:w="0" w:type="dxa"/>
            <w:right w:w="108" w:type="dxa"/>
          </w:tblCellMar>
        </w:tblPrEx>
        <w:trPr>
          <w:trHeight w:val="725"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3C11CBA9">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p>
        </w:tc>
        <w:tc>
          <w:tcPr>
            <w:tcW w:w="4342" w:type="dxa"/>
            <w:tcBorders>
              <w:top w:val="single" w:color="000000" w:sz="6" w:space="0"/>
              <w:left w:val="single" w:color="0D0E00" w:sz="6" w:space="0"/>
              <w:bottom w:val="single" w:color="000000" w:sz="6" w:space="0"/>
              <w:right w:val="single" w:color="000000" w:sz="6" w:space="0"/>
            </w:tcBorders>
            <w:vAlign w:val="center"/>
          </w:tcPr>
          <w:p w14:paraId="38F7B936">
            <w:pPr>
              <w:rPr>
                <w:rFonts w:hint="eastAsia" w:ascii="宋体" w:hAnsi="宋体" w:eastAsia="宋体" w:cs="宋体"/>
                <w:color w:val="auto"/>
                <w:sz w:val="24"/>
                <w:szCs w:val="24"/>
              </w:rPr>
            </w:pPr>
            <w:r>
              <w:rPr>
                <w:rFonts w:hint="eastAsia" w:ascii="宋体" w:hAnsi="宋体" w:eastAsia="宋体" w:cs="宋体"/>
                <w:color w:val="auto"/>
                <w:sz w:val="24"/>
                <w:szCs w:val="24"/>
              </w:rPr>
              <w:t>皮带传动系统</w:t>
            </w:r>
          </w:p>
        </w:tc>
        <w:tc>
          <w:tcPr>
            <w:tcW w:w="4008" w:type="dxa"/>
            <w:tcBorders>
              <w:top w:val="single" w:color="000000" w:sz="6" w:space="0"/>
              <w:left w:val="single" w:color="000000" w:sz="6" w:space="0"/>
              <w:bottom w:val="single" w:color="000000" w:sz="6" w:space="0"/>
              <w:right w:val="single" w:color="000000" w:sz="6" w:space="0"/>
            </w:tcBorders>
            <w:vAlign w:val="center"/>
          </w:tcPr>
          <w:p w14:paraId="05486A7A">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维修成本低，配有皮带张紧离合传动系统</w:t>
            </w:r>
            <w:r>
              <w:rPr>
                <w:rFonts w:hint="eastAsia" w:ascii="宋体" w:hAnsi="宋体" w:cs="宋体"/>
                <w:color w:val="auto"/>
                <w:sz w:val="24"/>
                <w:szCs w:val="24"/>
                <w:lang w:eastAsia="zh-CN"/>
              </w:rPr>
              <w:t>。</w:t>
            </w:r>
          </w:p>
        </w:tc>
      </w:tr>
      <w:tr w14:paraId="3DE2A052">
        <w:tblPrEx>
          <w:tblCellMar>
            <w:top w:w="0" w:type="dxa"/>
            <w:left w:w="108" w:type="dxa"/>
            <w:bottom w:w="0" w:type="dxa"/>
            <w:right w:w="108" w:type="dxa"/>
          </w:tblCellMar>
        </w:tblPrEx>
        <w:trPr>
          <w:trHeight w:val="801"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3281DBC3">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7</w:t>
            </w:r>
          </w:p>
        </w:tc>
        <w:tc>
          <w:tcPr>
            <w:tcW w:w="4342" w:type="dxa"/>
            <w:tcBorders>
              <w:top w:val="single" w:color="000000" w:sz="6" w:space="0"/>
              <w:left w:val="single" w:color="0D0E00" w:sz="6" w:space="0"/>
              <w:bottom w:val="single" w:color="000000" w:sz="6" w:space="0"/>
              <w:right w:val="single" w:color="000000" w:sz="6" w:space="0"/>
            </w:tcBorders>
            <w:vAlign w:val="center"/>
          </w:tcPr>
          <w:p w14:paraId="77258BB0">
            <w:pPr>
              <w:rPr>
                <w:rFonts w:hint="eastAsia" w:ascii="宋体" w:hAnsi="宋体" w:eastAsia="宋体" w:cs="宋体"/>
                <w:color w:val="auto"/>
                <w:sz w:val="24"/>
                <w:szCs w:val="24"/>
              </w:rPr>
            </w:pPr>
            <w:r>
              <w:rPr>
                <w:rFonts w:hint="eastAsia" w:ascii="宋体" w:hAnsi="宋体" w:eastAsia="宋体" w:cs="宋体"/>
                <w:color w:val="auto"/>
                <w:sz w:val="24"/>
                <w:szCs w:val="24"/>
              </w:rPr>
              <w:t>排料高低调节</w:t>
            </w:r>
          </w:p>
        </w:tc>
        <w:tc>
          <w:tcPr>
            <w:tcW w:w="4008" w:type="dxa"/>
            <w:tcBorders>
              <w:top w:val="single" w:color="000000" w:sz="6" w:space="0"/>
              <w:left w:val="single" w:color="000000" w:sz="6" w:space="0"/>
              <w:bottom w:val="single" w:color="000000" w:sz="6" w:space="0"/>
              <w:right w:val="single" w:color="000000" w:sz="6" w:space="0"/>
            </w:tcBorders>
            <w:vAlign w:val="center"/>
          </w:tcPr>
          <w:p w14:paraId="486FFC27">
            <w:pPr>
              <w:rPr>
                <w:rFonts w:hint="eastAsia" w:ascii="宋体" w:hAnsi="宋体" w:eastAsia="宋体" w:cs="宋体"/>
                <w:color w:val="auto"/>
                <w:sz w:val="24"/>
                <w:szCs w:val="24"/>
              </w:rPr>
            </w:pPr>
            <w:r>
              <w:rPr>
                <w:rFonts w:hint="eastAsia" w:ascii="宋体" w:hAnsi="宋体" w:eastAsia="宋体" w:cs="宋体"/>
                <w:color w:val="auto"/>
                <w:sz w:val="24"/>
                <w:szCs w:val="24"/>
              </w:rPr>
              <w:t>控制喷射范围，保障人身安全</w:t>
            </w:r>
          </w:p>
        </w:tc>
      </w:tr>
      <w:tr w14:paraId="0C0D7ED9">
        <w:tblPrEx>
          <w:tblCellMar>
            <w:top w:w="0" w:type="dxa"/>
            <w:left w:w="108" w:type="dxa"/>
            <w:bottom w:w="0" w:type="dxa"/>
            <w:right w:w="108" w:type="dxa"/>
          </w:tblCellMar>
        </w:tblPrEx>
        <w:trPr>
          <w:trHeight w:val="857"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03EA1C08">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8</w:t>
            </w:r>
          </w:p>
        </w:tc>
        <w:tc>
          <w:tcPr>
            <w:tcW w:w="4342" w:type="dxa"/>
            <w:tcBorders>
              <w:top w:val="single" w:color="000000" w:sz="6" w:space="0"/>
              <w:left w:val="single" w:color="0D0E00" w:sz="6" w:space="0"/>
              <w:bottom w:val="single" w:color="000000" w:sz="6" w:space="0"/>
              <w:right w:val="single" w:color="000000" w:sz="6" w:space="0"/>
            </w:tcBorders>
            <w:vAlign w:val="center"/>
          </w:tcPr>
          <w:p w14:paraId="50ABB5E5">
            <w:pPr>
              <w:rPr>
                <w:rFonts w:hint="eastAsia" w:ascii="宋体" w:hAnsi="宋体" w:eastAsia="宋体" w:cs="宋体"/>
                <w:color w:val="auto"/>
                <w:sz w:val="24"/>
                <w:szCs w:val="24"/>
              </w:rPr>
            </w:pPr>
            <w:r>
              <w:rPr>
                <w:rFonts w:hint="eastAsia" w:ascii="宋体" w:hAnsi="宋体" w:eastAsia="宋体" w:cs="宋体"/>
                <w:color w:val="auto"/>
                <w:sz w:val="24"/>
                <w:szCs w:val="24"/>
              </w:rPr>
              <w:t>排料口方向调节：可以保障后方操作人员的安全</w:t>
            </w:r>
          </w:p>
        </w:tc>
        <w:tc>
          <w:tcPr>
            <w:tcW w:w="4008" w:type="dxa"/>
            <w:tcBorders>
              <w:top w:val="single" w:color="000000" w:sz="6" w:space="0"/>
              <w:left w:val="single" w:color="000000" w:sz="6" w:space="0"/>
              <w:bottom w:val="single" w:color="000000" w:sz="6" w:space="0"/>
              <w:right w:val="single" w:color="000000" w:sz="6" w:space="0"/>
            </w:tcBorders>
            <w:vAlign w:val="center"/>
          </w:tcPr>
          <w:p w14:paraId="507E91EB">
            <w:pPr>
              <w:rPr>
                <w:rFonts w:hint="eastAsia" w:ascii="宋体" w:hAnsi="宋体" w:eastAsia="宋体" w:cs="宋体"/>
                <w:color w:val="auto"/>
                <w:sz w:val="24"/>
                <w:szCs w:val="24"/>
              </w:rPr>
            </w:pPr>
            <w:r>
              <w:rPr>
                <w:rFonts w:hint="eastAsia" w:ascii="宋体" w:hAnsi="宋体" w:eastAsia="宋体" w:cs="宋体"/>
                <w:color w:val="auto"/>
                <w:sz w:val="24"/>
                <w:szCs w:val="24"/>
              </w:rPr>
              <w:t>≦270°</w:t>
            </w:r>
          </w:p>
        </w:tc>
      </w:tr>
      <w:tr w14:paraId="4697D0AA">
        <w:tblPrEx>
          <w:tblCellMar>
            <w:top w:w="0" w:type="dxa"/>
            <w:left w:w="108" w:type="dxa"/>
            <w:bottom w:w="0" w:type="dxa"/>
            <w:right w:w="108" w:type="dxa"/>
          </w:tblCellMar>
        </w:tblPrEx>
        <w:trPr>
          <w:trHeight w:val="1890"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725E41C3">
            <w:p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4342" w:type="dxa"/>
            <w:tcBorders>
              <w:top w:val="single" w:color="000000" w:sz="6" w:space="0"/>
              <w:left w:val="single" w:color="0D0E00" w:sz="6" w:space="0"/>
              <w:bottom w:val="single" w:color="000000" w:sz="6" w:space="0"/>
              <w:right w:val="single" w:color="000000" w:sz="6" w:space="0"/>
            </w:tcBorders>
            <w:vAlign w:val="center"/>
          </w:tcPr>
          <w:p w14:paraId="4119E946">
            <w:pPr>
              <w:rPr>
                <w:rFonts w:hint="eastAsia" w:ascii="宋体" w:hAnsi="宋体" w:eastAsia="宋体" w:cs="宋体"/>
                <w:color w:val="auto"/>
                <w:sz w:val="24"/>
                <w:szCs w:val="24"/>
              </w:rPr>
            </w:pPr>
            <w:r>
              <w:rPr>
                <w:rFonts w:hint="eastAsia" w:ascii="宋体" w:hAnsi="宋体" w:eastAsia="宋体" w:cs="宋体"/>
                <w:color w:val="auto"/>
                <w:sz w:val="24"/>
                <w:szCs w:val="24"/>
              </w:rPr>
              <w:t>发动机及功率</w:t>
            </w:r>
          </w:p>
        </w:tc>
        <w:tc>
          <w:tcPr>
            <w:tcW w:w="4008" w:type="dxa"/>
            <w:tcBorders>
              <w:top w:val="single" w:color="000000" w:sz="6" w:space="0"/>
              <w:left w:val="single" w:color="000000" w:sz="6" w:space="0"/>
              <w:bottom w:val="single" w:color="000000" w:sz="6" w:space="0"/>
              <w:right w:val="single" w:color="000000" w:sz="6" w:space="0"/>
            </w:tcBorders>
            <w:vAlign w:val="center"/>
          </w:tcPr>
          <w:p w14:paraId="6D3CD894">
            <w:pPr>
              <w:rPr>
                <w:rFonts w:hint="eastAsia" w:ascii="宋体" w:hAnsi="宋体" w:eastAsia="宋体" w:cs="宋体"/>
                <w:color w:val="auto"/>
                <w:kern w:val="0"/>
                <w:sz w:val="24"/>
                <w:szCs w:val="24"/>
              </w:rPr>
            </w:pPr>
            <w:r>
              <w:rPr>
                <w:rFonts w:hint="eastAsia" w:ascii="宋体" w:hAnsi="宋体" w:eastAsia="宋体" w:cs="宋体"/>
                <w:color w:val="auto"/>
                <w:sz w:val="24"/>
                <w:szCs w:val="24"/>
              </w:rPr>
              <w:t>发动机柴油动力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95-105HP之间</w:t>
            </w:r>
            <w:r>
              <w:rPr>
                <w:rFonts w:hint="eastAsia" w:ascii="宋体" w:hAnsi="宋体" w:eastAsia="宋体" w:cs="宋体"/>
                <w:color w:val="auto"/>
                <w:kern w:val="0"/>
                <w:sz w:val="24"/>
                <w:szCs w:val="24"/>
              </w:rPr>
              <w:t>发动机标排放标准：符合中华人民共和国标准 GB20891-2014；</w:t>
            </w:r>
          </w:p>
          <w:p w14:paraId="682FE9E4">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《非道路移动机械用柴油机排气污染物排放限值及测量方法(中国第三、四阶段）》；</w:t>
            </w:r>
          </w:p>
          <w:p w14:paraId="70BB2A33">
            <w:pPr>
              <w:rPr>
                <w:rFonts w:hint="eastAsia" w:ascii="宋体" w:hAnsi="宋体" w:eastAsia="宋体" w:cs="宋体"/>
                <w:color w:val="auto"/>
                <w:sz w:val="24"/>
                <w:szCs w:val="24"/>
              </w:rPr>
            </w:pPr>
          </w:p>
        </w:tc>
      </w:tr>
      <w:tr w14:paraId="711DCB51">
        <w:tblPrEx>
          <w:tblCellMar>
            <w:top w:w="0" w:type="dxa"/>
            <w:left w:w="108" w:type="dxa"/>
            <w:bottom w:w="0" w:type="dxa"/>
            <w:right w:w="108" w:type="dxa"/>
          </w:tblCellMar>
        </w:tblPrEx>
        <w:trPr>
          <w:trHeight w:val="367"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679DE209">
            <w:p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4342" w:type="dxa"/>
            <w:tcBorders>
              <w:top w:val="single" w:color="000000" w:sz="6" w:space="0"/>
              <w:left w:val="single" w:color="0D0E00" w:sz="6" w:space="0"/>
              <w:bottom w:val="single" w:color="000000" w:sz="6" w:space="0"/>
              <w:right w:val="single" w:color="000000" w:sz="6" w:space="0"/>
            </w:tcBorders>
            <w:vAlign w:val="center"/>
          </w:tcPr>
          <w:p w14:paraId="330ED567">
            <w:pPr>
              <w:rPr>
                <w:rFonts w:hint="eastAsia" w:ascii="宋体" w:hAnsi="宋体" w:eastAsia="宋体" w:cs="宋体"/>
                <w:color w:val="auto"/>
                <w:sz w:val="24"/>
                <w:szCs w:val="24"/>
              </w:rPr>
            </w:pPr>
            <w:r>
              <w:rPr>
                <w:rFonts w:hint="eastAsia" w:ascii="宋体" w:hAnsi="宋体" w:eastAsia="宋体" w:cs="宋体"/>
                <w:color w:val="auto"/>
                <w:sz w:val="24"/>
                <w:szCs w:val="24"/>
              </w:rPr>
              <w:t>指示灯要求</w:t>
            </w:r>
          </w:p>
        </w:tc>
        <w:tc>
          <w:tcPr>
            <w:tcW w:w="4008" w:type="dxa"/>
            <w:tcBorders>
              <w:top w:val="single" w:color="000000" w:sz="6" w:space="0"/>
              <w:left w:val="single" w:color="000000" w:sz="6" w:space="0"/>
              <w:bottom w:val="single" w:color="000000" w:sz="6" w:space="0"/>
              <w:right w:val="single" w:color="000000" w:sz="6" w:space="0"/>
            </w:tcBorders>
            <w:vAlign w:val="center"/>
          </w:tcPr>
          <w:p w14:paraId="0D901D9F">
            <w:pPr>
              <w:rPr>
                <w:rFonts w:hint="eastAsia" w:ascii="宋体" w:hAnsi="宋体" w:eastAsia="宋体" w:cs="宋体"/>
                <w:color w:val="auto"/>
                <w:sz w:val="24"/>
                <w:szCs w:val="24"/>
              </w:rPr>
            </w:pPr>
            <w:r>
              <w:rPr>
                <w:rFonts w:hint="eastAsia" w:ascii="宋体" w:hAnsi="宋体" w:eastAsia="宋体" w:cs="宋体"/>
                <w:color w:val="auto"/>
                <w:sz w:val="24"/>
                <w:szCs w:val="24"/>
              </w:rPr>
              <w:t>LED（故障、刹车、转向、工作指示）</w:t>
            </w:r>
          </w:p>
        </w:tc>
      </w:tr>
      <w:tr w14:paraId="75F02127">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181CC684">
            <w:p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21</w:t>
            </w:r>
          </w:p>
        </w:tc>
        <w:tc>
          <w:tcPr>
            <w:tcW w:w="4342" w:type="dxa"/>
            <w:tcBorders>
              <w:top w:val="single" w:color="000000" w:sz="6" w:space="0"/>
              <w:left w:val="single" w:color="0D0E00" w:sz="6" w:space="0"/>
              <w:bottom w:val="single" w:color="000000" w:sz="6" w:space="0"/>
              <w:right w:val="single" w:color="000000" w:sz="6" w:space="0"/>
            </w:tcBorders>
            <w:vAlign w:val="center"/>
          </w:tcPr>
          <w:p w14:paraId="2EEBC276">
            <w:pPr>
              <w:rPr>
                <w:rFonts w:hint="eastAsia" w:ascii="宋体" w:hAnsi="宋体" w:eastAsia="宋体" w:cs="宋体"/>
                <w:color w:val="auto"/>
                <w:sz w:val="24"/>
                <w:szCs w:val="24"/>
              </w:rPr>
            </w:pPr>
            <w:r>
              <w:rPr>
                <w:rFonts w:hint="eastAsia" w:ascii="宋体" w:hAnsi="宋体" w:eastAsia="宋体" w:cs="宋体"/>
                <w:color w:val="auto"/>
                <w:sz w:val="24"/>
                <w:szCs w:val="24"/>
              </w:rPr>
              <w:t>发动机转速感应器</w:t>
            </w:r>
          </w:p>
        </w:tc>
        <w:tc>
          <w:tcPr>
            <w:tcW w:w="4008" w:type="dxa"/>
            <w:tcBorders>
              <w:top w:val="single" w:color="000000" w:sz="6" w:space="0"/>
              <w:left w:val="single" w:color="000000" w:sz="6" w:space="0"/>
              <w:bottom w:val="single" w:color="000000" w:sz="6" w:space="0"/>
              <w:right w:val="single" w:color="000000" w:sz="6" w:space="0"/>
            </w:tcBorders>
            <w:vAlign w:val="center"/>
          </w:tcPr>
          <w:p w14:paraId="5F031E55">
            <w:pPr>
              <w:rPr>
                <w:rFonts w:hint="eastAsia" w:ascii="宋体" w:hAnsi="宋体" w:eastAsia="宋体" w:cs="宋体"/>
                <w:color w:val="auto"/>
                <w:sz w:val="24"/>
                <w:szCs w:val="24"/>
              </w:rPr>
            </w:pPr>
            <w:r>
              <w:rPr>
                <w:rFonts w:hint="eastAsia" w:ascii="宋体" w:hAnsi="宋体" w:eastAsia="宋体" w:cs="宋体"/>
                <w:color w:val="auto"/>
                <w:sz w:val="24"/>
                <w:szCs w:val="24"/>
              </w:rPr>
              <w:t>配有</w:t>
            </w:r>
          </w:p>
        </w:tc>
      </w:tr>
      <w:tr w14:paraId="535CBC9C">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139BC00E">
            <w:p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22</w:t>
            </w:r>
          </w:p>
        </w:tc>
        <w:tc>
          <w:tcPr>
            <w:tcW w:w="4342" w:type="dxa"/>
            <w:tcBorders>
              <w:top w:val="single" w:color="000000" w:sz="6" w:space="0"/>
              <w:left w:val="single" w:color="0D0E00" w:sz="6" w:space="0"/>
              <w:bottom w:val="single" w:color="000000" w:sz="6" w:space="0"/>
              <w:right w:val="single" w:color="000000" w:sz="6" w:space="0"/>
            </w:tcBorders>
            <w:vAlign w:val="center"/>
          </w:tcPr>
          <w:p w14:paraId="02B6FD3C">
            <w:pPr>
              <w:rPr>
                <w:rFonts w:hint="eastAsia" w:ascii="宋体" w:hAnsi="宋体" w:eastAsia="宋体" w:cs="宋体"/>
                <w:color w:val="auto"/>
                <w:sz w:val="24"/>
                <w:szCs w:val="24"/>
              </w:rPr>
            </w:pPr>
            <w:r>
              <w:rPr>
                <w:rFonts w:hint="eastAsia" w:ascii="宋体" w:hAnsi="宋体" w:eastAsia="宋体" w:cs="宋体"/>
                <w:color w:val="auto"/>
                <w:sz w:val="24"/>
                <w:szCs w:val="24"/>
              </w:rPr>
              <w:t>水温感应器</w:t>
            </w:r>
          </w:p>
        </w:tc>
        <w:tc>
          <w:tcPr>
            <w:tcW w:w="4008" w:type="dxa"/>
            <w:tcBorders>
              <w:top w:val="single" w:color="000000" w:sz="6" w:space="0"/>
              <w:left w:val="single" w:color="000000" w:sz="6" w:space="0"/>
              <w:bottom w:val="single" w:color="000000" w:sz="6" w:space="0"/>
              <w:right w:val="single" w:color="000000" w:sz="6" w:space="0"/>
            </w:tcBorders>
            <w:vAlign w:val="center"/>
          </w:tcPr>
          <w:p w14:paraId="57CEEF25">
            <w:pPr>
              <w:rPr>
                <w:rFonts w:hint="eastAsia" w:ascii="宋体" w:hAnsi="宋体" w:eastAsia="宋体" w:cs="宋体"/>
                <w:color w:val="auto"/>
                <w:sz w:val="24"/>
                <w:szCs w:val="24"/>
              </w:rPr>
            </w:pPr>
            <w:r>
              <w:rPr>
                <w:rFonts w:hint="eastAsia" w:ascii="宋体" w:hAnsi="宋体" w:eastAsia="宋体" w:cs="宋体"/>
                <w:color w:val="auto"/>
                <w:sz w:val="24"/>
                <w:szCs w:val="24"/>
              </w:rPr>
              <w:t>配有</w:t>
            </w:r>
          </w:p>
        </w:tc>
      </w:tr>
      <w:tr w14:paraId="6C975F12">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57294A2B">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3</w:t>
            </w:r>
          </w:p>
        </w:tc>
        <w:tc>
          <w:tcPr>
            <w:tcW w:w="4342" w:type="dxa"/>
            <w:tcBorders>
              <w:top w:val="single" w:color="000000" w:sz="6" w:space="0"/>
              <w:left w:val="single" w:color="0D0E00" w:sz="6" w:space="0"/>
              <w:bottom w:val="single" w:color="000000" w:sz="6" w:space="0"/>
              <w:right w:val="single" w:color="000000" w:sz="6" w:space="0"/>
            </w:tcBorders>
            <w:vAlign w:val="center"/>
          </w:tcPr>
          <w:p w14:paraId="38A34F8B">
            <w:pPr>
              <w:rPr>
                <w:rFonts w:hint="eastAsia" w:ascii="宋体" w:hAnsi="宋体" w:eastAsia="宋体" w:cs="宋体"/>
                <w:color w:val="auto"/>
                <w:sz w:val="24"/>
                <w:szCs w:val="24"/>
              </w:rPr>
            </w:pPr>
            <w:r>
              <w:rPr>
                <w:rFonts w:hint="eastAsia" w:ascii="宋体" w:hAnsi="宋体" w:eastAsia="宋体" w:cs="宋体"/>
                <w:color w:val="auto"/>
                <w:sz w:val="24"/>
                <w:szCs w:val="24"/>
              </w:rPr>
              <w:t>机油压力感应器</w:t>
            </w:r>
          </w:p>
        </w:tc>
        <w:tc>
          <w:tcPr>
            <w:tcW w:w="4008" w:type="dxa"/>
            <w:tcBorders>
              <w:top w:val="single" w:color="000000" w:sz="6" w:space="0"/>
              <w:left w:val="single" w:color="000000" w:sz="6" w:space="0"/>
              <w:bottom w:val="single" w:color="000000" w:sz="6" w:space="0"/>
              <w:right w:val="single" w:color="000000" w:sz="6" w:space="0"/>
            </w:tcBorders>
            <w:vAlign w:val="center"/>
          </w:tcPr>
          <w:p w14:paraId="321041AC">
            <w:pPr>
              <w:rPr>
                <w:rFonts w:hint="eastAsia" w:ascii="宋体" w:hAnsi="宋体" w:eastAsia="宋体" w:cs="宋体"/>
                <w:color w:val="auto"/>
                <w:sz w:val="24"/>
                <w:szCs w:val="24"/>
              </w:rPr>
            </w:pPr>
            <w:r>
              <w:rPr>
                <w:rFonts w:hint="eastAsia" w:ascii="宋体" w:hAnsi="宋体" w:eastAsia="宋体" w:cs="宋体"/>
                <w:color w:val="auto"/>
                <w:sz w:val="24"/>
                <w:szCs w:val="24"/>
              </w:rPr>
              <w:t>配有</w:t>
            </w:r>
          </w:p>
        </w:tc>
      </w:tr>
      <w:tr w14:paraId="523B158C">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0733FDDB">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4</w:t>
            </w:r>
          </w:p>
        </w:tc>
        <w:tc>
          <w:tcPr>
            <w:tcW w:w="4342" w:type="dxa"/>
            <w:tcBorders>
              <w:top w:val="single" w:color="000000" w:sz="6" w:space="0"/>
              <w:left w:val="single" w:color="0D0E00" w:sz="6" w:space="0"/>
              <w:bottom w:val="single" w:color="000000" w:sz="6" w:space="0"/>
              <w:right w:val="single" w:color="000000" w:sz="6" w:space="0"/>
            </w:tcBorders>
            <w:vAlign w:val="center"/>
          </w:tcPr>
          <w:p w14:paraId="7F815E9B">
            <w:pPr>
              <w:rPr>
                <w:rFonts w:hint="eastAsia" w:ascii="宋体" w:hAnsi="宋体" w:eastAsia="宋体" w:cs="宋体"/>
                <w:color w:val="auto"/>
                <w:sz w:val="24"/>
                <w:szCs w:val="24"/>
              </w:rPr>
            </w:pPr>
            <w:r>
              <w:rPr>
                <w:rFonts w:hint="eastAsia" w:ascii="宋体" w:hAnsi="宋体" w:eastAsia="宋体" w:cs="宋体"/>
                <w:color w:val="auto"/>
                <w:sz w:val="24"/>
                <w:szCs w:val="24"/>
              </w:rPr>
              <w:t>空滤保护：恶劣环境下稳定工作</w:t>
            </w:r>
          </w:p>
        </w:tc>
        <w:tc>
          <w:tcPr>
            <w:tcW w:w="4008" w:type="dxa"/>
            <w:tcBorders>
              <w:top w:val="single" w:color="000000" w:sz="6" w:space="0"/>
              <w:left w:val="single" w:color="000000" w:sz="6" w:space="0"/>
              <w:bottom w:val="single" w:color="000000" w:sz="6" w:space="0"/>
              <w:right w:val="single" w:color="000000" w:sz="6" w:space="0"/>
            </w:tcBorders>
            <w:vAlign w:val="center"/>
          </w:tcPr>
          <w:p w14:paraId="080BA584">
            <w:pPr>
              <w:rPr>
                <w:rFonts w:hint="eastAsia" w:ascii="宋体" w:hAnsi="宋体" w:eastAsia="宋体" w:cs="宋体"/>
                <w:color w:val="auto"/>
                <w:sz w:val="24"/>
                <w:szCs w:val="24"/>
              </w:rPr>
            </w:pPr>
            <w:r>
              <w:rPr>
                <w:rFonts w:hint="eastAsia" w:ascii="宋体" w:hAnsi="宋体" w:eastAsia="宋体" w:cs="宋体"/>
                <w:color w:val="auto"/>
                <w:sz w:val="24"/>
                <w:szCs w:val="24"/>
              </w:rPr>
              <w:t>配有2级保护</w:t>
            </w:r>
          </w:p>
        </w:tc>
      </w:tr>
      <w:tr w14:paraId="037A7D4F">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4E540954">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5</w:t>
            </w:r>
          </w:p>
          <w:p w14:paraId="3141A355">
            <w:pPr>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4342" w:type="dxa"/>
            <w:tcBorders>
              <w:top w:val="single" w:color="000000" w:sz="6" w:space="0"/>
              <w:left w:val="single" w:color="0D0E00" w:sz="6" w:space="0"/>
              <w:bottom w:val="single" w:color="000000" w:sz="6" w:space="0"/>
              <w:right w:val="single" w:color="000000" w:sz="6" w:space="0"/>
            </w:tcBorders>
            <w:vAlign w:val="center"/>
          </w:tcPr>
          <w:p w14:paraId="1B27CDC4">
            <w:pPr>
              <w:rPr>
                <w:rFonts w:hint="eastAsia" w:ascii="宋体" w:hAnsi="宋体" w:eastAsia="宋体" w:cs="宋体"/>
                <w:color w:val="auto"/>
                <w:sz w:val="24"/>
                <w:szCs w:val="24"/>
              </w:rPr>
            </w:pPr>
            <w:r>
              <w:rPr>
                <w:rFonts w:hint="eastAsia" w:ascii="宋体" w:hAnsi="宋体" w:eastAsia="宋体" w:cs="宋体"/>
                <w:color w:val="auto"/>
                <w:sz w:val="24"/>
                <w:szCs w:val="24"/>
              </w:rPr>
              <w:t>复位开关</w:t>
            </w:r>
          </w:p>
        </w:tc>
        <w:tc>
          <w:tcPr>
            <w:tcW w:w="4008" w:type="dxa"/>
            <w:tcBorders>
              <w:top w:val="single" w:color="000000" w:sz="6" w:space="0"/>
              <w:left w:val="single" w:color="000000" w:sz="6" w:space="0"/>
              <w:bottom w:val="single" w:color="000000" w:sz="6" w:space="0"/>
              <w:right w:val="single" w:color="000000" w:sz="6" w:space="0"/>
            </w:tcBorders>
            <w:vAlign w:val="center"/>
          </w:tcPr>
          <w:p w14:paraId="171F391B">
            <w:pPr>
              <w:rPr>
                <w:rFonts w:hint="eastAsia" w:ascii="宋体" w:hAnsi="宋体" w:eastAsia="宋体" w:cs="宋体"/>
                <w:color w:val="auto"/>
                <w:sz w:val="24"/>
                <w:szCs w:val="24"/>
              </w:rPr>
            </w:pPr>
            <w:r>
              <w:rPr>
                <w:rFonts w:hint="eastAsia" w:ascii="宋体" w:hAnsi="宋体" w:eastAsia="宋体" w:cs="宋体"/>
                <w:color w:val="auto"/>
                <w:sz w:val="24"/>
                <w:szCs w:val="24"/>
              </w:rPr>
              <w:t>配有</w:t>
            </w:r>
          </w:p>
        </w:tc>
      </w:tr>
      <w:tr w14:paraId="7DF360D3">
        <w:tblPrEx>
          <w:tblCellMar>
            <w:top w:w="0" w:type="dxa"/>
            <w:left w:w="108" w:type="dxa"/>
            <w:bottom w:w="0" w:type="dxa"/>
            <w:right w:w="108" w:type="dxa"/>
          </w:tblCellMar>
        </w:tblPrEx>
        <w:trPr>
          <w:trHeight w:val="672"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00D9ABF1">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6</w:t>
            </w:r>
          </w:p>
        </w:tc>
        <w:tc>
          <w:tcPr>
            <w:tcW w:w="4342" w:type="dxa"/>
            <w:tcBorders>
              <w:top w:val="single" w:color="000000" w:sz="6" w:space="0"/>
              <w:left w:val="single" w:color="0D0E00" w:sz="6" w:space="0"/>
              <w:bottom w:val="single" w:color="000000" w:sz="6" w:space="0"/>
              <w:right w:val="single" w:color="000000" w:sz="6" w:space="0"/>
            </w:tcBorders>
            <w:vAlign w:val="center"/>
          </w:tcPr>
          <w:p w14:paraId="1203161E">
            <w:pPr>
              <w:rPr>
                <w:rFonts w:hint="eastAsia" w:ascii="宋体" w:hAnsi="宋体" w:eastAsia="宋体" w:cs="宋体"/>
                <w:color w:val="auto"/>
                <w:sz w:val="24"/>
                <w:szCs w:val="24"/>
              </w:rPr>
            </w:pPr>
            <w:r>
              <w:rPr>
                <w:rFonts w:hint="eastAsia" w:ascii="宋体" w:hAnsi="宋体" w:eastAsia="宋体" w:cs="宋体"/>
                <w:color w:val="auto"/>
                <w:sz w:val="24"/>
                <w:szCs w:val="24"/>
              </w:rPr>
              <w:t>运输自动刹车系统：运输过程中拖钩脱落时，轮胎会自动抱死，保障运输安全</w:t>
            </w:r>
          </w:p>
        </w:tc>
        <w:tc>
          <w:tcPr>
            <w:tcW w:w="4008" w:type="dxa"/>
            <w:tcBorders>
              <w:top w:val="single" w:color="000000" w:sz="6" w:space="0"/>
              <w:left w:val="single" w:color="000000" w:sz="6" w:space="0"/>
              <w:bottom w:val="single" w:color="000000" w:sz="6" w:space="0"/>
              <w:right w:val="single" w:color="000000" w:sz="6" w:space="0"/>
            </w:tcBorders>
            <w:vAlign w:val="center"/>
          </w:tcPr>
          <w:p w14:paraId="678D9000">
            <w:pPr>
              <w:rPr>
                <w:rFonts w:hint="eastAsia" w:ascii="宋体" w:hAnsi="宋体" w:eastAsia="宋体" w:cs="宋体"/>
                <w:color w:val="auto"/>
                <w:sz w:val="24"/>
                <w:szCs w:val="24"/>
              </w:rPr>
            </w:pPr>
            <w:r>
              <w:rPr>
                <w:rFonts w:hint="eastAsia" w:ascii="宋体" w:hAnsi="宋体" w:eastAsia="宋体" w:cs="宋体"/>
                <w:color w:val="auto"/>
                <w:sz w:val="24"/>
                <w:szCs w:val="24"/>
              </w:rPr>
              <w:t>配有</w:t>
            </w:r>
            <w:bookmarkStart w:id="720" w:name="_GoBack"/>
            <w:bookmarkEnd w:id="720"/>
          </w:p>
        </w:tc>
      </w:tr>
      <w:tr w14:paraId="432B72DF">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4A42EB57">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7</w:t>
            </w:r>
          </w:p>
        </w:tc>
        <w:tc>
          <w:tcPr>
            <w:tcW w:w="4342" w:type="dxa"/>
            <w:tcBorders>
              <w:top w:val="single" w:color="000000" w:sz="6" w:space="0"/>
              <w:left w:val="single" w:color="0D0E00" w:sz="6" w:space="0"/>
              <w:bottom w:val="single" w:color="000000" w:sz="6" w:space="0"/>
              <w:right w:val="single" w:color="000000" w:sz="6" w:space="0"/>
            </w:tcBorders>
            <w:vAlign w:val="center"/>
          </w:tcPr>
          <w:p w14:paraId="7FF493FF">
            <w:pPr>
              <w:rPr>
                <w:rFonts w:hint="eastAsia" w:ascii="宋体" w:hAnsi="宋体" w:eastAsia="宋体" w:cs="宋体"/>
                <w:color w:val="auto"/>
                <w:sz w:val="24"/>
                <w:szCs w:val="24"/>
              </w:rPr>
            </w:pPr>
            <w:r>
              <w:rPr>
                <w:rFonts w:hint="eastAsia" w:ascii="宋体" w:hAnsi="宋体" w:eastAsia="宋体" w:cs="宋体"/>
                <w:color w:val="auto"/>
                <w:sz w:val="24"/>
                <w:szCs w:val="24"/>
              </w:rPr>
              <w:t>燃料</w:t>
            </w:r>
          </w:p>
        </w:tc>
        <w:tc>
          <w:tcPr>
            <w:tcW w:w="4008" w:type="dxa"/>
            <w:tcBorders>
              <w:top w:val="single" w:color="000000" w:sz="6" w:space="0"/>
              <w:left w:val="single" w:color="000000" w:sz="6" w:space="0"/>
              <w:bottom w:val="single" w:color="000000" w:sz="6" w:space="0"/>
              <w:right w:val="single" w:color="000000" w:sz="6" w:space="0"/>
            </w:tcBorders>
            <w:vAlign w:val="center"/>
          </w:tcPr>
          <w:p w14:paraId="4E57FFB4">
            <w:pPr>
              <w:rPr>
                <w:rFonts w:hint="eastAsia" w:ascii="宋体" w:hAnsi="宋体" w:eastAsia="宋体" w:cs="宋体"/>
                <w:color w:val="auto"/>
                <w:sz w:val="24"/>
                <w:szCs w:val="24"/>
              </w:rPr>
            </w:pPr>
            <w:r>
              <w:rPr>
                <w:rFonts w:hint="eastAsia" w:ascii="宋体" w:hAnsi="宋体" w:eastAsia="宋体" w:cs="宋体"/>
                <w:color w:val="auto"/>
                <w:sz w:val="24"/>
                <w:szCs w:val="24"/>
              </w:rPr>
              <w:t>柴油</w:t>
            </w:r>
          </w:p>
        </w:tc>
      </w:tr>
      <w:tr w14:paraId="26C31701">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72AD3EEF">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8</w:t>
            </w:r>
          </w:p>
        </w:tc>
        <w:tc>
          <w:tcPr>
            <w:tcW w:w="4342" w:type="dxa"/>
            <w:tcBorders>
              <w:top w:val="single" w:color="000000" w:sz="6" w:space="0"/>
              <w:left w:val="single" w:color="0D0E00" w:sz="6" w:space="0"/>
              <w:bottom w:val="single" w:color="000000" w:sz="6" w:space="0"/>
              <w:right w:val="single" w:color="000000" w:sz="6" w:space="0"/>
            </w:tcBorders>
            <w:vAlign w:val="center"/>
          </w:tcPr>
          <w:p w14:paraId="48907153">
            <w:pPr>
              <w:rPr>
                <w:rFonts w:hint="eastAsia" w:ascii="宋体" w:hAnsi="宋体" w:eastAsia="宋体" w:cs="宋体"/>
                <w:color w:val="auto"/>
                <w:sz w:val="24"/>
                <w:szCs w:val="24"/>
              </w:rPr>
            </w:pPr>
            <w:r>
              <w:rPr>
                <w:rFonts w:hint="eastAsia" w:ascii="宋体" w:hAnsi="宋体" w:eastAsia="宋体" w:cs="宋体"/>
                <w:color w:val="auto"/>
                <w:sz w:val="24"/>
                <w:szCs w:val="24"/>
              </w:rPr>
              <w:t>液压油箱</w:t>
            </w:r>
          </w:p>
        </w:tc>
        <w:tc>
          <w:tcPr>
            <w:tcW w:w="4008" w:type="dxa"/>
            <w:tcBorders>
              <w:top w:val="single" w:color="000000" w:sz="6" w:space="0"/>
              <w:left w:val="single" w:color="000000" w:sz="6" w:space="0"/>
              <w:bottom w:val="single" w:color="000000" w:sz="6" w:space="0"/>
              <w:right w:val="single" w:color="000000" w:sz="6" w:space="0"/>
            </w:tcBorders>
            <w:vAlign w:val="center"/>
          </w:tcPr>
          <w:p w14:paraId="67ADC36C">
            <w:pPr>
              <w:rPr>
                <w:rFonts w:hint="eastAsia" w:ascii="宋体" w:hAnsi="宋体" w:eastAsia="宋体" w:cs="宋体"/>
                <w:color w:val="auto"/>
                <w:sz w:val="24"/>
                <w:szCs w:val="24"/>
              </w:rPr>
            </w:pPr>
            <w:r>
              <w:rPr>
                <w:rFonts w:hint="eastAsia" w:ascii="宋体" w:hAnsi="宋体" w:eastAsia="宋体" w:cs="宋体"/>
                <w:color w:val="auto"/>
                <w:sz w:val="24"/>
                <w:szCs w:val="24"/>
              </w:rPr>
              <w:t>≥26L</w:t>
            </w:r>
          </w:p>
        </w:tc>
      </w:tr>
      <w:tr w14:paraId="117846E3">
        <w:tblPrEx>
          <w:tblCellMar>
            <w:top w:w="0" w:type="dxa"/>
            <w:left w:w="108" w:type="dxa"/>
            <w:bottom w:w="0" w:type="dxa"/>
            <w:right w:w="108" w:type="dxa"/>
          </w:tblCellMar>
        </w:tblPrEx>
        <w:trPr>
          <w:trHeight w:val="316"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4F51D777">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9</w:t>
            </w:r>
          </w:p>
        </w:tc>
        <w:tc>
          <w:tcPr>
            <w:tcW w:w="4342" w:type="dxa"/>
            <w:tcBorders>
              <w:top w:val="single" w:color="000000" w:sz="6" w:space="0"/>
              <w:left w:val="single" w:color="0D0E00" w:sz="6" w:space="0"/>
              <w:bottom w:val="single" w:color="000000" w:sz="6" w:space="0"/>
              <w:right w:val="single" w:color="000000" w:sz="6" w:space="0"/>
            </w:tcBorders>
            <w:vAlign w:val="center"/>
          </w:tcPr>
          <w:p w14:paraId="6E0E4A4B">
            <w:pPr>
              <w:rPr>
                <w:rFonts w:hint="eastAsia" w:ascii="宋体" w:hAnsi="宋体" w:eastAsia="宋体" w:cs="宋体"/>
                <w:color w:val="auto"/>
                <w:sz w:val="24"/>
                <w:szCs w:val="24"/>
              </w:rPr>
            </w:pPr>
            <w:r>
              <w:rPr>
                <w:rFonts w:hint="eastAsia" w:ascii="宋体" w:hAnsi="宋体" w:eastAsia="宋体" w:cs="宋体"/>
                <w:color w:val="auto"/>
                <w:sz w:val="24"/>
                <w:szCs w:val="24"/>
              </w:rPr>
              <w:t>燃油箱</w:t>
            </w:r>
          </w:p>
        </w:tc>
        <w:tc>
          <w:tcPr>
            <w:tcW w:w="4008" w:type="dxa"/>
            <w:tcBorders>
              <w:top w:val="single" w:color="000000" w:sz="6" w:space="0"/>
              <w:left w:val="single" w:color="000000" w:sz="6" w:space="0"/>
              <w:bottom w:val="single" w:color="000000" w:sz="6" w:space="0"/>
              <w:right w:val="single" w:color="000000" w:sz="6" w:space="0"/>
            </w:tcBorders>
            <w:vAlign w:val="center"/>
          </w:tcPr>
          <w:p w14:paraId="25387177">
            <w:pPr>
              <w:rPr>
                <w:rFonts w:hint="eastAsia" w:ascii="宋体" w:hAnsi="宋体" w:eastAsia="宋体" w:cs="宋体"/>
                <w:color w:val="auto"/>
                <w:sz w:val="24"/>
                <w:szCs w:val="24"/>
              </w:rPr>
            </w:pPr>
            <w:r>
              <w:rPr>
                <w:rFonts w:hint="eastAsia" w:ascii="宋体" w:hAnsi="宋体" w:eastAsia="宋体" w:cs="宋体"/>
                <w:color w:val="auto"/>
                <w:sz w:val="24"/>
                <w:szCs w:val="24"/>
              </w:rPr>
              <w:t>≥86L</w:t>
            </w:r>
          </w:p>
        </w:tc>
      </w:tr>
      <w:tr w14:paraId="75AE11C2">
        <w:tblPrEx>
          <w:tblCellMar>
            <w:top w:w="0" w:type="dxa"/>
            <w:left w:w="108" w:type="dxa"/>
            <w:bottom w:w="0" w:type="dxa"/>
            <w:right w:w="108" w:type="dxa"/>
          </w:tblCellMar>
        </w:tblPrEx>
        <w:trPr>
          <w:trHeight w:val="301"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41DE9AFA">
            <w:p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30</w:t>
            </w:r>
          </w:p>
        </w:tc>
        <w:tc>
          <w:tcPr>
            <w:tcW w:w="4342" w:type="dxa"/>
            <w:tcBorders>
              <w:top w:val="single" w:color="000000" w:sz="6" w:space="0"/>
              <w:left w:val="single" w:color="0D0E00" w:sz="6" w:space="0"/>
              <w:bottom w:val="single" w:color="000000" w:sz="6" w:space="0"/>
              <w:right w:val="single" w:color="000000" w:sz="6" w:space="0"/>
            </w:tcBorders>
            <w:vAlign w:val="center"/>
          </w:tcPr>
          <w:p w14:paraId="51C6BE16">
            <w:pPr>
              <w:rPr>
                <w:rFonts w:hint="eastAsia" w:ascii="宋体" w:hAnsi="宋体" w:eastAsia="宋体" w:cs="宋体"/>
                <w:color w:val="auto"/>
                <w:sz w:val="24"/>
                <w:szCs w:val="24"/>
              </w:rPr>
            </w:pPr>
            <w:r>
              <w:rPr>
                <w:rFonts w:hint="eastAsia" w:ascii="宋体" w:hAnsi="宋体" w:eastAsia="宋体" w:cs="宋体"/>
                <w:color w:val="auto"/>
                <w:sz w:val="24"/>
                <w:szCs w:val="24"/>
              </w:rPr>
              <w:t>刀片使用周期</w:t>
            </w:r>
          </w:p>
        </w:tc>
        <w:tc>
          <w:tcPr>
            <w:tcW w:w="4008" w:type="dxa"/>
            <w:tcBorders>
              <w:top w:val="single" w:color="000000" w:sz="6" w:space="0"/>
              <w:left w:val="single" w:color="000000" w:sz="6" w:space="0"/>
              <w:bottom w:val="single" w:color="000000" w:sz="6" w:space="0"/>
              <w:right w:val="single" w:color="000000" w:sz="6" w:space="0"/>
            </w:tcBorders>
            <w:vAlign w:val="center"/>
          </w:tcPr>
          <w:p w14:paraId="7414FC0B">
            <w:pPr>
              <w:rPr>
                <w:rFonts w:hint="eastAsia" w:ascii="宋体" w:hAnsi="宋体" w:eastAsia="宋体" w:cs="宋体"/>
                <w:color w:val="auto"/>
                <w:sz w:val="24"/>
                <w:szCs w:val="24"/>
              </w:rPr>
            </w:pPr>
            <w:r>
              <w:rPr>
                <w:rFonts w:hint="eastAsia" w:ascii="宋体" w:hAnsi="宋体" w:eastAsia="宋体" w:cs="宋体"/>
                <w:color w:val="auto"/>
                <w:sz w:val="24"/>
                <w:szCs w:val="24"/>
              </w:rPr>
              <w:t>≥500h</w:t>
            </w:r>
          </w:p>
        </w:tc>
      </w:tr>
      <w:tr w14:paraId="68C863A7">
        <w:tblPrEx>
          <w:tblCellMar>
            <w:top w:w="0" w:type="dxa"/>
            <w:left w:w="108" w:type="dxa"/>
            <w:bottom w:w="0" w:type="dxa"/>
            <w:right w:w="108" w:type="dxa"/>
          </w:tblCellMar>
        </w:tblPrEx>
        <w:trPr>
          <w:trHeight w:val="385"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0DF367C3">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1</w:t>
            </w:r>
          </w:p>
        </w:tc>
        <w:tc>
          <w:tcPr>
            <w:tcW w:w="4342" w:type="dxa"/>
            <w:tcBorders>
              <w:top w:val="single" w:color="000000" w:sz="6" w:space="0"/>
              <w:left w:val="single" w:color="0D0E00" w:sz="6" w:space="0"/>
              <w:bottom w:val="single" w:color="000000" w:sz="6" w:space="0"/>
              <w:right w:val="single" w:color="000000" w:sz="6" w:space="0"/>
            </w:tcBorders>
            <w:vAlign w:val="center"/>
          </w:tcPr>
          <w:p w14:paraId="42B393F0">
            <w:pPr>
              <w:rPr>
                <w:rFonts w:hint="eastAsia" w:ascii="宋体" w:hAnsi="宋体" w:eastAsia="宋体" w:cs="宋体"/>
                <w:color w:val="auto"/>
                <w:sz w:val="24"/>
                <w:szCs w:val="24"/>
              </w:rPr>
            </w:pPr>
            <w:r>
              <w:rPr>
                <w:rFonts w:hint="eastAsia" w:ascii="宋体" w:hAnsi="宋体" w:eastAsia="宋体" w:cs="宋体"/>
                <w:color w:val="auto"/>
                <w:sz w:val="24"/>
                <w:szCs w:val="24"/>
              </w:rPr>
              <w:t>机器上自带专用工具储物箱</w:t>
            </w:r>
          </w:p>
        </w:tc>
        <w:tc>
          <w:tcPr>
            <w:tcW w:w="4008" w:type="dxa"/>
            <w:tcBorders>
              <w:top w:val="single" w:color="000000" w:sz="6" w:space="0"/>
              <w:left w:val="single" w:color="000000" w:sz="6" w:space="0"/>
              <w:bottom w:val="single" w:color="000000" w:sz="6" w:space="0"/>
              <w:right w:val="single" w:color="000000" w:sz="6" w:space="0"/>
            </w:tcBorders>
            <w:vAlign w:val="center"/>
          </w:tcPr>
          <w:p w14:paraId="6B3101C2">
            <w:pPr>
              <w:rPr>
                <w:rFonts w:hint="eastAsia" w:ascii="宋体" w:hAnsi="宋体" w:eastAsia="宋体" w:cs="宋体"/>
                <w:color w:val="auto"/>
                <w:sz w:val="24"/>
                <w:szCs w:val="24"/>
              </w:rPr>
            </w:pPr>
            <w:r>
              <w:rPr>
                <w:rFonts w:hint="eastAsia" w:ascii="宋体" w:hAnsi="宋体" w:eastAsia="宋体" w:cs="宋体"/>
                <w:color w:val="auto"/>
                <w:sz w:val="24"/>
                <w:szCs w:val="24"/>
              </w:rPr>
              <w:t>方便用户储存工具</w:t>
            </w:r>
          </w:p>
        </w:tc>
      </w:tr>
      <w:tr w14:paraId="78E7F1B0">
        <w:tblPrEx>
          <w:tblCellMar>
            <w:top w:w="0" w:type="dxa"/>
            <w:left w:w="108" w:type="dxa"/>
            <w:bottom w:w="0" w:type="dxa"/>
            <w:right w:w="108" w:type="dxa"/>
          </w:tblCellMar>
        </w:tblPrEx>
        <w:trPr>
          <w:trHeight w:val="301"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12756A25">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2</w:t>
            </w:r>
          </w:p>
        </w:tc>
        <w:tc>
          <w:tcPr>
            <w:tcW w:w="4342" w:type="dxa"/>
            <w:tcBorders>
              <w:top w:val="single" w:color="000000" w:sz="6" w:space="0"/>
              <w:left w:val="single" w:color="0D0E00" w:sz="6" w:space="0"/>
              <w:bottom w:val="single" w:color="000000" w:sz="6" w:space="0"/>
              <w:right w:val="single" w:color="000000" w:sz="6" w:space="0"/>
            </w:tcBorders>
            <w:vAlign w:val="center"/>
          </w:tcPr>
          <w:p w14:paraId="6C82580F">
            <w:pPr>
              <w:rPr>
                <w:rFonts w:hint="eastAsia" w:ascii="宋体" w:hAnsi="宋体" w:eastAsia="宋体" w:cs="宋体"/>
                <w:color w:val="auto"/>
                <w:sz w:val="24"/>
                <w:szCs w:val="24"/>
              </w:rPr>
            </w:pPr>
            <w:r>
              <w:rPr>
                <w:rFonts w:hint="eastAsia" w:ascii="宋体" w:hAnsi="宋体" w:eastAsia="宋体" w:cs="宋体"/>
                <w:color w:val="auto"/>
                <w:sz w:val="24"/>
                <w:szCs w:val="24"/>
              </w:rPr>
              <w:t>粉碎工作效率</w:t>
            </w:r>
          </w:p>
        </w:tc>
        <w:tc>
          <w:tcPr>
            <w:tcW w:w="4008" w:type="dxa"/>
            <w:tcBorders>
              <w:top w:val="single" w:color="000000" w:sz="6" w:space="0"/>
              <w:left w:val="single" w:color="000000" w:sz="6" w:space="0"/>
              <w:bottom w:val="single" w:color="000000" w:sz="6" w:space="0"/>
              <w:right w:val="single" w:color="000000" w:sz="6" w:space="0"/>
            </w:tcBorders>
            <w:vAlign w:val="center"/>
          </w:tcPr>
          <w:p w14:paraId="6455F174">
            <w:pPr>
              <w:rPr>
                <w:rFonts w:hint="eastAsia" w:ascii="宋体" w:hAnsi="宋体" w:eastAsia="宋体" w:cs="宋体"/>
                <w:color w:val="auto"/>
                <w:sz w:val="24"/>
                <w:szCs w:val="24"/>
              </w:rPr>
            </w:pPr>
            <w:r>
              <w:rPr>
                <w:rFonts w:hint="eastAsia" w:ascii="宋体" w:hAnsi="宋体" w:eastAsia="宋体" w:cs="宋体"/>
                <w:color w:val="auto"/>
                <w:sz w:val="24"/>
                <w:szCs w:val="24"/>
              </w:rPr>
              <w:t>≥8吨/小时</w:t>
            </w:r>
          </w:p>
        </w:tc>
      </w:tr>
      <w:tr w14:paraId="01FA3477">
        <w:tblPrEx>
          <w:tblCellMar>
            <w:top w:w="0" w:type="dxa"/>
            <w:left w:w="108" w:type="dxa"/>
            <w:bottom w:w="0" w:type="dxa"/>
            <w:right w:w="108" w:type="dxa"/>
          </w:tblCellMar>
        </w:tblPrEx>
        <w:trPr>
          <w:trHeight w:val="1260"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77871EE6">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3</w:t>
            </w:r>
          </w:p>
        </w:tc>
        <w:tc>
          <w:tcPr>
            <w:tcW w:w="4342" w:type="dxa"/>
            <w:tcBorders>
              <w:top w:val="single" w:color="000000" w:sz="6" w:space="0"/>
              <w:left w:val="single" w:color="0D0E00" w:sz="6" w:space="0"/>
              <w:bottom w:val="single" w:color="000000" w:sz="6" w:space="0"/>
              <w:right w:val="single" w:color="000000" w:sz="6" w:space="0"/>
            </w:tcBorders>
            <w:vAlign w:val="center"/>
          </w:tcPr>
          <w:p w14:paraId="47A081F4">
            <w:pPr>
              <w:rPr>
                <w:rFonts w:hint="eastAsia" w:ascii="宋体" w:hAnsi="宋体" w:eastAsia="宋体" w:cs="宋体"/>
                <w:color w:val="auto"/>
                <w:sz w:val="24"/>
                <w:szCs w:val="24"/>
              </w:rPr>
            </w:pPr>
            <w:r>
              <w:rPr>
                <w:rFonts w:hint="eastAsia" w:ascii="宋体" w:hAnsi="宋体" w:eastAsia="宋体" w:cs="宋体"/>
                <w:color w:val="auto"/>
                <w:sz w:val="24"/>
                <w:szCs w:val="24"/>
              </w:rPr>
              <w:t>主轴自润滑系统</w:t>
            </w:r>
          </w:p>
        </w:tc>
        <w:tc>
          <w:tcPr>
            <w:tcW w:w="4008" w:type="dxa"/>
            <w:tcBorders>
              <w:top w:val="single" w:color="000000" w:sz="6" w:space="0"/>
              <w:left w:val="single" w:color="000000" w:sz="6" w:space="0"/>
              <w:bottom w:val="single" w:color="000000" w:sz="6" w:space="0"/>
              <w:right w:val="single" w:color="000000" w:sz="6" w:space="0"/>
            </w:tcBorders>
            <w:vAlign w:val="center"/>
          </w:tcPr>
          <w:p w14:paraId="473F2A69">
            <w:pPr>
              <w:rPr>
                <w:rFonts w:hint="eastAsia" w:ascii="宋体" w:hAnsi="宋体" w:eastAsia="宋体" w:cs="宋体"/>
                <w:color w:val="auto"/>
                <w:sz w:val="24"/>
                <w:szCs w:val="24"/>
              </w:rPr>
            </w:pPr>
            <w:r>
              <w:rPr>
                <w:rFonts w:hint="eastAsia" w:ascii="宋体" w:hAnsi="宋体" w:eastAsia="宋体" w:cs="宋体"/>
                <w:color w:val="auto"/>
                <w:sz w:val="24"/>
                <w:szCs w:val="24"/>
              </w:rPr>
              <w:t>智能润滑控制系统，定时定量自动给主轴轴承润滑，从而排除使用单位不能按时维护保养而导致主轴损坏的风险</w:t>
            </w:r>
          </w:p>
        </w:tc>
      </w:tr>
      <w:tr w14:paraId="786DDE59">
        <w:tblPrEx>
          <w:tblCellMar>
            <w:top w:w="0" w:type="dxa"/>
            <w:left w:w="108" w:type="dxa"/>
            <w:bottom w:w="0" w:type="dxa"/>
            <w:right w:w="108" w:type="dxa"/>
          </w:tblCellMar>
        </w:tblPrEx>
        <w:trPr>
          <w:trHeight w:val="641"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310A5651">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4</w:t>
            </w:r>
          </w:p>
        </w:tc>
        <w:tc>
          <w:tcPr>
            <w:tcW w:w="4342" w:type="dxa"/>
            <w:tcBorders>
              <w:top w:val="single" w:color="000000" w:sz="6" w:space="0"/>
              <w:left w:val="single" w:color="0D0E00" w:sz="6" w:space="0"/>
              <w:bottom w:val="single" w:color="000000" w:sz="6" w:space="0"/>
              <w:right w:val="single" w:color="000000" w:sz="6" w:space="0"/>
            </w:tcBorders>
            <w:vAlign w:val="center"/>
          </w:tcPr>
          <w:p w14:paraId="174757BE">
            <w:pPr>
              <w:rPr>
                <w:rFonts w:hint="eastAsia" w:ascii="宋体" w:hAnsi="宋体" w:eastAsia="宋体" w:cs="宋体"/>
                <w:color w:val="auto"/>
                <w:sz w:val="24"/>
                <w:szCs w:val="24"/>
              </w:rPr>
            </w:pPr>
            <w:r>
              <w:rPr>
                <w:rFonts w:hint="eastAsia" w:ascii="宋体" w:hAnsi="宋体" w:eastAsia="宋体" w:cs="宋体"/>
                <w:color w:val="auto"/>
                <w:sz w:val="24"/>
                <w:szCs w:val="24"/>
              </w:rPr>
              <w:t>刀辊主轴轴承</w:t>
            </w:r>
          </w:p>
        </w:tc>
        <w:tc>
          <w:tcPr>
            <w:tcW w:w="4008" w:type="dxa"/>
            <w:tcBorders>
              <w:top w:val="single" w:color="000000" w:sz="6" w:space="0"/>
              <w:left w:val="single" w:color="000000" w:sz="6" w:space="0"/>
              <w:bottom w:val="single" w:color="000000" w:sz="6" w:space="0"/>
              <w:right w:val="single" w:color="000000" w:sz="6" w:space="0"/>
            </w:tcBorders>
            <w:vAlign w:val="center"/>
          </w:tcPr>
          <w:p w14:paraId="70FBB9FC">
            <w:pPr>
              <w:rPr>
                <w:rFonts w:hint="eastAsia" w:ascii="宋体" w:hAnsi="宋体" w:eastAsia="宋体" w:cs="宋体"/>
                <w:color w:val="auto"/>
                <w:sz w:val="24"/>
                <w:szCs w:val="24"/>
              </w:rPr>
            </w:pPr>
            <w:r>
              <w:rPr>
                <w:rFonts w:hint="eastAsia" w:ascii="宋体" w:hAnsi="宋体" w:eastAsia="宋体" w:cs="宋体"/>
                <w:color w:val="auto"/>
                <w:sz w:val="24"/>
                <w:szCs w:val="24"/>
              </w:rPr>
              <w:t>温升不大于40℃，最高温度不超过70℃</w:t>
            </w:r>
          </w:p>
        </w:tc>
      </w:tr>
      <w:tr w14:paraId="38B29865">
        <w:tblPrEx>
          <w:tblCellMar>
            <w:top w:w="0" w:type="dxa"/>
            <w:left w:w="108" w:type="dxa"/>
            <w:bottom w:w="0" w:type="dxa"/>
            <w:right w:w="108" w:type="dxa"/>
          </w:tblCellMar>
        </w:tblPrEx>
        <w:trPr>
          <w:trHeight w:val="497" w:hRule="exact"/>
        </w:trPr>
        <w:tc>
          <w:tcPr>
            <w:tcW w:w="813" w:type="dxa"/>
            <w:tcBorders>
              <w:top w:val="single" w:color="000000" w:sz="6" w:space="0"/>
              <w:left w:val="single" w:color="000000" w:sz="6" w:space="0"/>
              <w:bottom w:val="single" w:color="000000" w:sz="6" w:space="0"/>
              <w:right w:val="single" w:color="0D0E00" w:sz="6" w:space="0"/>
            </w:tcBorders>
            <w:vAlign w:val="center"/>
          </w:tcPr>
          <w:p w14:paraId="61B94A10">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5</w:t>
            </w:r>
          </w:p>
        </w:tc>
        <w:tc>
          <w:tcPr>
            <w:tcW w:w="4342" w:type="dxa"/>
            <w:tcBorders>
              <w:top w:val="single" w:color="000000" w:sz="6" w:space="0"/>
              <w:left w:val="single" w:color="0D0E00" w:sz="6" w:space="0"/>
              <w:bottom w:val="single" w:color="000000" w:sz="6" w:space="0"/>
              <w:right w:val="single" w:color="000000" w:sz="6" w:space="0"/>
            </w:tcBorders>
            <w:vAlign w:val="center"/>
          </w:tcPr>
          <w:p w14:paraId="7A7FA8E7">
            <w:pPr>
              <w:rPr>
                <w:rFonts w:hint="eastAsia" w:ascii="宋体" w:hAnsi="宋体" w:eastAsia="宋体" w:cs="宋体"/>
                <w:color w:val="auto"/>
                <w:sz w:val="24"/>
                <w:szCs w:val="24"/>
              </w:rPr>
            </w:pPr>
            <w:r>
              <w:rPr>
                <w:rFonts w:hint="eastAsia" w:ascii="宋体" w:hAnsi="宋体" w:eastAsia="宋体" w:cs="宋体"/>
                <w:color w:val="auto"/>
                <w:sz w:val="24"/>
                <w:szCs w:val="24"/>
              </w:rPr>
              <w:t>碎化率</w:t>
            </w:r>
          </w:p>
        </w:tc>
        <w:tc>
          <w:tcPr>
            <w:tcW w:w="4008" w:type="dxa"/>
            <w:tcBorders>
              <w:top w:val="single" w:color="000000" w:sz="6" w:space="0"/>
              <w:left w:val="single" w:color="000000" w:sz="6" w:space="0"/>
              <w:bottom w:val="single" w:color="000000" w:sz="6" w:space="0"/>
              <w:right w:val="single" w:color="000000" w:sz="6" w:space="0"/>
            </w:tcBorders>
            <w:vAlign w:val="center"/>
          </w:tcPr>
          <w:p w14:paraId="3B79B87E">
            <w:pPr>
              <w:rPr>
                <w:rFonts w:hint="eastAsia" w:ascii="宋体" w:hAnsi="宋体" w:eastAsia="宋体" w:cs="宋体"/>
                <w:color w:val="auto"/>
                <w:sz w:val="24"/>
                <w:szCs w:val="24"/>
              </w:rPr>
            </w:pPr>
            <w:r>
              <w:rPr>
                <w:rFonts w:hint="eastAsia" w:ascii="宋体" w:hAnsi="宋体" w:eastAsia="宋体" w:cs="宋体"/>
                <w:color w:val="auto"/>
                <w:sz w:val="24"/>
                <w:szCs w:val="24"/>
              </w:rPr>
              <w:t>50mm以下颗粒一次碎化率97%</w:t>
            </w:r>
          </w:p>
        </w:tc>
      </w:tr>
    </w:tbl>
    <w:p w14:paraId="3E3158B6">
      <w:pPr>
        <w:pStyle w:val="24"/>
        <w:numPr>
          <w:ilvl w:val="0"/>
          <w:numId w:val="0"/>
        </w:numPr>
        <w:rPr>
          <w:rFonts w:hint="eastAsia" w:ascii="宋体" w:hAnsi="宋体" w:eastAsia="宋体" w:cs="宋体"/>
          <w:sz w:val="28"/>
          <w:szCs w:val="28"/>
        </w:rPr>
      </w:pPr>
      <w:r>
        <w:rPr>
          <w:rFonts w:hint="eastAsia" w:ascii="宋体" w:hAnsi="宋体" w:cs="宋体"/>
          <w:sz w:val="28"/>
          <w:szCs w:val="28"/>
          <w:lang w:val="en-US" w:eastAsia="zh-CN"/>
        </w:rPr>
        <w:t>三、</w:t>
      </w:r>
      <w:r>
        <w:rPr>
          <w:rFonts w:hint="eastAsia" w:ascii="宋体" w:hAnsi="宋体" w:eastAsia="宋体" w:cs="宋体"/>
          <w:sz w:val="28"/>
          <w:szCs w:val="28"/>
        </w:rPr>
        <w:t>其他要求</w:t>
      </w:r>
    </w:p>
    <w:p w14:paraId="42B26BD5">
      <w:pPr>
        <w:pStyle w:val="26"/>
        <w:numPr>
          <w:ilvl w:val="0"/>
          <w:numId w:val="5"/>
        </w:numPr>
        <w:spacing w:line="400" w:lineRule="exact"/>
        <w:ind w:firstLineChars="0"/>
        <w:rPr>
          <w:rFonts w:hint="eastAsia" w:ascii="宋体" w:hAnsi="宋体" w:eastAsia="宋体" w:cs="宋体"/>
          <w:sz w:val="24"/>
          <w:szCs w:val="24"/>
        </w:rPr>
      </w:pPr>
      <w:r>
        <w:rPr>
          <w:rFonts w:hint="eastAsia" w:ascii="宋体" w:hAnsi="宋体" w:eastAsia="宋体" w:cs="宋体"/>
          <w:sz w:val="24"/>
          <w:szCs w:val="24"/>
        </w:rPr>
        <w:t>本项目不接受进口产品，所有配件国内生产制造。</w:t>
      </w:r>
    </w:p>
    <w:p w14:paraId="31932797">
      <w:pPr>
        <w:pStyle w:val="25"/>
        <w:spacing w:line="360" w:lineRule="auto"/>
        <w:ind w:left="0" w:firstLine="0"/>
        <w:rPr>
          <w:rFonts w:hint="eastAsia" w:ascii="宋体" w:hAnsi="宋体" w:eastAsia="宋体" w:cs="宋体"/>
          <w:sz w:val="24"/>
        </w:rPr>
      </w:pPr>
      <w:r>
        <w:rPr>
          <w:rFonts w:hint="eastAsia" w:ascii="宋体" w:hAnsi="宋体" w:eastAsia="宋体" w:cs="宋体"/>
          <w:sz w:val="24"/>
        </w:rPr>
        <w:t>2、所有响应产品的生产、制造、安装等各项技术标准应当符合国家（强制性）标准、各项规范要求；国家没有相应标准、规范的，可使用行业标准、规定。</w:t>
      </w:r>
    </w:p>
    <w:p w14:paraId="0828831E">
      <w:pPr>
        <w:tabs>
          <w:tab w:val="left" w:pos="567"/>
        </w:tabs>
        <w:spacing w:line="360" w:lineRule="auto"/>
        <w:rPr>
          <w:rFonts w:hint="eastAsia" w:ascii="宋体" w:hAnsi="宋体" w:eastAsia="宋体" w:cs="宋体"/>
          <w:sz w:val="24"/>
          <w:szCs w:val="24"/>
        </w:rPr>
      </w:pPr>
      <w:r>
        <w:rPr>
          <w:rFonts w:hint="eastAsia" w:ascii="宋体" w:hAnsi="宋体" w:eastAsia="宋体" w:cs="宋体"/>
          <w:sz w:val="24"/>
          <w:szCs w:val="24"/>
        </w:rPr>
        <w:t>提供相同品牌产品且通过资格审查、符合性审查的不同投标人参加同一合同项下投标的，按一家投标人计算，由报价最低的投标人获得成交资格；如报价也相同，则采取随机抽取方式确定。非单一产品采购项目，多家投标人提供的核心产品（标注）品牌相同的，按上述规定处理供应商须说明在生产安装过程中，所采用的主要配件的名称及制造厂家，并提供相应的技术说明书。</w:t>
      </w:r>
    </w:p>
    <w:p w14:paraId="7DCA16B2">
      <w:pPr>
        <w:tabs>
          <w:tab w:val="left" w:pos="567"/>
        </w:tabs>
        <w:spacing w:line="360" w:lineRule="auto"/>
        <w:rPr>
          <w:rFonts w:hint="eastAsia" w:ascii="宋体" w:hAnsi="宋体" w:eastAsia="宋体" w:cs="宋体"/>
          <w:sz w:val="24"/>
        </w:rPr>
      </w:pPr>
      <w:r>
        <w:rPr>
          <w:rFonts w:hint="eastAsia" w:ascii="宋体" w:hAnsi="宋体" w:eastAsia="宋体" w:cs="宋体"/>
          <w:sz w:val="24"/>
          <w:szCs w:val="24"/>
        </w:rPr>
        <w:t>3、</w:t>
      </w:r>
      <w:r>
        <w:rPr>
          <w:rFonts w:hint="eastAsia" w:ascii="宋体" w:hAnsi="宋体" w:eastAsia="宋体" w:cs="宋体"/>
          <w:sz w:val="24"/>
        </w:rPr>
        <w:t>产品必须完全符合采购产品规定的质量、规格和性能的要求，响应供应商应保证其提供的产品在正确安装、正常使用和保养条件下，在规定的使用寿命期内具有满意的性能。</w:t>
      </w:r>
    </w:p>
    <w:p w14:paraId="7C8C12C9">
      <w:pPr>
        <w:pStyle w:val="25"/>
        <w:numPr>
          <w:ilvl w:val="0"/>
          <w:numId w:val="6"/>
        </w:numPr>
        <w:spacing w:line="360" w:lineRule="auto"/>
        <w:rPr>
          <w:rFonts w:hint="eastAsia" w:ascii="宋体" w:hAnsi="宋体" w:eastAsia="宋体" w:cs="宋体"/>
          <w:sz w:val="24"/>
        </w:rPr>
      </w:pPr>
      <w:r>
        <w:rPr>
          <w:rFonts w:hint="eastAsia" w:ascii="宋体" w:hAnsi="宋体" w:eastAsia="宋体" w:cs="宋体"/>
          <w:sz w:val="24"/>
        </w:rPr>
        <w:t>供应商响应的产品必须明确具体的规格及参数，且必须达到上述的技术指标。</w:t>
      </w:r>
    </w:p>
    <w:p w14:paraId="55529EF2">
      <w:pPr>
        <w:pStyle w:val="25"/>
        <w:numPr>
          <w:ilvl w:val="0"/>
          <w:numId w:val="6"/>
        </w:numPr>
        <w:spacing w:line="360" w:lineRule="auto"/>
        <w:ind w:left="0" w:firstLine="0"/>
        <w:rPr>
          <w:rFonts w:hint="eastAsia" w:ascii="宋体" w:hAnsi="宋体" w:eastAsia="宋体" w:cs="宋体"/>
          <w:sz w:val="24"/>
        </w:rPr>
      </w:pPr>
      <w:r>
        <w:rPr>
          <w:rFonts w:hint="eastAsia" w:ascii="宋体" w:hAnsi="宋体" w:eastAsia="宋体" w:cs="宋体"/>
          <w:sz w:val="24"/>
        </w:rPr>
        <w:t>成交供应商负责保管、看护进场的设备及附配件。成交供应商应对设备、安装设备（工具）等提供适当的保护、包装或覆盖等处理，以免受损。</w:t>
      </w:r>
    </w:p>
    <w:p w14:paraId="0CCF2D5E">
      <w:pPr>
        <w:pStyle w:val="25"/>
        <w:numPr>
          <w:ilvl w:val="0"/>
          <w:numId w:val="7"/>
        </w:numPr>
        <w:spacing w:line="360" w:lineRule="auto"/>
        <w:rPr>
          <w:rFonts w:hint="eastAsia" w:ascii="宋体" w:hAnsi="宋体" w:eastAsia="宋体" w:cs="宋体"/>
          <w:sz w:val="24"/>
        </w:rPr>
      </w:pPr>
      <w:r>
        <w:rPr>
          <w:rFonts w:hint="eastAsia" w:ascii="宋体" w:hAnsi="宋体" w:eastAsia="宋体" w:cs="宋体"/>
          <w:sz w:val="24"/>
        </w:rPr>
        <w:t>无论安装调试期间或保修过程中，成交供应商负责及时清理垃圾。</w:t>
      </w:r>
    </w:p>
    <w:p w14:paraId="5162D880">
      <w:pPr>
        <w:pStyle w:val="25"/>
        <w:numPr>
          <w:ilvl w:val="0"/>
          <w:numId w:val="7"/>
        </w:numPr>
        <w:spacing w:line="360" w:lineRule="auto"/>
        <w:ind w:left="0" w:firstLine="0"/>
        <w:rPr>
          <w:rFonts w:hint="eastAsia" w:ascii="宋体" w:hAnsi="宋体" w:eastAsia="宋体" w:cs="宋体"/>
          <w:sz w:val="24"/>
        </w:rPr>
      </w:pPr>
      <w:r>
        <w:rPr>
          <w:rFonts w:hint="eastAsia" w:ascii="宋体" w:hAnsi="宋体" w:eastAsia="宋体" w:cs="宋体"/>
          <w:sz w:val="24"/>
        </w:rPr>
        <w:t>成交供应商承担安装调试期间安装场所的安全以及设备和安装调试人员的安全责任。</w:t>
      </w:r>
    </w:p>
    <w:p w14:paraId="3A111120">
      <w:pPr>
        <w:pStyle w:val="25"/>
        <w:numPr>
          <w:ilvl w:val="0"/>
          <w:numId w:val="7"/>
        </w:numPr>
        <w:spacing w:line="360" w:lineRule="auto"/>
        <w:ind w:left="0" w:firstLine="0"/>
        <w:rPr>
          <w:rFonts w:hint="eastAsia" w:ascii="宋体" w:hAnsi="宋体" w:eastAsia="宋体" w:cs="宋体"/>
          <w:sz w:val="24"/>
        </w:rPr>
      </w:pPr>
      <w:r>
        <w:rPr>
          <w:rFonts w:hint="eastAsia" w:ascii="宋体" w:hAnsi="宋体" w:eastAsia="宋体" w:cs="宋体"/>
          <w:sz w:val="24"/>
        </w:rPr>
        <w:t>成交供应商设备到达安装现场，应提前通知采购方，安装前开箱查验由成交供应商会同采购方及有关人员根据有关清单进行验收。</w:t>
      </w:r>
    </w:p>
    <w:p w14:paraId="596A29A2">
      <w:pPr>
        <w:pStyle w:val="25"/>
        <w:numPr>
          <w:ilvl w:val="0"/>
          <w:numId w:val="0"/>
        </w:numPr>
        <w:spacing w:line="360" w:lineRule="auto"/>
        <w:ind w:leftChars="0"/>
        <w:rPr>
          <w:rFonts w:hint="eastAsia" w:ascii="宋体" w:hAnsi="宋体" w:eastAsia="宋体" w:cs="宋体"/>
          <w:sz w:val="24"/>
        </w:rPr>
      </w:pPr>
      <w:r>
        <w:rPr>
          <w:rFonts w:hint="eastAsia" w:ascii="宋体" w:hAnsi="宋体" w:cs="宋体"/>
          <w:sz w:val="24"/>
          <w:lang w:val="en-US" w:eastAsia="zh-CN"/>
        </w:rPr>
        <w:t>10、</w:t>
      </w:r>
      <w:r>
        <w:rPr>
          <w:rFonts w:hint="eastAsia" w:ascii="宋体" w:hAnsi="宋体" w:eastAsia="宋体" w:cs="宋体"/>
          <w:sz w:val="24"/>
        </w:rPr>
        <w:t>安装前验收：安装开始前，成交供应商应委派项目负责人与采购单位代表根据所提供的设备、材料装箱清单共同对设备进行开箱验收，进行确认。一旦清单与采购要求不符或发现缺损、不实，成交供应商须立即予以更换，有关费用全部有成交供应商承担。</w:t>
      </w:r>
    </w:p>
    <w:p w14:paraId="50FC07EA">
      <w:pPr>
        <w:pStyle w:val="25"/>
        <w:numPr>
          <w:ilvl w:val="0"/>
          <w:numId w:val="0"/>
        </w:numPr>
        <w:spacing w:line="360" w:lineRule="auto"/>
        <w:ind w:leftChars="0"/>
        <w:rPr>
          <w:rFonts w:hint="eastAsia" w:ascii="宋体" w:hAnsi="宋体" w:eastAsia="宋体" w:cs="宋体"/>
          <w:sz w:val="24"/>
        </w:rPr>
      </w:pPr>
      <w:r>
        <w:rPr>
          <w:rFonts w:hint="eastAsia" w:ascii="宋体" w:hAnsi="宋体" w:cs="宋体"/>
          <w:sz w:val="24"/>
          <w:lang w:val="en-US" w:eastAsia="zh-CN"/>
        </w:rPr>
        <w:t>11、</w:t>
      </w:r>
      <w:r>
        <w:rPr>
          <w:rFonts w:hint="eastAsia" w:ascii="宋体" w:hAnsi="宋体" w:eastAsia="宋体" w:cs="宋体"/>
          <w:sz w:val="24"/>
        </w:rPr>
        <w:t>设备安装调试完成后，成交供应商需提供设备质保书、保修证明等书面资料。</w:t>
      </w:r>
    </w:p>
    <w:p w14:paraId="1FF534A6">
      <w:pPr>
        <w:rPr>
          <w:rFonts w:hint="default" w:ascii="Times New Roman" w:hAnsi="Times New Roman" w:cs="Times New Roman"/>
          <w:sz w:val="36"/>
          <w:szCs w:val="24"/>
          <w:lang w:val="en-US" w:eastAsia="zh-CN"/>
        </w:rPr>
      </w:pPr>
      <w:bookmarkStart w:id="348" w:name="_Toc25606"/>
      <w:r>
        <w:rPr>
          <w:rFonts w:hint="eastAsia" w:hAnsi="宋体"/>
          <w:sz w:val="36"/>
          <w:szCs w:val="24"/>
          <w:lang w:val="en-US" w:eastAsia="zh-CN"/>
        </w:rPr>
        <w:br w:type="page"/>
      </w:r>
    </w:p>
    <w:p w14:paraId="1BCA0A2A">
      <w:pPr>
        <w:pStyle w:val="3"/>
        <w:adjustRightInd w:val="0"/>
        <w:snapToGrid w:val="0"/>
        <w:spacing w:before="156" w:beforeLines="50" w:line="560" w:lineRule="exact"/>
        <w:rPr>
          <w:rFonts w:hint="eastAsia" w:hAnsi="宋体"/>
          <w:sz w:val="36"/>
          <w:szCs w:val="24"/>
          <w:lang w:val="en-US" w:eastAsia="zh-CN"/>
        </w:rPr>
      </w:pPr>
      <w:r>
        <w:rPr>
          <w:rFonts w:hint="eastAsia" w:hAnsi="宋体"/>
          <w:sz w:val="36"/>
          <w:szCs w:val="24"/>
          <w:lang w:val="en-US" w:eastAsia="zh-CN"/>
        </w:rPr>
        <w:t>第五部分 谈判响应文件格式</w:t>
      </w:r>
      <w:bookmarkEnd w:id="348"/>
    </w:p>
    <w:bookmarkEnd w:id="344"/>
    <w:bookmarkEnd w:id="345"/>
    <w:bookmarkEnd w:id="346"/>
    <w:bookmarkEnd w:id="347"/>
    <w:p w14:paraId="5B33CB60">
      <w:pPr>
        <w:rPr>
          <w:rFonts w:hint="eastAsia"/>
        </w:rPr>
      </w:pPr>
      <w:bookmarkStart w:id="349" w:name="_Toc11918"/>
      <w:bookmarkStart w:id="350" w:name="_Toc1684_WPSOffice_Level2"/>
      <w:bookmarkStart w:id="351" w:name="_Toc5252_WPSOffice_Level2"/>
      <w:bookmarkStart w:id="352" w:name="_Toc14930_WPSOffice_Level2"/>
    </w:p>
    <w:p w14:paraId="50E948F0">
      <w:pPr>
        <w:rPr>
          <w:rFonts w:hint="eastAsia"/>
        </w:rPr>
      </w:pPr>
    </w:p>
    <w:p w14:paraId="36AB2B12">
      <w:pPr>
        <w:rPr>
          <w:rFonts w:hint="eastAsia"/>
        </w:rPr>
      </w:pPr>
    </w:p>
    <w:p w14:paraId="7F861034">
      <w:pPr>
        <w:rPr>
          <w:rFonts w:hint="eastAsia"/>
        </w:rPr>
      </w:pPr>
    </w:p>
    <w:p w14:paraId="656F7A3C">
      <w:pPr>
        <w:rPr>
          <w:rFonts w:hint="eastAsia"/>
        </w:rPr>
      </w:pPr>
    </w:p>
    <w:p w14:paraId="7A2E9DB6">
      <w:pPr>
        <w:rPr>
          <w:rFonts w:hint="eastAsia"/>
        </w:rPr>
      </w:pPr>
    </w:p>
    <w:p w14:paraId="105E9B40">
      <w:pPr>
        <w:rPr>
          <w:rFonts w:hint="eastAsia"/>
        </w:rPr>
      </w:pPr>
    </w:p>
    <w:bookmarkEnd w:id="349"/>
    <w:bookmarkEnd w:id="350"/>
    <w:bookmarkEnd w:id="351"/>
    <w:bookmarkEnd w:id="352"/>
    <w:p w14:paraId="2EFBB6F1">
      <w:pPr>
        <w:rPr>
          <w:rFonts w:hint="eastAsia"/>
        </w:rPr>
      </w:pPr>
      <w:bookmarkStart w:id="353" w:name="_Toc28269_WPSOffice_Level3"/>
    </w:p>
    <w:p w14:paraId="6E98AB67">
      <w:pPr>
        <w:spacing w:before="156" w:beforeLines="50" w:line="560" w:lineRule="exact"/>
        <w:jc w:val="center"/>
        <w:rPr>
          <w:rFonts w:hint="eastAsia" w:asciiTheme="minorEastAsia" w:hAnsiTheme="minorEastAsia" w:eastAsiaTheme="minorEastAsia" w:cstheme="minorEastAsia"/>
          <w:b/>
          <w:sz w:val="52"/>
          <w:szCs w:val="52"/>
        </w:rPr>
      </w:pPr>
      <w:bookmarkStart w:id="354" w:name="_Toc31682_WPSOffice_Level2"/>
      <w:bookmarkStart w:id="355" w:name="_Toc10997_WPSOffice_Level2"/>
      <w:r>
        <w:rPr>
          <w:rFonts w:hint="eastAsia" w:asciiTheme="minorEastAsia" w:hAnsiTheme="minorEastAsia" w:eastAsiaTheme="minorEastAsia" w:cstheme="minorEastAsia"/>
          <w:b/>
          <w:sz w:val="52"/>
          <w:szCs w:val="52"/>
        </w:rPr>
        <w:t>青海省政府采购项目</w:t>
      </w:r>
      <w:bookmarkEnd w:id="353"/>
      <w:bookmarkEnd w:id="354"/>
      <w:bookmarkEnd w:id="355"/>
    </w:p>
    <w:p w14:paraId="2D54EC5C">
      <w:pPr>
        <w:spacing w:before="156" w:beforeLines="50" w:line="560" w:lineRule="exact"/>
        <w:jc w:val="center"/>
        <w:rPr>
          <w:rFonts w:hint="eastAsia" w:asciiTheme="minorEastAsia" w:hAnsiTheme="minorEastAsia" w:eastAsiaTheme="minorEastAsia" w:cstheme="minorEastAsia"/>
          <w:b/>
          <w:sz w:val="52"/>
          <w:szCs w:val="52"/>
        </w:rPr>
      </w:pPr>
      <w:bookmarkStart w:id="356" w:name="_Toc25378_WPSOffice_Level2"/>
      <w:bookmarkStart w:id="357" w:name="_Toc23622_WPSOffice_Level2"/>
      <w:r>
        <w:rPr>
          <w:rFonts w:hint="eastAsia" w:asciiTheme="minorEastAsia" w:hAnsiTheme="minorEastAsia" w:eastAsiaTheme="minorEastAsia" w:cstheme="minorEastAsia"/>
          <w:b/>
          <w:sz w:val="52"/>
          <w:szCs w:val="52"/>
        </w:rPr>
        <w:t>谈判响应文件</w:t>
      </w:r>
      <w:bookmarkEnd w:id="356"/>
      <w:bookmarkEnd w:id="357"/>
    </w:p>
    <w:p w14:paraId="3B0B4808">
      <w:pPr>
        <w:adjustRightInd w:val="0"/>
        <w:spacing w:before="156" w:beforeLines="50" w:line="560" w:lineRule="exact"/>
        <w:ind w:firstLine="3052" w:firstLineChars="950"/>
        <w:textAlignment w:val="baseline"/>
        <w:rPr>
          <w:rFonts w:hint="eastAsia" w:asciiTheme="minorEastAsia" w:hAnsiTheme="minorEastAsia" w:eastAsiaTheme="minorEastAsia" w:cstheme="minorEastAsia"/>
          <w:b/>
          <w:bCs/>
          <w:sz w:val="32"/>
          <w:szCs w:val="32"/>
        </w:rPr>
      </w:pPr>
      <w:bookmarkStart w:id="358" w:name="_Toc28825_WPSOffice_Level2"/>
      <w:bookmarkStart w:id="359" w:name="_Toc13231_WPSOffice_Level2"/>
    </w:p>
    <w:bookmarkEnd w:id="358"/>
    <w:bookmarkEnd w:id="359"/>
    <w:p w14:paraId="67AEAB9B">
      <w:pPr>
        <w:adjustRightInd w:val="0"/>
        <w:spacing w:before="156" w:beforeLines="50" w:line="560" w:lineRule="exact"/>
        <w:ind w:firstLine="3052" w:firstLineChars="950"/>
        <w:textAlignment w:val="baseline"/>
        <w:rPr>
          <w:rFonts w:hint="eastAsia" w:asciiTheme="minorEastAsia" w:hAnsiTheme="minorEastAsia" w:eastAsiaTheme="minorEastAsia" w:cstheme="minorEastAsia"/>
          <w:b/>
          <w:bCs/>
          <w:sz w:val="32"/>
          <w:szCs w:val="32"/>
        </w:rPr>
      </w:pPr>
    </w:p>
    <w:p w14:paraId="4025A7F3">
      <w:pPr>
        <w:adjustRightInd w:val="0"/>
        <w:spacing w:before="156" w:beforeLines="50" w:line="560" w:lineRule="exact"/>
        <w:textAlignment w:val="baseline"/>
        <w:rPr>
          <w:rFonts w:hint="eastAsia" w:asciiTheme="minorEastAsia" w:hAnsiTheme="minorEastAsia" w:eastAsiaTheme="minorEastAsia" w:cstheme="minorEastAsia"/>
          <w:b/>
          <w:bCs/>
          <w:sz w:val="32"/>
          <w:szCs w:val="32"/>
        </w:rPr>
      </w:pPr>
    </w:p>
    <w:p w14:paraId="710877BE">
      <w:pPr>
        <w:adjustRightInd w:val="0"/>
        <w:spacing w:before="156" w:beforeLines="50" w:line="560" w:lineRule="exact"/>
        <w:textAlignment w:val="baseline"/>
        <w:rPr>
          <w:rFonts w:hint="eastAsia" w:asciiTheme="minorEastAsia" w:hAnsiTheme="minorEastAsia" w:eastAsiaTheme="minorEastAsia" w:cstheme="minorEastAsia"/>
          <w:b/>
          <w:bCs/>
          <w:sz w:val="32"/>
          <w:szCs w:val="32"/>
        </w:rPr>
      </w:pPr>
    </w:p>
    <w:p w14:paraId="33AF6C75">
      <w:pPr>
        <w:adjustRightInd w:val="0"/>
        <w:spacing w:before="156" w:beforeLines="50" w:line="560" w:lineRule="exact"/>
        <w:textAlignment w:val="baseline"/>
        <w:rPr>
          <w:rFonts w:hint="eastAsia" w:asciiTheme="minorEastAsia" w:hAnsiTheme="minorEastAsia" w:eastAsiaTheme="minorEastAsia" w:cstheme="minorEastAsia"/>
          <w:b/>
          <w:bCs/>
          <w:sz w:val="32"/>
          <w:szCs w:val="32"/>
        </w:rPr>
      </w:pPr>
    </w:p>
    <w:p w14:paraId="14AE437C">
      <w:pPr>
        <w:adjustRightInd w:val="0"/>
        <w:spacing w:before="156" w:beforeLines="50" w:line="560" w:lineRule="exact"/>
        <w:textAlignment w:val="baseline"/>
        <w:rPr>
          <w:rFonts w:hint="eastAsia" w:asciiTheme="minorEastAsia" w:hAnsiTheme="minorEastAsia" w:eastAsiaTheme="minorEastAsia" w:cstheme="minorEastAsia"/>
          <w:b/>
          <w:bCs/>
          <w:sz w:val="32"/>
          <w:szCs w:val="32"/>
        </w:rPr>
      </w:pPr>
      <w:bookmarkStart w:id="360" w:name="_Toc29803_WPSOffice_Level2"/>
      <w:bookmarkStart w:id="361" w:name="_Toc19521_WPSOffice_Level2"/>
      <w:r>
        <w:rPr>
          <w:rFonts w:hint="eastAsia" w:asciiTheme="minorEastAsia" w:hAnsiTheme="minorEastAsia" w:eastAsiaTheme="minorEastAsia" w:cstheme="minorEastAsia"/>
          <w:b/>
          <w:bCs/>
          <w:sz w:val="32"/>
          <w:szCs w:val="32"/>
        </w:rPr>
        <w:t>采购项目编号:</w:t>
      </w:r>
      <w:bookmarkEnd w:id="360"/>
      <w:bookmarkEnd w:id="361"/>
    </w:p>
    <w:p w14:paraId="02F930E1">
      <w:pPr>
        <w:spacing w:before="156" w:beforeLines="50" w:line="560" w:lineRule="exact"/>
        <w:ind w:left="2249" w:hanging="2249" w:hangingChars="700"/>
        <w:jc w:val="left"/>
        <w:rPr>
          <w:rFonts w:hint="eastAsia" w:asciiTheme="minorEastAsia" w:hAnsiTheme="minorEastAsia" w:eastAsiaTheme="minorEastAsia" w:cstheme="minorEastAsia"/>
          <w:b/>
          <w:bCs/>
          <w:sz w:val="32"/>
          <w:szCs w:val="32"/>
        </w:rPr>
      </w:pPr>
      <w:bookmarkStart w:id="362" w:name="_Toc18713_WPSOffice_Level2"/>
      <w:bookmarkStart w:id="363" w:name="_Toc14786_WPSOffice_Level2"/>
      <w:r>
        <w:rPr>
          <w:rFonts w:hint="eastAsia" w:asciiTheme="minorEastAsia" w:hAnsiTheme="minorEastAsia" w:eastAsiaTheme="minorEastAsia" w:cstheme="minorEastAsia"/>
          <w:b/>
          <w:bCs/>
          <w:sz w:val="32"/>
          <w:szCs w:val="32"/>
        </w:rPr>
        <w:t>采购项目名称:</w:t>
      </w:r>
      <w:bookmarkEnd w:id="362"/>
      <w:bookmarkEnd w:id="363"/>
      <w:r>
        <w:rPr>
          <w:rFonts w:hint="eastAsia" w:asciiTheme="minorEastAsia" w:hAnsiTheme="minorEastAsia" w:eastAsiaTheme="minorEastAsia" w:cstheme="minorEastAsia"/>
          <w:b/>
          <w:bCs/>
          <w:sz w:val="32"/>
          <w:szCs w:val="32"/>
        </w:rPr>
        <w:t xml:space="preserve"> </w:t>
      </w:r>
    </w:p>
    <w:p w14:paraId="1D74E415">
      <w:pPr>
        <w:spacing w:before="156" w:beforeLines="50" w:line="560" w:lineRule="exact"/>
        <w:ind w:left="2249" w:hanging="2249" w:hangingChars="700"/>
        <w:jc w:val="left"/>
        <w:rPr>
          <w:rFonts w:hint="eastAsia" w:asciiTheme="minorEastAsia" w:hAnsiTheme="minorEastAsia" w:eastAsiaTheme="minorEastAsia" w:cstheme="minorEastAsia"/>
          <w:b/>
          <w:bCs/>
          <w:sz w:val="32"/>
          <w:szCs w:val="32"/>
        </w:rPr>
      </w:pPr>
      <w:bookmarkStart w:id="364" w:name="_Toc22044_WPSOffice_Level2"/>
      <w:bookmarkStart w:id="365" w:name="_Toc14087_WPSOffice_Level2"/>
      <w:r>
        <w:rPr>
          <w:rFonts w:hint="eastAsia" w:asciiTheme="minorEastAsia" w:hAnsiTheme="minorEastAsia" w:eastAsiaTheme="minorEastAsia" w:cstheme="minorEastAsia"/>
          <w:b/>
          <w:bCs/>
          <w:sz w:val="32"/>
          <w:szCs w:val="32"/>
        </w:rPr>
        <w:t>供应商名称：</w:t>
      </w:r>
      <w:bookmarkEnd w:id="364"/>
      <w:bookmarkEnd w:id="365"/>
    </w:p>
    <w:p w14:paraId="57D5D78B">
      <w:pPr>
        <w:spacing w:before="156" w:beforeLines="50" w:line="560" w:lineRule="exact"/>
        <w:jc w:val="center"/>
        <w:rPr>
          <w:rFonts w:hint="eastAsia" w:asciiTheme="minorEastAsia" w:hAnsiTheme="minorEastAsia" w:eastAsiaTheme="minorEastAsia" w:cstheme="minorEastAsia"/>
          <w:b/>
          <w:bCs/>
          <w:sz w:val="32"/>
          <w:szCs w:val="32"/>
        </w:rPr>
      </w:pPr>
    </w:p>
    <w:p w14:paraId="69CFE48D">
      <w:pPr>
        <w:spacing w:before="156" w:beforeLines="50" w:line="560" w:lineRule="exact"/>
        <w:jc w:val="center"/>
        <w:rPr>
          <w:rFonts w:hint="eastAsia" w:asciiTheme="minorEastAsia" w:hAnsiTheme="minorEastAsia" w:eastAsiaTheme="minorEastAsia" w:cstheme="minorEastAsia"/>
          <w:b/>
          <w:sz w:val="32"/>
          <w:szCs w:val="32"/>
        </w:rPr>
      </w:pPr>
      <w:bookmarkStart w:id="366" w:name="_Toc1142_WPSOffice_Level3"/>
      <w:r>
        <w:rPr>
          <w:rFonts w:hint="eastAsia" w:asciiTheme="minorEastAsia" w:hAnsiTheme="minorEastAsia" w:eastAsiaTheme="minorEastAsia" w:cstheme="minorEastAsia"/>
          <w:b/>
          <w:sz w:val="32"/>
          <w:szCs w:val="32"/>
        </w:rPr>
        <w:t>年  月  日</w:t>
      </w:r>
      <w:bookmarkEnd w:id="366"/>
    </w:p>
    <w:p w14:paraId="15C3F789">
      <w:pPr>
        <w:widowControl/>
        <w:snapToGrid w:val="0"/>
        <w:spacing w:before="156" w:beforeLines="50" w:line="560" w:lineRule="exact"/>
        <w:jc w:val="left"/>
        <w:rPr>
          <w:rFonts w:hint="eastAsia" w:asciiTheme="minorEastAsia" w:hAnsiTheme="minorEastAsia" w:eastAsiaTheme="minorEastAsia" w:cstheme="minorEastAsia"/>
          <w:b/>
          <w:sz w:val="28"/>
          <w:szCs w:val="28"/>
        </w:rPr>
      </w:pPr>
    </w:p>
    <w:p w14:paraId="688A3E35">
      <w:pPr>
        <w:rPr>
          <w:rFonts w:hint="eastAsia"/>
        </w:rPr>
      </w:pPr>
    </w:p>
    <w:p w14:paraId="1369C3BD">
      <w:pPr>
        <w:rPr>
          <w:rFonts w:hint="eastAsia"/>
        </w:rPr>
      </w:pPr>
    </w:p>
    <w:p w14:paraId="3E0D02A6">
      <w:pPr>
        <w:rPr>
          <w:rFonts w:hint="eastAsia"/>
        </w:rPr>
      </w:pPr>
    </w:p>
    <w:p w14:paraId="5F49CD06">
      <w:pPr>
        <w:rPr>
          <w:rFonts w:hint="eastAsia"/>
        </w:rPr>
      </w:pPr>
    </w:p>
    <w:p w14:paraId="098DA2E6">
      <w:pPr>
        <w:rPr>
          <w:rFonts w:hint="eastAsia"/>
          <w:lang w:val="zh-CN"/>
        </w:rPr>
      </w:pPr>
    </w:p>
    <w:p w14:paraId="198ECEBC">
      <w:pPr>
        <w:rPr>
          <w:rFonts w:hint="eastAsia"/>
          <w:lang w:val="zh-CN"/>
        </w:rPr>
      </w:pPr>
    </w:p>
    <w:p w14:paraId="2295BC0A">
      <w:pPr>
        <w:adjustRightInd w:val="0"/>
        <w:snapToGrid w:val="0"/>
        <w:spacing w:line="560" w:lineRule="exact"/>
        <w:jc w:val="center"/>
        <w:outlineLvl w:val="2"/>
        <w:rPr>
          <w:rFonts w:hint="eastAsia" w:hAnsi="宋体"/>
          <w:b/>
          <w:sz w:val="28"/>
          <w:szCs w:val="28"/>
          <w:lang w:val="zh-CN"/>
        </w:rPr>
      </w:pPr>
      <w:bookmarkStart w:id="367" w:name="_Toc17791"/>
      <w:bookmarkStart w:id="368" w:name="_Toc12557"/>
      <w:r>
        <w:rPr>
          <w:rFonts w:hint="eastAsia" w:hAnsi="宋体"/>
          <w:b/>
          <w:sz w:val="28"/>
          <w:szCs w:val="28"/>
          <w:lang w:val="zh-CN"/>
        </w:rPr>
        <w:t>谈判响应文件目录</w:t>
      </w:r>
      <w:bookmarkEnd w:id="367"/>
      <w:bookmarkEnd w:id="368"/>
      <w:bookmarkStart w:id="369" w:name="_Toc185_WPSOffice_Level2"/>
      <w:bookmarkStart w:id="370" w:name="_Toc22172"/>
      <w:bookmarkStart w:id="371" w:name="_Toc31451_WPSOffice_Level3"/>
    </w:p>
    <w:bookmarkEnd w:id="369"/>
    <w:bookmarkEnd w:id="370"/>
    <w:bookmarkEnd w:id="371"/>
    <w:p w14:paraId="7D86734E">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bookmarkStart w:id="372" w:name="_Toc19260_WPSOffice_Level3"/>
      <w:r>
        <w:rPr>
          <w:rFonts w:hint="eastAsia" w:asciiTheme="minorEastAsia" w:hAnsiTheme="minorEastAsia" w:eastAsiaTheme="minorEastAsia" w:cstheme="minorEastAsia"/>
          <w:sz w:val="24"/>
          <w:szCs w:val="24"/>
          <w:lang w:val="zh-CN"/>
        </w:rPr>
        <w:t>1、响应函</w:t>
      </w:r>
      <w:bookmarkEnd w:id="372"/>
      <w:r>
        <w:rPr>
          <w:rFonts w:hint="eastAsia" w:asciiTheme="minorEastAsia" w:hAnsiTheme="minorEastAsia" w:eastAsiaTheme="minorEastAsia" w:cstheme="minorEastAsia"/>
          <w:sz w:val="24"/>
          <w:szCs w:val="24"/>
          <w:lang w:val="zh-CN"/>
        </w:rPr>
        <w:t>……………………………………………………………………所在页码</w:t>
      </w:r>
    </w:p>
    <w:p w14:paraId="38618744">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bookmarkStart w:id="373" w:name="_Toc13122_WPSOffice_Level3"/>
      <w:r>
        <w:rPr>
          <w:rFonts w:hint="eastAsia" w:asciiTheme="minorEastAsia" w:hAnsiTheme="minorEastAsia" w:eastAsiaTheme="minorEastAsia" w:cstheme="minorEastAsia"/>
          <w:sz w:val="24"/>
          <w:szCs w:val="24"/>
          <w:lang w:val="zh-CN"/>
        </w:rPr>
        <w:t>2、法定代表人证明书</w:t>
      </w:r>
      <w:bookmarkEnd w:id="373"/>
      <w:r>
        <w:rPr>
          <w:rFonts w:hint="eastAsia" w:asciiTheme="minorEastAsia" w:hAnsiTheme="minorEastAsia" w:eastAsiaTheme="minorEastAsia" w:cstheme="minorEastAsia"/>
          <w:sz w:val="24"/>
          <w:szCs w:val="24"/>
          <w:lang w:val="zh-CN"/>
        </w:rPr>
        <w:t>………………………………………………………所在页码</w:t>
      </w:r>
    </w:p>
    <w:p w14:paraId="7C2369EB">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bookmarkStart w:id="374" w:name="_Toc5677_WPSOffice_Level3"/>
      <w:r>
        <w:rPr>
          <w:rFonts w:hint="eastAsia" w:asciiTheme="minorEastAsia" w:hAnsiTheme="minorEastAsia" w:eastAsiaTheme="minorEastAsia" w:cstheme="minorEastAsia"/>
          <w:sz w:val="24"/>
          <w:szCs w:val="24"/>
          <w:lang w:val="zh-CN"/>
        </w:rPr>
        <w:t>3、法定代表人授权书</w:t>
      </w:r>
      <w:bookmarkEnd w:id="374"/>
      <w:bookmarkStart w:id="375" w:name="_Toc1890_WPSOffice_Level3"/>
      <w:r>
        <w:rPr>
          <w:rFonts w:hint="eastAsia" w:asciiTheme="minorEastAsia" w:hAnsiTheme="minorEastAsia" w:eastAsiaTheme="minorEastAsia" w:cstheme="minorEastAsia"/>
          <w:sz w:val="24"/>
          <w:szCs w:val="24"/>
          <w:lang w:val="zh-CN"/>
        </w:rPr>
        <w:t>………………………………………………………所在页码</w:t>
      </w:r>
    </w:p>
    <w:p w14:paraId="5CD4B353">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4、供应商承诺函</w:t>
      </w:r>
      <w:bookmarkEnd w:id="375"/>
      <w:r>
        <w:rPr>
          <w:rFonts w:hint="eastAsia" w:asciiTheme="minorEastAsia" w:hAnsiTheme="minorEastAsia" w:eastAsiaTheme="minorEastAsia" w:cstheme="minorEastAsia"/>
          <w:sz w:val="24"/>
          <w:szCs w:val="24"/>
          <w:lang w:val="zh-CN"/>
        </w:rPr>
        <w:t>……………………………………………………………所在页码</w:t>
      </w:r>
    </w:p>
    <w:p w14:paraId="7AEE3EBB">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bookmarkStart w:id="376" w:name="_Toc25873_WPSOffice_Level3"/>
      <w:r>
        <w:rPr>
          <w:rFonts w:hint="eastAsia" w:asciiTheme="minorEastAsia" w:hAnsiTheme="minorEastAsia" w:eastAsiaTheme="minorEastAsia" w:cstheme="minorEastAsia"/>
          <w:sz w:val="24"/>
          <w:szCs w:val="24"/>
          <w:lang w:val="zh-CN"/>
        </w:rPr>
        <w:t>5、供应商诚信承诺书</w:t>
      </w:r>
      <w:bookmarkEnd w:id="376"/>
      <w:bookmarkStart w:id="377" w:name="_Toc31370_WPSOffice_Level3"/>
      <w:r>
        <w:rPr>
          <w:rFonts w:hint="eastAsia" w:asciiTheme="minorEastAsia" w:hAnsiTheme="minorEastAsia" w:eastAsiaTheme="minorEastAsia" w:cstheme="minorEastAsia"/>
          <w:sz w:val="24"/>
          <w:szCs w:val="24"/>
          <w:lang w:val="zh-CN"/>
        </w:rPr>
        <w:t>………………………………………………………所在页码</w:t>
      </w:r>
    </w:p>
    <w:p w14:paraId="026C9BFE">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6、供应商资格证明文件</w:t>
      </w:r>
      <w:bookmarkEnd w:id="377"/>
      <w:r>
        <w:rPr>
          <w:rFonts w:hint="eastAsia" w:asciiTheme="minorEastAsia" w:hAnsiTheme="minorEastAsia" w:eastAsiaTheme="minorEastAsia" w:cstheme="minorEastAsia"/>
          <w:sz w:val="24"/>
          <w:szCs w:val="24"/>
          <w:lang w:val="zh-CN"/>
        </w:rPr>
        <w:t>……………………………………………………所在页码</w:t>
      </w:r>
    </w:p>
    <w:p w14:paraId="382C8F29">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bookmarkStart w:id="378" w:name="_Toc10045_WPSOffice_Level3"/>
      <w:r>
        <w:rPr>
          <w:rFonts w:hint="eastAsia" w:asciiTheme="minorEastAsia" w:hAnsiTheme="minorEastAsia" w:eastAsiaTheme="minorEastAsia" w:cstheme="minorEastAsia"/>
          <w:sz w:val="24"/>
          <w:szCs w:val="24"/>
          <w:lang w:val="zh-CN"/>
        </w:rPr>
        <w:t>7、财务状况、缴纳税收和社会保障资金证明</w:t>
      </w:r>
      <w:bookmarkEnd w:id="378"/>
      <w:r>
        <w:rPr>
          <w:rFonts w:hint="eastAsia" w:asciiTheme="minorEastAsia" w:hAnsiTheme="minorEastAsia" w:eastAsiaTheme="minorEastAsia" w:cstheme="minorEastAsia"/>
          <w:sz w:val="24"/>
          <w:szCs w:val="24"/>
          <w:lang w:val="zh-CN"/>
        </w:rPr>
        <w:t>……………………………所在页码</w:t>
      </w:r>
    </w:p>
    <w:p w14:paraId="49C94332">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bookmarkStart w:id="379" w:name="_Toc12223_WPSOffice_Level3"/>
      <w:r>
        <w:rPr>
          <w:rFonts w:hint="eastAsia" w:asciiTheme="minorEastAsia" w:hAnsiTheme="minorEastAsia" w:eastAsiaTheme="minorEastAsia" w:cstheme="minorEastAsia"/>
          <w:sz w:val="24"/>
          <w:szCs w:val="24"/>
          <w:lang w:val="zh-CN"/>
        </w:rPr>
        <w:t>8、无重大违法记录声明</w:t>
      </w:r>
      <w:bookmarkEnd w:id="379"/>
      <w:bookmarkStart w:id="380" w:name="_Toc10394_WPSOffice_Level3"/>
      <w:r>
        <w:rPr>
          <w:rFonts w:hint="eastAsia" w:asciiTheme="minorEastAsia" w:hAnsiTheme="minorEastAsia" w:eastAsiaTheme="minorEastAsia" w:cstheme="minorEastAsia"/>
          <w:sz w:val="24"/>
          <w:szCs w:val="24"/>
          <w:lang w:val="zh-CN"/>
        </w:rPr>
        <w:t>……………………………………………………所在页码</w:t>
      </w:r>
    </w:p>
    <w:p w14:paraId="702C50EF">
      <w:pPr>
        <w:adjustRightInd w:val="0"/>
        <w:snapToGrid w:val="0"/>
        <w:spacing w:line="360" w:lineRule="auto"/>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9、谈判保证金证明</w:t>
      </w:r>
      <w:bookmarkEnd w:id="380"/>
      <w:r>
        <w:rPr>
          <w:rFonts w:hint="eastAsia" w:asciiTheme="minorEastAsia" w:hAnsiTheme="minorEastAsia" w:eastAsiaTheme="minorEastAsia" w:cstheme="minorEastAsia"/>
          <w:sz w:val="24"/>
          <w:szCs w:val="24"/>
          <w:lang w:val="zh-CN"/>
        </w:rPr>
        <w:t>…………………………………………………………所在页码</w:t>
      </w:r>
    </w:p>
    <w:p w14:paraId="0DBB34A3">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bookmarkStart w:id="381" w:name="_Toc9730_WPSOffice_Level3"/>
      <w:r>
        <w:rPr>
          <w:rFonts w:hint="eastAsia" w:asciiTheme="minorEastAsia" w:hAnsiTheme="minorEastAsia" w:eastAsiaTheme="minorEastAsia" w:cstheme="minorEastAsia"/>
          <w:sz w:val="24"/>
          <w:szCs w:val="24"/>
          <w:lang w:val="zh-CN"/>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lang w:val="zh-CN"/>
        </w:rPr>
        <w:t>、谈判首次报价表</w:t>
      </w:r>
      <w:bookmarkEnd w:id="381"/>
      <w:r>
        <w:rPr>
          <w:rFonts w:hint="eastAsia" w:asciiTheme="minorEastAsia" w:hAnsiTheme="minorEastAsia" w:eastAsiaTheme="minorEastAsia" w:cstheme="minorEastAsia"/>
          <w:sz w:val="24"/>
          <w:szCs w:val="24"/>
          <w:lang w:val="zh-CN"/>
        </w:rPr>
        <w:t>…………………………………………………………所在页码</w:t>
      </w:r>
    </w:p>
    <w:p w14:paraId="66AE7903">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bookmarkStart w:id="382" w:name="_Toc15196_WPSOffice_Level3"/>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lang w:val="zh-CN"/>
        </w:rPr>
        <w:t>、分项报价表</w:t>
      </w:r>
      <w:bookmarkEnd w:id="382"/>
      <w:r>
        <w:rPr>
          <w:rFonts w:hint="eastAsia" w:asciiTheme="minorEastAsia" w:hAnsiTheme="minorEastAsia" w:eastAsiaTheme="minorEastAsia" w:cstheme="minorEastAsia"/>
          <w:sz w:val="24"/>
          <w:szCs w:val="24"/>
          <w:lang w:val="zh-CN"/>
        </w:rPr>
        <w:t>………………………………………………………………所在页码</w:t>
      </w:r>
    </w:p>
    <w:p w14:paraId="55532672">
      <w:pPr>
        <w:pStyle w:val="22"/>
        <w:numPr>
          <w:ilvl w:val="1"/>
          <w:numId w:val="0"/>
        </w:numPr>
        <w:spacing w:line="360" w:lineRule="auto"/>
        <w:jc w:val="left"/>
        <w:outlineLvl w:val="9"/>
        <w:rPr>
          <w:rFonts w:hint="eastAsia" w:asciiTheme="minorEastAsia" w:hAnsiTheme="minorEastAsia" w:eastAsiaTheme="minorEastAsia" w:cstheme="minorEastAsia"/>
          <w:b w:val="0"/>
          <w:kern w:val="2"/>
          <w:sz w:val="24"/>
          <w:szCs w:val="24"/>
          <w:lang w:val="zh-CN" w:eastAsia="zh-CN" w:bidi="ar-SA"/>
        </w:rPr>
      </w:pPr>
      <w:r>
        <w:rPr>
          <w:rFonts w:hint="eastAsia" w:asciiTheme="minorEastAsia" w:hAnsiTheme="minorEastAsia" w:eastAsiaTheme="minorEastAsia" w:cstheme="minorEastAsia"/>
          <w:b w:val="0"/>
          <w:kern w:val="2"/>
          <w:sz w:val="24"/>
          <w:szCs w:val="24"/>
          <w:lang w:val="en-US" w:eastAsia="zh-CN" w:bidi="ar-SA"/>
        </w:rPr>
        <w:t>12、</w:t>
      </w:r>
      <w:r>
        <w:rPr>
          <w:rFonts w:hint="eastAsia" w:asciiTheme="minorEastAsia" w:hAnsiTheme="minorEastAsia" w:eastAsiaTheme="minorEastAsia" w:cstheme="minorEastAsia"/>
          <w:sz w:val="24"/>
          <w:szCs w:val="24"/>
          <w:lang w:val="zh-CN"/>
        </w:rPr>
        <w:t>技术规格响应表…………………………………………………………所在页码</w:t>
      </w:r>
    </w:p>
    <w:p w14:paraId="1213CF59">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bookmarkStart w:id="383" w:name="_Toc319_WPSOffice_Level3"/>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b w:val="0"/>
          <w:kern w:val="2"/>
          <w:sz w:val="24"/>
          <w:szCs w:val="24"/>
          <w:lang w:val="zh-CN" w:eastAsia="zh-CN" w:bidi="ar-SA"/>
        </w:rPr>
        <w:t>投标产品相关资料</w:t>
      </w:r>
      <w:bookmarkEnd w:id="383"/>
      <w:bookmarkStart w:id="384" w:name="_Toc22060_WPSOffice_Level3"/>
      <w:r>
        <w:rPr>
          <w:rFonts w:hint="eastAsia" w:asciiTheme="minorEastAsia" w:hAnsiTheme="minorEastAsia" w:eastAsiaTheme="minorEastAsia" w:cstheme="minorEastAsia"/>
          <w:sz w:val="24"/>
          <w:szCs w:val="24"/>
          <w:lang w:val="zh-CN"/>
        </w:rPr>
        <w:t>………………………………………………………所在页码</w:t>
      </w:r>
    </w:p>
    <w:p w14:paraId="44A0EEA2">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14、具备履行合同所必须的设备和专业技术能力证明</w:t>
      </w:r>
      <w:bookmarkEnd w:id="384"/>
      <w:bookmarkStart w:id="385" w:name="_Toc1748_WPSOffice_Level3"/>
      <w:r>
        <w:rPr>
          <w:rFonts w:hint="eastAsia" w:asciiTheme="minorEastAsia" w:hAnsiTheme="minorEastAsia" w:eastAsiaTheme="minorEastAsia" w:cstheme="minorEastAsia"/>
          <w:sz w:val="24"/>
          <w:szCs w:val="24"/>
          <w:lang w:val="zh-CN"/>
        </w:rPr>
        <w:t>……………………所在页码</w:t>
      </w:r>
    </w:p>
    <w:p w14:paraId="254C7964">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lang w:val="zh-CN"/>
        </w:rPr>
        <w:t>、享受政府采购政策优惠的证明资料</w:t>
      </w:r>
      <w:bookmarkEnd w:id="385"/>
      <w:r>
        <w:rPr>
          <w:rFonts w:hint="eastAsia" w:asciiTheme="minorEastAsia" w:hAnsiTheme="minorEastAsia" w:eastAsiaTheme="minorEastAsia" w:cstheme="minorEastAsia"/>
          <w:sz w:val="24"/>
          <w:szCs w:val="24"/>
          <w:lang w:val="zh-CN"/>
        </w:rPr>
        <w:t>……………………………………所在页码</w:t>
      </w:r>
    </w:p>
    <w:p w14:paraId="1B900CC3">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lang w:val="zh-CN" w:eastAsia="zh-CN"/>
        </w:rPr>
        <w:t>其他说明的事项</w:t>
      </w:r>
      <w:bookmarkStart w:id="386" w:name="_Toc30100_WPSOffice_Level3"/>
      <w:r>
        <w:rPr>
          <w:rFonts w:hint="eastAsia" w:asciiTheme="minorEastAsia" w:hAnsiTheme="minorEastAsia" w:eastAsiaTheme="minorEastAsia" w:cstheme="minorEastAsia"/>
          <w:sz w:val="24"/>
          <w:szCs w:val="24"/>
          <w:lang w:val="zh-CN"/>
        </w:rPr>
        <w:t>…………………………………………………………所在页码</w:t>
      </w:r>
    </w:p>
    <w:p w14:paraId="7515DD29">
      <w:pPr>
        <w:adjustRightInd w:val="0"/>
        <w:snapToGrid w:val="0"/>
        <w:spacing w:line="360" w:lineRule="auto"/>
        <w:jc w:val="left"/>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lang w:val="zh-CN"/>
        </w:rPr>
        <w:t>、谈判最后报价表</w:t>
      </w:r>
      <w:bookmarkEnd w:id="386"/>
      <w:r>
        <w:rPr>
          <w:rFonts w:hint="eastAsia" w:asciiTheme="minorEastAsia" w:hAnsiTheme="minorEastAsia" w:eastAsiaTheme="minorEastAsia" w:cstheme="minorEastAsia"/>
          <w:sz w:val="24"/>
          <w:szCs w:val="24"/>
          <w:lang w:val="zh-CN"/>
        </w:rPr>
        <w:t>…………………………………………………………所在页码</w:t>
      </w:r>
    </w:p>
    <w:p w14:paraId="4BB84425">
      <w:pPr>
        <w:adjustRightInd w:val="0"/>
        <w:snapToGrid w:val="0"/>
        <w:spacing w:line="560" w:lineRule="exact"/>
        <w:jc w:val="left"/>
        <w:outlineLvl w:val="9"/>
        <w:rPr>
          <w:rFonts w:hint="eastAsia" w:asciiTheme="minorEastAsia" w:hAnsiTheme="minorEastAsia" w:eastAsiaTheme="minorEastAsia" w:cstheme="minorEastAsia"/>
          <w:sz w:val="24"/>
          <w:szCs w:val="24"/>
          <w:lang w:val="zh-CN"/>
        </w:rPr>
      </w:pPr>
    </w:p>
    <w:p w14:paraId="09C0C7EB">
      <w:pPr>
        <w:spacing w:line="360" w:lineRule="auto"/>
        <w:ind w:firstLine="645"/>
        <w:jc w:val="center"/>
        <w:rPr>
          <w:rFonts w:hAnsi="宋体"/>
          <w:b/>
          <w:sz w:val="24"/>
          <w:szCs w:val="24"/>
          <w:lang w:val="zh-CN" w:eastAsia="zh-CN"/>
        </w:rPr>
      </w:pPr>
    </w:p>
    <w:p w14:paraId="4A9C9DBB">
      <w:pPr>
        <w:widowControl/>
        <w:snapToGrid w:val="0"/>
        <w:spacing w:before="156" w:beforeLines="50" w:line="560" w:lineRule="exact"/>
        <w:jc w:val="left"/>
        <w:outlineLvl w:val="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bookmarkStart w:id="387" w:name="_Toc27578"/>
      <w:bookmarkStart w:id="388" w:name="_Toc27597"/>
      <w:bookmarkStart w:id="389" w:name="_Toc32479_WPSOffice_Level3"/>
      <w:bookmarkStart w:id="390" w:name="_Toc5542"/>
      <w:bookmarkStart w:id="391" w:name="_Toc19203"/>
      <w:bookmarkStart w:id="392" w:name="_Toc31716"/>
      <w:r>
        <w:rPr>
          <w:rFonts w:hint="eastAsia" w:asciiTheme="minorEastAsia" w:hAnsiTheme="minorEastAsia" w:eastAsiaTheme="minorEastAsia" w:cstheme="minorEastAsia"/>
          <w:b/>
          <w:sz w:val="28"/>
          <w:szCs w:val="28"/>
        </w:rPr>
        <w:t>附件1：响应函</w:t>
      </w:r>
      <w:bookmarkEnd w:id="387"/>
      <w:bookmarkEnd w:id="388"/>
      <w:bookmarkEnd w:id="389"/>
      <w:bookmarkEnd w:id="390"/>
      <w:bookmarkEnd w:id="391"/>
      <w:bookmarkEnd w:id="392"/>
    </w:p>
    <w:p w14:paraId="76EC1AE4">
      <w:pPr>
        <w:spacing w:before="156" w:beforeLines="50" w:line="560" w:lineRule="exact"/>
        <w:ind w:left="0" w:leftChars="0" w:firstLine="0" w:firstLineChars="0"/>
        <w:jc w:val="center"/>
        <w:outlineLvl w:val="9"/>
        <w:rPr>
          <w:rFonts w:hint="eastAsia" w:asciiTheme="minorEastAsia" w:hAnsiTheme="minorEastAsia" w:eastAsiaTheme="minorEastAsia" w:cstheme="minorEastAsia"/>
          <w:b/>
          <w:sz w:val="24"/>
          <w:szCs w:val="24"/>
        </w:rPr>
      </w:pPr>
      <w:bookmarkStart w:id="393" w:name="_Toc24288_WPSOffice_Level2"/>
      <w:bookmarkStart w:id="394" w:name="_Toc22598_WPSOffice_Level2"/>
      <w:r>
        <w:rPr>
          <w:rFonts w:hint="eastAsia" w:asciiTheme="minorEastAsia" w:hAnsiTheme="minorEastAsia" w:eastAsiaTheme="minorEastAsia" w:cstheme="minorEastAsia"/>
          <w:b/>
          <w:sz w:val="24"/>
          <w:szCs w:val="24"/>
        </w:rPr>
        <w:t>响 应 函</w:t>
      </w:r>
      <w:bookmarkEnd w:id="393"/>
      <w:bookmarkEnd w:id="394"/>
    </w:p>
    <w:p w14:paraId="2CD93317">
      <w:pPr>
        <w:adjustRightInd w:val="0"/>
        <w:snapToGrid w:val="0"/>
        <w:spacing w:line="560" w:lineRule="exact"/>
        <w:outlineLvl w:val="9"/>
        <w:rPr>
          <w:rFonts w:hint="eastAsia" w:asciiTheme="minorEastAsia" w:hAnsiTheme="minorEastAsia" w:eastAsiaTheme="minorEastAsia" w:cstheme="minorEastAsia"/>
          <w:sz w:val="24"/>
          <w:szCs w:val="24"/>
          <w:lang w:eastAsia="zh-CN"/>
        </w:rPr>
      </w:pPr>
      <w:bookmarkStart w:id="395" w:name="_Toc16867_WPSOffice_Level2"/>
      <w:r>
        <w:rPr>
          <w:rFonts w:hint="eastAsia" w:asciiTheme="minorEastAsia" w:hAnsiTheme="minorEastAsia" w:eastAsiaTheme="minorEastAsia" w:cstheme="minorEastAsia"/>
          <w:sz w:val="24"/>
          <w:szCs w:val="24"/>
        </w:rPr>
        <w:t>致：</w:t>
      </w:r>
      <w:bookmarkEnd w:id="395"/>
      <w:r>
        <w:rPr>
          <w:rFonts w:hint="eastAsia" w:asciiTheme="minorEastAsia" w:hAnsiTheme="minorEastAsia" w:eastAsiaTheme="minorEastAsia" w:cstheme="minorEastAsia"/>
          <w:sz w:val="24"/>
          <w:szCs w:val="24"/>
          <w:lang w:eastAsia="zh-CN"/>
        </w:rPr>
        <w:t>德令哈城乡建设综合开发有限公司</w:t>
      </w:r>
    </w:p>
    <w:p w14:paraId="7D1930DF">
      <w:pPr>
        <w:adjustRightInd w:val="0"/>
        <w:snapToGrid w:val="0"/>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我们收到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（项目名称及编号）谈判文件，经研究，法定代表人（姓名、职务）正式授权（委托代理人姓名、职务）代表供应商（供应商名称、地址）提交谈判响应文件。    </w:t>
      </w:r>
    </w:p>
    <w:p w14:paraId="0CC7525E">
      <w:pPr>
        <w:adjustRightInd w:val="0"/>
        <w:snapToGrid w:val="0"/>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据此函，签字代表宣布同意如下：</w:t>
      </w:r>
    </w:p>
    <w:p w14:paraId="568FE900">
      <w:pPr>
        <w:adjustRightInd w:val="0"/>
        <w:snapToGrid w:val="0"/>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1、我方已详阅谈判文件的全部内容，包括澄清、修改条款等有关附件，承诺对其完全理解并接受。</w:t>
      </w:r>
    </w:p>
    <w:p w14:paraId="78712D3F">
      <w:pPr>
        <w:adjustRightInd w:val="0"/>
        <w:snapToGrid w:val="0"/>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2、若在响应文件发出后，我方在响应文件有效期内撤回或成交后不签约的，谈判保证金将被贵方没收。</w:t>
      </w:r>
    </w:p>
    <w:p w14:paraId="49C38B0A">
      <w:pPr>
        <w:adjustRightInd w:val="0"/>
        <w:snapToGrid w:val="0"/>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3、我方同意按照贵方要求提供与谈判有关的一切数据或资料，理解并接受贵方制定的评标办法。</w:t>
      </w:r>
    </w:p>
    <w:p w14:paraId="016DACD1">
      <w:pPr>
        <w:adjustRightInd w:val="0"/>
        <w:snapToGrid w:val="0"/>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4、与本次竞争性谈判有关的一切正式往来通讯请寄：</w:t>
      </w:r>
    </w:p>
    <w:p w14:paraId="362227FB">
      <w:pPr>
        <w:adjustRightInd w:val="0"/>
        <w:snapToGrid w:val="0"/>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地址：_______________   邮编：______________</w:t>
      </w:r>
    </w:p>
    <w:p w14:paraId="123EE7A4">
      <w:pPr>
        <w:adjustRightInd w:val="0"/>
        <w:snapToGrid w:val="0"/>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电话：_______________   传真：______________</w:t>
      </w:r>
    </w:p>
    <w:p w14:paraId="3D804451">
      <w:pPr>
        <w:adjustRightInd w:val="0"/>
        <w:snapToGrid w:val="0"/>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法定代表人姓名： ___________ 职务：_________</w:t>
      </w:r>
    </w:p>
    <w:p w14:paraId="0803A803">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Cs/>
          <w:sz w:val="24"/>
          <w:szCs w:val="24"/>
        </w:rPr>
        <w:t xml:space="preserve">  </w:t>
      </w:r>
      <w:bookmarkStart w:id="396" w:name="_Toc1506_WPSOffice_Level3"/>
      <w:r>
        <w:rPr>
          <w:rFonts w:hint="eastAsia" w:asciiTheme="minorEastAsia" w:hAnsiTheme="minorEastAsia" w:eastAsiaTheme="minorEastAsia" w:cstheme="minorEastAsia"/>
          <w:bCs/>
          <w:sz w:val="24"/>
          <w:szCs w:val="24"/>
        </w:rPr>
        <w:t xml:space="preserve">               </w:t>
      </w:r>
      <w:bookmarkStart w:id="397" w:name="_Toc28112_WPSOffice_Level3"/>
      <w:r>
        <w:rPr>
          <w:rFonts w:hint="eastAsia" w:asciiTheme="minorEastAsia" w:hAnsiTheme="minorEastAsia" w:eastAsiaTheme="minorEastAsia" w:cstheme="minorEastAsia"/>
          <w:bCs/>
          <w:sz w:val="24"/>
          <w:szCs w:val="24"/>
        </w:rPr>
        <w:t>单位名称：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（公章）</w:t>
      </w:r>
      <w:bookmarkEnd w:id="396"/>
      <w:bookmarkEnd w:id="397"/>
    </w:p>
    <w:p w14:paraId="45FC248C">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w:t>
      </w:r>
      <w:bookmarkStart w:id="398" w:name="_Toc6385_WPSOffice_Level3"/>
      <w:bookmarkStart w:id="399" w:name="_Toc28651_WPSOffice_Level3"/>
      <w:r>
        <w:rPr>
          <w:rFonts w:hint="eastAsia" w:asciiTheme="minorEastAsia" w:hAnsiTheme="minorEastAsia" w:eastAsiaTheme="minorEastAsia" w:cstheme="minorEastAsia"/>
          <w:bCs/>
          <w:sz w:val="24"/>
          <w:szCs w:val="24"/>
        </w:rPr>
        <w:t>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（签字或盖章）</w:t>
      </w:r>
      <w:bookmarkEnd w:id="398"/>
      <w:bookmarkEnd w:id="399"/>
    </w:p>
    <w:p w14:paraId="2CFD2CE2">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400" w:name="_Toc13325_WPSOffice_Level3"/>
      <w:bookmarkStart w:id="401" w:name="_Toc130_WPSOffice_Level3"/>
      <w:r>
        <w:rPr>
          <w:rFonts w:hint="eastAsia" w:asciiTheme="minorEastAsia" w:hAnsiTheme="minorEastAsia" w:eastAsiaTheme="minorEastAsia" w:cstheme="minorEastAsia"/>
          <w:bCs/>
          <w:sz w:val="24"/>
          <w:szCs w:val="24"/>
        </w:rPr>
        <w:t>年   月  日</w:t>
      </w:r>
      <w:bookmarkEnd w:id="400"/>
      <w:bookmarkEnd w:id="401"/>
    </w:p>
    <w:p w14:paraId="30AA35A1">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p w14:paraId="100B9F2E">
      <w:pPr>
        <w:outlineLvl w:val="9"/>
        <w:rPr>
          <w:rFonts w:hint="eastAsia" w:asciiTheme="minorEastAsia" w:hAnsiTheme="minorEastAsia" w:eastAsiaTheme="minorEastAsia" w:cstheme="minorEastAsia"/>
          <w:b/>
          <w:sz w:val="24"/>
          <w:szCs w:val="24"/>
        </w:rPr>
      </w:pPr>
    </w:p>
    <w:p w14:paraId="3F531854">
      <w:pPr>
        <w:widowControl/>
        <w:snapToGrid w:val="0"/>
        <w:spacing w:before="156" w:beforeLines="50" w:line="560" w:lineRule="exact"/>
        <w:jc w:val="left"/>
        <w:outlineLvl w:val="9"/>
        <w:rPr>
          <w:rFonts w:hint="eastAsia" w:asciiTheme="minorEastAsia" w:hAnsiTheme="minorEastAsia" w:eastAsiaTheme="minorEastAsia" w:cstheme="minorEastAsia"/>
          <w:b/>
          <w:sz w:val="24"/>
          <w:szCs w:val="24"/>
        </w:rPr>
      </w:pPr>
      <w:bookmarkStart w:id="402" w:name="_Toc26257_WPSOffice_Level2"/>
      <w:bookmarkStart w:id="403" w:name="_Toc3082"/>
      <w:bookmarkStart w:id="404" w:name="_Toc20882_WPSOffice_Level3"/>
      <w:bookmarkStart w:id="405" w:name="_Toc17887_WPSOffice_Level2"/>
      <w:bookmarkStart w:id="406" w:name="_Toc16050"/>
      <w:bookmarkStart w:id="407" w:name="_Toc12487"/>
    </w:p>
    <w:p w14:paraId="443B305F">
      <w:pPr>
        <w:widowControl/>
        <w:snapToGrid w:val="0"/>
        <w:spacing w:before="156" w:beforeLines="50" w:line="560" w:lineRule="exact"/>
        <w:jc w:val="left"/>
        <w:outlineLvl w:val="2"/>
        <w:rPr>
          <w:rFonts w:hint="eastAsia" w:asciiTheme="minorEastAsia" w:hAnsiTheme="minorEastAsia" w:eastAsiaTheme="minorEastAsia" w:cstheme="minorEastAsia"/>
          <w:b/>
          <w:sz w:val="28"/>
          <w:szCs w:val="28"/>
        </w:rPr>
      </w:pPr>
      <w:bookmarkStart w:id="408" w:name="_Toc14478"/>
      <w:bookmarkStart w:id="409" w:name="_Toc21069"/>
      <w:r>
        <w:rPr>
          <w:rFonts w:hint="eastAsia" w:asciiTheme="minorEastAsia" w:hAnsiTheme="minorEastAsia" w:eastAsiaTheme="minorEastAsia" w:cstheme="minorEastAsia"/>
          <w:b/>
          <w:sz w:val="28"/>
          <w:szCs w:val="28"/>
        </w:rPr>
        <w:t>附件2：法定代表人证明书</w:t>
      </w:r>
      <w:bookmarkEnd w:id="402"/>
      <w:bookmarkEnd w:id="403"/>
      <w:bookmarkEnd w:id="404"/>
      <w:bookmarkEnd w:id="405"/>
      <w:bookmarkEnd w:id="406"/>
      <w:bookmarkEnd w:id="407"/>
      <w:bookmarkEnd w:id="408"/>
      <w:bookmarkEnd w:id="409"/>
    </w:p>
    <w:p w14:paraId="6FE324FC">
      <w:pPr>
        <w:spacing w:before="156" w:beforeLines="50" w:line="560" w:lineRule="exact"/>
        <w:ind w:left="0" w:leftChars="0" w:firstLine="0" w:firstLineChars="0"/>
        <w:jc w:val="center"/>
        <w:outlineLvl w:val="9"/>
        <w:rPr>
          <w:rFonts w:hint="eastAsia" w:asciiTheme="minorEastAsia" w:hAnsiTheme="minorEastAsia" w:eastAsiaTheme="minorEastAsia" w:cstheme="minorEastAsia"/>
          <w:b/>
          <w:sz w:val="24"/>
          <w:szCs w:val="24"/>
        </w:rPr>
      </w:pPr>
      <w:bookmarkStart w:id="410" w:name="_Toc6898_WPSOffice_Level2"/>
      <w:bookmarkStart w:id="411" w:name="_Toc28170_WPSOffice_Level2"/>
      <w:bookmarkStart w:id="412" w:name="_Toc14917_WPSOffice_Level1"/>
      <w:bookmarkStart w:id="413" w:name="_Toc32036_WPSOffice_Level1"/>
      <w:r>
        <w:rPr>
          <w:rFonts w:hint="eastAsia" w:asciiTheme="minorEastAsia" w:hAnsiTheme="minorEastAsia" w:eastAsiaTheme="minorEastAsia" w:cstheme="minorEastAsia"/>
          <w:b/>
          <w:sz w:val="24"/>
          <w:szCs w:val="24"/>
        </w:rPr>
        <w:t>法定代表人证明书</w:t>
      </w:r>
      <w:bookmarkEnd w:id="410"/>
      <w:bookmarkEnd w:id="411"/>
      <w:bookmarkEnd w:id="412"/>
      <w:bookmarkEnd w:id="413"/>
    </w:p>
    <w:p w14:paraId="74EF59A6">
      <w:pPr>
        <w:spacing w:before="156" w:beforeLines="50" w:line="560" w:lineRule="exact"/>
        <w:outlineLvl w:val="9"/>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lang w:eastAsia="zh-CN"/>
        </w:rPr>
        <w:t>德令哈城乡建设综合开发有限公司</w:t>
      </w:r>
    </w:p>
    <w:p w14:paraId="6F778C77">
      <w:pPr>
        <w:autoSpaceDE w:val="0"/>
        <w:autoSpaceDN w:val="0"/>
        <w:adjustRightInd w:val="0"/>
        <w:spacing w:before="156" w:beforeLines="50" w:line="560" w:lineRule="exact"/>
        <w:ind w:firstLine="480" w:firstLineChars="200"/>
        <w:jc w:val="left"/>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（法定代表人姓名）  </w:t>
      </w:r>
      <w:r>
        <w:rPr>
          <w:rFonts w:hint="eastAsia" w:asciiTheme="minorEastAsia" w:hAnsiTheme="minorEastAsia" w:eastAsiaTheme="minorEastAsia" w:cstheme="minorEastAsia"/>
          <w:sz w:val="24"/>
          <w:szCs w:val="24"/>
        </w:rPr>
        <w:t>现任我单位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职务，为法定代表人，特此证明。</w:t>
      </w:r>
    </w:p>
    <w:p w14:paraId="6BF83067">
      <w:pPr>
        <w:autoSpaceDE w:val="0"/>
        <w:autoSpaceDN w:val="0"/>
        <w:adjustRightInd w:val="0"/>
        <w:spacing w:before="156" w:beforeLines="50" w:line="560" w:lineRule="exact"/>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法定代表人基本情况：</w:t>
      </w:r>
    </w:p>
    <w:p w14:paraId="77207293">
      <w:pPr>
        <w:autoSpaceDE w:val="0"/>
        <w:autoSpaceDN w:val="0"/>
        <w:adjustRightInd w:val="0"/>
        <w:spacing w:before="156" w:beforeLines="50" w:line="560" w:lineRule="exact"/>
        <w:ind w:firstLine="480" w:firstLineChars="200"/>
        <w:jc w:val="left"/>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民族：</w:t>
      </w:r>
      <w:r>
        <w:rPr>
          <w:rFonts w:hint="eastAsia" w:asciiTheme="minorEastAsia" w:hAnsiTheme="minorEastAsia" w:eastAsiaTheme="minorEastAsia" w:cstheme="minorEastAsia"/>
          <w:sz w:val="24"/>
          <w:szCs w:val="24"/>
          <w:u w:val="single"/>
        </w:rPr>
        <w:t xml:space="preserve">     </w:t>
      </w:r>
    </w:p>
    <w:p w14:paraId="2C7F84CE">
      <w:pPr>
        <w:autoSpaceDE w:val="0"/>
        <w:autoSpaceDN w:val="0"/>
        <w:adjustRightInd w:val="0"/>
        <w:spacing w:before="156" w:beforeLines="50" w:line="560" w:lineRule="exact"/>
        <w:ind w:firstLine="480" w:firstLineChars="200"/>
        <w:jc w:val="left"/>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u w:val="single"/>
        </w:rPr>
        <w:t xml:space="preserve">                             </w:t>
      </w:r>
    </w:p>
    <w:p w14:paraId="040D0C84">
      <w:pPr>
        <w:autoSpaceDE w:val="0"/>
        <w:autoSpaceDN w:val="0"/>
        <w:adjustRightInd w:val="0"/>
        <w:spacing w:before="156" w:beforeLines="50" w:line="560" w:lineRule="exact"/>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p>
    <w:p w14:paraId="6551309B">
      <w:pPr>
        <w:autoSpaceDE w:val="0"/>
        <w:autoSpaceDN w:val="0"/>
        <w:adjustRightInd w:val="0"/>
        <w:spacing w:before="156" w:beforeLines="50" w:line="560" w:lineRule="exact"/>
        <w:ind w:firstLine="480" w:firstLineChars="2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附法定代表人第二代身份证双面扫描或其他身份证明材料（复印件）</w:t>
      </w:r>
    </w:p>
    <w:p w14:paraId="6D9075D0">
      <w:pPr>
        <w:autoSpaceDE w:val="0"/>
        <w:autoSpaceDN w:val="0"/>
        <w:adjustRightInd w:val="0"/>
        <w:spacing w:before="156" w:beforeLines="50" w:line="560" w:lineRule="exact"/>
        <w:ind w:firstLine="480" w:firstLineChars="200"/>
        <w:jc w:val="left"/>
        <w:outlineLvl w:val="9"/>
        <w:rPr>
          <w:rFonts w:hint="eastAsia" w:asciiTheme="minorEastAsia" w:hAnsiTheme="minorEastAsia" w:eastAsiaTheme="minorEastAsia" w:cstheme="minorEastAsia"/>
          <w:kern w:val="0"/>
          <w:sz w:val="24"/>
          <w:szCs w:val="24"/>
        </w:rPr>
      </w:pPr>
    </w:p>
    <w:p w14:paraId="35FA96BD">
      <w:pPr>
        <w:autoSpaceDE w:val="0"/>
        <w:autoSpaceDN w:val="0"/>
        <w:adjustRightInd w:val="0"/>
        <w:spacing w:before="156" w:beforeLines="50" w:line="560" w:lineRule="exact"/>
        <w:jc w:val="righ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（公章）</w:t>
      </w:r>
    </w:p>
    <w:p w14:paraId="3E942F34">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Cs/>
          <w:sz w:val="24"/>
          <w:szCs w:val="24"/>
        </w:rPr>
        <w:t xml:space="preserve">  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（签字或盖章）</w:t>
      </w:r>
    </w:p>
    <w:p w14:paraId="40044EDA">
      <w:pPr>
        <w:autoSpaceDE w:val="0"/>
        <w:autoSpaceDN w:val="0"/>
        <w:adjustRightInd w:val="0"/>
        <w:spacing w:before="156" w:beforeLines="50" w:line="560" w:lineRule="exact"/>
        <w:jc w:val="center"/>
        <w:outlineLvl w:val="9"/>
        <w:rPr>
          <w:rFonts w:hint="eastAsia" w:asciiTheme="minorEastAsia" w:hAnsiTheme="minorEastAsia" w:eastAsiaTheme="minorEastAsia" w:cstheme="minorEastAsia"/>
          <w:sz w:val="24"/>
          <w:szCs w:val="24"/>
        </w:rPr>
      </w:pPr>
      <w:bookmarkStart w:id="414" w:name="_Toc10597_WPSOffice_Level3"/>
      <w:r>
        <w:rPr>
          <w:rFonts w:hint="eastAsia" w:asciiTheme="minorEastAsia" w:hAnsiTheme="minorEastAsia" w:eastAsiaTheme="minorEastAsia" w:cstheme="minorEastAsia"/>
          <w:sz w:val="24"/>
          <w:szCs w:val="24"/>
        </w:rPr>
        <w:t xml:space="preserve">                                       </w:t>
      </w:r>
      <w:bookmarkStart w:id="415" w:name="_Toc16117_WPSOffice_Level3"/>
      <w:r>
        <w:rPr>
          <w:rFonts w:hint="eastAsia" w:asciiTheme="minorEastAsia" w:hAnsiTheme="minorEastAsia" w:eastAsiaTheme="minorEastAsia" w:cstheme="minorEastAsia"/>
          <w:sz w:val="24"/>
          <w:szCs w:val="24"/>
        </w:rPr>
        <w:t>年   月   日</w:t>
      </w:r>
      <w:bookmarkEnd w:id="414"/>
      <w:bookmarkEnd w:id="415"/>
    </w:p>
    <w:p w14:paraId="27B59062">
      <w:pPr>
        <w:spacing w:before="156" w:beforeLines="50" w:line="560" w:lineRule="exact"/>
        <w:ind w:right="480"/>
        <w:jc w:val="right"/>
        <w:outlineLvl w:val="9"/>
        <w:rPr>
          <w:rFonts w:hint="eastAsia" w:asciiTheme="minorEastAsia" w:hAnsiTheme="minorEastAsia" w:eastAsiaTheme="minorEastAsia" w:cstheme="minorEastAsia"/>
          <w:b/>
          <w:sz w:val="24"/>
          <w:szCs w:val="24"/>
        </w:rPr>
      </w:pPr>
    </w:p>
    <w:p w14:paraId="29E5AD0F">
      <w:pPr>
        <w:spacing w:before="156" w:beforeLines="50" w:line="560" w:lineRule="exact"/>
        <w:jc w:val="right"/>
        <w:outlineLvl w:val="9"/>
        <w:rPr>
          <w:rFonts w:hint="eastAsia" w:asciiTheme="minorEastAsia" w:hAnsiTheme="minorEastAsia" w:eastAsiaTheme="minorEastAsia" w:cstheme="minorEastAsia"/>
          <w:b/>
          <w:sz w:val="24"/>
          <w:szCs w:val="24"/>
        </w:rPr>
      </w:pPr>
    </w:p>
    <w:p w14:paraId="5CD76DD0">
      <w:pPr>
        <w:spacing w:before="156" w:beforeLines="50" w:line="560" w:lineRule="exact"/>
        <w:outlineLvl w:val="9"/>
        <w:rPr>
          <w:rFonts w:hint="eastAsia" w:asciiTheme="minorEastAsia" w:hAnsiTheme="minorEastAsia" w:eastAsiaTheme="minorEastAsia" w:cstheme="minorEastAsia"/>
          <w:b/>
          <w:sz w:val="24"/>
          <w:szCs w:val="24"/>
        </w:rPr>
      </w:pPr>
    </w:p>
    <w:p w14:paraId="23026E13">
      <w:pPr>
        <w:outlineLvl w:val="9"/>
        <w:rPr>
          <w:rFonts w:hint="eastAsia" w:asciiTheme="minorEastAsia" w:hAnsiTheme="minorEastAsia" w:eastAsiaTheme="minorEastAsia" w:cstheme="minorEastAsia"/>
          <w:b/>
          <w:sz w:val="24"/>
          <w:szCs w:val="24"/>
        </w:rPr>
      </w:pPr>
    </w:p>
    <w:p w14:paraId="6820FD64">
      <w:pPr>
        <w:outlineLvl w:val="9"/>
        <w:rPr>
          <w:rFonts w:hint="eastAsia" w:asciiTheme="minorEastAsia" w:hAnsiTheme="minorEastAsia" w:eastAsiaTheme="minorEastAsia" w:cstheme="minorEastAsia"/>
          <w:b/>
          <w:sz w:val="24"/>
          <w:szCs w:val="24"/>
        </w:rPr>
      </w:pPr>
    </w:p>
    <w:p w14:paraId="760BDFFE">
      <w:pPr>
        <w:outlineLvl w:val="9"/>
        <w:rPr>
          <w:rFonts w:hint="eastAsia" w:asciiTheme="minorEastAsia" w:hAnsiTheme="minorEastAsia" w:eastAsiaTheme="minorEastAsia" w:cstheme="minorEastAsia"/>
          <w:b/>
          <w:sz w:val="24"/>
          <w:szCs w:val="24"/>
        </w:rPr>
      </w:pPr>
    </w:p>
    <w:p w14:paraId="63EA4391">
      <w:pPr>
        <w:outlineLvl w:val="9"/>
        <w:rPr>
          <w:rFonts w:hint="eastAsia" w:asciiTheme="minorEastAsia" w:hAnsiTheme="minorEastAsia" w:eastAsiaTheme="minorEastAsia" w:cstheme="minorEastAsia"/>
          <w:b/>
          <w:sz w:val="24"/>
          <w:szCs w:val="24"/>
        </w:rPr>
      </w:pPr>
    </w:p>
    <w:p w14:paraId="783F8DBB">
      <w:pPr>
        <w:outlineLvl w:val="9"/>
        <w:rPr>
          <w:rFonts w:hint="eastAsia"/>
          <w:sz w:val="24"/>
          <w:szCs w:val="24"/>
        </w:rPr>
      </w:pPr>
    </w:p>
    <w:p w14:paraId="1DFB2233">
      <w:pPr>
        <w:widowControl/>
        <w:snapToGrid w:val="0"/>
        <w:spacing w:before="156" w:beforeLines="50" w:line="560" w:lineRule="exact"/>
        <w:jc w:val="left"/>
        <w:outlineLvl w:val="2"/>
        <w:rPr>
          <w:rFonts w:hint="eastAsia" w:asciiTheme="minorEastAsia" w:hAnsiTheme="minorEastAsia" w:eastAsiaTheme="minorEastAsia" w:cstheme="minorEastAsia"/>
          <w:b/>
          <w:sz w:val="28"/>
          <w:szCs w:val="28"/>
        </w:rPr>
      </w:pPr>
      <w:bookmarkStart w:id="416" w:name="_Toc18183"/>
      <w:bookmarkStart w:id="417" w:name="_Toc31901"/>
      <w:bookmarkStart w:id="418" w:name="_Toc27782"/>
      <w:bookmarkStart w:id="419" w:name="_Toc21545_WPSOffice_Level3"/>
      <w:bookmarkStart w:id="420" w:name="_Toc1081"/>
      <w:bookmarkStart w:id="421" w:name="_Toc23035_WPSOffice_Level2"/>
      <w:bookmarkStart w:id="422" w:name="_Toc19566"/>
      <w:r>
        <w:rPr>
          <w:rFonts w:hint="eastAsia" w:asciiTheme="minorEastAsia" w:hAnsiTheme="minorEastAsia" w:eastAsiaTheme="minorEastAsia" w:cstheme="minorEastAsia"/>
          <w:b/>
          <w:sz w:val="28"/>
          <w:szCs w:val="28"/>
        </w:rPr>
        <w:t>附件3：法定代表人授权书</w:t>
      </w:r>
      <w:bookmarkEnd w:id="416"/>
      <w:bookmarkEnd w:id="417"/>
      <w:bookmarkEnd w:id="418"/>
      <w:bookmarkEnd w:id="419"/>
      <w:bookmarkEnd w:id="420"/>
      <w:bookmarkEnd w:id="421"/>
      <w:bookmarkEnd w:id="422"/>
    </w:p>
    <w:p w14:paraId="708D123C">
      <w:pPr>
        <w:spacing w:before="156" w:beforeLines="50" w:line="560" w:lineRule="exact"/>
        <w:ind w:left="0" w:leftChars="0" w:firstLine="0" w:firstLineChars="0"/>
        <w:jc w:val="center"/>
        <w:outlineLvl w:val="9"/>
        <w:rPr>
          <w:rFonts w:hint="eastAsia" w:asciiTheme="minorEastAsia" w:hAnsiTheme="minorEastAsia" w:eastAsiaTheme="minorEastAsia" w:cstheme="minorEastAsia"/>
          <w:b/>
          <w:sz w:val="24"/>
          <w:szCs w:val="24"/>
        </w:rPr>
      </w:pPr>
      <w:bookmarkStart w:id="423" w:name="_Toc26434_WPSOffice_Level2"/>
      <w:bookmarkStart w:id="424" w:name="_Toc1148_WPSOffice_Level3"/>
      <w:bookmarkStart w:id="425" w:name="_Toc5048_WPSOffice_Level2"/>
      <w:r>
        <w:rPr>
          <w:rFonts w:hint="eastAsia" w:asciiTheme="minorEastAsia" w:hAnsiTheme="minorEastAsia" w:eastAsiaTheme="minorEastAsia" w:cstheme="minorEastAsia"/>
          <w:b/>
          <w:sz w:val="24"/>
          <w:szCs w:val="24"/>
        </w:rPr>
        <w:t>法定代表人授权书</w:t>
      </w:r>
      <w:bookmarkEnd w:id="423"/>
      <w:bookmarkEnd w:id="424"/>
      <w:bookmarkEnd w:id="425"/>
    </w:p>
    <w:p w14:paraId="1050783A">
      <w:pPr>
        <w:spacing w:line="560" w:lineRule="exact"/>
        <w:ind w:firstLine="196" w:firstLineChars="82"/>
        <w:outlineLvl w:val="9"/>
        <w:rPr>
          <w:rFonts w:hint="eastAsia" w:asciiTheme="minorEastAsia" w:hAnsiTheme="minorEastAsia" w:eastAsiaTheme="minorEastAsia" w:cstheme="minorEastAsia"/>
          <w:sz w:val="24"/>
          <w:szCs w:val="24"/>
          <w:u w:val="single"/>
          <w:lang w:eastAsia="zh-CN"/>
        </w:rPr>
      </w:pPr>
      <w:bookmarkStart w:id="426" w:name="_Toc6307_WPSOffice_Level2"/>
      <w:bookmarkStart w:id="427" w:name="_Toc16084_WPSOffice_Level2"/>
      <w:bookmarkStart w:id="428" w:name="_Toc25306_WPSOffice_Level2"/>
      <w:r>
        <w:rPr>
          <w:rFonts w:hint="eastAsia" w:asciiTheme="minorEastAsia" w:hAnsiTheme="minorEastAsia" w:eastAsiaTheme="minorEastAsia" w:cstheme="minorEastAsia"/>
          <w:bCs/>
          <w:sz w:val="24"/>
          <w:szCs w:val="24"/>
        </w:rPr>
        <w:t>致：</w:t>
      </w:r>
      <w:bookmarkEnd w:id="426"/>
      <w:bookmarkEnd w:id="427"/>
      <w:bookmarkEnd w:id="428"/>
      <w:r>
        <w:rPr>
          <w:rFonts w:hint="eastAsia" w:asciiTheme="minorEastAsia" w:hAnsiTheme="minorEastAsia" w:eastAsiaTheme="minorEastAsia" w:cstheme="minorEastAsia"/>
          <w:sz w:val="24"/>
          <w:szCs w:val="24"/>
          <w:lang w:eastAsia="zh-CN"/>
        </w:rPr>
        <w:t>德令哈城乡建设综合开发有限公司</w:t>
      </w:r>
    </w:p>
    <w:p w14:paraId="588AA496">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（供应商名称）  </w:t>
      </w:r>
      <w:r>
        <w:rPr>
          <w:rFonts w:hint="eastAsia" w:asciiTheme="minorEastAsia" w:hAnsiTheme="minorEastAsia" w:eastAsiaTheme="minorEastAsia" w:cstheme="minorEastAsia"/>
          <w:sz w:val="24"/>
          <w:szCs w:val="24"/>
        </w:rPr>
        <w:t>系中华人民共和国合法企业，法定地址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13327838">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（法定代表人姓名）   </w:t>
      </w:r>
      <w:r>
        <w:rPr>
          <w:rFonts w:hint="eastAsia" w:asciiTheme="minorEastAsia" w:hAnsiTheme="minorEastAsia" w:eastAsiaTheme="minorEastAsia" w:cstheme="minorEastAsia"/>
          <w:sz w:val="24"/>
          <w:szCs w:val="24"/>
        </w:rPr>
        <w:t>特授权</w:t>
      </w:r>
      <w:r>
        <w:rPr>
          <w:rFonts w:hint="eastAsia" w:asciiTheme="minorEastAsia" w:hAnsiTheme="minorEastAsia" w:eastAsiaTheme="minorEastAsia" w:cstheme="minorEastAsia"/>
          <w:sz w:val="24"/>
          <w:szCs w:val="24"/>
          <w:u w:val="single"/>
        </w:rPr>
        <w:t xml:space="preserve"> （委托代理人姓名）    </w:t>
      </w:r>
      <w:r>
        <w:rPr>
          <w:rFonts w:hint="eastAsia" w:asciiTheme="minorEastAsia" w:hAnsiTheme="minorEastAsia" w:eastAsiaTheme="minorEastAsia" w:cstheme="minorEastAsia"/>
          <w:sz w:val="24"/>
          <w:szCs w:val="24"/>
        </w:rPr>
        <w:t>代表我单位全权办理针对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项目的谈判、答疑等具体工作，并签署全部有关的文件、资料。</w:t>
      </w:r>
    </w:p>
    <w:p w14:paraId="374FA70A">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我单位对被授权人的签名负全部责任。</w:t>
      </w:r>
    </w:p>
    <w:p w14:paraId="31B81B8E">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在撤销授权的书面通知以前，本授权书一直有效，被授权人签署的所有文件（在授权书有效期内签署的）不因授权的撤销而失效。</w:t>
      </w:r>
    </w:p>
    <w:p w14:paraId="116F209F">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授权期限：自</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日起至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日止。</w:t>
      </w:r>
    </w:p>
    <w:p w14:paraId="7552D9C0">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被授权人联系电话：</w:t>
      </w:r>
      <w:r>
        <w:rPr>
          <w:rFonts w:hint="eastAsia" w:asciiTheme="minorEastAsia" w:hAnsiTheme="minorEastAsia" w:eastAsiaTheme="minorEastAsia" w:cstheme="minorEastAsia"/>
          <w:sz w:val="24"/>
          <w:szCs w:val="24"/>
          <w:u w:val="single"/>
        </w:rPr>
        <w:t xml:space="preserve">          </w:t>
      </w:r>
    </w:p>
    <w:p w14:paraId="724E68EE">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被授权人（委托代理人）签字或盖章：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14:paraId="129576D8">
      <w:pPr>
        <w:spacing w:line="560" w:lineRule="exact"/>
        <w:ind w:firstLine="480" w:firstLineChars="200"/>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授权人（法定代表人）签字或盖章：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14:paraId="0706DD05">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附被授权人第二代身份证双面扫描（或复印）件</w:t>
      </w:r>
    </w:p>
    <w:p w14:paraId="5E59CE3E">
      <w:pPr>
        <w:spacing w:before="156" w:beforeLines="50" w:line="560" w:lineRule="exact"/>
        <w:ind w:firstLine="3600" w:firstLineChars="1500"/>
        <w:jc w:val="right"/>
        <w:outlineLvl w:val="9"/>
        <w:rPr>
          <w:rFonts w:hint="eastAsia" w:asciiTheme="minorEastAsia" w:hAnsiTheme="minorEastAsia" w:eastAsiaTheme="minorEastAsia" w:cstheme="minorEastAsia"/>
          <w:bCs/>
          <w:sz w:val="24"/>
          <w:szCs w:val="24"/>
        </w:rPr>
      </w:pPr>
      <w:bookmarkStart w:id="429" w:name="_Toc13837_WPSOffice_Level3"/>
      <w:r>
        <w:rPr>
          <w:rFonts w:hint="eastAsia" w:asciiTheme="minorEastAsia" w:hAnsiTheme="minorEastAsia" w:eastAsiaTheme="minorEastAsia" w:cstheme="minorEastAsia"/>
          <w:bCs/>
          <w:sz w:val="24"/>
          <w:szCs w:val="24"/>
        </w:rPr>
        <w:t>单位名称：</w:t>
      </w:r>
      <w:r>
        <w:rPr>
          <w:rFonts w:hint="eastAsia" w:asciiTheme="minorEastAsia" w:hAnsiTheme="minorEastAsia" w:eastAsiaTheme="minorEastAsia" w:cstheme="minorEastAsia"/>
          <w:bCs/>
          <w:kern w:val="0"/>
          <w:sz w:val="24"/>
          <w:szCs w:val="24"/>
          <w:u w:val="single"/>
        </w:rPr>
        <w:t xml:space="preserve">       </w:t>
      </w:r>
      <w:r>
        <w:rPr>
          <w:rFonts w:hint="eastAsia" w:asciiTheme="minorEastAsia" w:hAnsiTheme="minorEastAsia" w:eastAsiaTheme="minorEastAsia" w:cstheme="minorEastAsia"/>
          <w:bCs/>
          <w:sz w:val="24"/>
          <w:szCs w:val="24"/>
        </w:rPr>
        <w:t>（公章）</w:t>
      </w:r>
      <w:bookmarkEnd w:id="429"/>
      <w:r>
        <w:rPr>
          <w:rFonts w:hint="eastAsia" w:asciiTheme="minorEastAsia" w:hAnsiTheme="minorEastAsia" w:eastAsiaTheme="minorEastAsia" w:cstheme="minorEastAsia"/>
          <w:bCs/>
          <w:sz w:val="24"/>
          <w:szCs w:val="24"/>
        </w:rPr>
        <w:t xml:space="preserve">    </w:t>
      </w:r>
    </w:p>
    <w:p w14:paraId="06E09AFA">
      <w:pPr>
        <w:spacing w:before="156" w:beforeLines="50" w:line="560" w:lineRule="exact"/>
        <w:ind w:firstLine="480" w:firstLineChars="200"/>
        <w:jc w:val="right"/>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rPr>
        <w:t xml:space="preserve">   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（签字或盖章）                               </w:t>
      </w:r>
      <w:bookmarkStart w:id="430" w:name="_Toc32599_WPSOffice_Level3"/>
      <w:bookmarkStart w:id="431" w:name="_Toc6591_WPSOffice_Level3"/>
      <w:r>
        <w:rPr>
          <w:rFonts w:hint="eastAsia" w:asciiTheme="minorEastAsia" w:hAnsiTheme="minorEastAsia" w:eastAsiaTheme="minorEastAsia" w:cstheme="minorEastAsia"/>
          <w:bCs/>
          <w:sz w:val="24"/>
          <w:szCs w:val="24"/>
        </w:rPr>
        <w:t>年   月   日</w:t>
      </w:r>
      <w:bookmarkEnd w:id="430"/>
      <w:bookmarkEnd w:id="431"/>
    </w:p>
    <w:p w14:paraId="277A3B3D">
      <w:pPr>
        <w:widowControl/>
        <w:snapToGrid w:val="0"/>
        <w:spacing w:before="156" w:beforeLines="50" w:line="560" w:lineRule="exact"/>
        <w:jc w:val="left"/>
        <w:outlineLvl w:val="9"/>
        <w:rPr>
          <w:rFonts w:hint="eastAsia" w:asciiTheme="minorEastAsia" w:hAnsiTheme="minorEastAsia" w:eastAsiaTheme="minorEastAsia" w:cstheme="minorEastAsia"/>
          <w:b/>
          <w:sz w:val="24"/>
          <w:szCs w:val="24"/>
        </w:rPr>
      </w:pPr>
      <w:bookmarkStart w:id="432" w:name="_Toc23618"/>
      <w:bookmarkStart w:id="433" w:name="_Toc26653_WPSOffice_Level3"/>
      <w:bookmarkStart w:id="434" w:name="_Toc16704"/>
      <w:bookmarkStart w:id="435" w:name="_Toc7737_WPSOffice_Level3"/>
      <w:bookmarkStart w:id="436" w:name="_Toc30919"/>
    </w:p>
    <w:p w14:paraId="596564BD">
      <w:pPr>
        <w:widowControl/>
        <w:snapToGrid w:val="0"/>
        <w:spacing w:before="156" w:beforeLines="50" w:line="560" w:lineRule="exact"/>
        <w:jc w:val="left"/>
        <w:outlineLvl w:val="9"/>
        <w:rPr>
          <w:rFonts w:hint="eastAsia" w:asciiTheme="minorEastAsia" w:hAnsiTheme="minorEastAsia" w:eastAsiaTheme="minorEastAsia" w:cstheme="minorEastAsia"/>
          <w:b/>
          <w:sz w:val="24"/>
          <w:szCs w:val="24"/>
        </w:rPr>
      </w:pPr>
    </w:p>
    <w:p w14:paraId="73C1FE2F">
      <w:pPr>
        <w:widowControl/>
        <w:snapToGrid w:val="0"/>
        <w:spacing w:before="156" w:beforeLines="50" w:line="560" w:lineRule="exact"/>
        <w:jc w:val="left"/>
        <w:outlineLvl w:val="9"/>
        <w:rPr>
          <w:rFonts w:hint="eastAsia" w:asciiTheme="minorEastAsia" w:hAnsiTheme="minorEastAsia" w:eastAsiaTheme="minorEastAsia" w:cstheme="minorEastAsia"/>
          <w:b/>
          <w:sz w:val="24"/>
          <w:szCs w:val="24"/>
        </w:rPr>
      </w:pPr>
    </w:p>
    <w:p w14:paraId="09C5F8F2">
      <w:pPr>
        <w:widowControl/>
        <w:snapToGrid w:val="0"/>
        <w:spacing w:before="156" w:beforeLines="50" w:line="560" w:lineRule="exact"/>
        <w:jc w:val="left"/>
        <w:outlineLvl w:val="9"/>
        <w:rPr>
          <w:rFonts w:hint="eastAsia" w:asciiTheme="minorEastAsia" w:hAnsiTheme="minorEastAsia" w:eastAsiaTheme="minorEastAsia" w:cstheme="minorEastAsia"/>
          <w:b/>
          <w:sz w:val="24"/>
          <w:szCs w:val="24"/>
        </w:rPr>
      </w:pPr>
    </w:p>
    <w:p w14:paraId="4A5645DD">
      <w:pPr>
        <w:widowControl/>
        <w:snapToGrid w:val="0"/>
        <w:spacing w:before="156" w:beforeLines="50" w:line="560" w:lineRule="exact"/>
        <w:jc w:val="left"/>
        <w:outlineLvl w:val="2"/>
        <w:rPr>
          <w:rFonts w:hint="eastAsia" w:asciiTheme="minorEastAsia" w:hAnsiTheme="minorEastAsia" w:eastAsiaTheme="minorEastAsia" w:cstheme="minorEastAsia"/>
          <w:b/>
          <w:sz w:val="28"/>
          <w:szCs w:val="28"/>
        </w:rPr>
      </w:pPr>
      <w:bookmarkStart w:id="437" w:name="_Toc14074"/>
      <w:bookmarkStart w:id="438" w:name="_Toc302"/>
      <w:r>
        <w:rPr>
          <w:rFonts w:hint="eastAsia" w:asciiTheme="minorEastAsia" w:hAnsiTheme="minorEastAsia" w:eastAsiaTheme="minorEastAsia" w:cstheme="minorEastAsia"/>
          <w:b/>
          <w:sz w:val="28"/>
          <w:szCs w:val="28"/>
        </w:rPr>
        <w:t>附件4：供应商承诺函</w:t>
      </w:r>
      <w:bookmarkEnd w:id="432"/>
      <w:bookmarkEnd w:id="433"/>
      <w:bookmarkEnd w:id="434"/>
      <w:bookmarkEnd w:id="435"/>
      <w:bookmarkEnd w:id="436"/>
      <w:bookmarkEnd w:id="437"/>
      <w:bookmarkEnd w:id="438"/>
    </w:p>
    <w:p w14:paraId="0EB822C5">
      <w:pPr>
        <w:spacing w:before="156" w:beforeLines="50" w:line="560" w:lineRule="exact"/>
        <w:ind w:left="0" w:leftChars="0" w:firstLine="0" w:firstLineChars="0"/>
        <w:jc w:val="center"/>
        <w:outlineLvl w:val="9"/>
        <w:rPr>
          <w:rFonts w:hint="eastAsia" w:asciiTheme="minorEastAsia" w:hAnsiTheme="minorEastAsia" w:eastAsiaTheme="minorEastAsia" w:cstheme="minorEastAsia"/>
          <w:b/>
          <w:sz w:val="24"/>
          <w:szCs w:val="24"/>
        </w:rPr>
      </w:pPr>
      <w:bookmarkStart w:id="439" w:name="_Toc17639_WPSOffice_Level2"/>
      <w:bookmarkStart w:id="440" w:name="_Toc27597_WPSOffice_Level3"/>
      <w:bookmarkStart w:id="441" w:name="_Toc2453_WPSOffice_Level2"/>
      <w:r>
        <w:rPr>
          <w:rFonts w:hint="eastAsia" w:asciiTheme="minorEastAsia" w:hAnsiTheme="minorEastAsia" w:eastAsiaTheme="minorEastAsia" w:cstheme="minorEastAsia"/>
          <w:b/>
          <w:sz w:val="24"/>
          <w:szCs w:val="24"/>
        </w:rPr>
        <w:t>供应商承诺函</w:t>
      </w:r>
      <w:bookmarkEnd w:id="439"/>
      <w:bookmarkEnd w:id="440"/>
      <w:bookmarkEnd w:id="441"/>
    </w:p>
    <w:p w14:paraId="699C0F25">
      <w:pPr>
        <w:spacing w:line="560" w:lineRule="exact"/>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lang w:eastAsia="zh-CN"/>
        </w:rPr>
        <w:t>德令哈城乡建设综合开发有限公司</w:t>
      </w:r>
    </w:p>
    <w:p w14:paraId="5FE0A662">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关于贵方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（项目名称及编号）采购项目，本签字人愿意参加谈判，提供采购一览表中要求的所有产品，并证实提交的所有资料是准确的和真实的。同时，我代表</w:t>
      </w:r>
      <w:r>
        <w:rPr>
          <w:rFonts w:hint="eastAsia" w:asciiTheme="minorEastAsia" w:hAnsiTheme="minorEastAsia" w:eastAsiaTheme="minorEastAsia" w:cstheme="minorEastAsia"/>
          <w:sz w:val="24"/>
          <w:szCs w:val="24"/>
          <w:u w:val="single"/>
        </w:rPr>
        <w:t>（供应商名称）</w:t>
      </w:r>
      <w:r>
        <w:rPr>
          <w:rFonts w:hint="eastAsia" w:asciiTheme="minorEastAsia" w:hAnsiTheme="minorEastAsia" w:eastAsiaTheme="minorEastAsia" w:cstheme="minorEastAsia"/>
          <w:sz w:val="24"/>
          <w:szCs w:val="24"/>
        </w:rPr>
        <w:t>，在此作如下承诺：</w:t>
      </w:r>
    </w:p>
    <w:p w14:paraId="724ABF1C">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1、完全理解和接受谈判文件的一切规定和要求；</w:t>
      </w:r>
    </w:p>
    <w:p w14:paraId="72B1D68C">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成交，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4D192C1D">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3、我方保证甲方在使用该产品或其任何一部分时，不受第三方提出的侵犯专利权、著作权、商标权和工业设计权等知识产权的起诉，若有违反，愿承担相应的一切责任。</w:t>
      </w:r>
    </w:p>
    <w:p w14:paraId="2AAD2CF5">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4、我方承诺，除谈判文件中规定的优质产品外，所投的产品均为国产产品，且均符合国家强制性标准。若有不实，愿承担相应的责任。</w:t>
      </w:r>
    </w:p>
    <w:p w14:paraId="3B09B094">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5、在整个谈判过程中我方若有违规行为，贵方可按谈判文件之规定给予处罚，我方完全接受。</w:t>
      </w:r>
    </w:p>
    <w:p w14:paraId="53BD958A">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6、若成交，本承诺将成为合同不可分割的一部分，与合同具有同等的法律效力。</w:t>
      </w:r>
    </w:p>
    <w:p w14:paraId="16467D64">
      <w:pPr>
        <w:spacing w:line="560" w:lineRule="exact"/>
        <w:ind w:firstLine="482"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Cs/>
          <w:sz w:val="24"/>
          <w:szCs w:val="24"/>
        </w:rPr>
        <w:t xml:space="preserve"> </w:t>
      </w:r>
      <w:bookmarkStart w:id="442" w:name="_Toc29941_WPSOffice_Level3"/>
      <w:r>
        <w:rPr>
          <w:rFonts w:hint="eastAsia" w:asciiTheme="minorEastAsia" w:hAnsiTheme="minorEastAsia" w:eastAsiaTheme="minorEastAsia" w:cstheme="minorEastAsia"/>
          <w:bCs/>
          <w:sz w:val="24"/>
          <w:szCs w:val="24"/>
        </w:rPr>
        <w:t xml:space="preserve">  </w:t>
      </w:r>
      <w:bookmarkStart w:id="443" w:name="_Toc11979_WPSOffice_Level3"/>
      <w:r>
        <w:rPr>
          <w:rFonts w:hint="eastAsia" w:asciiTheme="minorEastAsia" w:hAnsiTheme="minorEastAsia" w:eastAsiaTheme="minorEastAsia" w:cstheme="minorEastAsia"/>
          <w:bCs/>
          <w:sz w:val="24"/>
          <w:szCs w:val="24"/>
        </w:rPr>
        <w:t>单位名称：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（公章）</w:t>
      </w:r>
      <w:bookmarkEnd w:id="442"/>
      <w:bookmarkEnd w:id="443"/>
    </w:p>
    <w:p w14:paraId="4453F3D1">
      <w:pPr>
        <w:spacing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444" w:name="_Toc22507_WPSOffice_Level3"/>
      <w:bookmarkStart w:id="445" w:name="_Toc15106_WPSOffice_Level3"/>
      <w:r>
        <w:rPr>
          <w:rFonts w:hint="eastAsia" w:asciiTheme="minorEastAsia" w:hAnsiTheme="minorEastAsia" w:eastAsiaTheme="minorEastAsia" w:cstheme="minorEastAsia"/>
          <w:bCs/>
          <w:sz w:val="24"/>
          <w:szCs w:val="24"/>
        </w:rPr>
        <w:t>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（签字或盖章）</w:t>
      </w:r>
      <w:bookmarkEnd w:id="444"/>
      <w:bookmarkEnd w:id="445"/>
    </w:p>
    <w:p w14:paraId="1A141163">
      <w:pPr>
        <w:spacing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446" w:name="_Toc24254_WPSOffice_Level3"/>
      <w:r>
        <w:rPr>
          <w:rFonts w:hint="eastAsia" w:asciiTheme="minorEastAsia" w:hAnsiTheme="minorEastAsia" w:eastAsiaTheme="minorEastAsia" w:cstheme="minorEastAsia"/>
          <w:bCs/>
          <w:sz w:val="24"/>
          <w:szCs w:val="24"/>
        </w:rPr>
        <w:t xml:space="preserve">                      </w:t>
      </w:r>
      <w:bookmarkStart w:id="447" w:name="_Toc9343_WPSOffice_Level3"/>
      <w:r>
        <w:rPr>
          <w:rFonts w:hint="eastAsia" w:asciiTheme="minorEastAsia" w:hAnsiTheme="minorEastAsia" w:eastAsiaTheme="minorEastAsia" w:cstheme="minorEastAsia"/>
          <w:bCs/>
          <w:sz w:val="24"/>
          <w:szCs w:val="24"/>
        </w:rPr>
        <w:t>年   月  日</w:t>
      </w:r>
      <w:bookmarkEnd w:id="446"/>
      <w:bookmarkEnd w:id="447"/>
    </w:p>
    <w:p w14:paraId="170B824A">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bookmarkStart w:id="448" w:name="_Toc6416"/>
      <w:bookmarkStart w:id="449" w:name="_Toc20884"/>
      <w:bookmarkStart w:id="450" w:name="_Toc25740"/>
      <w:bookmarkStart w:id="451" w:name="_Toc653_WPSOffice_Level3"/>
      <w:bookmarkStart w:id="452" w:name="_Toc26773_WPSOffice_Level3"/>
    </w:p>
    <w:p w14:paraId="6689F17E">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p w14:paraId="5D182457">
      <w:pPr>
        <w:widowControl/>
        <w:snapToGrid w:val="0"/>
        <w:spacing w:before="156" w:beforeLines="50" w:line="560" w:lineRule="exact"/>
        <w:jc w:val="left"/>
        <w:outlineLvl w:val="2"/>
        <w:rPr>
          <w:rFonts w:hint="eastAsia" w:asciiTheme="minorEastAsia" w:hAnsiTheme="minorEastAsia" w:eastAsiaTheme="minorEastAsia" w:cstheme="minorEastAsia"/>
          <w:b/>
          <w:sz w:val="28"/>
          <w:szCs w:val="28"/>
        </w:rPr>
      </w:pPr>
      <w:bookmarkStart w:id="453" w:name="_Toc31629"/>
      <w:bookmarkStart w:id="454" w:name="_Toc28924"/>
      <w:r>
        <w:rPr>
          <w:rFonts w:hint="eastAsia" w:asciiTheme="minorEastAsia" w:hAnsiTheme="minorEastAsia" w:eastAsiaTheme="minorEastAsia" w:cstheme="minorEastAsia"/>
          <w:b/>
          <w:sz w:val="28"/>
          <w:szCs w:val="28"/>
        </w:rPr>
        <w:t>附件5：供应商诚信承诺书</w:t>
      </w:r>
      <w:bookmarkEnd w:id="448"/>
      <w:bookmarkEnd w:id="449"/>
      <w:bookmarkEnd w:id="450"/>
      <w:bookmarkEnd w:id="451"/>
      <w:bookmarkEnd w:id="452"/>
      <w:bookmarkEnd w:id="453"/>
      <w:bookmarkEnd w:id="454"/>
    </w:p>
    <w:p w14:paraId="1C8C5277">
      <w:pPr>
        <w:spacing w:before="156" w:beforeLines="50" w:line="560" w:lineRule="exact"/>
        <w:jc w:val="center"/>
        <w:outlineLvl w:val="9"/>
        <w:rPr>
          <w:rFonts w:hint="eastAsia" w:asciiTheme="minorEastAsia" w:hAnsiTheme="minorEastAsia" w:eastAsiaTheme="minorEastAsia" w:cstheme="minorEastAsia"/>
          <w:b/>
          <w:sz w:val="24"/>
          <w:szCs w:val="24"/>
        </w:rPr>
      </w:pPr>
      <w:bookmarkStart w:id="455" w:name="_Toc22537_WPSOffice_Level3"/>
      <w:bookmarkStart w:id="456" w:name="_Toc22989_WPSOffice_Level3"/>
      <w:r>
        <w:rPr>
          <w:rFonts w:hint="eastAsia" w:asciiTheme="minorEastAsia" w:hAnsiTheme="minorEastAsia" w:eastAsiaTheme="minorEastAsia" w:cstheme="minorEastAsia"/>
          <w:b/>
          <w:sz w:val="24"/>
          <w:szCs w:val="24"/>
        </w:rPr>
        <w:t>供应商诚信承诺书</w:t>
      </w:r>
      <w:bookmarkEnd w:id="455"/>
      <w:bookmarkEnd w:id="456"/>
    </w:p>
    <w:p w14:paraId="7E6582E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lang w:eastAsia="zh-CN"/>
        </w:rPr>
        <w:t>德令哈城乡建设综合开发有限公司</w:t>
      </w:r>
    </w:p>
    <w:p w14:paraId="489A33A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为了诚实、客观、有序地参与青海省政府采购活动，愿就以下内容作出承诺：</w:t>
      </w:r>
    </w:p>
    <w:p w14:paraId="423459E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1、自觉遵守各项法律、法规、规章、制度以及社会公德，维护廉洁环境，与同场竞争的供应商平等参加政府采购活动。</w:t>
      </w:r>
    </w:p>
    <w:p w14:paraId="0A75A63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2、参加贵单位组织的政府采购活动时，严格按照谈判文件的规定和要求提供所需的相关材料，并对所提供的各类资料的真实性负责，不虚假响应，不虚列业绩。</w:t>
      </w:r>
    </w:p>
    <w:p w14:paraId="077D9EF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3、尊重参与政府采购活动各相关方的合法行为，接受政府采购活动依法形成的意见、结果。</w:t>
      </w:r>
    </w:p>
    <w:p w14:paraId="7AF73DD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4、依法参加政府采购活动，不围标、串标，维护市场秩序，不提供“三无”产品、以次充好。</w:t>
      </w:r>
    </w:p>
    <w:p w14:paraId="3977F5E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5、积极推动政府采购活动健康开展，对采购活动有疑问、异议时，按法律规定的程序实名（加盖单位公章和法定代表人签名）反映情况，不恶意中伤、无事生非，以和谐、平等的心态参加政府采购活动。</w:t>
      </w:r>
    </w:p>
    <w:p w14:paraId="56AEEF0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6、认真履行成交供应商应承担的责任和义务，全面执行采购合同规定的各项内容，保质保量地按时提供采购物品。</w:t>
      </w:r>
    </w:p>
    <w:p w14:paraId="4277CF1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若本企业（单位）发生有悖于上述承诺的行为，愿意接受《中华人民共和国政府采购法》和《政府采购法实施条例》中对供应商的相关处理。</w:t>
      </w:r>
    </w:p>
    <w:p w14:paraId="56439DB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本承诺是采购项目谈判响应文件的组成部分。</w:t>
      </w:r>
    </w:p>
    <w:p w14:paraId="55B921F3">
      <w:pPr>
        <w:keepNext w:val="0"/>
        <w:keepLines w:val="0"/>
        <w:pageBreakBefore w:val="0"/>
        <w:widowControl w:val="0"/>
        <w:kinsoku/>
        <w:wordWrap/>
        <w:overflowPunct/>
        <w:topLinePunct w:val="0"/>
        <w:autoSpaceDE/>
        <w:autoSpaceDN/>
        <w:bidi w:val="0"/>
        <w:adjustRightInd/>
        <w:snapToGrid/>
        <w:spacing w:before="156" w:beforeLines="50" w:line="520" w:lineRule="exact"/>
        <w:ind w:firstLine="482" w:firstLineChars="200"/>
        <w:jc w:val="center"/>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Cs/>
          <w:sz w:val="24"/>
          <w:szCs w:val="24"/>
        </w:rPr>
        <w:t xml:space="preserve"> </w:t>
      </w:r>
      <w:bookmarkStart w:id="457" w:name="_Toc2830_WPSOffice_Level3"/>
      <w:bookmarkStart w:id="458" w:name="_Toc23784_WPSOffice_Level3"/>
      <w:r>
        <w:rPr>
          <w:rFonts w:hint="eastAsia" w:asciiTheme="minorEastAsia" w:hAnsiTheme="minorEastAsia" w:eastAsiaTheme="minorEastAsia" w:cstheme="minorEastAsia"/>
          <w:bCs/>
          <w:sz w:val="24"/>
          <w:szCs w:val="24"/>
        </w:rPr>
        <w:t>单位名称：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（公章）</w:t>
      </w:r>
      <w:bookmarkEnd w:id="457"/>
      <w:bookmarkEnd w:id="458"/>
    </w:p>
    <w:p w14:paraId="2923F9EC">
      <w:pPr>
        <w:keepNext w:val="0"/>
        <w:keepLines w:val="0"/>
        <w:pageBreakBefore w:val="0"/>
        <w:widowControl w:val="0"/>
        <w:kinsoku/>
        <w:wordWrap/>
        <w:overflowPunct/>
        <w:topLinePunct w:val="0"/>
        <w:autoSpaceDE/>
        <w:autoSpaceDN/>
        <w:bidi w:val="0"/>
        <w:adjustRightInd/>
        <w:snapToGrid/>
        <w:spacing w:before="156" w:beforeLines="50" w:line="520" w:lineRule="exact"/>
        <w:ind w:firstLine="480" w:firstLineChars="200"/>
        <w:jc w:val="center"/>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459" w:name="_Toc13573_WPSOffice_Level3"/>
      <w:bookmarkStart w:id="460" w:name="_Toc25026_WPSOffice_Level3"/>
      <w:r>
        <w:rPr>
          <w:rFonts w:hint="eastAsia" w:asciiTheme="minorEastAsia" w:hAnsiTheme="minorEastAsia" w:eastAsiaTheme="minorEastAsia" w:cstheme="minorEastAsia"/>
          <w:bCs/>
          <w:sz w:val="24"/>
          <w:szCs w:val="24"/>
        </w:rPr>
        <w:t>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（签字或盖章）</w:t>
      </w:r>
      <w:bookmarkEnd w:id="459"/>
      <w:bookmarkEnd w:id="460"/>
    </w:p>
    <w:p w14:paraId="1F502506">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461" w:name="_Toc5564_WPSOffice_Level3"/>
      <w:r>
        <w:rPr>
          <w:rFonts w:hint="eastAsia" w:asciiTheme="minorEastAsia" w:hAnsiTheme="minorEastAsia" w:eastAsiaTheme="minorEastAsia" w:cstheme="minorEastAsia"/>
          <w:bCs/>
          <w:sz w:val="24"/>
          <w:szCs w:val="24"/>
        </w:rPr>
        <w:t xml:space="preserve">                      </w:t>
      </w:r>
      <w:bookmarkStart w:id="462" w:name="_Toc12645_WPSOffice_Level3"/>
      <w:r>
        <w:rPr>
          <w:rFonts w:hint="eastAsia" w:asciiTheme="minorEastAsia" w:hAnsiTheme="minorEastAsia" w:eastAsiaTheme="minorEastAsia" w:cstheme="minorEastAsia"/>
          <w:bCs/>
          <w:sz w:val="24"/>
          <w:szCs w:val="24"/>
        </w:rPr>
        <w:t>年   月  日</w:t>
      </w:r>
      <w:bookmarkEnd w:id="461"/>
      <w:bookmarkEnd w:id="462"/>
    </w:p>
    <w:p w14:paraId="085DDEE0">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p>
    <w:p w14:paraId="5A79CF22">
      <w:pPr>
        <w:widowControl/>
        <w:snapToGrid w:val="0"/>
        <w:spacing w:before="156" w:beforeLines="50" w:line="560" w:lineRule="exact"/>
        <w:jc w:val="left"/>
        <w:outlineLvl w:val="2"/>
        <w:rPr>
          <w:rFonts w:hint="eastAsia" w:asciiTheme="minorEastAsia" w:hAnsiTheme="minorEastAsia" w:eastAsiaTheme="minorEastAsia" w:cstheme="minorEastAsia"/>
          <w:b/>
          <w:sz w:val="28"/>
          <w:szCs w:val="28"/>
        </w:rPr>
      </w:pPr>
      <w:bookmarkStart w:id="463" w:name="_Toc19930_WPSOffice_Level3"/>
      <w:bookmarkStart w:id="464" w:name="_Toc16847"/>
      <w:bookmarkStart w:id="465" w:name="_Toc6033"/>
      <w:bookmarkStart w:id="466" w:name="_Toc25242"/>
      <w:bookmarkStart w:id="467" w:name="_Toc8368_WPSOffice_Level3"/>
      <w:bookmarkStart w:id="468" w:name="_Toc31850"/>
      <w:bookmarkStart w:id="469" w:name="_Toc20846"/>
      <w:r>
        <w:rPr>
          <w:rFonts w:hint="eastAsia" w:asciiTheme="minorEastAsia" w:hAnsiTheme="minorEastAsia" w:eastAsiaTheme="minorEastAsia" w:cstheme="minorEastAsia"/>
          <w:b/>
          <w:sz w:val="28"/>
          <w:szCs w:val="28"/>
        </w:rPr>
        <w:t>附件6：供应商资格证明文件</w:t>
      </w:r>
      <w:bookmarkEnd w:id="463"/>
      <w:bookmarkEnd w:id="464"/>
      <w:bookmarkEnd w:id="465"/>
      <w:bookmarkEnd w:id="466"/>
      <w:bookmarkEnd w:id="467"/>
      <w:bookmarkEnd w:id="468"/>
      <w:bookmarkEnd w:id="469"/>
    </w:p>
    <w:p w14:paraId="265F8D78">
      <w:pPr>
        <w:spacing w:before="156" w:beforeLines="50" w:line="560" w:lineRule="exact"/>
        <w:jc w:val="center"/>
        <w:outlineLvl w:val="9"/>
        <w:rPr>
          <w:rFonts w:hint="eastAsia" w:asciiTheme="minorEastAsia" w:hAnsiTheme="minorEastAsia" w:eastAsiaTheme="minorEastAsia" w:cstheme="minorEastAsia"/>
          <w:sz w:val="24"/>
          <w:szCs w:val="24"/>
        </w:rPr>
      </w:pPr>
      <w:bookmarkStart w:id="470" w:name="_Toc23997_WPSOffice_Level3"/>
      <w:bookmarkStart w:id="471" w:name="_Toc9360_WPSOffice_Level3"/>
      <w:r>
        <w:rPr>
          <w:rFonts w:hint="eastAsia" w:asciiTheme="minorEastAsia" w:hAnsiTheme="minorEastAsia" w:eastAsiaTheme="minorEastAsia" w:cstheme="minorEastAsia"/>
          <w:b/>
          <w:sz w:val="24"/>
          <w:szCs w:val="24"/>
        </w:rPr>
        <w:t>供应商资格证明文件</w:t>
      </w:r>
      <w:bookmarkEnd w:id="470"/>
      <w:bookmarkEnd w:id="471"/>
    </w:p>
    <w:p w14:paraId="137BF996">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资格证明材料包括：</w:t>
      </w:r>
    </w:p>
    <w:p w14:paraId="24878C83">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（1）单位法人营业执照、税务登记证、组织机构代码证；</w:t>
      </w:r>
    </w:p>
    <w:p w14:paraId="5196F134">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文件规定的有关资格证书、许可证书、认证等；</w:t>
      </w:r>
    </w:p>
    <w:p w14:paraId="194E17FD">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供应商简介及获得相关证书证明文件；</w:t>
      </w:r>
    </w:p>
    <w:p w14:paraId="2CA31B5C">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供应商认为有必要提供的其他资格证明文件。</w:t>
      </w:r>
    </w:p>
    <w:p w14:paraId="217FFF70">
      <w:pPr>
        <w:spacing w:line="560" w:lineRule="exact"/>
        <w:ind w:firstLine="480" w:firstLineChars="200"/>
        <w:outlineLvl w:val="9"/>
        <w:rPr>
          <w:rFonts w:hint="eastAsia" w:asciiTheme="minorEastAsia" w:hAnsiTheme="minorEastAsia" w:eastAsiaTheme="minorEastAsia" w:cstheme="minorEastAsia"/>
          <w:sz w:val="24"/>
          <w:szCs w:val="24"/>
        </w:rPr>
      </w:pPr>
    </w:p>
    <w:p w14:paraId="7DD2527E">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p w14:paraId="6D74BF54">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p w14:paraId="1BD81A92">
      <w:pPr>
        <w:outlineLvl w:val="9"/>
        <w:rPr>
          <w:rFonts w:hint="eastAsia"/>
          <w:sz w:val="24"/>
          <w:szCs w:val="24"/>
        </w:rPr>
      </w:pPr>
    </w:p>
    <w:p w14:paraId="361213B1">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bookmarkStart w:id="472" w:name="_Toc7499_WPSOffice_Level3"/>
      <w:bookmarkStart w:id="473" w:name="_Toc12925"/>
      <w:bookmarkStart w:id="474" w:name="_Toc6573"/>
      <w:bookmarkStart w:id="475" w:name="_Toc5898"/>
      <w:bookmarkStart w:id="476" w:name="_Toc29082_WPSOffice_Level3"/>
    </w:p>
    <w:p w14:paraId="3B92A31C">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p w14:paraId="3CDEA55B">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p w14:paraId="5A5C0D05">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p w14:paraId="675BF13A">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p w14:paraId="79BAD897">
      <w:pPr>
        <w:rPr>
          <w:rFonts w:hint="eastAsia" w:asciiTheme="minorEastAsia" w:hAnsiTheme="minorEastAsia" w:eastAsiaTheme="minorEastAsia" w:cstheme="minorEastAsia"/>
          <w:b/>
          <w:sz w:val="28"/>
          <w:szCs w:val="28"/>
        </w:rPr>
      </w:pPr>
      <w:bookmarkStart w:id="477" w:name="_Toc21090"/>
      <w:r>
        <w:rPr>
          <w:rFonts w:hint="eastAsia" w:asciiTheme="minorEastAsia" w:hAnsiTheme="minorEastAsia" w:eastAsiaTheme="minorEastAsia" w:cstheme="minorEastAsia"/>
          <w:b/>
          <w:sz w:val="28"/>
          <w:szCs w:val="28"/>
        </w:rPr>
        <w:br w:type="page"/>
      </w:r>
    </w:p>
    <w:p w14:paraId="4562145E">
      <w:pPr>
        <w:widowControl/>
        <w:snapToGrid w:val="0"/>
        <w:spacing w:before="156" w:beforeLines="50" w:line="560" w:lineRule="exact"/>
        <w:jc w:val="left"/>
        <w:outlineLvl w:val="2"/>
        <w:rPr>
          <w:rFonts w:hint="eastAsia" w:asciiTheme="minorEastAsia" w:hAnsiTheme="minorEastAsia" w:eastAsiaTheme="minorEastAsia" w:cstheme="minorEastAsia"/>
          <w:b/>
          <w:sz w:val="28"/>
          <w:szCs w:val="28"/>
        </w:rPr>
      </w:pPr>
      <w:bookmarkStart w:id="478" w:name="_Toc7896"/>
      <w:r>
        <w:rPr>
          <w:rFonts w:hint="eastAsia" w:asciiTheme="minorEastAsia" w:hAnsiTheme="minorEastAsia" w:eastAsiaTheme="minorEastAsia" w:cstheme="minorEastAsia"/>
          <w:b/>
          <w:sz w:val="28"/>
          <w:szCs w:val="28"/>
        </w:rPr>
        <w:t>附件7：财务状况、缴纳税收和社会保障资金证明</w:t>
      </w:r>
      <w:bookmarkEnd w:id="472"/>
      <w:bookmarkEnd w:id="473"/>
      <w:bookmarkEnd w:id="474"/>
      <w:bookmarkEnd w:id="475"/>
      <w:bookmarkEnd w:id="476"/>
      <w:bookmarkEnd w:id="477"/>
      <w:bookmarkEnd w:id="478"/>
    </w:p>
    <w:p w14:paraId="55E265FD">
      <w:pPr>
        <w:spacing w:before="156" w:beforeLines="50" w:line="560" w:lineRule="exact"/>
        <w:jc w:val="center"/>
        <w:outlineLvl w:val="9"/>
        <w:rPr>
          <w:rFonts w:hint="eastAsia" w:asciiTheme="minorEastAsia" w:hAnsiTheme="minorEastAsia" w:eastAsiaTheme="minorEastAsia" w:cstheme="minorEastAsia"/>
          <w:b/>
          <w:sz w:val="24"/>
          <w:szCs w:val="24"/>
        </w:rPr>
      </w:pPr>
      <w:bookmarkStart w:id="479" w:name="_Toc22184_WPSOffice_Level3"/>
      <w:bookmarkStart w:id="480" w:name="_Toc2355_WPSOffice_Level3"/>
      <w:r>
        <w:rPr>
          <w:rFonts w:hint="eastAsia" w:asciiTheme="minorEastAsia" w:hAnsiTheme="minorEastAsia" w:eastAsiaTheme="minorEastAsia" w:cstheme="minorEastAsia"/>
          <w:b/>
          <w:sz w:val="24"/>
          <w:szCs w:val="24"/>
        </w:rPr>
        <w:t>财务状况、缴纳税收和社会保障资金证明</w:t>
      </w:r>
      <w:bookmarkEnd w:id="479"/>
      <w:bookmarkEnd w:id="480"/>
    </w:p>
    <w:p w14:paraId="1E4381CF">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按照《政府采购法》第22条规定提供以下相关材料：</w:t>
      </w:r>
    </w:p>
    <w:p w14:paraId="710BF7C4">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提供</w:t>
      </w:r>
      <w:r>
        <w:rPr>
          <w:rFonts w:hint="eastAsia" w:asciiTheme="minorEastAsia" w:hAnsiTheme="minorEastAsia" w:eastAsiaTheme="minorEastAsia" w:cstheme="minorEastAsia"/>
          <w:sz w:val="24"/>
          <w:szCs w:val="24"/>
          <w:lang w:val="zh-CN"/>
        </w:rPr>
        <w:t>供应商基本开户银行近三个月内出具的资信证明或经第三方机构出具的</w:t>
      </w:r>
      <w:r>
        <w:rPr>
          <w:rFonts w:hint="eastAsia" w:asciiTheme="minorEastAsia" w:hAnsiTheme="minorEastAsia" w:eastAsiaTheme="minorEastAsia" w:cstheme="minorEastAsia"/>
          <w:sz w:val="24"/>
          <w:szCs w:val="24"/>
          <w:lang w:val="en-US" w:eastAsia="zh-CN"/>
        </w:rPr>
        <w:t>2023年度</w:t>
      </w:r>
      <w:r>
        <w:rPr>
          <w:rFonts w:hint="eastAsia" w:asciiTheme="minorEastAsia" w:hAnsiTheme="minorEastAsia" w:eastAsiaTheme="minorEastAsia" w:cstheme="minorEastAsia"/>
          <w:sz w:val="24"/>
          <w:szCs w:val="24"/>
          <w:lang w:val="zh-CN"/>
        </w:rPr>
        <w:t>财务状况审计报告（扫描或复印件应全面、完整、清晰），包括资产负债表、现金流量表、利润表和财务（会计）报表附注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zh-CN"/>
        </w:rPr>
        <w:t>并提供第三方机构的营业执照、执业证书。</w:t>
      </w:r>
    </w:p>
    <w:p w14:paraId="440F2561">
      <w:pPr>
        <w:spacing w:line="560" w:lineRule="exact"/>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zh-CN"/>
        </w:rPr>
        <w:t>近</w:t>
      </w:r>
      <w:r>
        <w:rPr>
          <w:rFonts w:hint="eastAsia" w:asciiTheme="minorEastAsia" w:hAnsiTheme="minorEastAsia" w:eastAsiaTheme="minorEastAsia" w:cstheme="minorEastAsia"/>
          <w:sz w:val="24"/>
          <w:szCs w:val="24"/>
          <w:lang w:val="en-US" w:eastAsia="zh-CN"/>
        </w:rPr>
        <w:t>半</w:t>
      </w:r>
      <w:r>
        <w:rPr>
          <w:rFonts w:hint="eastAsia" w:asciiTheme="minorEastAsia" w:hAnsiTheme="minorEastAsia" w:eastAsiaTheme="minorEastAsia" w:cstheme="minorEastAsia"/>
          <w:sz w:val="24"/>
          <w:szCs w:val="24"/>
          <w:lang w:val="zh-CN"/>
        </w:rPr>
        <w:t>年内任意三个月依法缴纳税收和社会保障资金记录的证明材料；依法免税或不需要缴纳社会保障资金的供应商须提供相应文件证明其依法免税或不需要缴纳社会保障资金，</w:t>
      </w:r>
      <w:r>
        <w:rPr>
          <w:rFonts w:hint="eastAsia" w:ascii="宋体" w:hAnsi="宋体" w:eastAsia="宋体" w:cs="Times New Roman"/>
          <w:color w:val="auto"/>
          <w:sz w:val="24"/>
          <w:highlight w:val="none"/>
        </w:rPr>
        <w:t>应提供相应文件证明</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lang w:val="zh-CN"/>
        </w:rPr>
        <w:br w:type="textWrapping"/>
      </w:r>
      <w:r>
        <w:rPr>
          <w:rFonts w:hint="eastAsia" w:asciiTheme="minorEastAsia" w:hAnsiTheme="minorEastAsia" w:eastAsiaTheme="minorEastAsia" w:cstheme="minorEastAsia"/>
          <w:sz w:val="24"/>
          <w:szCs w:val="24"/>
          <w:lang w:val="en-US" w:eastAsia="zh-CN"/>
        </w:rPr>
        <w:t xml:space="preserve">    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扫描（或复印）件应全面、完整、清晰并加盖谈判供应商公章。</w:t>
      </w:r>
    </w:p>
    <w:p w14:paraId="2D8D24DD">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br w:type="textWrapping"/>
      </w:r>
    </w:p>
    <w:p w14:paraId="1AFDB6AA">
      <w:pPr>
        <w:widowControl/>
        <w:snapToGrid w:val="0"/>
        <w:spacing w:line="560" w:lineRule="exact"/>
        <w:outlineLvl w:val="9"/>
        <w:rPr>
          <w:rFonts w:hint="eastAsia" w:asciiTheme="minorEastAsia" w:hAnsiTheme="minorEastAsia" w:eastAsiaTheme="minorEastAsia" w:cstheme="minorEastAsia"/>
          <w:sz w:val="24"/>
          <w:szCs w:val="24"/>
        </w:rPr>
      </w:pPr>
    </w:p>
    <w:p w14:paraId="3E79E5F1">
      <w:pPr>
        <w:widowControl/>
        <w:snapToGrid w:val="0"/>
        <w:spacing w:before="156" w:beforeLines="50" w:line="560" w:lineRule="exact"/>
        <w:outlineLvl w:val="9"/>
        <w:rPr>
          <w:rFonts w:hint="eastAsia" w:asciiTheme="minorEastAsia" w:hAnsiTheme="minorEastAsia" w:eastAsiaTheme="minorEastAsia" w:cstheme="minorEastAsia"/>
          <w:sz w:val="24"/>
          <w:szCs w:val="24"/>
        </w:rPr>
      </w:pPr>
    </w:p>
    <w:p w14:paraId="470BD799">
      <w:pPr>
        <w:tabs>
          <w:tab w:val="left" w:pos="168"/>
        </w:tabs>
        <w:adjustRightInd w:val="0"/>
        <w:spacing w:before="156" w:beforeLines="50" w:line="560" w:lineRule="exact"/>
        <w:ind w:firstLine="480" w:firstLineChars="200"/>
        <w:textAlignment w:val="baseline"/>
        <w:outlineLvl w:val="9"/>
        <w:rPr>
          <w:rFonts w:hint="eastAsia" w:asciiTheme="minorEastAsia" w:hAnsiTheme="minorEastAsia" w:eastAsiaTheme="minorEastAsia" w:cstheme="minorEastAsia"/>
          <w:sz w:val="24"/>
          <w:szCs w:val="24"/>
        </w:rPr>
      </w:pPr>
    </w:p>
    <w:p w14:paraId="00B1391B">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p w14:paraId="43C8A69F">
      <w:pPr>
        <w:spacing w:before="156" w:beforeLines="50" w:line="560" w:lineRule="exact"/>
        <w:outlineLvl w:val="9"/>
        <w:rPr>
          <w:rFonts w:hint="eastAsia" w:asciiTheme="minorEastAsia" w:hAnsiTheme="minorEastAsia" w:eastAsiaTheme="minorEastAsia" w:cstheme="minorEastAsia"/>
          <w:b/>
          <w:bCs/>
          <w:sz w:val="24"/>
          <w:szCs w:val="24"/>
        </w:rPr>
      </w:pPr>
    </w:p>
    <w:p w14:paraId="49C4C666">
      <w:pPr>
        <w:spacing w:before="156" w:beforeLines="50" w:line="560" w:lineRule="exact"/>
        <w:outlineLvl w:val="9"/>
        <w:rPr>
          <w:rFonts w:hint="eastAsia" w:asciiTheme="minorEastAsia" w:hAnsiTheme="minorEastAsia" w:eastAsiaTheme="minorEastAsia" w:cstheme="minorEastAsia"/>
          <w:b/>
          <w:bCs/>
          <w:sz w:val="24"/>
          <w:szCs w:val="24"/>
        </w:rPr>
      </w:pPr>
    </w:p>
    <w:p w14:paraId="27FE9996">
      <w:pPr>
        <w:spacing w:before="156" w:beforeLines="50" w:line="560" w:lineRule="exact"/>
        <w:outlineLvl w:val="9"/>
        <w:rPr>
          <w:rFonts w:hint="eastAsia" w:asciiTheme="minorEastAsia" w:hAnsiTheme="minorEastAsia" w:eastAsiaTheme="minorEastAsia" w:cstheme="minorEastAsia"/>
          <w:b/>
          <w:bCs/>
          <w:sz w:val="24"/>
          <w:szCs w:val="24"/>
        </w:rPr>
      </w:pPr>
    </w:p>
    <w:p w14:paraId="5904E60E">
      <w:pPr>
        <w:spacing w:before="156" w:beforeLines="50" w:line="560" w:lineRule="exact"/>
        <w:outlineLvl w:val="9"/>
        <w:rPr>
          <w:rFonts w:hint="eastAsia" w:asciiTheme="minorEastAsia" w:hAnsiTheme="minorEastAsia" w:eastAsiaTheme="minorEastAsia" w:cstheme="minorEastAsia"/>
          <w:b/>
          <w:bCs/>
          <w:sz w:val="24"/>
          <w:szCs w:val="24"/>
        </w:rPr>
      </w:pPr>
    </w:p>
    <w:p w14:paraId="6FD01B86">
      <w:pPr>
        <w:outlineLvl w:val="9"/>
        <w:rPr>
          <w:rFonts w:hint="eastAsia"/>
          <w:sz w:val="24"/>
          <w:szCs w:val="24"/>
        </w:rPr>
      </w:pPr>
      <w:bookmarkStart w:id="481" w:name="_Toc21984"/>
      <w:bookmarkStart w:id="482" w:name="_Toc16098"/>
      <w:bookmarkStart w:id="483" w:name="_Toc17387_WPSOffice_Level3"/>
      <w:bookmarkStart w:id="484" w:name="_Toc22959_WPSOffice_Level3"/>
      <w:bookmarkStart w:id="485" w:name="_Toc13266"/>
    </w:p>
    <w:p w14:paraId="147D3B3D">
      <w:pPr>
        <w:widowControl/>
        <w:snapToGrid w:val="0"/>
        <w:spacing w:before="156" w:beforeLines="50" w:line="560" w:lineRule="exact"/>
        <w:jc w:val="left"/>
        <w:outlineLvl w:val="2"/>
        <w:rPr>
          <w:rFonts w:hint="eastAsia" w:asciiTheme="minorEastAsia" w:hAnsiTheme="minorEastAsia" w:eastAsiaTheme="minorEastAsia" w:cstheme="minorEastAsia"/>
          <w:b/>
          <w:sz w:val="28"/>
          <w:szCs w:val="28"/>
        </w:rPr>
      </w:pPr>
      <w:bookmarkStart w:id="486" w:name="_Toc16283"/>
      <w:bookmarkStart w:id="487" w:name="_Toc10667"/>
      <w:r>
        <w:rPr>
          <w:rFonts w:hint="eastAsia" w:asciiTheme="minorEastAsia" w:hAnsiTheme="minorEastAsia" w:eastAsiaTheme="minorEastAsia" w:cstheme="minorEastAsia"/>
          <w:b/>
          <w:sz w:val="28"/>
          <w:szCs w:val="28"/>
        </w:rPr>
        <w:t>附件8：</w:t>
      </w:r>
      <w:bookmarkEnd w:id="481"/>
      <w:r>
        <w:rPr>
          <w:rFonts w:hint="eastAsia" w:asciiTheme="minorEastAsia" w:hAnsiTheme="minorEastAsia" w:eastAsiaTheme="minorEastAsia" w:cstheme="minorEastAsia"/>
          <w:b/>
          <w:sz w:val="28"/>
          <w:szCs w:val="28"/>
        </w:rPr>
        <w:t>无重大违法记录声明</w:t>
      </w:r>
      <w:bookmarkEnd w:id="482"/>
      <w:bookmarkEnd w:id="483"/>
      <w:bookmarkEnd w:id="486"/>
      <w:bookmarkEnd w:id="487"/>
    </w:p>
    <w:p w14:paraId="2A228A59">
      <w:pPr>
        <w:spacing w:before="156" w:beforeLines="50" w:line="560" w:lineRule="exact"/>
        <w:jc w:val="center"/>
        <w:outlineLvl w:val="9"/>
        <w:rPr>
          <w:rFonts w:hint="eastAsia" w:asciiTheme="minorEastAsia" w:hAnsiTheme="minorEastAsia" w:eastAsiaTheme="minorEastAsia" w:cstheme="minorEastAsia"/>
          <w:b/>
          <w:bCs/>
          <w:sz w:val="24"/>
          <w:szCs w:val="24"/>
        </w:rPr>
      </w:pPr>
      <w:bookmarkStart w:id="488" w:name="_Toc25610_WPSOffice_Level3"/>
      <w:r>
        <w:rPr>
          <w:rFonts w:hint="eastAsia" w:asciiTheme="minorEastAsia" w:hAnsiTheme="minorEastAsia" w:eastAsiaTheme="minorEastAsia" w:cstheme="minorEastAsia"/>
          <w:b/>
          <w:sz w:val="24"/>
          <w:szCs w:val="24"/>
          <w:lang w:val="zh-CN"/>
        </w:rPr>
        <w:t>无重大违法记录声明</w:t>
      </w:r>
      <w:bookmarkEnd w:id="488"/>
    </w:p>
    <w:p w14:paraId="3886FEFE">
      <w:pPr>
        <w:spacing w:line="560" w:lineRule="exact"/>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kern w:val="0"/>
          <w:sz w:val="24"/>
          <w:szCs w:val="24"/>
        </w:rPr>
        <w:t xml:space="preserve">  </w:t>
      </w: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lang w:eastAsia="zh-CN"/>
        </w:rPr>
        <w:t>德令哈城乡建设综合开发有限公司</w:t>
      </w:r>
    </w:p>
    <w:p w14:paraId="0B7AEF15">
      <w:pPr>
        <w:spacing w:line="560" w:lineRule="exact"/>
        <w:ind w:firstLine="480" w:firstLineChars="200"/>
        <w:outlineLvl w:val="9"/>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rPr>
        <w:t>我单位参加本次政府采购项目活动前三年内，在经营活动中无重大违法活动记录，符合《政府采购法》规定的供应商资格条</w:t>
      </w:r>
      <w:r>
        <w:rPr>
          <w:rFonts w:hint="eastAsia" w:asciiTheme="minorEastAsia" w:hAnsiTheme="minorEastAsia" w:eastAsiaTheme="minorEastAsia" w:cstheme="minorEastAsia"/>
          <w:sz w:val="24"/>
          <w:szCs w:val="24"/>
          <w:shd w:val="clear" w:color="auto" w:fill="FFFFFF"/>
        </w:rPr>
        <w:t>件。我方对此声明负全部法律责任。</w:t>
      </w:r>
    </w:p>
    <w:p w14:paraId="676D2DAA">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特此声明。</w:t>
      </w:r>
    </w:p>
    <w:p w14:paraId="22F072B5">
      <w:pPr>
        <w:autoSpaceDE w:val="0"/>
        <w:autoSpaceDN w:val="0"/>
        <w:spacing w:line="560" w:lineRule="exact"/>
        <w:jc w:val="left"/>
        <w:outlineLvl w:val="9"/>
        <w:rPr>
          <w:rFonts w:hint="eastAsia" w:asciiTheme="minorEastAsia" w:hAnsiTheme="minorEastAsia" w:eastAsiaTheme="minorEastAsia" w:cstheme="minorEastAsia"/>
          <w:kern w:val="0"/>
          <w:sz w:val="24"/>
          <w:szCs w:val="24"/>
          <w:lang w:val="zh-CN"/>
        </w:rPr>
      </w:pPr>
    </w:p>
    <w:p w14:paraId="083628C0">
      <w:pPr>
        <w:autoSpaceDE w:val="0"/>
        <w:autoSpaceDN w:val="0"/>
        <w:spacing w:line="560" w:lineRule="exact"/>
        <w:ind w:firstLine="480" w:firstLineChars="200"/>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附</w:t>
      </w:r>
      <w:r>
        <w:rPr>
          <w:rFonts w:hint="eastAsia" w:asciiTheme="minorEastAsia" w:hAnsiTheme="minorEastAsia" w:eastAsiaTheme="minorEastAsia" w:cstheme="minorEastAsia"/>
          <w:kern w:val="0"/>
          <w:sz w:val="24"/>
          <w:szCs w:val="24"/>
          <w:lang w:val="zh-CN"/>
        </w:rPr>
        <w:t>（提供“信用中国”网站的查询截图，提供“中国政府采购网”网站的查询截图，</w:t>
      </w:r>
      <w:r>
        <w:rPr>
          <w:rFonts w:hint="eastAsia" w:asciiTheme="minorEastAsia" w:hAnsiTheme="minorEastAsia" w:eastAsiaTheme="minorEastAsia" w:cstheme="minorEastAsia"/>
          <w:kern w:val="0"/>
          <w:sz w:val="24"/>
          <w:szCs w:val="24"/>
        </w:rPr>
        <w:t>时间为投标截止时间前</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天内</w:t>
      </w:r>
      <w:r>
        <w:rPr>
          <w:rFonts w:hint="eastAsia" w:asciiTheme="minorEastAsia" w:hAnsiTheme="minorEastAsia" w:eastAsiaTheme="minorEastAsia" w:cstheme="minorEastAsia"/>
          <w:sz w:val="24"/>
          <w:szCs w:val="24"/>
        </w:rPr>
        <w:t>。</w:t>
      </w:r>
    </w:p>
    <w:p w14:paraId="1E18B285">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p>
    <w:p w14:paraId="7DC02018">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p>
    <w:p w14:paraId="080CE33C">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489" w:name="_Toc21607_WPSOffice_Level3"/>
      <w:r>
        <w:rPr>
          <w:rFonts w:hint="eastAsia" w:asciiTheme="minorEastAsia" w:hAnsiTheme="minorEastAsia" w:eastAsiaTheme="minorEastAsia" w:cstheme="minorEastAsia"/>
          <w:bCs/>
          <w:sz w:val="24"/>
          <w:szCs w:val="24"/>
        </w:rPr>
        <w:t>单位名称：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（公章）</w:t>
      </w:r>
      <w:bookmarkEnd w:id="489"/>
    </w:p>
    <w:p w14:paraId="64C0A0C6">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490" w:name="_Toc14292_WPSOffice_Level3"/>
      <w:r>
        <w:rPr>
          <w:rFonts w:hint="eastAsia" w:asciiTheme="minorEastAsia" w:hAnsiTheme="minorEastAsia" w:eastAsiaTheme="minorEastAsia" w:cstheme="minorEastAsia"/>
          <w:bCs/>
          <w:sz w:val="24"/>
          <w:szCs w:val="24"/>
        </w:rPr>
        <w:t>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（签字或盖章）</w:t>
      </w:r>
      <w:bookmarkEnd w:id="490"/>
    </w:p>
    <w:p w14:paraId="17400E9E">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491" w:name="_Toc15350_WPSOffice_Level3"/>
      <w:r>
        <w:rPr>
          <w:rFonts w:hint="eastAsia" w:asciiTheme="minorEastAsia" w:hAnsiTheme="minorEastAsia" w:eastAsiaTheme="minorEastAsia" w:cstheme="minorEastAsia"/>
          <w:bCs/>
          <w:sz w:val="24"/>
          <w:szCs w:val="24"/>
        </w:rPr>
        <w:t>年   月  日</w:t>
      </w:r>
      <w:bookmarkEnd w:id="491"/>
    </w:p>
    <w:p w14:paraId="18063C8F">
      <w:pPr>
        <w:pStyle w:val="14"/>
        <w:spacing w:before="156" w:beforeLines="50" w:after="0" w:line="560" w:lineRule="exact"/>
        <w:jc w:val="left"/>
        <w:outlineLvl w:val="2"/>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br w:type="page"/>
      </w:r>
      <w:bookmarkStart w:id="492" w:name="_Toc24810"/>
      <w:bookmarkStart w:id="493" w:name="_Toc25313"/>
      <w:bookmarkStart w:id="494" w:name="_Toc132_WPSOffice_Level3"/>
      <w:bookmarkStart w:id="495" w:name="_Toc20301"/>
      <w:r>
        <w:rPr>
          <w:rFonts w:hint="eastAsia" w:asciiTheme="minorEastAsia" w:hAnsiTheme="minorEastAsia" w:eastAsiaTheme="minorEastAsia" w:cstheme="minorEastAsia"/>
          <w:b/>
          <w:bCs w:val="0"/>
          <w:kern w:val="2"/>
          <w:sz w:val="28"/>
          <w:szCs w:val="28"/>
          <w:lang w:val="en-US" w:eastAsia="zh-CN" w:bidi="ar-SA"/>
        </w:rPr>
        <w:t>附件9：谈判</w:t>
      </w:r>
      <w:r>
        <w:rPr>
          <w:rFonts w:hint="eastAsia" w:asciiTheme="minorEastAsia" w:hAnsiTheme="minorEastAsia" w:eastAsiaTheme="minorEastAsia" w:cstheme="minorEastAsia"/>
          <w:b/>
          <w:bCs w:val="0"/>
          <w:kern w:val="2"/>
          <w:sz w:val="28"/>
          <w:szCs w:val="28"/>
          <w:lang w:val="zh-CN" w:eastAsia="zh-CN" w:bidi="ar-SA"/>
        </w:rPr>
        <w:t>保证金证明</w:t>
      </w:r>
      <w:bookmarkEnd w:id="484"/>
      <w:bookmarkEnd w:id="485"/>
      <w:bookmarkEnd w:id="492"/>
      <w:bookmarkEnd w:id="493"/>
      <w:bookmarkEnd w:id="494"/>
      <w:bookmarkEnd w:id="495"/>
    </w:p>
    <w:p w14:paraId="56238E0D">
      <w:pPr>
        <w:spacing w:before="156" w:beforeLines="50" w:line="560" w:lineRule="exact"/>
        <w:jc w:val="center"/>
        <w:outlineLvl w:val="9"/>
        <w:rPr>
          <w:rFonts w:hint="eastAsia" w:asciiTheme="minorEastAsia" w:hAnsiTheme="minorEastAsia" w:eastAsiaTheme="minorEastAsia" w:cstheme="minorEastAsia"/>
          <w:b/>
          <w:bCs/>
          <w:kern w:val="0"/>
          <w:sz w:val="24"/>
          <w:szCs w:val="24"/>
          <w:lang w:val="zh-CN"/>
        </w:rPr>
      </w:pPr>
      <w:bookmarkStart w:id="496" w:name="_Toc27502_WPSOffice_Level3"/>
      <w:r>
        <w:rPr>
          <w:rFonts w:hint="eastAsia" w:asciiTheme="minorEastAsia" w:hAnsiTheme="minorEastAsia" w:eastAsiaTheme="minorEastAsia" w:cstheme="minorEastAsia"/>
          <w:b/>
          <w:sz w:val="24"/>
          <w:szCs w:val="24"/>
          <w:lang w:val="zh-CN"/>
        </w:rPr>
        <w:t>谈判保证金证明</w:t>
      </w:r>
      <w:bookmarkEnd w:id="496"/>
    </w:p>
    <w:p w14:paraId="46BE0B7A">
      <w:pPr>
        <w:autoSpaceDE w:val="0"/>
        <w:autoSpaceDN w:val="0"/>
        <w:spacing w:line="560" w:lineRule="exact"/>
        <w:outlineLvl w:val="9"/>
        <w:rPr>
          <w:rFonts w:hint="eastAsia" w:asciiTheme="minorEastAsia" w:hAnsiTheme="minorEastAsia" w:eastAsiaTheme="minorEastAsia" w:cstheme="minorEastAsia"/>
          <w:b/>
          <w:bCs/>
          <w:kern w:val="0"/>
          <w:sz w:val="24"/>
          <w:szCs w:val="24"/>
          <w:lang w:val="zh-CN" w:eastAsia="zh-CN"/>
        </w:rPr>
      </w:pPr>
      <w:bookmarkStart w:id="497" w:name="_Toc21234_WPSOffice_Level2"/>
      <w:bookmarkStart w:id="498" w:name="_Toc1388_WPSOffice_Level2"/>
      <w:bookmarkStart w:id="499" w:name="_Toc12243_WPSOffice_Level2"/>
      <w:r>
        <w:rPr>
          <w:rFonts w:hint="eastAsia" w:asciiTheme="minorEastAsia" w:hAnsiTheme="minorEastAsia" w:eastAsiaTheme="minorEastAsia" w:cstheme="minorEastAsia"/>
          <w:bCs/>
          <w:kern w:val="0"/>
          <w:sz w:val="24"/>
          <w:szCs w:val="24"/>
          <w:lang w:val="zh-CN"/>
        </w:rPr>
        <w:t>致：</w:t>
      </w:r>
      <w:bookmarkEnd w:id="497"/>
      <w:bookmarkEnd w:id="498"/>
      <w:bookmarkEnd w:id="499"/>
      <w:r>
        <w:rPr>
          <w:rFonts w:hint="eastAsia" w:asciiTheme="minorEastAsia" w:hAnsiTheme="minorEastAsia" w:eastAsiaTheme="minorEastAsia" w:cstheme="minorEastAsia"/>
          <w:sz w:val="24"/>
          <w:szCs w:val="24"/>
          <w:lang w:eastAsia="zh-CN"/>
        </w:rPr>
        <w:t>德令哈城乡建设综合开发有限公司</w:t>
      </w:r>
    </w:p>
    <w:p w14:paraId="77004E8A">
      <w:pPr>
        <w:autoSpaceDE w:val="0"/>
        <w:autoSpaceDN w:val="0"/>
        <w:spacing w:line="560" w:lineRule="exact"/>
        <w:ind w:firstLine="480" w:firstLineChars="200"/>
        <w:outlineLvl w:val="9"/>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我方为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lang w:val="zh-CN"/>
        </w:rPr>
        <w:t>（采购项目名称）项目（采购项目编号为：</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 xml:space="preserve">）递交保证金人民币 </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（大写：人民币</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元）已于</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年</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月</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日以转账方式汇入你方账户。</w:t>
      </w:r>
    </w:p>
    <w:p w14:paraId="7A34EE87">
      <w:pPr>
        <w:autoSpaceDE w:val="0"/>
        <w:autoSpaceDN w:val="0"/>
        <w:spacing w:line="560" w:lineRule="exact"/>
        <w:ind w:firstLine="480" w:firstLineChars="200"/>
        <w:outlineLvl w:val="9"/>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附</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保证金交款证明复印件（加盖公章）</w:t>
      </w:r>
    </w:p>
    <w:p w14:paraId="5F44303B">
      <w:pPr>
        <w:autoSpaceDE w:val="0"/>
        <w:autoSpaceDN w:val="0"/>
        <w:spacing w:line="560" w:lineRule="exact"/>
        <w:ind w:firstLine="480" w:firstLineChars="200"/>
        <w:outlineLvl w:val="9"/>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1CFA631C">
      <w:pPr>
        <w:autoSpaceDE w:val="0"/>
        <w:autoSpaceDN w:val="0"/>
        <w:spacing w:line="560" w:lineRule="exact"/>
        <w:ind w:firstLine="360"/>
        <w:outlineLvl w:val="9"/>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户    名：</w:t>
      </w:r>
    </w:p>
    <w:p w14:paraId="60DB494B">
      <w:pPr>
        <w:autoSpaceDE w:val="0"/>
        <w:autoSpaceDN w:val="0"/>
        <w:spacing w:line="560" w:lineRule="exact"/>
        <w:ind w:firstLine="360"/>
        <w:outlineLvl w:val="9"/>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开户银行：</w:t>
      </w:r>
    </w:p>
    <w:p w14:paraId="16556842">
      <w:pPr>
        <w:autoSpaceDE w:val="0"/>
        <w:autoSpaceDN w:val="0"/>
        <w:spacing w:line="560" w:lineRule="exact"/>
        <w:ind w:firstLine="360"/>
        <w:outlineLvl w:val="9"/>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开户帐号：</w:t>
      </w:r>
    </w:p>
    <w:p w14:paraId="640F98E6">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00" w:name="_Toc16036_WPSOffice_Level3"/>
      <w:r>
        <w:rPr>
          <w:rFonts w:hint="eastAsia" w:asciiTheme="minorEastAsia" w:hAnsiTheme="minorEastAsia" w:eastAsiaTheme="minorEastAsia" w:cstheme="minorEastAsia"/>
          <w:bCs/>
          <w:sz w:val="24"/>
          <w:szCs w:val="24"/>
        </w:rPr>
        <w:t>单位名称：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（公章）</w:t>
      </w:r>
      <w:bookmarkEnd w:id="500"/>
    </w:p>
    <w:p w14:paraId="16C0B00A">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01" w:name="_Toc4114_WPSOffice_Level3"/>
      <w:r>
        <w:rPr>
          <w:rFonts w:hint="eastAsia" w:asciiTheme="minorEastAsia" w:hAnsiTheme="minorEastAsia" w:eastAsiaTheme="minorEastAsia" w:cstheme="minorEastAsia"/>
          <w:bCs/>
          <w:sz w:val="24"/>
          <w:szCs w:val="24"/>
        </w:rPr>
        <w:t>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（签字或盖章）</w:t>
      </w:r>
      <w:bookmarkEnd w:id="501"/>
    </w:p>
    <w:p w14:paraId="71BA89EF">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02" w:name="_Toc26055_WPSOffice_Level3"/>
      <w:r>
        <w:rPr>
          <w:rFonts w:hint="eastAsia" w:asciiTheme="minorEastAsia" w:hAnsiTheme="minorEastAsia" w:eastAsiaTheme="minorEastAsia" w:cstheme="minorEastAsia"/>
          <w:bCs/>
          <w:sz w:val="24"/>
          <w:szCs w:val="24"/>
        </w:rPr>
        <w:t>年   月  日</w:t>
      </w:r>
      <w:bookmarkEnd w:id="502"/>
    </w:p>
    <w:p w14:paraId="3B2498F5">
      <w:pPr>
        <w:autoSpaceDE w:val="0"/>
        <w:autoSpaceDN w:val="0"/>
        <w:spacing w:before="156" w:beforeLines="50" w:line="560" w:lineRule="exact"/>
        <w:outlineLvl w:val="9"/>
        <w:rPr>
          <w:rFonts w:hint="eastAsia" w:asciiTheme="minorEastAsia" w:hAnsiTheme="minorEastAsia" w:eastAsiaTheme="minorEastAsia" w:cstheme="minorEastAsia"/>
          <w:b/>
          <w:bCs/>
          <w:kern w:val="0"/>
          <w:sz w:val="24"/>
          <w:szCs w:val="24"/>
          <w:lang w:val="zh-CN"/>
        </w:rPr>
      </w:pPr>
    </w:p>
    <w:p w14:paraId="29DE8CA5">
      <w:pPr>
        <w:spacing w:before="156" w:beforeLines="50" w:line="560" w:lineRule="exact"/>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kern w:val="0"/>
          <w:sz w:val="24"/>
          <w:szCs w:val="24"/>
          <w:lang w:val="zh-CN"/>
        </w:rPr>
        <w:br w:type="page"/>
      </w:r>
    </w:p>
    <w:p w14:paraId="56FC26CD">
      <w:pPr>
        <w:widowControl/>
        <w:snapToGrid w:val="0"/>
        <w:spacing w:before="156" w:beforeLines="50" w:line="560" w:lineRule="exact"/>
        <w:outlineLvl w:val="2"/>
        <w:rPr>
          <w:rFonts w:hint="eastAsia" w:asciiTheme="minorEastAsia" w:hAnsiTheme="minorEastAsia" w:eastAsiaTheme="minorEastAsia" w:cstheme="minorEastAsia"/>
          <w:b/>
          <w:sz w:val="24"/>
          <w:szCs w:val="24"/>
        </w:rPr>
      </w:pPr>
      <w:bookmarkStart w:id="503" w:name="_Toc18092"/>
      <w:bookmarkStart w:id="504" w:name="_Toc30407"/>
      <w:bookmarkStart w:id="505" w:name="_Toc28116"/>
      <w:bookmarkStart w:id="506" w:name="_Toc18715"/>
      <w:bookmarkStart w:id="507" w:name="_Toc13416_WPSOffice_Level3"/>
      <w:bookmarkStart w:id="508" w:name="_Toc3360"/>
      <w:bookmarkStart w:id="509" w:name="_Toc2646_WPSOffice_Level3"/>
      <w:r>
        <w:rPr>
          <w:rFonts w:hint="eastAsia" w:asciiTheme="minorEastAsia" w:hAnsiTheme="minorEastAsia" w:eastAsiaTheme="minorEastAsia" w:cstheme="minorEastAsia"/>
          <w:b/>
          <w:sz w:val="28"/>
          <w:szCs w:val="28"/>
        </w:rPr>
        <w:t>附件10：谈判首次报价表</w:t>
      </w:r>
      <w:bookmarkEnd w:id="503"/>
      <w:bookmarkEnd w:id="504"/>
      <w:bookmarkEnd w:id="505"/>
      <w:bookmarkEnd w:id="506"/>
      <w:bookmarkEnd w:id="507"/>
      <w:bookmarkEnd w:id="508"/>
      <w:bookmarkEnd w:id="509"/>
    </w:p>
    <w:p w14:paraId="3CF104DA">
      <w:pPr>
        <w:spacing w:before="156" w:beforeLines="50" w:line="560" w:lineRule="exact"/>
        <w:jc w:val="center"/>
        <w:outlineLvl w:val="9"/>
        <w:rPr>
          <w:rFonts w:hint="eastAsia" w:asciiTheme="minorEastAsia" w:hAnsiTheme="minorEastAsia" w:eastAsiaTheme="minorEastAsia" w:cstheme="minorEastAsia"/>
          <w:b/>
          <w:sz w:val="24"/>
          <w:szCs w:val="24"/>
        </w:rPr>
      </w:pPr>
      <w:bookmarkStart w:id="510" w:name="_Toc17322_WPSOffice_Level1"/>
      <w:bookmarkStart w:id="511" w:name="_Toc8724_WPSOffice_Level1"/>
      <w:bookmarkStart w:id="512" w:name="_Toc17115_WPSOffice_Level3"/>
      <w:r>
        <w:rPr>
          <w:rFonts w:hint="eastAsia" w:asciiTheme="minorEastAsia" w:hAnsiTheme="minorEastAsia" w:eastAsiaTheme="minorEastAsia" w:cstheme="minorEastAsia"/>
          <w:b/>
          <w:sz w:val="24"/>
          <w:szCs w:val="24"/>
          <w:lang w:val="zh-CN"/>
        </w:rPr>
        <w:t>谈判首次报价表</w:t>
      </w:r>
      <w:bookmarkEnd w:id="510"/>
      <w:bookmarkEnd w:id="511"/>
      <w:bookmarkEnd w:id="512"/>
    </w:p>
    <w:p w14:paraId="4C845871">
      <w:pPr>
        <w:spacing w:line="560" w:lineRule="exact"/>
        <w:outlineLvl w:val="9"/>
        <w:rPr>
          <w:rFonts w:hint="eastAsia" w:asciiTheme="minorEastAsia" w:hAnsiTheme="minorEastAsia" w:eastAsiaTheme="minorEastAsia" w:cstheme="minorEastAsia"/>
          <w:bCs/>
          <w:sz w:val="24"/>
          <w:szCs w:val="24"/>
        </w:rPr>
      </w:pPr>
      <w:bookmarkStart w:id="513" w:name="_Toc14507_WPSOffice_Level2"/>
      <w:r>
        <w:rPr>
          <w:rFonts w:hint="eastAsia" w:asciiTheme="minorEastAsia" w:hAnsiTheme="minorEastAsia" w:eastAsiaTheme="minorEastAsia" w:cstheme="minorEastAsia"/>
          <w:bCs/>
          <w:sz w:val="24"/>
          <w:szCs w:val="24"/>
        </w:rPr>
        <w:t>供应商名称：</w:t>
      </w:r>
      <w:bookmarkEnd w:id="513"/>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单位：人民币(元)</w:t>
      </w:r>
    </w:p>
    <w:tbl>
      <w:tblPr>
        <w:tblStyle w:val="16"/>
        <w:tblpPr w:leftFromText="180" w:rightFromText="180" w:vertAnchor="text" w:horzAnchor="margin" w:tblpY="147"/>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239"/>
      </w:tblGrid>
      <w:tr w14:paraId="6664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14:paraId="5E7C1D55">
            <w:pPr>
              <w:adjustRightInd w:val="0"/>
              <w:spacing w:line="560" w:lineRule="exact"/>
              <w:textAlignment w:val="baseline"/>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项目名称</w:t>
            </w:r>
          </w:p>
        </w:tc>
        <w:tc>
          <w:tcPr>
            <w:tcW w:w="2717" w:type="dxa"/>
            <w:vAlign w:val="center"/>
          </w:tcPr>
          <w:p w14:paraId="44DB0C96">
            <w:pPr>
              <w:adjustRightInd w:val="0"/>
              <w:spacing w:line="560" w:lineRule="exact"/>
              <w:jc w:val="center"/>
              <w:textAlignment w:val="baseline"/>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首次报价</w:t>
            </w:r>
          </w:p>
        </w:tc>
        <w:tc>
          <w:tcPr>
            <w:tcW w:w="2670" w:type="dxa"/>
            <w:vAlign w:val="center"/>
          </w:tcPr>
          <w:p w14:paraId="1104EC4F">
            <w:pPr>
              <w:adjustRightInd w:val="0"/>
              <w:spacing w:line="560" w:lineRule="exact"/>
              <w:jc w:val="center"/>
              <w:textAlignment w:val="baseline"/>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交货</w:t>
            </w:r>
            <w:r>
              <w:rPr>
                <w:rFonts w:hint="eastAsia" w:asciiTheme="minorEastAsia" w:hAnsiTheme="minorEastAsia" w:eastAsiaTheme="minorEastAsia" w:cstheme="minorEastAsia"/>
                <w:bCs/>
                <w:sz w:val="24"/>
                <w:szCs w:val="24"/>
              </w:rPr>
              <w:t>期</w:t>
            </w:r>
          </w:p>
        </w:tc>
        <w:tc>
          <w:tcPr>
            <w:tcW w:w="1239" w:type="dxa"/>
            <w:vAlign w:val="center"/>
          </w:tcPr>
          <w:p w14:paraId="39F425AB">
            <w:pPr>
              <w:adjustRightInd w:val="0"/>
              <w:spacing w:line="560" w:lineRule="exact"/>
              <w:ind w:left="274" w:leftChars="16" w:hanging="240" w:hangingChars="100"/>
              <w:jc w:val="center"/>
              <w:textAlignment w:val="baseline"/>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备注</w:t>
            </w:r>
          </w:p>
        </w:tc>
      </w:tr>
      <w:tr w14:paraId="1C2E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14:paraId="102AB4D9">
            <w:pPr>
              <w:adjustRightInd w:val="0"/>
              <w:spacing w:line="560" w:lineRule="exact"/>
              <w:ind w:firstLine="480" w:firstLineChars="200"/>
              <w:textAlignment w:val="baseline"/>
              <w:outlineLvl w:val="9"/>
              <w:rPr>
                <w:rFonts w:hint="eastAsia" w:asciiTheme="minorEastAsia" w:hAnsiTheme="minorEastAsia" w:eastAsiaTheme="minorEastAsia" w:cstheme="minorEastAsia"/>
                <w:bCs/>
                <w:sz w:val="24"/>
                <w:szCs w:val="24"/>
              </w:rPr>
            </w:pPr>
          </w:p>
        </w:tc>
        <w:tc>
          <w:tcPr>
            <w:tcW w:w="2717" w:type="dxa"/>
          </w:tcPr>
          <w:p w14:paraId="6789BFAC">
            <w:pPr>
              <w:adjustRightInd w:val="0"/>
              <w:spacing w:line="560" w:lineRule="exact"/>
              <w:textAlignment w:val="baseline"/>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大写：</w:t>
            </w:r>
          </w:p>
        </w:tc>
        <w:tc>
          <w:tcPr>
            <w:tcW w:w="2670" w:type="dxa"/>
            <w:vMerge w:val="restart"/>
          </w:tcPr>
          <w:p w14:paraId="54A8AD4D">
            <w:pPr>
              <w:adjustRightInd w:val="0"/>
              <w:spacing w:line="560" w:lineRule="exact"/>
              <w:ind w:firstLine="196" w:firstLineChars="82"/>
              <w:textAlignment w:val="baseline"/>
              <w:outlineLvl w:val="9"/>
              <w:rPr>
                <w:rFonts w:hint="eastAsia" w:asciiTheme="minorEastAsia" w:hAnsiTheme="minorEastAsia" w:eastAsiaTheme="minorEastAsia" w:cstheme="minorEastAsia"/>
                <w:bCs/>
                <w:sz w:val="24"/>
                <w:szCs w:val="24"/>
              </w:rPr>
            </w:pPr>
          </w:p>
        </w:tc>
        <w:tc>
          <w:tcPr>
            <w:tcW w:w="1239" w:type="dxa"/>
            <w:vMerge w:val="restart"/>
          </w:tcPr>
          <w:p w14:paraId="08D25FD8">
            <w:pPr>
              <w:adjustRightInd w:val="0"/>
              <w:spacing w:line="560" w:lineRule="exact"/>
              <w:textAlignment w:val="baseline"/>
              <w:outlineLvl w:val="9"/>
              <w:rPr>
                <w:rFonts w:hint="eastAsia" w:asciiTheme="minorEastAsia" w:hAnsiTheme="minorEastAsia" w:eastAsiaTheme="minorEastAsia" w:cstheme="minorEastAsia"/>
                <w:bCs/>
                <w:sz w:val="24"/>
                <w:szCs w:val="24"/>
              </w:rPr>
            </w:pPr>
          </w:p>
        </w:tc>
      </w:tr>
      <w:tr w14:paraId="026E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14:paraId="6782E2FE">
            <w:pPr>
              <w:adjustRightInd w:val="0"/>
              <w:spacing w:line="560" w:lineRule="exact"/>
              <w:ind w:firstLine="480" w:firstLineChars="200"/>
              <w:textAlignment w:val="baseline"/>
              <w:outlineLvl w:val="9"/>
              <w:rPr>
                <w:rFonts w:hint="eastAsia" w:asciiTheme="minorEastAsia" w:hAnsiTheme="minorEastAsia" w:eastAsiaTheme="minorEastAsia" w:cstheme="minorEastAsia"/>
                <w:bCs/>
                <w:sz w:val="24"/>
                <w:szCs w:val="24"/>
              </w:rPr>
            </w:pPr>
          </w:p>
        </w:tc>
        <w:tc>
          <w:tcPr>
            <w:tcW w:w="2717" w:type="dxa"/>
          </w:tcPr>
          <w:p w14:paraId="67DB4A6E">
            <w:pPr>
              <w:adjustRightInd w:val="0"/>
              <w:spacing w:line="560" w:lineRule="exact"/>
              <w:textAlignment w:val="baseline"/>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小写：</w:t>
            </w:r>
          </w:p>
        </w:tc>
        <w:tc>
          <w:tcPr>
            <w:tcW w:w="2670" w:type="dxa"/>
            <w:vMerge w:val="continue"/>
          </w:tcPr>
          <w:p w14:paraId="799E3130">
            <w:pPr>
              <w:adjustRightInd w:val="0"/>
              <w:spacing w:line="560" w:lineRule="exact"/>
              <w:ind w:firstLine="480" w:firstLineChars="200"/>
              <w:textAlignment w:val="baseline"/>
              <w:outlineLvl w:val="9"/>
              <w:rPr>
                <w:rFonts w:hint="eastAsia" w:asciiTheme="minorEastAsia" w:hAnsiTheme="minorEastAsia" w:eastAsiaTheme="minorEastAsia" w:cstheme="minorEastAsia"/>
                <w:bCs/>
                <w:sz w:val="24"/>
                <w:szCs w:val="24"/>
              </w:rPr>
            </w:pPr>
          </w:p>
        </w:tc>
        <w:tc>
          <w:tcPr>
            <w:tcW w:w="1239" w:type="dxa"/>
            <w:vMerge w:val="continue"/>
          </w:tcPr>
          <w:p w14:paraId="67E70324">
            <w:pPr>
              <w:adjustRightInd w:val="0"/>
              <w:spacing w:line="560" w:lineRule="exact"/>
              <w:textAlignment w:val="baseline"/>
              <w:outlineLvl w:val="9"/>
              <w:rPr>
                <w:rFonts w:hint="eastAsia" w:asciiTheme="minorEastAsia" w:hAnsiTheme="minorEastAsia" w:eastAsiaTheme="minorEastAsia" w:cstheme="minorEastAsia"/>
                <w:bCs/>
                <w:sz w:val="24"/>
                <w:szCs w:val="24"/>
              </w:rPr>
            </w:pPr>
          </w:p>
        </w:tc>
      </w:tr>
      <w:tr w14:paraId="0347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8718" w:type="dxa"/>
            <w:gridSpan w:val="4"/>
            <w:vAlign w:val="center"/>
          </w:tcPr>
          <w:p w14:paraId="3B97F3DB">
            <w:pPr>
              <w:adjustRightInd w:val="0"/>
              <w:spacing w:line="560" w:lineRule="exact"/>
              <w:textAlignment w:val="baseline"/>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其他承诺及需要说明的事项：</w:t>
            </w:r>
          </w:p>
        </w:tc>
      </w:tr>
    </w:tbl>
    <w:p w14:paraId="3ABE3D23">
      <w:pPr>
        <w:spacing w:line="560" w:lineRule="exac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填写此表时不得改变表格形式。</w:t>
      </w:r>
    </w:p>
    <w:p w14:paraId="7BCD0633">
      <w:pPr>
        <w:spacing w:line="560" w:lineRule="exact"/>
        <w:ind w:firstLine="480" w:firstLineChars="200"/>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2、“投标报价”为投标总价。</w:t>
      </w:r>
    </w:p>
    <w:p w14:paraId="70F5261E">
      <w:pPr>
        <w:spacing w:line="560" w:lineRule="exact"/>
        <w:ind w:firstLine="480" w:firstLineChars="200"/>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lang w:eastAsia="zh-CN"/>
        </w:rPr>
        <w:t>交货</w:t>
      </w:r>
      <w:r>
        <w:rPr>
          <w:rFonts w:hint="eastAsia" w:asciiTheme="minorEastAsia" w:hAnsiTheme="minorEastAsia" w:eastAsiaTheme="minorEastAsia" w:cstheme="minorEastAsia"/>
          <w:sz w:val="24"/>
          <w:szCs w:val="24"/>
        </w:rPr>
        <w:t>期</w:t>
      </w:r>
      <w:r>
        <w:rPr>
          <w:rFonts w:hint="eastAsia" w:asciiTheme="minorEastAsia" w:hAnsiTheme="minorEastAsia" w:eastAsiaTheme="minorEastAsia" w:cstheme="minorEastAsia"/>
          <w:sz w:val="24"/>
          <w:szCs w:val="24"/>
          <w:lang w:val="zh-CN"/>
        </w:rPr>
        <w:t>”是指</w:t>
      </w:r>
      <w:r>
        <w:rPr>
          <w:rFonts w:hint="eastAsia" w:asciiTheme="minorEastAsia" w:hAnsiTheme="minorEastAsia" w:eastAsiaTheme="minorEastAsia" w:cstheme="minorEastAsia"/>
          <w:sz w:val="24"/>
          <w:szCs w:val="24"/>
          <w:lang w:val="en-US" w:eastAsia="zh-CN"/>
        </w:rPr>
        <w:t>项目</w:t>
      </w:r>
      <w:r>
        <w:rPr>
          <w:rFonts w:hint="eastAsia" w:asciiTheme="minorEastAsia" w:hAnsiTheme="minorEastAsia" w:eastAsiaTheme="minorEastAsia" w:cstheme="minorEastAsia"/>
          <w:sz w:val="24"/>
          <w:szCs w:val="24"/>
        </w:rPr>
        <w:t>完成的</w:t>
      </w:r>
      <w:r>
        <w:rPr>
          <w:rFonts w:hint="eastAsia" w:asciiTheme="minorEastAsia" w:hAnsiTheme="minorEastAsia" w:eastAsiaTheme="minorEastAsia" w:cstheme="minorEastAsia"/>
          <w:sz w:val="24"/>
          <w:szCs w:val="24"/>
          <w:lang w:val="zh-CN"/>
        </w:rPr>
        <w:t>具体时间；</w:t>
      </w:r>
    </w:p>
    <w:p w14:paraId="71B88A59">
      <w:pPr>
        <w:spacing w:line="560" w:lineRule="exact"/>
        <w:ind w:firstLine="480" w:firstLineChars="200"/>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 投标报价不能有两个或两个以上的报价方案。</w:t>
      </w:r>
    </w:p>
    <w:p w14:paraId="7CE511BA">
      <w:pPr>
        <w:spacing w:line="560" w:lineRule="exact"/>
        <w:outlineLvl w:val="9"/>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w:t>
      </w:r>
    </w:p>
    <w:p w14:paraId="08981E3B">
      <w:pPr>
        <w:spacing w:line="560" w:lineRule="exact"/>
        <w:ind w:firstLine="480" w:firstLineChars="200"/>
        <w:outlineLvl w:val="9"/>
        <w:rPr>
          <w:rFonts w:hint="eastAsia" w:asciiTheme="minorEastAsia" w:hAnsiTheme="minorEastAsia" w:eastAsiaTheme="minorEastAsia" w:cstheme="minorEastAsia"/>
          <w:sz w:val="24"/>
          <w:szCs w:val="24"/>
        </w:rPr>
      </w:pPr>
    </w:p>
    <w:p w14:paraId="1D88B64D">
      <w:pPr>
        <w:spacing w:before="156" w:beforeLines="50" w:line="560" w:lineRule="exact"/>
        <w:ind w:firstLine="482"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 xml:space="preserve">                      </w:t>
      </w:r>
      <w:bookmarkStart w:id="514" w:name="_Toc27526_WPSOffice_Level3"/>
      <w:r>
        <w:rPr>
          <w:rFonts w:hint="eastAsia" w:asciiTheme="minorEastAsia" w:hAnsiTheme="minorEastAsia" w:eastAsiaTheme="minorEastAsia" w:cstheme="minorEastAsia"/>
          <w:b/>
          <w:sz w:val="24"/>
          <w:szCs w:val="24"/>
        </w:rPr>
        <w:t xml:space="preserve"> </w:t>
      </w:r>
      <w:bookmarkStart w:id="515" w:name="_Toc11022_WPSOffice_Level3"/>
      <w:r>
        <w:rPr>
          <w:rFonts w:hint="eastAsia" w:asciiTheme="minorEastAsia" w:hAnsiTheme="minorEastAsia" w:eastAsiaTheme="minorEastAsia" w:cstheme="minorEastAsia"/>
          <w:bCs/>
          <w:sz w:val="24"/>
          <w:szCs w:val="24"/>
        </w:rPr>
        <w:t>单位名称：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（公章）</w:t>
      </w:r>
      <w:bookmarkEnd w:id="514"/>
      <w:bookmarkEnd w:id="515"/>
    </w:p>
    <w:p w14:paraId="41A92107">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16" w:name="_Toc32417_WPSOffice_Level3"/>
      <w:bookmarkStart w:id="517" w:name="_Toc23931_WPSOffice_Level3"/>
      <w:r>
        <w:rPr>
          <w:rFonts w:hint="eastAsia" w:asciiTheme="minorEastAsia" w:hAnsiTheme="minorEastAsia" w:eastAsiaTheme="minorEastAsia" w:cstheme="minorEastAsia"/>
          <w:bCs/>
          <w:sz w:val="24"/>
          <w:szCs w:val="24"/>
        </w:rPr>
        <w:t>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（签字或盖章）</w:t>
      </w:r>
      <w:bookmarkEnd w:id="516"/>
      <w:bookmarkEnd w:id="517"/>
    </w:p>
    <w:p w14:paraId="7A155C71">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18" w:name="_Toc19388_WPSOffice_Level3"/>
      <w:bookmarkStart w:id="519" w:name="_Toc23319_WPSOffice_Level3"/>
      <w:r>
        <w:rPr>
          <w:rFonts w:hint="eastAsia" w:asciiTheme="minorEastAsia" w:hAnsiTheme="minorEastAsia" w:eastAsiaTheme="minorEastAsia" w:cstheme="minorEastAsia"/>
          <w:bCs/>
          <w:sz w:val="24"/>
          <w:szCs w:val="24"/>
        </w:rPr>
        <w:t>年   月  日</w:t>
      </w:r>
      <w:bookmarkEnd w:id="518"/>
      <w:bookmarkEnd w:id="519"/>
    </w:p>
    <w:p w14:paraId="729794D4">
      <w:pPr>
        <w:widowControl/>
        <w:snapToGrid w:val="0"/>
        <w:spacing w:before="156" w:beforeLines="50" w:line="560" w:lineRule="exact"/>
        <w:outlineLvl w:val="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bookmarkStart w:id="520" w:name="_Toc7532"/>
      <w:bookmarkStart w:id="521" w:name="_Toc18824_WPSOffice_Level3"/>
      <w:bookmarkStart w:id="522" w:name="_Toc14123"/>
      <w:bookmarkStart w:id="523" w:name="_Toc18210"/>
      <w:bookmarkStart w:id="524" w:name="_Toc13192"/>
      <w:bookmarkStart w:id="525" w:name="_Toc31202"/>
      <w:bookmarkStart w:id="526" w:name="_Toc3352_WPSOffice_Level3"/>
      <w:r>
        <w:rPr>
          <w:rFonts w:hint="eastAsia" w:asciiTheme="minorEastAsia" w:hAnsiTheme="minorEastAsia" w:eastAsiaTheme="minorEastAsia" w:cstheme="minorEastAsia"/>
          <w:b/>
          <w:sz w:val="28"/>
          <w:szCs w:val="28"/>
        </w:rPr>
        <w:t>附件11：分项报价表</w:t>
      </w:r>
      <w:bookmarkEnd w:id="520"/>
      <w:bookmarkEnd w:id="521"/>
      <w:bookmarkEnd w:id="522"/>
      <w:bookmarkEnd w:id="523"/>
      <w:bookmarkEnd w:id="524"/>
      <w:bookmarkEnd w:id="525"/>
      <w:bookmarkEnd w:id="526"/>
    </w:p>
    <w:p w14:paraId="16FE63E4">
      <w:pPr>
        <w:spacing w:before="156" w:beforeLines="50" w:line="560" w:lineRule="exact"/>
        <w:jc w:val="center"/>
        <w:outlineLvl w:val="9"/>
        <w:rPr>
          <w:rFonts w:hint="eastAsia" w:asciiTheme="minorEastAsia" w:hAnsiTheme="minorEastAsia" w:eastAsiaTheme="minorEastAsia" w:cstheme="minorEastAsia"/>
          <w:b/>
          <w:sz w:val="24"/>
          <w:szCs w:val="24"/>
        </w:rPr>
      </w:pPr>
      <w:bookmarkStart w:id="527" w:name="_Toc31256_WPSOffice_Level3"/>
      <w:bookmarkStart w:id="528" w:name="_Toc12587_WPSOffice_Level1"/>
      <w:bookmarkStart w:id="529" w:name="_Toc19937_WPSOffice_Level1"/>
      <w:r>
        <w:rPr>
          <w:rFonts w:hint="eastAsia" w:asciiTheme="minorEastAsia" w:hAnsiTheme="minorEastAsia" w:eastAsiaTheme="minorEastAsia" w:cstheme="minorEastAsia"/>
          <w:b/>
          <w:sz w:val="24"/>
          <w:szCs w:val="24"/>
          <w:lang w:val="zh-CN"/>
        </w:rPr>
        <w:t>分项报价表</w:t>
      </w:r>
      <w:bookmarkEnd w:id="527"/>
      <w:bookmarkEnd w:id="528"/>
      <w:bookmarkEnd w:id="529"/>
    </w:p>
    <w:p w14:paraId="5765E213">
      <w:pPr>
        <w:spacing w:line="560" w:lineRule="exact"/>
        <w:outlineLvl w:val="9"/>
        <w:rPr>
          <w:rFonts w:hint="eastAsia" w:asciiTheme="minorEastAsia" w:hAnsiTheme="minorEastAsia" w:eastAsiaTheme="minorEastAsia" w:cstheme="minorEastAsia"/>
          <w:bCs/>
          <w:sz w:val="24"/>
          <w:szCs w:val="24"/>
        </w:rPr>
      </w:pPr>
      <w:bookmarkStart w:id="530" w:name="_Toc30633_WPSOffice_Level2"/>
      <w:r>
        <w:rPr>
          <w:rFonts w:hint="eastAsia" w:asciiTheme="minorEastAsia" w:hAnsiTheme="minorEastAsia" w:eastAsiaTheme="minorEastAsia" w:cstheme="minorEastAsia"/>
          <w:bCs/>
          <w:sz w:val="24"/>
          <w:szCs w:val="24"/>
        </w:rPr>
        <w:t>供应商名称:</w:t>
      </w:r>
      <w:bookmarkEnd w:id="530"/>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单位：人民币(元)                                          </w:t>
      </w:r>
    </w:p>
    <w:tbl>
      <w:tblPr>
        <w:tblStyle w:val="17"/>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79"/>
        <w:gridCol w:w="1665"/>
        <w:gridCol w:w="1103"/>
        <w:gridCol w:w="1170"/>
        <w:gridCol w:w="1228"/>
        <w:gridCol w:w="925"/>
        <w:gridCol w:w="850"/>
        <w:gridCol w:w="887"/>
        <w:gridCol w:w="800"/>
      </w:tblGrid>
      <w:tr w14:paraId="550F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7" w:hRule="atLeast"/>
          <w:jc w:val="center"/>
        </w:trPr>
        <w:tc>
          <w:tcPr>
            <w:tcW w:w="479" w:type="dxa"/>
            <w:vAlign w:val="center"/>
          </w:tcPr>
          <w:p w14:paraId="79906EAD">
            <w:pPr>
              <w:widowControl w:val="0"/>
              <w:wordWrap/>
              <w:adjustRightInd/>
              <w:snapToGrid/>
              <w:spacing w:line="560" w:lineRule="exact"/>
              <w:jc w:val="center"/>
              <w:textAlignment w:val="auto"/>
              <w:outlineLvl w:val="9"/>
              <w:rPr>
                <w:rFonts w:hint="eastAsia" w:asciiTheme="minorEastAsia" w:hAnsiTheme="minorEastAsia" w:eastAsiaTheme="minorEastAsia" w:cstheme="minorEastAsia"/>
                <w:b w:val="0"/>
                <w:bCs/>
                <w:color w:val="000000"/>
                <w:sz w:val="24"/>
                <w:szCs w:val="24"/>
              </w:rPr>
            </w:pPr>
            <w:bookmarkStart w:id="531" w:name="_Toc698"/>
            <w:r>
              <w:rPr>
                <w:rFonts w:hint="eastAsia" w:asciiTheme="minorEastAsia" w:hAnsiTheme="minorEastAsia" w:eastAsiaTheme="minorEastAsia" w:cstheme="minorEastAsia"/>
                <w:b w:val="0"/>
                <w:bCs/>
                <w:color w:val="000000"/>
                <w:sz w:val="24"/>
                <w:szCs w:val="24"/>
              </w:rPr>
              <w:t>序号</w:t>
            </w:r>
          </w:p>
        </w:tc>
        <w:tc>
          <w:tcPr>
            <w:tcW w:w="1665" w:type="dxa"/>
            <w:vAlign w:val="center"/>
          </w:tcPr>
          <w:p w14:paraId="3CE26A9D">
            <w:pPr>
              <w:widowControl w:val="0"/>
              <w:wordWrap/>
              <w:adjustRightInd/>
              <w:snapToGrid/>
              <w:spacing w:line="560" w:lineRule="exact"/>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产品名称</w:t>
            </w:r>
          </w:p>
        </w:tc>
        <w:tc>
          <w:tcPr>
            <w:tcW w:w="1103" w:type="dxa"/>
            <w:vAlign w:val="center"/>
          </w:tcPr>
          <w:p w14:paraId="717B2D9E">
            <w:pPr>
              <w:widowControl w:val="0"/>
              <w:wordWrap/>
              <w:adjustRightInd/>
              <w:snapToGrid/>
              <w:spacing w:line="560" w:lineRule="exact"/>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品牌</w:t>
            </w:r>
          </w:p>
        </w:tc>
        <w:tc>
          <w:tcPr>
            <w:tcW w:w="1170" w:type="dxa"/>
            <w:vAlign w:val="center"/>
          </w:tcPr>
          <w:p w14:paraId="5105855F">
            <w:pPr>
              <w:widowControl w:val="0"/>
              <w:wordWrap/>
              <w:adjustRightInd/>
              <w:snapToGrid/>
              <w:spacing w:line="560" w:lineRule="exact"/>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规格型号</w:t>
            </w:r>
          </w:p>
        </w:tc>
        <w:tc>
          <w:tcPr>
            <w:tcW w:w="1228" w:type="dxa"/>
            <w:vAlign w:val="center"/>
          </w:tcPr>
          <w:p w14:paraId="4837D222">
            <w:pPr>
              <w:widowControl w:val="0"/>
              <w:wordWrap/>
              <w:adjustRightInd/>
              <w:snapToGrid/>
              <w:spacing w:line="560" w:lineRule="exact"/>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生产厂家</w:t>
            </w:r>
          </w:p>
        </w:tc>
        <w:tc>
          <w:tcPr>
            <w:tcW w:w="925" w:type="dxa"/>
            <w:vAlign w:val="center"/>
          </w:tcPr>
          <w:p w14:paraId="1C5226F0">
            <w:pPr>
              <w:widowControl w:val="0"/>
              <w:wordWrap/>
              <w:adjustRightInd/>
              <w:snapToGrid/>
              <w:spacing w:line="560" w:lineRule="exact"/>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数量及单位</w:t>
            </w:r>
          </w:p>
        </w:tc>
        <w:tc>
          <w:tcPr>
            <w:tcW w:w="850" w:type="dxa"/>
            <w:vAlign w:val="center"/>
          </w:tcPr>
          <w:p w14:paraId="20858A6B">
            <w:pPr>
              <w:widowControl w:val="0"/>
              <w:wordWrap/>
              <w:adjustRightInd/>
              <w:snapToGrid/>
              <w:spacing w:line="560" w:lineRule="exact"/>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单价</w:t>
            </w:r>
          </w:p>
        </w:tc>
        <w:tc>
          <w:tcPr>
            <w:tcW w:w="887" w:type="dxa"/>
            <w:vAlign w:val="center"/>
          </w:tcPr>
          <w:p w14:paraId="3E7154C1">
            <w:pPr>
              <w:widowControl w:val="0"/>
              <w:wordWrap/>
              <w:adjustRightInd/>
              <w:snapToGrid/>
              <w:spacing w:line="560" w:lineRule="exact"/>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合计</w:t>
            </w:r>
          </w:p>
        </w:tc>
        <w:tc>
          <w:tcPr>
            <w:tcW w:w="800" w:type="dxa"/>
            <w:vAlign w:val="center"/>
          </w:tcPr>
          <w:p w14:paraId="0A0C32A0">
            <w:pPr>
              <w:widowControl w:val="0"/>
              <w:wordWrap/>
              <w:adjustRightInd/>
              <w:snapToGrid/>
              <w:spacing w:line="560" w:lineRule="exact"/>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备注</w:t>
            </w:r>
          </w:p>
        </w:tc>
      </w:tr>
      <w:tr w14:paraId="1123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 w:hRule="atLeast"/>
          <w:jc w:val="center"/>
        </w:trPr>
        <w:tc>
          <w:tcPr>
            <w:tcW w:w="479" w:type="dxa"/>
            <w:vAlign w:val="center"/>
          </w:tcPr>
          <w:p w14:paraId="332D3BD2">
            <w:pPr>
              <w:widowControl w:val="0"/>
              <w:wordWrap/>
              <w:adjustRightInd/>
              <w:snapToGrid/>
              <w:spacing w:line="560" w:lineRule="exact"/>
              <w:ind w:firstLine="199" w:firstLineChars="83"/>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1</w:t>
            </w:r>
          </w:p>
        </w:tc>
        <w:tc>
          <w:tcPr>
            <w:tcW w:w="1665" w:type="dxa"/>
            <w:vAlign w:val="center"/>
          </w:tcPr>
          <w:p w14:paraId="2C183A41">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103" w:type="dxa"/>
            <w:vAlign w:val="center"/>
          </w:tcPr>
          <w:p w14:paraId="539F3AC9">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170" w:type="dxa"/>
            <w:vAlign w:val="center"/>
          </w:tcPr>
          <w:p w14:paraId="2A67A9AF">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228" w:type="dxa"/>
            <w:vAlign w:val="center"/>
          </w:tcPr>
          <w:p w14:paraId="27708B5C">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925" w:type="dxa"/>
            <w:vAlign w:val="center"/>
          </w:tcPr>
          <w:p w14:paraId="4B729FA6">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50" w:type="dxa"/>
            <w:vAlign w:val="center"/>
          </w:tcPr>
          <w:p w14:paraId="78317960">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87" w:type="dxa"/>
            <w:vAlign w:val="center"/>
          </w:tcPr>
          <w:p w14:paraId="650D9300">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00" w:type="dxa"/>
            <w:vAlign w:val="center"/>
          </w:tcPr>
          <w:p w14:paraId="18B56A01">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r>
      <w:tr w14:paraId="3D0D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 w:hRule="atLeast"/>
          <w:jc w:val="center"/>
        </w:trPr>
        <w:tc>
          <w:tcPr>
            <w:tcW w:w="479" w:type="dxa"/>
            <w:vAlign w:val="center"/>
          </w:tcPr>
          <w:p w14:paraId="781DB392">
            <w:pPr>
              <w:widowControl w:val="0"/>
              <w:wordWrap/>
              <w:adjustRightInd/>
              <w:snapToGrid/>
              <w:spacing w:line="560" w:lineRule="exact"/>
              <w:ind w:firstLine="199" w:firstLineChars="83"/>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w:t>
            </w:r>
          </w:p>
        </w:tc>
        <w:tc>
          <w:tcPr>
            <w:tcW w:w="1665" w:type="dxa"/>
            <w:vAlign w:val="center"/>
          </w:tcPr>
          <w:p w14:paraId="004BE4A4">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103" w:type="dxa"/>
            <w:vAlign w:val="center"/>
          </w:tcPr>
          <w:p w14:paraId="28D2F6BA">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170" w:type="dxa"/>
            <w:vAlign w:val="center"/>
          </w:tcPr>
          <w:p w14:paraId="0B9E8E12">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228" w:type="dxa"/>
            <w:vAlign w:val="center"/>
          </w:tcPr>
          <w:p w14:paraId="2221C5D4">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925" w:type="dxa"/>
            <w:vAlign w:val="center"/>
          </w:tcPr>
          <w:p w14:paraId="066C4B50">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50" w:type="dxa"/>
            <w:vAlign w:val="center"/>
          </w:tcPr>
          <w:p w14:paraId="044ED6CF">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87" w:type="dxa"/>
            <w:vAlign w:val="center"/>
          </w:tcPr>
          <w:p w14:paraId="02F39FD0">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00" w:type="dxa"/>
            <w:vAlign w:val="center"/>
          </w:tcPr>
          <w:p w14:paraId="71074030">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r>
      <w:tr w14:paraId="602E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 w:hRule="atLeast"/>
          <w:jc w:val="center"/>
        </w:trPr>
        <w:tc>
          <w:tcPr>
            <w:tcW w:w="479" w:type="dxa"/>
            <w:vAlign w:val="center"/>
          </w:tcPr>
          <w:p w14:paraId="04677D02">
            <w:pPr>
              <w:widowControl w:val="0"/>
              <w:wordWrap/>
              <w:adjustRightInd/>
              <w:snapToGrid/>
              <w:spacing w:line="560" w:lineRule="exact"/>
              <w:ind w:firstLine="199" w:firstLineChars="83"/>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3</w:t>
            </w:r>
          </w:p>
        </w:tc>
        <w:tc>
          <w:tcPr>
            <w:tcW w:w="1665" w:type="dxa"/>
            <w:vAlign w:val="center"/>
          </w:tcPr>
          <w:p w14:paraId="0D00E3B4">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103" w:type="dxa"/>
            <w:vAlign w:val="center"/>
          </w:tcPr>
          <w:p w14:paraId="3DBE5DD5">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170" w:type="dxa"/>
            <w:vAlign w:val="center"/>
          </w:tcPr>
          <w:p w14:paraId="1FF551E3">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228" w:type="dxa"/>
            <w:vAlign w:val="center"/>
          </w:tcPr>
          <w:p w14:paraId="6D44266F">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925" w:type="dxa"/>
            <w:vAlign w:val="center"/>
          </w:tcPr>
          <w:p w14:paraId="6AAA177D">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50" w:type="dxa"/>
            <w:vAlign w:val="center"/>
          </w:tcPr>
          <w:p w14:paraId="70185596">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87" w:type="dxa"/>
            <w:vAlign w:val="center"/>
          </w:tcPr>
          <w:p w14:paraId="2DA7B495">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00" w:type="dxa"/>
            <w:vAlign w:val="center"/>
          </w:tcPr>
          <w:p w14:paraId="5C045A92">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r>
      <w:tr w14:paraId="0FB9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 w:hRule="atLeast"/>
          <w:jc w:val="center"/>
        </w:trPr>
        <w:tc>
          <w:tcPr>
            <w:tcW w:w="479" w:type="dxa"/>
            <w:vAlign w:val="center"/>
          </w:tcPr>
          <w:p w14:paraId="5DB74A9F">
            <w:pPr>
              <w:widowControl w:val="0"/>
              <w:wordWrap/>
              <w:adjustRightInd/>
              <w:snapToGrid/>
              <w:spacing w:line="560" w:lineRule="exact"/>
              <w:ind w:firstLine="199" w:firstLineChars="83"/>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4</w:t>
            </w:r>
          </w:p>
        </w:tc>
        <w:tc>
          <w:tcPr>
            <w:tcW w:w="1665" w:type="dxa"/>
            <w:vAlign w:val="center"/>
          </w:tcPr>
          <w:p w14:paraId="0AE6EB8E">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103" w:type="dxa"/>
            <w:vAlign w:val="center"/>
          </w:tcPr>
          <w:p w14:paraId="5AC15CCD">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170" w:type="dxa"/>
            <w:vAlign w:val="center"/>
          </w:tcPr>
          <w:p w14:paraId="20D9D61B">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228" w:type="dxa"/>
            <w:vAlign w:val="center"/>
          </w:tcPr>
          <w:p w14:paraId="67EAE33C">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925" w:type="dxa"/>
            <w:vAlign w:val="center"/>
          </w:tcPr>
          <w:p w14:paraId="5C5F718A">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50" w:type="dxa"/>
            <w:vAlign w:val="center"/>
          </w:tcPr>
          <w:p w14:paraId="06E2D1F5">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87" w:type="dxa"/>
            <w:vAlign w:val="center"/>
          </w:tcPr>
          <w:p w14:paraId="0E134C2E">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00" w:type="dxa"/>
            <w:vAlign w:val="center"/>
          </w:tcPr>
          <w:p w14:paraId="7EBD1C69">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r>
      <w:tr w14:paraId="113D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 w:hRule="atLeast"/>
          <w:jc w:val="center"/>
        </w:trPr>
        <w:tc>
          <w:tcPr>
            <w:tcW w:w="479" w:type="dxa"/>
            <w:vAlign w:val="center"/>
          </w:tcPr>
          <w:p w14:paraId="0E8CE147">
            <w:pPr>
              <w:widowControl w:val="0"/>
              <w:wordWrap/>
              <w:adjustRightInd/>
              <w:snapToGrid/>
              <w:spacing w:line="560" w:lineRule="exact"/>
              <w:ind w:firstLine="199" w:firstLineChars="83"/>
              <w:jc w:val="center"/>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w:t>
            </w:r>
          </w:p>
        </w:tc>
        <w:tc>
          <w:tcPr>
            <w:tcW w:w="1665" w:type="dxa"/>
            <w:vAlign w:val="center"/>
          </w:tcPr>
          <w:p w14:paraId="36966892">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103" w:type="dxa"/>
            <w:vAlign w:val="center"/>
          </w:tcPr>
          <w:p w14:paraId="525BEC80">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170" w:type="dxa"/>
            <w:vAlign w:val="center"/>
          </w:tcPr>
          <w:p w14:paraId="0889E415">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1228" w:type="dxa"/>
            <w:vAlign w:val="center"/>
          </w:tcPr>
          <w:p w14:paraId="70BBFA4C">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925" w:type="dxa"/>
            <w:vAlign w:val="center"/>
          </w:tcPr>
          <w:p w14:paraId="2DE63DBD">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50" w:type="dxa"/>
            <w:vAlign w:val="center"/>
          </w:tcPr>
          <w:p w14:paraId="102F378F">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87" w:type="dxa"/>
            <w:vAlign w:val="center"/>
          </w:tcPr>
          <w:p w14:paraId="274FE401">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c>
          <w:tcPr>
            <w:tcW w:w="800" w:type="dxa"/>
            <w:vAlign w:val="center"/>
          </w:tcPr>
          <w:p w14:paraId="0E53B98F">
            <w:pPr>
              <w:widowControl w:val="0"/>
              <w:wordWrap/>
              <w:adjustRightInd/>
              <w:snapToGrid/>
              <w:spacing w:line="560" w:lineRule="exact"/>
              <w:ind w:firstLine="480" w:firstLineChars="200"/>
              <w:jc w:val="center"/>
              <w:textAlignment w:val="auto"/>
              <w:outlineLvl w:val="9"/>
              <w:rPr>
                <w:rFonts w:hint="eastAsia" w:asciiTheme="minorEastAsia" w:hAnsiTheme="minorEastAsia" w:eastAsiaTheme="minorEastAsia" w:cstheme="minorEastAsia"/>
                <w:b w:val="0"/>
                <w:bCs/>
                <w:color w:val="000000"/>
                <w:sz w:val="24"/>
                <w:szCs w:val="24"/>
              </w:rPr>
            </w:pPr>
          </w:p>
        </w:tc>
      </w:tr>
      <w:tr w14:paraId="2EE8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5" w:hRule="atLeast"/>
          <w:jc w:val="center"/>
        </w:trPr>
        <w:tc>
          <w:tcPr>
            <w:tcW w:w="9107" w:type="dxa"/>
            <w:gridSpan w:val="9"/>
            <w:vAlign w:val="center"/>
          </w:tcPr>
          <w:p w14:paraId="4464843D">
            <w:pPr>
              <w:widowControl w:val="0"/>
              <w:wordWrap/>
              <w:adjustRightInd/>
              <w:snapToGrid/>
              <w:spacing w:line="560" w:lineRule="exact"/>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其他承诺及需要说明的事项：</w:t>
            </w:r>
          </w:p>
        </w:tc>
      </w:tr>
      <w:tr w14:paraId="6045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9" w:hRule="atLeast"/>
          <w:jc w:val="center"/>
        </w:trPr>
        <w:tc>
          <w:tcPr>
            <w:tcW w:w="2144" w:type="dxa"/>
            <w:gridSpan w:val="2"/>
            <w:vAlign w:val="center"/>
          </w:tcPr>
          <w:p w14:paraId="24F898E9">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总价</w:t>
            </w:r>
          </w:p>
        </w:tc>
        <w:tc>
          <w:tcPr>
            <w:tcW w:w="6963" w:type="dxa"/>
            <w:gridSpan w:val="7"/>
            <w:vAlign w:val="center"/>
          </w:tcPr>
          <w:p w14:paraId="75DB20A4">
            <w:pPr>
              <w:widowControl w:val="0"/>
              <w:wordWrap/>
              <w:adjustRightInd/>
              <w:snapToGrid/>
              <w:spacing w:line="560" w:lineRule="exact"/>
              <w:ind w:firstLine="480" w:firstLineChars="200"/>
              <w:textAlignment w:val="auto"/>
              <w:outlineLvl w:val="9"/>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大写：                      小写：</w:t>
            </w:r>
          </w:p>
        </w:tc>
      </w:tr>
    </w:tbl>
    <w:p w14:paraId="707F1DC0">
      <w:pPr>
        <w:spacing w:line="400" w:lineRule="exact"/>
        <w:outlineLvl w:val="9"/>
        <w:rPr>
          <w:rFonts w:ascii="宋体" w:hAnsi="宋体"/>
          <w:sz w:val="24"/>
          <w:szCs w:val="24"/>
          <w:lang w:val="zh-CN"/>
        </w:rPr>
      </w:pPr>
      <w:r>
        <w:rPr>
          <w:rFonts w:ascii="宋体" w:hAnsi="宋体"/>
          <w:sz w:val="24"/>
          <w:szCs w:val="24"/>
          <w:lang w:val="zh-CN"/>
        </w:rPr>
        <w:t>注：1、本表应依照采购一览表中的序号按顺序逐项填写，不得遗漏。</w:t>
      </w:r>
    </w:p>
    <w:p w14:paraId="3B09ABF6">
      <w:pPr>
        <w:spacing w:line="560" w:lineRule="exact"/>
        <w:outlineLvl w:val="9"/>
        <w:rPr>
          <w:rFonts w:hint="eastAsia" w:asciiTheme="minorEastAsia" w:hAnsiTheme="minorEastAsia" w:eastAsiaTheme="minorEastAsia" w:cstheme="minorEastAsia"/>
          <w:b/>
          <w:sz w:val="24"/>
          <w:szCs w:val="24"/>
        </w:rPr>
      </w:pPr>
    </w:p>
    <w:p w14:paraId="70E48FF4">
      <w:pPr>
        <w:spacing w:line="560" w:lineRule="exact"/>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Cs/>
          <w:sz w:val="24"/>
          <w:szCs w:val="24"/>
        </w:rPr>
        <w:t xml:space="preserve">                        单位名称：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（公章）</w:t>
      </w:r>
    </w:p>
    <w:p w14:paraId="63375F09">
      <w:pPr>
        <w:spacing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32" w:name="_Toc24193_WPSOffice_Level3"/>
      <w:r>
        <w:rPr>
          <w:rFonts w:hint="eastAsia" w:asciiTheme="minorEastAsia" w:hAnsiTheme="minorEastAsia" w:eastAsiaTheme="minorEastAsia" w:cstheme="minorEastAsia"/>
          <w:bCs/>
          <w:sz w:val="24"/>
          <w:szCs w:val="24"/>
        </w:rPr>
        <w:t>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（签字或盖章）</w:t>
      </w:r>
      <w:bookmarkEnd w:id="532"/>
    </w:p>
    <w:p w14:paraId="58EE4E99">
      <w:pPr>
        <w:spacing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33" w:name="_Toc20924_WPSOffice_Level3"/>
      <w:r>
        <w:rPr>
          <w:rFonts w:hint="eastAsia" w:asciiTheme="minorEastAsia" w:hAnsiTheme="minorEastAsia" w:eastAsiaTheme="minorEastAsia" w:cstheme="minorEastAsia"/>
          <w:bCs/>
          <w:sz w:val="24"/>
          <w:szCs w:val="24"/>
        </w:rPr>
        <w:t>年   月  日</w:t>
      </w:r>
      <w:bookmarkEnd w:id="533"/>
    </w:p>
    <w:p w14:paraId="09DD9070">
      <w:pPr>
        <w:widowControl/>
        <w:snapToGrid w:val="0"/>
        <w:spacing w:before="156" w:beforeLines="50" w:line="560" w:lineRule="exact"/>
        <w:ind w:firstLine="420" w:firstLineChars="0"/>
        <w:outlineLvl w:val="9"/>
        <w:rPr>
          <w:rFonts w:hint="eastAsia" w:asciiTheme="minorEastAsia" w:hAnsiTheme="minorEastAsia" w:eastAsiaTheme="minorEastAsia" w:cstheme="minorEastAsia"/>
          <w:b/>
          <w:sz w:val="24"/>
          <w:szCs w:val="24"/>
        </w:rPr>
      </w:pPr>
      <w:bookmarkStart w:id="534" w:name="_Toc13098_WPSOffice_Level3"/>
      <w:bookmarkStart w:id="535" w:name="_Toc28398"/>
      <w:bookmarkStart w:id="536" w:name="_Toc28315_WPSOffice_Level3"/>
      <w:bookmarkStart w:id="537" w:name="_Toc20734"/>
    </w:p>
    <w:p w14:paraId="550F6F83">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p w14:paraId="4D208E0F">
      <w:pPr>
        <w:outlineLvl w:val="9"/>
        <w:rPr>
          <w:rFonts w:hint="eastAsia" w:asciiTheme="minorEastAsia" w:hAnsiTheme="minorEastAsia" w:eastAsiaTheme="minorEastAsia" w:cstheme="minorEastAsia"/>
          <w:b/>
          <w:sz w:val="24"/>
          <w:szCs w:val="24"/>
        </w:rPr>
      </w:pPr>
    </w:p>
    <w:p w14:paraId="3E7E2975">
      <w:pPr>
        <w:outlineLvl w:val="9"/>
        <w:rPr>
          <w:rFonts w:hint="eastAsia"/>
          <w:sz w:val="24"/>
          <w:szCs w:val="24"/>
        </w:rPr>
      </w:pPr>
    </w:p>
    <w:p w14:paraId="1614E23C">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bookmarkEnd w:id="531"/>
    <w:bookmarkEnd w:id="534"/>
    <w:bookmarkEnd w:id="535"/>
    <w:bookmarkEnd w:id="536"/>
    <w:bookmarkEnd w:id="537"/>
    <w:p w14:paraId="296F9C0F">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bookmarkStart w:id="538" w:name="_Toc3146_WPSOffice_Level3"/>
      <w:bookmarkStart w:id="539" w:name="_Toc11887"/>
      <w:bookmarkStart w:id="540" w:name="_Toc31301_WPSOffice_Level3"/>
      <w:bookmarkStart w:id="541" w:name="_Toc10368"/>
      <w:bookmarkStart w:id="542" w:name="_Toc4925"/>
    </w:p>
    <w:p w14:paraId="7B324630">
      <w:pPr>
        <w:widowControl/>
        <w:snapToGrid w:val="0"/>
        <w:spacing w:before="156" w:beforeLines="50" w:line="560" w:lineRule="exact"/>
        <w:jc w:val="left"/>
        <w:outlineLvl w:val="2"/>
        <w:rPr>
          <w:rFonts w:hint="eastAsia" w:asciiTheme="minorEastAsia" w:hAnsiTheme="minorEastAsia" w:eastAsiaTheme="minorEastAsia" w:cstheme="minorEastAsia"/>
          <w:b/>
          <w:sz w:val="28"/>
          <w:szCs w:val="28"/>
        </w:rPr>
      </w:pPr>
      <w:bookmarkStart w:id="543" w:name="_Toc17449"/>
      <w:bookmarkStart w:id="544" w:name="_Toc4536"/>
      <w:r>
        <w:rPr>
          <w:rFonts w:hint="eastAsia" w:asciiTheme="minorEastAsia" w:hAnsiTheme="minorEastAsia" w:eastAsiaTheme="minorEastAsia" w:cstheme="minorEastAsia"/>
          <w:b/>
          <w:sz w:val="28"/>
          <w:szCs w:val="28"/>
        </w:rPr>
        <w:t>附件1</w:t>
      </w:r>
      <w:r>
        <w:rPr>
          <w:rFonts w:hint="eastAsia" w:asciiTheme="minorEastAsia" w:hAnsiTheme="minorEastAsia" w:eastAsiaTheme="minorEastAsia" w:cstheme="minorEastAsia"/>
          <w:b/>
          <w:sz w:val="28"/>
          <w:szCs w:val="28"/>
          <w:lang w:val="en-US" w:eastAsia="zh-CN"/>
        </w:rPr>
        <w:t>2：技术规格响应表</w:t>
      </w:r>
      <w:bookmarkEnd w:id="543"/>
      <w:bookmarkEnd w:id="544"/>
    </w:p>
    <w:p w14:paraId="015464EE">
      <w:pPr>
        <w:spacing w:line="560" w:lineRule="exact"/>
        <w:jc w:val="center"/>
        <w:outlineLvl w:val="9"/>
        <w:rPr>
          <w:rFonts w:hint="eastAsia" w:asciiTheme="minorEastAsia" w:hAnsiTheme="minorEastAsia" w:eastAsiaTheme="minorEastAsia" w:cstheme="minorEastAsia"/>
          <w:b/>
          <w:sz w:val="24"/>
          <w:szCs w:val="24"/>
          <w:lang w:val="zh-CN"/>
        </w:rPr>
      </w:pPr>
      <w:bookmarkStart w:id="545" w:name="_Toc14764_WPSOffice_Level2"/>
      <w:r>
        <w:rPr>
          <w:rFonts w:hint="eastAsia" w:asciiTheme="minorEastAsia" w:hAnsiTheme="minorEastAsia" w:eastAsiaTheme="minorEastAsia" w:cstheme="minorEastAsia"/>
          <w:b/>
          <w:sz w:val="24"/>
          <w:szCs w:val="24"/>
          <w:lang w:val="zh-CN"/>
        </w:rPr>
        <w:t>技术规格响应表</w:t>
      </w:r>
    </w:p>
    <w:p w14:paraId="558BB191">
      <w:pPr>
        <w:spacing w:line="560" w:lineRule="exact"/>
        <w:jc w:val="left"/>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供应商名称:</w:t>
      </w:r>
      <w:bookmarkEnd w:id="545"/>
    </w:p>
    <w:tbl>
      <w:tblPr>
        <w:tblStyle w:val="16"/>
        <w:tblW w:w="9048" w:type="dxa"/>
        <w:jc w:val="center"/>
        <w:tblLayout w:type="fixed"/>
        <w:tblCellMar>
          <w:top w:w="0" w:type="dxa"/>
          <w:left w:w="28" w:type="dxa"/>
          <w:bottom w:w="0" w:type="dxa"/>
          <w:right w:w="28" w:type="dxa"/>
        </w:tblCellMar>
      </w:tblPr>
      <w:tblGrid>
        <w:gridCol w:w="737"/>
        <w:gridCol w:w="963"/>
        <w:gridCol w:w="1476"/>
        <w:gridCol w:w="777"/>
        <w:gridCol w:w="769"/>
        <w:gridCol w:w="1314"/>
        <w:gridCol w:w="1474"/>
        <w:gridCol w:w="788"/>
        <w:gridCol w:w="750"/>
      </w:tblGrid>
      <w:tr w14:paraId="316BCA39">
        <w:tblPrEx>
          <w:tblCellMar>
            <w:top w:w="0" w:type="dxa"/>
            <w:left w:w="28" w:type="dxa"/>
            <w:bottom w:w="0" w:type="dxa"/>
            <w:right w:w="28" w:type="dxa"/>
          </w:tblCellMar>
        </w:tblPrEx>
        <w:trPr>
          <w:trHeight w:val="503" w:hRule="atLeast"/>
          <w:jc w:val="center"/>
        </w:trPr>
        <w:tc>
          <w:tcPr>
            <w:tcW w:w="737" w:type="dxa"/>
            <w:tcBorders>
              <w:top w:val="single" w:color="000000" w:sz="6" w:space="0"/>
              <w:left w:val="single" w:color="000000" w:sz="6" w:space="0"/>
              <w:bottom w:val="single" w:color="000000" w:sz="6" w:space="0"/>
              <w:right w:val="single" w:color="000000" w:sz="6" w:space="0"/>
            </w:tcBorders>
            <w:noWrap w:val="0"/>
            <w:vAlign w:val="top"/>
          </w:tcPr>
          <w:p w14:paraId="05FD1BFB">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3216" w:type="dxa"/>
            <w:gridSpan w:val="3"/>
            <w:tcBorders>
              <w:top w:val="single" w:color="000000" w:sz="6" w:space="0"/>
              <w:left w:val="single" w:color="000000" w:sz="6" w:space="0"/>
              <w:bottom w:val="single" w:color="000000" w:sz="6" w:space="0"/>
              <w:right w:val="single" w:color="000000" w:sz="6" w:space="0"/>
            </w:tcBorders>
            <w:noWrap w:val="0"/>
            <w:vAlign w:val="top"/>
          </w:tcPr>
          <w:p w14:paraId="4BF54AA5">
            <w:pPr>
              <w:autoSpaceDE w:val="0"/>
              <w:autoSpaceDN w:val="0"/>
              <w:adjustRightInd w:val="0"/>
              <w:spacing w:before="40" w:after="40" w:line="240" w:lineRule="auto"/>
              <w:ind w:firstLine="0" w:firstLineChars="0"/>
              <w:jc w:val="left"/>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采购需求技术参数、指标</w:t>
            </w:r>
          </w:p>
        </w:tc>
        <w:tc>
          <w:tcPr>
            <w:tcW w:w="4345" w:type="dxa"/>
            <w:gridSpan w:val="4"/>
            <w:tcBorders>
              <w:top w:val="single" w:color="000000" w:sz="6" w:space="0"/>
              <w:left w:val="single" w:color="000000" w:sz="6" w:space="0"/>
              <w:bottom w:val="single" w:color="000000" w:sz="6" w:space="0"/>
              <w:right w:val="single" w:color="000000" w:sz="6" w:space="0"/>
            </w:tcBorders>
            <w:noWrap w:val="0"/>
            <w:vAlign w:val="top"/>
          </w:tcPr>
          <w:p w14:paraId="22590ED0">
            <w:pPr>
              <w:autoSpaceDE w:val="0"/>
              <w:autoSpaceDN w:val="0"/>
              <w:adjustRightInd w:val="0"/>
              <w:spacing w:before="40" w:after="40" w:line="240" w:lineRule="auto"/>
              <w:ind w:firstLine="480"/>
              <w:jc w:val="left"/>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投标产品技术参数、指标</w:t>
            </w:r>
          </w:p>
        </w:tc>
        <w:tc>
          <w:tcPr>
            <w:tcW w:w="750" w:type="dxa"/>
            <w:tcBorders>
              <w:top w:val="single" w:color="000000" w:sz="6" w:space="0"/>
              <w:left w:val="single" w:color="000000" w:sz="6" w:space="0"/>
              <w:bottom w:val="single" w:color="000000" w:sz="6" w:space="0"/>
              <w:right w:val="single" w:color="000000" w:sz="6" w:space="0"/>
            </w:tcBorders>
            <w:noWrap w:val="0"/>
            <w:vAlign w:val="center"/>
          </w:tcPr>
          <w:p w14:paraId="70CA38AD">
            <w:pPr>
              <w:autoSpaceDE w:val="0"/>
              <w:autoSpaceDN w:val="0"/>
              <w:adjustRightInd w:val="0"/>
              <w:spacing w:before="40" w:after="40" w:line="240" w:lineRule="auto"/>
              <w:ind w:firstLine="0" w:firstLineChars="0"/>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偏离</w:t>
            </w:r>
          </w:p>
        </w:tc>
      </w:tr>
      <w:tr w14:paraId="3A8C8D41">
        <w:tblPrEx>
          <w:tblCellMar>
            <w:top w:w="0" w:type="dxa"/>
            <w:left w:w="28" w:type="dxa"/>
            <w:bottom w:w="0" w:type="dxa"/>
            <w:right w:w="28" w:type="dxa"/>
          </w:tblCellMar>
        </w:tblPrEx>
        <w:trPr>
          <w:trHeight w:val="932" w:hRule="atLeast"/>
          <w:jc w:val="center"/>
        </w:trPr>
        <w:tc>
          <w:tcPr>
            <w:tcW w:w="737" w:type="dxa"/>
            <w:tcBorders>
              <w:top w:val="single" w:color="000000" w:sz="6" w:space="0"/>
              <w:left w:val="single" w:color="000000" w:sz="6" w:space="0"/>
              <w:bottom w:val="single" w:color="000000" w:sz="6" w:space="0"/>
              <w:right w:val="single" w:color="000000" w:sz="6" w:space="0"/>
            </w:tcBorders>
            <w:noWrap w:val="0"/>
            <w:vAlign w:val="center"/>
          </w:tcPr>
          <w:p w14:paraId="1EC13441">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序号</w:t>
            </w:r>
          </w:p>
        </w:tc>
        <w:tc>
          <w:tcPr>
            <w:tcW w:w="963" w:type="dxa"/>
            <w:tcBorders>
              <w:top w:val="single" w:color="000000" w:sz="6" w:space="0"/>
              <w:left w:val="single" w:color="000000" w:sz="6" w:space="0"/>
              <w:bottom w:val="single" w:color="000000" w:sz="6" w:space="0"/>
              <w:right w:val="single" w:color="000000" w:sz="6" w:space="0"/>
            </w:tcBorders>
            <w:noWrap w:val="0"/>
            <w:vAlign w:val="center"/>
          </w:tcPr>
          <w:p w14:paraId="2D6E8AC0">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名称</w:t>
            </w:r>
          </w:p>
        </w:tc>
        <w:tc>
          <w:tcPr>
            <w:tcW w:w="1476" w:type="dxa"/>
            <w:tcBorders>
              <w:top w:val="single" w:color="000000" w:sz="6" w:space="0"/>
              <w:left w:val="single" w:color="000000" w:sz="6" w:space="0"/>
              <w:bottom w:val="single" w:color="000000" w:sz="6" w:space="0"/>
              <w:right w:val="single" w:color="000000" w:sz="6" w:space="0"/>
            </w:tcBorders>
            <w:noWrap w:val="0"/>
            <w:vAlign w:val="center"/>
          </w:tcPr>
          <w:p w14:paraId="5095EA22">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技术参数</w:t>
            </w:r>
          </w:p>
          <w:p w14:paraId="36C86ED7">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及配置</w:t>
            </w:r>
          </w:p>
        </w:tc>
        <w:tc>
          <w:tcPr>
            <w:tcW w:w="777" w:type="dxa"/>
            <w:tcBorders>
              <w:top w:val="single" w:color="000000" w:sz="6" w:space="0"/>
              <w:left w:val="single" w:color="000000" w:sz="6" w:space="0"/>
              <w:bottom w:val="single" w:color="000000" w:sz="6" w:space="0"/>
              <w:right w:val="single" w:color="000000" w:sz="6" w:space="0"/>
            </w:tcBorders>
            <w:noWrap w:val="0"/>
            <w:vAlign w:val="center"/>
          </w:tcPr>
          <w:p w14:paraId="43F061E8">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数量</w:t>
            </w:r>
          </w:p>
        </w:tc>
        <w:tc>
          <w:tcPr>
            <w:tcW w:w="769" w:type="dxa"/>
            <w:tcBorders>
              <w:top w:val="single" w:color="000000" w:sz="6" w:space="0"/>
              <w:left w:val="single" w:color="000000" w:sz="6" w:space="0"/>
              <w:bottom w:val="single" w:color="000000" w:sz="6" w:space="0"/>
              <w:right w:val="single" w:color="000000" w:sz="6" w:space="0"/>
            </w:tcBorders>
            <w:noWrap w:val="0"/>
            <w:vAlign w:val="center"/>
          </w:tcPr>
          <w:p w14:paraId="28970444">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名称</w:t>
            </w:r>
          </w:p>
        </w:tc>
        <w:tc>
          <w:tcPr>
            <w:tcW w:w="1314" w:type="dxa"/>
            <w:tcBorders>
              <w:top w:val="single" w:color="000000" w:sz="6" w:space="0"/>
              <w:left w:val="single" w:color="000000" w:sz="6" w:space="0"/>
              <w:bottom w:val="single" w:color="000000" w:sz="6" w:space="0"/>
              <w:right w:val="single" w:color="000000" w:sz="6" w:space="0"/>
            </w:tcBorders>
            <w:noWrap w:val="0"/>
            <w:vAlign w:val="center"/>
          </w:tcPr>
          <w:p w14:paraId="1CA7071C">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规格型号、产地</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E8D2F73">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技术参数</w:t>
            </w:r>
          </w:p>
          <w:p w14:paraId="3DEFEACE">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及配置</w:t>
            </w:r>
          </w:p>
        </w:tc>
        <w:tc>
          <w:tcPr>
            <w:tcW w:w="788" w:type="dxa"/>
            <w:tcBorders>
              <w:top w:val="single" w:color="000000" w:sz="6" w:space="0"/>
              <w:left w:val="single" w:color="000000" w:sz="6" w:space="0"/>
              <w:bottom w:val="single" w:color="000000" w:sz="6" w:space="0"/>
              <w:right w:val="single" w:color="000000" w:sz="6" w:space="0"/>
            </w:tcBorders>
            <w:noWrap w:val="0"/>
            <w:vAlign w:val="center"/>
          </w:tcPr>
          <w:p w14:paraId="75C9A6DA">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数量</w:t>
            </w:r>
          </w:p>
        </w:tc>
        <w:tc>
          <w:tcPr>
            <w:tcW w:w="750" w:type="dxa"/>
            <w:tcBorders>
              <w:top w:val="single" w:color="000000" w:sz="6" w:space="0"/>
              <w:left w:val="single" w:color="000000" w:sz="6" w:space="0"/>
              <w:bottom w:val="single" w:color="000000" w:sz="6" w:space="0"/>
              <w:right w:val="single" w:color="000000" w:sz="6" w:space="0"/>
            </w:tcBorders>
            <w:noWrap w:val="0"/>
            <w:vAlign w:val="top"/>
          </w:tcPr>
          <w:p w14:paraId="6206201B">
            <w:pPr>
              <w:autoSpaceDE w:val="0"/>
              <w:autoSpaceDN w:val="0"/>
              <w:adjustRightInd w:val="0"/>
              <w:spacing w:before="40" w:after="40" w:line="240" w:lineRule="auto"/>
              <w:ind w:firstLine="440"/>
              <w:jc w:val="center"/>
              <w:outlineLvl w:val="9"/>
              <w:rPr>
                <w:rFonts w:hint="eastAsia" w:ascii="宋体" w:hAnsi="宋体" w:eastAsia="宋体" w:cs="宋体"/>
                <w:kern w:val="0"/>
                <w:sz w:val="24"/>
                <w:szCs w:val="24"/>
                <w:lang w:val="zh-CN"/>
              </w:rPr>
            </w:pPr>
          </w:p>
        </w:tc>
      </w:tr>
      <w:tr w14:paraId="791675A4">
        <w:tblPrEx>
          <w:tblCellMar>
            <w:top w:w="0" w:type="dxa"/>
            <w:left w:w="28" w:type="dxa"/>
            <w:bottom w:w="0" w:type="dxa"/>
            <w:right w:w="28" w:type="dxa"/>
          </w:tblCellMar>
        </w:tblPrEx>
        <w:trPr>
          <w:trHeight w:val="503" w:hRule="atLeast"/>
          <w:jc w:val="center"/>
        </w:trPr>
        <w:tc>
          <w:tcPr>
            <w:tcW w:w="737" w:type="dxa"/>
            <w:tcBorders>
              <w:top w:val="single" w:color="000000" w:sz="6" w:space="0"/>
              <w:left w:val="single" w:color="000000" w:sz="6" w:space="0"/>
              <w:bottom w:val="single" w:color="000000" w:sz="6" w:space="0"/>
              <w:right w:val="single" w:color="000000" w:sz="6" w:space="0"/>
            </w:tcBorders>
            <w:noWrap w:val="0"/>
            <w:vAlign w:val="center"/>
          </w:tcPr>
          <w:p w14:paraId="2F8FBC8B">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963" w:type="dxa"/>
            <w:tcBorders>
              <w:top w:val="single" w:color="000000" w:sz="6" w:space="0"/>
              <w:left w:val="single" w:color="000000" w:sz="6" w:space="0"/>
              <w:bottom w:val="single" w:color="000000" w:sz="6" w:space="0"/>
              <w:right w:val="single" w:color="000000" w:sz="6" w:space="0"/>
            </w:tcBorders>
            <w:noWrap w:val="0"/>
            <w:vAlign w:val="top"/>
          </w:tcPr>
          <w:p w14:paraId="61166DB6">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476" w:type="dxa"/>
            <w:tcBorders>
              <w:top w:val="single" w:color="000000" w:sz="6" w:space="0"/>
              <w:left w:val="single" w:color="000000" w:sz="6" w:space="0"/>
              <w:bottom w:val="single" w:color="000000" w:sz="6" w:space="0"/>
              <w:right w:val="single" w:color="000000" w:sz="6" w:space="0"/>
            </w:tcBorders>
            <w:noWrap w:val="0"/>
            <w:vAlign w:val="top"/>
          </w:tcPr>
          <w:p w14:paraId="2A396F2C">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77" w:type="dxa"/>
            <w:tcBorders>
              <w:top w:val="single" w:color="000000" w:sz="6" w:space="0"/>
              <w:left w:val="single" w:color="000000" w:sz="6" w:space="0"/>
              <w:bottom w:val="single" w:color="000000" w:sz="6" w:space="0"/>
              <w:right w:val="single" w:color="000000" w:sz="6" w:space="0"/>
            </w:tcBorders>
            <w:noWrap w:val="0"/>
            <w:vAlign w:val="top"/>
          </w:tcPr>
          <w:p w14:paraId="44216C72">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69" w:type="dxa"/>
            <w:tcBorders>
              <w:top w:val="single" w:color="000000" w:sz="6" w:space="0"/>
              <w:left w:val="single" w:color="000000" w:sz="6" w:space="0"/>
              <w:bottom w:val="single" w:color="000000" w:sz="6" w:space="0"/>
              <w:right w:val="single" w:color="000000" w:sz="6" w:space="0"/>
            </w:tcBorders>
            <w:noWrap w:val="0"/>
            <w:vAlign w:val="top"/>
          </w:tcPr>
          <w:p w14:paraId="47BA5AB2">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314" w:type="dxa"/>
            <w:tcBorders>
              <w:top w:val="single" w:color="000000" w:sz="6" w:space="0"/>
              <w:left w:val="single" w:color="000000" w:sz="6" w:space="0"/>
              <w:bottom w:val="single" w:color="000000" w:sz="6" w:space="0"/>
              <w:right w:val="single" w:color="000000" w:sz="6" w:space="0"/>
            </w:tcBorders>
            <w:noWrap w:val="0"/>
            <w:vAlign w:val="top"/>
          </w:tcPr>
          <w:p w14:paraId="32A019FC">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474" w:type="dxa"/>
            <w:tcBorders>
              <w:top w:val="single" w:color="000000" w:sz="6" w:space="0"/>
              <w:left w:val="single" w:color="000000" w:sz="6" w:space="0"/>
              <w:bottom w:val="single" w:color="000000" w:sz="6" w:space="0"/>
              <w:right w:val="single" w:color="000000" w:sz="6" w:space="0"/>
            </w:tcBorders>
            <w:noWrap w:val="0"/>
            <w:vAlign w:val="top"/>
          </w:tcPr>
          <w:p w14:paraId="617E5DB2">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88" w:type="dxa"/>
            <w:tcBorders>
              <w:top w:val="single" w:color="000000" w:sz="6" w:space="0"/>
              <w:left w:val="single" w:color="000000" w:sz="6" w:space="0"/>
              <w:bottom w:val="single" w:color="000000" w:sz="6" w:space="0"/>
              <w:right w:val="single" w:color="000000" w:sz="6" w:space="0"/>
            </w:tcBorders>
            <w:noWrap w:val="0"/>
            <w:vAlign w:val="top"/>
          </w:tcPr>
          <w:p w14:paraId="4F17D65A">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50" w:type="dxa"/>
            <w:tcBorders>
              <w:top w:val="single" w:color="000000" w:sz="6" w:space="0"/>
              <w:left w:val="single" w:color="000000" w:sz="6" w:space="0"/>
              <w:bottom w:val="single" w:color="000000" w:sz="6" w:space="0"/>
              <w:right w:val="single" w:color="000000" w:sz="6" w:space="0"/>
            </w:tcBorders>
            <w:noWrap w:val="0"/>
            <w:vAlign w:val="top"/>
          </w:tcPr>
          <w:p w14:paraId="62F69B99">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r>
      <w:tr w14:paraId="71990C85">
        <w:tblPrEx>
          <w:tblCellMar>
            <w:top w:w="0" w:type="dxa"/>
            <w:left w:w="28" w:type="dxa"/>
            <w:bottom w:w="0" w:type="dxa"/>
            <w:right w:w="28" w:type="dxa"/>
          </w:tblCellMar>
        </w:tblPrEx>
        <w:trPr>
          <w:trHeight w:val="503" w:hRule="atLeast"/>
          <w:jc w:val="center"/>
        </w:trPr>
        <w:tc>
          <w:tcPr>
            <w:tcW w:w="737" w:type="dxa"/>
            <w:tcBorders>
              <w:top w:val="single" w:color="000000" w:sz="6" w:space="0"/>
              <w:left w:val="single" w:color="000000" w:sz="6" w:space="0"/>
              <w:bottom w:val="single" w:color="000000" w:sz="6" w:space="0"/>
              <w:right w:val="single" w:color="000000" w:sz="6" w:space="0"/>
            </w:tcBorders>
            <w:noWrap w:val="0"/>
            <w:vAlign w:val="center"/>
          </w:tcPr>
          <w:p w14:paraId="08ACE237">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p>
        </w:tc>
        <w:tc>
          <w:tcPr>
            <w:tcW w:w="963" w:type="dxa"/>
            <w:tcBorders>
              <w:top w:val="single" w:color="000000" w:sz="6" w:space="0"/>
              <w:left w:val="single" w:color="000000" w:sz="6" w:space="0"/>
              <w:bottom w:val="single" w:color="000000" w:sz="6" w:space="0"/>
              <w:right w:val="single" w:color="000000" w:sz="6" w:space="0"/>
            </w:tcBorders>
            <w:noWrap w:val="0"/>
            <w:vAlign w:val="top"/>
          </w:tcPr>
          <w:p w14:paraId="11A40A33">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476" w:type="dxa"/>
            <w:tcBorders>
              <w:top w:val="single" w:color="000000" w:sz="6" w:space="0"/>
              <w:left w:val="single" w:color="000000" w:sz="6" w:space="0"/>
              <w:bottom w:val="single" w:color="000000" w:sz="6" w:space="0"/>
              <w:right w:val="single" w:color="000000" w:sz="6" w:space="0"/>
            </w:tcBorders>
            <w:noWrap w:val="0"/>
            <w:vAlign w:val="top"/>
          </w:tcPr>
          <w:p w14:paraId="5303EEE1">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77" w:type="dxa"/>
            <w:tcBorders>
              <w:top w:val="single" w:color="000000" w:sz="6" w:space="0"/>
              <w:left w:val="single" w:color="000000" w:sz="6" w:space="0"/>
              <w:bottom w:val="single" w:color="000000" w:sz="6" w:space="0"/>
              <w:right w:val="single" w:color="000000" w:sz="6" w:space="0"/>
            </w:tcBorders>
            <w:noWrap w:val="0"/>
            <w:vAlign w:val="top"/>
          </w:tcPr>
          <w:p w14:paraId="67B376A5">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69" w:type="dxa"/>
            <w:tcBorders>
              <w:top w:val="single" w:color="000000" w:sz="6" w:space="0"/>
              <w:left w:val="single" w:color="000000" w:sz="6" w:space="0"/>
              <w:bottom w:val="single" w:color="000000" w:sz="6" w:space="0"/>
              <w:right w:val="single" w:color="000000" w:sz="6" w:space="0"/>
            </w:tcBorders>
            <w:noWrap w:val="0"/>
            <w:vAlign w:val="top"/>
          </w:tcPr>
          <w:p w14:paraId="61468542">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314" w:type="dxa"/>
            <w:tcBorders>
              <w:top w:val="single" w:color="000000" w:sz="6" w:space="0"/>
              <w:left w:val="single" w:color="000000" w:sz="6" w:space="0"/>
              <w:bottom w:val="single" w:color="000000" w:sz="6" w:space="0"/>
              <w:right w:val="single" w:color="000000" w:sz="6" w:space="0"/>
            </w:tcBorders>
            <w:noWrap w:val="0"/>
            <w:vAlign w:val="top"/>
          </w:tcPr>
          <w:p w14:paraId="23AE3898">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474" w:type="dxa"/>
            <w:tcBorders>
              <w:top w:val="single" w:color="000000" w:sz="6" w:space="0"/>
              <w:left w:val="single" w:color="000000" w:sz="6" w:space="0"/>
              <w:bottom w:val="single" w:color="000000" w:sz="6" w:space="0"/>
              <w:right w:val="single" w:color="000000" w:sz="6" w:space="0"/>
            </w:tcBorders>
            <w:noWrap w:val="0"/>
            <w:vAlign w:val="top"/>
          </w:tcPr>
          <w:p w14:paraId="02A384F4">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88" w:type="dxa"/>
            <w:tcBorders>
              <w:top w:val="single" w:color="000000" w:sz="6" w:space="0"/>
              <w:left w:val="single" w:color="000000" w:sz="6" w:space="0"/>
              <w:bottom w:val="single" w:color="000000" w:sz="6" w:space="0"/>
              <w:right w:val="single" w:color="000000" w:sz="6" w:space="0"/>
            </w:tcBorders>
            <w:noWrap w:val="0"/>
            <w:vAlign w:val="top"/>
          </w:tcPr>
          <w:p w14:paraId="47F2D45B">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50" w:type="dxa"/>
            <w:tcBorders>
              <w:top w:val="single" w:color="000000" w:sz="6" w:space="0"/>
              <w:left w:val="single" w:color="000000" w:sz="6" w:space="0"/>
              <w:bottom w:val="single" w:color="000000" w:sz="6" w:space="0"/>
              <w:right w:val="single" w:color="000000" w:sz="6" w:space="0"/>
            </w:tcBorders>
            <w:noWrap w:val="0"/>
            <w:vAlign w:val="top"/>
          </w:tcPr>
          <w:p w14:paraId="1133AFD7">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r>
      <w:tr w14:paraId="1B43B890">
        <w:tblPrEx>
          <w:tblCellMar>
            <w:top w:w="0" w:type="dxa"/>
            <w:left w:w="28" w:type="dxa"/>
            <w:bottom w:w="0" w:type="dxa"/>
            <w:right w:w="28" w:type="dxa"/>
          </w:tblCellMar>
        </w:tblPrEx>
        <w:trPr>
          <w:trHeight w:val="503" w:hRule="atLeast"/>
          <w:jc w:val="center"/>
        </w:trPr>
        <w:tc>
          <w:tcPr>
            <w:tcW w:w="737" w:type="dxa"/>
            <w:tcBorders>
              <w:top w:val="single" w:color="000000" w:sz="6" w:space="0"/>
              <w:left w:val="single" w:color="000000" w:sz="6" w:space="0"/>
              <w:bottom w:val="single" w:color="000000" w:sz="6" w:space="0"/>
              <w:right w:val="single" w:color="000000" w:sz="6" w:space="0"/>
            </w:tcBorders>
            <w:noWrap w:val="0"/>
            <w:vAlign w:val="center"/>
          </w:tcPr>
          <w:p w14:paraId="7F30CF83">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p>
        </w:tc>
        <w:tc>
          <w:tcPr>
            <w:tcW w:w="963" w:type="dxa"/>
            <w:tcBorders>
              <w:top w:val="single" w:color="000000" w:sz="6" w:space="0"/>
              <w:left w:val="single" w:color="000000" w:sz="6" w:space="0"/>
              <w:bottom w:val="single" w:color="000000" w:sz="6" w:space="0"/>
              <w:right w:val="single" w:color="000000" w:sz="6" w:space="0"/>
            </w:tcBorders>
            <w:noWrap w:val="0"/>
            <w:vAlign w:val="top"/>
          </w:tcPr>
          <w:p w14:paraId="5453B1F5">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476" w:type="dxa"/>
            <w:tcBorders>
              <w:top w:val="single" w:color="000000" w:sz="6" w:space="0"/>
              <w:left w:val="single" w:color="000000" w:sz="6" w:space="0"/>
              <w:bottom w:val="single" w:color="000000" w:sz="6" w:space="0"/>
              <w:right w:val="single" w:color="000000" w:sz="6" w:space="0"/>
            </w:tcBorders>
            <w:noWrap w:val="0"/>
            <w:vAlign w:val="top"/>
          </w:tcPr>
          <w:p w14:paraId="7EB8BB17">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77" w:type="dxa"/>
            <w:tcBorders>
              <w:top w:val="single" w:color="000000" w:sz="6" w:space="0"/>
              <w:left w:val="single" w:color="000000" w:sz="6" w:space="0"/>
              <w:bottom w:val="single" w:color="000000" w:sz="6" w:space="0"/>
              <w:right w:val="single" w:color="000000" w:sz="6" w:space="0"/>
            </w:tcBorders>
            <w:noWrap w:val="0"/>
            <w:vAlign w:val="top"/>
          </w:tcPr>
          <w:p w14:paraId="4AB4BC4B">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69" w:type="dxa"/>
            <w:tcBorders>
              <w:top w:val="single" w:color="000000" w:sz="6" w:space="0"/>
              <w:left w:val="single" w:color="000000" w:sz="6" w:space="0"/>
              <w:bottom w:val="single" w:color="000000" w:sz="6" w:space="0"/>
              <w:right w:val="single" w:color="000000" w:sz="6" w:space="0"/>
            </w:tcBorders>
            <w:noWrap w:val="0"/>
            <w:vAlign w:val="top"/>
          </w:tcPr>
          <w:p w14:paraId="6D01D3B6">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314" w:type="dxa"/>
            <w:tcBorders>
              <w:top w:val="single" w:color="000000" w:sz="6" w:space="0"/>
              <w:left w:val="single" w:color="000000" w:sz="6" w:space="0"/>
              <w:bottom w:val="single" w:color="000000" w:sz="6" w:space="0"/>
              <w:right w:val="single" w:color="000000" w:sz="6" w:space="0"/>
            </w:tcBorders>
            <w:noWrap w:val="0"/>
            <w:vAlign w:val="top"/>
          </w:tcPr>
          <w:p w14:paraId="7A1A5C6E">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474" w:type="dxa"/>
            <w:tcBorders>
              <w:top w:val="single" w:color="000000" w:sz="6" w:space="0"/>
              <w:left w:val="single" w:color="000000" w:sz="6" w:space="0"/>
              <w:bottom w:val="single" w:color="000000" w:sz="6" w:space="0"/>
              <w:right w:val="single" w:color="000000" w:sz="6" w:space="0"/>
            </w:tcBorders>
            <w:noWrap w:val="0"/>
            <w:vAlign w:val="top"/>
          </w:tcPr>
          <w:p w14:paraId="76895387">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88" w:type="dxa"/>
            <w:tcBorders>
              <w:top w:val="single" w:color="000000" w:sz="6" w:space="0"/>
              <w:left w:val="single" w:color="000000" w:sz="6" w:space="0"/>
              <w:bottom w:val="single" w:color="000000" w:sz="6" w:space="0"/>
              <w:right w:val="single" w:color="000000" w:sz="6" w:space="0"/>
            </w:tcBorders>
            <w:noWrap w:val="0"/>
            <w:vAlign w:val="top"/>
          </w:tcPr>
          <w:p w14:paraId="16E6632E">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50" w:type="dxa"/>
            <w:tcBorders>
              <w:top w:val="single" w:color="000000" w:sz="6" w:space="0"/>
              <w:left w:val="single" w:color="000000" w:sz="6" w:space="0"/>
              <w:bottom w:val="single" w:color="000000" w:sz="6" w:space="0"/>
              <w:right w:val="single" w:color="000000" w:sz="6" w:space="0"/>
            </w:tcBorders>
            <w:noWrap w:val="0"/>
            <w:vAlign w:val="top"/>
          </w:tcPr>
          <w:p w14:paraId="10178518">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r>
      <w:tr w14:paraId="786F2A9C">
        <w:tblPrEx>
          <w:tblCellMar>
            <w:top w:w="0" w:type="dxa"/>
            <w:left w:w="28" w:type="dxa"/>
            <w:bottom w:w="0" w:type="dxa"/>
            <w:right w:w="28" w:type="dxa"/>
          </w:tblCellMar>
        </w:tblPrEx>
        <w:trPr>
          <w:trHeight w:val="503" w:hRule="atLeast"/>
          <w:jc w:val="center"/>
        </w:trPr>
        <w:tc>
          <w:tcPr>
            <w:tcW w:w="737" w:type="dxa"/>
            <w:tcBorders>
              <w:top w:val="single" w:color="000000" w:sz="6" w:space="0"/>
              <w:left w:val="single" w:color="000000" w:sz="6" w:space="0"/>
              <w:bottom w:val="single" w:color="000000" w:sz="6" w:space="0"/>
              <w:right w:val="single" w:color="000000" w:sz="6" w:space="0"/>
            </w:tcBorders>
            <w:noWrap w:val="0"/>
            <w:vAlign w:val="center"/>
          </w:tcPr>
          <w:p w14:paraId="263068C6">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p>
        </w:tc>
        <w:tc>
          <w:tcPr>
            <w:tcW w:w="963" w:type="dxa"/>
            <w:tcBorders>
              <w:top w:val="single" w:color="000000" w:sz="6" w:space="0"/>
              <w:left w:val="single" w:color="000000" w:sz="6" w:space="0"/>
              <w:bottom w:val="single" w:color="000000" w:sz="6" w:space="0"/>
              <w:right w:val="single" w:color="000000" w:sz="6" w:space="0"/>
            </w:tcBorders>
            <w:noWrap w:val="0"/>
            <w:vAlign w:val="top"/>
          </w:tcPr>
          <w:p w14:paraId="58D155B7">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476" w:type="dxa"/>
            <w:tcBorders>
              <w:top w:val="single" w:color="000000" w:sz="6" w:space="0"/>
              <w:left w:val="single" w:color="000000" w:sz="6" w:space="0"/>
              <w:bottom w:val="single" w:color="000000" w:sz="6" w:space="0"/>
              <w:right w:val="single" w:color="000000" w:sz="6" w:space="0"/>
            </w:tcBorders>
            <w:noWrap w:val="0"/>
            <w:vAlign w:val="top"/>
          </w:tcPr>
          <w:p w14:paraId="3CF9B053">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77" w:type="dxa"/>
            <w:tcBorders>
              <w:top w:val="single" w:color="000000" w:sz="6" w:space="0"/>
              <w:left w:val="single" w:color="000000" w:sz="6" w:space="0"/>
              <w:bottom w:val="single" w:color="000000" w:sz="6" w:space="0"/>
              <w:right w:val="single" w:color="000000" w:sz="6" w:space="0"/>
            </w:tcBorders>
            <w:noWrap w:val="0"/>
            <w:vAlign w:val="top"/>
          </w:tcPr>
          <w:p w14:paraId="365FECC6">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69" w:type="dxa"/>
            <w:tcBorders>
              <w:top w:val="single" w:color="000000" w:sz="6" w:space="0"/>
              <w:left w:val="single" w:color="000000" w:sz="6" w:space="0"/>
              <w:bottom w:val="single" w:color="000000" w:sz="6" w:space="0"/>
              <w:right w:val="single" w:color="000000" w:sz="6" w:space="0"/>
            </w:tcBorders>
            <w:noWrap w:val="0"/>
            <w:vAlign w:val="top"/>
          </w:tcPr>
          <w:p w14:paraId="1950156C">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314" w:type="dxa"/>
            <w:tcBorders>
              <w:top w:val="single" w:color="000000" w:sz="6" w:space="0"/>
              <w:left w:val="single" w:color="000000" w:sz="6" w:space="0"/>
              <w:bottom w:val="single" w:color="000000" w:sz="6" w:space="0"/>
              <w:right w:val="single" w:color="000000" w:sz="6" w:space="0"/>
            </w:tcBorders>
            <w:noWrap w:val="0"/>
            <w:vAlign w:val="top"/>
          </w:tcPr>
          <w:p w14:paraId="0F4139C4">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474" w:type="dxa"/>
            <w:tcBorders>
              <w:top w:val="single" w:color="000000" w:sz="6" w:space="0"/>
              <w:left w:val="single" w:color="000000" w:sz="6" w:space="0"/>
              <w:bottom w:val="single" w:color="000000" w:sz="6" w:space="0"/>
              <w:right w:val="single" w:color="000000" w:sz="6" w:space="0"/>
            </w:tcBorders>
            <w:noWrap w:val="0"/>
            <w:vAlign w:val="top"/>
          </w:tcPr>
          <w:p w14:paraId="1270B0B0">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88" w:type="dxa"/>
            <w:tcBorders>
              <w:top w:val="single" w:color="000000" w:sz="6" w:space="0"/>
              <w:left w:val="single" w:color="000000" w:sz="6" w:space="0"/>
              <w:bottom w:val="single" w:color="000000" w:sz="6" w:space="0"/>
              <w:right w:val="single" w:color="000000" w:sz="6" w:space="0"/>
            </w:tcBorders>
            <w:noWrap w:val="0"/>
            <w:vAlign w:val="top"/>
          </w:tcPr>
          <w:p w14:paraId="603899AF">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50" w:type="dxa"/>
            <w:tcBorders>
              <w:top w:val="single" w:color="000000" w:sz="6" w:space="0"/>
              <w:left w:val="single" w:color="000000" w:sz="6" w:space="0"/>
              <w:bottom w:val="single" w:color="000000" w:sz="6" w:space="0"/>
              <w:right w:val="single" w:color="000000" w:sz="6" w:space="0"/>
            </w:tcBorders>
            <w:noWrap w:val="0"/>
            <w:vAlign w:val="top"/>
          </w:tcPr>
          <w:p w14:paraId="613F9EC2">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r>
      <w:tr w14:paraId="14FA4D03">
        <w:tblPrEx>
          <w:tblCellMar>
            <w:top w:w="0" w:type="dxa"/>
            <w:left w:w="28" w:type="dxa"/>
            <w:bottom w:w="0" w:type="dxa"/>
            <w:right w:w="28" w:type="dxa"/>
          </w:tblCellMar>
        </w:tblPrEx>
        <w:trPr>
          <w:trHeight w:val="542" w:hRule="atLeast"/>
          <w:jc w:val="center"/>
        </w:trPr>
        <w:tc>
          <w:tcPr>
            <w:tcW w:w="737" w:type="dxa"/>
            <w:tcBorders>
              <w:top w:val="single" w:color="000000" w:sz="6" w:space="0"/>
              <w:left w:val="single" w:color="000000" w:sz="6" w:space="0"/>
              <w:bottom w:val="single" w:color="000000" w:sz="6" w:space="0"/>
              <w:right w:val="single" w:color="000000" w:sz="6" w:space="0"/>
            </w:tcBorders>
            <w:noWrap w:val="0"/>
            <w:vAlign w:val="center"/>
          </w:tcPr>
          <w:p w14:paraId="22E41E20">
            <w:pPr>
              <w:autoSpaceDE w:val="0"/>
              <w:autoSpaceDN w:val="0"/>
              <w:adjustRightInd w:val="0"/>
              <w:spacing w:before="40" w:after="40" w:line="240" w:lineRule="auto"/>
              <w:ind w:firstLine="0" w:firstLineChars="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w:t>
            </w:r>
          </w:p>
        </w:tc>
        <w:tc>
          <w:tcPr>
            <w:tcW w:w="963" w:type="dxa"/>
            <w:tcBorders>
              <w:top w:val="single" w:color="000000" w:sz="6" w:space="0"/>
              <w:left w:val="single" w:color="000000" w:sz="6" w:space="0"/>
              <w:bottom w:val="single" w:color="000000" w:sz="6" w:space="0"/>
              <w:right w:val="single" w:color="000000" w:sz="6" w:space="0"/>
            </w:tcBorders>
            <w:noWrap w:val="0"/>
            <w:vAlign w:val="top"/>
          </w:tcPr>
          <w:p w14:paraId="61649335">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476" w:type="dxa"/>
            <w:tcBorders>
              <w:top w:val="single" w:color="000000" w:sz="6" w:space="0"/>
              <w:left w:val="single" w:color="000000" w:sz="6" w:space="0"/>
              <w:bottom w:val="single" w:color="000000" w:sz="6" w:space="0"/>
              <w:right w:val="single" w:color="000000" w:sz="6" w:space="0"/>
            </w:tcBorders>
            <w:noWrap w:val="0"/>
            <w:vAlign w:val="top"/>
          </w:tcPr>
          <w:p w14:paraId="681F9849">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77" w:type="dxa"/>
            <w:tcBorders>
              <w:top w:val="single" w:color="000000" w:sz="6" w:space="0"/>
              <w:left w:val="single" w:color="000000" w:sz="6" w:space="0"/>
              <w:bottom w:val="single" w:color="000000" w:sz="6" w:space="0"/>
              <w:right w:val="single" w:color="000000" w:sz="6" w:space="0"/>
            </w:tcBorders>
            <w:noWrap w:val="0"/>
            <w:vAlign w:val="top"/>
          </w:tcPr>
          <w:p w14:paraId="4F702B55">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69" w:type="dxa"/>
            <w:tcBorders>
              <w:top w:val="single" w:color="000000" w:sz="6" w:space="0"/>
              <w:left w:val="single" w:color="000000" w:sz="6" w:space="0"/>
              <w:bottom w:val="single" w:color="000000" w:sz="6" w:space="0"/>
              <w:right w:val="single" w:color="000000" w:sz="6" w:space="0"/>
            </w:tcBorders>
            <w:noWrap w:val="0"/>
            <w:vAlign w:val="top"/>
          </w:tcPr>
          <w:p w14:paraId="7E1D425A">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314" w:type="dxa"/>
            <w:tcBorders>
              <w:top w:val="single" w:color="000000" w:sz="6" w:space="0"/>
              <w:left w:val="single" w:color="000000" w:sz="6" w:space="0"/>
              <w:bottom w:val="single" w:color="000000" w:sz="6" w:space="0"/>
              <w:right w:val="single" w:color="000000" w:sz="6" w:space="0"/>
            </w:tcBorders>
            <w:noWrap w:val="0"/>
            <w:vAlign w:val="top"/>
          </w:tcPr>
          <w:p w14:paraId="09B82614">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474" w:type="dxa"/>
            <w:tcBorders>
              <w:top w:val="single" w:color="000000" w:sz="6" w:space="0"/>
              <w:left w:val="single" w:color="000000" w:sz="6" w:space="0"/>
              <w:bottom w:val="single" w:color="000000" w:sz="6" w:space="0"/>
              <w:right w:val="single" w:color="000000" w:sz="6" w:space="0"/>
            </w:tcBorders>
            <w:noWrap w:val="0"/>
            <w:vAlign w:val="top"/>
          </w:tcPr>
          <w:p w14:paraId="01FE818D">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88" w:type="dxa"/>
            <w:tcBorders>
              <w:top w:val="single" w:color="000000" w:sz="6" w:space="0"/>
              <w:left w:val="single" w:color="000000" w:sz="6" w:space="0"/>
              <w:bottom w:val="single" w:color="000000" w:sz="6" w:space="0"/>
              <w:right w:val="single" w:color="000000" w:sz="6" w:space="0"/>
            </w:tcBorders>
            <w:noWrap w:val="0"/>
            <w:vAlign w:val="top"/>
          </w:tcPr>
          <w:p w14:paraId="5641BA7D">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50" w:type="dxa"/>
            <w:tcBorders>
              <w:top w:val="single" w:color="000000" w:sz="6" w:space="0"/>
              <w:left w:val="single" w:color="000000" w:sz="6" w:space="0"/>
              <w:bottom w:val="single" w:color="000000" w:sz="6" w:space="0"/>
              <w:right w:val="single" w:color="000000" w:sz="6" w:space="0"/>
            </w:tcBorders>
            <w:noWrap w:val="0"/>
            <w:vAlign w:val="top"/>
          </w:tcPr>
          <w:p w14:paraId="3791C4BA">
            <w:pPr>
              <w:autoSpaceDE w:val="0"/>
              <w:autoSpaceDN w:val="0"/>
              <w:adjustRightInd w:val="0"/>
              <w:spacing w:before="40" w:after="40" w:line="240" w:lineRule="auto"/>
              <w:ind w:firstLine="480"/>
              <w:jc w:val="center"/>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r>
    </w:tbl>
    <w:p w14:paraId="0789747F">
      <w:pPr>
        <w:keepNext w:val="0"/>
        <w:keepLines w:val="0"/>
        <w:pageBreakBefore w:val="0"/>
        <w:widowControl w:val="0"/>
        <w:kinsoku/>
        <w:wordWrap/>
        <w:overflowPunct/>
        <w:topLinePunct w:val="0"/>
        <w:autoSpaceDE w:val="0"/>
        <w:autoSpaceDN w:val="0"/>
        <w:bidi w:val="0"/>
        <w:adjustRightInd w:val="0"/>
        <w:snapToGrid/>
        <w:spacing w:line="440" w:lineRule="exact"/>
        <w:ind w:firstLine="482"/>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注：1.本表应按照每包采购一览表中产品序号的指标逐项填写，不得遗漏。</w:t>
      </w:r>
    </w:p>
    <w:p w14:paraId="7E2F0747">
      <w:pPr>
        <w:keepNext w:val="0"/>
        <w:keepLines w:val="0"/>
        <w:pageBreakBefore w:val="0"/>
        <w:widowControl w:val="0"/>
        <w:kinsoku/>
        <w:wordWrap/>
        <w:overflowPunct/>
        <w:topLinePunct w:val="0"/>
        <w:autoSpaceDE w:val="0"/>
        <w:autoSpaceDN w:val="0"/>
        <w:bidi w:val="0"/>
        <w:adjustRightInd w:val="0"/>
        <w:snapToGrid/>
        <w:spacing w:line="440" w:lineRule="exact"/>
        <w:ind w:firstLine="482"/>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2.“投标产品技术参数、指标”必须与</w:t>
      </w:r>
      <w:r>
        <w:rPr>
          <w:rFonts w:hint="eastAsia" w:ascii="宋体" w:hAnsi="宋体" w:cs="宋体"/>
          <w:kern w:val="0"/>
          <w:sz w:val="24"/>
          <w:szCs w:val="24"/>
          <w:lang w:val="zh-CN"/>
        </w:rPr>
        <w:t>响应文件</w:t>
      </w:r>
      <w:r>
        <w:rPr>
          <w:rFonts w:hint="eastAsia" w:ascii="宋体" w:hAnsi="宋体" w:eastAsia="宋体" w:cs="宋体"/>
          <w:kern w:val="0"/>
          <w:sz w:val="24"/>
          <w:szCs w:val="24"/>
          <w:lang w:val="zh-CN"/>
        </w:rPr>
        <w:t>中提供的产品检测报告、彩页等证明材料的实质性响应情况相一致。若在评标环节发现该项与</w:t>
      </w:r>
      <w:r>
        <w:rPr>
          <w:rFonts w:hint="eastAsia" w:ascii="宋体" w:hAnsi="宋体" w:cs="宋体"/>
          <w:kern w:val="0"/>
          <w:sz w:val="24"/>
          <w:szCs w:val="24"/>
          <w:lang w:val="zh-CN"/>
        </w:rPr>
        <w:t>响应文件</w:t>
      </w:r>
      <w:r>
        <w:rPr>
          <w:rFonts w:hint="eastAsia" w:ascii="宋体" w:hAnsi="宋体" w:eastAsia="宋体" w:cs="宋体"/>
          <w:kern w:val="0"/>
          <w:sz w:val="24"/>
          <w:szCs w:val="24"/>
          <w:lang w:val="zh-CN"/>
        </w:rPr>
        <w:t>中提供的产品检测报告、彩页（或厂家公开发布的资料参数）等证明材料的实质性响应情况不一致或直接复制</w:t>
      </w:r>
      <w:r>
        <w:rPr>
          <w:rFonts w:hint="eastAsia" w:ascii="宋体" w:hAnsi="宋体" w:cs="宋体"/>
          <w:sz w:val="24"/>
          <w:szCs w:val="24"/>
          <w:lang w:val="zh-CN"/>
        </w:rPr>
        <w:t>谈判</w:t>
      </w:r>
      <w:r>
        <w:rPr>
          <w:rFonts w:hint="eastAsia" w:ascii="宋体" w:hAnsi="宋体" w:eastAsia="宋体" w:cs="宋体"/>
          <w:sz w:val="24"/>
          <w:szCs w:val="24"/>
          <w:lang w:val="zh-CN"/>
        </w:rPr>
        <w:t>文件</w:t>
      </w:r>
      <w:r>
        <w:rPr>
          <w:rFonts w:hint="eastAsia" w:ascii="宋体" w:hAnsi="宋体" w:eastAsia="宋体" w:cs="宋体"/>
          <w:kern w:val="0"/>
          <w:sz w:val="24"/>
          <w:szCs w:val="24"/>
          <w:lang w:val="zh-CN"/>
        </w:rPr>
        <w:t>“采购需求技术参数、指标”内容的，按无效投标处理。</w:t>
      </w:r>
    </w:p>
    <w:p w14:paraId="6616CDA7">
      <w:pPr>
        <w:keepNext w:val="0"/>
        <w:keepLines w:val="0"/>
        <w:pageBreakBefore w:val="0"/>
        <w:widowControl w:val="0"/>
        <w:kinsoku/>
        <w:wordWrap/>
        <w:overflowPunct/>
        <w:topLinePunct w:val="0"/>
        <w:autoSpaceDE w:val="0"/>
        <w:autoSpaceDN w:val="0"/>
        <w:bidi w:val="0"/>
        <w:adjustRightInd w:val="0"/>
        <w:snapToGrid/>
        <w:spacing w:line="440" w:lineRule="exact"/>
        <w:ind w:firstLine="482"/>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 投标人响应采购需求应具体、明确，应以招标项目参数要求为基本投标要求，对超出或不满足招标项目参数要求的指标需列出“+、-”偏差，并做出详细说明；如果只注明“+”、“-”或未填写，将视为该项指标不响应。</w:t>
      </w:r>
    </w:p>
    <w:p w14:paraId="066BE460">
      <w:pPr>
        <w:keepNext w:val="0"/>
        <w:keepLines w:val="0"/>
        <w:pageBreakBefore w:val="0"/>
        <w:widowControl w:val="0"/>
        <w:kinsoku/>
        <w:wordWrap/>
        <w:overflowPunct/>
        <w:topLinePunct w:val="0"/>
        <w:autoSpaceDE w:val="0"/>
        <w:autoSpaceDN w:val="0"/>
        <w:bidi w:val="0"/>
        <w:adjustRightInd w:val="0"/>
        <w:snapToGrid/>
        <w:spacing w:line="440" w:lineRule="exact"/>
        <w:ind w:firstLine="482"/>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 投标人应按投标产品实际情况填写，不得照抄、复制</w:t>
      </w:r>
      <w:r>
        <w:rPr>
          <w:rFonts w:hint="eastAsia" w:ascii="宋体" w:hAnsi="宋体" w:cs="宋体"/>
          <w:sz w:val="24"/>
          <w:szCs w:val="24"/>
          <w:lang w:val="zh-CN"/>
        </w:rPr>
        <w:t>谈判</w:t>
      </w:r>
      <w:r>
        <w:rPr>
          <w:rFonts w:hint="eastAsia" w:ascii="宋体" w:hAnsi="宋体" w:eastAsia="宋体" w:cs="宋体"/>
          <w:sz w:val="24"/>
          <w:szCs w:val="24"/>
          <w:lang w:val="zh-CN"/>
        </w:rPr>
        <w:t>文件</w:t>
      </w:r>
      <w:r>
        <w:rPr>
          <w:rFonts w:hint="eastAsia" w:ascii="宋体" w:hAnsi="宋体" w:eastAsia="宋体" w:cs="宋体"/>
          <w:kern w:val="0"/>
          <w:sz w:val="24"/>
          <w:szCs w:val="24"/>
          <w:lang w:val="zh-CN"/>
        </w:rPr>
        <w:t>技术参数要求，否则</w:t>
      </w:r>
      <w:r>
        <w:rPr>
          <w:rFonts w:hint="eastAsia" w:ascii="宋体" w:hAnsi="宋体" w:cs="宋体"/>
          <w:kern w:val="0"/>
          <w:sz w:val="24"/>
          <w:szCs w:val="24"/>
          <w:lang w:val="zh-CN"/>
        </w:rPr>
        <w:t>按</w:t>
      </w:r>
      <w:r>
        <w:rPr>
          <w:rFonts w:hint="eastAsia" w:ascii="宋体" w:hAnsi="宋体" w:eastAsia="宋体" w:cs="宋体"/>
          <w:kern w:val="0"/>
          <w:sz w:val="24"/>
          <w:szCs w:val="24"/>
          <w:lang w:val="zh-CN"/>
        </w:rPr>
        <w:t>无效投标处理。</w:t>
      </w:r>
    </w:p>
    <w:p w14:paraId="4FC46D7C">
      <w:pPr>
        <w:keepNext w:val="0"/>
        <w:keepLines w:val="0"/>
        <w:pageBreakBefore w:val="0"/>
        <w:widowControl w:val="0"/>
        <w:kinsoku/>
        <w:wordWrap/>
        <w:overflowPunct/>
        <w:topLinePunct w:val="0"/>
        <w:autoSpaceDE w:val="0"/>
        <w:autoSpaceDN w:val="0"/>
        <w:bidi w:val="0"/>
        <w:adjustRightInd w:val="0"/>
        <w:snapToGrid/>
        <w:spacing w:line="440" w:lineRule="exact"/>
        <w:ind w:firstLine="482"/>
        <w:textAlignment w:val="auto"/>
        <w:outlineLvl w:val="9"/>
        <w:rPr>
          <w:rFonts w:hint="eastAsia" w:asciiTheme="minorEastAsia" w:hAnsiTheme="minorEastAsia" w:eastAsiaTheme="minorEastAsia" w:cstheme="minorEastAsia"/>
          <w:b/>
          <w:sz w:val="24"/>
          <w:szCs w:val="24"/>
        </w:rPr>
      </w:pPr>
      <w:r>
        <w:rPr>
          <w:rFonts w:hint="eastAsia" w:ascii="宋体" w:hAnsi="宋体" w:eastAsia="宋体" w:cs="宋体"/>
          <w:kern w:val="0"/>
          <w:sz w:val="24"/>
          <w:szCs w:val="24"/>
          <w:lang w:val="zh-CN"/>
        </w:rPr>
        <w:t>5. 投标人响应采购需求应具体、明确，含糊不清、不确切或伪造、编造证明材料的，按照实质性不响应处理。对伪造、编造证明材料的，将报送采购监管部门查处。</w:t>
      </w:r>
      <w:r>
        <w:rPr>
          <w:rFonts w:hint="eastAsia" w:asciiTheme="minorEastAsia" w:hAnsiTheme="minorEastAsia" w:eastAsiaTheme="minorEastAsia" w:cstheme="minorEastAsia"/>
          <w:b/>
          <w:sz w:val="24"/>
          <w:szCs w:val="24"/>
        </w:rPr>
        <w:t xml:space="preserve">   </w:t>
      </w:r>
    </w:p>
    <w:p w14:paraId="79444E15">
      <w:pPr>
        <w:spacing w:line="560" w:lineRule="exact"/>
        <w:ind w:firstLine="3120" w:firstLineChars="1300"/>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单位名称：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（公章）</w:t>
      </w:r>
    </w:p>
    <w:p w14:paraId="7C296062">
      <w:pPr>
        <w:spacing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46" w:name="_Toc3277_WPSOffice_Level3"/>
      <w:r>
        <w:rPr>
          <w:rFonts w:hint="eastAsia" w:asciiTheme="minorEastAsia" w:hAnsiTheme="minorEastAsia" w:eastAsiaTheme="minorEastAsia" w:cstheme="minorEastAsia"/>
          <w:bCs/>
          <w:sz w:val="24"/>
          <w:szCs w:val="24"/>
        </w:rPr>
        <w:t>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（签字或盖章）</w:t>
      </w:r>
      <w:bookmarkEnd w:id="546"/>
    </w:p>
    <w:p w14:paraId="0F5192C9">
      <w:pPr>
        <w:spacing w:line="560" w:lineRule="exact"/>
        <w:ind w:firstLine="480" w:firstLineChars="200"/>
        <w:jc w:val="center"/>
        <w:outlineLvl w:val="9"/>
        <w:rPr>
          <w:rFonts w:hint="eastAsia"/>
          <w:sz w:val="24"/>
          <w:szCs w:val="24"/>
          <w:lang w:val="zh-CN" w:eastAsia="zh-CN"/>
        </w:rPr>
      </w:pPr>
      <w:r>
        <w:rPr>
          <w:rFonts w:hint="eastAsia" w:asciiTheme="minorEastAsia" w:hAnsiTheme="minorEastAsia" w:eastAsiaTheme="minorEastAsia" w:cstheme="minorEastAsia"/>
          <w:bCs/>
          <w:sz w:val="24"/>
          <w:szCs w:val="24"/>
        </w:rPr>
        <w:t xml:space="preserve">                                   </w:t>
      </w:r>
      <w:bookmarkStart w:id="547" w:name="_Toc22450_WPSOffice_Level3"/>
      <w:r>
        <w:rPr>
          <w:rFonts w:hint="eastAsia" w:asciiTheme="minorEastAsia" w:hAnsiTheme="minorEastAsia" w:eastAsiaTheme="minorEastAsia" w:cstheme="minorEastAsia"/>
          <w:bCs/>
          <w:sz w:val="24"/>
          <w:szCs w:val="24"/>
        </w:rPr>
        <w:t>年   月  日</w:t>
      </w:r>
      <w:bookmarkEnd w:id="547"/>
    </w:p>
    <w:p w14:paraId="5828453E">
      <w:pPr>
        <w:widowControl/>
        <w:snapToGrid w:val="0"/>
        <w:spacing w:before="156" w:beforeLines="50" w:line="560" w:lineRule="exact"/>
        <w:jc w:val="left"/>
        <w:outlineLvl w:val="2"/>
        <w:rPr>
          <w:rFonts w:hint="eastAsia" w:asciiTheme="minorEastAsia" w:hAnsiTheme="minorEastAsia" w:eastAsiaTheme="minorEastAsia" w:cstheme="minorEastAsia"/>
          <w:b/>
          <w:sz w:val="28"/>
          <w:szCs w:val="28"/>
        </w:rPr>
      </w:pPr>
      <w:bookmarkStart w:id="548" w:name="_Toc3083"/>
      <w:bookmarkStart w:id="549" w:name="_Toc11861"/>
      <w:r>
        <w:rPr>
          <w:rFonts w:hint="eastAsia" w:asciiTheme="minorEastAsia" w:hAnsiTheme="minorEastAsia" w:eastAsiaTheme="minorEastAsia" w:cstheme="minorEastAsia"/>
          <w:b/>
          <w:sz w:val="28"/>
          <w:szCs w:val="28"/>
          <w:lang w:val="zh-CN" w:eastAsia="zh-CN"/>
        </w:rPr>
        <w:t>附件</w:t>
      </w:r>
      <w:r>
        <w:rPr>
          <w:rFonts w:hint="eastAsia" w:asciiTheme="minorEastAsia" w:hAnsiTheme="minorEastAsia" w:eastAsiaTheme="minorEastAsia" w:cstheme="minorEastAsia"/>
          <w:b/>
          <w:sz w:val="28"/>
          <w:szCs w:val="28"/>
          <w:lang w:val="en-US" w:eastAsia="zh-CN"/>
        </w:rPr>
        <w:t>13：</w:t>
      </w:r>
      <w:r>
        <w:rPr>
          <w:rFonts w:hint="eastAsia" w:asciiTheme="minorEastAsia" w:hAnsiTheme="minorEastAsia" w:eastAsiaTheme="minorEastAsia" w:cstheme="minorEastAsia"/>
          <w:b/>
          <w:sz w:val="28"/>
          <w:szCs w:val="28"/>
          <w:lang w:val="zh-CN" w:eastAsia="zh-CN"/>
        </w:rPr>
        <w:t>投标产品相关资料</w:t>
      </w:r>
      <w:bookmarkEnd w:id="548"/>
      <w:bookmarkEnd w:id="549"/>
    </w:p>
    <w:p w14:paraId="327C4D40">
      <w:pPr>
        <w:autoSpaceDE w:val="0"/>
        <w:autoSpaceDN w:val="0"/>
        <w:spacing w:line="360" w:lineRule="auto"/>
        <w:ind w:left="0" w:leftChars="0" w:firstLine="0" w:firstLineChars="0"/>
        <w:jc w:val="center"/>
        <w:outlineLvl w:val="9"/>
        <w:rPr>
          <w:rFonts w:ascii="宋体" w:hAnsi="Cambria" w:cs="宋体"/>
          <w:b/>
          <w:bCs/>
          <w:color w:val="auto"/>
          <w:kern w:val="0"/>
          <w:sz w:val="24"/>
          <w:szCs w:val="24"/>
          <w:lang w:val="zh-CN"/>
        </w:rPr>
      </w:pPr>
      <w:r>
        <w:rPr>
          <w:rFonts w:hint="eastAsia" w:ascii="宋体" w:hAnsi="Cambria" w:cs="宋体"/>
          <w:b/>
          <w:bCs/>
          <w:color w:val="auto"/>
          <w:kern w:val="0"/>
          <w:sz w:val="24"/>
          <w:szCs w:val="24"/>
          <w:lang w:val="zh-CN"/>
        </w:rPr>
        <w:t>投标产品相关资料</w:t>
      </w:r>
    </w:p>
    <w:p w14:paraId="1EC9DA44">
      <w:pPr>
        <w:autoSpaceDE w:val="0"/>
        <w:autoSpaceDN w:val="0"/>
        <w:spacing w:line="360" w:lineRule="auto"/>
        <w:outlineLvl w:val="9"/>
        <w:rPr>
          <w:rFonts w:hint="eastAsia" w:ascii="宋体" w:hAnsi="宋体" w:cs="宋体"/>
          <w:color w:val="000000"/>
          <w:kern w:val="0"/>
          <w:sz w:val="24"/>
          <w:szCs w:val="24"/>
          <w:lang w:val="zh-CN"/>
        </w:rPr>
      </w:pPr>
    </w:p>
    <w:p w14:paraId="3C766E2F">
      <w:pPr>
        <w:pStyle w:val="8"/>
        <w:ind w:firstLine="720" w:firstLineChars="300"/>
        <w:outlineLvl w:val="9"/>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根据采购项目内容，提供产品的产品检验报告</w:t>
      </w:r>
      <w:r>
        <w:rPr>
          <w:rFonts w:hint="eastAsia" w:asciiTheme="minorEastAsia" w:hAnsiTheme="minorEastAsia" w:eastAsiaTheme="minorEastAsia" w:cstheme="minorEastAsia"/>
          <w:kern w:val="2"/>
          <w:sz w:val="24"/>
          <w:szCs w:val="24"/>
          <w:lang w:val="en-US" w:eastAsia="zh-CN" w:bidi="ar-SA"/>
        </w:rPr>
        <w:t>及</w:t>
      </w:r>
      <w:r>
        <w:rPr>
          <w:rFonts w:hint="eastAsia" w:asciiTheme="minorEastAsia" w:hAnsiTheme="minorEastAsia" w:eastAsiaTheme="minorEastAsia" w:cstheme="minorEastAsia"/>
          <w:kern w:val="2"/>
          <w:sz w:val="24"/>
          <w:szCs w:val="24"/>
          <w:lang w:val="zh-CN" w:eastAsia="zh-CN" w:bidi="ar-SA"/>
        </w:rPr>
        <w:t>证明技术参数响应的相关资料。</w:t>
      </w:r>
    </w:p>
    <w:p w14:paraId="30B54D06">
      <w:pPr>
        <w:widowControl/>
        <w:snapToGrid w:val="0"/>
        <w:spacing w:before="156" w:beforeLines="50" w:line="560" w:lineRule="exact"/>
        <w:outlineLvl w:val="9"/>
        <w:rPr>
          <w:rFonts w:hint="eastAsia" w:asciiTheme="minorEastAsia" w:hAnsiTheme="minorEastAsia" w:eastAsiaTheme="minorEastAsia" w:cstheme="minorEastAsia"/>
          <w:b/>
          <w:sz w:val="24"/>
          <w:szCs w:val="24"/>
        </w:rPr>
      </w:pPr>
    </w:p>
    <w:p w14:paraId="2AE35C13">
      <w:pPr>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14:paraId="4451B32F">
      <w:pPr>
        <w:widowControl/>
        <w:snapToGrid w:val="0"/>
        <w:spacing w:before="156" w:beforeLines="50" w:line="560" w:lineRule="exact"/>
        <w:jc w:val="left"/>
        <w:outlineLvl w:val="2"/>
        <w:rPr>
          <w:rFonts w:hint="eastAsia" w:asciiTheme="minorEastAsia" w:hAnsiTheme="minorEastAsia" w:eastAsiaTheme="minorEastAsia" w:cstheme="minorEastAsia"/>
          <w:b/>
          <w:sz w:val="28"/>
          <w:szCs w:val="28"/>
        </w:rPr>
      </w:pPr>
      <w:bookmarkStart w:id="550" w:name="_Toc15637"/>
      <w:bookmarkStart w:id="551" w:name="_Toc2293"/>
      <w:bookmarkStart w:id="552" w:name="_Toc7994"/>
      <w:bookmarkStart w:id="553" w:name="_Toc5471"/>
      <w:r>
        <w:rPr>
          <w:rFonts w:hint="eastAsia" w:asciiTheme="minorEastAsia" w:hAnsiTheme="minorEastAsia" w:eastAsiaTheme="minorEastAsia" w:cstheme="minorEastAsia"/>
          <w:b/>
          <w:sz w:val="28"/>
          <w:szCs w:val="28"/>
        </w:rPr>
        <w:t>附件1</w:t>
      </w:r>
      <w:r>
        <w:rPr>
          <w:rFonts w:hint="eastAsia" w:asciiTheme="minorEastAsia" w:hAnsiTheme="minorEastAsia" w:eastAsiaTheme="minorEastAsia" w:cstheme="minorEastAsia"/>
          <w:b/>
          <w:sz w:val="28"/>
          <w:szCs w:val="28"/>
          <w:lang w:val="en-US" w:eastAsia="zh-CN"/>
        </w:rPr>
        <w:t>4</w:t>
      </w:r>
      <w:r>
        <w:rPr>
          <w:rFonts w:hint="eastAsia" w:asciiTheme="minorEastAsia" w:hAnsiTheme="minorEastAsia" w:eastAsiaTheme="minorEastAsia" w:cstheme="minorEastAsia"/>
          <w:b/>
          <w:sz w:val="28"/>
          <w:szCs w:val="28"/>
        </w:rPr>
        <w:t>：具备履行合同所必须的设备和专业技术能力证明</w:t>
      </w:r>
      <w:bookmarkEnd w:id="550"/>
      <w:bookmarkEnd w:id="551"/>
      <w:bookmarkEnd w:id="552"/>
      <w:bookmarkEnd w:id="553"/>
    </w:p>
    <w:p w14:paraId="31D4EAB8">
      <w:pPr>
        <w:ind w:firstLine="1940" w:firstLineChars="805"/>
        <w:outlineLvl w:val="9"/>
        <w:rPr>
          <w:rFonts w:hint="eastAsia" w:ascii="宋体" w:hAnsi="宋体"/>
          <w:b/>
          <w:sz w:val="24"/>
          <w:szCs w:val="24"/>
        </w:rPr>
      </w:pPr>
    </w:p>
    <w:p w14:paraId="378CAA76">
      <w:pPr>
        <w:ind w:left="0" w:leftChars="0" w:firstLine="0" w:firstLineChars="0"/>
        <w:jc w:val="center"/>
        <w:outlineLvl w:val="9"/>
        <w:rPr>
          <w:rFonts w:hint="eastAsia" w:ascii="宋体" w:hAnsi="宋体"/>
          <w:b/>
          <w:sz w:val="24"/>
          <w:szCs w:val="24"/>
        </w:rPr>
      </w:pPr>
      <w:r>
        <w:rPr>
          <w:rFonts w:hint="eastAsia" w:ascii="宋体" w:hAnsi="宋体"/>
          <w:b/>
          <w:sz w:val="24"/>
          <w:szCs w:val="24"/>
        </w:rPr>
        <w:t>具备履行合同所必须的设备和专业技术能力证明</w:t>
      </w:r>
    </w:p>
    <w:p w14:paraId="0567ECCD">
      <w:pPr>
        <w:ind w:firstLine="723"/>
        <w:outlineLvl w:val="9"/>
        <w:rPr>
          <w:rFonts w:hint="eastAsia" w:ascii="宋体" w:hAnsi="宋体"/>
          <w:b/>
          <w:sz w:val="24"/>
          <w:szCs w:val="24"/>
        </w:rPr>
      </w:pPr>
    </w:p>
    <w:p w14:paraId="6676170C">
      <w:pPr>
        <w:spacing w:line="400" w:lineRule="exact"/>
        <w:ind w:firstLine="480" w:firstLineChars="200"/>
        <w:outlineLvl w:val="9"/>
        <w:rPr>
          <w:rFonts w:hint="eastAsia" w:ascii="宋体" w:hAnsi="宋体"/>
          <w:color w:val="auto"/>
          <w:sz w:val="24"/>
          <w:szCs w:val="24"/>
          <w:lang w:val="zh-CN"/>
        </w:rPr>
      </w:pPr>
      <w:r>
        <w:rPr>
          <w:rFonts w:hint="eastAsia" w:ascii="宋体" w:hAnsi="宋体"/>
          <w:color w:val="auto"/>
          <w:sz w:val="24"/>
          <w:szCs w:val="24"/>
          <w:lang w:val="en-US" w:eastAsia="zh-CN"/>
        </w:rPr>
        <w:t xml:space="preserve"> </w:t>
      </w:r>
      <w:r>
        <w:rPr>
          <w:rFonts w:hint="eastAsia" w:ascii="宋体" w:hAnsi="宋体"/>
          <w:color w:val="auto"/>
          <w:sz w:val="24"/>
          <w:szCs w:val="24"/>
          <w:lang w:val="zh-CN"/>
        </w:rPr>
        <w:t>投标人应按不低于采购项目要求，针对该项目的实施，提供履行合同所必须的专业技术能力的证明材料；提供项目管理及货物</w:t>
      </w:r>
      <w:r>
        <w:rPr>
          <w:rFonts w:hint="eastAsia" w:ascii="宋体" w:hAnsi="宋体"/>
          <w:color w:val="auto"/>
          <w:sz w:val="24"/>
          <w:szCs w:val="24"/>
          <w:lang w:val="en-US" w:eastAsia="zh-CN"/>
        </w:rPr>
        <w:t>运输</w:t>
      </w:r>
      <w:r>
        <w:rPr>
          <w:rFonts w:hint="eastAsia" w:ascii="宋体" w:hAnsi="宋体"/>
          <w:color w:val="auto"/>
          <w:sz w:val="24"/>
          <w:szCs w:val="24"/>
          <w:lang w:val="zh-CN"/>
        </w:rPr>
        <w:t>实施方案以及售后货物等方面的承诺。</w:t>
      </w:r>
    </w:p>
    <w:p w14:paraId="68E2825F">
      <w:pPr>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14:paraId="1C623350">
      <w:pPr>
        <w:widowControl/>
        <w:snapToGrid w:val="0"/>
        <w:spacing w:before="156" w:beforeLines="50" w:line="560" w:lineRule="exact"/>
        <w:jc w:val="left"/>
        <w:outlineLvl w:val="2"/>
        <w:rPr>
          <w:rFonts w:hint="eastAsia" w:asciiTheme="minorEastAsia" w:hAnsiTheme="minorEastAsia" w:eastAsiaTheme="minorEastAsia" w:cstheme="minorEastAsia"/>
          <w:b/>
          <w:sz w:val="28"/>
          <w:szCs w:val="28"/>
        </w:rPr>
      </w:pPr>
      <w:bookmarkStart w:id="554" w:name="_Toc9356"/>
      <w:bookmarkStart w:id="555" w:name="_Toc8249"/>
      <w:r>
        <w:rPr>
          <w:rFonts w:hint="eastAsia" w:asciiTheme="minorEastAsia" w:hAnsiTheme="minorEastAsia" w:eastAsiaTheme="minorEastAsia" w:cstheme="minorEastAsia"/>
          <w:b/>
          <w:sz w:val="28"/>
          <w:szCs w:val="28"/>
        </w:rPr>
        <w:t>附件1</w:t>
      </w:r>
      <w:r>
        <w:rPr>
          <w:rFonts w:hint="eastAsia" w:asciiTheme="minorEastAsia" w:hAnsiTheme="minorEastAsia" w:eastAsiaTheme="minorEastAsia" w:cstheme="minorEastAsia"/>
          <w:b/>
          <w:sz w:val="28"/>
          <w:szCs w:val="28"/>
          <w:lang w:val="en-US" w:eastAsia="zh-CN"/>
        </w:rPr>
        <w:t>5</w:t>
      </w:r>
      <w:r>
        <w:rPr>
          <w:rFonts w:hint="eastAsia" w:asciiTheme="minorEastAsia" w:hAnsiTheme="minorEastAsia" w:eastAsiaTheme="minorEastAsia" w:cstheme="minorEastAsia"/>
          <w:b/>
          <w:sz w:val="28"/>
          <w:szCs w:val="28"/>
        </w:rPr>
        <w:t>：享受政府采购政策优惠的证明资料</w:t>
      </w:r>
      <w:bookmarkEnd w:id="538"/>
      <w:bookmarkEnd w:id="539"/>
      <w:bookmarkEnd w:id="540"/>
      <w:bookmarkEnd w:id="541"/>
      <w:bookmarkEnd w:id="542"/>
      <w:bookmarkEnd w:id="554"/>
      <w:bookmarkEnd w:id="555"/>
    </w:p>
    <w:p w14:paraId="678F026C">
      <w:pPr>
        <w:numPr>
          <w:ilvl w:val="0"/>
          <w:numId w:val="0"/>
        </w:numPr>
        <w:autoSpaceDE w:val="0"/>
        <w:autoSpaceDN w:val="0"/>
        <w:spacing w:line="360" w:lineRule="auto"/>
        <w:jc w:val="center"/>
        <w:rPr>
          <w:b/>
          <w:bCs/>
          <w:color w:val="auto"/>
          <w:kern w:val="0"/>
          <w:sz w:val="28"/>
          <w:szCs w:val="28"/>
          <w:lang w:val="zh-CN"/>
        </w:rPr>
      </w:pPr>
      <w:r>
        <w:rPr>
          <w:rFonts w:hint="eastAsia"/>
          <w:b/>
          <w:bCs/>
          <w:color w:val="auto"/>
          <w:kern w:val="0"/>
          <w:sz w:val="28"/>
          <w:szCs w:val="28"/>
          <w:lang w:val="en-US" w:eastAsia="zh-CN"/>
        </w:rPr>
        <w:t>中、</w:t>
      </w:r>
      <w:r>
        <w:rPr>
          <w:rFonts w:hint="eastAsia"/>
          <w:b/>
          <w:bCs/>
          <w:color w:val="auto"/>
          <w:kern w:val="0"/>
          <w:sz w:val="28"/>
          <w:szCs w:val="28"/>
        </w:rPr>
        <w:t>小</w:t>
      </w:r>
      <w:r>
        <w:rPr>
          <w:rFonts w:hint="eastAsia"/>
          <w:b/>
          <w:bCs/>
          <w:color w:val="auto"/>
          <w:kern w:val="0"/>
          <w:sz w:val="28"/>
          <w:szCs w:val="28"/>
          <w:lang w:eastAsia="zh-CN"/>
        </w:rPr>
        <w:t>微</w:t>
      </w:r>
      <w:r>
        <w:rPr>
          <w:b/>
          <w:bCs/>
          <w:color w:val="auto"/>
          <w:kern w:val="0"/>
          <w:sz w:val="28"/>
          <w:szCs w:val="28"/>
          <w:lang w:val="zh-CN"/>
        </w:rPr>
        <w:t>企业声明函</w:t>
      </w:r>
    </w:p>
    <w:p w14:paraId="60B42842">
      <w:pPr>
        <w:numPr>
          <w:ilvl w:val="0"/>
          <w:numId w:val="0"/>
        </w:numPr>
        <w:autoSpaceDE w:val="0"/>
        <w:autoSpaceDN w:val="0"/>
        <w:spacing w:line="360" w:lineRule="auto"/>
        <w:ind w:firstLine="480" w:firstLineChars="200"/>
        <w:jc w:val="both"/>
        <w:rPr>
          <w:rFonts w:ascii="宋体" w:hAnsi="宋体" w:cs="仿宋"/>
          <w:color w:val="auto"/>
          <w:kern w:val="0"/>
          <w:sz w:val="24"/>
        </w:rPr>
      </w:pPr>
      <w:r>
        <w:rPr>
          <w:rFonts w:hint="eastAsia" w:ascii="宋体" w:hAnsi="宋体" w:cs="仿宋"/>
          <w:color w:val="auto"/>
          <w:kern w:val="0"/>
          <w:sz w:val="24"/>
        </w:rPr>
        <w:t>本公司（联合体）郑重声明，根据《政府采购促进中小企业发展管理办法》（财库</w:t>
      </w:r>
      <w:r>
        <w:rPr>
          <w:rFonts w:hint="eastAsia" w:ascii="宋体" w:hAnsi="宋体" w:cs="宋体"/>
          <w:color w:val="auto"/>
          <w:kern w:val="0"/>
          <w:sz w:val="24"/>
        </w:rPr>
        <w:t>﹝</w:t>
      </w:r>
      <w:r>
        <w:rPr>
          <w:rFonts w:ascii="宋体" w:hAnsi="宋体" w:cs="仿宋"/>
          <w:color w:val="auto"/>
          <w:kern w:val="0"/>
          <w:sz w:val="24"/>
        </w:rPr>
        <w:t>2020</w:t>
      </w:r>
      <w:r>
        <w:rPr>
          <w:rFonts w:hint="eastAsia" w:ascii="宋体" w:hAnsi="宋体" w:cs="宋体"/>
          <w:color w:val="auto"/>
          <w:kern w:val="0"/>
          <w:sz w:val="24"/>
        </w:rPr>
        <w:t>﹞</w:t>
      </w:r>
      <w:r>
        <w:rPr>
          <w:rFonts w:ascii="宋体" w:hAnsi="宋体" w:cs="仿宋"/>
          <w:color w:val="auto"/>
          <w:kern w:val="0"/>
          <w:sz w:val="24"/>
        </w:rPr>
        <w:t xml:space="preserve">46 </w:t>
      </w:r>
      <w:r>
        <w:rPr>
          <w:rFonts w:hint="eastAsia" w:ascii="宋体" w:hAnsi="宋体" w:cs="仿宋"/>
          <w:color w:val="auto"/>
          <w:kern w:val="0"/>
          <w:sz w:val="24"/>
        </w:rPr>
        <w:t>号）的规定，本公司（联合体）参加</w:t>
      </w:r>
      <w:r>
        <w:rPr>
          <w:rFonts w:hint="eastAsia" w:ascii="宋体" w:hAnsi="宋体" w:cs="仿宋"/>
          <w:color w:val="auto"/>
          <w:kern w:val="0"/>
          <w:sz w:val="24"/>
          <w:u w:val="single"/>
        </w:rPr>
        <w:t>（单位名称）</w:t>
      </w:r>
      <w:r>
        <w:rPr>
          <w:rFonts w:hint="eastAsia" w:ascii="宋体" w:hAnsi="宋体" w:cs="仿宋"/>
          <w:color w:val="auto"/>
          <w:kern w:val="0"/>
          <w:sz w:val="24"/>
        </w:rPr>
        <w:t>的</w:t>
      </w:r>
      <w:r>
        <w:rPr>
          <w:rFonts w:hint="eastAsia" w:ascii="宋体" w:hAnsi="宋体" w:cs="仿宋"/>
          <w:color w:val="auto"/>
          <w:kern w:val="0"/>
          <w:sz w:val="24"/>
          <w:u w:val="single"/>
        </w:rPr>
        <w:t>（项目名称）</w:t>
      </w:r>
      <w:r>
        <w:rPr>
          <w:rFonts w:hint="eastAsia" w:ascii="宋体" w:hAnsi="宋体" w:cs="仿宋"/>
          <w:color w:val="auto"/>
          <w:kern w:val="0"/>
          <w:sz w:val="24"/>
        </w:rPr>
        <w:t>采购活动，提供的货物全部由符合政策要求的</w:t>
      </w:r>
      <w:r>
        <w:rPr>
          <w:rFonts w:hint="eastAsia" w:ascii="宋体" w:hAnsi="宋体" w:cs="仿宋"/>
          <w:color w:val="auto"/>
          <w:kern w:val="0"/>
          <w:sz w:val="24"/>
          <w:lang w:val="en-US" w:eastAsia="zh-CN"/>
        </w:rPr>
        <w:t>中、</w:t>
      </w:r>
      <w:r>
        <w:rPr>
          <w:rFonts w:hint="eastAsia" w:ascii="宋体" w:hAnsi="宋体" w:cs="仿宋"/>
          <w:color w:val="auto"/>
          <w:kern w:val="0"/>
          <w:sz w:val="24"/>
        </w:rPr>
        <w:t>小</w:t>
      </w:r>
      <w:r>
        <w:rPr>
          <w:rFonts w:hint="eastAsia" w:ascii="宋体" w:hAnsi="宋体" w:cs="仿宋"/>
          <w:color w:val="auto"/>
          <w:kern w:val="0"/>
          <w:sz w:val="24"/>
          <w:lang w:eastAsia="zh-CN"/>
        </w:rPr>
        <w:t>微</w:t>
      </w:r>
      <w:r>
        <w:rPr>
          <w:rFonts w:hint="eastAsia" w:ascii="宋体" w:hAnsi="宋体" w:cs="仿宋"/>
          <w:color w:val="auto"/>
          <w:kern w:val="0"/>
          <w:sz w:val="24"/>
        </w:rPr>
        <w:t>企业制造。相关企业的具体情况如下：</w:t>
      </w:r>
    </w:p>
    <w:p w14:paraId="021D3FF2">
      <w:pPr>
        <w:spacing w:line="360" w:lineRule="auto"/>
        <w:ind w:firstLine="480" w:firstLineChars="200"/>
        <w:rPr>
          <w:rFonts w:ascii="宋体" w:hAnsi="宋体" w:cs="仿宋"/>
          <w:color w:val="auto"/>
          <w:kern w:val="0"/>
          <w:sz w:val="24"/>
        </w:rPr>
      </w:pPr>
      <w:r>
        <w:rPr>
          <w:rFonts w:ascii="宋体" w:hAnsi="宋体" w:cs="仿宋"/>
          <w:color w:val="auto"/>
          <w:kern w:val="0"/>
          <w:sz w:val="24"/>
        </w:rPr>
        <w:t>1.</w:t>
      </w:r>
      <w:r>
        <w:rPr>
          <w:rFonts w:hint="eastAsia" w:ascii="宋体" w:hAnsi="宋体" w:cs="仿宋"/>
          <w:color w:val="auto"/>
          <w:kern w:val="0"/>
          <w:sz w:val="24"/>
          <w:u w:val="single"/>
        </w:rPr>
        <w:t>（</w:t>
      </w:r>
      <w:r>
        <w:rPr>
          <w:rFonts w:hint="eastAsia" w:ascii="宋体" w:hAnsi="宋体" w:cs="宋体"/>
          <w:sz w:val="24"/>
          <w:szCs w:val="24"/>
          <w:u w:val="single"/>
          <w:lang w:eastAsia="zh-CN"/>
        </w:rPr>
        <w:t>德令哈市2024年国有林管护项目管护设施设备采购</w:t>
      </w:r>
      <w:r>
        <w:rPr>
          <w:rFonts w:hint="eastAsia" w:ascii="宋体" w:hAnsi="宋体" w:cs="仿宋"/>
          <w:color w:val="auto"/>
          <w:kern w:val="0"/>
          <w:sz w:val="24"/>
          <w:u w:val="single"/>
        </w:rPr>
        <w:t>）</w:t>
      </w:r>
      <w:r>
        <w:rPr>
          <w:rFonts w:hint="eastAsia" w:ascii="宋体" w:hAnsi="宋体" w:cs="仿宋"/>
          <w:color w:val="auto"/>
          <w:kern w:val="0"/>
          <w:sz w:val="24"/>
        </w:rPr>
        <w:t>，属于</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u w:val="single"/>
          <w:lang w:eastAsia="zh-CN"/>
        </w:rPr>
        <w:t>农业机械</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行业；制造商为</w:t>
      </w:r>
      <w:r>
        <w:rPr>
          <w:rFonts w:hint="eastAsia" w:ascii="宋体" w:hAnsi="宋体" w:cs="仿宋"/>
          <w:color w:val="auto"/>
          <w:kern w:val="0"/>
          <w:sz w:val="24"/>
          <w:u w:val="single"/>
        </w:rPr>
        <w:t>（企业名称）</w:t>
      </w:r>
      <w:r>
        <w:rPr>
          <w:rFonts w:hint="eastAsia" w:ascii="宋体" w:hAnsi="宋体" w:cs="仿宋"/>
          <w:color w:val="auto"/>
          <w:kern w:val="0"/>
          <w:sz w:val="24"/>
        </w:rPr>
        <w:t>，从业人员人，营业收入为</w:t>
      </w:r>
      <w:r>
        <w:rPr>
          <w:rFonts w:hint="eastAsia" w:ascii="宋体" w:hAnsi="宋体" w:cs="仿宋"/>
          <w:color w:val="auto"/>
          <w:kern w:val="0"/>
          <w:sz w:val="24"/>
          <w:u w:val="single"/>
        </w:rPr>
        <w:t xml:space="preserve">    </w:t>
      </w:r>
      <w:r>
        <w:rPr>
          <w:rFonts w:hint="eastAsia" w:ascii="宋体" w:hAnsi="宋体" w:cs="仿宋"/>
          <w:color w:val="auto"/>
          <w:kern w:val="0"/>
          <w:sz w:val="24"/>
        </w:rPr>
        <w:t>万元，资产总额为</w:t>
      </w:r>
      <w:r>
        <w:rPr>
          <w:rFonts w:hint="eastAsia" w:ascii="宋体" w:hAnsi="宋体" w:cs="仿宋"/>
          <w:color w:val="auto"/>
          <w:kern w:val="0"/>
          <w:sz w:val="24"/>
          <w:u w:val="single"/>
        </w:rPr>
        <w:t xml:space="preserve">  </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u w:val="single"/>
        </w:rPr>
        <w:t xml:space="preserve"> </w:t>
      </w:r>
      <w:r>
        <w:rPr>
          <w:rFonts w:hint="eastAsia" w:ascii="宋体" w:hAnsi="宋体" w:cs="仿宋"/>
          <w:color w:val="auto"/>
          <w:kern w:val="0"/>
          <w:sz w:val="24"/>
        </w:rPr>
        <w:t>万元，属于</w:t>
      </w:r>
      <w:r>
        <w:rPr>
          <w:rFonts w:hint="eastAsia" w:ascii="宋体" w:hAnsi="宋体" w:cs="仿宋"/>
          <w:color w:val="auto"/>
          <w:kern w:val="0"/>
          <w:sz w:val="24"/>
          <w:u w:val="single"/>
        </w:rPr>
        <w:t>（</w:t>
      </w:r>
      <w:r>
        <w:rPr>
          <w:rFonts w:hint="eastAsia" w:ascii="宋体" w:hAnsi="宋体" w:cs="宋体"/>
          <w:sz w:val="24"/>
          <w:szCs w:val="24"/>
          <w:u w:val="single"/>
          <w:lang w:val="en-US" w:eastAsia="zh-CN"/>
        </w:rPr>
        <w:t>中型企业、</w:t>
      </w:r>
      <w:r>
        <w:rPr>
          <w:rFonts w:hint="eastAsia" w:ascii="宋体" w:hAnsi="宋体" w:cs="宋体"/>
          <w:sz w:val="24"/>
          <w:szCs w:val="24"/>
          <w:u w:val="single"/>
          <w:lang w:eastAsia="zh-CN"/>
        </w:rPr>
        <w:t>小型企业</w:t>
      </w:r>
      <w:r>
        <w:rPr>
          <w:rFonts w:hint="eastAsia" w:ascii="宋体" w:hAnsi="宋体" w:cs="仿宋"/>
          <w:color w:val="auto"/>
          <w:kern w:val="0"/>
          <w:sz w:val="24"/>
          <w:u w:val="single"/>
        </w:rPr>
        <w:t>、</w:t>
      </w:r>
      <w:r>
        <w:rPr>
          <w:rFonts w:hint="eastAsia" w:ascii="宋体" w:hAnsi="宋体" w:cs="仿宋"/>
          <w:color w:val="auto"/>
          <w:kern w:val="0"/>
          <w:sz w:val="24"/>
          <w:u w:val="single"/>
          <w:lang w:eastAsia="zh-CN"/>
        </w:rPr>
        <w:t>微</w:t>
      </w:r>
      <w:r>
        <w:rPr>
          <w:rFonts w:hint="eastAsia" w:ascii="宋体" w:hAnsi="宋体" w:cs="仿宋"/>
          <w:color w:val="auto"/>
          <w:kern w:val="0"/>
          <w:sz w:val="24"/>
          <w:u w:val="single"/>
        </w:rPr>
        <w:t>型企业）</w:t>
      </w:r>
      <w:r>
        <w:rPr>
          <w:rFonts w:hint="eastAsia" w:ascii="宋体" w:hAnsi="宋体" w:cs="仿宋"/>
          <w:color w:val="auto"/>
          <w:kern w:val="0"/>
          <w:sz w:val="24"/>
        </w:rPr>
        <w:t>；</w:t>
      </w:r>
    </w:p>
    <w:p w14:paraId="26C121EE">
      <w:pPr>
        <w:autoSpaceDE w:val="0"/>
        <w:autoSpaceDN w:val="0"/>
        <w:adjustRightInd w:val="0"/>
        <w:spacing w:line="360" w:lineRule="auto"/>
        <w:rPr>
          <w:rFonts w:ascii="宋体" w:hAnsi="宋体" w:cs="仿宋"/>
          <w:color w:val="auto"/>
          <w:kern w:val="0"/>
          <w:sz w:val="24"/>
        </w:rPr>
      </w:pPr>
      <w:r>
        <w:rPr>
          <w:rFonts w:hint="eastAsia" w:ascii="宋体" w:hAnsi="宋体" w:cs="仿宋"/>
          <w:color w:val="auto"/>
          <w:kern w:val="0"/>
          <w:sz w:val="24"/>
        </w:rPr>
        <w:t xml:space="preserve">  以上企业，不属于大企业的分支机构，不存在控股股东为大企业的情形，也不存在与大企业的负责人为同一人的情形。</w:t>
      </w:r>
    </w:p>
    <w:p w14:paraId="395256B8">
      <w:pPr>
        <w:autoSpaceDE w:val="0"/>
        <w:autoSpaceDN w:val="0"/>
        <w:adjustRightInd w:val="0"/>
        <w:spacing w:line="360" w:lineRule="auto"/>
        <w:rPr>
          <w:rFonts w:ascii="宋体" w:hAnsi="宋体" w:cs="仿宋"/>
          <w:color w:val="auto"/>
          <w:kern w:val="0"/>
          <w:sz w:val="24"/>
        </w:rPr>
      </w:pPr>
      <w:r>
        <w:rPr>
          <w:rFonts w:hint="eastAsia" w:ascii="宋体" w:hAnsi="宋体" w:cs="仿宋"/>
          <w:color w:val="auto"/>
          <w:kern w:val="0"/>
          <w:sz w:val="24"/>
        </w:rPr>
        <w:t xml:space="preserve">  本企业对上述声明内容的真实性负责。如有虚假，将依法承担相应责任。</w:t>
      </w:r>
    </w:p>
    <w:p w14:paraId="0F017329">
      <w:pPr>
        <w:autoSpaceDE w:val="0"/>
        <w:autoSpaceDN w:val="0"/>
        <w:adjustRightInd w:val="0"/>
        <w:spacing w:line="360" w:lineRule="auto"/>
        <w:ind w:firstLine="723" w:firstLineChars="300"/>
        <w:rPr>
          <w:b/>
          <w:color w:val="auto"/>
          <w:sz w:val="24"/>
        </w:rPr>
      </w:pPr>
    </w:p>
    <w:p w14:paraId="41557AF2">
      <w:pPr>
        <w:autoSpaceDE w:val="0"/>
        <w:autoSpaceDN w:val="0"/>
        <w:adjustRightInd w:val="0"/>
        <w:spacing w:line="360" w:lineRule="auto"/>
        <w:ind w:firstLine="723" w:firstLineChars="300"/>
        <w:rPr>
          <w:b/>
          <w:color w:val="auto"/>
          <w:sz w:val="24"/>
        </w:rPr>
      </w:pPr>
    </w:p>
    <w:p w14:paraId="08054F35">
      <w:pPr>
        <w:autoSpaceDE w:val="0"/>
        <w:autoSpaceDN w:val="0"/>
        <w:adjustRightInd w:val="0"/>
        <w:spacing w:line="360" w:lineRule="auto"/>
        <w:ind w:firstLine="723" w:firstLineChars="300"/>
        <w:rPr>
          <w:b/>
          <w:color w:val="auto"/>
          <w:sz w:val="24"/>
        </w:rPr>
      </w:pPr>
    </w:p>
    <w:p w14:paraId="4CF8712E">
      <w:pPr>
        <w:autoSpaceDE w:val="0"/>
        <w:autoSpaceDN w:val="0"/>
        <w:adjustRightInd w:val="0"/>
        <w:spacing w:line="360" w:lineRule="auto"/>
        <w:jc w:val="both"/>
        <w:rPr>
          <w:rFonts w:ascii="宋体" w:hAnsi="宋体" w:cs="仿宋"/>
          <w:color w:val="auto"/>
          <w:kern w:val="0"/>
          <w:sz w:val="24"/>
        </w:rPr>
      </w:pPr>
    </w:p>
    <w:p w14:paraId="265FA5DD">
      <w:pPr>
        <w:autoSpaceDE w:val="0"/>
        <w:autoSpaceDN w:val="0"/>
        <w:adjustRightInd w:val="0"/>
        <w:spacing w:line="360" w:lineRule="auto"/>
        <w:rPr>
          <w:rFonts w:ascii="宋体" w:hAnsi="宋体" w:cs="仿宋"/>
          <w:color w:val="auto"/>
          <w:kern w:val="0"/>
          <w:sz w:val="24"/>
        </w:rPr>
      </w:pPr>
    </w:p>
    <w:p w14:paraId="1FC7CBCC">
      <w:pPr>
        <w:autoSpaceDE w:val="0"/>
        <w:autoSpaceDN w:val="0"/>
        <w:adjustRightInd w:val="0"/>
        <w:spacing w:line="360" w:lineRule="auto"/>
        <w:jc w:val="center"/>
        <w:rPr>
          <w:rFonts w:ascii="宋体" w:hAnsi="宋体" w:cs="仿宋"/>
          <w:color w:val="auto"/>
          <w:kern w:val="0"/>
          <w:sz w:val="24"/>
        </w:rPr>
      </w:pPr>
      <w:r>
        <w:rPr>
          <w:rFonts w:hint="eastAsia" w:ascii="宋体" w:hAnsi="宋体" w:cs="仿宋"/>
          <w:color w:val="auto"/>
          <w:kern w:val="0"/>
          <w:sz w:val="24"/>
        </w:rPr>
        <w:t xml:space="preserve">                            企业名称（盖章）：   </w:t>
      </w:r>
    </w:p>
    <w:p w14:paraId="1D0543EA">
      <w:pPr>
        <w:autoSpaceDE w:val="0"/>
        <w:autoSpaceDN w:val="0"/>
        <w:adjustRightInd w:val="0"/>
        <w:spacing w:line="360" w:lineRule="auto"/>
        <w:jc w:val="center"/>
        <w:rPr>
          <w:rFonts w:ascii="宋体" w:hAnsi="宋体" w:cs="仿宋"/>
          <w:color w:val="auto"/>
          <w:kern w:val="0"/>
          <w:sz w:val="24"/>
        </w:rPr>
      </w:pPr>
      <w:r>
        <w:rPr>
          <w:rFonts w:hint="eastAsia" w:ascii="宋体" w:hAnsi="宋体" w:cs="仿宋"/>
          <w:color w:val="auto"/>
          <w:kern w:val="0"/>
          <w:sz w:val="24"/>
        </w:rPr>
        <w:t xml:space="preserve">                            日期：</w:t>
      </w:r>
    </w:p>
    <w:p w14:paraId="5DC418C9">
      <w:pPr>
        <w:wordWrap/>
        <w:spacing w:before="157" w:beforeLines="50" w:line="560" w:lineRule="exact"/>
        <w:jc w:val="both"/>
        <w:outlineLvl w:val="9"/>
        <w:rPr>
          <w:rFonts w:hint="eastAsia"/>
          <w:sz w:val="24"/>
          <w:szCs w:val="24"/>
        </w:rPr>
      </w:pPr>
      <w:r>
        <w:rPr>
          <w:rFonts w:hint="eastAsia" w:ascii="宋体" w:cs="宋体"/>
          <w:color w:val="auto"/>
          <w:kern w:val="0"/>
          <w:sz w:val="24"/>
        </w:rPr>
        <w:t>从业人员、营业收入、资产总额填报上一年度数据，无上一年度数据的新成立企业可不填报</w:t>
      </w:r>
    </w:p>
    <w:p w14:paraId="53515485">
      <w:pPr>
        <w:rPr>
          <w:rFonts w:hint="eastAsia" w:asciiTheme="minorEastAsia" w:hAnsiTheme="minorEastAsia" w:eastAsiaTheme="minorEastAsia" w:cstheme="minorEastAsia"/>
          <w:sz w:val="24"/>
          <w:szCs w:val="24"/>
          <w:lang w:val="en-US" w:eastAsia="zh-CN"/>
        </w:rPr>
      </w:pPr>
      <w:bookmarkStart w:id="556" w:name="_Toc14211_WPSOffice_Level3"/>
      <w:bookmarkStart w:id="557" w:name="_Toc11740"/>
      <w:bookmarkStart w:id="558" w:name="_Toc12160"/>
      <w:r>
        <w:rPr>
          <w:rFonts w:hint="eastAsia" w:asciiTheme="minorEastAsia" w:hAnsiTheme="minorEastAsia" w:eastAsiaTheme="minorEastAsia" w:cstheme="minorEastAsia"/>
          <w:sz w:val="24"/>
          <w:szCs w:val="24"/>
          <w:lang w:val="en-US" w:eastAsia="zh-CN"/>
        </w:rPr>
        <w:br w:type="page"/>
      </w:r>
    </w:p>
    <w:p w14:paraId="2088FA51">
      <w:pPr>
        <w:autoSpaceDE w:val="0"/>
        <w:autoSpaceDN w:val="0"/>
        <w:spacing w:line="360" w:lineRule="auto"/>
        <w:jc w:val="center"/>
        <w:rPr>
          <w:rFonts w:hint="eastAsia"/>
          <w:b/>
          <w:bCs/>
          <w:color w:val="auto"/>
          <w:kern w:val="0"/>
          <w:sz w:val="28"/>
          <w:szCs w:val="28"/>
          <w:lang w:val="en-US" w:eastAsia="zh-CN"/>
        </w:rPr>
      </w:pPr>
      <w:r>
        <w:rPr>
          <w:rFonts w:hint="eastAsia"/>
          <w:b/>
          <w:bCs/>
          <w:color w:val="auto"/>
          <w:kern w:val="0"/>
          <w:sz w:val="28"/>
          <w:szCs w:val="28"/>
          <w:lang w:val="en-US" w:eastAsia="zh-CN"/>
        </w:rPr>
        <w:t>2.残疾人福利性单位声明函</w:t>
      </w:r>
      <w:bookmarkEnd w:id="556"/>
      <w:bookmarkEnd w:id="557"/>
      <w:bookmarkEnd w:id="558"/>
    </w:p>
    <w:p w14:paraId="3543D10B">
      <w:pPr>
        <w:adjustRightInd w:val="0"/>
        <w:snapToGrid w:val="0"/>
        <w:spacing w:line="560" w:lineRule="exact"/>
        <w:jc w:val="center"/>
        <w:outlineLvl w:val="9"/>
        <w:rPr>
          <w:rFonts w:hint="eastAsia" w:asciiTheme="minorEastAsia" w:hAnsiTheme="minorEastAsia" w:eastAsiaTheme="minorEastAsia" w:cstheme="minorEastAsia"/>
          <w:spacing w:val="6"/>
          <w:sz w:val="24"/>
          <w:szCs w:val="24"/>
        </w:rPr>
      </w:pPr>
      <w:bookmarkStart w:id="559" w:name="_Toc12079_WPSOffice_Level3"/>
      <w:bookmarkStart w:id="560" w:name="_Toc17469_WPSOffice_Level3"/>
      <w:r>
        <w:rPr>
          <w:rFonts w:hint="eastAsia" w:asciiTheme="minorEastAsia" w:hAnsiTheme="minorEastAsia" w:eastAsiaTheme="minorEastAsia" w:cstheme="minorEastAsia"/>
          <w:b/>
          <w:spacing w:val="6"/>
          <w:sz w:val="24"/>
          <w:szCs w:val="24"/>
        </w:rPr>
        <w:t>(不属于残疾人福利性单位的无需填写)</w:t>
      </w:r>
      <w:bookmarkEnd w:id="559"/>
      <w:bookmarkEnd w:id="560"/>
    </w:p>
    <w:p w14:paraId="7BFF14EC">
      <w:pPr>
        <w:spacing w:line="560" w:lineRule="exact"/>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人，安置的残疾人人数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人。且本单位参加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项目采购活动提供本单位制造的货物（由本单位承担工程/提供服务），或者提供其他残疾人福利性单位制造的货物（不包括使用非残疾人福利性单位注册商标的货物）。</w:t>
      </w:r>
    </w:p>
    <w:p w14:paraId="72C6F234">
      <w:pPr>
        <w:spacing w:line="560" w:lineRule="exact"/>
        <w:ind w:firstLine="48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本单位对上述声明的真实性负责。如有虚假，将依法承担相应责任。</w:t>
      </w:r>
    </w:p>
    <w:p w14:paraId="611A7ACA">
      <w:pPr>
        <w:adjustRightInd w:val="0"/>
        <w:snapToGrid w:val="0"/>
        <w:spacing w:line="560" w:lineRule="exact"/>
        <w:ind w:firstLine="504" w:firstLineChars="200"/>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本单位对上述声明的真实性负责。如有虚假，将依法承担相应责任。</w:t>
      </w:r>
    </w:p>
    <w:p w14:paraId="11856FC9">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61" w:name="_Toc17628_WPSOffice_Level3"/>
      <w:r>
        <w:rPr>
          <w:rFonts w:hint="eastAsia" w:asciiTheme="minorEastAsia" w:hAnsiTheme="minorEastAsia" w:eastAsiaTheme="minorEastAsia" w:cstheme="minorEastAsia"/>
          <w:bCs/>
          <w:sz w:val="24"/>
          <w:szCs w:val="24"/>
        </w:rPr>
        <w:t>单位名称：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（公章）</w:t>
      </w:r>
      <w:bookmarkEnd w:id="561"/>
    </w:p>
    <w:p w14:paraId="279F1986">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62" w:name="_Toc32124_WPSOffice_Level3"/>
      <w:r>
        <w:rPr>
          <w:rFonts w:hint="eastAsia" w:asciiTheme="minorEastAsia" w:hAnsiTheme="minorEastAsia" w:eastAsiaTheme="minorEastAsia" w:cstheme="minorEastAsia"/>
          <w:bCs/>
          <w:sz w:val="24"/>
          <w:szCs w:val="24"/>
        </w:rPr>
        <w:t>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（签字或盖章）</w:t>
      </w:r>
      <w:bookmarkEnd w:id="562"/>
    </w:p>
    <w:p w14:paraId="021CB2F6">
      <w:pPr>
        <w:spacing w:before="156" w:beforeLines="50" w:line="560" w:lineRule="exact"/>
        <w:ind w:firstLine="480" w:firstLineChars="200"/>
        <w:jc w:val="center"/>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bCs/>
          <w:sz w:val="24"/>
          <w:szCs w:val="24"/>
        </w:rPr>
        <w:t xml:space="preserve">                                    </w:t>
      </w:r>
      <w:bookmarkStart w:id="563" w:name="_Toc1871_WPSOffice_Level3"/>
      <w:r>
        <w:rPr>
          <w:rFonts w:hint="eastAsia" w:asciiTheme="minorEastAsia" w:hAnsiTheme="minorEastAsia" w:eastAsiaTheme="minorEastAsia" w:cstheme="minorEastAsia"/>
          <w:bCs/>
          <w:sz w:val="24"/>
          <w:szCs w:val="24"/>
        </w:rPr>
        <w:t>年   月  日</w:t>
      </w:r>
      <w:bookmarkEnd w:id="563"/>
    </w:p>
    <w:p w14:paraId="547C2902">
      <w:pPr>
        <w:adjustRightInd w:val="0"/>
        <w:snapToGrid w:val="0"/>
        <w:spacing w:line="560" w:lineRule="exact"/>
        <w:ind w:firstLine="504" w:firstLineChars="200"/>
        <w:outlineLvl w:val="9"/>
        <w:rPr>
          <w:rFonts w:hint="eastAsia" w:asciiTheme="minorEastAsia" w:hAnsiTheme="minorEastAsia" w:eastAsiaTheme="minorEastAsia" w:cstheme="minorEastAsia"/>
          <w:spacing w:val="6"/>
          <w:sz w:val="24"/>
          <w:szCs w:val="24"/>
        </w:rPr>
      </w:pPr>
    </w:p>
    <w:p w14:paraId="79750B41">
      <w:pPr>
        <w:adjustRightInd w:val="0"/>
        <w:snapToGrid w:val="0"/>
        <w:spacing w:line="560" w:lineRule="exact"/>
        <w:ind w:firstLine="504" w:firstLineChars="200"/>
        <w:outlineLvl w:val="9"/>
        <w:rPr>
          <w:rFonts w:hint="eastAsia" w:asciiTheme="minorEastAsia" w:hAnsiTheme="minorEastAsia" w:eastAsiaTheme="minorEastAsia" w:cstheme="minorEastAsia"/>
          <w:spacing w:val="6"/>
          <w:sz w:val="24"/>
          <w:szCs w:val="24"/>
        </w:rPr>
      </w:pPr>
    </w:p>
    <w:p w14:paraId="154D2C42">
      <w:pPr>
        <w:adjustRightInd w:val="0"/>
        <w:snapToGrid w:val="0"/>
        <w:spacing w:before="156" w:beforeLines="50" w:line="560" w:lineRule="exact"/>
        <w:ind w:firstLine="504" w:firstLineChars="200"/>
        <w:outlineLvl w:val="9"/>
        <w:rPr>
          <w:rFonts w:hint="eastAsia" w:asciiTheme="minorEastAsia" w:hAnsiTheme="minorEastAsia" w:eastAsiaTheme="minorEastAsia" w:cstheme="minorEastAsia"/>
          <w:spacing w:val="6"/>
          <w:sz w:val="24"/>
          <w:szCs w:val="24"/>
        </w:rPr>
      </w:pPr>
    </w:p>
    <w:p w14:paraId="36490F36">
      <w:pPr>
        <w:outlineLvl w:val="9"/>
        <w:rPr>
          <w:rFonts w:hint="eastAsia" w:asciiTheme="minorEastAsia" w:hAnsiTheme="minorEastAsia" w:eastAsiaTheme="minorEastAsia" w:cstheme="minorEastAsia"/>
          <w:spacing w:val="6"/>
          <w:sz w:val="24"/>
          <w:szCs w:val="24"/>
        </w:rPr>
      </w:pPr>
    </w:p>
    <w:p w14:paraId="2F589014">
      <w:pPr>
        <w:outlineLvl w:val="9"/>
        <w:rPr>
          <w:rFonts w:hint="eastAsia" w:asciiTheme="minorEastAsia" w:hAnsiTheme="minorEastAsia" w:eastAsiaTheme="minorEastAsia" w:cstheme="minorEastAsia"/>
          <w:spacing w:val="6"/>
          <w:sz w:val="24"/>
          <w:szCs w:val="24"/>
        </w:rPr>
      </w:pPr>
    </w:p>
    <w:p w14:paraId="725DEA51">
      <w:pPr>
        <w:outlineLvl w:val="9"/>
        <w:rPr>
          <w:rFonts w:hint="eastAsia" w:asciiTheme="minorEastAsia" w:hAnsiTheme="minorEastAsia" w:eastAsiaTheme="minorEastAsia" w:cstheme="minorEastAsia"/>
          <w:spacing w:val="6"/>
          <w:sz w:val="24"/>
          <w:szCs w:val="24"/>
        </w:rPr>
      </w:pPr>
    </w:p>
    <w:p w14:paraId="507F270C">
      <w:pPr>
        <w:outlineLvl w:val="9"/>
        <w:rPr>
          <w:rFonts w:hint="eastAsia"/>
          <w:sz w:val="24"/>
          <w:szCs w:val="24"/>
        </w:rPr>
      </w:pPr>
    </w:p>
    <w:p w14:paraId="15477962">
      <w:pPr>
        <w:spacing w:before="156" w:beforeLines="50" w:line="560" w:lineRule="exact"/>
        <w:outlineLvl w:val="9"/>
        <w:rPr>
          <w:rFonts w:hint="eastAsia" w:asciiTheme="minorEastAsia" w:hAnsiTheme="minorEastAsia" w:eastAsiaTheme="minorEastAsia" w:cstheme="minorEastAsia"/>
          <w:sz w:val="24"/>
          <w:szCs w:val="24"/>
        </w:rPr>
      </w:pPr>
    </w:p>
    <w:p w14:paraId="2FEC6701">
      <w:pPr>
        <w:spacing w:before="156" w:beforeLines="50" w:line="560" w:lineRule="exact"/>
        <w:outlineLvl w:val="9"/>
        <w:rPr>
          <w:rFonts w:hint="eastAsia" w:asciiTheme="minorEastAsia" w:hAnsiTheme="minorEastAsia" w:eastAsiaTheme="minorEastAsia" w:cstheme="minorEastAsia"/>
          <w:sz w:val="24"/>
          <w:szCs w:val="24"/>
        </w:rPr>
      </w:pPr>
    </w:p>
    <w:p w14:paraId="263FB5EC">
      <w:pPr>
        <w:spacing w:before="156" w:beforeLines="50" w:line="560" w:lineRule="exact"/>
        <w:outlineLvl w:val="9"/>
        <w:rPr>
          <w:rFonts w:hint="eastAsia" w:asciiTheme="minorEastAsia" w:hAnsiTheme="minorEastAsia" w:eastAsiaTheme="minorEastAsia" w:cstheme="minorEastAsia"/>
          <w:sz w:val="24"/>
          <w:szCs w:val="24"/>
        </w:rPr>
      </w:pPr>
    </w:p>
    <w:p w14:paraId="06EECCBE">
      <w:pPr>
        <w:spacing w:before="156" w:beforeLines="50" w:line="560" w:lineRule="exact"/>
        <w:outlineLvl w:val="9"/>
        <w:rPr>
          <w:rFonts w:hint="eastAsia" w:asciiTheme="minorEastAsia" w:hAnsiTheme="minorEastAsia" w:eastAsiaTheme="minorEastAsia" w:cstheme="minorEastAsia"/>
          <w:sz w:val="24"/>
          <w:szCs w:val="24"/>
        </w:rPr>
      </w:pPr>
    </w:p>
    <w:p w14:paraId="697FCEEA">
      <w:pPr>
        <w:autoSpaceDE w:val="0"/>
        <w:autoSpaceDN w:val="0"/>
        <w:spacing w:line="360" w:lineRule="auto"/>
        <w:jc w:val="center"/>
        <w:rPr>
          <w:rFonts w:hint="eastAsia"/>
          <w:b/>
          <w:bCs/>
          <w:color w:val="auto"/>
          <w:kern w:val="0"/>
          <w:sz w:val="28"/>
          <w:szCs w:val="28"/>
          <w:lang w:val="en-US" w:eastAsia="zh-CN"/>
        </w:rPr>
      </w:pPr>
      <w:bookmarkStart w:id="564" w:name="_Toc9477"/>
      <w:bookmarkStart w:id="565" w:name="_Toc30801"/>
      <w:r>
        <w:rPr>
          <w:rFonts w:hint="eastAsia"/>
          <w:b/>
          <w:bCs/>
          <w:color w:val="auto"/>
          <w:kern w:val="0"/>
          <w:sz w:val="28"/>
          <w:szCs w:val="28"/>
          <w:lang w:val="en-US" w:eastAsia="zh-CN"/>
        </w:rPr>
        <w:t>3.监狱企业证明资料</w:t>
      </w:r>
      <w:bookmarkEnd w:id="564"/>
      <w:bookmarkEnd w:id="565"/>
    </w:p>
    <w:p w14:paraId="6EDCD40B">
      <w:pPr>
        <w:adjustRightInd w:val="0"/>
        <w:snapToGrid w:val="0"/>
        <w:spacing w:line="560" w:lineRule="exact"/>
        <w:jc w:val="center"/>
        <w:outlineLvl w:val="9"/>
        <w:rPr>
          <w:rFonts w:hint="eastAsia" w:asciiTheme="minorEastAsia" w:hAnsiTheme="minorEastAsia" w:eastAsiaTheme="minorEastAsia" w:cstheme="minorEastAsia"/>
          <w:sz w:val="24"/>
          <w:szCs w:val="24"/>
        </w:rPr>
      </w:pPr>
      <w:bookmarkStart w:id="566" w:name="_Toc28022_WPSOffice_Level3"/>
      <w:bookmarkStart w:id="567" w:name="_Toc25903_WPSOffice_Level3"/>
      <w:r>
        <w:rPr>
          <w:rFonts w:hint="eastAsia" w:asciiTheme="minorEastAsia" w:hAnsiTheme="minorEastAsia" w:eastAsiaTheme="minorEastAsia" w:cstheme="minorEastAsia"/>
          <w:b/>
          <w:spacing w:val="6"/>
          <w:sz w:val="24"/>
          <w:szCs w:val="24"/>
        </w:rPr>
        <w:t>(不属于监狱企业的无需提供)</w:t>
      </w:r>
      <w:bookmarkEnd w:id="566"/>
      <w:bookmarkEnd w:id="567"/>
    </w:p>
    <w:p w14:paraId="39346EC2">
      <w:pPr>
        <w:adjustRightInd w:val="0"/>
        <w:snapToGrid w:val="0"/>
        <w:spacing w:line="560" w:lineRule="exact"/>
        <w:ind w:firstLine="504"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pacing w:val="6"/>
          <w:kern w:val="0"/>
          <w:sz w:val="24"/>
          <w:szCs w:val="24"/>
        </w:rPr>
        <w:t>备注：</w:t>
      </w:r>
      <w:r>
        <w:rPr>
          <w:rFonts w:hint="eastAsia" w:asciiTheme="minorEastAsia" w:hAnsiTheme="minorEastAsia" w:eastAsiaTheme="minorEastAsia" w:cstheme="minorEastAsia"/>
          <w:sz w:val="24"/>
          <w:szCs w:val="24"/>
        </w:rPr>
        <w:t>按</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z w:val="24"/>
          <w:szCs w:val="24"/>
        </w:rPr>
        <w:t>财政部司法部关于政府采购支持监狱企业发展有关问题的通知</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z w:val="24"/>
          <w:szCs w:val="24"/>
        </w:rPr>
        <w:t>(财库〔2014〕68号)文件规定提供证明文件（复印件）。</w:t>
      </w:r>
    </w:p>
    <w:p w14:paraId="6AAB652F">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68" w:name="_Toc22071_WPSOffice_Level3"/>
      <w:r>
        <w:rPr>
          <w:rFonts w:hint="eastAsia" w:asciiTheme="minorEastAsia" w:hAnsiTheme="minorEastAsia" w:eastAsiaTheme="minorEastAsia" w:cstheme="minorEastAsia"/>
          <w:bCs/>
          <w:sz w:val="24"/>
          <w:szCs w:val="24"/>
        </w:rPr>
        <w:t>单位名称：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（公章）</w:t>
      </w:r>
      <w:bookmarkEnd w:id="568"/>
    </w:p>
    <w:p w14:paraId="03E3D5B5">
      <w:pPr>
        <w:spacing w:before="156" w:beforeLines="50" w:line="560" w:lineRule="exact"/>
        <w:ind w:firstLine="480" w:firstLineChars="200"/>
        <w:jc w:val="center"/>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bookmarkStart w:id="569" w:name="_Toc11539_WPSOffice_Level3"/>
      <w:r>
        <w:rPr>
          <w:rFonts w:hint="eastAsia" w:asciiTheme="minorEastAsia" w:hAnsiTheme="minorEastAsia" w:eastAsiaTheme="minorEastAsia" w:cstheme="minorEastAsia"/>
          <w:bCs/>
          <w:sz w:val="24"/>
          <w:szCs w:val="24"/>
        </w:rPr>
        <w:t>法定代表人或委托代理人：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（签字或盖章）</w:t>
      </w:r>
      <w:bookmarkEnd w:id="569"/>
    </w:p>
    <w:p w14:paraId="544CACF8">
      <w:pPr>
        <w:spacing w:before="156" w:beforeLines="50" w:line="560" w:lineRule="exact"/>
        <w:ind w:firstLine="480" w:firstLineChars="200"/>
        <w:jc w:val="center"/>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bCs/>
          <w:sz w:val="24"/>
          <w:szCs w:val="24"/>
        </w:rPr>
        <w:t xml:space="preserve">                                    </w:t>
      </w:r>
      <w:bookmarkStart w:id="570" w:name="_Toc3285_WPSOffice_Level3"/>
      <w:r>
        <w:rPr>
          <w:rFonts w:hint="eastAsia" w:asciiTheme="minorEastAsia" w:hAnsiTheme="minorEastAsia" w:eastAsiaTheme="minorEastAsia" w:cstheme="minorEastAsia"/>
          <w:bCs/>
          <w:sz w:val="24"/>
          <w:szCs w:val="24"/>
        </w:rPr>
        <w:t>年   月  日</w:t>
      </w:r>
      <w:bookmarkEnd w:id="570"/>
    </w:p>
    <w:p w14:paraId="173CDF8F">
      <w:pPr>
        <w:adjustRightInd w:val="0"/>
        <w:snapToGrid w:val="0"/>
        <w:spacing w:line="560" w:lineRule="exact"/>
        <w:ind w:firstLine="480" w:firstLineChars="200"/>
        <w:outlineLvl w:val="9"/>
        <w:rPr>
          <w:rFonts w:hint="eastAsia" w:asciiTheme="minorEastAsia" w:hAnsiTheme="minorEastAsia" w:eastAsiaTheme="minorEastAsia" w:cstheme="minorEastAsia"/>
          <w:sz w:val="24"/>
          <w:szCs w:val="24"/>
        </w:rPr>
      </w:pPr>
    </w:p>
    <w:p w14:paraId="46736E90">
      <w:pPr>
        <w:adjustRightInd w:val="0"/>
        <w:snapToGrid w:val="0"/>
        <w:spacing w:before="156" w:beforeLines="50" w:line="560" w:lineRule="exact"/>
        <w:outlineLvl w:val="9"/>
        <w:rPr>
          <w:rFonts w:hint="eastAsia" w:asciiTheme="minorEastAsia" w:hAnsiTheme="minorEastAsia" w:eastAsiaTheme="minorEastAsia" w:cstheme="minorEastAsia"/>
          <w:sz w:val="24"/>
          <w:szCs w:val="24"/>
        </w:rPr>
      </w:pPr>
    </w:p>
    <w:p w14:paraId="02D518DF">
      <w:pPr>
        <w:adjustRightInd w:val="0"/>
        <w:snapToGrid w:val="0"/>
        <w:spacing w:before="156" w:beforeLines="50" w:line="560" w:lineRule="exact"/>
        <w:outlineLvl w:val="9"/>
        <w:rPr>
          <w:rFonts w:hint="eastAsia" w:asciiTheme="minorEastAsia" w:hAnsiTheme="minorEastAsia" w:eastAsiaTheme="minorEastAsia" w:cstheme="minorEastAsia"/>
          <w:sz w:val="24"/>
          <w:szCs w:val="24"/>
        </w:rPr>
      </w:pPr>
    </w:p>
    <w:p w14:paraId="060755A5">
      <w:pPr>
        <w:adjustRightInd w:val="0"/>
        <w:snapToGrid w:val="0"/>
        <w:spacing w:before="156" w:beforeLines="50" w:line="560" w:lineRule="exact"/>
        <w:outlineLvl w:val="9"/>
        <w:rPr>
          <w:rFonts w:hint="eastAsia" w:asciiTheme="minorEastAsia" w:hAnsiTheme="minorEastAsia" w:eastAsiaTheme="minorEastAsia" w:cstheme="minorEastAsia"/>
          <w:sz w:val="24"/>
          <w:szCs w:val="24"/>
        </w:rPr>
      </w:pPr>
    </w:p>
    <w:p w14:paraId="6B8E0891">
      <w:pPr>
        <w:adjustRightInd w:val="0"/>
        <w:snapToGrid w:val="0"/>
        <w:spacing w:before="156" w:beforeLines="50" w:line="560" w:lineRule="exact"/>
        <w:outlineLvl w:val="9"/>
        <w:rPr>
          <w:rFonts w:hint="eastAsia" w:asciiTheme="minorEastAsia" w:hAnsiTheme="minorEastAsia" w:eastAsiaTheme="minorEastAsia" w:cstheme="minorEastAsia"/>
          <w:sz w:val="24"/>
          <w:szCs w:val="24"/>
        </w:rPr>
      </w:pPr>
    </w:p>
    <w:p w14:paraId="0D4DC89E">
      <w:pPr>
        <w:spacing w:before="156" w:beforeLines="50" w:line="560" w:lineRule="exact"/>
        <w:ind w:firstLine="482" w:firstLineChars="200"/>
        <w:jc w:val="center"/>
        <w:outlineLvl w:val="9"/>
        <w:rPr>
          <w:rFonts w:hint="eastAsia" w:asciiTheme="minorEastAsia" w:hAnsiTheme="minorEastAsia" w:eastAsiaTheme="minorEastAsia" w:cstheme="minorEastAsia"/>
          <w:b/>
          <w:sz w:val="24"/>
          <w:szCs w:val="24"/>
        </w:rPr>
      </w:pPr>
    </w:p>
    <w:p w14:paraId="23DEDC30">
      <w:pPr>
        <w:spacing w:before="156" w:beforeLines="50" w:line="560" w:lineRule="exact"/>
        <w:ind w:firstLine="482" w:firstLineChars="200"/>
        <w:jc w:val="center"/>
        <w:outlineLvl w:val="9"/>
        <w:rPr>
          <w:rFonts w:hint="eastAsia" w:asciiTheme="minorEastAsia" w:hAnsiTheme="minorEastAsia" w:eastAsiaTheme="minorEastAsia" w:cstheme="minorEastAsia"/>
          <w:b/>
          <w:sz w:val="24"/>
          <w:szCs w:val="24"/>
        </w:rPr>
      </w:pPr>
    </w:p>
    <w:p w14:paraId="43962F98">
      <w:pPr>
        <w:spacing w:before="156" w:beforeLines="50" w:line="560" w:lineRule="exact"/>
        <w:ind w:firstLine="482" w:firstLineChars="200"/>
        <w:jc w:val="center"/>
        <w:outlineLvl w:val="9"/>
        <w:rPr>
          <w:rFonts w:hint="eastAsia" w:asciiTheme="minorEastAsia" w:hAnsiTheme="minorEastAsia" w:eastAsiaTheme="minorEastAsia" w:cstheme="minorEastAsia"/>
          <w:b/>
          <w:sz w:val="24"/>
          <w:szCs w:val="24"/>
        </w:rPr>
      </w:pPr>
    </w:p>
    <w:p w14:paraId="19F79CB9">
      <w:pPr>
        <w:spacing w:before="156" w:beforeLines="50" w:line="560" w:lineRule="exact"/>
        <w:ind w:firstLine="482" w:firstLineChars="200"/>
        <w:jc w:val="center"/>
        <w:outlineLvl w:val="9"/>
        <w:rPr>
          <w:rFonts w:hint="eastAsia" w:asciiTheme="minorEastAsia" w:hAnsiTheme="minorEastAsia" w:eastAsiaTheme="minorEastAsia" w:cstheme="minorEastAsia"/>
          <w:b/>
          <w:sz w:val="24"/>
          <w:szCs w:val="24"/>
        </w:rPr>
      </w:pPr>
    </w:p>
    <w:p w14:paraId="0E3DE235">
      <w:pPr>
        <w:spacing w:before="156" w:beforeLines="50" w:line="560" w:lineRule="exact"/>
        <w:ind w:firstLine="482" w:firstLineChars="200"/>
        <w:jc w:val="center"/>
        <w:outlineLvl w:val="9"/>
        <w:rPr>
          <w:rFonts w:hint="eastAsia" w:asciiTheme="minorEastAsia" w:hAnsiTheme="minorEastAsia" w:eastAsiaTheme="minorEastAsia" w:cstheme="minorEastAsia"/>
          <w:b/>
          <w:sz w:val="24"/>
          <w:szCs w:val="24"/>
        </w:rPr>
      </w:pPr>
    </w:p>
    <w:p w14:paraId="25D7F31E">
      <w:pPr>
        <w:widowControl/>
        <w:snapToGrid w:val="0"/>
        <w:spacing w:before="156" w:beforeLines="50" w:line="560" w:lineRule="exact"/>
        <w:outlineLvl w:val="9"/>
        <w:rPr>
          <w:rFonts w:hint="eastAsia" w:asciiTheme="minorEastAsia" w:hAnsiTheme="minorEastAsia" w:eastAsiaTheme="minorEastAsia" w:cstheme="minorEastAsia"/>
          <w:b/>
          <w:sz w:val="24"/>
          <w:szCs w:val="24"/>
        </w:rPr>
        <w:sectPr>
          <w:footerReference r:id="rId4" w:type="default"/>
          <w:pgSz w:w="11906" w:h="16838"/>
          <w:pgMar w:top="1440" w:right="1800" w:bottom="1440" w:left="1800" w:header="851" w:footer="992" w:gutter="0"/>
          <w:pgNumType w:fmt="decimal" w:start="1"/>
          <w:cols w:space="720" w:num="1"/>
          <w:docGrid w:type="lines" w:linePitch="312" w:charSpace="0"/>
        </w:sectPr>
      </w:pPr>
      <w:bookmarkStart w:id="571" w:name="_Toc21346"/>
      <w:bookmarkStart w:id="572" w:name="_Toc23033_WPSOffice_Level3"/>
      <w:bookmarkStart w:id="573" w:name="_Toc12068_WPSOffice_Level3"/>
    </w:p>
    <w:p w14:paraId="5ED15AA3">
      <w:pPr>
        <w:pStyle w:val="14"/>
        <w:spacing w:line="360" w:lineRule="auto"/>
        <w:jc w:val="left"/>
        <w:outlineLvl w:val="2"/>
        <w:rPr>
          <w:rFonts w:hint="eastAsia" w:asciiTheme="minorEastAsia" w:hAnsiTheme="minorEastAsia" w:eastAsiaTheme="minorEastAsia" w:cstheme="minorEastAsia"/>
          <w:b/>
          <w:bCs w:val="0"/>
          <w:kern w:val="2"/>
          <w:sz w:val="28"/>
          <w:szCs w:val="28"/>
          <w:lang w:val="en-US" w:eastAsia="zh-CN" w:bidi="ar-SA"/>
        </w:rPr>
        <w:sectPr>
          <w:footerReference r:id="rId5" w:type="default"/>
          <w:pgSz w:w="11906" w:h="16838"/>
          <w:pgMar w:top="1984" w:right="1474" w:bottom="1871" w:left="1474" w:header="851" w:footer="992" w:gutter="0"/>
          <w:pgNumType w:fmt="decimal" w:start="49"/>
          <w:cols w:space="720" w:num="1"/>
          <w:docGrid w:type="lines" w:linePitch="312" w:charSpace="0"/>
        </w:sectPr>
      </w:pPr>
      <w:bookmarkStart w:id="574" w:name="_Toc31062"/>
      <w:bookmarkStart w:id="575" w:name="_Toc19798"/>
      <w:bookmarkStart w:id="576" w:name="_Toc81408316"/>
      <w:bookmarkStart w:id="577" w:name="_Toc93054085"/>
      <w:r>
        <w:rPr>
          <w:rFonts w:hint="eastAsia" w:asciiTheme="minorEastAsia" w:hAnsiTheme="minorEastAsia" w:eastAsiaTheme="minorEastAsia" w:cstheme="minorEastAsia"/>
          <w:b/>
          <w:bCs w:val="0"/>
          <w:kern w:val="2"/>
          <w:sz w:val="28"/>
          <w:szCs w:val="28"/>
          <w:lang w:val="zh-CN" w:eastAsia="zh-CN" w:bidi="ar-SA"/>
        </w:rPr>
        <w:t>附件1</w:t>
      </w:r>
      <w:r>
        <w:rPr>
          <w:rFonts w:hint="eastAsia" w:asciiTheme="minorEastAsia" w:hAnsiTheme="minorEastAsia" w:eastAsiaTheme="minorEastAsia" w:cstheme="minorEastAsia"/>
          <w:b/>
          <w:bCs w:val="0"/>
          <w:kern w:val="2"/>
          <w:sz w:val="28"/>
          <w:szCs w:val="28"/>
          <w:lang w:val="en-US" w:eastAsia="zh-CN" w:bidi="ar-SA"/>
        </w:rPr>
        <w:t>6</w:t>
      </w:r>
      <w:r>
        <w:rPr>
          <w:rFonts w:hint="eastAsia" w:asciiTheme="minorEastAsia" w:hAnsiTheme="minorEastAsia" w:eastAsiaTheme="minorEastAsia" w:cstheme="minorEastAsia"/>
          <w:b/>
          <w:bCs w:val="0"/>
          <w:kern w:val="2"/>
          <w:sz w:val="28"/>
          <w:szCs w:val="28"/>
          <w:lang w:val="zh-CN" w:eastAsia="zh-CN" w:bidi="ar-SA"/>
        </w:rPr>
        <w:t>：供应商认为在其他方面有必要说明的事项</w:t>
      </w:r>
      <w:bookmarkEnd w:id="574"/>
      <w:bookmarkEnd w:id="575"/>
      <w:bookmarkEnd w:id="576"/>
      <w:bookmarkEnd w:id="577"/>
    </w:p>
    <w:p w14:paraId="2D41D5E1">
      <w:pPr>
        <w:widowControl/>
        <w:snapToGrid w:val="0"/>
        <w:spacing w:before="156" w:beforeLines="50" w:line="560" w:lineRule="exact"/>
        <w:outlineLvl w:val="2"/>
        <w:rPr>
          <w:rFonts w:hint="eastAsia" w:asciiTheme="minorEastAsia" w:hAnsiTheme="minorEastAsia" w:eastAsiaTheme="minorEastAsia" w:cstheme="minorEastAsia"/>
          <w:bCs/>
          <w:sz w:val="24"/>
          <w:szCs w:val="24"/>
        </w:rPr>
      </w:pPr>
      <w:bookmarkStart w:id="578" w:name="_Toc18035"/>
      <w:bookmarkStart w:id="579" w:name="_Toc22132"/>
      <w:r>
        <w:rPr>
          <w:rFonts w:hint="eastAsia" w:asciiTheme="minorEastAsia" w:hAnsiTheme="minorEastAsia" w:eastAsiaTheme="minorEastAsia" w:cstheme="minorEastAsia"/>
          <w:b/>
          <w:sz w:val="28"/>
          <w:szCs w:val="28"/>
        </w:rPr>
        <w:t>附件1</w:t>
      </w:r>
      <w:r>
        <w:rPr>
          <w:rFonts w:hint="eastAsia" w:asciiTheme="minorEastAsia" w:hAnsiTheme="minorEastAsia" w:eastAsiaTheme="minorEastAsia" w:cstheme="minorEastAsia"/>
          <w:b/>
          <w:sz w:val="28"/>
          <w:szCs w:val="28"/>
          <w:lang w:val="en-US" w:eastAsia="zh-CN"/>
        </w:rPr>
        <w:t>7</w:t>
      </w:r>
      <w:r>
        <w:rPr>
          <w:rFonts w:hint="eastAsia" w:asciiTheme="minorEastAsia" w:hAnsiTheme="minorEastAsia" w:eastAsiaTheme="minorEastAsia" w:cstheme="minorEastAsia"/>
          <w:b/>
          <w:sz w:val="28"/>
          <w:szCs w:val="28"/>
        </w:rPr>
        <w:t>：最后报价表</w:t>
      </w:r>
      <w:bookmarkEnd w:id="571"/>
      <w:bookmarkEnd w:id="572"/>
      <w:bookmarkEnd w:id="573"/>
      <w:bookmarkEnd w:id="578"/>
      <w:bookmarkEnd w:id="579"/>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
          <w:bCs/>
          <w:sz w:val="24"/>
          <w:szCs w:val="24"/>
        </w:rPr>
        <w:t xml:space="preserve">       </w:t>
      </w:r>
    </w:p>
    <w:p w14:paraId="22D84F32">
      <w:pPr>
        <w:outlineLvl w:val="9"/>
        <w:rPr>
          <w:rFonts w:hint="eastAsia" w:asciiTheme="minorEastAsia" w:hAnsiTheme="minorEastAsia"/>
          <w:b/>
          <w:bCs/>
          <w:sz w:val="24"/>
          <w:szCs w:val="24"/>
          <w:highlight w:val="none"/>
          <w:lang w:val="en-US" w:eastAsia="zh-CN"/>
        </w:rPr>
      </w:pPr>
    </w:p>
    <w:p w14:paraId="200510FE">
      <w:pPr>
        <w:outlineLvl w:val="9"/>
        <w:rPr>
          <w:rFonts w:hint="eastAsia" w:asciiTheme="minorEastAsia" w:hAnsiTheme="minorEastAsia" w:eastAsiaTheme="minorEastAsia" w:cstheme="minorEastAsia"/>
          <w:b w:val="0"/>
          <w:bCs w:val="0"/>
          <w:sz w:val="44"/>
          <w:szCs w:val="44"/>
        </w:rPr>
      </w:pPr>
      <w:r>
        <w:rPr>
          <w:rFonts w:hint="eastAsia" w:asciiTheme="minorEastAsia" w:hAnsiTheme="minorEastAsia"/>
          <w:b/>
          <w:bCs/>
          <w:sz w:val="24"/>
          <w:szCs w:val="24"/>
          <w:highlight w:val="none"/>
          <w:lang w:val="en-US" w:eastAsia="zh-CN"/>
        </w:rPr>
        <w:t>按谈判时政采云中谈判小组要求格式填写并提交。</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
          <w:sz w:val="24"/>
        </w:rPr>
        <w:br w:type="page"/>
      </w:r>
      <w:bookmarkStart w:id="580" w:name="_Toc376936766"/>
      <w:bookmarkStart w:id="581" w:name="_Toc5169"/>
      <w:bookmarkStart w:id="582" w:name="_Toc24112_WPSOffice_Level1"/>
      <w:bookmarkStart w:id="583" w:name="_Toc7329_WPSOffice_Level1"/>
      <w:bookmarkStart w:id="584" w:name="_Toc416183225"/>
      <w:bookmarkStart w:id="585" w:name="_Toc23740"/>
      <w:bookmarkStart w:id="586" w:name="_Toc23722_WPSOffice_Level1"/>
      <w:bookmarkStart w:id="587" w:name="_Toc16779_WPSOffice_Level1"/>
      <w:bookmarkStart w:id="588" w:name="_Toc27557_WPSOffice_Level1"/>
      <w:bookmarkStart w:id="589" w:name="_Toc5233"/>
      <w:bookmarkStart w:id="590" w:name="_Toc12949996"/>
      <w:bookmarkStart w:id="591" w:name="_Toc16082_WPSOffice_Level1"/>
    </w:p>
    <w:p w14:paraId="26BDF5E6">
      <w:pPr>
        <w:pStyle w:val="3"/>
        <w:adjustRightInd w:val="0"/>
        <w:snapToGrid w:val="0"/>
        <w:spacing w:before="156" w:beforeLines="50" w:line="560" w:lineRule="exact"/>
        <w:rPr>
          <w:rFonts w:hint="eastAsia" w:hAnsi="宋体"/>
          <w:sz w:val="36"/>
          <w:szCs w:val="24"/>
        </w:rPr>
      </w:pPr>
      <w:bookmarkStart w:id="592" w:name="_Toc17757"/>
      <w:r>
        <w:rPr>
          <w:rFonts w:hint="eastAsia" w:hAnsi="宋体"/>
          <w:sz w:val="36"/>
          <w:szCs w:val="24"/>
        </w:rPr>
        <w:t>第</w:t>
      </w:r>
      <w:r>
        <w:rPr>
          <w:rFonts w:hint="eastAsia" w:hAnsi="宋体"/>
          <w:sz w:val="36"/>
          <w:szCs w:val="24"/>
          <w:lang w:val="en-US" w:eastAsia="zh-CN"/>
        </w:rPr>
        <w:t>六</w:t>
      </w:r>
      <w:r>
        <w:rPr>
          <w:rFonts w:hint="eastAsia" w:hAnsi="宋体"/>
          <w:sz w:val="36"/>
          <w:szCs w:val="24"/>
        </w:rPr>
        <w:t xml:space="preserve">部分 </w:t>
      </w:r>
      <w:bookmarkEnd w:id="580"/>
      <w:r>
        <w:rPr>
          <w:rFonts w:hint="eastAsia" w:hAnsi="宋体"/>
          <w:sz w:val="36"/>
          <w:szCs w:val="24"/>
        </w:rPr>
        <w:t>青海省政府采购项目合同书范本</w:t>
      </w:r>
      <w:bookmarkEnd w:id="581"/>
      <w:bookmarkEnd w:id="582"/>
      <w:bookmarkEnd w:id="583"/>
      <w:bookmarkEnd w:id="592"/>
    </w:p>
    <w:p w14:paraId="44F36C50">
      <w:pPr>
        <w:adjustRightInd w:val="0"/>
        <w:snapToGrid w:val="0"/>
        <w:spacing w:before="156" w:beforeLines="50" w:line="560" w:lineRule="exact"/>
        <w:jc w:val="center"/>
        <w:outlineLvl w:val="9"/>
        <w:rPr>
          <w:rFonts w:hint="eastAsia" w:asciiTheme="minorEastAsia" w:hAnsiTheme="minorEastAsia" w:eastAsiaTheme="minorEastAsia" w:cstheme="minorEastAsia"/>
          <w:b w:val="0"/>
          <w:bCs w:val="0"/>
          <w:sz w:val="40"/>
          <w:szCs w:val="40"/>
        </w:rPr>
      </w:pPr>
      <w:bookmarkStart w:id="593" w:name="_Toc29785_WPSOffice_Level1"/>
      <w:bookmarkStart w:id="594" w:name="_Toc22776_WPSOffice_Level1"/>
      <w:bookmarkStart w:id="595" w:name="_Toc32639"/>
      <w:r>
        <w:rPr>
          <w:rFonts w:hint="eastAsia" w:asciiTheme="minorEastAsia" w:hAnsiTheme="minorEastAsia" w:eastAsiaTheme="minorEastAsia" w:cstheme="minorEastAsia"/>
          <w:b w:val="0"/>
          <w:bCs w:val="0"/>
          <w:sz w:val="40"/>
          <w:szCs w:val="40"/>
        </w:rPr>
        <w:t>（</w:t>
      </w:r>
      <w:r>
        <w:rPr>
          <w:rFonts w:hint="eastAsia" w:asciiTheme="minorEastAsia" w:hAnsiTheme="minorEastAsia" w:eastAsiaTheme="minorEastAsia" w:cstheme="minorEastAsia"/>
          <w:b w:val="0"/>
          <w:bCs w:val="0"/>
          <w:sz w:val="40"/>
          <w:szCs w:val="40"/>
          <w:lang w:eastAsia="zh-CN"/>
        </w:rPr>
        <w:t>货物</w:t>
      </w:r>
      <w:r>
        <w:rPr>
          <w:rFonts w:hint="eastAsia" w:asciiTheme="minorEastAsia" w:hAnsiTheme="minorEastAsia" w:eastAsiaTheme="minorEastAsia" w:cstheme="minorEastAsia"/>
          <w:b w:val="0"/>
          <w:bCs w:val="0"/>
          <w:sz w:val="40"/>
          <w:szCs w:val="40"/>
        </w:rPr>
        <w:t>类）</w:t>
      </w:r>
      <w:bookmarkEnd w:id="584"/>
      <w:bookmarkEnd w:id="585"/>
      <w:bookmarkEnd w:id="586"/>
      <w:bookmarkEnd w:id="587"/>
      <w:bookmarkEnd w:id="588"/>
      <w:bookmarkEnd w:id="589"/>
      <w:bookmarkEnd w:id="590"/>
      <w:bookmarkEnd w:id="591"/>
      <w:bookmarkEnd w:id="593"/>
      <w:bookmarkEnd w:id="594"/>
      <w:bookmarkEnd w:id="595"/>
    </w:p>
    <w:p w14:paraId="24C8C89B">
      <w:pPr>
        <w:adjustRightInd w:val="0"/>
        <w:snapToGrid w:val="0"/>
        <w:spacing w:before="156" w:beforeLines="50" w:line="560" w:lineRule="exact"/>
        <w:outlineLvl w:val="0"/>
        <w:rPr>
          <w:rFonts w:hint="eastAsia" w:asciiTheme="minorEastAsia" w:hAnsiTheme="minorEastAsia" w:eastAsiaTheme="minorEastAsia" w:cstheme="minorEastAsia"/>
          <w:bCs/>
          <w:szCs w:val="21"/>
        </w:rPr>
      </w:pPr>
      <w:bookmarkStart w:id="596" w:name="_Toc375576842"/>
      <w:bookmarkStart w:id="597" w:name="_Toc373954603"/>
      <w:bookmarkStart w:id="598" w:name="_Toc373936315"/>
    </w:p>
    <w:bookmarkEnd w:id="596"/>
    <w:bookmarkEnd w:id="597"/>
    <w:bookmarkEnd w:id="598"/>
    <w:p w14:paraId="417C1302">
      <w:pPr>
        <w:keepNext/>
        <w:keepLines/>
        <w:widowControl/>
        <w:snapToGrid w:val="0"/>
        <w:spacing w:before="156" w:beforeLines="50" w:line="560" w:lineRule="exact"/>
        <w:jc w:val="center"/>
        <w:rPr>
          <w:rFonts w:hint="eastAsia" w:asciiTheme="minorEastAsia" w:hAnsiTheme="minorEastAsia" w:eastAsiaTheme="minorEastAsia" w:cstheme="minorEastAsia"/>
          <w:bCs/>
          <w:kern w:val="28"/>
          <w:sz w:val="44"/>
          <w:szCs w:val="44"/>
        </w:rPr>
      </w:pPr>
      <w:bookmarkStart w:id="599" w:name="_Toc416183226"/>
      <w:bookmarkStart w:id="600" w:name="_Toc3676_WPSOffice_Level1"/>
      <w:bookmarkStart w:id="601" w:name="_Toc9152_WPSOffice_Level1"/>
      <w:bookmarkStart w:id="602" w:name="_Toc10999_WPSOffice_Level1"/>
      <w:bookmarkStart w:id="603" w:name="_Toc31604_WPSOffice_Level1"/>
      <w:bookmarkStart w:id="604" w:name="_Toc4308"/>
      <w:bookmarkStart w:id="605" w:name="_Toc12949997"/>
      <w:bookmarkStart w:id="606" w:name="_Toc9715"/>
      <w:bookmarkStart w:id="607" w:name="_Toc8067_WPSOffice_Level1"/>
    </w:p>
    <w:p w14:paraId="40A93245">
      <w:pPr>
        <w:keepNext/>
        <w:keepLines/>
        <w:widowControl/>
        <w:snapToGrid w:val="0"/>
        <w:spacing w:before="156" w:beforeLines="50" w:line="560" w:lineRule="exact"/>
        <w:jc w:val="center"/>
        <w:rPr>
          <w:rFonts w:hint="eastAsia" w:asciiTheme="minorEastAsia" w:hAnsiTheme="minorEastAsia" w:eastAsiaTheme="minorEastAsia" w:cstheme="minorEastAsia"/>
          <w:bCs/>
          <w:kern w:val="28"/>
          <w:sz w:val="44"/>
          <w:szCs w:val="44"/>
        </w:rPr>
      </w:pPr>
    </w:p>
    <w:p w14:paraId="6757F141">
      <w:pPr>
        <w:keepNext/>
        <w:keepLines/>
        <w:widowControl/>
        <w:snapToGrid w:val="0"/>
        <w:spacing w:before="156" w:beforeLines="50" w:line="560" w:lineRule="exact"/>
        <w:jc w:val="center"/>
        <w:rPr>
          <w:rFonts w:hint="eastAsia" w:asciiTheme="minorEastAsia" w:hAnsiTheme="minorEastAsia" w:eastAsiaTheme="minorEastAsia" w:cstheme="minorEastAsia"/>
          <w:bCs/>
          <w:kern w:val="28"/>
          <w:sz w:val="32"/>
          <w:szCs w:val="32"/>
        </w:rPr>
      </w:pPr>
      <w:r>
        <w:rPr>
          <w:rFonts w:hint="eastAsia" w:asciiTheme="minorEastAsia" w:hAnsiTheme="minorEastAsia" w:eastAsiaTheme="minorEastAsia" w:cstheme="minorEastAsia"/>
          <w:b/>
          <w:bCs w:val="0"/>
          <w:kern w:val="28"/>
          <w:sz w:val="56"/>
          <w:szCs w:val="56"/>
        </w:rPr>
        <w:t>青海省政府采购项目合同书</w:t>
      </w:r>
      <w:bookmarkEnd w:id="599"/>
      <w:bookmarkEnd w:id="600"/>
      <w:bookmarkEnd w:id="601"/>
      <w:bookmarkEnd w:id="602"/>
      <w:bookmarkEnd w:id="603"/>
      <w:bookmarkEnd w:id="604"/>
      <w:bookmarkEnd w:id="605"/>
      <w:bookmarkEnd w:id="606"/>
      <w:bookmarkEnd w:id="607"/>
    </w:p>
    <w:p w14:paraId="5E1DC721">
      <w:pPr>
        <w:spacing w:before="156" w:beforeLines="50" w:line="560" w:lineRule="exact"/>
        <w:jc w:val="center"/>
        <w:rPr>
          <w:rFonts w:hint="eastAsia" w:asciiTheme="minorEastAsia" w:hAnsiTheme="minorEastAsia" w:eastAsiaTheme="minorEastAsia" w:cstheme="minorEastAsia"/>
          <w:bCs/>
          <w:sz w:val="32"/>
          <w:szCs w:val="32"/>
        </w:rPr>
      </w:pPr>
    </w:p>
    <w:p w14:paraId="2458555C">
      <w:pPr>
        <w:spacing w:before="156" w:beforeLines="50" w:line="560" w:lineRule="exact"/>
        <w:ind w:firstLine="640" w:firstLineChars="200"/>
        <w:rPr>
          <w:rFonts w:hint="eastAsia" w:asciiTheme="minorEastAsia" w:hAnsiTheme="minorEastAsia" w:eastAsiaTheme="minorEastAsia" w:cstheme="minorEastAsia"/>
          <w:bCs/>
          <w:sz w:val="32"/>
          <w:szCs w:val="32"/>
        </w:rPr>
      </w:pPr>
    </w:p>
    <w:p w14:paraId="62C75BD8">
      <w:pPr>
        <w:pStyle w:val="15"/>
        <w:rPr>
          <w:rFonts w:hint="eastAsia" w:asciiTheme="minorEastAsia" w:hAnsiTheme="minorEastAsia" w:eastAsiaTheme="minorEastAsia" w:cstheme="minorEastAsia"/>
          <w:bCs/>
          <w:sz w:val="32"/>
          <w:szCs w:val="32"/>
        </w:rPr>
      </w:pPr>
    </w:p>
    <w:p w14:paraId="184B74FF">
      <w:pPr>
        <w:pStyle w:val="15"/>
        <w:rPr>
          <w:rFonts w:hint="eastAsia" w:asciiTheme="minorEastAsia" w:hAnsiTheme="minorEastAsia" w:eastAsiaTheme="minorEastAsia" w:cstheme="minorEastAsia"/>
          <w:bCs/>
          <w:sz w:val="32"/>
          <w:szCs w:val="32"/>
        </w:rPr>
      </w:pPr>
    </w:p>
    <w:p w14:paraId="7F7A2968">
      <w:pPr>
        <w:pStyle w:val="15"/>
        <w:rPr>
          <w:rFonts w:hint="eastAsia" w:asciiTheme="minorEastAsia" w:hAnsiTheme="minorEastAsia" w:eastAsiaTheme="minorEastAsia" w:cstheme="minorEastAsia"/>
          <w:bCs/>
          <w:sz w:val="32"/>
          <w:szCs w:val="32"/>
        </w:rPr>
      </w:pPr>
    </w:p>
    <w:p w14:paraId="522C7B6F">
      <w:pPr>
        <w:pStyle w:val="15"/>
        <w:rPr>
          <w:rFonts w:hint="eastAsia" w:asciiTheme="minorEastAsia" w:hAnsiTheme="minorEastAsia" w:eastAsiaTheme="minorEastAsia" w:cstheme="minorEastAsia"/>
          <w:bCs/>
          <w:sz w:val="32"/>
          <w:szCs w:val="32"/>
        </w:rPr>
      </w:pPr>
    </w:p>
    <w:p w14:paraId="057FC81D">
      <w:pPr>
        <w:spacing w:before="156" w:beforeLines="50" w:line="560" w:lineRule="exact"/>
        <w:ind w:left="2527" w:leftChars="266" w:hanging="1968" w:hangingChars="700"/>
        <w:rPr>
          <w:rFonts w:hint="default" w:asciiTheme="minorEastAsia" w:hAnsiTheme="minorEastAsia" w:eastAsiaTheme="minorEastAsia" w:cstheme="minorEastAsia"/>
          <w:bCs/>
          <w:spacing w:val="-6"/>
          <w:sz w:val="28"/>
          <w:szCs w:val="28"/>
          <w:u w:val="single"/>
          <w:lang w:val="en-US" w:eastAsia="zh-CN"/>
        </w:rPr>
      </w:pPr>
      <w:bookmarkStart w:id="608" w:name="_Toc18140_WPSOffice_Level1"/>
      <w:bookmarkStart w:id="609" w:name="_Toc19373_WPSOffice_Level1"/>
      <w:bookmarkStart w:id="610" w:name="_Toc23338_WPSOffice_Level1"/>
      <w:bookmarkStart w:id="611" w:name="_Toc23548_WPSOffice_Level1"/>
      <w:r>
        <w:rPr>
          <w:rFonts w:hint="eastAsia" w:asciiTheme="minorEastAsia" w:hAnsiTheme="minorEastAsia" w:eastAsiaTheme="minorEastAsia" w:cstheme="minorEastAsia"/>
          <w:b/>
          <w:bCs w:val="0"/>
          <w:sz w:val="28"/>
          <w:szCs w:val="28"/>
        </w:rPr>
        <w:t>采购项目名称</w:t>
      </w:r>
      <w:r>
        <w:rPr>
          <w:rFonts w:hint="eastAsia" w:asciiTheme="minorEastAsia" w:hAnsiTheme="minorEastAsia" w:eastAsiaTheme="minorEastAsia" w:cstheme="minorEastAsia"/>
          <w:bCs/>
          <w:sz w:val="28"/>
          <w:szCs w:val="28"/>
        </w:rPr>
        <w:t>：</w:t>
      </w:r>
      <w:bookmarkEnd w:id="608"/>
      <w:bookmarkEnd w:id="609"/>
      <w:bookmarkEnd w:id="610"/>
      <w:bookmarkEnd w:id="611"/>
      <w:r>
        <w:rPr>
          <w:rFonts w:hint="eastAsia" w:asciiTheme="minorEastAsia" w:hAnsiTheme="minorEastAsia" w:eastAsiaTheme="minorEastAsia" w:cstheme="minorEastAsia"/>
          <w:bCs/>
          <w:spacing w:val="-6"/>
          <w:sz w:val="28"/>
          <w:szCs w:val="28"/>
          <w:u w:val="single"/>
          <w:lang w:val="en-US" w:eastAsia="zh-CN"/>
        </w:rPr>
        <w:t xml:space="preserve"> 德令哈市2024年国有林管护项目管护设施设备采购      </w:t>
      </w:r>
    </w:p>
    <w:p w14:paraId="5D3FA215">
      <w:pPr>
        <w:spacing w:before="156" w:beforeLines="50" w:line="560" w:lineRule="exact"/>
        <w:ind w:firstLine="562" w:firstLineChars="200"/>
        <w:rPr>
          <w:rFonts w:hint="eastAsia" w:asciiTheme="minorEastAsia" w:hAnsiTheme="minorEastAsia" w:eastAsiaTheme="minorEastAsia" w:cstheme="minorEastAsia"/>
          <w:bCs/>
          <w:sz w:val="28"/>
          <w:szCs w:val="28"/>
          <w:u w:val="single"/>
        </w:rPr>
      </w:pPr>
      <w:bookmarkStart w:id="612" w:name="_Toc19950_WPSOffice_Level1"/>
      <w:bookmarkStart w:id="613" w:name="_Toc2770_WPSOffice_Level1"/>
      <w:bookmarkStart w:id="614" w:name="_Toc2957_WPSOffice_Level1"/>
      <w:bookmarkStart w:id="615" w:name="_Toc20437_WPSOffice_Level1"/>
      <w:r>
        <w:rPr>
          <w:rFonts w:hint="eastAsia" w:asciiTheme="minorEastAsia" w:hAnsiTheme="minorEastAsia" w:eastAsiaTheme="minorEastAsia" w:cstheme="minorEastAsia"/>
          <w:b/>
          <w:bCs w:val="0"/>
          <w:sz w:val="28"/>
          <w:szCs w:val="28"/>
        </w:rPr>
        <w:t>采购项目编号</w:t>
      </w:r>
      <w:r>
        <w:rPr>
          <w:rFonts w:hint="eastAsia" w:asciiTheme="minorEastAsia" w:hAnsiTheme="minorEastAsia" w:eastAsiaTheme="minorEastAsia" w:cstheme="minorEastAsia"/>
          <w:bCs/>
          <w:sz w:val="28"/>
          <w:szCs w:val="28"/>
        </w:rPr>
        <w:t>：</w:t>
      </w:r>
      <w:bookmarkEnd w:id="612"/>
      <w:bookmarkEnd w:id="613"/>
      <w:bookmarkEnd w:id="614"/>
      <w:bookmarkEnd w:id="615"/>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城建招标竞谈（货物）2024-059</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rPr>
        <w:t xml:space="preserve">                                           </w:t>
      </w:r>
    </w:p>
    <w:p w14:paraId="08277DDC">
      <w:pPr>
        <w:spacing w:before="156" w:beforeLines="50" w:line="560" w:lineRule="exact"/>
        <w:ind w:firstLine="562" w:firstLineChars="200"/>
        <w:rPr>
          <w:rFonts w:hint="eastAsia" w:asciiTheme="minorEastAsia" w:hAnsiTheme="minorEastAsia" w:eastAsiaTheme="minorEastAsia" w:cstheme="minorEastAsia"/>
          <w:bCs/>
          <w:sz w:val="28"/>
          <w:szCs w:val="28"/>
        </w:rPr>
      </w:pPr>
      <w:bookmarkStart w:id="616" w:name="_Toc3022_WPSOffice_Level1"/>
      <w:bookmarkStart w:id="617" w:name="_Toc1998_WPSOffice_Level1"/>
      <w:bookmarkStart w:id="618" w:name="_Toc19490_WPSOffice_Level1"/>
      <w:bookmarkStart w:id="619" w:name="_Toc31508_WPSOffice_Level1"/>
      <w:r>
        <w:rPr>
          <w:rFonts w:hint="eastAsia" w:asciiTheme="minorEastAsia" w:hAnsiTheme="minorEastAsia" w:eastAsiaTheme="minorEastAsia" w:cstheme="minorEastAsia"/>
          <w:b/>
          <w:bCs w:val="0"/>
          <w:sz w:val="28"/>
          <w:szCs w:val="28"/>
        </w:rPr>
        <w:t>采购合同编号</w:t>
      </w:r>
      <w:r>
        <w:rPr>
          <w:rFonts w:hint="eastAsia" w:asciiTheme="minorEastAsia" w:hAnsiTheme="minorEastAsia" w:eastAsiaTheme="minorEastAsia" w:cstheme="minorEastAsia"/>
          <w:bCs/>
          <w:sz w:val="28"/>
          <w:szCs w:val="28"/>
        </w:rPr>
        <w:t>：</w:t>
      </w:r>
      <w:bookmarkEnd w:id="616"/>
      <w:bookmarkEnd w:id="617"/>
      <w:bookmarkEnd w:id="618"/>
      <w:bookmarkEnd w:id="619"/>
      <w:r>
        <w:rPr>
          <w:rFonts w:hint="eastAsia" w:asciiTheme="minorEastAsia" w:hAnsiTheme="minorEastAsia" w:eastAsiaTheme="minorEastAsia" w:cstheme="minorEastAsia"/>
          <w:bCs/>
          <w:sz w:val="28"/>
          <w:szCs w:val="28"/>
          <w:u w:val="single"/>
          <w:lang w:val="en-US" w:eastAsia="zh-CN"/>
        </w:rPr>
        <w:tab/>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rPr>
        <w:t xml:space="preserve">                                               </w:t>
      </w:r>
    </w:p>
    <w:p w14:paraId="5C95FFB4">
      <w:pPr>
        <w:spacing w:before="156" w:beforeLines="50" w:line="560" w:lineRule="exact"/>
        <w:ind w:firstLine="562" w:firstLineChars="200"/>
        <w:rPr>
          <w:rFonts w:hint="eastAsia" w:asciiTheme="minorEastAsia" w:hAnsiTheme="minorEastAsia" w:eastAsiaTheme="minorEastAsia" w:cstheme="minorEastAsia"/>
          <w:bCs/>
          <w:sz w:val="28"/>
          <w:szCs w:val="28"/>
        </w:rPr>
      </w:pPr>
      <w:bookmarkStart w:id="620" w:name="_Toc24942_WPSOffice_Level1"/>
      <w:bookmarkStart w:id="621" w:name="_Toc8063_WPSOffice_Level1"/>
      <w:bookmarkStart w:id="622" w:name="_Toc5994_WPSOffice_Level1"/>
      <w:bookmarkStart w:id="623" w:name="_Toc2711_WPSOffice_Level1"/>
      <w:r>
        <w:rPr>
          <w:rFonts w:hint="eastAsia" w:asciiTheme="minorEastAsia" w:hAnsiTheme="minorEastAsia" w:eastAsiaTheme="minorEastAsia" w:cstheme="minorEastAsia"/>
          <w:b/>
          <w:bCs w:val="0"/>
          <w:sz w:val="28"/>
          <w:szCs w:val="28"/>
        </w:rPr>
        <w:t>合同金额（人民币）</w:t>
      </w:r>
      <w:r>
        <w:rPr>
          <w:rFonts w:hint="eastAsia" w:asciiTheme="minorEastAsia" w:hAnsiTheme="minorEastAsia" w:eastAsiaTheme="minorEastAsia" w:cstheme="minorEastAsia"/>
          <w:bCs/>
          <w:sz w:val="28"/>
          <w:szCs w:val="28"/>
        </w:rPr>
        <w:t>：</w:t>
      </w:r>
      <w:bookmarkEnd w:id="620"/>
      <w:bookmarkEnd w:id="621"/>
      <w:bookmarkEnd w:id="622"/>
      <w:bookmarkEnd w:id="623"/>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rPr>
        <w:t xml:space="preserve">                                  </w:t>
      </w:r>
    </w:p>
    <w:p w14:paraId="0C9B9820">
      <w:pPr>
        <w:spacing w:before="156" w:beforeLines="50" w:line="560" w:lineRule="exact"/>
        <w:ind w:left="2698" w:leftChars="304" w:hanging="2060" w:hangingChars="733"/>
        <w:jc w:val="left"/>
        <w:rPr>
          <w:rFonts w:hint="eastAsia" w:asciiTheme="minorEastAsia" w:hAnsiTheme="minorEastAsia" w:eastAsiaTheme="minorEastAsia" w:cstheme="minorEastAsia"/>
          <w:bCs/>
          <w:sz w:val="28"/>
          <w:szCs w:val="28"/>
        </w:rPr>
      </w:pPr>
      <w:bookmarkStart w:id="624" w:name="_Toc31793_WPSOffice_Level1"/>
      <w:bookmarkStart w:id="625" w:name="_Toc10610_WPSOffice_Level1"/>
      <w:bookmarkStart w:id="626" w:name="_Toc3522_WPSOffice_Level1"/>
      <w:bookmarkStart w:id="627" w:name="_Toc6126_WPSOffice_Level1"/>
      <w:r>
        <w:rPr>
          <w:rFonts w:hint="eastAsia" w:asciiTheme="minorEastAsia" w:hAnsiTheme="minorEastAsia" w:eastAsiaTheme="minorEastAsia" w:cstheme="minorEastAsia"/>
          <w:b/>
          <w:bCs w:val="0"/>
          <w:sz w:val="28"/>
          <w:szCs w:val="28"/>
        </w:rPr>
        <w:t>采购单位（甲方）</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rPr>
        <w:t>（盖章）</w:t>
      </w:r>
      <w:bookmarkEnd w:id="624"/>
      <w:bookmarkEnd w:id="625"/>
      <w:bookmarkEnd w:id="626"/>
      <w:bookmarkEnd w:id="627"/>
    </w:p>
    <w:p w14:paraId="08E88ED5">
      <w:pPr>
        <w:spacing w:before="156" w:beforeLines="50" w:line="560" w:lineRule="exact"/>
        <w:ind w:left="2698" w:leftChars="304" w:hanging="2060" w:hangingChars="733"/>
        <w:jc w:val="left"/>
        <w:rPr>
          <w:rFonts w:hint="eastAsia" w:asciiTheme="minorEastAsia" w:hAnsiTheme="minorEastAsia" w:eastAsiaTheme="minorEastAsia" w:cstheme="minorEastAsia"/>
          <w:bCs/>
          <w:sz w:val="28"/>
          <w:szCs w:val="28"/>
        </w:rPr>
      </w:pPr>
      <w:bookmarkStart w:id="628" w:name="_Toc7246_WPSOffice_Level1"/>
      <w:bookmarkStart w:id="629" w:name="_Toc22516_WPSOffice_Level1"/>
      <w:bookmarkStart w:id="630" w:name="_Toc382_WPSOffice_Level1"/>
      <w:bookmarkStart w:id="631" w:name="_Toc14960_WPSOffice_Level1"/>
      <w:r>
        <w:rPr>
          <w:rFonts w:hint="eastAsia" w:asciiTheme="minorEastAsia" w:hAnsiTheme="minorEastAsia" w:eastAsiaTheme="minorEastAsia" w:cstheme="minorEastAsia"/>
          <w:b/>
          <w:bCs w:val="0"/>
          <w:sz w:val="28"/>
          <w:szCs w:val="28"/>
        </w:rPr>
        <w:t>成交供应商（乙方）</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rPr>
        <w:t>（盖章）</w:t>
      </w:r>
      <w:bookmarkEnd w:id="628"/>
      <w:bookmarkEnd w:id="629"/>
      <w:bookmarkEnd w:id="630"/>
      <w:bookmarkEnd w:id="631"/>
    </w:p>
    <w:p w14:paraId="5D458305">
      <w:pPr>
        <w:spacing w:before="156" w:beforeLines="50" w:line="560" w:lineRule="exact"/>
        <w:ind w:left="2698" w:leftChars="304" w:hanging="2060" w:hangingChars="733"/>
        <w:jc w:val="left"/>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28"/>
          <w:szCs w:val="28"/>
        </w:rPr>
        <w:t>采  购  日  期</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u w:val="single"/>
          <w:lang w:eastAsia="zh-CN"/>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lang w:eastAsia="zh-CN"/>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lang w:eastAsia="zh-CN"/>
        </w:rPr>
        <w:t xml:space="preserve">    </w:t>
      </w:r>
      <w:r>
        <w:rPr>
          <w:rFonts w:hint="eastAsia" w:asciiTheme="minorEastAsia" w:hAnsiTheme="minorEastAsia" w:eastAsiaTheme="minorEastAsia" w:cstheme="minorEastAsia"/>
          <w:bCs/>
          <w:sz w:val="32"/>
          <w:szCs w:val="32"/>
        </w:rPr>
        <w:br w:type="page"/>
      </w:r>
    </w:p>
    <w:p w14:paraId="63F05ED7">
      <w:pPr>
        <w:autoSpaceDE w:val="0"/>
        <w:autoSpaceDN w:val="0"/>
        <w:adjustRightInd w:val="0"/>
        <w:spacing w:line="360" w:lineRule="auto"/>
        <w:jc w:val="left"/>
        <w:rPr>
          <w:rFonts w:hint="eastAsia" w:ascii="宋体" w:hAnsi="宋体" w:cs="宋体"/>
          <w:b/>
          <w:bCs/>
          <w:color w:val="000000"/>
          <w:kern w:val="0"/>
          <w:sz w:val="24"/>
          <w:szCs w:val="24"/>
        </w:rPr>
      </w:pPr>
      <w:r>
        <w:rPr>
          <w:rFonts w:hint="eastAsia" w:ascii="宋体" w:hAnsi="宋体" w:cs="宋体"/>
          <w:b/>
          <w:bCs/>
          <w:color w:val="000000"/>
          <w:kern w:val="0"/>
          <w:sz w:val="24"/>
          <w:szCs w:val="24"/>
          <w:lang w:val="zh-CN"/>
        </w:rPr>
        <w:t>采</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购</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人（以下简称甲方）：</w:t>
      </w:r>
    </w:p>
    <w:p w14:paraId="1C13759C">
      <w:pPr>
        <w:autoSpaceDE w:val="0"/>
        <w:autoSpaceDN w:val="0"/>
        <w:adjustRightInd w:val="0"/>
        <w:spacing w:line="360" w:lineRule="auto"/>
        <w:rPr>
          <w:rFonts w:hint="eastAsia" w:ascii="宋体" w:hAnsi="宋体" w:cs="宋体"/>
          <w:color w:val="000000"/>
          <w:kern w:val="0"/>
          <w:sz w:val="24"/>
          <w:szCs w:val="24"/>
        </w:rPr>
      </w:pPr>
      <w:r>
        <w:rPr>
          <w:rFonts w:hint="eastAsia" w:ascii="宋体" w:hAnsi="宋体" w:cs="宋体"/>
          <w:b/>
          <w:bCs/>
          <w:color w:val="000000"/>
          <w:kern w:val="0"/>
          <w:sz w:val="24"/>
          <w:szCs w:val="24"/>
          <w:lang w:val="zh-CN"/>
        </w:rPr>
        <w:t>供 应 商（以下简称乙方）：</w:t>
      </w:r>
    </w:p>
    <w:p w14:paraId="7C0ECE88">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甲、乙双方根据XXXX年XX月XX日（采购项目名称）采购项目（采购项目编号）的谈判文件要求和采购代理机构出具的《成交通知书》，并经双方协商一致，签订本合同协议书。</w:t>
      </w:r>
    </w:p>
    <w:p w14:paraId="33CE4FCA">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一、签订本政府采购合同的依据</w:t>
      </w:r>
    </w:p>
    <w:p w14:paraId="1D91C802">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本政府采购合同所附下列文件是构成本政府采购合同不可分割的部分：</w:t>
      </w:r>
    </w:p>
    <w:p w14:paraId="10827775">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1.谈判文件；</w:t>
      </w:r>
    </w:p>
    <w:p w14:paraId="309A9AE7">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2.谈判文件的澄清、变更公告；</w:t>
      </w:r>
    </w:p>
    <w:p w14:paraId="0CA47D23">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3.中标人提交的响应文件；</w:t>
      </w:r>
    </w:p>
    <w:p w14:paraId="776E8DCE">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4.谈判文件中规定的政府采购合同通用条款；</w:t>
      </w:r>
    </w:p>
    <w:p w14:paraId="63EF9AAB">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5.成交通知书；</w:t>
      </w:r>
    </w:p>
    <w:p w14:paraId="511506AB">
      <w:pPr>
        <w:adjustRightInd w:val="0"/>
        <w:snapToGrid w:val="0"/>
        <w:spacing w:line="560" w:lineRule="exact"/>
        <w:ind w:left="279" w:leftChars="133" w:firstLine="240" w:firstLineChars="1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 xml:space="preserve">二、合同标的及金额                                      </w:t>
      </w:r>
      <w:r>
        <w:rPr>
          <w:rFonts w:hint="eastAsia" w:cs="仿宋_GB2312" w:asciiTheme="minorEastAsia" w:hAnsiTheme="minorEastAsia" w:eastAsiaTheme="minorEastAsia"/>
          <w:bCs/>
          <w:sz w:val="24"/>
          <w:szCs w:val="24"/>
          <w:lang w:val="en-US" w:eastAsia="zh-CN"/>
        </w:rPr>
        <w:t xml:space="preserve">    </w:t>
      </w:r>
    </w:p>
    <w:tbl>
      <w:tblPr>
        <w:tblStyle w:val="16"/>
        <w:tblW w:w="9288" w:type="dxa"/>
        <w:jc w:val="center"/>
        <w:tblLayout w:type="fixed"/>
        <w:tblCellMar>
          <w:top w:w="0" w:type="dxa"/>
          <w:left w:w="108" w:type="dxa"/>
          <w:bottom w:w="0" w:type="dxa"/>
          <w:right w:w="108" w:type="dxa"/>
        </w:tblCellMar>
      </w:tblPr>
      <w:tblGrid>
        <w:gridCol w:w="468"/>
        <w:gridCol w:w="1203"/>
        <w:gridCol w:w="5606"/>
        <w:gridCol w:w="684"/>
        <w:gridCol w:w="390"/>
        <w:gridCol w:w="506"/>
        <w:gridCol w:w="431"/>
      </w:tblGrid>
      <w:tr w14:paraId="459733E2">
        <w:tblPrEx>
          <w:tblCellMar>
            <w:top w:w="0" w:type="dxa"/>
            <w:left w:w="108" w:type="dxa"/>
            <w:bottom w:w="0" w:type="dxa"/>
            <w:right w:w="108" w:type="dxa"/>
          </w:tblCellMar>
        </w:tblPrEx>
        <w:trPr>
          <w:cantSplit/>
          <w:trHeight w:val="663"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72C14860">
            <w:pPr>
              <w:autoSpaceDE w:val="0"/>
              <w:autoSpaceDN w:val="0"/>
              <w:adjustRightIn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包号</w:t>
            </w:r>
          </w:p>
        </w:tc>
        <w:tc>
          <w:tcPr>
            <w:tcW w:w="1203" w:type="dxa"/>
            <w:tcBorders>
              <w:top w:val="single" w:color="auto" w:sz="4" w:space="0"/>
              <w:left w:val="single" w:color="auto" w:sz="4" w:space="0"/>
              <w:bottom w:val="single" w:color="auto" w:sz="4" w:space="0"/>
              <w:right w:val="single" w:color="auto" w:sz="4" w:space="0"/>
            </w:tcBorders>
            <w:vAlign w:val="center"/>
          </w:tcPr>
          <w:p w14:paraId="592D157C">
            <w:pPr>
              <w:autoSpaceDE w:val="0"/>
              <w:autoSpaceDN w:val="0"/>
              <w:adjustRightIn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标的名称</w:t>
            </w:r>
          </w:p>
        </w:tc>
        <w:tc>
          <w:tcPr>
            <w:tcW w:w="5606" w:type="dxa"/>
            <w:tcBorders>
              <w:top w:val="single" w:color="auto" w:sz="4" w:space="0"/>
              <w:left w:val="single" w:color="auto" w:sz="4" w:space="0"/>
              <w:bottom w:val="single" w:color="auto" w:sz="4" w:space="0"/>
              <w:right w:val="single" w:color="auto" w:sz="4" w:space="0"/>
            </w:tcBorders>
            <w:vAlign w:val="center"/>
          </w:tcPr>
          <w:p w14:paraId="5CADA884">
            <w:pPr>
              <w:autoSpaceDE w:val="0"/>
              <w:autoSpaceDN w:val="0"/>
              <w:adjustRightIn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规格型号</w:t>
            </w:r>
          </w:p>
        </w:tc>
        <w:tc>
          <w:tcPr>
            <w:tcW w:w="684" w:type="dxa"/>
            <w:tcBorders>
              <w:top w:val="single" w:color="auto" w:sz="4" w:space="0"/>
              <w:left w:val="single" w:color="auto" w:sz="4" w:space="0"/>
              <w:bottom w:val="single" w:color="auto" w:sz="4" w:space="0"/>
              <w:right w:val="single" w:color="auto" w:sz="4" w:space="0"/>
            </w:tcBorders>
            <w:vAlign w:val="center"/>
          </w:tcPr>
          <w:p w14:paraId="0886FCFB">
            <w:pPr>
              <w:autoSpaceDE w:val="0"/>
              <w:autoSpaceDN w:val="0"/>
              <w:adjustRightIn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数量</w:t>
            </w:r>
          </w:p>
        </w:tc>
        <w:tc>
          <w:tcPr>
            <w:tcW w:w="390" w:type="dxa"/>
            <w:tcBorders>
              <w:top w:val="single" w:color="auto" w:sz="4" w:space="0"/>
              <w:left w:val="single" w:color="auto" w:sz="4" w:space="0"/>
              <w:bottom w:val="single" w:color="auto" w:sz="4" w:space="0"/>
              <w:right w:val="single" w:color="auto" w:sz="4" w:space="0"/>
            </w:tcBorders>
            <w:vAlign w:val="center"/>
          </w:tcPr>
          <w:p w14:paraId="3E096088">
            <w:pPr>
              <w:autoSpaceDE w:val="0"/>
              <w:autoSpaceDN w:val="0"/>
              <w:adjustRightIn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单价</w:t>
            </w:r>
          </w:p>
        </w:tc>
        <w:tc>
          <w:tcPr>
            <w:tcW w:w="506" w:type="dxa"/>
            <w:tcBorders>
              <w:top w:val="single" w:color="auto" w:sz="4" w:space="0"/>
              <w:left w:val="single" w:color="auto" w:sz="4" w:space="0"/>
              <w:bottom w:val="single" w:color="auto" w:sz="4" w:space="0"/>
              <w:right w:val="single" w:color="auto" w:sz="4" w:space="0"/>
            </w:tcBorders>
            <w:vAlign w:val="center"/>
          </w:tcPr>
          <w:p w14:paraId="016BDEC2">
            <w:pPr>
              <w:autoSpaceDE w:val="0"/>
              <w:autoSpaceDN w:val="0"/>
              <w:adjustRightIn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总价</w:t>
            </w:r>
          </w:p>
        </w:tc>
        <w:tc>
          <w:tcPr>
            <w:tcW w:w="431" w:type="dxa"/>
            <w:tcBorders>
              <w:top w:val="single" w:color="auto" w:sz="4" w:space="0"/>
              <w:left w:val="single" w:color="auto" w:sz="4" w:space="0"/>
              <w:bottom w:val="single" w:color="auto" w:sz="4" w:space="0"/>
              <w:right w:val="single" w:color="auto" w:sz="4" w:space="0"/>
            </w:tcBorders>
            <w:vAlign w:val="center"/>
          </w:tcPr>
          <w:p w14:paraId="1A6F2E39">
            <w:pPr>
              <w:autoSpaceDE w:val="0"/>
              <w:autoSpaceDN w:val="0"/>
              <w:adjustRightIn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备注</w:t>
            </w:r>
          </w:p>
        </w:tc>
      </w:tr>
      <w:tr w14:paraId="045BAA1D">
        <w:tblPrEx>
          <w:tblCellMar>
            <w:top w:w="0" w:type="dxa"/>
            <w:left w:w="108" w:type="dxa"/>
            <w:bottom w:w="0" w:type="dxa"/>
            <w:right w:w="108" w:type="dxa"/>
          </w:tblCellMar>
        </w:tblPrEx>
        <w:trPr>
          <w:cantSplit/>
          <w:trHeight w:val="335" w:hRule="atLeast"/>
          <w:jc w:val="center"/>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1BD616D5">
            <w:pPr>
              <w:autoSpaceDE w:val="0"/>
              <w:autoSpaceDN w:val="0"/>
              <w:adjustRightInd w:val="0"/>
              <w:spacing w:line="360" w:lineRule="auto"/>
              <w:rPr>
                <w:rFonts w:hint="eastAsia" w:ascii="宋体" w:hAnsi="宋体" w:cs="宋体"/>
                <w:kern w:val="0"/>
                <w:sz w:val="24"/>
                <w:highlight w:val="none"/>
                <w:lang w:val="zh-CN"/>
              </w:rPr>
            </w:pP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14:paraId="3013ED18">
            <w:pPr>
              <w:autoSpaceDE w:val="0"/>
              <w:autoSpaceDN w:val="0"/>
              <w:adjustRightInd w:val="0"/>
              <w:spacing w:line="360" w:lineRule="auto"/>
              <w:rPr>
                <w:rFonts w:hint="eastAsia" w:ascii="宋体" w:hAnsi="宋体" w:cs="宋体"/>
                <w:kern w:val="0"/>
                <w:sz w:val="24"/>
                <w:highlight w:val="none"/>
                <w:lang w:val="zh-CN"/>
              </w:rPr>
            </w:pPr>
          </w:p>
        </w:tc>
        <w:tc>
          <w:tcPr>
            <w:tcW w:w="5606" w:type="dxa"/>
            <w:tcBorders>
              <w:top w:val="single" w:color="auto" w:sz="4" w:space="0"/>
              <w:left w:val="single" w:color="auto" w:sz="4" w:space="0"/>
              <w:bottom w:val="single" w:color="auto" w:sz="4" w:space="0"/>
              <w:right w:val="single" w:color="auto" w:sz="4" w:space="0"/>
            </w:tcBorders>
            <w:shd w:val="clear" w:color="auto" w:fill="auto"/>
            <w:vAlign w:val="center"/>
          </w:tcPr>
          <w:p w14:paraId="3BD8CDCC">
            <w:pPr>
              <w:autoSpaceDE w:val="0"/>
              <w:autoSpaceDN w:val="0"/>
              <w:adjustRightInd w:val="0"/>
              <w:spacing w:line="360" w:lineRule="auto"/>
              <w:rPr>
                <w:rFonts w:hint="eastAsia" w:ascii="宋体" w:hAnsi="宋体" w:cs="宋体"/>
                <w:kern w:val="0"/>
                <w:sz w:val="24"/>
                <w:highlight w:val="none"/>
                <w:lang w:val="zh-CN" w:eastAsia="zh-CN"/>
              </w:rPr>
            </w:pP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2E84C60E">
            <w:pPr>
              <w:autoSpaceDE w:val="0"/>
              <w:autoSpaceDN w:val="0"/>
              <w:adjustRightInd w:val="0"/>
              <w:spacing w:line="360" w:lineRule="auto"/>
              <w:rPr>
                <w:rFonts w:hint="eastAsia" w:ascii="宋体" w:hAnsi="宋体" w:cs="宋体"/>
                <w:kern w:val="0"/>
                <w:sz w:val="24"/>
                <w:highlight w:val="none"/>
                <w:lang w:val="zh-CN" w:eastAsia="zh-CN"/>
              </w:rPr>
            </w:pPr>
          </w:p>
        </w:tc>
        <w:tc>
          <w:tcPr>
            <w:tcW w:w="390" w:type="dxa"/>
            <w:tcBorders>
              <w:top w:val="single" w:color="auto" w:sz="4" w:space="0"/>
              <w:left w:val="single" w:color="auto" w:sz="4" w:space="0"/>
              <w:bottom w:val="single" w:color="auto" w:sz="4" w:space="0"/>
              <w:right w:val="single" w:color="auto" w:sz="4" w:space="0"/>
            </w:tcBorders>
            <w:shd w:val="clear" w:color="auto" w:fill="auto"/>
            <w:vAlign w:val="center"/>
          </w:tcPr>
          <w:p w14:paraId="33E13914">
            <w:pPr>
              <w:autoSpaceDE w:val="0"/>
              <w:autoSpaceDN w:val="0"/>
              <w:adjustRightInd w:val="0"/>
              <w:spacing w:line="360" w:lineRule="auto"/>
              <w:rPr>
                <w:rFonts w:hint="eastAsia" w:ascii="宋体" w:hAnsi="宋体" w:cs="宋体"/>
                <w:kern w:val="0"/>
                <w:sz w:val="24"/>
                <w:highlight w:val="none"/>
                <w:lang w:val="zh-CN" w:eastAsia="zh-CN"/>
              </w:rPr>
            </w:pPr>
          </w:p>
        </w:tc>
        <w:tc>
          <w:tcPr>
            <w:tcW w:w="506" w:type="dxa"/>
            <w:tcBorders>
              <w:top w:val="single" w:color="auto" w:sz="4" w:space="0"/>
              <w:left w:val="single" w:color="auto" w:sz="4" w:space="0"/>
              <w:bottom w:val="single" w:color="auto" w:sz="4" w:space="0"/>
              <w:right w:val="single" w:color="auto" w:sz="4" w:space="0"/>
            </w:tcBorders>
            <w:shd w:val="clear" w:color="auto" w:fill="auto"/>
            <w:vAlign w:val="center"/>
          </w:tcPr>
          <w:p w14:paraId="09EE7083">
            <w:pPr>
              <w:autoSpaceDE w:val="0"/>
              <w:autoSpaceDN w:val="0"/>
              <w:adjustRightInd w:val="0"/>
              <w:spacing w:line="360" w:lineRule="auto"/>
              <w:rPr>
                <w:rFonts w:hint="eastAsia" w:ascii="宋体" w:hAnsi="宋体" w:cs="宋体"/>
                <w:kern w:val="0"/>
                <w:sz w:val="24"/>
                <w:highlight w:val="none"/>
                <w:lang w:val="zh-CN" w:eastAsia="zh-CN"/>
              </w:rPr>
            </w:pPr>
          </w:p>
        </w:tc>
        <w:tc>
          <w:tcPr>
            <w:tcW w:w="431" w:type="dxa"/>
            <w:tcBorders>
              <w:top w:val="single" w:color="auto" w:sz="4" w:space="0"/>
              <w:left w:val="single" w:color="auto" w:sz="4" w:space="0"/>
              <w:bottom w:val="single" w:color="auto" w:sz="4" w:space="0"/>
              <w:right w:val="single" w:color="auto" w:sz="4" w:space="0"/>
            </w:tcBorders>
            <w:shd w:val="clear" w:color="auto" w:fill="auto"/>
            <w:vAlign w:val="center"/>
          </w:tcPr>
          <w:p w14:paraId="3457B15F">
            <w:pPr>
              <w:autoSpaceDE w:val="0"/>
              <w:autoSpaceDN w:val="0"/>
              <w:adjustRightInd w:val="0"/>
              <w:spacing w:line="360" w:lineRule="auto"/>
              <w:rPr>
                <w:rFonts w:hint="eastAsia" w:ascii="宋体" w:hAnsi="宋体" w:cs="宋体"/>
                <w:kern w:val="0"/>
                <w:sz w:val="24"/>
                <w:highlight w:val="none"/>
                <w:lang w:val="zh-CN"/>
              </w:rPr>
            </w:pPr>
          </w:p>
        </w:tc>
      </w:tr>
    </w:tbl>
    <w:p w14:paraId="7536301F">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根据上述政府采购合同文件要求，本政府采购合同的总金额为人民币</w:t>
      </w:r>
      <w:r>
        <w:rPr>
          <w:rFonts w:hint="eastAsia" w:cs="仿宋_GB2312" w:asciiTheme="minorEastAsia" w:hAnsiTheme="minorEastAsia" w:eastAsiaTheme="minorEastAsia"/>
          <w:bCs/>
          <w:sz w:val="24"/>
          <w:szCs w:val="24"/>
        </w:rPr>
        <w:t xml:space="preserve">           </w:t>
      </w:r>
    </w:p>
    <w:p w14:paraId="6201006B">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（大写）                 元。</w:t>
      </w:r>
    </w:p>
    <w:p w14:paraId="5393F993">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本合同以人民币进行结算，合同总价包括：产品费、验收费、手续费、包装费、运输费、保险费、安装费、调试费、售前、售中、售后服务费、招标代理费、税金及不可预见费等全部费用。</w:t>
      </w:r>
    </w:p>
    <w:p w14:paraId="2796E960">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三、交付时间、地点和要求</w:t>
      </w:r>
    </w:p>
    <w:p w14:paraId="4058D8A0">
      <w:pPr>
        <w:adjustRightInd w:val="0"/>
        <w:snapToGrid w:val="0"/>
        <w:spacing w:line="560" w:lineRule="exact"/>
        <w:ind w:firstLine="480" w:firstLineChars="200"/>
        <w:jc w:val="left"/>
        <w:rPr>
          <w:rFonts w:hint="default" w:cs="仿宋_GB2312" w:asciiTheme="minorEastAsia" w:hAnsiTheme="minorEastAsia" w:eastAsiaTheme="minorEastAsia"/>
          <w:bCs/>
          <w:sz w:val="24"/>
          <w:szCs w:val="24"/>
          <w:lang w:val="en-US" w:eastAsia="zh-CN"/>
        </w:rPr>
      </w:pPr>
      <w:r>
        <w:rPr>
          <w:rFonts w:hint="eastAsia" w:cs="仿宋_GB2312" w:asciiTheme="minorEastAsia" w:hAnsiTheme="minorEastAsia" w:eastAsiaTheme="minorEastAsia"/>
          <w:bCs/>
          <w:sz w:val="24"/>
          <w:szCs w:val="24"/>
        </w:rPr>
        <w:t>1.</w:t>
      </w:r>
      <w:r>
        <w:rPr>
          <w:rFonts w:hint="eastAsia" w:cs="仿宋_GB2312" w:asciiTheme="minorEastAsia" w:hAnsiTheme="minorEastAsia" w:eastAsiaTheme="minorEastAsia"/>
          <w:bCs/>
          <w:sz w:val="24"/>
          <w:szCs w:val="24"/>
          <w:lang w:val="zh-CN"/>
        </w:rPr>
        <w:t>交货期：</w:t>
      </w:r>
      <w:r>
        <w:rPr>
          <w:rFonts w:hint="eastAsia" w:cs="仿宋_GB2312" w:asciiTheme="minorEastAsia" w:hAnsiTheme="minorEastAsia" w:eastAsiaTheme="minorEastAsia"/>
          <w:bCs/>
          <w:sz w:val="24"/>
          <w:szCs w:val="24"/>
          <w:u w:val="single"/>
          <w:lang w:val="en-US" w:eastAsia="zh-CN"/>
        </w:rPr>
        <w:t xml:space="preserve">       </w:t>
      </w:r>
      <w:r>
        <w:rPr>
          <w:rFonts w:hint="eastAsia" w:cs="仿宋_GB2312" w:asciiTheme="minorEastAsia" w:hAnsiTheme="minorEastAsia" w:eastAsiaTheme="minorEastAsia"/>
          <w:bCs/>
          <w:sz w:val="24"/>
          <w:szCs w:val="24"/>
          <w:lang w:val="en-US" w:eastAsia="zh-CN"/>
        </w:rPr>
        <w:t>。</w:t>
      </w:r>
    </w:p>
    <w:p w14:paraId="0A03D13D">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交货地点：</w:t>
      </w:r>
      <w:r>
        <w:rPr>
          <w:rFonts w:hint="eastAsia" w:cs="仿宋_GB2312" w:asciiTheme="minorEastAsia" w:hAnsiTheme="minorEastAsia" w:eastAsiaTheme="minorEastAsia"/>
          <w:bCs/>
          <w:sz w:val="24"/>
          <w:szCs w:val="24"/>
          <w:u w:val="single"/>
          <w:lang w:val="en-US" w:eastAsia="zh-CN"/>
        </w:rPr>
        <w:t xml:space="preserve">       </w:t>
      </w:r>
      <w:r>
        <w:rPr>
          <w:rFonts w:hint="eastAsia" w:cs="仿宋_GB2312" w:asciiTheme="minorEastAsia" w:hAnsiTheme="minorEastAsia" w:eastAsiaTheme="minorEastAsia"/>
          <w:bCs/>
          <w:sz w:val="24"/>
          <w:szCs w:val="24"/>
          <w:lang w:val="zh-CN"/>
        </w:rPr>
        <w:t>。</w:t>
      </w:r>
    </w:p>
    <w:p w14:paraId="3525D41C">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w:t>
      </w:r>
      <w:r>
        <w:rPr>
          <w:rFonts w:hint="eastAsia" w:cs="仿宋_GB2312" w:asciiTheme="minorEastAsia" w:hAnsiTheme="minorEastAsia" w:eastAsiaTheme="minorEastAsia"/>
          <w:bCs/>
          <w:sz w:val="24"/>
          <w:szCs w:val="24"/>
          <w:lang w:val="zh-CN"/>
        </w:rPr>
        <w:t>乙方提供不符合招响应文件和本合同规定的产品，甲方有权拒绝接受。</w:t>
      </w:r>
    </w:p>
    <w:p w14:paraId="6C84399C">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3.</w:t>
      </w:r>
      <w:r>
        <w:rPr>
          <w:rFonts w:hint="eastAsia" w:cs="仿宋_GB2312" w:asciiTheme="minorEastAsia" w:hAnsiTheme="minorEastAsia" w:eastAsiaTheme="minorEastAsia"/>
          <w:bCs/>
          <w:sz w:val="24"/>
          <w:szCs w:val="24"/>
          <w:lang w:val="zh-CN"/>
        </w:rPr>
        <w:t>乙方应将提供产品的装箱清单、用户手册、原厂保修卡、随机资料、工具和备品、备件等交付给甲方，如有缺失应及时补齐，否则视为逾期交货。</w:t>
      </w:r>
    </w:p>
    <w:p w14:paraId="03365A24">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4.</w:t>
      </w:r>
      <w:r>
        <w:rPr>
          <w:rFonts w:hint="eastAsia" w:cs="仿宋_GB2312" w:asciiTheme="minorEastAsia" w:hAnsiTheme="minorEastAsia" w:eastAsiaTheme="minorEastAsia"/>
          <w:bCs/>
          <w:sz w:val="24"/>
          <w:szCs w:val="24"/>
          <w:lang w:val="zh-CN"/>
        </w:rPr>
        <w:t>甲方应当在到货（安装、调试完）后</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个工作日内进行验收，逾期不验收的，乙方可视为验收合格。验收合格后，由甲乙双方签署产品验收单并加盖采购人公章，甲乙双方各执一份。</w:t>
      </w:r>
    </w:p>
    <w:p w14:paraId="214C4E01">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5.</w:t>
      </w:r>
      <w:r>
        <w:rPr>
          <w:rFonts w:hint="eastAsia" w:cs="仿宋_GB2312" w:asciiTheme="minorEastAsia" w:hAnsiTheme="minorEastAsia" w:eastAsiaTheme="minorEastAsia"/>
          <w:bCs/>
          <w:sz w:val="24"/>
          <w:szCs w:val="24"/>
          <w:lang w:val="zh-CN"/>
        </w:rPr>
        <w:t>甲方应提供该项目验收报告交同级财政监管部门，由财政部门按规定程序抽验后办理资金拨付。</w:t>
      </w:r>
    </w:p>
    <w:p w14:paraId="7C8DA331">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6.</w:t>
      </w:r>
      <w:r>
        <w:rPr>
          <w:rFonts w:hint="eastAsia" w:cs="仿宋_GB2312" w:asciiTheme="minorEastAsia" w:hAnsiTheme="minorEastAsia" w:eastAsiaTheme="minorEastAsia"/>
          <w:bCs/>
          <w:sz w:val="24"/>
          <w:szCs w:val="24"/>
          <w:lang w:val="zh-CN"/>
        </w:rPr>
        <w:t>甲方在验收过程中发现乙方有违约问题，可按招、响应文件的规定要求乙方及时予以解决。</w:t>
      </w:r>
    </w:p>
    <w:p w14:paraId="2E793032">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7.</w:t>
      </w:r>
      <w:r>
        <w:rPr>
          <w:rFonts w:hint="eastAsia" w:cs="仿宋_GB2312" w:asciiTheme="minorEastAsia" w:hAnsiTheme="minorEastAsia" w:eastAsiaTheme="minorEastAsia"/>
          <w:bCs/>
          <w:sz w:val="24"/>
          <w:szCs w:val="24"/>
          <w:lang w:val="zh-CN"/>
        </w:rPr>
        <w:t>乙方向甲方提供产品相关完税销售发票。</w:t>
      </w:r>
    </w:p>
    <w:p w14:paraId="050751F4">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四、付款方式（付款方式及金额由甲乙双方根据项目情况在签订合同时约定）</w:t>
      </w:r>
    </w:p>
    <w:p w14:paraId="6691DF2F">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甲乙双方签订合同后预付合同总价款的</w:t>
      </w:r>
      <w:r>
        <w:rPr>
          <w:rFonts w:hint="eastAsia" w:cs="仿宋_GB2312" w:asciiTheme="minorEastAsia" w:hAnsiTheme="minorEastAsia" w:eastAsiaTheme="minorEastAsia"/>
          <w:bCs/>
          <w:sz w:val="24"/>
          <w:szCs w:val="24"/>
          <w:u w:val="single"/>
          <w:lang w:val="en-US" w:eastAsia="zh-CN"/>
        </w:rPr>
        <w:t xml:space="preserve">      </w:t>
      </w:r>
      <w:r>
        <w:rPr>
          <w:rFonts w:hint="eastAsia" w:cs="仿宋_GB2312" w:asciiTheme="minorEastAsia" w:hAnsiTheme="minorEastAsia" w:eastAsiaTheme="minorEastAsia"/>
          <w:bCs/>
          <w:sz w:val="24"/>
          <w:szCs w:val="24"/>
          <w:lang w:val="zh-CN"/>
        </w:rPr>
        <w:t>，即人民币（大写）：</w:t>
      </w:r>
      <w:r>
        <w:rPr>
          <w:rFonts w:hint="eastAsia" w:cs="仿宋_GB2312" w:asciiTheme="minorEastAsia" w:hAnsiTheme="minorEastAsia" w:eastAsiaTheme="minorEastAsia"/>
          <w:bCs/>
          <w:sz w:val="24"/>
          <w:szCs w:val="24"/>
          <w:u w:val="single"/>
          <w:lang w:val="zh-CN"/>
        </w:rPr>
        <w:t xml:space="preserve">       </w:t>
      </w:r>
      <w:r>
        <w:rPr>
          <w:rFonts w:hint="eastAsia" w:cs="仿宋_GB2312" w:asciiTheme="minorEastAsia" w:hAnsiTheme="minorEastAsia" w:eastAsiaTheme="minorEastAsia"/>
          <w:bCs/>
          <w:sz w:val="24"/>
          <w:szCs w:val="24"/>
          <w:lang w:val="zh-CN"/>
        </w:rPr>
        <w:t>元。乙方交付的产品后支付合同总价款的</w:t>
      </w:r>
      <w:r>
        <w:rPr>
          <w:rFonts w:hint="eastAsia" w:cs="仿宋_GB2312" w:asciiTheme="minorEastAsia" w:hAnsiTheme="minorEastAsia" w:eastAsiaTheme="minorEastAsia"/>
          <w:bCs/>
          <w:sz w:val="24"/>
          <w:szCs w:val="24"/>
          <w:u w:val="single"/>
          <w:lang w:val="en-US" w:eastAsia="zh-CN"/>
        </w:rPr>
        <w:t xml:space="preserve">      </w:t>
      </w:r>
      <w:r>
        <w:rPr>
          <w:rFonts w:hint="eastAsia" w:cs="仿宋_GB2312" w:asciiTheme="minorEastAsia" w:hAnsiTheme="minorEastAsia" w:eastAsiaTheme="minorEastAsia"/>
          <w:bCs/>
          <w:sz w:val="24"/>
          <w:szCs w:val="24"/>
          <w:lang w:val="zh-CN"/>
        </w:rPr>
        <w:t>，即人民币（大写）：</w:t>
      </w:r>
      <w:r>
        <w:rPr>
          <w:rFonts w:hint="eastAsia" w:cs="仿宋_GB2312" w:asciiTheme="minorEastAsia" w:hAnsiTheme="minorEastAsia" w:eastAsiaTheme="minorEastAsia"/>
          <w:bCs/>
          <w:sz w:val="24"/>
          <w:szCs w:val="24"/>
          <w:u w:val="single"/>
          <w:lang w:val="zh-CN"/>
        </w:rPr>
        <w:t xml:space="preserve">  </w:t>
      </w:r>
      <w:r>
        <w:rPr>
          <w:rFonts w:hint="eastAsia" w:cs="仿宋_GB2312" w:asciiTheme="minorEastAsia" w:hAnsiTheme="minorEastAsia" w:eastAsiaTheme="minorEastAsia"/>
          <w:bCs/>
          <w:sz w:val="24"/>
          <w:szCs w:val="24"/>
          <w:u w:val="single"/>
          <w:lang w:val="en-US" w:eastAsia="zh-CN"/>
        </w:rPr>
        <w:t xml:space="preserve">  </w:t>
      </w:r>
      <w:r>
        <w:rPr>
          <w:rFonts w:hint="eastAsia" w:cs="仿宋_GB2312" w:asciiTheme="minorEastAsia" w:hAnsiTheme="minorEastAsia" w:eastAsiaTheme="minorEastAsia"/>
          <w:bCs/>
          <w:sz w:val="24"/>
          <w:szCs w:val="24"/>
          <w:u w:val="single"/>
          <w:lang w:val="zh-CN"/>
        </w:rPr>
        <w:t xml:space="preserve"> </w:t>
      </w:r>
      <w:r>
        <w:rPr>
          <w:rFonts w:hint="eastAsia" w:cs="仿宋_GB2312" w:asciiTheme="minorEastAsia" w:hAnsiTheme="minorEastAsia" w:eastAsiaTheme="minorEastAsia"/>
          <w:bCs/>
          <w:sz w:val="24"/>
          <w:szCs w:val="24"/>
          <w:lang w:val="zh-CN"/>
        </w:rPr>
        <w:t>元。剩余合同总价款的</w:t>
      </w:r>
      <w:r>
        <w:rPr>
          <w:rFonts w:hint="eastAsia" w:cs="仿宋_GB2312" w:asciiTheme="minorEastAsia" w:hAnsiTheme="minorEastAsia" w:eastAsiaTheme="minorEastAsia"/>
          <w:bCs/>
          <w:sz w:val="24"/>
          <w:szCs w:val="24"/>
          <w:lang w:val="en-US" w:eastAsia="zh-CN"/>
        </w:rPr>
        <w:t>% ，</w:t>
      </w:r>
      <w:r>
        <w:rPr>
          <w:rFonts w:hint="eastAsia" w:cs="仿宋_GB2312" w:asciiTheme="minorEastAsia" w:hAnsiTheme="minorEastAsia" w:eastAsiaTheme="minorEastAsia"/>
          <w:bCs/>
          <w:sz w:val="24"/>
          <w:szCs w:val="24"/>
          <w:lang w:val="zh-CN"/>
        </w:rPr>
        <w:t>即人民币（大写）</w:t>
      </w:r>
      <w:r>
        <w:rPr>
          <w:rFonts w:hint="eastAsia" w:cs="仿宋_GB2312" w:asciiTheme="minorEastAsia" w:hAnsiTheme="minorEastAsia" w:eastAsiaTheme="minorEastAsia"/>
          <w:bCs/>
          <w:sz w:val="24"/>
          <w:szCs w:val="24"/>
          <w:u w:val="single"/>
          <w:lang w:val="zh-CN"/>
        </w:rPr>
        <w:t xml:space="preserve">      </w:t>
      </w:r>
      <w:r>
        <w:rPr>
          <w:rFonts w:hint="eastAsia" w:cs="仿宋_GB2312" w:asciiTheme="minorEastAsia" w:hAnsiTheme="minorEastAsia" w:eastAsiaTheme="minorEastAsia"/>
          <w:bCs/>
          <w:sz w:val="24"/>
          <w:szCs w:val="24"/>
          <w:lang w:val="zh-CN"/>
        </w:rPr>
        <w:t>元转为质量保证金。质量保证金待约定的免费质保期满一（年）且产品无质量问题后，由乙方提出书面申请，甲方以转账方式予以退还。</w:t>
      </w:r>
    </w:p>
    <w:p w14:paraId="030322C1">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五、合同的变更、终止与转让</w:t>
      </w:r>
    </w:p>
    <w:p w14:paraId="0DD31D84">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w:t>
      </w:r>
      <w:r>
        <w:rPr>
          <w:rFonts w:hint="eastAsia" w:cs="仿宋_GB2312" w:asciiTheme="minorEastAsia" w:hAnsiTheme="minorEastAsia" w:eastAsiaTheme="minorEastAsia"/>
          <w:bCs/>
          <w:sz w:val="24"/>
          <w:szCs w:val="24"/>
          <w:lang w:val="zh-CN"/>
        </w:rPr>
        <w:t>除《中华人民共和国政府采购法》第</w:t>
      </w:r>
      <w:r>
        <w:rPr>
          <w:rFonts w:hint="eastAsia" w:cs="仿宋_GB2312" w:asciiTheme="minorEastAsia" w:hAnsiTheme="minorEastAsia" w:eastAsiaTheme="minorEastAsia"/>
          <w:bCs/>
          <w:sz w:val="24"/>
          <w:szCs w:val="24"/>
        </w:rPr>
        <w:t>50</w:t>
      </w:r>
      <w:r>
        <w:rPr>
          <w:rFonts w:hint="eastAsia" w:cs="仿宋_GB2312" w:asciiTheme="minorEastAsia" w:hAnsiTheme="minorEastAsia" w:eastAsiaTheme="minorEastAsia"/>
          <w:bCs/>
          <w:sz w:val="24"/>
          <w:szCs w:val="24"/>
          <w:lang w:val="zh-CN"/>
        </w:rPr>
        <w:t>条规定的情形外，本合同一经签订，甲乙双方不得擅自变更、中止或终止。</w:t>
      </w:r>
    </w:p>
    <w:p w14:paraId="05C99017">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w:t>
      </w:r>
      <w:r>
        <w:rPr>
          <w:rFonts w:hint="eastAsia" w:cs="仿宋_GB2312" w:asciiTheme="minorEastAsia" w:hAnsiTheme="minorEastAsia" w:eastAsiaTheme="minorEastAsia"/>
          <w:bCs/>
          <w:sz w:val="24"/>
          <w:szCs w:val="24"/>
          <w:lang w:val="zh-CN"/>
        </w:rPr>
        <w:t>乙方不得擅自转让其应履行的合同义务。</w:t>
      </w:r>
    </w:p>
    <w:p w14:paraId="548D8B0A">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六、违约责任</w:t>
      </w:r>
    </w:p>
    <w:p w14:paraId="4E94B94F">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w:t>
      </w:r>
      <w:r>
        <w:rPr>
          <w:rFonts w:hint="eastAsia" w:cs="仿宋_GB2312" w:asciiTheme="minorEastAsia" w:hAnsiTheme="minorEastAsia" w:eastAsiaTheme="minorEastAsia"/>
          <w:bCs/>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73A933E6">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w:t>
      </w:r>
      <w:r>
        <w:rPr>
          <w:rFonts w:hint="eastAsia" w:cs="仿宋_GB2312" w:asciiTheme="minorEastAsia" w:hAnsiTheme="minorEastAsia" w:eastAsiaTheme="minorEastAsia"/>
          <w:bCs/>
          <w:sz w:val="24"/>
          <w:szCs w:val="24"/>
          <w:lang w:val="zh-CN"/>
        </w:rPr>
        <w:t>乙方提供的货物如侵犯了第三方权益而引发纠纷或诉讼的，均由乙方负责交涉并承担全部责任。</w:t>
      </w:r>
    </w:p>
    <w:p w14:paraId="391530A7">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3.</w:t>
      </w:r>
      <w:r>
        <w:rPr>
          <w:rFonts w:hint="eastAsia" w:cs="仿宋_GB2312" w:asciiTheme="minorEastAsia" w:hAnsiTheme="minorEastAsia" w:eastAsiaTheme="minorEastAsia"/>
          <w:bCs/>
          <w:sz w:val="24"/>
          <w:szCs w:val="24"/>
          <w:lang w:val="zh-CN"/>
        </w:rPr>
        <w:t>因包装、运输引起的货物损坏，按质量不合格处罚。</w:t>
      </w:r>
    </w:p>
    <w:p w14:paraId="6FE06446">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4.</w:t>
      </w:r>
      <w:r>
        <w:rPr>
          <w:rFonts w:hint="eastAsia" w:cs="仿宋_GB2312" w:asciiTheme="minorEastAsia" w:hAnsiTheme="minorEastAsia" w:eastAsiaTheme="minorEastAsia"/>
          <w:bCs/>
          <w:sz w:val="24"/>
          <w:szCs w:val="24"/>
          <w:lang w:val="zh-CN"/>
        </w:rPr>
        <w:t>甲方无故延期接受货物和乙方逾期交货的，每天应向对方偿付未交货物的货款</w:t>
      </w:r>
      <w:r>
        <w:rPr>
          <w:rFonts w:hint="eastAsia" w:cs="仿宋_GB2312" w:asciiTheme="minorEastAsia" w:hAnsiTheme="minorEastAsia" w:eastAsiaTheme="minorEastAsia"/>
          <w:bCs/>
          <w:sz w:val="24"/>
          <w:szCs w:val="24"/>
          <w:lang w:val="en-US" w:eastAsia="zh-CN"/>
        </w:rPr>
        <w:t xml:space="preserve"> </w:t>
      </w:r>
      <w:r>
        <w:rPr>
          <w:rFonts w:hint="eastAsia" w:cs="仿宋_GB2312" w:asciiTheme="minorEastAsia" w:hAnsiTheme="minorEastAsia" w:eastAsiaTheme="minorEastAsia"/>
          <w:bCs/>
          <w:sz w:val="24"/>
          <w:szCs w:val="24"/>
          <w:u w:val="single"/>
          <w:lang w:val="en-US" w:eastAsia="zh-CN"/>
        </w:rPr>
        <w:t xml:space="preserve">    %</w:t>
      </w:r>
      <w:r>
        <w:rPr>
          <w:rFonts w:hint="eastAsia" w:cs="仿宋_GB2312" w:asciiTheme="minorEastAsia" w:hAnsiTheme="minorEastAsia" w:eastAsiaTheme="minorEastAsia"/>
          <w:bCs/>
          <w:sz w:val="24"/>
          <w:szCs w:val="24"/>
          <w:lang w:val="zh-CN"/>
        </w:rPr>
        <w:t>的违约金，但违约金累计不得超过违约货款的</w:t>
      </w:r>
      <w:r>
        <w:rPr>
          <w:rFonts w:hint="eastAsia" w:cs="仿宋_GB2312" w:asciiTheme="minorEastAsia" w:hAnsiTheme="minorEastAsia" w:eastAsiaTheme="minorEastAsia"/>
          <w:bCs/>
          <w:sz w:val="24"/>
          <w:szCs w:val="24"/>
          <w:u w:val="single"/>
          <w:lang w:val="en-US" w:eastAsia="zh-CN"/>
        </w:rPr>
        <w:t xml:space="preserve">    </w:t>
      </w:r>
      <w:r>
        <w:rPr>
          <w:rFonts w:hint="eastAsia" w:cs="仿宋_GB2312" w:asciiTheme="minorEastAsia" w:hAnsiTheme="minorEastAsia" w:eastAsiaTheme="minorEastAsia"/>
          <w:bCs/>
          <w:sz w:val="24"/>
          <w:szCs w:val="24"/>
          <w:lang w:val="en-US" w:eastAsia="zh-CN"/>
        </w:rPr>
        <w:t xml:space="preserve"> </w:t>
      </w:r>
      <w:r>
        <w:rPr>
          <w:rFonts w:hint="eastAsia" w:cs="仿宋_GB2312" w:asciiTheme="minorEastAsia" w:hAnsiTheme="minorEastAsia" w:eastAsiaTheme="minorEastAsia"/>
          <w:bCs/>
          <w:sz w:val="24"/>
          <w:szCs w:val="24"/>
        </w:rPr>
        <w:t>%</w:t>
      </w:r>
      <w:r>
        <w:rPr>
          <w:rFonts w:hint="eastAsia" w:cs="仿宋_GB2312" w:asciiTheme="minorEastAsia" w:hAnsiTheme="minorEastAsia" w:eastAsiaTheme="minorEastAsia"/>
          <w:bCs/>
          <w:sz w:val="24"/>
          <w:szCs w:val="24"/>
          <w:lang w:val="zh-CN"/>
        </w:rPr>
        <w:t>，超过</w:t>
      </w:r>
      <w:r>
        <w:rPr>
          <w:rFonts w:hint="eastAsia" w:cs="仿宋_GB2312" w:asciiTheme="minorEastAsia" w:hAnsiTheme="minorEastAsia" w:eastAsiaTheme="minorEastAsia"/>
          <w:bCs/>
          <w:sz w:val="24"/>
          <w:szCs w:val="24"/>
          <w:u w:val="single"/>
        </w:rPr>
        <w:t xml:space="preserve">    </w:t>
      </w:r>
      <w:r>
        <w:rPr>
          <w:rFonts w:hint="eastAsia" w:cs="仿宋_GB2312" w:asciiTheme="minorEastAsia" w:hAnsiTheme="minorEastAsia" w:eastAsiaTheme="minorEastAsia"/>
          <w:bCs/>
          <w:sz w:val="24"/>
          <w:szCs w:val="24"/>
          <w:lang w:val="zh-CN"/>
        </w:rPr>
        <w:t>天对方有权解除合同，违约方承担因此给对方造成的经济损失。</w:t>
      </w:r>
    </w:p>
    <w:p w14:paraId="37038319">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5.</w:t>
      </w:r>
      <w:r>
        <w:rPr>
          <w:rFonts w:hint="eastAsia" w:cs="仿宋_GB2312" w:asciiTheme="minorEastAsia" w:hAnsiTheme="minorEastAsia" w:eastAsiaTheme="minorEastAsia"/>
          <w:bCs/>
          <w:sz w:val="24"/>
          <w:szCs w:val="24"/>
          <w:lang w:val="zh-CN"/>
        </w:rPr>
        <w:t>乙方未按本合同和响应文件中规定的服务承诺提供售后服务的，乙方应按本合同合计金额的</w:t>
      </w:r>
      <w:r>
        <w:rPr>
          <w:rFonts w:hint="eastAsia" w:cs="仿宋_GB2312" w:asciiTheme="minorEastAsia" w:hAnsiTheme="minorEastAsia" w:eastAsiaTheme="minorEastAsia"/>
          <w:bCs/>
          <w:sz w:val="24"/>
          <w:szCs w:val="24"/>
        </w:rPr>
        <w:t>5%</w:t>
      </w:r>
      <w:r>
        <w:rPr>
          <w:rFonts w:hint="eastAsia" w:cs="仿宋_GB2312" w:asciiTheme="minorEastAsia" w:hAnsiTheme="minorEastAsia" w:eastAsiaTheme="minorEastAsia"/>
          <w:bCs/>
          <w:sz w:val="24"/>
          <w:szCs w:val="24"/>
          <w:lang w:val="zh-CN"/>
        </w:rPr>
        <w:t>向甲方支付违约金。</w:t>
      </w:r>
    </w:p>
    <w:p w14:paraId="5A9C6E78">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6.</w:t>
      </w:r>
      <w:r>
        <w:rPr>
          <w:rFonts w:hint="eastAsia" w:cs="仿宋_GB2312" w:asciiTheme="minorEastAsia" w:hAnsiTheme="minorEastAsia" w:eastAsiaTheme="minorEastAsia"/>
          <w:bCs/>
          <w:sz w:val="24"/>
          <w:szCs w:val="24"/>
          <w:lang w:val="zh-CN"/>
        </w:rPr>
        <w:t>乙方提供的货物在质量保证期内，因设计、工艺或材料的缺陷和其它质量原因造成的问题，由乙方负责，费用从履约保证金中扣除，不足另补。</w:t>
      </w:r>
    </w:p>
    <w:p w14:paraId="6E905F06">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7.</w:t>
      </w:r>
      <w:r>
        <w:rPr>
          <w:rFonts w:hint="eastAsia" w:cs="仿宋_GB2312" w:asciiTheme="minorEastAsia" w:hAnsiTheme="minorEastAsia" w:eastAsiaTheme="minorEastAsia"/>
          <w:bCs/>
          <w:sz w:val="24"/>
          <w:szCs w:val="24"/>
          <w:lang w:val="zh-CN"/>
        </w:rPr>
        <w:t>其它违约行为按违约货款额</w:t>
      </w:r>
      <w:r>
        <w:rPr>
          <w:rFonts w:hint="eastAsia" w:cs="仿宋_GB2312" w:asciiTheme="minorEastAsia" w:hAnsiTheme="minorEastAsia" w:eastAsiaTheme="minorEastAsia"/>
          <w:bCs/>
          <w:sz w:val="24"/>
          <w:szCs w:val="24"/>
        </w:rPr>
        <w:t>5%</w:t>
      </w:r>
      <w:r>
        <w:rPr>
          <w:rFonts w:hint="eastAsia" w:cs="仿宋_GB2312" w:asciiTheme="minorEastAsia" w:hAnsiTheme="minorEastAsia" w:eastAsiaTheme="minorEastAsia"/>
          <w:bCs/>
          <w:sz w:val="24"/>
          <w:szCs w:val="24"/>
          <w:lang w:val="zh-CN"/>
        </w:rPr>
        <w:t>收取违约金并赔偿经济损失。</w:t>
      </w:r>
    </w:p>
    <w:p w14:paraId="5097EED7">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七、不可抗力</w:t>
      </w:r>
    </w:p>
    <w:p w14:paraId="13AC5D38">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不可抗力使合同的某些内容有变更必要的，双方应通过协商在</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天内达成进一步履行合同的协议，因不可抗力致使合同不能履行的，合同终止。</w:t>
      </w:r>
    </w:p>
    <w:p w14:paraId="6024083D">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八、知识产权：详见合同通用条款</w:t>
      </w:r>
    </w:p>
    <w:p w14:paraId="7C00A97A">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九、其他约定：</w:t>
      </w:r>
    </w:p>
    <w:p w14:paraId="3AB217E1">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十、合同争议解决</w:t>
      </w:r>
    </w:p>
    <w:p w14:paraId="05F9A37C">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w:t>
      </w:r>
      <w:r>
        <w:rPr>
          <w:rFonts w:hint="eastAsia" w:cs="仿宋_GB2312" w:asciiTheme="minorEastAsia" w:hAnsiTheme="minorEastAsia" w:eastAsiaTheme="minorEastAsia"/>
          <w:bCs/>
          <w:sz w:val="24"/>
          <w:szCs w:val="24"/>
          <w:lang w:val="zh-CN"/>
        </w:rPr>
        <w:t>因产品质量问题发生争议的，应邀请国家认可的质量检测机构进行鉴定。产品符合标准的，鉴定费由甲方承担；产品不符合标准的，鉴定费由乙方承担。</w:t>
      </w:r>
    </w:p>
    <w:p w14:paraId="0C38F4DE">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w:t>
      </w:r>
      <w:r>
        <w:rPr>
          <w:rFonts w:hint="eastAsia" w:cs="仿宋_GB2312" w:asciiTheme="minorEastAsia" w:hAnsiTheme="minorEastAsia" w:eastAsiaTheme="minorEastAsia"/>
          <w:bCs/>
          <w:sz w:val="24"/>
          <w:szCs w:val="24"/>
          <w:lang w:val="zh-CN"/>
        </w:rPr>
        <w:t>因履行本合同引起的或与本合同有关的争议，甲乙双方应首先通过友好协商解决，如果协商不能解决，可向甲方所在地仲裁委员会申请仲裁或向甲方所在地人民法院提起诉讼。</w:t>
      </w:r>
    </w:p>
    <w:p w14:paraId="353B6230">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3.</w:t>
      </w:r>
      <w:r>
        <w:rPr>
          <w:rFonts w:hint="eastAsia" w:cs="仿宋_GB2312" w:asciiTheme="minorEastAsia" w:hAnsiTheme="minorEastAsia" w:eastAsiaTheme="minorEastAsia"/>
          <w:bCs/>
          <w:sz w:val="24"/>
          <w:szCs w:val="24"/>
          <w:lang w:val="zh-CN"/>
        </w:rPr>
        <w:t>诉讼期间，本合同继续履行。</w:t>
      </w:r>
    </w:p>
    <w:p w14:paraId="64AF1AEE">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十一、合同生效及其它</w:t>
      </w:r>
      <w:r>
        <w:rPr>
          <w:rFonts w:hint="eastAsia" w:cs="仿宋_GB2312" w:asciiTheme="minorEastAsia" w:hAnsiTheme="minorEastAsia" w:eastAsiaTheme="minorEastAsia"/>
          <w:bCs/>
          <w:sz w:val="24"/>
          <w:szCs w:val="24"/>
        </w:rPr>
        <w:t>：</w:t>
      </w:r>
    </w:p>
    <w:p w14:paraId="5BD5497D">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w:t>
      </w:r>
      <w:r>
        <w:rPr>
          <w:rFonts w:hint="eastAsia" w:cs="仿宋_GB2312" w:asciiTheme="minorEastAsia" w:hAnsiTheme="minorEastAsia" w:eastAsiaTheme="minorEastAsia"/>
          <w:bCs/>
          <w:sz w:val="24"/>
          <w:szCs w:val="24"/>
          <w:lang w:val="zh-CN"/>
        </w:rPr>
        <w:t>本合同一式八份，经双方签字，并加盖公章即为生效。</w:t>
      </w:r>
    </w:p>
    <w:p w14:paraId="613B200A">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w:t>
      </w:r>
      <w:r>
        <w:rPr>
          <w:rFonts w:hint="eastAsia" w:cs="仿宋_GB2312" w:asciiTheme="minorEastAsia" w:hAnsiTheme="minorEastAsia" w:eastAsiaTheme="minorEastAsia"/>
          <w:bCs/>
          <w:sz w:val="24"/>
          <w:szCs w:val="24"/>
          <w:lang w:val="zh-CN"/>
        </w:rPr>
        <w:t>本合同未尽事宜，按经济合同法有关规定处理。</w:t>
      </w:r>
    </w:p>
    <w:p w14:paraId="2AE965AA">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rPr>
        <w:t>3.</w:t>
      </w:r>
      <w:r>
        <w:rPr>
          <w:rFonts w:hint="eastAsia" w:cs="仿宋_GB2312" w:asciiTheme="minorEastAsia" w:hAnsiTheme="minorEastAsia" w:eastAsiaTheme="minorEastAsia"/>
          <w:bCs/>
          <w:sz w:val="24"/>
          <w:szCs w:val="24"/>
          <w:lang w:val="zh-CN"/>
        </w:rPr>
        <w:t>本合同的组成包含《合同通用条款》。</w:t>
      </w:r>
    </w:p>
    <w:p w14:paraId="77579AE7">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甲方（盖章）：</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乙方（盖章）：</w:t>
      </w:r>
    </w:p>
    <w:p w14:paraId="6D0B0697">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法定代表人或委托代理人</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法定代表人或委托代理人</w:t>
      </w:r>
      <w:r>
        <w:rPr>
          <w:rFonts w:hint="eastAsia" w:cs="仿宋_GB2312" w:asciiTheme="minorEastAsia" w:hAnsiTheme="minorEastAsia" w:eastAsiaTheme="minorEastAsia"/>
          <w:bCs/>
          <w:sz w:val="24"/>
          <w:szCs w:val="24"/>
        </w:rPr>
        <w:t>：</w:t>
      </w:r>
    </w:p>
    <w:p w14:paraId="50255C0F">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开户银行：</w:t>
      </w:r>
    </w:p>
    <w:p w14:paraId="47283B23">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账号：</w:t>
      </w:r>
    </w:p>
    <w:p w14:paraId="4647AD1C">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地址：</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地址：</w:t>
      </w:r>
    </w:p>
    <w:p w14:paraId="201F5CC1">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联系电话：</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联系电话：</w:t>
      </w:r>
    </w:p>
    <w:p w14:paraId="7022DD9A">
      <w:pPr>
        <w:adjustRightInd w:val="0"/>
        <w:snapToGrid w:val="0"/>
        <w:spacing w:line="560" w:lineRule="exact"/>
        <w:ind w:firstLine="2880" w:firstLineChars="1200"/>
        <w:jc w:val="left"/>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rPr>
        <w:t>签约时间：</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年</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月</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日</w:t>
      </w:r>
    </w:p>
    <w:p w14:paraId="4FAD41C0">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采购代理机构：</w:t>
      </w:r>
    </w:p>
    <w:p w14:paraId="1AA6C048">
      <w:pPr>
        <w:adjustRightInd w:val="0"/>
        <w:snapToGrid w:val="0"/>
        <w:spacing w:line="560" w:lineRule="exact"/>
        <w:ind w:firstLine="480" w:firstLineChars="200"/>
        <w:jc w:val="left"/>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负责人或经办人：</w:t>
      </w:r>
      <w:r>
        <w:rPr>
          <w:rFonts w:hint="eastAsia" w:cs="仿宋_GB2312" w:asciiTheme="minorEastAsia" w:hAnsiTheme="minorEastAsia" w:eastAsiaTheme="minorEastAsia"/>
          <w:bCs/>
          <w:sz w:val="24"/>
          <w:szCs w:val="24"/>
          <w:lang w:val="en-US" w:eastAsia="zh-CN"/>
        </w:rPr>
        <w:t xml:space="preserve">             </w:t>
      </w:r>
      <w:r>
        <w:rPr>
          <w:rFonts w:hint="eastAsia" w:cs="仿宋_GB2312" w:asciiTheme="minorEastAsia" w:hAnsiTheme="minorEastAsia" w:eastAsiaTheme="minorEastAsia"/>
          <w:bCs/>
          <w:sz w:val="24"/>
          <w:szCs w:val="24"/>
          <w:lang w:val="zh-CN"/>
        </w:rPr>
        <w:t>时间：</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年</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月</w:t>
      </w:r>
      <w:r>
        <w:rPr>
          <w:rFonts w:hint="eastAsia" w:cs="仿宋_GB2312" w:asciiTheme="minorEastAsia" w:hAnsiTheme="minorEastAsia" w:eastAsiaTheme="minorEastAsia"/>
          <w:bCs/>
          <w:sz w:val="24"/>
          <w:szCs w:val="24"/>
        </w:rPr>
        <w:t xml:space="preserve">    </w:t>
      </w:r>
      <w:r>
        <w:rPr>
          <w:rFonts w:hint="eastAsia" w:cs="仿宋_GB2312" w:asciiTheme="minorEastAsia" w:hAnsiTheme="minorEastAsia" w:eastAsiaTheme="minorEastAsia"/>
          <w:bCs/>
          <w:sz w:val="24"/>
          <w:szCs w:val="24"/>
          <w:lang w:val="zh-CN"/>
        </w:rPr>
        <w:t>日</w:t>
      </w:r>
    </w:p>
    <w:p w14:paraId="344F79ED">
      <w:pPr>
        <w:rPr>
          <w:rFonts w:hint="eastAsia"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br w:type="page"/>
      </w:r>
    </w:p>
    <w:p w14:paraId="75712ED2">
      <w:pPr>
        <w:adjustRightInd w:val="0"/>
        <w:snapToGrid w:val="0"/>
        <w:spacing w:line="560" w:lineRule="exact"/>
        <w:ind w:firstLine="480" w:firstLineChars="200"/>
        <w:jc w:val="center"/>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合同通用条款</w:t>
      </w:r>
    </w:p>
    <w:p w14:paraId="1CF425F5">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根据《民法典》、《中华人民共和国政府采购法》的规定，合同双方经协商达成一致，自愿订立本合同，遵循公平原则明确双方的权利、义务，确保双方诚实守信地履行合同。</w:t>
      </w:r>
    </w:p>
    <w:p w14:paraId="20C77F2D">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32" w:name="_Toc20198_WPSOffice_Level2"/>
      <w:bookmarkStart w:id="633" w:name="_Toc26412_WPSOffice_Level2"/>
      <w:bookmarkStart w:id="634" w:name="_Toc22507_WPSOffice_Level2"/>
      <w:r>
        <w:rPr>
          <w:rFonts w:hint="eastAsia" w:cs="仿宋_GB2312" w:asciiTheme="minorEastAsia" w:hAnsiTheme="minorEastAsia" w:eastAsiaTheme="minorEastAsia"/>
          <w:bCs/>
          <w:sz w:val="24"/>
          <w:szCs w:val="24"/>
        </w:rPr>
        <w:t>1.定义</w:t>
      </w:r>
      <w:bookmarkEnd w:id="632"/>
      <w:bookmarkEnd w:id="633"/>
      <w:bookmarkEnd w:id="634"/>
    </w:p>
    <w:p w14:paraId="66637D81">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本合同中的下列术语应解释为：</w:t>
      </w:r>
    </w:p>
    <w:p w14:paraId="6F479647">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 “合同”指甲乙双方签署的、载明的甲乙双方权利义务的协议，包括所有的附件、附录和上述文件所提到的构成合同的所有文件。</w:t>
      </w:r>
    </w:p>
    <w:p w14:paraId="78ADA039">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1.2 “合同金额”指根据合同规定，乙方在正确地完全履行合同义务后甲方应付给乙方的价款。</w:t>
      </w:r>
    </w:p>
    <w:p w14:paraId="70AA7634">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1.3 “合同条款”指本合同条款。</w:t>
      </w:r>
    </w:p>
    <w:p w14:paraId="2541C6C9">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1.4 “货物”指乙方根据合同约定须向甲方提供的一切产品、设备、机械、仪表、备件等，包括辅助工具、使用手册等相关资料。</w:t>
      </w:r>
    </w:p>
    <w:p w14:paraId="57642D52">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1.5 “服务”指根据本合同规定乙方承担与供货有关的辅助服务，如运输、保险及安装、调试、提供技术援助、培训和合同中规定乙方应承担的其它义务。</w:t>
      </w:r>
    </w:p>
    <w:p w14:paraId="78B4F4D4">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1.6 “甲方”指购买货物和服务的单位。</w:t>
      </w:r>
    </w:p>
    <w:p w14:paraId="32704DA3">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1.7 “乙方”指提供本合同条款下货物和服务的公司或其他实体。</w:t>
      </w:r>
    </w:p>
    <w:p w14:paraId="7B908812">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1.8 “现场”指合同规定货物将要运至和安装的地点。</w:t>
      </w:r>
    </w:p>
    <w:p w14:paraId="2ACE0766">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1.9 “验收”指合同双方依据强制性的国家技术质量规范和合同约定，确认合同条款下的货物符合合同规定的活动。</w:t>
      </w:r>
    </w:p>
    <w:p w14:paraId="2CCCA9FC">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1.10原厂商：产品制造商或其在中国境内设立的办事或技术服务机构。除另有说明外，本合同文件所述的制造商、产品制造商、制造厂家、产品制造厂家均为原厂商。</w:t>
      </w:r>
    </w:p>
    <w:p w14:paraId="797A20E8">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1.11 原产地：指产品的生产地，或提供服务的来源地。</w:t>
      </w:r>
    </w:p>
    <w:p w14:paraId="61BED759">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1.12 “工作日”指国家法定工作日，“天”指日历天数。</w:t>
      </w:r>
    </w:p>
    <w:p w14:paraId="15A8DE33">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35" w:name="_Toc21237_WPSOffice_Level2"/>
      <w:bookmarkStart w:id="636" w:name="_Toc9343_WPSOffice_Level2"/>
      <w:bookmarkStart w:id="637" w:name="_Toc20210_WPSOffice_Level2"/>
      <w:r>
        <w:rPr>
          <w:rFonts w:hint="eastAsia" w:cs="仿宋_GB2312" w:asciiTheme="minorEastAsia" w:hAnsiTheme="minorEastAsia" w:eastAsiaTheme="minorEastAsia"/>
          <w:bCs/>
          <w:sz w:val="24"/>
          <w:szCs w:val="24"/>
        </w:rPr>
        <w:t>2.技术规格要求</w:t>
      </w:r>
      <w:bookmarkEnd w:id="635"/>
      <w:bookmarkEnd w:id="636"/>
      <w:bookmarkEnd w:id="637"/>
    </w:p>
    <w:p w14:paraId="11727FCF">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2.1 本合同条款下提交货物的技术规格要求应等于或优于谈判文件、谈判响应文件技术规格要求。若技术规格要求中无相应规定，则应符合相应的国家有关部门最新颁布的相应正式标准。</w:t>
      </w:r>
    </w:p>
    <w:p w14:paraId="36C34085">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2.2 乙方应向甲方提供货物及服务有关的标准的中文文本。</w:t>
      </w:r>
    </w:p>
    <w:p w14:paraId="0B6D9F82">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2.3 除非技术规范中另有规定，计量单位均采用中华人民共和国法定计量单位。</w:t>
      </w:r>
    </w:p>
    <w:p w14:paraId="4C2F0599">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38" w:name="_Toc23823_WPSOffice_Level2"/>
      <w:bookmarkStart w:id="639" w:name="_Toc26773_WPSOffice_Level2"/>
      <w:bookmarkStart w:id="640" w:name="_Toc415_WPSOffice_Level2"/>
      <w:r>
        <w:rPr>
          <w:rFonts w:hint="eastAsia" w:cs="仿宋_GB2312" w:asciiTheme="minorEastAsia" w:hAnsiTheme="minorEastAsia" w:eastAsiaTheme="minorEastAsia"/>
          <w:bCs/>
          <w:sz w:val="24"/>
          <w:szCs w:val="24"/>
        </w:rPr>
        <w:t>3.合同范围</w:t>
      </w:r>
      <w:bookmarkEnd w:id="638"/>
      <w:bookmarkEnd w:id="639"/>
      <w:bookmarkEnd w:id="640"/>
    </w:p>
    <w:p w14:paraId="60A7055C">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01A63BB3">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3.2 乙方应负责培训甲方的技术人员。</w:t>
      </w:r>
    </w:p>
    <w:p w14:paraId="1085A7EF">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2587F203">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41" w:name="_Toc1426_WPSOffice_Level2"/>
      <w:bookmarkStart w:id="642" w:name="_Toc22989_WPSOffice_Level2"/>
      <w:bookmarkStart w:id="643" w:name="_Toc27544_WPSOffice_Level2"/>
      <w:r>
        <w:rPr>
          <w:rFonts w:hint="eastAsia" w:cs="仿宋_GB2312" w:asciiTheme="minorEastAsia" w:hAnsiTheme="minorEastAsia" w:eastAsiaTheme="minorEastAsia"/>
          <w:bCs/>
          <w:sz w:val="24"/>
          <w:szCs w:val="24"/>
        </w:rPr>
        <w:t>4.合同文件和资料</w:t>
      </w:r>
      <w:bookmarkEnd w:id="641"/>
      <w:bookmarkEnd w:id="642"/>
      <w:bookmarkEnd w:id="643"/>
    </w:p>
    <w:p w14:paraId="1970CD98">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4.1乙方在提供仪器设备时应同时提供中文版相关的技术资料，如目录索引、图纸、操作手册、使用指南、维修指南、服务手册等。</w:t>
      </w:r>
    </w:p>
    <w:p w14:paraId="371F5C27">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D87979C">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44" w:name="_Toc14802_WPSOffice_Level2"/>
      <w:bookmarkStart w:id="645" w:name="_Toc18584_WPSOffice_Level2"/>
      <w:bookmarkStart w:id="646" w:name="_Toc23784_WPSOffice_Level2"/>
      <w:r>
        <w:rPr>
          <w:rFonts w:hint="eastAsia" w:cs="仿宋_GB2312" w:asciiTheme="minorEastAsia" w:hAnsiTheme="minorEastAsia" w:eastAsiaTheme="minorEastAsia"/>
          <w:bCs/>
          <w:sz w:val="24"/>
          <w:szCs w:val="24"/>
        </w:rPr>
        <w:t>5.知识产权</w:t>
      </w:r>
      <w:bookmarkEnd w:id="644"/>
      <w:bookmarkEnd w:id="645"/>
      <w:bookmarkEnd w:id="646"/>
    </w:p>
    <w:p w14:paraId="5FE2BD33">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5.1乙方应保证甲方在使用该货物或其任何一部分时不受第三方提出的侵犯专利权、 著作权、商标权和工业设计权等的起诉。</w:t>
      </w:r>
    </w:p>
    <w:p w14:paraId="4FA05EAA">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5.2任何第三方提出侵权指控，乙方须与第三方交涉并承担由此产生的一切责任、费用和经济赔偿。</w:t>
      </w:r>
    </w:p>
    <w:p w14:paraId="26202E63">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5.3双方应共同遵守国家有关版权、专利、商标等知识产权方面的法律规定，相互尊重对方的知识产权，对本合同内容、对方的技术秘密和商业秘密负有保密责任。如有违反，违约方负相关法律责任。</w:t>
      </w:r>
    </w:p>
    <w:p w14:paraId="0A661F2B">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5.4在本合同生效时已经存在并为各方合法拥有或使用的所有技术、资料和信息的知识产权，仍应属于其各自的原权利人所有或享有，另有约定的除外。</w:t>
      </w:r>
    </w:p>
    <w:p w14:paraId="4013E6EC">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B9C73DF">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47" w:name="_Toc22229_WPSOffice_Level2"/>
      <w:bookmarkStart w:id="648" w:name="_Toc25026_WPSOffice_Level2"/>
      <w:bookmarkStart w:id="649" w:name="_Toc13395_WPSOffice_Level2"/>
      <w:r>
        <w:rPr>
          <w:rFonts w:hint="eastAsia" w:cs="仿宋_GB2312" w:asciiTheme="minorEastAsia" w:hAnsiTheme="minorEastAsia" w:eastAsiaTheme="minorEastAsia"/>
          <w:bCs/>
          <w:sz w:val="24"/>
          <w:szCs w:val="24"/>
        </w:rPr>
        <w:t>6.保密</w:t>
      </w:r>
      <w:bookmarkEnd w:id="647"/>
      <w:bookmarkEnd w:id="648"/>
      <w:bookmarkEnd w:id="649"/>
    </w:p>
    <w:p w14:paraId="59B199A3">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0A0B58AC">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6.2保密信息指任何一方因履行本合同所知悉的任何以口头、书面、图表或电子形式存在的对方信息，具体包括：</w:t>
      </w:r>
    </w:p>
    <w:p w14:paraId="440C8E50">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6.2.1任何涉及对方过去、现在或将来的商业计划、规章制度、操作规程、处理手段、财务信息；</w:t>
      </w:r>
    </w:p>
    <w:p w14:paraId="0CAA3A1C">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6.2.2任何对方的技术措施、技术方案、软件应用及开发，硬件设备的品种、质量、数量、品牌等；</w:t>
      </w:r>
    </w:p>
    <w:p w14:paraId="60F60F72">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6.2.3任何对方的技术秘密或专有知识、文件 、报告、数据、客户软件、流程图、数据库、发明、知识、贸易秘密。</w:t>
      </w:r>
    </w:p>
    <w:p w14:paraId="7B1EAB1B">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6.3乙方应根据甲方的要求签署相应的保密协议，保密协议与本条款存在不一致的，以保密协议为准。</w:t>
      </w:r>
    </w:p>
    <w:p w14:paraId="7E130363">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50" w:name="_Toc12645_WPSOffice_Level2"/>
      <w:bookmarkStart w:id="651" w:name="_Toc23853_WPSOffice_Level2"/>
      <w:bookmarkStart w:id="652" w:name="_Toc6752_WPSOffice_Level2"/>
      <w:r>
        <w:rPr>
          <w:rFonts w:hint="eastAsia" w:cs="仿宋_GB2312" w:asciiTheme="minorEastAsia" w:hAnsiTheme="minorEastAsia" w:eastAsiaTheme="minorEastAsia"/>
          <w:bCs/>
          <w:sz w:val="24"/>
          <w:szCs w:val="24"/>
        </w:rPr>
        <w:t>7. 质量保证</w:t>
      </w:r>
      <w:bookmarkEnd w:id="650"/>
      <w:bookmarkEnd w:id="651"/>
      <w:bookmarkEnd w:id="652"/>
    </w:p>
    <w:p w14:paraId="4D1395A2">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53" w:name="_Toc26729_WPSOffice_Level3"/>
      <w:bookmarkStart w:id="654" w:name="_Toc8450_WPSOffice_Level3"/>
      <w:r>
        <w:rPr>
          <w:rFonts w:hint="eastAsia" w:cs="仿宋_GB2312" w:asciiTheme="minorEastAsia" w:hAnsiTheme="minorEastAsia" w:eastAsiaTheme="minorEastAsia"/>
          <w:bCs/>
          <w:sz w:val="24"/>
          <w:szCs w:val="24"/>
        </w:rPr>
        <w:t>7.1货物质量保证</w:t>
      </w:r>
      <w:bookmarkEnd w:id="653"/>
      <w:bookmarkEnd w:id="654"/>
    </w:p>
    <w:p w14:paraId="091124D2">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7.1.1乙方必须保证货物是全新、未使用过的，并完全符合强制性的国家技术质量规范和合同规定的质量、规格、性能和技术规范等的要求。</w:t>
      </w:r>
    </w:p>
    <w:p w14:paraId="005AFB64">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C975BF0">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904E4BC">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5F20396">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7.1.5 合同条款下货物的质量保证期自货物通过最终验收起算，合同另行规定除外。</w:t>
      </w:r>
    </w:p>
    <w:p w14:paraId="11FE1BD3">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55" w:name="_Toc18945_WPSOffice_Level3"/>
      <w:bookmarkStart w:id="656" w:name="_Toc9593_WPSOffice_Level3"/>
      <w:r>
        <w:rPr>
          <w:rFonts w:hint="eastAsia" w:cs="仿宋_GB2312" w:asciiTheme="minorEastAsia" w:hAnsiTheme="minorEastAsia" w:eastAsiaTheme="minorEastAsia"/>
          <w:bCs/>
          <w:sz w:val="24"/>
          <w:szCs w:val="24"/>
        </w:rPr>
        <w:t>7.2辅助服务质量保证</w:t>
      </w:r>
      <w:bookmarkEnd w:id="655"/>
      <w:bookmarkEnd w:id="656"/>
    </w:p>
    <w:p w14:paraId="4BA69C2A">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E087868">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7.2.2乙方应保证合同条款下所提供的服务包括培训、安装指导、单机调试、系统联调和试验等，按合同规定方式进行，并保证不存在因乙方工作人员的过失、错误或疏忽而产生的缺陷。</w:t>
      </w:r>
    </w:p>
    <w:p w14:paraId="69426177">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57" w:name="_Toc19930_WPSOffice_Level2"/>
      <w:bookmarkStart w:id="658" w:name="_Toc444_WPSOffice_Level2"/>
      <w:bookmarkStart w:id="659" w:name="_Toc16656_WPSOffice_Level2"/>
      <w:r>
        <w:rPr>
          <w:rFonts w:hint="eastAsia" w:cs="仿宋_GB2312" w:asciiTheme="minorEastAsia" w:hAnsiTheme="minorEastAsia" w:eastAsiaTheme="minorEastAsia"/>
          <w:bCs/>
          <w:sz w:val="24"/>
          <w:szCs w:val="24"/>
        </w:rPr>
        <w:t>8.包装要求</w:t>
      </w:r>
      <w:bookmarkEnd w:id="657"/>
      <w:bookmarkEnd w:id="658"/>
      <w:bookmarkEnd w:id="659"/>
    </w:p>
    <w:p w14:paraId="6BD6AB8F">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8.1 除合同另有约定外，乙方提供的全部货物，均应采用本行业通用的方式进行包装，且该包装应符合国家有关包装的法律、法规的规定。</w:t>
      </w:r>
    </w:p>
    <w:p w14:paraId="68EFF4B5">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8.2 包装应适应于远距离运输，并有良好的防潮、防震、防锈和防粗暴装卸等保护措施，以确保货物安全运抵现场。由于包装不善所引起的货物锈蚀、损坏和损失均由乙方承担。</w:t>
      </w:r>
    </w:p>
    <w:p w14:paraId="2F08E795">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乙方应提供货物运至合同规定的最终目的地所需要的包装，以防止货物在转运中损坏或变质。</w:t>
      </w:r>
    </w:p>
    <w:p w14:paraId="4BFCF433">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8.3 乙方所提供的货物包装均为出厂时原包装。</w:t>
      </w:r>
    </w:p>
    <w:p w14:paraId="2EA92DE6">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8.4 乙方所提供货物必须附有质量合格证，装箱清单，主机、附件、各种零部件和消耗品，有清楚的与装箱单相对应的名称和编号。</w:t>
      </w:r>
    </w:p>
    <w:p w14:paraId="2817CC2A">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8.5 货物运输中的运输费用和保险费用均由乙方承担。运输过程中的一切损失、损坏均由乙方负责。</w:t>
      </w:r>
    </w:p>
    <w:p w14:paraId="043A7E19">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60" w:name="_Toc19342_WPSOffice_Level2"/>
      <w:bookmarkStart w:id="661" w:name="_Toc15918_WPSOffice_Level2"/>
      <w:bookmarkStart w:id="662" w:name="_Toc9360_WPSOffice_Level2"/>
      <w:r>
        <w:rPr>
          <w:rFonts w:hint="eastAsia" w:cs="仿宋_GB2312" w:asciiTheme="minorEastAsia" w:hAnsiTheme="minorEastAsia" w:eastAsiaTheme="minorEastAsia"/>
          <w:bCs/>
          <w:sz w:val="24"/>
          <w:szCs w:val="24"/>
        </w:rPr>
        <w:t>9. 价格</w:t>
      </w:r>
      <w:bookmarkEnd w:id="660"/>
      <w:bookmarkEnd w:id="661"/>
      <w:bookmarkEnd w:id="662"/>
    </w:p>
    <w:p w14:paraId="74D32DAB">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ABF5EC9">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9.2 本合同价格为固定价格，包括了乙方履行合同全过程产生的所有成本和费用以及乙方应承担的一切税费。</w:t>
      </w:r>
    </w:p>
    <w:p w14:paraId="4D525E5F">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 xml:space="preserve">9.3检验费用 </w:t>
      </w:r>
    </w:p>
    <w:p w14:paraId="3F5E95BD">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9.3.1 乙方必须负担本条款下属于乙方负责的检验、测试、调试、试运行和验收的所有费用，并负责乙方派往买方组织的检验、测试和验收人员的所有费用。</w:t>
      </w:r>
    </w:p>
    <w:p w14:paraId="42F65B78">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9.3.2 甲方按合同计划参加在乙方工厂所在地检验、测试和验收的费用全部由乙方负责并已包含在合同总价中。</w:t>
      </w:r>
    </w:p>
    <w:p w14:paraId="4A8C21DB">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 xml:space="preserve">9.3.3甲方检验人员已到卖方所在地，测试无法依照合同进行， 而引起甲方人员延长逗留时间，所有由此产生的包括甲方人员在内的直接费用及成本由乙方承担。 </w:t>
      </w:r>
    </w:p>
    <w:p w14:paraId="73D2C203">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63" w:name="_Toc13355_WPSOffice_Level2"/>
      <w:bookmarkStart w:id="664" w:name="_Toc29082_WPSOffice_Level2"/>
      <w:bookmarkStart w:id="665" w:name="_Toc21379_WPSOffice_Level2"/>
      <w:r>
        <w:rPr>
          <w:rFonts w:hint="eastAsia" w:cs="仿宋_GB2312" w:asciiTheme="minorEastAsia" w:hAnsiTheme="minorEastAsia" w:eastAsiaTheme="minorEastAsia"/>
          <w:bCs/>
          <w:sz w:val="24"/>
          <w:szCs w:val="24"/>
        </w:rPr>
        <w:t>10.交货方式及交货日期</w:t>
      </w:r>
      <w:bookmarkEnd w:id="663"/>
      <w:bookmarkEnd w:id="664"/>
      <w:bookmarkEnd w:id="665"/>
    </w:p>
    <w:p w14:paraId="694E362A">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交货方式：现场交货，乙方负责办理运输和保险，将货物运抵现场。</w:t>
      </w:r>
    </w:p>
    <w:p w14:paraId="01BB2279">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交货日期：所有货物运抵现场并经双方开箱验收合格之日。</w:t>
      </w:r>
    </w:p>
    <w:p w14:paraId="2B8D436B">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66" w:name="_Toc4905_WPSOffice_Level2"/>
      <w:bookmarkStart w:id="667" w:name="_Toc22184_WPSOffice_Level2"/>
      <w:bookmarkStart w:id="668" w:name="_Toc8711_WPSOffice_Level2"/>
      <w:r>
        <w:rPr>
          <w:rFonts w:hint="eastAsia" w:cs="仿宋_GB2312" w:asciiTheme="minorEastAsia" w:hAnsiTheme="minorEastAsia" w:eastAsiaTheme="minorEastAsia"/>
          <w:bCs/>
          <w:sz w:val="24"/>
          <w:szCs w:val="24"/>
        </w:rPr>
        <w:t>11.检验和验收</w:t>
      </w:r>
      <w:bookmarkEnd w:id="666"/>
      <w:bookmarkEnd w:id="667"/>
      <w:bookmarkEnd w:id="668"/>
    </w:p>
    <w:p w14:paraId="3B2B1DF2">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69" w:name="_Toc11588_WPSOffice_Level3"/>
      <w:bookmarkStart w:id="670" w:name="_Toc7309_WPSOffice_Level3"/>
      <w:r>
        <w:rPr>
          <w:rFonts w:hint="eastAsia" w:cs="仿宋_GB2312" w:asciiTheme="minorEastAsia" w:hAnsiTheme="minorEastAsia" w:eastAsiaTheme="minorEastAsia"/>
          <w:bCs/>
          <w:sz w:val="24"/>
          <w:szCs w:val="24"/>
        </w:rPr>
        <w:t>11.1开箱验收</w:t>
      </w:r>
      <w:bookmarkEnd w:id="669"/>
      <w:bookmarkEnd w:id="670"/>
    </w:p>
    <w:p w14:paraId="61CFCAE6">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11.1.1货物运抵现场后，双方应及时开箱验收，并制作验收记录，以确认与本合同约定的数量、型号等是否一致。</w:t>
      </w:r>
    </w:p>
    <w:p w14:paraId="2F88BDB5">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11.1.2 乙方应在交货前对货物的质量、规格、数量等进行详细而全面的检验，并出具证明货物符合合同规定的文件。该文件将作为申请付款单据的一部分，但有关质量、规格、数量的检验不应视为最终检验。</w:t>
      </w:r>
    </w:p>
    <w:p w14:paraId="45F1C58E">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11.1.3 开箱验收中如发现货物的数量、规格与合同约定不符，甲方有权拒收货物，乙方应及时按甲方要求免费对拒收货物采取更换或其他必要的补救措施，直至开箱验收合格，方视为乙方完成交货。</w:t>
      </w:r>
    </w:p>
    <w:p w14:paraId="4BD64075">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71" w:name="_Toc26974_WPSOffice_Level3"/>
      <w:bookmarkStart w:id="672" w:name="_Toc13911_WPSOffice_Level3"/>
      <w:r>
        <w:rPr>
          <w:rFonts w:hint="eastAsia" w:cs="仿宋_GB2312" w:asciiTheme="minorEastAsia" w:hAnsiTheme="minorEastAsia" w:eastAsiaTheme="minorEastAsia"/>
          <w:bCs/>
          <w:sz w:val="24"/>
          <w:szCs w:val="24"/>
        </w:rPr>
        <w:t>11.2  检验验收</w:t>
      </w:r>
      <w:bookmarkEnd w:id="671"/>
      <w:bookmarkEnd w:id="672"/>
    </w:p>
    <w:p w14:paraId="06734678">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11.2.1 交货完成后，乙方应及时组装、调试、试运行，按照合同专用条款规定的试运行完成后，双方及时组织对货物检验验收。合同双方均须派人参加合同要求双方参加的试验、检验。</w:t>
      </w:r>
    </w:p>
    <w:p w14:paraId="2056B641">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11.2.2 在具体实施合同规定的检验验收之前，乙方需提前提交相应的测试计划（包括测试程序、测试内容和检验标准、试验时间安排等）供甲方确认。</w:t>
      </w:r>
    </w:p>
    <w:p w14:paraId="23018064">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11.2.3  除需甲方确认的试验验收外，乙方还应对所有检验验收测试的结果、步骤、原始数据等作妥善记录。如甲方要求，乙方应提供这些记录给买方。</w:t>
      </w:r>
    </w:p>
    <w:p w14:paraId="748B74E0">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11.2.4  检验测试出现全部或部分未达到本合同所约定的技术指标，甲方有权选择下列任一处理方式：</w:t>
      </w:r>
    </w:p>
    <w:p w14:paraId="78450E6F">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a.重新测试直至合格为止；</w:t>
      </w:r>
    </w:p>
    <w:p w14:paraId="286E69E9">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b.要求乙方对货物进行免费更换，然后重新测试直至合格为止；</w:t>
      </w:r>
    </w:p>
    <w:p w14:paraId="0F3F8C2F">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无论选择何种方式，甲方因此而发生的因卖方原因引起的所有费用均由乙方负担。</w:t>
      </w:r>
    </w:p>
    <w:p w14:paraId="4EDAC465">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73" w:name="_Toc1685_WPSOffice_Level3"/>
      <w:bookmarkStart w:id="674" w:name="_Toc5393_WPSOffice_Level3"/>
      <w:r>
        <w:rPr>
          <w:rFonts w:hint="eastAsia" w:cs="仿宋_GB2312" w:asciiTheme="minorEastAsia" w:hAnsiTheme="minorEastAsia" w:eastAsiaTheme="minorEastAsia"/>
          <w:bCs/>
          <w:sz w:val="24"/>
          <w:szCs w:val="24"/>
        </w:rPr>
        <w:t>11.3  使用过程检验</w:t>
      </w:r>
      <w:bookmarkEnd w:id="673"/>
      <w:bookmarkEnd w:id="674"/>
    </w:p>
    <w:p w14:paraId="33DDC250">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102E54E4">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11.3.2如果合同双方对乙方提供的上述试验结果报告的解释有分歧，双方须于出现分歧后10天内给对方声明，以陈述己方的观点。声明须附有关证据。分歧应通过协商解决。</w:t>
      </w:r>
    </w:p>
    <w:p w14:paraId="0B28FD2F">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75" w:name="_Toc10883_WPSOffice_Level2"/>
      <w:bookmarkStart w:id="676" w:name="_Toc17827_WPSOffice_Level2"/>
      <w:bookmarkStart w:id="677" w:name="_Toc17387_WPSOffice_Level2"/>
      <w:r>
        <w:rPr>
          <w:rFonts w:hint="eastAsia" w:cs="仿宋_GB2312" w:asciiTheme="minorEastAsia" w:hAnsiTheme="minorEastAsia" w:eastAsiaTheme="minorEastAsia"/>
          <w:bCs/>
          <w:sz w:val="24"/>
          <w:szCs w:val="24"/>
        </w:rPr>
        <w:t>12.付款条件</w:t>
      </w:r>
      <w:bookmarkEnd w:id="675"/>
      <w:bookmarkEnd w:id="676"/>
      <w:bookmarkEnd w:id="677"/>
    </w:p>
    <w:p w14:paraId="31A1899E">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本合同条款下的付款方法和条件在“合同专用条款”中具体规定。</w:t>
      </w:r>
    </w:p>
    <w:p w14:paraId="1414626E">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78" w:name="_Toc25610_WPSOffice_Level2"/>
      <w:bookmarkStart w:id="679" w:name="_Toc24025_WPSOffice_Level2"/>
      <w:bookmarkStart w:id="680" w:name="_Toc8681_WPSOffice_Level2"/>
      <w:r>
        <w:rPr>
          <w:rFonts w:hint="eastAsia" w:cs="仿宋_GB2312" w:asciiTheme="minorEastAsia" w:hAnsiTheme="minorEastAsia" w:eastAsiaTheme="minorEastAsia"/>
          <w:bCs/>
          <w:sz w:val="24"/>
          <w:szCs w:val="24"/>
        </w:rPr>
        <w:t>13.履约保证金</w:t>
      </w:r>
      <w:bookmarkEnd w:id="678"/>
      <w:bookmarkEnd w:id="679"/>
      <w:bookmarkEnd w:id="680"/>
    </w:p>
    <w:p w14:paraId="3D4F7719">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13.1乙方应在合同签订后，按合同专用条款的约定提交履约保证金。</w:t>
      </w:r>
    </w:p>
    <w:p w14:paraId="29DC9B7C">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13.2履约保证金用于补偿甲方因卖方不能履行其合同义务而蒙受的损失。</w:t>
      </w:r>
    </w:p>
    <w:p w14:paraId="796ED180">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13.3履约保证金应使用本合同货币，按下述方式之一提交（谈判文件中另有约定的除外）：</w:t>
      </w:r>
    </w:p>
    <w:p w14:paraId="2C4AADD4">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 xml:space="preserve">13.3.1甲方可接受的在中华人民共和国注册和营业的银行出具的履约保函； </w:t>
      </w:r>
    </w:p>
    <w:p w14:paraId="10365B5E">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13.3.2 应当以支票、汇票、本票或者金融机构、担保机构出具的保函等非现金形式提交。</w:t>
      </w:r>
    </w:p>
    <w:p w14:paraId="2E3B1E72">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13.4乙方未能按合同规定履行其义务，甲方有权从履约保证金中取得补偿。货物验收合格后，甲方将履约保证金退还乙方或转为质量保证金。</w:t>
      </w:r>
    </w:p>
    <w:p w14:paraId="4CED4291">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81" w:name="_Toc21607_WPSOffice_Level2"/>
      <w:bookmarkStart w:id="682" w:name="_Toc13321_WPSOffice_Level2"/>
      <w:bookmarkStart w:id="683" w:name="_Toc2215_WPSOffice_Level2"/>
      <w:r>
        <w:rPr>
          <w:rFonts w:hint="eastAsia" w:cs="仿宋_GB2312" w:asciiTheme="minorEastAsia" w:hAnsiTheme="minorEastAsia" w:eastAsiaTheme="minorEastAsia"/>
          <w:bCs/>
          <w:sz w:val="24"/>
          <w:szCs w:val="24"/>
        </w:rPr>
        <w:t>14.索赔</w:t>
      </w:r>
      <w:bookmarkEnd w:id="681"/>
      <w:bookmarkEnd w:id="682"/>
      <w:bookmarkEnd w:id="683"/>
    </w:p>
    <w:p w14:paraId="00FDBFEC">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681C722">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14.2在履约保证期和检验期内，乙方对甲方提出的索赔负有责任，乙方应按照甲方同意的下列一种或多种方式解决索赔事宜：</w:t>
      </w:r>
    </w:p>
    <w:p w14:paraId="291C677C">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FFD0736">
      <w:pPr>
        <w:adjustRightInd w:val="0"/>
        <w:snapToGrid w:val="0"/>
        <w:spacing w:line="560" w:lineRule="exact"/>
        <w:jc w:val="left"/>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 xml:space="preserve">   14.2.2根据货物低劣程度、损坏程度以及甲方所遭受损失的数额，经甲乙双方商定降低货物的价格，或由有资质的中介机构评估，以降低后的价格或评估价格为准。</w:t>
      </w:r>
    </w:p>
    <w:p w14:paraId="5FCB5137">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1C322A43">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14.3乙方收到甲方发出的索赔通知之日起5个工作日内未作答复的，甲方可从合同款或履约保证金中扣回索赔金额，如金额不足以补偿索赔金额，乙方应补足差额部分。</w:t>
      </w:r>
    </w:p>
    <w:p w14:paraId="0C6974D9">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84" w:name="_Toc14292_WPSOffice_Level2"/>
      <w:bookmarkStart w:id="685" w:name="_Toc17056_WPSOffice_Level2"/>
      <w:bookmarkStart w:id="686" w:name="_Toc6747_WPSOffice_Level2"/>
      <w:r>
        <w:rPr>
          <w:rFonts w:hint="eastAsia" w:cs="仿宋_GB2312" w:asciiTheme="minorEastAsia" w:hAnsiTheme="minorEastAsia" w:eastAsiaTheme="minorEastAsia"/>
          <w:bCs/>
          <w:sz w:val="24"/>
          <w:szCs w:val="24"/>
        </w:rPr>
        <w:t>15.迟延交货</w:t>
      </w:r>
      <w:bookmarkEnd w:id="684"/>
      <w:bookmarkEnd w:id="685"/>
      <w:bookmarkEnd w:id="686"/>
    </w:p>
    <w:p w14:paraId="43604C21">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15.1 乙方应按照合同约定的时间交货和提供服务。</w:t>
      </w:r>
    </w:p>
    <w:p w14:paraId="124266DD">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15.2 除不可抗力因素外，乙方迟延交货，甲方有权提出违约损失赔偿或解除合同。</w:t>
      </w:r>
    </w:p>
    <w:p w14:paraId="460F98FB">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15.3在履行合同过程中，乙方遇到不能按时交货和提供服务的情况，应及时以书面形式将不能按时交货的理由、预期延误时间通知甲方。甲方收到乙方通知后，认为其理由正当的，可酌情延长交货时间。</w:t>
      </w:r>
    </w:p>
    <w:p w14:paraId="4DF2BDA4">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87" w:name="_Toc32293_WPSOffice_Level2"/>
      <w:bookmarkStart w:id="688" w:name="_Toc15350_WPSOffice_Level2"/>
      <w:bookmarkStart w:id="689" w:name="_Toc10642_WPSOffice_Level2"/>
      <w:r>
        <w:rPr>
          <w:rFonts w:hint="eastAsia" w:cs="仿宋_GB2312" w:asciiTheme="minorEastAsia" w:hAnsiTheme="minorEastAsia" w:eastAsiaTheme="minorEastAsia"/>
          <w:bCs/>
          <w:sz w:val="24"/>
          <w:szCs w:val="24"/>
        </w:rPr>
        <w:t>16.违约赔偿</w:t>
      </w:r>
      <w:bookmarkEnd w:id="687"/>
      <w:bookmarkEnd w:id="688"/>
      <w:bookmarkEnd w:id="689"/>
    </w:p>
    <w:p w14:paraId="7BC5D8FB">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除不可抗力因素外，乙方没有按照合同规定的时间交货和提供服务，甲方可要求乙方支付违约金。违约金每日按合同总价款的千分之五计收。</w:t>
      </w:r>
    </w:p>
    <w:p w14:paraId="254902C5">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90" w:name="_Toc13101_WPSOffice_Level2"/>
      <w:bookmarkStart w:id="691" w:name="_Toc32484_WPSOffice_Level2"/>
      <w:bookmarkStart w:id="692" w:name="_Toc132_WPSOffice_Level2"/>
      <w:r>
        <w:rPr>
          <w:rFonts w:hint="eastAsia" w:cs="仿宋_GB2312" w:asciiTheme="minorEastAsia" w:hAnsiTheme="minorEastAsia" w:eastAsiaTheme="minorEastAsia"/>
          <w:bCs/>
          <w:sz w:val="24"/>
          <w:szCs w:val="24"/>
        </w:rPr>
        <w:t>17.不可抗力</w:t>
      </w:r>
      <w:bookmarkEnd w:id="690"/>
      <w:bookmarkEnd w:id="691"/>
      <w:bookmarkEnd w:id="692"/>
    </w:p>
    <w:p w14:paraId="3677BB2B">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17.1.双方中任何一方遭遇法律规定的不可抗力，致使合同履行受阻时，履行合同的期限应予延长，延长的期限应相当于不可抗力所影响的时间。</w:t>
      </w:r>
    </w:p>
    <w:p w14:paraId="59743C70">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17.2受事故影响的一方应在不可抗力的事故发生后以书面形式通知另一方。</w:t>
      </w:r>
    </w:p>
    <w:p w14:paraId="3FF9C92A">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17.3不可抗力使合同的某些内容有变更必要的， 双方应通过协商达成进一步履行合同的协议，因不可抗力致使合同不能履行的，合同终止。</w:t>
      </w:r>
    </w:p>
    <w:p w14:paraId="17A01035">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93" w:name="_Toc27502_WPSOffice_Level2"/>
      <w:bookmarkStart w:id="694" w:name="_Toc17980_WPSOffice_Level2"/>
      <w:bookmarkStart w:id="695" w:name="_Toc17666_WPSOffice_Level2"/>
      <w:r>
        <w:rPr>
          <w:rFonts w:hint="eastAsia" w:cs="仿宋_GB2312" w:asciiTheme="minorEastAsia" w:hAnsiTheme="minorEastAsia" w:eastAsiaTheme="minorEastAsia"/>
          <w:bCs/>
          <w:sz w:val="24"/>
          <w:szCs w:val="24"/>
        </w:rPr>
        <w:t>18.税费</w:t>
      </w:r>
      <w:bookmarkEnd w:id="693"/>
      <w:bookmarkEnd w:id="694"/>
      <w:bookmarkEnd w:id="695"/>
    </w:p>
    <w:p w14:paraId="214DBF6F">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与本合同有关的一切税费均由乙方承担。</w:t>
      </w:r>
    </w:p>
    <w:p w14:paraId="683DEDF9">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96" w:name="_Toc1449_WPSOffice_Level2"/>
      <w:bookmarkStart w:id="697" w:name="_Toc16036_WPSOffice_Level2"/>
      <w:bookmarkStart w:id="698" w:name="_Toc27070_WPSOffice_Level2"/>
      <w:r>
        <w:rPr>
          <w:rFonts w:hint="eastAsia" w:cs="仿宋_GB2312" w:asciiTheme="minorEastAsia" w:hAnsiTheme="minorEastAsia" w:eastAsiaTheme="minorEastAsia"/>
          <w:bCs/>
          <w:sz w:val="24"/>
          <w:szCs w:val="24"/>
        </w:rPr>
        <w:t>19.合同争议的解决</w:t>
      </w:r>
      <w:bookmarkEnd w:id="696"/>
      <w:bookmarkEnd w:id="697"/>
      <w:bookmarkEnd w:id="698"/>
    </w:p>
    <w:p w14:paraId="4DD2746D">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19.1甲方和乙方由于本合同的履行而发生任何争议时，双方可先通过协商解决。</w:t>
      </w:r>
    </w:p>
    <w:p w14:paraId="66038626">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19.2任何一方不愿通过协商或通过协商仍不能解决争议，则双方中任何一方均应向甲方所在地人民法院起诉。</w:t>
      </w:r>
    </w:p>
    <w:p w14:paraId="265DF5AA">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699" w:name="_Toc1645_WPSOffice_Level2"/>
      <w:bookmarkStart w:id="700" w:name="_Toc4114_WPSOffice_Level2"/>
      <w:bookmarkStart w:id="701" w:name="_Toc25678_WPSOffice_Level2"/>
      <w:r>
        <w:rPr>
          <w:rFonts w:hint="eastAsia" w:cs="仿宋_GB2312" w:asciiTheme="minorEastAsia" w:hAnsiTheme="minorEastAsia" w:eastAsiaTheme="minorEastAsia"/>
          <w:bCs/>
          <w:sz w:val="24"/>
          <w:szCs w:val="24"/>
        </w:rPr>
        <w:t>20.违约解除合同</w:t>
      </w:r>
      <w:bookmarkEnd w:id="699"/>
      <w:bookmarkEnd w:id="700"/>
      <w:bookmarkEnd w:id="701"/>
    </w:p>
    <w:p w14:paraId="16331F2D">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20.1出现下列情形之一的，视为乙方违约。甲方可向乙方发出书面通知，部分或全部终止合同，同时保留向乙方索赔的权利。</w:t>
      </w:r>
    </w:p>
    <w:p w14:paraId="2E55921C">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 xml:space="preserve">20.1.1乙方未能在合同规定的限期或甲方同意延长的限期内，提供全部或部分货物的； </w:t>
      </w:r>
    </w:p>
    <w:p w14:paraId="38951C94">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20.1.2乙方未能履行合同规定的其它主要义务的；</w:t>
      </w:r>
    </w:p>
    <w:p w14:paraId="49AC8D87">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20.1.3乙方在本合同履行过程中有欺诈行为的。</w:t>
      </w:r>
    </w:p>
    <w:p w14:paraId="3F9C7444">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092C812">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702" w:name="_Toc4171_WPSOffice_Level2"/>
      <w:bookmarkStart w:id="703" w:name="_Toc26055_WPSOffice_Level2"/>
      <w:bookmarkStart w:id="704" w:name="_Toc3174_WPSOffice_Level2"/>
      <w:r>
        <w:rPr>
          <w:rFonts w:hint="eastAsia" w:cs="仿宋_GB2312" w:asciiTheme="minorEastAsia" w:hAnsiTheme="minorEastAsia" w:eastAsiaTheme="minorEastAsia"/>
          <w:bCs/>
          <w:sz w:val="24"/>
          <w:szCs w:val="24"/>
        </w:rPr>
        <w:t>21.破产终止合同</w:t>
      </w:r>
      <w:bookmarkEnd w:id="702"/>
      <w:bookmarkEnd w:id="703"/>
      <w:bookmarkEnd w:id="704"/>
    </w:p>
    <w:p w14:paraId="1CE09570">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乙方破产而无法完全履行本合同义务时，甲方可以书面方式通知乙方终止合同而不给予乙方补偿。该合同的终止将不损害或不影响甲方已经采取或将要采取任何行动或补救措施的权利。</w:t>
      </w:r>
    </w:p>
    <w:p w14:paraId="24F6EE9C">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705" w:name="_Toc6264_WPSOffice_Level2"/>
      <w:bookmarkStart w:id="706" w:name="_Toc17697_WPSOffice_Level2"/>
      <w:bookmarkStart w:id="707" w:name="_Toc12382_WPSOffice_Level2"/>
      <w:r>
        <w:rPr>
          <w:rFonts w:hint="eastAsia" w:cs="仿宋_GB2312" w:asciiTheme="minorEastAsia" w:hAnsiTheme="minorEastAsia" w:eastAsiaTheme="minorEastAsia"/>
          <w:bCs/>
          <w:sz w:val="24"/>
          <w:szCs w:val="24"/>
        </w:rPr>
        <w:t>22.转让和分包</w:t>
      </w:r>
      <w:bookmarkEnd w:id="705"/>
      <w:bookmarkEnd w:id="706"/>
      <w:bookmarkEnd w:id="707"/>
    </w:p>
    <w:p w14:paraId="23354B71">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22.1政府采购合同不能转让。</w:t>
      </w:r>
    </w:p>
    <w:p w14:paraId="41D79CE8">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7A2B290">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708" w:name="_Toc32240_WPSOffice_Level2"/>
      <w:bookmarkStart w:id="709" w:name="_Toc30393_WPSOffice_Level2"/>
      <w:bookmarkStart w:id="710" w:name="_Toc2646_WPSOffice_Level2"/>
      <w:r>
        <w:rPr>
          <w:rFonts w:hint="eastAsia" w:cs="仿宋_GB2312" w:asciiTheme="minorEastAsia" w:hAnsiTheme="minorEastAsia" w:eastAsiaTheme="minorEastAsia"/>
          <w:bCs/>
          <w:sz w:val="24"/>
          <w:szCs w:val="24"/>
        </w:rPr>
        <w:t>23.合同修改</w:t>
      </w:r>
      <w:bookmarkEnd w:id="708"/>
      <w:bookmarkEnd w:id="709"/>
      <w:bookmarkEnd w:id="710"/>
    </w:p>
    <w:p w14:paraId="3F59A913">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甲方和乙方都不得擅自变更本合同，但合同继续履行将损害国家和社会公共利益的除外。如必须对合同条款进行改动时，当事人双方须共同签署书面文件，做为合同的补充。</w:t>
      </w:r>
    </w:p>
    <w:p w14:paraId="2F3400FE">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711" w:name="_Toc17115_WPSOffice_Level2"/>
      <w:bookmarkStart w:id="712" w:name="_Toc11324_WPSOffice_Level2"/>
      <w:bookmarkStart w:id="713" w:name="_Toc20751_WPSOffice_Level2"/>
      <w:r>
        <w:rPr>
          <w:rFonts w:hint="eastAsia" w:cs="仿宋_GB2312" w:asciiTheme="minorEastAsia" w:hAnsiTheme="minorEastAsia" w:eastAsiaTheme="minorEastAsia"/>
          <w:bCs/>
          <w:sz w:val="24"/>
          <w:szCs w:val="24"/>
        </w:rPr>
        <w:t>24.通知</w:t>
      </w:r>
      <w:bookmarkEnd w:id="711"/>
      <w:bookmarkEnd w:id="712"/>
      <w:bookmarkEnd w:id="713"/>
    </w:p>
    <w:p w14:paraId="36A7D4A6">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本合同任何一方给另一方的通知，都应以书面形式发送，而另一方也应以书面形式确认并发送到对方明确的地址。</w:t>
      </w:r>
    </w:p>
    <w:p w14:paraId="54AB5422">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714" w:name="_Toc11022_WPSOffice_Level2"/>
      <w:bookmarkStart w:id="715" w:name="_Toc15147_WPSOffice_Level2"/>
      <w:bookmarkStart w:id="716" w:name="_Toc11594_WPSOffice_Level2"/>
      <w:r>
        <w:rPr>
          <w:rFonts w:hint="eastAsia" w:cs="仿宋_GB2312" w:asciiTheme="minorEastAsia" w:hAnsiTheme="minorEastAsia" w:eastAsiaTheme="minorEastAsia"/>
          <w:bCs/>
          <w:sz w:val="24"/>
          <w:szCs w:val="24"/>
        </w:rPr>
        <w:t>25.计量单位</w:t>
      </w:r>
      <w:bookmarkEnd w:id="714"/>
      <w:bookmarkEnd w:id="715"/>
      <w:bookmarkEnd w:id="716"/>
    </w:p>
    <w:p w14:paraId="5F50F0A1">
      <w:pPr>
        <w:adjustRightInd w:val="0"/>
        <w:snapToGrid w:val="0"/>
        <w:spacing w:line="560" w:lineRule="exact"/>
        <w:ind w:firstLine="480" w:firstLineChars="200"/>
        <w:rPr>
          <w:rFonts w:cs="仿宋_GB2312" w:asciiTheme="minorEastAsia" w:hAnsiTheme="minorEastAsia" w:eastAsiaTheme="minorEastAsia"/>
          <w:bCs/>
          <w:sz w:val="24"/>
          <w:szCs w:val="24"/>
        </w:rPr>
      </w:pPr>
      <w:r>
        <w:rPr>
          <w:rFonts w:hint="eastAsia" w:cs="仿宋_GB2312" w:asciiTheme="minorEastAsia" w:hAnsiTheme="minorEastAsia" w:eastAsiaTheme="minorEastAsia"/>
          <w:bCs/>
          <w:sz w:val="24"/>
          <w:szCs w:val="24"/>
        </w:rPr>
        <w:t>除技术规范中另有规定外，计量单位均使用国家法定计量单位。</w:t>
      </w:r>
    </w:p>
    <w:p w14:paraId="17BDD226">
      <w:pPr>
        <w:adjustRightInd w:val="0"/>
        <w:snapToGrid w:val="0"/>
        <w:spacing w:line="560" w:lineRule="exact"/>
        <w:ind w:firstLine="480" w:firstLineChars="200"/>
        <w:rPr>
          <w:rFonts w:cs="仿宋_GB2312" w:asciiTheme="minorEastAsia" w:hAnsiTheme="minorEastAsia" w:eastAsiaTheme="minorEastAsia"/>
          <w:bCs/>
          <w:sz w:val="24"/>
          <w:szCs w:val="24"/>
        </w:rPr>
      </w:pPr>
      <w:bookmarkStart w:id="717" w:name="_Toc15506_WPSOffice_Level2"/>
      <w:bookmarkStart w:id="718" w:name="_Toc24346_WPSOffice_Level2"/>
      <w:bookmarkStart w:id="719" w:name="_Toc32417_WPSOffice_Level2"/>
      <w:r>
        <w:rPr>
          <w:rFonts w:hint="eastAsia" w:cs="仿宋_GB2312" w:asciiTheme="minorEastAsia" w:hAnsiTheme="minorEastAsia" w:eastAsiaTheme="minorEastAsia"/>
          <w:bCs/>
          <w:sz w:val="24"/>
          <w:szCs w:val="24"/>
        </w:rPr>
        <w:t>26.适用法律</w:t>
      </w:r>
      <w:bookmarkEnd w:id="717"/>
      <w:bookmarkEnd w:id="718"/>
      <w:bookmarkEnd w:id="719"/>
    </w:p>
    <w:p w14:paraId="376D47B6">
      <w:pPr>
        <w:adjustRightInd w:val="0"/>
        <w:snapToGrid w:val="0"/>
        <w:spacing w:line="560" w:lineRule="exact"/>
        <w:ind w:firstLine="480" w:firstLineChars="200"/>
        <w:rPr>
          <w:rFonts w:cs="仿宋_GB2312" w:asciiTheme="minorEastAsia" w:hAnsiTheme="minorEastAsia" w:eastAsiaTheme="minorEastAsia"/>
          <w:b/>
          <w:color w:val="000000"/>
          <w:sz w:val="24"/>
          <w:szCs w:val="24"/>
        </w:rPr>
      </w:pPr>
      <w:r>
        <w:rPr>
          <w:rFonts w:hint="eastAsia" w:cs="仿宋_GB2312" w:asciiTheme="minorEastAsia" w:hAnsiTheme="minorEastAsia" w:eastAsiaTheme="minorEastAsia"/>
          <w:bCs/>
          <w:sz w:val="24"/>
          <w:szCs w:val="24"/>
        </w:rPr>
        <w:t>本合同按照中华人民共和国的相关法律进行解释。</w:t>
      </w:r>
    </w:p>
    <w:p w14:paraId="68CEB2C1"/>
    <w:p w14:paraId="11B4951C">
      <w:pPr>
        <w:widowControl/>
        <w:jc w:val="left"/>
        <w:rPr>
          <w:rFonts w:hint="eastAsia" w:asciiTheme="minorEastAsia" w:hAnsiTheme="minorEastAsia" w:eastAsiaTheme="minorEastAsia" w:cstheme="minorEastAsia"/>
          <w:bCs/>
          <w:sz w:val="32"/>
          <w:szCs w:val="32"/>
        </w:rPr>
      </w:pPr>
    </w:p>
    <w:p w14:paraId="37BADD65"/>
    <w:sectPr>
      <w:footerReference r:id="rId6" w:type="default"/>
      <w:pgSz w:w="11906" w:h="16838"/>
      <w:pgMar w:top="1984" w:right="1474" w:bottom="1871" w:left="1474" w:header="851" w:footer="992" w:gutter="0"/>
      <w:pgNumType w:fmt="decimal" w:start="5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5416C">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4" name="Quad Arrow 102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7591C5ED">
                          <w:pPr>
                            <w:pStyle w:val="9"/>
                          </w:pPr>
                        </w:p>
                      </w:txbxContent>
                    </wps:txbx>
                    <wps:bodyPr wrap="none" lIns="0" tIns="0" rIns="0" bIns="0">
                      <a:spAutoFit/>
                    </wps:bodyPr>
                  </wps:wsp>
                </a:graphicData>
              </a:graphic>
            </wp:anchor>
          </w:drawing>
        </mc:Choice>
        <mc:Fallback>
          <w:pict>
            <v:shape id="Quad Arrow 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i91E0AAAAAIBAAAPAAAAAAAAAAEAIAAAACIAAABkcnMvZG93bnJldi54bWxQSwECFAAUAAAA&#10;CACHTuJAvw0uub0BAACPAwAADgAAAAAAAAABACAAAAAfAQAAZHJzL2Uyb0RvYy54bWxQSwUGAAAA&#10;AAYABgBZAQAATgUAAAAA&#10;">
              <v:fill on="f" focussize="0,0"/>
              <v:stroke on="f"/>
              <v:imagedata o:title=""/>
              <o:lock v:ext="edit" aspectratio="f"/>
              <v:textbox inset="0mm,0mm,0mm,0mm" style="mso-fit-shape-to-text:t;">
                <w:txbxContent>
                  <w:p w14:paraId="7591C5ED">
                    <w:pPr>
                      <w:pStyle w:val="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20FE5">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4595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C345952">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5" name="Quad Arrow 102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6B17FC25">
                          <w:pPr>
                            <w:pStyle w:val="9"/>
                          </w:pPr>
                        </w:p>
                      </w:txbxContent>
                    </wps:txbx>
                    <wps:bodyPr wrap="none" lIns="0" tIns="0" rIns="0" bIns="0">
                      <a:spAutoFit/>
                    </wps:bodyPr>
                  </wps:wsp>
                </a:graphicData>
              </a:graphic>
            </wp:anchor>
          </w:drawing>
        </mc:Choice>
        <mc:Fallback>
          <w:pict>
            <v:shape id="Quad Arrow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L3UTQAAAAAgEAAA8AAAAAAAAAAQAgAAAAIgAAAGRycy9kb3ducmV2LnhtbFBLAQIUABQAAAAI&#10;AIdO4kA1i53+vAEAAI8DAAAOAAAAAAAAAAEAIAAAAB8BAABkcnMvZTJvRG9jLnhtbFBLBQYAAAAA&#10;BgAGAFkBAABNBQAAAAA=&#10;">
              <v:fill on="f" focussize="0,0"/>
              <v:stroke on="f"/>
              <v:imagedata o:title=""/>
              <o:lock v:ext="edit" aspectratio="f"/>
              <v:textbox inset="0mm,0mm,0mm,0mm" style="mso-fit-shape-to-text:t;">
                <w:txbxContent>
                  <w:p w14:paraId="6B17FC25">
                    <w:pPr>
                      <w:pStyle w:val="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066D6">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96BE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EA96BE7">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17" name="Quad Arrow 102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34B7D9A0">
                          <w:pPr>
                            <w:pStyle w:val="9"/>
                          </w:pPr>
                        </w:p>
                      </w:txbxContent>
                    </wps:txbx>
                    <wps:bodyPr wrap="none" lIns="0" tIns="0" rIns="0" bIns="0">
                      <a:spAutoFit/>
                    </wps:bodyPr>
                  </wps:wsp>
                </a:graphicData>
              </a:graphic>
            </wp:anchor>
          </w:drawing>
        </mc:Choice>
        <mc:Fallback>
          <w:pict>
            <v:shape id="Quad Arrow 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i91E0AAAAAIBAAAPAAAAAAAAAAEAIAAAACIAAABkcnMvZG93bnJldi54bWxQSwECFAAUAAAA&#10;CACHTuJAIYb6cb0BAACPAwAADgAAAAAAAAABACAAAAAfAQAAZHJzL2Uyb0RvYy54bWxQSwUGAAAA&#10;AAYABgBZAQAATgUAAAAA&#10;">
              <v:fill on="f" focussize="0,0"/>
              <v:stroke on="f"/>
              <v:imagedata o:title=""/>
              <o:lock v:ext="edit" aspectratio="f"/>
              <v:textbox inset="0mm,0mm,0mm,0mm" style="mso-fit-shape-to-text:t;">
                <w:txbxContent>
                  <w:p w14:paraId="34B7D9A0">
                    <w:pPr>
                      <w:pStyle w:val="9"/>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E03F8">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2D62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2A2D627">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0" b="0"/>
              <wp:wrapNone/>
              <wp:docPr id="19" name="Quad Arrow 102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6D07B0CA">
                          <w:pPr>
                            <w:pStyle w:val="9"/>
                          </w:pPr>
                        </w:p>
                      </w:txbxContent>
                    </wps:txbx>
                    <wps:bodyPr wrap="none" lIns="0" tIns="0" rIns="0" bIns="0">
                      <a:spAutoFit/>
                    </wps:bodyPr>
                  </wps:wsp>
                </a:graphicData>
              </a:graphic>
            </wp:anchor>
          </w:drawing>
        </mc:Choice>
        <mc:Fallback>
          <w:pict>
            <v:shape id="Quad Arrow 1026"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i91E0AAAAAIBAAAPAAAAAAAAAAEAIAAAACIAAABkcnMvZG93bnJldi54bWxQSwECFAAUAAAA&#10;CACHTuJAz6kta70BAACPAwAADgAAAAAAAAABACAAAAAfAQAAZHJzL2Uyb0RvYy54bWxQSwUGAAAA&#10;AAYABgBZAQAATgUAAAAA&#10;">
              <v:fill on="f" focussize="0,0"/>
              <v:stroke on="f"/>
              <v:imagedata o:title=""/>
              <o:lock v:ext="edit" aspectratio="f"/>
              <v:textbox inset="0mm,0mm,0mm,0mm" style="mso-fit-shape-to-text:t;">
                <w:txbxContent>
                  <w:p w14:paraId="6D07B0CA">
                    <w:pPr>
                      <w:pStyle w:val="9"/>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4158B"/>
    <w:multiLevelType w:val="singleLevel"/>
    <w:tmpl w:val="9194158B"/>
    <w:lvl w:ilvl="0" w:tentative="0">
      <w:start w:val="1"/>
      <w:numFmt w:val="decimal"/>
      <w:suff w:val="nothing"/>
      <w:lvlText w:val="（%1）"/>
      <w:lvlJc w:val="left"/>
    </w:lvl>
  </w:abstractNum>
  <w:abstractNum w:abstractNumId="1">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22"/>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2FAA4D6D"/>
    <w:multiLevelType w:val="multilevel"/>
    <w:tmpl w:val="2FAA4D6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1ED0002"/>
    <w:multiLevelType w:val="multilevel"/>
    <w:tmpl w:val="31ED0002"/>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406FA3"/>
    <w:multiLevelType w:val="multilevel"/>
    <w:tmpl w:val="41406FA3"/>
    <w:lvl w:ilvl="0" w:tentative="0">
      <w:start w:val="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EC64F27"/>
    <w:multiLevelType w:val="singleLevel"/>
    <w:tmpl w:val="5EC64F27"/>
    <w:lvl w:ilvl="0" w:tentative="0">
      <w:start w:val="1"/>
      <w:numFmt w:val="decimal"/>
      <w:suff w:val="nothing"/>
      <w:lvlText w:val="（%1）"/>
      <w:lvlJc w:val="left"/>
    </w:lvl>
  </w:abstractNum>
  <w:abstractNum w:abstractNumId="6">
    <w:nsid w:val="748D16CD"/>
    <w:multiLevelType w:val="multilevel"/>
    <w:tmpl w:val="748D16CD"/>
    <w:lvl w:ilvl="0" w:tentative="0">
      <w:start w:val="1"/>
      <w:numFmt w:val="decimal"/>
      <w:pStyle w:val="23"/>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6"/>
  </w:num>
  <w:num w:numId="3">
    <w:abstractNumId w:val="0"/>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350B4"/>
    <w:rsid w:val="068864EC"/>
    <w:rsid w:val="0BC879F8"/>
    <w:rsid w:val="0C583F4F"/>
    <w:rsid w:val="11537B7A"/>
    <w:rsid w:val="17722603"/>
    <w:rsid w:val="1E4D0CC2"/>
    <w:rsid w:val="2612416F"/>
    <w:rsid w:val="274D5791"/>
    <w:rsid w:val="2EB6433C"/>
    <w:rsid w:val="2EC350B4"/>
    <w:rsid w:val="3A29564D"/>
    <w:rsid w:val="3F0355EF"/>
    <w:rsid w:val="42332EA8"/>
    <w:rsid w:val="48970623"/>
    <w:rsid w:val="4ED41763"/>
    <w:rsid w:val="508B153E"/>
    <w:rsid w:val="55F66018"/>
    <w:rsid w:val="59670DC4"/>
    <w:rsid w:val="59A30C9C"/>
    <w:rsid w:val="5ACB3F81"/>
    <w:rsid w:val="6482479B"/>
    <w:rsid w:val="64F630B0"/>
    <w:rsid w:val="66030CEB"/>
    <w:rsid w:val="663366B5"/>
    <w:rsid w:val="680C6B42"/>
    <w:rsid w:val="6FFB0243"/>
    <w:rsid w:val="70F37A9B"/>
    <w:rsid w:val="72440D8F"/>
    <w:rsid w:val="72C20D55"/>
    <w:rsid w:val="751F6635"/>
    <w:rsid w:val="7734464E"/>
    <w:rsid w:val="78FD0B8F"/>
    <w:rsid w:val="7D4E7290"/>
    <w:rsid w:val="7DE11312"/>
    <w:rsid w:val="7FBC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
      <w:bCs/>
      <w:sz w:val="24"/>
      <w:szCs w:val="20"/>
    </w:rPr>
  </w:style>
  <w:style w:type="paragraph" w:styleId="4">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exact"/>
    </w:pPr>
    <w:rPr>
      <w:sz w:val="24"/>
    </w:rPr>
  </w:style>
  <w:style w:type="paragraph" w:styleId="7">
    <w:name w:val="toc 3"/>
    <w:basedOn w:val="1"/>
    <w:next w:val="1"/>
    <w:qFormat/>
    <w:uiPriority w:val="0"/>
    <w:pPr>
      <w:ind w:left="840" w:leftChars="400"/>
    </w:pPr>
  </w:style>
  <w:style w:type="paragraph" w:styleId="8">
    <w:name w:val="Plain Text"/>
    <w:basedOn w:val="1"/>
    <w:next w:val="6"/>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2"/>
    <w:basedOn w:val="1"/>
    <w:qFormat/>
    <w:uiPriority w:val="0"/>
    <w:pPr>
      <w:spacing w:after="120" w:afterLines="0" w:line="480" w:lineRule="auto"/>
    </w:pPr>
    <w:rPr>
      <w:sz w:val="21"/>
      <w:szCs w:val="20"/>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Title"/>
    <w:basedOn w:val="1"/>
    <w:next w:val="1"/>
    <w:qFormat/>
    <w:uiPriority w:val="0"/>
    <w:pPr>
      <w:spacing w:before="240" w:after="60"/>
      <w:jc w:val="center"/>
      <w:outlineLvl w:val="0"/>
    </w:pPr>
    <w:rPr>
      <w:rFonts w:ascii="Cambria" w:hAnsi="Cambria"/>
      <w:b/>
      <w:bCs/>
      <w:sz w:val="36"/>
      <w:szCs w:val="32"/>
    </w:rPr>
  </w:style>
  <w:style w:type="paragraph" w:styleId="15">
    <w:name w:val="Body Text First Indent"/>
    <w:basedOn w:val="2"/>
    <w:qFormat/>
    <w:uiPriority w:val="0"/>
    <w:pPr>
      <w:ind w:firstLine="420" w:firstLineChars="100"/>
    </w:pPr>
    <w:rPr>
      <w:rFonts w:ascii="Times New Roman" w:hAnsi="Times New Roman" w:eastAsia="宋体" w:cs="Times New Roman"/>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一级条标题"/>
    <w:basedOn w:val="20"/>
    <w:next w:val="21"/>
    <w:autoRedefine/>
    <w:qFormat/>
    <w:uiPriority w:val="0"/>
    <w:pPr>
      <w:spacing w:line="240" w:lineRule="auto"/>
      <w:ind w:left="420"/>
      <w:outlineLvl w:val="2"/>
    </w:pPr>
  </w:style>
  <w:style w:type="paragraph" w:customStyle="1" w:styleId="20">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1">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2">
    <w:name w:val="引言二级条标题"/>
    <w:basedOn w:val="23"/>
    <w:next w:val="21"/>
    <w:autoRedefine/>
    <w:qFormat/>
    <w:uiPriority w:val="99"/>
    <w:pPr>
      <w:numPr>
        <w:ilvl w:val="1"/>
        <w:numId w:val="1"/>
      </w:numPr>
      <w:tabs>
        <w:tab w:val="left" w:pos="360"/>
        <w:tab w:val="left" w:pos="1200"/>
      </w:tabs>
    </w:pPr>
    <w:rPr>
      <w:b w:val="0"/>
    </w:rPr>
  </w:style>
  <w:style w:type="paragraph" w:customStyle="1" w:styleId="23">
    <w:name w:val="引言一级条标题"/>
    <w:basedOn w:val="1"/>
    <w:next w:val="21"/>
    <w:autoRedefine/>
    <w:qFormat/>
    <w:uiPriority w:val="0"/>
    <w:pPr>
      <w:widowControl/>
      <w:numPr>
        <w:ilvl w:val="0"/>
        <w:numId w:val="2"/>
      </w:numPr>
    </w:pPr>
    <w:rPr>
      <w:rFonts w:eastAsia="黑体"/>
      <w:b/>
      <w:szCs w:val="20"/>
    </w:rPr>
  </w:style>
  <w:style w:type="paragraph" w:customStyle="1" w:styleId="24">
    <w:name w:val="列出段落1"/>
    <w:basedOn w:val="1"/>
    <w:qFormat/>
    <w:uiPriority w:val="34"/>
    <w:pPr>
      <w:ind w:firstLine="420" w:firstLineChars="200"/>
    </w:pPr>
  </w:style>
  <w:style w:type="paragraph" w:customStyle="1" w:styleId="25">
    <w:name w:val="Char"/>
    <w:basedOn w:val="1"/>
    <w:qFormat/>
    <w:uiPriority w:val="0"/>
    <w:pPr>
      <w:tabs>
        <w:tab w:val="left" w:pos="420"/>
      </w:tabs>
      <w:ind w:left="420" w:hanging="420"/>
    </w:pPr>
    <w:rPr>
      <w:rFonts w:ascii="Times New Roman" w:hAnsi="Times New Roman" w:eastAsia="宋体" w:cs="Times New Roman"/>
      <w:szCs w:val="24"/>
    </w:rPr>
  </w:style>
  <w:style w:type="paragraph" w:styleId="26">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27256</Words>
  <Characters>28722</Characters>
  <Lines>0</Lines>
  <Paragraphs>0</Paragraphs>
  <TotalTime>11</TotalTime>
  <ScaleCrop>false</ScaleCrop>
  <LinksUpToDate>false</LinksUpToDate>
  <CharactersWithSpaces>31211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2024-12-18T06:30:00Z</dcterms:created>
  <dc:creator>Administrator</dc:creator>
  <cp:lastModifiedBy>Administrator</cp:lastModifiedBy>
  <dcterms:modified xsi:type="dcterms:W3CDTF">2024-12-25T09:10:15Z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AD7BF48FC49E44709E280C3EE1E77D45_13</vt:lpwstr>
  </property>
</Properties>
</file>