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ascii="宋体" w:hAnsi="宋体"/>
          <w:b/>
          <w:sz w:val="52"/>
          <w:szCs w:val="52"/>
        </w:rPr>
      </w:pPr>
      <w:r>
        <w:rPr>
          <w:rFonts w:hint="eastAsia" w:ascii="宋体" w:hAnsi="宋体" w:cs="华文行楷"/>
          <w:b/>
          <w:sz w:val="52"/>
          <w:szCs w:val="52"/>
          <w:lang w:val="en-US" w:eastAsia="zh-CN"/>
        </w:rPr>
        <w:t>格尔木</w:t>
      </w:r>
      <w:r>
        <w:rPr>
          <w:rFonts w:hint="eastAsia" w:ascii="宋体" w:hAnsi="宋体" w:cs="华文行楷"/>
          <w:b/>
          <w:sz w:val="52"/>
          <w:szCs w:val="52"/>
          <w:lang w:val="zh-CN"/>
        </w:rPr>
        <w:t>市政府采购</w:t>
      </w:r>
    </w:p>
    <w:p>
      <w:pPr>
        <w:autoSpaceDE w:val="0"/>
        <w:autoSpaceDN w:val="0"/>
        <w:adjustRightInd w:val="0"/>
        <w:spacing w:line="360" w:lineRule="auto"/>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jc w:val="center"/>
        <w:rPr>
          <w:rFonts w:hint="eastAsia" w:ascii="方正楷体_GBK" w:hAnsi="宋体" w:eastAsia="方正楷体_GBK" w:cs="华文中宋"/>
          <w:b/>
          <w:color w:val="000000"/>
          <w:sz w:val="84"/>
          <w:szCs w:val="84"/>
          <w:lang w:val="zh-CN"/>
        </w:rPr>
      </w:pPr>
      <w:r>
        <w:rPr>
          <w:rFonts w:hint="eastAsia" w:ascii="方正楷体_GBK" w:hAnsi="宋体" w:eastAsia="方正楷体_GBK" w:cs="华文中宋"/>
          <w:b/>
          <w:color w:val="000000"/>
          <w:sz w:val="84"/>
          <w:szCs w:val="84"/>
          <w:lang w:val="zh-CN"/>
        </w:rPr>
        <w:t>电</w:t>
      </w:r>
      <w:r>
        <w:rPr>
          <w:rFonts w:hint="eastAsia" w:ascii="方正楷体_GBK" w:hAnsi="宋体" w:eastAsia="方正楷体_GBK" w:cs="华文中宋"/>
          <w:b/>
          <w:color w:val="000000"/>
          <w:sz w:val="84"/>
          <w:szCs w:val="84"/>
        </w:rPr>
        <w:t xml:space="preserve"> </w:t>
      </w:r>
      <w:r>
        <w:rPr>
          <w:rFonts w:hint="eastAsia" w:ascii="方正楷体_GBK" w:hAnsi="宋体" w:eastAsia="方正楷体_GBK" w:cs="华文中宋"/>
          <w:b/>
          <w:color w:val="000000"/>
          <w:sz w:val="84"/>
          <w:szCs w:val="84"/>
          <w:lang w:val="zh-CN"/>
        </w:rPr>
        <w:t>子</w:t>
      </w:r>
      <w:r>
        <w:rPr>
          <w:rFonts w:hint="eastAsia" w:ascii="方正楷体_GBK" w:hAnsi="宋体" w:eastAsia="方正楷体_GBK" w:cs="华文中宋"/>
          <w:b/>
          <w:color w:val="000000"/>
          <w:sz w:val="84"/>
          <w:szCs w:val="84"/>
        </w:rPr>
        <w:t xml:space="preserve"> </w:t>
      </w: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utoSpaceDE w:val="0"/>
        <w:autoSpaceDN w:val="0"/>
        <w:adjustRightInd w:val="0"/>
        <w:spacing w:line="360" w:lineRule="auto"/>
        <w:rPr>
          <w:rFonts w:hint="eastAsia" w:ascii="宋体" w:hAnsi="宋体" w:eastAsia="宋体" w:cs="宋体"/>
          <w:color w:val="000000"/>
          <w:kern w:val="0"/>
          <w:sz w:val="36"/>
          <w:szCs w:val="36"/>
          <w:lang w:val="en-US" w:eastAsia="zh-CN"/>
        </w:rPr>
      </w:pPr>
      <w:r>
        <w:rPr>
          <w:rFonts w:hint="eastAsia" w:ascii="宋体" w:hAnsi="宋体" w:cs="宋体"/>
          <w:color w:val="000000"/>
          <w:kern w:val="0"/>
          <w:sz w:val="36"/>
          <w:szCs w:val="36"/>
        </w:rPr>
        <w:t xml:space="preserve"> </w:t>
      </w:r>
      <w:r>
        <w:rPr>
          <w:rFonts w:hint="eastAsia" w:ascii="宋体" w:hAnsi="宋体" w:cs="宋体"/>
          <w:color w:val="000000"/>
          <w:kern w:val="0"/>
          <w:sz w:val="36"/>
          <w:szCs w:val="36"/>
          <w:lang w:val="en-US" w:eastAsia="zh-CN"/>
        </w:rPr>
        <w:t xml:space="preserve"> </w:t>
      </w: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lang w:val="en-US" w:eastAsia="zh-CN"/>
        </w:rPr>
        <w:t>格</w:t>
      </w:r>
      <w:r>
        <w:rPr>
          <w:rFonts w:hint="eastAsia" w:ascii="宋体" w:hAnsi="宋体" w:cs="宋体"/>
          <w:b/>
          <w:bCs/>
          <w:color w:val="000000"/>
          <w:kern w:val="0"/>
          <w:sz w:val="30"/>
          <w:szCs w:val="30"/>
          <w:lang w:val="zh-CN"/>
        </w:rPr>
        <w:t>政采公招（货物）2024-0</w:t>
      </w:r>
      <w:r>
        <w:rPr>
          <w:rFonts w:hint="eastAsia" w:ascii="宋体" w:hAnsi="宋体" w:cs="宋体"/>
          <w:b/>
          <w:bCs/>
          <w:color w:val="000000"/>
          <w:kern w:val="0"/>
          <w:sz w:val="30"/>
          <w:szCs w:val="30"/>
          <w:lang w:val="en-US" w:eastAsia="zh-CN"/>
        </w:rPr>
        <w:t>10</w:t>
      </w:r>
      <w:r>
        <w:rPr>
          <w:rFonts w:hint="eastAsia" w:ascii="宋体" w:hAnsi="宋体" w:cs="宋体"/>
          <w:b/>
          <w:bCs/>
          <w:color w:val="000000"/>
          <w:kern w:val="0"/>
          <w:sz w:val="30"/>
          <w:szCs w:val="30"/>
          <w:lang w:val="zh-CN"/>
        </w:rPr>
        <w:t>号</w:t>
      </w:r>
    </w:p>
    <w:p>
      <w:pPr>
        <w:autoSpaceDE w:val="0"/>
        <w:autoSpaceDN w:val="0"/>
        <w:adjustRightInd w:val="0"/>
        <w:spacing w:line="360" w:lineRule="auto"/>
        <w:ind w:left="2100" w:hanging="2108" w:hangingChars="700"/>
        <w:jc w:val="left"/>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lang w:val="en-US" w:eastAsia="zh-CN"/>
        </w:rPr>
        <w:t>格尔木市重点区域交通环境综合整治方案及道路交通信号灯、电警卡口设备采购项目</w:t>
      </w:r>
    </w:p>
    <w:p>
      <w:pPr>
        <w:autoSpaceDE w:val="0"/>
        <w:autoSpaceDN w:val="0"/>
        <w:adjustRightInd w:val="0"/>
        <w:spacing w:line="360" w:lineRule="auto"/>
        <w:jc w:val="left"/>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单</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位</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w:t>
      </w:r>
      <w:r>
        <w:rPr>
          <w:rFonts w:hint="eastAsia" w:ascii="宋体" w:hAnsi="宋体" w:cs="宋体"/>
          <w:b/>
          <w:bCs/>
          <w:color w:val="000000"/>
          <w:kern w:val="0"/>
          <w:sz w:val="30"/>
          <w:szCs w:val="30"/>
          <w:lang w:val="en-US" w:eastAsia="zh-CN"/>
        </w:rPr>
        <w:t>格尔木市</w:t>
      </w:r>
      <w:r>
        <w:rPr>
          <w:rFonts w:hint="eastAsia" w:ascii="宋体" w:hAnsi="宋体" w:cs="宋体"/>
          <w:b/>
          <w:bCs/>
          <w:color w:val="000000"/>
          <w:kern w:val="0"/>
          <w:sz w:val="30"/>
          <w:szCs w:val="30"/>
          <w:lang w:val="zh-CN"/>
        </w:rPr>
        <w:t>公安局</w:t>
      </w:r>
    </w:p>
    <w:p>
      <w:pPr>
        <w:autoSpaceDE w:val="0"/>
        <w:autoSpaceDN w:val="0"/>
        <w:adjustRightInd w:val="0"/>
        <w:spacing w:line="360" w:lineRule="auto"/>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机</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构：</w:t>
      </w:r>
      <w:r>
        <w:rPr>
          <w:rFonts w:hint="eastAsia" w:ascii="宋体" w:hAnsi="宋体" w:cs="宋体"/>
          <w:b/>
          <w:bCs/>
          <w:color w:val="000000"/>
          <w:kern w:val="0"/>
          <w:sz w:val="30"/>
          <w:szCs w:val="30"/>
          <w:lang w:val="en-US" w:eastAsia="zh-CN"/>
        </w:rPr>
        <w:t>格尔木市政务服务和公共资源交易中心</w:t>
      </w:r>
    </w:p>
    <w:p>
      <w:pPr>
        <w:autoSpaceDE w:val="0"/>
        <w:autoSpaceDN w:val="0"/>
        <w:adjustRightInd w:val="0"/>
        <w:spacing w:line="360" w:lineRule="auto"/>
        <w:jc w:val="center"/>
        <w:rPr>
          <w:rFonts w:hint="eastAsia" w:ascii="宋体" w:hAnsi="宋体" w:cs="宋体"/>
          <w:b/>
          <w:bCs/>
          <w:color w:val="000000"/>
          <w:kern w:val="0"/>
          <w:sz w:val="30"/>
          <w:szCs w:val="30"/>
          <w:lang w:val="zh-CN"/>
        </w:rPr>
      </w:pPr>
    </w:p>
    <w:p>
      <w:pPr>
        <w:pStyle w:val="14"/>
        <w:rPr>
          <w:rFonts w:hint="eastAsia"/>
          <w:lang w:val="zh-CN"/>
        </w:rPr>
      </w:pPr>
    </w:p>
    <w:p>
      <w:pPr>
        <w:pStyle w:val="14"/>
        <w:rPr>
          <w:rFonts w:hint="eastAsia"/>
          <w:lang w:val="zh-CN"/>
        </w:rPr>
      </w:pPr>
    </w:p>
    <w:p>
      <w:pPr>
        <w:autoSpaceDE w:val="0"/>
        <w:autoSpaceDN w:val="0"/>
        <w:adjustRightInd w:val="0"/>
        <w:spacing w:line="360" w:lineRule="auto"/>
        <w:jc w:val="center"/>
        <w:rPr>
          <w:rFonts w:hint="eastAsia" w:ascii="宋体" w:hAnsi="宋体" w:cs="宋体"/>
          <w:b/>
          <w:bCs/>
          <w:color w:val="000000"/>
          <w:kern w:val="0"/>
          <w:sz w:val="30"/>
          <w:szCs w:val="30"/>
          <w:lang w:val="zh-CN"/>
        </w:rPr>
      </w:pPr>
    </w:p>
    <w:p>
      <w:pPr>
        <w:autoSpaceDE w:val="0"/>
        <w:autoSpaceDN w:val="0"/>
        <w:adjustRightInd w:val="0"/>
        <w:spacing w:line="360" w:lineRule="auto"/>
        <w:jc w:val="center"/>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20</w:t>
      </w:r>
      <w:r>
        <w:rPr>
          <w:rFonts w:hint="eastAsia" w:ascii="宋体" w:hAnsi="宋体" w:cs="宋体"/>
          <w:b/>
          <w:bCs/>
          <w:color w:val="000000"/>
          <w:kern w:val="0"/>
          <w:sz w:val="30"/>
          <w:szCs w:val="30"/>
        </w:rPr>
        <w:t>2</w:t>
      </w:r>
      <w:r>
        <w:rPr>
          <w:rFonts w:hint="eastAsia" w:ascii="宋体" w:hAnsi="宋体" w:cs="宋体"/>
          <w:b/>
          <w:bCs/>
          <w:color w:val="000000"/>
          <w:kern w:val="0"/>
          <w:sz w:val="30"/>
          <w:szCs w:val="30"/>
          <w:lang w:val="en-US" w:eastAsia="zh-CN"/>
        </w:rPr>
        <w:t>4</w:t>
      </w:r>
      <w:r>
        <w:rPr>
          <w:rFonts w:hint="eastAsia" w:ascii="宋体" w:hAnsi="宋体" w:cs="宋体"/>
          <w:b/>
          <w:bCs/>
          <w:color w:val="000000"/>
          <w:kern w:val="0"/>
          <w:sz w:val="30"/>
          <w:szCs w:val="30"/>
          <w:lang w:val="zh-CN"/>
        </w:rPr>
        <w:t>年</w:t>
      </w:r>
      <w:r>
        <w:rPr>
          <w:rFonts w:hint="eastAsia" w:ascii="宋体" w:hAnsi="宋体" w:cs="宋体"/>
          <w:b/>
          <w:bCs/>
          <w:color w:val="000000"/>
          <w:kern w:val="0"/>
          <w:sz w:val="30"/>
          <w:szCs w:val="30"/>
          <w:lang w:val="en-US" w:eastAsia="zh-CN"/>
        </w:rPr>
        <w:t>10</w:t>
      </w:r>
      <w:r>
        <w:rPr>
          <w:rFonts w:hint="eastAsia" w:ascii="宋体" w:hAnsi="宋体" w:cs="宋体"/>
          <w:b/>
          <w:bCs/>
          <w:color w:val="000000"/>
          <w:kern w:val="0"/>
          <w:sz w:val="30"/>
          <w:szCs w:val="30"/>
          <w:lang w:val="zh-CN"/>
        </w:rPr>
        <w:t>月</w:t>
      </w:r>
    </w:p>
    <w:p>
      <w:pPr>
        <w:autoSpaceDE w:val="0"/>
        <w:autoSpaceDN w:val="0"/>
        <w:adjustRightInd w:val="0"/>
        <w:spacing w:line="360" w:lineRule="auto"/>
        <w:rPr>
          <w:rFonts w:hint="eastAsia" w:ascii="宋体" w:hAnsi="宋体" w:cs="宋体"/>
          <w:color w:val="000000"/>
          <w:kern w:val="0"/>
          <w:sz w:val="36"/>
          <w:szCs w:val="36"/>
        </w:rPr>
      </w:pPr>
    </w:p>
    <w:p>
      <w:pPr>
        <w:adjustRightInd w:val="0"/>
        <w:spacing w:line="360" w:lineRule="auto"/>
        <w:textAlignment w:val="baseline"/>
        <w:rPr>
          <w:rFonts w:hint="eastAsia" w:ascii="宋体" w:hAnsi="宋体" w:cs="宋体"/>
          <w:b/>
          <w:color w:val="000000"/>
          <w:sz w:val="40"/>
          <w:szCs w:val="30"/>
        </w:rPr>
      </w:pPr>
      <w:r>
        <w:rPr>
          <w:rFonts w:hint="eastAsia" w:ascii="宋体" w:hAnsi="宋体" w:cs="宋体"/>
          <w:b/>
          <w:color w:val="000000"/>
          <w:sz w:val="40"/>
          <w:szCs w:val="30"/>
        </w:rPr>
        <w:t xml:space="preserve">                  </w:t>
      </w:r>
    </w:p>
    <w:p>
      <w:pPr>
        <w:adjustRightInd w:val="0"/>
        <w:spacing w:line="360" w:lineRule="auto"/>
        <w:jc w:val="center"/>
        <w:textAlignment w:val="baseline"/>
        <w:rPr>
          <w:rFonts w:hint="eastAsia" w:ascii="宋体" w:hAnsi="宋体" w:cs="宋体"/>
          <w:color w:val="000000"/>
          <w:sz w:val="40"/>
          <w:szCs w:val="30"/>
        </w:rPr>
      </w:pPr>
      <w:r>
        <w:rPr>
          <w:rFonts w:hint="eastAsia" w:ascii="宋体" w:hAnsi="宋体" w:cs="宋体"/>
          <w:color w:val="000000"/>
          <w:sz w:val="40"/>
          <w:szCs w:val="30"/>
        </w:rPr>
        <w:t>目  录</w:t>
      </w:r>
    </w:p>
    <w:p>
      <w:pPr>
        <w:pStyle w:val="23"/>
        <w:tabs>
          <w:tab w:val="right" w:leader="dot" w:pos="8312"/>
        </w:tabs>
      </w:pPr>
      <w:r>
        <w:rPr>
          <w:rFonts w:hint="eastAsia" w:ascii="宋体" w:hAnsi="宋体" w:cs="宋体"/>
          <w:b w:val="0"/>
          <w:bCs w:val="0"/>
          <w:color w:val="000000"/>
          <w:kern w:val="0"/>
          <w:szCs w:val="24"/>
        </w:rPr>
        <w:fldChar w:fldCharType="begin"/>
      </w:r>
      <w:r>
        <w:rPr>
          <w:rStyle w:val="44"/>
          <w:rFonts w:hint="eastAsia" w:ascii="宋体" w:hAnsi="宋体" w:cs="宋体"/>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_Toc2095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_Toc2095 \h </w:instrText>
      </w:r>
      <w:r>
        <w:fldChar w:fldCharType="separate"/>
      </w:r>
      <w:r>
        <w:t>5</w:t>
      </w:r>
      <w:r>
        <w:fldChar w:fldCharType="end"/>
      </w:r>
      <w:r>
        <w:rPr>
          <w:rFonts w:hint="eastAsia" w:ascii="宋体" w:hAnsi="宋体" w:cs="宋体"/>
          <w:bCs w:val="0"/>
          <w:color w:val="000000"/>
          <w:kern w:val="0"/>
          <w:szCs w:val="24"/>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_Toc9811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_Toc9811 \h </w:instrText>
      </w:r>
      <w:r>
        <w:fldChar w:fldCharType="separate"/>
      </w:r>
      <w:r>
        <w:t>8</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_Toc3021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_Toc3021 \h </w:instrText>
      </w:r>
      <w:r>
        <w:fldChar w:fldCharType="separate"/>
      </w:r>
      <w:r>
        <w:t>8</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_Toc5211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_Toc5211 \h </w:instrText>
      </w:r>
      <w:r>
        <w:fldChar w:fldCharType="separate"/>
      </w:r>
      <w:r>
        <w:t>8</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_Toc9643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_Toc9643 \h </w:instrText>
      </w:r>
      <w:r>
        <w:fldChar w:fldCharType="separate"/>
      </w:r>
      <w:r>
        <w:t>8</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_Toc12030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_Toc12030 \h </w:instrText>
      </w:r>
      <w:r>
        <w:fldChar w:fldCharType="separate"/>
      </w:r>
      <w:r>
        <w:t>8</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_Toc24749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_Toc24749 \h </w:instrText>
      </w:r>
      <w:r>
        <w:fldChar w:fldCharType="separate"/>
      </w:r>
      <w:r>
        <w:t>8</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_Toc4696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_Toc4696 \h </w:instrText>
      </w:r>
      <w:r>
        <w:fldChar w:fldCharType="separate"/>
      </w:r>
      <w:r>
        <w:t>8</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_Toc23073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_Toc23073 \h </w:instrText>
      </w:r>
      <w:r>
        <w:fldChar w:fldCharType="separate"/>
      </w:r>
      <w:r>
        <w:t>8</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_Toc6552 </w:instrText>
      </w:r>
      <w:r>
        <w:rPr>
          <w:rFonts w:hint="eastAsia" w:ascii="宋体" w:hAnsi="宋体" w:cs="宋体"/>
        </w:rPr>
        <w:fldChar w:fldCharType="separate"/>
      </w:r>
      <w:r>
        <w:rPr>
          <w:rFonts w:hint="eastAsia" w:ascii="宋体" w:hAnsi="宋体" w:cs="宋体"/>
          <w:szCs w:val="28"/>
          <w:lang w:val="zh-CN"/>
        </w:rPr>
        <w:t>6.澄清或修改</w:t>
      </w:r>
      <w:r>
        <w:tab/>
      </w:r>
      <w:r>
        <w:fldChar w:fldCharType="begin"/>
      </w:r>
      <w:r>
        <w:instrText xml:space="preserve"> PAGEREF _Toc6552 \h </w:instrText>
      </w:r>
      <w:r>
        <w:fldChar w:fldCharType="separate"/>
      </w:r>
      <w:r>
        <w:t>9</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_Toc20266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_Toc20266 \h </w:instrText>
      </w:r>
      <w:r>
        <w:fldChar w:fldCharType="separate"/>
      </w:r>
      <w:r>
        <w:t>9</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_Toc26947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_Toc26947 \h </w:instrText>
      </w:r>
      <w:r>
        <w:fldChar w:fldCharType="separate"/>
      </w:r>
      <w:r>
        <w:t>9</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_Toc26236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_Toc26236 \h </w:instrText>
      </w:r>
      <w:r>
        <w:fldChar w:fldCharType="separate"/>
      </w:r>
      <w:r>
        <w:t>10</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_Toc22643 </w:instrText>
      </w:r>
      <w:r>
        <w:rPr>
          <w:rFonts w:hint="eastAsia" w:ascii="宋体" w:hAnsi="宋体" w:cs="宋体"/>
        </w:rPr>
        <w:fldChar w:fldCharType="separate"/>
      </w:r>
      <w:r>
        <w:rPr>
          <w:rFonts w:hint="eastAsia" w:ascii="宋体" w:hAnsi="宋体" w:cs="宋体"/>
          <w:szCs w:val="28"/>
        </w:rPr>
        <w:t>9</w:t>
      </w:r>
      <w:r>
        <w:rPr>
          <w:rFonts w:hint="eastAsia" w:ascii="宋体" w:hAnsi="宋体" w:cs="宋体"/>
          <w:szCs w:val="28"/>
          <w:lang w:val="zh-CN"/>
        </w:rPr>
        <w:t>.投标有效期</w:t>
      </w:r>
      <w:r>
        <w:tab/>
      </w:r>
      <w:r>
        <w:fldChar w:fldCharType="begin"/>
      </w:r>
      <w:r>
        <w:instrText xml:space="preserve"> PAGEREF _Toc22643 \h </w:instrText>
      </w:r>
      <w:r>
        <w:fldChar w:fldCharType="separate"/>
      </w:r>
      <w:r>
        <w:t>10</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_Toc8477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0</w:t>
      </w:r>
      <w:r>
        <w:rPr>
          <w:rFonts w:hint="eastAsia" w:ascii="宋体" w:hAnsi="宋体" w:cs="宋体"/>
          <w:szCs w:val="28"/>
          <w:lang w:val="zh-CN"/>
        </w:rPr>
        <w:t>.投标文件构成</w:t>
      </w:r>
      <w:r>
        <w:tab/>
      </w:r>
      <w:r>
        <w:fldChar w:fldCharType="begin"/>
      </w:r>
      <w:r>
        <w:instrText xml:space="preserve"> PAGEREF _Toc8477 \h </w:instrText>
      </w:r>
      <w:r>
        <w:fldChar w:fldCharType="separate"/>
      </w:r>
      <w:r>
        <w:t>10</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_Toc6431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1</w:t>
      </w:r>
      <w:r>
        <w:rPr>
          <w:rFonts w:hint="eastAsia" w:ascii="宋体" w:hAnsi="宋体" w:cs="宋体"/>
          <w:szCs w:val="28"/>
          <w:lang w:val="zh-CN"/>
        </w:rPr>
        <w:t>.投标文件的编制要求</w:t>
      </w:r>
      <w:r>
        <w:tab/>
      </w:r>
      <w:r>
        <w:fldChar w:fldCharType="begin"/>
      </w:r>
      <w:r>
        <w:instrText xml:space="preserve"> PAGEREF _Toc6431 \h </w:instrText>
      </w:r>
      <w:r>
        <w:fldChar w:fldCharType="separate"/>
      </w:r>
      <w:r>
        <w:t>11</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_Toc29189 </w:instrText>
      </w:r>
      <w:r>
        <w:rPr>
          <w:rFonts w:hint="eastAsia" w:ascii="宋体" w:hAnsi="宋体" w:cs="宋体"/>
        </w:rPr>
        <w:fldChar w:fldCharType="separate"/>
      </w:r>
      <w:r>
        <w:rPr>
          <w:rFonts w:hint="eastAsia" w:ascii="宋体" w:hAnsi="宋体" w:cs="宋体"/>
          <w:lang w:val="zh-CN"/>
        </w:rPr>
        <w:t>四、</w:t>
      </w:r>
      <w:r>
        <w:rPr>
          <w:rFonts w:hint="eastAsia" w:ascii="宋体" w:hAnsi="宋体" w:cs="宋体"/>
          <w:kern w:val="0"/>
          <w:lang w:val="zh-CN"/>
        </w:rPr>
        <w:t>电子</w:t>
      </w:r>
      <w:r>
        <w:rPr>
          <w:rFonts w:hint="eastAsia" w:ascii="宋体" w:hAnsi="宋体" w:cs="宋体"/>
          <w:lang w:val="zh-CN"/>
        </w:rPr>
        <w:t>投标文件的上传</w:t>
      </w:r>
      <w:r>
        <w:tab/>
      </w:r>
      <w:r>
        <w:fldChar w:fldCharType="begin"/>
      </w:r>
      <w:r>
        <w:instrText xml:space="preserve"> PAGEREF _Toc29189 \h </w:instrText>
      </w:r>
      <w:r>
        <w:fldChar w:fldCharType="separate"/>
      </w:r>
      <w:r>
        <w:t>11</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_Toc16316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2</w:t>
      </w:r>
      <w:r>
        <w:rPr>
          <w:rFonts w:hint="eastAsia" w:ascii="宋体" w:hAnsi="宋体" w:cs="宋体"/>
          <w:szCs w:val="28"/>
          <w:lang w:val="zh-CN"/>
        </w:rPr>
        <w:t>.</w:t>
      </w:r>
      <w:r>
        <w:rPr>
          <w:rFonts w:hint="eastAsia" w:ascii="宋体" w:hAnsi="宋体" w:cs="宋体"/>
          <w:kern w:val="0"/>
          <w:lang w:val="zh-CN"/>
        </w:rPr>
        <w:t xml:space="preserve"> </w:t>
      </w:r>
      <w:r>
        <w:rPr>
          <w:rFonts w:hint="eastAsia" w:ascii="宋体" w:hAnsi="宋体" w:cs="宋体"/>
          <w:szCs w:val="28"/>
          <w:lang w:val="zh-CN"/>
        </w:rPr>
        <w:t>电子投标文件上传</w:t>
      </w:r>
      <w:r>
        <w:tab/>
      </w:r>
      <w:r>
        <w:fldChar w:fldCharType="begin"/>
      </w:r>
      <w:r>
        <w:instrText xml:space="preserve"> PAGEREF _Toc16316 \h </w:instrText>
      </w:r>
      <w:r>
        <w:fldChar w:fldCharType="separate"/>
      </w:r>
      <w:r>
        <w:t>11</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_Toc15309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3</w:t>
      </w:r>
      <w:r>
        <w:rPr>
          <w:rFonts w:hint="eastAsia" w:ascii="宋体" w:hAnsi="宋体" w:cs="宋体"/>
          <w:szCs w:val="28"/>
          <w:lang w:val="zh-CN"/>
        </w:rPr>
        <w:t>.上传加密电子投标文件的时间、地点、方式</w:t>
      </w:r>
      <w:r>
        <w:tab/>
      </w:r>
      <w:r>
        <w:fldChar w:fldCharType="begin"/>
      </w:r>
      <w:r>
        <w:instrText xml:space="preserve"> PAGEREF _Toc15309 \h </w:instrText>
      </w:r>
      <w:r>
        <w:fldChar w:fldCharType="separate"/>
      </w:r>
      <w:r>
        <w:t>11</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_Toc3244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4</w:t>
      </w:r>
      <w:r>
        <w:rPr>
          <w:rFonts w:hint="eastAsia" w:ascii="宋体" w:hAnsi="宋体" w:cs="宋体"/>
          <w:szCs w:val="28"/>
          <w:lang w:val="zh-CN"/>
        </w:rPr>
        <w:t>.电子投标文件的补充、修改或者撤回</w:t>
      </w:r>
      <w:r>
        <w:tab/>
      </w:r>
      <w:r>
        <w:fldChar w:fldCharType="begin"/>
      </w:r>
      <w:r>
        <w:instrText xml:space="preserve"> PAGEREF _Toc3244 \h </w:instrText>
      </w:r>
      <w:r>
        <w:fldChar w:fldCharType="separate"/>
      </w:r>
      <w:r>
        <w:t>11</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_Toc11471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_Toc11471 \h </w:instrText>
      </w:r>
      <w:r>
        <w:fldChar w:fldCharType="separate"/>
      </w:r>
      <w:r>
        <w:t>12</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_Toc11859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5</w:t>
      </w:r>
      <w:r>
        <w:rPr>
          <w:rFonts w:hint="eastAsia" w:ascii="宋体" w:hAnsi="宋体" w:cs="宋体"/>
          <w:szCs w:val="28"/>
          <w:lang w:val="zh-CN"/>
        </w:rPr>
        <w:t>.开标</w:t>
      </w:r>
      <w:r>
        <w:tab/>
      </w:r>
      <w:r>
        <w:fldChar w:fldCharType="begin"/>
      </w:r>
      <w:r>
        <w:instrText xml:space="preserve"> PAGEREF _Toc11859 \h </w:instrText>
      </w:r>
      <w:r>
        <w:fldChar w:fldCharType="separate"/>
      </w:r>
      <w:r>
        <w:t>12</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_Toc30061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_Toc30061 \h </w:instrText>
      </w:r>
      <w:r>
        <w:fldChar w:fldCharType="separate"/>
      </w:r>
      <w:r>
        <w:t>12</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_Toc10459 </w:instrText>
      </w:r>
      <w:r>
        <w:rPr>
          <w:rFonts w:hint="eastAsia" w:ascii="宋体" w:hAnsi="宋体" w:cs="宋体"/>
        </w:rPr>
        <w:fldChar w:fldCharType="separate"/>
      </w:r>
      <w:r>
        <w:rPr>
          <w:rFonts w:hint="eastAsia" w:ascii="宋体" w:hAnsi="宋体" w:cs="宋体"/>
          <w:szCs w:val="28"/>
        </w:rPr>
        <w:t>16.资格审查</w:t>
      </w:r>
      <w:r>
        <w:tab/>
      </w:r>
      <w:r>
        <w:fldChar w:fldCharType="begin"/>
      </w:r>
      <w:r>
        <w:instrText xml:space="preserve"> PAGEREF _Toc10459 \h </w:instrText>
      </w:r>
      <w:r>
        <w:fldChar w:fldCharType="separate"/>
      </w:r>
      <w:r>
        <w:t>12</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_Toc29010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_Toc29010 \h </w:instrText>
      </w:r>
      <w:r>
        <w:fldChar w:fldCharType="separate"/>
      </w:r>
      <w:r>
        <w:t>12</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_Toc14554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_Toc14554 \h </w:instrText>
      </w:r>
      <w:r>
        <w:fldChar w:fldCharType="separate"/>
      </w:r>
      <w:r>
        <w:t>12</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_Toc25574 </w:instrText>
      </w:r>
      <w:r>
        <w:rPr>
          <w:rFonts w:hint="eastAsia" w:ascii="宋体" w:hAnsi="宋体" w:cs="宋体"/>
        </w:rPr>
        <w:fldChar w:fldCharType="separate"/>
      </w:r>
      <w:r>
        <w:rPr>
          <w:rFonts w:hint="eastAsia" w:ascii="宋体" w:hAnsi="宋体" w:cs="宋体"/>
          <w:szCs w:val="28"/>
        </w:rPr>
        <w:t>18</w:t>
      </w:r>
      <w:r>
        <w:rPr>
          <w:rFonts w:hint="eastAsia" w:ascii="宋体" w:hAnsi="宋体" w:cs="宋体"/>
          <w:szCs w:val="28"/>
          <w:lang w:val="zh-CN"/>
        </w:rPr>
        <w:t>.评审工作程序</w:t>
      </w:r>
      <w:r>
        <w:tab/>
      </w:r>
      <w:r>
        <w:fldChar w:fldCharType="begin"/>
      </w:r>
      <w:r>
        <w:instrText xml:space="preserve"> PAGEREF _Toc25574 \h </w:instrText>
      </w:r>
      <w:r>
        <w:fldChar w:fldCharType="separate"/>
      </w:r>
      <w:r>
        <w:t>14</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_Toc28804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.评审方法和标准</w:t>
      </w:r>
      <w:r>
        <w:tab/>
      </w:r>
      <w:r>
        <w:fldChar w:fldCharType="begin"/>
      </w:r>
      <w:r>
        <w:instrText xml:space="preserve"> PAGEREF _Toc28804 \h </w:instrText>
      </w:r>
      <w:r>
        <w:fldChar w:fldCharType="separate"/>
      </w:r>
      <w:r>
        <w:t>16</w:t>
      </w:r>
      <w:r>
        <w:fldChar w:fldCharType="end"/>
      </w:r>
      <w:r>
        <w:rPr>
          <w:rFonts w:hint="eastAsia" w:ascii="宋体" w:hAnsi="宋体" w:cs="宋体"/>
          <w:color w:val="000000"/>
        </w:rPr>
        <w:fldChar w:fldCharType="end"/>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_Toc10582 </w:instrText>
      </w:r>
      <w:r>
        <w:rPr>
          <w:rFonts w:hint="eastAsia" w:ascii="宋体" w:hAnsi="宋体" w:cs="宋体"/>
        </w:rPr>
        <w:fldChar w:fldCharType="separate"/>
      </w:r>
      <w:r>
        <w:rPr>
          <w:rFonts w:hint="eastAsia" w:ascii="宋体" w:hAnsi="宋体" w:cs="宋体"/>
          <w:lang w:val="zh-CN"/>
        </w:rPr>
        <w:t>八、中标</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6</w:t>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_Toc2829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0</w:t>
      </w:r>
      <w:r>
        <w:rPr>
          <w:rFonts w:hint="eastAsia" w:ascii="宋体" w:hAnsi="宋体" w:cs="宋体"/>
          <w:szCs w:val="28"/>
          <w:lang w:val="zh-CN"/>
        </w:rPr>
        <w:t>.推荐并确定中标人</w:t>
      </w:r>
      <w:r>
        <w:tab/>
      </w:r>
      <w:r>
        <w:fldChar w:fldCharType="begin"/>
      </w:r>
      <w:r>
        <w:instrText xml:space="preserve"> PAGEREF _Toc2829 \h </w:instrText>
      </w:r>
      <w:r>
        <w:fldChar w:fldCharType="separate"/>
      </w:r>
      <w:r>
        <w:t>1</w:t>
      </w:r>
      <w:r>
        <w:rPr>
          <w:rFonts w:hint="eastAsia"/>
          <w:lang w:val="en-US" w:eastAsia="zh-CN"/>
        </w:rPr>
        <w:t>7</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_Toc2263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.中标通知</w:t>
      </w:r>
      <w:r>
        <w:tab/>
      </w:r>
      <w:r>
        <w:fldChar w:fldCharType="begin"/>
      </w:r>
      <w:r>
        <w:instrText xml:space="preserve"> PAGEREF _Toc2263 \h </w:instrText>
      </w:r>
      <w:r>
        <w:fldChar w:fldCharType="separate"/>
      </w:r>
      <w:r>
        <w:t>1</w:t>
      </w:r>
      <w:r>
        <w:rPr>
          <w:rFonts w:hint="eastAsia"/>
          <w:lang w:val="en-US" w:eastAsia="zh-CN"/>
        </w:rPr>
        <w:t>7</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_Toc4187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_Toc4187 \h </w:instrText>
      </w:r>
      <w:r>
        <w:fldChar w:fldCharType="separate"/>
      </w:r>
      <w:r>
        <w:t>1</w:t>
      </w:r>
      <w:r>
        <w:rPr>
          <w:rFonts w:hint="eastAsia"/>
          <w:lang w:val="en-US" w:eastAsia="zh-CN"/>
        </w:rPr>
        <w:t>8</w:t>
      </w:r>
      <w:r>
        <w:fldChar w:fldCharType="end"/>
      </w:r>
      <w:r>
        <w:rPr>
          <w:rFonts w:hint="eastAsia" w:ascii="宋体" w:hAnsi="宋体" w:cs="宋体"/>
          <w:color w:val="000000"/>
        </w:rPr>
        <w:fldChar w:fldCharType="end"/>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_Toc31251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.签订合同</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_Toc29521 </w:instrText>
      </w:r>
      <w:r>
        <w:rPr>
          <w:rFonts w:hint="eastAsia" w:ascii="宋体" w:hAnsi="宋体" w:cs="宋体"/>
        </w:rPr>
        <w:fldChar w:fldCharType="separate"/>
      </w:r>
      <w:r>
        <w:rPr>
          <w:rFonts w:hint="eastAsia" w:ascii="宋体" w:hAnsi="宋体" w:cs="宋体"/>
          <w:lang w:val="zh-CN"/>
        </w:rPr>
        <w:t>十、其他</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_Toc32474 </w:instrText>
      </w:r>
      <w:r>
        <w:rPr>
          <w:rFonts w:hint="eastAsia" w:ascii="宋体" w:hAnsi="宋体" w:cs="宋体"/>
        </w:rPr>
        <w:fldChar w:fldCharType="separate"/>
      </w:r>
      <w:r>
        <w:rPr>
          <w:rFonts w:hint="eastAsia" w:ascii="宋体" w:hAnsi="宋体" w:cs="宋体"/>
          <w:szCs w:val="28"/>
        </w:rPr>
        <w:t>23. 串通投标的情形</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_Toc26401 </w:instrText>
      </w:r>
      <w:r>
        <w:rPr>
          <w:rFonts w:hint="eastAsia" w:ascii="宋体" w:hAnsi="宋体" w:cs="宋体"/>
        </w:rPr>
        <w:fldChar w:fldCharType="separate"/>
      </w:r>
      <w:r>
        <w:rPr>
          <w:rFonts w:hint="eastAsia" w:ascii="宋体" w:hAnsi="宋体" w:cs="宋体"/>
          <w:szCs w:val="28"/>
        </w:rPr>
        <w:t>24. 废标</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_Toc31638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格尔木市政府采购项目合同书范本</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9</w:t>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_Toc3082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_Toc3082 \h </w:instrText>
      </w:r>
      <w:r>
        <w:fldChar w:fldCharType="separate"/>
      </w:r>
      <w:r>
        <w:t>3</w:t>
      </w:r>
      <w:r>
        <w:rPr>
          <w:rFonts w:hint="eastAsia"/>
          <w:lang w:val="en-US" w:eastAsia="zh-CN"/>
        </w:rPr>
        <w:t>0</w:t>
      </w:r>
      <w:r>
        <w:fldChar w:fldCharType="end"/>
      </w:r>
      <w:r>
        <w:rPr>
          <w:rFonts w:hint="eastAsia" w:ascii="宋体" w:hAnsi="宋体" w:cs="宋体"/>
          <w:color w:val="000000"/>
        </w:rPr>
        <w:fldChar w:fldCharType="end"/>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_Toc24087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_Toc24087 \h </w:instrText>
      </w:r>
      <w:r>
        <w:fldChar w:fldCharType="separate"/>
      </w:r>
      <w:r>
        <w:rPr>
          <w:rFonts w:hint="eastAsia"/>
          <w:lang w:val="en-US" w:eastAsia="zh-CN"/>
        </w:rPr>
        <w:t>3</w:t>
      </w:r>
      <w:r>
        <w:fldChar w:fldCharType="end"/>
      </w:r>
      <w:r>
        <w:rPr>
          <w:rFonts w:hint="eastAsia" w:ascii="宋体" w:hAnsi="宋体" w:cs="宋体"/>
          <w:color w:val="000000"/>
        </w:rPr>
        <w:fldChar w:fldCharType="end"/>
      </w:r>
      <w:r>
        <w:rPr>
          <w:rFonts w:hint="eastAsia" w:ascii="宋体" w:hAnsi="宋体" w:cs="宋体"/>
          <w:color w:val="000000"/>
          <w:lang w:val="en-US" w:eastAsia="zh-CN"/>
        </w:rPr>
        <w:t>1</w:t>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_Toc32614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_Toc32614 \h </w:instrText>
      </w:r>
      <w:r>
        <w:fldChar w:fldCharType="separate"/>
      </w:r>
      <w:r>
        <w:t>3</w:t>
      </w:r>
      <w:r>
        <w:rPr>
          <w:rFonts w:hint="eastAsia"/>
          <w:lang w:val="en-US" w:eastAsia="zh-CN"/>
        </w:rPr>
        <w:t>2</w:t>
      </w:r>
      <w:r>
        <w:fldChar w:fldCharType="end"/>
      </w:r>
      <w:r>
        <w:rPr>
          <w:rFonts w:hint="eastAsia" w:ascii="宋体" w:hAnsi="宋体" w:cs="宋体"/>
          <w:color w:val="000000"/>
        </w:rPr>
        <w:fldChar w:fldCharType="end"/>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_Toc14914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3</w:t>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_Toc15810 </w:instrText>
      </w:r>
      <w:r>
        <w:rPr>
          <w:rFonts w:hint="eastAsia" w:ascii="宋体" w:hAnsi="宋体" w:cs="宋体"/>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_Toc15810 \h </w:instrText>
      </w:r>
      <w:r>
        <w:fldChar w:fldCharType="separate"/>
      </w:r>
      <w:r>
        <w:t>3</w:t>
      </w:r>
      <w:r>
        <w:rPr>
          <w:rFonts w:hint="eastAsia"/>
          <w:lang w:val="en-US" w:eastAsia="zh-CN"/>
        </w:rPr>
        <w:t>4</w:t>
      </w:r>
      <w:r>
        <w:fldChar w:fldCharType="end"/>
      </w:r>
      <w:r>
        <w:rPr>
          <w:rFonts w:hint="eastAsia" w:ascii="宋体" w:hAnsi="宋体" w:cs="宋体"/>
          <w:color w:val="000000"/>
        </w:rPr>
        <w:fldChar w:fldCharType="end"/>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_Toc9656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_Toc9656 \h </w:instrText>
      </w:r>
      <w:r>
        <w:fldChar w:fldCharType="separate"/>
      </w:r>
      <w:r>
        <w:t>3</w:t>
      </w:r>
      <w:r>
        <w:rPr>
          <w:rFonts w:hint="eastAsia"/>
          <w:lang w:val="en-US" w:eastAsia="zh-CN"/>
        </w:rPr>
        <w:t>5</w:t>
      </w:r>
      <w:r>
        <w:fldChar w:fldCharType="end"/>
      </w:r>
      <w:r>
        <w:rPr>
          <w:rFonts w:hint="eastAsia" w:ascii="宋体" w:hAnsi="宋体" w:cs="宋体"/>
          <w:color w:val="000000"/>
        </w:rPr>
        <w:fldChar w:fldCharType="end"/>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_Toc10856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6</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_Toc27343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7</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_Toc29095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8</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_Toc10919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9</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_Toc26112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rPr>
          <w:rFonts w:hint="eastAsia"/>
          <w:lang w:val="en-US" w:eastAsia="zh-CN"/>
        </w:rPr>
        <w:t>4</w:t>
      </w:r>
      <w:r>
        <w:rPr>
          <w:rFonts w:hint="eastAsia" w:ascii="宋体" w:hAnsi="宋体" w:cs="宋体"/>
          <w:color w:val="000000"/>
        </w:rPr>
        <w:fldChar w:fldCharType="end"/>
      </w:r>
      <w:r>
        <w:rPr>
          <w:rFonts w:hint="eastAsia" w:ascii="宋体" w:hAnsi="宋体" w:cs="宋体"/>
          <w:color w:val="000000"/>
          <w:lang w:val="en-US" w:eastAsia="zh-CN"/>
        </w:rPr>
        <w:t>0</w:t>
      </w:r>
    </w:p>
    <w:p>
      <w:pPr>
        <w:pStyle w:val="23"/>
        <w:tabs>
          <w:tab w:val="right" w:leader="dot" w:pos="8312"/>
        </w:tabs>
        <w:rPr>
          <w:rFonts w:hint="eastAsia" w:ascii="宋体" w:hAnsi="宋体" w:eastAsia="宋体" w:cs="宋体"/>
          <w:color w:val="000000"/>
          <w:lang w:val="en-US" w:eastAsia="zh-CN"/>
        </w:rPr>
      </w:pPr>
      <w:r>
        <w:rPr>
          <w:rFonts w:hint="eastAsia" w:ascii="宋体" w:hAnsi="宋体" w:cs="宋体"/>
          <w:color w:val="000000"/>
        </w:rPr>
        <w:fldChar w:fldCharType="begin"/>
      </w:r>
      <w:r>
        <w:rPr>
          <w:rFonts w:hint="eastAsia" w:ascii="宋体" w:hAnsi="宋体" w:cs="宋体"/>
        </w:rPr>
        <w:instrText xml:space="preserve"> HYPERLINK \l _Toc21526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rPr>
          <w:rFonts w:hint="eastAsia"/>
          <w:lang w:val="en-US" w:eastAsia="zh-CN"/>
        </w:rPr>
        <w:t>4</w:t>
      </w:r>
      <w:r>
        <w:rPr>
          <w:rFonts w:hint="eastAsia" w:ascii="宋体" w:hAnsi="宋体" w:cs="宋体"/>
          <w:color w:val="000000"/>
        </w:rPr>
        <w:fldChar w:fldCharType="end"/>
      </w:r>
      <w:r>
        <w:rPr>
          <w:rFonts w:hint="eastAsia" w:ascii="宋体" w:hAnsi="宋体" w:cs="宋体"/>
          <w:color w:val="000000"/>
          <w:lang w:val="en-US" w:eastAsia="zh-CN"/>
        </w:rPr>
        <w:t>1</w:t>
      </w:r>
    </w:p>
    <w:p>
      <w:pPr>
        <w:ind w:firstLine="482" w:firstLineChars="200"/>
        <w:rPr>
          <w:rFonts w:hint="default" w:ascii="宋体" w:hAnsi="宋体" w:eastAsia="宋体" w:cs="宋体"/>
          <w:b/>
          <w:bCs/>
          <w:caps/>
          <w:kern w:val="2"/>
          <w:sz w:val="24"/>
          <w:szCs w:val="30"/>
          <w:lang w:val="en-US" w:eastAsia="zh-CN" w:bidi="ar-SA"/>
        </w:rPr>
      </w:pPr>
      <w:r>
        <w:rPr>
          <w:rFonts w:hint="eastAsia" w:ascii="宋体" w:hAnsi="宋体" w:eastAsia="宋体" w:cs="宋体"/>
          <w:b/>
          <w:bCs/>
          <w:caps/>
          <w:kern w:val="2"/>
          <w:sz w:val="24"/>
          <w:szCs w:val="30"/>
          <w:lang w:val="zh-CN" w:eastAsia="zh-CN" w:bidi="ar-SA"/>
        </w:rPr>
        <w:t>（</w:t>
      </w:r>
      <w:r>
        <w:rPr>
          <w:rFonts w:hint="eastAsia" w:ascii="宋体" w:hAnsi="宋体" w:eastAsia="宋体" w:cs="宋体"/>
          <w:b/>
          <w:bCs/>
          <w:caps/>
          <w:kern w:val="2"/>
          <w:sz w:val="24"/>
          <w:szCs w:val="30"/>
          <w:lang w:val="en-US" w:eastAsia="zh-CN" w:bidi="ar-SA"/>
        </w:rPr>
        <w:t>10</w:t>
      </w:r>
      <w:r>
        <w:rPr>
          <w:rFonts w:hint="eastAsia" w:ascii="宋体" w:hAnsi="宋体" w:eastAsia="宋体" w:cs="宋体"/>
          <w:b/>
          <w:bCs/>
          <w:caps/>
          <w:kern w:val="2"/>
          <w:sz w:val="24"/>
          <w:szCs w:val="30"/>
          <w:lang w:val="zh-CN" w:eastAsia="zh-CN" w:bidi="ar-SA"/>
        </w:rPr>
        <w:t>）</w:t>
      </w:r>
      <w:r>
        <w:rPr>
          <w:rFonts w:hint="eastAsia" w:ascii="宋体" w:hAnsi="宋体" w:eastAsia="宋体" w:cs="宋体"/>
          <w:b/>
          <w:bCs/>
          <w:caps/>
          <w:kern w:val="2"/>
          <w:sz w:val="24"/>
          <w:szCs w:val="30"/>
          <w:lang w:val="en-US" w:eastAsia="zh-CN" w:bidi="ar-SA"/>
        </w:rPr>
        <w:t>投标保证金证明...........................................42</w:t>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_Toc28648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_Toc28648 \h </w:instrText>
      </w:r>
      <w:r>
        <w:fldChar w:fldCharType="separate"/>
      </w:r>
      <w:r>
        <w:t>4</w:t>
      </w:r>
      <w:r>
        <w:rPr>
          <w:rFonts w:hint="eastAsia"/>
          <w:lang w:val="en-US" w:eastAsia="zh-CN"/>
        </w:rPr>
        <w:t>3</w:t>
      </w:r>
      <w:r>
        <w:fldChar w:fldCharType="end"/>
      </w:r>
      <w:r>
        <w:rPr>
          <w:rFonts w:hint="eastAsia" w:ascii="宋体" w:hAnsi="宋体" w:cs="宋体"/>
          <w:color w:val="000000"/>
        </w:rPr>
        <w:fldChar w:fldCharType="end"/>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_Toc22247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1</w:t>
      </w:r>
      <w:r>
        <w:rPr>
          <w:rFonts w:hint="eastAsia" w:ascii="宋体" w:hAnsi="宋体" w:cs="宋体"/>
          <w:szCs w:val="30"/>
        </w:rPr>
        <w:t>）</w:t>
      </w:r>
      <w:r>
        <w:rPr>
          <w:rFonts w:hint="eastAsia" w:ascii="宋体" w:hAnsi="宋体" w:cs="宋体"/>
          <w:szCs w:val="30"/>
          <w:lang w:val="zh-CN"/>
        </w:rPr>
        <w:t>评分对照表</w:t>
      </w:r>
      <w:r>
        <w:tab/>
      </w:r>
      <w:r>
        <w:rPr>
          <w:rFonts w:hint="eastAsia"/>
          <w:lang w:val="en-US" w:eastAsia="zh-CN"/>
        </w:rPr>
        <w:t>4</w:t>
      </w:r>
      <w:r>
        <w:rPr>
          <w:rFonts w:hint="eastAsia" w:ascii="宋体" w:hAnsi="宋体" w:cs="宋体"/>
          <w:color w:val="000000"/>
        </w:rPr>
        <w:fldChar w:fldCharType="end"/>
      </w:r>
      <w:r>
        <w:rPr>
          <w:rFonts w:hint="eastAsia" w:ascii="宋体" w:hAnsi="宋体" w:cs="宋体"/>
          <w:color w:val="000000"/>
          <w:lang w:val="en-US" w:eastAsia="zh-CN"/>
        </w:rPr>
        <w:t>6</w:t>
      </w:r>
    </w:p>
    <w:p>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_Toc27769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2</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_Toc27769 \h </w:instrText>
      </w:r>
      <w:r>
        <w:fldChar w:fldCharType="separate"/>
      </w:r>
      <w:r>
        <w:t>4</w:t>
      </w:r>
      <w:r>
        <w:rPr>
          <w:rFonts w:hint="eastAsia"/>
          <w:lang w:val="en-US" w:eastAsia="zh-CN"/>
        </w:rPr>
        <w:t>7</w:t>
      </w:r>
      <w:r>
        <w:fldChar w:fldCharType="end"/>
      </w:r>
      <w:r>
        <w:rPr>
          <w:rFonts w:hint="eastAsia" w:ascii="宋体" w:hAnsi="宋体" w:cs="宋体"/>
          <w:color w:val="000000"/>
        </w:rPr>
        <w:fldChar w:fldCharType="end"/>
      </w:r>
    </w:p>
    <w:p>
      <w:pPr>
        <w:pStyle w:val="23"/>
        <w:tabs>
          <w:tab w:val="right" w:leader="dot" w:pos="8312"/>
        </w:tabs>
        <w:rPr>
          <w:rFonts w:hint="default" w:ascii="宋体" w:hAnsi="宋体" w:eastAsia="宋体" w:cs="宋体"/>
          <w:szCs w:val="30"/>
          <w:lang w:val="en-US" w:eastAsia="zh-CN"/>
        </w:rPr>
      </w:pPr>
      <w:r>
        <w:rPr>
          <w:rFonts w:hint="eastAsia" w:ascii="宋体" w:hAnsi="宋体" w:cs="宋体"/>
          <w:color w:val="000000"/>
        </w:rPr>
        <w:fldChar w:fldCharType="begin"/>
      </w:r>
      <w:r>
        <w:rPr>
          <w:rFonts w:hint="eastAsia" w:ascii="宋体" w:hAnsi="宋体" w:cs="宋体"/>
        </w:rPr>
        <w:instrText xml:space="preserve"> HYPERLINK \l _Toc7750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3</w:t>
      </w:r>
      <w:r>
        <w:rPr>
          <w:rFonts w:hint="eastAsia" w:ascii="宋体" w:hAnsi="宋体" w:cs="宋体"/>
          <w:szCs w:val="30"/>
        </w:rPr>
        <w:t>）</w:t>
      </w:r>
      <w:r>
        <w:rPr>
          <w:rFonts w:hint="eastAsia" w:ascii="宋体" w:hAnsi="宋体" w:cs="宋体"/>
          <w:szCs w:val="30"/>
          <w:lang w:val="en-US" w:eastAsia="zh-CN"/>
        </w:rPr>
        <w:t>分项报价标...............................................48</w:t>
      </w:r>
    </w:p>
    <w:p>
      <w:pPr>
        <w:pStyle w:val="23"/>
        <w:tabs>
          <w:tab w:val="right" w:leader="dot" w:pos="8312"/>
        </w:tabs>
        <w:rPr>
          <w:rFonts w:hint="default" w:ascii="宋体" w:hAnsi="宋体" w:eastAsia="宋体" w:cs="宋体"/>
          <w:szCs w:val="30"/>
          <w:lang w:val="en-US" w:eastAsia="zh-CN"/>
        </w:rPr>
      </w:pPr>
      <w:r>
        <w:rPr>
          <w:rFonts w:hint="eastAsia" w:ascii="宋体" w:hAnsi="宋体" w:cs="宋体"/>
          <w:szCs w:val="30"/>
          <w:lang w:val="en-US" w:eastAsia="zh-CN"/>
        </w:rPr>
        <w:t>(14)技术规格响应表.............................................49</w:t>
      </w:r>
    </w:p>
    <w:p>
      <w:pPr>
        <w:pStyle w:val="23"/>
        <w:tabs>
          <w:tab w:val="right" w:leader="dot" w:pos="8312"/>
        </w:tabs>
        <w:rPr>
          <w:rFonts w:hint="eastAsia" w:eastAsia="宋体"/>
          <w:lang w:val="en-US" w:eastAsia="zh-CN"/>
        </w:rPr>
      </w:pPr>
      <w:r>
        <w:rPr>
          <w:rFonts w:hint="eastAsia" w:ascii="宋体" w:hAnsi="宋体" w:cs="宋体"/>
          <w:szCs w:val="30"/>
          <w:lang w:val="zh-CN"/>
        </w:rPr>
        <w:t>（</w:t>
      </w:r>
      <w:r>
        <w:rPr>
          <w:rFonts w:hint="eastAsia" w:ascii="宋体" w:hAnsi="宋体" w:cs="宋体"/>
          <w:szCs w:val="30"/>
          <w:lang w:val="en-US" w:eastAsia="zh-CN"/>
        </w:rPr>
        <w:t>15</w:t>
      </w:r>
      <w:r>
        <w:rPr>
          <w:rFonts w:hint="eastAsia" w:ascii="宋体" w:hAnsi="宋体" w:cs="宋体"/>
          <w:szCs w:val="30"/>
          <w:lang w:val="zh-CN"/>
        </w:rPr>
        <w:t>）投标产品相关资料</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0</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_Toc31428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6</w:t>
      </w:r>
      <w:r>
        <w:rPr>
          <w:rFonts w:hint="eastAsia" w:ascii="宋体" w:hAnsi="宋体" w:cs="宋体"/>
          <w:szCs w:val="30"/>
        </w:rPr>
        <w:t>）</w:t>
      </w:r>
      <w:r>
        <w:rPr>
          <w:rFonts w:hint="eastAsia" w:ascii="宋体" w:hAnsi="宋体" w:cs="宋体"/>
          <w:szCs w:val="30"/>
          <w:lang w:val="zh-CN"/>
        </w:rPr>
        <w:t>投标人的类似业绩证明材料</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1</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_Toc29863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w:t>
      </w:r>
      <w:r>
        <w:rPr>
          <w:rFonts w:hint="eastAsia" w:ascii="宋体" w:hAnsi="宋体" w:cs="宋体"/>
          <w:szCs w:val="30"/>
          <w:lang w:val="en-US" w:eastAsia="zh-CN"/>
        </w:rPr>
        <w:t>中小</w:t>
      </w:r>
      <w:r>
        <w:rPr>
          <w:rFonts w:hint="eastAsia" w:ascii="宋体" w:hAnsi="宋体" w:cs="宋体"/>
          <w:szCs w:val="30"/>
          <w:lang w:val="zh-CN"/>
        </w:rPr>
        <w:t>企业声明函</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2</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_Toc30541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w:t>
      </w:r>
      <w:r>
        <w:rPr>
          <w:rFonts w:hint="eastAsia" w:ascii="宋体" w:hAnsi="宋体" w:cs="宋体"/>
          <w:bCs w:val="0"/>
          <w:szCs w:val="28"/>
          <w:lang w:val="en-US" w:eastAsia="zh-CN"/>
        </w:rPr>
        <w:t>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3</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_Toc15660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9</w:t>
      </w:r>
      <w:r>
        <w:rPr>
          <w:rFonts w:hint="eastAsia" w:ascii="宋体" w:hAnsi="宋体" w:cs="宋体"/>
          <w:szCs w:val="30"/>
        </w:rPr>
        <w:t>）</w:t>
      </w:r>
      <w:r>
        <w:rPr>
          <w:rFonts w:hint="eastAsia" w:ascii="宋体" w:hAnsi="宋体" w:cs="宋体"/>
          <w:szCs w:val="30"/>
          <w:lang w:val="zh-CN"/>
        </w:rPr>
        <w:t>投标人认为在其他方面有必要说明的事项</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4</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_Toc5744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5</w:t>
      </w:r>
    </w:p>
    <w:p>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_Toc4972 </w:instrText>
      </w:r>
      <w:r>
        <w:rPr>
          <w:rFonts w:hint="eastAsia" w:ascii="宋体" w:hAnsi="宋体" w:cs="宋体"/>
        </w:rPr>
        <w:fldChar w:fldCharType="separate"/>
      </w:r>
      <w:r>
        <w:rPr>
          <w:rFonts w:hint="eastAsia" w:ascii="宋体" w:hAnsi="宋体" w:cs="宋体"/>
          <w:szCs w:val="28"/>
          <w:lang w:val="zh-CN"/>
        </w:rPr>
        <w:t>1.投标说明</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5</w:t>
      </w:r>
    </w:p>
    <w:p>
      <w:pPr>
        <w:pStyle w:val="23"/>
        <w:tabs>
          <w:tab w:val="right" w:leader="dot" w:pos="8312"/>
        </w:tabs>
      </w:pPr>
    </w:p>
    <w:p>
      <w:pPr>
        <w:spacing w:line="400" w:lineRule="exact"/>
        <w:rPr>
          <w:rFonts w:ascii="宋体" w:hAnsi="宋体" w:cs="宋体"/>
          <w:color w:val="000000"/>
        </w:rPr>
      </w:pPr>
      <w:r>
        <w:rPr>
          <w:rFonts w:hint="eastAsia" w:ascii="宋体" w:hAnsi="宋体" w:cs="宋体"/>
          <w:color w:val="000000"/>
        </w:rPr>
        <w:fldChar w:fldCharType="end"/>
      </w:r>
      <w:r>
        <w:rPr>
          <w:rFonts w:hint="eastAsia" w:ascii="宋体" w:hAnsi="宋体" w:cs="宋体"/>
          <w:color w:val="000000"/>
        </w:rPr>
        <w:t xml:space="preserve">    </w:t>
      </w:r>
    </w:p>
    <w:p>
      <w:pPr>
        <w:pStyle w:val="28"/>
        <w:spacing w:before="0" w:after="0" w:line="360" w:lineRule="auto"/>
        <w:rPr>
          <w:rFonts w:hint="eastAsia" w:ascii="宋体" w:hAnsi="宋体" w:cs="宋体"/>
          <w:color w:val="000000"/>
          <w:szCs w:val="36"/>
          <w:lang w:val="zh-CN"/>
        </w:rPr>
      </w:pPr>
      <w:r>
        <w:rPr>
          <w:rFonts w:hint="eastAsia" w:ascii="宋体" w:hAnsi="宋体" w:cs="宋体"/>
          <w:color w:val="000000"/>
        </w:rPr>
        <w:br w:type="page"/>
      </w:r>
      <w:bookmarkStart w:id="0" w:name="_Toc2095"/>
      <w:r>
        <w:rPr>
          <w:rFonts w:hint="eastAsia" w:ascii="宋体" w:hAnsi="宋体" w:cs="宋体"/>
          <w:color w:val="000000"/>
          <w:szCs w:val="36"/>
          <w:lang w:val="zh-CN"/>
        </w:rPr>
        <w:t>第一部分  投标邀请</w:t>
      </w:r>
      <w:bookmarkEnd w:id="0"/>
    </w:p>
    <w:p>
      <w:pPr>
        <w:jc w:val="center"/>
        <w:rPr>
          <w:rFonts w:hint="eastAsia"/>
          <w:sz w:val="44"/>
        </w:rPr>
      </w:pPr>
      <w:r>
        <w:rPr>
          <w:rFonts w:hint="eastAsia"/>
          <w:sz w:val="44"/>
        </w:rPr>
        <w:t>公开招标公告</w:t>
      </w:r>
    </w:p>
    <w:p>
      <w:pPr>
        <w:rPr>
          <w:rFonts w:hint="eastAsia"/>
          <w:lang w:val="zh-CN"/>
        </w:rPr>
      </w:pPr>
    </w:p>
    <w:tbl>
      <w:tblPr>
        <w:tblStyle w:val="33"/>
        <w:tblW w:w="9921" w:type="dxa"/>
        <w:jc w:val="center"/>
        <w:tblLayout w:type="fixed"/>
        <w:tblCellMar>
          <w:top w:w="0" w:type="dxa"/>
          <w:left w:w="108" w:type="dxa"/>
          <w:bottom w:w="0" w:type="dxa"/>
          <w:right w:w="108" w:type="dxa"/>
        </w:tblCellMar>
      </w:tblPr>
      <w:tblGrid>
        <w:gridCol w:w="2459"/>
        <w:gridCol w:w="7462"/>
      </w:tblGrid>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bookmarkStart w:id="1" w:name="OLE_LINK1"/>
            <w:r>
              <w:rPr>
                <w:rFonts w:hint="eastAsia" w:ascii="宋体" w:hAnsi="宋体" w:eastAsia="宋体" w:cs="宋体"/>
                <w:color w:val="000000"/>
                <w:kern w:val="0"/>
                <w:lang w:val="zh-CN"/>
              </w:rPr>
              <w:t>采购项目编号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eastAsia="宋体" w:cs="Times New Roman"/>
                <w:color w:val="000000"/>
                <w:spacing w:val="-2"/>
                <w:kern w:val="16"/>
                <w:lang w:eastAsia="zh-CN"/>
              </w:rPr>
              <w:t>格政采公招（货物）2024-010号</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采购项目名称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Times New Roman"/>
                <w:color w:val="000000"/>
                <w:spacing w:val="-2"/>
                <w:kern w:val="16"/>
                <w:lang w:val="zh-CN" w:eastAsia="zh-CN"/>
              </w:rPr>
              <w:t>格尔木市重点区域交通环境综合整治方案及道路交通信号灯、电警卡口设备采购项目</w:t>
            </w:r>
          </w:p>
        </w:tc>
      </w:tr>
      <w:tr>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采购预算额度</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620" w:lineRule="exact"/>
              <w:jc w:val="left"/>
              <w:outlineLvl w:val="2"/>
              <w:rPr>
                <w:rFonts w:hint="eastAsia" w:ascii="宋体" w:hAnsi="宋体" w:eastAsia="宋体" w:cs="Times New Roman"/>
                <w:bCs/>
                <w:kern w:val="0"/>
              </w:rPr>
            </w:pPr>
            <w:r>
              <w:rPr>
                <w:rFonts w:hint="eastAsia" w:ascii="宋体" w:hAnsi="宋体" w:eastAsia="宋体" w:cs="宋体"/>
                <w:color w:val="000000"/>
                <w:kern w:val="0"/>
                <w:lang w:val="en-US" w:eastAsia="zh-CN"/>
              </w:rPr>
              <w:t>219.3683万元</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rPr>
            </w:pPr>
            <w:r>
              <w:rPr>
                <w:rFonts w:hint="eastAsia" w:ascii="宋体" w:hAnsi="宋体" w:eastAsia="宋体" w:cs="宋体"/>
                <w:color w:val="000000"/>
                <w:kern w:val="0"/>
              </w:rPr>
              <w:t>最高限价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en-US" w:eastAsia="zh-CN"/>
              </w:rPr>
              <w:t>219.3683万元</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项目分包个数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en-US" w:eastAsia="zh-CN"/>
              </w:rPr>
              <w:t>无分包</w:t>
            </w:r>
          </w:p>
        </w:tc>
      </w:tr>
      <w:tr>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各包要求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具体内容详见《招标文件》</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各包投标人资格要求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1、符合《</w:t>
            </w:r>
            <w:r>
              <w:rPr>
                <w:rFonts w:hint="eastAsia" w:ascii="宋体" w:hAnsi="宋体" w:cs="宋体"/>
                <w:color w:val="000000"/>
                <w:kern w:val="0"/>
                <w:lang w:val="zh-CN"/>
              </w:rPr>
              <w:t>中华人民共和国政府采购法》第二十二条</w:t>
            </w:r>
            <w:r>
              <w:rPr>
                <w:rFonts w:hint="eastAsia" w:ascii="宋体" w:hAnsi="宋体" w:eastAsia="宋体" w:cs="宋体"/>
                <w:color w:val="000000"/>
                <w:kern w:val="0"/>
                <w:lang w:val="zh-CN"/>
              </w:rPr>
              <w:t>条件，并提供下列材料：</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&lt;1&gt;投标人的营业执照等证明文件，自然人的身份证明。</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&lt;2&gt;财务状况报告，依法缴纳税收和社会保障资金的相关材料。</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&lt;3&gt;具备履行合同所必需的设备和专业技术能力的证明材料。</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&lt;4&gt;参加政府采购活动前3年内在经营活动中没有重大违法记录的书面声明。</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&lt;5&gt;具备法律、行政法规规定的其他条件的证明材料。</w:t>
            </w:r>
          </w:p>
          <w:p>
            <w:pPr>
              <w:autoSpaceDE w:val="0"/>
              <w:autoSpaceDN w:val="0"/>
              <w:spacing w:line="360" w:lineRule="auto"/>
              <w:rPr>
                <w:rFonts w:ascii="宋体" w:hAnsi="宋体" w:eastAsia="宋体" w:cs="宋体"/>
                <w:b/>
                <w:color w:val="000000"/>
                <w:kern w:val="0"/>
                <w:lang w:val="zh-CN"/>
              </w:rPr>
            </w:pPr>
            <w:r>
              <w:rPr>
                <w:rFonts w:ascii="宋体" w:hAnsi="宋体" w:eastAsia="宋体" w:cs="宋体"/>
                <w:b/>
                <w:color w:val="000000"/>
                <w:kern w:val="0"/>
                <w:lang w:val="zh-CN"/>
              </w:rPr>
              <w:t>2</w:t>
            </w:r>
            <w:r>
              <w:rPr>
                <w:rFonts w:hint="eastAsia" w:ascii="宋体" w:hAnsi="宋体" w:eastAsia="宋体" w:cs="宋体"/>
                <w:b/>
                <w:color w:val="000000"/>
                <w:kern w:val="0"/>
                <w:lang w:val="zh-CN"/>
              </w:rPr>
              <w:t>、</w:t>
            </w:r>
            <w:r>
              <w:rPr>
                <w:rFonts w:hint="eastAsia" w:ascii="宋体" w:hAnsi="宋体" w:eastAsia="宋体" w:cs="宋体"/>
                <w:color w:val="000000"/>
                <w:kern w:val="0"/>
                <w:lang w:val="zh-CN"/>
              </w:rPr>
              <w:t>经信用中国（www.creditchina.gov.cn）、中国政府采购网（www.ccgp.gov.cn）等渠道查询后，列入失信被执行人、</w:t>
            </w:r>
            <w:r>
              <w:rPr>
                <w:rFonts w:hint="eastAsia" w:ascii="宋体" w:hAnsi="宋体" w:eastAsia="宋体" w:cs="宋体"/>
                <w:color w:val="000000"/>
                <w:kern w:val="0"/>
                <w:lang w:val="en-US" w:eastAsia="zh-CN"/>
              </w:rPr>
              <w:t>重大税收违法失信主体</w:t>
            </w:r>
            <w:r>
              <w:rPr>
                <w:rFonts w:hint="eastAsia" w:ascii="宋体" w:hAnsi="宋体" w:eastAsia="宋体" w:cs="宋体"/>
                <w:color w:val="000000"/>
                <w:kern w:val="0"/>
                <w:lang w:val="zh-CN"/>
              </w:rPr>
              <w:t>、政府采购严重违法失信行为记录名单的，取消投标资格。</w:t>
            </w:r>
            <w:r>
              <w:rPr>
                <w:rFonts w:hint="eastAsia" w:ascii="宋体" w:hAnsi="宋体" w:eastAsia="宋体" w:cs="宋体"/>
                <w:b/>
                <w:kern w:val="0"/>
              </w:rPr>
              <w:t>（</w:t>
            </w:r>
            <w:r>
              <w:rPr>
                <w:rFonts w:hint="eastAsia"/>
                <w:b/>
                <w:bCs/>
              </w:rPr>
              <w:t>提供网站的查询截图，时间为投标截止时间前20天内</w:t>
            </w:r>
            <w:r>
              <w:rPr>
                <w:rFonts w:hint="eastAsia" w:ascii="宋体" w:hAnsi="宋体" w:eastAsia="宋体" w:cs="宋体"/>
                <w:b/>
                <w:kern w:val="0"/>
              </w:rPr>
              <w:t>）</w:t>
            </w:r>
            <w:r>
              <w:rPr>
                <w:rFonts w:hint="eastAsia" w:ascii="宋体" w:hAnsi="宋体" w:eastAsia="宋体" w:cs="宋体"/>
                <w:b/>
                <w:color w:val="000000"/>
                <w:kern w:val="0"/>
              </w:rPr>
              <w:t>；</w:t>
            </w:r>
          </w:p>
          <w:p>
            <w:pPr>
              <w:autoSpaceDE w:val="0"/>
              <w:autoSpaceDN w:val="0"/>
              <w:spacing w:line="360" w:lineRule="auto"/>
              <w:rPr>
                <w:rFonts w:hint="eastAsia" w:ascii="宋体" w:hAnsi="宋体" w:eastAsia="宋体" w:cs="宋体"/>
                <w:color w:val="000000"/>
                <w:kern w:val="0"/>
                <w:lang w:val="zh-CN"/>
              </w:rPr>
            </w:pPr>
            <w:r>
              <w:rPr>
                <w:rFonts w:ascii="宋体" w:hAnsi="宋体" w:eastAsia="宋体" w:cs="宋体"/>
                <w:color w:val="000000"/>
                <w:kern w:val="0"/>
                <w:lang w:val="zh-CN"/>
              </w:rPr>
              <w:t>3</w:t>
            </w:r>
            <w:r>
              <w:rPr>
                <w:rFonts w:hint="eastAsia" w:ascii="宋体" w:hAnsi="宋体" w:eastAsia="宋体" w:cs="宋体"/>
                <w:color w:val="000000"/>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hint="eastAsia" w:ascii="宋体" w:hAnsi="宋体" w:eastAsia="宋体" w:cs="宋体"/>
                <w:color w:val="000000"/>
                <w:kern w:val="0"/>
                <w:lang w:val="zh-CN"/>
              </w:rPr>
            </w:pPr>
            <w:r>
              <w:rPr>
                <w:rFonts w:ascii="宋体" w:hAnsi="宋体" w:eastAsia="宋体" w:cs="宋体"/>
                <w:color w:val="000000"/>
                <w:kern w:val="0"/>
                <w:lang w:val="zh-CN"/>
              </w:rPr>
              <w:t>4</w:t>
            </w:r>
            <w:r>
              <w:rPr>
                <w:rFonts w:hint="eastAsia" w:ascii="宋体" w:hAnsi="宋体" w:eastAsia="宋体" w:cs="宋体"/>
                <w:color w:val="000000"/>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5</w:t>
            </w:r>
            <w:r>
              <w:rPr>
                <w:rFonts w:hint="eastAsia" w:ascii="宋体" w:hAnsi="宋体" w:eastAsia="宋体" w:cs="宋体"/>
                <w:color w:val="000000"/>
                <w:kern w:val="0"/>
                <w:lang w:val="zh-CN"/>
              </w:rPr>
              <w:t>、本项目不接受联合体方式进行投标；</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6</w:t>
            </w:r>
            <w:r>
              <w:rPr>
                <w:rFonts w:hint="eastAsia" w:ascii="宋体" w:hAnsi="宋体" w:eastAsia="宋体" w:cs="宋体"/>
                <w:color w:val="000000"/>
                <w:kern w:val="0"/>
                <w:lang w:val="zh-CN"/>
              </w:rPr>
              <w:t>、满足招标文件的其他资质条件。</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公告发布时间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20</w:t>
            </w:r>
            <w:r>
              <w:rPr>
                <w:rFonts w:hint="eastAsia" w:ascii="宋体" w:hAnsi="宋体" w:eastAsia="宋体" w:cs="宋体"/>
                <w:b/>
                <w:bCs/>
                <w:color w:val="auto"/>
                <w:kern w:val="0"/>
              </w:rPr>
              <w:t>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rPr>
              <w:t>年</w:t>
            </w:r>
            <w:r>
              <w:rPr>
                <w:rFonts w:hint="eastAsia" w:ascii="宋体" w:hAnsi="宋体" w:cs="宋体"/>
                <w:b/>
                <w:bCs/>
                <w:color w:val="auto"/>
                <w:kern w:val="0"/>
                <w:lang w:val="en-US" w:eastAsia="zh-CN"/>
              </w:rPr>
              <w:t>10</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31</w:t>
            </w:r>
            <w:r>
              <w:rPr>
                <w:rFonts w:hint="eastAsia" w:ascii="宋体" w:hAnsi="宋体" w:eastAsia="宋体" w:cs="宋体"/>
                <w:b/>
                <w:bCs/>
                <w:color w:val="auto"/>
                <w:kern w:val="0"/>
                <w:lang w:val="zh-CN"/>
              </w:rPr>
              <w:t>日</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获取招标文件的时间期限</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20</w:t>
            </w:r>
            <w:r>
              <w:rPr>
                <w:rFonts w:hint="eastAsia" w:ascii="宋体" w:hAnsi="宋体" w:eastAsia="宋体" w:cs="宋体"/>
                <w:b/>
                <w:bCs/>
                <w:color w:val="auto"/>
                <w:kern w:val="0"/>
              </w:rPr>
              <w:t>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rPr>
              <w:t>年</w:t>
            </w:r>
            <w:r>
              <w:rPr>
                <w:rFonts w:hint="eastAsia" w:ascii="宋体" w:hAnsi="宋体" w:cs="宋体"/>
                <w:b/>
                <w:bCs/>
                <w:color w:val="auto"/>
                <w:kern w:val="0"/>
                <w:lang w:val="en-US" w:eastAsia="zh-CN"/>
              </w:rPr>
              <w:t>10</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31</w:t>
            </w:r>
            <w:r>
              <w:rPr>
                <w:rFonts w:hint="eastAsia" w:ascii="宋体" w:hAnsi="宋体" w:eastAsia="宋体" w:cs="宋体"/>
                <w:b/>
                <w:bCs/>
                <w:color w:val="auto"/>
                <w:kern w:val="0"/>
                <w:lang w:val="zh-CN"/>
              </w:rPr>
              <w:t>日至</w:t>
            </w:r>
            <w:r>
              <w:rPr>
                <w:rFonts w:hint="eastAsia" w:ascii="宋体" w:hAnsi="宋体" w:eastAsia="宋体" w:cs="宋体"/>
                <w:b/>
                <w:bCs/>
                <w:color w:val="auto"/>
                <w:kern w:val="0"/>
              </w:rPr>
              <w:t>202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rPr>
              <w:t>年</w:t>
            </w:r>
            <w:r>
              <w:rPr>
                <w:rFonts w:hint="eastAsia" w:ascii="宋体" w:hAnsi="宋体" w:cs="宋体"/>
                <w:b/>
                <w:bCs/>
                <w:color w:val="auto"/>
                <w:kern w:val="0"/>
                <w:lang w:val="en-US" w:eastAsia="zh-CN"/>
              </w:rPr>
              <w:t>12</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 xml:space="preserve">6 </w:t>
            </w:r>
            <w:r>
              <w:rPr>
                <w:rFonts w:hint="eastAsia" w:ascii="宋体" w:hAnsi="宋体" w:eastAsia="宋体" w:cs="宋体"/>
                <w:b/>
                <w:bCs/>
                <w:color w:val="auto"/>
                <w:kern w:val="0"/>
                <w:lang w:val="zh-CN"/>
              </w:rPr>
              <w:t>日（节假日除外），</w:t>
            </w:r>
            <w:r>
              <w:rPr>
                <w:rFonts w:hint="eastAsia" w:ascii="宋体" w:hAnsi="宋体" w:eastAsia="宋体" w:cs="宋体"/>
                <w:b/>
                <w:bCs/>
                <w:color w:val="auto"/>
                <w:kern w:val="0"/>
                <w:lang w:val="en-US" w:eastAsia="zh-CN"/>
              </w:rPr>
              <w:t>00</w:t>
            </w:r>
            <w:r>
              <w:rPr>
                <w:rFonts w:hint="eastAsia" w:ascii="宋体" w:hAnsi="宋体" w:eastAsia="宋体" w:cs="宋体"/>
                <w:b/>
                <w:bCs/>
                <w:color w:val="auto"/>
                <w:kern w:val="0"/>
                <w:lang w:val="zh-CN"/>
              </w:rPr>
              <w:t>:</w:t>
            </w:r>
            <w:r>
              <w:rPr>
                <w:rFonts w:hint="eastAsia" w:ascii="宋体" w:hAnsi="宋体" w:eastAsia="宋体" w:cs="宋体"/>
                <w:b/>
                <w:bCs/>
                <w:color w:val="auto"/>
                <w:kern w:val="0"/>
              </w:rPr>
              <w:t>00</w:t>
            </w:r>
            <w:r>
              <w:rPr>
                <w:rFonts w:hint="eastAsia" w:ascii="宋体" w:hAnsi="宋体" w:eastAsia="宋体" w:cs="宋体"/>
                <w:b/>
                <w:bCs/>
                <w:color w:val="auto"/>
                <w:kern w:val="0"/>
                <w:lang w:val="zh-CN"/>
              </w:rPr>
              <w:t>-</w:t>
            </w:r>
            <w:r>
              <w:rPr>
                <w:rFonts w:hint="eastAsia" w:ascii="宋体" w:hAnsi="宋体" w:eastAsia="宋体" w:cs="宋体"/>
                <w:b/>
                <w:bCs/>
                <w:color w:val="auto"/>
                <w:kern w:val="0"/>
                <w:lang w:val="en-US" w:eastAsia="zh-CN"/>
              </w:rPr>
              <w:t>23</w:t>
            </w:r>
            <w:r>
              <w:rPr>
                <w:rFonts w:hint="eastAsia" w:ascii="宋体" w:hAnsi="宋体" w:eastAsia="宋体" w:cs="宋体"/>
                <w:b/>
                <w:bCs/>
                <w:color w:val="auto"/>
                <w:kern w:val="0"/>
                <w:lang w:val="zh-CN"/>
              </w:rPr>
              <w:t>:</w:t>
            </w:r>
            <w:r>
              <w:rPr>
                <w:rFonts w:hint="eastAsia" w:ascii="宋体" w:hAnsi="宋体" w:eastAsia="宋体" w:cs="宋体"/>
                <w:b/>
                <w:bCs/>
                <w:color w:val="auto"/>
                <w:kern w:val="0"/>
                <w:lang w:val="en-US" w:eastAsia="zh-CN"/>
              </w:rPr>
              <w:t>59</w:t>
            </w:r>
            <w:r>
              <w:rPr>
                <w:rFonts w:hint="eastAsia" w:ascii="宋体" w:hAnsi="宋体" w:eastAsia="宋体" w:cs="宋体"/>
                <w:b/>
                <w:bCs/>
                <w:color w:val="auto"/>
                <w:kern w:val="0"/>
                <w:lang w:val="zh-CN"/>
              </w:rPr>
              <w:t>（节假日除外）</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FF"/>
                <w:kern w:val="0"/>
                <w:lang w:val="zh-CN"/>
              </w:rPr>
            </w:pPr>
            <w:r>
              <w:rPr>
                <w:rFonts w:hint="eastAsia" w:ascii="宋体" w:hAnsi="宋体" w:eastAsia="宋体" w:cs="Tahoma"/>
                <w:color w:val="000000" w:themeColor="text1"/>
                <w:kern w:val="0"/>
                <w14:textFill>
                  <w14:solidFill>
                    <w14:schemeClr w14:val="tx1"/>
                  </w14:solidFill>
                </w14:textFill>
              </w:rPr>
              <w:t>线上报名，CA办理及操作系统请咨询：政采云客服95763；《青海政府采购网》免费下载招标文件。（提示：请潜在供应商报名前务必完成网上企业注册等手续；具体操作详见附件操作指南或咨询：政采云客服95763）</w:t>
            </w:r>
          </w:p>
        </w:tc>
      </w:tr>
      <w:tr>
        <w:tblPrEx>
          <w:tblCellMar>
            <w:top w:w="0" w:type="dxa"/>
            <w:left w:w="108" w:type="dxa"/>
            <w:bottom w:w="0" w:type="dxa"/>
            <w:right w:w="108" w:type="dxa"/>
          </w:tblCellMar>
        </w:tblPrEx>
        <w:trPr>
          <w:trHeight w:val="674"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pStyle w:val="13"/>
              <w:spacing w:line="360" w:lineRule="auto"/>
              <w:jc w:val="both"/>
              <w:rPr>
                <w:rFonts w:hint="eastAsia" w:ascii="宋体" w:hAnsi="宋体" w:eastAsia="宋体" w:cs="Times New Roman"/>
                <w:lang w:val="en-US" w:eastAsia="zh-CN"/>
              </w:rPr>
            </w:pPr>
            <w:r>
              <w:rPr>
                <w:rFonts w:hint="eastAsia" w:ascii="Times New Roman" w:hAnsi="Times New Roman" w:eastAsia="宋体" w:cs="Times New Roman"/>
                <w:lang w:val="en-US" w:eastAsia="zh-CN"/>
              </w:rPr>
              <w:t>《政采云平台》免费下载招标文件。</w:t>
            </w:r>
          </w:p>
        </w:tc>
      </w:tr>
      <w:tr>
        <w:tblPrEx>
          <w:tblCellMar>
            <w:top w:w="0" w:type="dxa"/>
            <w:left w:w="108" w:type="dxa"/>
            <w:bottom w:w="0" w:type="dxa"/>
            <w:right w:w="108" w:type="dxa"/>
          </w:tblCellMar>
        </w:tblPrEx>
        <w:trPr>
          <w:trHeight w:val="465"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电子签到</w:t>
            </w:r>
            <w:r>
              <w:rPr>
                <w:rFonts w:hint="eastAsia" w:ascii="宋体" w:hAnsi="宋体" w:eastAsia="宋体" w:cs="宋体"/>
                <w:color w:val="000000"/>
                <w:kern w:val="0"/>
              </w:rPr>
              <w:t>及</w:t>
            </w:r>
            <w:r>
              <w:rPr>
                <w:rFonts w:hint="eastAsia" w:ascii="宋体" w:hAnsi="宋体" w:eastAsia="宋体" w:cs="宋体"/>
                <w:color w:val="000000"/>
                <w:kern w:val="0"/>
                <w:lang w:val="zh-CN"/>
              </w:rPr>
              <w:t>解密时间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B0F0"/>
                <w:kern w:val="0"/>
                <w:lang w:val="zh-CN"/>
              </w:rPr>
            </w:pPr>
            <w:r>
              <w:rPr>
                <w:rFonts w:hint="eastAsia" w:ascii="宋体" w:hAnsi="宋体" w:eastAsia="宋体" w:cs="宋体"/>
                <w:b/>
                <w:bCs/>
                <w:color w:val="auto"/>
                <w:kern w:val="0"/>
                <w:lang w:val="zh-CN"/>
              </w:rPr>
              <w:t>202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rPr>
              <w:t>年</w:t>
            </w:r>
            <w:r>
              <w:rPr>
                <w:rFonts w:hint="eastAsia" w:ascii="宋体" w:hAnsi="宋体" w:cs="宋体"/>
                <w:b/>
                <w:bCs/>
                <w:color w:val="auto"/>
                <w:kern w:val="0"/>
                <w:lang w:val="en-US" w:eastAsia="zh-CN"/>
              </w:rPr>
              <w:t>12</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16</w:t>
            </w:r>
            <w:r>
              <w:rPr>
                <w:rFonts w:hint="eastAsia" w:ascii="宋体" w:hAnsi="宋体" w:eastAsia="宋体" w:cs="宋体"/>
                <w:b/>
                <w:bCs/>
                <w:color w:val="auto"/>
                <w:kern w:val="0"/>
                <w:lang w:val="zh-CN"/>
              </w:rPr>
              <w:t>日上午9:00时（北京时间）</w:t>
            </w:r>
          </w:p>
        </w:tc>
      </w:tr>
      <w:tr>
        <w:tblPrEx>
          <w:tblCellMar>
            <w:top w:w="0" w:type="dxa"/>
            <w:left w:w="108" w:type="dxa"/>
            <w:bottom w:w="0" w:type="dxa"/>
            <w:right w:w="108" w:type="dxa"/>
          </w:tblCellMar>
        </w:tblPrEx>
        <w:trPr>
          <w:trHeight w:val="301"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投标及开标地点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rPr>
              <w:t>政采云平台（www.zcygov.cn）</w:t>
            </w:r>
          </w:p>
          <w:p>
            <w:pPr>
              <w:pStyle w:val="3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lang w:val="zh-CN" w:eastAsia="zh-CN"/>
              </w:rPr>
            </w:pPr>
            <w:r>
              <w:rPr>
                <w:rFonts w:hint="eastAsia" w:ascii="宋体" w:hAnsi="宋体" w:eastAsia="宋体" w:cs="Tahoma"/>
                <w:b/>
                <w:bCs/>
                <w:color w:val="000000" w:themeColor="text1"/>
                <w:kern w:val="0"/>
                <w:sz w:val="24"/>
                <w:szCs w:val="24"/>
                <w:lang w:val="en-US" w:eastAsia="zh-CN" w:bidi="ar-SA"/>
                <w14:textFill>
                  <w14:solidFill>
                    <w14:schemeClr w14:val="tx1"/>
                  </w14:solidFill>
                </w14:textFill>
              </w:rPr>
              <w:t>解密时长30分钟，</w:t>
            </w:r>
            <w:r>
              <w:rPr>
                <w:rFonts w:hint="eastAsia" w:ascii="宋体" w:hAnsi="宋体" w:eastAsia="宋体" w:cs="Tahoma"/>
                <w:color w:val="000000" w:themeColor="text1"/>
                <w:kern w:val="0"/>
                <w:sz w:val="24"/>
                <w:szCs w:val="24"/>
                <w:lang w:val="en-US" w:eastAsia="zh-CN" w:bidi="ar-SA"/>
                <w14:textFill>
                  <w14:solidFill>
                    <w14:schemeClr w14:val="tx1"/>
                  </w14:solidFill>
                </w14:textFill>
              </w:rPr>
              <w:t>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tc>
      </w:tr>
      <w:tr>
        <w:tblPrEx>
          <w:tblCellMar>
            <w:top w:w="0" w:type="dxa"/>
            <w:left w:w="108" w:type="dxa"/>
            <w:bottom w:w="0" w:type="dxa"/>
            <w:right w:w="108" w:type="dxa"/>
          </w:tblCellMar>
        </w:tblPrEx>
        <w:trPr>
          <w:trHeight w:val="4310" w:hRule="atLeast"/>
          <w:jc w:val="center"/>
        </w:trPr>
        <w:tc>
          <w:tcPr>
            <w:tcW w:w="245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spacing w:line="320" w:lineRule="exact"/>
              <w:ind w:firstLine="240" w:firstLineChars="100"/>
              <w:jc w:val="left"/>
              <w:rPr>
                <w:rFonts w:hint="eastAsia" w:ascii="宋体" w:hAnsi="宋体" w:eastAsia="宋体" w:cs="Arial"/>
                <w:kern w:val="0"/>
                <w:sz w:val="24"/>
                <w:szCs w:val="24"/>
                <w:lang w:val="zh-CN" w:eastAsia="zh-CN" w:bidi="ar-SA"/>
              </w:rPr>
            </w:pPr>
            <w:r>
              <w:rPr>
                <w:rFonts w:hint="eastAsia" w:ascii="宋体" w:hAnsi="宋体" w:cs="宋体"/>
                <w:color w:val="000000"/>
                <w:kern w:val="0"/>
                <w:lang w:val="zh-CN"/>
              </w:rPr>
              <w:t>投标保证金</w:t>
            </w:r>
          </w:p>
        </w:tc>
        <w:tc>
          <w:tcPr>
            <w:tcW w:w="746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spacing w:line="320" w:lineRule="exact"/>
              <w:ind w:firstLine="0" w:firstLineChars="0"/>
              <w:rPr>
                <w:rFonts w:ascii="宋体" w:hAnsi="宋体" w:cs="宋体"/>
                <w:kern w:val="0"/>
              </w:rPr>
            </w:pPr>
            <w:r>
              <w:rPr>
                <w:rFonts w:hint="eastAsia" w:ascii="宋体" w:hAnsi="宋体" w:cs="宋体"/>
                <w:b/>
                <w:bCs/>
                <w:kern w:val="0"/>
              </w:rPr>
              <w:t>保证金金额：</w:t>
            </w:r>
            <w:r>
              <w:rPr>
                <w:rFonts w:hint="eastAsia" w:ascii="宋体" w:hAnsi="宋体" w:eastAsia="宋体" w:cs="宋体"/>
                <w:kern w:val="0"/>
                <w:lang w:val="en-US" w:eastAsia="zh-CN"/>
              </w:rPr>
              <w:t>43800.00</w:t>
            </w:r>
            <w:r>
              <w:rPr>
                <w:rFonts w:hint="eastAsia" w:ascii="宋体" w:hAnsi="宋体" w:cs="宋体"/>
                <w:kern w:val="0"/>
              </w:rPr>
              <w:t>元（</w:t>
            </w:r>
            <w:r>
              <w:rPr>
                <w:rFonts w:hint="eastAsia" w:ascii="宋体" w:hAnsi="宋体" w:cs="宋体"/>
                <w:kern w:val="0"/>
                <w:lang w:val="en-US" w:eastAsia="zh-CN"/>
              </w:rPr>
              <w:t>肆万叁仟捌佰元整</w:t>
            </w:r>
            <w:r>
              <w:rPr>
                <w:rFonts w:hint="eastAsia" w:ascii="宋体" w:hAnsi="宋体" w:cs="宋体"/>
                <w:kern w:val="0"/>
              </w:rPr>
              <w:t>）</w:t>
            </w:r>
          </w:p>
          <w:p>
            <w:pPr>
              <w:widowControl/>
              <w:spacing w:line="320" w:lineRule="exact"/>
              <w:ind w:firstLine="0" w:firstLineChars="0"/>
              <w:rPr>
                <w:rFonts w:hint="eastAsia" w:ascii="宋体" w:hAnsi="宋体" w:cs="宋体"/>
                <w:kern w:val="0"/>
                <w:lang w:val="en-US" w:eastAsia="zh-CN"/>
              </w:rPr>
            </w:pPr>
            <w:r>
              <w:rPr>
                <w:rFonts w:hint="eastAsia" w:ascii="宋体" w:hAnsi="宋体" w:cs="宋体"/>
                <w:b/>
                <w:bCs/>
                <w:kern w:val="0"/>
              </w:rPr>
              <w:t>收 款 单位：</w:t>
            </w:r>
            <w:r>
              <w:rPr>
                <w:rFonts w:hint="eastAsia" w:ascii="宋体" w:hAnsi="宋体" w:cs="宋体"/>
                <w:kern w:val="0"/>
                <w:lang w:val="en-US" w:eastAsia="zh-CN"/>
              </w:rPr>
              <w:t>格尔木市数据局</w:t>
            </w:r>
          </w:p>
          <w:p>
            <w:pPr>
              <w:widowControl/>
              <w:spacing w:line="320" w:lineRule="exact"/>
              <w:ind w:firstLine="0" w:firstLineChars="0"/>
              <w:rPr>
                <w:rFonts w:hint="eastAsia" w:ascii="宋体" w:hAnsi="宋体" w:cs="宋体"/>
                <w:kern w:val="0"/>
              </w:rPr>
            </w:pPr>
            <w:r>
              <w:rPr>
                <w:rFonts w:hint="eastAsia" w:ascii="宋体" w:hAnsi="宋体" w:cs="宋体"/>
                <w:b/>
                <w:bCs/>
                <w:kern w:val="0"/>
              </w:rPr>
              <w:t>开  户 行</w:t>
            </w:r>
            <w:r>
              <w:rPr>
                <w:rFonts w:hint="eastAsia" w:ascii="宋体" w:hAnsi="宋体" w:cs="宋体"/>
                <w:kern w:val="0"/>
              </w:rPr>
              <w:t>：中国工商银行格尔木昆仑路支行</w:t>
            </w:r>
          </w:p>
          <w:p>
            <w:pPr>
              <w:widowControl/>
              <w:spacing w:line="320" w:lineRule="exact"/>
              <w:ind w:firstLine="0" w:firstLineChars="0"/>
              <w:rPr>
                <w:rFonts w:hint="eastAsia" w:ascii="宋体" w:hAnsi="宋体" w:cs="宋体"/>
                <w:b/>
                <w:bCs/>
                <w:kern w:val="0"/>
              </w:rPr>
            </w:pPr>
            <w:r>
              <w:rPr>
                <w:rFonts w:hint="eastAsia" w:ascii="宋体" w:hAnsi="宋体" w:cs="宋体"/>
                <w:b/>
                <w:bCs/>
                <w:kern w:val="0"/>
              </w:rPr>
              <w:t>银行账号：</w:t>
            </w:r>
            <w:r>
              <w:rPr>
                <w:rFonts w:hint="eastAsia" w:ascii="宋体" w:hAnsi="宋体" w:cs="宋体"/>
                <w:kern w:val="0"/>
              </w:rPr>
              <w:t>2806000238000840015</w:t>
            </w:r>
          </w:p>
          <w:p>
            <w:pPr>
              <w:widowControl/>
              <w:spacing w:line="320" w:lineRule="exact"/>
              <w:ind w:firstLine="0" w:firstLineChars="0"/>
              <w:rPr>
                <w:rFonts w:ascii="宋体" w:hAnsi="宋体" w:cs="宋体"/>
                <w:color w:val="000000" w:themeColor="text1"/>
                <w:spacing w:val="2"/>
                <w:lang w:val="zh-CN"/>
                <w14:textFill>
                  <w14:solidFill>
                    <w14:schemeClr w14:val="tx1"/>
                  </w14:solidFill>
                </w14:textFill>
              </w:rPr>
            </w:pPr>
            <w:r>
              <w:rPr>
                <w:rFonts w:hint="eastAsia" w:ascii="宋体" w:hAnsi="宋体" w:cs="宋体"/>
                <w:b/>
                <w:bCs/>
                <w:color w:val="000000" w:themeColor="text1"/>
                <w:spacing w:val="2"/>
                <w:lang w:val="zh-CN"/>
                <w14:textFill>
                  <w14:solidFill>
                    <w14:schemeClr w14:val="tx1"/>
                  </w14:solidFill>
                </w14:textFill>
              </w:rPr>
              <w:t>缴费方式：</w:t>
            </w:r>
            <w:r>
              <w:rPr>
                <w:rFonts w:hint="eastAsia" w:ascii="宋体" w:hAnsi="宋体" w:cs="宋体"/>
                <w:color w:val="000000" w:themeColor="text1"/>
                <w:spacing w:val="2"/>
                <w14:textFill>
                  <w14:solidFill>
                    <w14:schemeClr w14:val="tx1"/>
                  </w14:solidFill>
                </w14:textFill>
              </w:rPr>
              <w:t>磋</w:t>
            </w:r>
            <w:r>
              <w:rPr>
                <w:rFonts w:hint="eastAsia" w:ascii="宋体" w:hAnsi="宋体" w:cs="宋体"/>
                <w:color w:val="000000" w:themeColor="text1"/>
                <w:spacing w:val="2"/>
                <w:lang w:val="zh-CN"/>
                <w14:textFill>
                  <w14:solidFill>
                    <w14:schemeClr w14:val="tx1"/>
                  </w14:solidFill>
                </w14:textFill>
              </w:rPr>
              <w:t>商保证金应当以支票、汇票、本票或者金融机构、担保机构出具的保函等非现金形式提交，通过银行转账的，必须从投标人基本账户直接汇（转）入采购代理机构指定账户。</w:t>
            </w:r>
          </w:p>
          <w:p>
            <w:pPr>
              <w:widowControl/>
              <w:spacing w:line="320" w:lineRule="exact"/>
              <w:ind w:firstLine="0" w:firstLineChars="0"/>
              <w:rPr>
                <w:rFonts w:hint="eastAsia" w:ascii="宋体" w:hAnsi="宋体" w:eastAsia="宋体" w:cs="宋体"/>
                <w:kern w:val="0"/>
                <w:sz w:val="24"/>
                <w:szCs w:val="24"/>
                <w:lang w:val="en-US" w:eastAsia="zh-CN" w:bidi="ar-SA"/>
              </w:rPr>
            </w:pPr>
            <w:r>
              <w:rPr>
                <w:rFonts w:hint="eastAsia" w:ascii="宋体" w:hAnsi="宋体" w:cs="宋体"/>
                <w:b/>
                <w:bCs/>
                <w:color w:val="000000" w:themeColor="text1"/>
                <w:spacing w:val="2"/>
                <w:lang w:val="zh-CN"/>
                <w14:textFill>
                  <w14:solidFill>
                    <w14:schemeClr w14:val="tx1"/>
                  </w14:solidFill>
                </w14:textFill>
              </w:rPr>
              <w:t>投标保证金退还：</w:t>
            </w:r>
            <w:r>
              <w:rPr>
                <w:rFonts w:hint="eastAsia" w:ascii="宋体" w:hAnsi="宋体" w:cs="宋体"/>
                <w:color w:val="000000" w:themeColor="text1"/>
                <w:spacing w:val="2"/>
                <w:lang w:val="zh-CN"/>
                <w14:textFill>
                  <w14:solidFill>
                    <w14:schemeClr w14:val="tx1"/>
                  </w14:solidFill>
                </w14:textFill>
              </w:rPr>
              <w:t>投标人在投标截止时间前撤回已提交的投标文件的，采购代理机构应当自收到投标人书面撤回通知之日起5个工作日内，退还已收取的投标保证金，但因投标人自身原因导致无法及时退还的除外。采购代理机构应当自中标通知书发出之日起5个工作日内退还未中标人的投标保证金，自采购合同签订之日起5个工作日内退还中标人的投标保证金。</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Cambria" w:eastAsia="宋体" w:cs="宋体"/>
                <w:kern w:val="0"/>
                <w:sz w:val="24"/>
                <w:szCs w:val="24"/>
                <w:lang w:val="zh-CN"/>
              </w:rPr>
              <w:t>答疑或澄清或告知方式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ind w:left="240" w:hanging="240" w:hangingChars="100"/>
              <w:jc w:val="both"/>
              <w:rPr>
                <w:rFonts w:hint="eastAsia" w:ascii="宋体" w:hAnsi="宋体" w:eastAsia="宋体" w:cs="宋体"/>
                <w:color w:val="auto"/>
                <w:lang w:eastAsia="zh-CN"/>
              </w:rPr>
            </w:pPr>
            <w:r>
              <w:rPr>
                <w:rFonts w:hint="eastAsia" w:ascii="宋体" w:hAnsi="宋体" w:eastAsia="宋体" w:cs="Times New Roman"/>
                <w:color w:val="auto"/>
                <w:lang w:eastAsia="zh-CN"/>
              </w:rPr>
              <w:t>在线</w:t>
            </w:r>
            <w:r>
              <w:rPr>
                <w:rFonts w:hint="eastAsia" w:ascii="宋体" w:hAnsi="Cambria" w:eastAsia="宋体" w:cs="宋体"/>
                <w:color w:val="auto"/>
                <w:kern w:val="0"/>
                <w:sz w:val="24"/>
                <w:szCs w:val="24"/>
                <w:lang w:val="zh-CN"/>
              </w:rPr>
              <w:t>答疑或澄清或告知，解密完成后</w:t>
            </w:r>
            <w:r>
              <w:rPr>
                <w:rFonts w:hint="eastAsia" w:ascii="宋体" w:hAnsi="宋体" w:eastAsia="宋体" w:cs="Times New Roman"/>
                <w:color w:val="auto"/>
              </w:rPr>
              <w:t>供应商</w:t>
            </w:r>
            <w:r>
              <w:rPr>
                <w:rFonts w:hint="eastAsia" w:ascii="宋体" w:hAnsi="宋体" w:eastAsia="宋体" w:cs="宋体"/>
                <w:color w:val="auto"/>
              </w:rPr>
              <w:t>须</w:t>
            </w:r>
            <w:r>
              <w:rPr>
                <w:rFonts w:hint="eastAsia" w:ascii="宋体" w:hAnsi="宋体" w:eastAsia="宋体" w:cs="宋体"/>
                <w:color w:val="auto"/>
                <w:lang w:eastAsia="zh-CN"/>
              </w:rPr>
              <w:t>随时关注政采云手机短</w:t>
            </w:r>
          </w:p>
          <w:p>
            <w:pPr>
              <w:autoSpaceDE w:val="0"/>
              <w:autoSpaceDN w:val="0"/>
              <w:adjustRightInd w:val="0"/>
              <w:spacing w:line="360" w:lineRule="auto"/>
              <w:ind w:left="240" w:hanging="240" w:hangingChars="100"/>
              <w:jc w:val="both"/>
              <w:rPr>
                <w:rFonts w:hint="eastAsia" w:ascii="宋体" w:hAnsi="Cambria" w:eastAsia="宋体" w:cs="宋体"/>
                <w:color w:val="auto"/>
                <w:kern w:val="0"/>
                <w:sz w:val="24"/>
                <w:szCs w:val="24"/>
                <w:lang w:val="zh-CN"/>
              </w:rPr>
            </w:pPr>
            <w:r>
              <w:rPr>
                <w:rFonts w:hint="eastAsia" w:ascii="宋体" w:hAnsi="宋体" w:eastAsia="宋体" w:cs="宋体"/>
                <w:color w:val="auto"/>
                <w:lang w:eastAsia="zh-CN"/>
              </w:rPr>
              <w:t>信通知，当</w:t>
            </w:r>
            <w:r>
              <w:rPr>
                <w:rFonts w:hint="eastAsia" w:ascii="宋体" w:hAnsi="Cambria" w:eastAsia="宋体" w:cs="宋体"/>
                <w:color w:val="auto"/>
                <w:kern w:val="0"/>
                <w:sz w:val="24"/>
                <w:szCs w:val="24"/>
                <w:lang w:val="zh-CN"/>
              </w:rPr>
              <w:t>答疑或澄清发出后，政采云系统会以短信的方式提示告知，</w:t>
            </w:r>
          </w:p>
          <w:p>
            <w:pPr>
              <w:autoSpaceDE w:val="0"/>
              <w:autoSpaceDN w:val="0"/>
              <w:adjustRightInd w:val="0"/>
              <w:spacing w:line="360" w:lineRule="auto"/>
              <w:ind w:left="240" w:hanging="240" w:hangingChars="100"/>
              <w:jc w:val="both"/>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供应商应在规定的时间内（</w:t>
            </w:r>
            <w:r>
              <w:rPr>
                <w:rFonts w:hint="eastAsia" w:ascii="宋体" w:hAnsi="Cambria" w:eastAsia="宋体" w:cs="宋体"/>
                <w:b/>
                <w:bCs/>
                <w:color w:val="auto"/>
                <w:kern w:val="0"/>
                <w:sz w:val="24"/>
                <w:szCs w:val="24"/>
                <w:lang w:val="zh-CN"/>
              </w:rPr>
              <w:t>答疑或澄清时长为</w:t>
            </w:r>
            <w:r>
              <w:rPr>
                <w:rFonts w:hint="eastAsia" w:ascii="宋体" w:hAnsi="Cambria" w:eastAsia="宋体" w:cs="宋体"/>
                <w:b/>
                <w:bCs/>
                <w:color w:val="auto"/>
                <w:kern w:val="0"/>
                <w:sz w:val="24"/>
                <w:szCs w:val="24"/>
                <w:lang w:val="en-US" w:eastAsia="zh-CN"/>
              </w:rPr>
              <w:t>30分钟</w:t>
            </w:r>
            <w:r>
              <w:rPr>
                <w:rFonts w:hint="eastAsia" w:ascii="宋体" w:hAnsi="Cambria" w:eastAsia="宋体" w:cs="宋体"/>
                <w:b/>
                <w:bCs/>
                <w:color w:val="auto"/>
                <w:kern w:val="0"/>
                <w:sz w:val="24"/>
                <w:szCs w:val="24"/>
                <w:lang w:val="zh-CN"/>
              </w:rPr>
              <w:t>）</w:t>
            </w:r>
            <w:r>
              <w:rPr>
                <w:rFonts w:hint="eastAsia" w:ascii="宋体" w:hAnsi="Cambria" w:eastAsia="宋体" w:cs="宋体"/>
                <w:color w:val="auto"/>
                <w:kern w:val="0"/>
                <w:sz w:val="24"/>
                <w:szCs w:val="24"/>
                <w:lang w:val="zh-CN"/>
              </w:rPr>
              <w:t>在线提交答疑</w:t>
            </w:r>
          </w:p>
          <w:p>
            <w:pPr>
              <w:autoSpaceDE w:val="0"/>
              <w:autoSpaceDN w:val="0"/>
              <w:adjustRightInd w:val="0"/>
              <w:spacing w:line="360" w:lineRule="auto"/>
              <w:ind w:left="240" w:hanging="240" w:hangingChars="100"/>
              <w:jc w:val="both"/>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或澄清证明资料，如发出的为告知函（资格审查未通过告知函或符合</w:t>
            </w:r>
          </w:p>
          <w:p>
            <w:pPr>
              <w:autoSpaceDE w:val="0"/>
              <w:autoSpaceDN w:val="0"/>
              <w:adjustRightInd w:val="0"/>
              <w:spacing w:line="360" w:lineRule="auto"/>
              <w:ind w:left="240" w:hanging="240" w:hangingChars="100"/>
              <w:jc w:val="both"/>
              <w:rPr>
                <w:rFonts w:hint="eastAsia" w:ascii="宋体" w:hAnsi="宋体" w:eastAsia="宋体" w:cs="宋体"/>
                <w:color w:val="auto"/>
                <w:lang w:val="zh-CN"/>
              </w:rPr>
            </w:pPr>
            <w:r>
              <w:rPr>
                <w:rFonts w:hint="eastAsia" w:ascii="宋体" w:hAnsi="Cambria" w:eastAsia="宋体" w:cs="宋体"/>
                <w:color w:val="auto"/>
                <w:kern w:val="0"/>
                <w:sz w:val="24"/>
                <w:szCs w:val="24"/>
                <w:lang w:val="zh-CN"/>
              </w:rPr>
              <w:t>性审查未通过告知函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宋体" w:eastAsia="宋体" w:cs="Times New Roman"/>
                <w:color w:val="auto"/>
                <w:lang w:eastAsia="zh-CN"/>
              </w:rPr>
              <w:t>逾期</w:t>
            </w:r>
            <w:r>
              <w:rPr>
                <w:rFonts w:hint="eastAsia" w:ascii="宋体" w:hAnsi="宋体" w:eastAsia="宋体" w:cs="宋体"/>
                <w:color w:val="auto"/>
                <w:lang w:val="zh-CN"/>
              </w:rPr>
              <w:t>未在线提交</w:t>
            </w:r>
          </w:p>
          <w:p>
            <w:pPr>
              <w:autoSpaceDE w:val="0"/>
              <w:autoSpaceDN w:val="0"/>
              <w:adjustRightInd w:val="0"/>
              <w:spacing w:line="360" w:lineRule="auto"/>
              <w:ind w:left="240" w:hanging="240" w:hangingChars="100"/>
              <w:jc w:val="both"/>
              <w:rPr>
                <w:rFonts w:hint="eastAsia" w:ascii="宋体" w:hAnsi="宋体" w:eastAsia="宋体" w:cs="宋体"/>
                <w:color w:val="000000"/>
                <w:kern w:val="0"/>
                <w:lang w:val="zh-CN"/>
              </w:rPr>
            </w:pPr>
            <w:r>
              <w:rPr>
                <w:rFonts w:hint="eastAsia" w:ascii="宋体" w:hAnsi="宋体" w:eastAsia="宋体" w:cs="宋体"/>
                <w:color w:val="auto"/>
                <w:lang w:val="zh-CN"/>
              </w:rPr>
              <w:t>答疑或澄清的，</w:t>
            </w:r>
            <w:r>
              <w:rPr>
                <w:rFonts w:hint="eastAsia" w:ascii="宋体" w:hAnsi="宋体" w:eastAsia="宋体" w:cs="Times New Roman"/>
                <w:color w:val="auto"/>
              </w:rPr>
              <w:t>视同</w:t>
            </w:r>
            <w:r>
              <w:rPr>
                <w:rFonts w:hint="eastAsia" w:ascii="宋体" w:hAnsi="宋体" w:eastAsia="宋体" w:cs="Times New Roman"/>
                <w:color w:val="auto"/>
                <w:lang w:eastAsia="zh-CN"/>
              </w:rPr>
              <w:t>不接受答疑或澄清按无效投标处理</w:t>
            </w:r>
            <w:r>
              <w:rPr>
                <w:rFonts w:hint="eastAsia" w:ascii="宋体" w:hAnsi="宋体" w:eastAsia="宋体" w:cs="Times New Roman"/>
                <w:color w:val="auto"/>
              </w:rPr>
              <w:t>。</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采购人联系</w:t>
            </w:r>
            <w:r>
              <w:rPr>
                <w:rFonts w:hint="eastAsia" w:ascii="宋体" w:hAnsi="宋体" w:eastAsia="宋体" w:cs="宋体"/>
                <w:color w:val="000000"/>
                <w:kern w:val="0"/>
              </w:rPr>
              <w:t>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格尔木市公安局</w:t>
            </w:r>
            <w:r>
              <w:rPr>
                <w:rFonts w:hint="eastAsia" w:ascii="宋体" w:hAnsi="宋体" w:eastAsia="宋体" w:cs="宋体"/>
                <w:color w:val="000000"/>
                <w:kern w:val="0"/>
              </w:rPr>
              <w:t xml:space="preserve">  </w:t>
            </w:r>
          </w:p>
          <w:p>
            <w:pPr>
              <w:autoSpaceDE w:val="0"/>
              <w:autoSpaceDN w:val="0"/>
              <w:adjustRightInd w:val="0"/>
              <w:spacing w:line="360" w:lineRule="auto"/>
              <w:ind w:left="240" w:hanging="240" w:hangingChars="100"/>
              <w:rPr>
                <w:rFonts w:hint="default" w:ascii="宋体" w:hAnsi="宋体" w:eastAsia="宋体" w:cs="宋体"/>
                <w:color w:val="000000"/>
                <w:kern w:val="0"/>
                <w:lang w:val="en-US" w:eastAsia="zh-CN"/>
              </w:rPr>
            </w:pPr>
            <w:r>
              <w:rPr>
                <w:rFonts w:hint="eastAsia" w:ascii="宋体" w:hAnsi="宋体" w:eastAsia="宋体" w:cs="宋体"/>
                <w:color w:val="000000"/>
                <w:kern w:val="0"/>
                <w:lang w:val="zh-CN"/>
              </w:rPr>
              <w:t>联系人：</w:t>
            </w:r>
            <w:r>
              <w:rPr>
                <w:rFonts w:hint="eastAsia" w:ascii="宋体" w:hAnsi="宋体" w:eastAsia="宋体" w:cs="宋体"/>
                <w:color w:val="000000"/>
                <w:kern w:val="0"/>
                <w:lang w:val="en-US" w:eastAsia="zh-CN"/>
              </w:rPr>
              <w:t>闫</w:t>
            </w:r>
            <w:r>
              <w:rPr>
                <w:rFonts w:hint="eastAsia" w:ascii="宋体" w:hAnsi="宋体" w:eastAsia="宋体" w:cs="宋体"/>
                <w:color w:val="000000"/>
                <w:kern w:val="0"/>
                <w:lang w:val="zh-CN"/>
              </w:rPr>
              <w:t>警官</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联系电话：</w:t>
            </w:r>
            <w:r>
              <w:rPr>
                <w:rFonts w:hint="eastAsia" w:ascii="宋体" w:hAnsi="宋体" w:eastAsia="宋体" w:cs="宋体"/>
                <w:kern w:val="0"/>
                <w:lang w:val="zh-CN"/>
              </w:rPr>
              <w:t>0979-8413805</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kern w:val="0"/>
              </w:rPr>
              <w:t>集中</w:t>
            </w:r>
            <w:r>
              <w:rPr>
                <w:rFonts w:ascii="宋体" w:hAnsi="宋体" w:eastAsia="宋体" w:cs="宋体"/>
                <w:kern w:val="0"/>
              </w:rPr>
              <w:t>采购机构及联系人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格尔木市政务服务和公共资源交易中心</w:t>
            </w:r>
          </w:p>
          <w:p>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eastAsia="宋体" w:cs="宋体"/>
                <w:kern w:val="0"/>
                <w:szCs w:val="21"/>
                <w:lang w:val="en-US" w:eastAsia="zh-CN"/>
              </w:rPr>
              <w:t>联系人：胡女士</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联系电话：</w:t>
            </w:r>
            <w:r>
              <w:rPr>
                <w:rFonts w:hint="eastAsia" w:ascii="宋体" w:hAnsi="宋体" w:eastAsia="宋体" w:cs="宋体"/>
                <w:kern w:val="0"/>
                <w:szCs w:val="21"/>
                <w:lang w:eastAsia="zh-CN"/>
              </w:rPr>
              <w:t>0979-8414789</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其他事项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widowControl/>
              <w:numPr>
                <w:ilvl w:val="0"/>
                <w:numId w:val="2"/>
              </w:numPr>
              <w:spacing w:line="320" w:lineRule="exact"/>
              <w:jc w:val="left"/>
              <w:rPr>
                <w:rFonts w:hint="eastAsia" w:ascii="Times New Roman" w:hAnsi="Times New Roman" w:eastAsia="宋体" w:cs="Times New Roman"/>
              </w:rPr>
            </w:pPr>
            <w:r>
              <w:rPr>
                <w:rFonts w:hint="eastAsia" w:ascii="Times New Roman" w:hAnsi="Times New Roman" w:eastAsia="宋体" w:cs="Times New Roman"/>
              </w:rPr>
              <w:t>本次项目招标采用线上进行，供应商无需到现场开标；如非系统原因造成无法解密的或非系统原因加密文件上传不成功的或</w:t>
            </w:r>
            <w:r>
              <w:rPr>
                <w:rFonts w:hint="eastAsia" w:cs="Times New Roman"/>
                <w:lang w:eastAsia="zh-CN"/>
              </w:rPr>
              <w:t>没有</w:t>
            </w:r>
            <w:r>
              <w:rPr>
                <w:rFonts w:hint="eastAsia" w:ascii="Times New Roman" w:hAnsi="Times New Roman" w:eastAsia="宋体" w:cs="Times New Roman"/>
              </w:rPr>
              <w:t>办理CA锁而造成加密文件无法解密、加密文件无法上传的视为无效投标，线上电子加密响应文件必须在响应文件递交截止时间前上传至电子开评标系统；</w:t>
            </w:r>
          </w:p>
          <w:p>
            <w:pPr>
              <w:widowControl/>
              <w:numPr>
                <w:ilvl w:val="0"/>
                <w:numId w:val="2"/>
              </w:numPr>
              <w:spacing w:line="320" w:lineRule="exact"/>
              <w:ind w:left="0" w:leftChars="0" w:firstLine="0" w:firstLineChars="0"/>
              <w:jc w:val="left"/>
              <w:rPr>
                <w:rFonts w:hint="eastAsia" w:ascii="Times New Roman" w:hAnsi="Times New Roman" w:eastAsia="宋体" w:cs="Times New Roman"/>
              </w:rPr>
            </w:pPr>
            <w:r>
              <w:rPr>
                <w:rFonts w:hint="eastAsia" w:ascii="Times New Roman" w:hAnsi="Times New Roman" w:eastAsia="宋体" w:cs="Times New Roman"/>
              </w:rPr>
              <w:t>线上电子化开评标系统操作及CA锁办理等相关事宜请咨询政采云：咨询电话：95763（办理实体CA或云CA均可）。</w:t>
            </w:r>
          </w:p>
          <w:p>
            <w:pPr>
              <w:pStyle w:val="14"/>
              <w:numPr>
                <w:ilvl w:val="0"/>
                <w:numId w:val="2"/>
              </w:numPr>
              <w:ind w:left="0" w:leftChars="0" w:firstLine="0" w:firstLineChars="0"/>
              <w:rPr>
                <w:rFonts w:hint="eastAsia"/>
              </w:rPr>
            </w:pPr>
            <w:r>
              <w:rPr>
                <w:rFonts w:hint="eastAsia"/>
                <w:b/>
                <w:bCs/>
              </w:rPr>
              <w:t>项目核心产品：900万电子警察；900万环保卡口</w:t>
            </w:r>
          </w:p>
          <w:p>
            <w:pPr>
              <w:pStyle w:val="14"/>
              <w:numPr>
                <w:ilvl w:val="0"/>
                <w:numId w:val="2"/>
              </w:numPr>
              <w:ind w:left="0" w:leftChars="0" w:firstLine="0" w:firstLineChars="0"/>
              <w:rPr>
                <w:rFonts w:hint="eastAsia"/>
              </w:rPr>
            </w:pPr>
            <w:r>
              <w:rPr>
                <w:rFonts w:hint="eastAsia"/>
                <w:b/>
                <w:bCs/>
                <w:lang w:val="en-US" w:eastAsia="zh-CN"/>
              </w:rPr>
              <w:t>本项目所提供的交通设备设施</w:t>
            </w:r>
            <w:r>
              <w:rPr>
                <w:rFonts w:hint="eastAsia" w:ascii="Times New Roman" w:hAnsi="Times New Roman" w:eastAsia="宋体" w:cs="Times New Roman"/>
                <w:b/>
                <w:bCs/>
                <w:kern w:val="2"/>
                <w:sz w:val="24"/>
                <w:szCs w:val="24"/>
                <w:lang w:val="en-US" w:eastAsia="zh-CN" w:bidi="ar-SA"/>
              </w:rPr>
              <w:t>需实现与格尔木市公安局现有</w:t>
            </w:r>
            <w:r>
              <w:rPr>
                <w:rFonts w:hint="eastAsia" w:eastAsia="宋体" w:cs="Times New Roman"/>
                <w:b/>
                <w:bCs/>
                <w:kern w:val="2"/>
                <w:sz w:val="24"/>
                <w:szCs w:val="24"/>
                <w:lang w:val="en-US" w:eastAsia="zh-CN" w:bidi="ar-SA"/>
              </w:rPr>
              <w:t>平台对接，保证设备正常运行。</w:t>
            </w:r>
          </w:p>
        </w:tc>
      </w:tr>
      <w:tr>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财政监督部门及电话</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格尔木市</w:t>
            </w:r>
            <w:r>
              <w:rPr>
                <w:rFonts w:hint="eastAsia" w:ascii="宋体" w:hAnsi="宋体" w:eastAsia="宋体" w:cs="宋体"/>
                <w:color w:val="000000"/>
                <w:kern w:val="0"/>
                <w:lang w:val="zh-CN"/>
              </w:rPr>
              <w:t xml:space="preserve">财政局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联系电话：0979-8418264</w:t>
            </w:r>
          </w:p>
        </w:tc>
      </w:tr>
      <w:bookmarkEnd w:id="1"/>
    </w:tbl>
    <w:p>
      <w:pPr>
        <w:pStyle w:val="28"/>
        <w:spacing w:before="0" w:after="0" w:line="360" w:lineRule="auto"/>
        <w:jc w:val="center"/>
        <w:rPr>
          <w:rFonts w:hint="eastAsia" w:ascii="宋体" w:hAnsi="宋体" w:cs="宋体"/>
          <w:color w:val="000000"/>
          <w:szCs w:val="36"/>
          <w:lang w:val="zh-CN"/>
        </w:rPr>
      </w:pPr>
      <w:bookmarkStart w:id="2" w:name="_Toc9811"/>
      <w:bookmarkStart w:id="3" w:name="_Toc24554913"/>
    </w:p>
    <w:p>
      <w:pPr>
        <w:pStyle w:val="28"/>
        <w:spacing w:before="0" w:after="0" w:line="360" w:lineRule="auto"/>
        <w:jc w:val="center"/>
        <w:rPr>
          <w:rFonts w:hint="eastAsia" w:ascii="宋体" w:hAnsi="宋体" w:cs="宋体"/>
          <w:color w:val="000000"/>
          <w:szCs w:val="36"/>
          <w:lang w:val="zh-CN"/>
        </w:rPr>
      </w:pPr>
    </w:p>
    <w:p>
      <w:pPr>
        <w:pStyle w:val="28"/>
        <w:spacing w:before="0" w:after="0" w:line="360" w:lineRule="auto"/>
        <w:jc w:val="center"/>
        <w:rPr>
          <w:rFonts w:hint="eastAsia" w:ascii="宋体" w:hAnsi="宋体" w:cs="宋体"/>
          <w:color w:val="000000"/>
          <w:szCs w:val="36"/>
          <w:lang w:val="zh-CN"/>
        </w:rPr>
      </w:pPr>
    </w:p>
    <w:p>
      <w:pPr>
        <w:pStyle w:val="28"/>
        <w:spacing w:before="0" w:after="0" w:line="360" w:lineRule="auto"/>
        <w:jc w:val="center"/>
        <w:rPr>
          <w:rFonts w:hint="eastAsia" w:ascii="宋体" w:hAnsi="宋体" w:cs="宋体"/>
          <w:color w:val="000000"/>
          <w:szCs w:val="36"/>
          <w:lang w:val="zh-CN"/>
        </w:rPr>
      </w:pPr>
    </w:p>
    <w:p>
      <w:pPr>
        <w:pStyle w:val="28"/>
        <w:spacing w:before="0" w:after="0" w:line="360" w:lineRule="auto"/>
        <w:jc w:val="center"/>
        <w:rPr>
          <w:rFonts w:hint="eastAsia" w:ascii="宋体" w:hAnsi="宋体" w:cs="宋体"/>
          <w:color w:val="000000"/>
          <w:szCs w:val="36"/>
          <w:lang w:val="zh-CN"/>
        </w:rPr>
      </w:pPr>
    </w:p>
    <w:p>
      <w:pPr>
        <w:pStyle w:val="28"/>
        <w:spacing w:before="0" w:after="0" w:line="360" w:lineRule="auto"/>
        <w:jc w:val="center"/>
        <w:rPr>
          <w:rFonts w:hint="eastAsia" w:ascii="宋体" w:hAnsi="宋体" w:cs="宋体"/>
          <w:color w:val="000000"/>
          <w:szCs w:val="36"/>
          <w:lang w:val="zh-CN"/>
        </w:rPr>
      </w:pPr>
    </w:p>
    <w:p>
      <w:pPr>
        <w:pStyle w:val="28"/>
        <w:spacing w:before="0" w:after="0" w:line="360" w:lineRule="auto"/>
        <w:jc w:val="center"/>
        <w:rPr>
          <w:rFonts w:hint="eastAsia" w:ascii="宋体" w:hAnsi="宋体" w:cs="宋体"/>
          <w:color w:val="000000"/>
          <w:szCs w:val="36"/>
          <w:lang w:val="zh-CN"/>
        </w:rPr>
      </w:pPr>
    </w:p>
    <w:p>
      <w:pPr>
        <w:pStyle w:val="28"/>
        <w:spacing w:before="0" w:after="0" w:line="360" w:lineRule="auto"/>
        <w:jc w:val="center"/>
        <w:rPr>
          <w:rFonts w:hint="eastAsia" w:ascii="宋体" w:hAnsi="宋体" w:cs="宋体"/>
          <w:color w:val="000000"/>
          <w:szCs w:val="36"/>
          <w:lang w:val="zh-CN"/>
        </w:rPr>
      </w:pPr>
    </w:p>
    <w:p>
      <w:pPr>
        <w:pStyle w:val="28"/>
        <w:spacing w:before="0" w:after="0" w:line="360" w:lineRule="auto"/>
        <w:jc w:val="center"/>
        <w:rPr>
          <w:rFonts w:hint="eastAsia" w:ascii="宋体" w:hAnsi="宋体" w:cs="宋体"/>
          <w:color w:val="000000"/>
          <w:szCs w:val="36"/>
          <w:lang w:val="zh-CN"/>
        </w:rPr>
      </w:pPr>
    </w:p>
    <w:p>
      <w:pPr>
        <w:pStyle w:val="28"/>
        <w:spacing w:before="0" w:after="0" w:line="360" w:lineRule="auto"/>
        <w:jc w:val="center"/>
        <w:rPr>
          <w:rFonts w:hint="eastAsia" w:ascii="宋体" w:hAnsi="宋体" w:cs="宋体"/>
          <w:color w:val="000000"/>
          <w:szCs w:val="36"/>
          <w:lang w:val="zh-CN"/>
        </w:rPr>
      </w:pPr>
    </w:p>
    <w:p>
      <w:pPr>
        <w:pStyle w:val="28"/>
        <w:spacing w:before="0" w:after="0" w:line="360" w:lineRule="auto"/>
        <w:jc w:val="center"/>
        <w:rPr>
          <w:rFonts w:hint="eastAsia" w:ascii="宋体" w:hAnsi="宋体" w:cs="宋体"/>
          <w:color w:val="000000"/>
          <w:szCs w:val="36"/>
          <w:lang w:val="zh-CN"/>
        </w:rPr>
      </w:pPr>
    </w:p>
    <w:p>
      <w:pPr>
        <w:pStyle w:val="28"/>
        <w:spacing w:before="0" w:after="0" w:line="360" w:lineRule="auto"/>
        <w:jc w:val="center"/>
        <w:rPr>
          <w:rFonts w:hint="eastAsia" w:ascii="宋体" w:hAnsi="宋体" w:cs="宋体"/>
          <w:color w:val="000000"/>
          <w:szCs w:val="36"/>
          <w:lang w:val="zh-CN"/>
        </w:rPr>
      </w:pPr>
    </w:p>
    <w:p>
      <w:pPr>
        <w:pStyle w:val="28"/>
        <w:spacing w:before="0" w:after="0" w:line="360" w:lineRule="auto"/>
        <w:jc w:val="center"/>
        <w:rPr>
          <w:rFonts w:hint="eastAsia" w:ascii="宋体" w:hAnsi="宋体" w:cs="宋体"/>
          <w:color w:val="000000"/>
          <w:szCs w:val="36"/>
        </w:rPr>
      </w:pPr>
      <w:r>
        <w:rPr>
          <w:rFonts w:hint="eastAsia" w:ascii="宋体" w:hAnsi="宋体" w:cs="宋体"/>
          <w:color w:val="000000"/>
          <w:szCs w:val="36"/>
          <w:lang w:val="zh-CN"/>
        </w:rPr>
        <w:t>第二部分  投标人须知</w:t>
      </w:r>
      <w:bookmarkEnd w:id="2"/>
      <w:bookmarkEnd w:id="3"/>
    </w:p>
    <w:p>
      <w:pPr>
        <w:pStyle w:val="28"/>
        <w:spacing w:before="0" w:after="0" w:line="360" w:lineRule="auto"/>
        <w:rPr>
          <w:rFonts w:hint="eastAsia" w:ascii="宋体" w:hAnsi="宋体" w:cs="宋体"/>
          <w:color w:val="000000"/>
        </w:rPr>
      </w:pPr>
      <w:bookmarkStart w:id="4" w:name="_Toc3021"/>
      <w:r>
        <w:rPr>
          <w:rFonts w:hint="eastAsia" w:ascii="宋体" w:hAnsi="宋体" w:cs="宋体"/>
          <w:color w:val="000000"/>
          <w:lang w:val="zh-CN"/>
        </w:rPr>
        <w:t>一、说明</w:t>
      </w:r>
      <w:bookmarkEnd w:id="4"/>
    </w:p>
    <w:p>
      <w:pPr>
        <w:pStyle w:val="28"/>
        <w:spacing w:before="0" w:after="0" w:line="360" w:lineRule="auto"/>
        <w:jc w:val="left"/>
        <w:rPr>
          <w:rFonts w:hint="eastAsia" w:ascii="宋体" w:hAnsi="宋体" w:cs="宋体"/>
          <w:color w:val="000000"/>
          <w:lang w:val="zh-CN"/>
        </w:rPr>
      </w:pPr>
      <w:bookmarkStart w:id="5" w:name="_Toc5211"/>
      <w:r>
        <w:rPr>
          <w:rFonts w:hint="eastAsia" w:ascii="宋体" w:hAnsi="宋体" w:cs="宋体"/>
          <w:color w:val="000000"/>
          <w:sz w:val="28"/>
          <w:szCs w:val="28"/>
          <w:lang w:val="zh-CN"/>
        </w:rPr>
        <w:t>1.适用范围</w:t>
      </w:r>
      <w:bookmarkEnd w:id="5"/>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8"/>
        <w:spacing w:before="0" w:after="0" w:line="360" w:lineRule="auto"/>
        <w:jc w:val="left"/>
        <w:rPr>
          <w:rFonts w:hint="eastAsia" w:ascii="宋体" w:hAnsi="宋体" w:cs="宋体"/>
          <w:color w:val="000000"/>
          <w:lang w:val="zh-CN"/>
        </w:rPr>
      </w:pPr>
      <w:bookmarkStart w:id="6" w:name="_Toc9643"/>
      <w:r>
        <w:rPr>
          <w:rFonts w:hint="eastAsia" w:ascii="宋体" w:hAnsi="宋体" w:cs="宋体"/>
          <w:color w:val="000000"/>
          <w:sz w:val="28"/>
          <w:szCs w:val="28"/>
          <w:lang w:val="zh-CN"/>
        </w:rPr>
        <w:t>2.采购方式、合格的投标人</w:t>
      </w:r>
      <w:bookmarkEnd w:id="6"/>
    </w:p>
    <w:p>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8"/>
        <w:spacing w:before="0" w:after="0" w:line="360" w:lineRule="auto"/>
        <w:jc w:val="left"/>
        <w:rPr>
          <w:rFonts w:hint="eastAsia" w:ascii="宋体" w:hAnsi="宋体" w:cs="宋体"/>
          <w:color w:val="000000"/>
          <w:lang w:val="zh-CN"/>
        </w:rPr>
      </w:pPr>
      <w:bookmarkStart w:id="7" w:name="_Toc12030"/>
      <w:r>
        <w:rPr>
          <w:rFonts w:hint="eastAsia" w:ascii="宋体" w:hAnsi="宋体" w:cs="宋体"/>
          <w:color w:val="000000"/>
          <w:sz w:val="28"/>
          <w:szCs w:val="28"/>
          <w:lang w:val="zh-CN"/>
        </w:rPr>
        <w:t>3.投标费用</w:t>
      </w:r>
      <w:bookmarkEnd w:id="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投标人应自愿承担与参加本次投标有关的费用。采购中心对投标人发生的费用不承担任何责任。</w:t>
      </w:r>
    </w:p>
    <w:p>
      <w:pPr>
        <w:pStyle w:val="28"/>
        <w:spacing w:before="0" w:after="0" w:line="360" w:lineRule="auto"/>
        <w:rPr>
          <w:rFonts w:hint="eastAsia" w:ascii="宋体" w:hAnsi="宋体" w:cs="宋体"/>
          <w:color w:val="000000"/>
        </w:rPr>
      </w:pPr>
      <w:bookmarkStart w:id="8" w:name="_Toc24749"/>
      <w:r>
        <w:rPr>
          <w:rFonts w:hint="eastAsia" w:ascii="宋体" w:hAnsi="宋体" w:cs="宋体"/>
          <w:color w:val="000000"/>
          <w:lang w:val="zh-CN"/>
        </w:rPr>
        <w:t>二、招标文件说明</w:t>
      </w:r>
      <w:bookmarkEnd w:id="8"/>
    </w:p>
    <w:p>
      <w:pPr>
        <w:pStyle w:val="28"/>
        <w:spacing w:before="0" w:after="0" w:line="360" w:lineRule="auto"/>
        <w:jc w:val="left"/>
        <w:rPr>
          <w:rFonts w:hint="eastAsia" w:ascii="宋体" w:hAnsi="宋体" w:cs="宋体"/>
          <w:color w:val="000000"/>
          <w:lang w:val="zh-CN"/>
        </w:rPr>
      </w:pPr>
      <w:bookmarkStart w:id="9" w:name="_Toc4696"/>
      <w:r>
        <w:rPr>
          <w:rFonts w:hint="eastAsia" w:ascii="宋体" w:hAnsi="宋体" w:cs="宋体"/>
          <w:color w:val="000000"/>
          <w:sz w:val="28"/>
          <w:szCs w:val="28"/>
          <w:lang w:val="zh-CN"/>
        </w:rPr>
        <w:t>4.招标文件的构成</w:t>
      </w:r>
      <w:bookmarkEnd w:id="9"/>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）格尔木市政府采购项目合同书范本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投标人按照招标文件的要求编制投标文件。投标文件对招标文件提出的要求和条件作出明确响应。</w:t>
      </w:r>
    </w:p>
    <w:p>
      <w:pPr>
        <w:pStyle w:val="28"/>
        <w:spacing w:before="0" w:after="0" w:line="360" w:lineRule="auto"/>
        <w:jc w:val="left"/>
        <w:rPr>
          <w:rFonts w:hint="eastAsia" w:ascii="宋体" w:hAnsi="宋体" w:cs="宋体"/>
          <w:color w:val="000000"/>
          <w:sz w:val="28"/>
          <w:szCs w:val="28"/>
          <w:lang w:val="zh-CN"/>
        </w:rPr>
      </w:pPr>
      <w:bookmarkStart w:id="10" w:name="_Toc23073"/>
      <w:r>
        <w:rPr>
          <w:rFonts w:hint="eastAsia" w:ascii="宋体" w:hAnsi="宋体" w:cs="宋体"/>
          <w:color w:val="000000"/>
          <w:sz w:val="28"/>
          <w:szCs w:val="28"/>
          <w:lang w:val="zh-CN"/>
        </w:rPr>
        <w:t>5.招标文件、采购活动和中标结果的质疑</w:t>
      </w:r>
      <w:bookmarkEnd w:id="1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投标人认为招标文件使自己的权益受到损害的，可以在知道或者应知其权益受到损害之日起7个工作日内以书面形式（如信件、传真等）向采购人或格尔木市政务服务和公共资源交易中心质疑，不接受匿名质疑。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对采购文件提出质疑的，在获取采购文件或者采购文件公告期限届满之日起</w:t>
      </w:r>
      <w:r>
        <w:rPr>
          <w:rFonts w:hint="eastAsia" w:ascii="宋体" w:hAnsi="宋体" w:cs="宋体"/>
          <w:color w:val="000000"/>
        </w:rPr>
        <w:t>7</w:t>
      </w:r>
      <w:r>
        <w:rPr>
          <w:rFonts w:ascii="Arial" w:hAnsi="Arial" w:cs="Arial"/>
          <w:color w:val="000000"/>
        </w:rPr>
        <w:t>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采购人或采购中心</w:t>
      </w:r>
      <w:r>
        <w:rPr>
          <w:rFonts w:hint="eastAsia" w:ascii="宋体" w:hAnsi="宋体" w:cs="宋体"/>
          <w:color w:val="000000"/>
          <w:kern w:val="0"/>
          <w:lang w:val="zh-CN"/>
        </w:rPr>
        <w:t>在收到书面</w:t>
      </w:r>
      <w:r>
        <w:rPr>
          <w:rFonts w:ascii="Arial" w:hAnsi="Arial" w:cs="Arial"/>
          <w:color w:val="000000"/>
        </w:rPr>
        <w:t>质疑函后</w:t>
      </w:r>
      <w:r>
        <w:rPr>
          <w:rFonts w:hint="eastAsia" w:ascii="宋体" w:hAnsi="宋体" w:cs="宋体"/>
          <w:color w:val="000000"/>
        </w:rPr>
        <w:t>7</w:t>
      </w:r>
      <w:r>
        <w:rPr>
          <w:rFonts w:ascii="Arial" w:hAnsi="Arial" w:cs="Arial"/>
          <w:color w:val="000000"/>
        </w:rPr>
        <w:t>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参与采购活动的投标人对评审过程或者结果提出质疑的，采购人、采购中心可以组织原评审委员会协助答复质疑。质疑事项处理完成后，格尔木市政务服务和公共资源交易中心应按照规定填写《</w:t>
      </w:r>
      <w:r>
        <w:rPr>
          <w:rFonts w:hint="eastAsia" w:ascii="宋体" w:hAnsi="宋体" w:cs="宋体"/>
          <w:color w:val="000000"/>
          <w:kern w:val="0"/>
          <w:lang w:val="en-US" w:eastAsia="zh-CN"/>
        </w:rPr>
        <w:t>格尔木</w:t>
      </w:r>
      <w:r>
        <w:rPr>
          <w:rFonts w:hint="eastAsia" w:ascii="宋体" w:hAnsi="宋体" w:cs="宋体"/>
          <w:color w:val="000000"/>
          <w:kern w:val="0"/>
          <w:lang w:val="zh-CN"/>
        </w:rPr>
        <w:t>市政府采购投标人质疑处理情况表》，并在15日内报同级政府采购监督管理部门备案。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8"/>
        <w:spacing w:before="0" w:after="0" w:line="360" w:lineRule="auto"/>
        <w:jc w:val="left"/>
        <w:rPr>
          <w:rFonts w:hint="eastAsia" w:ascii="宋体" w:hAnsi="宋体" w:cs="宋体"/>
          <w:color w:val="000000"/>
          <w:lang w:val="zh-CN"/>
        </w:rPr>
      </w:pPr>
      <w:bookmarkStart w:id="11" w:name="_Toc6552"/>
      <w:r>
        <w:rPr>
          <w:rFonts w:hint="eastAsia" w:ascii="宋体" w:hAnsi="宋体" w:cs="宋体"/>
          <w:color w:val="000000"/>
          <w:sz w:val="28"/>
          <w:szCs w:val="28"/>
          <w:lang w:val="zh-CN"/>
        </w:rPr>
        <w:t>6.澄清或修改</w:t>
      </w:r>
      <w:bookmarkEnd w:id="1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采购中心可以对已发出的招标文件进行必要的澄清或者修改，但不得改变采购标的和资格条件。澄清或者修改在原公告发布媒体上发布澄清公告。澄清或者修改的内容为招标文件的组成部分。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澄清或者修改的内容可能影响投标文件编制的，采购中心在投标截止时间至少15日前，以书面形式通知所有获取招标文件的潜在投标人，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；不足15日的，采购中心顺延提交投标文件的截止时间。</w:t>
      </w:r>
    </w:p>
    <w:p>
      <w:pPr>
        <w:autoSpaceDE w:val="0"/>
        <w:autoSpaceDN w:val="0"/>
        <w:spacing w:line="360" w:lineRule="auto"/>
        <w:ind w:firstLine="482" w:firstLineChars="200"/>
        <w:rPr>
          <w:rFonts w:hint="eastAsia" w:ascii="宋体" w:hAnsi="宋体" w:cs="宋体"/>
          <w:b/>
          <w:color w:val="000000"/>
          <w:kern w:val="0"/>
          <w:lang w:val="zh-CN"/>
        </w:rPr>
      </w:pPr>
      <w:r>
        <w:rPr>
          <w:rFonts w:hint="eastAsia" w:ascii="宋体" w:hAnsi="宋体" w:cs="宋体"/>
          <w:b/>
          <w:color w:val="000000"/>
          <w:kern w:val="0"/>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如发出的为告知函则无需在线提交任何证明资料。</w:t>
      </w:r>
    </w:p>
    <w:p>
      <w:pPr>
        <w:autoSpaceDE w:val="0"/>
        <w:autoSpaceDN w:val="0"/>
        <w:spacing w:line="360" w:lineRule="auto"/>
        <w:ind w:firstLine="482" w:firstLineChars="200"/>
        <w:rPr>
          <w:rFonts w:hint="eastAsia" w:ascii="宋体" w:hAnsi="宋体" w:cs="宋体"/>
          <w:b/>
          <w:color w:val="000000"/>
          <w:kern w:val="0"/>
          <w:lang w:val="zh-CN"/>
        </w:rPr>
      </w:pPr>
    </w:p>
    <w:p>
      <w:pPr>
        <w:pStyle w:val="28"/>
        <w:spacing w:before="0" w:after="0" w:line="360" w:lineRule="auto"/>
        <w:rPr>
          <w:rFonts w:hint="eastAsia" w:ascii="宋体" w:hAnsi="宋体" w:cs="宋体"/>
          <w:color w:val="000000"/>
        </w:rPr>
      </w:pPr>
      <w:bookmarkStart w:id="12" w:name="_Toc20266"/>
      <w:r>
        <w:rPr>
          <w:rFonts w:hint="eastAsia" w:ascii="宋体" w:hAnsi="宋体" w:cs="宋体"/>
          <w:color w:val="000000"/>
          <w:lang w:val="zh-CN"/>
        </w:rPr>
        <w:t>三、投标文件的编制</w:t>
      </w:r>
      <w:bookmarkEnd w:id="12"/>
    </w:p>
    <w:p>
      <w:pPr>
        <w:pStyle w:val="28"/>
        <w:spacing w:before="0" w:after="0" w:line="360" w:lineRule="auto"/>
        <w:jc w:val="left"/>
        <w:rPr>
          <w:rFonts w:hint="eastAsia" w:ascii="宋体" w:hAnsi="宋体" w:cs="宋体"/>
          <w:color w:val="000000"/>
          <w:lang w:val="zh-CN"/>
        </w:rPr>
      </w:pPr>
      <w:bookmarkStart w:id="13" w:name="_Toc26947"/>
      <w:r>
        <w:rPr>
          <w:rFonts w:hint="eastAsia" w:ascii="宋体" w:hAnsi="宋体" w:cs="宋体"/>
          <w:color w:val="000000"/>
          <w:sz w:val="28"/>
          <w:szCs w:val="28"/>
          <w:lang w:val="zh-CN"/>
        </w:rPr>
        <w:t>7.投标文件的语言及度量衡单位</w:t>
      </w:r>
      <w:bookmarkEnd w:id="1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8"/>
        <w:spacing w:before="0" w:after="0" w:line="360" w:lineRule="auto"/>
        <w:jc w:val="left"/>
        <w:rPr>
          <w:rFonts w:hint="eastAsia" w:ascii="宋体" w:hAnsi="宋体" w:cs="宋体"/>
          <w:color w:val="000000"/>
          <w:lang w:val="zh-CN"/>
        </w:rPr>
      </w:pPr>
      <w:bookmarkStart w:id="14" w:name="_Toc26236"/>
      <w:r>
        <w:rPr>
          <w:rFonts w:hint="eastAsia" w:ascii="宋体" w:hAnsi="宋体" w:cs="宋体"/>
          <w:color w:val="000000"/>
          <w:sz w:val="28"/>
          <w:szCs w:val="28"/>
          <w:lang w:val="zh-CN"/>
        </w:rPr>
        <w:t>8.投标报价及币种</w:t>
      </w:r>
      <w:bookmarkEnd w:id="14"/>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投标报价为投标总价。投标报价必须包括：保险费、安装费、调试费、培训费、税金及不可预见费等全部费用。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8"/>
        <w:spacing w:before="0" w:after="0" w:line="360" w:lineRule="auto"/>
        <w:jc w:val="left"/>
        <w:rPr>
          <w:rFonts w:hint="eastAsia" w:ascii="宋体" w:hAnsi="宋体" w:cs="宋体"/>
          <w:color w:val="000000"/>
          <w:lang w:val="zh-CN"/>
        </w:rPr>
      </w:pPr>
      <w:bookmarkStart w:id="15" w:name="_Toc22643"/>
      <w:r>
        <w:rPr>
          <w:rFonts w:hint="eastAsia" w:ascii="宋体" w:hAnsi="宋体" w:cs="宋体"/>
          <w:color w:val="000000"/>
          <w:sz w:val="28"/>
          <w:szCs w:val="28"/>
        </w:rPr>
        <w:t>9</w:t>
      </w:r>
      <w:r>
        <w:rPr>
          <w:rFonts w:hint="eastAsia" w:ascii="宋体" w:hAnsi="宋体" w:cs="宋体"/>
          <w:color w:val="000000"/>
          <w:sz w:val="28"/>
          <w:szCs w:val="28"/>
          <w:lang w:val="zh-CN"/>
        </w:rPr>
        <w:t>.投标有效期</w:t>
      </w:r>
      <w:bookmarkEnd w:id="1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60日历日。投标文件中承诺的投标有效期不少于招标文件中载明的投标有效期。</w:t>
      </w:r>
    </w:p>
    <w:p>
      <w:pPr>
        <w:pStyle w:val="28"/>
        <w:spacing w:before="0" w:after="0" w:line="360" w:lineRule="auto"/>
        <w:jc w:val="left"/>
        <w:rPr>
          <w:rFonts w:hint="eastAsia" w:ascii="宋体" w:hAnsi="宋体" w:cs="宋体"/>
          <w:color w:val="000000"/>
          <w:lang w:val="zh-CN"/>
        </w:rPr>
      </w:pPr>
      <w:bookmarkStart w:id="16" w:name="_Toc8477"/>
      <w:r>
        <w:rPr>
          <w:rFonts w:hint="eastAsia" w:ascii="宋体" w:hAnsi="宋体" w:cs="宋体"/>
          <w:color w:val="000000"/>
          <w:sz w:val="28"/>
          <w:szCs w:val="28"/>
          <w:lang w:val="zh-CN"/>
        </w:rPr>
        <w:t>1</w:t>
      </w:r>
      <w:r>
        <w:rPr>
          <w:rFonts w:hint="eastAsia" w:ascii="宋体" w:hAnsi="宋体" w:cs="宋体"/>
          <w:color w:val="000000"/>
          <w:sz w:val="28"/>
          <w:szCs w:val="28"/>
        </w:rPr>
        <w:t>0</w:t>
      </w:r>
      <w:r>
        <w:rPr>
          <w:rFonts w:hint="eastAsia" w:ascii="宋体" w:hAnsi="宋体" w:cs="宋体"/>
          <w:color w:val="000000"/>
          <w:sz w:val="28"/>
          <w:szCs w:val="28"/>
          <w:lang w:val="zh-CN"/>
        </w:rPr>
        <w:t>.投标文件构成</w:t>
      </w:r>
      <w:bookmarkEnd w:id="1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10.1</w:t>
      </w:r>
      <w:r>
        <w:rPr>
          <w:rFonts w:hint="eastAsia" w:ascii="宋体" w:hAnsi="宋体" w:cs="宋体"/>
          <w:b/>
          <w:bCs/>
          <w:color w:val="000000"/>
          <w:kern w:val="0"/>
          <w:lang w:val="zh-CN"/>
        </w:rPr>
        <w:t>、投标文件（上册）（资格审查）</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投标保证金证明</w:t>
      </w:r>
    </w:p>
    <w:p>
      <w:pPr>
        <w:autoSpaceDE w:val="0"/>
        <w:autoSpaceDN w:val="0"/>
        <w:spacing w:line="360" w:lineRule="auto"/>
        <w:ind w:firstLine="482" w:firstLineChars="200"/>
        <w:rPr>
          <w:rFonts w:hint="eastAsia" w:ascii="宋体" w:hAnsi="宋体" w:cs="宋体"/>
          <w:color w:val="000000"/>
          <w:kern w:val="0"/>
        </w:rPr>
      </w:pPr>
      <w:r>
        <w:rPr>
          <w:rFonts w:hint="eastAsia" w:ascii="宋体" w:hAnsi="宋体" w:cs="宋体"/>
          <w:b/>
          <w:bCs/>
          <w:color w:val="000000"/>
          <w:kern w:val="0"/>
        </w:rPr>
        <w:t xml:space="preserve">10.2 </w:t>
      </w:r>
      <w:r>
        <w:rPr>
          <w:rFonts w:hint="eastAsia" w:ascii="宋体" w:hAnsi="宋体" w:cs="宋体"/>
          <w:b/>
          <w:bCs/>
          <w:color w:val="000000"/>
          <w:kern w:val="0"/>
          <w:lang w:val="zh-CN"/>
        </w:rPr>
        <w:t>投标文件（下册）（符合性审查）</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评分对照表</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中小企业声明函</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残疾人福利性单位声明函</w:t>
      </w:r>
    </w:p>
    <w:p>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8"/>
        <w:spacing w:before="0" w:after="0" w:line="360" w:lineRule="auto"/>
        <w:jc w:val="left"/>
        <w:rPr>
          <w:rFonts w:hint="eastAsia" w:ascii="宋体" w:hAnsi="宋体" w:cs="宋体"/>
          <w:color w:val="000000"/>
          <w:lang w:val="zh-CN"/>
        </w:rPr>
      </w:pPr>
      <w:bookmarkStart w:id="17" w:name="_Toc6431"/>
      <w:r>
        <w:rPr>
          <w:rFonts w:hint="eastAsia" w:ascii="宋体" w:hAnsi="宋体" w:cs="宋体"/>
          <w:color w:val="000000"/>
          <w:sz w:val="28"/>
          <w:szCs w:val="28"/>
          <w:lang w:val="zh-CN"/>
        </w:rPr>
        <w:t>1</w:t>
      </w:r>
      <w:r>
        <w:rPr>
          <w:rFonts w:hint="eastAsia" w:ascii="宋体" w:hAnsi="宋体" w:cs="宋体"/>
          <w:color w:val="000000"/>
          <w:sz w:val="28"/>
          <w:szCs w:val="28"/>
        </w:rPr>
        <w:t>1</w:t>
      </w:r>
      <w:r>
        <w:rPr>
          <w:rFonts w:hint="eastAsia" w:ascii="宋体" w:hAnsi="宋体" w:cs="宋体"/>
          <w:color w:val="000000"/>
          <w:sz w:val="28"/>
          <w:szCs w:val="28"/>
          <w:lang w:val="zh-CN"/>
        </w:rPr>
        <w:t>.投标文件的编制要求</w:t>
      </w:r>
      <w:bookmarkEnd w:id="1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1</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widowControl/>
        <w:ind w:firstLine="482" w:firstLineChars="200"/>
        <w:jc w:val="left"/>
        <w:rPr>
          <w:rFonts w:hint="eastAsia" w:ascii="宋体" w:hAnsi="宋体" w:cs="宋体"/>
          <w:b/>
          <w:color w:val="000000"/>
          <w:kern w:val="0"/>
          <w:lang w:val="zh-CN"/>
        </w:rPr>
      </w:pPr>
      <w:r>
        <w:rPr>
          <w:rFonts w:hint="eastAsia" w:ascii="宋体" w:hAnsi="宋体" w:cs="宋体"/>
          <w:b/>
          <w:color w:val="000000"/>
          <w:kern w:val="0"/>
          <w:lang w:val="zh-CN"/>
        </w:rPr>
        <w:t>1</w:t>
      </w:r>
      <w:r>
        <w:rPr>
          <w:rFonts w:hint="eastAsia" w:ascii="宋体" w:hAnsi="宋体" w:cs="宋体"/>
          <w:b/>
          <w:color w:val="000000"/>
          <w:kern w:val="0"/>
        </w:rPr>
        <w:t>1</w:t>
      </w:r>
      <w:r>
        <w:rPr>
          <w:rFonts w:hint="eastAsia" w:ascii="宋体" w:hAnsi="宋体" w:cs="宋体"/>
          <w:b/>
          <w:color w:val="000000"/>
          <w:kern w:val="0"/>
          <w:lang w:val="zh-CN"/>
        </w:rPr>
        <w:t>.2</w:t>
      </w:r>
      <w:r>
        <w:rPr>
          <w:rFonts w:hint="eastAsia" w:ascii="宋体" w:hAnsi="宋体" w:cs="宋体"/>
          <w:b/>
          <w:color w:val="000000"/>
          <w:kern w:val="0"/>
        </w:rPr>
        <w:t xml:space="preserve"> </w:t>
      </w:r>
      <w:r>
        <w:rPr>
          <w:rFonts w:hint="eastAsia" w:ascii="宋体" w:hAnsi="宋体" w:cs="宋体"/>
          <w:b/>
          <w:color w:val="000000"/>
          <w:kern w:val="0"/>
          <w:lang w:val="zh-CN"/>
        </w:rPr>
        <w:t>投标人应在投标截止时间之前将加密电子投标文件上传至评标系统；加密电子投标文件的制作详情请咨询政采云，咨询电话：</w:t>
      </w:r>
      <w:r>
        <w:rPr>
          <w:rFonts w:hint="eastAsia" w:ascii="宋体" w:hAnsi="宋体" w:cs="宋体"/>
          <w:b/>
          <w:color w:val="0000FF"/>
          <w:kern w:val="0"/>
        </w:rPr>
        <w:t>95763</w:t>
      </w:r>
      <w:r>
        <w:rPr>
          <w:rFonts w:hint="eastAsia" w:ascii="宋体" w:hAnsi="宋体" w:cs="宋体"/>
          <w:b/>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1</w:t>
      </w:r>
      <w:r>
        <w:rPr>
          <w:rFonts w:hint="eastAsia" w:ascii="宋体" w:hAnsi="宋体" w:cs="宋体"/>
          <w:color w:val="000000"/>
          <w:kern w:val="0"/>
          <w:lang w:val="zh-CN"/>
        </w:rPr>
        <w:t>.3投标文件中不得行间插字、涂改或增删，如有修改错漏处，须由投标人法定代表人或其委托代理人签字、加盖公章。</w:t>
      </w:r>
    </w:p>
    <w:p>
      <w:pPr>
        <w:pStyle w:val="28"/>
        <w:spacing w:before="0" w:after="0" w:line="360" w:lineRule="auto"/>
        <w:rPr>
          <w:rFonts w:hint="eastAsia" w:ascii="宋体" w:hAnsi="宋体" w:cs="宋体"/>
          <w:color w:val="000000"/>
        </w:rPr>
      </w:pPr>
      <w:bookmarkStart w:id="18" w:name="_Toc29189"/>
      <w:r>
        <w:rPr>
          <w:rFonts w:hint="eastAsia" w:ascii="宋体" w:hAnsi="宋体" w:cs="宋体"/>
          <w:color w:val="000000"/>
          <w:lang w:val="zh-CN"/>
        </w:rPr>
        <w:t>四、</w:t>
      </w:r>
      <w:r>
        <w:rPr>
          <w:rFonts w:hint="eastAsia" w:ascii="宋体" w:hAnsi="宋体" w:cs="宋体"/>
          <w:color w:val="000000"/>
          <w:kern w:val="0"/>
          <w:lang w:val="zh-CN"/>
        </w:rPr>
        <w:t>电子</w:t>
      </w:r>
      <w:r>
        <w:rPr>
          <w:rFonts w:hint="eastAsia" w:ascii="宋体" w:hAnsi="宋体" w:cs="宋体"/>
          <w:color w:val="000000"/>
          <w:lang w:val="zh-CN"/>
        </w:rPr>
        <w:t>投标文件的上传</w:t>
      </w:r>
      <w:bookmarkEnd w:id="18"/>
    </w:p>
    <w:p>
      <w:pPr>
        <w:pStyle w:val="28"/>
        <w:spacing w:before="0" w:after="0" w:line="360" w:lineRule="auto"/>
        <w:jc w:val="left"/>
        <w:rPr>
          <w:rFonts w:hint="eastAsia" w:ascii="宋体" w:hAnsi="宋体" w:cs="宋体"/>
          <w:color w:val="000000"/>
          <w:lang w:val="zh-CN"/>
        </w:rPr>
      </w:pPr>
      <w:bookmarkStart w:id="19" w:name="_Toc16316"/>
      <w:r>
        <w:rPr>
          <w:rFonts w:hint="eastAsia" w:ascii="宋体" w:hAnsi="宋体" w:cs="宋体"/>
          <w:color w:val="000000"/>
          <w:sz w:val="28"/>
          <w:szCs w:val="28"/>
          <w:lang w:val="zh-CN"/>
        </w:rPr>
        <w:t>1</w:t>
      </w:r>
      <w:r>
        <w:rPr>
          <w:rFonts w:hint="eastAsia" w:ascii="宋体" w:hAnsi="宋体" w:cs="宋体"/>
          <w:color w:val="000000"/>
          <w:sz w:val="28"/>
          <w:szCs w:val="28"/>
        </w:rPr>
        <w:t>2</w:t>
      </w:r>
      <w:r>
        <w:rPr>
          <w:rFonts w:hint="eastAsia" w:ascii="宋体" w:hAnsi="宋体" w:cs="宋体"/>
          <w:color w:val="000000"/>
          <w:sz w:val="28"/>
          <w:szCs w:val="28"/>
          <w:lang w:val="zh-CN"/>
        </w:rPr>
        <w:t>.</w:t>
      </w:r>
      <w:r>
        <w:rPr>
          <w:rFonts w:hint="eastAsia" w:ascii="宋体" w:hAnsi="宋体" w:cs="宋体"/>
          <w:color w:val="000000"/>
          <w:kern w:val="0"/>
          <w:lang w:val="zh-CN"/>
        </w:rPr>
        <w:t xml:space="preserve"> </w:t>
      </w:r>
      <w:r>
        <w:rPr>
          <w:rFonts w:hint="eastAsia" w:ascii="宋体" w:hAnsi="宋体" w:cs="宋体"/>
          <w:color w:val="000000"/>
          <w:sz w:val="28"/>
          <w:szCs w:val="28"/>
          <w:lang w:val="zh-CN"/>
        </w:rPr>
        <w:t>电子投标文件上传</w:t>
      </w:r>
      <w:bookmarkEnd w:id="1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电子投标文件（</w:t>
      </w:r>
      <w:r>
        <w:rPr>
          <w:rFonts w:hint="eastAsia" w:ascii="宋体" w:hAnsi="宋体" w:cs="宋体"/>
          <w:color w:val="000000"/>
          <w:kern w:val="0"/>
        </w:rPr>
        <w:t>上、下册</w:t>
      </w:r>
      <w:r>
        <w:rPr>
          <w:rFonts w:hint="eastAsia" w:ascii="宋体" w:hAnsi="宋体" w:cs="宋体"/>
          <w:color w:val="000000"/>
          <w:kern w:val="0"/>
          <w:lang w:eastAsia="zh-CN"/>
        </w:rPr>
        <w:t>）</w:t>
      </w:r>
      <w:r>
        <w:rPr>
          <w:rFonts w:hint="eastAsia" w:ascii="宋体" w:hAnsi="宋体" w:cs="宋体"/>
          <w:color w:val="000000"/>
          <w:kern w:val="0"/>
          <w:lang w:val="zh-CN"/>
        </w:rPr>
        <w:t>，应分别按照招标文件及电子评标系统要求上传。</w:t>
      </w:r>
    </w:p>
    <w:p>
      <w:pPr>
        <w:pStyle w:val="28"/>
        <w:spacing w:before="0" w:after="0" w:line="360" w:lineRule="auto"/>
        <w:jc w:val="left"/>
        <w:rPr>
          <w:rFonts w:hint="eastAsia" w:ascii="宋体" w:hAnsi="宋体" w:cs="宋体"/>
          <w:color w:val="000000"/>
          <w:lang w:val="zh-CN"/>
        </w:rPr>
      </w:pPr>
      <w:bookmarkStart w:id="20" w:name="_Toc15309"/>
      <w:r>
        <w:rPr>
          <w:rFonts w:hint="eastAsia" w:ascii="宋体" w:hAnsi="宋体" w:cs="宋体"/>
          <w:color w:val="000000"/>
          <w:sz w:val="28"/>
          <w:szCs w:val="28"/>
          <w:lang w:val="zh-CN"/>
        </w:rPr>
        <w:t>1</w:t>
      </w:r>
      <w:r>
        <w:rPr>
          <w:rFonts w:hint="eastAsia" w:ascii="宋体" w:hAnsi="宋体" w:cs="宋体"/>
          <w:color w:val="000000"/>
          <w:sz w:val="28"/>
          <w:szCs w:val="28"/>
        </w:rPr>
        <w:t>3</w:t>
      </w:r>
      <w:r>
        <w:rPr>
          <w:rFonts w:hint="eastAsia" w:ascii="宋体" w:hAnsi="宋体" w:cs="宋体"/>
          <w:color w:val="000000"/>
          <w:sz w:val="28"/>
          <w:szCs w:val="28"/>
          <w:lang w:val="zh-CN"/>
        </w:rPr>
        <w:t>.上传加密电子投标文件的时间、地点、方式</w:t>
      </w:r>
      <w:bookmarkEnd w:id="2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投标人在招标文件要求开标截止时间前，</w:t>
      </w:r>
      <w:r>
        <w:rPr>
          <w:rFonts w:ascii="宋体" w:hAnsi="宋体" w:cs="宋体"/>
          <w:color w:val="000000"/>
          <w:kern w:val="0"/>
          <w:lang w:val="zh-CN"/>
        </w:rPr>
        <w:t>按要求</w:t>
      </w:r>
      <w:r>
        <w:rPr>
          <w:rFonts w:hint="eastAsia" w:ascii="宋体" w:hAnsi="宋体" w:cs="宋体"/>
          <w:color w:val="000000"/>
          <w:kern w:val="0"/>
          <w:lang w:val="zh-CN"/>
        </w:rPr>
        <w:t>上传加密电子投标文件至评标系统。</w:t>
      </w:r>
    </w:p>
    <w:p>
      <w:pPr>
        <w:pStyle w:val="28"/>
        <w:spacing w:before="0" w:after="0" w:line="360" w:lineRule="auto"/>
        <w:jc w:val="left"/>
        <w:rPr>
          <w:rFonts w:hint="eastAsia" w:ascii="宋体" w:hAnsi="宋体" w:cs="宋体"/>
          <w:color w:val="000000"/>
          <w:lang w:val="zh-CN"/>
        </w:rPr>
      </w:pPr>
      <w:bookmarkStart w:id="21" w:name="_Toc3244"/>
      <w:r>
        <w:rPr>
          <w:rFonts w:hint="eastAsia" w:ascii="宋体" w:hAnsi="宋体" w:cs="宋体"/>
          <w:color w:val="000000"/>
          <w:sz w:val="28"/>
          <w:szCs w:val="28"/>
          <w:lang w:val="zh-CN"/>
        </w:rPr>
        <w:t>1</w:t>
      </w:r>
      <w:r>
        <w:rPr>
          <w:rFonts w:hint="eastAsia" w:ascii="宋体" w:hAnsi="宋体" w:cs="宋体"/>
          <w:color w:val="000000"/>
          <w:sz w:val="28"/>
          <w:szCs w:val="28"/>
        </w:rPr>
        <w:t>4</w:t>
      </w:r>
      <w:r>
        <w:rPr>
          <w:rFonts w:hint="eastAsia" w:ascii="宋体" w:hAnsi="宋体" w:cs="宋体"/>
          <w:color w:val="000000"/>
          <w:sz w:val="28"/>
          <w:szCs w:val="28"/>
          <w:lang w:val="zh-CN"/>
        </w:rPr>
        <w:t>.电子投标文件的补充、修改或者撤回</w:t>
      </w:r>
      <w:bookmarkEnd w:id="2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4</w:t>
      </w:r>
      <w:r>
        <w:rPr>
          <w:rFonts w:hint="eastAsia" w:ascii="宋体" w:hAnsi="宋体" w:cs="宋体"/>
          <w:color w:val="000000"/>
          <w:kern w:val="0"/>
          <w:lang w:val="zh-CN"/>
        </w:rPr>
        <w:t>.1</w:t>
      </w:r>
      <w:r>
        <w:rPr>
          <w:rFonts w:hint="eastAsia" w:ascii="宋体" w:hAnsi="宋体" w:cs="宋体"/>
          <w:color w:val="000000"/>
          <w:kern w:val="0"/>
        </w:rPr>
        <w:t xml:space="preserve"> 投标人在投标截止时间前，可以对所上传的电子投标文件进行补充、修改或者撤回。补充、修改的内容按照招标文件要求签署、盖章，作为投标文件的组成部分。</w:t>
      </w:r>
    </w:p>
    <w:p>
      <w:pPr>
        <w:pStyle w:val="28"/>
        <w:spacing w:before="0" w:after="0" w:line="360" w:lineRule="auto"/>
        <w:rPr>
          <w:rFonts w:hint="eastAsia" w:ascii="宋体" w:hAnsi="宋体" w:cs="宋体"/>
          <w:color w:val="000000"/>
          <w:highlight w:val="green"/>
        </w:rPr>
      </w:pPr>
      <w:bookmarkStart w:id="22" w:name="_Toc11471"/>
      <w:r>
        <w:rPr>
          <w:rFonts w:hint="eastAsia" w:ascii="宋体" w:hAnsi="宋体" w:cs="宋体"/>
          <w:color w:val="000000"/>
          <w:lang w:val="zh-CN"/>
        </w:rPr>
        <w:t>五、开标</w:t>
      </w:r>
      <w:bookmarkEnd w:id="22"/>
    </w:p>
    <w:p>
      <w:pPr>
        <w:pStyle w:val="28"/>
        <w:spacing w:before="0" w:after="0" w:line="360" w:lineRule="auto"/>
        <w:jc w:val="left"/>
        <w:rPr>
          <w:rFonts w:hint="eastAsia" w:ascii="宋体" w:hAnsi="宋体" w:cs="宋体"/>
          <w:color w:val="000000"/>
          <w:lang w:val="zh-CN"/>
        </w:rPr>
      </w:pPr>
      <w:bookmarkStart w:id="23" w:name="_Toc11859"/>
      <w:r>
        <w:rPr>
          <w:rFonts w:hint="eastAsia" w:ascii="宋体" w:hAnsi="宋体" w:cs="宋体"/>
          <w:color w:val="000000"/>
          <w:sz w:val="28"/>
          <w:szCs w:val="28"/>
          <w:lang w:val="zh-CN"/>
        </w:rPr>
        <w:t>1</w:t>
      </w:r>
      <w:r>
        <w:rPr>
          <w:rFonts w:hint="eastAsia" w:ascii="宋体" w:hAnsi="宋体" w:cs="宋体"/>
          <w:color w:val="000000"/>
          <w:sz w:val="28"/>
          <w:szCs w:val="28"/>
        </w:rPr>
        <w:t>5</w:t>
      </w:r>
      <w:r>
        <w:rPr>
          <w:rFonts w:hint="eastAsia" w:ascii="宋体" w:hAnsi="宋体" w:cs="宋体"/>
          <w:color w:val="000000"/>
          <w:sz w:val="28"/>
          <w:szCs w:val="28"/>
          <w:lang w:val="zh-CN"/>
        </w:rPr>
        <w:t>.开标</w:t>
      </w:r>
      <w:bookmarkEnd w:id="2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5</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开标在招标文件确定的上传投标文件截止时间的同一时间进行，格尔木市政务服务和公共资源交易中心按本文件中确定的时间和地点组织开标活动。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采购中心对开标、评标现场活动进行全程录音录像。录音录像清晰可辨，音像资料作为采购文件一并存档。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5</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采购中心</w:t>
      </w:r>
      <w:r>
        <w:rPr>
          <w:rFonts w:hint="eastAsia" w:ascii="宋体" w:hAnsi="宋体" w:cs="宋体"/>
          <w:color w:val="000000"/>
          <w:shd w:val="clear" w:color="auto" w:fill="FFFFFF"/>
        </w:rPr>
        <w:t>主持。评标委员会成员不得参加开标活动。</w:t>
      </w:r>
    </w:p>
    <w:p>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投标人不足3家的，宣布本次公开招标采购活动终止。</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15.3开标过程由</w:t>
      </w:r>
      <w:r>
        <w:rPr>
          <w:rFonts w:hint="eastAsia" w:ascii="宋体" w:hAnsi="宋体" w:cs="宋体"/>
          <w:color w:val="000000"/>
          <w:kern w:val="0"/>
          <w:lang w:val="zh-CN"/>
        </w:rPr>
        <w:t>采购中心</w:t>
      </w:r>
      <w:r>
        <w:rPr>
          <w:rFonts w:hint="eastAsia" w:ascii="宋体" w:hAnsi="宋体" w:cs="宋体"/>
          <w:color w:val="000000"/>
          <w:kern w:val="0"/>
        </w:rPr>
        <w:t>负责记录，由参加开标的各投标人代表和相关工作人员线上签字确认后</w:t>
      </w:r>
      <w:r>
        <w:rPr>
          <w:rFonts w:ascii="宋体" w:hAnsi="宋体" w:cs="宋体"/>
          <w:color w:val="000000"/>
          <w:kern w:val="0"/>
        </w:rPr>
        <w:t>随采购文件一并存档</w:t>
      </w:r>
      <w:r>
        <w:rPr>
          <w:rFonts w:hint="eastAsia" w:ascii="宋体" w:hAnsi="宋体" w:cs="宋体"/>
          <w:color w:val="000000"/>
          <w:kern w:val="0"/>
        </w:rPr>
        <w:t>。</w:t>
      </w:r>
    </w:p>
    <w:p>
      <w:pPr>
        <w:pStyle w:val="28"/>
        <w:spacing w:before="0" w:after="0" w:line="360" w:lineRule="auto"/>
        <w:rPr>
          <w:rFonts w:hint="eastAsia" w:ascii="宋体" w:hAnsi="宋体" w:cs="宋体"/>
          <w:color w:val="000000"/>
          <w:kern w:val="0"/>
        </w:rPr>
      </w:pPr>
      <w:bookmarkStart w:id="24" w:name="_Toc496004006"/>
      <w:bookmarkStart w:id="25" w:name="_Toc30061"/>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4"/>
      <w:bookmarkEnd w:id="25"/>
    </w:p>
    <w:p>
      <w:pPr>
        <w:pStyle w:val="28"/>
        <w:spacing w:before="0" w:after="0" w:line="360" w:lineRule="auto"/>
        <w:jc w:val="left"/>
        <w:rPr>
          <w:rFonts w:hint="eastAsia" w:ascii="宋体" w:hAnsi="宋体" w:cs="宋体"/>
          <w:color w:val="000000"/>
          <w:sz w:val="28"/>
          <w:szCs w:val="28"/>
        </w:rPr>
      </w:pPr>
      <w:bookmarkStart w:id="26" w:name="_Toc10459"/>
      <w:r>
        <w:rPr>
          <w:rFonts w:hint="eastAsia" w:ascii="宋体" w:hAnsi="宋体" w:cs="宋体"/>
          <w:color w:val="000000"/>
          <w:sz w:val="28"/>
          <w:szCs w:val="28"/>
        </w:rPr>
        <w:t>16.资格审查</w:t>
      </w:r>
      <w:bookmarkEnd w:id="26"/>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16.1 开标结束后，采购人依法对投标人的</w:t>
      </w:r>
      <w:r>
        <w:rPr>
          <w:rFonts w:hint="eastAsia" w:ascii="宋体" w:hAnsi="宋体" w:cs="宋体"/>
          <w:color w:val="000000"/>
          <w:kern w:val="0"/>
          <w:lang w:eastAsia="zh-CN"/>
        </w:rPr>
        <w:t>资格</w:t>
      </w:r>
      <w:r>
        <w:rPr>
          <w:rFonts w:hint="eastAsia" w:ascii="宋体" w:hAnsi="宋体" w:cs="宋体"/>
          <w:color w:val="000000"/>
          <w:kern w:val="0"/>
        </w:rPr>
        <w:t>审查文件（上册）进行审查。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16.2 合格投标人不足3家的，不得评标，</w:t>
      </w:r>
      <w:r>
        <w:rPr>
          <w:rFonts w:hint="eastAsia" w:ascii="宋体" w:hAnsi="宋体" w:cs="宋体"/>
          <w:color w:val="000000"/>
          <w:shd w:val="clear" w:color="auto" w:fill="FFFFFF"/>
          <w:lang w:val="zh-CN"/>
        </w:rPr>
        <w:t>宣布本次公开招标采购活动终止</w:t>
      </w:r>
      <w:r>
        <w:rPr>
          <w:rFonts w:hint="eastAsia" w:ascii="宋体" w:hAnsi="宋体" w:cs="宋体"/>
          <w:color w:val="000000"/>
          <w:kern w:val="0"/>
        </w:rPr>
        <w:t>。</w:t>
      </w:r>
    </w:p>
    <w:p>
      <w:pPr>
        <w:autoSpaceDE w:val="0"/>
        <w:autoSpaceDN w:val="0"/>
        <w:spacing w:line="360" w:lineRule="auto"/>
        <w:ind w:firstLine="480" w:firstLineChars="200"/>
        <w:rPr>
          <w:rFonts w:hint="eastAsia" w:ascii="宋体" w:hAnsi="宋体" w:cs="宋体"/>
          <w:color w:val="000000"/>
          <w:sz w:val="28"/>
          <w:szCs w:val="28"/>
        </w:rPr>
      </w:pPr>
      <w:bookmarkStart w:id="27" w:name="_Toc30809"/>
      <w:bookmarkStart w:id="28" w:name="_Toc497503315"/>
      <w:bookmarkStart w:id="29" w:name="_Toc497503516"/>
      <w:bookmarkStart w:id="30" w:name="_Toc497503449"/>
      <w:bookmarkStart w:id="31" w:name="_Toc497503249"/>
      <w:r>
        <w:rPr>
          <w:rFonts w:hint="eastAsia" w:ascii="宋体" w:hAnsi="宋体" w:cs="宋体"/>
          <w:color w:val="000000"/>
          <w:kern w:val="0"/>
        </w:rPr>
        <w:t>16.3 资格审查时，投标人存在下列情况之一的，按无效投标处理：</w:t>
      </w:r>
      <w:bookmarkEnd w:id="27"/>
      <w:bookmarkEnd w:id="28"/>
      <w:bookmarkEnd w:id="29"/>
      <w:bookmarkEnd w:id="30"/>
      <w:bookmarkEnd w:id="31"/>
    </w:p>
    <w:p>
      <w:pPr>
        <w:numPr>
          <w:ilvl w:val="0"/>
          <w:numId w:val="4"/>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4"/>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未按第10.1要求提供相关资料的；</w:t>
      </w:r>
    </w:p>
    <w:p>
      <w:pPr>
        <w:numPr>
          <w:ilvl w:val="0"/>
          <w:numId w:val="4"/>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eastAsia="zh-CN"/>
        </w:rPr>
        <w:t>资格</w:t>
      </w:r>
      <w:r>
        <w:rPr>
          <w:rFonts w:hint="eastAsia" w:ascii="宋体" w:hAnsi="宋体" w:cs="宋体"/>
          <w:color w:val="000000"/>
          <w:kern w:val="0"/>
        </w:rPr>
        <w:t>审查文件未按招标文件规定和要求签字、盖章的；</w:t>
      </w:r>
    </w:p>
    <w:p>
      <w:pPr>
        <w:numPr>
          <w:ilvl w:val="0"/>
          <w:numId w:val="4"/>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4"/>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pStyle w:val="28"/>
        <w:spacing w:before="0" w:after="0" w:line="360" w:lineRule="auto"/>
        <w:rPr>
          <w:rFonts w:hint="eastAsia" w:ascii="宋体" w:hAnsi="宋体" w:cs="宋体"/>
          <w:color w:val="000000"/>
        </w:rPr>
      </w:pPr>
      <w:bookmarkStart w:id="32" w:name="_Toc29010"/>
      <w:r>
        <w:rPr>
          <w:rFonts w:hint="eastAsia" w:ascii="宋体" w:hAnsi="宋体" w:cs="宋体"/>
          <w:color w:val="000000"/>
          <w:lang w:val="zh-CN"/>
        </w:rPr>
        <w:t>七、评审程序及方法</w:t>
      </w:r>
      <w:bookmarkEnd w:id="32"/>
    </w:p>
    <w:p>
      <w:pPr>
        <w:pStyle w:val="28"/>
        <w:spacing w:before="0" w:after="0" w:line="360" w:lineRule="auto"/>
        <w:jc w:val="left"/>
        <w:rPr>
          <w:rFonts w:hint="eastAsia" w:ascii="宋体" w:hAnsi="宋体" w:cs="宋体"/>
          <w:color w:val="000000"/>
          <w:lang w:val="zh-CN"/>
        </w:rPr>
      </w:pPr>
      <w:bookmarkStart w:id="33" w:name="_Toc14554"/>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3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17.1 </w:t>
      </w:r>
      <w:r>
        <w:rPr>
          <w:rFonts w:hint="eastAsia" w:ascii="宋体" w:hAnsi="宋体" w:cs="宋体"/>
          <w:color w:val="000000"/>
          <w:kern w:val="0"/>
          <w:lang w:val="zh-CN"/>
        </w:rPr>
        <w:t>格尔木市政务服务和公共资源交易中心负责组织评标工作，并履行下列职责：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）公布投标人名单，告知评审专家回避的情形；</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5</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6</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7</w:t>
      </w:r>
      <w:r>
        <w:rPr>
          <w:rFonts w:hint="eastAsia" w:ascii="宋体" w:hAnsi="宋体" w:cs="宋体"/>
          <w:color w:val="000000"/>
          <w:kern w:val="0"/>
          <w:lang w:val="zh-CN"/>
        </w:rPr>
        <w:t>）核对评标结果，有</w:t>
      </w:r>
      <w:r>
        <w:rPr>
          <w:rFonts w:hint="eastAsia" w:ascii="宋体" w:hAnsi="宋体" w:cs="宋体"/>
          <w:color w:val="000000"/>
          <w:kern w:val="0"/>
        </w:rPr>
        <w:t>19.4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8</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9</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采购人可以在评标前说明项目背景和采购需求，说明内容不得含有歧视性、倾向性意见，不得超出招标文件所述范围。说明提交书面材料，并随采购文件一并存档。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17.2 评标委员会负责具体评标事务，并独立履行下列职责：</w:t>
      </w:r>
    </w:p>
    <w:p>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w:t>
      </w:r>
      <w:r>
        <w:rPr>
          <w:rFonts w:hint="eastAsia" w:ascii="宋体" w:hAnsi="宋体" w:cs="宋体"/>
          <w:color w:val="000000"/>
          <w:kern w:val="0"/>
          <w:lang w:eastAsia="zh-CN"/>
        </w:rPr>
        <w:t>，</w:t>
      </w:r>
      <w:r>
        <w:rPr>
          <w:rFonts w:hint="eastAsia" w:ascii="宋体" w:hAnsi="宋体" w:cs="宋体"/>
          <w:color w:val="000000"/>
          <w:kern w:val="0"/>
        </w:rPr>
        <w:t>按照客观、公正、审慎的原则</w:t>
      </w:r>
      <w:r>
        <w:rPr>
          <w:rFonts w:hint="eastAsia" w:ascii="宋体" w:hAnsi="宋体" w:cs="宋体"/>
          <w:color w:val="000000"/>
          <w:kern w:val="0"/>
          <w:lang w:eastAsia="zh-CN"/>
        </w:rPr>
        <w:t>，</w:t>
      </w:r>
      <w:r>
        <w:rPr>
          <w:rFonts w:hint="eastAsia" w:ascii="宋体" w:hAnsi="宋体" w:cs="宋体"/>
          <w:color w:val="000000"/>
          <w:kern w:val="0"/>
        </w:rPr>
        <w:t>根据采购文件规定的评审程序、评审方法和评审标准进行独立评审</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w:t>
      </w:r>
      <w:r>
        <w:rPr>
          <w:rFonts w:hint="eastAsia" w:ascii="宋体" w:hAnsi="宋体" w:cs="宋体"/>
          <w:color w:val="000000"/>
          <w:kern w:val="0"/>
          <w:lang w:eastAsia="zh-CN"/>
        </w:rPr>
        <w:t>，</w:t>
      </w:r>
      <w:r>
        <w:rPr>
          <w:rFonts w:hint="eastAsia" w:ascii="宋体" w:hAnsi="宋体" w:cs="宋体"/>
          <w:color w:val="000000"/>
          <w:kern w:val="0"/>
        </w:rPr>
        <w:t>停止评审并向</w:t>
      </w:r>
      <w:r>
        <w:rPr>
          <w:rFonts w:hint="eastAsia" w:ascii="宋体" w:hAnsi="宋体" w:cs="宋体"/>
          <w:color w:val="000000"/>
          <w:kern w:val="0"/>
          <w:lang w:eastAsia="zh-CN"/>
        </w:rPr>
        <w:t>格尔木市政务服务和公共资源交易中心</w:t>
      </w:r>
      <w:r>
        <w:rPr>
          <w:rFonts w:hint="eastAsia" w:ascii="宋体" w:hAnsi="宋体" w:cs="宋体"/>
          <w:color w:val="000000"/>
          <w:kern w:val="0"/>
        </w:rPr>
        <w:t>书面说明情况</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w:t>
      </w:r>
      <w:r>
        <w:rPr>
          <w:rFonts w:hint="eastAsia" w:ascii="宋体" w:hAnsi="宋体" w:cs="宋体"/>
          <w:color w:val="000000"/>
          <w:kern w:val="0"/>
          <w:lang w:eastAsia="zh-CN"/>
        </w:rPr>
        <w:t>，</w:t>
      </w:r>
      <w:r>
        <w:rPr>
          <w:rFonts w:hint="eastAsia" w:ascii="宋体" w:hAnsi="宋体" w:cs="宋体"/>
          <w:color w:val="000000"/>
          <w:kern w:val="0"/>
        </w:rPr>
        <w:t>不得泄露评审文件、评审情况和在评审过程中获悉的商业秘密</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向采购人、采购中心或者有关部门报告评标中发现的违法行为。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17.3 评标委员会由采购人代表和评审专家组成，成员人数为5人以上单数，其中评审专家不得少于成员总数的三分之二。</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采购项目符合下列情形之一的，评标委员会成员人数为7人以上单数：</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评审专家对本单位的采购项目只能作为采购人代表参与评标。采购中心工作人员不得参加由本机构代理的政府采购项目的评标。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评标委员会成员名单在评标结果公告前保密。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17.4 </w:t>
      </w:r>
      <w:r>
        <w:rPr>
          <w:rFonts w:hint="eastAsia" w:ascii="宋体" w:hAnsi="宋体" w:cs="宋体"/>
          <w:color w:val="000000"/>
          <w:kern w:val="0"/>
          <w:lang w:val="zh-CN"/>
        </w:rPr>
        <w:t>采购中心</w:t>
      </w:r>
      <w:r>
        <w:rPr>
          <w:rFonts w:hint="eastAsia" w:ascii="宋体" w:hAnsi="宋体" w:cs="宋体"/>
          <w:color w:val="000000"/>
          <w:kern w:val="0"/>
        </w:rPr>
        <w:t>从省级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优先选择本单位以外的评审专家，本项目所需评审专家均为省级专家库抽取。</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7</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中心依法补足后继续评标。被更换的评标委员会成员所作出的评标意见无效。无法及时补足评标委员会成员的，采购中心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采购中心</w:t>
      </w:r>
      <w:r>
        <w:rPr>
          <w:rFonts w:hint="eastAsia" w:ascii="宋体" w:hAnsi="宋体" w:cs="宋体"/>
          <w:color w:val="000000"/>
          <w:kern w:val="0"/>
        </w:rPr>
        <w:t>将变更、重新组建评标委员会的情况予以记录，并随采购文件一并存档。</w:t>
      </w:r>
    </w:p>
    <w:p>
      <w:pPr>
        <w:pStyle w:val="28"/>
        <w:spacing w:before="0" w:after="0" w:line="360" w:lineRule="auto"/>
        <w:jc w:val="left"/>
        <w:rPr>
          <w:rFonts w:hint="eastAsia" w:ascii="宋体" w:hAnsi="宋体" w:cs="宋体"/>
          <w:color w:val="000000"/>
          <w:lang w:val="zh-CN"/>
        </w:rPr>
      </w:pPr>
      <w:bookmarkStart w:id="34" w:name="_Toc25574"/>
      <w:r>
        <w:rPr>
          <w:rFonts w:hint="eastAsia" w:ascii="宋体" w:hAnsi="宋体" w:cs="宋体"/>
          <w:color w:val="000000"/>
          <w:sz w:val="28"/>
          <w:szCs w:val="28"/>
        </w:rPr>
        <w:t>18</w:t>
      </w:r>
      <w:r>
        <w:rPr>
          <w:rFonts w:hint="eastAsia" w:ascii="宋体" w:hAnsi="宋体" w:cs="宋体"/>
          <w:color w:val="000000"/>
          <w:sz w:val="28"/>
          <w:szCs w:val="28"/>
          <w:lang w:val="zh-CN"/>
        </w:rPr>
        <w:t>.评审工作程序</w:t>
      </w:r>
      <w:bookmarkEnd w:id="34"/>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18.1.1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投标文件中含义不明确、同类问题表述不一致或者有明显文字和计算错误的内容，评标委员会以书面形式要求投标人作出必要的澄清、说明或者补正。</w:t>
      </w:r>
    </w:p>
    <w:p>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投标人的澄清、说明或者补正采用线上形式，并加盖公章，或者由法定代表人或其授权的代表签字。投标人的澄清、说明或者补正不得超出投标文件的范围或者改变投标文件的实质性内容。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lang w:val="zh-CN"/>
        </w:rPr>
        <w:t>未按第1</w:t>
      </w:r>
      <w:r>
        <w:rPr>
          <w:rFonts w:hint="eastAsia" w:ascii="宋体" w:hAnsi="宋体" w:cs="宋体"/>
        </w:rPr>
        <w:t>0.</w:t>
      </w:r>
      <w:r>
        <w:rPr>
          <w:rFonts w:hint="eastAsia" w:ascii="宋体" w:hAnsi="宋体" w:cs="宋体"/>
          <w:lang w:val="zh-CN"/>
        </w:rPr>
        <w:t>2（</w:t>
      </w:r>
      <w:r>
        <w:rPr>
          <w:rFonts w:hint="eastAsia" w:ascii="宋体" w:hAnsi="宋体" w:cs="宋体"/>
        </w:rPr>
        <w:t>1</w:t>
      </w:r>
      <w:r>
        <w:rPr>
          <w:rFonts w:hint="eastAsia" w:ascii="宋体" w:hAnsi="宋体" w:cs="宋体"/>
          <w:lang w:val="en-US" w:eastAsia="zh-CN"/>
        </w:rPr>
        <w:t>1</w:t>
      </w:r>
      <w:r>
        <w:rPr>
          <w:rFonts w:hint="eastAsia" w:ascii="宋体" w:hAnsi="宋体" w:cs="宋体"/>
          <w:lang w:val="zh-CN"/>
        </w:rPr>
        <w:t>）－</w:t>
      </w:r>
      <w:r>
        <w:rPr>
          <w:rFonts w:ascii="宋体" w:hAnsi="宋体" w:cs="宋体"/>
          <w:lang w:val="zh-CN"/>
        </w:rPr>
        <w:t>（</w:t>
      </w:r>
      <w:r>
        <w:rPr>
          <w:rFonts w:hint="eastAsia" w:ascii="宋体" w:hAnsi="宋体" w:cs="宋体"/>
          <w:lang w:val="zh-CN"/>
        </w:rPr>
        <w:t>1</w:t>
      </w:r>
      <w:r>
        <w:rPr>
          <w:rFonts w:hint="eastAsia" w:ascii="宋体" w:hAnsi="宋体" w:cs="宋体"/>
          <w:lang w:val="en-US" w:eastAsia="zh-CN"/>
        </w:rPr>
        <w:t>6</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pPr>
        <w:numPr>
          <w:ilvl w:val="0"/>
          <w:numId w:val="6"/>
        </w:num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kern w:val="0"/>
          <w:lang w:val="zh-CN"/>
        </w:rPr>
        <w:t>服务</w:t>
      </w:r>
      <w:r>
        <w:rPr>
          <w:rFonts w:hint="eastAsia" w:ascii="宋体" w:hAnsi="宋体" w:cs="宋体"/>
          <w:kern w:val="0"/>
        </w:rPr>
        <w:t>/交货</w:t>
      </w:r>
      <w:r>
        <w:rPr>
          <w:rFonts w:hint="eastAsia" w:ascii="宋体" w:hAnsi="宋体" w:cs="宋体"/>
          <w:kern w:val="0"/>
          <w:lang w:val="zh-CN"/>
        </w:rPr>
        <w:t>时间</w:t>
      </w:r>
      <w:r>
        <w:rPr>
          <w:rFonts w:hint="eastAsia" w:ascii="宋体" w:hAnsi="宋体" w:cs="宋体"/>
          <w:color w:val="000000"/>
          <w:kern w:val="0"/>
          <w:lang w:val="zh-CN"/>
        </w:rPr>
        <w:t>不能满足招标文件要求的；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又不按18.1.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18.1.3 投标文件报价出现前后不一致的，按照下列规定修正：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同时出现两种以上不一致的，按照前款规定的顺序修正。修正后的报价按18.1.1第二款的规定经投标人确认后产生约束力。</w:t>
      </w:r>
    </w:p>
    <w:p>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rPr>
        <w:t>18.2</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根据《政府采购促进中小企业发展管理办法》，属小型、微型企业制造的货物，</w:t>
      </w:r>
      <w:r>
        <w:rPr>
          <w:rFonts w:hint="eastAsia" w:ascii="宋体" w:hAnsi="宋体" w:cs="宋体"/>
          <w:color w:val="000000"/>
          <w:kern w:val="0"/>
        </w:rPr>
        <w:t>投标人须提</w:t>
      </w:r>
      <w:r>
        <w:rPr>
          <w:rFonts w:hint="eastAsia" w:ascii="宋体" w:hAnsi="宋体" w:cs="宋体"/>
          <w:color w:val="000000"/>
          <w:kern w:val="0"/>
          <w:lang w:val="zh-CN"/>
        </w:rPr>
        <w:t>供</w:t>
      </w:r>
      <w:r>
        <w:rPr>
          <w:rFonts w:hint="eastAsia" w:ascii="宋体" w:hAnsi="宋体" w:cs="宋体"/>
          <w:b/>
          <w:color w:val="000000"/>
          <w:kern w:val="0"/>
          <w:lang w:val="zh-CN"/>
        </w:rPr>
        <w:t>《中小企业声明函》</w:t>
      </w:r>
      <w:r>
        <w:rPr>
          <w:rFonts w:hint="eastAsia" w:ascii="宋体" w:hAnsi="宋体" w:cs="宋体"/>
          <w:color w:val="000000"/>
          <w:kern w:val="0"/>
          <w:lang w:val="zh-CN"/>
        </w:rPr>
        <w:t>，并由投标人加盖公章，其划型标准严格按照工信部、国家统计局、国家发展改革委、财政部出台的《中小企业划型标准规定》（工信部联企业〔2011〕300号）执行。</w:t>
      </w:r>
      <w:r>
        <w:rPr>
          <w:rFonts w:hint="eastAsia" w:ascii="宋体" w:hAnsi="宋体" w:cs="宋体"/>
          <w:b/>
          <w:color w:val="000000"/>
          <w:kern w:val="0"/>
          <w:lang w:val="zh-CN"/>
        </w:rPr>
        <w:t>投标人提供的《中小企业声明函》资料必须真实，否则，按照有关规定予以处理。</w:t>
      </w:r>
    </w:p>
    <w:p>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w:t>
      </w:r>
      <w:r>
        <w:rPr>
          <w:rFonts w:hint="eastAsia" w:ascii="宋体" w:hAnsi="宋体" w:cs="宋体"/>
          <w:kern w:val="0"/>
          <w:lang w:val="zh-CN"/>
        </w:rPr>
        <w:t>》，</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kern w:val="0"/>
          <w:lang w:val="zh-CN"/>
        </w:rPr>
        <w:t>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18.3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评标委员会成员对需要共同认定的事项存在争议的，按照少数服从多数的原则作出结论。持不同意见的评标委员会成员在评标报告上签署不同意见及理由，否则视为同意评标报告。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w:t>
      </w:r>
      <w:r>
        <w:rPr>
          <w:rFonts w:hint="eastAsia" w:ascii="宋体" w:hAnsi="宋体" w:cs="宋体"/>
          <w:color w:val="000000"/>
          <w:shd w:val="clear" w:color="auto" w:fill="FFFFFF"/>
          <w:lang w:eastAsia="zh-CN"/>
        </w:rPr>
        <w:t>查的</w:t>
      </w:r>
      <w:r>
        <w:rPr>
          <w:rFonts w:hint="eastAsia" w:ascii="宋体" w:hAnsi="宋体" w:cs="宋体"/>
          <w:color w:val="000000"/>
          <w:shd w:val="clear" w:color="auto" w:fill="FFFFFF"/>
        </w:rPr>
        <w:t>投标人的报价，有可能影响产品质量或者不能诚信履约的，要求其在评标现场合理的时间内提供书面说明，必要时提交相关证明材料；投标人不能证明其报价合理性的，评标委员会将其作为无效投标处理。</w:t>
      </w:r>
    </w:p>
    <w:p>
      <w:pPr>
        <w:pStyle w:val="28"/>
        <w:spacing w:before="0" w:after="0" w:line="360" w:lineRule="auto"/>
        <w:jc w:val="left"/>
        <w:rPr>
          <w:rFonts w:hint="eastAsia" w:ascii="宋体" w:hAnsi="宋体" w:cs="宋体"/>
          <w:color w:val="000000"/>
          <w:sz w:val="28"/>
          <w:szCs w:val="28"/>
          <w:lang w:val="zh-CN"/>
        </w:rPr>
      </w:pPr>
      <w:bookmarkStart w:id="35" w:name="_Toc28804"/>
      <w:r>
        <w:rPr>
          <w:rFonts w:hint="eastAsia" w:ascii="宋体" w:hAnsi="宋体" w:cs="宋体"/>
          <w:color w:val="000000"/>
          <w:sz w:val="28"/>
          <w:szCs w:val="28"/>
        </w:rPr>
        <w:t>19</w:t>
      </w:r>
      <w:r>
        <w:rPr>
          <w:rFonts w:hint="eastAsia" w:ascii="宋体" w:hAnsi="宋体" w:cs="宋体"/>
          <w:color w:val="000000"/>
          <w:sz w:val="28"/>
          <w:szCs w:val="28"/>
          <w:lang w:val="zh-CN"/>
        </w:rPr>
        <w:t>.评审方法和标准</w:t>
      </w:r>
      <w:bookmarkEnd w:id="3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评审因素的设定与投标人所提供货物服务的质量相关，包括</w:t>
      </w:r>
      <w:r>
        <w:rPr>
          <w:rFonts w:hint="eastAsia" w:ascii="宋体" w:hAnsi="宋体" w:cs="宋体"/>
          <w:b/>
          <w:bCs/>
          <w:color w:val="000000"/>
          <w:shd w:val="clear" w:color="auto" w:fill="FFFFFF"/>
        </w:rPr>
        <w:t>投标报价、技术水平、履约</w:t>
      </w:r>
      <w:r>
        <w:rPr>
          <w:rFonts w:hint="eastAsia" w:ascii="宋体" w:hAnsi="宋体" w:cs="宋体"/>
          <w:b/>
          <w:bCs/>
          <w:color w:val="000000"/>
          <w:shd w:val="clear" w:color="auto" w:fill="FFFFFF"/>
          <w:lang w:val="en-US" w:eastAsia="zh-CN"/>
        </w:rPr>
        <w:t>及售后服务</w:t>
      </w:r>
      <w:r>
        <w:rPr>
          <w:rFonts w:hint="eastAsia" w:ascii="宋体" w:hAnsi="宋体" w:cs="宋体"/>
          <w:b/>
          <w:bCs/>
          <w:color w:val="000000"/>
          <w:shd w:val="clear" w:color="auto" w:fill="FFFFFF"/>
        </w:rPr>
        <w:t>能力</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评审因素细化和量化，且与相应的商务条件和采购需求对应。商务条件和采购需求指标有区间规定的，评审因素量化到相应区间，并设置各区间对应的不同分值。</w:t>
      </w:r>
    </w:p>
    <w:p>
      <w:pPr>
        <w:ind w:firstLine="480"/>
        <w:jc w:val="left"/>
        <w:rPr>
          <w:rFonts w:ascii="宋体" w:hAnsi="宋体" w:cs="宋体"/>
          <w:lang w:val="zh-CN"/>
        </w:rPr>
      </w:pPr>
      <w:r>
        <w:rPr>
          <w:rFonts w:hint="eastAsia" w:ascii="宋体" w:hAnsi="宋体"/>
        </w:rPr>
        <w:t>评审标准和分值分配：</w:t>
      </w:r>
      <w:r>
        <w:rPr>
          <w:rFonts w:hint="eastAsia" w:ascii="宋体" w:hAnsi="宋体" w:cs="宋体"/>
          <w:lang w:val="zh-CN"/>
        </w:rPr>
        <w:t xml:space="preserve"> </w:t>
      </w:r>
    </w:p>
    <w:p>
      <w:pPr>
        <w:spacing w:line="360" w:lineRule="auto"/>
        <w:ind w:firstLine="480"/>
        <w:rPr>
          <w:rFonts w:hint="eastAsia" w:ascii="宋体" w:hAnsi="宋体"/>
        </w:rPr>
      </w:pPr>
      <w:r>
        <w:rPr>
          <w:rFonts w:hint="eastAsia" w:ascii="宋体" w:hAnsi="宋体"/>
        </w:rPr>
        <w:t>具体项目及评分细则：</w:t>
      </w:r>
    </w:p>
    <w:tbl>
      <w:tblPr>
        <w:tblStyle w:val="33"/>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eastAsia="宋体" w:cs="Times New Roman"/>
                <w:sz w:val="21"/>
                <w:szCs w:val="21"/>
              </w:rPr>
            </w:pPr>
            <w:r>
              <w:rPr>
                <w:rFonts w:hint="eastAsia" w:ascii="宋体" w:hAnsi="宋体" w:eastAsia="宋体" w:cs="Times New Roman"/>
                <w:sz w:val="21"/>
                <w:szCs w:val="21"/>
              </w:rPr>
              <w:t>类别</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项目</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rPr>
              <w:t>满分 分值</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eastAsia="宋体" w:cs="Times New Roman"/>
                <w:sz w:val="21"/>
                <w:szCs w:val="21"/>
              </w:rPr>
            </w:pPr>
            <w:r>
              <w:rPr>
                <w:rFonts w:hint="eastAsia" w:ascii="宋体" w:hAnsi="宋体" w:eastAsia="宋体" w:cs="Times New Roman"/>
                <w:sz w:val="21"/>
                <w:szCs w:val="21"/>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1"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投标报价</w:t>
            </w:r>
            <w:r>
              <w:rPr>
                <w:rFonts w:hint="eastAsia" w:ascii="宋体" w:hAnsi="宋体" w:cs="Times New Roman"/>
                <w:sz w:val="21"/>
                <w:szCs w:val="21"/>
                <w:lang w:val="en-US" w:eastAsia="zh-CN"/>
              </w:rPr>
              <w:t>30</w:t>
            </w:r>
            <w:r>
              <w:rPr>
                <w:rFonts w:hint="eastAsia" w:ascii="宋体" w:hAnsi="宋体" w:eastAsia="宋体" w:cs="Times New Roman"/>
                <w:sz w:val="21"/>
                <w:szCs w:val="21"/>
              </w:rPr>
              <w:t>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报价分</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30</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在所有的有效投标报价中，以最低投标报价为基准价，其价格分为满分。其他投标人的报价分统一按下列公式计算：投标报价得分=</w:t>
            </w:r>
            <w:r>
              <w:rPr>
                <w:rFonts w:hint="eastAsia" w:ascii="宋体" w:hAnsi="宋体" w:cs="Times New Roman"/>
                <w:sz w:val="21"/>
                <w:szCs w:val="21"/>
                <w:lang w:eastAsia="zh-CN"/>
              </w:rPr>
              <w:t>（</w:t>
            </w:r>
            <w:r>
              <w:rPr>
                <w:rFonts w:hint="eastAsia" w:ascii="宋体" w:hAnsi="宋体" w:eastAsia="宋体" w:cs="Times New Roman"/>
                <w:sz w:val="21"/>
                <w:szCs w:val="21"/>
              </w:rPr>
              <w:t>评标基准价／投标报价</w:t>
            </w:r>
            <w:r>
              <w:rPr>
                <w:rFonts w:hint="eastAsia" w:ascii="宋体" w:hAnsi="宋体" w:cs="Times New Roman"/>
                <w:sz w:val="21"/>
                <w:szCs w:val="21"/>
                <w:lang w:eastAsia="zh-CN"/>
              </w:rPr>
              <w:t>）</w:t>
            </w:r>
            <w:r>
              <w:rPr>
                <w:rFonts w:hint="eastAsia" w:ascii="宋体" w:hAnsi="宋体" w:eastAsia="宋体" w:cs="Times New Roman"/>
                <w:sz w:val="21"/>
                <w:szCs w:val="21"/>
              </w:rPr>
              <w:t>×价格权值（</w:t>
            </w:r>
            <w:r>
              <w:rPr>
                <w:rFonts w:hint="eastAsia" w:ascii="宋体" w:hAnsi="宋体" w:cs="Times New Roman"/>
                <w:sz w:val="21"/>
                <w:szCs w:val="21"/>
                <w:lang w:val="en-US" w:eastAsia="zh-CN"/>
              </w:rPr>
              <w:t>30</w:t>
            </w:r>
            <w:r>
              <w:rPr>
                <w:rFonts w:hint="eastAsia" w:ascii="宋体" w:hAnsi="宋体" w:eastAsia="宋体" w:cs="Times New Roman"/>
                <w:sz w:val="21"/>
                <w:szCs w:val="21"/>
              </w:rPr>
              <w:t>%）×100（四舍五入后保留小数点后两位）。</w:t>
            </w:r>
          </w:p>
          <w:p>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注：根据《政府采购促进中小企业发展暂行办法</w:t>
            </w:r>
            <w:r>
              <w:rPr>
                <w:rFonts w:hint="eastAsia" w:ascii="宋体" w:hAnsi="宋体" w:cs="Times New Roman"/>
                <w:sz w:val="21"/>
                <w:szCs w:val="21"/>
                <w:lang w:eastAsia="zh-CN"/>
              </w:rPr>
              <w:t>》《</w:t>
            </w:r>
            <w:r>
              <w:rPr>
                <w:rFonts w:hint="eastAsia" w:ascii="宋体" w:hAnsi="宋体" w:eastAsia="宋体" w:cs="Times New Roman"/>
                <w:sz w:val="21"/>
                <w:szCs w:val="21"/>
              </w:rPr>
              <w:t>关于促进残疾人就业政府采购政策的通知》的相关规定，对残疾人福利性单位、小型和微型企业制造（生产）产品的价格给予</w:t>
            </w:r>
            <w:r>
              <w:rPr>
                <w:rFonts w:hint="eastAsia" w:ascii="宋体" w:hAnsi="宋体" w:cs="Times New Roman"/>
                <w:sz w:val="21"/>
                <w:szCs w:val="21"/>
                <w:lang w:val="en-US" w:eastAsia="zh-CN"/>
              </w:rPr>
              <w:t>10</w:t>
            </w:r>
            <w:r>
              <w:rPr>
                <w:rFonts w:hint="eastAsia" w:ascii="宋体" w:hAnsi="宋体" w:eastAsia="宋体" w:cs="Times New Roman"/>
                <w:sz w:val="21"/>
                <w:szCs w:val="21"/>
              </w:rPr>
              <w:t>%的扣除，用扣除后的价格参与评标。</w:t>
            </w:r>
          </w:p>
          <w:p>
            <w:pPr>
              <w:ind w:firstLine="0" w:firstLineChars="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986"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技术水平</w:t>
            </w:r>
            <w:r>
              <w:rPr>
                <w:rFonts w:hint="eastAsia" w:ascii="宋体" w:hAnsi="宋体" w:cs="Times New Roman"/>
                <w:sz w:val="21"/>
                <w:szCs w:val="21"/>
                <w:lang w:val="en-US" w:eastAsia="zh-CN"/>
              </w:rPr>
              <w:t>57</w:t>
            </w:r>
            <w:r>
              <w:rPr>
                <w:rFonts w:hint="eastAsia" w:ascii="宋体" w:hAnsi="宋体" w:eastAsia="宋体" w:cs="Times New Roman"/>
                <w:sz w:val="21"/>
                <w:szCs w:val="21"/>
              </w:rPr>
              <w:t>分</w:t>
            </w:r>
          </w:p>
        </w:tc>
        <w:tc>
          <w:tcPr>
            <w:tcW w:w="1485" w:type="dxa"/>
            <w:tcBorders>
              <w:top w:val="single" w:color="auto" w:sz="4" w:space="0"/>
              <w:left w:val="single" w:color="auto" w:sz="4" w:space="0"/>
              <w:right w:val="single" w:color="auto" w:sz="4" w:space="0"/>
            </w:tcBorders>
            <w:noWrap w:val="0"/>
            <w:vAlign w:val="center"/>
          </w:tcPr>
          <w:p>
            <w:pPr>
              <w:ind w:firstLine="0" w:firstLineChars="0"/>
              <w:rPr>
                <w:rFonts w:ascii="宋体" w:hAnsi="宋体" w:eastAsia="宋体" w:cs="Times New Roman"/>
                <w:sz w:val="21"/>
                <w:szCs w:val="21"/>
              </w:rPr>
            </w:pPr>
            <w:r>
              <w:rPr>
                <w:rFonts w:hint="eastAsia" w:ascii="宋体" w:hAnsi="宋体" w:eastAsia="宋体" w:cs="Times New Roman"/>
                <w:sz w:val="21"/>
                <w:szCs w:val="21"/>
              </w:rPr>
              <w:t>技术参数</w:t>
            </w:r>
          </w:p>
        </w:tc>
        <w:tc>
          <w:tcPr>
            <w:tcW w:w="736" w:type="dxa"/>
            <w:tcBorders>
              <w:top w:val="single" w:color="auto" w:sz="4" w:space="0"/>
              <w:left w:val="single" w:color="auto" w:sz="4" w:space="0"/>
              <w:right w:val="single" w:color="auto" w:sz="4" w:space="0"/>
            </w:tcBorders>
            <w:noWrap w:val="0"/>
            <w:vAlign w:val="center"/>
          </w:tcPr>
          <w:p>
            <w:pPr>
              <w:ind w:firstLine="0" w:firstLineChars="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30</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Times New Roman" w:hAnsi="宋体" w:eastAsia="宋体" w:cs="Times New Roman"/>
                <w:color w:val="FF0000"/>
                <w:sz w:val="21"/>
                <w:szCs w:val="21"/>
                <w:u w:val="single"/>
              </w:rPr>
            </w:pPr>
            <w:r>
              <w:rPr>
                <w:rFonts w:hint="eastAsia" w:ascii="宋体" w:hAnsi="宋体" w:eastAsia="宋体" w:cs="Times New Roman"/>
                <w:sz w:val="21"/>
                <w:szCs w:val="21"/>
              </w:rPr>
              <w:t>投标产品技术参数和配置完全满足或高于招标文件要求的，得</w:t>
            </w:r>
            <w:r>
              <w:rPr>
                <w:rFonts w:hint="eastAsia" w:ascii="宋体" w:hAnsi="宋体" w:cs="Times New Roman"/>
                <w:sz w:val="21"/>
                <w:szCs w:val="21"/>
                <w:lang w:val="en-US" w:eastAsia="zh-CN"/>
              </w:rPr>
              <w:t>30</w:t>
            </w:r>
            <w:r>
              <w:rPr>
                <w:rFonts w:hint="eastAsia" w:ascii="宋体" w:hAnsi="宋体" w:eastAsia="宋体" w:cs="Times New Roman"/>
                <w:sz w:val="21"/>
                <w:szCs w:val="21"/>
              </w:rPr>
              <w:t>分；每有一项负偏离扣</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8" w:hRule="atLeast"/>
          <w:jc w:val="center"/>
        </w:trPr>
        <w:tc>
          <w:tcPr>
            <w:tcW w:w="986" w:type="dxa"/>
            <w:vMerge w:val="continue"/>
            <w:tcBorders>
              <w:left w:val="single" w:color="auto" w:sz="4" w:space="0"/>
              <w:right w:val="single" w:color="auto" w:sz="4" w:space="0"/>
            </w:tcBorders>
            <w:noWrap w:val="0"/>
            <w:vAlign w:val="center"/>
          </w:tcPr>
          <w:p>
            <w:pPr>
              <w:ind w:firstLine="420"/>
              <w:jc w:val="center"/>
              <w:rPr>
                <w:rFonts w:ascii="宋体" w:hAnsi="宋体" w:eastAsia="宋体" w:cs="Times New Roman"/>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20</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210" w:firstLineChars="100"/>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根据供应商提供的针对本项目的实施方案进行评审，内容包含但不限于：</w:t>
            </w:r>
            <w:r>
              <w:rPr>
                <w:rFonts w:hint="eastAsia" w:ascii="宋体" w:hAnsi="宋体" w:eastAsia="宋体" w:cs="宋体"/>
                <w:b/>
                <w:bCs/>
                <w:color w:val="000000"/>
                <w:kern w:val="0"/>
                <w:sz w:val="21"/>
                <w:szCs w:val="21"/>
                <w:highlight w:val="none"/>
                <w:lang w:val="en-US" w:eastAsia="zh-CN"/>
              </w:rPr>
              <w:t>①备货、运输及配送方案：</w:t>
            </w:r>
            <w:r>
              <w:rPr>
                <w:rFonts w:hint="eastAsia" w:ascii="宋体" w:hAnsi="宋体" w:eastAsia="宋体" w:cs="宋体"/>
                <w:color w:val="000000"/>
                <w:kern w:val="0"/>
                <w:sz w:val="21"/>
                <w:szCs w:val="21"/>
                <w:highlight w:val="none"/>
                <w:lang w:val="en-US" w:eastAsia="zh-CN"/>
              </w:rPr>
              <w:t>筹集货品、订货、购货、进货及运输路线、配车保障等。</w:t>
            </w:r>
            <w:r>
              <w:rPr>
                <w:rFonts w:hint="eastAsia" w:ascii="宋体" w:hAnsi="宋体" w:eastAsia="宋体" w:cs="宋体"/>
                <w:b/>
                <w:bCs/>
                <w:color w:val="000000"/>
                <w:kern w:val="0"/>
                <w:sz w:val="21"/>
                <w:szCs w:val="21"/>
                <w:highlight w:val="none"/>
                <w:lang w:val="en-US" w:eastAsia="zh-CN"/>
              </w:rPr>
              <w:t>②进度计划安排：</w:t>
            </w:r>
            <w:r>
              <w:rPr>
                <w:rFonts w:hint="eastAsia" w:ascii="宋体" w:hAnsi="宋体" w:eastAsia="宋体" w:cs="宋体"/>
                <w:color w:val="000000"/>
                <w:kern w:val="0"/>
                <w:sz w:val="21"/>
                <w:szCs w:val="21"/>
                <w:highlight w:val="none"/>
                <w:lang w:val="en-US" w:eastAsia="zh-CN"/>
              </w:rPr>
              <w:t>根据本次采购文件的要求及项目的特点确定实施工作顺序，并做出具体的实施进度安排。</w:t>
            </w:r>
            <w:r>
              <w:rPr>
                <w:rFonts w:hint="eastAsia" w:ascii="宋体" w:hAnsi="宋体" w:eastAsia="宋体" w:cs="宋体"/>
                <w:b/>
                <w:bCs/>
                <w:color w:val="000000"/>
                <w:kern w:val="0"/>
                <w:sz w:val="21"/>
                <w:szCs w:val="21"/>
                <w:highlight w:val="none"/>
                <w:lang w:val="en-US" w:eastAsia="zh-CN"/>
              </w:rPr>
              <w:t>③安装调试方案：</w:t>
            </w:r>
            <w:r>
              <w:rPr>
                <w:rFonts w:hint="eastAsia" w:ascii="宋体" w:hAnsi="宋体" w:eastAsia="宋体" w:cs="宋体"/>
                <w:color w:val="000000"/>
                <w:kern w:val="0"/>
                <w:sz w:val="21"/>
                <w:szCs w:val="21"/>
                <w:highlight w:val="none"/>
                <w:lang w:val="en-US" w:eastAsia="zh-CN"/>
              </w:rPr>
              <w:t>有详细的安装调试方案及安装调试过程的资源配备计划。</w:t>
            </w:r>
            <w:r>
              <w:rPr>
                <w:rFonts w:hint="eastAsia" w:ascii="宋体" w:hAnsi="宋体" w:eastAsia="宋体" w:cs="宋体"/>
                <w:b/>
                <w:bCs/>
                <w:color w:val="000000"/>
                <w:kern w:val="0"/>
                <w:sz w:val="21"/>
                <w:szCs w:val="21"/>
                <w:highlight w:val="none"/>
                <w:lang w:val="en-US" w:eastAsia="zh-CN"/>
              </w:rPr>
              <w:t>④质量保障措施：</w:t>
            </w:r>
            <w:r>
              <w:rPr>
                <w:rFonts w:hint="eastAsia" w:ascii="宋体" w:hAnsi="宋体" w:eastAsia="宋体" w:cs="宋体"/>
                <w:color w:val="000000"/>
                <w:kern w:val="0"/>
                <w:sz w:val="21"/>
                <w:szCs w:val="21"/>
                <w:highlight w:val="none"/>
                <w:lang w:val="en-US" w:eastAsia="zh-CN"/>
              </w:rPr>
              <w:t>有货物质量保证的承诺、质量保证体系及质量保证措施等。</w:t>
            </w:r>
            <w:r>
              <w:rPr>
                <w:rFonts w:hint="default" w:ascii="宋体" w:hAnsi="宋体" w:eastAsia="宋体" w:cs="宋体"/>
                <w:b/>
                <w:bCs/>
                <w:color w:val="000000"/>
                <w:kern w:val="0"/>
                <w:sz w:val="21"/>
                <w:szCs w:val="21"/>
                <w:highlight w:val="none"/>
                <w:lang w:val="en-US" w:eastAsia="zh-CN"/>
              </w:rPr>
              <w:t>⑤</w:t>
            </w:r>
            <w:r>
              <w:rPr>
                <w:rFonts w:hint="eastAsia" w:ascii="宋体" w:hAnsi="宋体" w:eastAsia="宋体" w:cs="宋体"/>
                <w:b/>
                <w:bCs/>
                <w:color w:val="000000"/>
                <w:kern w:val="0"/>
                <w:sz w:val="21"/>
                <w:szCs w:val="21"/>
                <w:highlight w:val="none"/>
                <w:lang w:val="en-US" w:eastAsia="zh-CN"/>
              </w:rPr>
              <w:t>人员配备方案：</w:t>
            </w:r>
            <w:r>
              <w:rPr>
                <w:rFonts w:hint="eastAsia" w:ascii="宋体" w:hAnsi="宋体" w:eastAsia="宋体" w:cs="宋体"/>
                <w:color w:val="000000"/>
                <w:kern w:val="0"/>
                <w:sz w:val="21"/>
                <w:szCs w:val="21"/>
                <w:highlight w:val="none"/>
                <w:lang w:val="en-US" w:eastAsia="zh-CN"/>
              </w:rPr>
              <w:t>针对本项目配备完整可靠的人员配置，保证项目顺利实施，有能力解决各项技术问题。</w:t>
            </w:r>
          </w:p>
          <w:p>
            <w:pPr>
              <w:widowControl/>
              <w:ind w:firstLine="210" w:firstLineChars="100"/>
              <w:rPr>
                <w:rFonts w:hint="eastAsia"/>
                <w:lang w:val="en-US" w:eastAsia="zh-CN"/>
              </w:rPr>
            </w:pPr>
            <w:r>
              <w:rPr>
                <w:rFonts w:hint="eastAsia" w:ascii="宋体" w:hAnsi="宋体" w:eastAsia="宋体" w:cs="宋体"/>
                <w:color w:val="000000"/>
                <w:kern w:val="0"/>
                <w:sz w:val="21"/>
                <w:szCs w:val="21"/>
                <w:highlight w:val="none"/>
                <w:lang w:val="en-US" w:eastAsia="zh-CN"/>
              </w:rPr>
              <w:t>实施方案编制要求：①具有针对性（能够准确凸显项目特点、要点）且全面完整（有具体详尽的文字阐述）；②层次分明（次序清晰，前后有序，不存在相互矛盾、杂乱无章等情形）；③具有合理性（符合实际，不存在夸大、凭空编造、内容缺陷、功能性欠缺、技术可行性不强、无法实施等情形）。</w:t>
            </w:r>
          </w:p>
          <w:p>
            <w:pPr>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1"/>
                <w:szCs w:val="21"/>
                <w:highlight w:val="none"/>
                <w:lang w:val="en-US" w:eastAsia="zh-CN"/>
              </w:rPr>
              <w:t>实施方案内容齐全且完全满足编制要求的得分</w:t>
            </w:r>
            <w:r>
              <w:rPr>
                <w:rFonts w:hint="eastAsia" w:ascii="宋体" w:hAnsi="宋体" w:eastAsia="宋体" w:cs="宋体"/>
                <w:b/>
                <w:bCs/>
                <w:color w:val="000000"/>
                <w:kern w:val="0"/>
                <w:sz w:val="21"/>
                <w:szCs w:val="21"/>
                <w:highlight w:val="none"/>
                <w:lang w:val="en-US" w:eastAsia="zh-CN"/>
              </w:rPr>
              <w:t>20</w:t>
            </w:r>
            <w:r>
              <w:rPr>
                <w:rFonts w:hint="eastAsia" w:ascii="宋体" w:hAnsi="宋体" w:eastAsia="宋体" w:cs="宋体"/>
                <w:color w:val="000000"/>
                <w:kern w:val="0"/>
                <w:sz w:val="21"/>
                <w:szCs w:val="21"/>
                <w:highlight w:val="none"/>
                <w:lang w:val="en-US" w:eastAsia="zh-CN"/>
              </w:rPr>
              <w:t>分，每缺少一项内容扣</w:t>
            </w:r>
            <w:r>
              <w:rPr>
                <w:rFonts w:hint="eastAsia" w:ascii="宋体" w:hAnsi="宋体" w:eastAsia="宋体" w:cs="宋体"/>
                <w:b/>
                <w:bCs/>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en-US" w:eastAsia="zh-CN"/>
              </w:rPr>
              <w:t>分。方案中每有一处内容不满足实施方案编制要求的，一处扣</w:t>
            </w:r>
            <w:r>
              <w:rPr>
                <w:rFonts w:hint="eastAsia" w:ascii="宋体" w:hAnsi="宋体" w:eastAsia="宋体" w:cs="宋体"/>
                <w:b/>
                <w:bCs/>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en-US" w:eastAsia="zh-CN"/>
              </w:rPr>
              <w:t>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86" w:type="dxa"/>
            <w:vMerge w:val="continue"/>
            <w:tcBorders>
              <w:left w:val="single" w:color="auto" w:sz="4" w:space="0"/>
              <w:right w:val="single" w:color="auto" w:sz="4" w:space="0"/>
            </w:tcBorders>
            <w:noWrap w:val="0"/>
            <w:vAlign w:val="center"/>
          </w:tcPr>
          <w:p>
            <w:pPr>
              <w:ind w:firstLine="420"/>
              <w:jc w:val="center"/>
              <w:rPr>
                <w:rFonts w:ascii="宋体" w:hAnsi="宋体" w:eastAsia="宋体" w:cs="Times New Roman"/>
                <w:sz w:val="21"/>
                <w:szCs w:val="21"/>
              </w:rPr>
            </w:pPr>
          </w:p>
        </w:tc>
        <w:tc>
          <w:tcPr>
            <w:tcW w:w="1485" w:type="dxa"/>
            <w:tcBorders>
              <w:top w:val="single" w:color="auto" w:sz="4" w:space="0"/>
              <w:left w:val="single" w:color="auto" w:sz="4" w:space="0"/>
              <w:right w:val="single" w:color="auto" w:sz="4" w:space="0"/>
            </w:tcBorders>
            <w:shd w:val="clear" w:color="auto" w:fill="auto"/>
            <w:noWrap w:val="0"/>
            <w:vAlign w:val="center"/>
          </w:tcPr>
          <w:p>
            <w:pPr>
              <w:spacing w:line="400" w:lineRule="exact"/>
              <w:ind w:left="0" w:leftChars="0" w:firstLine="0" w:firstLineChars="0"/>
              <w:rPr>
                <w:rFonts w:hint="eastAsia" w:ascii="黑体" w:hAnsi="黑体" w:eastAsia="黑体" w:cs="黑体"/>
                <w:b/>
                <w:bCs/>
                <w:color w:val="000000"/>
                <w:kern w:val="0"/>
                <w:sz w:val="24"/>
                <w:szCs w:val="24"/>
                <w:lang w:val="en-US" w:eastAsia="zh-CN" w:bidi="ar"/>
              </w:rPr>
            </w:pPr>
            <w:r>
              <w:rPr>
                <w:rFonts w:hint="eastAsia" w:ascii="宋体" w:hAnsi="宋体" w:eastAsia="宋体" w:cs="Times New Roman"/>
                <w:sz w:val="21"/>
                <w:szCs w:val="21"/>
                <w:lang w:val="en-US" w:eastAsia="zh-CN"/>
              </w:rPr>
              <w:t>施工方案与技术措施</w:t>
            </w:r>
          </w:p>
        </w:tc>
        <w:tc>
          <w:tcPr>
            <w:tcW w:w="736" w:type="dxa"/>
            <w:tcBorders>
              <w:top w:val="single" w:color="auto" w:sz="4" w:space="0"/>
              <w:left w:val="single" w:color="auto" w:sz="4" w:space="0"/>
              <w:right w:val="single" w:color="auto" w:sz="4" w:space="0"/>
            </w:tcBorders>
            <w:shd w:val="clear" w:color="auto" w:fill="auto"/>
            <w:noWrap w:val="0"/>
            <w:vAlign w:val="center"/>
          </w:tcPr>
          <w:p>
            <w:pPr>
              <w:autoSpaceDE w:val="0"/>
              <w:autoSpaceDN w:val="0"/>
              <w:adjustRightInd w:val="0"/>
              <w:spacing w:line="400" w:lineRule="exact"/>
              <w:ind w:left="0" w:leftChars="0" w:firstLine="0" w:firstLineChars="0"/>
              <w:jc w:val="center"/>
              <w:rPr>
                <w:rFonts w:hint="eastAsia" w:ascii="宋体" w:hAnsi="宋体" w:eastAsia="宋体" w:cs="宋体"/>
                <w:b/>
                <w:bCs/>
                <w:color w:val="000000"/>
                <w:kern w:val="0"/>
                <w:sz w:val="24"/>
                <w:szCs w:val="24"/>
                <w:lang w:val="en-US" w:eastAsia="zh-CN" w:bidi="ar"/>
              </w:rPr>
            </w:pPr>
            <w:r>
              <w:rPr>
                <w:rFonts w:hint="eastAsia" w:ascii="宋体" w:hAnsi="宋体" w:cs="Times New Roman"/>
                <w:sz w:val="21"/>
                <w:szCs w:val="21"/>
                <w:lang w:val="en-US" w:eastAsia="zh-CN"/>
              </w:rPr>
              <w:t>7</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ind w:left="0" w:leftChars="0"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1"/>
                <w:szCs w:val="21"/>
                <w:highlight w:val="none"/>
                <w:lang w:val="en-US" w:eastAsia="zh-CN"/>
              </w:rPr>
              <w:t>施工部署合理，施工顺序及方案切实可行、针对性强；各项管理目标明确，技术措施满足工期、质量、安全生产及文明施工要求。完全符合以上要求的得7分，符合程度高的得5分，符合程度一般的得3分，不符合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986" w:type="dxa"/>
            <w:vMerge w:val="restart"/>
            <w:tcBorders>
              <w:left w:val="single" w:color="auto" w:sz="4" w:space="0"/>
              <w:right w:val="single" w:color="auto" w:sz="4" w:space="0"/>
            </w:tcBorders>
            <w:noWrap w:val="0"/>
            <w:vAlign w:val="center"/>
          </w:tcPr>
          <w:p>
            <w:pPr>
              <w:ind w:firstLine="0" w:firstLineChars="0"/>
              <w:rPr>
                <w:rFonts w:hint="eastAsia" w:ascii="宋体" w:hAnsi="宋体" w:eastAsia="宋体" w:cs="Times New Roman"/>
                <w:sz w:val="21"/>
                <w:szCs w:val="21"/>
              </w:rPr>
            </w:pPr>
          </w:p>
          <w:p>
            <w:pPr>
              <w:ind w:firstLine="0" w:firstLineChars="0"/>
              <w:rPr>
                <w:rFonts w:hint="eastAsia" w:ascii="宋体" w:hAnsi="宋体" w:eastAsia="宋体" w:cs="Times New Roman"/>
                <w:sz w:val="21"/>
                <w:szCs w:val="21"/>
              </w:rPr>
            </w:pPr>
          </w:p>
          <w:p>
            <w:pPr>
              <w:ind w:firstLine="0" w:firstLineChars="0"/>
              <w:rPr>
                <w:rFonts w:hint="eastAsia" w:ascii="宋体" w:hAnsi="宋体" w:eastAsia="宋体" w:cs="Times New Roman"/>
                <w:sz w:val="21"/>
                <w:szCs w:val="21"/>
              </w:rPr>
            </w:pPr>
          </w:p>
          <w:p>
            <w:pPr>
              <w:ind w:firstLine="0" w:firstLineChars="0"/>
              <w:rPr>
                <w:rFonts w:ascii="宋体" w:hAnsi="宋体" w:eastAsia="宋体" w:cs="Times New Roman"/>
                <w:sz w:val="21"/>
                <w:szCs w:val="21"/>
                <w:shd w:val="pct10" w:color="auto" w:fill="FFFFFF"/>
              </w:rPr>
            </w:pPr>
            <w:r>
              <w:rPr>
                <w:rFonts w:hint="eastAsia" w:ascii="宋体" w:hAnsi="宋体" w:eastAsia="宋体" w:cs="Times New Roman"/>
                <w:sz w:val="21"/>
                <w:szCs w:val="21"/>
              </w:rPr>
              <w:t>履约及售后服务能力</w:t>
            </w:r>
            <w:r>
              <w:rPr>
                <w:rFonts w:hint="eastAsia" w:ascii="宋体" w:hAnsi="宋体" w:cs="Times New Roman"/>
                <w:sz w:val="21"/>
                <w:szCs w:val="21"/>
                <w:lang w:val="en-US" w:eastAsia="zh-CN"/>
              </w:rPr>
              <w:t>13</w:t>
            </w:r>
            <w:r>
              <w:rPr>
                <w:rFonts w:hint="eastAsia" w:ascii="宋体" w:hAnsi="宋体" w:eastAsia="宋体" w:cs="Times New Roman"/>
                <w:sz w:val="21"/>
                <w:szCs w:val="21"/>
              </w:rPr>
              <w:t>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类似业绩情况</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6</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pStyle w:val="18"/>
              <w:ind w:left="0" w:leftChars="0" w:firstLine="0" w:firstLineChars="0"/>
              <w:rPr>
                <w:rFonts w:hAnsi="宋体" w:cs="宋体"/>
                <w:color w:val="auto"/>
                <w:spacing w:val="2"/>
                <w:sz w:val="21"/>
                <w:szCs w:val="21"/>
                <w:highlight w:val="none"/>
                <w:lang w:val="en-US" w:eastAsia="zh-CN"/>
              </w:rPr>
            </w:pPr>
            <w:r>
              <w:rPr>
                <w:rFonts w:hAnsi="宋体" w:cs="宋体"/>
                <w:color w:val="auto"/>
                <w:spacing w:val="-1"/>
                <w:sz w:val="21"/>
                <w:szCs w:val="21"/>
                <w:highlight w:val="none"/>
                <w:lang w:val="en-US" w:eastAsia="zh-CN"/>
              </w:rPr>
              <w:t>提</w:t>
            </w:r>
            <w:r>
              <w:rPr>
                <w:rFonts w:hAnsi="宋体" w:cs="宋体"/>
                <w:color w:val="auto"/>
                <w:sz w:val="21"/>
                <w:szCs w:val="21"/>
                <w:highlight w:val="none"/>
                <w:lang w:val="en-US" w:eastAsia="zh-CN"/>
              </w:rPr>
              <w:t>供</w:t>
            </w:r>
            <w:r>
              <w:rPr>
                <w:rFonts w:hint="eastAsia" w:hAnsi="宋体" w:cs="宋体"/>
                <w:color w:val="auto"/>
                <w:sz w:val="21"/>
                <w:szCs w:val="21"/>
                <w:highlight w:val="none"/>
                <w:lang w:val="en-US" w:eastAsia="zh-CN"/>
              </w:rPr>
              <w:t>2021</w:t>
            </w:r>
            <w:r>
              <w:rPr>
                <w:rFonts w:hAnsi="宋体" w:cs="宋体"/>
                <w:color w:val="auto"/>
                <w:sz w:val="21"/>
                <w:szCs w:val="21"/>
                <w:highlight w:val="none"/>
                <w:lang w:val="en-US" w:eastAsia="zh-CN"/>
              </w:rPr>
              <w:t>年以来的类似服务业绩证明材料。每提</w:t>
            </w:r>
            <w:r>
              <w:rPr>
                <w:rFonts w:hAnsi="宋体" w:cs="宋体"/>
                <w:color w:val="auto"/>
                <w:spacing w:val="4"/>
                <w:sz w:val="21"/>
                <w:szCs w:val="21"/>
                <w:highlight w:val="none"/>
                <w:lang w:val="en-US" w:eastAsia="zh-CN"/>
              </w:rPr>
              <w:t>供</w:t>
            </w:r>
            <w:r>
              <w:rPr>
                <w:rFonts w:hAnsi="宋体" w:cs="宋体"/>
                <w:color w:val="auto"/>
                <w:spacing w:val="2"/>
                <w:sz w:val="21"/>
                <w:szCs w:val="21"/>
                <w:highlight w:val="none"/>
                <w:lang w:val="en-US" w:eastAsia="zh-CN"/>
              </w:rPr>
              <w:t>一项有效证明材料得</w:t>
            </w:r>
            <w:r>
              <w:rPr>
                <w:rFonts w:hint="eastAsia" w:hAnsi="宋体" w:cs="宋体"/>
                <w:color w:val="auto"/>
                <w:spacing w:val="2"/>
                <w:sz w:val="21"/>
                <w:szCs w:val="21"/>
                <w:highlight w:val="none"/>
                <w:lang w:val="en-US" w:eastAsia="zh-CN"/>
              </w:rPr>
              <w:t>1</w:t>
            </w:r>
            <w:r>
              <w:rPr>
                <w:rFonts w:hAnsi="宋体" w:cs="宋体"/>
                <w:color w:val="auto"/>
                <w:spacing w:val="2"/>
                <w:sz w:val="21"/>
                <w:szCs w:val="21"/>
                <w:highlight w:val="none"/>
                <w:lang w:val="en-US" w:eastAsia="zh-CN"/>
              </w:rPr>
              <w:t>分，最高分</w:t>
            </w:r>
            <w:r>
              <w:rPr>
                <w:rFonts w:hint="eastAsia" w:hAnsi="宋体" w:cs="宋体"/>
                <w:b/>
                <w:bCs/>
                <w:color w:val="auto"/>
                <w:spacing w:val="2"/>
                <w:sz w:val="21"/>
                <w:szCs w:val="21"/>
                <w:highlight w:val="none"/>
                <w:lang w:val="en-US" w:eastAsia="zh-CN"/>
              </w:rPr>
              <w:t>6</w:t>
            </w:r>
            <w:r>
              <w:rPr>
                <w:rFonts w:hAnsi="宋体" w:cs="宋体"/>
                <w:b/>
                <w:bCs/>
                <w:color w:val="auto"/>
                <w:spacing w:val="2"/>
                <w:sz w:val="21"/>
                <w:szCs w:val="21"/>
                <w:highlight w:val="none"/>
                <w:lang w:val="en-US" w:eastAsia="zh-CN"/>
              </w:rPr>
              <w:t>分</w:t>
            </w:r>
            <w:r>
              <w:rPr>
                <w:rFonts w:hAnsi="宋体" w:cs="宋体"/>
                <w:color w:val="auto"/>
                <w:spacing w:val="2"/>
                <w:sz w:val="21"/>
                <w:szCs w:val="21"/>
                <w:highlight w:val="none"/>
                <w:lang w:val="en-US" w:eastAsia="zh-CN"/>
              </w:rPr>
              <w:t>；</w:t>
            </w:r>
          </w:p>
          <w:p>
            <w:pPr>
              <w:ind w:firstLine="0" w:firstLineChars="0"/>
              <w:rPr>
                <w:rFonts w:hint="eastAsia" w:ascii="宋体" w:hAnsi="宋体" w:eastAsia="宋体" w:cs="Times New Roman"/>
                <w:sz w:val="21"/>
                <w:szCs w:val="21"/>
              </w:rPr>
            </w:pPr>
            <w:r>
              <w:rPr>
                <w:rFonts w:hAnsi="宋体" w:cs="宋体"/>
                <w:color w:val="auto"/>
                <w:spacing w:val="2"/>
                <w:sz w:val="21"/>
                <w:szCs w:val="21"/>
                <w:highlight w:val="none"/>
                <w:lang w:val="en-US" w:eastAsia="zh-CN"/>
              </w:rPr>
              <w:t>不提供</w:t>
            </w:r>
            <w:r>
              <w:rPr>
                <w:rFonts w:hAnsi="宋体" w:cs="宋体"/>
                <w:color w:val="auto"/>
                <w:spacing w:val="5"/>
                <w:sz w:val="21"/>
                <w:szCs w:val="21"/>
                <w:highlight w:val="none"/>
                <w:lang w:val="en-US" w:eastAsia="zh-CN"/>
              </w:rPr>
              <w:t>不</w:t>
            </w:r>
            <w:r>
              <w:rPr>
                <w:rFonts w:hAnsi="宋体" w:cs="宋体"/>
                <w:color w:val="auto"/>
                <w:spacing w:val="4"/>
                <w:sz w:val="21"/>
                <w:szCs w:val="21"/>
                <w:highlight w:val="none"/>
                <w:lang w:val="en-US" w:eastAsia="zh-CN"/>
              </w:rPr>
              <w:t>得分</w:t>
            </w:r>
            <w:r>
              <w:rPr>
                <w:rFonts w:hint="eastAsia" w:hAnsi="宋体" w:cs="宋体"/>
                <w:color w:val="auto"/>
                <w:spacing w:val="4"/>
                <w:sz w:val="21"/>
                <w:szCs w:val="21"/>
                <w:highlight w:val="none"/>
                <w:lang w:val="en-US" w:eastAsia="zh-CN"/>
              </w:rPr>
              <w:t>（</w:t>
            </w:r>
            <w:r>
              <w:rPr>
                <w:rFonts w:hAnsi="宋体" w:cs="宋体"/>
                <w:color w:val="auto"/>
                <w:spacing w:val="4"/>
                <w:sz w:val="21"/>
                <w:szCs w:val="21"/>
                <w:highlight w:val="none"/>
                <w:lang w:val="en-US" w:eastAsia="zh-CN"/>
              </w:rPr>
              <w:t>需提供包含合同首页、标的及金额所在页、</w:t>
            </w:r>
            <w:r>
              <w:rPr>
                <w:rFonts w:hAnsi="宋体" w:cs="宋体"/>
                <w:color w:val="auto"/>
                <w:spacing w:val="14"/>
                <w:sz w:val="21"/>
                <w:szCs w:val="21"/>
                <w:highlight w:val="none"/>
                <w:lang w:val="en-US" w:eastAsia="zh-CN"/>
              </w:rPr>
              <w:t>供货</w:t>
            </w:r>
            <w:r>
              <w:rPr>
                <w:rFonts w:hAnsi="宋体" w:cs="宋体"/>
                <w:color w:val="auto"/>
                <w:spacing w:val="11"/>
                <w:sz w:val="21"/>
                <w:szCs w:val="21"/>
                <w:highlight w:val="none"/>
                <w:lang w:val="en-US" w:eastAsia="zh-CN"/>
              </w:rPr>
              <w:t>合</w:t>
            </w:r>
            <w:r>
              <w:rPr>
                <w:rFonts w:hAnsi="宋体" w:cs="宋体"/>
                <w:color w:val="auto"/>
                <w:spacing w:val="7"/>
                <w:sz w:val="21"/>
                <w:szCs w:val="21"/>
                <w:highlight w:val="none"/>
                <w:lang w:val="en-US" w:eastAsia="zh-CN"/>
              </w:rPr>
              <w:t>同签字盖章页的扫描</w:t>
            </w:r>
            <w:r>
              <w:rPr>
                <w:rFonts w:hint="eastAsia" w:hAnsi="宋体" w:cs="宋体"/>
                <w:color w:val="auto"/>
                <w:spacing w:val="7"/>
                <w:sz w:val="21"/>
                <w:szCs w:val="21"/>
                <w:highlight w:val="none"/>
                <w:lang w:val="en-US" w:eastAsia="zh-CN"/>
              </w:rPr>
              <w:t>（</w:t>
            </w:r>
            <w:r>
              <w:rPr>
                <w:rFonts w:hAnsi="宋体" w:cs="宋体"/>
                <w:color w:val="auto"/>
                <w:spacing w:val="7"/>
                <w:sz w:val="21"/>
                <w:szCs w:val="21"/>
                <w:highlight w:val="none"/>
                <w:lang w:val="en-US" w:eastAsia="zh-CN"/>
              </w:rPr>
              <w:t>或复印</w:t>
            </w:r>
            <w:r>
              <w:rPr>
                <w:rFonts w:hint="eastAsia" w:hAnsi="宋体" w:cs="宋体"/>
                <w:color w:val="auto"/>
                <w:spacing w:val="7"/>
                <w:sz w:val="21"/>
                <w:szCs w:val="21"/>
                <w:highlight w:val="none"/>
                <w:lang w:val="en-US" w:eastAsia="zh-CN"/>
              </w:rPr>
              <w:t>）</w:t>
            </w:r>
            <w:r>
              <w:rPr>
                <w:rFonts w:hAnsi="宋体" w:cs="宋体"/>
                <w:color w:val="auto"/>
                <w:spacing w:val="7"/>
                <w:sz w:val="21"/>
                <w:szCs w:val="21"/>
                <w:highlight w:val="none"/>
                <w:lang w:val="en-US" w:eastAsia="zh-CN"/>
              </w:rPr>
              <w:t>件或中标通知书</w:t>
            </w:r>
            <w:r>
              <w:rPr>
                <w:rFonts w:hint="eastAsia" w:hAnsi="宋体" w:cs="宋体"/>
                <w:color w:val="auto"/>
                <w:spacing w:val="7"/>
                <w:sz w:val="21"/>
                <w:szCs w:val="21"/>
                <w:highlight w:val="none"/>
                <w:lang w:val="en-US" w:eastAsia="zh-CN"/>
              </w:rPr>
              <w:t>）</w:t>
            </w:r>
            <w:r>
              <w:rPr>
                <w:rFonts w:hAnsi="宋体" w:cs="宋体"/>
                <w:color w:val="auto"/>
                <w:spacing w:val="7"/>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986" w:type="dxa"/>
            <w:vMerge w:val="continue"/>
            <w:tcBorders>
              <w:left w:val="single" w:color="auto" w:sz="4" w:space="0"/>
              <w:right w:val="single" w:color="auto" w:sz="4" w:space="0"/>
            </w:tcBorders>
            <w:noWrap w:val="0"/>
            <w:vAlign w:val="center"/>
          </w:tcPr>
          <w:p>
            <w:pPr>
              <w:ind w:firstLine="0" w:firstLineChars="0"/>
              <w:rPr>
                <w:rFonts w:hint="eastAsia" w:ascii="宋体" w:hAnsi="宋体" w:eastAsia="宋体" w:cs="Times New Roman"/>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售后服务及相关承诺</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1、针对该项目须有完善的售后服务体系。包含：①售后服务机构和人员②售后服务内容和流程③售后服务响应时间和质量④售后服务方式和特色。以上因素每实质性响应一项得</w:t>
            </w:r>
            <w:r>
              <w:rPr>
                <w:rFonts w:hint="eastAsia" w:ascii="宋体" w:hAnsi="宋体" w:cs="Times New Roman"/>
                <w:sz w:val="21"/>
                <w:szCs w:val="21"/>
                <w:lang w:val="en-US" w:eastAsia="zh-CN"/>
              </w:rPr>
              <w:t>1.5</w:t>
            </w:r>
            <w:r>
              <w:rPr>
                <w:rFonts w:hint="eastAsia" w:ascii="宋体" w:hAnsi="宋体" w:eastAsia="宋体" w:cs="Times New Roman"/>
                <w:sz w:val="21"/>
                <w:szCs w:val="21"/>
              </w:rPr>
              <w:t>分，满分</w:t>
            </w:r>
            <w:r>
              <w:rPr>
                <w:rFonts w:hint="eastAsia" w:ascii="宋体" w:hAnsi="宋体" w:cs="Times New Roman"/>
                <w:sz w:val="21"/>
                <w:szCs w:val="21"/>
                <w:lang w:val="en-US" w:eastAsia="zh-CN"/>
              </w:rPr>
              <w:t>6</w:t>
            </w:r>
            <w:r>
              <w:rPr>
                <w:rFonts w:hint="eastAsia" w:ascii="宋体" w:hAnsi="宋体" w:eastAsia="宋体" w:cs="Times New Roman"/>
                <w:sz w:val="21"/>
                <w:szCs w:val="21"/>
              </w:rPr>
              <w:t>分，未实质性响应或未提供不得分。</w:t>
            </w:r>
          </w:p>
          <w:p>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2、提供售后服务相关承诺的，得</w:t>
            </w:r>
            <w:r>
              <w:rPr>
                <w:rFonts w:hint="eastAsia" w:ascii="宋体" w:hAnsi="宋体" w:cs="Times New Roman"/>
                <w:sz w:val="21"/>
                <w:szCs w:val="21"/>
                <w:lang w:val="en-US" w:eastAsia="zh-CN"/>
              </w:rPr>
              <w:t>1</w:t>
            </w:r>
            <w:r>
              <w:rPr>
                <w:rFonts w:hint="eastAsia" w:ascii="宋体" w:hAnsi="宋体" w:eastAsia="宋体" w:cs="Times New Roman"/>
                <w:sz w:val="21"/>
                <w:szCs w:val="21"/>
              </w:rPr>
              <w:t>分；未提供不得分。</w:t>
            </w:r>
          </w:p>
        </w:tc>
      </w:tr>
    </w:tbl>
    <w:p>
      <w:pPr>
        <w:spacing w:line="360" w:lineRule="auto"/>
        <w:rPr>
          <w:rFonts w:hint="eastAsia" w:ascii="宋体" w:hAnsi="宋体"/>
        </w:rPr>
      </w:pP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19.3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19.4 评标结果汇总完成后，除下列情形外，任何人不得修改评标结果：</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评标报告签署前，经复核发现存在以上情形之一的，评标委员会当场修改评标结果，并在评标报告中记载；评标报告签署后，</w:t>
      </w:r>
      <w:r>
        <w:rPr>
          <w:rFonts w:hint="eastAsia" w:ascii="宋体" w:hAnsi="宋体" w:cs="宋体"/>
          <w:color w:val="000000"/>
          <w:shd w:val="clear" w:color="auto" w:fill="FFFFFF"/>
          <w:lang w:eastAsia="zh-CN"/>
        </w:rPr>
        <w:t>格尔木市政务服务和公共资源交易中心</w:t>
      </w:r>
      <w:r>
        <w:rPr>
          <w:rFonts w:hint="eastAsia" w:ascii="宋体" w:hAnsi="宋体" w:cs="宋体"/>
          <w:color w:val="000000"/>
          <w:shd w:val="clear" w:color="auto" w:fill="FFFFFF"/>
        </w:rPr>
        <w:t>发现存在以上情形之一的，组织原评标委员会进行重新评审，重新评审改变评标结果的，书面报告本级财政部门。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w:t>
      </w:r>
      <w:r>
        <w:rPr>
          <w:rFonts w:hint="eastAsia" w:ascii="宋体" w:hAnsi="宋体" w:cs="宋体"/>
          <w:color w:val="000000"/>
          <w:shd w:val="clear" w:color="auto" w:fill="FFFFFF"/>
          <w:lang w:eastAsia="zh-CN"/>
        </w:rPr>
        <w:t>格尔木市政务服务和公共资源交易中心</w:t>
      </w:r>
      <w:r>
        <w:rPr>
          <w:rFonts w:hint="eastAsia" w:ascii="宋体" w:hAnsi="宋体" w:cs="宋体"/>
          <w:color w:val="000000"/>
          <w:shd w:val="clear" w:color="auto" w:fill="FFFFFF"/>
        </w:rPr>
        <w:t>可以组织原评标委员会进行重新评审，重新评审改变评标结果的，书面报告本级财政部门。</w:t>
      </w:r>
    </w:p>
    <w:p>
      <w:pPr>
        <w:pStyle w:val="28"/>
        <w:spacing w:before="0" w:after="0" w:line="360" w:lineRule="auto"/>
        <w:rPr>
          <w:rFonts w:hint="eastAsia" w:ascii="宋体" w:hAnsi="宋体" w:cs="宋体"/>
          <w:color w:val="000000"/>
          <w:lang w:val="zh-CN"/>
        </w:rPr>
      </w:pPr>
      <w:bookmarkStart w:id="36" w:name="_Toc10582"/>
      <w:r>
        <w:rPr>
          <w:rFonts w:hint="eastAsia" w:ascii="宋体" w:hAnsi="宋体" w:cs="宋体"/>
          <w:color w:val="000000"/>
          <w:lang w:val="zh-CN"/>
        </w:rPr>
        <w:t>八、中标</w:t>
      </w:r>
      <w:bookmarkEnd w:id="36"/>
    </w:p>
    <w:p>
      <w:pPr>
        <w:pStyle w:val="28"/>
        <w:spacing w:before="0" w:after="0" w:line="360" w:lineRule="auto"/>
        <w:jc w:val="left"/>
        <w:rPr>
          <w:rFonts w:hint="eastAsia" w:ascii="宋体" w:hAnsi="宋体" w:cs="宋体"/>
          <w:color w:val="000000"/>
          <w:lang w:val="zh-CN"/>
        </w:rPr>
      </w:pPr>
      <w:bookmarkStart w:id="37" w:name="_Toc2829"/>
      <w:r>
        <w:rPr>
          <w:rFonts w:hint="eastAsia" w:ascii="宋体" w:hAnsi="宋体" w:cs="宋体"/>
          <w:color w:val="000000"/>
          <w:sz w:val="28"/>
          <w:szCs w:val="28"/>
          <w:lang w:val="zh-CN"/>
        </w:rPr>
        <w:t>2</w:t>
      </w:r>
      <w:r>
        <w:rPr>
          <w:rFonts w:hint="eastAsia" w:ascii="宋体" w:hAnsi="宋体" w:cs="宋体"/>
          <w:color w:val="000000"/>
          <w:sz w:val="28"/>
          <w:szCs w:val="28"/>
        </w:rPr>
        <w:t>0</w:t>
      </w:r>
      <w:r>
        <w:rPr>
          <w:rFonts w:hint="eastAsia" w:ascii="宋体" w:hAnsi="宋体" w:cs="宋体"/>
          <w:color w:val="000000"/>
          <w:sz w:val="28"/>
          <w:szCs w:val="28"/>
          <w:lang w:val="zh-CN"/>
        </w:rPr>
        <w:t>.推荐并确定中标人</w:t>
      </w:r>
      <w:bookmarkEnd w:id="37"/>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20.1 采购中心在评标结束后2个工作日内将评标报告提交采购人。采购人自收到评标报告之日起5个工作日内，在评标报告确定的中标候选人名单中按顺序确定中标人。</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20.2 采购人在收到评标报告5个工作日内未按评标报告推荐的中标候选人顺序确定中标人，又不能说明合法理由的，视同按评标报告推荐的顺序确定排名第一的中标候选人为中标人。</w:t>
      </w:r>
    </w:p>
    <w:p>
      <w:pPr>
        <w:pStyle w:val="28"/>
        <w:spacing w:before="0" w:after="0" w:line="360" w:lineRule="auto"/>
        <w:jc w:val="left"/>
        <w:rPr>
          <w:rFonts w:hint="eastAsia" w:ascii="宋体" w:hAnsi="宋体" w:cs="宋体"/>
          <w:color w:val="000000"/>
          <w:lang w:val="zh-CN"/>
        </w:rPr>
      </w:pPr>
      <w:bookmarkStart w:id="38" w:name="_Toc2263"/>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.中标通知</w:t>
      </w:r>
      <w:bookmarkEnd w:id="38"/>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21.1采购中心自中标人确定之日起2个工作日内，在省级以上财政部门指定的媒体上公告中标结果。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21.2 中标结果公告内容包括采购人及其委托的采购中心的名称、地址、联系方式，项目名称和项目编号，中标人名称、地址和中标金额，主要中标标的的名称、数量、单价、服务要求，中标公告期限以及评审专家名单。</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21.3 中标公告期限为1个工作日。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21.4 在公告中标结果的同时，</w:t>
      </w:r>
      <w:r>
        <w:rPr>
          <w:rFonts w:hint="eastAsia" w:ascii="宋体" w:hAnsi="宋体" w:cs="宋体"/>
          <w:color w:val="000000"/>
          <w:shd w:val="clear" w:color="auto" w:fill="FFFFFF"/>
        </w:rPr>
        <w:t>采购中心</w:t>
      </w:r>
      <w:r>
        <w:rPr>
          <w:rFonts w:hint="eastAsia" w:ascii="宋体" w:hAnsi="宋体" w:cs="宋体"/>
          <w:color w:val="000000"/>
          <w:kern w:val="0"/>
        </w:rPr>
        <w:t>向中标人发出中标通知书；对投标无效的投标人，</w:t>
      </w:r>
      <w:r>
        <w:rPr>
          <w:rFonts w:hint="eastAsia" w:ascii="宋体" w:hAnsi="宋体" w:cs="宋体"/>
          <w:color w:val="000000"/>
          <w:kern w:val="0"/>
          <w:lang w:eastAsia="zh-CN"/>
        </w:rPr>
        <w:t>格尔木市政务服务和公共资源交易中心</w:t>
      </w:r>
      <w:r>
        <w:rPr>
          <w:rFonts w:hint="eastAsia" w:ascii="宋体" w:hAnsi="宋体" w:cs="宋体"/>
          <w:color w:val="000000"/>
          <w:kern w:val="0"/>
        </w:rPr>
        <w:t>告知其投标无效的原因；采用综合评分法评审的，还告知未中标人本人的评审得分与排序。</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21.5 中标通知书发出后，采购人不得违法改变中标结果，中标人无正当理由不得放弃中标。</w:t>
      </w:r>
    </w:p>
    <w:p>
      <w:pPr>
        <w:pStyle w:val="28"/>
        <w:spacing w:before="0" w:after="0" w:line="360" w:lineRule="auto"/>
        <w:rPr>
          <w:rFonts w:hint="eastAsia" w:ascii="宋体" w:hAnsi="宋体" w:cs="宋体"/>
          <w:color w:val="000000"/>
          <w:lang w:val="zh-CN"/>
        </w:rPr>
      </w:pPr>
      <w:bookmarkStart w:id="39" w:name="_Toc4187"/>
      <w:r>
        <w:rPr>
          <w:rFonts w:hint="eastAsia" w:ascii="宋体" w:hAnsi="宋体" w:cs="宋体"/>
          <w:color w:val="000000"/>
          <w:lang w:val="zh-CN"/>
        </w:rPr>
        <w:t>九、授予合同</w:t>
      </w:r>
      <w:bookmarkEnd w:id="39"/>
    </w:p>
    <w:p>
      <w:pPr>
        <w:pStyle w:val="28"/>
        <w:spacing w:before="0" w:after="0" w:line="360" w:lineRule="auto"/>
        <w:jc w:val="left"/>
        <w:rPr>
          <w:rFonts w:hint="eastAsia" w:ascii="宋体" w:hAnsi="宋体" w:cs="宋体"/>
          <w:color w:val="000000"/>
          <w:kern w:val="0"/>
          <w:sz w:val="24"/>
        </w:rPr>
      </w:pPr>
      <w:bookmarkStart w:id="40" w:name="_Toc31251"/>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.签订合同</w:t>
      </w:r>
      <w:bookmarkEnd w:id="40"/>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采购人自中标通知书发出之日起30日内，按照招标文件和中标人投标文件的规定，与中标人签订书面合同。所签订的合同不得对招标文件确定的事项和中标人投标文件作实质性修改。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.2 签订合同时，可将中标人的投标保证金转为中标人的履约保证金或中标人以支票、汇票、本票等非现金形式向采购人指定的账户缴纳履约保证金。履约保证金的数额由采购人确定，但不得超出采购合同总金额的10%。</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22.6 采购人与中标人根据合同的约定依法履行合同义务。政府采购合同的履行、违约责任和解决争议的方法等适用《中华人民共和国民法典》。</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22.7</w:t>
      </w:r>
      <w:r>
        <w:rPr>
          <w:rFonts w:hint="eastAsia"/>
          <w:color w:val="000000"/>
        </w:rPr>
        <w:t>采购中心按照政府采购合同规定的技术、服务、安全标准组织对供应商履约情况进行验收，并出具验收书。验收书包括每一项技术、服务、安全标准的履约情况。</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22.9</w:t>
      </w:r>
      <w:r>
        <w:rPr>
          <w:rFonts w:ascii="宋体" w:hAnsi="宋体" w:cs="宋体"/>
          <w:color w:val="000000"/>
          <w:kern w:val="0"/>
        </w:rPr>
        <w:t xml:space="preserve"> </w:t>
      </w:r>
      <w:r>
        <w:rPr>
          <w:rFonts w:hint="eastAsia" w:ascii="宋体" w:hAnsi="宋体" w:cs="宋体"/>
          <w:color w:val="000000"/>
          <w:kern w:val="0"/>
        </w:rPr>
        <w:t>采购人加强对中标人的履约管理，并按照采购合同约定，及时向中标人支付采购资金。对于中标人违反采购合同约定的行为，采购人及时处理，依法追究其违约责任。</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22.10 采购人、采购中心建立真实完整的招标采购档案，妥善保存每项采购活动的采购文件。</w:t>
      </w:r>
    </w:p>
    <w:p>
      <w:pPr>
        <w:pStyle w:val="28"/>
        <w:spacing w:before="0" w:after="0" w:line="360" w:lineRule="auto"/>
        <w:rPr>
          <w:rFonts w:hint="eastAsia" w:ascii="宋体" w:hAnsi="宋体" w:cs="宋体"/>
          <w:color w:val="000000"/>
          <w:lang w:val="zh-CN"/>
        </w:rPr>
      </w:pPr>
    </w:p>
    <w:p>
      <w:pPr>
        <w:pStyle w:val="28"/>
        <w:spacing w:before="0" w:after="0" w:line="360" w:lineRule="auto"/>
        <w:rPr>
          <w:rFonts w:hint="eastAsia" w:ascii="宋体" w:hAnsi="宋体" w:cs="宋体"/>
          <w:color w:val="000000"/>
          <w:lang w:val="zh-CN"/>
        </w:rPr>
      </w:pPr>
      <w:bookmarkStart w:id="41" w:name="_Toc29521"/>
      <w:r>
        <w:rPr>
          <w:rFonts w:hint="eastAsia" w:ascii="宋体" w:hAnsi="宋体" w:cs="宋体"/>
          <w:color w:val="000000"/>
          <w:lang w:val="zh-CN"/>
        </w:rPr>
        <w:t>十、其他</w:t>
      </w:r>
      <w:bookmarkEnd w:id="41"/>
    </w:p>
    <w:p>
      <w:pPr>
        <w:pStyle w:val="28"/>
        <w:spacing w:before="0" w:after="0" w:line="360" w:lineRule="auto"/>
        <w:jc w:val="left"/>
        <w:rPr>
          <w:rFonts w:ascii="宋体" w:hAnsi="宋体" w:cs="宋体"/>
          <w:color w:val="000000"/>
          <w:sz w:val="28"/>
          <w:szCs w:val="28"/>
        </w:rPr>
      </w:pPr>
      <w:bookmarkStart w:id="42" w:name="_Toc32474"/>
      <w:r>
        <w:rPr>
          <w:rFonts w:hint="eastAsia" w:ascii="宋体" w:hAnsi="宋体" w:cs="宋体"/>
          <w:color w:val="000000"/>
          <w:sz w:val="28"/>
          <w:szCs w:val="28"/>
        </w:rPr>
        <w:t>23. 串通投标的情形</w:t>
      </w:r>
      <w:bookmarkEnd w:id="42"/>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投标人遵循公平竞争的原则，不得恶意串通，不得妨碍其他投标人的竞争行为，不得损害采购人或者其他投标人的合法权益。在评标过程中发现投标人有上述情形的，评标委员会认定其投标无效，并书面报告本级财政部门。</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8"/>
        <w:spacing w:before="0" w:after="0" w:line="360" w:lineRule="auto"/>
        <w:jc w:val="left"/>
        <w:rPr>
          <w:rFonts w:ascii="宋体" w:hAnsi="宋体" w:cs="宋体"/>
          <w:color w:val="000000"/>
          <w:sz w:val="28"/>
          <w:szCs w:val="28"/>
        </w:rPr>
      </w:pPr>
      <w:bookmarkStart w:id="43" w:name="_Toc26401"/>
      <w:r>
        <w:rPr>
          <w:rFonts w:hint="eastAsia" w:ascii="宋体" w:hAnsi="宋体" w:cs="宋体"/>
          <w:color w:val="000000"/>
          <w:sz w:val="28"/>
          <w:szCs w:val="28"/>
        </w:rPr>
        <w:t>24. 废标</w:t>
      </w:r>
      <w:bookmarkEnd w:id="43"/>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w:t>
      </w:r>
      <w:r>
        <w:rPr>
          <w:rFonts w:hint="eastAsia" w:ascii="宋体" w:hAnsi="宋体" w:cs="宋体"/>
          <w:color w:val="000000"/>
          <w:kern w:val="0"/>
          <w:lang w:eastAsia="zh-CN"/>
        </w:rPr>
        <w:t>格尔木市政务服务和公共资源交易中心</w:t>
      </w:r>
      <w:r>
        <w:rPr>
          <w:rFonts w:hint="eastAsia" w:ascii="宋体" w:hAnsi="宋体" w:cs="宋体"/>
          <w:color w:val="000000"/>
          <w:kern w:val="0"/>
        </w:rPr>
        <w:t>发布废标公告。</w:t>
      </w:r>
    </w:p>
    <w:p>
      <w:pPr>
        <w:autoSpaceDE w:val="0"/>
        <w:autoSpaceDN w:val="0"/>
        <w:spacing w:line="360" w:lineRule="auto"/>
        <w:ind w:firstLine="480" w:firstLineChars="200"/>
        <w:rPr>
          <w:rFonts w:hint="eastAsia" w:ascii="宋体" w:hAnsi="宋体" w:cs="宋体"/>
          <w:color w:val="000000"/>
          <w:kern w:val="0"/>
        </w:rPr>
      </w:pPr>
      <w:r>
        <w:rPr>
          <w:rFonts w:ascii="宋体" w:hAnsi="宋体" w:cs="宋体"/>
          <w:color w:val="000000"/>
          <w:kern w:val="0"/>
        </w:rPr>
        <w:t>2</w:t>
      </w:r>
      <w:r>
        <w:rPr>
          <w:rFonts w:hint="eastAsia" w:ascii="宋体" w:hAnsi="宋体" w:cs="宋体"/>
          <w:color w:val="000000"/>
          <w:kern w:val="0"/>
        </w:rPr>
        <w:t>4</w:t>
      </w:r>
      <w:r>
        <w:rPr>
          <w:rFonts w:ascii="宋体" w:hAnsi="宋体" w:cs="宋体"/>
          <w:color w:val="000000"/>
          <w:kern w:val="0"/>
        </w:rPr>
        <w:t xml:space="preserve">.2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（1）招标文件存在不合理条款或者招标程序不符合规定的，采购人、采购中心改正后依法重新招标；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（2）招标文件没有不合理条款、招标程序符合规定，需要采用其他采购方式采购的，采购人依法报财政部门批准。</w:t>
      </w:r>
    </w:p>
    <w:p>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w:t>
      </w:r>
      <w:r>
        <w:rPr>
          <w:rFonts w:hint="eastAsia" w:ascii="宋体" w:hAnsi="宋体" w:cs="宋体"/>
          <w:color w:val="000000"/>
          <w:kern w:val="0"/>
        </w:rPr>
        <w:t>民法典</w:t>
      </w:r>
      <w:r>
        <w:rPr>
          <w:rFonts w:hint="eastAsia" w:ascii="宋体" w:hAnsi="宋体" w:cs="宋体"/>
          <w:color w:val="000000"/>
          <w:kern w:val="0"/>
          <w:lang w:val="zh-CN"/>
        </w:rPr>
        <w:t>》等法律法规的有关条款执行。</w:t>
      </w:r>
    </w:p>
    <w:p>
      <w:pPr>
        <w:pStyle w:val="28"/>
        <w:spacing w:before="0" w:after="0" w:line="360" w:lineRule="auto"/>
        <w:rPr>
          <w:color w:val="000000"/>
          <w:sz w:val="32"/>
        </w:rPr>
      </w:pPr>
      <w:r>
        <w:rPr>
          <w:rFonts w:hint="eastAsia" w:ascii="宋体" w:hAnsi="宋体" w:cs="宋体"/>
          <w:color w:val="000000"/>
          <w:szCs w:val="36"/>
          <w:lang w:val="zh-CN"/>
        </w:rPr>
        <w:br w:type="page"/>
      </w:r>
      <w:bookmarkStart w:id="44" w:name="_Toc31638"/>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格尔木市政府采购项目合同书范本</w:t>
      </w:r>
      <w:bookmarkEnd w:id="44"/>
    </w:p>
    <w:p>
      <w:pPr>
        <w:snapToGrid w:val="0"/>
        <w:spacing w:after="120" w:line="560" w:lineRule="exact"/>
        <w:jc w:val="center"/>
        <w:rPr>
          <w:rFonts w:ascii="宋体" w:hAnsi="宋体"/>
          <w:b/>
          <w:bCs/>
          <w:color w:val="000000"/>
          <w:kern w:val="28"/>
          <w:sz w:val="36"/>
          <w:szCs w:val="36"/>
        </w:rPr>
      </w:pPr>
    </w:p>
    <w:p>
      <w:pPr>
        <w:spacing w:line="560" w:lineRule="exact"/>
        <w:rPr>
          <w:rFonts w:ascii="宋体"/>
          <w:color w:val="000000"/>
        </w:rPr>
      </w:pPr>
    </w:p>
    <w:p>
      <w:pPr>
        <w:spacing w:line="560" w:lineRule="exact"/>
        <w:rPr>
          <w:rFonts w:ascii="宋体"/>
          <w:color w:val="000000"/>
        </w:rPr>
      </w:pPr>
    </w:p>
    <w:p>
      <w:pPr>
        <w:spacing w:line="560" w:lineRule="exact"/>
        <w:rPr>
          <w:rFonts w:ascii="宋体"/>
          <w:color w:val="000000"/>
        </w:rPr>
      </w:pPr>
    </w:p>
    <w:p>
      <w:pPr>
        <w:autoSpaceDE w:val="0"/>
        <w:autoSpaceDN w:val="0"/>
        <w:spacing w:line="560" w:lineRule="exact"/>
        <w:rPr>
          <w:rFonts w:ascii="宋体" w:hAnsi="宋体"/>
          <w:b/>
          <w:bCs/>
          <w:color w:val="000000"/>
          <w:sz w:val="48"/>
          <w:szCs w:val="48"/>
        </w:rPr>
      </w:pPr>
    </w:p>
    <w:p>
      <w:pPr>
        <w:pStyle w:val="2"/>
        <w:ind w:firstLine="1446" w:firstLineChars="300"/>
        <w:jc w:val="left"/>
        <w:rPr>
          <w:sz w:val="48"/>
          <w:szCs w:val="48"/>
        </w:rPr>
      </w:pPr>
      <w:bookmarkStart w:id="45" w:name="_Toc18942"/>
      <w:bookmarkStart w:id="46" w:name="_Toc19599"/>
      <w:bookmarkStart w:id="47" w:name="_Toc3367909"/>
      <w:bookmarkStart w:id="48" w:name="_Toc32247"/>
      <w:bookmarkStart w:id="49" w:name="_Toc3974"/>
      <w:bookmarkStart w:id="50" w:name="_Toc21093"/>
      <w:bookmarkStart w:id="51" w:name="_Toc10434"/>
      <w:bookmarkStart w:id="52" w:name="_Toc23610"/>
      <w:r>
        <w:rPr>
          <w:rFonts w:hint="eastAsia"/>
          <w:sz w:val="48"/>
          <w:szCs w:val="48"/>
          <w:lang w:eastAsia="zh-CN"/>
        </w:rPr>
        <w:t>格尔木市政府采购项目</w:t>
      </w:r>
      <w:r>
        <w:rPr>
          <w:rFonts w:hint="eastAsia"/>
          <w:sz w:val="48"/>
          <w:szCs w:val="48"/>
        </w:rPr>
        <w:t>合同书</w:t>
      </w:r>
      <w:bookmarkEnd w:id="45"/>
      <w:bookmarkEnd w:id="46"/>
      <w:bookmarkEnd w:id="47"/>
      <w:bookmarkEnd w:id="48"/>
      <w:bookmarkEnd w:id="49"/>
      <w:bookmarkEnd w:id="50"/>
      <w:bookmarkEnd w:id="51"/>
      <w:bookmarkEnd w:id="52"/>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lang w:val="en-US" w:eastAsia="zh-CN"/>
        </w:rPr>
        <w:t>采购日期</w:t>
      </w:r>
      <w:r>
        <w:rPr>
          <w:rFonts w:hint="eastAsia"/>
          <w:b/>
          <w:sz w:val="30"/>
          <w:szCs w:val="30"/>
        </w:rPr>
        <w:t>：</w:t>
      </w:r>
      <w:r>
        <w:rPr>
          <w:rFonts w:hint="eastAsia"/>
          <w:b/>
          <w:sz w:val="30"/>
          <w:szCs w:val="30"/>
          <w:u w:val="single"/>
        </w:rPr>
        <w:t xml:space="preserve">                                      </w:t>
      </w:r>
    </w:p>
    <w:p>
      <w:pPr>
        <w:ind w:firstLine="482"/>
        <w:rPr>
          <w:rFonts w:hint="eastAsia" w:ascii="宋体" w:hAnsi="宋体"/>
          <w:b/>
          <w:bCs/>
        </w:rPr>
      </w:pPr>
    </w:p>
    <w:p>
      <w:pPr>
        <w:ind w:firstLine="482"/>
        <w:rPr>
          <w:rFonts w:hint="eastAsia" w:ascii="宋体" w:hAnsi="宋体"/>
          <w:b/>
          <w:bCs/>
        </w:rPr>
      </w:pPr>
    </w:p>
    <w:p>
      <w:pPr>
        <w:pStyle w:val="77"/>
        <w:rPr>
          <w:rFonts w:hint="eastAsia"/>
        </w:rPr>
      </w:pPr>
    </w:p>
    <w:p>
      <w:pPr>
        <w:autoSpaceDE w:val="0"/>
        <w:autoSpaceDN w:val="0"/>
        <w:adjustRightInd w:val="0"/>
        <w:spacing w:line="360" w:lineRule="auto"/>
        <w:jc w:val="left"/>
        <w:rPr>
          <w:rFonts w:ascii="宋体" w:hAnsi="宋体"/>
          <w:b/>
          <w:bCs/>
          <w:kern w:val="0"/>
          <w:sz w:val="28"/>
          <w:szCs w:val="28"/>
        </w:rPr>
      </w:pPr>
      <w:r>
        <w:rPr>
          <w:rFonts w:hint="eastAsia" w:ascii="宋体" w:hAnsi="宋体"/>
          <w:b/>
          <w:bCs/>
          <w:kern w:val="0"/>
          <w:sz w:val="28"/>
          <w:szCs w:val="28"/>
          <w:lang w:val="zh-CN"/>
        </w:rPr>
        <w:t>采</w:t>
      </w:r>
      <w:r>
        <w:rPr>
          <w:rFonts w:hint="eastAsia" w:ascii="宋体" w:hAnsi="宋体"/>
          <w:b/>
          <w:bCs/>
          <w:kern w:val="0"/>
          <w:sz w:val="28"/>
          <w:szCs w:val="28"/>
        </w:rPr>
        <w:t xml:space="preserve"> </w:t>
      </w:r>
      <w:r>
        <w:rPr>
          <w:rFonts w:hint="eastAsia" w:ascii="宋体" w:hAnsi="宋体"/>
          <w:b/>
          <w:bCs/>
          <w:kern w:val="0"/>
          <w:sz w:val="28"/>
          <w:szCs w:val="28"/>
          <w:lang w:val="zh-CN"/>
        </w:rPr>
        <w:t>购</w:t>
      </w:r>
      <w:r>
        <w:rPr>
          <w:rFonts w:hint="eastAsia" w:ascii="宋体" w:hAnsi="宋体"/>
          <w:b/>
          <w:bCs/>
          <w:kern w:val="0"/>
          <w:sz w:val="28"/>
          <w:szCs w:val="28"/>
        </w:rPr>
        <w:t xml:space="preserve"> </w:t>
      </w:r>
      <w:r>
        <w:rPr>
          <w:rFonts w:hint="eastAsia" w:ascii="宋体" w:hAnsi="宋体"/>
          <w:b/>
          <w:bCs/>
          <w:kern w:val="0"/>
          <w:sz w:val="28"/>
          <w:szCs w:val="28"/>
          <w:lang w:val="zh-CN"/>
        </w:rPr>
        <w:t>人（以下简称甲方）：</w:t>
      </w:r>
    </w:p>
    <w:p>
      <w:pPr>
        <w:autoSpaceDE w:val="0"/>
        <w:autoSpaceDN w:val="0"/>
        <w:adjustRightInd w:val="0"/>
        <w:spacing w:line="360" w:lineRule="auto"/>
        <w:rPr>
          <w:rFonts w:ascii="宋体" w:hAnsi="宋体"/>
          <w:kern w:val="0"/>
          <w:sz w:val="28"/>
          <w:szCs w:val="28"/>
        </w:rPr>
      </w:pPr>
      <w:r>
        <w:rPr>
          <w:rFonts w:hint="eastAsia" w:ascii="宋体" w:hAnsi="宋体"/>
          <w:b/>
          <w:bCs/>
          <w:kern w:val="0"/>
          <w:sz w:val="30"/>
          <w:szCs w:val="30"/>
          <w:lang w:val="zh-CN"/>
        </w:rPr>
        <w:t>中</w:t>
      </w:r>
      <w:r>
        <w:rPr>
          <w:rFonts w:hint="eastAsia" w:ascii="宋体" w:hAnsi="宋体"/>
          <w:b/>
          <w:bCs/>
          <w:kern w:val="0"/>
          <w:sz w:val="30"/>
          <w:szCs w:val="30"/>
        </w:rPr>
        <w:t xml:space="preserve"> </w:t>
      </w:r>
      <w:r>
        <w:rPr>
          <w:rFonts w:hint="eastAsia" w:ascii="宋体" w:hAnsi="宋体"/>
          <w:b/>
          <w:bCs/>
          <w:kern w:val="0"/>
          <w:sz w:val="30"/>
          <w:szCs w:val="30"/>
          <w:lang w:val="zh-CN"/>
        </w:rPr>
        <w:t>标</w:t>
      </w:r>
      <w:r>
        <w:rPr>
          <w:rFonts w:hint="eastAsia" w:ascii="宋体" w:hAnsi="宋体"/>
          <w:b/>
          <w:bCs/>
          <w:kern w:val="0"/>
          <w:sz w:val="30"/>
          <w:szCs w:val="30"/>
        </w:rPr>
        <w:t xml:space="preserve"> </w:t>
      </w:r>
      <w:r>
        <w:rPr>
          <w:rFonts w:hint="eastAsia" w:ascii="宋体" w:hAnsi="宋体"/>
          <w:b/>
          <w:bCs/>
          <w:kern w:val="0"/>
          <w:sz w:val="30"/>
          <w:szCs w:val="30"/>
          <w:lang w:val="zh-CN"/>
        </w:rPr>
        <w:t>人</w:t>
      </w:r>
      <w:r>
        <w:rPr>
          <w:rFonts w:hint="eastAsia" w:ascii="宋体" w:hAnsi="宋体"/>
          <w:b/>
          <w:bCs/>
          <w:kern w:val="0"/>
          <w:sz w:val="28"/>
          <w:szCs w:val="28"/>
          <w:lang w:val="zh-CN"/>
        </w:rPr>
        <w:t>（以下简称乙方）：</w:t>
      </w:r>
    </w:p>
    <w:p>
      <w:pPr>
        <w:autoSpaceDE w:val="0"/>
        <w:autoSpaceDN w:val="0"/>
        <w:spacing w:line="360" w:lineRule="auto"/>
        <w:ind w:firstLine="480" w:firstLineChars="200"/>
        <w:rPr>
          <w:rFonts w:ascii="宋体" w:hAnsi="宋体"/>
          <w:kern w:val="0"/>
          <w:lang w:val="zh-CN"/>
        </w:rPr>
      </w:pPr>
      <w:r>
        <w:rPr>
          <w:rFonts w:hint="eastAsia" w:ascii="宋体" w:hAnsi="宋体"/>
          <w:kern w:val="0"/>
          <w:lang w:val="zh-CN"/>
        </w:rPr>
        <w:t>甲、乙双方根据</w:t>
      </w:r>
      <w:r>
        <w:rPr>
          <w:rFonts w:hint="eastAsia" w:ascii="宋体" w:hAnsi="宋体"/>
          <w:kern w:val="0"/>
        </w:rPr>
        <w:t>20</w:t>
      </w:r>
      <w:r>
        <w:rPr>
          <w:rFonts w:hint="eastAsia" w:ascii="宋体" w:hAnsi="宋体"/>
          <w:kern w:val="0"/>
          <w:lang w:val="zh-CN"/>
        </w:rPr>
        <w:t>2</w:t>
      </w:r>
      <w:r>
        <w:rPr>
          <w:rFonts w:hint="eastAsia" w:ascii="宋体" w:hAnsi="宋体"/>
          <w:kern w:val="0"/>
          <w:lang w:val="en-US" w:eastAsia="zh-CN"/>
        </w:rPr>
        <w:t>*</w:t>
      </w:r>
      <w:r>
        <w:rPr>
          <w:rFonts w:hint="eastAsia" w:ascii="宋体" w:hAnsi="宋体"/>
          <w:kern w:val="0"/>
          <w:lang w:val="zh-CN"/>
        </w:rPr>
        <w:t>年XX月XX日（采购项目名称）采购项目（采购项目编号）的招标文件要求和采购代理机构出具的《中标通知书》，并经双方协商一致，签订本合同协议书。</w:t>
      </w:r>
    </w:p>
    <w:p>
      <w:pPr>
        <w:autoSpaceDE w:val="0"/>
        <w:autoSpaceDN w:val="0"/>
        <w:spacing w:line="360" w:lineRule="auto"/>
        <w:rPr>
          <w:rFonts w:ascii="宋体" w:hAnsi="宋体"/>
          <w:kern w:val="0"/>
          <w:lang w:val="zh-CN"/>
        </w:rPr>
      </w:pPr>
      <w:r>
        <w:rPr>
          <w:rFonts w:hint="eastAsia" w:ascii="宋体" w:hAnsi="宋体"/>
          <w:kern w:val="0"/>
          <w:lang w:val="zh-CN"/>
        </w:rPr>
        <w:t>一、签订本政府采购合同的依据</w:t>
      </w:r>
    </w:p>
    <w:p>
      <w:pPr>
        <w:autoSpaceDE w:val="0"/>
        <w:autoSpaceDN w:val="0"/>
        <w:spacing w:line="360" w:lineRule="auto"/>
        <w:ind w:firstLine="480"/>
        <w:rPr>
          <w:rFonts w:ascii="宋体" w:hAnsi="宋体"/>
          <w:kern w:val="0"/>
          <w:lang w:val="zh-CN"/>
        </w:rPr>
      </w:pPr>
      <w:r>
        <w:rPr>
          <w:rFonts w:hint="eastAsia" w:ascii="宋体" w:hAnsi="宋体"/>
          <w:kern w:val="0"/>
          <w:lang w:val="zh-CN"/>
        </w:rPr>
        <w:t>本政府采购合同所附下列文件是构成本政府采购合同不可分割的部分：</w:t>
      </w:r>
    </w:p>
    <w:p>
      <w:pPr>
        <w:autoSpaceDE w:val="0"/>
        <w:autoSpaceDN w:val="0"/>
        <w:spacing w:line="360" w:lineRule="auto"/>
        <w:ind w:firstLine="480"/>
        <w:rPr>
          <w:rFonts w:ascii="宋体" w:hAnsi="宋体"/>
          <w:kern w:val="0"/>
          <w:lang w:val="zh-CN"/>
        </w:rPr>
      </w:pPr>
      <w:r>
        <w:rPr>
          <w:rFonts w:hint="eastAsia" w:ascii="宋体" w:hAnsi="宋体"/>
          <w:kern w:val="0"/>
          <w:lang w:val="zh-CN"/>
        </w:rPr>
        <w:t>1.招标文件；</w:t>
      </w:r>
    </w:p>
    <w:p>
      <w:pPr>
        <w:autoSpaceDE w:val="0"/>
        <w:autoSpaceDN w:val="0"/>
        <w:spacing w:line="360" w:lineRule="auto"/>
        <w:ind w:firstLine="480"/>
        <w:rPr>
          <w:rFonts w:ascii="宋体" w:hAnsi="宋体"/>
          <w:kern w:val="0"/>
          <w:lang w:val="zh-CN"/>
        </w:rPr>
      </w:pPr>
      <w:r>
        <w:rPr>
          <w:rFonts w:hint="eastAsia" w:ascii="宋体" w:hAnsi="宋体"/>
          <w:kern w:val="0"/>
          <w:lang w:val="zh-CN"/>
        </w:rPr>
        <w:t>2.招标文件的澄清、变更公告；</w:t>
      </w:r>
    </w:p>
    <w:p>
      <w:pPr>
        <w:autoSpaceDE w:val="0"/>
        <w:autoSpaceDN w:val="0"/>
        <w:spacing w:line="360" w:lineRule="auto"/>
        <w:ind w:firstLine="480"/>
        <w:rPr>
          <w:rFonts w:ascii="宋体" w:hAnsi="宋体"/>
          <w:kern w:val="0"/>
          <w:lang w:val="zh-CN"/>
        </w:rPr>
      </w:pPr>
      <w:r>
        <w:rPr>
          <w:rFonts w:hint="eastAsia" w:ascii="宋体" w:hAnsi="宋体"/>
          <w:kern w:val="0"/>
          <w:lang w:val="zh-CN"/>
        </w:rPr>
        <w:t>3.中标人提交的投标文件；</w:t>
      </w:r>
    </w:p>
    <w:p>
      <w:pPr>
        <w:autoSpaceDE w:val="0"/>
        <w:autoSpaceDN w:val="0"/>
        <w:spacing w:line="360" w:lineRule="auto"/>
        <w:ind w:firstLine="480"/>
        <w:rPr>
          <w:rFonts w:ascii="宋体" w:hAnsi="宋体"/>
          <w:kern w:val="0"/>
          <w:lang w:val="zh-CN"/>
        </w:rPr>
      </w:pPr>
      <w:r>
        <w:rPr>
          <w:rFonts w:hint="eastAsia" w:ascii="宋体" w:hAnsi="宋体"/>
          <w:kern w:val="0"/>
          <w:lang w:val="zh-CN"/>
        </w:rPr>
        <w:t>4.招标文件中规定的政府采购合同通用条款；</w:t>
      </w:r>
    </w:p>
    <w:p>
      <w:pPr>
        <w:autoSpaceDE w:val="0"/>
        <w:autoSpaceDN w:val="0"/>
        <w:spacing w:line="360" w:lineRule="auto"/>
        <w:ind w:firstLine="480"/>
        <w:rPr>
          <w:rFonts w:ascii="宋体" w:hAnsi="宋体"/>
          <w:kern w:val="0"/>
          <w:lang w:val="zh-CN"/>
        </w:rPr>
      </w:pPr>
      <w:r>
        <w:rPr>
          <w:rFonts w:hint="eastAsia" w:ascii="宋体" w:hAnsi="宋体"/>
          <w:kern w:val="0"/>
          <w:lang w:val="zh-CN"/>
        </w:rPr>
        <w:t>5.中标通知书；</w:t>
      </w:r>
    </w:p>
    <w:p>
      <w:pPr>
        <w:autoSpaceDE w:val="0"/>
        <w:autoSpaceDN w:val="0"/>
        <w:spacing w:line="360" w:lineRule="auto"/>
        <w:ind w:firstLine="480"/>
        <w:rPr>
          <w:rFonts w:ascii="宋体" w:hAnsi="宋体"/>
          <w:kern w:val="0"/>
          <w:lang w:val="zh-CN"/>
        </w:rPr>
      </w:pPr>
      <w:r>
        <w:rPr>
          <w:rFonts w:hint="eastAsia" w:ascii="宋体" w:hAnsi="宋体"/>
          <w:kern w:val="0"/>
          <w:lang w:val="zh-CN"/>
        </w:rPr>
        <w:t>6.履约保证金缴费证明。</w:t>
      </w:r>
    </w:p>
    <w:p>
      <w:pPr>
        <w:autoSpaceDE w:val="0"/>
        <w:autoSpaceDN w:val="0"/>
        <w:spacing w:line="360" w:lineRule="auto"/>
        <w:rPr>
          <w:rFonts w:ascii="宋体" w:hAnsi="宋体"/>
          <w:kern w:val="0"/>
          <w:lang w:val="zh-CN"/>
        </w:rPr>
      </w:pPr>
      <w:r>
        <w:rPr>
          <w:rFonts w:hint="eastAsia" w:ascii="宋体" w:hAnsi="宋体"/>
          <w:kern w:val="0"/>
          <w:lang w:val="zh-CN"/>
        </w:rPr>
        <w:t>二、合同标的及金额                                       单位：元</w:t>
      </w:r>
    </w:p>
    <w:tbl>
      <w:tblPr>
        <w:tblStyle w:val="33"/>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eastAsia="宋体" w:cs="Times New Roman"/>
                <w:kern w:val="0"/>
                <w:lang w:val="zh-CN"/>
              </w:rPr>
            </w:pPr>
          </w:p>
        </w:tc>
      </w:tr>
    </w:tbl>
    <w:p>
      <w:pPr>
        <w:autoSpaceDE w:val="0"/>
        <w:autoSpaceDN w:val="0"/>
        <w:spacing w:line="360" w:lineRule="auto"/>
        <w:jc w:val="left"/>
        <w:rPr>
          <w:rFonts w:ascii="宋体" w:hAnsi="宋体"/>
          <w:kern w:val="0"/>
          <w:u w:val="single"/>
        </w:rPr>
      </w:pPr>
      <w:r>
        <w:rPr>
          <w:rFonts w:hint="eastAsia" w:ascii="宋体" w:hAnsi="宋体"/>
          <w:kern w:val="0"/>
          <w:lang w:val="zh-CN"/>
        </w:rPr>
        <w:t>根据上述政府采购合同文件要求，本政府采购合同的总金额为人民币</w:t>
      </w:r>
      <w:r>
        <w:rPr>
          <w:rFonts w:hint="eastAsia" w:ascii="宋体" w:hAnsi="宋体"/>
          <w:kern w:val="0"/>
          <w:u w:val="single"/>
        </w:rPr>
        <w:t xml:space="preserve">           </w:t>
      </w:r>
    </w:p>
    <w:p>
      <w:pPr>
        <w:autoSpaceDE w:val="0"/>
        <w:autoSpaceDN w:val="0"/>
        <w:spacing w:line="360" w:lineRule="auto"/>
        <w:jc w:val="left"/>
        <w:rPr>
          <w:rFonts w:ascii="宋体" w:hAnsi="宋体"/>
          <w:kern w:val="0"/>
          <w:lang w:val="zh-CN"/>
        </w:rPr>
      </w:pPr>
      <w:r>
        <w:rPr>
          <w:rFonts w:hint="eastAsia" w:ascii="宋体" w:hAnsi="宋体"/>
          <w:kern w:val="0"/>
          <w:lang w:val="zh-CN"/>
        </w:rPr>
        <w:t>（大写）</w:t>
      </w:r>
      <w:r>
        <w:rPr>
          <w:rFonts w:hint="eastAsia" w:ascii="宋体" w:hAnsi="宋体"/>
          <w:kern w:val="0"/>
          <w:u w:val="single"/>
          <w:lang w:val="zh-CN"/>
        </w:rPr>
        <w:t xml:space="preserve">                 </w:t>
      </w:r>
      <w:r>
        <w:rPr>
          <w:rFonts w:hint="eastAsia" w:ascii="宋体" w:hAnsi="宋体"/>
          <w:kern w:val="0"/>
          <w:lang w:val="zh-CN"/>
        </w:rPr>
        <w:t>元。</w:t>
      </w:r>
    </w:p>
    <w:p>
      <w:pPr>
        <w:autoSpaceDE w:val="0"/>
        <w:autoSpaceDN w:val="0"/>
        <w:spacing w:line="360" w:lineRule="auto"/>
        <w:ind w:firstLine="360"/>
        <w:rPr>
          <w:rFonts w:ascii="宋体" w:hAnsi="宋体"/>
          <w:kern w:val="0"/>
        </w:rPr>
      </w:pPr>
      <w:r>
        <w:rPr>
          <w:rFonts w:hint="eastAsia" w:ascii="宋体" w:hAnsi="宋体"/>
          <w:kern w:val="0"/>
          <w:lang w:val="zh-CN"/>
        </w:rPr>
        <w:t>本合同以人民币进行结算，合同总价包括：</w:t>
      </w:r>
      <w:r>
        <w:rPr>
          <w:rStyle w:val="126"/>
          <w:rFonts w:ascii="宋体" w:hAnsi="宋体" w:eastAsia="宋体" w:cs="Times New Roman"/>
          <w:color w:val="auto"/>
          <w:kern w:val="0"/>
          <w:highlight w:val="none"/>
          <w:lang w:val="zh-CN"/>
        </w:rPr>
        <w:t>产品费、验收费、手续费、包装费、运输费、保险费、培训费、售前、售中、售后服务费</w:t>
      </w:r>
      <w:r>
        <w:rPr>
          <w:rStyle w:val="126"/>
          <w:rFonts w:hint="eastAsia" w:ascii="宋体" w:hAnsi="宋体" w:eastAsia="宋体" w:cs="Times New Roman"/>
          <w:color w:val="auto"/>
          <w:kern w:val="0"/>
          <w:highlight w:val="none"/>
          <w:lang w:val="zh-CN"/>
        </w:rPr>
        <w:t>、检测与试验、装卸、</w:t>
      </w:r>
      <w:r>
        <w:rPr>
          <w:rStyle w:val="126"/>
          <w:rFonts w:hint="eastAsia" w:ascii="宋体" w:hAnsi="宋体" w:cs="Times New Roman"/>
          <w:color w:val="auto"/>
          <w:kern w:val="0"/>
          <w:highlight w:val="none"/>
          <w:lang w:val="zh-CN"/>
        </w:rPr>
        <w:t>联机调试</w:t>
      </w:r>
      <w:r>
        <w:rPr>
          <w:rStyle w:val="126"/>
          <w:rFonts w:hint="eastAsia" w:ascii="宋体" w:hAnsi="宋体" w:eastAsia="宋体" w:cs="Times New Roman"/>
          <w:color w:val="auto"/>
          <w:kern w:val="0"/>
          <w:highlight w:val="none"/>
          <w:lang w:val="zh-CN"/>
        </w:rPr>
        <w:t>、安装调试指导、技术资料、人员、差旅、质量保证期服务费、其他管理费用、所有的检验、测试、调试、验收、试运行费用</w:t>
      </w:r>
      <w:r>
        <w:rPr>
          <w:rStyle w:val="126"/>
          <w:rFonts w:ascii="宋体" w:hAnsi="宋体" w:eastAsia="宋体" w:cs="Times New Roman"/>
          <w:color w:val="auto"/>
          <w:kern w:val="0"/>
          <w:highlight w:val="none"/>
          <w:lang w:val="zh-CN"/>
        </w:rPr>
        <w:t>、税金及不可预见费等全部费用。</w:t>
      </w:r>
    </w:p>
    <w:p>
      <w:pPr>
        <w:numPr>
          <w:ilvl w:val="0"/>
          <w:numId w:val="7"/>
        </w:numPr>
        <w:autoSpaceDE w:val="0"/>
        <w:autoSpaceDN w:val="0"/>
        <w:spacing w:line="360" w:lineRule="auto"/>
        <w:rPr>
          <w:rFonts w:hint="eastAsia" w:ascii="宋体" w:hAnsi="宋体"/>
          <w:kern w:val="0"/>
          <w:lang w:val="zh-CN"/>
        </w:rPr>
      </w:pPr>
      <w:r>
        <w:rPr>
          <w:rFonts w:hint="eastAsia" w:ascii="宋体" w:hAnsi="宋体"/>
          <w:kern w:val="0"/>
          <w:lang w:val="zh-CN"/>
        </w:rPr>
        <w:t>交付时间、地点和要求</w:t>
      </w:r>
    </w:p>
    <w:p>
      <w:pPr>
        <w:numPr>
          <w:ilvl w:val="0"/>
          <w:numId w:val="0"/>
        </w:numPr>
        <w:autoSpaceDE w:val="0"/>
        <w:autoSpaceDN w:val="0"/>
        <w:spacing w:line="360" w:lineRule="auto"/>
        <w:rPr>
          <w:rFonts w:hint="eastAsia" w:ascii="宋体" w:hAnsi="宋体"/>
          <w:kern w:val="0"/>
          <w:lang w:val="en-US" w:eastAsia="zh-CN"/>
        </w:rPr>
      </w:pPr>
      <w:r>
        <w:rPr>
          <w:rFonts w:hint="eastAsia" w:ascii="宋体" w:hAnsi="宋体"/>
          <w:kern w:val="0"/>
          <w:lang w:val="en-US" w:eastAsia="zh-CN"/>
        </w:rPr>
        <w:t>交付时间：</w:t>
      </w:r>
    </w:p>
    <w:p>
      <w:pPr>
        <w:numPr>
          <w:ilvl w:val="0"/>
          <w:numId w:val="0"/>
        </w:numPr>
        <w:autoSpaceDE w:val="0"/>
        <w:autoSpaceDN w:val="0"/>
        <w:spacing w:line="360" w:lineRule="auto"/>
        <w:rPr>
          <w:rFonts w:hint="eastAsia" w:ascii="宋体" w:hAnsi="宋体"/>
          <w:kern w:val="0"/>
          <w:lang w:val="en-US" w:eastAsia="zh-CN"/>
        </w:rPr>
      </w:pPr>
      <w:r>
        <w:rPr>
          <w:rFonts w:hint="eastAsia" w:ascii="宋体" w:hAnsi="宋体"/>
          <w:kern w:val="0"/>
          <w:lang w:val="en-US" w:eastAsia="zh-CN"/>
        </w:rPr>
        <w:t>交付地点：</w:t>
      </w:r>
    </w:p>
    <w:p>
      <w:pPr>
        <w:numPr>
          <w:ilvl w:val="0"/>
          <w:numId w:val="0"/>
        </w:numPr>
        <w:autoSpaceDE w:val="0"/>
        <w:autoSpaceDN w:val="0"/>
        <w:spacing w:line="360" w:lineRule="auto"/>
        <w:rPr>
          <w:rFonts w:hint="default" w:ascii="宋体" w:hAnsi="宋体"/>
          <w:kern w:val="0"/>
          <w:lang w:val="en-US" w:eastAsia="zh-CN"/>
        </w:rPr>
      </w:pPr>
      <w:r>
        <w:rPr>
          <w:rFonts w:hint="eastAsia" w:ascii="宋体" w:hAnsi="宋体"/>
          <w:kern w:val="0"/>
          <w:lang w:val="en-US" w:eastAsia="zh-CN"/>
        </w:rPr>
        <w:t>要求：</w:t>
      </w:r>
    </w:p>
    <w:p>
      <w:pPr>
        <w:pStyle w:val="14"/>
        <w:tabs>
          <w:tab w:val="left" w:pos="360"/>
        </w:tabs>
        <w:rPr>
          <w:rFonts w:hint="eastAsia" w:ascii="宋体" w:hAnsi="宋体" w:cs="宋体"/>
          <w:kern w:val="0"/>
          <w:lang w:val="zh-CN" w:eastAsia="zh-CN"/>
        </w:rPr>
      </w:pPr>
      <w:r>
        <w:rPr>
          <w:rFonts w:hint="eastAsia" w:ascii="宋体" w:hAnsi="宋体" w:cs="宋体"/>
          <w:kern w:val="0"/>
          <w:lang w:val="zh-CN" w:eastAsia="zh-CN"/>
        </w:rPr>
        <w:t>五、质量保修范围和保修期</w:t>
      </w:r>
    </w:p>
    <w:p>
      <w:pPr>
        <w:pStyle w:val="14"/>
        <w:tabs>
          <w:tab w:val="left" w:pos="360"/>
        </w:tabs>
        <w:spacing w:line="360" w:lineRule="auto"/>
        <w:ind w:firstLine="480" w:firstLineChars="200"/>
        <w:rPr>
          <w:rFonts w:hint="eastAsia" w:ascii="宋体" w:hAnsi="宋体" w:cs="宋体"/>
          <w:kern w:val="0"/>
          <w:lang w:val="zh-CN" w:eastAsia="zh-CN"/>
        </w:rPr>
      </w:pPr>
      <w:r>
        <w:rPr>
          <w:rFonts w:hint="eastAsia" w:ascii="宋体" w:hAnsi="宋体" w:cs="宋体"/>
          <w:kern w:val="0"/>
          <w:lang w:val="zh-CN" w:eastAsia="zh-CN"/>
        </w:rPr>
        <w:t>自验收合格之日起</w:t>
      </w:r>
      <w:r>
        <w:rPr>
          <w:rFonts w:hint="eastAsia" w:ascii="宋体" w:hAnsi="宋体" w:cs="宋体"/>
          <w:kern w:val="0"/>
          <w:u w:val="single"/>
          <w:lang w:val="en-US" w:eastAsia="zh-CN"/>
        </w:rPr>
        <w:t xml:space="preserve">   </w:t>
      </w:r>
      <w:r>
        <w:rPr>
          <w:rFonts w:hint="eastAsia" w:ascii="宋体" w:hAnsi="宋体" w:cs="宋体"/>
          <w:kern w:val="0"/>
          <w:lang w:val="zh-CN" w:eastAsia="zh-CN"/>
        </w:rPr>
        <w:t>，提供免费维护及保养服务，终身维修。在保修期内，设备质量问题免费维修；在保修期外，非正常使用造成的设备故障，只收取维修成本费。</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六、合同的变更、终止与转让</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1.除《中华人民共和国政府采购法》第五十条规定的情形外，本合同一经签订，甲乙双方不得擅自变更、中止或终止。</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2.乙方不得擅自转让其应履行的合同义务。</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七、违约责任</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①乙方所提供的产品规格、技术标准、材料等质量不合格的，应及时更换；更换不及时的，按逾期交货处罚；因质量问题甲方不同意接收的，质保金全额扣除，并由乙方赔偿由此引起的甲方的一切经济损失。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②乙方提供的货物如侵犯了第三方权益而引发纠纷或诉讼的，均由乙方负责交涉并承担全部责任。</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③因包装、运输引起的货物损坏，按质量不合格处罚。</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④甲方无故延期接收货物和乙方逾期交货的，每天应向对方偿付未交货物的货款3‰的违约金，但违约金累计不得超过违约货款的5%，超过30天对方有权解除合同，违约方承担因此给对方造成的经济损失。</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⑤乙方未按本合同和响应文件中规定的服务承诺提供售后服务的，乙方应按本合同合计金额的5%向甲方支付违约金。</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⑥乙方提供的货物在质量保证期内，因设计、工艺或材料的缺陷和其他质量原因造成的问题，由乙方负责，费用从合同款中扣除，不足另补。</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⑦其他违约行为按违约货款额5%收取违约金并赔偿经济损失。</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八、不可抗力</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不可抗力使合同的某些内容有变更必要的，双方应通过协商在10天内达成进一步履行合同的协议，因不可抗力致使合同不能履行的，合同终止。除法律法规规定的不可抗力情形外，双方约定出现无情况亦视为不可抗力。</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九、知识产权：乙方承诺所提供产品在中国境内不受任何第三方对甲方的知识产权追索。其他详见合同通用条款。</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十、其他约定：</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十、合同争议解决</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1.因产品质量问题发生争议的，应邀请国家认可的质量检测机构进行鉴定。产品符合标准的，鉴定费由甲方承担；产品不符合标准的，鉴定费由乙方承担。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2.因履行本合同引起的或与本合同有关的争议，甲乙双方应首先通过友好协商解决，如果协商不能解决，可向甲方所在地人民法院提起诉讼。</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3.诉讼期间，本合同继续履行。</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十一、合同生效及其他：</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1.本合同一式十份，经双方签字，并加盖公章即为生效。</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2.本合同未尽事宜，按</w:t>
      </w:r>
      <w:r>
        <w:rPr>
          <w:rFonts w:hint="eastAsia" w:cs="宋体"/>
          <w:sz w:val="21"/>
          <w:szCs w:val="21"/>
          <w:highlight w:val="none"/>
          <w:lang w:val="en-US" w:eastAsia="zh-CN"/>
        </w:rPr>
        <w:t>《中华人民共和国民法典》</w:t>
      </w:r>
      <w:r>
        <w:rPr>
          <w:rFonts w:hint="eastAsia" w:ascii="宋体" w:hAnsi="宋体" w:cs="宋体"/>
          <w:kern w:val="0"/>
          <w:lang w:val="zh-CN"/>
        </w:rPr>
        <w:t>有关规定处理。</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3.本合同的组成包含《合同通用条款》。</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甲方（盖章）：                         乙方（盖章）：</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法定代表人或委托代理人：               法定代表人或委托代理人：</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开户银行：</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账号：</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                                 地址：</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联系电话：                             联系电话：</w:t>
      </w:r>
    </w:p>
    <w:p>
      <w:pPr>
        <w:autoSpaceDE w:val="0"/>
        <w:autoSpaceDN w:val="0"/>
        <w:spacing w:line="360" w:lineRule="auto"/>
        <w:ind w:firstLine="1320" w:firstLineChars="550"/>
        <w:rPr>
          <w:rFonts w:hint="eastAsia" w:ascii="宋体" w:hAnsi="宋体" w:cs="宋体"/>
          <w:kern w:val="0"/>
          <w:lang w:val="zh-CN"/>
        </w:rPr>
      </w:pPr>
      <w:r>
        <w:rPr>
          <w:rFonts w:hint="eastAsia" w:ascii="宋体" w:hAnsi="宋体" w:cs="宋体"/>
          <w:kern w:val="0"/>
          <w:lang w:val="zh-CN"/>
        </w:rPr>
        <w:t>签约时间：    年    月    日</w:t>
      </w:r>
    </w:p>
    <w:p>
      <w:pPr>
        <w:autoSpaceDE w:val="0"/>
        <w:autoSpaceDN w:val="0"/>
        <w:spacing w:after="156" w:afterLines="50" w:line="360" w:lineRule="auto"/>
        <w:jc w:val="center"/>
        <w:rPr>
          <w:rFonts w:hint="eastAsia" w:ascii="宋体" w:hAnsi="宋体" w:cs="Arial"/>
          <w:bCs/>
          <w:color w:val="000000"/>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hint="eastAsia" w:ascii="宋体" w:hAnsi="宋体" w:cs="Arial"/>
          <w:bCs/>
          <w:color w:val="000000"/>
          <w:lang w:val="zh-CN"/>
        </w:rPr>
      </w:pPr>
    </w:p>
    <w:p>
      <w:pPr>
        <w:autoSpaceDE w:val="0"/>
        <w:autoSpaceDN w:val="0"/>
        <w:spacing w:after="156" w:afterLines="50" w:line="360" w:lineRule="auto"/>
        <w:jc w:val="center"/>
        <w:rPr>
          <w:rFonts w:ascii="宋体" w:hAnsi="宋体" w:cs="Arial"/>
          <w:b/>
          <w:bCs w:val="0"/>
          <w:color w:val="000000"/>
          <w:sz w:val="36"/>
          <w:szCs w:val="36"/>
        </w:rPr>
      </w:pPr>
      <w:r>
        <w:rPr>
          <w:rFonts w:hint="eastAsia" w:ascii="宋体" w:hAnsi="宋体" w:cs="Arial"/>
          <w:b/>
          <w:bCs w:val="0"/>
          <w:color w:val="000000"/>
          <w:sz w:val="36"/>
          <w:szCs w:val="36"/>
          <w:lang w:val="zh-CN"/>
        </w:rPr>
        <w:t>合同通用条款</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本合同中的下列术语应解释为：</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“服务”指根据本合同规定乙方承担与供货有关的辅助服务，如运输、保险及安装、调试、提供技术援助、培训和合同中规定乙方应承担的其他义务。</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予履行本合同无关的任何其他人，如向与履行本合同有关的人员提供，则应严格保密并限于履行本合同所必须的范围。</w:t>
      </w:r>
    </w:p>
    <w:p>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他的许可使用费，以非独家的、永久的、全球的、不可撤销的方式使用本合同条款下软件产品。</w:t>
      </w:r>
    </w:p>
    <w:p>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lang w:val="zh-CN"/>
        </w:rPr>
        <w:t>八、包装要求</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除合同另有约定外，乙方提供的全部货物，均应采用本行业通用的方式进行包装，且该包装应符合国家有关包装的法律法规的规定。</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firstLineChars="20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需的所有费用，包括但不限于货物及部件的设计、检测与试验、制造、运输、装卸、保险、联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本合同价格为固定价格，包括乙方履行合同全过程产生的所有成本和费用以及乙方应承担的一切税费。</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交货方式：现场交货，乙方负责办理运输和保险，将货物运抵现场。</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交货期应根据产品的特点实事求是填写，进口产品90个工作日内，国产产品60个工作日内。特殊产品交货期需说明。（实际交货期以采购人要求为准）</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交货日期：所有货物运抵现场并经双方开箱验收合格之日。</w:t>
      </w:r>
    </w:p>
    <w:p>
      <w:pPr>
        <w:autoSpaceDE w:val="0"/>
        <w:autoSpaceDN w:val="0"/>
        <w:spacing w:line="360" w:lineRule="auto"/>
        <w:ind w:firstLine="482" w:firstLineChars="200"/>
        <w:rPr>
          <w:rFonts w:ascii="宋体" w:hAnsi="宋体" w:cs="Arial"/>
          <w:color w:val="000000"/>
        </w:rPr>
      </w:pPr>
      <w:r>
        <w:rPr>
          <w:rFonts w:hint="eastAsia" w:ascii="宋体" w:hAnsi="宋体" w:cs="Arial"/>
          <w:b/>
          <w:color w:val="000000"/>
          <w:lang w:val="zh-CN"/>
        </w:rPr>
        <w:t>十一。检验和验收</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除需甲方确认的试验验收外，乙方还应对所有检验验收测试的结果、步骤、原始数据等做妥善记录。如甲方要求，乙方应提供这些记录给买方。</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根据质检报告及质量保证条款向卖方提出索赔，此索赔并不免除乙方应承担的合同义务。</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pPr>
        <w:autoSpaceDE w:val="0"/>
        <w:autoSpaceDN w:val="0"/>
        <w:spacing w:line="360" w:lineRule="auto"/>
        <w:ind w:firstLine="482" w:firstLineChars="200"/>
        <w:rPr>
          <w:rFonts w:ascii="宋体" w:hAnsi="宋体" w:cs="Arial"/>
          <w:color w:val="000000"/>
        </w:rPr>
      </w:pPr>
      <w:r>
        <w:rPr>
          <w:rFonts w:hint="eastAsia" w:ascii="宋体" w:hAnsi="宋体" w:cs="宋体"/>
          <w:b/>
          <w:bCs/>
          <w:color w:val="000000"/>
          <w:lang w:val="zh-CN"/>
        </w:rPr>
        <w:t>十三、履约保证金</w:t>
      </w:r>
    </w:p>
    <w:p>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1、乙方应在合同签订前，按约定提交履约保证金。</w:t>
      </w:r>
    </w:p>
    <w:p>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5、支票或汇票。</w:t>
      </w:r>
    </w:p>
    <w:p>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他必要费用。如已超过退货期，但乙方同意退货，可比照上述办法办理，或由双方协商处理。</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除不可抗力因素外，乙方没有按照合同规定的时间交货和提供服务，甲方可要求乙方支付违约金。违约金每日按合同总价款的千分之五计收。</w:t>
      </w:r>
    </w:p>
    <w:p>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与本合同有关的一切税费均由乙方承担。</w:t>
      </w:r>
    </w:p>
    <w:p>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乙方未能履行合同规定的其他主要义务的；</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二十二、</w:t>
      </w:r>
      <w:r>
        <w:rPr>
          <w:rFonts w:hint="eastAsia" w:ascii="宋体" w:hAnsi="宋体" w:cs="Arial"/>
          <w:b/>
          <w:bCs/>
          <w:color w:val="000000"/>
          <w:lang w:val="zh-CN"/>
        </w:rPr>
        <w:t>转让和分包</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政府采购合同不能转让。</w:t>
      </w:r>
    </w:p>
    <w:p>
      <w:pPr>
        <w:autoSpaceDE w:val="0"/>
        <w:autoSpaceDN w:val="0"/>
        <w:spacing w:before="156" w:beforeLines="50"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甲方和乙方都不得擅自变更本合同，但合同继续履行将损害国家和社会公共利益的除外。如必须对合同条款进行改动时，当事人双方须共同签署书面文件，作为合同的补充。</w:t>
      </w:r>
    </w:p>
    <w:p>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pPr>
        <w:autoSpaceDE w:val="0"/>
        <w:autoSpaceDN w:val="0"/>
        <w:spacing w:before="156" w:beforeLines="50" w:line="360" w:lineRule="auto"/>
        <w:ind w:firstLine="472" w:firstLineChars="196"/>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ascii="宋体" w:hAnsi="宋体" w:cs="Arial"/>
          <w:color w:val="000000"/>
        </w:rPr>
      </w:pPr>
      <w:r>
        <w:rPr>
          <w:rFonts w:hint="eastAsia" w:ascii="宋体" w:hAnsi="宋体" w:cs="Arial"/>
          <w:color w:val="000000"/>
          <w:lang w:val="zh-CN"/>
        </w:rPr>
        <w:t>除技术规范中另有规定外，计量单位均使用国家法定计量单位。</w:t>
      </w:r>
    </w:p>
    <w:p>
      <w:pPr>
        <w:keepNext w:val="0"/>
        <w:keepLines w:val="0"/>
        <w:pageBreakBefore w:val="0"/>
        <w:widowControl w:val="0"/>
        <w:kinsoku/>
        <w:wordWrap/>
        <w:overflowPunct/>
        <w:topLinePunct w:val="0"/>
        <w:autoSpaceDE w:val="0"/>
        <w:autoSpaceDN w:val="0"/>
        <w:bidi w:val="0"/>
        <w:adjustRightInd/>
        <w:snapToGrid/>
        <w:spacing w:before="156" w:beforeLines="50" w:line="400" w:lineRule="exact"/>
        <w:ind w:firstLine="472" w:firstLineChars="196"/>
        <w:textAlignment w:val="auto"/>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cs="Arial"/>
          <w:color w:val="000000"/>
          <w:lang w:val="zh-CN"/>
        </w:rPr>
      </w:pPr>
      <w:r>
        <w:rPr>
          <w:rFonts w:hint="eastAsia" w:ascii="宋体" w:hAnsi="宋体" w:cs="Arial"/>
          <w:color w:val="000000"/>
          <w:lang w:val="zh-CN"/>
        </w:rPr>
        <w:t>本合同按照中华人民共和国的相关法律进行解释</w:t>
      </w:r>
    </w:p>
    <w:p>
      <w:pPr>
        <w:pStyle w:val="28"/>
        <w:numPr>
          <w:ilvl w:val="0"/>
          <w:numId w:val="0"/>
        </w:numPr>
        <w:spacing w:before="0" w:after="0" w:line="360" w:lineRule="auto"/>
        <w:jc w:val="center"/>
        <w:rPr>
          <w:rFonts w:hint="eastAsia" w:ascii="宋体" w:hAnsi="宋体" w:cs="宋体"/>
          <w:color w:val="000000"/>
          <w:szCs w:val="36"/>
          <w:lang w:val="zh-CN"/>
        </w:rPr>
      </w:pPr>
      <w:bookmarkStart w:id="53" w:name="_Toc3082"/>
    </w:p>
    <w:p>
      <w:pPr>
        <w:pStyle w:val="28"/>
        <w:numPr>
          <w:ilvl w:val="0"/>
          <w:numId w:val="0"/>
        </w:numPr>
        <w:spacing w:before="0" w:after="0" w:line="360" w:lineRule="auto"/>
        <w:jc w:val="center"/>
        <w:rPr>
          <w:rFonts w:hint="eastAsia" w:ascii="宋体" w:hAnsi="宋体" w:cs="宋体"/>
          <w:color w:val="000000"/>
          <w:szCs w:val="36"/>
          <w:lang w:val="zh-CN"/>
        </w:rPr>
      </w:pPr>
    </w:p>
    <w:p>
      <w:pPr>
        <w:pStyle w:val="28"/>
        <w:numPr>
          <w:ilvl w:val="0"/>
          <w:numId w:val="0"/>
        </w:numPr>
        <w:spacing w:before="0" w:after="0" w:line="360" w:lineRule="auto"/>
        <w:jc w:val="center"/>
        <w:rPr>
          <w:rFonts w:hint="eastAsia" w:ascii="宋体" w:hAnsi="宋体" w:cs="宋体"/>
          <w:color w:val="000000"/>
          <w:szCs w:val="36"/>
          <w:lang w:val="zh-CN"/>
        </w:rPr>
      </w:pPr>
    </w:p>
    <w:p>
      <w:pPr>
        <w:pStyle w:val="28"/>
        <w:numPr>
          <w:ilvl w:val="0"/>
          <w:numId w:val="0"/>
        </w:numPr>
        <w:spacing w:before="0" w:after="0" w:line="360" w:lineRule="auto"/>
        <w:jc w:val="center"/>
        <w:rPr>
          <w:rFonts w:hint="eastAsia" w:ascii="宋体" w:hAnsi="宋体" w:cs="宋体"/>
          <w:color w:val="000000"/>
          <w:szCs w:val="36"/>
          <w:lang w:val="zh-CN"/>
        </w:rPr>
      </w:pPr>
    </w:p>
    <w:p>
      <w:pPr>
        <w:pStyle w:val="28"/>
        <w:numPr>
          <w:ilvl w:val="0"/>
          <w:numId w:val="0"/>
        </w:numPr>
        <w:spacing w:before="0" w:after="0" w:line="360" w:lineRule="auto"/>
        <w:jc w:val="center"/>
        <w:rPr>
          <w:rFonts w:hint="eastAsia" w:ascii="宋体" w:hAnsi="宋体" w:cs="宋体"/>
          <w:color w:val="000000"/>
          <w:szCs w:val="36"/>
          <w:lang w:val="zh-CN"/>
        </w:rPr>
      </w:pPr>
    </w:p>
    <w:p>
      <w:pPr>
        <w:pStyle w:val="28"/>
        <w:numPr>
          <w:ilvl w:val="0"/>
          <w:numId w:val="0"/>
        </w:numPr>
        <w:spacing w:before="0" w:after="0" w:line="360" w:lineRule="auto"/>
        <w:jc w:val="center"/>
        <w:rPr>
          <w:rFonts w:hint="eastAsia" w:ascii="宋体" w:hAnsi="宋体" w:cs="宋体"/>
          <w:color w:val="000000"/>
          <w:szCs w:val="36"/>
          <w:lang w:val="zh-CN"/>
        </w:rPr>
      </w:pPr>
    </w:p>
    <w:p>
      <w:pPr>
        <w:pStyle w:val="28"/>
        <w:numPr>
          <w:ilvl w:val="0"/>
          <w:numId w:val="0"/>
        </w:numPr>
        <w:spacing w:before="0" w:after="0" w:line="360" w:lineRule="auto"/>
        <w:jc w:val="center"/>
        <w:rPr>
          <w:rFonts w:hint="eastAsia" w:ascii="宋体" w:hAnsi="宋体" w:cs="宋体"/>
          <w:color w:val="000000"/>
          <w:szCs w:val="36"/>
          <w:lang w:val="zh-CN"/>
        </w:rPr>
      </w:pPr>
      <w:r>
        <w:rPr>
          <w:rFonts w:hint="eastAsia" w:ascii="宋体" w:hAnsi="宋体" w:cs="宋体"/>
          <w:color w:val="000000"/>
          <w:szCs w:val="36"/>
          <w:lang w:val="zh-CN"/>
        </w:rPr>
        <w:t>投标文件格式</w:t>
      </w:r>
      <w:bookmarkEnd w:id="53"/>
    </w:p>
    <w:p>
      <w:pPr>
        <w:autoSpaceDE w:val="0"/>
        <w:autoSpaceDN w:val="0"/>
        <w:adjustRightInd w:val="0"/>
        <w:ind w:firstLine="482" w:firstLineChars="200"/>
        <w:jc w:val="left"/>
        <w:rPr>
          <w:rFonts w:hint="eastAsia" w:ascii="宋体" w:cs="宋体"/>
          <w:b/>
          <w:bCs/>
          <w:kern w:val="0"/>
          <w:lang w:val="zh-CN"/>
        </w:rPr>
      </w:pPr>
    </w:p>
    <w:p>
      <w:pPr>
        <w:rPr>
          <w:rFonts w:hint="eastAsia"/>
          <w:lang w:val="zh-CN"/>
        </w:rPr>
      </w:pPr>
    </w:p>
    <w:p>
      <w:pPr>
        <w:pStyle w:val="28"/>
        <w:spacing w:before="0" w:after="0" w:line="360" w:lineRule="auto"/>
        <w:jc w:val="left"/>
        <w:outlineLvl w:val="1"/>
        <w:rPr>
          <w:rFonts w:hint="eastAsia" w:ascii="宋体" w:hAnsi="宋体" w:cs="宋体"/>
          <w:color w:val="000000"/>
        </w:rPr>
      </w:pPr>
      <w:bookmarkStart w:id="54" w:name="_Toc11851"/>
      <w:bookmarkStart w:id="55" w:name="_Toc24087"/>
      <w:r>
        <w:rPr>
          <w:rFonts w:hint="eastAsia" w:ascii="宋体" w:hAnsi="宋体" w:cs="宋体"/>
          <w:color w:val="000000"/>
          <w:sz w:val="30"/>
          <w:szCs w:val="30"/>
          <w:lang w:val="zh-CN"/>
        </w:rPr>
        <w:t>封面</w:t>
      </w:r>
      <w:bookmarkEnd w:id="54"/>
      <w:r>
        <w:rPr>
          <w:rFonts w:hint="eastAsia" w:ascii="宋体" w:hAnsi="宋体" w:cs="宋体"/>
          <w:color w:val="000000"/>
          <w:sz w:val="30"/>
          <w:szCs w:val="30"/>
          <w:lang w:val="zh-CN"/>
        </w:rPr>
        <w:t>（上册）</w:t>
      </w:r>
      <w:bookmarkEnd w:id="55"/>
    </w:p>
    <w:p>
      <w:pPr>
        <w:autoSpaceDE w:val="0"/>
        <w:autoSpaceDN w:val="0"/>
        <w:spacing w:line="360" w:lineRule="auto"/>
        <w:jc w:val="center"/>
        <w:rPr>
          <w:rFonts w:hint="eastAsia" w:ascii="宋体" w:hAnsi="宋体" w:cs="宋体"/>
          <w:b/>
          <w:bCs/>
          <w:color w:val="000000"/>
          <w:kern w:val="0"/>
          <w:sz w:val="36"/>
          <w:szCs w:val="36"/>
        </w:rPr>
      </w:pP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格尔木市政府采购项目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8"/>
        <w:spacing w:before="0" w:after="0" w:line="360" w:lineRule="auto"/>
        <w:jc w:val="left"/>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56" w:name="_Toc32614"/>
      <w:bookmarkStart w:id="57" w:name="_Toc29902"/>
      <w:bookmarkStart w:id="58" w:name="_Toc8514"/>
      <w:r>
        <w:rPr>
          <w:rFonts w:hint="eastAsia" w:ascii="宋体" w:hAnsi="宋体" w:cs="宋体"/>
          <w:color w:val="000000"/>
          <w:sz w:val="30"/>
          <w:szCs w:val="30"/>
          <w:lang w:val="zh-CN"/>
        </w:rPr>
        <w:t>目录（上册）</w:t>
      </w:r>
      <w:bookmarkEnd w:id="56"/>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投标保证金证明....................................所在页码</w:t>
      </w:r>
    </w:p>
    <w:bookmarkEnd w:id="57"/>
    <w:bookmarkEnd w:id="58"/>
    <w:p>
      <w:pPr>
        <w:pStyle w:val="28"/>
        <w:spacing w:before="0" w:after="0" w:line="360" w:lineRule="auto"/>
        <w:jc w:val="left"/>
        <w:outlineLvl w:val="1"/>
        <w:rPr>
          <w:rFonts w:hint="eastAsia" w:ascii="宋体" w:hAnsi="宋体" w:cs="宋体"/>
          <w:color w:val="000000"/>
          <w:lang w:val="zh-CN"/>
        </w:rPr>
      </w:pPr>
      <w:bookmarkStart w:id="59" w:name="_Toc19582"/>
      <w:r>
        <w:rPr>
          <w:rFonts w:hint="eastAsia" w:ascii="宋体" w:hAnsi="宋体" w:cs="宋体"/>
          <w:color w:val="000000"/>
          <w:sz w:val="30"/>
          <w:szCs w:val="30"/>
          <w:lang w:val="zh-CN"/>
        </w:rPr>
        <w:br w:type="page"/>
      </w:r>
      <w:bookmarkStart w:id="60" w:name="_Toc14914"/>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9"/>
      <w:bookmarkEnd w:id="60"/>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en-US" w:eastAsia="zh-CN"/>
        </w:rPr>
        <w:t>格尔木市政务服务和公共资源交易中心</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60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8"/>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61" w:name="_Toc15810"/>
      <w:bookmarkStart w:id="62"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61"/>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格尔木市政务服务和公共资源交易中心</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62"/>
      <w:bookmarkStart w:id="63" w:name="_Toc9656"/>
      <w:bookmarkStart w:id="64"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63"/>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格尔木市政务服务和公共资源交易中心</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被授权人（委托代理人）签字或盖章：</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授权人（法定代表人）签字或盖章：</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5" w:name="_Toc10856"/>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65"/>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格尔木市政务服务和公共资源交易中心</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采购项目，本签字人愿意参加投标，提供采购一览表中要求的所有产品，并证实提交的所有资料是准确的和真实的。同时，我代表（投标人名称），在此做如下承诺：</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3、我方保证甲方在使用该产品或其任何一部分时，不受第三方提出的侵犯专利权、著作权、商标权和工业设计权等知识产权的起诉，若有违反，愿承担相应的一切责任。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6" w:name="_Toc2734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6"/>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格尔木市政务服务和公共资源交易中心</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w:t>
      </w:r>
      <w:r>
        <w:rPr>
          <w:rFonts w:hint="eastAsia" w:ascii="宋体" w:hAnsi="宋体" w:cs="宋体"/>
          <w:color w:val="000000"/>
          <w:kern w:val="0"/>
          <w:lang w:val="en-US" w:eastAsia="zh-CN"/>
        </w:rPr>
        <w:t>格尔木</w:t>
      </w:r>
      <w:r>
        <w:rPr>
          <w:rFonts w:hint="eastAsia" w:ascii="宋体" w:hAnsi="宋体" w:cs="宋体"/>
          <w:color w:val="000000"/>
          <w:kern w:val="0"/>
          <w:lang w:val="zh-CN"/>
        </w:rPr>
        <w:t>市政府采购活动，愿就以下内容作出承诺：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二、参加采购中心组织的政府采购活动时，严格按照招标文件的规定和要求提供所需的相关材料，并对所提供的各类资料的真实性负责，不虚假应标，不虚列业绩。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若本企业（单位）发生有悖于上述承诺的行为，愿意接受《中华人民共和国政府采购法》和《中华人民共和国政府采购法实施条例》中对投标人的相关处理。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64"/>
      <w:bookmarkStart w:id="67" w:name="_Toc29095"/>
      <w:bookmarkStart w:id="68"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7"/>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hint="eastAsia" w:ascii="宋体" w:hAnsi="宋体" w:cs="宋体"/>
          <w:color w:val="000000"/>
          <w:kern w:val="0"/>
          <w:sz w:val="28"/>
          <w:szCs w:val="28"/>
          <w:lang w:val="zh-CN"/>
        </w:rPr>
      </w:pPr>
    </w:p>
    <w:p>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pPr>
        <w:numPr>
          <w:ilvl w:val="0"/>
          <w:numId w:val="9"/>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pPr>
        <w:spacing w:line="360" w:lineRule="auto"/>
        <w:ind w:firstLine="480" w:firstLineChars="200"/>
        <w:rPr>
          <w:rFonts w:hint="eastAsia"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pPr>
        <w:pStyle w:val="28"/>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9" w:name="_Toc10919"/>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9"/>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color w:val="000000"/>
          <w:kern w:val="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50"/>
        <w:jc w:val="left"/>
        <w:rPr>
          <w:rFonts w:hint="eastAsia" w:ascii="宋体" w:hAnsi="宋体"/>
          <w:sz w:val="24"/>
          <w:szCs w:val="24"/>
        </w:rPr>
      </w:pPr>
      <w:r>
        <w:rPr>
          <w:rFonts w:hint="eastAsia" w:ascii="宋体" w:hAnsi="宋体"/>
          <w:sz w:val="24"/>
          <w:szCs w:val="24"/>
        </w:rPr>
        <w:t>按照《</w:t>
      </w:r>
      <w:r>
        <w:rPr>
          <w:rFonts w:hint="eastAsia" w:ascii="宋体" w:hAnsi="宋体"/>
          <w:sz w:val="24"/>
          <w:szCs w:val="24"/>
          <w:lang w:eastAsia="zh-CN"/>
        </w:rPr>
        <w:t>中华人民共和国政府采购法》第二十二条</w:t>
      </w:r>
      <w:r>
        <w:rPr>
          <w:rFonts w:hint="eastAsia" w:ascii="宋体" w:hAnsi="宋体"/>
          <w:sz w:val="24"/>
          <w:szCs w:val="24"/>
        </w:rPr>
        <w:t>规定提供以下相关材料：</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50"/>
        <w:jc w:val="left"/>
        <w:rPr>
          <w:rFonts w:hint="eastAsia" w:ascii="宋体" w:hAnsi="宋体"/>
          <w:sz w:val="24"/>
          <w:szCs w:val="24"/>
        </w:rPr>
      </w:pPr>
      <w:r>
        <w:rPr>
          <w:rFonts w:hint="eastAsia" w:ascii="宋体" w:hAnsi="宋体"/>
          <w:sz w:val="24"/>
          <w:szCs w:val="24"/>
        </w:rPr>
        <w:t>1、供应商是法人的，提供</w:t>
      </w:r>
      <w:r>
        <w:rPr>
          <w:rFonts w:hint="eastAsia" w:ascii="宋体" w:hAnsi="宋体"/>
          <w:sz w:val="24"/>
          <w:szCs w:val="24"/>
          <w:lang w:val="en-US" w:eastAsia="zh-CN"/>
        </w:rPr>
        <w:t>2023或2022年度</w:t>
      </w:r>
      <w:r>
        <w:rPr>
          <w:rFonts w:hint="eastAsia" w:ascii="宋体" w:hAnsi="宋体"/>
          <w:sz w:val="24"/>
          <w:szCs w:val="24"/>
        </w:rPr>
        <w:t>经审计的财务状况报告，包括资产负债表、利润表、现金流量表及其附注，或</w:t>
      </w:r>
      <w:r>
        <w:rPr>
          <w:rFonts w:hint="eastAsia" w:ascii="宋体" w:hAnsi="宋体"/>
          <w:sz w:val="24"/>
          <w:szCs w:val="24"/>
          <w:lang w:eastAsia="zh-CN"/>
        </w:rPr>
        <w:t>提供开标前三个月内由</w:t>
      </w:r>
      <w:r>
        <w:rPr>
          <w:rFonts w:hint="eastAsia" w:ascii="宋体" w:hAnsi="宋体"/>
          <w:sz w:val="24"/>
          <w:szCs w:val="24"/>
        </w:rPr>
        <w:t>基本开户银行出具的资信证明（同时提供基本存款账户开户许可证）；供应商是其他组织和自然人，没有经审计的财务报告，可以提供基本开户银行出具的资信证明（同时提供基本存款账户开户许可证）。</w:t>
      </w:r>
    </w:p>
    <w:p>
      <w:pPr>
        <w:keepNext w:val="0"/>
        <w:keepLines w:val="0"/>
        <w:pageBreakBefore w:val="0"/>
        <w:widowControl w:val="0"/>
        <w:tabs>
          <w:tab w:val="left" w:pos="168"/>
        </w:tabs>
        <w:kinsoku/>
        <w:wordWrap/>
        <w:overflowPunct/>
        <w:topLinePunct w:val="0"/>
        <w:bidi w:val="0"/>
        <w:adjustRightInd w:val="0"/>
        <w:snapToGrid/>
        <w:spacing w:line="500" w:lineRule="exact"/>
        <w:ind w:firstLine="480"/>
        <w:textAlignment w:val="baseline"/>
        <w:rPr>
          <w:rFonts w:hint="eastAsia" w:ascii="宋体" w:hAnsi="宋体" w:cs="Times New Roman"/>
          <w:sz w:val="24"/>
          <w:szCs w:val="24"/>
        </w:rPr>
      </w:pPr>
      <w:r>
        <w:rPr>
          <w:rFonts w:hint="eastAsia" w:ascii="宋体" w:hAnsi="宋体"/>
          <w:sz w:val="24"/>
          <w:szCs w:val="24"/>
        </w:rPr>
        <w:t>2、</w:t>
      </w:r>
      <w:r>
        <w:rPr>
          <w:rFonts w:hint="eastAsia" w:ascii="宋体" w:hAnsi="宋体"/>
          <w:sz w:val="24"/>
          <w:szCs w:val="24"/>
          <w:lang w:val="en-US" w:eastAsia="zh-CN"/>
        </w:rPr>
        <w:t>近半年内任意三个月</w:t>
      </w:r>
      <w:r>
        <w:rPr>
          <w:rFonts w:hint="eastAsia" w:ascii="宋体" w:hAnsi="宋体"/>
          <w:sz w:val="24"/>
          <w:szCs w:val="24"/>
        </w:rPr>
        <w:t>依法缴纳税收和社会保障资金记录的证明材料</w:t>
      </w:r>
      <w:r>
        <w:rPr>
          <w:rFonts w:hint="eastAsia" w:ascii="宋体" w:hAnsi="宋体" w:cs="Times New Roman"/>
          <w:sz w:val="24"/>
          <w:szCs w:val="24"/>
        </w:rPr>
        <w:t>。依法免税或不需要缴纳社会保障资金的供应商，应提供相应文件证明其依法免税或不需要缴纳社会保障资金。</w:t>
      </w:r>
    </w:p>
    <w:p>
      <w:pPr>
        <w:pStyle w:val="28"/>
        <w:spacing w:before="0" w:after="0" w:line="360" w:lineRule="auto"/>
        <w:jc w:val="left"/>
        <w:outlineLvl w:val="1"/>
        <w:rPr>
          <w:rFonts w:hint="eastAsia" w:ascii="宋体" w:hAnsi="宋体" w:cs="宋体"/>
        </w:rPr>
      </w:pPr>
      <w:r>
        <w:rPr>
          <w:rFonts w:hint="eastAsia" w:ascii="宋体" w:hAnsi="宋体" w:cs="宋体"/>
          <w:color w:val="000000"/>
          <w:kern w:val="0"/>
          <w:sz w:val="24"/>
          <w:lang w:val="zh-CN"/>
        </w:rPr>
        <w:br w:type="page"/>
      </w:r>
      <w:bookmarkEnd w:id="68"/>
      <w:bookmarkStart w:id="70" w:name="_Toc26112"/>
      <w:bookmarkStart w:id="71"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70"/>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为保证本项目合同的顺利履行，投标人必须具备履行合同的设备和专业技术能力，须提供具备履行合同的设备和专业技术能力的承诺函（格式自拟）</w:t>
      </w:r>
      <w:r>
        <w:rPr>
          <w:rFonts w:hint="eastAsia" w:ascii="宋体" w:hAnsi="宋体" w:cs="宋体"/>
          <w:kern w:val="0"/>
          <w:lang w:val="zh-CN" w:eastAsia="zh-CN"/>
        </w:rPr>
        <w:t>。</w:t>
      </w: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rPr>
          <w:rFonts w:hint="eastAsia" w:ascii="宋体" w:hAnsi="宋体" w:cs="宋体"/>
          <w:color w:val="000000"/>
          <w:sz w:val="30"/>
          <w:szCs w:val="30"/>
        </w:rPr>
      </w:pPr>
    </w:p>
    <w:p>
      <w:pPr>
        <w:rPr>
          <w:rFonts w:hint="eastAsia" w:ascii="宋体" w:hAnsi="宋体" w:cs="宋体"/>
          <w:color w:val="000000"/>
          <w:sz w:val="30"/>
          <w:szCs w:val="30"/>
        </w:rPr>
      </w:pPr>
    </w:p>
    <w:p>
      <w:pPr>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rPr>
      </w:pPr>
      <w:bookmarkStart w:id="72" w:name="_Toc21526"/>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72"/>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kern w:val="0"/>
          <w:u w:val="single"/>
          <w:lang w:val="zh-CN"/>
        </w:rPr>
        <w:t>格尔木市政务服务和公共资源交易中心</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w:t>
      </w:r>
      <w:r>
        <w:rPr>
          <w:rFonts w:hint="eastAsia" w:ascii="宋体" w:hAnsi="宋体" w:cs="宋体"/>
          <w:color w:val="000000"/>
          <w:lang w:eastAsia="zh-CN"/>
        </w:rPr>
        <w:t>中华人民共和国政府采购法</w:t>
      </w:r>
      <w:r>
        <w:rPr>
          <w:rFonts w:hint="eastAsia" w:ascii="宋体" w:hAnsi="宋体" w:cs="宋体"/>
          <w:color w:val="000000"/>
        </w:rPr>
        <w:t>》规定的供应商资格条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hint="eastAsia" w:ascii="宋体" w:hAnsi="宋体" w:cs="宋体"/>
          <w:color w:val="000000"/>
          <w:kern w:val="0"/>
        </w:rPr>
      </w:pPr>
    </w:p>
    <w:p>
      <w:pPr>
        <w:autoSpaceDE w:val="0"/>
        <w:autoSpaceDN w:val="0"/>
        <w:spacing w:line="360" w:lineRule="auto"/>
        <w:jc w:val="left"/>
        <w:rPr>
          <w:rFonts w:hint="eastAsia" w:ascii="宋体" w:hAnsi="宋体" w:cs="宋体"/>
          <w:color w:val="000000"/>
          <w:kern w:val="0"/>
        </w:rPr>
      </w:pPr>
    </w:p>
    <w:p>
      <w:pPr>
        <w:autoSpaceDE w:val="0"/>
        <w:autoSpaceDN w:val="0"/>
        <w:spacing w:line="360" w:lineRule="auto"/>
        <w:jc w:val="left"/>
        <w:rPr>
          <w:rFonts w:hint="eastAsia" w:ascii="宋体" w:hAnsi="宋体" w:cs="宋体"/>
          <w:color w:val="000000"/>
          <w:kern w:val="0"/>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adjustRightInd w:val="0"/>
        <w:jc w:val="left"/>
        <w:rPr>
          <w:rFonts w:hint="eastAsia" w:ascii="宋体" w:hAnsi="宋体" w:cs="宋体"/>
          <w:color w:val="000000"/>
          <w:lang w:val="zh-CN"/>
        </w:rPr>
      </w:pPr>
      <w:r>
        <w:rPr>
          <w:rFonts w:hint="eastAsia" w:ascii="宋体" w:hAnsi="宋体" w:cs="宋体"/>
          <w:color w:val="000000"/>
          <w:lang w:val="zh-CN"/>
        </w:rPr>
        <w:br w:type="page"/>
      </w:r>
      <w:bookmarkEnd w:id="71"/>
    </w:p>
    <w:p>
      <w:pPr>
        <w:autoSpaceDE w:val="0"/>
        <w:autoSpaceDN w:val="0"/>
        <w:adjustRightInd w:val="0"/>
        <w:jc w:val="left"/>
        <w:rPr>
          <w:rFonts w:hint="default"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（10）投标保证金证明</w:t>
      </w:r>
    </w:p>
    <w:p>
      <w:pPr>
        <w:spacing w:before="91" w:line="222" w:lineRule="auto"/>
        <w:ind w:left="3834"/>
        <w:rPr>
          <w:rFonts w:ascii="仿宋" w:hAnsi="仿宋" w:eastAsia="仿宋" w:cs="仿宋"/>
          <w:b/>
          <w:bCs/>
          <w:spacing w:val="-5"/>
          <w:sz w:val="28"/>
          <w:szCs w:val="28"/>
        </w:rPr>
      </w:pPr>
    </w:p>
    <w:p>
      <w:pPr>
        <w:spacing w:before="91" w:line="222" w:lineRule="auto"/>
        <w:ind w:left="3834"/>
        <w:rPr>
          <w:rFonts w:ascii="仿宋" w:hAnsi="仿宋" w:eastAsia="仿宋" w:cs="仿宋"/>
          <w:b/>
          <w:bCs/>
          <w:spacing w:val="-5"/>
          <w:sz w:val="28"/>
          <w:szCs w:val="28"/>
        </w:rPr>
      </w:pPr>
    </w:p>
    <w:p>
      <w:pPr>
        <w:spacing w:line="360" w:lineRule="auto"/>
        <w:ind w:firstLine="723" w:firstLineChars="200"/>
        <w:jc w:val="center"/>
        <w:rPr>
          <w:rFonts w:hint="eastAsia" w:ascii="宋体" w:hAnsi="宋体" w:eastAsia="宋体" w:cs="宋体"/>
          <w:color w:val="000000"/>
          <w:shd w:val="clear" w:color="auto" w:fill="FFFFFF"/>
          <w:lang w:val="en-US" w:eastAsia="zh-CN"/>
        </w:rPr>
      </w:pPr>
      <w:r>
        <w:rPr>
          <w:rFonts w:hint="eastAsia" w:ascii="宋体" w:hAnsi="宋体" w:cs="宋体"/>
          <w:b/>
          <w:bCs/>
          <w:color w:val="000000"/>
          <w:sz w:val="36"/>
          <w:szCs w:val="36"/>
          <w:shd w:val="clear" w:color="auto" w:fill="FFFFFF"/>
        </w:rPr>
        <w:t>投标保证金证</w:t>
      </w:r>
      <w:r>
        <w:rPr>
          <w:rFonts w:hint="eastAsia" w:ascii="宋体" w:hAnsi="宋体" w:cs="宋体"/>
          <w:b/>
          <w:bCs/>
          <w:color w:val="000000"/>
          <w:sz w:val="36"/>
          <w:szCs w:val="36"/>
          <w:shd w:val="clear" w:color="auto" w:fill="FFFFFF"/>
          <w:lang w:val="en-US" w:eastAsia="zh-CN"/>
        </w:rPr>
        <w:t>明</w:t>
      </w:r>
    </w:p>
    <w:p>
      <w:pPr>
        <w:spacing w:line="360" w:lineRule="auto"/>
        <w:ind w:firstLine="480" w:firstLineChars="200"/>
        <w:rPr>
          <w:rFonts w:hint="eastAsia" w:ascii="宋体" w:hAnsi="宋体" w:cs="宋体"/>
          <w:color w:val="000000"/>
          <w:shd w:val="clear" w:color="auto" w:fill="FFFFFF"/>
        </w:rPr>
      </w:pPr>
    </w:p>
    <w:p>
      <w:pPr>
        <w:spacing w:line="360" w:lineRule="auto"/>
        <w:ind w:firstLine="482" w:firstLineChars="200"/>
        <w:rPr>
          <w:rFonts w:hint="eastAsia" w:ascii="宋体" w:hAnsi="宋体" w:cs="宋体"/>
          <w:color w:val="000000"/>
          <w:shd w:val="clear" w:color="auto" w:fill="FFFFFF"/>
        </w:rPr>
      </w:pPr>
      <w:r>
        <w:rPr>
          <w:rFonts w:hint="eastAsia" w:ascii="宋体" w:hAnsi="宋体" w:cs="宋体"/>
          <w:b/>
          <w:bCs/>
          <w:color w:val="000000"/>
          <w:shd w:val="clear" w:color="auto" w:fill="FFFFFF"/>
        </w:rPr>
        <w:t>致：</w:t>
      </w:r>
      <w:r>
        <w:rPr>
          <w:rFonts w:hint="eastAsia" w:ascii="宋体" w:hAnsi="宋体" w:cs="宋体"/>
          <w:b/>
          <w:bCs/>
          <w:color w:val="000000"/>
          <w:shd w:val="clear" w:color="auto" w:fill="FFFFFF"/>
          <w:lang w:val="en-US" w:eastAsia="zh-CN"/>
        </w:rPr>
        <w:t>格尔木市政务服务和公共资源交易中心</w:t>
      </w:r>
    </w:p>
    <w:p>
      <w:pPr>
        <w:spacing w:line="360" w:lineRule="auto"/>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我方为（采购项目名称）项目（采购项目编号为：       ）递交保证金人民币      （大写：人民币        元）已于     年    月     日以基本户转账方式汇入你方账户。</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附件：保证金</w:t>
      </w:r>
      <w:r>
        <w:rPr>
          <w:rFonts w:hint="eastAsia" w:ascii="宋体" w:hAnsi="宋体" w:cs="宋体"/>
          <w:color w:val="000000"/>
          <w:shd w:val="clear" w:color="auto" w:fill="FFFFFF"/>
          <w:lang w:eastAsia="zh-CN"/>
        </w:rPr>
        <w:t>缴</w:t>
      </w:r>
      <w:r>
        <w:rPr>
          <w:rFonts w:hint="eastAsia" w:ascii="宋体" w:hAnsi="宋体" w:cs="宋体"/>
          <w:color w:val="000000"/>
          <w:shd w:val="clear" w:color="auto" w:fill="FFFFFF"/>
        </w:rPr>
        <w:t>款证明复印件（加盖公章）</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退还保证金时请按以下内容汇入至我方账户（同递交保证金账户）。若因提供内容不全、 错误等原因导致该项目保证金未能及时退还或退还过程中发生错误，我方将承担全部责任和 损失。</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 xml:space="preserve">户    名： </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开户银行：</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lang w:eastAsia="zh-CN"/>
        </w:rPr>
        <w:t>开户账号</w:t>
      </w:r>
      <w:r>
        <w:rPr>
          <w:rFonts w:hint="eastAsia" w:ascii="宋体" w:hAnsi="宋体" w:cs="宋体"/>
          <w:color w:val="000000"/>
          <w:shd w:val="clear" w:color="auto" w:fill="FFFFFF"/>
        </w:rPr>
        <w:t>：</w:t>
      </w:r>
    </w:p>
    <w:p>
      <w:pPr>
        <w:spacing w:line="360" w:lineRule="auto"/>
        <w:ind w:firstLine="480" w:firstLineChars="200"/>
        <w:rPr>
          <w:rFonts w:hint="eastAsia" w:ascii="宋体" w:hAnsi="宋体" w:cs="宋体"/>
          <w:color w:val="000000"/>
          <w:shd w:val="clear" w:color="auto" w:fill="FFFFFF"/>
        </w:rPr>
      </w:pPr>
    </w:p>
    <w:p>
      <w:pPr>
        <w:spacing w:line="360" w:lineRule="auto"/>
        <w:ind w:firstLine="480" w:firstLineChars="200"/>
        <w:rPr>
          <w:rFonts w:hint="eastAsia" w:ascii="宋体" w:hAnsi="宋体" w:cs="宋体"/>
          <w:color w:val="000000"/>
          <w:shd w:val="clear" w:color="auto" w:fill="FFFFFF"/>
        </w:rPr>
      </w:pPr>
    </w:p>
    <w:p>
      <w:pPr>
        <w:spacing w:line="360" w:lineRule="auto"/>
        <w:ind w:firstLine="480" w:firstLineChars="200"/>
        <w:rPr>
          <w:rFonts w:hint="eastAsia" w:ascii="宋体" w:hAnsi="宋体" w:cs="宋体"/>
          <w:color w:val="000000"/>
          <w:shd w:val="clear" w:color="auto" w:fill="FFFFFF"/>
        </w:rPr>
      </w:pPr>
    </w:p>
    <w:p>
      <w:pPr>
        <w:spacing w:line="360" w:lineRule="auto"/>
        <w:ind w:firstLine="480" w:firstLineChars="200"/>
        <w:rPr>
          <w:rFonts w:hint="eastAsia" w:ascii="宋体" w:hAnsi="宋体" w:cs="宋体"/>
          <w:color w:val="000000"/>
          <w:shd w:val="clear" w:color="auto" w:fill="FFFFFF"/>
        </w:rPr>
      </w:pPr>
    </w:p>
    <w:p>
      <w:pPr>
        <w:spacing w:line="360" w:lineRule="auto"/>
        <w:ind w:firstLine="480" w:firstLineChars="200"/>
        <w:rPr>
          <w:rFonts w:hint="eastAsia" w:ascii="宋体" w:hAnsi="宋体" w:cs="宋体"/>
          <w:color w:val="000000"/>
          <w:shd w:val="clear" w:color="auto" w:fill="FFFFFF"/>
        </w:rPr>
      </w:pPr>
    </w:p>
    <w:p>
      <w:pPr>
        <w:spacing w:line="360" w:lineRule="auto"/>
        <w:ind w:firstLine="2168" w:firstLineChars="900"/>
        <w:rPr>
          <w:rFonts w:hint="eastAsia" w:ascii="宋体" w:hAnsi="宋体" w:cs="宋体"/>
          <w:b/>
          <w:bCs/>
          <w:color w:val="000000"/>
          <w:shd w:val="clear" w:color="auto" w:fill="FFFFFF"/>
        </w:rPr>
      </w:pPr>
      <w:r>
        <w:rPr>
          <w:rFonts w:hint="eastAsia" w:ascii="宋体" w:hAnsi="宋体" w:cs="宋体"/>
          <w:b/>
          <w:bCs/>
          <w:color w:val="000000"/>
          <w:shd w:val="clear" w:color="auto" w:fill="FFFFFF"/>
        </w:rPr>
        <w:t>投标人：                        （公章）</w:t>
      </w:r>
    </w:p>
    <w:p>
      <w:pPr>
        <w:spacing w:line="360" w:lineRule="auto"/>
        <w:ind w:firstLine="2168" w:firstLineChars="900"/>
        <w:rPr>
          <w:rFonts w:hint="eastAsia" w:ascii="宋体" w:hAnsi="宋体" w:cs="宋体"/>
          <w:b/>
          <w:bCs/>
          <w:color w:val="000000"/>
          <w:shd w:val="clear" w:color="auto" w:fill="FFFFFF"/>
        </w:rPr>
      </w:pPr>
      <w:r>
        <w:rPr>
          <w:rFonts w:hint="eastAsia" w:ascii="宋体" w:hAnsi="宋体" w:cs="宋体"/>
          <w:b/>
          <w:bCs/>
          <w:color w:val="000000"/>
          <w:shd w:val="clear" w:color="auto" w:fill="FFFFFF"/>
        </w:rPr>
        <w:t>法定代表人或委托代理人：        （签字或盖章）</w:t>
      </w:r>
    </w:p>
    <w:p>
      <w:pPr>
        <w:spacing w:line="360" w:lineRule="auto"/>
        <w:ind w:firstLine="3614" w:firstLineChars="1500"/>
        <w:rPr>
          <w:rFonts w:hint="eastAsia" w:ascii="宋体" w:hAnsi="宋体" w:cs="宋体"/>
          <w:b/>
          <w:bCs/>
          <w:color w:val="000000"/>
          <w:shd w:val="clear" w:color="auto" w:fill="FFFFFF"/>
        </w:rPr>
      </w:pPr>
      <w:r>
        <w:rPr>
          <w:rFonts w:hint="eastAsia" w:ascii="宋体" w:hAnsi="宋体" w:cs="宋体"/>
          <w:b/>
          <w:bCs/>
          <w:color w:val="000000"/>
          <w:shd w:val="clear" w:color="auto" w:fill="FFFFFF"/>
        </w:rPr>
        <w:t>年    月    日</w:t>
      </w:r>
    </w:p>
    <w:p>
      <w:pPr>
        <w:spacing w:line="222" w:lineRule="auto"/>
        <w:rPr>
          <w:rFonts w:ascii="仿宋" w:hAnsi="仿宋" w:eastAsia="仿宋" w:cs="仿宋"/>
          <w:sz w:val="28"/>
          <w:szCs w:val="28"/>
        </w:rPr>
        <w:sectPr>
          <w:footerReference r:id="rId3" w:type="default"/>
          <w:pgSz w:w="11906" w:h="16840"/>
          <w:pgMar w:top="1220" w:right="1089" w:bottom="1215" w:left="1155" w:header="0" w:footer="1052" w:gutter="0"/>
          <w:pgNumType w:fmt="decimal" w:start="1"/>
          <w:cols w:space="720" w:num="1"/>
        </w:sectPr>
      </w:pPr>
    </w:p>
    <w:p>
      <w:pPr>
        <w:autoSpaceDE w:val="0"/>
        <w:autoSpaceDN w:val="0"/>
        <w:adjustRightInd w:val="0"/>
        <w:jc w:val="left"/>
        <w:rPr>
          <w:rFonts w:hint="eastAsia" w:ascii="宋体" w:hAnsi="宋体" w:cs="宋体"/>
          <w:color w:val="000000"/>
          <w:lang w:val="zh-CN"/>
        </w:rPr>
      </w:pPr>
    </w:p>
    <w:p>
      <w:pPr>
        <w:rPr>
          <w:rFonts w:hint="eastAsia"/>
          <w:b/>
          <w:sz w:val="36"/>
          <w:szCs w:val="36"/>
        </w:rPr>
      </w:pPr>
      <w:r>
        <w:rPr>
          <w:rFonts w:hint="eastAsia"/>
          <w:b/>
          <w:sz w:val="36"/>
          <w:szCs w:val="36"/>
          <w:lang w:val="zh-CN"/>
        </w:rPr>
        <w:t>（下册）</w:t>
      </w:r>
    </w:p>
    <w:p>
      <w:pPr>
        <w:wordWrap w:val="0"/>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格尔木市政府采购项目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b/>
          <w:bCs/>
          <w:color w:val="000000"/>
          <w:sz w:val="44"/>
          <w:szCs w:val="44"/>
          <w:lang w:val="zh-CN"/>
        </w:rPr>
      </w:pPr>
      <w:r>
        <w:rPr>
          <w:rFonts w:hint="eastAsia" w:ascii="宋体" w:hAnsi="宋体" w:cs="宋体"/>
          <w:b/>
          <w:bCs/>
          <w:color w:val="000000"/>
          <w:sz w:val="44"/>
          <w:szCs w:val="44"/>
          <w:lang w:val="zh-CN"/>
        </w:rPr>
        <w:t>（下册）</w:t>
      </w:r>
    </w:p>
    <w:p>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pPr>
        <w:pStyle w:val="77"/>
        <w:rPr>
          <w:rFonts w:hint="eastAsia"/>
        </w:rPr>
      </w:pP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8"/>
        <w:spacing w:before="0" w:after="0" w:line="360" w:lineRule="auto"/>
        <w:jc w:val="left"/>
        <w:rPr>
          <w:rFonts w:hint="eastAsia" w:ascii="宋体" w:hAnsi="宋体" w:cs="宋体"/>
          <w:color w:val="000000"/>
          <w:lang w:val="zh-CN"/>
        </w:rPr>
      </w:pPr>
      <w:r>
        <w:rPr>
          <w:rFonts w:hint="eastAsia" w:ascii="宋体" w:hAnsi="宋体" w:cs="宋体"/>
          <w:b w:val="0"/>
          <w:bCs w:val="0"/>
          <w:color w:val="000000"/>
          <w:kern w:val="0"/>
          <w:lang w:val="zh-CN"/>
        </w:rPr>
        <w:br w:type="page"/>
      </w:r>
      <w:bookmarkStart w:id="73" w:name="_Toc28648"/>
      <w:r>
        <w:rPr>
          <w:rFonts w:hint="eastAsia" w:ascii="宋体" w:hAnsi="宋体" w:cs="宋体"/>
          <w:color w:val="000000"/>
          <w:sz w:val="30"/>
          <w:szCs w:val="30"/>
          <w:lang w:val="zh-CN"/>
        </w:rPr>
        <w:t>目录（下册）</w:t>
      </w:r>
      <w:bookmarkEnd w:id="73"/>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lang w:eastAsia="zh-CN"/>
        </w:rPr>
        <w:t>（</w:t>
      </w:r>
      <w:r>
        <w:rPr>
          <w:rFonts w:hint="eastAsia" w:ascii="宋体" w:hAnsi="宋体" w:cs="宋体"/>
          <w:color w:val="000000"/>
        </w:rPr>
        <w:t>1</w:t>
      </w:r>
      <w:r>
        <w:rPr>
          <w:rFonts w:hint="eastAsia" w:ascii="宋体" w:hAnsi="宋体" w:cs="宋体"/>
          <w:color w:val="000000"/>
          <w:lang w:val="en-US" w:eastAsia="zh-CN"/>
        </w:rPr>
        <w:t>1）</w:t>
      </w:r>
      <w:r>
        <w:rPr>
          <w:rFonts w:hint="eastAsia" w:ascii="宋体" w:hAnsi="宋体" w:cs="宋体"/>
          <w:color w:val="000000"/>
        </w:rPr>
        <w:t>评分对照表</w:t>
      </w:r>
      <w:r>
        <w:rPr>
          <w:rFonts w:hint="eastAsia" w:ascii="宋体" w:hAnsi="宋体" w:cs="宋体"/>
          <w:color w:val="000000"/>
          <w:kern w:val="0"/>
          <w:lang w:val="zh-CN"/>
        </w:rPr>
        <w:t>………………………………………………………所在页码</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2）</w:t>
      </w:r>
      <w:r>
        <w:rPr>
          <w:rFonts w:hint="eastAsia" w:ascii="宋体" w:hAnsi="宋体" w:cs="宋体"/>
          <w:color w:val="000000"/>
          <w:kern w:val="0"/>
          <w:lang w:val="zh-CN"/>
        </w:rPr>
        <w:t>开标一览表（报价表）…………………………………………所在页码</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3）</w:t>
      </w:r>
      <w:r>
        <w:rPr>
          <w:rFonts w:hint="eastAsia" w:ascii="宋体" w:hAnsi="宋体" w:cs="宋体"/>
          <w:color w:val="000000"/>
          <w:kern w:val="0"/>
          <w:lang w:val="zh-CN"/>
        </w:rPr>
        <w:t>分项报价表………………………………………………………所在页码</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4）</w:t>
      </w:r>
      <w:r>
        <w:rPr>
          <w:rFonts w:hint="eastAsia" w:ascii="宋体" w:hAnsi="宋体" w:cs="宋体"/>
          <w:color w:val="000000"/>
          <w:kern w:val="0"/>
          <w:lang w:val="zh-CN"/>
        </w:rPr>
        <w:t>技术规格响应表…………………………………………………所在页码</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5）</w:t>
      </w:r>
      <w:r>
        <w:rPr>
          <w:rFonts w:hint="eastAsia" w:ascii="宋体" w:hAnsi="宋体" w:cs="宋体"/>
          <w:color w:val="000000"/>
          <w:kern w:val="0"/>
          <w:lang w:val="zh-CN"/>
        </w:rPr>
        <w:t>投标产品相关资料………………………………………………所在页码</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6）</w:t>
      </w:r>
      <w:r>
        <w:rPr>
          <w:rFonts w:hint="eastAsia" w:ascii="宋体" w:hAnsi="宋体" w:cs="宋体"/>
          <w:color w:val="000000"/>
          <w:kern w:val="0"/>
          <w:lang w:val="zh-CN"/>
        </w:rPr>
        <w:t>投标人的类似业绩证明材料……………………………………所在页码</w:t>
      </w:r>
    </w:p>
    <w:p>
      <w:p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lang w:val="zh-CN"/>
        </w:rPr>
        <w:t>制造（生产）企业小型微型企业声明函</w:t>
      </w:r>
      <w:r>
        <w:rPr>
          <w:rFonts w:hint="eastAsia" w:ascii="宋体" w:hAnsi="宋体" w:cs="宋体"/>
          <w:color w:val="000000"/>
          <w:kern w:val="0"/>
          <w:lang w:val="en-US" w:eastAsia="zh-CN"/>
        </w:rPr>
        <w:t>..................</w:t>
      </w:r>
      <w:r>
        <w:rPr>
          <w:rFonts w:hint="eastAsia" w:ascii="宋体" w:hAnsi="宋体" w:cs="宋体"/>
          <w:color w:val="000000"/>
          <w:kern w:val="0"/>
          <w:lang w:val="zh-CN"/>
        </w:rPr>
        <w:t>所在页码</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8）</w:t>
      </w:r>
      <w:r>
        <w:rPr>
          <w:rFonts w:hint="eastAsia" w:ascii="宋体" w:hAnsi="宋体" w:cs="宋体"/>
          <w:color w:val="000000"/>
          <w:kern w:val="0"/>
          <w:lang w:val="zh-CN"/>
        </w:rPr>
        <w:t>残疾人福利性单位声明函………………………………………所在页码</w:t>
      </w:r>
    </w:p>
    <w:p>
      <w:p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9）</w:t>
      </w:r>
      <w:r>
        <w:rPr>
          <w:rFonts w:hint="eastAsia" w:ascii="宋体" w:hAnsi="宋体" w:cs="宋体"/>
          <w:color w:val="000000"/>
          <w:kern w:val="0"/>
          <w:lang w:val="zh-CN"/>
        </w:rPr>
        <w:t>投标人认为在其他方面有必要说明的事项……………………所在页码</w:t>
      </w:r>
    </w:p>
    <w:p>
      <w:pPr>
        <w:pStyle w:val="28"/>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r>
      <w:bookmarkStart w:id="74" w:name="_Toc22247"/>
      <w:r>
        <w:rPr>
          <w:rFonts w:hint="eastAsia" w:ascii="宋体" w:hAnsi="宋体" w:cs="宋体"/>
          <w:color w:val="000000"/>
          <w:sz w:val="30"/>
          <w:szCs w:val="30"/>
        </w:rPr>
        <w:t>（10）</w:t>
      </w:r>
      <w:r>
        <w:rPr>
          <w:rFonts w:hint="eastAsia" w:ascii="宋体" w:hAnsi="宋体" w:cs="宋体"/>
          <w:color w:val="000000"/>
          <w:sz w:val="30"/>
          <w:szCs w:val="30"/>
          <w:lang w:val="zh-CN"/>
        </w:rPr>
        <w:t>评分对照表</w:t>
      </w:r>
      <w:bookmarkEnd w:id="74"/>
    </w:p>
    <w:p>
      <w:pPr>
        <w:spacing w:line="360" w:lineRule="auto"/>
        <w:rPr>
          <w:rFonts w:hint="eastAsia" w:ascii="宋体" w:hAnsi="宋体" w:cs="宋体"/>
          <w:color w:val="000000"/>
          <w:sz w:val="28"/>
          <w:szCs w:val="28"/>
        </w:rPr>
      </w:pPr>
    </w:p>
    <w:p>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pPr>
        <w:spacing w:line="360" w:lineRule="auto"/>
        <w:rPr>
          <w:rFonts w:hint="eastAsia" w:ascii="宋体" w:hAnsi="宋体" w:cs="宋体"/>
          <w:color w:val="000000"/>
          <w:sz w:val="28"/>
          <w:szCs w:val="28"/>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1"/>
              <w:spacing w:line="360" w:lineRule="auto"/>
              <w:ind w:firstLine="0"/>
              <w:jc w:val="center"/>
              <w:rPr>
                <w:rFonts w:hint="eastAsia" w:ascii="宋体" w:hAnsi="宋体" w:cs="宋体"/>
                <w:color w:val="000000"/>
                <w:szCs w:val="24"/>
              </w:rPr>
            </w:pPr>
          </w:p>
        </w:tc>
        <w:tc>
          <w:tcPr>
            <w:tcW w:w="2514" w:type="dxa"/>
            <w:noWrap w:val="0"/>
            <w:vAlign w:val="center"/>
          </w:tcPr>
          <w:p>
            <w:pPr>
              <w:pStyle w:val="11"/>
              <w:spacing w:line="360" w:lineRule="auto"/>
              <w:ind w:firstLine="0"/>
              <w:jc w:val="center"/>
              <w:rPr>
                <w:rFonts w:hint="eastAsia" w:ascii="宋体" w:hAnsi="宋体" w:cs="宋体"/>
                <w:color w:val="000000"/>
                <w:szCs w:val="24"/>
              </w:rPr>
            </w:pPr>
          </w:p>
        </w:tc>
        <w:tc>
          <w:tcPr>
            <w:tcW w:w="2266" w:type="dxa"/>
            <w:noWrap w:val="0"/>
            <w:vAlign w:val="center"/>
          </w:tcPr>
          <w:p>
            <w:pPr>
              <w:pStyle w:val="11"/>
              <w:spacing w:line="360" w:lineRule="auto"/>
              <w:ind w:firstLine="0"/>
              <w:jc w:val="center"/>
              <w:rPr>
                <w:rFonts w:hint="eastAsia" w:ascii="宋体" w:hAnsi="宋体" w:cs="宋体"/>
                <w:color w:val="000000"/>
                <w:szCs w:val="24"/>
              </w:rPr>
            </w:pPr>
          </w:p>
        </w:tc>
        <w:tc>
          <w:tcPr>
            <w:tcW w:w="2966" w:type="dxa"/>
            <w:noWrap w:val="0"/>
            <w:vAlign w:val="center"/>
          </w:tcPr>
          <w:p>
            <w:pPr>
              <w:pStyle w:val="11"/>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1"/>
              <w:spacing w:line="360" w:lineRule="auto"/>
              <w:ind w:firstLine="0"/>
              <w:jc w:val="center"/>
              <w:rPr>
                <w:rFonts w:hint="eastAsia" w:ascii="宋体" w:hAnsi="宋体" w:cs="宋体"/>
                <w:color w:val="000000"/>
                <w:szCs w:val="24"/>
              </w:rPr>
            </w:pPr>
          </w:p>
        </w:tc>
        <w:tc>
          <w:tcPr>
            <w:tcW w:w="2514" w:type="dxa"/>
            <w:noWrap w:val="0"/>
            <w:vAlign w:val="center"/>
          </w:tcPr>
          <w:p>
            <w:pPr>
              <w:pStyle w:val="11"/>
              <w:spacing w:line="360" w:lineRule="auto"/>
              <w:ind w:firstLine="0"/>
              <w:jc w:val="center"/>
              <w:rPr>
                <w:rFonts w:hint="eastAsia" w:ascii="宋体" w:hAnsi="宋体" w:cs="宋体"/>
                <w:color w:val="000000"/>
                <w:szCs w:val="24"/>
              </w:rPr>
            </w:pPr>
          </w:p>
        </w:tc>
        <w:tc>
          <w:tcPr>
            <w:tcW w:w="2266" w:type="dxa"/>
            <w:noWrap w:val="0"/>
            <w:vAlign w:val="center"/>
          </w:tcPr>
          <w:p>
            <w:pPr>
              <w:pStyle w:val="11"/>
              <w:spacing w:line="360" w:lineRule="auto"/>
              <w:ind w:firstLine="0"/>
              <w:jc w:val="center"/>
              <w:rPr>
                <w:rFonts w:hint="eastAsia" w:ascii="宋体" w:hAnsi="宋体" w:cs="宋体"/>
                <w:color w:val="000000"/>
                <w:szCs w:val="24"/>
              </w:rPr>
            </w:pPr>
          </w:p>
        </w:tc>
        <w:tc>
          <w:tcPr>
            <w:tcW w:w="2966" w:type="dxa"/>
            <w:noWrap w:val="0"/>
            <w:vAlign w:val="center"/>
          </w:tcPr>
          <w:p>
            <w:pPr>
              <w:pStyle w:val="11"/>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1"/>
              <w:spacing w:line="360" w:lineRule="auto"/>
              <w:ind w:firstLine="0"/>
              <w:jc w:val="center"/>
              <w:rPr>
                <w:rFonts w:hint="eastAsia" w:ascii="宋体" w:hAnsi="宋体" w:cs="宋体"/>
                <w:color w:val="000000"/>
                <w:szCs w:val="24"/>
              </w:rPr>
            </w:pPr>
          </w:p>
        </w:tc>
        <w:tc>
          <w:tcPr>
            <w:tcW w:w="2514" w:type="dxa"/>
            <w:noWrap w:val="0"/>
            <w:vAlign w:val="center"/>
          </w:tcPr>
          <w:p>
            <w:pPr>
              <w:pStyle w:val="11"/>
              <w:spacing w:line="360" w:lineRule="auto"/>
              <w:ind w:firstLine="0"/>
              <w:jc w:val="center"/>
              <w:rPr>
                <w:rFonts w:hint="eastAsia" w:ascii="宋体" w:hAnsi="宋体" w:cs="宋体"/>
                <w:color w:val="000000"/>
                <w:szCs w:val="24"/>
              </w:rPr>
            </w:pPr>
          </w:p>
        </w:tc>
        <w:tc>
          <w:tcPr>
            <w:tcW w:w="2266" w:type="dxa"/>
            <w:noWrap w:val="0"/>
            <w:vAlign w:val="center"/>
          </w:tcPr>
          <w:p>
            <w:pPr>
              <w:pStyle w:val="11"/>
              <w:spacing w:line="360" w:lineRule="auto"/>
              <w:ind w:firstLine="0"/>
              <w:jc w:val="center"/>
              <w:rPr>
                <w:rFonts w:hint="eastAsia" w:ascii="宋体" w:hAnsi="宋体" w:cs="宋体"/>
                <w:color w:val="000000"/>
                <w:szCs w:val="24"/>
              </w:rPr>
            </w:pPr>
          </w:p>
        </w:tc>
        <w:tc>
          <w:tcPr>
            <w:tcW w:w="2966" w:type="dxa"/>
            <w:noWrap w:val="0"/>
            <w:vAlign w:val="center"/>
          </w:tcPr>
          <w:p>
            <w:pPr>
              <w:pStyle w:val="11"/>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1"/>
              <w:spacing w:line="360" w:lineRule="auto"/>
              <w:ind w:firstLine="0"/>
              <w:jc w:val="center"/>
              <w:rPr>
                <w:rFonts w:hint="eastAsia" w:ascii="宋体" w:hAnsi="宋体" w:cs="宋体"/>
                <w:color w:val="000000"/>
                <w:szCs w:val="24"/>
              </w:rPr>
            </w:pPr>
          </w:p>
        </w:tc>
        <w:tc>
          <w:tcPr>
            <w:tcW w:w="2514" w:type="dxa"/>
            <w:noWrap w:val="0"/>
            <w:vAlign w:val="center"/>
          </w:tcPr>
          <w:p>
            <w:pPr>
              <w:pStyle w:val="11"/>
              <w:spacing w:line="360" w:lineRule="auto"/>
              <w:ind w:firstLine="0"/>
              <w:jc w:val="center"/>
              <w:rPr>
                <w:rFonts w:hint="eastAsia" w:ascii="宋体" w:hAnsi="宋体" w:cs="宋体"/>
                <w:color w:val="000000"/>
                <w:szCs w:val="24"/>
              </w:rPr>
            </w:pPr>
          </w:p>
        </w:tc>
        <w:tc>
          <w:tcPr>
            <w:tcW w:w="2266" w:type="dxa"/>
            <w:noWrap w:val="0"/>
            <w:vAlign w:val="center"/>
          </w:tcPr>
          <w:p>
            <w:pPr>
              <w:pStyle w:val="11"/>
              <w:spacing w:line="360" w:lineRule="auto"/>
              <w:ind w:firstLine="0"/>
              <w:jc w:val="center"/>
              <w:rPr>
                <w:rFonts w:hint="eastAsia" w:ascii="宋体" w:hAnsi="宋体" w:cs="宋体"/>
                <w:color w:val="000000"/>
                <w:szCs w:val="24"/>
              </w:rPr>
            </w:pPr>
          </w:p>
        </w:tc>
        <w:tc>
          <w:tcPr>
            <w:tcW w:w="2966" w:type="dxa"/>
            <w:noWrap w:val="0"/>
            <w:vAlign w:val="center"/>
          </w:tcPr>
          <w:p>
            <w:pPr>
              <w:pStyle w:val="11"/>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1"/>
              <w:spacing w:line="360" w:lineRule="auto"/>
              <w:ind w:firstLine="0"/>
              <w:jc w:val="center"/>
              <w:rPr>
                <w:rFonts w:hint="eastAsia" w:ascii="宋体" w:hAnsi="宋体" w:cs="宋体"/>
                <w:color w:val="000000"/>
                <w:szCs w:val="24"/>
              </w:rPr>
            </w:pPr>
          </w:p>
        </w:tc>
        <w:tc>
          <w:tcPr>
            <w:tcW w:w="2514" w:type="dxa"/>
            <w:noWrap w:val="0"/>
            <w:vAlign w:val="center"/>
          </w:tcPr>
          <w:p>
            <w:pPr>
              <w:pStyle w:val="11"/>
              <w:spacing w:line="360" w:lineRule="auto"/>
              <w:ind w:firstLine="0"/>
              <w:jc w:val="center"/>
              <w:rPr>
                <w:rFonts w:hint="eastAsia" w:ascii="宋体" w:hAnsi="宋体" w:cs="宋体"/>
                <w:color w:val="000000"/>
                <w:szCs w:val="24"/>
              </w:rPr>
            </w:pPr>
          </w:p>
        </w:tc>
        <w:tc>
          <w:tcPr>
            <w:tcW w:w="2266" w:type="dxa"/>
            <w:noWrap w:val="0"/>
            <w:vAlign w:val="center"/>
          </w:tcPr>
          <w:p>
            <w:pPr>
              <w:pStyle w:val="11"/>
              <w:spacing w:line="360" w:lineRule="auto"/>
              <w:ind w:firstLine="0"/>
              <w:jc w:val="center"/>
              <w:rPr>
                <w:rFonts w:hint="eastAsia" w:ascii="宋体" w:hAnsi="宋体" w:cs="宋体"/>
                <w:color w:val="000000"/>
                <w:szCs w:val="24"/>
              </w:rPr>
            </w:pPr>
          </w:p>
        </w:tc>
        <w:tc>
          <w:tcPr>
            <w:tcW w:w="2966" w:type="dxa"/>
            <w:noWrap w:val="0"/>
            <w:vAlign w:val="center"/>
          </w:tcPr>
          <w:p>
            <w:pPr>
              <w:pStyle w:val="11"/>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1"/>
              <w:spacing w:line="360" w:lineRule="auto"/>
              <w:ind w:firstLine="0"/>
              <w:jc w:val="center"/>
              <w:rPr>
                <w:rFonts w:hint="eastAsia" w:ascii="宋体" w:hAnsi="宋体" w:cs="宋体"/>
                <w:color w:val="000000"/>
                <w:szCs w:val="24"/>
              </w:rPr>
            </w:pPr>
          </w:p>
        </w:tc>
        <w:tc>
          <w:tcPr>
            <w:tcW w:w="2514" w:type="dxa"/>
            <w:noWrap w:val="0"/>
            <w:vAlign w:val="center"/>
          </w:tcPr>
          <w:p>
            <w:pPr>
              <w:pStyle w:val="11"/>
              <w:spacing w:line="360" w:lineRule="auto"/>
              <w:ind w:firstLine="0"/>
              <w:jc w:val="center"/>
              <w:rPr>
                <w:rFonts w:hint="eastAsia" w:ascii="宋体" w:hAnsi="宋体" w:cs="宋体"/>
                <w:color w:val="000000"/>
                <w:szCs w:val="24"/>
              </w:rPr>
            </w:pPr>
          </w:p>
        </w:tc>
        <w:tc>
          <w:tcPr>
            <w:tcW w:w="2266" w:type="dxa"/>
            <w:noWrap w:val="0"/>
            <w:vAlign w:val="center"/>
          </w:tcPr>
          <w:p>
            <w:pPr>
              <w:pStyle w:val="11"/>
              <w:spacing w:line="360" w:lineRule="auto"/>
              <w:ind w:firstLine="0"/>
              <w:jc w:val="center"/>
              <w:rPr>
                <w:rFonts w:hint="eastAsia" w:ascii="宋体" w:hAnsi="宋体" w:cs="宋体"/>
                <w:color w:val="000000"/>
                <w:szCs w:val="24"/>
              </w:rPr>
            </w:pPr>
          </w:p>
        </w:tc>
        <w:tc>
          <w:tcPr>
            <w:tcW w:w="2966" w:type="dxa"/>
            <w:noWrap w:val="0"/>
            <w:vAlign w:val="center"/>
          </w:tcPr>
          <w:p>
            <w:pPr>
              <w:pStyle w:val="11"/>
              <w:spacing w:line="360" w:lineRule="auto"/>
              <w:ind w:firstLine="0"/>
              <w:jc w:val="center"/>
              <w:rPr>
                <w:rFonts w:hint="eastAsia" w:ascii="宋体" w:hAnsi="宋体" w:cs="宋体"/>
                <w:color w:val="000000"/>
                <w:szCs w:val="24"/>
              </w:rPr>
            </w:pPr>
          </w:p>
        </w:tc>
      </w:tr>
    </w:tbl>
    <w:p>
      <w:pPr>
        <w:spacing w:line="360" w:lineRule="auto"/>
        <w:rPr>
          <w:rFonts w:hint="eastAsia" w:ascii="宋体" w:hAnsi="宋体" w:cs="宋体"/>
          <w:color w:val="000000"/>
          <w:lang w:val="zh-CN"/>
        </w:rPr>
      </w:pPr>
    </w:p>
    <w:p>
      <w:pPr>
        <w:pStyle w:val="28"/>
        <w:spacing w:before="0" w:after="0" w:line="360" w:lineRule="auto"/>
        <w:jc w:val="left"/>
        <w:outlineLvl w:val="1"/>
        <w:rPr>
          <w:rFonts w:hint="eastAsia" w:ascii="宋体" w:hAnsi="宋体" w:cs="宋体"/>
          <w:color w:val="000000"/>
          <w:lang w:val="zh-CN"/>
        </w:rPr>
      </w:pPr>
      <w:bookmarkStart w:id="75" w:name="_Toc16004"/>
      <w:bookmarkStart w:id="76" w:name="_Toc27769"/>
      <w:bookmarkStart w:id="77" w:name="_Toc28963"/>
      <w:r>
        <w:rPr>
          <w:rFonts w:hint="eastAsia" w:ascii="宋体" w:hAnsi="宋体" w:cs="宋体"/>
          <w:color w:val="000000"/>
          <w:sz w:val="30"/>
          <w:szCs w:val="30"/>
          <w:lang w:val="zh-CN"/>
        </w:rPr>
        <w:t>行数不够可自行添加</w:t>
      </w:r>
      <w:r>
        <w:rPr>
          <w:rFonts w:hint="eastAsia" w:ascii="宋体" w:hAnsi="宋体" w:cs="宋体"/>
          <w:color w:val="000000"/>
          <w:sz w:val="30"/>
          <w:szCs w:val="30"/>
          <w:lang w:val="zh-CN"/>
        </w:rPr>
        <w:br w:type="page"/>
      </w:r>
      <w:bookmarkStart w:id="78" w:name="_Toc26451"/>
      <w:r>
        <w:rPr>
          <w:rFonts w:hint="eastAsia" w:ascii="宋体" w:hAnsi="宋体" w:cs="宋体"/>
          <w:color w:val="000000"/>
          <w:sz w:val="30"/>
          <w:szCs w:val="30"/>
        </w:rPr>
        <w:t>（11）</w:t>
      </w:r>
      <w:r>
        <w:rPr>
          <w:rFonts w:hint="eastAsia" w:ascii="宋体" w:hAnsi="宋体" w:cs="宋体"/>
          <w:color w:val="000000"/>
          <w:sz w:val="30"/>
          <w:szCs w:val="30"/>
          <w:lang w:val="zh-CN"/>
        </w:rPr>
        <w:t>开标一览表（报价表）</w:t>
      </w:r>
      <w:bookmarkEnd w:id="75"/>
      <w:bookmarkEnd w:id="76"/>
      <w:bookmarkEnd w:id="78"/>
    </w:p>
    <w:p>
      <w:pPr>
        <w:autoSpaceDE w:val="0"/>
        <w:autoSpaceDN w:val="0"/>
        <w:spacing w:line="360" w:lineRule="auto"/>
        <w:rPr>
          <w:rFonts w:hint="eastAsia" w:ascii="宋体" w:hAnsi="宋体" w:cs="宋体"/>
          <w:b/>
          <w:bCs/>
          <w:color w:val="000000"/>
          <w:kern w:val="0"/>
          <w:sz w:val="28"/>
          <w:szCs w:val="28"/>
          <w:lang w:val="zh-CN"/>
        </w:rPr>
      </w:pPr>
    </w:p>
    <w:bookmarkEnd w:id="77"/>
    <w:p>
      <w:pPr>
        <w:autoSpaceDE w:val="0"/>
        <w:autoSpaceDN w:val="0"/>
        <w:spacing w:line="360" w:lineRule="auto"/>
        <w:jc w:val="center"/>
        <w:rPr>
          <w:rFonts w:hint="eastAsia" w:ascii="宋体" w:hAnsi="宋体" w:cs="宋体"/>
          <w:b/>
          <w:bCs/>
          <w:color w:val="000000"/>
          <w:kern w:val="0"/>
          <w:sz w:val="36"/>
          <w:szCs w:val="36"/>
          <w:lang w:val="zh-CN"/>
        </w:rPr>
      </w:pPr>
      <w:bookmarkStart w:id="79" w:name="_Toc515908222"/>
      <w:bookmarkStart w:id="80" w:name="_Toc14290"/>
      <w:r>
        <w:rPr>
          <w:rFonts w:hint="eastAsia" w:ascii="宋体" w:hAnsi="宋体" w:cs="宋体"/>
          <w:b/>
          <w:bCs/>
          <w:color w:val="000000"/>
          <w:kern w:val="0"/>
          <w:sz w:val="28"/>
          <w:szCs w:val="28"/>
          <w:lang w:val="zh-CN"/>
        </w:rPr>
        <w:t>开标一览表（报价表）</w:t>
      </w:r>
    </w:p>
    <w:p>
      <w:pPr>
        <w:autoSpaceDE w:val="0"/>
        <w:autoSpaceDN w:val="0"/>
        <w:spacing w:line="360" w:lineRule="auto"/>
        <w:rPr>
          <w:rFonts w:hint="eastAsia" w:ascii="宋体" w:hAnsi="宋体" w:cs="宋体"/>
          <w:b/>
          <w:bCs/>
          <w:color w:val="000000"/>
          <w:kern w:val="0"/>
          <w:sz w:val="28"/>
          <w:szCs w:val="28"/>
          <w:lang w:val="zh-CN"/>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noWrap w:val="0"/>
            <w:vAlign w:val="center"/>
          </w:tcPr>
          <w:p>
            <w:pPr>
              <w:pStyle w:val="11"/>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11"/>
              <w:spacing w:line="360" w:lineRule="auto"/>
              <w:ind w:firstLine="0"/>
              <w:jc w:val="center"/>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项目名称</w:t>
            </w:r>
          </w:p>
        </w:tc>
        <w:tc>
          <w:tcPr>
            <w:tcW w:w="5985" w:type="dxa"/>
            <w:noWrap w:val="0"/>
            <w:vAlign w:val="center"/>
          </w:tcPr>
          <w:p>
            <w:pPr>
              <w:pStyle w:val="11"/>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11"/>
              <w:spacing w:line="360" w:lineRule="auto"/>
              <w:ind w:firstLine="0"/>
              <w:jc w:val="center"/>
              <w:rPr>
                <w:rFonts w:hint="eastAsia" w:ascii="宋体" w:hAnsi="宋体" w:eastAsia="宋体" w:cs="宋体"/>
                <w:color w:val="000000"/>
                <w:szCs w:val="24"/>
                <w:lang w:eastAsia="zh-CN"/>
              </w:rPr>
            </w:pPr>
            <w:r>
              <w:rPr>
                <w:rFonts w:hint="eastAsia" w:ascii="宋体" w:hAnsi="宋体" w:cs="宋体"/>
                <w:color w:val="000000"/>
                <w:szCs w:val="24"/>
              </w:rPr>
              <w:t>投标报价</w:t>
            </w:r>
            <w:r>
              <w:rPr>
                <w:rFonts w:hint="eastAsia" w:ascii="宋体" w:hAnsi="宋体" w:cs="宋体"/>
                <w:color w:val="000000"/>
                <w:szCs w:val="24"/>
                <w:lang w:eastAsia="zh-CN"/>
              </w:rPr>
              <w:t>（</w:t>
            </w:r>
            <w:r>
              <w:rPr>
                <w:rFonts w:hint="eastAsia" w:ascii="宋体" w:hAnsi="宋体" w:cs="宋体"/>
                <w:color w:val="000000"/>
                <w:szCs w:val="24"/>
                <w:lang w:val="en-US" w:eastAsia="zh-CN"/>
              </w:rPr>
              <w:t>元</w:t>
            </w:r>
            <w:r>
              <w:rPr>
                <w:rFonts w:hint="eastAsia" w:ascii="宋体" w:hAnsi="宋体" w:cs="宋体"/>
                <w:color w:val="000000"/>
                <w:szCs w:val="24"/>
                <w:lang w:eastAsia="zh-CN"/>
              </w:rPr>
              <w:t>）</w:t>
            </w:r>
          </w:p>
        </w:tc>
        <w:tc>
          <w:tcPr>
            <w:tcW w:w="5985" w:type="dxa"/>
            <w:noWrap w:val="0"/>
            <w:vAlign w:val="center"/>
          </w:tcPr>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p>
          <w:p>
            <w:pPr>
              <w:pStyle w:val="11"/>
              <w:spacing w:line="360" w:lineRule="auto"/>
              <w:ind w:firstLine="0"/>
              <w:rPr>
                <w:rFonts w:hint="eastAsia"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交货时间</w:t>
            </w:r>
          </w:p>
        </w:tc>
        <w:tc>
          <w:tcPr>
            <w:tcW w:w="5985" w:type="dxa"/>
            <w:noWrap w:val="0"/>
            <w:vAlign w:val="center"/>
          </w:tcPr>
          <w:p>
            <w:pPr>
              <w:pStyle w:val="11"/>
              <w:spacing w:line="360" w:lineRule="auto"/>
              <w:ind w:firstLine="0"/>
              <w:rPr>
                <w:rFonts w:hint="eastAsia" w:ascii="宋体" w:hAnsi="宋体" w:cs="宋体"/>
                <w:color w:val="000000"/>
                <w:szCs w:val="24"/>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2.“投标报价”为投标总价。投标报价必须包括：保险费、培训费、税金及不可预见费等全部费用。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3</w:t>
      </w:r>
      <w:r>
        <w:rPr>
          <w:rFonts w:hint="eastAsia" w:ascii="宋体" w:hAnsi="宋体" w:cs="宋体"/>
          <w:color w:val="000000"/>
          <w:kern w:val="0"/>
          <w:lang w:val="zh-CN"/>
        </w:rPr>
        <w:t>.投标报价不能有两个或两个以上的报价方案，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28"/>
        <w:spacing w:before="0" w:after="0" w:line="360" w:lineRule="auto"/>
        <w:jc w:val="left"/>
        <w:outlineLvl w:val="1"/>
        <w:rPr>
          <w:rFonts w:hint="eastAsia" w:ascii="宋体" w:hAnsi="宋体" w:cs="宋体"/>
          <w:color w:val="000000"/>
          <w:kern w:val="0"/>
          <w:lang w:val="zh-CN"/>
        </w:rPr>
      </w:pPr>
    </w:p>
    <w:p>
      <w:pPr>
        <w:rPr>
          <w:rFonts w:hint="eastAsia" w:ascii="宋体" w:hAnsi="宋体" w:cs="宋体"/>
          <w:color w:val="000000"/>
          <w:lang w:val="zh-CN"/>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pStyle w:val="28"/>
        <w:spacing w:before="0" w:after="0" w:line="360" w:lineRule="auto"/>
        <w:jc w:val="left"/>
        <w:outlineLvl w:val="1"/>
        <w:rPr>
          <w:rFonts w:hint="eastAsia" w:ascii="宋体" w:hAnsi="宋体" w:cs="宋体"/>
          <w:color w:val="000000"/>
          <w:sz w:val="30"/>
          <w:szCs w:val="30"/>
        </w:rPr>
      </w:pPr>
    </w:p>
    <w:p>
      <w:pPr>
        <w:rPr>
          <w:rFonts w:hint="eastAsia" w:ascii="宋体" w:hAnsi="宋体" w:cs="宋体"/>
          <w:color w:val="000000"/>
          <w:sz w:val="30"/>
          <w:szCs w:val="30"/>
        </w:rPr>
      </w:pPr>
    </w:p>
    <w:p>
      <w:pPr>
        <w:rPr>
          <w:rFonts w:hint="eastAsia" w:ascii="宋体" w:hAnsi="宋体" w:cs="宋体"/>
          <w:color w:val="000000"/>
          <w:sz w:val="30"/>
          <w:szCs w:val="30"/>
        </w:rPr>
      </w:pPr>
    </w:p>
    <w:p>
      <w:pPr>
        <w:autoSpaceDE w:val="0"/>
        <w:autoSpaceDN w:val="0"/>
        <w:spacing w:line="360" w:lineRule="auto"/>
        <w:rPr>
          <w:rFonts w:hint="eastAsia" w:ascii="宋体" w:hAnsi="宋体" w:cs="宋体"/>
          <w:color w:val="000000"/>
          <w:sz w:val="30"/>
          <w:szCs w:val="30"/>
        </w:rPr>
      </w:pPr>
    </w:p>
    <w:p>
      <w:pPr>
        <w:autoSpaceDE w:val="0"/>
        <w:autoSpaceDN w:val="0"/>
        <w:spacing w:line="360" w:lineRule="auto"/>
        <w:rPr>
          <w:rFonts w:hint="eastAsia" w:ascii="宋体" w:hAnsi="宋体" w:cs="宋体"/>
          <w:b/>
          <w:bCs/>
          <w:color w:val="000000"/>
          <w:kern w:val="0"/>
          <w:sz w:val="28"/>
          <w:szCs w:val="28"/>
          <w:lang w:val="zh-CN"/>
        </w:rPr>
      </w:pPr>
      <w:r>
        <w:rPr>
          <w:rFonts w:hint="eastAsia" w:ascii="宋体" w:hAnsi="宋体" w:cs="宋体"/>
          <w:color w:val="000000"/>
          <w:sz w:val="30"/>
          <w:szCs w:val="30"/>
          <w:lang w:eastAsia="zh-CN"/>
        </w:rPr>
        <w:t>（</w:t>
      </w:r>
      <w:r>
        <w:rPr>
          <w:rFonts w:hint="eastAsia" w:ascii="宋体" w:hAnsi="宋体" w:cs="宋体"/>
          <w:color w:val="000000"/>
          <w:sz w:val="30"/>
          <w:szCs w:val="30"/>
        </w:rPr>
        <w:t>12）</w:t>
      </w:r>
      <w:r>
        <w:rPr>
          <w:rFonts w:hint="eastAsia" w:ascii="宋体" w:hAnsi="宋体" w:cs="宋体"/>
          <w:color w:val="000000"/>
          <w:sz w:val="30"/>
          <w:szCs w:val="30"/>
          <w:lang w:val="zh-CN"/>
        </w:rPr>
        <w:t>分项报价表</w:t>
      </w:r>
      <w:bookmarkEnd w:id="79"/>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tbl>
      <w:tblPr>
        <w:tblStyle w:val="33"/>
        <w:tblW w:w="8551" w:type="dxa"/>
        <w:jc w:val="center"/>
        <w:tblLayout w:type="fixed"/>
        <w:tblCellMar>
          <w:top w:w="0" w:type="dxa"/>
          <w:left w:w="28" w:type="dxa"/>
          <w:bottom w:w="0" w:type="dxa"/>
          <w:right w:w="28" w:type="dxa"/>
        </w:tblCellMar>
      </w:tblPr>
      <w:tblGrid>
        <w:gridCol w:w="628"/>
        <w:gridCol w:w="1563"/>
        <w:gridCol w:w="1065"/>
        <w:gridCol w:w="906"/>
        <w:gridCol w:w="954"/>
        <w:gridCol w:w="992"/>
        <w:gridCol w:w="850"/>
        <w:gridCol w:w="1593"/>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品牌</w:t>
            </w:r>
          </w:p>
        </w:tc>
        <w:tc>
          <w:tcPr>
            <w:tcW w:w="9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规格或型号</w:t>
            </w:r>
          </w:p>
        </w:tc>
        <w:tc>
          <w:tcPr>
            <w:tcW w:w="954"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数量及单位</w:t>
            </w:r>
          </w:p>
        </w:tc>
        <w:tc>
          <w:tcPr>
            <w:tcW w:w="99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单价</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合计</w:t>
            </w:r>
          </w:p>
        </w:tc>
        <w:tc>
          <w:tcPr>
            <w:tcW w:w="1593"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投标总价</w:t>
            </w:r>
          </w:p>
        </w:tc>
        <w:tc>
          <w:tcPr>
            <w:tcW w:w="6360" w:type="dxa"/>
            <w:gridSpan w:val="6"/>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小写：</w:t>
            </w: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numPr>
          <w:ilvl w:val="0"/>
          <w:numId w:val="10"/>
        </w:numPr>
        <w:autoSpaceDE w:val="0"/>
        <w:autoSpaceDN w:val="0"/>
        <w:spacing w:line="360" w:lineRule="auto"/>
        <w:ind w:firstLine="468"/>
        <w:rPr>
          <w:rFonts w:hint="eastAsia" w:ascii="宋体" w:hAnsi="宋体" w:cs="宋体"/>
          <w:color w:val="000000"/>
          <w:kern w:val="0"/>
          <w:lang w:val="zh-CN"/>
        </w:rPr>
      </w:pPr>
      <w:r>
        <w:rPr>
          <w:rFonts w:hint="eastAsia" w:ascii="宋体" w:hAnsi="宋体" w:cs="宋体"/>
          <w:color w:val="000000"/>
          <w:kern w:val="0"/>
          <w:lang w:val="zh-CN"/>
        </w:rPr>
        <w:t>投标报价不能有两个或两个以上的报价方案。</w:t>
      </w:r>
    </w:p>
    <w:p>
      <w:pPr>
        <w:pStyle w:val="75"/>
        <w:numPr>
          <w:ilvl w:val="0"/>
          <w:numId w:val="0"/>
        </w:numPr>
        <w:ind w:firstLine="480" w:firstLineChars="200"/>
        <w:rPr>
          <w:rFonts w:hint="eastAsia"/>
          <w:lang w:val="zh-CN"/>
        </w:rPr>
      </w:pPr>
      <w:r>
        <w:rPr>
          <w:rFonts w:hint="eastAsia"/>
          <w:lang w:val="en-US" w:eastAsia="zh-CN"/>
        </w:rPr>
        <w:t>3.</w:t>
      </w:r>
      <w:r>
        <w:rPr>
          <w:rFonts w:hint="eastAsia"/>
          <w:lang w:val="zh-CN"/>
        </w:rPr>
        <w:t>行数不够可自行添加。</w:t>
      </w:r>
    </w:p>
    <w:p>
      <w:pPr>
        <w:pStyle w:val="77"/>
        <w:ind w:firstLine="468"/>
        <w:rPr>
          <w:rFonts w:hint="eastAsia"/>
          <w:lang w:val="zh-CN"/>
        </w:rPr>
      </w:pPr>
    </w:p>
    <w:p>
      <w:pPr>
        <w:pStyle w:val="77"/>
        <w:ind w:firstLine="468"/>
        <w:rPr>
          <w:rFonts w:hint="eastAsia"/>
          <w:lang w:val="zh-CN"/>
        </w:rPr>
      </w:pPr>
    </w:p>
    <w:p>
      <w:pPr>
        <w:pStyle w:val="77"/>
        <w:ind w:firstLine="468"/>
        <w:rPr>
          <w:rFonts w:hint="eastAsia"/>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hint="eastAsia" w:ascii="宋体" w:hAnsi="宋体" w:cs="宋体"/>
          <w:b/>
          <w:bCs/>
          <w:color w:val="000000"/>
          <w:kern w:val="0"/>
          <w:lang w:val="zh-CN"/>
        </w:rPr>
      </w:pPr>
    </w:p>
    <w:p>
      <w:pPr>
        <w:pStyle w:val="71"/>
        <w:rPr>
          <w:rFonts w:hint="eastAsia" w:ascii="宋体" w:hAnsi="宋体" w:cs="宋体"/>
          <w:b/>
          <w:bCs w:val="0"/>
          <w:color w:val="000000"/>
          <w:kern w:val="0"/>
          <w:lang w:val="zh-CN"/>
        </w:rPr>
      </w:pPr>
    </w:p>
    <w:p>
      <w:pPr>
        <w:pStyle w:val="71"/>
        <w:ind w:left="0" w:leftChars="0" w:firstLine="0" w:firstLineChars="0"/>
        <w:rPr>
          <w:rFonts w:hint="eastAsia" w:ascii="宋体" w:hAnsi="宋体" w:cs="宋体"/>
          <w:b/>
          <w:bCs w:val="0"/>
          <w:color w:val="000000"/>
          <w:kern w:val="0"/>
          <w:lang w:val="zh-CN"/>
        </w:rPr>
      </w:pPr>
    </w:p>
    <w:p>
      <w:pPr>
        <w:spacing w:line="400" w:lineRule="exact"/>
        <w:ind w:firstLine="705" w:firstLineChars="235"/>
        <w:rPr>
          <w:rFonts w:hint="eastAsia" w:ascii="宋体" w:hAnsi="Cambria" w:eastAsia="宋体" w:cs="宋体"/>
          <w:b/>
          <w:bCs/>
          <w:kern w:val="0"/>
          <w:sz w:val="24"/>
          <w:szCs w:val="22"/>
          <w:lang w:val="zh-CN" w:eastAsia="zh-CN" w:bidi="ar-SA"/>
        </w:rPr>
      </w:pPr>
      <w:bookmarkStart w:id="81" w:name="_Toc515908223"/>
      <w:r>
        <w:rPr>
          <w:rFonts w:hint="eastAsia" w:ascii="宋体" w:hAnsi="宋体" w:cs="宋体"/>
          <w:color w:val="000000"/>
          <w:sz w:val="30"/>
          <w:szCs w:val="30"/>
        </w:rPr>
        <w:t>（13）</w:t>
      </w:r>
      <w:r>
        <w:rPr>
          <w:rFonts w:hint="eastAsia" w:ascii="宋体" w:hAnsi="宋体" w:cs="宋体"/>
          <w:color w:val="000000"/>
          <w:sz w:val="30"/>
          <w:szCs w:val="30"/>
          <w:lang w:val="zh-CN"/>
        </w:rPr>
        <w:t>技术规格响应表</w:t>
      </w:r>
      <w:bookmarkEnd w:id="81"/>
    </w:p>
    <w:p>
      <w:pPr>
        <w:pStyle w:val="28"/>
        <w:spacing w:before="0" w:after="0" w:line="360" w:lineRule="auto"/>
        <w:jc w:val="left"/>
        <w:outlineLvl w:val="1"/>
        <w:rPr>
          <w:rFonts w:hint="eastAsia" w:ascii="宋体" w:hAnsi="宋体" w:cs="宋体"/>
          <w:color w:val="000000"/>
        </w:rPr>
      </w:pPr>
    </w:p>
    <w:p>
      <w:pPr>
        <w:rPr>
          <w:rFonts w:hint="eastAsia"/>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33"/>
        <w:tblW w:w="9267" w:type="dxa"/>
        <w:jc w:val="center"/>
        <w:tblLayout w:type="fixed"/>
        <w:tblCellMar>
          <w:top w:w="0" w:type="dxa"/>
          <w:left w:w="28" w:type="dxa"/>
          <w:bottom w:w="0" w:type="dxa"/>
          <w:right w:w="28" w:type="dxa"/>
        </w:tblCellMar>
      </w:tblPr>
      <w:tblGrid>
        <w:gridCol w:w="616"/>
        <w:gridCol w:w="1233"/>
        <w:gridCol w:w="2378"/>
        <w:gridCol w:w="1247"/>
        <w:gridCol w:w="1913"/>
        <w:gridCol w:w="1170"/>
        <w:gridCol w:w="710"/>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采购需求技术参数、指标</w:t>
            </w:r>
          </w:p>
        </w:tc>
        <w:tc>
          <w:tcPr>
            <w:tcW w:w="43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投标产品技术参数、指标</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参数偏离</w:t>
            </w:r>
          </w:p>
        </w:tc>
      </w:tr>
      <w:tr>
        <w:tblPrEx>
          <w:tblCellMar>
            <w:top w:w="0" w:type="dxa"/>
            <w:left w:w="28" w:type="dxa"/>
            <w:bottom w:w="0" w:type="dxa"/>
            <w:right w:w="28" w:type="dxa"/>
          </w:tblCellMar>
        </w:tblPrEx>
        <w:trPr>
          <w:trHeight w:val="79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1913"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1170"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投标产品生产厂家</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34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913"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170"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21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913"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170"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28" w:type="dxa"/>
            <w:bottom w:w="0" w:type="dxa"/>
            <w:right w:w="28" w:type="dxa"/>
          </w:tblCellMar>
        </w:tblPrEx>
        <w:trPr>
          <w:trHeight w:val="22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913"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170"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bl>
    <w:p>
      <w:pPr>
        <w:autoSpaceDE w:val="0"/>
        <w:autoSpaceDN w:val="0"/>
        <w:spacing w:line="360" w:lineRule="auto"/>
        <w:ind w:left="720" w:hanging="720" w:hangingChars="300"/>
        <w:rPr>
          <w:rFonts w:hint="eastAsia" w:ascii="宋体" w:hAnsi="宋体" w:cs="仿宋"/>
          <w:b/>
          <w:bCs/>
          <w:sz w:val="28"/>
          <w:szCs w:val="28"/>
        </w:rPr>
      </w:pPr>
      <w:r>
        <w:rPr>
          <w:rFonts w:hint="eastAsia" w:ascii="宋体" w:hAnsi="宋体" w:cs="宋体"/>
          <w:color w:val="000000"/>
          <w:kern w:val="0"/>
          <w:lang w:val="zh-CN"/>
        </w:rPr>
        <w:t>注：1.本表应按照每包“项目概况及技术参数”中产品的指标逐项填写，不得遗漏，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2.</w:t>
      </w: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w:t>
      </w:r>
    </w:p>
    <w:p>
      <w:pPr>
        <w:pStyle w:val="75"/>
        <w:ind w:firstLine="480" w:firstLineChars="200"/>
      </w:pPr>
      <w:r>
        <w:rPr>
          <w:rFonts w:hint="eastAsia" w:hAnsi="宋体" w:cs="宋体"/>
          <w:color w:val="000000"/>
          <w:kern w:val="0"/>
          <w:lang w:val="en-US" w:eastAsia="zh-CN"/>
        </w:rPr>
        <w:t>3</w:t>
      </w:r>
      <w:r>
        <w:rPr>
          <w:rFonts w:hint="eastAsia" w:hAnsi="宋体" w:cs="宋体"/>
          <w:color w:val="000000"/>
          <w:kern w:val="0"/>
        </w:rPr>
        <w:t>.行数不够可自行添加。</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widowControl w:val="0"/>
        <w:numPr>
          <w:ilvl w:val="0"/>
          <w:numId w:val="0"/>
        </w:numPr>
        <w:spacing w:line="400" w:lineRule="exact"/>
        <w:jc w:val="both"/>
        <w:rPr>
          <w:rFonts w:hint="eastAsia" w:ascii="宋体" w:hAnsi="宋体" w:eastAsia="宋体" w:cs="Times New Roman"/>
          <w:b/>
          <w:bCs/>
          <w:kern w:val="0"/>
          <w:sz w:val="28"/>
          <w:szCs w:val="32"/>
          <w:lang w:val="zh-CN" w:eastAsia="zh-CN" w:bidi="ar-SA"/>
        </w:rPr>
      </w:pPr>
      <w:r>
        <w:rPr>
          <w:rFonts w:hint="eastAsia" w:ascii="宋体" w:hAnsi="宋体" w:cs="宋体"/>
          <w:color w:val="000000"/>
          <w:kern w:val="0"/>
          <w:sz w:val="24"/>
          <w:szCs w:val="24"/>
          <w:lang w:val="zh-CN"/>
        </w:rPr>
        <w:br w:type="page"/>
      </w:r>
      <w:bookmarkStart w:id="82" w:name="_Toc515908224"/>
    </w:p>
    <w:p>
      <w:pPr>
        <w:pStyle w:val="28"/>
        <w:spacing w:before="0" w:after="0" w:line="360" w:lineRule="auto"/>
        <w:jc w:val="left"/>
        <w:outlineLvl w:val="1"/>
        <w:rPr>
          <w:rFonts w:hint="eastAsia" w:ascii="宋体" w:hAnsi="宋体" w:cs="宋体"/>
          <w:color w:val="000000"/>
        </w:rPr>
      </w:pPr>
      <w:bookmarkStart w:id="83" w:name="_Toc7750"/>
      <w:r>
        <w:rPr>
          <w:rFonts w:hint="eastAsia" w:ascii="宋体" w:hAnsi="宋体" w:cs="宋体"/>
          <w:color w:val="000000"/>
          <w:sz w:val="30"/>
          <w:szCs w:val="30"/>
        </w:rPr>
        <w:t>（14）</w:t>
      </w:r>
      <w:r>
        <w:rPr>
          <w:rFonts w:hint="eastAsia" w:ascii="宋体" w:hAnsi="宋体" w:cs="宋体"/>
          <w:color w:val="000000"/>
          <w:sz w:val="30"/>
          <w:szCs w:val="30"/>
          <w:lang w:val="zh-CN"/>
        </w:rPr>
        <w:t>投标产品相关资料</w:t>
      </w:r>
      <w:bookmarkEnd w:id="82"/>
      <w:bookmarkEnd w:id="83"/>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firstLineChars="200"/>
        <w:rPr>
          <w:rFonts w:hint="eastAsia" w:ascii="宋体" w:hAnsi="宋体" w:cs="宋体"/>
          <w:sz w:val="32"/>
          <w:lang w:val="zh-CN"/>
        </w:rPr>
      </w:pPr>
      <w:r>
        <w:rPr>
          <w:rFonts w:hint="eastAsia" w:ascii="宋体" w:hAnsi="宋体" w:cs="宋体"/>
          <w:color w:val="000000"/>
          <w:kern w:val="0"/>
          <w:lang w:val="zh-CN"/>
        </w:rPr>
        <w:t>根据采购项目内容，投标时提供国家认可的质监机构出具的投标产品的产品检验报告、</w:t>
      </w:r>
      <w:r>
        <w:rPr>
          <w:rFonts w:hint="eastAsia" w:ascii="宋体" w:hAnsi="宋体" w:cs="宋体"/>
          <w:kern w:val="0"/>
        </w:rPr>
        <w:t>供货商必须保证所供货物完全符合</w:t>
      </w:r>
      <w:r>
        <w:rPr>
          <w:rFonts w:hint="eastAsia" w:ascii="宋体" w:hAnsi="宋体" w:cs="仿宋"/>
        </w:rPr>
        <w:t>采购招标标准规定的规格，货物质量及要求符合标准</w:t>
      </w:r>
      <w:r>
        <w:rPr>
          <w:rFonts w:hint="eastAsia" w:ascii="宋体" w:hAnsi="宋体" w:cs="宋体"/>
          <w:kern w:val="0"/>
          <w:lang w:val="zh-CN"/>
        </w:rPr>
        <w:t>等资料。</w:t>
      </w:r>
    </w:p>
    <w:p>
      <w:pPr>
        <w:pStyle w:val="28"/>
        <w:spacing w:before="0" w:after="0" w:line="360" w:lineRule="auto"/>
        <w:jc w:val="both"/>
        <w:outlineLvl w:val="1"/>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bookmarkEnd w:id="80"/>
    <w:p>
      <w:pPr>
        <w:pStyle w:val="28"/>
        <w:spacing w:before="0" w:after="0" w:line="360" w:lineRule="auto"/>
        <w:jc w:val="both"/>
        <w:outlineLvl w:val="1"/>
        <w:rPr>
          <w:rFonts w:hint="eastAsia" w:ascii="宋体" w:hAnsi="宋体" w:cs="宋体"/>
          <w:color w:val="000000"/>
          <w:sz w:val="30"/>
          <w:szCs w:val="30"/>
        </w:rPr>
      </w:pPr>
      <w:bookmarkStart w:id="84" w:name="_Toc24554970"/>
      <w:bookmarkStart w:id="85" w:name="_Toc31428"/>
      <w:r>
        <w:rPr>
          <w:rFonts w:hint="eastAsia" w:ascii="宋体" w:hAnsi="宋体" w:cs="宋体"/>
          <w:color w:val="000000"/>
          <w:sz w:val="30"/>
          <w:szCs w:val="30"/>
        </w:rPr>
        <w:t>（15）</w:t>
      </w:r>
      <w:r>
        <w:rPr>
          <w:rFonts w:hint="eastAsia" w:ascii="宋体" w:hAnsi="宋体" w:cs="宋体"/>
          <w:color w:val="000000"/>
          <w:sz w:val="30"/>
          <w:szCs w:val="30"/>
          <w:lang w:val="zh-CN"/>
        </w:rPr>
        <w:t>投标人的类似业绩证明材料</w:t>
      </w:r>
      <w:bookmarkEnd w:id="84"/>
      <w:bookmarkEnd w:id="85"/>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hint="eastAsia" w:ascii="宋体" w:hAnsi="宋体" w:cs="宋体"/>
          <w:color w:val="000000"/>
          <w:kern w:val="0"/>
          <w:sz w:val="28"/>
          <w:szCs w:val="28"/>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bookmarkStart w:id="86" w:name="_Toc26432"/>
      <w:bookmarkStart w:id="87" w:name="_Toc31210"/>
      <w:bookmarkStart w:id="88" w:name="_Toc23702"/>
      <w:bookmarkStart w:id="89" w:name="_Toc29514"/>
      <w:bookmarkStart w:id="90" w:name="_Toc7055"/>
      <w:bookmarkStart w:id="91" w:name="_Toc2990"/>
      <w:bookmarkStart w:id="92" w:name="_Toc4509"/>
      <w:r>
        <w:rPr>
          <w:rFonts w:hint="eastAsia" w:ascii="宋体" w:hAnsi="宋体" w:cs="宋体"/>
          <w:b w:val="0"/>
          <w:bCs w:val="0"/>
          <w:color w:val="000000"/>
          <w:kern w:val="0"/>
          <w:sz w:val="24"/>
          <w:szCs w:val="24"/>
          <w:lang w:val="zh-CN"/>
        </w:rPr>
        <w:t>提供自</w:t>
      </w:r>
      <w:r>
        <w:rPr>
          <w:rFonts w:hint="eastAsia" w:ascii="宋体" w:hAnsi="宋体" w:cs="宋体"/>
          <w:b w:val="0"/>
          <w:bCs w:val="0"/>
          <w:color w:val="000000"/>
          <w:kern w:val="0"/>
          <w:sz w:val="24"/>
          <w:szCs w:val="24"/>
          <w:u w:val="single"/>
          <w:lang w:val="zh-CN"/>
        </w:rPr>
        <w:t xml:space="preserve">   20</w:t>
      </w:r>
      <w:r>
        <w:rPr>
          <w:rFonts w:hint="eastAsia" w:ascii="宋体" w:hAnsi="宋体" w:cs="宋体"/>
          <w:b w:val="0"/>
          <w:bCs w:val="0"/>
          <w:color w:val="000000"/>
          <w:kern w:val="0"/>
          <w:sz w:val="24"/>
          <w:szCs w:val="24"/>
          <w:u w:val="single"/>
          <w:lang w:val="en-US" w:eastAsia="zh-CN"/>
        </w:rPr>
        <w:t>21</w:t>
      </w:r>
      <w:r>
        <w:rPr>
          <w:rFonts w:hint="eastAsia" w:ascii="宋体" w:hAnsi="宋体" w:cs="宋体"/>
          <w:b w:val="0"/>
          <w:bCs w:val="0"/>
          <w:color w:val="000000"/>
          <w:kern w:val="0"/>
          <w:sz w:val="24"/>
          <w:szCs w:val="24"/>
          <w:u w:val="single"/>
          <w:lang w:val="zh-CN"/>
        </w:rPr>
        <w:t xml:space="preserve">  </w:t>
      </w:r>
      <w:r>
        <w:rPr>
          <w:rFonts w:hint="eastAsia" w:ascii="宋体" w:hAnsi="宋体" w:cs="宋体"/>
          <w:b w:val="0"/>
          <w:bCs w:val="0"/>
          <w:color w:val="000000"/>
          <w:kern w:val="0"/>
          <w:sz w:val="24"/>
          <w:szCs w:val="24"/>
          <w:lang w:val="zh-CN"/>
        </w:rPr>
        <w:t>年以来的类似业绩证明材料。类似业绩是指与采购项目在产品类型、使用功能、合同规模等方面相同或相近的项目。需提供包含合同首页、标的及金额所在页、供货合同签字盖章页的扫描（或复印）件</w:t>
      </w:r>
      <w:bookmarkStart w:id="93" w:name="_Toc10010"/>
      <w:r>
        <w:rPr>
          <w:rFonts w:hint="eastAsia" w:ascii="宋体" w:hAnsi="宋体" w:cs="宋体"/>
          <w:b w:val="0"/>
          <w:bCs w:val="0"/>
          <w:color w:val="000000"/>
          <w:kern w:val="0"/>
          <w:sz w:val="24"/>
          <w:szCs w:val="24"/>
          <w:lang w:val="zh-CN"/>
        </w:rPr>
        <w:t>，具体要求见评分标准细则</w:t>
      </w:r>
      <w:bookmarkEnd w:id="86"/>
      <w:bookmarkEnd w:id="87"/>
      <w:bookmarkEnd w:id="88"/>
      <w:bookmarkEnd w:id="89"/>
      <w:bookmarkEnd w:id="90"/>
      <w:bookmarkEnd w:id="91"/>
      <w:bookmarkEnd w:id="92"/>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rPr>
          <w:rFonts w:hint="eastAsia"/>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pPr>
        <w:pStyle w:val="28"/>
        <w:spacing w:before="0" w:after="0" w:line="360" w:lineRule="auto"/>
        <w:jc w:val="both"/>
        <w:outlineLvl w:val="1"/>
        <w:rPr>
          <w:rFonts w:hint="eastAsia" w:ascii="宋体" w:hAnsi="宋体" w:cs="宋体"/>
          <w:color w:val="000000"/>
          <w:sz w:val="30"/>
          <w:szCs w:val="30"/>
        </w:rPr>
      </w:pPr>
    </w:p>
    <w:p>
      <w:pPr>
        <w:pStyle w:val="28"/>
        <w:spacing w:before="0" w:after="0" w:line="360" w:lineRule="auto"/>
        <w:jc w:val="both"/>
        <w:outlineLvl w:val="1"/>
        <w:rPr>
          <w:rFonts w:hint="eastAsia" w:ascii="宋体" w:hAnsi="宋体" w:cs="宋体"/>
          <w:color w:val="000000"/>
          <w:lang w:val="zh-CN"/>
        </w:rPr>
      </w:pPr>
      <w:bookmarkStart w:id="94" w:name="_Toc29863"/>
      <w:r>
        <w:rPr>
          <w:rFonts w:hint="eastAsia" w:ascii="宋体" w:hAnsi="宋体" w:cs="宋体"/>
          <w:color w:val="000000"/>
          <w:sz w:val="30"/>
          <w:szCs w:val="30"/>
        </w:rPr>
        <w:t>（16）</w:t>
      </w:r>
      <w:r>
        <w:rPr>
          <w:rFonts w:hint="eastAsia" w:ascii="宋体" w:hAnsi="宋体" w:cs="宋体"/>
          <w:color w:val="000000"/>
          <w:sz w:val="30"/>
          <w:szCs w:val="30"/>
          <w:lang w:val="zh-CN"/>
        </w:rPr>
        <w:t>制造（生产）企业小型、微型企业声明函</w:t>
      </w:r>
      <w:bookmarkEnd w:id="93"/>
      <w:bookmarkEnd w:id="94"/>
    </w:p>
    <w:p>
      <w:pPr>
        <w:autoSpaceDE w:val="0"/>
        <w:autoSpaceDN w:val="0"/>
        <w:spacing w:line="360" w:lineRule="auto"/>
        <w:rPr>
          <w:rFonts w:hint="eastAsia" w:ascii="宋体" w:hAnsi="宋体" w:cs="宋体"/>
          <w:b/>
          <w:bCs/>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格尔木市政务服务和公共资源交易中心</w:t>
      </w:r>
    </w:p>
    <w:p>
      <w:pPr>
        <w:widowControl/>
        <w:ind w:firstLine="1920" w:firstLineChars="800"/>
        <w:jc w:val="left"/>
        <w:rPr>
          <w:rFonts w:hint="eastAsia" w:ascii="宋体" w:hAnsi="宋体" w:cs="宋体"/>
          <w:b/>
          <w:color w:val="000000"/>
          <w:kern w:val="0"/>
          <w:lang w:bidi="ar"/>
        </w:rPr>
      </w:pPr>
    </w:p>
    <w:p>
      <w:pPr>
        <w:widowControl/>
        <w:ind w:firstLine="2880" w:firstLineChars="1200"/>
        <w:jc w:val="both"/>
        <w:rPr>
          <w:rFonts w:ascii="Calibri" w:hAnsi="Calibri"/>
        </w:rPr>
      </w:pPr>
      <w:r>
        <w:rPr>
          <w:rFonts w:hint="eastAsia" w:ascii="宋体" w:hAnsi="宋体" w:cs="宋体"/>
          <w:b/>
          <w:color w:val="000000"/>
          <w:kern w:val="0"/>
          <w:lang w:bidi="ar"/>
        </w:rPr>
        <w:t>中小企业声明函（货物）</w:t>
      </w:r>
    </w:p>
    <w:p>
      <w:pPr>
        <w:widowControl/>
        <w:spacing w:line="560" w:lineRule="exact"/>
        <w:ind w:firstLine="480" w:firstLineChars="200"/>
        <w:jc w:val="left"/>
        <w:rPr>
          <w:rFonts w:ascii="宋体" w:hAnsi="宋体"/>
        </w:rPr>
      </w:pPr>
      <w:r>
        <w:rPr>
          <w:rFonts w:ascii="宋体" w:hAnsi="宋体" w:cs="仿宋"/>
          <w:color w:val="000000"/>
          <w:kern w:val="0"/>
          <w:lang w:bidi="ar"/>
        </w:rPr>
        <w:t>本公司（联合体）郑重声明，根据《政府采购促进中小</w:t>
      </w:r>
      <w:r>
        <w:rPr>
          <w:rFonts w:hint="eastAsia" w:ascii="宋体" w:hAnsi="宋体" w:cs="仿宋"/>
          <w:color w:val="000000"/>
          <w:kern w:val="0"/>
          <w:lang w:bidi="ar"/>
        </w:rPr>
        <w:t>企业发展管理办法》（财库</w:t>
      </w:r>
      <w:r>
        <w:rPr>
          <w:rFonts w:hint="eastAsia" w:ascii="宋体" w:hAnsi="宋体" w:cs="宋体"/>
          <w:color w:val="000000"/>
          <w:kern w:val="0"/>
          <w:lang w:bidi="ar"/>
        </w:rPr>
        <w:t>﹝</w:t>
      </w:r>
      <w:r>
        <w:rPr>
          <w:rFonts w:hint="eastAsia" w:ascii="宋体" w:hAnsi="宋体" w:cs="仿宋"/>
          <w:color w:val="000000"/>
          <w:kern w:val="0"/>
          <w:lang w:bidi="ar"/>
        </w:rPr>
        <w:t>2020</w:t>
      </w:r>
      <w:r>
        <w:rPr>
          <w:rFonts w:hint="eastAsia" w:ascii="宋体" w:hAnsi="宋体" w:cs="宋体"/>
          <w:color w:val="000000"/>
          <w:kern w:val="0"/>
          <w:lang w:bidi="ar"/>
        </w:rPr>
        <w:t>﹞</w:t>
      </w:r>
      <w:r>
        <w:rPr>
          <w:rFonts w:hint="eastAsia" w:ascii="宋体" w:hAnsi="宋体" w:cs="仿宋"/>
          <w:color w:val="000000"/>
          <w:kern w:val="0"/>
          <w:lang w:bidi="ar"/>
        </w:rPr>
        <w:t>46 号）的规定，本公司（联合体）参加</w:t>
      </w:r>
      <w:r>
        <w:rPr>
          <w:rFonts w:hint="eastAsia" w:ascii="宋体" w:hAnsi="宋体" w:cs="仿宋"/>
          <w:iCs/>
          <w:color w:val="000000"/>
          <w:kern w:val="0"/>
          <w:u w:val="single"/>
          <w:lang w:bidi="ar"/>
        </w:rPr>
        <w:t>（单位名称）</w:t>
      </w:r>
      <w:r>
        <w:rPr>
          <w:rFonts w:hint="eastAsia" w:ascii="宋体" w:hAnsi="宋体" w:cs="仿宋"/>
          <w:color w:val="000000"/>
          <w:kern w:val="0"/>
          <w:lang w:bidi="ar"/>
        </w:rPr>
        <w:t>的</w:t>
      </w:r>
      <w:r>
        <w:rPr>
          <w:rFonts w:hint="eastAsia" w:ascii="宋体" w:hAnsi="宋体" w:cs="仿宋"/>
          <w:iCs/>
          <w:color w:val="000000"/>
          <w:kern w:val="0"/>
          <w:u w:val="single"/>
          <w:lang w:bidi="ar"/>
        </w:rPr>
        <w:t>（项目名称）</w:t>
      </w:r>
      <w:r>
        <w:rPr>
          <w:rFonts w:hint="eastAsia" w:ascii="宋体" w:hAnsi="宋体" w:cs="仿宋"/>
          <w:color w:val="000000"/>
          <w:kern w:val="0"/>
          <w:lang w:bidi="ar"/>
        </w:rPr>
        <w:t xml:space="preserve">采购活动，提供的货物全部由符合政策要求的中小企业制造。相关企业（含联合体中的中小企业、签订分包意向协议的中小企业）的具体情况如下： </w:t>
      </w:r>
    </w:p>
    <w:p>
      <w:pPr>
        <w:widowControl/>
        <w:spacing w:line="560" w:lineRule="exact"/>
        <w:ind w:firstLine="480" w:firstLineChars="200"/>
        <w:jc w:val="left"/>
        <w:rPr>
          <w:rFonts w:ascii="宋体" w:hAnsi="宋体"/>
        </w:rPr>
      </w:pPr>
      <w:r>
        <w:rPr>
          <w:rFonts w:hint="eastAsia" w:ascii="宋体" w:hAnsi="宋体" w:cs="仿宋"/>
          <w:color w:val="000000"/>
          <w:kern w:val="0"/>
          <w:lang w:bidi="ar"/>
        </w:rPr>
        <w:t xml:space="preserve">1. </w:t>
      </w:r>
      <w:r>
        <w:rPr>
          <w:rFonts w:hint="eastAsia" w:ascii="宋体" w:hAnsi="宋体" w:cs="仿宋"/>
          <w:iCs/>
          <w:color w:val="000000"/>
          <w:kern w:val="0"/>
          <w:u w:val="single"/>
          <w:lang w:bidi="ar"/>
        </w:rPr>
        <w:t>（标的名称）</w:t>
      </w:r>
      <w:r>
        <w:rPr>
          <w:rFonts w:hint="eastAsia" w:ascii="宋体" w:hAnsi="宋体" w:cs="仿宋"/>
          <w:i/>
          <w:color w:val="000000"/>
          <w:kern w:val="0"/>
          <w:lang w:bidi="ar"/>
        </w:rPr>
        <w:t xml:space="preserve"> </w:t>
      </w:r>
      <w:r>
        <w:rPr>
          <w:rFonts w:hint="eastAsia" w:ascii="宋体" w:hAnsi="宋体" w:cs="仿宋"/>
          <w:color w:val="000000"/>
          <w:kern w:val="0"/>
          <w:lang w:bidi="ar"/>
        </w:rPr>
        <w:t>，属于</w:t>
      </w:r>
      <w:r>
        <w:rPr>
          <w:rFonts w:hint="eastAsia" w:ascii="宋体" w:hAnsi="宋体" w:cs="仿宋"/>
          <w:iCs/>
          <w:color w:val="000000"/>
          <w:kern w:val="0"/>
          <w:u w:val="single"/>
          <w:lang w:bidi="ar"/>
        </w:rPr>
        <w:t>（采购文件中明确的所属行业）</w:t>
      </w:r>
      <w:r>
        <w:rPr>
          <w:rFonts w:hint="eastAsia" w:ascii="宋体" w:hAnsi="宋体" w:cs="仿宋"/>
          <w:iCs/>
          <w:color w:val="000000"/>
          <w:kern w:val="0"/>
          <w:lang w:bidi="ar"/>
        </w:rPr>
        <w:t>行业</w:t>
      </w:r>
      <w:r>
        <w:rPr>
          <w:rFonts w:hint="eastAsia" w:ascii="宋体" w:hAnsi="宋体" w:cs="仿宋"/>
          <w:color w:val="000000"/>
          <w:kern w:val="0"/>
          <w:lang w:bidi="ar"/>
        </w:rPr>
        <w:t>；制造商为</w:t>
      </w:r>
      <w:r>
        <w:rPr>
          <w:rFonts w:hint="eastAsia" w:ascii="宋体" w:hAnsi="宋体" w:cs="仿宋"/>
          <w:iCs/>
          <w:color w:val="000000"/>
          <w:kern w:val="0"/>
          <w:u w:val="single"/>
          <w:lang w:bidi="ar"/>
        </w:rPr>
        <w:t>（企业名称）</w:t>
      </w:r>
      <w:r>
        <w:rPr>
          <w:rFonts w:hint="eastAsia" w:ascii="宋体" w:hAnsi="宋体" w:cs="仿宋"/>
          <w:color w:val="000000"/>
          <w:kern w:val="0"/>
          <w:lang w:bidi="ar"/>
        </w:rPr>
        <w:t xml:space="preserve">，从业人员 </w:t>
      </w:r>
      <w:r>
        <w:rPr>
          <w:rFonts w:hint="eastAsia" w:ascii="宋体" w:hAnsi="宋体" w:cs="仿宋"/>
          <w:color w:val="000000"/>
          <w:kern w:val="0"/>
          <w:u w:val="single"/>
          <w:lang w:bidi="ar"/>
        </w:rPr>
        <w:t xml:space="preserve">     </w:t>
      </w:r>
      <w:r>
        <w:rPr>
          <w:rFonts w:hint="eastAsia" w:ascii="宋体" w:hAnsi="宋体" w:cs="仿宋"/>
          <w:color w:val="000000"/>
          <w:kern w:val="0"/>
          <w:lang w:bidi="ar"/>
        </w:rPr>
        <w:t>人，营业收入为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万元，资产总额为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万元，属于</w:t>
      </w:r>
      <w:r>
        <w:rPr>
          <w:rFonts w:hint="eastAsia" w:ascii="宋体" w:hAnsi="宋体" w:cs="仿宋"/>
          <w:iCs/>
          <w:color w:val="000000"/>
          <w:kern w:val="0"/>
          <w:u w:val="single"/>
          <w:lang w:bidi="ar"/>
        </w:rPr>
        <w:t>（中型企业、小型企业、微型企业）</w:t>
      </w:r>
      <w:r>
        <w:rPr>
          <w:rFonts w:hint="eastAsia" w:ascii="宋体" w:hAnsi="宋体" w:cs="仿宋"/>
          <w:color w:val="000000"/>
          <w:kern w:val="0"/>
          <w:lang w:bidi="ar"/>
        </w:rPr>
        <w:t xml:space="preserve">； </w:t>
      </w:r>
    </w:p>
    <w:p>
      <w:pPr>
        <w:widowControl/>
        <w:spacing w:line="560" w:lineRule="exact"/>
        <w:ind w:firstLine="480" w:firstLineChars="200"/>
        <w:jc w:val="left"/>
        <w:rPr>
          <w:rFonts w:ascii="宋体" w:hAnsi="宋体"/>
        </w:rPr>
      </w:pPr>
      <w:r>
        <w:rPr>
          <w:rFonts w:hint="eastAsia" w:ascii="宋体" w:hAnsi="宋体" w:cs="仿宋"/>
          <w:color w:val="000000"/>
          <w:kern w:val="0"/>
          <w:lang w:bidi="ar"/>
        </w:rPr>
        <w:t xml:space="preserve">2. </w:t>
      </w:r>
      <w:r>
        <w:rPr>
          <w:rFonts w:hint="eastAsia" w:ascii="宋体" w:hAnsi="宋体" w:cs="仿宋"/>
          <w:iCs/>
          <w:color w:val="000000"/>
          <w:kern w:val="0"/>
          <w:u w:val="single"/>
          <w:lang w:bidi="ar"/>
        </w:rPr>
        <w:t>（标的名称）</w:t>
      </w:r>
      <w:r>
        <w:rPr>
          <w:rFonts w:hint="eastAsia" w:ascii="宋体" w:hAnsi="宋体" w:cs="仿宋"/>
          <w:i/>
          <w:color w:val="000000"/>
          <w:kern w:val="0"/>
          <w:lang w:bidi="ar"/>
        </w:rPr>
        <w:t xml:space="preserve"> </w:t>
      </w:r>
      <w:r>
        <w:rPr>
          <w:rFonts w:hint="eastAsia" w:ascii="宋体" w:hAnsi="宋体" w:cs="仿宋"/>
          <w:color w:val="000000"/>
          <w:kern w:val="0"/>
          <w:lang w:bidi="ar"/>
        </w:rPr>
        <w:t>，属于</w:t>
      </w:r>
      <w:r>
        <w:rPr>
          <w:rFonts w:hint="eastAsia" w:ascii="宋体" w:hAnsi="宋体" w:cs="仿宋"/>
          <w:iCs/>
          <w:color w:val="000000"/>
          <w:kern w:val="0"/>
          <w:u w:val="single"/>
          <w:lang w:bidi="ar"/>
        </w:rPr>
        <w:t>（采购文件中明确的所属行业）</w:t>
      </w:r>
      <w:r>
        <w:rPr>
          <w:rFonts w:hint="eastAsia" w:ascii="宋体" w:hAnsi="宋体" w:cs="仿宋"/>
          <w:iCs/>
          <w:color w:val="000000"/>
          <w:kern w:val="0"/>
          <w:lang w:bidi="ar"/>
        </w:rPr>
        <w:t>行业</w:t>
      </w:r>
      <w:r>
        <w:rPr>
          <w:rFonts w:hint="eastAsia" w:ascii="宋体" w:hAnsi="宋体" w:cs="仿宋"/>
          <w:color w:val="000000"/>
          <w:kern w:val="0"/>
          <w:lang w:bidi="ar"/>
        </w:rPr>
        <w:t>；制造商为</w:t>
      </w:r>
      <w:r>
        <w:rPr>
          <w:rFonts w:hint="eastAsia" w:ascii="宋体" w:hAnsi="宋体" w:cs="仿宋"/>
          <w:iCs/>
          <w:color w:val="000000"/>
          <w:kern w:val="0"/>
          <w:u w:val="single"/>
          <w:lang w:bidi="ar"/>
        </w:rPr>
        <w:t>（企业名称）</w:t>
      </w:r>
      <w:r>
        <w:rPr>
          <w:rFonts w:hint="eastAsia" w:ascii="宋体" w:hAnsi="宋体" w:cs="仿宋"/>
          <w:color w:val="000000"/>
          <w:kern w:val="0"/>
          <w:lang w:bidi="ar"/>
        </w:rPr>
        <w:t>，从业人员</w:t>
      </w:r>
      <w:r>
        <w:rPr>
          <w:rFonts w:hint="eastAsia" w:ascii="宋体" w:hAnsi="宋体" w:cs="仿宋"/>
          <w:color w:val="000000"/>
          <w:kern w:val="0"/>
          <w:u w:val="single"/>
          <w:lang w:bidi="ar"/>
        </w:rPr>
        <w:t xml:space="preserve">     </w:t>
      </w:r>
      <w:r>
        <w:rPr>
          <w:rFonts w:hint="eastAsia" w:ascii="宋体" w:hAnsi="宋体" w:cs="仿宋"/>
          <w:color w:val="000000"/>
          <w:kern w:val="0"/>
          <w:lang w:bidi="ar"/>
        </w:rPr>
        <w:t>人，营业收入为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万元，资产总额为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万元，属于</w:t>
      </w:r>
      <w:r>
        <w:rPr>
          <w:rFonts w:hint="eastAsia" w:ascii="宋体" w:hAnsi="宋体" w:cs="仿宋"/>
          <w:iCs/>
          <w:color w:val="000000"/>
          <w:kern w:val="0"/>
          <w:u w:val="single"/>
          <w:lang w:bidi="ar"/>
        </w:rPr>
        <w:t>（中型企业、小型企业、微型企业）</w:t>
      </w:r>
      <w:r>
        <w:rPr>
          <w:rFonts w:hint="eastAsia" w:ascii="宋体" w:hAnsi="宋体" w:cs="仿宋"/>
          <w:color w:val="000000"/>
          <w:kern w:val="0"/>
          <w:lang w:bidi="ar"/>
        </w:rPr>
        <w:t xml:space="preserve">； </w:t>
      </w:r>
    </w:p>
    <w:p>
      <w:pPr>
        <w:widowControl/>
        <w:spacing w:line="560" w:lineRule="exact"/>
        <w:jc w:val="left"/>
        <w:rPr>
          <w:rFonts w:ascii="宋体" w:hAnsi="宋体"/>
        </w:rPr>
      </w:pPr>
      <w:r>
        <w:rPr>
          <w:rFonts w:hint="eastAsia" w:ascii="宋体" w:hAnsi="宋体" w:cs="仿宋"/>
          <w:color w:val="000000"/>
          <w:kern w:val="0"/>
          <w:lang w:bidi="ar"/>
        </w:rPr>
        <w:t>……</w:t>
      </w:r>
    </w:p>
    <w:p>
      <w:pPr>
        <w:widowControl/>
        <w:spacing w:line="560" w:lineRule="exact"/>
        <w:ind w:firstLine="480" w:firstLineChars="200"/>
        <w:jc w:val="left"/>
        <w:rPr>
          <w:rFonts w:ascii="宋体" w:hAnsi="宋体"/>
        </w:rPr>
      </w:pPr>
      <w:r>
        <w:rPr>
          <w:rFonts w:hint="eastAsia" w:ascii="宋体" w:hAnsi="宋体" w:cs="仿宋"/>
          <w:color w:val="000000"/>
          <w:kern w:val="0"/>
          <w:lang w:bidi="ar"/>
        </w:rPr>
        <w:t>以上企业，不属于大企业的分支机构，不存在控股股东为大企业的情形，也不存在与大企业的负责人为同一人的情形。</w:t>
      </w:r>
    </w:p>
    <w:p>
      <w:pPr>
        <w:widowControl/>
        <w:spacing w:line="560" w:lineRule="exact"/>
        <w:ind w:firstLine="480" w:firstLineChars="200"/>
        <w:jc w:val="left"/>
        <w:rPr>
          <w:rFonts w:ascii="宋体" w:hAnsi="宋体"/>
        </w:rPr>
      </w:pPr>
      <w:r>
        <w:rPr>
          <w:rFonts w:hint="eastAsia" w:ascii="宋体" w:hAnsi="宋体" w:cs="仿宋"/>
          <w:color w:val="000000"/>
          <w:kern w:val="0"/>
          <w:lang w:bidi="ar"/>
        </w:rPr>
        <w:t xml:space="preserve">本企业对上述声明内容的真实性负责。如有虚假，将依法承担相应责任。 </w:t>
      </w:r>
    </w:p>
    <w:p>
      <w:pPr>
        <w:spacing w:before="78" w:line="219" w:lineRule="auto"/>
        <w:ind w:left="23"/>
        <w:rPr>
          <w:rFonts w:ascii="宋体" w:hAnsi="宋体" w:eastAsia="宋体" w:cs="宋体"/>
          <w:b/>
          <w:bCs/>
          <w:spacing w:val="-1"/>
          <w:sz w:val="24"/>
          <w:szCs w:val="24"/>
        </w:rPr>
      </w:pPr>
    </w:p>
    <w:p>
      <w:pPr>
        <w:spacing w:before="78" w:line="219" w:lineRule="auto"/>
        <w:ind w:left="23"/>
        <w:rPr>
          <w:rFonts w:ascii="宋体" w:hAnsi="宋体" w:eastAsia="宋体" w:cs="宋体"/>
          <w:b w:val="0"/>
          <w:bCs w:val="0"/>
          <w:spacing w:val="-1"/>
          <w:sz w:val="24"/>
          <w:szCs w:val="24"/>
        </w:rPr>
      </w:pPr>
      <w:r>
        <w:rPr>
          <w:rFonts w:ascii="宋体" w:hAnsi="宋体" w:eastAsia="宋体" w:cs="宋体"/>
          <w:b w:val="0"/>
          <w:bCs w:val="0"/>
          <w:spacing w:val="-1"/>
          <w:sz w:val="24"/>
          <w:szCs w:val="24"/>
        </w:rPr>
        <w:t>注：若无此项内容，可不提供此函。</w:t>
      </w:r>
    </w:p>
    <w:p>
      <w:pPr>
        <w:widowControl/>
        <w:spacing w:line="560" w:lineRule="exact"/>
        <w:ind w:firstLine="3120" w:firstLineChars="1300"/>
        <w:jc w:val="left"/>
        <w:rPr>
          <w:rFonts w:hint="eastAsia" w:ascii="宋体" w:hAnsi="宋体" w:cs="仿宋"/>
          <w:color w:val="000000"/>
          <w:kern w:val="0"/>
          <w:lang w:bidi="ar"/>
        </w:rPr>
      </w:pPr>
    </w:p>
    <w:p>
      <w:pPr>
        <w:widowControl/>
        <w:spacing w:line="560" w:lineRule="exact"/>
        <w:ind w:firstLine="3120" w:firstLineChars="1300"/>
        <w:jc w:val="left"/>
        <w:rPr>
          <w:rFonts w:hint="eastAsia" w:ascii="宋体" w:hAnsi="宋体" w:cs="仿宋"/>
          <w:color w:val="000000"/>
          <w:kern w:val="0"/>
          <w:lang w:bidi="ar"/>
        </w:rPr>
      </w:pPr>
    </w:p>
    <w:p>
      <w:pPr>
        <w:pStyle w:val="28"/>
        <w:spacing w:line="560" w:lineRule="exact"/>
        <w:rPr>
          <w:rFonts w:hint="eastAsia" w:ascii="宋体" w:hAnsi="宋体"/>
          <w:sz w:val="24"/>
          <w:szCs w:val="24"/>
        </w:rPr>
      </w:pPr>
    </w:p>
    <w:p>
      <w:pPr>
        <w:widowControl/>
        <w:spacing w:line="560" w:lineRule="exact"/>
        <w:ind w:firstLine="4320" w:firstLineChars="1800"/>
        <w:jc w:val="left"/>
        <w:rPr>
          <w:rFonts w:ascii="宋体" w:hAnsi="宋体"/>
        </w:rPr>
      </w:pPr>
      <w:r>
        <w:rPr>
          <w:rFonts w:hint="eastAsia" w:ascii="宋体" w:hAnsi="宋体" w:cs="仿宋"/>
          <w:color w:val="000000"/>
          <w:kern w:val="0"/>
          <w:lang w:bidi="ar"/>
        </w:rPr>
        <w:t xml:space="preserve">企业名称（盖章）： </w:t>
      </w:r>
    </w:p>
    <w:p>
      <w:pPr>
        <w:widowControl/>
        <w:spacing w:line="560" w:lineRule="exact"/>
        <w:ind w:firstLine="4800" w:firstLineChars="2000"/>
        <w:jc w:val="left"/>
        <w:rPr>
          <w:rFonts w:ascii="Calibri" w:hAnsi="Calibri"/>
          <w:sz w:val="21"/>
        </w:rPr>
      </w:pPr>
      <w:r>
        <w:rPr>
          <w:rFonts w:hint="eastAsia" w:ascii="宋体" w:hAnsi="宋体" w:cs="仿宋"/>
          <w:color w:val="000000"/>
          <w:kern w:val="0"/>
          <w:lang w:bidi="ar"/>
        </w:rPr>
        <w:t>日   期：</w:t>
      </w:r>
      <w:r>
        <w:rPr>
          <w:rFonts w:hint="eastAsia" w:ascii="仿宋" w:hAnsi="仿宋" w:eastAsia="仿宋" w:cs="仿宋"/>
          <w:color w:val="000000"/>
          <w:kern w:val="0"/>
          <w:sz w:val="31"/>
          <w:szCs w:val="31"/>
          <w:lang w:bidi="ar"/>
        </w:rPr>
        <w:t xml:space="preserve"> </w:t>
      </w:r>
    </w:p>
    <w:p>
      <w:pPr>
        <w:pStyle w:val="28"/>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r>
      <w:bookmarkStart w:id="95" w:name="_Toc30541"/>
      <w:bookmarkStart w:id="96" w:name="_Toc743"/>
      <w:r>
        <w:rPr>
          <w:rFonts w:hint="eastAsia" w:ascii="宋体" w:hAnsi="宋体" w:cs="宋体"/>
          <w:bCs w:val="0"/>
          <w:sz w:val="28"/>
          <w:szCs w:val="28"/>
          <w:lang w:val="zh-CN"/>
        </w:rPr>
        <w:t>（</w:t>
      </w:r>
      <w:r>
        <w:rPr>
          <w:rFonts w:hint="eastAsia" w:ascii="宋体" w:hAnsi="宋体" w:cs="宋体"/>
          <w:bCs w:val="0"/>
          <w:sz w:val="28"/>
          <w:szCs w:val="28"/>
        </w:rPr>
        <w:t>17</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95"/>
    </w:p>
    <w:p>
      <w:pPr>
        <w:jc w:val="center"/>
        <w:rPr>
          <w:rFonts w:hint="eastAsia" w:ascii="宋体" w:hAnsi="宋体" w:cs="宋体"/>
          <w:b/>
          <w:sz w:val="36"/>
          <w:szCs w:val="36"/>
        </w:rPr>
      </w:pPr>
      <w:bookmarkStart w:id="97" w:name="OLE_LINK14"/>
      <w:bookmarkStart w:id="98" w:name="OLE_LINK13"/>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97"/>
    <w:bookmarkEnd w:id="98"/>
    <w:p>
      <w:pPr>
        <w:spacing w:after="156" w:afterLines="50"/>
        <w:rPr>
          <w:rFonts w:hint="eastAsia" w:ascii="宋体" w:hAnsi="宋体" w:cs="宋体"/>
          <w:bCs/>
        </w:rPr>
      </w:pPr>
    </w:p>
    <w:p>
      <w:pPr>
        <w:spacing w:after="156"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u w:val="dashDotHeavy"/>
          <w:lang w:val="zh-CN"/>
        </w:rPr>
        <w:t>格尔木市政务服务和公共资源交易中心</w:t>
      </w:r>
    </w:p>
    <w:p>
      <w:pPr>
        <w:spacing w:line="360" w:lineRule="auto"/>
        <w:ind w:firstLine="480"/>
        <w:rPr>
          <w:rFonts w:hint="eastAsia" w:ascii="宋体" w:hAnsi="宋体" w:cs="宋体"/>
        </w:rPr>
      </w:pP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w:t>
      </w:r>
    </w:p>
    <w:p>
      <w:pPr>
        <w:spacing w:line="360" w:lineRule="auto"/>
        <w:ind w:firstLine="482"/>
        <w:jc w:val="center"/>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年   月   日</w:t>
      </w:r>
    </w:p>
    <w:p>
      <w:pPr>
        <w:pStyle w:val="28"/>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99" w:name="_Toc15660"/>
      <w:r>
        <w:rPr>
          <w:rFonts w:hint="eastAsia" w:ascii="宋体" w:hAnsi="宋体" w:cs="宋体"/>
          <w:color w:val="000000"/>
          <w:sz w:val="30"/>
          <w:szCs w:val="30"/>
        </w:rPr>
        <w:t>（18）</w:t>
      </w:r>
      <w:r>
        <w:rPr>
          <w:rFonts w:hint="eastAsia" w:ascii="宋体" w:hAnsi="宋体" w:cs="宋体"/>
          <w:color w:val="000000"/>
          <w:sz w:val="30"/>
          <w:szCs w:val="30"/>
          <w:lang w:val="zh-CN"/>
        </w:rPr>
        <w:t>投标人认为在其他方面有必要说明的事项</w:t>
      </w:r>
      <w:bookmarkEnd w:id="96"/>
      <w:bookmarkEnd w:id="99"/>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pPr>
        <w:pStyle w:val="28"/>
        <w:numPr>
          <w:ilvl w:val="0"/>
          <w:numId w:val="11"/>
        </w:numPr>
        <w:spacing w:before="0" w:after="0" w:line="500" w:lineRule="exact"/>
        <w:rPr>
          <w:rFonts w:hint="eastAsia" w:ascii="宋体" w:hAnsi="宋体" w:cs="宋体"/>
          <w:color w:val="000000"/>
          <w:szCs w:val="36"/>
          <w:lang w:val="zh-CN"/>
        </w:rPr>
        <w:sectPr>
          <w:headerReference r:id="rId4" w:type="default"/>
          <w:footerReference r:id="rId5" w:type="default"/>
          <w:pgSz w:w="11906" w:h="16838"/>
          <w:pgMar w:top="1440" w:right="1797" w:bottom="1440" w:left="1797" w:header="851" w:footer="992" w:gutter="0"/>
          <w:pgNumType w:fmt="decimal"/>
          <w:cols w:space="720" w:num="1"/>
          <w:docGrid w:type="linesAndChars" w:linePitch="312" w:charSpace="0"/>
        </w:sectPr>
      </w:pPr>
    </w:p>
    <w:p>
      <w:pPr>
        <w:pStyle w:val="28"/>
        <w:numPr>
          <w:ilvl w:val="0"/>
          <w:numId w:val="11"/>
        </w:numPr>
        <w:spacing w:before="0" w:after="0" w:line="500" w:lineRule="exact"/>
        <w:rPr>
          <w:rFonts w:hint="eastAsia" w:ascii="宋体" w:hAnsi="宋体" w:cs="宋体"/>
          <w:color w:val="000000"/>
          <w:szCs w:val="36"/>
          <w:lang w:val="zh-CN"/>
        </w:rPr>
      </w:pPr>
      <w:bookmarkStart w:id="100" w:name="_Toc18752"/>
      <w:r>
        <w:rPr>
          <w:rFonts w:hint="eastAsia" w:ascii="宋体" w:hAnsi="宋体" w:cs="宋体"/>
          <w:color w:val="000000"/>
          <w:szCs w:val="36"/>
          <w:lang w:val="zh-CN"/>
        </w:rPr>
        <w:t xml:space="preserve"> </w:t>
      </w:r>
      <w:bookmarkStart w:id="101" w:name="_Toc5744"/>
      <w:r>
        <w:rPr>
          <w:rFonts w:hint="eastAsia" w:ascii="宋体" w:hAnsi="宋体" w:cs="宋体"/>
          <w:color w:val="000000"/>
          <w:szCs w:val="36"/>
          <w:lang w:val="zh-CN"/>
        </w:rPr>
        <w:t>采购项目要求及技术参数</w:t>
      </w:r>
      <w:bookmarkEnd w:id="100"/>
      <w:bookmarkEnd w:id="101"/>
    </w:p>
    <w:p>
      <w:pPr>
        <w:pStyle w:val="28"/>
        <w:snapToGrid w:val="0"/>
        <w:spacing w:before="0" w:after="0" w:line="360" w:lineRule="auto"/>
        <w:rPr>
          <w:rStyle w:val="140"/>
          <w:rFonts w:ascii="宋体" w:hAnsi="宋体" w:cs="宋体"/>
          <w:color w:val="auto"/>
          <w:szCs w:val="36"/>
          <w:highlight w:val="none"/>
        </w:rPr>
      </w:pPr>
      <w:r>
        <w:rPr>
          <w:rStyle w:val="140"/>
          <w:rFonts w:ascii="宋体" w:hAnsi="宋体" w:cs="宋体"/>
          <w:color w:val="auto"/>
          <w:highlight w:val="none"/>
          <w:lang w:val="zh-CN"/>
        </w:rPr>
        <w:t>（一）投标要求</w:t>
      </w:r>
    </w:p>
    <w:p>
      <w:pPr>
        <w:pStyle w:val="28"/>
        <w:snapToGrid w:val="0"/>
        <w:spacing w:before="0" w:after="0" w:line="360" w:lineRule="auto"/>
        <w:jc w:val="left"/>
        <w:rPr>
          <w:rStyle w:val="140"/>
          <w:rFonts w:ascii="宋体" w:hAnsi="宋体" w:cs="宋体"/>
          <w:color w:val="auto"/>
          <w:highlight w:val="none"/>
          <w:lang w:val="zh-CN"/>
        </w:rPr>
      </w:pPr>
      <w:r>
        <w:rPr>
          <w:rStyle w:val="140"/>
          <w:rFonts w:ascii="宋体" w:hAnsi="宋体" w:cs="宋体"/>
          <w:color w:val="auto"/>
          <w:sz w:val="28"/>
          <w:szCs w:val="28"/>
          <w:highlight w:val="none"/>
          <w:lang w:val="zh-CN"/>
        </w:rPr>
        <w:t>1.投标说明</w:t>
      </w:r>
    </w:p>
    <w:p>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lang w:val="zh-CN"/>
        </w:rPr>
        <w:t>1.1投标人必须对所有内容作为一个整体进行投标，不能拆分或少报。否则，投标无效。</w:t>
      </w:r>
    </w:p>
    <w:p>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rPr>
        <w:t>1.</w:t>
      </w:r>
      <w:r>
        <w:rPr>
          <w:rStyle w:val="140"/>
          <w:rFonts w:hint="eastAsia" w:ascii="宋体" w:hAnsi="宋体"/>
          <w:color w:val="auto"/>
          <w:kern w:val="0"/>
          <w:highlight w:val="none"/>
          <w:lang w:val="en-US" w:eastAsia="zh-CN"/>
        </w:rPr>
        <w:t>3</w:t>
      </w:r>
      <w:r>
        <w:rPr>
          <w:rStyle w:val="140"/>
          <w:rFonts w:ascii="宋体" w:hAnsi="宋体"/>
          <w:color w:val="auto"/>
          <w:highlight w:val="none"/>
        </w:rPr>
        <w:t>所投产品或其任何一部分不得侵犯专利权、著作权、商标权和工业设计权等知识产权。</w:t>
      </w:r>
    </w:p>
    <w:p>
      <w:pPr>
        <w:snapToGrid w:val="0"/>
        <w:spacing w:line="360" w:lineRule="auto"/>
        <w:ind w:firstLine="480" w:firstLineChars="200"/>
        <w:rPr>
          <w:rStyle w:val="140"/>
          <w:rFonts w:ascii="宋体" w:hAnsi="宋体"/>
          <w:color w:val="auto"/>
          <w:kern w:val="0"/>
          <w:highlight w:val="none"/>
        </w:rPr>
      </w:pPr>
      <w:r>
        <w:rPr>
          <w:rStyle w:val="140"/>
          <w:rFonts w:ascii="宋体" w:hAnsi="宋体"/>
          <w:color w:val="auto"/>
          <w:kern w:val="0"/>
          <w:highlight w:val="none"/>
        </w:rPr>
        <w:t>1.</w:t>
      </w:r>
      <w:r>
        <w:rPr>
          <w:rStyle w:val="140"/>
          <w:rFonts w:hint="eastAsia" w:ascii="宋体" w:hAnsi="宋体"/>
          <w:color w:val="auto"/>
          <w:kern w:val="0"/>
          <w:highlight w:val="none"/>
          <w:lang w:val="en-US" w:eastAsia="zh-CN"/>
        </w:rPr>
        <w:t>4</w:t>
      </w:r>
      <w:r>
        <w:rPr>
          <w:rStyle w:val="140"/>
          <w:rFonts w:ascii="宋体" w:hAnsi="宋体"/>
          <w:color w:val="auto"/>
          <w:kern w:val="0"/>
          <w:highlight w:val="none"/>
        </w:rPr>
        <w:t xml:space="preserve"> 项目中标后分包情况：不允许。</w:t>
      </w:r>
    </w:p>
    <w:p>
      <w:pPr>
        <w:pStyle w:val="28"/>
        <w:snapToGrid w:val="0"/>
        <w:spacing w:before="0" w:after="0" w:line="360" w:lineRule="auto"/>
        <w:jc w:val="left"/>
        <w:rPr>
          <w:rStyle w:val="140"/>
          <w:rFonts w:ascii="宋体" w:hAnsi="宋体" w:cs="宋体"/>
          <w:color w:val="auto"/>
          <w:sz w:val="28"/>
          <w:szCs w:val="28"/>
          <w:highlight w:val="none"/>
          <w:lang w:val="zh-CN"/>
        </w:rPr>
      </w:pPr>
      <w:r>
        <w:rPr>
          <w:rStyle w:val="140"/>
          <w:rFonts w:ascii="宋体" w:hAnsi="宋体" w:cs="宋体"/>
          <w:color w:val="auto"/>
          <w:sz w:val="28"/>
          <w:szCs w:val="28"/>
          <w:highlight w:val="none"/>
          <w:lang w:val="zh-CN"/>
        </w:rPr>
        <w:t>2、报价说明</w:t>
      </w:r>
    </w:p>
    <w:p>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lang w:val="zh-CN"/>
        </w:rPr>
        <w:t>本次招标文件中规定的采购预算额度为招标最高限价，投标单位的投标报价不得超出此额度。否则，投标无效。</w:t>
      </w:r>
    </w:p>
    <w:p>
      <w:pPr>
        <w:pStyle w:val="28"/>
        <w:snapToGrid w:val="0"/>
        <w:spacing w:before="0" w:after="0" w:line="360" w:lineRule="auto"/>
        <w:jc w:val="left"/>
        <w:rPr>
          <w:rStyle w:val="140"/>
          <w:rFonts w:ascii="宋体" w:hAnsi="宋体" w:cs="宋体"/>
          <w:color w:val="auto"/>
          <w:sz w:val="28"/>
          <w:szCs w:val="28"/>
          <w:highlight w:val="none"/>
          <w:lang w:val="zh-CN"/>
        </w:rPr>
      </w:pPr>
      <w:r>
        <w:rPr>
          <w:rStyle w:val="140"/>
          <w:rFonts w:hint="eastAsia" w:ascii="宋体" w:hAnsi="宋体" w:cs="宋体"/>
          <w:color w:val="auto"/>
          <w:sz w:val="28"/>
          <w:szCs w:val="28"/>
          <w:highlight w:val="none"/>
          <w:lang w:val="en-US" w:eastAsia="zh-CN"/>
        </w:rPr>
        <w:t>3</w:t>
      </w:r>
      <w:r>
        <w:rPr>
          <w:rStyle w:val="140"/>
          <w:rFonts w:ascii="宋体" w:hAnsi="宋体" w:cs="宋体"/>
          <w:color w:val="auto"/>
          <w:sz w:val="28"/>
          <w:szCs w:val="28"/>
          <w:highlight w:val="none"/>
          <w:lang w:val="zh-CN"/>
        </w:rPr>
        <w:t>.商务要求</w:t>
      </w:r>
    </w:p>
    <w:p>
      <w:pPr>
        <w:snapToGrid w:val="0"/>
        <w:spacing w:line="360" w:lineRule="auto"/>
        <w:ind w:firstLine="480" w:firstLineChars="200"/>
        <w:rPr>
          <w:rStyle w:val="140"/>
          <w:rFonts w:hint="eastAsia" w:ascii="宋体" w:hAnsi="宋体"/>
          <w:color w:val="auto"/>
          <w:kern w:val="0"/>
          <w:highlight w:val="none"/>
          <w:lang w:val="en-US" w:eastAsia="zh-CN"/>
        </w:rPr>
      </w:pPr>
      <w:r>
        <w:rPr>
          <w:rStyle w:val="140"/>
          <w:rFonts w:ascii="宋体" w:hAnsi="宋体"/>
          <w:color w:val="auto"/>
          <w:kern w:val="0"/>
          <w:highlight w:val="none"/>
        </w:rPr>
        <w:t>3</w:t>
      </w:r>
      <w:r>
        <w:rPr>
          <w:rStyle w:val="140"/>
          <w:rFonts w:ascii="宋体" w:hAnsi="宋体"/>
          <w:color w:val="auto"/>
          <w:kern w:val="0"/>
          <w:highlight w:val="none"/>
          <w:lang w:val="zh-CN"/>
        </w:rPr>
        <w:t>.1.交货时间：</w:t>
      </w:r>
      <w:r>
        <w:rPr>
          <w:rStyle w:val="140"/>
          <w:rFonts w:hint="eastAsia" w:ascii="宋体" w:hAnsi="宋体"/>
          <w:color w:val="auto"/>
          <w:kern w:val="0"/>
          <w:highlight w:val="none"/>
          <w:lang w:val="en-US" w:eastAsia="zh-CN"/>
        </w:rPr>
        <w:t>合同中约定</w:t>
      </w:r>
    </w:p>
    <w:p>
      <w:pPr>
        <w:snapToGrid w:val="0"/>
        <w:spacing w:line="360" w:lineRule="auto"/>
        <w:ind w:firstLine="480" w:firstLineChars="200"/>
        <w:rPr>
          <w:rStyle w:val="140"/>
          <w:rFonts w:hint="default" w:ascii="宋体" w:hAnsi="宋体"/>
          <w:color w:val="auto"/>
          <w:kern w:val="0"/>
          <w:highlight w:val="none"/>
          <w:lang w:val="en-US" w:eastAsia="zh-CN"/>
        </w:rPr>
      </w:pPr>
      <w:r>
        <w:rPr>
          <w:rStyle w:val="140"/>
          <w:rFonts w:hint="eastAsia" w:ascii="宋体" w:hAnsi="宋体"/>
          <w:color w:val="auto"/>
          <w:kern w:val="0"/>
          <w:highlight w:val="none"/>
          <w:lang w:val="en-US" w:eastAsia="zh-CN"/>
        </w:rPr>
        <w:t xml:space="preserve">   交货地点：甲方指定地点</w:t>
      </w:r>
    </w:p>
    <w:p>
      <w:pPr>
        <w:snapToGrid w:val="0"/>
        <w:spacing w:line="560" w:lineRule="exact"/>
        <w:ind w:firstLine="504" w:firstLineChars="200"/>
        <w:rPr>
          <w:rStyle w:val="140"/>
          <w:rFonts w:ascii="宋体" w:hAnsi="宋体"/>
          <w:color w:val="auto"/>
          <w:kern w:val="0"/>
          <w:highlight w:val="none"/>
        </w:rPr>
      </w:pPr>
      <w:r>
        <w:rPr>
          <w:rStyle w:val="140"/>
          <w:rFonts w:ascii="宋体" w:hAnsi="宋体"/>
          <w:color w:val="auto"/>
          <w:spacing w:val="6"/>
          <w:highlight w:val="none"/>
          <w:lang w:val="zh-CN"/>
        </w:rPr>
        <w:t>3.</w:t>
      </w:r>
      <w:r>
        <w:rPr>
          <w:rStyle w:val="140"/>
          <w:rFonts w:hint="eastAsia" w:ascii="宋体" w:hAnsi="宋体"/>
          <w:color w:val="auto"/>
          <w:spacing w:val="6"/>
          <w:highlight w:val="none"/>
          <w:lang w:val="en-US" w:eastAsia="zh-CN"/>
        </w:rPr>
        <w:t>2</w:t>
      </w:r>
      <w:r>
        <w:rPr>
          <w:rStyle w:val="140"/>
          <w:rFonts w:ascii="宋体" w:hAnsi="宋体"/>
          <w:color w:val="auto"/>
          <w:spacing w:val="6"/>
          <w:highlight w:val="none"/>
        </w:rPr>
        <w:t>.</w:t>
      </w:r>
      <w:r>
        <w:rPr>
          <w:rStyle w:val="140"/>
          <w:rFonts w:ascii="宋体" w:hAnsi="宋体"/>
          <w:color w:val="auto"/>
          <w:kern w:val="0"/>
          <w:highlight w:val="none"/>
        </w:rPr>
        <w:t>服务要求：</w:t>
      </w:r>
    </w:p>
    <w:p>
      <w:pPr>
        <w:snapToGrid w:val="0"/>
        <w:spacing w:line="360" w:lineRule="auto"/>
        <w:ind w:firstLine="480" w:firstLineChars="200"/>
        <w:rPr>
          <w:rStyle w:val="126"/>
          <w:rFonts w:ascii="宋体" w:hAnsi="宋体" w:eastAsia="宋体" w:cs="Times New Roman"/>
          <w:color w:val="auto"/>
          <w:kern w:val="0"/>
          <w:highlight w:val="none"/>
          <w:lang w:val="zh-CN"/>
        </w:rPr>
      </w:pPr>
      <w:r>
        <w:rPr>
          <w:rStyle w:val="126"/>
          <w:rFonts w:ascii="宋体" w:hAnsi="宋体" w:eastAsia="宋体" w:cs="Times New Roman"/>
          <w:color w:val="auto"/>
          <w:kern w:val="0"/>
          <w:highlight w:val="none"/>
          <w:lang w:val="zh-CN"/>
        </w:rPr>
        <w:t>本合同以人民币进行结算，合同总价包括：产品费、验收费、手续费、包装费、运输费、保险费、培训费、售前、售中、售后服务费</w:t>
      </w:r>
      <w:r>
        <w:rPr>
          <w:rStyle w:val="126"/>
          <w:rFonts w:hint="eastAsia" w:ascii="宋体" w:hAnsi="宋体" w:eastAsia="宋体" w:cs="Times New Roman"/>
          <w:color w:val="auto"/>
          <w:kern w:val="0"/>
          <w:highlight w:val="none"/>
          <w:lang w:val="zh-CN"/>
        </w:rPr>
        <w:t>、检测与试验、装卸、</w:t>
      </w:r>
      <w:r>
        <w:rPr>
          <w:rStyle w:val="126"/>
          <w:rFonts w:hint="eastAsia" w:ascii="宋体" w:hAnsi="宋体" w:cs="Times New Roman"/>
          <w:color w:val="auto"/>
          <w:kern w:val="0"/>
          <w:highlight w:val="none"/>
          <w:lang w:val="zh-CN"/>
        </w:rPr>
        <w:t>联机调试</w:t>
      </w:r>
      <w:r>
        <w:rPr>
          <w:rStyle w:val="126"/>
          <w:rFonts w:hint="eastAsia" w:ascii="宋体" w:hAnsi="宋体" w:eastAsia="宋体" w:cs="Times New Roman"/>
          <w:color w:val="auto"/>
          <w:kern w:val="0"/>
          <w:highlight w:val="none"/>
          <w:lang w:val="zh-CN"/>
        </w:rPr>
        <w:t>、安装调试指导、技术资料、人员、差旅、质量保证期服务费、其他管理费用、所有的检验、测试、调试、验收、试运行费用</w:t>
      </w:r>
      <w:r>
        <w:rPr>
          <w:rStyle w:val="126"/>
          <w:rFonts w:ascii="宋体" w:hAnsi="宋体" w:eastAsia="宋体" w:cs="Times New Roman"/>
          <w:color w:val="auto"/>
          <w:kern w:val="0"/>
          <w:highlight w:val="none"/>
          <w:lang w:val="zh-CN"/>
        </w:rPr>
        <w:t>、税金及不可预见费等全部费用。</w:t>
      </w:r>
    </w:p>
    <w:p>
      <w:pPr>
        <w:snapToGrid w:val="0"/>
        <w:spacing w:line="360" w:lineRule="auto"/>
        <w:ind w:firstLine="480" w:firstLineChars="200"/>
        <w:rPr>
          <w:rStyle w:val="126"/>
          <w:rFonts w:ascii="宋体" w:hAnsi="宋体" w:cs="Times New Roman"/>
          <w:color w:val="auto"/>
          <w:kern w:val="0"/>
          <w:highlight w:val="none"/>
          <w:lang w:val="zh-CN"/>
        </w:rPr>
      </w:pPr>
      <w:r>
        <w:rPr>
          <w:rStyle w:val="126"/>
          <w:rFonts w:ascii="宋体" w:hAnsi="宋体" w:cs="Times New Roman"/>
          <w:color w:val="auto"/>
          <w:kern w:val="0"/>
          <w:highlight w:val="none"/>
          <w:lang w:val="zh-CN"/>
        </w:rPr>
        <w:t>3.</w:t>
      </w:r>
      <w:r>
        <w:rPr>
          <w:rStyle w:val="126"/>
          <w:rFonts w:hint="eastAsia" w:ascii="宋体" w:hAnsi="宋体" w:cs="Times New Roman"/>
          <w:color w:val="auto"/>
          <w:kern w:val="0"/>
          <w:highlight w:val="none"/>
          <w:lang w:val="en-US"/>
        </w:rPr>
        <w:t>3</w:t>
      </w:r>
      <w:r>
        <w:rPr>
          <w:rStyle w:val="126"/>
          <w:rFonts w:ascii="宋体" w:hAnsi="宋体" w:cs="Times New Roman"/>
          <w:color w:val="auto"/>
          <w:kern w:val="0"/>
          <w:highlight w:val="none"/>
          <w:lang w:val="zh-CN"/>
        </w:rPr>
        <w:t>.其他事宜中标后与业方另行协商解决。</w:t>
      </w:r>
    </w:p>
    <w:p>
      <w:pPr>
        <w:numPr>
          <w:ilvl w:val="0"/>
          <w:numId w:val="0"/>
        </w:numPr>
        <w:autoSpaceDE w:val="0"/>
        <w:autoSpaceDN w:val="0"/>
        <w:spacing w:line="360" w:lineRule="auto"/>
        <w:rPr>
          <w:rFonts w:hint="eastAsia" w:ascii="宋体" w:hAnsi="宋体" w:cs="宋体"/>
          <w:color w:val="000000"/>
          <w:kern w:val="0"/>
          <w:lang w:eastAsia="zh-CN" w:bidi="ar"/>
        </w:rPr>
        <w:sectPr>
          <w:pgSz w:w="11905" w:h="16838"/>
          <w:pgMar w:top="2098" w:right="1474" w:bottom="1984" w:left="1587" w:header="0" w:footer="0" w:gutter="0"/>
          <w:pgNumType w:fmt="decimal"/>
          <w:cols w:space="720" w:num="1"/>
          <w:rtlGutter w:val="0"/>
          <w:docGrid w:linePitch="332" w:charSpace="0"/>
        </w:sectPr>
      </w:pPr>
    </w:p>
    <w:tbl>
      <w:tblPr>
        <w:tblStyle w:val="33"/>
        <w:tblW w:w="13657" w:type="dxa"/>
        <w:tblInd w:w="-15" w:type="dxa"/>
        <w:tblLayout w:type="fixed"/>
        <w:tblCellMar>
          <w:top w:w="0" w:type="dxa"/>
          <w:left w:w="108" w:type="dxa"/>
          <w:bottom w:w="0" w:type="dxa"/>
          <w:right w:w="108" w:type="dxa"/>
        </w:tblCellMar>
      </w:tblPr>
      <w:tblGrid>
        <w:gridCol w:w="4050"/>
        <w:gridCol w:w="576"/>
        <w:gridCol w:w="673"/>
        <w:gridCol w:w="5855"/>
        <w:gridCol w:w="810"/>
        <w:gridCol w:w="1693"/>
      </w:tblGrid>
      <w:tr>
        <w:tblPrEx>
          <w:tblCellMar>
            <w:top w:w="0" w:type="dxa"/>
            <w:left w:w="108" w:type="dxa"/>
            <w:bottom w:w="0" w:type="dxa"/>
            <w:right w:w="108" w:type="dxa"/>
          </w:tblCellMar>
        </w:tblPrEx>
        <w:trPr>
          <w:trHeight w:val="90" w:hRule="atLeast"/>
        </w:trPr>
        <w:tc>
          <w:tcPr>
            <w:tcW w:w="13657" w:type="dxa"/>
            <w:gridSpan w:val="6"/>
            <w:tcBorders>
              <w:top w:val="nil"/>
              <w:left w:val="nil"/>
              <w:bottom w:val="nil"/>
              <w:right w:val="nil"/>
            </w:tcBorders>
            <w:shd w:val="clear" w:color="auto" w:fill="auto"/>
            <w:noWrap/>
          </w:tcPr>
          <w:p>
            <w:pPr>
              <w:widowControl/>
              <w:jc w:val="center"/>
              <w:textAlignment w:val="top"/>
              <w:rPr>
                <w:rFonts w:asciiTheme="minorEastAsia" w:hAnsiTheme="minorEastAsia" w:eastAsiaTheme="minorEastAsia" w:cstheme="minorEastAsia"/>
                <w:color w:val="000000"/>
                <w:sz w:val="18"/>
                <w:szCs w:val="18"/>
              </w:rPr>
            </w:pPr>
            <w:r>
              <w:rPr>
                <w:rFonts w:hint="eastAsia" w:ascii="黑体" w:hAnsi="黑体" w:eastAsia="黑体" w:cs="黑体"/>
                <w:color w:val="000000"/>
                <w:kern w:val="0"/>
                <w:sz w:val="32"/>
                <w:szCs w:val="32"/>
                <w:lang w:bidi="ar"/>
              </w:rPr>
              <w:t>格尔木市市级政府采购清单</w:t>
            </w:r>
          </w:p>
        </w:tc>
      </w:tr>
      <w:tr>
        <w:tblPrEx>
          <w:tblCellMar>
            <w:top w:w="0" w:type="dxa"/>
            <w:left w:w="108" w:type="dxa"/>
            <w:bottom w:w="0" w:type="dxa"/>
            <w:right w:w="108" w:type="dxa"/>
          </w:tblCellMar>
        </w:tblPrEx>
        <w:trPr>
          <w:trHeight w:val="90" w:hRule="atLeast"/>
        </w:trPr>
        <w:tc>
          <w:tcPr>
            <w:tcW w:w="11154" w:type="dxa"/>
            <w:gridSpan w:val="4"/>
            <w:tcBorders>
              <w:top w:val="nil"/>
              <w:left w:val="nil"/>
              <w:bottom w:val="nil"/>
              <w:right w:val="nil"/>
            </w:tcBorders>
            <w:shd w:val="clear" w:color="auto" w:fill="auto"/>
            <w:noWrap/>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填报单位：   格尔木市公安局 （盖公章）                                                                  </w:t>
            </w:r>
          </w:p>
        </w:tc>
        <w:tc>
          <w:tcPr>
            <w:tcW w:w="2503" w:type="dxa"/>
            <w:gridSpan w:val="2"/>
            <w:tcBorders>
              <w:top w:val="nil"/>
              <w:left w:val="nil"/>
              <w:bottom w:val="nil"/>
              <w:right w:val="nil"/>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11154" w:type="dxa"/>
            <w:gridSpan w:val="4"/>
            <w:tcBorders>
              <w:top w:val="nil"/>
              <w:left w:val="nil"/>
              <w:bottom w:val="nil"/>
              <w:right w:val="nil"/>
            </w:tcBorders>
            <w:shd w:val="clear" w:color="auto" w:fill="auto"/>
            <w:noWrap/>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采购项目：格尔木市重点区域交通环境综合整治方案及道路交通信号灯、电警卡口设备采购项目</w:t>
            </w:r>
          </w:p>
        </w:tc>
        <w:tc>
          <w:tcPr>
            <w:tcW w:w="2503"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采购内容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数量</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单位</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规格参数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质保期</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备注</w:t>
            </w: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一、长江路与巴音路丁字路口信号灯系统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a)外壳材质：压铸铝。</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b)灯面尺寸：中400mm，遮沿等符合GB14887-2011的相关标准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c)光强：红色、黄色、绿色&gt;600cd，符合GB14887-2011标准。减光时中心光强200±10cd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d)色度及波长：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红色625±5nm</w:t>
            </w:r>
            <w:r>
              <w:rPr>
                <w:rFonts w:hint="eastAsia" w:asciiTheme="minorEastAsia" w:hAnsiTheme="minorEastAsia" w:eastAsiaTheme="minorEastAsia" w:cstheme="minorEastAsia"/>
                <w:color w:val="FF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X=0.6984，Y=0.3014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黄色590±5nm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X=0.5802,Y=0.4137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绿色505±4nm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X=0.0848,Y=0.5739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e)供电电压：AC220V±20%</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f）出线孔容纳线径：不低于Φ20mm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g)功率:≤20W</w:t>
            </w:r>
          </w:p>
          <w:p>
            <w:pPr>
              <w:widowControl/>
              <w:jc w:val="left"/>
              <w:textAlignment w:val="center"/>
              <w:rPr>
                <w:rFonts w:hint="eastAsia" w:asciiTheme="minorEastAsia" w:hAnsiTheme="minorEastAsia" w:eastAsiaTheme="minorEastAsia" w:cstheme="minorEastAsia"/>
                <w:color w:val="auto"/>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h)功率因数：≥</w:t>
            </w:r>
            <w:r>
              <w:rPr>
                <w:rFonts w:hint="eastAsia" w:asciiTheme="minorEastAsia" w:hAnsiTheme="minorEastAsia" w:eastAsiaTheme="minorEastAsia" w:cstheme="minorEastAsia"/>
                <w:color w:val="auto"/>
                <w:kern w:val="0"/>
                <w:sz w:val="18"/>
                <w:szCs w:val="18"/>
                <w:lang w:bidi="ar"/>
              </w:rPr>
              <w:t>0.9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i)启动瞬时电流：≤1.8A</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j)启动时间和关断时间:54ms,54ms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k)关断电压:60V</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l)工作温度：-40℃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+80℃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m)湿度:≤97%</w:t>
            </w:r>
          </w:p>
          <w:p>
            <w:pPr>
              <w:widowControl/>
              <w:jc w:val="left"/>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bidi="ar"/>
              </w:rPr>
              <w:t>n)使用寿命：&gt;10000</w:t>
            </w:r>
            <w:r>
              <w:rPr>
                <w:rFonts w:hint="eastAsia" w:asciiTheme="minorEastAsia" w:hAnsiTheme="minorEastAsia" w:eastAsiaTheme="minorEastAsia" w:cstheme="minorEastAsia"/>
                <w:color w:val="000000"/>
                <w:kern w:val="0"/>
                <w:sz w:val="18"/>
                <w:szCs w:val="18"/>
                <w:lang w:val="en-US" w:eastAsia="zh-CN" w:bidi="ar"/>
              </w:rPr>
              <w:t>h</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a.箭头灯灯面尺寸中400mm，图形尺寸符合GB14887-2011的相关标准。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b.色度值及波长：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红色625±5nm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X=0.6984，Y=0.3014；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黄色590±5nm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X=0.5802,Y=0.4137；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绿色505±4nm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X=0.0848,Y=0.5739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c.光强：红色、黄色、绿色&gt;60cd，符合GB148872011标准减光时中心光强200±10cd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d.供电电压：AC220V±20%</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e.出线孔容纳线径：不低于φ20mm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f.功率:≤20W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g.功率因数：≥0.9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h.启动瞬时电流：≤1.8A</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i.工作温度：-40℃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+80℃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j.湿度:≤97%</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k.使用寿命：&gt;10000h</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a.亮度：红色&gt;400cdm2；绿色&gt;4000cd/m2</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b.灯面尺寸:300m×220mm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c.供电电压：AC220V±20%,50Hz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d.工作温度：-40℃—+75℃</w:t>
            </w:r>
          </w:p>
          <w:p>
            <w:pPr>
              <w:widowControl/>
              <w:jc w:val="left"/>
              <w:textAlignment w:val="center"/>
              <w:rPr>
                <w:rFonts w:hint="eastAsia" w:asciiTheme="minorEastAsia" w:hAnsiTheme="minorEastAsia" w:eastAsiaTheme="minorEastAsia" w:cstheme="minorEastAsia"/>
                <w:color w:val="FF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e.湿度范围:</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5%-95%</w:t>
            </w: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FF0000"/>
                <w:kern w:val="0"/>
                <w:sz w:val="18"/>
                <w:szCs w:val="18"/>
                <w:lang w:val="en-US" w:eastAsia="zh-CN" w:bidi="ar"/>
              </w:rPr>
              <w:t xml:space="preserve">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f.绝缘电阻：≥500M</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g.使用寿命：&gt;10000</w:t>
            </w:r>
            <w:r>
              <w:rPr>
                <w:rFonts w:hint="eastAsia" w:asciiTheme="minorEastAsia" w:hAnsiTheme="minorEastAsia" w:eastAsiaTheme="minorEastAsia" w:cstheme="minorEastAsia"/>
                <w:color w:val="000000"/>
                <w:kern w:val="0"/>
                <w:sz w:val="18"/>
                <w:szCs w:val="18"/>
                <w:lang w:val="en-US" w:eastAsia="zh-CN" w:bidi="ar"/>
              </w:rPr>
              <w:t xml:space="preserve"> h</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h.重量：≤7.5kg(含包装、配件)</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i.外壳材质：铝合金</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j.可视距离：≥300m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k.外壳防护等级：≥IP54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m.可视角度：≥30°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包含：控制主机、配电单元、机柜、无线遥控器、GPS。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相位：支持≥64个相位；</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灯控输出：≥44路输出，单通道负载≥800W；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灯控板：≥4块，每块支持≥11路；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网络接口：≥1个RJ45接口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其他接口：≥1个RS232接口，≥2个RS485接口，≥1个USB接口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外部输入：≥8路行人按钮输入</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外部输出：无</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无线遥控：支持</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无线接入：可选配4G/WIFI模块</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工作电压：AC220V±44V，50Hz±2Hz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温度：-40℃～+70℃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功耗：≤35W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防护等级：≥IP54</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绝缘强度：大于700MΩ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bookmarkStart w:id="102" w:name="_GoBack"/>
            <w:bookmarkEnd w:id="102"/>
            <w:r>
              <w:rPr>
                <w:rFonts w:hint="eastAsia" w:asciiTheme="minorEastAsia" w:hAnsiTheme="minorEastAsia" w:eastAsiaTheme="minorEastAsia" w:cstheme="minorEastAsia"/>
                <w:color w:val="000000"/>
                <w:kern w:val="0"/>
                <w:sz w:val="18"/>
                <w:szCs w:val="18"/>
                <w:lang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结构设计新颖，体积小，表面喷塑，重量轻，安装方式采用模块，精心制作而成</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高可靠性，内部计时采用工业级微电脑控制技术，采用软件“看门狗”和硬件抗干扰措施，防雷性能好，使倒计时运行稳定可靠</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采用灯取电源方式，无须单独供电(也可AC220独立供电)。拆装方便，防水性能极佳；</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内部具有两组信号采样输入，可以方便地进行多相位计时；</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软件设计思路先进，检测速度快、时间精确</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取电方式可以采用电缆直接供电，也可以采用从信号灯取电的方式；</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采用超亮度四元素LED发光管，亮度高，衰减低，使用寿命≥10万小时；</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内部装有避雷器件，能有效减小雷电对倒计时产生的影响</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产品性能指标符合国家GB14887-2011标准。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额定功率：≤45W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可视角度：≥30°</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可视距离：≥400</w:t>
            </w:r>
            <w:r>
              <w:rPr>
                <w:rFonts w:hint="eastAsia" w:asciiTheme="minorEastAsia" w:hAnsiTheme="minorEastAsia" w:eastAsiaTheme="minorEastAsia" w:cstheme="minorEastAsia"/>
                <w:color w:val="000000"/>
                <w:kern w:val="0"/>
                <w:sz w:val="18"/>
                <w:szCs w:val="18"/>
                <w:lang w:val="en-US" w:eastAsia="zh-CN" w:bidi="ar"/>
              </w:rPr>
              <w:t>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工作温度：-40℃-80℃；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工作湿度:</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≤97%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发光强度：≥400cd/m2；</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额定电压：AC220V±10%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额定输出电压：AC176</w:t>
            </w:r>
            <w:r>
              <w:rPr>
                <w:rFonts w:hint="eastAsia" w:asciiTheme="minorEastAsia" w:hAnsiTheme="minorEastAsia" w:eastAsiaTheme="minorEastAsia" w:cstheme="minorEastAsia"/>
                <w:color w:val="000000"/>
                <w:kern w:val="0"/>
                <w:sz w:val="18"/>
                <w:szCs w:val="18"/>
                <w:lang w:val="en-US" w:eastAsia="zh-CN" w:bidi="ar"/>
              </w:rPr>
              <w:t>～</w:t>
            </w:r>
            <w:r>
              <w:rPr>
                <w:rFonts w:hint="eastAsia" w:asciiTheme="minorEastAsia" w:hAnsiTheme="minorEastAsia" w:eastAsiaTheme="minorEastAsia" w:cstheme="minorEastAsia"/>
                <w:color w:val="000000"/>
                <w:kern w:val="0"/>
                <w:sz w:val="18"/>
                <w:szCs w:val="18"/>
                <w:lang w:bidi="ar"/>
              </w:rPr>
              <w:t>264V,50HZ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符合GA/T508-2004标准要求；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通信方式或与RS485通讯协议方式,2位数字显示(99)；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通讯中断时，倒计时能在2秒内显示黑屏；适应多相位显示；</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规格：H=6.8m，L=6m；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w:t>
            </w:r>
            <w:r>
              <w:rPr>
                <w:rFonts w:hint="eastAsia" w:asciiTheme="minorEastAsia" w:hAnsiTheme="minorEastAsia" w:eastAsiaTheme="minorEastAsia" w:cstheme="minorEastAsia"/>
                <w:color w:val="000000"/>
                <w:kern w:val="0"/>
                <w:sz w:val="18"/>
                <w:szCs w:val="18"/>
                <w:lang w:val="en-US" w:eastAsia="zh-CN" w:bidi="ar"/>
              </w:rPr>
              <w:t>m/s</w:t>
            </w:r>
            <w:r>
              <w:rPr>
                <w:rFonts w:hint="eastAsia" w:asciiTheme="minorEastAsia" w:hAnsiTheme="minorEastAsia" w:eastAsiaTheme="minorEastAsia" w:cstheme="minorEastAsia"/>
                <w:color w:val="000000"/>
                <w:kern w:val="0"/>
                <w:sz w:val="18"/>
                <w:szCs w:val="18"/>
                <w:lang w:bidi="ar"/>
              </w:rPr>
              <w:t>(抗风压等级为10级)，承受压力为0.6</w:t>
            </w:r>
            <w:r>
              <w:rPr>
                <w:rFonts w:hint="eastAsia" w:asciiTheme="minorEastAsia" w:hAnsiTheme="minorEastAsia" w:eastAsiaTheme="minorEastAsia" w:cstheme="minorEastAsia"/>
                <w:color w:val="000000"/>
                <w:kern w:val="0"/>
                <w:sz w:val="18"/>
                <w:szCs w:val="18"/>
                <w:lang w:val="en-US" w:eastAsia="zh-CN" w:bidi="ar"/>
              </w:rPr>
              <w:t xml:space="preserve">KN </w:t>
            </w:r>
            <w:r>
              <w:rPr>
                <w:rFonts w:hint="eastAsia" w:asciiTheme="minorEastAsia" w:hAnsiTheme="minorEastAsia" w:eastAsiaTheme="minorEastAsia" w:cstheme="minorEastAsia"/>
                <w:color w:val="000000"/>
                <w:kern w:val="0"/>
                <w:sz w:val="18"/>
                <w:szCs w:val="18"/>
                <w:lang w:bidi="ar"/>
              </w:rPr>
              <w:t>，抗地震强度为8级。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1.圆柱型灯杆，材质Q235以上</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2.灯具安装位置预制灯具竖装安装口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3.杆高3.2</w:t>
            </w:r>
            <w:r>
              <w:rPr>
                <w:rFonts w:hint="eastAsia" w:asciiTheme="minorEastAsia" w:hAnsiTheme="minorEastAsia" w:eastAsiaTheme="minorEastAsia" w:cstheme="minorEastAsia"/>
                <w:color w:val="000000"/>
                <w:kern w:val="0"/>
                <w:sz w:val="18"/>
                <w:szCs w:val="18"/>
                <w:lang w:val="en-US" w:eastAsia="zh-CN" w:bidi="ar"/>
              </w:rPr>
              <w:t>m</w:t>
            </w:r>
            <w:r>
              <w:rPr>
                <w:rFonts w:hint="eastAsia" w:asciiTheme="minorEastAsia" w:hAnsiTheme="minorEastAsia" w:eastAsiaTheme="minorEastAsia" w:cstheme="minorEastAsia"/>
                <w:color w:val="000000"/>
                <w:kern w:val="0"/>
                <w:sz w:val="18"/>
                <w:szCs w:val="18"/>
                <w:lang w:bidi="ar"/>
              </w:rPr>
              <w:t>，符合信号灯配置要求；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4.杆体采用热浸锌工艺，镀锌层均匀且厚度不小于55μm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5.杆体设计合理，表面应光滑平顺，无气孔、焊渣、虚焊及漏焊等缺陷</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6.立杆及其主要构件的防护等级满足露天使用环境的要求，最大抗风风速不小于28m/s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170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 xml:space="preserve">全色谱KVV14×1.0mm2；                             </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全色谱KVV7×1.0mm2；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RVV2×2.5mm2                                             铜芯聚氯乙烯绝缘乙烯护套圆形连接软线；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用于潮湿和设备防护要求较高的场所；</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电压等级：300/300V,300/500V;</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芯数：2芯。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PE（聚乙烯）地埋电缆护套管；</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管径（外径）：Φ50，Φ63，管壁厚度依据管径大小不同≥4mm；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底板法兰800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*8</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，地脚螺栓M32*1500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*12</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底板法兰350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*350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，地脚螺栓M16*600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底板法兰800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，地脚螺栓M16*400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材质：铸铁或高分子材质，并标有“公安”字样。                                               规格：600mm*600mm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2.接地极、接地扁钢选用热镀锌钢材，接地装置规定埋深不应小于0.6</w:t>
            </w:r>
            <w:r>
              <w:rPr>
                <w:rFonts w:hint="eastAsia" w:asciiTheme="minorEastAsia" w:hAnsiTheme="minorEastAsia" w:eastAsiaTheme="minorEastAsia" w:cstheme="minorEastAsia"/>
                <w:color w:val="000000"/>
                <w:kern w:val="0"/>
                <w:sz w:val="18"/>
                <w:szCs w:val="18"/>
                <w:lang w:val="en-US" w:eastAsia="zh-CN" w:bidi="ar"/>
              </w:rPr>
              <w:t>m</w:t>
            </w:r>
            <w:r>
              <w:rPr>
                <w:rFonts w:hint="eastAsia" w:asciiTheme="minorEastAsia" w:hAnsiTheme="minorEastAsia" w:eastAsiaTheme="minorEastAsia" w:cstheme="minorEastAsia"/>
                <w:color w:val="000000"/>
                <w:kern w:val="0"/>
                <w:sz w:val="18"/>
                <w:szCs w:val="18"/>
                <w:lang w:bidi="ar"/>
              </w:rPr>
              <w:t>，接地线通过地表下0.6</w:t>
            </w:r>
            <w:r>
              <w:rPr>
                <w:rFonts w:hint="eastAsia" w:asciiTheme="minorEastAsia" w:hAnsiTheme="minorEastAsia" w:eastAsiaTheme="minorEastAsia" w:cstheme="minorEastAsia"/>
                <w:color w:val="000000"/>
                <w:kern w:val="0"/>
                <w:sz w:val="18"/>
                <w:szCs w:val="18"/>
                <w:lang w:val="en-US" w:eastAsia="zh-CN" w:bidi="ar"/>
              </w:rPr>
              <w:t>m</w:t>
            </w:r>
            <w:r>
              <w:rPr>
                <w:rFonts w:hint="eastAsia" w:asciiTheme="minorEastAsia" w:hAnsiTheme="minorEastAsia" w:eastAsiaTheme="minorEastAsia" w:cstheme="minorEastAsia"/>
                <w:color w:val="000000"/>
                <w:kern w:val="0"/>
                <w:sz w:val="18"/>
                <w:szCs w:val="18"/>
                <w:lang w:bidi="ar"/>
              </w:rPr>
              <w:t>引至地面外。</w:t>
            </w:r>
          </w:p>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3.接地极选用∠50×50×5×2500镀锌角钢，间距5M，接地母线用-40×4镀锌扁钢，接地母线之间电焊搭接长度不小于15CM，接地母线、接地极之间焊接处应做防腐处理。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L型信号灯杆基础开挖及清运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 xml:space="preserve">开挖尺寸：1500mm*1500mm*1800mm；                          </w:t>
            </w:r>
          </w:p>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余土外运：5</w:t>
            </w:r>
            <w:r>
              <w:rPr>
                <w:rFonts w:hint="eastAsia" w:asciiTheme="minorEastAsia" w:hAnsiTheme="minorEastAsia" w:eastAsiaTheme="minorEastAsia" w:cstheme="minorEastAsia"/>
                <w:color w:val="000000"/>
                <w:kern w:val="0"/>
                <w:sz w:val="18"/>
                <w:szCs w:val="18"/>
                <w:lang w:val="en-US" w:eastAsia="zh-CN" w:bidi="ar"/>
              </w:rPr>
              <w:t>km</w:t>
            </w:r>
            <w:r>
              <w:rPr>
                <w:rFonts w:hint="eastAsia" w:asciiTheme="minorEastAsia" w:hAnsiTheme="minorEastAsia" w:eastAsiaTheme="minorEastAsia" w:cstheme="minorEastAsia"/>
                <w:color w:val="000000"/>
                <w:kern w:val="0"/>
                <w:sz w:val="18"/>
                <w:szCs w:val="18"/>
                <w:lang w:bidi="ar"/>
              </w:rPr>
              <w:t xml:space="preserve">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开挖尺寸：800mm*800mm*800mm                                   余土外运：5</w:t>
            </w:r>
            <w:r>
              <w:rPr>
                <w:rFonts w:hint="eastAsia" w:asciiTheme="minorEastAsia" w:hAnsiTheme="minorEastAsia" w:eastAsiaTheme="minorEastAsia" w:cstheme="minorEastAsia"/>
                <w:color w:val="000000"/>
                <w:kern w:val="0"/>
                <w:sz w:val="18"/>
                <w:szCs w:val="18"/>
                <w:lang w:val="en-US" w:eastAsia="zh-CN" w:bidi="ar"/>
              </w:rPr>
              <w:t>km</w:t>
            </w:r>
            <w:r>
              <w:rPr>
                <w:rFonts w:hint="eastAsia" w:asciiTheme="minorEastAsia" w:hAnsiTheme="minorEastAsia" w:eastAsiaTheme="minorEastAsia" w:cstheme="minorEastAsia"/>
                <w:color w:val="000000"/>
                <w:kern w:val="0"/>
                <w:sz w:val="18"/>
                <w:szCs w:val="18"/>
                <w:lang w:bidi="ar"/>
              </w:rPr>
              <w:t xml:space="preserve">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开挖尺寸：600mm*1000mm*800mm                                  余土外运：5</w:t>
            </w:r>
            <w:r>
              <w:rPr>
                <w:rFonts w:hint="eastAsia" w:asciiTheme="minorEastAsia" w:hAnsiTheme="minorEastAsia" w:eastAsiaTheme="minorEastAsia" w:cstheme="minorEastAsia"/>
                <w:color w:val="000000"/>
                <w:kern w:val="0"/>
                <w:sz w:val="18"/>
                <w:szCs w:val="18"/>
                <w:lang w:val="en-US" w:eastAsia="zh-CN" w:bidi="ar"/>
              </w:rPr>
              <w:t>km</w:t>
            </w:r>
            <w:r>
              <w:rPr>
                <w:rFonts w:hint="eastAsia" w:asciiTheme="minorEastAsia" w:hAnsiTheme="minorEastAsia" w:eastAsiaTheme="minorEastAsia" w:cstheme="minorEastAsia"/>
                <w:color w:val="000000"/>
                <w:kern w:val="0"/>
                <w:sz w:val="18"/>
                <w:szCs w:val="18"/>
                <w:lang w:bidi="ar"/>
              </w:rPr>
              <w:t xml:space="preserve">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270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开挖尺寸：电缆沟开挖宽度不小于300mm，深度不小于500mm；长度根据施工现场实际情况而定。                              恢复：待管线敷设至电缆沟后，线管上方需做不小于50mm的硬化层，按原路面材质进行恢复。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开挖尺寸：电缆沟开挖宽度不小于300mm，深度不小于500mm；长度根据施工现场实际情况而定；                              恢复：管沟恢复需做硬化层防止路面塌陷，厚度不少于300mm，路面面层恢复采用沥青材料，压实厚度不小于100mm。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规格：600mm*600mm*800mm；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材料准备：电缆套管PEΦ50或Φ63；水泥、石灰、砂、MU15烧结非黏土砖送至现场并复试合格；送检合格的井盖及井圈。</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施工叙述：检查井基坑开挖，人工平整基底铺设水泥石灰土并压实，垫二层烧鸡非黏土砖并用干砂填缝，砖砌检查井并预留孔道，砂浆抹面，浇筑C25压顶混凝土安装检查井井圈及井盖；烧结非黏土砖在使用前应洒水湿润，砂浆应随便随用，水泥砂浆和水泥混合砂浆应分别在3H和4H内使用完毕；当施工期间最高气温超过30℃时，应分别在拌成后2H和3H内使用完毕。</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采用“三一”砌筑法，即采用“一块砖、一铲灰、一挤揉”工艺砌筑砖砌体的操作方法，保证灰缝饱满、粘结力好、墙面整洁。</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管线入接线井时管线周边用砂浆填塞密实，接线井施工砂浆、混凝土需洒水养护。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路口</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含运输、灯杆组立吊装。信号灯安装、控制机安装电缆敷设、接线加电调试、试运行等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二、滨河路与南海路丁字路口信号灯系统</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a)外壳材质：压铸铝。</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b)灯面尺寸：中400mm，遮沿等符合GB14887-2011的相关标准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c)光强：红色、黄色、绿色&gt;600cd，符合GB14887-2011标准。减光时中心光强200±10cd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d)色度及波长：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红色625±5nmX=0.6984，Y=0.3014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黄色590±5nmX=0.5802,Y=0.4137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绿色505±4nmX=0.0848,Y=0.5739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e)供电电压：AC220V±20%50Hz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f）出线孔容纳线径：不低于Φ20mm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g)功率:≤20W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h)功率因数：≥0.9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i)启动瞬时电流：≤1.8A</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j)启动时间和关断时间:54ms,54ms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k)关断电压:60V</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l)工作温度：-40℃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+80℃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m)湿度:≤97%</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n)使用寿命：&gt;10000</w:t>
            </w:r>
            <w:r>
              <w:rPr>
                <w:rFonts w:hint="eastAsia" w:asciiTheme="minorEastAsia" w:hAnsiTheme="minorEastAsia" w:eastAsiaTheme="minorEastAsia" w:cstheme="minorEastAsia"/>
                <w:color w:val="000000"/>
                <w:kern w:val="0"/>
                <w:sz w:val="18"/>
                <w:szCs w:val="18"/>
                <w:lang w:val="en-US" w:eastAsia="zh-CN" w:bidi="ar"/>
              </w:rPr>
              <w:t>h</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a.箭头灯灯面尺寸中400mm，图形尺寸符合GB14887-2011的相关标准。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b.色度值及波长：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红色625±5nm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X=0.6984，Y=0.3014；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黄色590±5nm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X=0.5802,Y=0.4137；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绿色505±4nmX=0.0848,Y=0.5739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c.光强：红色、黄色、绿色&gt;60cd，符合GB148872011标准减光时中心光强200±10cd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d.供电电压：AC220V±20%50Hz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e.出线孔容纳线径：不低于φ20mm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f.功率:≤20W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g.功率因数：≥0.9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h.启动瞬时电流：≤1.8A</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i.工作温度：-40℃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+80℃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j.湿度:≤97%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k.使用寿命：&gt;10000h</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a.亮度：红色&gt;400cdm2；绿色&gt;4000cd/m2</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b.灯面尺寸</w:t>
            </w:r>
            <w:r>
              <w:rPr>
                <w:rFonts w:hint="eastAsia" w:asciiTheme="minorEastAsia" w:hAnsiTheme="minorEastAsia" w:eastAsiaTheme="minorEastAsia" w:cstheme="minorEastAsia"/>
                <w:color w:val="000000"/>
                <w:kern w:val="0"/>
                <w:sz w:val="18"/>
                <w:szCs w:val="18"/>
                <w:lang w:val="en-US" w:eastAsia="zh-CN" w:bidi="ar"/>
              </w:rPr>
              <w:t>: 300mm</w:t>
            </w:r>
            <w:r>
              <w:rPr>
                <w:rFonts w:hint="eastAsia" w:asciiTheme="minorEastAsia" w:hAnsiTheme="minorEastAsia" w:eastAsiaTheme="minorEastAsia" w:cstheme="minorEastAsia"/>
                <w:color w:val="000000"/>
                <w:kern w:val="0"/>
                <w:sz w:val="18"/>
                <w:szCs w:val="18"/>
                <w:lang w:bidi="ar"/>
              </w:rPr>
              <w:t>×220mm</w:t>
            </w:r>
            <w:r>
              <w:rPr>
                <w:rFonts w:hint="eastAsia" w:asciiTheme="minorEastAsia" w:hAnsiTheme="minorEastAsia" w:eastAsiaTheme="minorEastAsia" w:cstheme="minorEastAsia"/>
                <w:color w:val="000000"/>
                <w:kern w:val="0"/>
                <w:sz w:val="18"/>
                <w:szCs w:val="18"/>
                <w:lang w:val="en-US" w:eastAsia="zh-CN" w:bidi="ar"/>
              </w:rPr>
              <w:t xml:space="preserve">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c.供电电压：AC220V±20%,50Hz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d.工作温度：-40℃—+75℃</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e.湿度范围</w:t>
            </w:r>
            <w:r>
              <w:rPr>
                <w:rFonts w:hint="eastAsia" w:asciiTheme="minorEastAsia" w:hAnsiTheme="minorEastAsia" w:eastAsiaTheme="minorEastAsia" w:cstheme="minorEastAsia"/>
                <w:color w:val="000000"/>
                <w:kern w:val="0"/>
                <w:sz w:val="18"/>
                <w:szCs w:val="18"/>
                <w:lang w:val="en-US" w:eastAsia="zh-CN" w:bidi="ar"/>
              </w:rPr>
              <w:t>: ≤97%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f.绝缘电阻：≥500M</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g.使用寿命：&gt;</w:t>
            </w:r>
            <w:r>
              <w:rPr>
                <w:rFonts w:hint="eastAsia" w:asciiTheme="minorEastAsia" w:hAnsiTheme="minorEastAsia" w:eastAsiaTheme="minorEastAsia" w:cstheme="minorEastAsia"/>
                <w:color w:val="000000"/>
                <w:kern w:val="0"/>
                <w:sz w:val="18"/>
                <w:szCs w:val="18"/>
                <w:lang w:val="en-US" w:eastAsia="zh-CN" w:bidi="ar"/>
              </w:rPr>
              <w:t>10000h</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i.外壳材质：铝合金</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j.可视距离：≥300m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k.外壳防护等级：≥IP54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l.介电强度：耐压1450V</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m.可视角度：≥30°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包含：控制主机、配电单元、机柜、无线遥控器、GPS。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相位：支持≥64个相位；</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灯控输出：≥44路输出，单通道负载≥800W；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灯控板：≥4块，每块支持≥11路；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网络接口：≥1个RJ45接口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其他接口：≥1个RS232接口，≥2个RS485接口，≥1个USB接口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外部输入：≥8路行人按钮输入</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外部输出：无</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无线遥控：支持</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无线接入：可选配4G/WIFI模块</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工作电压：AC220V±44V，50Hz±2Hz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温度：-40℃～+70℃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功耗：≤35W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防护等级：≥IP54</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绝缘强度：大于700MΩ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结构设计新颖，体积小，表面喷塑，重量轻，安装方式采用模块，精心制作而成</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高可靠性，内部计时采用工业级微电脑控制技术，采用软件“看门狗”和硬件抗干扰措施，防雷性能好，使倒计时运行稳定可靠</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采用灯取电源方式，无须单独供电(也可AC220独立供电)。拆装方便，防水性能极佳；</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内部具有两组信号采样输入，可以方便地进行多相位计时；</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软件设计思路先进，检测速度快、时间精确</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取电方式可以采用电缆直接供电，也可以采用从信号灯取电的方式；</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采用超亮度四元素LED发光管，亮度高，衰减低，使用寿命≥10万小时；</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内部装有避雷器件，能有效减小雷电对倒计时产生的影响</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产品性能指标符合国家GB14887-2011标准。</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额定功率</w:t>
            </w:r>
            <w:r>
              <w:rPr>
                <w:rFonts w:hint="eastAsia" w:asciiTheme="minorEastAsia" w:hAnsiTheme="minorEastAsia" w:eastAsiaTheme="minorEastAsia" w:cstheme="minorEastAsia"/>
                <w:color w:val="000000"/>
                <w:kern w:val="0"/>
                <w:sz w:val="18"/>
                <w:szCs w:val="18"/>
                <w:lang w:val="en-US" w:eastAsia="zh-CN" w:bidi="ar"/>
              </w:rPr>
              <w:t>：≤45W</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可视角度：≥30°</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可视距离：≥400m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工作温度：-40℃-80℃；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工作湿度:10%-95%</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发光强度：≥400cd/m2；</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额定电压：AC220V±10%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额定输出电压：AC176</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264V,50HZ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符合GA/T508-2004标准要求；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通信方式或与RS485通讯协议方式,2位数字显示(99)；</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通讯中断时，倒计时能在2秒内显示黑屏；适应多相位显示；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 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规格：H=6.8m，L=6m；</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（1）钢杆臂厚不低于6mm，材质Q235以上，其力学性能满足信号灯杆的强度要求，设计可抗最大风速39.6m/s(抗风压等级为10级)，承受压力为0.6 KN，抗地震强度为8级。</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（2）焊体表面焊波均匀、无裂纹、气孔、夹渣、烧穿、未融合，弧坑和针状气体等，焊缝均匀丰满美观。</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规格：H=6.8m，L=9m；</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（1）钢杆臂厚不低于6mm，材质Q235以上，其力学性能满足信号灯杆的强度要求，设计可抗最大风速39.6m/s(抗风压等级为10级)，承受压力为0.6KN，抗地震强度为8级。</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（2）焊体表面焊波均匀、无裂纹、气孔、夹渣、烧穿、未融合，弧坑和针状气体等，焊缝均匀丰满美观。</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1.圆柱型灯杆，材质Q235以上</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2.灯具安装位置预制灯具竖装安装口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3.杆高3.2</w:t>
            </w:r>
            <w:r>
              <w:rPr>
                <w:rFonts w:hint="eastAsia" w:asciiTheme="minorEastAsia" w:hAnsiTheme="minorEastAsia" w:eastAsiaTheme="minorEastAsia" w:cstheme="minorEastAsia"/>
                <w:color w:val="000000"/>
                <w:kern w:val="0"/>
                <w:sz w:val="18"/>
                <w:szCs w:val="18"/>
                <w:lang w:val="en-US" w:eastAsia="zh-CN" w:bidi="ar"/>
              </w:rPr>
              <w:t xml:space="preserve"> m，符</w:t>
            </w:r>
            <w:r>
              <w:rPr>
                <w:rFonts w:hint="eastAsia" w:asciiTheme="minorEastAsia" w:hAnsiTheme="minorEastAsia" w:eastAsiaTheme="minorEastAsia" w:cstheme="minorEastAsia"/>
                <w:color w:val="000000"/>
                <w:kern w:val="0"/>
                <w:sz w:val="18"/>
                <w:szCs w:val="18"/>
                <w:lang w:bidi="ar"/>
              </w:rPr>
              <w:t>合信号灯配置要求；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4.杆体采用热浸锌工艺，镀锌层均匀且厚度不小于55μm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5.杆体设计合理，表面应光滑平顺，无气孔、焊渣、虚焊及漏焊等缺陷</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6.立杆及其主要构件的防护等级满足露天使用环境的要求，最大抗风风速不小于28m/s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nil"/>
              <w:left w:val="nil"/>
              <w:bottom w:val="nil"/>
              <w:right w:val="nil"/>
            </w:tcBorders>
            <w:shd w:val="clear" w:color="auto" w:fill="auto"/>
            <w:noWrap/>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全色谱KVV14×1.0mm2；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全色谱KVV7×1.0mm2；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RVV2×2.5mm2                                             铜芯聚氯乙烯绝缘乙烯护套圆形连接软线；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用于潮湿和设备防护要求较高的场所；</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电压等级：300/300V,300/500V;</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芯数：2芯。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315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PE（聚乙烯）地埋电缆护套管；</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管径（外径）：Φ50，Φ63，管壁厚度依据管径大小不同≥4mm；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底板法兰800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*8</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，地脚螺栓M32*1500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*12</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底板法兰350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*350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，地脚螺栓M16*600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底板法兰800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，地脚螺栓M16*400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材质：铸铁或高分子材质，并标有“公安”字样。                                               规格：600mm*600mm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2.接地极、接地扁钢选用热镀锌钢材，接地装置规定埋深不应小于0.6M，接地线通过地表下0.6M引至地面外。</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3.接地极选用∠50×50×5×2500镀锌角钢，间距5M，接地母线用-40×4镀锌扁钢，接地母线之间电焊搭接长度不小于15CM，接地母线、接地极之间焊接处应做防腐处理。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 型 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开挖尺寸：1500mm*1500mm*1800mm；                         </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 xml:space="preserve">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开挖尺寸：800mm*800mm*800mm                                   余土外运：5</w:t>
            </w:r>
            <w:r>
              <w:rPr>
                <w:rFonts w:hint="eastAsia" w:asciiTheme="minorEastAsia" w:hAnsiTheme="minorEastAsia" w:eastAsiaTheme="minorEastAsia" w:cstheme="minorEastAsia"/>
                <w:color w:val="000000"/>
                <w:kern w:val="0"/>
                <w:sz w:val="18"/>
                <w:szCs w:val="18"/>
                <w:lang w:val="en-US" w:eastAsia="zh-CN" w:bidi="ar"/>
              </w:rPr>
              <w:t>km</w:t>
            </w:r>
            <w:r>
              <w:rPr>
                <w:rFonts w:hint="eastAsia" w:asciiTheme="minorEastAsia" w:hAnsiTheme="minorEastAsia" w:eastAsiaTheme="minorEastAsia" w:cstheme="minorEastAsia"/>
                <w:color w:val="000000"/>
                <w:kern w:val="0"/>
                <w:sz w:val="18"/>
                <w:szCs w:val="18"/>
                <w:lang w:bidi="ar"/>
              </w:rPr>
              <w:t xml:space="preserve">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开挖尺寸：600mm*1000mm*800mm                                  余土外运：5</w:t>
            </w:r>
            <w:r>
              <w:rPr>
                <w:rFonts w:hint="eastAsia" w:asciiTheme="minorEastAsia" w:hAnsiTheme="minorEastAsia" w:eastAsiaTheme="minorEastAsia" w:cstheme="minorEastAsia"/>
                <w:color w:val="000000"/>
                <w:kern w:val="0"/>
                <w:sz w:val="18"/>
                <w:szCs w:val="18"/>
                <w:lang w:val="en-US" w:eastAsia="zh-CN" w:bidi="ar"/>
              </w:rPr>
              <w:t>km</w:t>
            </w:r>
            <w:r>
              <w:rPr>
                <w:rFonts w:hint="eastAsia" w:asciiTheme="minorEastAsia" w:hAnsiTheme="minorEastAsia" w:eastAsiaTheme="minorEastAsia" w:cstheme="minorEastAsia"/>
                <w:color w:val="000000"/>
                <w:kern w:val="0"/>
                <w:sz w:val="18"/>
                <w:szCs w:val="18"/>
                <w:lang w:bidi="ar"/>
              </w:rPr>
              <w:t xml:space="preserve">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263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开挖尺寸：电缆沟开挖宽度不小于300mm，深度不小于500mm；长度根据施工现场实际情况而定。                              恢复：待管线敷设至电缆沟后，线管上方需做不小于50mm的硬化层，按原路面材质进行恢复。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125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开挖尺寸：电缆沟开挖宽度不小于300mm，深度不小于500mm；长度根据施工现场实际情况而定；                              恢复：管沟恢复需做硬化层防止路面塌陷，厚度不少于300mm，路面面层恢复采用沥青材料，压实厚度不小于100mm。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规格：600mm*600mm*800mm；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材料准备：电缆套管PEΦ50或Φ63；水泥、石灰、砂、MU15烧结非黏土砖送至现场并复试合格；送检合格的井盖及井圈。</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施工叙述：检查井基坑开挖，人工平整基底铺设水泥石灰土并压实，垫二层烧鸡非黏土砖并用干砂填缝，砖砌检查井并预留孔道，砂浆抹面，浇筑C25压顶混凝土安装检查井井圈及井盖；烧结非黏土砖在使用前应洒水湿润，砂浆应随便随用，水泥砂浆和水泥混合砂浆应分别在3H和4H内使用完毕；当施工期间最高气温超过30℃时，应分别在拌成后2H和3H内使用完毕。</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采用“三一”砌筑法，即采用“一块砖、一铲灰、一挤揉”工艺砌筑砖砌体的操作方法，保证灰缝饱满、粘结力好、墙面整洁。</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管线入接线井时管线周边用砂浆填塞密实，接线井施工砂浆、混凝土需洒水养护。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路口</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含运输、灯杆组立吊装。信号灯安装、控制机安装电缆敷设、接线加电调试、试运行等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三、昆仑路与青年街丁字路口信号灯系统采购</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a)外壳材质：压铸铝。</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b)灯面尺寸：中400mm，遮沿等符合GB14887-2011的相关标准</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c)光强：红色、黄色、绿色&gt;600cd，符合GB14887-2011标准。减光时中心光强200±10cd</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d)色度及波长：</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红色625±5nm</w:t>
            </w: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X=0.6984，Y=0.3014</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黄色590±5nm</w:t>
            </w: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X=0.5802,Y=0.4137</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绿色505±4nm</w:t>
            </w:r>
            <w:r>
              <w:rPr>
                <w:rFonts w:hint="eastAsia" w:asciiTheme="minorEastAsia" w:hAnsiTheme="minorEastAsia" w:eastAsiaTheme="minorEastAsia" w:cstheme="minorEastAsia"/>
                <w:color w:val="000000" w:themeColor="text1"/>
                <w:kern w:val="0"/>
                <w:sz w:val="18"/>
                <w:szCs w:val="18"/>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X=0.0848,Y=0.5739</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e)供电电压：AC220V±20%50Hz</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f）出线孔容纳线径：不低于Φ20mm</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g)功率:≤20W</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h)功率因数：≥0.9</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i)启动瞬时电流：≤1.8A</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j)启动时间和关断时间:54ms,54ms</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k)关断电压:60V</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l)工作温度：-40℃</w:t>
            </w:r>
            <w: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+80℃</w:t>
            </w:r>
          </w:p>
          <w:p>
            <w:pPr>
              <w:widowControl/>
              <w:jc w:val="left"/>
              <w:textAlignment w:val="center"/>
              <w:rPr>
                <w:rFonts w:hint="eastAsia" w:asciiTheme="minorEastAsia" w:hAnsiTheme="minorEastAsia" w:eastAsiaTheme="minorEastAsia" w:cstheme="minorEastAsia"/>
                <w:color w:val="000000" w:themeColor="text1"/>
                <w:kern w:val="0"/>
                <w:sz w:val="18"/>
                <w:szCs w:val="18"/>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m)湿度:≤97%</w:t>
            </w:r>
          </w:p>
          <w:p>
            <w:pPr>
              <w:widowControl/>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bidi="ar"/>
                <w14:textFill>
                  <w14:solidFill>
                    <w14:schemeClr w14:val="tx1"/>
                  </w14:solidFill>
                </w14:textFill>
              </w:rPr>
              <w:t>n)使用寿命：&gt;10000</w:t>
            </w:r>
            <w:r>
              <w:rPr>
                <w:rFonts w:hint="eastAsia" w:asciiTheme="minorEastAsia" w:hAnsiTheme="minorEastAsia" w:eastAsiaTheme="minorEastAsia" w:cstheme="minorEastAsia"/>
                <w:color w:val="000000"/>
                <w:kern w:val="0"/>
                <w:sz w:val="18"/>
                <w:szCs w:val="18"/>
                <w:lang w:val="en-US" w:eastAsia="zh-CN" w:bidi="ar"/>
              </w:rPr>
              <w:t>h</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a.箭头灯灯面尺寸中400mm，图形尺寸符合GB14887-2011的相关标准。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b.色度值及波长：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红色625±5nm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X=0.6984，Y=0.3014；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黄色590±5nm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X=0.5802,Y=0.4137；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绿色505±4nm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X=0.0848,Y=0.5739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c.光强：红色、黄色、绿色&gt;60cd，符合GB148872011标准减光时中心光强200±10cd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d.供电电压：AC220V±20%50Hz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e.出线孔容纳线径：不低于φ20mm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f.功率:≤20W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g.功率因数：≥0.9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h.启动瞬时电流：≤1.8A</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i.工作温度：-40℃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+80℃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j.湿度:≤97%</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k.使用寿命：&gt;10000h</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a.亮度：红色&gt;400cdm2；绿色&gt;4000cd/m2</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b.灯面尺寸:300m×220mm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c.供电电压：AC220V±20%,50Hz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d.工作温度：-40℃—+75℃</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e.湿度范围:5%-95%</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f.绝缘电阻：≥500M</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g.使用寿命：&gt;10</w:t>
            </w:r>
            <w:r>
              <w:rPr>
                <w:rFonts w:hint="eastAsia" w:asciiTheme="minorEastAsia" w:hAnsiTheme="minorEastAsia" w:eastAsiaTheme="minorEastAsia" w:cstheme="minorEastAsia"/>
                <w:color w:val="000000"/>
                <w:kern w:val="0"/>
                <w:sz w:val="18"/>
                <w:szCs w:val="18"/>
                <w:lang w:val="en-US" w:eastAsia="zh-CN" w:bidi="ar"/>
              </w:rPr>
              <w:t>000h</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i.外壳材质：铝合金</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j.可视距离：≥300m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k.外壳防护等级：≥IP54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l.介电强度：耐压1450V</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m.可视角度：≥30°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包含：控制主机、配电单元、机柜、无线遥控器、GPS。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相位：支持≥64个相位；</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灯控输出：≥44路输出，单通道负载≥800W；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灯控板：≥4块，每块支持≥11路；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网络接口：≥1个RJ45接口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其他接口：≥1个RS232接口，≥2个RS485接口，≥1个USB接口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外部输入：≥8路行人按钮输入</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外部输出：无</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无线遥控：支持</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无线接入：可选配4G/WIFI模块</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工作电压：AC220V±44V，50Hz±2Hz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温度：-40℃～+70℃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功耗：≤35W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防护等级：≥IP54</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绝缘强度：大于700MΩ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结构设计新颖，体积小，表面喷塑，重量轻，安装方式采用模块，精心制作而成</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高可靠性，内部计时采用工业级微电脑控制技术，采用软件“看门狗”和硬件抗干扰措施，防雷性能好，使倒计时运行稳定可靠</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采用灯取电源方式，无须单独供电(也可AC220独立供电)。拆装方便，防水性能极佳；</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内部具有两组信号采样输入，可以方便地进行多相位计时；</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软件设计思路先进，检测速度快、时间精确</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取电方式可以采用电缆直接供电，也可以采用从信号灯取电的方式；</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采用超亮度四元素LED发光管，亮度高，衰减低，使用寿命≥10万小时；</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内部装有避雷器件，能有效减小雷电对倒计时产生的影响</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产品性能指标符合国家GB14887-2011标准。</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额定功率</w:t>
            </w:r>
            <w:r>
              <w:rPr>
                <w:rFonts w:hint="eastAsia" w:asciiTheme="minorEastAsia" w:hAnsiTheme="minorEastAsia" w:eastAsiaTheme="minorEastAsia" w:cstheme="minorEastAsia"/>
                <w:color w:val="000000"/>
                <w:kern w:val="0"/>
                <w:sz w:val="18"/>
                <w:szCs w:val="18"/>
                <w:lang w:val="en-US" w:eastAsia="zh-CN" w:bidi="ar"/>
              </w:rPr>
              <w:t>：≤45W</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可视角度：≥30°</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可视距离：≥400m</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工作温度：-40℃-80℃；</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工作湿度:≤97%</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发光强度：≥400cd/m2；</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额定电压：AC220V±10%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额定输出电压：AC176</w:t>
            </w:r>
            <w:r>
              <w:rPr>
                <w:rFonts w:hint="eastAsia" w:asciiTheme="minorEastAsia" w:hAnsiTheme="minorEastAsia" w:eastAsiaTheme="minorEastAsia" w:cstheme="minorEastAsia"/>
                <w:color w:val="000000"/>
                <w:kern w:val="0"/>
                <w:sz w:val="18"/>
                <w:szCs w:val="18"/>
                <w:lang w:val="en-US" w:eastAsia="zh-CN" w:bidi="ar"/>
              </w:rPr>
              <w:t>～</w:t>
            </w:r>
            <w:r>
              <w:rPr>
                <w:rFonts w:hint="eastAsia" w:asciiTheme="minorEastAsia" w:hAnsiTheme="minorEastAsia" w:eastAsiaTheme="minorEastAsia" w:cstheme="minorEastAsia"/>
                <w:color w:val="000000"/>
                <w:kern w:val="0"/>
                <w:sz w:val="18"/>
                <w:szCs w:val="18"/>
                <w:lang w:bidi="ar"/>
              </w:rPr>
              <w:t>264V,50HZ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符合GA/T508-2004标准要求；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通信方式或与RS485通讯协议方式,2位数字显示(99)；</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通讯中断时，倒计时能在2秒内显示黑屏；适应多相位显示；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规格：H=6.8m，L=6m；</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w:t>
            </w:r>
            <w:r>
              <w:rPr>
                <w:rFonts w:hint="eastAsia" w:asciiTheme="minorEastAsia" w:hAnsiTheme="minorEastAsia" w:eastAsiaTheme="minorEastAsia" w:cstheme="minorEastAsia"/>
                <w:color w:val="000000"/>
                <w:kern w:val="0"/>
                <w:sz w:val="18"/>
                <w:szCs w:val="18"/>
                <w:lang w:val="en-US" w:eastAsia="zh-CN" w:bidi="ar"/>
              </w:rPr>
              <w:t>6m/s</w:t>
            </w:r>
            <w:r>
              <w:rPr>
                <w:rFonts w:hint="eastAsia" w:asciiTheme="minorEastAsia" w:hAnsiTheme="minorEastAsia" w:eastAsiaTheme="minorEastAsia" w:cstheme="minorEastAsia"/>
                <w:color w:val="000000"/>
                <w:kern w:val="0"/>
                <w:sz w:val="18"/>
                <w:szCs w:val="18"/>
                <w:lang w:bidi="ar"/>
              </w:rPr>
              <w:t>(抗风压等级为10级)，承受压力为0.6</w:t>
            </w:r>
            <w:r>
              <w:rPr>
                <w:rFonts w:hint="eastAsia" w:asciiTheme="minorEastAsia" w:hAnsiTheme="minorEastAsia" w:eastAsiaTheme="minorEastAsia" w:cstheme="minorEastAsia"/>
                <w:color w:val="000000"/>
                <w:kern w:val="0"/>
                <w:sz w:val="18"/>
                <w:szCs w:val="18"/>
                <w:lang w:val="en-US" w:eastAsia="zh-CN" w:bidi="ar"/>
              </w:rPr>
              <w:t>KN，抗地震强度为8级。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1.圆柱型灯杆，材质Q235以上</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2.灯具安装位置预制灯具竖装安装口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3.杆高3.2</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，符合信号灯配置要求；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4.杆体采用热浸锌工艺，镀锌层均匀且厚度不小于55μm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5.杆体设计合理，表面应光滑平顺，无气孔、焊渣、虚焊及漏焊等缺陷</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6.立杆及其主要构件的防护等级满足露天使用环境的要求，最大抗风风速不小于28m/s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全色谱KVV14×1.0mm2；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全色谱KVV7×1.0mm2；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RVV2×2.5mm2                                             铜芯聚氯乙烯绝缘乙烯护套圆形连接软线；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用于潮湿和设备防护要求较高的场所；</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电压等级：300/300V,300/500V;</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芯数：2芯。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PE（聚乙烯）地埋电缆护套管；</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管径（外径）：Φ50，Φ63，管壁厚度依据管径大小不同≥4mm；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 型 信号灯杆地脚螺栓  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底板法兰800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*8</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，地脚螺栓M32*1500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*12</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底板法兰350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*350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，地脚螺栓M16*600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底板法兰800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，地脚螺栓M16*400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材质：铸铁或高分子材质，并标有“公安”字样。                                               规格：600mm*600mm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2.接地极、接地扁钢选用热镀锌钢材，接地装置规定埋深不应小于0.6M，接地线通过地表下0.6M引至地面外。</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3.接地极选用∠50×50×5×2500镀锌角钢，间距5M，接地母线用-40×4镀锌扁钢，接地母线之间电焊搭接长度不小于15CM，接地母线、接地极之间焊接处应做防腐处理。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 xml:space="preserve">开挖尺寸：1500mm*1500mm*1800mm；                        </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 xml:space="preserve">  余土外运：5</w:t>
            </w:r>
            <w:r>
              <w:rPr>
                <w:rFonts w:hint="eastAsia" w:asciiTheme="minorEastAsia" w:hAnsiTheme="minorEastAsia" w:eastAsiaTheme="minorEastAsia" w:cstheme="minorEastAsia"/>
                <w:color w:val="000000"/>
                <w:kern w:val="0"/>
                <w:sz w:val="18"/>
                <w:szCs w:val="18"/>
                <w:lang w:val="en-US" w:eastAsia="zh-CN" w:bidi="ar"/>
              </w:rPr>
              <w:t>km</w:t>
            </w:r>
            <w:r>
              <w:rPr>
                <w:rFonts w:hint="eastAsia" w:asciiTheme="minorEastAsia" w:hAnsiTheme="minorEastAsia" w:eastAsiaTheme="minorEastAsia" w:cstheme="minorEastAsia"/>
                <w:color w:val="000000"/>
                <w:kern w:val="0"/>
                <w:sz w:val="18"/>
                <w:szCs w:val="18"/>
                <w:lang w:bidi="ar"/>
              </w:rPr>
              <w:t xml:space="preserve">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开挖尺寸：800mm*800mm*800mm                                   余土外运：5</w:t>
            </w:r>
            <w:r>
              <w:rPr>
                <w:rFonts w:hint="eastAsia" w:asciiTheme="minorEastAsia" w:hAnsiTheme="minorEastAsia" w:eastAsiaTheme="minorEastAsia" w:cstheme="minorEastAsia"/>
                <w:color w:val="000000"/>
                <w:kern w:val="0"/>
                <w:sz w:val="18"/>
                <w:szCs w:val="18"/>
                <w:lang w:val="en-US" w:eastAsia="zh-CN" w:bidi="ar"/>
              </w:rPr>
              <w:t>km</w:t>
            </w:r>
            <w:r>
              <w:rPr>
                <w:rFonts w:hint="eastAsia" w:asciiTheme="minorEastAsia" w:hAnsiTheme="minorEastAsia" w:eastAsiaTheme="minorEastAsia" w:cstheme="minorEastAsia"/>
                <w:color w:val="000000"/>
                <w:kern w:val="0"/>
                <w:sz w:val="18"/>
                <w:szCs w:val="18"/>
                <w:lang w:bidi="ar"/>
              </w:rPr>
              <w:t xml:space="preserve">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开挖尺寸：600mm*1000mm*800mm                                  余土外运：5</w:t>
            </w:r>
            <w:r>
              <w:rPr>
                <w:rFonts w:hint="eastAsia" w:asciiTheme="minorEastAsia" w:hAnsiTheme="minorEastAsia" w:eastAsiaTheme="minorEastAsia" w:cstheme="minorEastAsia"/>
                <w:color w:val="000000"/>
                <w:kern w:val="0"/>
                <w:sz w:val="18"/>
                <w:szCs w:val="18"/>
                <w:lang w:val="en-US" w:eastAsia="zh-CN" w:bidi="ar"/>
              </w:rPr>
              <w:t>km</w:t>
            </w:r>
            <w:r>
              <w:rPr>
                <w:rFonts w:hint="eastAsia" w:asciiTheme="minorEastAsia" w:hAnsiTheme="minorEastAsia" w:eastAsiaTheme="minorEastAsia" w:cstheme="minorEastAsia"/>
                <w:color w:val="000000"/>
                <w:kern w:val="0"/>
                <w:sz w:val="18"/>
                <w:szCs w:val="18"/>
                <w:lang w:bidi="ar"/>
              </w:rPr>
              <w:t xml:space="preserve">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开挖尺寸：电缆沟开挖宽度不小于300mm，深度不小于500mm；长度根据施工现场实际情况而定。                            </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 xml:space="preserve">  恢复：待管线敷设至电缆沟后，线管上方需做不小于50mm的硬化层，按原路面材质进行恢复。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开挖尺寸：电缆沟开挖宽度不小于300mm，深度不小于500mm；长度根据施工现场实际情况而定；                              恢复：管沟恢复需做硬化层防止路面塌陷，厚度不少于300mm，路面面层恢复采用沥青材料，压实厚度不小于100mm。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格：600mm*600mm*800mm；</w:t>
            </w:r>
          </w:p>
          <w:p>
            <w:pP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材料准备：电缆套管PEΦ50或Φ63；水泥、石灰、砂、MU15烧结非黏土砖送至现场并复试合格；送检合格的井盖及井圈。</w:t>
            </w:r>
          </w:p>
          <w:p>
            <w:pP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施工叙述：检查井基坑开挖，人工平整基底铺设水泥石灰土并压实，垫二层烧鸡非黏土砖并用干砂填缝，砖砌检查井并预留孔道，砂浆抹面，浇筑C25压顶混凝土安装检查井井圈及井盖；烧结非黏土砖在使用前应洒水湿润，砂浆应随便随用，水泥砂浆和水泥混合砂浆应分别在3H和4H内使用完毕；当施工期间最高气温超过30℃时，应分别在拌成后2H和3H内使用完毕。</w:t>
            </w:r>
          </w:p>
          <w:p>
            <w:pP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采用“三一”砌筑法，即采用“一块砖、一铲灰、一挤揉”工艺砌筑砖砌体的操作方法，保证灰缝饱满、粘结力好、墙面整洁。</w:t>
            </w:r>
          </w:p>
          <w:p>
            <w:pP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管线入接线井时管线周边用砂浆填塞密实，接线井施工砂浆、混凝土需洒水养护。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路口</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含运输、灯杆组立吊装。信号灯安装、控制机安装电缆敷设、接线加电调试、试运行等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四、青年街与鱼水河路十字路口信号灯系统采购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a)外壳材质：压铸铝。</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b)灯面尺寸：中400mm，遮沿等符合GB14887-2011的相关标准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c)光强：红色、黄色、绿色&gt;600cd，符合GB14887-2011标准。减光时中心光强200±10cd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d)色度及波长：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红色625±5nm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X=0.6984，Y=0.3014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黄色590±5nm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X=0.5802,Y=0.4137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绿色505±4nm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X=0.0848,Y=0.5739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e)供电电压：AC220V±20%50Hz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f）出线孔容纳线径：不低于Φ20mm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g)功率:≤20W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h)功率因数：≥0.9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i)启动瞬时电流：≤1.8A</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j)启动时间和关断时间:54ms,54ms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k)关断电压:60V</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l)工作温度：-40℃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+80℃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m)湿度:≤97%</w:t>
            </w:r>
          </w:p>
          <w:p>
            <w:pPr>
              <w:widowControl/>
              <w:jc w:val="left"/>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bidi="ar"/>
              </w:rPr>
              <w:t>n)使用寿命：&gt;10000</w:t>
            </w:r>
            <w:r>
              <w:rPr>
                <w:rFonts w:hint="eastAsia" w:asciiTheme="minorEastAsia" w:hAnsiTheme="minorEastAsia" w:eastAsiaTheme="minorEastAsia" w:cstheme="minorEastAsia"/>
                <w:color w:val="FF0000"/>
                <w:kern w:val="0"/>
                <w:sz w:val="18"/>
                <w:szCs w:val="18"/>
                <w:lang w:val="en-US" w:eastAsia="zh-CN" w:bidi="ar"/>
              </w:rPr>
              <w:t>h</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a.箭头灯灯面尺寸中400mm，图形尺寸符合GB14887-2011的相关标准。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b.色度值及波长：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红色625±5nm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X=0.6984，Y=0.3014；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黄色590±5nm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X=0.5802,Y=0.4137；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绿色505±4nm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X=0.0848,Y=0.5739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c.光强：红色、黄色、绿色&gt;60cd，符合GB148872011标准减光时中心光强200±10cd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d.供电电压：AC220V±20%50Hz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e.出线孔容纳线径：不低于φ20mm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f.功率:≤20W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g.功率因数：≥0.9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h.启动瞬时电流：≤1.8A</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i.工作温度：-40℃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+80℃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j.湿度:≤97%</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k.使用寿命：&gt;10000h</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a.亮度：红色&gt;400cdm2；绿色&gt;4000cd/m2</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b.灯面尺寸:300m×220mm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c.供电电压：AC220V±20%,50Hz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d.工作温度：-40℃—+75℃</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e.湿度范围:5%-95%</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f.绝缘电阻：≥500M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g.使用寿命：&gt;10000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i.外壳材质：铝合金</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j.可视距离：≥300m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k.外壳防护等级：≥IP54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l.介电强度：耐压1450V</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m.可视角度：≥30°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包含：控制主机、配电单元、机柜、无线遥控器、GPS。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相位：支持≥64个相位；</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灯控输出：≥44路输出，单通道负载≥800W；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灯控板：≥4块，每块支持≥11路；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网络接口：≥1个RJ45接口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其他接口：≥1个RS232接口，≥2个RS485接口，≥1个USB接口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外部输入：≥8路行人按钮输入</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外部输出：无</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无线遥控：支持</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无线接入：可选配4G/WIFI模块</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工作电压：AC220V±44V，50Hz±2Hz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温度：-40℃～+70℃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功耗：≤35W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防护等级：≥IP54</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绝缘强度：大于700MΩ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结构设计新颖，体积小，表面喷塑，重量轻，安装方式采用模块，精心制作而成</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高可靠性，内部计时采用工业级微电脑控制技术，采用软件“看门狗”和硬件抗干扰措施，防雷性能好，使倒计时运行稳定可靠</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采用灯取电源方式，无须单独供电(也可AC220独立供电)。拆装方便，防水性能极佳；</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内部具有两组信号采样输入，可以方便地进行多相位计时；</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软件设计思路先进，检测速度快、时间精确</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取电方式可以采用电缆直接供电，也可以采用从信号灯取电的方式；</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采用超亮度四元素LED发光管，亮度高，衰减低，使用寿命≥10万小时；内部装有避雷器件，能有效减小雷电对倒计时产生的影响</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产品性能指标符合国家GB14887-2011标准。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额定功率：≤45W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可视角度：≥30</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可视距离：≥400</w:t>
            </w:r>
            <w:r>
              <w:rPr>
                <w:rFonts w:hint="eastAsia" w:asciiTheme="minorEastAsia" w:hAnsiTheme="minorEastAsia" w:eastAsiaTheme="minorEastAsia" w:cstheme="minorEastAsia"/>
                <w:color w:val="000000"/>
                <w:kern w:val="0"/>
                <w:sz w:val="18"/>
                <w:szCs w:val="18"/>
                <w:lang w:val="en-US" w:eastAsia="zh-CN" w:bidi="ar"/>
              </w:rPr>
              <w:t>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工作温度：-40℃-80℃；</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工作湿度:</w:t>
            </w:r>
            <w:r>
              <w:rPr>
                <w:rFonts w:hint="eastAsia" w:asciiTheme="minorEastAsia" w:hAnsiTheme="minorEastAsia" w:eastAsiaTheme="minorEastAsia" w:cstheme="minorEastAsia"/>
                <w:color w:val="000000"/>
                <w:kern w:val="0"/>
                <w:sz w:val="18"/>
                <w:szCs w:val="18"/>
                <w:lang w:val="en-US" w:eastAsia="zh-CN" w:bidi="ar"/>
              </w:rPr>
              <w:t>≤97%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发光强度：≥400cd/m2；</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额定电压：AC220V±10%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额定输出电压：AC176～264V,50HZ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符合GA/T508-2004标准要求；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通信方式或与RS485通讯协议方式,2位数字显示(99)；</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通讯中断时，倒计时能在2秒内显示黑屏；适应多相位显示；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规格：H=6.8m，L=9m；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w:t>
            </w:r>
            <w:r>
              <w:rPr>
                <w:rFonts w:hint="eastAsia" w:asciiTheme="minorEastAsia" w:hAnsiTheme="minorEastAsia" w:eastAsiaTheme="minorEastAsia" w:cstheme="minorEastAsia"/>
                <w:color w:val="000000"/>
                <w:kern w:val="0"/>
                <w:sz w:val="18"/>
                <w:szCs w:val="18"/>
                <w:lang w:eastAsia="zh-CN" w:bidi="ar"/>
              </w:rPr>
              <w:t>m/s</w:t>
            </w:r>
            <w:r>
              <w:rPr>
                <w:rFonts w:hint="eastAsia" w:asciiTheme="minorEastAsia" w:hAnsiTheme="minorEastAsia" w:eastAsiaTheme="minorEastAsia" w:cstheme="minorEastAsia"/>
                <w:color w:val="000000"/>
                <w:kern w:val="0"/>
                <w:sz w:val="18"/>
                <w:szCs w:val="18"/>
                <w:lang w:bidi="ar"/>
              </w:rPr>
              <w:t>(抗风压等级为10级)，承受压力为0.6</w:t>
            </w:r>
            <w:r>
              <w:rPr>
                <w:rFonts w:hint="eastAsia" w:asciiTheme="minorEastAsia" w:hAnsiTheme="minorEastAsia" w:eastAsiaTheme="minorEastAsia" w:cstheme="minorEastAsia"/>
                <w:color w:val="000000"/>
                <w:kern w:val="0"/>
                <w:sz w:val="18"/>
                <w:szCs w:val="18"/>
                <w:lang w:eastAsia="zh-CN" w:bidi="ar"/>
              </w:rPr>
              <w:t>KN</w:t>
            </w:r>
            <w:r>
              <w:rPr>
                <w:rFonts w:hint="eastAsia" w:asciiTheme="minorEastAsia" w:hAnsiTheme="minorEastAsia" w:eastAsiaTheme="minorEastAsia" w:cstheme="minorEastAsia"/>
                <w:color w:val="000000"/>
                <w:kern w:val="0"/>
                <w:sz w:val="18"/>
                <w:szCs w:val="18"/>
                <w:lang w:bidi="ar"/>
              </w:rPr>
              <w:t>，抗地震强度为8级。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1.圆柱型灯杆，材质Q235以上</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2.灯具安装位置预制灯具竖装安装口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3.杆高3.2</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，符合信号灯配置要求；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4.杆体采用热浸锌工艺，镀锌层均匀且厚度不小于55μm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5.杆体设计合理，表面应光滑平顺，无气孔、焊渣、虚焊及漏焊等缺陷</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6.立杆及其主要构件的防护等级满足露天使用环境的要求，最大抗风风速不小于28m/s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全色谱KVV14×1.0mm2；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全色谱KVV7×1.0mm2；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RVV2×2.5mm2                                             铜芯聚氯乙烯绝缘乙烯护套圆形连接软线；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用于潮湿和设备防护要求较高的场所；</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电压等级：300/300V,300/500V;</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芯数：2芯。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PE（聚乙烯）地埋电缆护套管；</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管径（外径）：Φ50，Φ63，管壁厚度依据管径大小不同≥4mm；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 型 信号灯杆地脚螺栓及预埋铁件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底板法兰800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*8</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，地脚螺栓M32*1500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*12</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底板法兰350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*350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，地脚螺栓M16*600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底板法兰800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，地脚螺栓M16*400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材质：铸铁或高分子材质，并标有“公安”字样。                                               规格：600mm*600mm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2.接地极、接地扁钢选用热镀锌钢材，接地装置规定埋深不应小于0.6M，接地线通过地表下0.6M引至地面外。</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3.接地极选用∠50×50×5×2500镀锌角钢，间距5M，接地母线用-40×4镀锌扁钢，接地母线之间电焊搭接长度不小于15CM，接地母线、接地极之间焊接处应做防腐处理。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开挖尺寸：800mm*800mm*800mm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val="en-US" w:eastAsia="zh-CN" w:bidi="ar"/>
              </w:rPr>
              <w:t>开</w:t>
            </w:r>
            <w:r>
              <w:rPr>
                <w:rFonts w:hint="eastAsia" w:asciiTheme="minorEastAsia" w:hAnsiTheme="minorEastAsia" w:eastAsiaTheme="minorEastAsia" w:cstheme="minorEastAsia"/>
                <w:color w:val="000000"/>
                <w:kern w:val="0"/>
                <w:sz w:val="18"/>
                <w:szCs w:val="18"/>
                <w:lang w:bidi="ar"/>
              </w:rPr>
              <w:t xml:space="preserve">挖尺寸：800mm*800mm*800mm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开挖尺寸：800mm*800mm*800mm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开挖尺寸：电缆沟开挖宽度不小于300mm，深度不小于500mm；长度根据施工现场实际情况而定。                              恢复：待管线敷设至电缆沟后，线管上方需做不小于50mm的硬化层，按原路面材质进行恢复。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开挖尺寸：电缆沟开挖宽度不小于300mm，深度不小于500mm；长度根据施工现场实际情况而定；                              恢复：管沟恢复需做硬化层防止路面塌陷，厚度不少于300mm，路面面层恢复采用沥青材料，压实厚度不小于100mm。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规格：600mm*600mm*800mm；</w:t>
            </w:r>
          </w:p>
          <w:p>
            <w:pPr>
              <w:jc w:val="left"/>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材料准备：电缆套管PEΦ50或Φ63；水泥、石灰、砂、MU15烧结非黏土砖送至现场并复试合格；送检合格的井盖及井圈。</w:t>
            </w:r>
          </w:p>
          <w:p>
            <w:pPr>
              <w:jc w:val="left"/>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施工叙述：检查井基坑开挖，人工平整基底铺设水泥石灰土并压实，垫二层烧鸡非黏土砖并用干砂填缝，砖砌检查井并预留孔道，砂浆抹面，浇筑C25压顶混凝土安装检查井井圈及井盖；烧结非黏土砖在使用前应洒水湿润，砂浆应随便随用，水泥砂浆和水泥混合砂浆应分别在3H和4H内使用完毕；当施工期间最高气温超过30℃时，应分别在拌成后2H和3H内使用完毕。</w:t>
            </w:r>
          </w:p>
          <w:p>
            <w:pPr>
              <w:jc w:val="left"/>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采用“三一”砌筑法，即采用“一块砖、一铲灰、一挤揉”工艺砌筑砖砌体的操作方法，保证灰缝饱满、粘结力好、墙面整洁。</w:t>
            </w:r>
          </w:p>
          <w:p>
            <w:pPr>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管线入接线井时管线周边用砂浆填塞密实，接线井施工砂浆、混凝土需洒水养护。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路口</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含运输、灯杆组立吊装。信号灯安装、控制机安装电缆敷设、接线加电调试、试运行等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五、长江路与巴音路丁字路 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万卡口抓拍单元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具有≥2个1英寸CCD或全局曝光CMOS传感器，支持≥4096×2160@25fps（不含OSD叠加）视频图像输出，视频压缩支持H.265、H.264、M-JPEG。</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车辆捕获率应≥99%，车牌识别准确率应≥ 95%；支持补光灯、雷达、线圈检测器接入，支持机动车、非机动车和行人的抓拍和分析；支持车型、车身颜色、车标、车辆子品牌等车辆特征识别，支持压线、逆行、违法变道等违法检测功能。</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支持同时预览两路sensor视频，设备场景中放置红外LED常亮灯，朝向摄像机镜头，可见光路视频图像中补光灯灯珠完全无光，同时红外路视频图像补光灯可清晰看到灯珠亮光。</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支持车辆抓拍，支持抓拍输出车牌局部照片、车窗局部照片、非机动车局部照片、场景全景图片。</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 支持设置车辆抓拍位置到立杆的架设距离、设备架设高度，并在视频图像中显示位置信息。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 在满足GA/T 1202-2022一级补光标准，补光≤20lx 的前提下，抓拍图片满足 GA/T 832-2014标准中3.6.1要求， 配套符合GA/T 1202-2022标准的一级补光灯，设备抓拍车牌、车身颜色、车内前排人脸及衣着均清晰可见。</w:t>
            </w:r>
          </w:p>
          <w:p>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9. 支持对25×10 像素～1100×3000 像素的机动车车牌进行抓拍并识别，支持识别并抓拍垂直倾斜角度≤55°、水平倾斜角度≤35°、俯仰角度≤40°的机动车车牌。</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0</w:t>
            </w:r>
            <w:r>
              <w:rPr>
                <w:rFonts w:hint="eastAsia" w:asciiTheme="minorEastAsia" w:hAnsiTheme="minorEastAsia" w:eastAsiaTheme="minorEastAsia" w:cstheme="minorEastAsia"/>
                <w:color w:val="000000"/>
                <w:kern w:val="0"/>
                <w:sz w:val="18"/>
                <w:szCs w:val="18"/>
                <w:lang w:bidi="ar"/>
              </w:rPr>
              <w:t>. ≥2个RJ45 100M/1000M自适应网口，≥3个RS485接口，≥5路补光灯控制接口，≥1个存储卡接口，防护等级≥IP66。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采用≥1英寸CCD或全局曝光CMOS传感器，支持≥4096×2160@25fps（不含OSD叠加）视频图像输出；视频压缩支持H.265、H.264、M-JPEG；</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支持车辆抓拍，支持抓拍输出车牌局部照片、车窗局部照片、非机动车局部照片、场景全景图片。</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支持设置车辆抓拍位置到立杆的架设距离、设备架设高度，并在视频图像中显示位置信息。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支持对25×10 像素～1100×3000 像素的机动车车牌进行抓拍并识别，支持识别并抓拍垂直倾斜角度≤55°、水平倾斜角度≤35°、俯仰角度≤40°的机动车车牌。</w:t>
            </w:r>
          </w:p>
          <w:p>
            <w:pPr>
              <w:widowControl/>
              <w:jc w:val="left"/>
              <w:textAlignment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≥2个RJ45 100M/1000M自适应网口，≥3个RS485接口，≥1个触发输入、≥5路补光灯控制接口，≥1个存储卡接口，防护等级≥IP66。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1. 符合GA/T 1202-2022《交通技术监控成像补光装置通用技术条件》；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补光装置光源包括LED光源（一级频闪）、气体放电光源（二级脉冲）和红外光源；</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采用LED光源和气灯放电两种光源，LED光源呈圆形排布，气体放电光源前置转轴叶片，支持红外和白光补光切换；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支持LED频闪、LED爆闪、白光气体爆闪及红外气体爆闪四种补光方式，可通过远程控制切换；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眩光阀值增量TI≤1.08%；</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触发信号异常时，爆闪灯进入自动保护，触发信号输入正常，爆闪灯自动恢复正常</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 ≥1路RS485接口、1路气体脉冲爆闪输入接口，≥1路光源切换接口，≥1路频闪输入接口、≥1路LED爆闪输入接口；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 可通过RS485进行远程升级；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 支持记录闪光灯闪光次数；</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 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1.光源类型：≥16颗原装大功率LED；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2.发光角度≥10°；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3.符合GA/T 1202-2022《交通技术监控成像补光装置通用技术条件》中的一级补光装置要求；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4.覆盖范围：单车道环境补光灯；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5.最佳补光范围≥16</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～25</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6.触发方式： 4V</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6V电平量触发；</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7.触发信号：频率15</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250HZ，占空比1%</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39%，响应时间小于20US；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8.防护等级：≥IP66；</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9.工作电压：AC220V；</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红绿灯信号检测器，采用工业级嵌入式微控制器；</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2. 具有≥6路RS485、≥16路AC220V信号灯输入接口、≥16路信号状态指示灯，≥1路RS485数据收发状态指示灯；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检测信号灯电压范围AC110V</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 xml:space="preserve">274V，信号灯输入端口有信号输入时，RS485端口会上传该端口的状态信息； </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 工作温度：-30℃～+70℃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设备采用嵌入式操作系统，全机身散热，内部无风扇，支持车辆卡口、违法、目标、人体以及其他事件结构化图片存储，支持视频预览、录像和回放，支持配置录像计划，录像和图片存储空间可配置。</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支持≥4块3.5或2.5英寸硬盘接入，兼容≥</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TB硬盘，支持硬盘自动切换，当块硬盘损坏后，能自动切换至其它硬盘进行存储，内置≥</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T监控级硬盘；</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具有记录、回放、报警联动、图像检索、权限管理、视频水印、日志功能、支持叠加图像标识信息和时间，支持图像多画面显示。</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 支持内置GPS/北斗模块，实现GPS和北斗校时、定位功能，支持将经纬度信息叠加在图片或者视频上，定位校时模块可插拔更换。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5</w:t>
            </w:r>
            <w:r>
              <w:rPr>
                <w:rFonts w:hint="eastAsia" w:asciiTheme="minorEastAsia" w:hAnsiTheme="minorEastAsia" w:eastAsiaTheme="minorEastAsia" w:cstheme="minorEastAsia"/>
                <w:color w:val="000000"/>
                <w:kern w:val="0"/>
                <w:sz w:val="18"/>
                <w:szCs w:val="18"/>
                <w:lang w:bidi="ar"/>
              </w:rPr>
              <w:t>. 支持添加不少于24路IP摄像机，总码率不小于350Mbps，支持对接入摄像机进行实时预览与录像存储，支持对图片进行实时预览和存储，并可将IP摄像机的视频图像通过网络传输至客户端。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6</w:t>
            </w:r>
            <w:r>
              <w:rPr>
                <w:rFonts w:hint="eastAsia" w:asciiTheme="minorEastAsia" w:hAnsiTheme="minorEastAsia" w:eastAsiaTheme="minorEastAsia" w:cstheme="minorEastAsia"/>
                <w:color w:val="000000"/>
                <w:kern w:val="0"/>
                <w:sz w:val="18"/>
                <w:szCs w:val="18"/>
                <w:lang w:bidi="ar"/>
              </w:rPr>
              <w:t>. 支持接入具有ABF聚焦功能的摄像机，可对视频图像进行ABF聚焦，支持接入鱼眼摄像机、双目摄像机、三目摄像机、四目摄像机、八目枪球联动一体机及全局摄像机，并可将视频图像以多画面分割方式显示，可自定义画面布局。</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可接入G.711a、G.711Mu、G.722.1、G.726、G.729、PCM、AAC、MPEG2-layer2音频编码格式的IPC，可将音频采样率设置为8kHz、16kHz、32kHz、48kHz、64kHz。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8</w:t>
            </w:r>
            <w:r>
              <w:rPr>
                <w:rFonts w:hint="eastAsia" w:asciiTheme="minorEastAsia" w:hAnsiTheme="minorEastAsia" w:eastAsiaTheme="minorEastAsia" w:cstheme="minorEastAsia"/>
                <w:color w:val="000000"/>
                <w:kern w:val="0"/>
                <w:sz w:val="18"/>
                <w:szCs w:val="18"/>
                <w:lang w:bidi="ar"/>
              </w:rPr>
              <w:t>. 支持图像化展示设备所连通道的在线、离线、未启用状态，支持展示各通道上线、离线时间；支持查看通道状态统计信息。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9</w:t>
            </w:r>
            <w:r>
              <w:rPr>
                <w:rFonts w:hint="eastAsia" w:asciiTheme="minorEastAsia" w:hAnsiTheme="minorEastAsia" w:eastAsiaTheme="minorEastAsia" w:cstheme="minorEastAsia"/>
                <w:color w:val="000000"/>
                <w:kern w:val="0"/>
                <w:sz w:val="18"/>
                <w:szCs w:val="18"/>
                <w:lang w:bidi="ar"/>
              </w:rPr>
              <w:t>. 支持将原始图片、特写图片、合成图片、车牌抠图、关联录像、主驾驶人脸图片、副驾驶人脸图片、行人人脸图片、非机动车人脸图片上传至FTP服务器。</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0</w:t>
            </w:r>
            <w:r>
              <w:rPr>
                <w:rFonts w:hint="eastAsia" w:asciiTheme="minorEastAsia" w:hAnsiTheme="minorEastAsia" w:eastAsiaTheme="minorEastAsia" w:cstheme="minorEastAsia"/>
                <w:color w:val="000000"/>
                <w:kern w:val="0"/>
                <w:sz w:val="18"/>
                <w:szCs w:val="18"/>
                <w:lang w:bidi="ar"/>
              </w:rPr>
              <w:t>. 支持配置路段名称、路段编号、路段距离，能够对驶入驶出该路段的车辆抓拍数据匹配并计算车辆的区间速度值，支持设置过滤阈值，对异常测速结果进行过滤，支持超速检测和欠速检测，可分别设定高限速和低限速值。</w:t>
            </w:r>
          </w:p>
          <w:p>
            <w:pPr>
              <w:widowControl/>
              <w:jc w:val="left"/>
              <w:textAlignment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kern w:val="0"/>
                <w:sz w:val="18"/>
                <w:szCs w:val="18"/>
                <w:lang w:bidi="ar"/>
              </w:rPr>
              <w:t>11</w:t>
            </w:r>
            <w:r>
              <w:rPr>
                <w:rFonts w:hint="eastAsia" w:asciiTheme="minorEastAsia" w:hAnsiTheme="minorEastAsia" w:eastAsiaTheme="minorEastAsia" w:cstheme="minorEastAsia"/>
                <w:color w:val="000000"/>
                <w:kern w:val="0"/>
                <w:sz w:val="18"/>
                <w:szCs w:val="18"/>
                <w:lang w:bidi="ar"/>
              </w:rPr>
              <w:t>.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1.设备安装基于 19 英寸标准结构设计，有≥17U 安装空间，具有良好的安装通用性；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2.机柜含有强电模块，包含220V电源防雷，2P25A空气≥1个，三芯插座≥1个，1P10A空开≥8个；</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3.机柜为单层机构，外侧钣金厚度为≥ 1.2mm，有效的保证了机柜的强度需求；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4.风扇安装在柜体的顶部居中位置，可有效的降低主设备散发出来的温度；</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5.机柜内含照明模块，方便设备夜间维护；</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6.防护等级≥IP55，保护内部设备不受外界恶劣环境的干扰；</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7.外部环境温度：≥-20℃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45℃；</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8.贮存温度：≥-40℃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70℃；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9.机柜内部相对湿度：≤85%（+30℃）；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10.贮存湿度：≥0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100%；</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11.大气压强：≥70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106KPa。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千兆单模双纤光纤收发器、RJ-45，SC/FC/ST，20km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≥8个10/100/1000Mbps RJ45 端口，IEEE 802.3 、IEEE 802.3u、IEEE 802.3ab、IEEE 802.3x，9VDC/0.6A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≥24个10/100/1000M自适应以太网端口，IEEE802.3 10BASE-T以太网IEEE802.3u 100BASE-TX快速以太网IEEE802.3ab 1000Base-T 千兆以太网ANSI/IEEE802.3 NWay自动协商IEEE802.3x流控 </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100-240V AC</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H=6.5m，L=6m规格：</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w:t>
            </w:r>
            <w:r>
              <w:rPr>
                <w:rFonts w:hint="eastAsia" w:asciiTheme="minorEastAsia" w:hAnsiTheme="minorEastAsia" w:eastAsiaTheme="minorEastAsia" w:cstheme="minorEastAsia"/>
                <w:color w:val="000000"/>
                <w:kern w:val="0"/>
                <w:sz w:val="18"/>
                <w:szCs w:val="18"/>
                <w:lang w:eastAsia="zh-CN" w:bidi="ar"/>
              </w:rPr>
              <w:t>m/s</w:t>
            </w:r>
            <w:r>
              <w:rPr>
                <w:rFonts w:hint="eastAsia" w:asciiTheme="minorEastAsia" w:hAnsiTheme="minorEastAsia" w:eastAsiaTheme="minorEastAsia" w:cstheme="minorEastAsia"/>
                <w:color w:val="000000"/>
                <w:kern w:val="0"/>
                <w:sz w:val="18"/>
                <w:szCs w:val="18"/>
                <w:lang w:bidi="ar"/>
              </w:rPr>
              <w:t>(抗风压等级为10级)，承受压力为0.6</w:t>
            </w:r>
            <w:r>
              <w:rPr>
                <w:rFonts w:hint="eastAsia" w:asciiTheme="minorEastAsia" w:hAnsiTheme="minorEastAsia" w:eastAsiaTheme="minorEastAsia" w:cstheme="minorEastAsia"/>
                <w:color w:val="000000"/>
                <w:kern w:val="0"/>
                <w:sz w:val="18"/>
                <w:szCs w:val="18"/>
                <w:lang w:eastAsia="zh-CN" w:bidi="ar"/>
              </w:rPr>
              <w:t>KN</w:t>
            </w:r>
            <w:r>
              <w:rPr>
                <w:rFonts w:hint="eastAsia" w:asciiTheme="minorEastAsia" w:hAnsiTheme="minorEastAsia" w:eastAsiaTheme="minorEastAsia" w:cstheme="minorEastAsia"/>
                <w:color w:val="000000"/>
                <w:kern w:val="0"/>
                <w:sz w:val="18"/>
                <w:szCs w:val="18"/>
                <w:lang w:bidi="ar"/>
              </w:rPr>
              <w:t>，抗地震强度为8级。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基坑开挖（1.2*1.2*1.6）m³，渣土外运5km，c25商混浇筑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【抱杆箱】含双路220V防雷，双路空气开关≥1个，单路空气开关≥8个，三芯维护插座≥1个</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安装基于 19 英寸标准结构设计，有18U 安装空间，具有良好的安装通用性</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防护等级IP55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RVV-0.5kV-3*1.5mm2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箱</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GYXTW-8B，八芯室外单模光纤缆线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1、应用于园区中楼宇间的连接，长距离网络、主干线系统、本地环路或支路网络、严重潮湿的户外环境、温度 变化极大的环境、架空连接（和悬缆线一起使用）、地下管道或直埋、悬吊缆/服务缆。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管内灌注防水凝胶，以防止水渗入。</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平行钢丝提高对光纤的保护。</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聚乙烯外衣在紫外线或恶劣的室外环境下有保护作用。</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 低磨擦的外皮使之可轻松穿过管道。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rvsp2*1mm2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座</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落地机柜基础制作、基础尺寸：≥1400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*640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*560mm；机柜安装等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管沟开挖与恢复400*500mm²，敷管PE80聚乙烯(PE)管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防雾治霾、围挡搭建、拆除等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设备转运、安装、吊装、系统调试、光缆熔续等施工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六、滨河路与南海路丁字路口电警卡口采购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万卡口抓拍单元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w:t>
            </w:r>
            <w:r>
              <w:rPr>
                <w:rStyle w:val="138"/>
                <w:rFonts w:hint="eastAsia" w:asciiTheme="minorEastAsia" w:hAnsiTheme="minorEastAsia" w:eastAsiaTheme="minorEastAsia" w:cstheme="minorEastAsia"/>
                <w:sz w:val="18"/>
                <w:szCs w:val="18"/>
                <w:lang w:bidi="ar"/>
              </w:rPr>
              <w:t>LED</w:t>
            </w:r>
            <w:r>
              <w:rPr>
                <w:rFonts w:hint="eastAsia" w:asciiTheme="minorEastAsia" w:hAnsiTheme="minorEastAsia" w:eastAsiaTheme="minorEastAsia" w:cstheme="minorEastAsia"/>
                <w:color w:val="000000"/>
                <w:kern w:val="0"/>
                <w:sz w:val="18"/>
                <w:szCs w:val="18"/>
                <w:lang w:bidi="ar"/>
              </w:rPr>
              <w:t>补光灯、风扇、电源适配器等；摄像机具有</w:t>
            </w:r>
            <w:r>
              <w:rPr>
                <w:rStyle w:val="138"/>
                <w:rFonts w:hint="eastAsia" w:asciiTheme="minorEastAsia" w:hAnsiTheme="minorEastAsia" w:eastAsiaTheme="minorEastAsia" w:cstheme="minorEastAsia"/>
                <w:sz w:val="18"/>
                <w:szCs w:val="18"/>
                <w:lang w:bidi="ar"/>
              </w:rPr>
              <w:t>≥2</w:t>
            </w:r>
            <w:r>
              <w:rPr>
                <w:rFonts w:hint="eastAsia" w:asciiTheme="minorEastAsia" w:hAnsiTheme="minorEastAsia" w:eastAsiaTheme="minorEastAsia" w:cstheme="minorEastAsia"/>
                <w:color w:val="000000"/>
                <w:kern w:val="0"/>
                <w:sz w:val="18"/>
                <w:szCs w:val="18"/>
                <w:lang w:bidi="ar"/>
              </w:rPr>
              <w:t>个</w:t>
            </w:r>
            <w:r>
              <w:rPr>
                <w:rStyle w:val="138"/>
                <w:rFonts w:hint="eastAsia" w:asciiTheme="minorEastAsia" w:hAnsiTheme="minorEastAsia" w:eastAsiaTheme="minorEastAsia" w:cstheme="minorEastAsia"/>
                <w:sz w:val="18"/>
                <w:szCs w:val="18"/>
                <w:lang w:bidi="ar"/>
              </w:rPr>
              <w:t>1</w:t>
            </w:r>
            <w:r>
              <w:rPr>
                <w:rFonts w:hint="eastAsia" w:asciiTheme="minorEastAsia" w:hAnsiTheme="minorEastAsia" w:eastAsiaTheme="minorEastAsia" w:cstheme="minorEastAsia"/>
                <w:color w:val="000000"/>
                <w:kern w:val="0"/>
                <w:sz w:val="18"/>
                <w:szCs w:val="18"/>
                <w:lang w:bidi="ar"/>
              </w:rPr>
              <w:t>英寸</w:t>
            </w:r>
            <w:r>
              <w:rPr>
                <w:rStyle w:val="138"/>
                <w:rFonts w:hint="eastAsia" w:asciiTheme="minorEastAsia" w:hAnsiTheme="minorEastAsia" w:eastAsiaTheme="minorEastAsia" w:cstheme="minorEastAsia"/>
                <w:sz w:val="18"/>
                <w:szCs w:val="18"/>
                <w:lang w:bidi="ar"/>
              </w:rPr>
              <w:t>CCD</w:t>
            </w:r>
            <w:r>
              <w:rPr>
                <w:rFonts w:hint="eastAsia" w:asciiTheme="minorEastAsia" w:hAnsiTheme="minorEastAsia" w:eastAsiaTheme="minorEastAsia" w:cstheme="minorEastAsia"/>
                <w:color w:val="000000"/>
                <w:kern w:val="0"/>
                <w:sz w:val="18"/>
                <w:szCs w:val="18"/>
                <w:lang w:bidi="ar"/>
              </w:rPr>
              <w:t>或全局曝光</w:t>
            </w:r>
            <w:r>
              <w:rPr>
                <w:rStyle w:val="138"/>
                <w:rFonts w:hint="eastAsia" w:asciiTheme="minorEastAsia" w:hAnsiTheme="minorEastAsia" w:eastAsiaTheme="minorEastAsia" w:cstheme="minorEastAsia"/>
                <w:sz w:val="18"/>
                <w:szCs w:val="18"/>
                <w:lang w:bidi="ar"/>
              </w:rPr>
              <w:t>CMOS</w:t>
            </w:r>
            <w:r>
              <w:rPr>
                <w:rFonts w:hint="eastAsia" w:asciiTheme="minorEastAsia" w:hAnsiTheme="minorEastAsia" w:eastAsiaTheme="minorEastAsia" w:cstheme="minorEastAsia"/>
                <w:color w:val="000000"/>
                <w:kern w:val="0"/>
                <w:sz w:val="18"/>
                <w:szCs w:val="18"/>
                <w:lang w:bidi="ar"/>
              </w:rPr>
              <w:t>传感器，支持</w:t>
            </w:r>
            <w:r>
              <w:rPr>
                <w:rStyle w:val="138"/>
                <w:rFonts w:hint="eastAsia" w:asciiTheme="minorEastAsia" w:hAnsiTheme="minorEastAsia" w:eastAsiaTheme="minorEastAsia" w:cstheme="minorEastAsia"/>
                <w:sz w:val="18"/>
                <w:szCs w:val="18"/>
                <w:lang w:bidi="ar"/>
              </w:rPr>
              <w:t>≥4096×2160@25fps</w:t>
            </w:r>
            <w:r>
              <w:rPr>
                <w:rFonts w:hint="eastAsia" w:asciiTheme="minorEastAsia" w:hAnsiTheme="minorEastAsia" w:eastAsiaTheme="minorEastAsia" w:cstheme="minorEastAsia"/>
                <w:color w:val="000000"/>
                <w:kern w:val="0"/>
                <w:sz w:val="18"/>
                <w:szCs w:val="18"/>
                <w:lang w:bidi="ar"/>
              </w:rPr>
              <w:t>（不含</w:t>
            </w:r>
            <w:r>
              <w:rPr>
                <w:rStyle w:val="138"/>
                <w:rFonts w:hint="eastAsia" w:asciiTheme="minorEastAsia" w:hAnsiTheme="minorEastAsia" w:eastAsiaTheme="minorEastAsia" w:cstheme="minorEastAsia"/>
                <w:sz w:val="18"/>
                <w:szCs w:val="18"/>
                <w:lang w:bidi="ar"/>
              </w:rPr>
              <w:t>OSD</w:t>
            </w:r>
            <w:r>
              <w:rPr>
                <w:rFonts w:hint="eastAsia" w:asciiTheme="minorEastAsia" w:hAnsiTheme="minorEastAsia" w:eastAsiaTheme="minorEastAsia" w:cstheme="minorEastAsia"/>
                <w:color w:val="000000"/>
                <w:kern w:val="0"/>
                <w:sz w:val="18"/>
                <w:szCs w:val="18"/>
                <w:lang w:bidi="ar"/>
              </w:rPr>
              <w:t>叠加）视频图像输出，视频压缩支持</w:t>
            </w:r>
            <w:r>
              <w:rPr>
                <w:rStyle w:val="138"/>
                <w:rFonts w:hint="eastAsia" w:asciiTheme="minorEastAsia" w:hAnsiTheme="minorEastAsia" w:eastAsiaTheme="minorEastAsia" w:cstheme="minorEastAsia"/>
                <w:sz w:val="18"/>
                <w:szCs w:val="18"/>
                <w:lang w:bidi="ar"/>
              </w:rPr>
              <w:t>H.265</w:t>
            </w:r>
            <w:r>
              <w:rPr>
                <w:rFonts w:hint="eastAsia" w:asciiTheme="minorEastAsia" w:hAnsiTheme="minorEastAsia" w:eastAsiaTheme="minorEastAsia" w:cstheme="minorEastAsia"/>
                <w:color w:val="000000"/>
                <w:kern w:val="0"/>
                <w:sz w:val="18"/>
                <w:szCs w:val="18"/>
                <w:lang w:bidi="ar"/>
              </w:rPr>
              <w:t>、</w:t>
            </w:r>
            <w:r>
              <w:rPr>
                <w:rStyle w:val="138"/>
                <w:rFonts w:hint="eastAsia" w:asciiTheme="minorEastAsia" w:hAnsiTheme="minorEastAsia" w:eastAsiaTheme="minorEastAsia" w:cstheme="minorEastAsia"/>
                <w:sz w:val="18"/>
                <w:szCs w:val="18"/>
                <w:lang w:bidi="ar"/>
              </w:rPr>
              <w:t>H.264</w:t>
            </w:r>
            <w:r>
              <w:rPr>
                <w:rFonts w:hint="eastAsia" w:asciiTheme="minorEastAsia" w:hAnsiTheme="minorEastAsia" w:eastAsiaTheme="minorEastAsia" w:cstheme="minorEastAsia"/>
                <w:color w:val="000000"/>
                <w:kern w:val="0"/>
                <w:sz w:val="18"/>
                <w:szCs w:val="18"/>
                <w:lang w:bidi="ar"/>
              </w:rPr>
              <w:t>、</w:t>
            </w:r>
            <w:r>
              <w:rPr>
                <w:rStyle w:val="138"/>
                <w:rFonts w:hint="eastAsia" w:asciiTheme="minorEastAsia" w:hAnsiTheme="minorEastAsia" w:eastAsiaTheme="minorEastAsia" w:cstheme="minorEastAsia"/>
                <w:sz w:val="18"/>
                <w:szCs w:val="18"/>
                <w:lang w:bidi="ar"/>
              </w:rPr>
              <w:t>M-JPEG</w:t>
            </w:r>
            <w:r>
              <w:rPr>
                <w:rFonts w:hint="eastAsia" w:asciiTheme="minorEastAsia" w:hAnsiTheme="minorEastAsia" w:eastAsiaTheme="minorEastAsia" w:cstheme="minorEastAsia"/>
                <w:color w:val="000000"/>
                <w:kern w:val="0"/>
                <w:sz w:val="18"/>
                <w:szCs w:val="18"/>
                <w:lang w:bidi="ar"/>
              </w:rPr>
              <w:t>。</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Style w:val="138"/>
                <w:rFonts w:hint="eastAsia" w:asciiTheme="minorEastAsia" w:hAnsiTheme="minorEastAsia" w:eastAsiaTheme="minorEastAsia" w:cstheme="minorEastAsia"/>
                <w:sz w:val="18"/>
                <w:szCs w:val="18"/>
                <w:lang w:bidi="ar"/>
              </w:rPr>
              <w:t xml:space="preserve">2. </w:t>
            </w:r>
            <w:r>
              <w:rPr>
                <w:rFonts w:hint="eastAsia" w:asciiTheme="minorEastAsia" w:hAnsiTheme="minorEastAsia" w:eastAsiaTheme="minorEastAsia" w:cstheme="minorEastAsia"/>
                <w:color w:val="000000"/>
                <w:kern w:val="0"/>
                <w:sz w:val="18"/>
                <w:szCs w:val="18"/>
                <w:lang w:bidi="ar"/>
              </w:rPr>
              <w:t>车辆捕获率应</w:t>
            </w:r>
            <w:r>
              <w:rPr>
                <w:rStyle w:val="138"/>
                <w:rFonts w:hint="eastAsia" w:asciiTheme="minorEastAsia" w:hAnsiTheme="minorEastAsia" w:eastAsiaTheme="minorEastAsia" w:cstheme="minorEastAsia"/>
                <w:sz w:val="18"/>
                <w:szCs w:val="18"/>
                <w:lang w:bidi="ar"/>
              </w:rPr>
              <w:t>≥99%</w:t>
            </w:r>
            <w:r>
              <w:rPr>
                <w:rFonts w:hint="eastAsia" w:asciiTheme="minorEastAsia" w:hAnsiTheme="minorEastAsia" w:eastAsiaTheme="minorEastAsia" w:cstheme="minorEastAsia"/>
                <w:color w:val="000000"/>
                <w:kern w:val="0"/>
                <w:sz w:val="18"/>
                <w:szCs w:val="18"/>
                <w:lang w:bidi="ar"/>
              </w:rPr>
              <w:t>，车牌识别准确率应</w:t>
            </w:r>
            <w:r>
              <w:rPr>
                <w:rStyle w:val="138"/>
                <w:rFonts w:hint="eastAsia" w:asciiTheme="minorEastAsia" w:hAnsiTheme="minorEastAsia" w:eastAsiaTheme="minorEastAsia" w:cstheme="minorEastAsia"/>
                <w:sz w:val="18"/>
                <w:szCs w:val="18"/>
                <w:lang w:bidi="ar"/>
              </w:rPr>
              <w:t>≥ 95%</w:t>
            </w:r>
            <w:r>
              <w:rPr>
                <w:rFonts w:hint="eastAsia" w:asciiTheme="minorEastAsia" w:hAnsiTheme="minorEastAsia" w:eastAsiaTheme="minorEastAsia" w:cstheme="minorEastAsia"/>
                <w:color w:val="000000"/>
                <w:kern w:val="0"/>
                <w:sz w:val="18"/>
                <w:szCs w:val="18"/>
                <w:lang w:bidi="ar"/>
              </w:rPr>
              <w:t>；支持补光灯、雷达、线圈检测器接入，支持机动车、非机动车和行人的抓拍和分析；支持车型、车身颜色、车标、车辆子品牌等车辆特征识别，支持压线、逆行、违法变道等违法检测功能。</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Style w:val="138"/>
                <w:rFonts w:hint="eastAsia" w:asciiTheme="minorEastAsia" w:hAnsiTheme="minorEastAsia" w:eastAsiaTheme="minorEastAsia" w:cstheme="minorEastAsia"/>
                <w:sz w:val="18"/>
                <w:szCs w:val="18"/>
                <w:lang w:bidi="ar"/>
              </w:rPr>
              <w:t xml:space="preserve">3. </w:t>
            </w:r>
            <w:r>
              <w:rPr>
                <w:rFonts w:hint="eastAsia" w:asciiTheme="minorEastAsia" w:hAnsiTheme="minorEastAsia" w:eastAsiaTheme="minorEastAsia" w:cstheme="minorEastAsia"/>
                <w:color w:val="000000"/>
                <w:kern w:val="0"/>
                <w:sz w:val="18"/>
                <w:szCs w:val="18"/>
                <w:lang w:bidi="ar"/>
              </w:rPr>
              <w:t>不少于两个传感器（</w:t>
            </w:r>
            <w:r>
              <w:rPr>
                <w:rStyle w:val="138"/>
                <w:rFonts w:hint="eastAsia" w:asciiTheme="minorEastAsia" w:hAnsiTheme="minorEastAsia" w:eastAsiaTheme="minorEastAsia" w:cstheme="minorEastAsia"/>
                <w:sz w:val="18"/>
                <w:szCs w:val="18"/>
                <w:lang w:bidi="ar"/>
              </w:rPr>
              <w:t>sensor</w:t>
            </w:r>
            <w:r>
              <w:rPr>
                <w:rFonts w:hint="eastAsia" w:asciiTheme="minorEastAsia" w:hAnsiTheme="minorEastAsia" w:eastAsiaTheme="minorEastAsia" w:cstheme="minorEastAsia"/>
                <w:color w:val="000000"/>
                <w:kern w:val="0"/>
                <w:sz w:val="18"/>
                <w:szCs w:val="18"/>
                <w:lang w:bidi="ar"/>
              </w:rPr>
              <w:t>）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Style w:val="138"/>
                <w:rFonts w:hint="eastAsia" w:asciiTheme="minorEastAsia" w:hAnsiTheme="minorEastAsia" w:eastAsiaTheme="minorEastAsia" w:cstheme="minorEastAsia"/>
                <w:sz w:val="18"/>
                <w:szCs w:val="18"/>
                <w:lang w:bidi="ar"/>
              </w:rPr>
              <w:t xml:space="preserve">4. </w:t>
            </w:r>
            <w:r>
              <w:rPr>
                <w:rFonts w:hint="eastAsia" w:asciiTheme="minorEastAsia" w:hAnsiTheme="minorEastAsia" w:eastAsiaTheme="minorEastAsia" w:cstheme="minorEastAsia"/>
                <w:color w:val="000000"/>
                <w:kern w:val="0"/>
                <w:sz w:val="18"/>
                <w:szCs w:val="18"/>
                <w:lang w:bidi="ar"/>
              </w:rPr>
              <w:t>支持同时预览两路</w:t>
            </w:r>
            <w:r>
              <w:rPr>
                <w:rStyle w:val="138"/>
                <w:rFonts w:hint="eastAsia" w:asciiTheme="minorEastAsia" w:hAnsiTheme="minorEastAsia" w:eastAsiaTheme="minorEastAsia" w:cstheme="minorEastAsia"/>
                <w:sz w:val="18"/>
                <w:szCs w:val="18"/>
                <w:lang w:bidi="ar"/>
              </w:rPr>
              <w:t>sensor</w:t>
            </w:r>
            <w:r>
              <w:rPr>
                <w:rFonts w:hint="eastAsia" w:asciiTheme="minorEastAsia" w:hAnsiTheme="minorEastAsia" w:eastAsiaTheme="minorEastAsia" w:cstheme="minorEastAsia"/>
                <w:color w:val="000000"/>
                <w:kern w:val="0"/>
                <w:sz w:val="18"/>
                <w:szCs w:val="18"/>
                <w:lang w:bidi="ar"/>
              </w:rPr>
              <w:t>视频，设备场景中放置红外</w:t>
            </w:r>
            <w:r>
              <w:rPr>
                <w:rStyle w:val="138"/>
                <w:rFonts w:hint="eastAsia" w:asciiTheme="minorEastAsia" w:hAnsiTheme="minorEastAsia" w:eastAsiaTheme="minorEastAsia" w:cstheme="minorEastAsia"/>
                <w:sz w:val="18"/>
                <w:szCs w:val="18"/>
                <w:lang w:bidi="ar"/>
              </w:rPr>
              <w:t>LED</w:t>
            </w:r>
            <w:r>
              <w:rPr>
                <w:rFonts w:hint="eastAsia" w:asciiTheme="minorEastAsia" w:hAnsiTheme="minorEastAsia" w:eastAsiaTheme="minorEastAsia" w:cstheme="minorEastAsia"/>
                <w:color w:val="000000"/>
                <w:kern w:val="0"/>
                <w:sz w:val="18"/>
                <w:szCs w:val="18"/>
                <w:lang w:bidi="ar"/>
              </w:rPr>
              <w:t>常亮灯，朝向摄像机镜头，可见光路视频图像中补光灯灯珠完全无光，同时红外路视频图像补光灯可清晰看到灯珠亮光。</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Style w:val="138"/>
                <w:rFonts w:hint="eastAsia" w:asciiTheme="minorEastAsia" w:hAnsiTheme="minorEastAsia" w:eastAsiaTheme="minorEastAsia" w:cstheme="minorEastAsia"/>
                <w:sz w:val="18"/>
                <w:szCs w:val="18"/>
                <w:lang w:bidi="ar"/>
              </w:rPr>
              <w:t xml:space="preserve">5. </w:t>
            </w:r>
            <w:r>
              <w:rPr>
                <w:rFonts w:hint="eastAsia" w:asciiTheme="minorEastAsia" w:hAnsiTheme="minorEastAsia" w:eastAsiaTheme="minorEastAsia" w:cstheme="minorEastAsia"/>
                <w:color w:val="000000"/>
                <w:kern w:val="0"/>
                <w:sz w:val="18"/>
                <w:szCs w:val="18"/>
                <w:lang w:bidi="ar"/>
              </w:rPr>
              <w:t>支持车辆抓拍，支持抓拍输出车牌局部照片、车窗局部照片、非机动车局部照片、场景全景图片。</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Style w:val="138"/>
                <w:rFonts w:hint="eastAsia" w:asciiTheme="minorEastAsia" w:hAnsiTheme="minorEastAsia" w:eastAsiaTheme="minorEastAsia" w:cstheme="minorEastAsia"/>
                <w:sz w:val="18"/>
                <w:szCs w:val="18"/>
                <w:lang w:bidi="ar"/>
              </w:rPr>
              <w:t xml:space="preserve">6. </w:t>
            </w:r>
            <w:r>
              <w:rPr>
                <w:rFonts w:hint="eastAsia" w:asciiTheme="minorEastAsia" w:hAnsiTheme="minorEastAsia" w:eastAsiaTheme="minorEastAsia" w:cstheme="minorEastAsia"/>
                <w:color w:val="000000"/>
                <w:kern w:val="0"/>
                <w:sz w:val="18"/>
                <w:szCs w:val="18"/>
                <w:lang w:bidi="ar"/>
              </w:rPr>
              <w:t>支持识别不少于</w:t>
            </w:r>
            <w:r>
              <w:rPr>
                <w:rStyle w:val="138"/>
                <w:rFonts w:hint="eastAsia" w:asciiTheme="minorEastAsia" w:hAnsiTheme="minorEastAsia" w:eastAsiaTheme="minorEastAsia" w:cstheme="minorEastAsia"/>
                <w:sz w:val="18"/>
                <w:szCs w:val="18"/>
                <w:lang w:bidi="ar"/>
              </w:rPr>
              <w:t xml:space="preserve"> 39 </w:t>
            </w:r>
            <w:r>
              <w:rPr>
                <w:rFonts w:hint="eastAsia" w:asciiTheme="minorEastAsia" w:hAnsiTheme="minorEastAsia" w:eastAsiaTheme="minorEastAsia" w:cstheme="minorEastAsia"/>
                <w:color w:val="000000"/>
                <w:kern w:val="0"/>
                <w:sz w:val="18"/>
                <w:szCs w:val="18"/>
                <w:lang w:bidi="ar"/>
              </w:rPr>
              <w:t>种车身颜色，包括白、黑、红、黄、灰、蓝、绿、粉、紫、暗紫、棕、栗色、银灰、暗灰、白烟、深橙、浅玫瑰、番茄红、橄榄、金、暗橄榄、黄绿、绿黄、森林绿、海洋绿、深天蓝、青、深蓝、深红、深绿、深黄、深粉、深紫、深棕、深青、橙、深金、粉红、其他，</w:t>
            </w:r>
            <w:r>
              <w:rPr>
                <w:rStyle w:val="138"/>
                <w:rFonts w:hint="eastAsia" w:asciiTheme="minorEastAsia" w:hAnsiTheme="minorEastAsia" w:eastAsiaTheme="minorEastAsia" w:cstheme="minorEastAsia"/>
                <w:sz w:val="18"/>
                <w:szCs w:val="18"/>
                <w:lang w:bidi="ar"/>
              </w:rPr>
              <w:t xml:space="preserve"> </w:t>
            </w:r>
            <w:r>
              <w:rPr>
                <w:rFonts w:hint="eastAsia" w:asciiTheme="minorEastAsia" w:hAnsiTheme="minorEastAsia" w:eastAsiaTheme="minorEastAsia" w:cstheme="minorEastAsia"/>
                <w:color w:val="000000"/>
                <w:kern w:val="0"/>
                <w:sz w:val="18"/>
                <w:szCs w:val="18"/>
                <w:lang w:bidi="ar"/>
              </w:rPr>
              <w:t>支持识别车身副颜色。</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Style w:val="138"/>
                <w:rFonts w:hint="eastAsia" w:asciiTheme="minorEastAsia" w:hAnsiTheme="minorEastAsia" w:eastAsiaTheme="minorEastAsia" w:cstheme="minorEastAsia"/>
                <w:sz w:val="18"/>
                <w:szCs w:val="18"/>
                <w:lang w:bidi="ar"/>
              </w:rPr>
              <w:t xml:space="preserve">7. </w:t>
            </w:r>
            <w:r>
              <w:rPr>
                <w:rFonts w:hint="eastAsia" w:asciiTheme="minorEastAsia" w:hAnsiTheme="minorEastAsia" w:eastAsiaTheme="minorEastAsia" w:cstheme="minorEastAsia"/>
                <w:color w:val="000000"/>
                <w:kern w:val="0"/>
                <w:sz w:val="18"/>
                <w:szCs w:val="18"/>
                <w:lang w:bidi="ar"/>
              </w:rPr>
              <w:t>支持设置车辆抓拍位置到立杆的架设距离、设备架设高度，并在视频图像中显示位置信息。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Style w:val="138"/>
                <w:rFonts w:hint="eastAsia" w:asciiTheme="minorEastAsia" w:hAnsiTheme="minorEastAsia" w:eastAsiaTheme="minorEastAsia" w:cstheme="minorEastAsia"/>
                <w:sz w:val="18"/>
                <w:szCs w:val="18"/>
                <w:lang w:bidi="ar"/>
              </w:rPr>
              <w:t xml:space="preserve">8. </w:t>
            </w:r>
            <w:r>
              <w:rPr>
                <w:rFonts w:hint="eastAsia" w:asciiTheme="minorEastAsia" w:hAnsiTheme="minorEastAsia" w:eastAsiaTheme="minorEastAsia" w:cstheme="minorEastAsia"/>
                <w:color w:val="000000"/>
                <w:kern w:val="0"/>
                <w:sz w:val="18"/>
                <w:szCs w:val="18"/>
                <w:lang w:bidi="ar"/>
              </w:rPr>
              <w:t>在满足</w:t>
            </w:r>
            <w:r>
              <w:rPr>
                <w:rStyle w:val="138"/>
                <w:rFonts w:hint="eastAsia" w:asciiTheme="minorEastAsia" w:hAnsiTheme="minorEastAsia" w:eastAsiaTheme="minorEastAsia" w:cstheme="minorEastAsia"/>
                <w:sz w:val="18"/>
                <w:szCs w:val="18"/>
                <w:lang w:bidi="ar"/>
              </w:rPr>
              <w:t>GA/T 1202-2022</w:t>
            </w:r>
            <w:r>
              <w:rPr>
                <w:rFonts w:hint="eastAsia" w:asciiTheme="minorEastAsia" w:hAnsiTheme="minorEastAsia" w:eastAsiaTheme="minorEastAsia" w:cstheme="minorEastAsia"/>
                <w:color w:val="000000"/>
                <w:kern w:val="0"/>
                <w:sz w:val="18"/>
                <w:szCs w:val="18"/>
                <w:lang w:bidi="ar"/>
              </w:rPr>
              <w:t>一级补光标准，补光</w:t>
            </w:r>
            <w:r>
              <w:rPr>
                <w:rStyle w:val="138"/>
                <w:rFonts w:hint="eastAsia" w:asciiTheme="minorEastAsia" w:hAnsiTheme="minorEastAsia" w:eastAsiaTheme="minorEastAsia" w:cstheme="minorEastAsia"/>
                <w:sz w:val="18"/>
                <w:szCs w:val="18"/>
                <w:lang w:bidi="ar"/>
              </w:rPr>
              <w:t xml:space="preserve">≤20lx </w:t>
            </w:r>
            <w:r>
              <w:rPr>
                <w:rFonts w:hint="eastAsia" w:asciiTheme="minorEastAsia" w:hAnsiTheme="minorEastAsia" w:eastAsiaTheme="minorEastAsia" w:cstheme="minorEastAsia"/>
                <w:color w:val="000000"/>
                <w:kern w:val="0"/>
                <w:sz w:val="18"/>
                <w:szCs w:val="18"/>
                <w:lang w:bidi="ar"/>
              </w:rPr>
              <w:t>的前提下，抓拍图片满足</w:t>
            </w:r>
            <w:r>
              <w:rPr>
                <w:rStyle w:val="138"/>
                <w:rFonts w:hint="eastAsia" w:asciiTheme="minorEastAsia" w:hAnsiTheme="minorEastAsia" w:eastAsiaTheme="minorEastAsia" w:cstheme="minorEastAsia"/>
                <w:sz w:val="18"/>
                <w:szCs w:val="18"/>
                <w:lang w:bidi="ar"/>
              </w:rPr>
              <w:t xml:space="preserve"> GA/T 832-2014</w:t>
            </w:r>
            <w:r>
              <w:rPr>
                <w:rFonts w:hint="eastAsia" w:asciiTheme="minorEastAsia" w:hAnsiTheme="minorEastAsia" w:eastAsiaTheme="minorEastAsia" w:cstheme="minorEastAsia"/>
                <w:color w:val="000000"/>
                <w:kern w:val="0"/>
                <w:sz w:val="18"/>
                <w:szCs w:val="18"/>
                <w:lang w:bidi="ar"/>
              </w:rPr>
              <w:t>标准中</w:t>
            </w:r>
            <w:r>
              <w:rPr>
                <w:rStyle w:val="138"/>
                <w:rFonts w:hint="eastAsia" w:asciiTheme="minorEastAsia" w:hAnsiTheme="minorEastAsia" w:eastAsiaTheme="minorEastAsia" w:cstheme="minorEastAsia"/>
                <w:sz w:val="18"/>
                <w:szCs w:val="18"/>
                <w:lang w:bidi="ar"/>
              </w:rPr>
              <w:t>3.6.1</w:t>
            </w:r>
            <w:r>
              <w:rPr>
                <w:rFonts w:hint="eastAsia" w:asciiTheme="minorEastAsia" w:hAnsiTheme="minorEastAsia" w:eastAsiaTheme="minorEastAsia" w:cstheme="minorEastAsia"/>
                <w:color w:val="000000"/>
                <w:kern w:val="0"/>
                <w:sz w:val="18"/>
                <w:szCs w:val="18"/>
                <w:lang w:bidi="ar"/>
              </w:rPr>
              <w:t>要求，</w:t>
            </w:r>
            <w:r>
              <w:rPr>
                <w:rStyle w:val="138"/>
                <w:rFonts w:hint="eastAsia" w:asciiTheme="minorEastAsia" w:hAnsiTheme="minorEastAsia" w:eastAsiaTheme="minorEastAsia" w:cstheme="minorEastAsia"/>
                <w:sz w:val="18"/>
                <w:szCs w:val="18"/>
                <w:lang w:bidi="ar"/>
              </w:rPr>
              <w:t xml:space="preserve"> </w:t>
            </w:r>
            <w:r>
              <w:rPr>
                <w:rFonts w:hint="eastAsia" w:asciiTheme="minorEastAsia" w:hAnsiTheme="minorEastAsia" w:eastAsiaTheme="minorEastAsia" w:cstheme="minorEastAsia"/>
                <w:color w:val="000000"/>
                <w:kern w:val="0"/>
                <w:sz w:val="18"/>
                <w:szCs w:val="18"/>
                <w:lang w:bidi="ar"/>
              </w:rPr>
              <w:t>配套符合</w:t>
            </w:r>
            <w:r>
              <w:rPr>
                <w:rStyle w:val="138"/>
                <w:rFonts w:hint="eastAsia" w:asciiTheme="minorEastAsia" w:hAnsiTheme="minorEastAsia" w:eastAsiaTheme="minorEastAsia" w:cstheme="minorEastAsia"/>
                <w:sz w:val="18"/>
                <w:szCs w:val="18"/>
                <w:lang w:bidi="ar"/>
              </w:rPr>
              <w:t>GA/T 1202-2022</w:t>
            </w:r>
            <w:r>
              <w:rPr>
                <w:rFonts w:hint="eastAsia" w:asciiTheme="minorEastAsia" w:hAnsiTheme="minorEastAsia" w:eastAsiaTheme="minorEastAsia" w:cstheme="minorEastAsia"/>
                <w:color w:val="000000"/>
                <w:kern w:val="0"/>
                <w:sz w:val="18"/>
                <w:szCs w:val="18"/>
                <w:lang w:bidi="ar"/>
              </w:rPr>
              <w:t>标准的一级补光灯，设备抓拍车牌、车身颜色、车内前排人脸及衣着均清晰可见。</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Style w:val="138"/>
                <w:rFonts w:hint="eastAsia" w:asciiTheme="minorEastAsia" w:hAnsiTheme="minorEastAsia" w:eastAsiaTheme="minorEastAsia" w:cstheme="minorEastAsia"/>
                <w:sz w:val="18"/>
                <w:szCs w:val="18"/>
                <w:lang w:bidi="ar"/>
              </w:rPr>
              <w:t xml:space="preserve">9. </w:t>
            </w:r>
            <w:r>
              <w:rPr>
                <w:rFonts w:hint="eastAsia" w:asciiTheme="minorEastAsia" w:hAnsiTheme="minorEastAsia" w:eastAsiaTheme="minorEastAsia" w:cstheme="minorEastAsia"/>
                <w:color w:val="000000"/>
                <w:kern w:val="0"/>
                <w:sz w:val="18"/>
                <w:szCs w:val="18"/>
                <w:lang w:bidi="ar"/>
              </w:rPr>
              <w:t>支持对</w:t>
            </w:r>
            <w:r>
              <w:rPr>
                <w:rStyle w:val="138"/>
                <w:rFonts w:hint="eastAsia" w:asciiTheme="minorEastAsia" w:hAnsiTheme="minorEastAsia" w:eastAsiaTheme="minorEastAsia" w:cstheme="minorEastAsia"/>
                <w:sz w:val="18"/>
                <w:szCs w:val="18"/>
                <w:lang w:bidi="ar"/>
              </w:rPr>
              <w:t xml:space="preserve">25×10 </w:t>
            </w:r>
            <w:r>
              <w:rPr>
                <w:rFonts w:hint="eastAsia" w:asciiTheme="minorEastAsia" w:hAnsiTheme="minorEastAsia" w:eastAsiaTheme="minorEastAsia" w:cstheme="minorEastAsia"/>
                <w:color w:val="000000"/>
                <w:kern w:val="0"/>
                <w:sz w:val="18"/>
                <w:szCs w:val="18"/>
                <w:lang w:bidi="ar"/>
              </w:rPr>
              <w:t>像素～</w:t>
            </w:r>
            <w:r>
              <w:rPr>
                <w:rStyle w:val="138"/>
                <w:rFonts w:hint="eastAsia" w:asciiTheme="minorEastAsia" w:hAnsiTheme="minorEastAsia" w:eastAsiaTheme="minorEastAsia" w:cstheme="minorEastAsia"/>
                <w:sz w:val="18"/>
                <w:szCs w:val="18"/>
                <w:lang w:bidi="ar"/>
              </w:rPr>
              <w:t xml:space="preserve">1100×3000 </w:t>
            </w:r>
            <w:r>
              <w:rPr>
                <w:rFonts w:hint="eastAsia" w:asciiTheme="minorEastAsia" w:hAnsiTheme="minorEastAsia" w:eastAsiaTheme="minorEastAsia" w:cstheme="minorEastAsia"/>
                <w:color w:val="000000"/>
                <w:kern w:val="0"/>
                <w:sz w:val="18"/>
                <w:szCs w:val="18"/>
                <w:lang w:bidi="ar"/>
              </w:rPr>
              <w:t>像素的机动车车牌进行抓拍并识别，支持识别并抓拍垂直倾斜角度</w:t>
            </w:r>
            <w:r>
              <w:rPr>
                <w:rStyle w:val="138"/>
                <w:rFonts w:hint="eastAsia" w:asciiTheme="minorEastAsia" w:hAnsiTheme="minorEastAsia" w:eastAsiaTheme="minorEastAsia" w:cstheme="minorEastAsia"/>
                <w:sz w:val="18"/>
                <w:szCs w:val="18"/>
                <w:lang w:bidi="ar"/>
              </w:rPr>
              <w:t>≤55°</w:t>
            </w:r>
            <w:r>
              <w:rPr>
                <w:rFonts w:hint="eastAsia" w:asciiTheme="minorEastAsia" w:hAnsiTheme="minorEastAsia" w:eastAsiaTheme="minorEastAsia" w:cstheme="minorEastAsia"/>
                <w:color w:val="000000"/>
                <w:kern w:val="0"/>
                <w:sz w:val="18"/>
                <w:szCs w:val="18"/>
                <w:lang w:bidi="ar"/>
              </w:rPr>
              <w:t>、水平倾斜角度</w:t>
            </w:r>
            <w:r>
              <w:rPr>
                <w:rStyle w:val="138"/>
                <w:rFonts w:hint="eastAsia" w:asciiTheme="minorEastAsia" w:hAnsiTheme="minorEastAsia" w:eastAsiaTheme="minorEastAsia" w:cstheme="minorEastAsia"/>
                <w:sz w:val="18"/>
                <w:szCs w:val="18"/>
                <w:lang w:bidi="ar"/>
              </w:rPr>
              <w:t>≤35°</w:t>
            </w:r>
            <w:r>
              <w:rPr>
                <w:rFonts w:hint="eastAsia" w:asciiTheme="minorEastAsia" w:hAnsiTheme="minorEastAsia" w:eastAsiaTheme="minorEastAsia" w:cstheme="minorEastAsia"/>
                <w:color w:val="000000"/>
                <w:kern w:val="0"/>
                <w:sz w:val="18"/>
                <w:szCs w:val="18"/>
                <w:lang w:bidi="ar"/>
              </w:rPr>
              <w:t>、俯仰角度</w:t>
            </w:r>
            <w:r>
              <w:rPr>
                <w:rStyle w:val="138"/>
                <w:rFonts w:hint="eastAsia" w:asciiTheme="minorEastAsia" w:hAnsiTheme="minorEastAsia" w:eastAsiaTheme="minorEastAsia" w:cstheme="minorEastAsia"/>
                <w:sz w:val="18"/>
                <w:szCs w:val="18"/>
                <w:lang w:bidi="ar"/>
              </w:rPr>
              <w:t>≤40°</w:t>
            </w:r>
            <w:r>
              <w:rPr>
                <w:rFonts w:hint="eastAsia" w:asciiTheme="minorEastAsia" w:hAnsiTheme="minorEastAsia" w:eastAsiaTheme="minorEastAsia" w:cstheme="minorEastAsia"/>
                <w:color w:val="000000"/>
                <w:kern w:val="0"/>
                <w:sz w:val="18"/>
                <w:szCs w:val="18"/>
                <w:lang w:bidi="ar"/>
              </w:rPr>
              <w:t>的机动车车牌。</w:t>
            </w:r>
          </w:p>
          <w:p>
            <w:pPr>
              <w:widowControl/>
              <w:jc w:val="left"/>
              <w:textAlignment w:val="center"/>
              <w:rPr>
                <w:rFonts w:asciiTheme="minorEastAsia" w:hAnsiTheme="minorEastAsia" w:eastAsiaTheme="minorEastAsia" w:cstheme="minorEastAsia"/>
                <w:color w:val="000000"/>
                <w:sz w:val="18"/>
                <w:szCs w:val="18"/>
              </w:rPr>
            </w:pPr>
            <w:r>
              <w:rPr>
                <w:rStyle w:val="138"/>
                <w:rFonts w:asciiTheme="minorEastAsia" w:hAnsiTheme="minorEastAsia" w:eastAsiaTheme="minorEastAsia" w:cstheme="minorEastAsia"/>
                <w:sz w:val="18"/>
                <w:szCs w:val="18"/>
                <w:lang w:bidi="ar"/>
              </w:rPr>
              <w:t>10</w:t>
            </w:r>
            <w:r>
              <w:rPr>
                <w:rStyle w:val="138"/>
                <w:rFonts w:hint="eastAsia" w:asciiTheme="minorEastAsia" w:hAnsiTheme="minorEastAsia" w:eastAsiaTheme="minorEastAsia" w:cstheme="minorEastAsia"/>
                <w:sz w:val="18"/>
                <w:szCs w:val="18"/>
                <w:lang w:bidi="ar"/>
              </w:rPr>
              <w:t>. ≥2</w:t>
            </w:r>
            <w:r>
              <w:rPr>
                <w:rFonts w:hint="eastAsia" w:asciiTheme="minorEastAsia" w:hAnsiTheme="minorEastAsia" w:eastAsiaTheme="minorEastAsia" w:cstheme="minorEastAsia"/>
                <w:color w:val="000000"/>
                <w:kern w:val="0"/>
                <w:sz w:val="18"/>
                <w:szCs w:val="18"/>
                <w:lang w:bidi="ar"/>
              </w:rPr>
              <w:t>个</w:t>
            </w:r>
            <w:r>
              <w:rPr>
                <w:rStyle w:val="138"/>
                <w:rFonts w:hint="eastAsia" w:asciiTheme="minorEastAsia" w:hAnsiTheme="minorEastAsia" w:eastAsiaTheme="minorEastAsia" w:cstheme="minorEastAsia"/>
                <w:sz w:val="18"/>
                <w:szCs w:val="18"/>
                <w:lang w:bidi="ar"/>
              </w:rPr>
              <w:t>RJ45 100M/1000M</w:t>
            </w:r>
            <w:r>
              <w:rPr>
                <w:rFonts w:hint="eastAsia" w:asciiTheme="minorEastAsia" w:hAnsiTheme="minorEastAsia" w:eastAsiaTheme="minorEastAsia" w:cstheme="minorEastAsia"/>
                <w:color w:val="000000"/>
                <w:kern w:val="0"/>
                <w:sz w:val="18"/>
                <w:szCs w:val="18"/>
                <w:lang w:bidi="ar"/>
              </w:rPr>
              <w:t>自适应网口，</w:t>
            </w:r>
            <w:r>
              <w:rPr>
                <w:rStyle w:val="138"/>
                <w:rFonts w:hint="eastAsia" w:asciiTheme="minorEastAsia" w:hAnsiTheme="minorEastAsia" w:eastAsiaTheme="minorEastAsia" w:cstheme="minorEastAsia"/>
                <w:sz w:val="18"/>
                <w:szCs w:val="18"/>
                <w:lang w:bidi="ar"/>
              </w:rPr>
              <w:t>≥3</w:t>
            </w:r>
            <w:r>
              <w:rPr>
                <w:rFonts w:hint="eastAsia" w:asciiTheme="minorEastAsia" w:hAnsiTheme="minorEastAsia" w:eastAsiaTheme="minorEastAsia" w:cstheme="minorEastAsia"/>
                <w:color w:val="000000"/>
                <w:kern w:val="0"/>
                <w:sz w:val="18"/>
                <w:szCs w:val="18"/>
                <w:lang w:bidi="ar"/>
              </w:rPr>
              <w:t>个</w:t>
            </w:r>
            <w:r>
              <w:rPr>
                <w:rStyle w:val="138"/>
                <w:rFonts w:hint="eastAsia" w:asciiTheme="minorEastAsia" w:hAnsiTheme="minorEastAsia" w:eastAsiaTheme="minorEastAsia" w:cstheme="minorEastAsia"/>
                <w:sz w:val="18"/>
                <w:szCs w:val="18"/>
                <w:lang w:bidi="ar"/>
              </w:rPr>
              <w:t>RS485</w:t>
            </w:r>
            <w:r>
              <w:rPr>
                <w:rFonts w:hint="eastAsia" w:asciiTheme="minorEastAsia" w:hAnsiTheme="minorEastAsia" w:eastAsiaTheme="minorEastAsia" w:cstheme="minorEastAsia"/>
                <w:color w:val="000000"/>
                <w:kern w:val="0"/>
                <w:sz w:val="18"/>
                <w:szCs w:val="18"/>
                <w:lang w:bidi="ar"/>
              </w:rPr>
              <w:t>接口，</w:t>
            </w:r>
            <w:r>
              <w:rPr>
                <w:rStyle w:val="138"/>
                <w:rFonts w:hint="eastAsia" w:asciiTheme="minorEastAsia" w:hAnsiTheme="minorEastAsia" w:eastAsiaTheme="minorEastAsia" w:cstheme="minorEastAsia"/>
                <w:sz w:val="18"/>
                <w:szCs w:val="18"/>
                <w:lang w:bidi="ar"/>
              </w:rPr>
              <w:t>≥5</w:t>
            </w:r>
            <w:r>
              <w:rPr>
                <w:rFonts w:hint="eastAsia" w:asciiTheme="minorEastAsia" w:hAnsiTheme="minorEastAsia" w:eastAsiaTheme="minorEastAsia" w:cstheme="minorEastAsia"/>
                <w:color w:val="000000"/>
                <w:kern w:val="0"/>
                <w:sz w:val="18"/>
                <w:szCs w:val="18"/>
                <w:lang w:bidi="ar"/>
              </w:rPr>
              <w:t>路补光灯控制接口，</w:t>
            </w:r>
            <w:r>
              <w:rPr>
                <w:rStyle w:val="138"/>
                <w:rFonts w:hint="eastAsia" w:asciiTheme="minorEastAsia" w:hAnsiTheme="minorEastAsia" w:eastAsiaTheme="minorEastAsia" w:cstheme="minorEastAsia"/>
                <w:sz w:val="18"/>
                <w:szCs w:val="18"/>
                <w:lang w:bidi="ar"/>
              </w:rPr>
              <w:t>≥1</w:t>
            </w:r>
            <w:r>
              <w:rPr>
                <w:rFonts w:hint="eastAsia" w:asciiTheme="minorEastAsia" w:hAnsiTheme="minorEastAsia" w:eastAsiaTheme="minorEastAsia" w:cstheme="minorEastAsia"/>
                <w:color w:val="000000"/>
                <w:kern w:val="0"/>
                <w:sz w:val="18"/>
                <w:szCs w:val="18"/>
                <w:lang w:bidi="ar"/>
              </w:rPr>
              <w:t>个存储卡接口，防护等级</w:t>
            </w:r>
            <w:r>
              <w:rPr>
                <w:rStyle w:val="138"/>
                <w:rFonts w:hint="eastAsia" w:asciiTheme="minorEastAsia" w:hAnsiTheme="minorEastAsia" w:eastAsiaTheme="minorEastAsia" w:cstheme="minorEastAsia"/>
                <w:sz w:val="18"/>
                <w:szCs w:val="18"/>
                <w:lang w:bidi="ar"/>
              </w:rPr>
              <w:t>≥IP66</w:t>
            </w:r>
            <w:r>
              <w:rPr>
                <w:rFonts w:hint="eastAsia" w:asciiTheme="minorEastAsia" w:hAnsiTheme="minorEastAsia" w:eastAsiaTheme="minorEastAsia" w:cstheme="minorEastAsia"/>
                <w:color w:val="000000"/>
                <w:kern w:val="0"/>
                <w:sz w:val="18"/>
                <w:szCs w:val="18"/>
                <w:lang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采用≥1英寸CCD或全局曝光CMOS传感器，支持≥4096×2160@25fps（不含OSD叠加）视频图像输出；视频压缩支持H.265、H.264、M-JPEG；</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支持车辆抓拍，支持抓拍输出车牌局部照片、车窗局部照片、非机动车局部照片、场景全景图片。（</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支持设置车辆抓拍位置到立杆的架设距离、设备架设高度，并在视频图像中显示位置信息。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支持对25×10 像素～1100×3000 像素的机动车车牌进行抓拍并识别，支持识别并抓拍垂直倾斜角度≤55°、水平倾斜角度≤35°、俯仰角度≤40°的机动车车牌。</w:t>
            </w:r>
          </w:p>
          <w:p>
            <w:pPr>
              <w:widowControl/>
              <w:jc w:val="left"/>
              <w:textAlignment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≥2个RJ45 100M/1000M自适应网口，≥3个RS485接口，≥1个触发输入、≥5路补光灯控制接口，≥1个存储卡接口，防护等级≥IP66。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1. 符合GA/T 1202-2022《交通技术监控成像补光装置通用技术条件》；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补光装置光源包括LED光源（一级频闪）、气体放电光源（二级脉冲）和红外光源；</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采用LED光源和气灯放电两种光源，LED光源呈圆形排布，气体放电光源前置转轴叶片，支持红外和白光补光切换；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支持LED频闪、LED爆闪、白光气体爆闪及红外气体爆闪四种补光方式，可通过远程控制切换；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眩光阀值增量TI≤1.08%；</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触发信号异常时，爆闪灯进入自动保护，触发信号输入正常，爆闪灯自动恢复正常</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 ≥1路RS485接口、1路气体脉冲爆闪输入接口，≥1路光源切换接口，≥1路频闪输入接口、≥1路LED爆闪输入接口；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 可通过RS485进行远程升级；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 支持记录闪光灯闪光次数；</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 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1.光源类型：≥16颗原装大功率LED；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2.发光角度≥10°；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3.符合GA/T 1202-2022《交通技术监控成像补光装置通用技术条件》中的一级补光装置要求；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4.覆盖范围：单车道环境补光灯；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5.最佳补光范围≥16</w:t>
            </w:r>
            <w:r>
              <w:rPr>
                <w:rFonts w:hint="eastAsia" w:asciiTheme="minorEastAsia" w:hAnsiTheme="minorEastAsia" w:eastAsiaTheme="minorEastAsia" w:cstheme="minorEastAsia"/>
                <w:color w:val="000000"/>
                <w:kern w:val="0"/>
                <w:sz w:val="18"/>
                <w:szCs w:val="18"/>
                <w:lang w:val="en-US" w:eastAsia="zh-CN" w:bidi="ar"/>
              </w:rPr>
              <w:t>m</w:t>
            </w:r>
            <w:r>
              <w:rPr>
                <w:rFonts w:hint="eastAsia" w:asciiTheme="minorEastAsia" w:hAnsiTheme="minorEastAsia" w:eastAsiaTheme="minorEastAsia" w:cstheme="minorEastAsia"/>
                <w:color w:val="000000"/>
                <w:kern w:val="0"/>
                <w:sz w:val="18"/>
                <w:szCs w:val="18"/>
                <w:lang w:bidi="ar"/>
              </w:rPr>
              <w:t>～25</w:t>
            </w:r>
            <w:r>
              <w:rPr>
                <w:rFonts w:hint="eastAsia" w:asciiTheme="minorEastAsia" w:hAnsiTheme="minorEastAsia" w:eastAsiaTheme="minorEastAsia" w:cstheme="minorEastAsia"/>
                <w:color w:val="000000"/>
                <w:kern w:val="0"/>
                <w:sz w:val="18"/>
                <w:szCs w:val="18"/>
                <w:lang w:val="en-US" w:eastAsia="zh-CN" w:bidi="ar"/>
              </w:rPr>
              <w:t>m</w:t>
            </w:r>
            <w:r>
              <w:rPr>
                <w:rFonts w:hint="eastAsia" w:asciiTheme="minorEastAsia" w:hAnsiTheme="minorEastAsia" w:eastAsiaTheme="minorEastAsia" w:cstheme="minorEastAsia"/>
                <w:color w:val="000000"/>
                <w:kern w:val="0"/>
                <w:sz w:val="18"/>
                <w:szCs w:val="18"/>
                <w:lang w:bidi="ar"/>
              </w:rPr>
              <w:t>；</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6.触发方式： 4V</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6V电平量触发；</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7.触发信号：频率15</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250HZ，占空比1%</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39%，响应时间小于20US；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8.防护等级：≥IP66；</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9.工作电压：AC220V；</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10.额定功率：≤35Wmax。</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红绿灯信号检测器，采用工业级嵌入式微控制器；</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2. 具有≥6路RS485、≥16路AC220V信号灯输入接口、≥16路信号状态指示灯，≥1路RS485数据收发状态指示灯；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检测信号灯电压范围AC110V</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 xml:space="preserve">274V，信号灯输入端口有信号输入时，RS485端口会上传该端口的状态信息； </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 工作温度：-30℃～+70℃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设备采用嵌入式操作系统，全机身散热，内部无风扇，支持车辆卡口、违法、目标、人体以及其他事件结构化图片存储，支持视频预览、录像和回放，支持配置录像计划，录像和图片存储空间可配置。</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支持≥4块3.5或2.5英寸硬盘接入，兼容≥</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TB硬盘，支持硬盘自动切换，当块硬盘损坏后，能自动切换至其它硬盘进行存储，内置≥</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T监控级硬盘；</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具有记录、回放、报警联动、图像检索、权限管理、视频水印、日志功能、支持叠加图像标识信息和时间，支持图像多画面显示。</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 支持内置GPS/北斗模块，实现GPS和北斗校时、定位功能，支持将经纬度信息叠加在图片或者视频上，定位校时模块可插拔更换。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5</w:t>
            </w:r>
            <w:r>
              <w:rPr>
                <w:rFonts w:hint="eastAsia" w:asciiTheme="minorEastAsia" w:hAnsiTheme="minorEastAsia" w:eastAsiaTheme="minorEastAsia" w:cstheme="minorEastAsia"/>
                <w:color w:val="000000"/>
                <w:kern w:val="0"/>
                <w:sz w:val="18"/>
                <w:szCs w:val="18"/>
                <w:lang w:bidi="ar"/>
              </w:rPr>
              <w:t>. 支持添加不少于24路IP摄像机，总码率不小于350Mbps，支持对接入摄像机进行实时预览与录像存储，支持对图片进行实时预览和存储，并可将IP摄像机的视频图像通过网络传输至客户端。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6</w:t>
            </w:r>
            <w:r>
              <w:rPr>
                <w:rFonts w:hint="eastAsia" w:asciiTheme="minorEastAsia" w:hAnsiTheme="minorEastAsia" w:eastAsiaTheme="minorEastAsia" w:cstheme="minorEastAsia"/>
                <w:color w:val="000000"/>
                <w:kern w:val="0"/>
                <w:sz w:val="18"/>
                <w:szCs w:val="18"/>
                <w:lang w:bidi="ar"/>
              </w:rPr>
              <w:t>. 支持接入具有ABF聚焦功能的摄像机，可对视频图像进行ABF聚焦，支持接入鱼眼摄像机、双目摄像机、三目摄像机、四目摄像机、八目枪球联动一体机及全局摄像机，并可将视频图像以多画面分割方式显示，可自定义画面布局。</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可接入G.711a、G.711Mu、G.722.1、G.726、G.729、PCM、AAC、MPEG2-layer2音频编码格式的IPC，可将音频采样率设置为8kHz、16kHz、32kHz、48kHz、64kHz。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8</w:t>
            </w:r>
            <w:r>
              <w:rPr>
                <w:rFonts w:hint="eastAsia" w:asciiTheme="minorEastAsia" w:hAnsiTheme="minorEastAsia" w:eastAsiaTheme="minorEastAsia" w:cstheme="minorEastAsia"/>
                <w:color w:val="000000"/>
                <w:kern w:val="0"/>
                <w:sz w:val="18"/>
                <w:szCs w:val="18"/>
                <w:lang w:bidi="ar"/>
              </w:rPr>
              <w:t>. 支持图像化展示设备所连通道的在线、离线、未启用状态，支持展示各通道上线、离线时间；支持查看通道状态统计信息。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9</w:t>
            </w:r>
            <w:r>
              <w:rPr>
                <w:rFonts w:hint="eastAsia" w:asciiTheme="minorEastAsia" w:hAnsiTheme="minorEastAsia" w:eastAsiaTheme="minorEastAsia" w:cstheme="minorEastAsia"/>
                <w:color w:val="000000"/>
                <w:kern w:val="0"/>
                <w:sz w:val="18"/>
                <w:szCs w:val="18"/>
                <w:lang w:bidi="ar"/>
              </w:rPr>
              <w:t>. 支持将原始图片、特写图片、合成图片、车牌抠图、关联录像、主驾驶人脸图片、副驾驶人脸图片、行人人脸图片、非机动车人脸图片上传至FTP服务器。</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0</w:t>
            </w:r>
            <w:r>
              <w:rPr>
                <w:rFonts w:hint="eastAsia" w:asciiTheme="minorEastAsia" w:hAnsiTheme="minorEastAsia" w:eastAsiaTheme="minorEastAsia" w:cstheme="minorEastAsia"/>
                <w:color w:val="000000"/>
                <w:kern w:val="0"/>
                <w:sz w:val="18"/>
                <w:szCs w:val="18"/>
                <w:lang w:bidi="ar"/>
              </w:rPr>
              <w:t>. 支持配置路段名称、路段编号、路段距离，能够对驶入驶出该路段的车辆抓拍数据匹配并计算车辆的区间速度值，支持设置过滤阈值，对异常测速结果进行过滤，支持超速检测和欠速检测，可分别设定高限速和低限速值。</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1</w:t>
            </w:r>
            <w:r>
              <w:rPr>
                <w:rFonts w:hint="eastAsia" w:asciiTheme="minorEastAsia" w:hAnsiTheme="minorEastAsia" w:eastAsiaTheme="minorEastAsia" w:cstheme="minorEastAsia"/>
                <w:color w:val="000000"/>
                <w:kern w:val="0"/>
                <w:sz w:val="18"/>
                <w:szCs w:val="18"/>
                <w:lang w:bidi="ar"/>
              </w:rPr>
              <w:t>.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2</w:t>
            </w:r>
            <w:r>
              <w:rPr>
                <w:rFonts w:hint="eastAsia" w:asciiTheme="minorEastAsia" w:hAnsiTheme="minorEastAsia" w:eastAsiaTheme="minorEastAsia" w:cstheme="minorEastAsia"/>
                <w:color w:val="000000"/>
                <w:kern w:val="0"/>
                <w:sz w:val="18"/>
                <w:szCs w:val="18"/>
                <w:lang w:bidi="ar"/>
              </w:rPr>
              <w:t>.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1.设备安装基于 19 英寸标准结构设计，有≥17U 安装空间，具有良好的安装通用性；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2.机柜含有强电模块，包含220V电源防雷，2P25A空气≥1个，三芯插座≥1个，1P10A空开≥8个；</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3.机柜为单层机构，外侧钣金厚度为≥ 1.2mm，有效的保证了机柜的强度需求；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4.风扇安装在柜体的顶部居中位置，可有效的降低主设备散发出来的温度；</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5.机柜内含照明模块，方便设备夜间维护；</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6.防护等级≥IP55，保护内部设备不受外界恶劣环境的干扰；</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7.外部环境温度：≥-20℃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45℃；</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8.贮存温度：≥-40℃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70℃；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9.机柜内部相对湿度：≤85%（+30℃）；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10.贮存湿度：≥0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100%；</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11.大气压强：≥70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106KPa。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千兆单模双纤光纤收发器、RJ-45，SC/FC/ST，20km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≥8个10/100/1000Mbps RJ45 端口，IEEE 802.3 、IEEE 802.3u、IEEE 802.3ab、IEEE 802.3x，9VDC/0.6A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≥24个10/100/1000M自适应以太网端口，IEEE802.3 10BASE-T以太网IEEE802.3u 100BASE-TX快速以太网IEEE802.3ab 1000Base-T 千兆以太网ANSI/IEEE802.3 NWay自动协商IEEE802.3x流控 </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100-240V AC</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H=6.5m，L=6m规格：</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w:t>
            </w:r>
            <w:r>
              <w:rPr>
                <w:rFonts w:hint="eastAsia" w:asciiTheme="minorEastAsia" w:hAnsiTheme="minorEastAsia" w:eastAsiaTheme="minorEastAsia" w:cstheme="minorEastAsia"/>
                <w:color w:val="000000"/>
                <w:kern w:val="0"/>
                <w:sz w:val="18"/>
                <w:szCs w:val="18"/>
                <w:lang w:eastAsia="zh-CN" w:bidi="ar"/>
              </w:rPr>
              <w:t>m/s</w:t>
            </w:r>
            <w:r>
              <w:rPr>
                <w:rFonts w:hint="eastAsia" w:asciiTheme="minorEastAsia" w:hAnsiTheme="minorEastAsia" w:eastAsiaTheme="minorEastAsia" w:cstheme="minorEastAsia"/>
                <w:color w:val="000000"/>
                <w:kern w:val="0"/>
                <w:sz w:val="18"/>
                <w:szCs w:val="18"/>
                <w:lang w:bidi="ar"/>
              </w:rPr>
              <w:t>(抗风压等级为10级)，承受压力为0.6</w:t>
            </w:r>
            <w:r>
              <w:rPr>
                <w:rFonts w:hint="eastAsia" w:asciiTheme="minorEastAsia" w:hAnsiTheme="minorEastAsia" w:eastAsiaTheme="minorEastAsia" w:cstheme="minorEastAsia"/>
                <w:color w:val="000000"/>
                <w:kern w:val="0"/>
                <w:sz w:val="18"/>
                <w:szCs w:val="18"/>
                <w:lang w:eastAsia="zh-CN" w:bidi="ar"/>
              </w:rPr>
              <w:t>KN</w:t>
            </w:r>
            <w:r>
              <w:rPr>
                <w:rFonts w:hint="eastAsia" w:asciiTheme="minorEastAsia" w:hAnsiTheme="minorEastAsia" w:eastAsiaTheme="minorEastAsia" w:cstheme="minorEastAsia"/>
                <w:color w:val="000000"/>
                <w:kern w:val="0"/>
                <w:sz w:val="18"/>
                <w:szCs w:val="18"/>
                <w:lang w:bidi="ar"/>
              </w:rPr>
              <w:t>，抗地震强度为8级。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基坑开挖（1.2*1.2*1.6）</w:t>
            </w:r>
            <w:r>
              <w:rPr>
                <w:rFonts w:hint="eastAsia" w:asciiTheme="minorEastAsia" w:hAnsiTheme="minorEastAsia" w:eastAsiaTheme="minorEastAsia" w:cstheme="minorEastAsia"/>
                <w:color w:val="auto"/>
                <w:kern w:val="0"/>
                <w:sz w:val="15"/>
                <w:szCs w:val="15"/>
                <w:lang w:bidi="ar"/>
              </w:rPr>
              <w:t>m³</w:t>
            </w:r>
            <w:r>
              <w:rPr>
                <w:rFonts w:hint="eastAsia" w:asciiTheme="minorEastAsia" w:hAnsiTheme="minorEastAsia" w:eastAsiaTheme="minorEastAsia" w:cstheme="minorEastAsia"/>
                <w:color w:val="000000"/>
                <w:kern w:val="0"/>
                <w:sz w:val="18"/>
                <w:szCs w:val="18"/>
                <w:lang w:bidi="ar"/>
              </w:rPr>
              <w:t>，渣土外运5km，c25商混浇筑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【抱杆箱】</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含双路220V防雷，双路空气开关≥1个，单路空气开关≥8个，三芯维护插座≥1个</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安装基于 19 英寸标准结构设计，有18U 安装空间，具有良好的安装通用性</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防护等级IP55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RVV-0.5kV-3*1.5mm2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箱</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GYXTW-8B，八芯室外单模光纤缆线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1、应用于园区中楼宇间的连接，长距离网络、主干线系统、本地环路或支路网络、严重潮湿的户外环境、温度 变化极大的环境、架空连接（和悬缆线一起使用）、地下管道或直埋、悬吊缆/服务缆。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管内灌注防水凝胶，以防止水渗入。</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平行钢丝提高对光纤的保护。</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聚乙烯外衣在紫外线或恶劣的室外环境下有保护作用。</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 低磨擦的外皮使之可轻松穿过管道。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rvsp2*1mm2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座</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落地机柜基础制作、基础尺寸：≥1400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*640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*560mm；机柜安装等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管沟开挖与恢复400*500mm²，敷管PE80聚乙烯(PE)管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防雾治霾、围挡搭建、拆除等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设备转运、安装、吊装、系统调试、光缆熔续等施工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七、昆仑路与青年街丁字路 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万卡口抓拍单元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具有≥2个1英寸CCD或全局曝光CMOS传感器，支持≥4096×2160@25fps（不含OSD叠加）视频图像输出，视频压缩支持H.265、H.264、M-JPEG。</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车辆捕获率应≥99%，车牌识别准确率应≥ 95%；支持补光灯、雷达、线圈检测器接入，支持机动车、非机动车和行人的抓拍和分析；支持车型、车身颜色、车标、车辆子品牌等车辆特征识别，支持压线、逆行、违法变道等违法检测功能。</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支持同时预览两路sensor视频，设备场景中放置红外LED常亮灯，朝向摄像机镜头，可见光路视频图像中补光灯灯珠完全无光，同时红外路视频图像补光灯可清晰看到灯珠亮光。</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支持车辆抓拍，支持抓拍输出车牌局部照片、车窗局部照片、非机动车局部照片、场景全景图片。</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 支持设置车辆抓拍位置到立杆的架设距离、设备架设高度，并在视频图像中显示位置信息。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 在满足GA/T 1202-2022一级补光标准，补光≤20lx 的前提下，抓拍图片满足 GA/T 832-2014标准中3.6.1要求， 配套符合GA/T 1202-2022标准的一级补光灯，设备抓拍车牌、车身颜色、车内前排人脸及衣着均清晰可见。</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 支持对25×10 像素～1100×3000 像素的机动车车牌进行抓拍并识别，支持识别并抓拍垂直倾斜角度≤55°、水平倾斜角度≤35°、俯仰角度≤40°的机动车车牌。</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0</w:t>
            </w:r>
            <w:r>
              <w:rPr>
                <w:rFonts w:hint="eastAsia" w:asciiTheme="minorEastAsia" w:hAnsiTheme="minorEastAsia" w:eastAsiaTheme="minorEastAsia" w:cstheme="minorEastAsia"/>
                <w:color w:val="000000"/>
                <w:kern w:val="0"/>
                <w:sz w:val="18"/>
                <w:szCs w:val="18"/>
                <w:lang w:bidi="ar"/>
              </w:rPr>
              <w:t>. ≥2个RJ45 100M/1000M自适应网口，≥3个RS485接口，≥5路补光灯控制接口，≥1个存储卡接口，防护等级≥IP66。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采用≥1英寸CCD或全局曝光CMOS传感器，支持≥4096×2160@25fps（不含OSD叠加）视频图像输出；视频压缩支持H.265、H.264、M-JPEG；</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支持车辆抓拍，支持抓拍输出车牌局部照片、车窗局部照片、非机动车局部照片、场景全景图片。</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支持设置车辆抓拍位置到立杆的架设距离、设备架设高度，并在视频图像中显示位置信息。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支持对25×10 像素～1100×3000 像素的机动车车牌进行抓拍并识别，支持识别并抓拍垂直倾斜角度≤55°、水平倾斜角度≤35°、俯仰角度≤40°的机动车车牌。</w:t>
            </w:r>
          </w:p>
          <w:p>
            <w:pPr>
              <w:widowControl/>
              <w:jc w:val="left"/>
              <w:textAlignment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≥2个RJ45 100M/1000M自适应网口，≥3个RS485接口，≥1个触发输入、≥5路补光灯控制接口，≥1个存储卡接口，防护等级≥IP66。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1. 符合GA/T 1202-2022《交通技术监控成像补光装置通用技术条件》；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补光装置光源包括LED光源（一级频闪）、气体放电光源（二级脉冲）和红外光源；</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采用LED光源和气灯放电两种光源，LED光源呈圆形排布，气体放电光源前置转轴叶片，支持红外和白光补光切换；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支持LED频闪、LED爆闪、白光气体爆闪及红外气体爆闪四种补光方式，可通过远程控制切换；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眩光阀值增量TI≤1.08%；</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触发信号异常时，爆闪灯进入自动保护，触发信号输入正常，爆闪灯自动恢复正常</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 ≥1路RS485接口、1路气体脉冲爆闪输入接口，≥1路光源切换接口，≥1路频闪输入接口、≥1路LED爆闪输入接口；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 可通过RS485进行远程升级；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 支持记录闪光灯闪光次数；</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 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1.光源类型：≥16颗原装大功率LED；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2.发光角度≥10°；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3.符合GA/T 1202-2022《交通技术监控成像补光装置通用技术条件》中的一级补光装置要求；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4.覆盖范围：单车道环境补光灯；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5.最佳补光范围≥16</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～25</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6.触发方式： 4V</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6V电平量触发；</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7.触发信号：频率15</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250HZ，占空比1%</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39%，响应时间小于20US；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8.防护等级：≥IP66；</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9.工作电压：AC220V；</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红绿灯信号检测器，采用工业级嵌入式微控制器；</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具有≥6路RS485、≥16路AC220V信号灯输入接口、≥16路信号状态指示灯，≥1路RS485数据收发状态指示灯；（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检测信号灯电压范围AC110V</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 xml:space="preserve">274V，信号灯输入端口有信号输入时，RS485端口会上传该端口的状态信息； </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 工作温度：-30℃～+70℃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设备采用嵌入式操作系统，全机身散热，内部无风扇，支持车辆卡口、违法、目标、人体以及其他事件结构化图片存储，支持视频预览、录像和回放，支持配置录像计划，录像和图片存储空间可配置。</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支持≥4块3.5或2.5英寸硬盘接入，兼容≥</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TB硬盘，支持硬盘自动切换，当块硬盘损坏后，能自动切换至其它硬盘进行存储，内置≥</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T监控级硬盘；</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具有记录、回放、报警联动、图像检索、权限管理、视频水印、日志功能、支持叠加图像标识信息和时间，支持图像多画面显示。</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 支持内置GPS/北斗模块，实现GPS和北斗校时、定位功能，支持将经纬度信息叠加在图片或者视频上，定位校时模块可插拔更换。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5</w:t>
            </w:r>
            <w:r>
              <w:rPr>
                <w:rFonts w:hint="eastAsia" w:asciiTheme="minorEastAsia" w:hAnsiTheme="minorEastAsia" w:eastAsiaTheme="minorEastAsia" w:cstheme="minorEastAsia"/>
                <w:color w:val="000000"/>
                <w:kern w:val="0"/>
                <w:sz w:val="18"/>
                <w:szCs w:val="18"/>
                <w:lang w:bidi="ar"/>
              </w:rPr>
              <w:t>. 支持添加不少于24路IP摄像机，总码率不小于350Mbps，支持对接入摄像机进行实时预览与录像存储，支持对图片进行实时预览和存储，并可将IP摄像机的视频图像通过网络传输至客户端。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6</w:t>
            </w:r>
            <w:r>
              <w:rPr>
                <w:rFonts w:hint="eastAsia" w:asciiTheme="minorEastAsia" w:hAnsiTheme="minorEastAsia" w:eastAsiaTheme="minorEastAsia" w:cstheme="minorEastAsia"/>
                <w:color w:val="000000"/>
                <w:kern w:val="0"/>
                <w:sz w:val="18"/>
                <w:szCs w:val="18"/>
                <w:lang w:bidi="ar"/>
              </w:rPr>
              <w:t>. 支持接入具有ABF聚焦功能的摄像机，可对视频图像进行ABF聚焦，支持接入鱼眼摄像机、双目摄像机、三目摄像机、四目摄像机、八目枪球联动一体机及全局摄像机，并可将视频图像以多画面分割方式显示，可自定义画面布局。</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可接入G.711a、G.711Mu、G.722.1、G.726、G.729、PCM、AAC、MPEG2-layer2音频编码格式的IPC，可将音频采样率设置为8kHz、16kHz、32kHz、48kHz、64kHz。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8</w:t>
            </w:r>
            <w:r>
              <w:rPr>
                <w:rFonts w:hint="eastAsia" w:asciiTheme="minorEastAsia" w:hAnsiTheme="minorEastAsia" w:eastAsiaTheme="minorEastAsia" w:cstheme="minorEastAsia"/>
                <w:color w:val="000000"/>
                <w:kern w:val="0"/>
                <w:sz w:val="18"/>
                <w:szCs w:val="18"/>
                <w:lang w:bidi="ar"/>
              </w:rPr>
              <w:t>. 支持图像化展示设备所连通道的在线、离线、未启用状态，支持展示各通道上线、离线时间；支持查看通道状态统计信息。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asciiTheme="minorEastAsia" w:hAnsiTheme="minorEastAsia" w:eastAsiaTheme="minorEastAsia" w:cstheme="minorEastAsia"/>
                <w:color w:val="000000"/>
                <w:kern w:val="0"/>
                <w:sz w:val="18"/>
                <w:szCs w:val="18"/>
                <w:lang w:bidi="ar"/>
              </w:rPr>
              <w:t>9</w:t>
            </w:r>
            <w:r>
              <w:rPr>
                <w:rFonts w:hint="eastAsia" w:asciiTheme="minorEastAsia" w:hAnsiTheme="minorEastAsia" w:eastAsiaTheme="minorEastAsia" w:cstheme="minorEastAsia"/>
                <w:color w:val="000000"/>
                <w:kern w:val="0"/>
                <w:sz w:val="18"/>
                <w:szCs w:val="18"/>
                <w:lang w:bidi="ar"/>
              </w:rPr>
              <w:t>. 支持将原始图片、特写图片、合成图片、车牌抠图、关联录像、主驾驶人脸图片、副驾驶人脸图片、行人人脸图片、非机动车人脸图片上传至FTP服务器。</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0</w:t>
            </w:r>
            <w:r>
              <w:rPr>
                <w:rFonts w:hint="eastAsia" w:asciiTheme="minorEastAsia" w:hAnsiTheme="minorEastAsia" w:eastAsiaTheme="minorEastAsia" w:cstheme="minorEastAsia"/>
                <w:color w:val="000000"/>
                <w:kern w:val="0"/>
                <w:sz w:val="18"/>
                <w:szCs w:val="18"/>
                <w:lang w:bidi="ar"/>
              </w:rPr>
              <w:t>. 支持配置路段名称、路段编号、路段距离，能够对驶入驶出该路段的车辆抓拍数据匹配并计算车辆的区间速度值，支持设置过滤阈值，对异常测速结果进行过滤，支持超速检测和欠速检测，可分别设定高限速和低限速值。</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1</w:t>
            </w:r>
            <w:r>
              <w:rPr>
                <w:rFonts w:hint="eastAsia" w:asciiTheme="minorEastAsia" w:hAnsiTheme="minorEastAsia" w:eastAsiaTheme="minorEastAsia" w:cstheme="minorEastAsia"/>
                <w:color w:val="000000"/>
                <w:kern w:val="0"/>
                <w:sz w:val="18"/>
                <w:szCs w:val="18"/>
                <w:lang w:bidi="ar"/>
              </w:rPr>
              <w:t>.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2</w:t>
            </w:r>
            <w:r>
              <w:rPr>
                <w:rFonts w:hint="eastAsia" w:asciiTheme="minorEastAsia" w:hAnsiTheme="minorEastAsia" w:eastAsiaTheme="minorEastAsia" w:cstheme="minorEastAsia"/>
                <w:color w:val="000000"/>
                <w:kern w:val="0"/>
                <w:sz w:val="18"/>
                <w:szCs w:val="18"/>
                <w:lang w:bidi="ar"/>
              </w:rPr>
              <w:t>.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1.设备安装基于 19 英寸标准结构设计，有≥17U 安装空间，具有良好的安装通用性；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2.机柜含有强电模块，包含220V电源防雷，2P25A空气≥1个，三芯插座≥1个，1P10A空开≥8个；</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3.机柜为单层机构，外侧钣金厚度为≥ 1.2mm，有效的保证了机柜的强度需求；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4.风扇安装在柜体的顶部居中位置，可有效的降低主设备散发出来的温度；</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5.机柜内含照明模块，方便设备夜间维护；</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6.防护等级≥IP55，保护内部设备不受外界恶劣环境的干扰；</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7.外部环境温度：≥-20℃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45℃；</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8.贮存温度：≥-40℃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70℃；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9.机柜内部相对湿度：≤85%（+30℃）；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10.贮存湿度：≥0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100%；</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11.大气压强：≥70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106KPa。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千兆单模双纤光纤收发器、RJ-45，SC/FC/ST，20km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≥8个10/100/1000Mbps RJ45 端口，IEEE 802.3 、IEEE 802.3u、IEEE 802.3ab、IEEE 802.3x，9VDC/0.6A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≥24个10/100/1000M自适应以太网端口，IEEE802.3 10BASE-T以太网IEEE802.3u 100BASE-TX快速以太网IEEE802.3ab 1000Base-T 千兆以太网ANSI/IEEE802.3 NWay自动协商IEEE802.3x流控 </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100-240V AC</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H=6.5m，L=6m规格：</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w:t>
            </w:r>
            <w:r>
              <w:rPr>
                <w:rFonts w:hint="eastAsia" w:asciiTheme="minorEastAsia" w:hAnsiTheme="minorEastAsia" w:eastAsiaTheme="minorEastAsia" w:cstheme="minorEastAsia"/>
                <w:color w:val="000000"/>
                <w:kern w:val="0"/>
                <w:sz w:val="18"/>
                <w:szCs w:val="18"/>
                <w:lang w:eastAsia="zh-CN" w:bidi="ar"/>
              </w:rPr>
              <w:t>m/s</w:t>
            </w:r>
            <w:r>
              <w:rPr>
                <w:rFonts w:hint="eastAsia" w:asciiTheme="minorEastAsia" w:hAnsiTheme="minorEastAsia" w:eastAsiaTheme="minorEastAsia" w:cstheme="minorEastAsia"/>
                <w:color w:val="000000"/>
                <w:kern w:val="0"/>
                <w:sz w:val="18"/>
                <w:szCs w:val="18"/>
                <w:lang w:bidi="ar"/>
              </w:rPr>
              <w:t>(抗风压等级为10级)，承受压力为0.6</w:t>
            </w:r>
            <w:r>
              <w:rPr>
                <w:rFonts w:hint="eastAsia" w:asciiTheme="minorEastAsia" w:hAnsiTheme="minorEastAsia" w:eastAsiaTheme="minorEastAsia" w:cstheme="minorEastAsia"/>
                <w:color w:val="000000"/>
                <w:kern w:val="0"/>
                <w:sz w:val="18"/>
                <w:szCs w:val="18"/>
                <w:lang w:eastAsia="zh-CN" w:bidi="ar"/>
              </w:rPr>
              <w:t>KN</w:t>
            </w:r>
            <w:r>
              <w:rPr>
                <w:rFonts w:hint="eastAsia" w:asciiTheme="minorEastAsia" w:hAnsiTheme="minorEastAsia" w:eastAsiaTheme="minorEastAsia" w:cstheme="minorEastAsia"/>
                <w:color w:val="000000"/>
                <w:kern w:val="0"/>
                <w:sz w:val="18"/>
                <w:szCs w:val="18"/>
                <w:lang w:bidi="ar"/>
              </w:rPr>
              <w:t>，抗地震强度为8级。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基坑开挖（1.2*1.2*1.6）m³，渣土外运5km，c25商混浇筑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【抱杆箱】</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含双路220V防雷，双路空气开关≥1个，单路空气开关≥8个，三芯维护插座≥1个</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安装基于 19 英寸标准结构设计，有18U 安装空间，具有良好的安装通用性</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防护等级IP55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RVV-0.5kV-3*1.5mm2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箱</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GYXTW-8B，八芯室外单模光纤缆线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1、应用于园区中楼宇间的连接，长距离网络、主干线系统、本地环路或支路网络、严重潮湿的户外环境、温度 变化极大的环境、架空连接（和悬缆线一起使用）、地下管道或直埋、悬吊缆/服务缆。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管内灌注防水凝胶，以防止水渗入。</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平行钢丝提高对光纤的保护。</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聚乙烯外衣在紫外线或恶劣的室外环境下有保护作用。</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 低磨擦的外皮使之可轻松穿过管道。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rvsp2*1mm2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座</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落地机柜基础制作、基础尺寸：≥1400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*640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*560mm；机柜安装等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37"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管沟开挖与恢复400*500mm²，敷管PE80聚乙烯(PE)管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防雾治霾、围挡搭建、拆除等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设备转运、安装、吊装、系统调试、光缆熔续等施工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八、青年街与鱼水河路十字路口电警卡口采购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万卡口抓拍单 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具有≥2个1英寸CCD或全局曝光CMOS传感器，支持≥4096×2160@25fps（不含OSD叠加）视频图像输出，视频压缩支持H.265、H.264、M-JPEG。</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车辆捕获率应≥99%，车牌识别准确率应≥ 95%；支持补光灯、雷达、线圈检测器接入，支持机动车、非机动车和行人的抓拍和分析；支持车型、车身颜色、车标、车辆子品牌等车辆特征识别，支持压线、逆行、违法变道等违法检测功能。</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支持同时预览两路sensor视频，设备场景中放置红外LED常亮灯，朝向摄像机镜头，可见光路视频图像中补光灯灯珠完全无光，同时红外路视频图像补光灯可清晰看到灯珠亮光。</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支持车辆抓拍，支持抓拍输出车牌局部照片、车窗局部照片、非机动车局部照片、场景全景图片。</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 支持设置车辆抓拍位置到立杆的架设距离、设备架设高度，并在视频图像中显示位置信息。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 在满足GA/T 1202-2022一级补光标准，补光≤20lx 的前提下，抓拍图片满足 GA/T 832-2014标准中3.6.1要求， 配套符合GA/T 1202-2022标准的一级补光灯，设备抓拍车牌、车身颜色、车内前排人脸及衣着均清晰可见。</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 支持对25×10 像素～1100×3000 像素的机动车车牌进行抓拍并识别，支持识别并抓拍垂直倾斜角度≤55°、水平倾斜角度≤35°、俯仰角度≤40°的机动车车牌。</w:t>
            </w:r>
          </w:p>
          <w:p>
            <w:pPr>
              <w:widowControl/>
              <w:jc w:val="left"/>
              <w:textAlignment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kern w:val="0"/>
                <w:sz w:val="18"/>
                <w:szCs w:val="18"/>
                <w:lang w:bidi="ar"/>
              </w:rPr>
              <w:t>10</w:t>
            </w:r>
            <w:r>
              <w:rPr>
                <w:rFonts w:hint="eastAsia" w:asciiTheme="minorEastAsia" w:hAnsiTheme="minorEastAsia" w:eastAsiaTheme="minorEastAsia" w:cstheme="minorEastAsia"/>
                <w:color w:val="000000"/>
                <w:kern w:val="0"/>
                <w:sz w:val="18"/>
                <w:szCs w:val="18"/>
                <w:lang w:bidi="ar"/>
              </w:rPr>
              <w:t>. ≥2个RJ45 100M/1000M自适应网口，≥3个RS485接口，≥5路补光灯控制接口，≥1个存储卡接口，防护等级≥IP66。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采用≥1英寸CCD或全局曝光CMOS传感器，支持≥4096×2160@25fps（不含OSD叠加）视频图像输出；视频压缩支持H.265、H.264、M-JPEG；</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支持车辆抓拍，支持抓拍输出车牌局部照片、车窗局部照片、非机动车局部照片、场景全景图片。</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支持设置车辆抓拍位置到立杆的架设距离、设备架设高度，并在视频图像中显示位置信息。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支持对25×10 像素～1100×3000 像素的机动车车牌进行抓拍并识别，支持识别并抓拍垂直倾斜角度≤55°、水平倾斜角度≤35°、俯仰角度≤40°的机动车车牌。</w:t>
            </w:r>
          </w:p>
          <w:p>
            <w:pPr>
              <w:widowControl/>
              <w:jc w:val="left"/>
              <w:textAlignment w:val="center"/>
              <w:rPr>
                <w:rFonts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≥2个RJ45 100M/1000M自适应网口，≥3个RS485接口，≥1个触发输入、≥5路补光灯控制接口，≥1个存储卡接口，防护等级≥IP66。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符合GA/T 1202-2022《交通技术监控成像补光装置通用技术条件》；</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补光装置光源包括LED光源（一级频闪）、气体放电光源（二级脉冲）和红外光源；</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采用LED光源和气灯放电两种光源，LED光源呈圆形排布，气体放电光源前置转轴叶片，支持红外和白光补光切换；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支持LED频闪、LED爆闪、白光气体爆闪及红外气体爆闪四种补光方式，可通过远程控制切换；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眩光阀值增量TI≤1.08%；</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触发信号异常时，爆闪灯进入自动保护，触发信号输入正常，爆闪灯自动恢复正常</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 ≥1路RS485接口、1路气体脉冲爆闪输入接口，≥1路光源切换接口，≥1路频闪输入接口、≥1路LED爆闪输入接口；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 可通过RS485进行远程升级；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 支持记录闪光灯闪光次数；</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 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1.光源类型：≥16颗原装大功率LED；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2.发光角度≥10°；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3.符合GA/T 1202-2022《交通技术监控成像补光装置通用技术条件》中的一级补光装置要求；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4.覆盖范围：单车道环境补光灯；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5.最佳补光范围≥16</w:t>
            </w:r>
            <w:r>
              <w:rPr>
                <w:rFonts w:hint="eastAsia" w:asciiTheme="minorEastAsia" w:hAnsiTheme="minorEastAsia" w:eastAsiaTheme="minorEastAsia" w:cstheme="minorEastAsia"/>
                <w:color w:val="000000"/>
                <w:kern w:val="0"/>
                <w:sz w:val="18"/>
                <w:szCs w:val="18"/>
                <w:lang w:val="en-US" w:eastAsia="zh-CN" w:bidi="ar"/>
              </w:rPr>
              <w:t>m</w:t>
            </w:r>
            <w:r>
              <w:rPr>
                <w:rFonts w:hint="eastAsia" w:asciiTheme="minorEastAsia" w:hAnsiTheme="minorEastAsia" w:eastAsiaTheme="minorEastAsia" w:cstheme="minorEastAsia"/>
                <w:color w:val="000000"/>
                <w:kern w:val="0"/>
                <w:sz w:val="18"/>
                <w:szCs w:val="18"/>
                <w:lang w:bidi="ar"/>
              </w:rPr>
              <w:t>～25</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6.触发方式： 4V</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6V电平量触发；</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7.触发信号：频率15</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250HZ，占空比1%</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39%，响应时间小于20US；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8.防护等级：≥IP66；</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9.工作电压：AC220V；</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红绿灯信号检测器，采用工业级嵌入式微控制器；</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2. 具有≥6路RS485、≥16路AC220V信号灯输入接口、≥16路信号状态指示灯，≥1路RS485数据收发状态指示灯；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检测信号灯电压范围AC110V</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 xml:space="preserve">274V，信号灯输入端口有信号输入时，RS485端口会上传该端口的状态信息； </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 工作温度：-30℃～+70℃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 设备采用嵌入式操作系统，全机身散热，内部无风扇，支持车辆卡口、违法、目标、人体以及其他事件结构化图片存储，支持视频预览、录像和回放，支持配置录像计划，录像和图片存储空间可配置。</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支持≥4块3.5或2.5英寸硬盘接入，兼容≥</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TB硬盘，支持硬盘自动切换，当块硬盘损坏后，能自动切换至其它硬盘进行存储，内置≥</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T监控级硬盘；</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具有记录、回放、报警联动、图像检索、权限管理、视频水印、日志功能、支持叠加图像标识信息和时间，支持图像多画面显示。</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 支持内置GPS/北斗模块，实现GPS和北斗校时、定位功能，支持将经纬度信息叠加在图片或者视频上，定位校时模块可插拔更换。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 支持添加不少于24路IP摄像机，总码率不小于350Mbps，支持对接入摄像机进行实时预览与录像存储，支持对图片进行实时预览和存储，并可将IP摄像机的视频图像通过网络传输至客户端。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 支持接入具有ABF聚焦功能的摄像机，可对视频图像进行ABF聚焦，支持接入鱼眼摄像机、双目摄像机、三目摄像机、四目摄像机、八目枪球联动一体机及全局摄像机，并可将视频图像以多画面分割方式显示，可自定义画面布局。</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 可接入G.711a、G.711Mu、G.722.1、G.726、G.729、PCM、AAC、MPEG2-layer2音频编码格式的IPC，可将音频采样率设置为8kHz、16kHz、32kHz、48kHz、64kHz。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 支持图像化展示设备所连通道的在线、离线、未启用状态，支持展示各通道上线、离线时间；支持查看通道状态统计信息。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10. 支持将原始图片、特写图片、合成图片、车牌抠图、关联录像、主驾驶人脸图片、副驾驶人脸图片、行人人脸图片、非机动车人脸图片上传至FTP服务器。</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11. 支持配置路段名称、路段编号、路段距离，能够对驶入驶出该路段的车辆抓拍数据匹配并计算车辆的区间速度值，支持设置过滤阈值，对异常测速结果进行过滤，支持超速检测和欠速检测，可分别设定高限速和低限速值。</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12.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13.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1.设备安装基于 19 英寸标准结构设计，有≥17U 安装空间，具有良好的安装通用性；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2.机柜含有强电模块，包含220V电源防雷，2P25A空气≥1个，三芯插座≥1个，1P10A空开≥8个；</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3.机柜为单层机构，外侧钣金厚度为≥ 1.2mm，有效的保证了机柜的强度需求；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4.风扇安装在柜体的顶部居中位置，可有效的降低主设备散发出来的温度；</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5.机柜内含照明模块，方便设备夜间维护；</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6.防护等级≥IP55，保护内部设备不受外界恶劣环境的干扰；</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7.外部环境温度：≥-20℃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45℃；</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8.贮存温度：≥-40℃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70℃；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9.机柜内部相对湿度：≤85%（+30℃）；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10.贮存湿度：≥0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100%；</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11.大气压强：≥70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106KPa。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千兆单模双纤光纤收发器、RJ-45，SC/FC/ST，20km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≥8个10/100/1000Mbps RJ45 端口，IEEE 802.3 、IEEE 802.3u、IEEE 802.3ab、IEEE 802.3x，9VDC/0.6A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≥24个10/100/1000M自适应以太网端口，IEEE802.3 10BASE-T以太网IEEE802.3u 100BASE-TX快速以太网IEEE802.3ab 1000Base-T 千兆以太网ANSI/IEEE802.3 NWay自动协商IEEE802.3x流控 </w:t>
            </w:r>
          </w:p>
          <w:p>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100-240V AC</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H=6.5m，L=6m规格：</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w:t>
            </w:r>
            <w:r>
              <w:rPr>
                <w:rFonts w:hint="eastAsia" w:asciiTheme="minorEastAsia" w:hAnsiTheme="minorEastAsia" w:eastAsiaTheme="minorEastAsia" w:cstheme="minorEastAsia"/>
                <w:color w:val="000000"/>
                <w:kern w:val="0"/>
                <w:sz w:val="18"/>
                <w:szCs w:val="18"/>
                <w:lang w:eastAsia="zh-CN" w:bidi="ar"/>
              </w:rPr>
              <w:t>m/s</w:t>
            </w:r>
            <w:r>
              <w:rPr>
                <w:rFonts w:hint="eastAsia" w:asciiTheme="minorEastAsia" w:hAnsiTheme="minorEastAsia" w:eastAsiaTheme="minorEastAsia" w:cstheme="minorEastAsia"/>
                <w:color w:val="000000"/>
                <w:kern w:val="0"/>
                <w:sz w:val="18"/>
                <w:szCs w:val="18"/>
                <w:lang w:bidi="ar"/>
              </w:rPr>
              <w:t>(抗风压等级为10级)，承受压力为0.6</w:t>
            </w:r>
            <w:r>
              <w:rPr>
                <w:rFonts w:hint="eastAsia" w:asciiTheme="minorEastAsia" w:hAnsiTheme="minorEastAsia" w:eastAsiaTheme="minorEastAsia" w:cstheme="minorEastAsia"/>
                <w:color w:val="000000"/>
                <w:kern w:val="0"/>
                <w:sz w:val="18"/>
                <w:szCs w:val="18"/>
                <w:lang w:eastAsia="zh-CN" w:bidi="ar"/>
              </w:rPr>
              <w:t>KN</w:t>
            </w:r>
            <w:r>
              <w:rPr>
                <w:rFonts w:hint="eastAsia" w:asciiTheme="minorEastAsia" w:hAnsiTheme="minorEastAsia" w:eastAsiaTheme="minorEastAsia" w:cstheme="minorEastAsia"/>
                <w:color w:val="000000"/>
                <w:kern w:val="0"/>
                <w:sz w:val="18"/>
                <w:szCs w:val="18"/>
                <w:lang w:bidi="ar"/>
              </w:rPr>
              <w:t>，抗地震强度为8级。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基坑开挖（1.2*1.2*1.6）m³，渣土外运5km，c25商混浇筑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【抱杆箱】</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含双路220V防雷，双路空气开关≥1个，单路空气开关≥8个，三芯维护插座≥1个</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安装基于 19 英寸标准结构设计，有18U 安装空间，具有良好的安装通用性</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防护等级IP55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RVV-0.5kV-3*1.5mm2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箱</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GYXTW-8B，八芯室外单模光纤缆线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1、应用于园区中楼宇间的连接，长距离网络、主干线系统、本地环路或支路网络、严重潮湿的户外环境、温度 变化极大的环境、架空连接（和悬缆线一起使用）、地下管道或直埋、悬吊缆/服务缆。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 管内灌注防水凝胶，以防止水渗入。</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 平行钢丝提高对光纤的保护。</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 聚乙烯外衣在紫外线或恶劣的室外环境下有保护作用。</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 低磨擦的外皮使之可轻松穿过管道。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rvsp2*1mm2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座</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落地机柜基础制作、基础尺寸：≥1400*640*560mm；机柜安装等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管沟开挖与恢复400*500mm²，敷管PE80聚乙烯(PE)管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防雾治霾、围挡搭建、拆除等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设备转运、安装、吊装、系统调试、光缆熔续等施工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九、标线施划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长江路与巴音路丁字路口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线型：停止线1条，长度：8m，宽度：0.4m。热熔型。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线型：菱形标线4个，标线宽：0.2m，高度：3m，宽度：1.5m。热熔型。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线型：3m直行箭头2个；长度：3m，宽：0.45m。热熔型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线型：3m直行右转箭头2个；长度：3m，宽：0.9m。热熔型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昆仑路与青年街丁字路口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线型：停止线2条；长度：7m,宽度：0.4m。热熔型。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67.2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线型：斑马线2组；路宽14m,斑马线长度：6m，单组施划面积：6*14*0.4=33.6m</w:t>
            </w:r>
            <w:r>
              <w:rPr>
                <w:rStyle w:val="139"/>
                <w:rFonts w:hint="default" w:asciiTheme="minorEastAsia" w:hAnsiTheme="minorEastAsia" w:eastAsiaTheme="minorEastAsia" w:cstheme="minorEastAsia"/>
                <w:lang w:bidi="ar"/>
              </w:rPr>
              <w:t>2</w:t>
            </w:r>
            <w:r>
              <w:rPr>
                <w:rFonts w:hint="eastAsia" w:asciiTheme="minorEastAsia" w:hAnsiTheme="minorEastAsia" w:eastAsiaTheme="minorEastAsia" w:cstheme="minorEastAsia"/>
                <w:color w:val="000000"/>
                <w:kern w:val="0"/>
                <w:sz w:val="18"/>
                <w:szCs w:val="18"/>
                <w:lang w:bidi="ar"/>
              </w:rPr>
              <w:t>。热熔型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线型：3m直行箭头4个；长度：3m，宽：0.45m。热熔型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线型：3m直行右转箭头2个；长度：3m，宽：0.9m。热熔型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线型：3m左转箭头2个；长度：3m，宽：0.75m。热熔型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十、格尔木市长江源物流园沿线违停抓拍整治方案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800 万交通</w:t>
            </w:r>
          </w:p>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枪球一体机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 xml:space="preserve">违章取证：球机通道支持违停、逆行、压线、变道、机占非、掉头六种交通事件检测：球机通道支持抛洒物检测、行人检测、拥堵检测、路障检测、施工检测、交通事故检测、浓雾检测； </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交通数据采集：支持车流量、车道平均速度、车头时距、车头间距、车道时间占有率、车道空间占有率信息采集。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车辆检测：支持过车抓拍，进行牌识，并对车辆进行全结构化分析。</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球机通道自带白光灯，支持针对车牌进行白光补光，提升产品适应范围；</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车辆布控：支持车辆检测和车牌识别，对授权与非授权车辆进行布控跟踪，构建时空域场景。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交通事件定位：提供违停、逆行、压线、变道、机占非、掉头等交通事件的经纬度信息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支持35114国密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支持一体化扬声器</w:t>
            </w:r>
          </w:p>
          <w:p>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传感器类型：1/1.8＂progressivescanCMOS;</w:t>
            </w:r>
          </w:p>
          <w:p>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最低照度：彩色0.0005Lux@(F1.4，AGCON)，</w:t>
            </w:r>
            <w:r>
              <w:fldChar w:fldCharType="begin"/>
            </w:r>
            <w:r>
              <w:instrText xml:space="preserve"> HYPERLINK "mailto:黑白0.0001Lux@(F1.4，AGCON)，0LuxwithIR" </w:instrText>
            </w:r>
            <w:r>
              <w:fldChar w:fldCharType="separate"/>
            </w:r>
            <w:r>
              <w:rPr>
                <w:rStyle w:val="44"/>
                <w:rFonts w:hint="eastAsia" w:asciiTheme="minorEastAsia" w:hAnsiTheme="minorEastAsia" w:eastAsiaTheme="minorEastAsia" w:cstheme="minorEastAsia"/>
                <w:kern w:val="0"/>
                <w:sz w:val="18"/>
                <w:szCs w:val="18"/>
                <w:lang w:bidi="ar"/>
              </w:rPr>
              <w:t>黑白0.0001Lux@(F1.4，AGCON)，0LuxwithIR</w:t>
            </w:r>
            <w:r>
              <w:rPr>
                <w:rStyle w:val="44"/>
                <w:rFonts w:hint="eastAsia" w:asciiTheme="minorEastAsia" w:hAnsiTheme="minorEastAsia" w:eastAsiaTheme="minorEastAsia" w:cstheme="minorEastAsia"/>
                <w:kern w:val="0"/>
                <w:sz w:val="18"/>
                <w:szCs w:val="18"/>
                <w:lang w:bidi="ar"/>
              </w:rPr>
              <w:fldChar w:fldCharType="end"/>
            </w:r>
            <w:r>
              <w:rPr>
                <w:rFonts w:hint="eastAsia" w:asciiTheme="minorEastAsia" w:hAnsiTheme="minorEastAsia" w:eastAsiaTheme="minorEastAsia" w:cstheme="minorEastAsia"/>
                <w:color w:val="000000"/>
                <w:kern w:val="0"/>
                <w:sz w:val="18"/>
                <w:szCs w:val="18"/>
                <w:lang w:bidi="ar"/>
              </w:rPr>
              <w:t>；</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宽动态：120dB超宽动态</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光学变倍：≥40倍</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焦距：≥6.0-240mm°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白光照射距离：≥30m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红外照射距离：≥250m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防补光过曝：支持</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主码流帧率分辨率：50Hz：25fps（4096×2160，3840×2160，2560×1440，1920×1080，1280×960，1280×720）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60Hz：30fps（4096×2160，3840×2160，2560×1440，1920×1080，1280×960，1280×720）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视频压缩标准：H.265;H.264;MJPEG</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网络接口：RJ45网口；自适应10M/100M/1000M网络数据</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报警输入：≥7路报警输入</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报警输出：≥2路报警输出</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音频输入：≥1路音频输入，音频峰值：2-2.4V[p-p]，输入阻抗：1kΩ±10%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音频输出：≥1路音频输出，线性电平，阻抗:600Ω</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供电方式：DC36V</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电源接口类型：直流供电</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工作温湿度：-40℃-70℃；湿度小于95%</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恢复出厂设置：支持</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雨刷：支持</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防护：≥IP67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监控杆体（7</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立杆3</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横臂）</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立臂长7</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，杆体口径190～150厚度5MM，横臂长3</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，杆体口径140～100厚度4.0MM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监控杆立杆</w:t>
            </w:r>
          </w:p>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点位</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①挖坑：根据标准尺寸和图纸要求，在地面挖掘合适大小的坑穴；</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②倾斜立杆：将立杆倾斜放入坑穴，确保杆体与地面垂直；</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③混凝土浇筑：利用混凝土将杆体与地面固定，确保稳固度；</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④固定立杆：在混凝土凝固之前，使用支撑物或支架固定立杆。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设备安装调</w:t>
            </w:r>
          </w:p>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安装具体步骤：</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1.前端摄像头设备线缆铺设</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2.摄像头安装到吊顶，制作网线水晶头与电源线。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3.硬盘录像机上架固定并接入网络通讯正常</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4.摄像头上电正常，通过搜索工具测试网络通讯正常。有网络不通的重新制作水晶头解决。</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调试具体步骤：</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1.调整摄像头监控角度</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2.配置硬盘录像机，添加录像计划，添加监控摄像头。测试监控录像功能正常。</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3.安装总控管理平台到电脑，添加硬盘录像机进行管理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外电引入施</w:t>
            </w:r>
          </w:p>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电源线型号：ZR-YJLV2*6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光缆施工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光缆型号：GYTA-6B1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各类辅材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电工胶带、扎带、挂线钩、稳压电源、接线端子等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光猫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val="en-US" w:eastAsia="zh-CN" w:bidi="ar"/>
              </w:rPr>
              <w:t>与所投产品相匹配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监控基础制作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(适用于立杆6.5</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、横臂7</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以内八棱杆)尺寸1.2m*1.2m*1.8m基础土方开挖、渣土清理、10cm碎石垫层、商砼浇铸预埋件、安装接地装置；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十一、格尔木市消防队“消防通道专用交通灯”整治方案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a)外壳材质：压铸铝。</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b)灯面尺寸：中400mm，遮沿等符合GB14887-2011的相关标准</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c)光强：红色、黄色、绿色&gt;600cd，符合GB14887-2011标准。减光时中心光强200±10cd</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d)色度及波长：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红色625±5nm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X=0.6984，Y=0.3014</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黄色590±5nm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X=0.5802,Y=0.4137</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绿色505±4nm</w:t>
            </w:r>
            <w:r>
              <w:rPr>
                <w:rFonts w:hint="eastAsia" w:asciiTheme="minorEastAsia" w:hAnsiTheme="minorEastAsia" w:eastAsiaTheme="minorEastAsia" w:cstheme="minorEastAsia"/>
                <w:color w:val="000000"/>
                <w:kern w:val="0"/>
                <w:sz w:val="18"/>
                <w:szCs w:val="18"/>
                <w:lang w:val="en-US" w:eastAsia="zh-CN" w:bidi="ar"/>
              </w:rPr>
              <w:t xml:space="preserve"> </w:t>
            </w:r>
            <w:r>
              <w:rPr>
                <w:rFonts w:hint="eastAsia" w:asciiTheme="minorEastAsia" w:hAnsiTheme="minorEastAsia" w:eastAsiaTheme="minorEastAsia" w:cstheme="minorEastAsia"/>
                <w:color w:val="000000"/>
                <w:kern w:val="0"/>
                <w:sz w:val="18"/>
                <w:szCs w:val="18"/>
                <w:lang w:bidi="ar"/>
              </w:rPr>
              <w:t>X=0.0848,Y=0.5739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e)供电电压：AC220V±20%50Hz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f）出线孔容纳线径：不低于Φ20mm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g)功率:≤20W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h)功率因数：≥0.9</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i)启动瞬时电流：≤1.8A</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j)启动时间和关断时间:54ms,54ms</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k)关断电压:60V</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l)工作温度：-40℃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+80℃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m)湿度:≤97%</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n)使用寿命：&gt;10000</w:t>
            </w:r>
            <w:r>
              <w:rPr>
                <w:rFonts w:hint="eastAsia" w:asciiTheme="minorEastAsia" w:hAnsiTheme="minorEastAsia" w:eastAsiaTheme="minorEastAsia" w:cstheme="minorEastAsia"/>
                <w:color w:val="000000"/>
                <w:kern w:val="0"/>
                <w:sz w:val="18"/>
                <w:szCs w:val="18"/>
                <w:lang w:val="en-US" w:eastAsia="zh-CN" w:bidi="ar"/>
              </w:rPr>
              <w:t>n</w:t>
            </w:r>
          </w:p>
          <w:p>
            <w:pPr>
              <w:widowControl/>
              <w:jc w:val="left"/>
              <w:textAlignment w:val="center"/>
              <w:rPr>
                <w:rFonts w:hint="eastAsia" w:asciiTheme="minorEastAsia" w:hAnsiTheme="minorEastAsia" w:eastAsiaTheme="minorEastAsia" w:cstheme="minorEastAsia"/>
                <w:color w:val="000000"/>
                <w:kern w:val="0"/>
                <w:sz w:val="18"/>
                <w:szCs w:val="18"/>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消防出警信号控制器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输入特性: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输入电压范围：160Vac-264Vac</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额定输入电压范围：170Vac–264Vac</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频率范围：47Hz-53Hz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最大输入电流：20A</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浪涌电流：峰值30A,230Vac输入</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空载功耗：小于10W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手动控制输入：≥6路（手动与步进）</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输出特性:</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输出电压范围AC：170Vac-264Vac</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额定输出电流≤20A</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峰值输出电流≤30A</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频率范围47Hz-53Hz</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单路输出功率最大500W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输出信号路数标配44路</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空载功耗小于10W</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环境条件：</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温度工作环境：控制系统正常的工作温度：-20～＋70℃。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湿度：控制系统正常工作的相对湿度：0%</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90%。</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防水：通过雨淋试验，试验中和试验后工作均应正常，信号控制器机柜内部无渗水或积水现象。</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防尘：交通信号控制器在承受粉尘试验中及试验后，工作均正常，信号控制器机柜内部无大量积尘。</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防锈蚀：机箱材质及外层防腐处理：2MM热镀锌钢板，喷塑，信号控制器在承受盐雾试验后，工作正常，信号控制器机柜、内部机架等金属部件没有严重锈蚀情况。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八棱型长伸臂L型信号灯杆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规格：H=6.8m，L=8m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1.八棱型长伸臂灯杆，材质Q235以上</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2.灯具安装位置预制灯具横装安装口</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3.杆高6.5</w:t>
            </w:r>
            <w:r>
              <w:rPr>
                <w:rFonts w:hint="eastAsia" w:asciiTheme="minorEastAsia" w:hAnsiTheme="minorEastAsia" w:eastAsiaTheme="minorEastAsia" w:cstheme="minorEastAsia"/>
                <w:color w:val="000000"/>
                <w:kern w:val="0"/>
                <w:sz w:val="18"/>
                <w:szCs w:val="18"/>
                <w:lang w:eastAsia="zh-CN" w:bidi="ar"/>
              </w:rPr>
              <w:t>s</w:t>
            </w:r>
            <w:r>
              <w:rPr>
                <w:rFonts w:hint="eastAsia" w:asciiTheme="minorEastAsia" w:hAnsiTheme="minorEastAsia" w:eastAsiaTheme="minorEastAsia" w:cstheme="minorEastAsia"/>
                <w:color w:val="000000"/>
                <w:kern w:val="0"/>
                <w:sz w:val="18"/>
                <w:szCs w:val="18"/>
                <w:lang w:bidi="ar"/>
              </w:rPr>
              <w:t>，长伸臂符合信号灯配置要求；</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4.杆体采用热浸锌工艺，镀锌层均匀且厚度不小于55μm</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5.杆体设计合理，表面应光滑平顺，无气孔、焊渣、虚焊及漏焊等缺陷立杆及其主要构件的防护等级满足露天使用环境的要求，最大抗风风速不小于28m/s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全色谱KVV4×1.0mm2；</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规格：铜芯，聚氯乙烯绝缘，聚氯乙烯护套，控制电缆；</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标称横截面面积（mm2）：1.0。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规格：RVV2×2.5mm2</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铜芯聚氯乙烯绝缘乙烯护套圆形连接软线；</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用于潮湿和设备防护要求较高的场所；</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电压等级：300/300V,300/500V;</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芯数：2芯。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PE（聚乙烯）地埋电缆护套管；</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管径（外径）：Φ50，管壁厚度依据管径大小不同≥4mm；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八棱型长伸臂L型信号灯杆地脚</w:t>
            </w:r>
          </w:p>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bidi="ar"/>
              </w:rPr>
              <w:t>底板法兰450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*450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*8</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，地脚螺栓M32*1500</w:t>
            </w:r>
            <w:r>
              <w:rPr>
                <w:rFonts w:hint="eastAsia" w:asciiTheme="minorEastAsia" w:hAnsiTheme="minorEastAsia" w:eastAsiaTheme="minorEastAsia" w:cstheme="minorEastAsia"/>
                <w:color w:val="000000"/>
                <w:kern w:val="0"/>
                <w:sz w:val="18"/>
                <w:szCs w:val="18"/>
                <w:lang w:val="en-US" w:eastAsia="zh-CN" w:bidi="ar"/>
              </w:rPr>
              <w:t>mm</w:t>
            </w:r>
            <w:r>
              <w:rPr>
                <w:rFonts w:hint="eastAsia" w:asciiTheme="minorEastAsia" w:hAnsiTheme="minorEastAsia" w:eastAsiaTheme="minorEastAsia" w:cstheme="minorEastAsia"/>
                <w:color w:val="000000"/>
                <w:kern w:val="0"/>
                <w:sz w:val="18"/>
                <w:szCs w:val="18"/>
                <w:lang w:bidi="ar"/>
              </w:rPr>
              <w:t>*8根</w:t>
            </w:r>
            <w:r>
              <w:rPr>
                <w:rFonts w:hint="eastAsia" w:asciiTheme="minorEastAsia" w:hAnsiTheme="minorEastAsia" w:eastAsiaTheme="minorEastAsia" w:cstheme="minorEastAsia"/>
                <w:color w:val="000000"/>
                <w:kern w:val="0"/>
                <w:sz w:val="18"/>
                <w:szCs w:val="18"/>
                <w:lang w:val="en-US" w:eastAsia="zh-CN" w:bidi="ar"/>
              </w:rPr>
              <w:t xml:space="preserve">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材质：铸铁或高分子材质，并标有“公安”字样。</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规格：600mm*600mm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接地保护应严格按建筑电气施工规范要求安装，工作零线与保护零线严格分开,不得混用，所有配电箱的PE线应作垂直接地,其接地电阻不大于1欧姆,所有电气设备及管线金属外壳可靠接地，通过测试并要求达到规定值。若通过测试大于标准要求，必须要求返工，直到达标为止。</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2.接地极、接地扁钢选用热镀锌钢材，接地装置规定埋深不应小于0.6</w:t>
            </w:r>
            <w:r>
              <w:rPr>
                <w:rFonts w:hint="eastAsia" w:asciiTheme="minorEastAsia" w:hAnsiTheme="minorEastAsia" w:eastAsiaTheme="minorEastAsia" w:cstheme="minorEastAsia"/>
                <w:color w:val="000000"/>
                <w:kern w:val="0"/>
                <w:sz w:val="18"/>
                <w:szCs w:val="18"/>
                <w:lang w:val="en-US" w:eastAsia="zh-CN" w:bidi="ar"/>
              </w:rPr>
              <w:t>m</w:t>
            </w:r>
            <w:r>
              <w:rPr>
                <w:rFonts w:hint="eastAsia" w:asciiTheme="minorEastAsia" w:hAnsiTheme="minorEastAsia" w:eastAsiaTheme="minorEastAsia" w:cstheme="minorEastAsia"/>
                <w:color w:val="000000"/>
                <w:kern w:val="0"/>
                <w:sz w:val="18"/>
                <w:szCs w:val="18"/>
                <w:lang w:bidi="ar"/>
              </w:rPr>
              <w:t>，接地线通过地表下0.6</w:t>
            </w:r>
            <w:r>
              <w:rPr>
                <w:rFonts w:hint="eastAsia" w:asciiTheme="minorEastAsia" w:hAnsiTheme="minorEastAsia" w:eastAsiaTheme="minorEastAsia" w:cstheme="minorEastAsia"/>
                <w:color w:val="000000"/>
                <w:kern w:val="0"/>
                <w:sz w:val="18"/>
                <w:szCs w:val="18"/>
                <w:lang w:val="en-US" w:eastAsia="zh-CN" w:bidi="ar"/>
              </w:rPr>
              <w:t>m</w:t>
            </w:r>
            <w:r>
              <w:rPr>
                <w:rFonts w:hint="eastAsia" w:asciiTheme="minorEastAsia" w:hAnsiTheme="minorEastAsia" w:eastAsiaTheme="minorEastAsia" w:cstheme="minorEastAsia"/>
                <w:color w:val="000000"/>
                <w:kern w:val="0"/>
                <w:sz w:val="18"/>
                <w:szCs w:val="18"/>
                <w:lang w:bidi="ar"/>
              </w:rPr>
              <w:t>引至地面外。</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3.接地极选用∠50×50×5×2500镀锌角钢，间距5M，接地母线用-40×4镀锌扁钢，接地母线之间电焊搭接长度不小于15CM，接地母线、接地极之间焊接处应做防腐处理。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八棱型长伸臂L型信号灯基础开挖及清运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m³</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开挖尺寸：1200mm*1200mm*1800mm；</w:t>
            </w:r>
          </w:p>
          <w:p>
            <w:pPr>
              <w:widowControl/>
              <w:jc w:val="left"/>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bidi="ar"/>
              </w:rPr>
              <w:t>余土外运：5</w:t>
            </w:r>
            <w:r>
              <w:rPr>
                <w:rFonts w:hint="eastAsia" w:asciiTheme="minorEastAsia" w:hAnsiTheme="minorEastAsia" w:eastAsiaTheme="minorEastAsia" w:cstheme="minorEastAsia"/>
                <w:color w:val="000000"/>
                <w:kern w:val="0"/>
                <w:sz w:val="18"/>
                <w:szCs w:val="18"/>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八棱型长伸臂L型信号灯现浇基础及养护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m³</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1.混凝土种类：商砼</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人行道(隔离带)管线敷设（自行</w:t>
            </w:r>
          </w:p>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开挖尺寸：电缆沟开挖宽度不小于300mm，深度不小于500mm；长度根据施工现场实际情况而定。恢复：待管线敷设至电缆沟后，线管上方需做不小于50mm的硬化层，按原路面材质进行恢复。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电缆管沟开挖（顶管）及回填路</w:t>
            </w:r>
          </w:p>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开挖尺寸：电缆沟开挖宽度不小于300mm，深度不小于500mm；长度根据施工现场实际情况而定；恢复：管沟恢复需做硬化层防止路面塌陷，厚度不少于300mm，路面面层恢复采用沥青材料，压实厚度不小于100mm。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规格：600mm*600mm*800mm；</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材料准备：电缆套管PEΦ50或Φ63；水泥、石灰、砂、MU15烧结非黏土砖送至现场并复试合格；送检合格的井盖及井圈。</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施工叙述：检查井基坑开挖，人工平整基底铺设水泥石灰土并压实，垫二层烧鸡非黏土砖并用干砂填缝，砖砌检查井并预留孔道，砂浆抹面，浇筑C25压顶混凝土安装检查井井圈及井盖；烧结非黏土砖在使用前应洒水湿润，砂浆应随便随用，水泥砂浆和水泥混合砂浆应分别在3H和4H内使用完毕；当施工期间最高气温超过30℃时，应分别在拌成后2H和3H内使用完毕。</w:t>
            </w:r>
          </w:p>
          <w:p>
            <w:pPr>
              <w:widowControl/>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Theme="minorEastAsia" w:hAnsiTheme="minorEastAsia" w:eastAsiaTheme="minorEastAsia" w:cstheme="minorEastAsia"/>
                <w:color w:val="000000"/>
                <w:kern w:val="0"/>
                <w:sz w:val="18"/>
                <w:szCs w:val="18"/>
                <w:lang w:bidi="ar"/>
              </w:rPr>
              <w:t>采用“三一”砌筑法，即采用“一块砖、一铲灰、一挤揉”工艺砌筑砖砌体的操作方法，保证灰缝饱满、粘结力好、墙面整洁。</w:t>
            </w:r>
          </w:p>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管线入接线井时管线周边用砂浆填塞密实，接线井施工砂浆、混凝土需洒水养护。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路口</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含运输、灯杆组立吊装。信号灯安装、控制机安装电缆敷设、接线加电调试、试运行等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219.3683万元</w:t>
            </w:r>
          </w:p>
        </w:tc>
      </w:tr>
      <w:tr>
        <w:tblPrEx>
          <w:tblCellMar>
            <w:top w:w="0" w:type="dxa"/>
            <w:left w:w="108" w:type="dxa"/>
            <w:bottom w:w="0" w:type="dxa"/>
            <w:right w:w="108" w:type="dxa"/>
          </w:tblCellMar>
        </w:tblPrEx>
        <w:trPr>
          <w:trHeight w:val="90" w:hRule="atLeast"/>
        </w:trPr>
        <w:tc>
          <w:tcPr>
            <w:tcW w:w="13657" w:type="dxa"/>
            <w:gridSpan w:val="6"/>
            <w:tcBorders>
              <w:top w:val="single" w:color="000000" w:sz="4" w:space="0"/>
              <w:left w:val="nil"/>
              <w:bottom w:val="nil"/>
              <w:right w:val="nil"/>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注：服务类项目可以根据自身属性填写此表。</w:t>
            </w:r>
          </w:p>
        </w:tc>
      </w:tr>
    </w:tbl>
    <w:p>
      <w:pPr>
        <w:numPr>
          <w:ilvl w:val="0"/>
          <w:numId w:val="0"/>
        </w:numPr>
        <w:autoSpaceDE w:val="0"/>
        <w:autoSpaceDN w:val="0"/>
        <w:spacing w:line="360" w:lineRule="auto"/>
        <w:rPr>
          <w:rFonts w:hint="default" w:ascii="宋体" w:hAnsi="宋体" w:cs="宋体"/>
          <w:color w:val="0000FF"/>
          <w:kern w:val="0"/>
          <w:lang w:val="en-US" w:eastAsia="zh-CN" w:bidi="ar"/>
        </w:rPr>
      </w:pPr>
    </w:p>
    <w:sectPr>
      <w:headerReference r:id="rId6" w:type="default"/>
      <w:footerReference r:id="rId7" w:type="default"/>
      <w:pgSz w:w="16838" w:h="11905" w:orient="landscape"/>
      <w:pgMar w:top="1797" w:right="1440" w:bottom="1797" w:left="1440" w:header="850" w:footer="992" w:gutter="0"/>
      <w:pgNumType w:fmt="decimal"/>
      <w:cols w:space="720" w:num="1"/>
      <w:rtlGutter w:val="0"/>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F1748170-D71F-4D48-8409-E117A57CCDF6}"/>
  </w:font>
  <w:font w:name="黑体">
    <w:panose1 w:val="02010609060101010101"/>
    <w:charset w:val="86"/>
    <w:family w:val="auto"/>
    <w:pitch w:val="default"/>
    <w:sig w:usb0="800002BF" w:usb1="38CF7CFA" w:usb2="00000016" w:usb3="00000000" w:csb0="00040001" w:csb1="00000000"/>
    <w:embedRegular r:id="rId2" w:fontKey="{09BE6A5F-CF4C-4632-B0CA-AA8F055B35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C936AB26-BC5C-4F5B-98CF-103B6F2017F2}"/>
  </w:font>
  <w:font w:name="Cambria">
    <w:panose1 w:val="02040503050406030204"/>
    <w:charset w:val="00"/>
    <w:family w:val="roman"/>
    <w:pitch w:val="default"/>
    <w:sig w:usb0="E00002FF" w:usb1="400004FF" w:usb2="00000000" w:usb3="00000000" w:csb0="2000019F" w:csb1="00000000"/>
    <w:embedRegular r:id="rId4" w:fontKey="{E3DC6B80-3BA2-4AD5-A313-A0E79C15FD7A}"/>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09CEA8FE-E44C-464E-A94C-01CD0FFEAC07}"/>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6" w:fontKey="{51389678-8954-4692-9B66-8EFC2A1819CC}"/>
  </w:font>
  <w:font w:name="华文行楷">
    <w:panose1 w:val="02010800040101010101"/>
    <w:charset w:val="86"/>
    <w:family w:val="auto"/>
    <w:pitch w:val="default"/>
    <w:sig w:usb0="00000001" w:usb1="080F0000" w:usb2="00000000" w:usb3="00000000" w:csb0="00040000" w:csb1="00000000"/>
    <w:embedRegular r:id="rId7" w:fontKey="{B6C1D31D-8123-4382-8BE0-53232FFD8260}"/>
  </w:font>
  <w:font w:name="方正楷体_GBK">
    <w:panose1 w:val="02000000000000000000"/>
    <w:charset w:val="86"/>
    <w:family w:val="script"/>
    <w:pitch w:val="default"/>
    <w:sig w:usb0="800002BF" w:usb1="38CF7CFA" w:usb2="00000016" w:usb3="00000000" w:csb0="00040000" w:csb1="00000000"/>
    <w:embedRegular r:id="rId8" w:fontKey="{9B1D963B-1A1C-4EE2-9104-D84B9D625DC0}"/>
  </w:font>
  <w:font w:name="仿宋">
    <w:panose1 w:val="02010609060101010101"/>
    <w:charset w:val="86"/>
    <w:family w:val="modern"/>
    <w:pitch w:val="default"/>
    <w:sig w:usb0="800002BF" w:usb1="38CF7CFA" w:usb2="00000016" w:usb3="00000000" w:csb0="00040001" w:csb1="00000000"/>
    <w:embedRegular r:id="rId9" w:fontKey="{8EEE423C-D95D-4DB3-A6D6-0EF7DDFA41E9}"/>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15"/>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BC9BB160"/>
    <w:multiLevelType w:val="singleLevel"/>
    <w:tmpl w:val="BC9BB160"/>
    <w:lvl w:ilvl="0" w:tentative="0">
      <w:start w:val="3"/>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cs="宋体"/>
        <w:b/>
        <w:bCs/>
        <w:sz w:val="24"/>
        <w:szCs w:val="24"/>
      </w:rPr>
    </w:lvl>
    <w:lvl w:ilvl="2" w:tentative="0">
      <w:start w:val="1"/>
      <w:numFmt w:val="decimal"/>
      <w:pStyle w:val="130"/>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lvlText w:val="(%1)"/>
      <w:lvlJc w:val="left"/>
      <w:pPr>
        <w:tabs>
          <w:tab w:val="left" w:pos="312"/>
        </w:tabs>
      </w:pPr>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singleLevel"/>
    <w:tmpl w:val="00000008"/>
    <w:lvl w:ilvl="0" w:tentative="0">
      <w:start w:val="1"/>
      <w:numFmt w:val="decimal"/>
      <w:suff w:val="nothing"/>
      <w:lvlText w:val="（%1）"/>
      <w:lvlJc w:val="left"/>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5"/>
      <w:numFmt w:val="chineseCounting"/>
      <w:suff w:val="space"/>
      <w:lvlText w:val="第%1部分"/>
      <w:lvlJc w:val="left"/>
      <w:rPr>
        <w:rFonts w:hint="eastAsia"/>
      </w:rPr>
    </w:lvl>
  </w:abstractNum>
  <w:abstractNum w:abstractNumId="10">
    <w:nsid w:val="17FEC289"/>
    <w:multiLevelType w:val="singleLevel"/>
    <w:tmpl w:val="17FEC289"/>
    <w:lvl w:ilvl="0" w:tentative="0">
      <w:start w:val="2"/>
      <w:numFmt w:val="decimal"/>
      <w:lvlText w:val="%1."/>
      <w:lvlJc w:val="left"/>
      <w:pPr>
        <w:tabs>
          <w:tab w:val="left" w:pos="312"/>
        </w:tabs>
      </w:pPr>
    </w:lvl>
  </w:abstractNum>
  <w:num w:numId="1">
    <w:abstractNumId w:val="2"/>
  </w:num>
  <w:num w:numId="2">
    <w:abstractNumId w:val="0"/>
  </w:num>
  <w:num w:numId="3">
    <w:abstractNumId w:val="4"/>
  </w:num>
  <w:num w:numId="4">
    <w:abstractNumId w:val="5"/>
  </w:num>
  <w:num w:numId="5">
    <w:abstractNumId w:val="6"/>
  </w:num>
  <w:num w:numId="6">
    <w:abstractNumId w:val="7"/>
  </w:num>
  <w:num w:numId="7">
    <w:abstractNumId w:val="1"/>
  </w:num>
  <w:num w:numId="8">
    <w:abstractNumId w:val="8"/>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6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ZWJkODkxYzc1MThkMjkxYWYyZDliY2RkNmI2ZWEifQ=="/>
  </w:docVars>
  <w:rsids>
    <w:rsidRoot w:val="00172A27"/>
    <w:rsid w:val="0000544D"/>
    <w:rsid w:val="00010F33"/>
    <w:rsid w:val="00012F18"/>
    <w:rsid w:val="0001401E"/>
    <w:rsid w:val="00017D90"/>
    <w:rsid w:val="00026FB6"/>
    <w:rsid w:val="0002777A"/>
    <w:rsid w:val="00032AEC"/>
    <w:rsid w:val="00032D91"/>
    <w:rsid w:val="00033F6C"/>
    <w:rsid w:val="000504BE"/>
    <w:rsid w:val="00050A96"/>
    <w:rsid w:val="000530AC"/>
    <w:rsid w:val="00053F84"/>
    <w:rsid w:val="000568FB"/>
    <w:rsid w:val="000607C7"/>
    <w:rsid w:val="0006232A"/>
    <w:rsid w:val="000706DE"/>
    <w:rsid w:val="00073DA7"/>
    <w:rsid w:val="000742F2"/>
    <w:rsid w:val="00074EB6"/>
    <w:rsid w:val="0007570E"/>
    <w:rsid w:val="00080608"/>
    <w:rsid w:val="0008374B"/>
    <w:rsid w:val="000841BD"/>
    <w:rsid w:val="00085CDF"/>
    <w:rsid w:val="000875EB"/>
    <w:rsid w:val="0009075B"/>
    <w:rsid w:val="00091906"/>
    <w:rsid w:val="000A2265"/>
    <w:rsid w:val="000A3592"/>
    <w:rsid w:val="000A4D78"/>
    <w:rsid w:val="000A776F"/>
    <w:rsid w:val="000B0B57"/>
    <w:rsid w:val="000B467D"/>
    <w:rsid w:val="000B652B"/>
    <w:rsid w:val="000C0D8F"/>
    <w:rsid w:val="000C2C06"/>
    <w:rsid w:val="000C38E9"/>
    <w:rsid w:val="000D2AAD"/>
    <w:rsid w:val="000D3368"/>
    <w:rsid w:val="000D5A34"/>
    <w:rsid w:val="000E36FB"/>
    <w:rsid w:val="000E6615"/>
    <w:rsid w:val="000E7D1D"/>
    <w:rsid w:val="000F51BE"/>
    <w:rsid w:val="00100C29"/>
    <w:rsid w:val="00102BAF"/>
    <w:rsid w:val="00103DE5"/>
    <w:rsid w:val="00111392"/>
    <w:rsid w:val="001118DC"/>
    <w:rsid w:val="00116341"/>
    <w:rsid w:val="00116EC4"/>
    <w:rsid w:val="00124646"/>
    <w:rsid w:val="00130938"/>
    <w:rsid w:val="0014181B"/>
    <w:rsid w:val="001431BD"/>
    <w:rsid w:val="00143863"/>
    <w:rsid w:val="00146D26"/>
    <w:rsid w:val="00150ABF"/>
    <w:rsid w:val="00151A00"/>
    <w:rsid w:val="00156BD2"/>
    <w:rsid w:val="0016507E"/>
    <w:rsid w:val="001666D1"/>
    <w:rsid w:val="00187EC5"/>
    <w:rsid w:val="001941E9"/>
    <w:rsid w:val="00194B5F"/>
    <w:rsid w:val="001A4E18"/>
    <w:rsid w:val="001A626C"/>
    <w:rsid w:val="001B3699"/>
    <w:rsid w:val="001B5B9C"/>
    <w:rsid w:val="001B603E"/>
    <w:rsid w:val="001B635D"/>
    <w:rsid w:val="001C2819"/>
    <w:rsid w:val="001C59DE"/>
    <w:rsid w:val="001C7076"/>
    <w:rsid w:val="001C72BC"/>
    <w:rsid w:val="001D15AC"/>
    <w:rsid w:val="001D35DD"/>
    <w:rsid w:val="001D3F2D"/>
    <w:rsid w:val="001D5483"/>
    <w:rsid w:val="001D7F2C"/>
    <w:rsid w:val="001F312C"/>
    <w:rsid w:val="001F5C10"/>
    <w:rsid w:val="001F67C5"/>
    <w:rsid w:val="002022CA"/>
    <w:rsid w:val="00206051"/>
    <w:rsid w:val="002132CB"/>
    <w:rsid w:val="002133D4"/>
    <w:rsid w:val="0021473B"/>
    <w:rsid w:val="00216296"/>
    <w:rsid w:val="00216B78"/>
    <w:rsid w:val="002178A2"/>
    <w:rsid w:val="0022059E"/>
    <w:rsid w:val="00220E6D"/>
    <w:rsid w:val="00230DCF"/>
    <w:rsid w:val="002365CD"/>
    <w:rsid w:val="00236F6F"/>
    <w:rsid w:val="00240473"/>
    <w:rsid w:val="00255D41"/>
    <w:rsid w:val="00263899"/>
    <w:rsid w:val="00263DEA"/>
    <w:rsid w:val="002649E6"/>
    <w:rsid w:val="00267527"/>
    <w:rsid w:val="00271C7E"/>
    <w:rsid w:val="0027264D"/>
    <w:rsid w:val="00275C63"/>
    <w:rsid w:val="00283FF2"/>
    <w:rsid w:val="00286755"/>
    <w:rsid w:val="002956D5"/>
    <w:rsid w:val="002A07AC"/>
    <w:rsid w:val="002A6A11"/>
    <w:rsid w:val="002B2607"/>
    <w:rsid w:val="002B4612"/>
    <w:rsid w:val="002C1242"/>
    <w:rsid w:val="002C5D73"/>
    <w:rsid w:val="002C61D8"/>
    <w:rsid w:val="002D2150"/>
    <w:rsid w:val="002D36E7"/>
    <w:rsid w:val="002D3DE9"/>
    <w:rsid w:val="002D7267"/>
    <w:rsid w:val="002E224A"/>
    <w:rsid w:val="002E2303"/>
    <w:rsid w:val="002E4BCC"/>
    <w:rsid w:val="002F0EFB"/>
    <w:rsid w:val="002F7DFB"/>
    <w:rsid w:val="0030053C"/>
    <w:rsid w:val="00302C3D"/>
    <w:rsid w:val="003046DB"/>
    <w:rsid w:val="00305FFF"/>
    <w:rsid w:val="00307F9D"/>
    <w:rsid w:val="0031061F"/>
    <w:rsid w:val="00310C3C"/>
    <w:rsid w:val="00310EDF"/>
    <w:rsid w:val="003127AA"/>
    <w:rsid w:val="00317F1F"/>
    <w:rsid w:val="003256AA"/>
    <w:rsid w:val="00336527"/>
    <w:rsid w:val="00342CCF"/>
    <w:rsid w:val="003442FB"/>
    <w:rsid w:val="00345E83"/>
    <w:rsid w:val="00350F92"/>
    <w:rsid w:val="003545BF"/>
    <w:rsid w:val="00357611"/>
    <w:rsid w:val="0036431D"/>
    <w:rsid w:val="00371F7B"/>
    <w:rsid w:val="003756EF"/>
    <w:rsid w:val="00375CF6"/>
    <w:rsid w:val="0038064F"/>
    <w:rsid w:val="003850AB"/>
    <w:rsid w:val="003A02BF"/>
    <w:rsid w:val="003A0ED3"/>
    <w:rsid w:val="003A28B2"/>
    <w:rsid w:val="003A6D16"/>
    <w:rsid w:val="003A7F21"/>
    <w:rsid w:val="003B3214"/>
    <w:rsid w:val="003C010A"/>
    <w:rsid w:val="003C3D22"/>
    <w:rsid w:val="003C74E6"/>
    <w:rsid w:val="003D3BFB"/>
    <w:rsid w:val="003E0681"/>
    <w:rsid w:val="003F394D"/>
    <w:rsid w:val="003F4A31"/>
    <w:rsid w:val="004029E9"/>
    <w:rsid w:val="00403B1A"/>
    <w:rsid w:val="004106B0"/>
    <w:rsid w:val="00412D62"/>
    <w:rsid w:val="0041505E"/>
    <w:rsid w:val="00415F23"/>
    <w:rsid w:val="004173C4"/>
    <w:rsid w:val="00424B16"/>
    <w:rsid w:val="004273E0"/>
    <w:rsid w:val="004303F2"/>
    <w:rsid w:val="00430DAC"/>
    <w:rsid w:val="00433122"/>
    <w:rsid w:val="004451F5"/>
    <w:rsid w:val="00445FEF"/>
    <w:rsid w:val="00453B24"/>
    <w:rsid w:val="00456BAD"/>
    <w:rsid w:val="00463E34"/>
    <w:rsid w:val="00470E65"/>
    <w:rsid w:val="00476A2A"/>
    <w:rsid w:val="00477784"/>
    <w:rsid w:val="00486C9B"/>
    <w:rsid w:val="0048778F"/>
    <w:rsid w:val="004901E4"/>
    <w:rsid w:val="00491643"/>
    <w:rsid w:val="004918CC"/>
    <w:rsid w:val="004919C2"/>
    <w:rsid w:val="004926BA"/>
    <w:rsid w:val="0049343A"/>
    <w:rsid w:val="00494D46"/>
    <w:rsid w:val="00494E6F"/>
    <w:rsid w:val="004A1525"/>
    <w:rsid w:val="004A1B7E"/>
    <w:rsid w:val="004A1CBF"/>
    <w:rsid w:val="004B35C8"/>
    <w:rsid w:val="004B67C7"/>
    <w:rsid w:val="004C115D"/>
    <w:rsid w:val="004C1D2A"/>
    <w:rsid w:val="004C2206"/>
    <w:rsid w:val="004C5AD3"/>
    <w:rsid w:val="004C73EA"/>
    <w:rsid w:val="004D6553"/>
    <w:rsid w:val="004E296C"/>
    <w:rsid w:val="004E3F57"/>
    <w:rsid w:val="004E71AC"/>
    <w:rsid w:val="004F0510"/>
    <w:rsid w:val="004F4C30"/>
    <w:rsid w:val="004F64B1"/>
    <w:rsid w:val="005079BC"/>
    <w:rsid w:val="00507A25"/>
    <w:rsid w:val="00514D7A"/>
    <w:rsid w:val="00524A8A"/>
    <w:rsid w:val="0053254D"/>
    <w:rsid w:val="00533976"/>
    <w:rsid w:val="00535302"/>
    <w:rsid w:val="00540924"/>
    <w:rsid w:val="0054120E"/>
    <w:rsid w:val="0054266D"/>
    <w:rsid w:val="005459C0"/>
    <w:rsid w:val="00545EF0"/>
    <w:rsid w:val="00545FDC"/>
    <w:rsid w:val="00546669"/>
    <w:rsid w:val="0055204B"/>
    <w:rsid w:val="00556094"/>
    <w:rsid w:val="00556718"/>
    <w:rsid w:val="00557021"/>
    <w:rsid w:val="00565A69"/>
    <w:rsid w:val="005719DF"/>
    <w:rsid w:val="00571E62"/>
    <w:rsid w:val="00572102"/>
    <w:rsid w:val="005735A3"/>
    <w:rsid w:val="00576510"/>
    <w:rsid w:val="00580E9F"/>
    <w:rsid w:val="005836DE"/>
    <w:rsid w:val="00585952"/>
    <w:rsid w:val="005860DE"/>
    <w:rsid w:val="005874DF"/>
    <w:rsid w:val="00590A81"/>
    <w:rsid w:val="00594F92"/>
    <w:rsid w:val="005A550B"/>
    <w:rsid w:val="005A6901"/>
    <w:rsid w:val="005A724E"/>
    <w:rsid w:val="005B1891"/>
    <w:rsid w:val="005B4580"/>
    <w:rsid w:val="005B5287"/>
    <w:rsid w:val="005B663F"/>
    <w:rsid w:val="005C1B87"/>
    <w:rsid w:val="005C2BFE"/>
    <w:rsid w:val="005D0A7D"/>
    <w:rsid w:val="005D6B6F"/>
    <w:rsid w:val="005D709B"/>
    <w:rsid w:val="005E3209"/>
    <w:rsid w:val="005E6477"/>
    <w:rsid w:val="005F1CE4"/>
    <w:rsid w:val="005F73AC"/>
    <w:rsid w:val="005F7B02"/>
    <w:rsid w:val="006146CA"/>
    <w:rsid w:val="00614F64"/>
    <w:rsid w:val="00622377"/>
    <w:rsid w:val="00624D92"/>
    <w:rsid w:val="00627D0D"/>
    <w:rsid w:val="00632FBA"/>
    <w:rsid w:val="00635ADF"/>
    <w:rsid w:val="00636112"/>
    <w:rsid w:val="00640080"/>
    <w:rsid w:val="006400A5"/>
    <w:rsid w:val="00647B76"/>
    <w:rsid w:val="00650919"/>
    <w:rsid w:val="00652207"/>
    <w:rsid w:val="0065265E"/>
    <w:rsid w:val="00652EB8"/>
    <w:rsid w:val="0065456E"/>
    <w:rsid w:val="006557C8"/>
    <w:rsid w:val="00656977"/>
    <w:rsid w:val="00657F2D"/>
    <w:rsid w:val="006610D8"/>
    <w:rsid w:val="00661531"/>
    <w:rsid w:val="006619E0"/>
    <w:rsid w:val="00663B37"/>
    <w:rsid w:val="0067708B"/>
    <w:rsid w:val="0067757D"/>
    <w:rsid w:val="00680CDE"/>
    <w:rsid w:val="00681983"/>
    <w:rsid w:val="006825AC"/>
    <w:rsid w:val="00684316"/>
    <w:rsid w:val="00686935"/>
    <w:rsid w:val="00693FDF"/>
    <w:rsid w:val="00694274"/>
    <w:rsid w:val="00694657"/>
    <w:rsid w:val="00697693"/>
    <w:rsid w:val="006A1F03"/>
    <w:rsid w:val="006A5595"/>
    <w:rsid w:val="006B7723"/>
    <w:rsid w:val="006C1BA7"/>
    <w:rsid w:val="006C2F05"/>
    <w:rsid w:val="006C46CC"/>
    <w:rsid w:val="006C6DEC"/>
    <w:rsid w:val="006D2B28"/>
    <w:rsid w:val="006D4697"/>
    <w:rsid w:val="006D4898"/>
    <w:rsid w:val="006F2417"/>
    <w:rsid w:val="006F5539"/>
    <w:rsid w:val="006F5C9D"/>
    <w:rsid w:val="007012EC"/>
    <w:rsid w:val="00704FBB"/>
    <w:rsid w:val="007133D7"/>
    <w:rsid w:val="00715120"/>
    <w:rsid w:val="0072387A"/>
    <w:rsid w:val="00723C48"/>
    <w:rsid w:val="007253AC"/>
    <w:rsid w:val="00725A21"/>
    <w:rsid w:val="007261A7"/>
    <w:rsid w:val="007262EE"/>
    <w:rsid w:val="00731E2F"/>
    <w:rsid w:val="007338E2"/>
    <w:rsid w:val="00740E1C"/>
    <w:rsid w:val="0075045E"/>
    <w:rsid w:val="00763799"/>
    <w:rsid w:val="00765366"/>
    <w:rsid w:val="00765EC1"/>
    <w:rsid w:val="0077318D"/>
    <w:rsid w:val="00773BE6"/>
    <w:rsid w:val="00774955"/>
    <w:rsid w:val="00775220"/>
    <w:rsid w:val="00776220"/>
    <w:rsid w:val="00777958"/>
    <w:rsid w:val="00777C40"/>
    <w:rsid w:val="00782717"/>
    <w:rsid w:val="00784029"/>
    <w:rsid w:val="0078708C"/>
    <w:rsid w:val="0079027E"/>
    <w:rsid w:val="007921C3"/>
    <w:rsid w:val="007A0787"/>
    <w:rsid w:val="007A7AFC"/>
    <w:rsid w:val="007B2C08"/>
    <w:rsid w:val="007B5B67"/>
    <w:rsid w:val="007B7778"/>
    <w:rsid w:val="007C170D"/>
    <w:rsid w:val="007C5549"/>
    <w:rsid w:val="007D4F9E"/>
    <w:rsid w:val="007D66DC"/>
    <w:rsid w:val="007D7EC1"/>
    <w:rsid w:val="007E2872"/>
    <w:rsid w:val="007E3675"/>
    <w:rsid w:val="007E790F"/>
    <w:rsid w:val="007F221C"/>
    <w:rsid w:val="007F25EE"/>
    <w:rsid w:val="007F5E2E"/>
    <w:rsid w:val="008004A5"/>
    <w:rsid w:val="00800714"/>
    <w:rsid w:val="00813A5E"/>
    <w:rsid w:val="00815E84"/>
    <w:rsid w:val="00816D7C"/>
    <w:rsid w:val="00822CCA"/>
    <w:rsid w:val="00823282"/>
    <w:rsid w:val="00823407"/>
    <w:rsid w:val="00825C9D"/>
    <w:rsid w:val="00826D51"/>
    <w:rsid w:val="008342CB"/>
    <w:rsid w:val="008524B8"/>
    <w:rsid w:val="00857398"/>
    <w:rsid w:val="00857A02"/>
    <w:rsid w:val="00863600"/>
    <w:rsid w:val="00871646"/>
    <w:rsid w:val="00875577"/>
    <w:rsid w:val="008774D1"/>
    <w:rsid w:val="0088679E"/>
    <w:rsid w:val="00886DCB"/>
    <w:rsid w:val="00891F05"/>
    <w:rsid w:val="00894AFF"/>
    <w:rsid w:val="00894E70"/>
    <w:rsid w:val="008A320E"/>
    <w:rsid w:val="008A504B"/>
    <w:rsid w:val="008A5711"/>
    <w:rsid w:val="008A7884"/>
    <w:rsid w:val="008B4D21"/>
    <w:rsid w:val="008B59D4"/>
    <w:rsid w:val="008C2A12"/>
    <w:rsid w:val="008D0E0B"/>
    <w:rsid w:val="008D128B"/>
    <w:rsid w:val="008D16B3"/>
    <w:rsid w:val="008D2F6B"/>
    <w:rsid w:val="008D3D9A"/>
    <w:rsid w:val="008D6341"/>
    <w:rsid w:val="008E4892"/>
    <w:rsid w:val="008F2A64"/>
    <w:rsid w:val="008F3AE4"/>
    <w:rsid w:val="008F6B95"/>
    <w:rsid w:val="0090105F"/>
    <w:rsid w:val="00901937"/>
    <w:rsid w:val="00901A1E"/>
    <w:rsid w:val="00902B7F"/>
    <w:rsid w:val="009071F2"/>
    <w:rsid w:val="0091313E"/>
    <w:rsid w:val="009134D4"/>
    <w:rsid w:val="00914054"/>
    <w:rsid w:val="00915D8E"/>
    <w:rsid w:val="00916191"/>
    <w:rsid w:val="00916B91"/>
    <w:rsid w:val="009170F4"/>
    <w:rsid w:val="00920F1A"/>
    <w:rsid w:val="009235E7"/>
    <w:rsid w:val="009304CE"/>
    <w:rsid w:val="00942454"/>
    <w:rsid w:val="00943FFA"/>
    <w:rsid w:val="009508A8"/>
    <w:rsid w:val="009518EC"/>
    <w:rsid w:val="00955169"/>
    <w:rsid w:val="00960E65"/>
    <w:rsid w:val="00963A57"/>
    <w:rsid w:val="009670B1"/>
    <w:rsid w:val="00972F16"/>
    <w:rsid w:val="0097673F"/>
    <w:rsid w:val="009841E3"/>
    <w:rsid w:val="009852AE"/>
    <w:rsid w:val="0099074C"/>
    <w:rsid w:val="00995471"/>
    <w:rsid w:val="00997DAD"/>
    <w:rsid w:val="009A3017"/>
    <w:rsid w:val="009A371F"/>
    <w:rsid w:val="009A45F3"/>
    <w:rsid w:val="009A48EC"/>
    <w:rsid w:val="009A79F7"/>
    <w:rsid w:val="009B1754"/>
    <w:rsid w:val="009B1F2A"/>
    <w:rsid w:val="009C5114"/>
    <w:rsid w:val="009C7892"/>
    <w:rsid w:val="009E3D4D"/>
    <w:rsid w:val="009E65A5"/>
    <w:rsid w:val="009E7B0C"/>
    <w:rsid w:val="009E7E17"/>
    <w:rsid w:val="009F26A7"/>
    <w:rsid w:val="009F412D"/>
    <w:rsid w:val="009F4C02"/>
    <w:rsid w:val="009F4D00"/>
    <w:rsid w:val="009F7D4B"/>
    <w:rsid w:val="00A049B2"/>
    <w:rsid w:val="00A11D66"/>
    <w:rsid w:val="00A131E9"/>
    <w:rsid w:val="00A13781"/>
    <w:rsid w:val="00A22D14"/>
    <w:rsid w:val="00A2722E"/>
    <w:rsid w:val="00A27B25"/>
    <w:rsid w:val="00A30A2D"/>
    <w:rsid w:val="00A338E3"/>
    <w:rsid w:val="00A35CC8"/>
    <w:rsid w:val="00A37D9E"/>
    <w:rsid w:val="00A41442"/>
    <w:rsid w:val="00A45FF3"/>
    <w:rsid w:val="00A46D59"/>
    <w:rsid w:val="00A46FF5"/>
    <w:rsid w:val="00A503E3"/>
    <w:rsid w:val="00A51F53"/>
    <w:rsid w:val="00A53ABF"/>
    <w:rsid w:val="00A55CA7"/>
    <w:rsid w:val="00A60305"/>
    <w:rsid w:val="00A6398B"/>
    <w:rsid w:val="00A675A3"/>
    <w:rsid w:val="00A73F74"/>
    <w:rsid w:val="00A77E99"/>
    <w:rsid w:val="00A80A3F"/>
    <w:rsid w:val="00A81E6D"/>
    <w:rsid w:val="00A8401A"/>
    <w:rsid w:val="00A957CC"/>
    <w:rsid w:val="00A95B30"/>
    <w:rsid w:val="00A95EE0"/>
    <w:rsid w:val="00A96492"/>
    <w:rsid w:val="00A970B8"/>
    <w:rsid w:val="00A970EE"/>
    <w:rsid w:val="00AA0501"/>
    <w:rsid w:val="00AA07F7"/>
    <w:rsid w:val="00AA288F"/>
    <w:rsid w:val="00AB3909"/>
    <w:rsid w:val="00AC07B4"/>
    <w:rsid w:val="00AC7745"/>
    <w:rsid w:val="00AC7B33"/>
    <w:rsid w:val="00AD0643"/>
    <w:rsid w:val="00AD3806"/>
    <w:rsid w:val="00AD39F5"/>
    <w:rsid w:val="00AD7C9C"/>
    <w:rsid w:val="00AE5D49"/>
    <w:rsid w:val="00AE7E9E"/>
    <w:rsid w:val="00AF5992"/>
    <w:rsid w:val="00AF70C6"/>
    <w:rsid w:val="00B04ABF"/>
    <w:rsid w:val="00B04E44"/>
    <w:rsid w:val="00B055EE"/>
    <w:rsid w:val="00B07350"/>
    <w:rsid w:val="00B10AE4"/>
    <w:rsid w:val="00B13061"/>
    <w:rsid w:val="00B13A3B"/>
    <w:rsid w:val="00B2497C"/>
    <w:rsid w:val="00B26540"/>
    <w:rsid w:val="00B270AA"/>
    <w:rsid w:val="00B40038"/>
    <w:rsid w:val="00B41C7E"/>
    <w:rsid w:val="00B42641"/>
    <w:rsid w:val="00B46F91"/>
    <w:rsid w:val="00B50804"/>
    <w:rsid w:val="00B51137"/>
    <w:rsid w:val="00B5397D"/>
    <w:rsid w:val="00B53D1A"/>
    <w:rsid w:val="00B56723"/>
    <w:rsid w:val="00B602F3"/>
    <w:rsid w:val="00B620A6"/>
    <w:rsid w:val="00B6212F"/>
    <w:rsid w:val="00B64F65"/>
    <w:rsid w:val="00B67387"/>
    <w:rsid w:val="00B738C9"/>
    <w:rsid w:val="00B76E67"/>
    <w:rsid w:val="00B81C5A"/>
    <w:rsid w:val="00B84075"/>
    <w:rsid w:val="00B851BE"/>
    <w:rsid w:val="00B851E7"/>
    <w:rsid w:val="00B86DB6"/>
    <w:rsid w:val="00B91ABA"/>
    <w:rsid w:val="00B97B2A"/>
    <w:rsid w:val="00BA3D1B"/>
    <w:rsid w:val="00BA6BEA"/>
    <w:rsid w:val="00BA77AD"/>
    <w:rsid w:val="00BC0429"/>
    <w:rsid w:val="00BC4BBD"/>
    <w:rsid w:val="00BC50D9"/>
    <w:rsid w:val="00BD019E"/>
    <w:rsid w:val="00BD7CC7"/>
    <w:rsid w:val="00BE18A1"/>
    <w:rsid w:val="00BE2ACA"/>
    <w:rsid w:val="00BE6400"/>
    <w:rsid w:val="00BF0E15"/>
    <w:rsid w:val="00BF1378"/>
    <w:rsid w:val="00BF17DE"/>
    <w:rsid w:val="00BF32B7"/>
    <w:rsid w:val="00BF6BD1"/>
    <w:rsid w:val="00BF7012"/>
    <w:rsid w:val="00C00458"/>
    <w:rsid w:val="00C006C7"/>
    <w:rsid w:val="00C02A98"/>
    <w:rsid w:val="00C1349C"/>
    <w:rsid w:val="00C233C9"/>
    <w:rsid w:val="00C26102"/>
    <w:rsid w:val="00C26DED"/>
    <w:rsid w:val="00C3034A"/>
    <w:rsid w:val="00C36690"/>
    <w:rsid w:val="00C41BC3"/>
    <w:rsid w:val="00C44013"/>
    <w:rsid w:val="00C44110"/>
    <w:rsid w:val="00C52391"/>
    <w:rsid w:val="00C55914"/>
    <w:rsid w:val="00C569E9"/>
    <w:rsid w:val="00C65A11"/>
    <w:rsid w:val="00C713FA"/>
    <w:rsid w:val="00C7505E"/>
    <w:rsid w:val="00C814A5"/>
    <w:rsid w:val="00C8389F"/>
    <w:rsid w:val="00C84863"/>
    <w:rsid w:val="00C91EC9"/>
    <w:rsid w:val="00C93F6C"/>
    <w:rsid w:val="00C96ADB"/>
    <w:rsid w:val="00CA54A5"/>
    <w:rsid w:val="00CB2817"/>
    <w:rsid w:val="00CB2B9D"/>
    <w:rsid w:val="00CB6446"/>
    <w:rsid w:val="00CB7544"/>
    <w:rsid w:val="00CC0511"/>
    <w:rsid w:val="00CC2444"/>
    <w:rsid w:val="00CC3C2D"/>
    <w:rsid w:val="00CC47D1"/>
    <w:rsid w:val="00CC6C79"/>
    <w:rsid w:val="00CC74BE"/>
    <w:rsid w:val="00CD2D66"/>
    <w:rsid w:val="00CD5667"/>
    <w:rsid w:val="00CD6B45"/>
    <w:rsid w:val="00CE1056"/>
    <w:rsid w:val="00CE2F16"/>
    <w:rsid w:val="00CE5DD1"/>
    <w:rsid w:val="00CE5F10"/>
    <w:rsid w:val="00CE6BD1"/>
    <w:rsid w:val="00CF4BAA"/>
    <w:rsid w:val="00D02697"/>
    <w:rsid w:val="00D05C0B"/>
    <w:rsid w:val="00D07292"/>
    <w:rsid w:val="00D13F4F"/>
    <w:rsid w:val="00D14410"/>
    <w:rsid w:val="00D147BA"/>
    <w:rsid w:val="00D14FE2"/>
    <w:rsid w:val="00D167A0"/>
    <w:rsid w:val="00D21051"/>
    <w:rsid w:val="00D442B9"/>
    <w:rsid w:val="00D45D77"/>
    <w:rsid w:val="00D5625B"/>
    <w:rsid w:val="00D60C9E"/>
    <w:rsid w:val="00D64AE1"/>
    <w:rsid w:val="00D750F5"/>
    <w:rsid w:val="00D9016E"/>
    <w:rsid w:val="00D90E62"/>
    <w:rsid w:val="00DA1B1F"/>
    <w:rsid w:val="00DA389F"/>
    <w:rsid w:val="00DA3CCC"/>
    <w:rsid w:val="00DA540A"/>
    <w:rsid w:val="00DA5B07"/>
    <w:rsid w:val="00DA7B8E"/>
    <w:rsid w:val="00DB3D98"/>
    <w:rsid w:val="00DB57FA"/>
    <w:rsid w:val="00DB6775"/>
    <w:rsid w:val="00DC18AA"/>
    <w:rsid w:val="00DC34A3"/>
    <w:rsid w:val="00DC60EF"/>
    <w:rsid w:val="00DC6337"/>
    <w:rsid w:val="00DC778B"/>
    <w:rsid w:val="00DE02D0"/>
    <w:rsid w:val="00DE1428"/>
    <w:rsid w:val="00DE181E"/>
    <w:rsid w:val="00DE415F"/>
    <w:rsid w:val="00DE5D19"/>
    <w:rsid w:val="00DF016A"/>
    <w:rsid w:val="00DF171C"/>
    <w:rsid w:val="00DF1EA0"/>
    <w:rsid w:val="00DF7DBE"/>
    <w:rsid w:val="00E01795"/>
    <w:rsid w:val="00E02CE7"/>
    <w:rsid w:val="00E049E9"/>
    <w:rsid w:val="00E04FF1"/>
    <w:rsid w:val="00E2268D"/>
    <w:rsid w:val="00E25C10"/>
    <w:rsid w:val="00E261E0"/>
    <w:rsid w:val="00E26645"/>
    <w:rsid w:val="00E2690B"/>
    <w:rsid w:val="00E31460"/>
    <w:rsid w:val="00E31697"/>
    <w:rsid w:val="00E32A0E"/>
    <w:rsid w:val="00E35A0C"/>
    <w:rsid w:val="00E363F7"/>
    <w:rsid w:val="00E37125"/>
    <w:rsid w:val="00E37A33"/>
    <w:rsid w:val="00E37BE3"/>
    <w:rsid w:val="00E42DEE"/>
    <w:rsid w:val="00E43053"/>
    <w:rsid w:val="00E51062"/>
    <w:rsid w:val="00E514CA"/>
    <w:rsid w:val="00E625E8"/>
    <w:rsid w:val="00E67C6C"/>
    <w:rsid w:val="00E730F8"/>
    <w:rsid w:val="00E74602"/>
    <w:rsid w:val="00E76349"/>
    <w:rsid w:val="00E77407"/>
    <w:rsid w:val="00E80A75"/>
    <w:rsid w:val="00E95285"/>
    <w:rsid w:val="00EA4501"/>
    <w:rsid w:val="00EA502C"/>
    <w:rsid w:val="00EA6BCB"/>
    <w:rsid w:val="00EB2B4D"/>
    <w:rsid w:val="00EB3E0B"/>
    <w:rsid w:val="00EC5226"/>
    <w:rsid w:val="00ED0BD2"/>
    <w:rsid w:val="00ED7415"/>
    <w:rsid w:val="00EE34D0"/>
    <w:rsid w:val="00EE3BA0"/>
    <w:rsid w:val="00EE4B74"/>
    <w:rsid w:val="00EE65B5"/>
    <w:rsid w:val="00EE7A1D"/>
    <w:rsid w:val="00EF00CF"/>
    <w:rsid w:val="00F00116"/>
    <w:rsid w:val="00F00D2A"/>
    <w:rsid w:val="00F03A51"/>
    <w:rsid w:val="00F049D0"/>
    <w:rsid w:val="00F06E05"/>
    <w:rsid w:val="00F11365"/>
    <w:rsid w:val="00F16579"/>
    <w:rsid w:val="00F21DAA"/>
    <w:rsid w:val="00F25F3D"/>
    <w:rsid w:val="00F31474"/>
    <w:rsid w:val="00F33751"/>
    <w:rsid w:val="00F3453D"/>
    <w:rsid w:val="00F415DE"/>
    <w:rsid w:val="00F4644B"/>
    <w:rsid w:val="00F4785D"/>
    <w:rsid w:val="00F47A14"/>
    <w:rsid w:val="00F51CEB"/>
    <w:rsid w:val="00F60729"/>
    <w:rsid w:val="00F60893"/>
    <w:rsid w:val="00F61C39"/>
    <w:rsid w:val="00F74940"/>
    <w:rsid w:val="00F7498F"/>
    <w:rsid w:val="00F7613F"/>
    <w:rsid w:val="00F859CD"/>
    <w:rsid w:val="00F87026"/>
    <w:rsid w:val="00F914C8"/>
    <w:rsid w:val="00F9486C"/>
    <w:rsid w:val="00FA00B2"/>
    <w:rsid w:val="00FB102E"/>
    <w:rsid w:val="00FB134B"/>
    <w:rsid w:val="00FB484C"/>
    <w:rsid w:val="00FC35B7"/>
    <w:rsid w:val="00FC3DC7"/>
    <w:rsid w:val="00FC61BD"/>
    <w:rsid w:val="00FD0595"/>
    <w:rsid w:val="00FD1DFB"/>
    <w:rsid w:val="00FD206B"/>
    <w:rsid w:val="00FE07EF"/>
    <w:rsid w:val="00FE6885"/>
    <w:rsid w:val="00FE6924"/>
    <w:rsid w:val="00FF10DA"/>
    <w:rsid w:val="00FF2DDF"/>
    <w:rsid w:val="00FF3EB9"/>
    <w:rsid w:val="0120137E"/>
    <w:rsid w:val="014E5717"/>
    <w:rsid w:val="018117C1"/>
    <w:rsid w:val="018502B5"/>
    <w:rsid w:val="01CF32DE"/>
    <w:rsid w:val="01DF6AA8"/>
    <w:rsid w:val="02104022"/>
    <w:rsid w:val="021F37A2"/>
    <w:rsid w:val="02EB1BB4"/>
    <w:rsid w:val="03083283"/>
    <w:rsid w:val="032137A5"/>
    <w:rsid w:val="039D426C"/>
    <w:rsid w:val="03A45C55"/>
    <w:rsid w:val="03F676E6"/>
    <w:rsid w:val="04032EDF"/>
    <w:rsid w:val="040845B2"/>
    <w:rsid w:val="04155920"/>
    <w:rsid w:val="04470F02"/>
    <w:rsid w:val="04B6342C"/>
    <w:rsid w:val="04E743E4"/>
    <w:rsid w:val="05437FB7"/>
    <w:rsid w:val="05656F62"/>
    <w:rsid w:val="0583332C"/>
    <w:rsid w:val="05975F14"/>
    <w:rsid w:val="05F0611A"/>
    <w:rsid w:val="05F814A1"/>
    <w:rsid w:val="063858F6"/>
    <w:rsid w:val="063912C7"/>
    <w:rsid w:val="07047ECE"/>
    <w:rsid w:val="071845D8"/>
    <w:rsid w:val="074D4254"/>
    <w:rsid w:val="07680E37"/>
    <w:rsid w:val="082E6D53"/>
    <w:rsid w:val="0869361C"/>
    <w:rsid w:val="08735BCC"/>
    <w:rsid w:val="08970E5F"/>
    <w:rsid w:val="08CB50A1"/>
    <w:rsid w:val="094073F5"/>
    <w:rsid w:val="09FC30DE"/>
    <w:rsid w:val="0A5C1C06"/>
    <w:rsid w:val="0A72494E"/>
    <w:rsid w:val="0AA52EBD"/>
    <w:rsid w:val="0B1F15D5"/>
    <w:rsid w:val="0B9711AE"/>
    <w:rsid w:val="0BA61521"/>
    <w:rsid w:val="0BC33EB3"/>
    <w:rsid w:val="0C393B40"/>
    <w:rsid w:val="0C7A0E20"/>
    <w:rsid w:val="0DB55A7E"/>
    <w:rsid w:val="0DE94292"/>
    <w:rsid w:val="0E1E6D63"/>
    <w:rsid w:val="0E74301F"/>
    <w:rsid w:val="0ED153F9"/>
    <w:rsid w:val="0F2E3C24"/>
    <w:rsid w:val="0F7E0807"/>
    <w:rsid w:val="0F9D28CF"/>
    <w:rsid w:val="0FD81EB4"/>
    <w:rsid w:val="101716C7"/>
    <w:rsid w:val="1041184B"/>
    <w:rsid w:val="10516791"/>
    <w:rsid w:val="108C5315"/>
    <w:rsid w:val="109202F8"/>
    <w:rsid w:val="109706D7"/>
    <w:rsid w:val="10B53C64"/>
    <w:rsid w:val="10DD04C4"/>
    <w:rsid w:val="115D0980"/>
    <w:rsid w:val="11D02E86"/>
    <w:rsid w:val="12045B53"/>
    <w:rsid w:val="12627D38"/>
    <w:rsid w:val="12AD19F7"/>
    <w:rsid w:val="139B4B73"/>
    <w:rsid w:val="14156313"/>
    <w:rsid w:val="141C1C9C"/>
    <w:rsid w:val="141C3289"/>
    <w:rsid w:val="14457A32"/>
    <w:rsid w:val="1460517B"/>
    <w:rsid w:val="1465422A"/>
    <w:rsid w:val="14812290"/>
    <w:rsid w:val="14F41582"/>
    <w:rsid w:val="15087937"/>
    <w:rsid w:val="150B7614"/>
    <w:rsid w:val="1519109A"/>
    <w:rsid w:val="15335936"/>
    <w:rsid w:val="153A3C2D"/>
    <w:rsid w:val="159C7074"/>
    <w:rsid w:val="16A35F99"/>
    <w:rsid w:val="17105849"/>
    <w:rsid w:val="174F2A9F"/>
    <w:rsid w:val="17AE7CBD"/>
    <w:rsid w:val="17CE1BA5"/>
    <w:rsid w:val="17ED041F"/>
    <w:rsid w:val="17F45E20"/>
    <w:rsid w:val="187C5B16"/>
    <w:rsid w:val="18AF38FD"/>
    <w:rsid w:val="18BB3E30"/>
    <w:rsid w:val="18CB25F9"/>
    <w:rsid w:val="193D4D6C"/>
    <w:rsid w:val="19812ACE"/>
    <w:rsid w:val="19A61ED8"/>
    <w:rsid w:val="19AA3637"/>
    <w:rsid w:val="19DE010A"/>
    <w:rsid w:val="19FF69FF"/>
    <w:rsid w:val="1A066965"/>
    <w:rsid w:val="1A643A72"/>
    <w:rsid w:val="1AB21051"/>
    <w:rsid w:val="1AD36276"/>
    <w:rsid w:val="1AE84B77"/>
    <w:rsid w:val="1AF07590"/>
    <w:rsid w:val="1B7104CB"/>
    <w:rsid w:val="1B91111F"/>
    <w:rsid w:val="1BDD0528"/>
    <w:rsid w:val="1BF36FF8"/>
    <w:rsid w:val="1C8048CA"/>
    <w:rsid w:val="1C99656B"/>
    <w:rsid w:val="1CEB326A"/>
    <w:rsid w:val="1D2A1F90"/>
    <w:rsid w:val="1D3F7A15"/>
    <w:rsid w:val="1D57328C"/>
    <w:rsid w:val="1D73442E"/>
    <w:rsid w:val="1DDB2360"/>
    <w:rsid w:val="1E0727F1"/>
    <w:rsid w:val="1E7062D4"/>
    <w:rsid w:val="1E920021"/>
    <w:rsid w:val="1ECD061A"/>
    <w:rsid w:val="1EDA4939"/>
    <w:rsid w:val="1F385698"/>
    <w:rsid w:val="1FD04055"/>
    <w:rsid w:val="20443634"/>
    <w:rsid w:val="208F03B0"/>
    <w:rsid w:val="20E71F9A"/>
    <w:rsid w:val="20F546B7"/>
    <w:rsid w:val="2128668C"/>
    <w:rsid w:val="217E4986"/>
    <w:rsid w:val="21D01A69"/>
    <w:rsid w:val="21E26745"/>
    <w:rsid w:val="23203542"/>
    <w:rsid w:val="23867483"/>
    <w:rsid w:val="23B03722"/>
    <w:rsid w:val="24B84A38"/>
    <w:rsid w:val="255B5057"/>
    <w:rsid w:val="262C5844"/>
    <w:rsid w:val="264D6D44"/>
    <w:rsid w:val="26956D9C"/>
    <w:rsid w:val="26FF33A4"/>
    <w:rsid w:val="271F1D71"/>
    <w:rsid w:val="27802801"/>
    <w:rsid w:val="280D3C24"/>
    <w:rsid w:val="28282DDB"/>
    <w:rsid w:val="28945A4B"/>
    <w:rsid w:val="289A5522"/>
    <w:rsid w:val="28CB21A2"/>
    <w:rsid w:val="28EC5D9E"/>
    <w:rsid w:val="28ED5E2B"/>
    <w:rsid w:val="292813A2"/>
    <w:rsid w:val="294A18A8"/>
    <w:rsid w:val="29690152"/>
    <w:rsid w:val="29CB3C83"/>
    <w:rsid w:val="2AEB4A25"/>
    <w:rsid w:val="2B22542D"/>
    <w:rsid w:val="2B3109E2"/>
    <w:rsid w:val="2B6A3D49"/>
    <w:rsid w:val="2CA84CD4"/>
    <w:rsid w:val="2D2F6528"/>
    <w:rsid w:val="2D4349FC"/>
    <w:rsid w:val="2DFE26D1"/>
    <w:rsid w:val="2E532A1D"/>
    <w:rsid w:val="2ED51684"/>
    <w:rsid w:val="2F2D5E03"/>
    <w:rsid w:val="2F3926C8"/>
    <w:rsid w:val="2F8D6403"/>
    <w:rsid w:val="2FA472AD"/>
    <w:rsid w:val="2FB53701"/>
    <w:rsid w:val="2FD16436"/>
    <w:rsid w:val="305927C1"/>
    <w:rsid w:val="305F259A"/>
    <w:rsid w:val="30914BF5"/>
    <w:rsid w:val="30E20F99"/>
    <w:rsid w:val="310F4253"/>
    <w:rsid w:val="311350AC"/>
    <w:rsid w:val="320A4408"/>
    <w:rsid w:val="321E13C5"/>
    <w:rsid w:val="32201990"/>
    <w:rsid w:val="324342EE"/>
    <w:rsid w:val="32690A61"/>
    <w:rsid w:val="32C6390E"/>
    <w:rsid w:val="32E1374A"/>
    <w:rsid w:val="32E21EBD"/>
    <w:rsid w:val="32E50B94"/>
    <w:rsid w:val="32EF6A63"/>
    <w:rsid w:val="32F62440"/>
    <w:rsid w:val="32FD2735"/>
    <w:rsid w:val="33635E0F"/>
    <w:rsid w:val="33731C5A"/>
    <w:rsid w:val="33814BD7"/>
    <w:rsid w:val="33F17F05"/>
    <w:rsid w:val="33F81C0C"/>
    <w:rsid w:val="33FF13EE"/>
    <w:rsid w:val="346314E0"/>
    <w:rsid w:val="34653D7D"/>
    <w:rsid w:val="346F133E"/>
    <w:rsid w:val="34B33FAF"/>
    <w:rsid w:val="34EF2A8C"/>
    <w:rsid w:val="34F11763"/>
    <w:rsid w:val="34FA3BF3"/>
    <w:rsid w:val="35452E4C"/>
    <w:rsid w:val="35AE2C2F"/>
    <w:rsid w:val="35C9101D"/>
    <w:rsid w:val="35E052B1"/>
    <w:rsid w:val="35F74A58"/>
    <w:rsid w:val="36370AC5"/>
    <w:rsid w:val="36626C16"/>
    <w:rsid w:val="373759DA"/>
    <w:rsid w:val="37C464B5"/>
    <w:rsid w:val="37D470DF"/>
    <w:rsid w:val="37F01C26"/>
    <w:rsid w:val="37F10003"/>
    <w:rsid w:val="37F25055"/>
    <w:rsid w:val="37FE71C5"/>
    <w:rsid w:val="387F6B81"/>
    <w:rsid w:val="38997AEB"/>
    <w:rsid w:val="39262948"/>
    <w:rsid w:val="39A0637B"/>
    <w:rsid w:val="39BB7CA8"/>
    <w:rsid w:val="39FA6443"/>
    <w:rsid w:val="3A072C82"/>
    <w:rsid w:val="3A43603C"/>
    <w:rsid w:val="3A5B2B69"/>
    <w:rsid w:val="3A6D21E6"/>
    <w:rsid w:val="3AD26687"/>
    <w:rsid w:val="3B19778A"/>
    <w:rsid w:val="3BDC2E13"/>
    <w:rsid w:val="3BFF4C70"/>
    <w:rsid w:val="3C0256F9"/>
    <w:rsid w:val="3C385593"/>
    <w:rsid w:val="3C493E09"/>
    <w:rsid w:val="3C9044E3"/>
    <w:rsid w:val="3CD359E5"/>
    <w:rsid w:val="3CE07B72"/>
    <w:rsid w:val="3CE3098B"/>
    <w:rsid w:val="3D1E52E7"/>
    <w:rsid w:val="3D852807"/>
    <w:rsid w:val="3DA51F96"/>
    <w:rsid w:val="3DAB3A36"/>
    <w:rsid w:val="3DB170F3"/>
    <w:rsid w:val="3DB17EC0"/>
    <w:rsid w:val="3DC21AB7"/>
    <w:rsid w:val="3DC23D5F"/>
    <w:rsid w:val="3DE32AE1"/>
    <w:rsid w:val="3E414576"/>
    <w:rsid w:val="3E4D7489"/>
    <w:rsid w:val="3E8E742F"/>
    <w:rsid w:val="3E970704"/>
    <w:rsid w:val="3F4734F8"/>
    <w:rsid w:val="3F8C11CB"/>
    <w:rsid w:val="3FA0000A"/>
    <w:rsid w:val="40391CF5"/>
    <w:rsid w:val="404F6519"/>
    <w:rsid w:val="40BD49A5"/>
    <w:rsid w:val="41985C89"/>
    <w:rsid w:val="41D127CA"/>
    <w:rsid w:val="42785DD3"/>
    <w:rsid w:val="428D4140"/>
    <w:rsid w:val="429513FF"/>
    <w:rsid w:val="42976F25"/>
    <w:rsid w:val="42AD7B88"/>
    <w:rsid w:val="42DC702D"/>
    <w:rsid w:val="42E83E52"/>
    <w:rsid w:val="43B92ECB"/>
    <w:rsid w:val="44F06DC0"/>
    <w:rsid w:val="44F06F07"/>
    <w:rsid w:val="44FA379B"/>
    <w:rsid w:val="44FF34A7"/>
    <w:rsid w:val="4518282B"/>
    <w:rsid w:val="456F7F1C"/>
    <w:rsid w:val="45A02594"/>
    <w:rsid w:val="45EE4D65"/>
    <w:rsid w:val="45F2612A"/>
    <w:rsid w:val="463E26A5"/>
    <w:rsid w:val="46767D45"/>
    <w:rsid w:val="46C81EF2"/>
    <w:rsid w:val="47C159B7"/>
    <w:rsid w:val="47D143BA"/>
    <w:rsid w:val="48625C10"/>
    <w:rsid w:val="48931989"/>
    <w:rsid w:val="48972E18"/>
    <w:rsid w:val="489F258D"/>
    <w:rsid w:val="48C37705"/>
    <w:rsid w:val="498D5A32"/>
    <w:rsid w:val="4A400820"/>
    <w:rsid w:val="4A673681"/>
    <w:rsid w:val="4AC83759"/>
    <w:rsid w:val="4AC929FC"/>
    <w:rsid w:val="4AFE29C3"/>
    <w:rsid w:val="4B0D3F25"/>
    <w:rsid w:val="4B2129DE"/>
    <w:rsid w:val="4BAF071C"/>
    <w:rsid w:val="4C4B0D80"/>
    <w:rsid w:val="4CDA1D3F"/>
    <w:rsid w:val="4D896004"/>
    <w:rsid w:val="4DA50752"/>
    <w:rsid w:val="4E18220D"/>
    <w:rsid w:val="4E584D48"/>
    <w:rsid w:val="4E5F05F4"/>
    <w:rsid w:val="4E6440EC"/>
    <w:rsid w:val="4EC068D3"/>
    <w:rsid w:val="4EF70D4B"/>
    <w:rsid w:val="4F0E44DE"/>
    <w:rsid w:val="4F1B0EDE"/>
    <w:rsid w:val="4F2B6157"/>
    <w:rsid w:val="4F861073"/>
    <w:rsid w:val="4FD37C2C"/>
    <w:rsid w:val="4FD95839"/>
    <w:rsid w:val="50142DC3"/>
    <w:rsid w:val="50A54F03"/>
    <w:rsid w:val="50AA1A16"/>
    <w:rsid w:val="50D4451E"/>
    <w:rsid w:val="5132391F"/>
    <w:rsid w:val="514F5126"/>
    <w:rsid w:val="51576CE5"/>
    <w:rsid w:val="516013BB"/>
    <w:rsid w:val="519A2A2F"/>
    <w:rsid w:val="522D2622"/>
    <w:rsid w:val="525241EF"/>
    <w:rsid w:val="52914FCB"/>
    <w:rsid w:val="53192AD0"/>
    <w:rsid w:val="53502C95"/>
    <w:rsid w:val="535460A9"/>
    <w:rsid w:val="53730048"/>
    <w:rsid w:val="53980DD9"/>
    <w:rsid w:val="53FC13D7"/>
    <w:rsid w:val="545258C7"/>
    <w:rsid w:val="54562C35"/>
    <w:rsid w:val="54815C87"/>
    <w:rsid w:val="54D2457D"/>
    <w:rsid w:val="551B738B"/>
    <w:rsid w:val="552C0A96"/>
    <w:rsid w:val="554A28A3"/>
    <w:rsid w:val="55706B33"/>
    <w:rsid w:val="56C669CB"/>
    <w:rsid w:val="57082BFA"/>
    <w:rsid w:val="57830098"/>
    <w:rsid w:val="57DB13CD"/>
    <w:rsid w:val="58131270"/>
    <w:rsid w:val="58135ABF"/>
    <w:rsid w:val="58157ED4"/>
    <w:rsid w:val="581970B6"/>
    <w:rsid w:val="581E6EFC"/>
    <w:rsid w:val="582A50A0"/>
    <w:rsid w:val="58407923"/>
    <w:rsid w:val="588927A0"/>
    <w:rsid w:val="58D953BC"/>
    <w:rsid w:val="598C24F3"/>
    <w:rsid w:val="5A900F23"/>
    <w:rsid w:val="5A975865"/>
    <w:rsid w:val="5AB93F1D"/>
    <w:rsid w:val="5B030FC4"/>
    <w:rsid w:val="5B057D76"/>
    <w:rsid w:val="5B2F1F99"/>
    <w:rsid w:val="5B71145A"/>
    <w:rsid w:val="5BC91427"/>
    <w:rsid w:val="5BDD7B2D"/>
    <w:rsid w:val="5BEF1728"/>
    <w:rsid w:val="5BF40AEC"/>
    <w:rsid w:val="5BF93AC4"/>
    <w:rsid w:val="5C4047A4"/>
    <w:rsid w:val="5C526F5E"/>
    <w:rsid w:val="5C5563AD"/>
    <w:rsid w:val="5CC50322"/>
    <w:rsid w:val="5CE8543B"/>
    <w:rsid w:val="5D771F1C"/>
    <w:rsid w:val="5E11053A"/>
    <w:rsid w:val="5E6554CB"/>
    <w:rsid w:val="5EA356FA"/>
    <w:rsid w:val="5ED22CC2"/>
    <w:rsid w:val="5F221E14"/>
    <w:rsid w:val="5F5F0972"/>
    <w:rsid w:val="5F7D438E"/>
    <w:rsid w:val="5F8108E9"/>
    <w:rsid w:val="5F9E149B"/>
    <w:rsid w:val="5FC30F01"/>
    <w:rsid w:val="602C0276"/>
    <w:rsid w:val="60EE6C42"/>
    <w:rsid w:val="61285BD1"/>
    <w:rsid w:val="61914DBF"/>
    <w:rsid w:val="62283CA4"/>
    <w:rsid w:val="62457665"/>
    <w:rsid w:val="62D13DCC"/>
    <w:rsid w:val="632A3DB3"/>
    <w:rsid w:val="63776E7B"/>
    <w:rsid w:val="63D009C6"/>
    <w:rsid w:val="63E92F01"/>
    <w:rsid w:val="64877CCF"/>
    <w:rsid w:val="649C0781"/>
    <w:rsid w:val="65B31A18"/>
    <w:rsid w:val="65C7031A"/>
    <w:rsid w:val="66166677"/>
    <w:rsid w:val="66240220"/>
    <w:rsid w:val="66A302D7"/>
    <w:rsid w:val="66C22D3A"/>
    <w:rsid w:val="6743032B"/>
    <w:rsid w:val="67DD3829"/>
    <w:rsid w:val="67F7442A"/>
    <w:rsid w:val="67F9750E"/>
    <w:rsid w:val="682A0275"/>
    <w:rsid w:val="690A4AA4"/>
    <w:rsid w:val="69224EEB"/>
    <w:rsid w:val="69F52012"/>
    <w:rsid w:val="6A462CC6"/>
    <w:rsid w:val="6AB9362D"/>
    <w:rsid w:val="6AF01164"/>
    <w:rsid w:val="6B1E7934"/>
    <w:rsid w:val="6B850009"/>
    <w:rsid w:val="6BBC1336"/>
    <w:rsid w:val="6BE446D9"/>
    <w:rsid w:val="6C707BDF"/>
    <w:rsid w:val="6D2F0485"/>
    <w:rsid w:val="6D8E3437"/>
    <w:rsid w:val="6DA045D2"/>
    <w:rsid w:val="6DBD0123"/>
    <w:rsid w:val="6DDE17FE"/>
    <w:rsid w:val="6DFD5327"/>
    <w:rsid w:val="6E551CA4"/>
    <w:rsid w:val="6E9A3924"/>
    <w:rsid w:val="6EA36D29"/>
    <w:rsid w:val="6F4162E7"/>
    <w:rsid w:val="6F614293"/>
    <w:rsid w:val="7027728A"/>
    <w:rsid w:val="70783D6C"/>
    <w:rsid w:val="712D6D33"/>
    <w:rsid w:val="714325E3"/>
    <w:rsid w:val="714571EE"/>
    <w:rsid w:val="715A543E"/>
    <w:rsid w:val="71AB5C99"/>
    <w:rsid w:val="71C4488E"/>
    <w:rsid w:val="72624542"/>
    <w:rsid w:val="72CD5EBC"/>
    <w:rsid w:val="7359676C"/>
    <w:rsid w:val="73683F57"/>
    <w:rsid w:val="739206EA"/>
    <w:rsid w:val="74062473"/>
    <w:rsid w:val="742F4960"/>
    <w:rsid w:val="749B1FF5"/>
    <w:rsid w:val="74C257D4"/>
    <w:rsid w:val="74D54D8E"/>
    <w:rsid w:val="74FD6450"/>
    <w:rsid w:val="75572054"/>
    <w:rsid w:val="75AE5EB6"/>
    <w:rsid w:val="75DA6B4D"/>
    <w:rsid w:val="75EB36D0"/>
    <w:rsid w:val="769B55BF"/>
    <w:rsid w:val="76B35000"/>
    <w:rsid w:val="76BE34F9"/>
    <w:rsid w:val="76E32063"/>
    <w:rsid w:val="770671F4"/>
    <w:rsid w:val="77AD08D9"/>
    <w:rsid w:val="77BF0C0D"/>
    <w:rsid w:val="77C76933"/>
    <w:rsid w:val="78574485"/>
    <w:rsid w:val="7878508A"/>
    <w:rsid w:val="78887081"/>
    <w:rsid w:val="78CE443C"/>
    <w:rsid w:val="78DA2881"/>
    <w:rsid w:val="78DB5B8E"/>
    <w:rsid w:val="790C0887"/>
    <w:rsid w:val="7A304541"/>
    <w:rsid w:val="7A38744E"/>
    <w:rsid w:val="7A7C6425"/>
    <w:rsid w:val="7A995153"/>
    <w:rsid w:val="7AB70565"/>
    <w:rsid w:val="7AE01082"/>
    <w:rsid w:val="7C1822AA"/>
    <w:rsid w:val="7C396B93"/>
    <w:rsid w:val="7C605FFE"/>
    <w:rsid w:val="7CCB71F0"/>
    <w:rsid w:val="7CCF6CE0"/>
    <w:rsid w:val="7D7B674D"/>
    <w:rsid w:val="7D931CD6"/>
    <w:rsid w:val="7D952803"/>
    <w:rsid w:val="7DA27ED5"/>
    <w:rsid w:val="7DFB4006"/>
    <w:rsid w:val="7E907CEE"/>
    <w:rsid w:val="7EB0162C"/>
    <w:rsid w:val="7F7973D7"/>
    <w:rsid w:val="7F904D55"/>
    <w:rsid w:val="7F985365"/>
    <w:rsid w:val="7FB020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5">
    <w:name w:val="heading 4"/>
    <w:basedOn w:val="1"/>
    <w:next w:val="1"/>
    <w:link w:val="53"/>
    <w:qFormat/>
    <w:uiPriority w:val="0"/>
    <w:pPr>
      <w:keepNext/>
      <w:keepLines/>
      <w:spacing w:before="240" w:after="240" w:line="376" w:lineRule="auto"/>
      <w:ind w:left="1588" w:hanging="1588"/>
      <w:outlineLvl w:val="3"/>
    </w:pPr>
    <w:rPr>
      <w:bCs/>
      <w:sz w:val="28"/>
      <w:szCs w:val="28"/>
    </w:rPr>
  </w:style>
  <w:style w:type="paragraph" w:styleId="6">
    <w:name w:val="heading 5"/>
    <w:basedOn w:val="1"/>
    <w:next w:val="1"/>
    <w:link w:val="54"/>
    <w:qFormat/>
    <w:uiPriority w:val="0"/>
    <w:pPr>
      <w:keepNext/>
      <w:keepLines/>
      <w:spacing w:before="280" w:after="290" w:line="376" w:lineRule="auto"/>
      <w:ind w:left="1985" w:hanging="1985"/>
      <w:outlineLvl w:val="4"/>
    </w:pPr>
    <w:rPr>
      <w:rFonts w:ascii="Calibri" w:hAnsi="Calibri"/>
      <w:b/>
      <w:bCs/>
      <w:sz w:val="28"/>
      <w:szCs w:val="28"/>
    </w:rPr>
  </w:style>
  <w:style w:type="paragraph" w:styleId="7">
    <w:name w:val="heading 6"/>
    <w:basedOn w:val="1"/>
    <w:next w:val="1"/>
    <w:link w:val="55"/>
    <w:qFormat/>
    <w:uiPriority w:val="0"/>
    <w:pPr>
      <w:keepNext/>
      <w:keepLines/>
      <w:tabs>
        <w:tab w:val="left" w:pos="0"/>
      </w:tabs>
      <w:spacing w:before="240" w:after="64" w:line="319" w:lineRule="auto"/>
      <w:outlineLvl w:val="5"/>
    </w:pPr>
    <w:rPr>
      <w:rFonts w:ascii="Arial" w:hAnsi="Arial"/>
      <w:b/>
      <w:bCs/>
      <w:lang w:val="zh-CN"/>
    </w:rPr>
  </w:style>
  <w:style w:type="paragraph" w:styleId="8">
    <w:name w:val="heading 7"/>
    <w:basedOn w:val="1"/>
    <w:next w:val="1"/>
    <w:link w:val="56"/>
    <w:qFormat/>
    <w:uiPriority w:val="0"/>
    <w:pPr>
      <w:keepNext/>
      <w:keepLines/>
      <w:tabs>
        <w:tab w:val="left" w:pos="0"/>
      </w:tabs>
      <w:spacing w:before="240" w:after="64" w:line="319" w:lineRule="auto"/>
      <w:outlineLvl w:val="6"/>
    </w:pPr>
    <w:rPr>
      <w:b/>
      <w:bCs/>
    </w:rPr>
  </w:style>
  <w:style w:type="paragraph" w:styleId="9">
    <w:name w:val="heading 8"/>
    <w:basedOn w:val="1"/>
    <w:next w:val="1"/>
    <w:link w:val="57"/>
    <w:qFormat/>
    <w:uiPriority w:val="0"/>
    <w:pPr>
      <w:keepNext/>
      <w:keepLines/>
      <w:tabs>
        <w:tab w:val="left" w:pos="0"/>
      </w:tabs>
      <w:spacing w:before="240" w:after="64" w:line="319" w:lineRule="auto"/>
      <w:outlineLvl w:val="7"/>
    </w:pPr>
    <w:rPr>
      <w:rFonts w:ascii="Arial" w:hAnsi="Arial" w:eastAsia="黑体"/>
    </w:rPr>
  </w:style>
  <w:style w:type="paragraph" w:styleId="10">
    <w:name w:val="heading 9"/>
    <w:basedOn w:val="1"/>
    <w:next w:val="1"/>
    <w:link w:val="58"/>
    <w:qFormat/>
    <w:uiPriority w:val="0"/>
    <w:pPr>
      <w:keepNext/>
      <w:keepLines/>
      <w:tabs>
        <w:tab w:val="left" w:pos="0"/>
      </w:tabs>
      <w:spacing w:before="240" w:after="64" w:line="319" w:lineRule="auto"/>
      <w:outlineLvl w:val="8"/>
    </w:pPr>
    <w:rPr>
      <w:rFonts w:ascii="Arial" w:hAnsi="Arial" w:eastAsia="黑体"/>
      <w:szCs w:val="21"/>
    </w:rPr>
  </w:style>
  <w:style w:type="character" w:default="1" w:styleId="35">
    <w:name w:val="Default Paragraph Font"/>
    <w:qFormat/>
    <w:uiPriority w:val="0"/>
    <w:rPr>
      <w:rFonts w:ascii="Times New Roman" w:hAnsi="Times New Roman" w:eastAsia="宋体" w:cs="Times New Roman"/>
    </w:rPr>
  </w:style>
  <w:style w:type="table" w:default="1" w:styleId="3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qFormat/>
    <w:uiPriority w:val="0"/>
    <w:pPr>
      <w:shd w:val="clear" w:color="auto" w:fill="000080"/>
    </w:pPr>
    <w:rPr>
      <w:rFonts w:ascii="Times New Roman" w:hAnsi="Times New Roman" w:eastAsia="宋体" w:cs="Times New Roman"/>
    </w:rPr>
  </w:style>
  <w:style w:type="paragraph" w:styleId="13">
    <w:name w:val="annotation text"/>
    <w:basedOn w:val="1"/>
    <w:link w:val="59"/>
    <w:qFormat/>
    <w:uiPriority w:val="0"/>
    <w:pPr>
      <w:jc w:val="left"/>
    </w:pPr>
  </w:style>
  <w:style w:type="paragraph" w:styleId="14">
    <w:name w:val="Body Text"/>
    <w:basedOn w:val="1"/>
    <w:link w:val="60"/>
    <w:qFormat/>
    <w:uiPriority w:val="0"/>
    <w:pPr>
      <w:spacing w:after="120"/>
    </w:pPr>
  </w:style>
  <w:style w:type="paragraph" w:styleId="15">
    <w:name w:val="Body Text Indent"/>
    <w:basedOn w:val="1"/>
    <w:next w:val="16"/>
    <w:link w:val="62"/>
    <w:qFormat/>
    <w:uiPriority w:val="0"/>
    <w:pPr>
      <w:spacing w:after="120"/>
      <w:ind w:left="420" w:leftChars="200"/>
    </w:pPr>
    <w:rPr>
      <w:sz w:val="21"/>
    </w:rPr>
  </w:style>
  <w:style w:type="paragraph" w:styleId="16">
    <w:name w:val="envelope return"/>
    <w:basedOn w:val="1"/>
    <w:qFormat/>
    <w:uiPriority w:val="0"/>
    <w:pPr>
      <w:snapToGrid w:val="0"/>
    </w:pPr>
    <w:rPr>
      <w:rFonts w:ascii="Arial" w:hAnsi="Arial" w:eastAsia="宋体" w:cs="Times New Roman"/>
    </w:rPr>
  </w:style>
  <w:style w:type="paragraph" w:styleId="17">
    <w:name w:val="toc 3"/>
    <w:basedOn w:val="1"/>
    <w:next w:val="1"/>
    <w:qFormat/>
    <w:uiPriority w:val="0"/>
    <w:pPr>
      <w:ind w:left="840" w:leftChars="400"/>
    </w:pPr>
    <w:rPr>
      <w:rFonts w:ascii="Times New Roman" w:hAnsi="Times New Roman" w:eastAsia="宋体" w:cs="Times New Roman"/>
    </w:rPr>
  </w:style>
  <w:style w:type="paragraph" w:styleId="18">
    <w:name w:val="Plain Text"/>
    <w:basedOn w:val="1"/>
    <w:link w:val="61"/>
    <w:qFormat/>
    <w:uiPriority w:val="0"/>
    <w:rPr>
      <w:rFonts w:ascii="宋体" w:hAnsi="Courier New"/>
      <w:sz w:val="21"/>
      <w:szCs w:val="21"/>
    </w:rPr>
  </w:style>
  <w:style w:type="paragraph" w:styleId="19">
    <w:name w:val="Date"/>
    <w:basedOn w:val="1"/>
    <w:next w:val="1"/>
    <w:link w:val="63"/>
    <w:qFormat/>
    <w:uiPriority w:val="0"/>
    <w:pPr>
      <w:ind w:left="100" w:leftChars="2500"/>
    </w:pPr>
    <w:rPr>
      <w:rFonts w:eastAsia="仿宋_GB2312"/>
      <w:sz w:val="32"/>
    </w:rPr>
  </w:style>
  <w:style w:type="paragraph" w:styleId="20">
    <w:name w:val="Balloon Text"/>
    <w:basedOn w:val="1"/>
    <w:link w:val="64"/>
    <w:qFormat/>
    <w:uiPriority w:val="0"/>
    <w:rPr>
      <w:sz w:val="18"/>
      <w:szCs w:val="18"/>
    </w:rPr>
  </w:style>
  <w:style w:type="paragraph" w:styleId="21">
    <w:name w:val="footer"/>
    <w:basedOn w:val="1"/>
    <w:link w:val="65"/>
    <w:qFormat/>
    <w:uiPriority w:val="0"/>
    <w:pPr>
      <w:tabs>
        <w:tab w:val="center" w:pos="4153"/>
        <w:tab w:val="right" w:pos="8306"/>
      </w:tabs>
      <w:snapToGrid w:val="0"/>
      <w:jc w:val="left"/>
    </w:pPr>
    <w:rPr>
      <w:sz w:val="18"/>
      <w:szCs w:val="18"/>
    </w:rPr>
  </w:style>
  <w:style w:type="paragraph" w:styleId="22">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24">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25">
    <w:name w:val="toc 2"/>
    <w:basedOn w:val="1"/>
    <w:next w:val="1"/>
    <w:qFormat/>
    <w:uiPriority w:val="0"/>
    <w:pPr>
      <w:tabs>
        <w:tab w:val="left" w:pos="840"/>
        <w:tab w:val="right" w:leader="dot" w:pos="8296"/>
      </w:tabs>
      <w:ind w:left="640" w:leftChars="200"/>
      <w:jc w:val="left"/>
    </w:pPr>
    <w:rPr>
      <w:rFonts w:ascii="仿宋_GB2312" w:hAnsi="Times New Roman" w:eastAsia="仿宋_GB2312" w:cs="Times New Roman"/>
      <w:sz w:val="32"/>
      <w:szCs w:val="32"/>
    </w:rPr>
  </w:style>
  <w:style w:type="paragraph" w:styleId="26">
    <w:name w:val="Body Text 2"/>
    <w:basedOn w:val="1"/>
    <w:link w:val="68"/>
    <w:qFormat/>
    <w:uiPriority w:val="0"/>
    <w:pPr>
      <w:adjustRightInd w:val="0"/>
      <w:snapToGrid w:val="0"/>
      <w:spacing w:line="480" w:lineRule="atLeast"/>
    </w:pPr>
    <w:rPr>
      <w:rFonts w:ascii="宋体" w:hAnsi="宋体"/>
      <w:sz w:val="28"/>
      <w:szCs w:val="22"/>
    </w:rPr>
  </w:style>
  <w:style w:type="paragraph" w:styleId="27">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28">
    <w:name w:val="Title"/>
    <w:basedOn w:val="1"/>
    <w:next w:val="1"/>
    <w:link w:val="69"/>
    <w:qFormat/>
    <w:uiPriority w:val="0"/>
    <w:pPr>
      <w:spacing w:before="240" w:after="60"/>
      <w:jc w:val="center"/>
      <w:outlineLvl w:val="0"/>
    </w:pPr>
    <w:rPr>
      <w:rFonts w:ascii="Cambria" w:hAnsi="Cambria"/>
      <w:b/>
      <w:bCs/>
      <w:sz w:val="36"/>
      <w:szCs w:val="32"/>
    </w:rPr>
  </w:style>
  <w:style w:type="paragraph" w:styleId="29">
    <w:name w:val="annotation subject"/>
    <w:basedOn w:val="13"/>
    <w:next w:val="13"/>
    <w:link w:val="70"/>
    <w:qFormat/>
    <w:uiPriority w:val="0"/>
    <w:rPr>
      <w:rFonts w:ascii="Calibri" w:hAnsi="Calibri"/>
      <w:b/>
      <w:bCs/>
      <w:kern w:val="0"/>
      <w:sz w:val="21"/>
      <w:szCs w:val="22"/>
    </w:rPr>
  </w:style>
  <w:style w:type="paragraph" w:styleId="30">
    <w:name w:val="Body Text First Indent"/>
    <w:basedOn w:val="14"/>
    <w:next w:val="1"/>
    <w:qFormat/>
    <w:uiPriority w:val="0"/>
    <w:pPr>
      <w:ind w:firstLine="420" w:firstLineChars="100"/>
    </w:pPr>
    <w:rPr>
      <w:rFonts w:ascii="Times New Roman" w:hAnsi="Times New Roman" w:eastAsia="宋体" w:cs="Times New Roman"/>
    </w:rPr>
  </w:style>
  <w:style w:type="paragraph" w:styleId="31">
    <w:name w:val="Body Text First Indent 2"/>
    <w:basedOn w:val="15"/>
    <w:next w:val="32"/>
    <w:qFormat/>
    <w:uiPriority w:val="0"/>
    <w:rPr>
      <w:rFonts w:ascii="Times New Roman" w:hAnsi="Times New Roman" w:eastAsia="宋体" w:cs="Times New Roman"/>
    </w:rPr>
  </w:style>
  <w:style w:type="paragraph" w:customStyle="1" w:styleId="32">
    <w:name w:val="正文1"/>
    <w:basedOn w:val="1"/>
    <w:next w:val="1"/>
    <w:qFormat/>
    <w:uiPriority w:val="0"/>
    <w:pPr>
      <w:spacing w:after="120" w:line="276" w:lineRule="auto"/>
      <w:ind w:left="141" w:leftChars="67" w:firstLine="424" w:firstLineChars="202"/>
    </w:pPr>
    <w:rPr>
      <w:rFonts w:ascii="微软雅黑" w:hAnsi="宋体" w:eastAsia="微软雅黑" w:cs="Times New Roman"/>
      <w:sz w:val="24"/>
      <w:szCs w:val="24"/>
    </w:rPr>
  </w:style>
  <w:style w:type="table" w:styleId="34">
    <w:name w:val="Table Grid"/>
    <w:basedOn w:val="3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rFonts w:ascii="Times New Roman" w:hAnsi="Times New Roman" w:eastAsia="宋体" w:cs="Times New Roman"/>
      <w:b/>
      <w:bCs/>
    </w:rPr>
  </w:style>
  <w:style w:type="character" w:styleId="37">
    <w:name w:val="page number"/>
    <w:qFormat/>
    <w:uiPriority w:val="0"/>
    <w:rPr>
      <w:rFonts w:ascii="Times New Roman" w:hAnsi="Times New Roman" w:eastAsia="宋体" w:cs="Times New Roman"/>
    </w:rPr>
  </w:style>
  <w:style w:type="character" w:styleId="38">
    <w:name w:val="FollowedHyperlink"/>
    <w:qFormat/>
    <w:uiPriority w:val="0"/>
    <w:rPr>
      <w:rFonts w:ascii="Times New Roman" w:hAnsi="Times New Roman" w:eastAsia="宋体" w:cs="Times New Roman"/>
      <w:color w:val="000000"/>
      <w:u w:val="none"/>
    </w:rPr>
  </w:style>
  <w:style w:type="character" w:styleId="39">
    <w:name w:val="Emphasis"/>
    <w:qFormat/>
    <w:uiPriority w:val="0"/>
    <w:rPr>
      <w:rFonts w:ascii="Times New Roman" w:hAnsi="Times New Roman" w:eastAsia="宋体" w:cs="Times New Roman"/>
    </w:rPr>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qFormat/>
    <w:uiPriority w:val="0"/>
    <w:rPr>
      <w:rFonts w:ascii="Times New Roman" w:hAnsi="Times New Roman" w:eastAsia="宋体" w:cs="Times New Roman"/>
      <w:color w:val="000000"/>
      <w:u w:val="none"/>
    </w:rPr>
  </w:style>
  <w:style w:type="character" w:styleId="45">
    <w:name w:val="HTML Code"/>
    <w:basedOn w:val="35"/>
    <w:qFormat/>
    <w:uiPriority w:val="0"/>
    <w:rPr>
      <w:rFonts w:hint="default" w:ascii="monospace" w:hAnsi="monospace" w:eastAsia="monospace" w:cs="monospace"/>
      <w:sz w:val="20"/>
    </w:rPr>
  </w:style>
  <w:style w:type="character" w:styleId="46">
    <w:name w:val="annotation reference"/>
    <w:qFormat/>
    <w:uiPriority w:val="0"/>
    <w:rPr>
      <w:rFonts w:ascii="Times New Roman" w:hAnsi="Times New Roman" w:eastAsia="宋体" w:cs="Times New Roman"/>
      <w:sz w:val="21"/>
      <w:szCs w:val="21"/>
    </w:rPr>
  </w:style>
  <w:style w:type="character" w:styleId="47">
    <w:name w:val="HTML Cite"/>
    <w:basedOn w:val="35"/>
    <w:qFormat/>
    <w:uiPriority w:val="0"/>
  </w:style>
  <w:style w:type="character" w:styleId="48">
    <w:name w:val="HTML Keyboard"/>
    <w:basedOn w:val="35"/>
    <w:qFormat/>
    <w:uiPriority w:val="0"/>
    <w:rPr>
      <w:rFonts w:hint="default" w:ascii="monospace" w:hAnsi="monospace" w:eastAsia="monospace" w:cs="monospace"/>
      <w:sz w:val="20"/>
      <w:bdr w:val="single" w:color="D6D6D6" w:sz="6" w:space="0"/>
      <w:shd w:val="clear" w:fill="F9F9F9"/>
    </w:rPr>
  </w:style>
  <w:style w:type="character" w:styleId="49">
    <w:name w:val="HTML Sample"/>
    <w:basedOn w:val="35"/>
    <w:qFormat/>
    <w:uiPriority w:val="0"/>
    <w:rPr>
      <w:rFonts w:ascii="monospace" w:hAnsi="monospace" w:eastAsia="monospace" w:cs="monospace"/>
    </w:rPr>
  </w:style>
  <w:style w:type="character" w:customStyle="1" w:styleId="50">
    <w:name w:val="标题 1 Char"/>
    <w:link w:val="2"/>
    <w:qFormat/>
    <w:uiPriority w:val="0"/>
    <w:rPr>
      <w:rFonts w:ascii="Times New Roman" w:hAnsi="Times New Roman" w:eastAsia="宋体" w:cs="Times New Roman"/>
      <w:b/>
      <w:bCs/>
      <w:kern w:val="44"/>
      <w:sz w:val="30"/>
      <w:szCs w:val="44"/>
    </w:rPr>
  </w:style>
  <w:style w:type="character" w:customStyle="1" w:styleId="51">
    <w:name w:val="标题 2 Char"/>
    <w:link w:val="3"/>
    <w:qFormat/>
    <w:uiPriority w:val="0"/>
    <w:rPr>
      <w:rFonts w:ascii="Cambria" w:hAnsi="Cambria" w:eastAsia="宋体" w:cs="Times New Roman"/>
      <w:b/>
      <w:bCs/>
      <w:kern w:val="2"/>
      <w:sz w:val="32"/>
      <w:szCs w:val="32"/>
    </w:rPr>
  </w:style>
  <w:style w:type="character" w:customStyle="1" w:styleId="52">
    <w:name w:val="标题 3 Char"/>
    <w:link w:val="4"/>
    <w:qFormat/>
    <w:uiPriority w:val="0"/>
    <w:rPr>
      <w:rFonts w:ascii="Times New Roman" w:hAnsi="Times New Roman" w:eastAsia="宋体" w:cs="Times New Roman"/>
      <w:b/>
      <w:bCs/>
      <w:kern w:val="2"/>
      <w:sz w:val="32"/>
      <w:szCs w:val="32"/>
    </w:rPr>
  </w:style>
  <w:style w:type="character" w:customStyle="1" w:styleId="53">
    <w:name w:val="标题 4 Char"/>
    <w:link w:val="5"/>
    <w:qFormat/>
    <w:uiPriority w:val="0"/>
    <w:rPr>
      <w:rFonts w:ascii="Times New Roman" w:hAnsi="Times New Roman" w:eastAsia="宋体" w:cs="Times New Roman"/>
      <w:bCs/>
      <w:kern w:val="2"/>
      <w:sz w:val="28"/>
      <w:szCs w:val="28"/>
    </w:rPr>
  </w:style>
  <w:style w:type="character" w:customStyle="1" w:styleId="54">
    <w:name w:val="标题 5 Char"/>
    <w:link w:val="6"/>
    <w:qFormat/>
    <w:uiPriority w:val="0"/>
    <w:rPr>
      <w:rFonts w:ascii="Calibri" w:hAnsi="Calibri" w:eastAsia="宋体" w:cs="Times New Roman"/>
      <w:b/>
      <w:bCs/>
      <w:kern w:val="2"/>
      <w:sz w:val="28"/>
      <w:szCs w:val="28"/>
    </w:rPr>
  </w:style>
  <w:style w:type="character" w:customStyle="1" w:styleId="55">
    <w:name w:val="标题 6 Char"/>
    <w:link w:val="7"/>
    <w:qFormat/>
    <w:uiPriority w:val="0"/>
    <w:rPr>
      <w:rFonts w:ascii="Arial" w:hAnsi="Arial" w:eastAsia="宋体" w:cs="Times New Roman"/>
      <w:b/>
      <w:bCs/>
      <w:kern w:val="2"/>
      <w:sz w:val="24"/>
      <w:szCs w:val="24"/>
      <w:lang w:val="zh-CN"/>
    </w:rPr>
  </w:style>
  <w:style w:type="character" w:customStyle="1" w:styleId="56">
    <w:name w:val="标题 7 Char"/>
    <w:link w:val="8"/>
    <w:qFormat/>
    <w:uiPriority w:val="0"/>
    <w:rPr>
      <w:rFonts w:ascii="Times New Roman" w:hAnsi="Times New Roman" w:eastAsia="宋体" w:cs="Times New Roman"/>
      <w:b/>
      <w:bCs/>
      <w:kern w:val="2"/>
      <w:sz w:val="24"/>
      <w:szCs w:val="24"/>
    </w:rPr>
  </w:style>
  <w:style w:type="character" w:customStyle="1" w:styleId="57">
    <w:name w:val="标题 8 Char"/>
    <w:link w:val="9"/>
    <w:qFormat/>
    <w:uiPriority w:val="0"/>
    <w:rPr>
      <w:rFonts w:ascii="Arial" w:hAnsi="Arial" w:eastAsia="黑体" w:cs="Times New Roman"/>
      <w:kern w:val="2"/>
      <w:sz w:val="24"/>
      <w:szCs w:val="24"/>
    </w:rPr>
  </w:style>
  <w:style w:type="character" w:customStyle="1" w:styleId="58">
    <w:name w:val="标题 9 Char"/>
    <w:link w:val="10"/>
    <w:qFormat/>
    <w:uiPriority w:val="0"/>
    <w:rPr>
      <w:rFonts w:ascii="Arial" w:hAnsi="Arial" w:eastAsia="黑体" w:cs="Times New Roman"/>
      <w:kern w:val="2"/>
      <w:sz w:val="24"/>
      <w:szCs w:val="21"/>
    </w:rPr>
  </w:style>
  <w:style w:type="character" w:customStyle="1" w:styleId="59">
    <w:name w:val="批注文字 Char"/>
    <w:link w:val="13"/>
    <w:qFormat/>
    <w:uiPriority w:val="0"/>
    <w:rPr>
      <w:rFonts w:ascii="Times New Roman" w:hAnsi="Times New Roman" w:eastAsia="宋体" w:cs="Times New Roman"/>
      <w:kern w:val="2"/>
      <w:sz w:val="24"/>
      <w:szCs w:val="24"/>
    </w:rPr>
  </w:style>
  <w:style w:type="character" w:customStyle="1" w:styleId="60">
    <w:name w:val="正文文本 Char"/>
    <w:link w:val="14"/>
    <w:qFormat/>
    <w:uiPriority w:val="0"/>
    <w:rPr>
      <w:rFonts w:ascii="Times New Roman" w:hAnsi="Times New Roman" w:eastAsia="宋体" w:cs="Times New Roman"/>
      <w:kern w:val="2"/>
      <w:sz w:val="24"/>
      <w:szCs w:val="24"/>
    </w:rPr>
  </w:style>
  <w:style w:type="character" w:customStyle="1" w:styleId="61">
    <w:name w:val="纯文本 Char"/>
    <w:link w:val="18"/>
    <w:qFormat/>
    <w:uiPriority w:val="0"/>
    <w:rPr>
      <w:rFonts w:ascii="宋体" w:hAnsi="Courier New" w:eastAsia="宋体" w:cs="Courier New"/>
      <w:kern w:val="2"/>
      <w:sz w:val="21"/>
      <w:szCs w:val="21"/>
    </w:rPr>
  </w:style>
  <w:style w:type="character" w:customStyle="1" w:styleId="62">
    <w:name w:val="正文文本缩进 Char"/>
    <w:link w:val="15"/>
    <w:qFormat/>
    <w:uiPriority w:val="0"/>
    <w:rPr>
      <w:rFonts w:ascii="Times New Roman" w:hAnsi="Times New Roman" w:eastAsia="宋体" w:cs="Times New Roman"/>
      <w:kern w:val="2"/>
      <w:sz w:val="21"/>
      <w:szCs w:val="24"/>
    </w:rPr>
  </w:style>
  <w:style w:type="character" w:customStyle="1" w:styleId="63">
    <w:name w:val="日期 Char"/>
    <w:link w:val="19"/>
    <w:qFormat/>
    <w:uiPriority w:val="0"/>
    <w:rPr>
      <w:rFonts w:ascii="Times New Roman" w:hAnsi="Times New Roman" w:eastAsia="仿宋_GB2312" w:cs="Times New Roman"/>
      <w:kern w:val="2"/>
      <w:sz w:val="32"/>
      <w:szCs w:val="24"/>
    </w:rPr>
  </w:style>
  <w:style w:type="character" w:customStyle="1" w:styleId="64">
    <w:name w:val="批注框文本 Char"/>
    <w:link w:val="20"/>
    <w:qFormat/>
    <w:uiPriority w:val="0"/>
    <w:rPr>
      <w:rFonts w:ascii="Times New Roman" w:hAnsi="Times New Roman" w:eastAsia="宋体" w:cs="Times New Roman"/>
      <w:kern w:val="2"/>
      <w:sz w:val="18"/>
      <w:szCs w:val="18"/>
    </w:rPr>
  </w:style>
  <w:style w:type="character" w:customStyle="1" w:styleId="65">
    <w:name w:val="页脚 Char"/>
    <w:link w:val="21"/>
    <w:qFormat/>
    <w:uiPriority w:val="0"/>
    <w:rPr>
      <w:rFonts w:ascii="Times New Roman" w:hAnsi="Times New Roman" w:eastAsia="宋体" w:cs="Times New Roman"/>
      <w:kern w:val="2"/>
      <w:sz w:val="18"/>
      <w:szCs w:val="18"/>
    </w:rPr>
  </w:style>
  <w:style w:type="character" w:customStyle="1" w:styleId="66">
    <w:name w:val="页眉 Char"/>
    <w:link w:val="22"/>
    <w:qFormat/>
    <w:uiPriority w:val="0"/>
    <w:rPr>
      <w:rFonts w:ascii="Times New Roman" w:hAnsi="Times New Roman" w:eastAsia="宋体" w:cs="Times New Roman"/>
      <w:kern w:val="2"/>
      <w:sz w:val="18"/>
      <w:szCs w:val="18"/>
    </w:rPr>
  </w:style>
  <w:style w:type="character" w:customStyle="1" w:styleId="67">
    <w:name w:val="副标题 Char"/>
    <w:link w:val="24"/>
    <w:qFormat/>
    <w:uiPriority w:val="0"/>
    <w:rPr>
      <w:rFonts w:ascii="Cambria" w:hAnsi="Cambria" w:eastAsia="宋体" w:cs="Times New Roman"/>
      <w:b/>
      <w:bCs/>
      <w:kern w:val="28"/>
      <w:sz w:val="32"/>
      <w:szCs w:val="32"/>
    </w:rPr>
  </w:style>
  <w:style w:type="character" w:customStyle="1" w:styleId="68">
    <w:name w:val="正文文本 2 Char1"/>
    <w:link w:val="26"/>
    <w:qFormat/>
    <w:uiPriority w:val="0"/>
    <w:rPr>
      <w:rFonts w:ascii="宋体" w:hAnsi="宋体" w:eastAsia="宋体" w:cs="Times New Roman"/>
      <w:kern w:val="2"/>
      <w:sz w:val="28"/>
      <w:szCs w:val="22"/>
    </w:rPr>
  </w:style>
  <w:style w:type="character" w:customStyle="1" w:styleId="69">
    <w:name w:val="标题 Char"/>
    <w:link w:val="28"/>
    <w:qFormat/>
    <w:uiPriority w:val="0"/>
    <w:rPr>
      <w:rFonts w:ascii="Cambria" w:hAnsi="Cambria" w:eastAsia="宋体" w:cs="Times New Roman"/>
      <w:b/>
      <w:bCs/>
      <w:kern w:val="2"/>
      <w:sz w:val="36"/>
      <w:szCs w:val="32"/>
    </w:rPr>
  </w:style>
  <w:style w:type="character" w:customStyle="1" w:styleId="70">
    <w:name w:val="批注主题 Char"/>
    <w:link w:val="29"/>
    <w:qFormat/>
    <w:uiPriority w:val="0"/>
    <w:rPr>
      <w:rFonts w:ascii="Calibri" w:hAnsi="Calibri" w:eastAsia="宋体" w:cs="Times New Roman"/>
      <w:b/>
      <w:bCs/>
      <w:sz w:val="21"/>
      <w:szCs w:val="22"/>
    </w:rPr>
  </w:style>
  <w:style w:type="paragraph" w:customStyle="1" w:styleId="71">
    <w:name w:val="正文样式"/>
    <w:basedOn w:val="1"/>
    <w:qFormat/>
    <w:uiPriority w:val="0"/>
    <w:pPr>
      <w:adjustRightInd w:val="0"/>
      <w:spacing w:line="610" w:lineRule="exact"/>
      <w:ind w:firstLine="549" w:firstLineChars="196"/>
      <w:jc w:val="left"/>
    </w:pPr>
    <w:rPr>
      <w:rFonts w:ascii="宋体" w:hAnsi="宋体"/>
      <w:bCs/>
      <w:color w:val="000000"/>
      <w:sz w:val="28"/>
      <w:szCs w:val="28"/>
    </w:rPr>
  </w:style>
  <w:style w:type="paragraph" w:customStyle="1" w:styleId="72">
    <w:name w:val="一级条标题"/>
    <w:basedOn w:val="73"/>
    <w:next w:val="74"/>
    <w:qFormat/>
    <w:uiPriority w:val="0"/>
    <w:pPr>
      <w:spacing w:line="240" w:lineRule="auto"/>
      <w:ind w:left="420"/>
      <w:outlineLvl w:val="2"/>
    </w:pPr>
  </w:style>
  <w:style w:type="paragraph" w:customStyle="1" w:styleId="7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75">
    <w:name w:val="Plain Text"/>
    <w:basedOn w:val="1"/>
    <w:qFormat/>
    <w:uiPriority w:val="0"/>
    <w:rPr>
      <w:rFonts w:ascii="宋体" w:hAnsi="Courier New" w:eastAsia="宋体" w:cs="Times New Roman"/>
      <w:szCs w:val="20"/>
    </w:rPr>
  </w:style>
  <w:style w:type="paragraph" w:customStyle="1" w:styleId="76">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77">
    <w:name w:val="表格文字"/>
    <w:basedOn w:val="1"/>
    <w:qFormat/>
    <w:uiPriority w:val="0"/>
    <w:pPr>
      <w:spacing w:before="25" w:after="25"/>
    </w:pPr>
    <w:rPr>
      <w:rFonts w:ascii="Times New Roman" w:hAnsi="Times New Roman" w:eastAsia="宋体" w:cs="Times New Roman"/>
      <w:bCs/>
      <w:spacing w:val="10"/>
      <w:kern w:val="0"/>
    </w:rPr>
  </w:style>
  <w:style w:type="character" w:customStyle="1" w:styleId="78">
    <w:name w:val="font01"/>
    <w:qFormat/>
    <w:uiPriority w:val="0"/>
    <w:rPr>
      <w:rFonts w:hint="eastAsia" w:ascii="宋体" w:hAnsi="宋体" w:eastAsia="宋体" w:cs="宋体"/>
      <w:color w:val="000000"/>
      <w:sz w:val="15"/>
      <w:szCs w:val="15"/>
      <w:u w:val="none"/>
    </w:rPr>
  </w:style>
  <w:style w:type="character" w:customStyle="1" w:styleId="79">
    <w:name w:val="font61"/>
    <w:basedOn w:val="35"/>
    <w:qFormat/>
    <w:uiPriority w:val="0"/>
    <w:rPr>
      <w:rFonts w:hint="default" w:ascii="Times New Roman" w:hAnsi="Times New Roman" w:eastAsia="宋体" w:cs="Times New Roman"/>
      <w:color w:val="000000"/>
      <w:sz w:val="22"/>
      <w:szCs w:val="22"/>
      <w:u w:val="none"/>
    </w:rPr>
  </w:style>
  <w:style w:type="paragraph" w:customStyle="1" w:styleId="80">
    <w:name w:val="my正文"/>
    <w:basedOn w:val="1"/>
    <w:link w:val="81"/>
    <w:qFormat/>
    <w:uiPriority w:val="0"/>
    <w:pPr>
      <w:spacing w:line="360" w:lineRule="auto"/>
      <w:ind w:firstLine="480" w:firstLineChars="200"/>
    </w:pPr>
    <w:rPr>
      <w:kern w:val="0"/>
    </w:rPr>
  </w:style>
  <w:style w:type="character" w:customStyle="1" w:styleId="81">
    <w:name w:val="my正文 Char"/>
    <w:link w:val="80"/>
    <w:qFormat/>
    <w:uiPriority w:val="0"/>
    <w:rPr>
      <w:rFonts w:ascii="Times New Roman" w:hAnsi="Times New Roman" w:eastAsia="宋体" w:cs="Times New Roman"/>
      <w:sz w:val="24"/>
      <w:szCs w:val="24"/>
    </w:rPr>
  </w:style>
  <w:style w:type="character" w:customStyle="1" w:styleId="82">
    <w:name w:val="more"/>
    <w:qFormat/>
    <w:uiPriority w:val="0"/>
    <w:rPr>
      <w:rFonts w:ascii="Times New Roman" w:hAnsi="Times New Roman" w:eastAsia="宋体" w:cs="Times New Roman"/>
      <w:color w:val="666666"/>
      <w:sz w:val="18"/>
      <w:szCs w:val="18"/>
    </w:rPr>
  </w:style>
  <w:style w:type="paragraph" w:customStyle="1" w:styleId="83">
    <w:name w:val="A2"/>
    <w:basedOn w:val="3"/>
    <w:next w:val="1"/>
    <w:link w:val="84"/>
    <w:qFormat/>
    <w:uiPriority w:val="0"/>
    <w:pPr>
      <w:spacing w:before="0" w:after="0" w:line="240" w:lineRule="auto"/>
      <w:ind w:left="737" w:hanging="737"/>
    </w:pPr>
    <w:rPr>
      <w:rFonts w:eastAsia="等线"/>
      <w:kern w:val="0"/>
      <w:sz w:val="22"/>
    </w:rPr>
  </w:style>
  <w:style w:type="character" w:customStyle="1" w:styleId="84">
    <w:name w:val="A2 字符"/>
    <w:link w:val="83"/>
    <w:qFormat/>
    <w:uiPriority w:val="0"/>
    <w:rPr>
      <w:rFonts w:ascii="Cambria" w:hAnsi="Cambria" w:eastAsia="等线" w:cs="Times New Roman"/>
      <w:b/>
      <w:bCs/>
      <w:sz w:val="22"/>
      <w:szCs w:val="32"/>
    </w:rPr>
  </w:style>
  <w:style w:type="character" w:customStyle="1" w:styleId="85">
    <w:name w:val="font11"/>
    <w:basedOn w:val="35"/>
    <w:qFormat/>
    <w:uiPriority w:val="0"/>
    <w:rPr>
      <w:rFonts w:hint="eastAsia" w:ascii="宋体" w:hAnsi="宋体" w:eastAsia="宋体" w:cs="宋体"/>
      <w:color w:val="000000"/>
      <w:sz w:val="15"/>
      <w:szCs w:val="15"/>
      <w:u w:val="none"/>
    </w:rPr>
  </w:style>
  <w:style w:type="character" w:customStyle="1" w:styleId="86">
    <w:name w:val="正文文本 2 Char"/>
    <w:qFormat/>
    <w:uiPriority w:val="0"/>
    <w:rPr>
      <w:rFonts w:ascii="Times New Roman" w:hAnsi="Times New Roman" w:eastAsia="宋体" w:cs="Times New Roman"/>
      <w:kern w:val="2"/>
      <w:sz w:val="24"/>
      <w:szCs w:val="24"/>
    </w:rPr>
  </w:style>
  <w:style w:type="paragraph" w:customStyle="1" w:styleId="87">
    <w:name w:val="A33"/>
    <w:basedOn w:val="1"/>
    <w:link w:val="88"/>
    <w:qFormat/>
    <w:uiPriority w:val="0"/>
    <w:pPr>
      <w:keepNext/>
      <w:keepLines/>
      <w:outlineLvl w:val="2"/>
    </w:pPr>
    <w:rPr>
      <w:rFonts w:ascii="等线" w:hAnsi="等线" w:eastAsia="等线"/>
      <w:b/>
      <w:bCs/>
      <w:kern w:val="0"/>
      <w:sz w:val="22"/>
      <w:szCs w:val="28"/>
    </w:rPr>
  </w:style>
  <w:style w:type="character" w:customStyle="1" w:styleId="88">
    <w:name w:val="A33 字符"/>
    <w:link w:val="87"/>
    <w:qFormat/>
    <w:uiPriority w:val="0"/>
    <w:rPr>
      <w:rFonts w:ascii="等线" w:hAnsi="等线" w:eastAsia="等线" w:cs="Times New Roman"/>
      <w:b/>
      <w:bCs/>
      <w:sz w:val="22"/>
      <w:szCs w:val="28"/>
    </w:rPr>
  </w:style>
  <w:style w:type="character" w:customStyle="1" w:styleId="89">
    <w:name w:val="font71"/>
    <w:qFormat/>
    <w:uiPriority w:val="0"/>
    <w:rPr>
      <w:rFonts w:hint="default" w:ascii="仿宋_GB2312" w:hAnsi="Times New Roman" w:eastAsia="仿宋_GB2312" w:cs="仿宋_GB2312"/>
      <w:color w:val="000000"/>
      <w:sz w:val="22"/>
      <w:szCs w:val="22"/>
      <w:u w:val="none"/>
    </w:rPr>
  </w:style>
  <w:style w:type="character" w:customStyle="1" w:styleId="90">
    <w:name w:val="bg02"/>
    <w:qFormat/>
    <w:uiPriority w:val="0"/>
    <w:rPr>
      <w:rFonts w:ascii="Times New Roman" w:hAnsi="Times New Roman" w:eastAsia="宋体" w:cs="Times New Roman"/>
    </w:rPr>
  </w:style>
  <w:style w:type="paragraph" w:customStyle="1" w:styleId="91">
    <w:name w:val="A_Figure"/>
    <w:basedOn w:val="1"/>
    <w:next w:val="1"/>
    <w:link w:val="92"/>
    <w:qFormat/>
    <w:uiPriority w:val="0"/>
    <w:pPr>
      <w:widowControl/>
      <w:spacing w:beforeLines="50"/>
      <w:jc w:val="center"/>
    </w:pPr>
    <w:rPr>
      <w:rFonts w:eastAsia="等线"/>
      <w:b/>
      <w:kern w:val="0"/>
      <w:sz w:val="20"/>
      <w:szCs w:val="20"/>
    </w:rPr>
  </w:style>
  <w:style w:type="character" w:customStyle="1" w:styleId="92">
    <w:name w:val="A_Figure 字符"/>
    <w:link w:val="91"/>
    <w:qFormat/>
    <w:uiPriority w:val="0"/>
    <w:rPr>
      <w:rFonts w:ascii="Times New Roman" w:hAnsi="Times New Roman" w:eastAsia="等线" w:cs="Times New Roman"/>
      <w:b/>
    </w:rPr>
  </w:style>
  <w:style w:type="character" w:customStyle="1" w:styleId="93">
    <w:name w:val="bg01"/>
    <w:qFormat/>
    <w:uiPriority w:val="0"/>
    <w:rPr>
      <w:rFonts w:ascii="Times New Roman" w:hAnsi="Times New Roman" w:eastAsia="宋体" w:cs="Times New Roman"/>
    </w:rPr>
  </w:style>
  <w:style w:type="character" w:customStyle="1" w:styleId="94">
    <w:name w:val="font91"/>
    <w:qFormat/>
    <w:uiPriority w:val="0"/>
    <w:rPr>
      <w:rFonts w:hint="default" w:ascii="Times New Roman" w:hAnsi="Times New Roman" w:eastAsia="宋体" w:cs="Times New Roman"/>
      <w:color w:val="000000"/>
      <w:sz w:val="22"/>
      <w:szCs w:val="22"/>
      <w:u w:val="none"/>
    </w:rPr>
  </w:style>
  <w:style w:type="character" w:customStyle="1" w:styleId="95">
    <w:name w:val="font112"/>
    <w:qFormat/>
    <w:uiPriority w:val="0"/>
    <w:rPr>
      <w:rFonts w:ascii="仿宋_GB2312" w:hAnsi="Times New Roman" w:eastAsia="仿宋_GB2312" w:cs="仿宋_GB2312"/>
      <w:color w:val="000000"/>
      <w:sz w:val="24"/>
      <w:szCs w:val="24"/>
      <w:u w:val="none"/>
    </w:rPr>
  </w:style>
  <w:style w:type="character" w:customStyle="1" w:styleId="96">
    <w:name w:val="副标题 Char1"/>
    <w:qFormat/>
    <w:uiPriority w:val="0"/>
    <w:rPr>
      <w:rFonts w:ascii="Cambria" w:hAnsi="Cambria" w:eastAsia="宋体" w:cs="Times New Roman"/>
      <w:b/>
      <w:bCs/>
      <w:kern w:val="28"/>
      <w:sz w:val="32"/>
      <w:szCs w:val="32"/>
    </w:rPr>
  </w:style>
  <w:style w:type="character" w:customStyle="1" w:styleId="97">
    <w:name w:val="font81"/>
    <w:qFormat/>
    <w:uiPriority w:val="0"/>
    <w:rPr>
      <w:rFonts w:hint="default" w:ascii="Times New Roman" w:hAnsi="Times New Roman" w:eastAsia="宋体" w:cs="Times New Roman"/>
      <w:color w:val="000000"/>
      <w:sz w:val="24"/>
      <w:szCs w:val="24"/>
      <w:u w:val="none"/>
    </w:rPr>
  </w:style>
  <w:style w:type="character" w:customStyle="1" w:styleId="98">
    <w:name w:val="tabg"/>
    <w:qFormat/>
    <w:uiPriority w:val="0"/>
    <w:rPr>
      <w:rFonts w:ascii="微软雅黑" w:hAnsi="微软雅黑" w:eastAsia="微软雅黑" w:cs="微软雅黑"/>
      <w:color w:val="FFFFFF"/>
      <w:sz w:val="27"/>
      <w:szCs w:val="27"/>
    </w:rPr>
  </w:style>
  <w:style w:type="character" w:customStyle="1" w:styleId="99">
    <w:name w:val="font31"/>
    <w:basedOn w:val="35"/>
    <w:qFormat/>
    <w:uiPriority w:val="0"/>
    <w:rPr>
      <w:rFonts w:hint="eastAsia" w:ascii="微软雅黑" w:hAnsi="微软雅黑" w:eastAsia="微软雅黑" w:cs="微软雅黑"/>
      <w:color w:val="000000"/>
      <w:sz w:val="22"/>
      <w:szCs w:val="22"/>
      <w:u w:val="none"/>
    </w:rPr>
  </w:style>
  <w:style w:type="character" w:customStyle="1" w:styleId="100">
    <w:name w:val="font51"/>
    <w:basedOn w:val="35"/>
    <w:qFormat/>
    <w:uiPriority w:val="0"/>
    <w:rPr>
      <w:rFonts w:hint="default" w:ascii="仿宋_GB2312" w:hAnsi="Times New Roman" w:eastAsia="仿宋_GB2312" w:cs="仿宋_GB2312"/>
      <w:color w:val="000000"/>
      <w:sz w:val="22"/>
      <w:szCs w:val="22"/>
      <w:u w:val="none"/>
    </w:rPr>
  </w:style>
  <w:style w:type="paragraph" w:customStyle="1" w:styleId="101">
    <w:name w:val="A1"/>
    <w:basedOn w:val="2"/>
    <w:link w:val="102"/>
    <w:qFormat/>
    <w:uiPriority w:val="0"/>
    <w:pPr>
      <w:spacing w:before="0" w:after="0" w:line="240" w:lineRule="auto"/>
      <w:ind w:left="737" w:hanging="737"/>
    </w:pPr>
    <w:rPr>
      <w:rFonts w:ascii="等线" w:hAnsi="等线" w:eastAsia="等线"/>
      <w:sz w:val="24"/>
      <w:szCs w:val="21"/>
    </w:rPr>
  </w:style>
  <w:style w:type="character" w:customStyle="1" w:styleId="102">
    <w:name w:val="A1 字符"/>
    <w:link w:val="101"/>
    <w:qFormat/>
    <w:uiPriority w:val="0"/>
    <w:rPr>
      <w:rFonts w:ascii="等线" w:hAnsi="等线" w:eastAsia="等线" w:cs="Times New Roman"/>
      <w:b/>
      <w:bCs/>
      <w:kern w:val="44"/>
      <w:sz w:val="24"/>
      <w:szCs w:val="21"/>
    </w:rPr>
  </w:style>
  <w:style w:type="character" w:customStyle="1" w:styleId="103">
    <w:name w:val="point_normal"/>
    <w:qFormat/>
    <w:uiPriority w:val="0"/>
    <w:rPr>
      <w:rFonts w:ascii="Times New Roman" w:hAnsi="Times New Roman" w:eastAsia="宋体" w:cs="Times New Roman"/>
    </w:rPr>
  </w:style>
  <w:style w:type="paragraph" w:customStyle="1" w:styleId="104">
    <w:name w:val="文档正文"/>
    <w:basedOn w:val="1"/>
    <w:link w:val="105"/>
    <w:qFormat/>
    <w:uiPriority w:val="0"/>
    <w:pPr>
      <w:widowControl/>
      <w:snapToGrid w:val="0"/>
      <w:spacing w:before="60" w:after="60" w:line="360" w:lineRule="auto"/>
      <w:ind w:firstLine="482"/>
    </w:pPr>
    <w:rPr>
      <w:kern w:val="0"/>
      <w:szCs w:val="20"/>
    </w:rPr>
  </w:style>
  <w:style w:type="character" w:customStyle="1" w:styleId="105">
    <w:name w:val="文档正文 Char"/>
    <w:link w:val="104"/>
    <w:qFormat/>
    <w:uiPriority w:val="0"/>
    <w:rPr>
      <w:rFonts w:ascii="Times New Roman" w:hAnsi="Times New Roman" w:eastAsia="宋体" w:cs="Times New Roman"/>
      <w:sz w:val="24"/>
    </w:rPr>
  </w:style>
  <w:style w:type="character" w:customStyle="1" w:styleId="106">
    <w:name w:val="标题 Char1"/>
    <w:qFormat/>
    <w:uiPriority w:val="0"/>
    <w:rPr>
      <w:rFonts w:ascii="Cambria" w:hAnsi="Cambria" w:eastAsia="宋体" w:cs="Times New Roman"/>
      <w:b/>
      <w:bCs/>
      <w:kern w:val="2"/>
      <w:sz w:val="32"/>
      <w:szCs w:val="32"/>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108">
    <w:name w:val="所-2级"/>
    <w:basedOn w:val="1"/>
    <w:qFormat/>
    <w:uiPriority w:val="0"/>
    <w:pPr>
      <w:keepNext/>
      <w:keepLines/>
      <w:spacing w:beforeLines="100" w:after="160" w:afterLines="50" w:line="360" w:lineRule="auto"/>
      <w:outlineLvl w:val="1"/>
    </w:pPr>
    <w:rPr>
      <w:rFonts w:ascii="Times New Roman" w:hAnsi="Times New Roman" w:eastAsia="宋体" w:cs="Times New Roman"/>
      <w:b/>
      <w:bCs/>
      <w:sz w:val="32"/>
      <w:szCs w:val="32"/>
    </w:rPr>
  </w:style>
  <w:style w:type="paragraph" w:styleId="109">
    <w:name w:val="List Paragraph"/>
    <w:basedOn w:val="1"/>
    <w:qFormat/>
    <w:uiPriority w:val="0"/>
    <w:pPr>
      <w:ind w:firstLine="420" w:firstLineChars="200"/>
    </w:pPr>
    <w:rPr>
      <w:rFonts w:ascii="Calibri" w:hAnsi="Calibri" w:eastAsia="宋体" w:cs="Times New Roman"/>
    </w:rPr>
  </w:style>
  <w:style w:type="paragraph" w:customStyle="1" w:styleId="110">
    <w:name w:val="p16"/>
    <w:basedOn w:val="1"/>
    <w:qFormat/>
    <w:uiPriority w:val="0"/>
    <w:pPr>
      <w:widowControl/>
      <w:ind w:firstLine="420"/>
    </w:pPr>
    <w:rPr>
      <w:rFonts w:ascii="Times New Roman" w:hAnsi="Times New Roman" w:eastAsia="宋体" w:cs="Times New Roman"/>
      <w:kern w:val="0"/>
      <w:szCs w:val="20"/>
    </w:rPr>
  </w:style>
  <w:style w:type="paragraph" w:customStyle="1" w:styleId="111">
    <w:name w:val="正文 "/>
    <w:basedOn w:val="1"/>
    <w:qFormat/>
    <w:uiPriority w:val="0"/>
    <w:pPr>
      <w:adjustRightInd w:val="0"/>
      <w:spacing w:line="318" w:lineRule="atLeast"/>
      <w:ind w:left="369" w:firstLine="369"/>
      <w:textAlignment w:val="baseline"/>
    </w:pPr>
    <w:rPr>
      <w:rFonts w:ascii="宋体" w:hAnsi="Times New Roman" w:eastAsia="宋体" w:cs="Times New Roman"/>
      <w:sz w:val="21"/>
      <w:szCs w:val="20"/>
    </w:rPr>
  </w:style>
  <w:style w:type="paragraph" w:customStyle="1" w:styleId="112">
    <w:name w:val="_Style 1"/>
    <w:basedOn w:val="1"/>
    <w:qFormat/>
    <w:uiPriority w:val="0"/>
    <w:pPr>
      <w:ind w:firstLine="200" w:firstLineChars="200"/>
    </w:pPr>
    <w:rPr>
      <w:rFonts w:ascii="Times New Roman" w:hAnsi="Times New Roman" w:eastAsia="宋体" w:cs="Times New Roman"/>
      <w:kern w:val="0"/>
      <w:szCs w:val="20"/>
    </w:rPr>
  </w:style>
  <w:style w:type="paragraph" w:customStyle="1" w:styleId="113">
    <w:name w:val="样式2"/>
    <w:basedOn w:val="1"/>
    <w:qFormat/>
    <w:uiPriority w:val="0"/>
    <w:rPr>
      <w:rFonts w:ascii="Times New Roman" w:hAnsi="Times New Roman" w:eastAsia="华文中宋" w:cs="Times New Roman"/>
      <w:sz w:val="44"/>
    </w:rPr>
  </w:style>
  <w:style w:type="paragraph" w:customStyle="1" w:styleId="114">
    <w:name w:val="样式1"/>
    <w:basedOn w:val="1"/>
    <w:qFormat/>
    <w:uiPriority w:val="0"/>
    <w:rPr>
      <w:rFonts w:ascii="Times New Roman" w:hAnsi="Times New Roman" w:eastAsia="仿宋_GB2312" w:cs="Times New Roman"/>
      <w:sz w:val="32"/>
    </w:rPr>
  </w:style>
  <w:style w:type="paragraph" w:customStyle="1" w:styleId="115">
    <w:name w:val=" Char"/>
    <w:basedOn w:val="1"/>
    <w:qFormat/>
    <w:uiPriority w:val="0"/>
    <w:rPr>
      <w:rFonts w:ascii="Times New Roman" w:hAnsi="Times New Roman" w:eastAsia="宋体" w:cs="Times New Roman"/>
      <w:szCs w:val="21"/>
    </w:rPr>
  </w:style>
  <w:style w:type="paragraph" w:customStyle="1" w:styleId="116">
    <w:name w:val="TOC 标题1"/>
    <w:basedOn w:val="2"/>
    <w:next w:val="1"/>
    <w:qFormat/>
    <w:uiPriority w:val="0"/>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117">
    <w:name w:val="11"/>
    <w:basedOn w:val="1"/>
    <w:qFormat/>
    <w:uiPriority w:val="0"/>
    <w:pPr>
      <w:widowControl/>
      <w:adjustRightInd w:val="0"/>
      <w:spacing w:line="360" w:lineRule="auto"/>
      <w:ind w:firstLine="420" w:firstLineChars="200"/>
      <w:jc w:val="left"/>
      <w:textAlignment w:val="baseline"/>
    </w:pPr>
    <w:rPr>
      <w:rFonts w:ascii="Arial" w:hAnsi="Arial" w:eastAsia="宋体" w:cs="宋体"/>
      <w:color w:val="000000"/>
      <w:kern w:val="0"/>
      <w:sz w:val="21"/>
      <w:szCs w:val="20"/>
    </w:rPr>
  </w:style>
  <w:style w:type="paragraph" w:customStyle="1" w:styleId="118">
    <w:name w:val="_Style 31"/>
    <w:basedOn w:val="12"/>
    <w:qFormat/>
    <w:uiPriority w:val="0"/>
    <w:rPr>
      <w:rFonts w:ascii="Times New Roman" w:hAnsi="Times New Roman" w:eastAsia="宋体" w:cs="Times New Roman"/>
      <w:szCs w:val="20"/>
      <w:shd w:val="clear" w:color="auto" w:fill="000080"/>
    </w:rPr>
  </w:style>
  <w:style w:type="paragraph" w:customStyle="1" w:styleId="119">
    <w:name w:val="正文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0">
    <w:name w:val="样式3"/>
    <w:basedOn w:val="113"/>
    <w:qFormat/>
    <w:uiPriority w:val="0"/>
    <w:pPr>
      <w:jc w:val="center"/>
    </w:pPr>
    <w:rPr>
      <w:rFonts w:ascii="Times New Roman" w:hAnsi="Times New Roman" w:eastAsia="宋体" w:cs="Times New Roman"/>
    </w:rPr>
  </w:style>
  <w:style w:type="paragraph" w:customStyle="1" w:styleId="121">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22">
    <w:name w:val="所-4级"/>
    <w:basedOn w:val="1"/>
    <w:qFormat/>
    <w:uiPriority w:val="0"/>
    <w:pPr>
      <w:spacing w:beforeLines="50" w:line="360" w:lineRule="auto"/>
      <w:outlineLvl w:val="3"/>
    </w:pPr>
    <w:rPr>
      <w:rFonts w:ascii="Times New Roman" w:hAnsi="Times New Roman" w:eastAsia="宋体" w:cs="Times New Roman"/>
      <w:b/>
      <w:bCs/>
      <w:szCs w:val="20"/>
    </w:rPr>
  </w:style>
  <w:style w:type="paragraph" w:customStyle="1" w:styleId="123">
    <w:name w:val="列出段落1"/>
    <w:basedOn w:val="1"/>
    <w:qFormat/>
    <w:uiPriority w:val="0"/>
    <w:pPr>
      <w:ind w:firstLine="420" w:firstLineChars="200"/>
    </w:pPr>
    <w:rPr>
      <w:rFonts w:ascii="Calibri" w:hAnsi="Calibri" w:eastAsia="宋体" w:cs="Times New Roman"/>
      <w:sz w:val="21"/>
      <w:szCs w:val="22"/>
    </w:rPr>
  </w:style>
  <w:style w:type="paragraph" w:customStyle="1" w:styleId="124">
    <w:name w:val="_Style 2"/>
    <w:qFormat/>
    <w:uiPriority w:val="0"/>
    <w:pPr>
      <w:widowControl w:val="0"/>
      <w:ind w:firstLine="200" w:firstLineChars="200"/>
      <w:jc w:val="both"/>
    </w:pPr>
    <w:rPr>
      <w:rFonts w:ascii="Times New Roman" w:hAnsi="Times New Roman" w:eastAsia="宋体" w:cs="Times New Roman"/>
      <w:sz w:val="24"/>
      <w:szCs w:val="24"/>
      <w:lang w:val="en-US" w:eastAsia="zh-CN" w:bidi="ar-SA"/>
    </w:rPr>
  </w:style>
  <w:style w:type="paragraph" w:customStyle="1" w:styleId="125">
    <w:name w:val="所-1级"/>
    <w:basedOn w:val="1"/>
    <w:qFormat/>
    <w:uiPriority w:val="0"/>
    <w:pPr>
      <w:keepNext/>
      <w:keepLines/>
      <w:pageBreakBefore/>
      <w:spacing w:beforeLines="200" w:after="160" w:afterLines="150" w:line="360" w:lineRule="auto"/>
      <w:jc w:val="center"/>
      <w:outlineLvl w:val="0"/>
    </w:pPr>
    <w:rPr>
      <w:rFonts w:ascii="Times New Roman" w:hAnsi="Times New Roman" w:eastAsia="黑体" w:cs="Times New Roman"/>
      <w:b/>
      <w:bCs/>
      <w:kern w:val="44"/>
      <w:sz w:val="44"/>
      <w:szCs w:val="44"/>
    </w:rPr>
  </w:style>
  <w:style w:type="character" w:customStyle="1" w:styleId="126">
    <w:name w:val="NormalCharacter"/>
    <w:qFormat/>
    <w:uiPriority w:val="0"/>
    <w:rPr>
      <w:rFonts w:ascii="Times New Roman" w:hAnsi="Times New Roman" w:eastAsia="宋体" w:cs="Times New Roman"/>
    </w:rPr>
  </w:style>
  <w:style w:type="character" w:customStyle="1" w:styleId="127">
    <w:name w:val="正文文本缩进 Char1"/>
    <w:qFormat/>
    <w:uiPriority w:val="0"/>
    <w:rPr>
      <w:rFonts w:ascii="Times New Roman" w:hAnsi="Times New Roman" w:eastAsia="宋体" w:cs="Times New Roman"/>
      <w:kern w:val="2"/>
      <w:sz w:val="21"/>
      <w:szCs w:val="24"/>
    </w:rPr>
  </w:style>
  <w:style w:type="paragraph" w:styleId="128">
    <w:name w:val="No Spacing"/>
    <w:qFormat/>
    <w:uiPriority w:val="0"/>
    <w:pPr>
      <w:widowControl w:val="0"/>
      <w:ind w:firstLine="200" w:firstLineChars="200"/>
      <w:jc w:val="both"/>
    </w:pPr>
    <w:rPr>
      <w:rFonts w:ascii="Times New Roman" w:hAnsi="Times New Roman" w:eastAsia="宋体" w:cs="Times New Roman"/>
      <w:sz w:val="24"/>
      <w:szCs w:val="24"/>
      <w:lang w:val="en-US" w:eastAsia="zh-CN" w:bidi="ar-SA"/>
    </w:rPr>
  </w:style>
  <w:style w:type="character" w:customStyle="1" w:styleId="129">
    <w:name w:val="标题 3（绿盟科技） Char"/>
    <w:link w:val="130"/>
    <w:qFormat/>
    <w:uiPriority w:val="0"/>
    <w:rPr>
      <w:rFonts w:ascii="Times New Roman" w:hAnsi="Times New Roman" w:eastAsia="宋体" w:cs="Times New Roman"/>
      <w:kern w:val="2"/>
      <w:sz w:val="24"/>
      <w:szCs w:val="24"/>
    </w:rPr>
  </w:style>
  <w:style w:type="paragraph" w:customStyle="1" w:styleId="130">
    <w:name w:val="标题 3（绿盟科技）"/>
    <w:basedOn w:val="1"/>
    <w:link w:val="129"/>
    <w:qFormat/>
    <w:uiPriority w:val="0"/>
    <w:pPr>
      <w:numPr>
        <w:ilvl w:val="2"/>
        <w:numId w:val="1"/>
      </w:numPr>
      <w:spacing w:line="360" w:lineRule="auto"/>
      <w:ind w:firstLine="0"/>
    </w:pPr>
  </w:style>
  <w:style w:type="paragraph" w:customStyle="1" w:styleId="131">
    <w:name w:val="列表段落1"/>
    <w:basedOn w:val="1"/>
    <w:qFormat/>
    <w:uiPriority w:val="0"/>
    <w:pPr>
      <w:ind w:firstLine="420" w:firstLineChars="200"/>
    </w:pPr>
    <w:rPr>
      <w:rFonts w:ascii="Calibri" w:hAnsi="Calibri" w:eastAsia="宋体" w:cs="Times New Roman"/>
      <w:sz w:val="21"/>
      <w:szCs w:val="22"/>
    </w:rPr>
  </w:style>
  <w:style w:type="paragraph" w:customStyle="1" w:styleId="132">
    <w:name w:val="!正文"/>
    <w:basedOn w:val="1"/>
    <w:qFormat/>
    <w:uiPriority w:val="0"/>
    <w:pPr>
      <w:spacing w:line="360" w:lineRule="auto"/>
      <w:ind w:firstLine="200" w:firstLineChars="200"/>
      <w:jc w:val="left"/>
    </w:pPr>
    <w:rPr>
      <w:rFonts w:ascii="Calibri" w:hAnsi="Calibri" w:cs="宋体"/>
      <w:color w:val="000000"/>
    </w:rPr>
  </w:style>
  <w:style w:type="paragraph" w:customStyle="1" w:styleId="133">
    <w:name w:val="纯文本1"/>
    <w:basedOn w:val="1"/>
    <w:qFormat/>
    <w:uiPriority w:val="0"/>
    <w:rPr>
      <w:rFonts w:ascii="宋体" w:hAnsi="Courier New" w:cs="Times New Roman"/>
      <w:sz w:val="24"/>
      <w:szCs w:val="20"/>
    </w:rPr>
  </w:style>
  <w:style w:type="paragraph" w:customStyle="1" w:styleId="134">
    <w:name w:val="Table Text"/>
    <w:basedOn w:val="1"/>
    <w:semiHidden/>
    <w:qFormat/>
    <w:uiPriority w:val="0"/>
    <w:rPr>
      <w:rFonts w:ascii="宋体" w:hAnsi="宋体" w:eastAsia="宋体" w:cs="宋体"/>
      <w:sz w:val="20"/>
      <w:szCs w:val="20"/>
      <w:lang w:val="en-US" w:eastAsia="en-US" w:bidi="ar-SA"/>
    </w:rPr>
  </w:style>
  <w:style w:type="table" w:customStyle="1" w:styleId="135">
    <w:name w:val="Table Normal"/>
    <w:unhideWhenUsed/>
    <w:qFormat/>
    <w:uiPriority w:val="0"/>
    <w:tblPr>
      <w:tblCellMar>
        <w:top w:w="0" w:type="dxa"/>
        <w:left w:w="0" w:type="dxa"/>
        <w:bottom w:w="0" w:type="dxa"/>
        <w:right w:w="0" w:type="dxa"/>
      </w:tblCellMar>
    </w:tblPr>
  </w:style>
  <w:style w:type="paragraph" w:customStyle="1" w:styleId="136">
    <w:name w:val="纯文本2"/>
    <w:basedOn w:val="1"/>
    <w:qFormat/>
    <w:uiPriority w:val="0"/>
    <w:rPr>
      <w:rFonts w:ascii="宋体" w:hAnsi="Courier New"/>
      <w:szCs w:val="20"/>
    </w:rPr>
  </w:style>
  <w:style w:type="paragraph" w:customStyle="1" w:styleId="137">
    <w:name w:val="0正文"/>
    <w:basedOn w:val="1"/>
    <w:qFormat/>
    <w:uiPriority w:val="0"/>
    <w:rPr>
      <w:rFonts w:cs="宋体"/>
      <w:szCs w:val="20"/>
    </w:rPr>
  </w:style>
  <w:style w:type="character" w:customStyle="1" w:styleId="138">
    <w:name w:val="font41"/>
    <w:basedOn w:val="35"/>
    <w:qFormat/>
    <w:uiPriority w:val="0"/>
    <w:rPr>
      <w:rFonts w:hint="default" w:ascii="Calibri" w:hAnsi="Calibri" w:cs="Calibri"/>
      <w:color w:val="000000"/>
      <w:sz w:val="22"/>
      <w:szCs w:val="22"/>
      <w:u w:val="none"/>
    </w:rPr>
  </w:style>
  <w:style w:type="character" w:customStyle="1" w:styleId="139">
    <w:name w:val="font121"/>
    <w:basedOn w:val="35"/>
    <w:qFormat/>
    <w:uiPriority w:val="0"/>
    <w:rPr>
      <w:rFonts w:hint="eastAsia" w:ascii="宋体" w:hAnsi="宋体" w:eastAsia="宋体" w:cs="宋体"/>
      <w:color w:val="000000"/>
      <w:sz w:val="18"/>
      <w:szCs w:val="18"/>
      <w:u w:val="none"/>
      <w:vertAlign w:val="superscript"/>
    </w:rPr>
  </w:style>
  <w:style w:type="character" w:customStyle="1" w:styleId="140">
    <w:name w:val="UserStyle_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124</Pages>
  <Words>7268</Words>
  <Characters>7879</Characters>
  <Lines>887</Lines>
  <Paragraphs>249</Paragraphs>
  <TotalTime>30</TotalTime>
  <ScaleCrop>false</ScaleCrop>
  <LinksUpToDate>false</LinksUpToDate>
  <CharactersWithSpaces>8085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2023-11-02T04:55:00Z</dcterms:created>
  <dc:creator>太子弹琴</dc:creator>
  <cp:lastModifiedBy>井染</cp:lastModifiedBy>
  <cp:lastPrinted>2021-09-28T01:45:00Z</cp:lastPrinted>
  <dcterms:modified xsi:type="dcterms:W3CDTF">2024-11-29T11:41:37Z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CAD42772AE1243D6A3A8D99ED006064D_13</vt:lpwstr>
  </property>
</Properties>
</file>