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76184DE2">
      <w:pPr>
        <w:spacing w:line="360" w:lineRule="auto"/>
        <w:ind w:firstLine="2349"/>
        <w:rPr>
          <w:rFonts w:ascii="宋体" w:hAnsi="宋体"/>
          <w:b/>
          <w:sz w:val="52"/>
          <w:szCs w:val="52"/>
        </w:rPr>
      </w:pPr>
    </w:p>
    <w:p w14:paraId="32CBA8E9">
      <w:pPr>
        <w:spacing w:line="360" w:lineRule="auto"/>
        <w:rPr>
          <w:rFonts w:ascii="方正楷体_GBK" w:hAnsi="宋体" w:eastAsia="方正楷体_GBK" w:cs="华文中宋"/>
          <w:b/>
          <w:color w:val="000000"/>
          <w:sz w:val="36"/>
          <w:szCs w:val="36"/>
          <w:lang w:val="zh-CN"/>
        </w:rPr>
      </w:pPr>
    </w:p>
    <w:p w14:paraId="70B8B9D2">
      <w:pPr>
        <w:spacing w:line="360" w:lineRule="auto"/>
        <w:ind w:firstLine="723"/>
        <w:rPr>
          <w:rFonts w:ascii="方正楷体_GBK" w:hAnsi="宋体" w:eastAsia="方正楷体_GBK" w:cs="华文中宋"/>
          <w:b/>
          <w:color w:val="000000"/>
          <w:sz w:val="36"/>
          <w:szCs w:val="36"/>
          <w:lang w:val="zh-CN"/>
        </w:rPr>
      </w:pPr>
    </w:p>
    <w:p w14:paraId="6407718E">
      <w:pPr>
        <w:spacing w:line="360" w:lineRule="auto"/>
        <w:jc w:val="center"/>
        <w:rPr>
          <w:rFonts w:ascii="方正楷体_GBK" w:hAnsi="宋体" w:eastAsia="方正楷体_GBK" w:cs="华文中宋"/>
          <w:b/>
          <w:color w:val="000000"/>
          <w:sz w:val="90"/>
          <w:szCs w:val="90"/>
          <w:lang w:val="zh-CN"/>
        </w:rPr>
      </w:pPr>
      <w:r>
        <w:rPr>
          <w:rFonts w:hint="eastAsia" w:ascii="宋体" w:hAnsi="宋体" w:cs="华文行楷"/>
          <w:b/>
          <w:sz w:val="90"/>
          <w:szCs w:val="90"/>
          <w:lang w:val="zh-CN"/>
        </w:rPr>
        <w:t>刚察县政府采购</w:t>
      </w:r>
    </w:p>
    <w:p w14:paraId="11E95930">
      <w:pPr>
        <w:spacing w:line="360" w:lineRule="auto"/>
        <w:jc w:val="center"/>
        <w:rPr>
          <w:rFonts w:ascii="华文楷体" w:hAnsi="华文楷体" w:eastAsia="华文楷体" w:cs="华文楷体"/>
          <w:b/>
          <w:color w:val="000000"/>
          <w:sz w:val="84"/>
          <w:szCs w:val="84"/>
          <w:lang w:val="zh-CN"/>
        </w:rPr>
      </w:pPr>
      <w:r>
        <w:rPr>
          <w:rFonts w:hint="eastAsia" w:ascii="宋体" w:hAnsi="宋体" w:cs="华文行楷"/>
          <w:b/>
          <w:sz w:val="90"/>
          <w:szCs w:val="90"/>
          <w:lang w:val="zh-CN"/>
        </w:rPr>
        <w:t>招标文件</w:t>
      </w:r>
    </w:p>
    <w:p w14:paraId="5EDA2CC0">
      <w:pPr>
        <w:spacing w:line="360" w:lineRule="auto"/>
        <w:jc w:val="center"/>
        <w:rPr>
          <w:rFonts w:ascii="华文楷体" w:hAnsi="华文楷体" w:eastAsia="华文楷体" w:cs="华文楷体"/>
        </w:rPr>
      </w:pPr>
    </w:p>
    <w:p w14:paraId="7DE32898">
      <w:pPr>
        <w:spacing w:line="360" w:lineRule="auto"/>
        <w:rPr>
          <w:rFonts w:ascii="宋体" w:hAnsi="宋体" w:cs="宋体"/>
          <w:color w:val="000000"/>
          <w:sz w:val="36"/>
          <w:szCs w:val="36"/>
        </w:rPr>
      </w:pPr>
      <w:r>
        <w:rPr>
          <w:rFonts w:hint="eastAsia" w:ascii="宋体" w:hAnsi="宋体" w:cs="宋体"/>
          <w:color w:val="000000"/>
          <w:sz w:val="36"/>
          <w:szCs w:val="36"/>
        </w:rPr>
        <w:t xml:space="preserve"> </w:t>
      </w:r>
    </w:p>
    <w:p w14:paraId="6A0BA957">
      <w:pPr>
        <w:spacing w:line="360" w:lineRule="auto"/>
        <w:jc w:val="left"/>
        <w:rPr>
          <w:rFonts w:ascii="宋体" w:hAnsi="宋体" w:cs="宋体"/>
          <w:color w:val="000000"/>
          <w:sz w:val="36"/>
          <w:szCs w:val="36"/>
          <w:u w:val="single"/>
        </w:rPr>
      </w:pPr>
    </w:p>
    <w:p w14:paraId="0729C1C0">
      <w:pPr>
        <w:spacing w:line="360" w:lineRule="auto"/>
        <w:jc w:val="left"/>
        <w:rPr>
          <w:rFonts w:ascii="宋体" w:hAnsi="宋体" w:cs="宋体"/>
          <w:color w:val="000000"/>
          <w:sz w:val="36"/>
          <w:szCs w:val="36"/>
          <w:u w:val="single"/>
        </w:rPr>
      </w:pPr>
    </w:p>
    <w:p w14:paraId="41F408D1">
      <w:pPr>
        <w:spacing w:line="360" w:lineRule="auto"/>
        <w:ind w:firstLine="1205"/>
        <w:jc w:val="left"/>
        <w:rPr>
          <w:rFonts w:ascii="宋体" w:hAnsi="宋体" w:cs="宋体"/>
          <w:b/>
          <w:bCs/>
          <w:color w:val="000000"/>
          <w:sz w:val="30"/>
          <w:szCs w:val="30"/>
          <w:lang w:val="zh-CN"/>
        </w:rPr>
      </w:pPr>
      <w:r>
        <w:rPr>
          <w:rFonts w:hint="eastAsia" w:ascii="宋体" w:hAnsi="宋体" w:cs="宋体"/>
          <w:b/>
          <w:bCs/>
          <w:color w:val="000000"/>
          <w:sz w:val="30"/>
          <w:szCs w:val="30"/>
          <w:lang w:val="zh-CN"/>
        </w:rPr>
        <w:t>采购项目编号：刚政采公招（货物）2024-001F号</w:t>
      </w:r>
    </w:p>
    <w:p w14:paraId="4DAA2593">
      <w:pPr>
        <w:spacing w:line="360" w:lineRule="auto"/>
        <w:ind w:left="3308" w:hanging="2108"/>
        <w:jc w:val="left"/>
        <w:rPr>
          <w:rFonts w:ascii="宋体" w:hAnsi="宋体" w:cs="宋体"/>
          <w:b/>
          <w:bCs/>
          <w:color w:val="000000"/>
          <w:sz w:val="30"/>
          <w:szCs w:val="30"/>
        </w:rPr>
      </w:pPr>
      <w:r>
        <w:rPr>
          <w:rFonts w:hint="eastAsia" w:ascii="宋体" w:hAnsi="宋体" w:cs="宋体"/>
          <w:b/>
          <w:bCs/>
          <w:color w:val="000000"/>
          <w:sz w:val="30"/>
          <w:szCs w:val="30"/>
          <w:lang w:val="zh-CN"/>
        </w:rPr>
        <w:t>采购项目名称：刚察县公安局执法办案管理中心信息化建设项目(第五次)</w:t>
      </w:r>
    </w:p>
    <w:p w14:paraId="648A2788">
      <w:pPr>
        <w:spacing w:line="360" w:lineRule="auto"/>
        <w:ind w:firstLine="1205"/>
        <w:jc w:val="left"/>
        <w:rPr>
          <w:rFonts w:ascii="宋体" w:hAnsi="宋体" w:cs="宋体"/>
          <w:b/>
          <w:bCs/>
          <w:color w:val="000000"/>
          <w:sz w:val="30"/>
          <w:szCs w:val="30"/>
          <w:lang w:val="zh-CN"/>
        </w:rPr>
      </w:pPr>
      <w:r>
        <w:rPr>
          <w:rFonts w:hint="eastAsia" w:ascii="宋体" w:hAnsi="宋体" w:cs="宋体"/>
          <w:b/>
          <w:bCs/>
          <w:color w:val="000000"/>
          <w:sz w:val="30"/>
          <w:szCs w:val="30"/>
          <w:lang w:val="zh-CN"/>
        </w:rPr>
        <w:t>采</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购</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单</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位</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：刚察县公安局</w:t>
      </w:r>
    </w:p>
    <w:p w14:paraId="6D907BDC">
      <w:pPr>
        <w:spacing w:line="360" w:lineRule="auto"/>
        <w:jc w:val="center"/>
        <w:rPr>
          <w:rFonts w:ascii="宋体" w:hAnsi="宋体" w:cs="宋体"/>
          <w:b/>
          <w:bCs/>
          <w:color w:val="000000"/>
          <w:sz w:val="30"/>
          <w:szCs w:val="30"/>
          <w:lang w:val="zh-CN"/>
        </w:rPr>
      </w:pPr>
    </w:p>
    <w:p w14:paraId="20BCF460">
      <w:pPr>
        <w:spacing w:line="360" w:lineRule="auto"/>
        <w:ind w:firstLine="1205"/>
        <w:rPr>
          <w:rFonts w:ascii="宋体" w:hAnsi="宋体" w:cs="宋体"/>
          <w:b/>
          <w:bCs/>
          <w:color w:val="000000"/>
          <w:sz w:val="30"/>
          <w:szCs w:val="30"/>
          <w:lang w:val="zh-CN"/>
        </w:rPr>
      </w:pPr>
      <w:r>
        <w:rPr>
          <w:rFonts w:hint="eastAsia" w:ascii="宋体" w:hAnsi="宋体" w:cs="宋体"/>
          <w:b/>
          <w:bCs/>
          <w:color w:val="000000"/>
          <w:sz w:val="30"/>
          <w:szCs w:val="30"/>
          <w:lang w:val="zh-CN"/>
        </w:rPr>
        <w:t>采</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购</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机</w:t>
      </w:r>
      <w:r>
        <w:rPr>
          <w:rFonts w:hint="eastAsia" w:ascii="宋体" w:hAnsi="宋体" w:cs="宋体"/>
          <w:b/>
          <w:bCs/>
          <w:color w:val="000000"/>
          <w:sz w:val="30"/>
          <w:szCs w:val="30"/>
        </w:rPr>
        <w:t xml:space="preserve"> </w:t>
      </w:r>
      <w:r>
        <w:rPr>
          <w:rFonts w:hint="eastAsia" w:ascii="宋体" w:hAnsi="宋体" w:cs="宋体"/>
          <w:b/>
          <w:bCs/>
          <w:color w:val="000000"/>
          <w:sz w:val="30"/>
          <w:szCs w:val="30"/>
          <w:lang w:val="zh-CN"/>
        </w:rPr>
        <w:t>构：刚察县政府采购中心</w:t>
      </w:r>
    </w:p>
    <w:p w14:paraId="7C4979FC">
      <w:pPr>
        <w:spacing w:line="360" w:lineRule="auto"/>
        <w:jc w:val="center"/>
        <w:rPr>
          <w:rFonts w:ascii="宋体" w:hAnsi="宋体" w:cs="宋体"/>
          <w:b/>
          <w:bCs/>
          <w:color w:val="000000"/>
          <w:sz w:val="30"/>
          <w:szCs w:val="30"/>
          <w:lang w:val="zh-CN"/>
        </w:rPr>
      </w:pPr>
    </w:p>
    <w:p w14:paraId="0B0E7AE9">
      <w:pPr>
        <w:spacing w:line="360" w:lineRule="auto"/>
        <w:jc w:val="center"/>
        <w:rPr>
          <w:rFonts w:ascii="宋体" w:hAnsi="宋体" w:cs="宋体"/>
          <w:b/>
          <w:bCs/>
          <w:color w:val="000000"/>
          <w:sz w:val="30"/>
          <w:szCs w:val="30"/>
          <w:lang w:val="zh-CN"/>
        </w:rPr>
      </w:pPr>
      <w:r>
        <w:rPr>
          <w:rFonts w:hint="eastAsia" w:ascii="宋体" w:hAnsi="宋体" w:cs="宋体"/>
          <w:b/>
          <w:bCs/>
          <w:color w:val="000000"/>
          <w:sz w:val="30"/>
          <w:szCs w:val="30"/>
          <w:lang w:val="zh-CN"/>
        </w:rPr>
        <w:t>20</w:t>
      </w:r>
      <w:r>
        <w:rPr>
          <w:rFonts w:hint="eastAsia" w:ascii="宋体" w:hAnsi="宋体" w:cs="宋体"/>
          <w:b/>
          <w:bCs/>
          <w:color w:val="000000"/>
          <w:sz w:val="30"/>
          <w:szCs w:val="30"/>
        </w:rPr>
        <w:t>25</w:t>
      </w:r>
      <w:r>
        <w:rPr>
          <w:rFonts w:hint="eastAsia" w:ascii="宋体" w:hAnsi="宋体" w:cs="宋体"/>
          <w:b/>
          <w:bCs/>
          <w:color w:val="000000"/>
          <w:sz w:val="30"/>
          <w:szCs w:val="30"/>
          <w:lang w:val="zh-CN"/>
        </w:rPr>
        <w:t>年</w:t>
      </w:r>
      <w:r>
        <w:rPr>
          <w:rFonts w:hint="eastAsia" w:ascii="宋体" w:hAnsi="宋体" w:cs="宋体"/>
          <w:b/>
          <w:bCs/>
          <w:color w:val="000000"/>
          <w:sz w:val="30"/>
          <w:szCs w:val="30"/>
        </w:rPr>
        <w:t>3</w:t>
      </w:r>
      <w:r>
        <w:rPr>
          <w:rFonts w:hint="eastAsia" w:ascii="宋体" w:hAnsi="宋体" w:cs="宋体"/>
          <w:b/>
          <w:bCs/>
          <w:color w:val="000000"/>
          <w:sz w:val="30"/>
          <w:szCs w:val="30"/>
          <w:lang w:val="zh-CN"/>
        </w:rPr>
        <w:t>月</w:t>
      </w:r>
    </w:p>
    <w:p w14:paraId="6702B90B">
      <w:pPr>
        <w:spacing w:line="360" w:lineRule="auto"/>
        <w:jc w:val="center"/>
        <w:rPr>
          <w:rFonts w:ascii="宋体" w:hAnsi="宋体" w:cs="宋体"/>
          <w:color w:val="000000"/>
          <w:sz w:val="40"/>
          <w:szCs w:val="30"/>
        </w:rPr>
      </w:pPr>
      <w:r>
        <w:rPr>
          <w:rFonts w:hint="eastAsia" w:ascii="宋体" w:hAnsi="宋体" w:cs="宋体"/>
          <w:color w:val="000000"/>
          <w:sz w:val="36"/>
          <w:szCs w:val="36"/>
        </w:rPr>
        <w:br w:type="page"/>
      </w:r>
      <w:r>
        <w:rPr>
          <w:rFonts w:hint="eastAsia" w:ascii="宋体" w:hAnsi="宋体" w:cs="宋体"/>
          <w:color w:val="000000"/>
          <w:sz w:val="40"/>
          <w:szCs w:val="30"/>
        </w:rPr>
        <w:t>目  录</w:t>
      </w:r>
    </w:p>
    <w:p w14:paraId="2C0C3770">
      <w:pPr>
        <w:pStyle w:val="228"/>
        <w:tabs>
          <w:tab w:val="right" w:leader="dot" w:pos="8306"/>
        </w:tabs>
      </w:pPr>
      <w:r>
        <w:rPr>
          <w:rFonts w:hint="eastAsia" w:ascii="宋体" w:hAnsi="宋体" w:cs="宋体"/>
          <w:b w:val="0"/>
          <w:bCs w:val="0"/>
          <w:color w:val="000000"/>
          <w:szCs w:val="24"/>
        </w:rPr>
        <w:fldChar w:fldCharType="begin"/>
      </w:r>
      <w:r>
        <w:rPr>
          <w:rStyle w:val="247"/>
          <w:rFonts w:hint="eastAsia" w:ascii="宋体" w:hAnsi="宋体" w:cs="宋体"/>
          <w:szCs w:val="24"/>
        </w:rPr>
        <w:instrText xml:space="preserve"> TOC \o "3-3" \h \z \t "标题 1,2,标题 2,3,标题,1" </w:instrText>
      </w:r>
      <w:r>
        <w:rPr>
          <w:rFonts w:hint="eastAsia" w:ascii="宋体" w:hAnsi="宋体" w:cs="宋体"/>
          <w:b w:val="0"/>
          <w:bCs w:val="0"/>
          <w:color w:val="000000"/>
          <w:szCs w:val="24"/>
        </w:rPr>
        <w:fldChar w:fldCharType="separate"/>
      </w:r>
      <w:r>
        <w:fldChar w:fldCharType="begin"/>
      </w:r>
      <w:r>
        <w:instrText xml:space="preserve"> HYPERLINK \l "_Toc25415" </w:instrText>
      </w:r>
      <w:r>
        <w:fldChar w:fldCharType="separate"/>
      </w:r>
      <w:r>
        <w:rPr>
          <w:rFonts w:hint="eastAsia" w:ascii="宋体" w:hAnsi="宋体" w:cs="宋体"/>
          <w:szCs w:val="36"/>
          <w:lang w:val="zh-CN"/>
        </w:rPr>
        <w:t>第一部分  投标邀请</w:t>
      </w:r>
      <w:r>
        <w:tab/>
      </w:r>
      <w:r>
        <w:fldChar w:fldCharType="begin"/>
      </w:r>
      <w:r>
        <w:instrText xml:space="preserve"> PAGEREF _Toc25415 \h </w:instrText>
      </w:r>
      <w:r>
        <w:fldChar w:fldCharType="separate"/>
      </w:r>
      <w:r>
        <w:t>5</w:t>
      </w:r>
      <w:r>
        <w:fldChar w:fldCharType="end"/>
      </w:r>
      <w:r>
        <w:fldChar w:fldCharType="end"/>
      </w:r>
    </w:p>
    <w:p w14:paraId="4A6877F7">
      <w:pPr>
        <w:pStyle w:val="228"/>
        <w:tabs>
          <w:tab w:val="right" w:leader="dot" w:pos="8306"/>
        </w:tabs>
      </w:pPr>
      <w:r>
        <w:fldChar w:fldCharType="begin"/>
      </w:r>
      <w:r>
        <w:instrText xml:space="preserve"> HYPERLINK \l "_Toc6896" </w:instrText>
      </w:r>
      <w:r>
        <w:fldChar w:fldCharType="separate"/>
      </w:r>
      <w:r>
        <w:rPr>
          <w:rFonts w:hint="eastAsia" w:ascii="宋体" w:hAnsi="宋体" w:cs="宋体"/>
          <w:szCs w:val="36"/>
          <w:lang w:val="zh-CN"/>
        </w:rPr>
        <w:t>第二部分  投标人须知</w:t>
      </w:r>
      <w:r>
        <w:tab/>
      </w:r>
      <w:r>
        <w:fldChar w:fldCharType="begin"/>
      </w:r>
      <w:r>
        <w:instrText xml:space="preserve"> PAGEREF _Toc6896 \h </w:instrText>
      </w:r>
      <w:r>
        <w:fldChar w:fldCharType="separate"/>
      </w:r>
      <w:r>
        <w:t>7</w:t>
      </w:r>
      <w:r>
        <w:fldChar w:fldCharType="end"/>
      </w:r>
      <w:r>
        <w:fldChar w:fldCharType="end"/>
      </w:r>
    </w:p>
    <w:p w14:paraId="76FF14B3">
      <w:pPr>
        <w:pStyle w:val="228"/>
        <w:tabs>
          <w:tab w:val="right" w:leader="dot" w:pos="8306"/>
        </w:tabs>
      </w:pPr>
      <w:r>
        <w:fldChar w:fldCharType="begin"/>
      </w:r>
      <w:r>
        <w:instrText xml:space="preserve"> HYPERLINK \l "_Toc27414" </w:instrText>
      </w:r>
      <w:r>
        <w:fldChar w:fldCharType="separate"/>
      </w:r>
      <w:r>
        <w:rPr>
          <w:rFonts w:hint="eastAsia" w:ascii="宋体" w:hAnsi="宋体" w:cs="宋体"/>
          <w:lang w:val="zh-CN"/>
        </w:rPr>
        <w:t>一、说明</w:t>
      </w:r>
      <w:r>
        <w:tab/>
      </w:r>
      <w:r>
        <w:fldChar w:fldCharType="begin"/>
      </w:r>
      <w:r>
        <w:instrText xml:space="preserve"> PAGEREF _Toc27414 \h </w:instrText>
      </w:r>
      <w:r>
        <w:fldChar w:fldCharType="separate"/>
      </w:r>
      <w:r>
        <w:t>7</w:t>
      </w:r>
      <w:r>
        <w:fldChar w:fldCharType="end"/>
      </w:r>
      <w:r>
        <w:fldChar w:fldCharType="end"/>
      </w:r>
    </w:p>
    <w:p w14:paraId="1C8AD1B9">
      <w:pPr>
        <w:pStyle w:val="228"/>
        <w:tabs>
          <w:tab w:val="right" w:leader="dot" w:pos="8306"/>
        </w:tabs>
      </w:pPr>
      <w:r>
        <w:fldChar w:fldCharType="begin"/>
      </w:r>
      <w:r>
        <w:instrText xml:space="preserve"> HYPERLINK \l "_Toc4785" </w:instrText>
      </w:r>
      <w:r>
        <w:fldChar w:fldCharType="separate"/>
      </w:r>
      <w:r>
        <w:rPr>
          <w:rFonts w:hint="eastAsia" w:ascii="宋体" w:hAnsi="宋体" w:cs="宋体"/>
          <w:szCs w:val="28"/>
          <w:lang w:val="zh-CN"/>
        </w:rPr>
        <w:t>1.适用范围</w:t>
      </w:r>
      <w:r>
        <w:tab/>
      </w:r>
      <w:r>
        <w:fldChar w:fldCharType="begin"/>
      </w:r>
      <w:r>
        <w:instrText xml:space="preserve"> PAGEREF _Toc4785 \h </w:instrText>
      </w:r>
      <w:r>
        <w:fldChar w:fldCharType="separate"/>
      </w:r>
      <w:r>
        <w:t>7</w:t>
      </w:r>
      <w:r>
        <w:fldChar w:fldCharType="end"/>
      </w:r>
      <w:r>
        <w:fldChar w:fldCharType="end"/>
      </w:r>
    </w:p>
    <w:p w14:paraId="7D6D535B">
      <w:pPr>
        <w:pStyle w:val="228"/>
        <w:tabs>
          <w:tab w:val="right" w:leader="dot" w:pos="8306"/>
        </w:tabs>
      </w:pPr>
      <w:r>
        <w:fldChar w:fldCharType="begin"/>
      </w:r>
      <w:r>
        <w:instrText xml:space="preserve"> HYPERLINK \l "_Toc7014" </w:instrText>
      </w:r>
      <w:r>
        <w:fldChar w:fldCharType="separate"/>
      </w:r>
      <w:r>
        <w:rPr>
          <w:rFonts w:hint="eastAsia" w:ascii="宋体" w:hAnsi="宋体" w:cs="宋体"/>
          <w:szCs w:val="28"/>
          <w:lang w:val="zh-CN"/>
        </w:rPr>
        <w:t>2.采购方式、合格的投标人</w:t>
      </w:r>
      <w:r>
        <w:tab/>
      </w:r>
      <w:r>
        <w:fldChar w:fldCharType="begin"/>
      </w:r>
      <w:r>
        <w:instrText xml:space="preserve"> PAGEREF _Toc7014 \h </w:instrText>
      </w:r>
      <w:r>
        <w:fldChar w:fldCharType="separate"/>
      </w:r>
      <w:r>
        <w:t>7</w:t>
      </w:r>
      <w:r>
        <w:fldChar w:fldCharType="end"/>
      </w:r>
      <w:r>
        <w:fldChar w:fldCharType="end"/>
      </w:r>
    </w:p>
    <w:p w14:paraId="54525688">
      <w:pPr>
        <w:pStyle w:val="228"/>
        <w:tabs>
          <w:tab w:val="right" w:leader="dot" w:pos="8306"/>
        </w:tabs>
      </w:pPr>
      <w:r>
        <w:fldChar w:fldCharType="begin"/>
      </w:r>
      <w:r>
        <w:instrText xml:space="preserve"> HYPERLINK \l "_Toc27559" </w:instrText>
      </w:r>
      <w:r>
        <w:fldChar w:fldCharType="separate"/>
      </w:r>
      <w:r>
        <w:rPr>
          <w:rFonts w:hint="eastAsia" w:ascii="宋体" w:hAnsi="宋体" w:cs="宋体"/>
          <w:szCs w:val="28"/>
          <w:lang w:val="zh-CN"/>
        </w:rPr>
        <w:t>3.投标费用</w:t>
      </w:r>
      <w:r>
        <w:tab/>
      </w:r>
      <w:r>
        <w:fldChar w:fldCharType="begin"/>
      </w:r>
      <w:r>
        <w:instrText xml:space="preserve"> PAGEREF _Toc27559 \h </w:instrText>
      </w:r>
      <w:r>
        <w:fldChar w:fldCharType="separate"/>
      </w:r>
      <w:r>
        <w:t>7</w:t>
      </w:r>
      <w:r>
        <w:fldChar w:fldCharType="end"/>
      </w:r>
      <w:r>
        <w:fldChar w:fldCharType="end"/>
      </w:r>
    </w:p>
    <w:p w14:paraId="69C88AC3">
      <w:pPr>
        <w:pStyle w:val="228"/>
        <w:tabs>
          <w:tab w:val="right" w:leader="dot" w:pos="8306"/>
        </w:tabs>
      </w:pPr>
      <w:r>
        <w:fldChar w:fldCharType="begin"/>
      </w:r>
      <w:r>
        <w:instrText xml:space="preserve"> HYPERLINK \l "_Toc16631" </w:instrText>
      </w:r>
      <w:r>
        <w:fldChar w:fldCharType="separate"/>
      </w:r>
      <w:r>
        <w:rPr>
          <w:rFonts w:hint="eastAsia" w:ascii="宋体" w:hAnsi="宋体" w:cs="宋体"/>
          <w:lang w:val="zh-CN"/>
        </w:rPr>
        <w:t>二、招标文件说明</w:t>
      </w:r>
      <w:r>
        <w:tab/>
      </w:r>
      <w:r>
        <w:fldChar w:fldCharType="begin"/>
      </w:r>
      <w:r>
        <w:instrText xml:space="preserve"> PAGEREF _Toc16631 \h </w:instrText>
      </w:r>
      <w:r>
        <w:fldChar w:fldCharType="separate"/>
      </w:r>
      <w:r>
        <w:t>7</w:t>
      </w:r>
      <w:r>
        <w:fldChar w:fldCharType="end"/>
      </w:r>
      <w:r>
        <w:fldChar w:fldCharType="end"/>
      </w:r>
    </w:p>
    <w:p w14:paraId="1A325805">
      <w:pPr>
        <w:pStyle w:val="228"/>
        <w:tabs>
          <w:tab w:val="right" w:leader="dot" w:pos="8306"/>
        </w:tabs>
      </w:pPr>
      <w:r>
        <w:fldChar w:fldCharType="begin"/>
      </w:r>
      <w:r>
        <w:instrText xml:space="preserve"> HYPERLINK \l "_Toc8001" </w:instrText>
      </w:r>
      <w:r>
        <w:fldChar w:fldCharType="separate"/>
      </w:r>
      <w:r>
        <w:rPr>
          <w:rFonts w:hint="eastAsia" w:ascii="宋体" w:hAnsi="宋体" w:cs="宋体"/>
          <w:szCs w:val="28"/>
          <w:lang w:val="zh-CN"/>
        </w:rPr>
        <w:t>4.招标文件的构成</w:t>
      </w:r>
      <w:r>
        <w:tab/>
      </w:r>
      <w:r>
        <w:fldChar w:fldCharType="begin"/>
      </w:r>
      <w:r>
        <w:instrText xml:space="preserve"> PAGEREF _Toc8001 \h </w:instrText>
      </w:r>
      <w:r>
        <w:fldChar w:fldCharType="separate"/>
      </w:r>
      <w:r>
        <w:t>7</w:t>
      </w:r>
      <w:r>
        <w:fldChar w:fldCharType="end"/>
      </w:r>
      <w:r>
        <w:fldChar w:fldCharType="end"/>
      </w:r>
    </w:p>
    <w:p w14:paraId="5849B19C">
      <w:pPr>
        <w:pStyle w:val="228"/>
        <w:tabs>
          <w:tab w:val="right" w:leader="dot" w:pos="8306"/>
        </w:tabs>
      </w:pPr>
      <w:r>
        <w:fldChar w:fldCharType="begin"/>
      </w:r>
      <w:r>
        <w:instrText xml:space="preserve"> HYPERLINK \l "_Toc6239" </w:instrText>
      </w:r>
      <w:r>
        <w:fldChar w:fldCharType="separate"/>
      </w:r>
      <w:r>
        <w:rPr>
          <w:rFonts w:hint="eastAsia" w:ascii="宋体" w:hAnsi="宋体" w:cs="宋体"/>
          <w:szCs w:val="28"/>
          <w:lang w:val="zh-CN"/>
        </w:rPr>
        <w:t>5.招标文件、采购活动和中标结果的质疑</w:t>
      </w:r>
      <w:r>
        <w:tab/>
      </w:r>
      <w:r>
        <w:fldChar w:fldCharType="begin"/>
      </w:r>
      <w:r>
        <w:instrText xml:space="preserve"> PAGEREF _Toc6239 \h </w:instrText>
      </w:r>
      <w:r>
        <w:fldChar w:fldCharType="separate"/>
      </w:r>
      <w:r>
        <w:t>7</w:t>
      </w:r>
      <w:r>
        <w:fldChar w:fldCharType="end"/>
      </w:r>
      <w:r>
        <w:fldChar w:fldCharType="end"/>
      </w:r>
    </w:p>
    <w:p w14:paraId="4AB5C0A0">
      <w:pPr>
        <w:pStyle w:val="228"/>
        <w:tabs>
          <w:tab w:val="right" w:leader="dot" w:pos="8306"/>
        </w:tabs>
      </w:pPr>
      <w:r>
        <w:fldChar w:fldCharType="begin"/>
      </w:r>
      <w:r>
        <w:instrText xml:space="preserve"> HYPERLINK \l "_Toc9472" </w:instrText>
      </w:r>
      <w:r>
        <w:fldChar w:fldCharType="separate"/>
      </w:r>
      <w:r>
        <w:rPr>
          <w:rFonts w:hint="eastAsia" w:ascii="宋体" w:hAnsi="宋体" w:cs="宋体"/>
          <w:szCs w:val="28"/>
          <w:lang w:val="zh-CN"/>
        </w:rPr>
        <w:t>6.澄清或修改</w:t>
      </w:r>
      <w:r>
        <w:tab/>
      </w:r>
      <w:r>
        <w:fldChar w:fldCharType="begin"/>
      </w:r>
      <w:r>
        <w:instrText xml:space="preserve"> PAGEREF _Toc9472 \h </w:instrText>
      </w:r>
      <w:r>
        <w:fldChar w:fldCharType="separate"/>
      </w:r>
      <w:r>
        <w:t>8</w:t>
      </w:r>
      <w:r>
        <w:fldChar w:fldCharType="end"/>
      </w:r>
      <w:r>
        <w:fldChar w:fldCharType="end"/>
      </w:r>
    </w:p>
    <w:p w14:paraId="731CFD41">
      <w:pPr>
        <w:pStyle w:val="228"/>
        <w:tabs>
          <w:tab w:val="right" w:leader="dot" w:pos="8306"/>
        </w:tabs>
      </w:pPr>
      <w:r>
        <w:fldChar w:fldCharType="begin"/>
      </w:r>
      <w:r>
        <w:instrText xml:space="preserve"> HYPERLINK \l "_Toc15197" </w:instrText>
      </w:r>
      <w:r>
        <w:fldChar w:fldCharType="separate"/>
      </w:r>
      <w:r>
        <w:rPr>
          <w:rFonts w:hint="eastAsia" w:ascii="宋体" w:hAnsi="宋体" w:cs="宋体"/>
          <w:lang w:val="zh-CN"/>
        </w:rPr>
        <w:t>三、投标文件的编制</w:t>
      </w:r>
      <w:r>
        <w:tab/>
      </w:r>
      <w:r>
        <w:fldChar w:fldCharType="begin"/>
      </w:r>
      <w:r>
        <w:instrText xml:space="preserve"> PAGEREF _Toc15197 \h </w:instrText>
      </w:r>
      <w:r>
        <w:fldChar w:fldCharType="separate"/>
      </w:r>
      <w:r>
        <w:t>8</w:t>
      </w:r>
      <w:r>
        <w:fldChar w:fldCharType="end"/>
      </w:r>
      <w:r>
        <w:fldChar w:fldCharType="end"/>
      </w:r>
    </w:p>
    <w:p w14:paraId="369DB794">
      <w:pPr>
        <w:pStyle w:val="228"/>
        <w:tabs>
          <w:tab w:val="right" w:leader="dot" w:pos="8306"/>
        </w:tabs>
      </w:pPr>
      <w:r>
        <w:fldChar w:fldCharType="begin"/>
      </w:r>
      <w:r>
        <w:instrText xml:space="preserve"> HYPERLINK \l "_Toc5884" </w:instrText>
      </w:r>
      <w:r>
        <w:fldChar w:fldCharType="separate"/>
      </w:r>
      <w:r>
        <w:rPr>
          <w:rFonts w:hint="eastAsia" w:ascii="宋体" w:hAnsi="宋体" w:cs="宋体"/>
          <w:szCs w:val="28"/>
          <w:lang w:val="zh-CN"/>
        </w:rPr>
        <w:t>7.投标文件的语言及度量衡单位</w:t>
      </w:r>
      <w:r>
        <w:tab/>
      </w:r>
      <w:r>
        <w:fldChar w:fldCharType="begin"/>
      </w:r>
      <w:r>
        <w:instrText xml:space="preserve"> PAGEREF _Toc5884 \h </w:instrText>
      </w:r>
      <w:r>
        <w:fldChar w:fldCharType="separate"/>
      </w:r>
      <w:r>
        <w:t>8</w:t>
      </w:r>
      <w:r>
        <w:fldChar w:fldCharType="end"/>
      </w:r>
      <w:r>
        <w:fldChar w:fldCharType="end"/>
      </w:r>
    </w:p>
    <w:p w14:paraId="1AC6228F">
      <w:pPr>
        <w:pStyle w:val="228"/>
        <w:tabs>
          <w:tab w:val="right" w:leader="dot" w:pos="8306"/>
        </w:tabs>
      </w:pPr>
      <w:r>
        <w:fldChar w:fldCharType="begin"/>
      </w:r>
      <w:r>
        <w:instrText xml:space="preserve"> HYPERLINK \l "_Toc28078" </w:instrText>
      </w:r>
      <w:r>
        <w:fldChar w:fldCharType="separate"/>
      </w:r>
      <w:r>
        <w:rPr>
          <w:rFonts w:hint="eastAsia" w:ascii="宋体" w:hAnsi="宋体" w:cs="宋体"/>
          <w:szCs w:val="28"/>
          <w:lang w:val="zh-CN"/>
        </w:rPr>
        <w:t>8.投标报价及币种</w:t>
      </w:r>
      <w:r>
        <w:tab/>
      </w:r>
      <w:r>
        <w:fldChar w:fldCharType="begin"/>
      </w:r>
      <w:r>
        <w:instrText xml:space="preserve"> PAGEREF _Toc28078 \h </w:instrText>
      </w:r>
      <w:r>
        <w:fldChar w:fldCharType="separate"/>
      </w:r>
      <w:r>
        <w:t>9</w:t>
      </w:r>
      <w:r>
        <w:fldChar w:fldCharType="end"/>
      </w:r>
      <w:r>
        <w:fldChar w:fldCharType="end"/>
      </w:r>
    </w:p>
    <w:p w14:paraId="4ADCC9C4">
      <w:pPr>
        <w:pStyle w:val="228"/>
        <w:tabs>
          <w:tab w:val="right" w:leader="dot" w:pos="8306"/>
        </w:tabs>
      </w:pPr>
      <w:r>
        <w:fldChar w:fldCharType="begin"/>
      </w:r>
      <w:r>
        <w:instrText xml:space="preserve"> HYPERLINK \l "_Toc7129" </w:instrText>
      </w:r>
      <w:r>
        <w:fldChar w:fldCharType="separate"/>
      </w:r>
      <w:r>
        <w:rPr>
          <w:rFonts w:hint="eastAsia" w:ascii="宋体" w:hAnsi="宋体" w:cs="宋体"/>
          <w:szCs w:val="28"/>
        </w:rPr>
        <w:t>9</w:t>
      </w:r>
      <w:r>
        <w:rPr>
          <w:rFonts w:hint="eastAsia" w:ascii="宋体" w:hAnsi="宋体" w:cs="宋体"/>
          <w:szCs w:val="28"/>
          <w:lang w:val="zh-CN"/>
        </w:rPr>
        <w:t>.投标有效期</w:t>
      </w:r>
      <w:r>
        <w:tab/>
      </w:r>
      <w:r>
        <w:fldChar w:fldCharType="begin"/>
      </w:r>
      <w:r>
        <w:instrText xml:space="preserve"> PAGEREF _Toc7129 \h </w:instrText>
      </w:r>
      <w:r>
        <w:fldChar w:fldCharType="separate"/>
      </w:r>
      <w:r>
        <w:t>9</w:t>
      </w:r>
      <w:r>
        <w:fldChar w:fldCharType="end"/>
      </w:r>
      <w:r>
        <w:fldChar w:fldCharType="end"/>
      </w:r>
    </w:p>
    <w:p w14:paraId="113448EB">
      <w:pPr>
        <w:pStyle w:val="228"/>
        <w:tabs>
          <w:tab w:val="right" w:leader="dot" w:pos="8306"/>
        </w:tabs>
      </w:pPr>
      <w:r>
        <w:fldChar w:fldCharType="begin"/>
      </w:r>
      <w:r>
        <w:instrText xml:space="preserve"> HYPERLINK \l "_Toc28096" </w:instrText>
      </w:r>
      <w:r>
        <w:fldChar w:fldCharType="separate"/>
      </w:r>
      <w:r>
        <w:rPr>
          <w:rFonts w:hint="eastAsia" w:ascii="宋体" w:hAnsi="宋体" w:cs="宋体"/>
          <w:szCs w:val="28"/>
          <w:lang w:val="zh-CN"/>
        </w:rPr>
        <w:t>1</w:t>
      </w:r>
      <w:r>
        <w:rPr>
          <w:rFonts w:hint="eastAsia" w:ascii="宋体" w:hAnsi="宋体" w:cs="宋体"/>
          <w:szCs w:val="28"/>
        </w:rPr>
        <w:t>0</w:t>
      </w:r>
      <w:r>
        <w:rPr>
          <w:rFonts w:hint="eastAsia" w:ascii="宋体" w:hAnsi="宋体" w:cs="宋体"/>
          <w:szCs w:val="28"/>
          <w:lang w:val="zh-CN"/>
        </w:rPr>
        <w:t>.投标文件构成</w:t>
      </w:r>
      <w:r>
        <w:tab/>
      </w:r>
      <w:r>
        <w:fldChar w:fldCharType="begin"/>
      </w:r>
      <w:r>
        <w:instrText xml:space="preserve"> PAGEREF _Toc28096 \h </w:instrText>
      </w:r>
      <w:r>
        <w:fldChar w:fldCharType="separate"/>
      </w:r>
      <w:r>
        <w:t>9</w:t>
      </w:r>
      <w:r>
        <w:fldChar w:fldCharType="end"/>
      </w:r>
      <w:r>
        <w:fldChar w:fldCharType="end"/>
      </w:r>
    </w:p>
    <w:p w14:paraId="3F7ABED3">
      <w:pPr>
        <w:pStyle w:val="228"/>
        <w:tabs>
          <w:tab w:val="right" w:leader="dot" w:pos="8306"/>
        </w:tabs>
      </w:pPr>
      <w:r>
        <w:fldChar w:fldCharType="begin"/>
      </w:r>
      <w:r>
        <w:instrText xml:space="preserve"> HYPERLINK \l "_Toc18760" </w:instrText>
      </w:r>
      <w:r>
        <w:fldChar w:fldCharType="separate"/>
      </w:r>
      <w:r>
        <w:rPr>
          <w:rFonts w:hint="eastAsia" w:ascii="宋体" w:hAnsi="宋体" w:cs="宋体"/>
          <w:szCs w:val="28"/>
          <w:lang w:val="zh-CN"/>
        </w:rPr>
        <w:t>1</w:t>
      </w:r>
      <w:r>
        <w:rPr>
          <w:rFonts w:hint="eastAsia" w:ascii="宋体" w:hAnsi="宋体" w:cs="宋体"/>
          <w:szCs w:val="28"/>
        </w:rPr>
        <w:t>1</w:t>
      </w:r>
      <w:r>
        <w:rPr>
          <w:rFonts w:hint="eastAsia" w:ascii="宋体" w:hAnsi="宋体" w:cs="宋体"/>
          <w:szCs w:val="28"/>
          <w:lang w:val="zh-CN"/>
        </w:rPr>
        <w:t>.投标文件的编制要求</w:t>
      </w:r>
      <w:r>
        <w:tab/>
      </w:r>
      <w:r>
        <w:fldChar w:fldCharType="begin"/>
      </w:r>
      <w:r>
        <w:instrText xml:space="preserve"> PAGEREF _Toc18760 \h </w:instrText>
      </w:r>
      <w:r>
        <w:fldChar w:fldCharType="separate"/>
      </w:r>
      <w:r>
        <w:t>10</w:t>
      </w:r>
      <w:r>
        <w:fldChar w:fldCharType="end"/>
      </w:r>
      <w:r>
        <w:fldChar w:fldCharType="end"/>
      </w:r>
    </w:p>
    <w:p w14:paraId="17F0FE8B">
      <w:pPr>
        <w:pStyle w:val="228"/>
        <w:tabs>
          <w:tab w:val="right" w:leader="dot" w:pos="8306"/>
        </w:tabs>
      </w:pPr>
      <w:r>
        <w:fldChar w:fldCharType="begin"/>
      </w:r>
      <w:r>
        <w:instrText xml:space="preserve"> HYPERLINK \l "_Toc20397" </w:instrText>
      </w:r>
      <w:r>
        <w:fldChar w:fldCharType="separate"/>
      </w:r>
      <w:r>
        <w:rPr>
          <w:rFonts w:hint="eastAsia" w:ascii="宋体" w:hAnsi="宋体" w:cs="宋体"/>
          <w:lang w:val="zh-CN"/>
        </w:rPr>
        <w:t>四、电子投标文件的上传</w:t>
      </w:r>
      <w:r>
        <w:tab/>
      </w:r>
      <w:r>
        <w:fldChar w:fldCharType="begin"/>
      </w:r>
      <w:r>
        <w:instrText xml:space="preserve"> PAGEREF _Toc20397 \h </w:instrText>
      </w:r>
      <w:r>
        <w:fldChar w:fldCharType="separate"/>
      </w:r>
      <w:r>
        <w:t>10</w:t>
      </w:r>
      <w:r>
        <w:fldChar w:fldCharType="end"/>
      </w:r>
      <w:r>
        <w:fldChar w:fldCharType="end"/>
      </w:r>
    </w:p>
    <w:p w14:paraId="01064CD1">
      <w:pPr>
        <w:pStyle w:val="228"/>
        <w:tabs>
          <w:tab w:val="right" w:leader="dot" w:pos="8306"/>
        </w:tabs>
      </w:pPr>
      <w:r>
        <w:fldChar w:fldCharType="begin"/>
      </w:r>
      <w:r>
        <w:instrText xml:space="preserve"> HYPERLINK \l "_Toc2933" </w:instrText>
      </w:r>
      <w:r>
        <w:fldChar w:fldCharType="separate"/>
      </w:r>
      <w:r>
        <w:rPr>
          <w:rFonts w:hint="eastAsia" w:ascii="宋体" w:hAnsi="宋体" w:cs="宋体"/>
          <w:szCs w:val="28"/>
          <w:lang w:val="zh-CN"/>
        </w:rPr>
        <w:t>1</w:t>
      </w:r>
      <w:r>
        <w:rPr>
          <w:rFonts w:hint="eastAsia" w:ascii="宋体" w:hAnsi="宋体" w:cs="宋体"/>
          <w:szCs w:val="28"/>
        </w:rPr>
        <w:t>2</w:t>
      </w:r>
      <w:r>
        <w:rPr>
          <w:rFonts w:hint="eastAsia" w:ascii="宋体" w:hAnsi="宋体" w:cs="宋体"/>
          <w:szCs w:val="28"/>
          <w:lang w:val="zh-CN"/>
        </w:rPr>
        <w:t>.</w:t>
      </w:r>
      <w:r>
        <w:rPr>
          <w:rFonts w:hint="eastAsia" w:ascii="宋体" w:hAnsi="宋体" w:cs="宋体"/>
          <w:lang w:val="zh-CN"/>
        </w:rPr>
        <w:t xml:space="preserve"> </w:t>
      </w:r>
      <w:r>
        <w:rPr>
          <w:rFonts w:hint="eastAsia" w:ascii="宋体" w:hAnsi="宋体" w:cs="宋体"/>
          <w:szCs w:val="28"/>
          <w:lang w:val="zh-CN"/>
        </w:rPr>
        <w:t>电子投标文件上传</w:t>
      </w:r>
      <w:r>
        <w:tab/>
      </w:r>
      <w:r>
        <w:fldChar w:fldCharType="begin"/>
      </w:r>
      <w:r>
        <w:instrText xml:space="preserve"> PAGEREF _Toc2933 \h </w:instrText>
      </w:r>
      <w:r>
        <w:fldChar w:fldCharType="separate"/>
      </w:r>
      <w:r>
        <w:t>10</w:t>
      </w:r>
      <w:r>
        <w:fldChar w:fldCharType="end"/>
      </w:r>
      <w:r>
        <w:fldChar w:fldCharType="end"/>
      </w:r>
    </w:p>
    <w:p w14:paraId="344BADD5">
      <w:pPr>
        <w:pStyle w:val="228"/>
        <w:tabs>
          <w:tab w:val="right" w:leader="dot" w:pos="8306"/>
        </w:tabs>
      </w:pPr>
      <w:r>
        <w:fldChar w:fldCharType="begin"/>
      </w:r>
      <w:r>
        <w:instrText xml:space="preserve"> HYPERLINK \l "_Toc23912" </w:instrText>
      </w:r>
      <w:r>
        <w:fldChar w:fldCharType="separate"/>
      </w:r>
      <w:r>
        <w:rPr>
          <w:rFonts w:hint="eastAsia" w:ascii="宋体" w:hAnsi="宋体" w:cs="宋体"/>
          <w:szCs w:val="28"/>
          <w:lang w:val="zh-CN"/>
        </w:rPr>
        <w:t>1</w:t>
      </w:r>
      <w:r>
        <w:rPr>
          <w:rFonts w:hint="eastAsia" w:ascii="宋体" w:hAnsi="宋体" w:cs="宋体"/>
          <w:szCs w:val="28"/>
        </w:rPr>
        <w:t>3</w:t>
      </w:r>
      <w:r>
        <w:rPr>
          <w:rFonts w:hint="eastAsia" w:ascii="宋体" w:hAnsi="宋体" w:cs="宋体"/>
          <w:szCs w:val="28"/>
          <w:lang w:val="zh-CN"/>
        </w:rPr>
        <w:t>.上传加密电子投标文件的时间、地点、方式</w:t>
      </w:r>
      <w:r>
        <w:tab/>
      </w:r>
      <w:r>
        <w:fldChar w:fldCharType="begin"/>
      </w:r>
      <w:r>
        <w:instrText xml:space="preserve"> PAGEREF _Toc23912 \h </w:instrText>
      </w:r>
      <w:r>
        <w:fldChar w:fldCharType="separate"/>
      </w:r>
      <w:r>
        <w:t>10</w:t>
      </w:r>
      <w:r>
        <w:fldChar w:fldCharType="end"/>
      </w:r>
      <w:r>
        <w:fldChar w:fldCharType="end"/>
      </w:r>
    </w:p>
    <w:p w14:paraId="5CDF1724">
      <w:pPr>
        <w:pStyle w:val="228"/>
        <w:tabs>
          <w:tab w:val="right" w:leader="dot" w:pos="8306"/>
        </w:tabs>
      </w:pPr>
      <w:r>
        <w:fldChar w:fldCharType="begin"/>
      </w:r>
      <w:r>
        <w:instrText xml:space="preserve"> HYPERLINK \l "_Toc16669" </w:instrText>
      </w:r>
      <w:r>
        <w:fldChar w:fldCharType="separate"/>
      </w:r>
      <w:r>
        <w:rPr>
          <w:rFonts w:hint="eastAsia" w:ascii="宋体" w:hAnsi="宋体" w:cs="宋体"/>
          <w:szCs w:val="28"/>
          <w:lang w:val="zh-CN"/>
        </w:rPr>
        <w:t>1</w:t>
      </w:r>
      <w:r>
        <w:rPr>
          <w:rFonts w:hint="eastAsia" w:ascii="宋体" w:hAnsi="宋体" w:cs="宋体"/>
          <w:szCs w:val="28"/>
        </w:rPr>
        <w:t>4</w:t>
      </w:r>
      <w:r>
        <w:rPr>
          <w:rFonts w:hint="eastAsia" w:ascii="宋体" w:hAnsi="宋体" w:cs="宋体"/>
          <w:szCs w:val="28"/>
          <w:lang w:val="zh-CN"/>
        </w:rPr>
        <w:t>.电子投标文件的补充、修改或者撤回</w:t>
      </w:r>
      <w:r>
        <w:tab/>
      </w:r>
      <w:r>
        <w:fldChar w:fldCharType="begin"/>
      </w:r>
      <w:r>
        <w:instrText xml:space="preserve"> PAGEREF _Toc16669 \h </w:instrText>
      </w:r>
      <w:r>
        <w:fldChar w:fldCharType="separate"/>
      </w:r>
      <w:r>
        <w:t>10</w:t>
      </w:r>
      <w:r>
        <w:fldChar w:fldCharType="end"/>
      </w:r>
      <w:r>
        <w:fldChar w:fldCharType="end"/>
      </w:r>
    </w:p>
    <w:p w14:paraId="132CB602">
      <w:pPr>
        <w:pStyle w:val="228"/>
        <w:tabs>
          <w:tab w:val="right" w:leader="dot" w:pos="8306"/>
        </w:tabs>
      </w:pPr>
      <w:r>
        <w:fldChar w:fldCharType="begin"/>
      </w:r>
      <w:r>
        <w:instrText xml:space="preserve"> HYPERLINK \l "_Toc3335" </w:instrText>
      </w:r>
      <w:r>
        <w:fldChar w:fldCharType="separate"/>
      </w:r>
      <w:r>
        <w:rPr>
          <w:rFonts w:hint="eastAsia" w:ascii="宋体" w:hAnsi="宋体" w:cs="宋体"/>
          <w:lang w:val="zh-CN"/>
        </w:rPr>
        <w:t>五、开标</w:t>
      </w:r>
      <w:r>
        <w:tab/>
      </w:r>
      <w:r>
        <w:fldChar w:fldCharType="begin"/>
      </w:r>
      <w:r>
        <w:instrText xml:space="preserve"> PAGEREF _Toc3335 \h </w:instrText>
      </w:r>
      <w:r>
        <w:fldChar w:fldCharType="separate"/>
      </w:r>
      <w:r>
        <w:t>11</w:t>
      </w:r>
      <w:r>
        <w:fldChar w:fldCharType="end"/>
      </w:r>
      <w:r>
        <w:fldChar w:fldCharType="end"/>
      </w:r>
    </w:p>
    <w:p w14:paraId="752C2E63">
      <w:pPr>
        <w:pStyle w:val="228"/>
        <w:tabs>
          <w:tab w:val="right" w:leader="dot" w:pos="8306"/>
        </w:tabs>
      </w:pPr>
      <w:r>
        <w:fldChar w:fldCharType="begin"/>
      </w:r>
      <w:r>
        <w:instrText xml:space="preserve"> HYPERLINK \l "_Toc31007" </w:instrText>
      </w:r>
      <w:r>
        <w:fldChar w:fldCharType="separate"/>
      </w:r>
      <w:r>
        <w:rPr>
          <w:rFonts w:hint="eastAsia" w:ascii="宋体" w:hAnsi="宋体" w:cs="宋体"/>
          <w:szCs w:val="28"/>
          <w:lang w:val="zh-CN"/>
        </w:rPr>
        <w:t>1</w:t>
      </w:r>
      <w:r>
        <w:rPr>
          <w:rFonts w:hint="eastAsia" w:ascii="宋体" w:hAnsi="宋体" w:cs="宋体"/>
          <w:szCs w:val="28"/>
        </w:rPr>
        <w:t>5</w:t>
      </w:r>
      <w:r>
        <w:rPr>
          <w:rFonts w:hint="eastAsia" w:ascii="宋体" w:hAnsi="宋体" w:cs="宋体"/>
          <w:szCs w:val="28"/>
          <w:lang w:val="zh-CN"/>
        </w:rPr>
        <w:t>.开标</w:t>
      </w:r>
      <w:r>
        <w:tab/>
      </w:r>
      <w:r>
        <w:fldChar w:fldCharType="begin"/>
      </w:r>
      <w:r>
        <w:instrText xml:space="preserve"> PAGEREF _Toc31007 \h </w:instrText>
      </w:r>
      <w:r>
        <w:fldChar w:fldCharType="separate"/>
      </w:r>
      <w:r>
        <w:t>11</w:t>
      </w:r>
      <w:r>
        <w:fldChar w:fldCharType="end"/>
      </w:r>
      <w:r>
        <w:fldChar w:fldCharType="end"/>
      </w:r>
    </w:p>
    <w:p w14:paraId="1E8E903B">
      <w:pPr>
        <w:pStyle w:val="228"/>
        <w:tabs>
          <w:tab w:val="right" w:leader="dot" w:pos="8306"/>
        </w:tabs>
      </w:pPr>
      <w:r>
        <w:fldChar w:fldCharType="begin"/>
      </w:r>
      <w:r>
        <w:instrText xml:space="preserve"> HYPERLINK \l "_Toc26242" </w:instrText>
      </w:r>
      <w:r>
        <w:fldChar w:fldCharType="separate"/>
      </w:r>
      <w:r>
        <w:rPr>
          <w:rFonts w:hint="eastAsia" w:ascii="宋体" w:hAnsi="宋体" w:cs="宋体"/>
          <w:szCs w:val="36"/>
        </w:rPr>
        <w:t>六、资格</w:t>
      </w:r>
      <w:r>
        <w:rPr>
          <w:rFonts w:hint="eastAsia" w:ascii="宋体" w:hAnsi="宋体" w:cs="宋体"/>
          <w:lang w:val="zh-CN"/>
        </w:rPr>
        <w:t>审查</w:t>
      </w:r>
      <w:r>
        <w:rPr>
          <w:rFonts w:hint="eastAsia" w:ascii="宋体" w:hAnsi="宋体" w:cs="宋体"/>
          <w:szCs w:val="36"/>
        </w:rPr>
        <w:t>程序</w:t>
      </w:r>
      <w:r>
        <w:tab/>
      </w:r>
      <w:r>
        <w:fldChar w:fldCharType="begin"/>
      </w:r>
      <w:r>
        <w:instrText xml:space="preserve"> PAGEREF _Toc26242 \h </w:instrText>
      </w:r>
      <w:r>
        <w:fldChar w:fldCharType="separate"/>
      </w:r>
      <w:r>
        <w:t>11</w:t>
      </w:r>
      <w:r>
        <w:fldChar w:fldCharType="end"/>
      </w:r>
      <w:r>
        <w:fldChar w:fldCharType="end"/>
      </w:r>
    </w:p>
    <w:p w14:paraId="207BE6A7">
      <w:pPr>
        <w:pStyle w:val="228"/>
        <w:tabs>
          <w:tab w:val="right" w:leader="dot" w:pos="8306"/>
        </w:tabs>
      </w:pPr>
      <w:r>
        <w:fldChar w:fldCharType="begin"/>
      </w:r>
      <w:r>
        <w:instrText xml:space="preserve"> HYPERLINK \l "_Toc26052" </w:instrText>
      </w:r>
      <w:r>
        <w:fldChar w:fldCharType="separate"/>
      </w:r>
      <w:r>
        <w:rPr>
          <w:rFonts w:hint="eastAsia" w:ascii="宋体" w:hAnsi="宋体" w:cs="宋体"/>
          <w:szCs w:val="28"/>
        </w:rPr>
        <w:t>16.资格审查</w:t>
      </w:r>
      <w:r>
        <w:tab/>
      </w:r>
      <w:r>
        <w:fldChar w:fldCharType="begin"/>
      </w:r>
      <w:r>
        <w:instrText xml:space="preserve"> PAGEREF _Toc26052 \h </w:instrText>
      </w:r>
      <w:r>
        <w:fldChar w:fldCharType="separate"/>
      </w:r>
      <w:r>
        <w:t>11</w:t>
      </w:r>
      <w:r>
        <w:fldChar w:fldCharType="end"/>
      </w:r>
      <w:r>
        <w:fldChar w:fldCharType="end"/>
      </w:r>
    </w:p>
    <w:p w14:paraId="45956DAA">
      <w:pPr>
        <w:pStyle w:val="228"/>
        <w:tabs>
          <w:tab w:val="right" w:leader="dot" w:pos="8306"/>
        </w:tabs>
      </w:pPr>
      <w:r>
        <w:fldChar w:fldCharType="begin"/>
      </w:r>
      <w:r>
        <w:instrText xml:space="preserve"> HYPERLINK \l "_Toc15470" </w:instrText>
      </w:r>
      <w:r>
        <w:fldChar w:fldCharType="separate"/>
      </w:r>
      <w:r>
        <w:rPr>
          <w:rFonts w:hint="eastAsia" w:ascii="宋体" w:hAnsi="宋体" w:cs="宋体"/>
          <w:lang w:val="zh-CN"/>
        </w:rPr>
        <w:t>七、评审程序及方法</w:t>
      </w:r>
      <w:r>
        <w:tab/>
      </w:r>
      <w:r>
        <w:fldChar w:fldCharType="begin"/>
      </w:r>
      <w:r>
        <w:instrText xml:space="preserve"> PAGEREF _Toc15470 \h </w:instrText>
      </w:r>
      <w:r>
        <w:fldChar w:fldCharType="separate"/>
      </w:r>
      <w:r>
        <w:t>11</w:t>
      </w:r>
      <w:r>
        <w:fldChar w:fldCharType="end"/>
      </w:r>
      <w:r>
        <w:fldChar w:fldCharType="end"/>
      </w:r>
    </w:p>
    <w:p w14:paraId="504620C9">
      <w:pPr>
        <w:pStyle w:val="228"/>
        <w:tabs>
          <w:tab w:val="right" w:leader="dot" w:pos="8306"/>
        </w:tabs>
      </w:pPr>
      <w:r>
        <w:fldChar w:fldCharType="begin"/>
      </w:r>
      <w:r>
        <w:instrText xml:space="preserve"> HYPERLINK \l "_Toc31504" </w:instrText>
      </w:r>
      <w:r>
        <w:fldChar w:fldCharType="separate"/>
      </w:r>
      <w:r>
        <w:rPr>
          <w:rFonts w:hint="eastAsia" w:ascii="宋体" w:hAnsi="宋体" w:cs="宋体"/>
          <w:szCs w:val="28"/>
          <w:lang w:val="zh-CN"/>
        </w:rPr>
        <w:t>1</w:t>
      </w:r>
      <w:r>
        <w:rPr>
          <w:rFonts w:hint="eastAsia" w:ascii="宋体" w:hAnsi="宋体" w:cs="宋体"/>
          <w:szCs w:val="28"/>
        </w:rPr>
        <w:t>7</w:t>
      </w:r>
      <w:r>
        <w:rPr>
          <w:rFonts w:hint="eastAsia" w:ascii="宋体" w:hAnsi="宋体" w:cs="宋体"/>
          <w:szCs w:val="28"/>
          <w:lang w:val="zh-CN"/>
        </w:rPr>
        <w:t>.评标委员会</w:t>
      </w:r>
      <w:r>
        <w:tab/>
      </w:r>
      <w:r>
        <w:fldChar w:fldCharType="begin"/>
      </w:r>
      <w:r>
        <w:instrText xml:space="preserve"> PAGEREF _Toc31504 \h </w:instrText>
      </w:r>
      <w:r>
        <w:fldChar w:fldCharType="separate"/>
      </w:r>
      <w:r>
        <w:t>11</w:t>
      </w:r>
      <w:r>
        <w:fldChar w:fldCharType="end"/>
      </w:r>
      <w:r>
        <w:fldChar w:fldCharType="end"/>
      </w:r>
    </w:p>
    <w:p w14:paraId="0B234A16">
      <w:pPr>
        <w:pStyle w:val="228"/>
        <w:tabs>
          <w:tab w:val="right" w:leader="dot" w:pos="8306"/>
        </w:tabs>
      </w:pPr>
      <w:r>
        <w:fldChar w:fldCharType="begin"/>
      </w:r>
      <w:r>
        <w:instrText xml:space="preserve"> HYPERLINK \l "_Toc30580" </w:instrText>
      </w:r>
      <w:r>
        <w:fldChar w:fldCharType="separate"/>
      </w:r>
      <w:r>
        <w:rPr>
          <w:rFonts w:hint="eastAsia" w:ascii="宋体" w:hAnsi="宋体" w:cs="宋体"/>
          <w:szCs w:val="28"/>
        </w:rPr>
        <w:t>18</w:t>
      </w:r>
      <w:r>
        <w:rPr>
          <w:rFonts w:hint="eastAsia" w:ascii="宋体" w:hAnsi="宋体" w:cs="宋体"/>
          <w:szCs w:val="28"/>
          <w:lang w:val="zh-CN"/>
        </w:rPr>
        <w:t>.评审工作程序</w:t>
      </w:r>
      <w:r>
        <w:tab/>
      </w:r>
      <w:r>
        <w:fldChar w:fldCharType="begin"/>
      </w:r>
      <w:r>
        <w:instrText xml:space="preserve"> PAGEREF _Toc30580 \h </w:instrText>
      </w:r>
      <w:r>
        <w:fldChar w:fldCharType="separate"/>
      </w:r>
      <w:r>
        <w:t>13</w:t>
      </w:r>
      <w:r>
        <w:fldChar w:fldCharType="end"/>
      </w:r>
      <w:r>
        <w:fldChar w:fldCharType="end"/>
      </w:r>
    </w:p>
    <w:p w14:paraId="128E01C1">
      <w:pPr>
        <w:pStyle w:val="228"/>
        <w:tabs>
          <w:tab w:val="right" w:leader="dot" w:pos="8306"/>
        </w:tabs>
      </w:pPr>
      <w:r>
        <w:fldChar w:fldCharType="begin"/>
      </w:r>
      <w:r>
        <w:instrText xml:space="preserve"> HYPERLINK \l "_Toc6366" </w:instrText>
      </w:r>
      <w:r>
        <w:fldChar w:fldCharType="separate"/>
      </w:r>
      <w:r>
        <w:rPr>
          <w:rFonts w:hint="eastAsia" w:ascii="宋体" w:hAnsi="宋体" w:cs="宋体"/>
          <w:szCs w:val="28"/>
        </w:rPr>
        <w:t>19</w:t>
      </w:r>
      <w:r>
        <w:rPr>
          <w:rFonts w:hint="eastAsia" w:ascii="宋体" w:hAnsi="宋体" w:cs="宋体"/>
          <w:szCs w:val="28"/>
          <w:lang w:val="zh-CN"/>
        </w:rPr>
        <w:t>.评审方法和标准</w:t>
      </w:r>
      <w:r>
        <w:tab/>
      </w:r>
      <w:r>
        <w:fldChar w:fldCharType="begin"/>
      </w:r>
      <w:r>
        <w:instrText xml:space="preserve"> PAGEREF _Toc6366 \h </w:instrText>
      </w:r>
      <w:r>
        <w:fldChar w:fldCharType="separate"/>
      </w:r>
      <w:r>
        <w:t>15</w:t>
      </w:r>
      <w:r>
        <w:fldChar w:fldCharType="end"/>
      </w:r>
      <w:r>
        <w:fldChar w:fldCharType="end"/>
      </w:r>
    </w:p>
    <w:p w14:paraId="30C8C57B">
      <w:pPr>
        <w:pStyle w:val="228"/>
        <w:tabs>
          <w:tab w:val="right" w:leader="dot" w:pos="8306"/>
        </w:tabs>
      </w:pPr>
      <w:r>
        <w:fldChar w:fldCharType="begin"/>
      </w:r>
      <w:r>
        <w:instrText xml:space="preserve"> HYPERLINK \l "_Toc29329" </w:instrText>
      </w:r>
      <w:r>
        <w:fldChar w:fldCharType="separate"/>
      </w:r>
      <w:r>
        <w:rPr>
          <w:rFonts w:hint="eastAsia" w:ascii="宋体" w:hAnsi="宋体" w:cs="宋体"/>
          <w:lang w:val="zh-CN"/>
        </w:rPr>
        <w:t>八、中标</w:t>
      </w:r>
      <w:r>
        <w:tab/>
      </w:r>
      <w:r>
        <w:fldChar w:fldCharType="begin"/>
      </w:r>
      <w:r>
        <w:instrText xml:space="preserve"> PAGEREF _Toc29329 \h </w:instrText>
      </w:r>
      <w:r>
        <w:fldChar w:fldCharType="separate"/>
      </w:r>
      <w:r>
        <w:t>17</w:t>
      </w:r>
      <w:r>
        <w:fldChar w:fldCharType="end"/>
      </w:r>
      <w:r>
        <w:fldChar w:fldCharType="end"/>
      </w:r>
    </w:p>
    <w:p w14:paraId="117B44B1">
      <w:pPr>
        <w:pStyle w:val="228"/>
        <w:tabs>
          <w:tab w:val="right" w:leader="dot" w:pos="8306"/>
        </w:tabs>
      </w:pPr>
      <w:r>
        <w:fldChar w:fldCharType="begin"/>
      </w:r>
      <w:r>
        <w:instrText xml:space="preserve"> HYPERLINK \l "_Toc26259" </w:instrText>
      </w:r>
      <w:r>
        <w:fldChar w:fldCharType="separate"/>
      </w:r>
      <w:r>
        <w:rPr>
          <w:rFonts w:hint="eastAsia" w:ascii="宋体" w:hAnsi="宋体" w:cs="宋体"/>
          <w:szCs w:val="28"/>
          <w:lang w:val="zh-CN"/>
        </w:rPr>
        <w:t>2</w:t>
      </w:r>
      <w:r>
        <w:rPr>
          <w:rFonts w:hint="eastAsia" w:ascii="宋体" w:hAnsi="宋体" w:cs="宋体"/>
          <w:szCs w:val="28"/>
        </w:rPr>
        <w:t>0</w:t>
      </w:r>
      <w:r>
        <w:rPr>
          <w:rFonts w:hint="eastAsia" w:ascii="宋体" w:hAnsi="宋体" w:cs="宋体"/>
          <w:szCs w:val="28"/>
          <w:lang w:val="zh-CN"/>
        </w:rPr>
        <w:t>.推荐并确定中标人</w:t>
      </w:r>
      <w:r>
        <w:tab/>
      </w:r>
      <w:r>
        <w:fldChar w:fldCharType="begin"/>
      </w:r>
      <w:r>
        <w:instrText xml:space="preserve"> PAGEREF _Toc26259 \h </w:instrText>
      </w:r>
      <w:r>
        <w:fldChar w:fldCharType="separate"/>
      </w:r>
      <w:r>
        <w:t>17</w:t>
      </w:r>
      <w:r>
        <w:fldChar w:fldCharType="end"/>
      </w:r>
      <w:r>
        <w:fldChar w:fldCharType="end"/>
      </w:r>
    </w:p>
    <w:p w14:paraId="519C18F1">
      <w:pPr>
        <w:pStyle w:val="228"/>
        <w:tabs>
          <w:tab w:val="right" w:leader="dot" w:pos="8306"/>
        </w:tabs>
      </w:pPr>
      <w:r>
        <w:fldChar w:fldCharType="begin"/>
      </w:r>
      <w:r>
        <w:instrText xml:space="preserve"> HYPERLINK \l "_Toc5742" </w:instrText>
      </w:r>
      <w:r>
        <w:fldChar w:fldCharType="separate"/>
      </w:r>
      <w:r>
        <w:rPr>
          <w:rFonts w:hint="eastAsia" w:ascii="宋体" w:hAnsi="宋体" w:cs="宋体"/>
          <w:szCs w:val="28"/>
          <w:lang w:val="zh-CN"/>
        </w:rPr>
        <w:t>2</w:t>
      </w:r>
      <w:r>
        <w:rPr>
          <w:rFonts w:hint="eastAsia" w:ascii="宋体" w:hAnsi="宋体" w:cs="宋体"/>
          <w:szCs w:val="28"/>
        </w:rPr>
        <w:t>1</w:t>
      </w:r>
      <w:r>
        <w:rPr>
          <w:rFonts w:hint="eastAsia" w:ascii="宋体" w:hAnsi="宋体" w:cs="宋体"/>
          <w:szCs w:val="28"/>
          <w:lang w:val="zh-CN"/>
        </w:rPr>
        <w:t>.中标通知</w:t>
      </w:r>
      <w:r>
        <w:tab/>
      </w:r>
      <w:r>
        <w:fldChar w:fldCharType="begin"/>
      </w:r>
      <w:r>
        <w:instrText xml:space="preserve"> PAGEREF _Toc5742 \h </w:instrText>
      </w:r>
      <w:r>
        <w:fldChar w:fldCharType="separate"/>
      </w:r>
      <w:r>
        <w:t>18</w:t>
      </w:r>
      <w:r>
        <w:fldChar w:fldCharType="end"/>
      </w:r>
      <w:r>
        <w:fldChar w:fldCharType="end"/>
      </w:r>
    </w:p>
    <w:p w14:paraId="42DE8DEC">
      <w:pPr>
        <w:pStyle w:val="228"/>
        <w:tabs>
          <w:tab w:val="right" w:leader="dot" w:pos="8306"/>
        </w:tabs>
      </w:pPr>
      <w:r>
        <w:fldChar w:fldCharType="begin"/>
      </w:r>
      <w:r>
        <w:instrText xml:space="preserve"> HYPERLINK \l "_Toc30121" </w:instrText>
      </w:r>
      <w:r>
        <w:fldChar w:fldCharType="separate"/>
      </w:r>
      <w:r>
        <w:rPr>
          <w:rFonts w:hint="eastAsia" w:ascii="宋体" w:hAnsi="宋体" w:cs="宋体"/>
          <w:lang w:val="zh-CN"/>
        </w:rPr>
        <w:t>九、授予合同</w:t>
      </w:r>
      <w:r>
        <w:tab/>
      </w:r>
      <w:r>
        <w:fldChar w:fldCharType="begin"/>
      </w:r>
      <w:r>
        <w:instrText xml:space="preserve"> PAGEREF _Toc30121 \h </w:instrText>
      </w:r>
      <w:r>
        <w:fldChar w:fldCharType="separate"/>
      </w:r>
      <w:r>
        <w:t>18</w:t>
      </w:r>
      <w:r>
        <w:fldChar w:fldCharType="end"/>
      </w:r>
      <w:r>
        <w:fldChar w:fldCharType="end"/>
      </w:r>
    </w:p>
    <w:p w14:paraId="3781969B">
      <w:pPr>
        <w:pStyle w:val="228"/>
        <w:tabs>
          <w:tab w:val="right" w:leader="dot" w:pos="8306"/>
        </w:tabs>
      </w:pPr>
      <w:r>
        <w:fldChar w:fldCharType="begin"/>
      </w:r>
      <w:r>
        <w:instrText xml:space="preserve"> HYPERLINK \l "_Toc5192" </w:instrText>
      </w:r>
      <w:r>
        <w:fldChar w:fldCharType="separate"/>
      </w:r>
      <w:r>
        <w:rPr>
          <w:rFonts w:hint="eastAsia" w:ascii="宋体" w:hAnsi="宋体" w:cs="宋体"/>
          <w:szCs w:val="28"/>
          <w:lang w:val="zh-CN"/>
        </w:rPr>
        <w:t>2</w:t>
      </w:r>
      <w:r>
        <w:rPr>
          <w:rFonts w:hint="eastAsia" w:ascii="宋体" w:hAnsi="宋体" w:cs="宋体"/>
          <w:szCs w:val="28"/>
        </w:rPr>
        <w:t>2</w:t>
      </w:r>
      <w:r>
        <w:rPr>
          <w:rFonts w:hint="eastAsia" w:ascii="宋体" w:hAnsi="宋体" w:cs="宋体"/>
          <w:szCs w:val="28"/>
          <w:lang w:val="zh-CN"/>
        </w:rPr>
        <w:t>.签订合同</w:t>
      </w:r>
      <w:r>
        <w:tab/>
      </w:r>
      <w:r>
        <w:fldChar w:fldCharType="begin"/>
      </w:r>
      <w:r>
        <w:instrText xml:space="preserve"> PAGEREF _Toc5192 \h </w:instrText>
      </w:r>
      <w:r>
        <w:fldChar w:fldCharType="separate"/>
      </w:r>
      <w:r>
        <w:t>18</w:t>
      </w:r>
      <w:r>
        <w:fldChar w:fldCharType="end"/>
      </w:r>
      <w:r>
        <w:fldChar w:fldCharType="end"/>
      </w:r>
    </w:p>
    <w:p w14:paraId="25CB028D">
      <w:pPr>
        <w:pStyle w:val="228"/>
        <w:tabs>
          <w:tab w:val="right" w:leader="dot" w:pos="8306"/>
        </w:tabs>
      </w:pPr>
      <w:r>
        <w:fldChar w:fldCharType="begin"/>
      </w:r>
      <w:r>
        <w:instrText xml:space="preserve"> HYPERLINK \l "_Toc10599" </w:instrText>
      </w:r>
      <w:r>
        <w:fldChar w:fldCharType="separate"/>
      </w:r>
      <w:r>
        <w:rPr>
          <w:rFonts w:hint="eastAsia" w:ascii="宋体" w:hAnsi="宋体" w:cs="宋体"/>
          <w:lang w:val="zh-CN"/>
        </w:rPr>
        <w:t>十、其他</w:t>
      </w:r>
      <w:r>
        <w:tab/>
      </w:r>
      <w:r>
        <w:fldChar w:fldCharType="begin"/>
      </w:r>
      <w:r>
        <w:instrText xml:space="preserve"> PAGEREF _Toc10599 \h </w:instrText>
      </w:r>
      <w:r>
        <w:fldChar w:fldCharType="separate"/>
      </w:r>
      <w:r>
        <w:t>19</w:t>
      </w:r>
      <w:r>
        <w:fldChar w:fldCharType="end"/>
      </w:r>
      <w:r>
        <w:fldChar w:fldCharType="end"/>
      </w:r>
    </w:p>
    <w:p w14:paraId="2A6EA60D">
      <w:pPr>
        <w:pStyle w:val="228"/>
        <w:tabs>
          <w:tab w:val="right" w:leader="dot" w:pos="8306"/>
        </w:tabs>
      </w:pPr>
      <w:r>
        <w:fldChar w:fldCharType="begin"/>
      </w:r>
      <w:r>
        <w:instrText xml:space="preserve"> HYPERLINK \l "_Toc25921" </w:instrText>
      </w:r>
      <w:r>
        <w:fldChar w:fldCharType="separate"/>
      </w:r>
      <w:r>
        <w:rPr>
          <w:rFonts w:hint="eastAsia" w:ascii="宋体" w:hAnsi="宋体" w:cs="宋体"/>
          <w:szCs w:val="28"/>
        </w:rPr>
        <w:t>23. 串通投标的情形</w:t>
      </w:r>
      <w:r>
        <w:tab/>
      </w:r>
      <w:r>
        <w:fldChar w:fldCharType="begin"/>
      </w:r>
      <w:r>
        <w:instrText xml:space="preserve"> PAGEREF _Toc25921 \h </w:instrText>
      </w:r>
      <w:r>
        <w:fldChar w:fldCharType="separate"/>
      </w:r>
      <w:r>
        <w:t>19</w:t>
      </w:r>
      <w:r>
        <w:fldChar w:fldCharType="end"/>
      </w:r>
      <w:r>
        <w:fldChar w:fldCharType="end"/>
      </w:r>
    </w:p>
    <w:p w14:paraId="3A79422A">
      <w:pPr>
        <w:pStyle w:val="228"/>
        <w:tabs>
          <w:tab w:val="right" w:leader="dot" w:pos="8306"/>
        </w:tabs>
      </w:pPr>
      <w:r>
        <w:fldChar w:fldCharType="begin"/>
      </w:r>
      <w:r>
        <w:instrText xml:space="preserve"> HYPERLINK \l "_Toc5503" </w:instrText>
      </w:r>
      <w:r>
        <w:fldChar w:fldCharType="separate"/>
      </w:r>
      <w:r>
        <w:rPr>
          <w:rFonts w:hint="eastAsia" w:ascii="宋体" w:hAnsi="宋体" w:cs="宋体"/>
          <w:szCs w:val="28"/>
        </w:rPr>
        <w:t>24. 废标</w:t>
      </w:r>
      <w:r>
        <w:tab/>
      </w:r>
      <w:r>
        <w:fldChar w:fldCharType="begin"/>
      </w:r>
      <w:r>
        <w:instrText xml:space="preserve"> PAGEREF _Toc5503 \h </w:instrText>
      </w:r>
      <w:r>
        <w:fldChar w:fldCharType="separate"/>
      </w:r>
      <w:r>
        <w:t>19</w:t>
      </w:r>
      <w:r>
        <w:fldChar w:fldCharType="end"/>
      </w:r>
      <w:r>
        <w:fldChar w:fldCharType="end"/>
      </w:r>
    </w:p>
    <w:p w14:paraId="65EB7880">
      <w:pPr>
        <w:pStyle w:val="228"/>
        <w:tabs>
          <w:tab w:val="right" w:leader="dot" w:pos="8306"/>
        </w:tabs>
      </w:pPr>
      <w:r>
        <w:fldChar w:fldCharType="begin"/>
      </w:r>
      <w:r>
        <w:instrText xml:space="preserve"> HYPERLINK \l "_Toc6418" </w:instrText>
      </w:r>
      <w:r>
        <w:fldChar w:fldCharType="separate"/>
      </w:r>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刚察县政府采购项目合同书范本</w:t>
      </w:r>
      <w:r>
        <w:tab/>
      </w:r>
      <w:r>
        <w:fldChar w:fldCharType="begin"/>
      </w:r>
      <w:r>
        <w:instrText xml:space="preserve"> PAGEREF _Toc6418 \h </w:instrText>
      </w:r>
      <w:r>
        <w:fldChar w:fldCharType="separate"/>
      </w:r>
      <w:r>
        <w:t>21</w:t>
      </w:r>
      <w:r>
        <w:fldChar w:fldCharType="end"/>
      </w:r>
      <w:r>
        <w:fldChar w:fldCharType="end"/>
      </w:r>
    </w:p>
    <w:p w14:paraId="7E9CD751">
      <w:pPr>
        <w:pStyle w:val="228"/>
        <w:tabs>
          <w:tab w:val="right" w:leader="dot" w:pos="8306"/>
        </w:tabs>
      </w:pPr>
      <w:r>
        <w:fldChar w:fldCharType="begin"/>
      </w:r>
      <w:r>
        <w:instrText xml:space="preserve"> HYPERLINK \l "_Toc6005" </w:instrText>
      </w:r>
      <w:r>
        <w:fldChar w:fldCharType="separate"/>
      </w:r>
      <w:r>
        <w:rPr>
          <w:rFonts w:hint="eastAsia" w:ascii="宋体" w:hAnsi="宋体" w:cs="宋体"/>
          <w:szCs w:val="36"/>
          <w:lang w:val="zh-CN"/>
        </w:rPr>
        <w:t>第四部分 投标文件格式</w:t>
      </w:r>
      <w:r>
        <w:tab/>
      </w:r>
      <w:r>
        <w:fldChar w:fldCharType="begin"/>
      </w:r>
      <w:r>
        <w:instrText xml:space="preserve"> PAGEREF _Toc6005 \h </w:instrText>
      </w:r>
      <w:r>
        <w:fldChar w:fldCharType="separate"/>
      </w:r>
      <w:r>
        <w:t>34</w:t>
      </w:r>
      <w:r>
        <w:fldChar w:fldCharType="end"/>
      </w:r>
      <w:r>
        <w:fldChar w:fldCharType="end"/>
      </w:r>
    </w:p>
    <w:p w14:paraId="436EB785">
      <w:pPr>
        <w:pStyle w:val="228"/>
        <w:tabs>
          <w:tab w:val="right" w:leader="dot" w:pos="8306"/>
        </w:tabs>
      </w:pPr>
      <w:r>
        <w:fldChar w:fldCharType="begin"/>
      </w:r>
      <w:r>
        <w:instrText xml:space="preserve"> HYPERLINK \l "_Toc32159" </w:instrText>
      </w:r>
      <w:r>
        <w:fldChar w:fldCharType="separate"/>
      </w:r>
      <w:r>
        <w:rPr>
          <w:rFonts w:hint="eastAsia" w:ascii="宋体" w:hAnsi="宋体" w:cs="宋体"/>
          <w:szCs w:val="30"/>
          <w:lang w:val="zh-CN"/>
        </w:rPr>
        <w:t>封面（上册）</w:t>
      </w:r>
      <w:r>
        <w:tab/>
      </w:r>
      <w:r>
        <w:fldChar w:fldCharType="begin"/>
      </w:r>
      <w:r>
        <w:instrText xml:space="preserve"> PAGEREF _Toc32159 \h </w:instrText>
      </w:r>
      <w:r>
        <w:fldChar w:fldCharType="separate"/>
      </w:r>
      <w:r>
        <w:t>34</w:t>
      </w:r>
      <w:r>
        <w:fldChar w:fldCharType="end"/>
      </w:r>
      <w:r>
        <w:fldChar w:fldCharType="end"/>
      </w:r>
    </w:p>
    <w:p w14:paraId="76C04A0C">
      <w:pPr>
        <w:pStyle w:val="228"/>
        <w:tabs>
          <w:tab w:val="right" w:leader="dot" w:pos="8306"/>
        </w:tabs>
      </w:pPr>
      <w:r>
        <w:fldChar w:fldCharType="begin"/>
      </w:r>
      <w:r>
        <w:instrText xml:space="preserve"> HYPERLINK \l "_Toc20930" </w:instrText>
      </w:r>
      <w:r>
        <w:fldChar w:fldCharType="separate"/>
      </w:r>
      <w:r>
        <w:rPr>
          <w:rFonts w:hint="eastAsia" w:ascii="宋体" w:hAnsi="宋体" w:cs="宋体"/>
          <w:szCs w:val="30"/>
          <w:lang w:val="zh-CN"/>
        </w:rPr>
        <w:t>目录（上册）</w:t>
      </w:r>
      <w:r>
        <w:tab/>
      </w:r>
      <w:r>
        <w:fldChar w:fldCharType="begin"/>
      </w:r>
      <w:r>
        <w:instrText xml:space="preserve"> PAGEREF _Toc20930 \h </w:instrText>
      </w:r>
      <w:r>
        <w:fldChar w:fldCharType="separate"/>
      </w:r>
      <w:r>
        <w:t>35</w:t>
      </w:r>
      <w:r>
        <w:fldChar w:fldCharType="end"/>
      </w:r>
      <w:r>
        <w:fldChar w:fldCharType="end"/>
      </w:r>
    </w:p>
    <w:p w14:paraId="55C03F2C">
      <w:pPr>
        <w:pStyle w:val="228"/>
        <w:tabs>
          <w:tab w:val="right" w:leader="dot" w:pos="8306"/>
        </w:tabs>
      </w:pPr>
      <w:r>
        <w:fldChar w:fldCharType="begin"/>
      </w:r>
      <w:r>
        <w:instrText xml:space="preserve"> HYPERLINK \l "_Toc3426" </w:instrText>
      </w:r>
      <w:r>
        <w:fldChar w:fldCharType="separate"/>
      </w:r>
      <w:r>
        <w:rPr>
          <w:rFonts w:hint="eastAsia" w:ascii="宋体" w:hAnsi="宋体" w:cs="宋体"/>
          <w:szCs w:val="30"/>
        </w:rPr>
        <w:t>（1）</w:t>
      </w:r>
      <w:r>
        <w:rPr>
          <w:rFonts w:hint="eastAsia" w:ascii="宋体" w:hAnsi="宋体" w:cs="宋体"/>
          <w:szCs w:val="30"/>
          <w:lang w:val="zh-CN"/>
        </w:rPr>
        <w:t>投标函</w:t>
      </w:r>
      <w:r>
        <w:tab/>
      </w:r>
      <w:r>
        <w:fldChar w:fldCharType="begin"/>
      </w:r>
      <w:r>
        <w:instrText xml:space="preserve"> PAGEREF _Toc3426 \h </w:instrText>
      </w:r>
      <w:r>
        <w:fldChar w:fldCharType="separate"/>
      </w:r>
      <w:r>
        <w:t>36</w:t>
      </w:r>
      <w:r>
        <w:fldChar w:fldCharType="end"/>
      </w:r>
      <w:r>
        <w:fldChar w:fldCharType="end"/>
      </w:r>
    </w:p>
    <w:p w14:paraId="322BB15D">
      <w:pPr>
        <w:pStyle w:val="228"/>
        <w:tabs>
          <w:tab w:val="right" w:leader="dot" w:pos="8306"/>
        </w:tabs>
      </w:pPr>
      <w:r>
        <w:fldChar w:fldCharType="begin"/>
      </w:r>
      <w:r>
        <w:instrText xml:space="preserve"> HYPERLINK \l "_Toc3733" </w:instrText>
      </w:r>
      <w:r>
        <w:fldChar w:fldCharType="separate"/>
      </w:r>
      <w:r>
        <w:rPr>
          <w:rFonts w:hint="eastAsia" w:ascii="宋体" w:hAnsi="宋体" w:cs="宋体"/>
          <w:szCs w:val="30"/>
          <w:lang w:val="zh-CN"/>
        </w:rPr>
        <w:t>（</w:t>
      </w:r>
      <w:r>
        <w:rPr>
          <w:rFonts w:hint="eastAsia" w:ascii="宋体" w:hAnsi="宋体" w:cs="宋体"/>
          <w:szCs w:val="30"/>
        </w:rPr>
        <w:t>2</w:t>
      </w:r>
      <w:r>
        <w:rPr>
          <w:rFonts w:hint="eastAsia" w:ascii="宋体" w:hAnsi="宋体" w:cs="宋体"/>
          <w:szCs w:val="30"/>
          <w:lang w:val="zh-CN"/>
        </w:rPr>
        <w:t>）</w:t>
      </w:r>
      <w:r>
        <w:rPr>
          <w:rFonts w:hint="eastAsia" w:ascii="宋体" w:hAnsi="宋体" w:cs="宋体"/>
          <w:szCs w:val="30"/>
        </w:rPr>
        <w:t>法定代表人证明书</w:t>
      </w:r>
      <w:r>
        <w:tab/>
      </w:r>
      <w:r>
        <w:fldChar w:fldCharType="begin"/>
      </w:r>
      <w:r>
        <w:instrText xml:space="preserve"> PAGEREF _Toc3733 \h </w:instrText>
      </w:r>
      <w:r>
        <w:fldChar w:fldCharType="separate"/>
      </w:r>
      <w:r>
        <w:t>37</w:t>
      </w:r>
      <w:r>
        <w:fldChar w:fldCharType="end"/>
      </w:r>
      <w:r>
        <w:fldChar w:fldCharType="end"/>
      </w:r>
    </w:p>
    <w:p w14:paraId="3EFFADE9">
      <w:pPr>
        <w:pStyle w:val="228"/>
        <w:tabs>
          <w:tab w:val="right" w:leader="dot" w:pos="8306"/>
        </w:tabs>
      </w:pPr>
      <w:r>
        <w:fldChar w:fldCharType="begin"/>
      </w:r>
      <w:r>
        <w:instrText xml:space="preserve"> HYPERLINK \l "_Toc6704" </w:instrText>
      </w:r>
      <w:r>
        <w:fldChar w:fldCharType="separate"/>
      </w:r>
      <w:r>
        <w:rPr>
          <w:rFonts w:hint="eastAsia" w:ascii="宋体" w:hAnsi="宋体" w:cs="宋体"/>
          <w:szCs w:val="30"/>
        </w:rPr>
        <w:t>（3）</w:t>
      </w:r>
      <w:r>
        <w:rPr>
          <w:rFonts w:hint="eastAsia" w:ascii="宋体" w:hAnsi="宋体" w:cs="宋体"/>
          <w:szCs w:val="30"/>
          <w:lang w:val="zh-CN"/>
        </w:rPr>
        <w:t>法定代表人授权书</w:t>
      </w:r>
      <w:r>
        <w:tab/>
      </w:r>
      <w:r>
        <w:fldChar w:fldCharType="begin"/>
      </w:r>
      <w:r>
        <w:instrText xml:space="preserve"> PAGEREF _Toc6704 \h </w:instrText>
      </w:r>
      <w:r>
        <w:fldChar w:fldCharType="separate"/>
      </w:r>
      <w:r>
        <w:t>38</w:t>
      </w:r>
      <w:r>
        <w:fldChar w:fldCharType="end"/>
      </w:r>
      <w:r>
        <w:fldChar w:fldCharType="end"/>
      </w:r>
    </w:p>
    <w:p w14:paraId="1BA8777A">
      <w:pPr>
        <w:pStyle w:val="228"/>
        <w:tabs>
          <w:tab w:val="right" w:leader="dot" w:pos="8306"/>
        </w:tabs>
      </w:pPr>
      <w:r>
        <w:fldChar w:fldCharType="begin"/>
      </w:r>
      <w:r>
        <w:instrText xml:space="preserve"> HYPERLINK \l "_Toc1909" </w:instrText>
      </w:r>
      <w:r>
        <w:fldChar w:fldCharType="separate"/>
      </w:r>
      <w:r>
        <w:rPr>
          <w:rFonts w:hint="eastAsia" w:ascii="宋体" w:hAnsi="宋体" w:cs="宋体"/>
          <w:szCs w:val="30"/>
        </w:rPr>
        <w:t>（4）</w:t>
      </w:r>
      <w:r>
        <w:rPr>
          <w:rFonts w:hint="eastAsia" w:ascii="宋体" w:hAnsi="宋体" w:cs="宋体"/>
          <w:szCs w:val="30"/>
          <w:lang w:val="zh-CN"/>
        </w:rPr>
        <w:t>投标人承诺函</w:t>
      </w:r>
      <w:r>
        <w:tab/>
      </w:r>
      <w:r>
        <w:fldChar w:fldCharType="begin"/>
      </w:r>
      <w:r>
        <w:instrText xml:space="preserve"> PAGEREF _Toc1909 \h </w:instrText>
      </w:r>
      <w:r>
        <w:fldChar w:fldCharType="separate"/>
      </w:r>
      <w:r>
        <w:t>39</w:t>
      </w:r>
      <w:r>
        <w:fldChar w:fldCharType="end"/>
      </w:r>
      <w:r>
        <w:fldChar w:fldCharType="end"/>
      </w:r>
    </w:p>
    <w:p w14:paraId="62F3FC31">
      <w:pPr>
        <w:pStyle w:val="228"/>
        <w:tabs>
          <w:tab w:val="right" w:leader="dot" w:pos="8306"/>
        </w:tabs>
      </w:pPr>
      <w:r>
        <w:fldChar w:fldCharType="begin"/>
      </w:r>
      <w:r>
        <w:instrText xml:space="preserve"> HYPERLINK \l "_Toc5719" </w:instrText>
      </w:r>
      <w:r>
        <w:fldChar w:fldCharType="separate"/>
      </w:r>
      <w:r>
        <w:rPr>
          <w:rFonts w:hint="eastAsia" w:ascii="宋体" w:hAnsi="宋体" w:cs="宋体"/>
          <w:szCs w:val="30"/>
        </w:rPr>
        <w:t>（5）</w:t>
      </w:r>
      <w:r>
        <w:rPr>
          <w:rFonts w:hint="eastAsia" w:ascii="宋体" w:hAnsi="宋体" w:cs="宋体"/>
          <w:szCs w:val="30"/>
          <w:lang w:val="zh-CN"/>
        </w:rPr>
        <w:t>投标人诚信承诺书</w:t>
      </w:r>
      <w:r>
        <w:tab/>
      </w:r>
      <w:r>
        <w:fldChar w:fldCharType="begin"/>
      </w:r>
      <w:r>
        <w:instrText xml:space="preserve"> PAGEREF _Toc5719 \h </w:instrText>
      </w:r>
      <w:r>
        <w:fldChar w:fldCharType="separate"/>
      </w:r>
      <w:r>
        <w:t>40</w:t>
      </w:r>
      <w:r>
        <w:fldChar w:fldCharType="end"/>
      </w:r>
      <w:r>
        <w:fldChar w:fldCharType="end"/>
      </w:r>
    </w:p>
    <w:p w14:paraId="48AA22F5">
      <w:pPr>
        <w:pStyle w:val="228"/>
        <w:tabs>
          <w:tab w:val="right" w:leader="dot" w:pos="8306"/>
        </w:tabs>
      </w:pPr>
      <w:r>
        <w:fldChar w:fldCharType="begin"/>
      </w:r>
      <w:r>
        <w:instrText xml:space="preserve"> HYPERLINK \l "_Toc4302" </w:instrText>
      </w:r>
      <w:r>
        <w:fldChar w:fldCharType="separate"/>
      </w:r>
      <w:r>
        <w:rPr>
          <w:rFonts w:hint="eastAsia" w:ascii="宋体" w:hAnsi="宋体" w:cs="宋体"/>
          <w:szCs w:val="30"/>
        </w:rPr>
        <w:t>（6）</w:t>
      </w:r>
      <w:r>
        <w:rPr>
          <w:rFonts w:hint="eastAsia" w:ascii="宋体" w:hAnsi="宋体" w:cs="宋体"/>
          <w:szCs w:val="30"/>
          <w:lang w:val="zh-CN"/>
        </w:rPr>
        <w:t>资格证明材料</w:t>
      </w:r>
      <w:r>
        <w:tab/>
      </w:r>
      <w:r>
        <w:fldChar w:fldCharType="begin"/>
      </w:r>
      <w:r>
        <w:instrText xml:space="preserve"> PAGEREF _Toc4302 \h </w:instrText>
      </w:r>
      <w:r>
        <w:fldChar w:fldCharType="separate"/>
      </w:r>
      <w:r>
        <w:t>41</w:t>
      </w:r>
      <w:r>
        <w:fldChar w:fldCharType="end"/>
      </w:r>
      <w:r>
        <w:fldChar w:fldCharType="end"/>
      </w:r>
    </w:p>
    <w:p w14:paraId="5711BD17">
      <w:pPr>
        <w:pStyle w:val="228"/>
        <w:tabs>
          <w:tab w:val="right" w:leader="dot" w:pos="8306"/>
        </w:tabs>
      </w:pPr>
      <w:r>
        <w:fldChar w:fldCharType="begin"/>
      </w:r>
      <w:r>
        <w:instrText xml:space="preserve"> HYPERLINK \l "_Toc27267" </w:instrText>
      </w:r>
      <w:r>
        <w:fldChar w:fldCharType="separate"/>
      </w:r>
      <w:r>
        <w:rPr>
          <w:rFonts w:hint="eastAsia" w:ascii="宋体" w:hAnsi="宋体" w:cs="宋体"/>
          <w:szCs w:val="30"/>
        </w:rPr>
        <w:t>（7）</w:t>
      </w:r>
      <w:r>
        <w:rPr>
          <w:rFonts w:hint="eastAsia" w:ascii="宋体" w:hAnsi="宋体" w:cs="宋体"/>
          <w:szCs w:val="30"/>
          <w:lang w:val="zh-CN"/>
        </w:rPr>
        <w:t>财务状况报告，依法缴纳税收和社会保障资金的相关材料</w:t>
      </w:r>
      <w:r>
        <w:tab/>
      </w:r>
      <w:r>
        <w:fldChar w:fldCharType="begin"/>
      </w:r>
      <w:r>
        <w:instrText xml:space="preserve"> PAGEREF _Toc27267 \h </w:instrText>
      </w:r>
      <w:r>
        <w:fldChar w:fldCharType="separate"/>
      </w:r>
      <w:r>
        <w:t>42</w:t>
      </w:r>
      <w:r>
        <w:fldChar w:fldCharType="end"/>
      </w:r>
      <w:r>
        <w:fldChar w:fldCharType="end"/>
      </w:r>
    </w:p>
    <w:p w14:paraId="67FC1FFE">
      <w:pPr>
        <w:pStyle w:val="228"/>
        <w:tabs>
          <w:tab w:val="right" w:leader="dot" w:pos="8306"/>
        </w:tabs>
      </w:pPr>
      <w:r>
        <w:fldChar w:fldCharType="begin"/>
      </w:r>
      <w:r>
        <w:instrText xml:space="preserve"> HYPERLINK \l "_Toc1735" </w:instrText>
      </w:r>
      <w:r>
        <w:fldChar w:fldCharType="separate"/>
      </w:r>
      <w:r>
        <w:rPr>
          <w:rFonts w:hint="eastAsia" w:ascii="宋体" w:hAnsi="宋体" w:cs="宋体"/>
          <w:szCs w:val="30"/>
        </w:rPr>
        <w:t>（8）</w:t>
      </w:r>
      <w:r>
        <w:rPr>
          <w:rFonts w:hint="eastAsia" w:ascii="宋体" w:hAnsi="宋体" w:cs="宋体"/>
          <w:szCs w:val="30"/>
          <w:lang w:val="zh-CN"/>
        </w:rPr>
        <w:t>具备履行合同所必需的设备和专业技术能力的证明材料</w:t>
      </w:r>
      <w:r>
        <w:tab/>
      </w:r>
      <w:r>
        <w:fldChar w:fldCharType="begin"/>
      </w:r>
      <w:r>
        <w:instrText xml:space="preserve"> PAGEREF _Toc1735 \h </w:instrText>
      </w:r>
      <w:r>
        <w:fldChar w:fldCharType="separate"/>
      </w:r>
      <w:r>
        <w:t>43</w:t>
      </w:r>
      <w:r>
        <w:fldChar w:fldCharType="end"/>
      </w:r>
      <w:r>
        <w:fldChar w:fldCharType="end"/>
      </w:r>
    </w:p>
    <w:p w14:paraId="2A56CCC6">
      <w:pPr>
        <w:pStyle w:val="228"/>
        <w:tabs>
          <w:tab w:val="right" w:leader="dot" w:pos="8306"/>
        </w:tabs>
      </w:pPr>
      <w:r>
        <w:fldChar w:fldCharType="begin"/>
      </w:r>
      <w:r>
        <w:instrText xml:space="preserve"> HYPERLINK \l "_Toc26560" </w:instrText>
      </w:r>
      <w:r>
        <w:fldChar w:fldCharType="separate"/>
      </w:r>
      <w:r>
        <w:rPr>
          <w:rFonts w:hint="eastAsia" w:ascii="宋体" w:hAnsi="宋体" w:cs="宋体"/>
          <w:szCs w:val="30"/>
        </w:rPr>
        <w:t>（9）</w:t>
      </w:r>
      <w:r>
        <w:rPr>
          <w:rFonts w:hint="eastAsia" w:ascii="宋体" w:hAnsi="宋体" w:cs="宋体"/>
          <w:szCs w:val="30"/>
          <w:lang w:val="zh-CN"/>
        </w:rPr>
        <w:t>无重大违法记录声明</w:t>
      </w:r>
      <w:r>
        <w:tab/>
      </w:r>
      <w:r>
        <w:fldChar w:fldCharType="begin"/>
      </w:r>
      <w:r>
        <w:instrText xml:space="preserve"> PAGEREF _Toc26560 \h </w:instrText>
      </w:r>
      <w:r>
        <w:fldChar w:fldCharType="separate"/>
      </w:r>
      <w:r>
        <w:t>44</w:t>
      </w:r>
      <w:r>
        <w:fldChar w:fldCharType="end"/>
      </w:r>
      <w:r>
        <w:fldChar w:fldCharType="end"/>
      </w:r>
    </w:p>
    <w:p w14:paraId="6190186A">
      <w:pPr>
        <w:pStyle w:val="228"/>
        <w:tabs>
          <w:tab w:val="right" w:leader="dot" w:pos="8306"/>
        </w:tabs>
      </w:pPr>
      <w:r>
        <w:fldChar w:fldCharType="begin"/>
      </w:r>
      <w:r>
        <w:instrText xml:space="preserve"> HYPERLINK \l "_Toc19897" </w:instrText>
      </w:r>
      <w:r>
        <w:fldChar w:fldCharType="separate"/>
      </w:r>
      <w:r>
        <w:rPr>
          <w:rFonts w:hint="eastAsia" w:ascii="宋体" w:hAnsi="宋体" w:cs="宋体"/>
          <w:szCs w:val="30"/>
          <w:lang w:val="zh-CN"/>
        </w:rPr>
        <w:t>目录（下册）</w:t>
      </w:r>
      <w:r>
        <w:tab/>
      </w:r>
      <w:r>
        <w:fldChar w:fldCharType="begin"/>
      </w:r>
      <w:r>
        <w:instrText xml:space="preserve"> PAGEREF _Toc19897 \h </w:instrText>
      </w:r>
      <w:r>
        <w:fldChar w:fldCharType="separate"/>
      </w:r>
      <w:r>
        <w:t>46</w:t>
      </w:r>
      <w:r>
        <w:fldChar w:fldCharType="end"/>
      </w:r>
      <w:r>
        <w:fldChar w:fldCharType="end"/>
      </w:r>
    </w:p>
    <w:p w14:paraId="4CCAAA2F">
      <w:pPr>
        <w:pStyle w:val="228"/>
        <w:tabs>
          <w:tab w:val="right" w:leader="dot" w:pos="8306"/>
        </w:tabs>
      </w:pPr>
      <w:r>
        <w:fldChar w:fldCharType="begin"/>
      </w:r>
      <w:r>
        <w:instrText xml:space="preserve"> HYPERLINK \l "_Toc17049" </w:instrText>
      </w:r>
      <w:r>
        <w:fldChar w:fldCharType="separate"/>
      </w:r>
      <w:r>
        <w:rPr>
          <w:rFonts w:hint="eastAsia" w:ascii="宋体" w:hAnsi="宋体" w:cs="宋体"/>
          <w:szCs w:val="30"/>
        </w:rPr>
        <w:t>（10）</w:t>
      </w:r>
      <w:r>
        <w:rPr>
          <w:rFonts w:hint="eastAsia" w:ascii="宋体" w:hAnsi="宋体" w:cs="宋体"/>
          <w:szCs w:val="30"/>
          <w:lang w:val="zh-CN"/>
        </w:rPr>
        <w:t>评分对照表</w:t>
      </w:r>
      <w:r>
        <w:tab/>
      </w:r>
      <w:r>
        <w:fldChar w:fldCharType="begin"/>
      </w:r>
      <w:r>
        <w:instrText xml:space="preserve"> PAGEREF _Toc17049 \h </w:instrText>
      </w:r>
      <w:r>
        <w:fldChar w:fldCharType="separate"/>
      </w:r>
      <w:r>
        <w:t>47</w:t>
      </w:r>
      <w:r>
        <w:fldChar w:fldCharType="end"/>
      </w:r>
      <w:r>
        <w:fldChar w:fldCharType="end"/>
      </w:r>
    </w:p>
    <w:p w14:paraId="4E67A417">
      <w:pPr>
        <w:pStyle w:val="228"/>
        <w:tabs>
          <w:tab w:val="right" w:leader="dot" w:pos="8306"/>
        </w:tabs>
      </w:pPr>
      <w:r>
        <w:fldChar w:fldCharType="begin"/>
      </w:r>
      <w:r>
        <w:instrText xml:space="preserve"> HYPERLINK \l "_Toc27463" </w:instrText>
      </w:r>
      <w:r>
        <w:fldChar w:fldCharType="separate"/>
      </w:r>
      <w:r>
        <w:rPr>
          <w:rFonts w:hint="eastAsia" w:ascii="宋体" w:hAnsi="宋体" w:cs="宋体"/>
          <w:szCs w:val="30"/>
        </w:rPr>
        <w:t>（11）</w:t>
      </w:r>
      <w:r>
        <w:rPr>
          <w:rFonts w:hint="eastAsia" w:ascii="宋体" w:hAnsi="宋体" w:cs="宋体"/>
          <w:szCs w:val="30"/>
          <w:lang w:val="zh-CN"/>
        </w:rPr>
        <w:t>开标一览表（报价表）</w:t>
      </w:r>
      <w:r>
        <w:tab/>
      </w:r>
      <w:r>
        <w:fldChar w:fldCharType="begin"/>
      </w:r>
      <w:r>
        <w:instrText xml:space="preserve"> PAGEREF _Toc27463 \h </w:instrText>
      </w:r>
      <w:r>
        <w:fldChar w:fldCharType="separate"/>
      </w:r>
      <w:r>
        <w:t>47</w:t>
      </w:r>
      <w:r>
        <w:fldChar w:fldCharType="end"/>
      </w:r>
      <w:r>
        <w:fldChar w:fldCharType="end"/>
      </w:r>
    </w:p>
    <w:p w14:paraId="7774AD0B">
      <w:pPr>
        <w:pStyle w:val="228"/>
        <w:tabs>
          <w:tab w:val="right" w:leader="dot" w:pos="8306"/>
        </w:tabs>
      </w:pPr>
      <w:r>
        <w:fldChar w:fldCharType="begin"/>
      </w:r>
      <w:r>
        <w:instrText xml:space="preserve"> HYPERLINK \l "_Toc10305" </w:instrText>
      </w:r>
      <w:r>
        <w:fldChar w:fldCharType="separate"/>
      </w:r>
      <w:r>
        <w:rPr>
          <w:rFonts w:hint="eastAsia" w:ascii="宋体" w:hAnsi="宋体" w:cs="宋体"/>
          <w:szCs w:val="30"/>
        </w:rPr>
        <w:t>（12）</w:t>
      </w:r>
      <w:r>
        <w:rPr>
          <w:rFonts w:hint="eastAsia" w:ascii="宋体" w:hAnsi="宋体" w:cs="宋体"/>
          <w:szCs w:val="30"/>
          <w:lang w:val="zh-CN"/>
        </w:rPr>
        <w:t>分项报价表</w:t>
      </w:r>
      <w:r>
        <w:tab/>
      </w:r>
      <w:r>
        <w:fldChar w:fldCharType="begin"/>
      </w:r>
      <w:r>
        <w:instrText xml:space="preserve"> PAGEREF _Toc10305 \h </w:instrText>
      </w:r>
      <w:r>
        <w:fldChar w:fldCharType="separate"/>
      </w:r>
      <w:r>
        <w:t>49</w:t>
      </w:r>
      <w:r>
        <w:fldChar w:fldCharType="end"/>
      </w:r>
      <w:r>
        <w:fldChar w:fldCharType="end"/>
      </w:r>
    </w:p>
    <w:p w14:paraId="43B32935">
      <w:pPr>
        <w:pStyle w:val="228"/>
        <w:tabs>
          <w:tab w:val="right" w:leader="dot" w:pos="8306"/>
        </w:tabs>
      </w:pPr>
      <w:r>
        <w:fldChar w:fldCharType="begin"/>
      </w:r>
      <w:r>
        <w:instrText xml:space="preserve"> HYPERLINK \l "_Toc9588" </w:instrText>
      </w:r>
      <w:r>
        <w:fldChar w:fldCharType="separate"/>
      </w:r>
      <w:r>
        <w:rPr>
          <w:rFonts w:hint="eastAsia" w:ascii="宋体" w:hAnsi="宋体" w:cs="宋体"/>
          <w:szCs w:val="30"/>
        </w:rPr>
        <w:t>（13）</w:t>
      </w:r>
      <w:r>
        <w:rPr>
          <w:rFonts w:hint="eastAsia" w:ascii="宋体" w:hAnsi="宋体" w:cs="宋体"/>
          <w:szCs w:val="30"/>
          <w:lang w:val="zh-CN"/>
        </w:rPr>
        <w:t>技术规格响应表</w:t>
      </w:r>
      <w:r>
        <w:tab/>
      </w:r>
      <w:r>
        <w:fldChar w:fldCharType="begin"/>
      </w:r>
      <w:r>
        <w:instrText xml:space="preserve"> PAGEREF _Toc9588 \h </w:instrText>
      </w:r>
      <w:r>
        <w:fldChar w:fldCharType="separate"/>
      </w:r>
      <w:r>
        <w:t>50</w:t>
      </w:r>
      <w:r>
        <w:fldChar w:fldCharType="end"/>
      </w:r>
      <w:r>
        <w:fldChar w:fldCharType="end"/>
      </w:r>
    </w:p>
    <w:p w14:paraId="3D276F13">
      <w:pPr>
        <w:pStyle w:val="228"/>
        <w:tabs>
          <w:tab w:val="right" w:leader="dot" w:pos="8306"/>
        </w:tabs>
      </w:pPr>
      <w:r>
        <w:fldChar w:fldCharType="begin"/>
      </w:r>
      <w:r>
        <w:instrText xml:space="preserve"> HYPERLINK \l "_Toc17893" </w:instrText>
      </w:r>
      <w:r>
        <w:fldChar w:fldCharType="separate"/>
      </w:r>
      <w:r>
        <w:rPr>
          <w:rFonts w:hint="eastAsia" w:ascii="宋体" w:hAnsi="宋体" w:cs="宋体"/>
          <w:szCs w:val="30"/>
        </w:rPr>
        <w:t>（14）</w:t>
      </w:r>
      <w:r>
        <w:rPr>
          <w:rFonts w:hint="eastAsia" w:ascii="宋体" w:hAnsi="宋体" w:cs="宋体"/>
          <w:szCs w:val="30"/>
          <w:lang w:val="zh-CN"/>
        </w:rPr>
        <w:t>投标产品相关资料</w:t>
      </w:r>
      <w:r>
        <w:tab/>
      </w:r>
      <w:r>
        <w:fldChar w:fldCharType="begin"/>
      </w:r>
      <w:r>
        <w:instrText xml:space="preserve"> PAGEREF _Toc17893 \h </w:instrText>
      </w:r>
      <w:r>
        <w:fldChar w:fldCharType="separate"/>
      </w:r>
      <w:r>
        <w:t>51</w:t>
      </w:r>
      <w:r>
        <w:fldChar w:fldCharType="end"/>
      </w:r>
      <w:r>
        <w:fldChar w:fldCharType="end"/>
      </w:r>
    </w:p>
    <w:p w14:paraId="4204C42A">
      <w:pPr>
        <w:pStyle w:val="228"/>
        <w:tabs>
          <w:tab w:val="right" w:leader="dot" w:pos="8306"/>
        </w:tabs>
      </w:pPr>
      <w:r>
        <w:fldChar w:fldCharType="begin"/>
      </w:r>
      <w:r>
        <w:instrText xml:space="preserve"> HYPERLINK \l "_Toc16168" </w:instrText>
      </w:r>
      <w:r>
        <w:fldChar w:fldCharType="separate"/>
      </w:r>
      <w:r>
        <w:rPr>
          <w:rFonts w:hint="eastAsia" w:ascii="宋体" w:hAnsi="宋体" w:cs="宋体"/>
          <w:szCs w:val="30"/>
        </w:rPr>
        <w:t>（15）</w:t>
      </w:r>
      <w:r>
        <w:rPr>
          <w:rFonts w:hint="eastAsia" w:ascii="宋体" w:hAnsi="宋体" w:cs="宋体"/>
          <w:szCs w:val="30"/>
          <w:lang w:val="zh-CN"/>
        </w:rPr>
        <w:t>投标人的类似业绩证明材料</w:t>
      </w:r>
      <w:r>
        <w:tab/>
      </w:r>
      <w:r>
        <w:fldChar w:fldCharType="begin"/>
      </w:r>
      <w:r>
        <w:instrText xml:space="preserve"> PAGEREF _Toc16168 \h </w:instrText>
      </w:r>
      <w:r>
        <w:fldChar w:fldCharType="separate"/>
      </w:r>
      <w:r>
        <w:t>52</w:t>
      </w:r>
      <w:r>
        <w:fldChar w:fldCharType="end"/>
      </w:r>
      <w:r>
        <w:fldChar w:fldCharType="end"/>
      </w:r>
    </w:p>
    <w:p w14:paraId="2E0B907E">
      <w:pPr>
        <w:pStyle w:val="228"/>
        <w:tabs>
          <w:tab w:val="right" w:leader="dot" w:pos="8306"/>
        </w:tabs>
      </w:pPr>
      <w:r>
        <w:fldChar w:fldCharType="begin"/>
      </w:r>
      <w:r>
        <w:instrText xml:space="preserve"> HYPERLINK \l "_Toc26103" </w:instrText>
      </w:r>
      <w:r>
        <w:fldChar w:fldCharType="separate"/>
      </w:r>
      <w:r>
        <w:rPr>
          <w:rFonts w:hint="eastAsia" w:ascii="宋体" w:hAnsi="宋体" w:cs="宋体"/>
          <w:szCs w:val="30"/>
        </w:rPr>
        <w:t>（16.1）</w:t>
      </w:r>
      <w:r>
        <w:rPr>
          <w:rFonts w:hint="eastAsia" w:ascii="宋体" w:hAnsi="宋体" w:cs="宋体"/>
          <w:szCs w:val="30"/>
          <w:lang w:val="zh-CN"/>
        </w:rPr>
        <w:t>制造（生产）企业小型、微型企业声明函</w:t>
      </w:r>
      <w:r>
        <w:tab/>
      </w:r>
      <w:r>
        <w:rPr>
          <w:rFonts w:hint="eastAsia"/>
        </w:rPr>
        <w:t>5</w:t>
      </w:r>
      <w:r>
        <w:rPr>
          <w:rFonts w:hint="eastAsia"/>
        </w:rPr>
        <w:fldChar w:fldCharType="end"/>
      </w:r>
      <w:r>
        <w:rPr>
          <w:rFonts w:hint="eastAsia" w:ascii="宋体" w:hAnsi="宋体" w:cs="宋体"/>
          <w:color w:val="000000"/>
        </w:rPr>
        <w:t>3</w:t>
      </w:r>
    </w:p>
    <w:p w14:paraId="4424EDB5">
      <w:pPr>
        <w:pStyle w:val="228"/>
        <w:tabs>
          <w:tab w:val="right" w:leader="dot" w:pos="8306"/>
        </w:tabs>
      </w:pPr>
      <w:r>
        <w:fldChar w:fldCharType="begin"/>
      </w:r>
      <w:r>
        <w:instrText xml:space="preserve"> HYPERLINK \l "_Toc32594" </w:instrText>
      </w:r>
      <w:r>
        <w:fldChar w:fldCharType="separate"/>
      </w:r>
      <w:r>
        <w:rPr>
          <w:rFonts w:hint="eastAsia" w:ascii="宋体" w:hAnsi="宋体" w:cs="宋体"/>
          <w:szCs w:val="30"/>
        </w:rPr>
        <w:t>（16.2）</w:t>
      </w:r>
      <w:r>
        <w:rPr>
          <w:rFonts w:hint="eastAsia" w:ascii="宋体" w:hAnsi="宋体" w:cs="宋体"/>
          <w:szCs w:val="30"/>
          <w:lang w:val="zh-CN"/>
        </w:rPr>
        <w:t>从业人员声明函</w:t>
      </w:r>
      <w:r>
        <w:tab/>
      </w:r>
      <w:r>
        <w:rPr>
          <w:rFonts w:hint="eastAsia"/>
        </w:rPr>
        <w:t>5</w:t>
      </w:r>
      <w:r>
        <w:rPr>
          <w:rFonts w:hint="eastAsia"/>
        </w:rPr>
        <w:fldChar w:fldCharType="end"/>
      </w:r>
      <w:r>
        <w:rPr>
          <w:rFonts w:hint="eastAsia" w:ascii="宋体" w:hAnsi="宋体" w:cs="宋体"/>
          <w:color w:val="000000"/>
        </w:rPr>
        <w:t>4</w:t>
      </w:r>
    </w:p>
    <w:p w14:paraId="32BB9617">
      <w:pPr>
        <w:pStyle w:val="228"/>
        <w:tabs>
          <w:tab w:val="right" w:leader="dot" w:pos="8306"/>
        </w:tabs>
      </w:pPr>
      <w:r>
        <w:fldChar w:fldCharType="begin"/>
      </w:r>
      <w:r>
        <w:instrText xml:space="preserve"> HYPERLINK \l "_Toc17209" </w:instrText>
      </w:r>
      <w:r>
        <w:fldChar w:fldCharType="separate"/>
      </w:r>
      <w:r>
        <w:rPr>
          <w:rFonts w:hint="eastAsia" w:ascii="宋体" w:hAnsi="宋体" w:cs="宋体"/>
          <w:bCs w:val="0"/>
          <w:szCs w:val="28"/>
          <w:lang w:val="zh-CN"/>
        </w:rPr>
        <w:t>（</w:t>
      </w:r>
      <w:r>
        <w:rPr>
          <w:rFonts w:hint="eastAsia" w:ascii="宋体" w:hAnsi="宋体" w:cs="宋体"/>
          <w:bCs w:val="0"/>
          <w:szCs w:val="28"/>
        </w:rPr>
        <w:t>17</w:t>
      </w:r>
      <w:r>
        <w:rPr>
          <w:rFonts w:hint="eastAsia" w:ascii="宋体" w:hAnsi="宋体" w:cs="宋体"/>
          <w:bCs w:val="0"/>
          <w:szCs w:val="28"/>
          <w:lang w:val="zh-CN"/>
        </w:rPr>
        <w:t>）</w:t>
      </w:r>
      <w:r>
        <w:rPr>
          <w:rFonts w:hint="eastAsia" w:ascii="宋体" w:hAnsi="宋体" w:cs="宋体"/>
          <w:bCs w:val="0"/>
          <w:szCs w:val="30"/>
          <w:lang w:val="zh-CN"/>
        </w:rPr>
        <w:t>残疾人</w:t>
      </w:r>
      <w:r>
        <w:rPr>
          <w:rFonts w:hint="eastAsia" w:ascii="宋体" w:hAnsi="宋体" w:cs="宋体"/>
          <w:bCs w:val="0"/>
          <w:szCs w:val="28"/>
        </w:rPr>
        <w:t>福利性单位声明函</w:t>
      </w:r>
      <w:r>
        <w:tab/>
      </w:r>
      <w:r>
        <w:rPr>
          <w:rFonts w:hint="eastAsia"/>
        </w:rPr>
        <w:t>5</w:t>
      </w:r>
      <w:r>
        <w:rPr>
          <w:rFonts w:hint="eastAsia"/>
        </w:rPr>
        <w:fldChar w:fldCharType="end"/>
      </w:r>
      <w:r>
        <w:rPr>
          <w:rFonts w:hint="eastAsia" w:ascii="宋体" w:hAnsi="宋体" w:cs="宋体"/>
          <w:color w:val="000000"/>
        </w:rPr>
        <w:t>5</w:t>
      </w:r>
    </w:p>
    <w:p w14:paraId="3BCA6A09">
      <w:pPr>
        <w:pStyle w:val="228"/>
        <w:tabs>
          <w:tab w:val="right" w:leader="dot" w:pos="8306"/>
        </w:tabs>
      </w:pPr>
      <w:r>
        <w:fldChar w:fldCharType="begin"/>
      </w:r>
      <w:r>
        <w:instrText xml:space="preserve"> HYPERLINK \l "_Toc6798" </w:instrText>
      </w:r>
      <w:r>
        <w:fldChar w:fldCharType="separate"/>
      </w:r>
      <w:r>
        <w:rPr>
          <w:rFonts w:hint="eastAsia" w:ascii="宋体" w:hAnsi="宋体" w:cs="宋体"/>
          <w:szCs w:val="30"/>
        </w:rPr>
        <w:t>（18）</w:t>
      </w:r>
      <w:r>
        <w:rPr>
          <w:rFonts w:hint="eastAsia" w:ascii="宋体" w:hAnsi="宋体" w:cs="宋体"/>
          <w:szCs w:val="30"/>
          <w:lang w:val="zh-CN"/>
        </w:rPr>
        <w:t>投标人认为在其他方面有必要说明的事项</w:t>
      </w:r>
      <w:r>
        <w:tab/>
      </w:r>
      <w:r>
        <w:rPr>
          <w:rFonts w:hint="eastAsia"/>
        </w:rPr>
        <w:t>5</w:t>
      </w:r>
      <w:r>
        <w:rPr>
          <w:rFonts w:hint="eastAsia"/>
        </w:rPr>
        <w:fldChar w:fldCharType="end"/>
      </w:r>
      <w:r>
        <w:rPr>
          <w:rFonts w:hint="eastAsia" w:ascii="宋体" w:hAnsi="宋体" w:cs="宋体"/>
          <w:color w:val="000000"/>
        </w:rPr>
        <w:t>6</w:t>
      </w:r>
    </w:p>
    <w:p w14:paraId="0E2FCB73">
      <w:pPr>
        <w:pStyle w:val="228"/>
        <w:tabs>
          <w:tab w:val="right" w:leader="dot" w:pos="8306"/>
        </w:tabs>
      </w:pPr>
      <w:r>
        <w:fldChar w:fldCharType="begin"/>
      </w:r>
      <w:r>
        <w:instrText xml:space="preserve"> HYPERLINK \l "_Toc29349" </w:instrText>
      </w:r>
      <w:r>
        <w:fldChar w:fldCharType="separate"/>
      </w:r>
      <w:r>
        <w:rPr>
          <w:rFonts w:hint="eastAsia" w:ascii="宋体" w:hAnsi="宋体" w:cs="宋体"/>
          <w:szCs w:val="36"/>
          <w:lang w:val="zh-CN"/>
        </w:rPr>
        <w:t>第五部分 采购项目要求及技术参数</w:t>
      </w:r>
      <w:r>
        <w:tab/>
      </w:r>
      <w:r>
        <w:rPr>
          <w:rFonts w:hint="eastAsia"/>
        </w:rPr>
        <w:t>5</w:t>
      </w:r>
      <w:r>
        <w:rPr>
          <w:rFonts w:hint="eastAsia"/>
        </w:rPr>
        <w:fldChar w:fldCharType="end"/>
      </w:r>
      <w:r>
        <w:rPr>
          <w:rFonts w:hint="eastAsia" w:ascii="宋体" w:hAnsi="宋体" w:cs="宋体"/>
          <w:color w:val="000000"/>
        </w:rPr>
        <w:t>7</w:t>
      </w:r>
    </w:p>
    <w:p w14:paraId="4D5016BC">
      <w:pPr>
        <w:pStyle w:val="228"/>
        <w:tabs>
          <w:tab w:val="right" w:leader="dot" w:pos="8306"/>
        </w:tabs>
      </w:pPr>
      <w:r>
        <w:fldChar w:fldCharType="begin"/>
      </w:r>
      <w:r>
        <w:instrText xml:space="preserve"> HYPERLINK \l "_Toc14984" </w:instrText>
      </w:r>
      <w:r>
        <w:fldChar w:fldCharType="separate"/>
      </w:r>
      <w:r>
        <w:rPr>
          <w:rFonts w:hint="eastAsia" w:ascii="宋体" w:hAnsi="宋体" w:cs="宋体"/>
          <w:szCs w:val="28"/>
          <w:lang w:val="zh-CN"/>
        </w:rPr>
        <w:t>1.投标说明</w:t>
      </w:r>
      <w:r>
        <w:tab/>
      </w:r>
      <w:r>
        <w:rPr>
          <w:rFonts w:hint="eastAsia"/>
        </w:rPr>
        <w:t>5</w:t>
      </w:r>
      <w:r>
        <w:rPr>
          <w:rFonts w:hint="eastAsia"/>
        </w:rPr>
        <w:fldChar w:fldCharType="end"/>
      </w:r>
      <w:r>
        <w:rPr>
          <w:rFonts w:hint="eastAsia" w:ascii="宋体" w:hAnsi="宋体" w:cs="宋体"/>
          <w:color w:val="000000"/>
        </w:rPr>
        <w:t>7</w:t>
      </w:r>
    </w:p>
    <w:p w14:paraId="677EA9AF">
      <w:pPr>
        <w:pStyle w:val="228"/>
        <w:tabs>
          <w:tab w:val="right" w:leader="dot" w:pos="8306"/>
        </w:tabs>
      </w:pPr>
      <w:r>
        <w:fldChar w:fldCharType="begin"/>
      </w:r>
      <w:r>
        <w:instrText xml:space="preserve"> HYPERLINK \l "_Toc29463" </w:instrText>
      </w:r>
      <w:r>
        <w:fldChar w:fldCharType="separate"/>
      </w:r>
      <w:r>
        <w:rPr>
          <w:rFonts w:hint="eastAsia" w:ascii="宋体" w:hAnsi="宋体" w:cs="宋体"/>
          <w:szCs w:val="28"/>
        </w:rPr>
        <w:t>2.采购需求</w:t>
      </w:r>
      <w:r>
        <w:tab/>
      </w:r>
      <w:r>
        <w:rPr>
          <w:rFonts w:hint="eastAsia"/>
        </w:rPr>
        <w:t>5</w:t>
      </w:r>
      <w:r>
        <w:rPr>
          <w:rFonts w:hint="eastAsia"/>
        </w:rPr>
        <w:fldChar w:fldCharType="end"/>
      </w:r>
      <w:r>
        <w:rPr>
          <w:rFonts w:hint="eastAsia" w:ascii="宋体" w:hAnsi="宋体" w:cs="宋体"/>
          <w:color w:val="000000"/>
        </w:rPr>
        <w:t>8</w:t>
      </w:r>
    </w:p>
    <w:p w14:paraId="79AFA0AB">
      <w:pPr>
        <w:spacing w:line="400" w:lineRule="exact"/>
        <w:rPr>
          <w:rFonts w:ascii="宋体" w:hAnsi="宋体" w:cs="宋体"/>
          <w:color w:val="000000"/>
        </w:rPr>
      </w:pPr>
      <w:r>
        <w:rPr>
          <w:rFonts w:hint="eastAsia" w:ascii="宋体" w:hAnsi="宋体" w:cs="宋体"/>
          <w:color w:val="000000"/>
        </w:rPr>
        <w:fldChar w:fldCharType="end"/>
      </w:r>
    </w:p>
    <w:p w14:paraId="0FE358D5">
      <w:pPr>
        <w:pStyle w:val="235"/>
        <w:spacing w:before="0" w:after="0" w:line="360" w:lineRule="auto"/>
        <w:rPr>
          <w:rFonts w:ascii="宋体" w:hAnsi="宋体" w:cs="宋体"/>
          <w:color w:val="000000"/>
          <w:szCs w:val="36"/>
          <w:lang w:val="zh-CN"/>
        </w:rPr>
      </w:pPr>
      <w:r>
        <w:rPr>
          <w:rFonts w:hint="eastAsia" w:ascii="宋体" w:hAnsi="宋体" w:cs="宋体"/>
          <w:color w:val="000000"/>
        </w:rPr>
        <w:br w:type="page" w:clear="all"/>
      </w:r>
      <w:bookmarkStart w:id="0" w:name="_Toc25415"/>
      <w:r>
        <w:rPr>
          <w:rFonts w:hint="eastAsia" w:ascii="宋体" w:hAnsi="宋体" w:cs="宋体"/>
          <w:color w:val="000000"/>
          <w:szCs w:val="36"/>
          <w:lang w:val="zh-CN"/>
        </w:rPr>
        <w:t>第一部分  投标邀请</w:t>
      </w:r>
      <w:bookmarkEnd w:id="0"/>
    </w:p>
    <w:p w14:paraId="7737784A">
      <w:pPr>
        <w:jc w:val="center"/>
        <w:rPr>
          <w:sz w:val="44"/>
        </w:rPr>
      </w:pPr>
      <w:r>
        <w:rPr>
          <w:rFonts w:hint="eastAsia"/>
          <w:sz w:val="44"/>
        </w:rPr>
        <w:t>公开招标公告</w:t>
      </w:r>
    </w:p>
    <w:p w14:paraId="3F802CCC">
      <w:pPr>
        <w:rPr>
          <w:lang w:val="zh-CN"/>
        </w:rPr>
      </w:pPr>
    </w:p>
    <w:tbl>
      <w:tblPr>
        <w:tblStyle w:val="31"/>
        <w:tblW w:w="9921" w:type="dxa"/>
        <w:jc w:val="center"/>
        <w:tblLayout w:type="fixed"/>
        <w:tblCellMar>
          <w:top w:w="0" w:type="dxa"/>
          <w:left w:w="108" w:type="dxa"/>
          <w:bottom w:w="0" w:type="dxa"/>
          <w:right w:w="108" w:type="dxa"/>
        </w:tblCellMar>
      </w:tblPr>
      <w:tblGrid>
        <w:gridCol w:w="2459"/>
        <w:gridCol w:w="7462"/>
      </w:tblGrid>
      <w:tr w14:paraId="4F22D178">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D71F1D9">
            <w:pPr>
              <w:spacing w:line="360" w:lineRule="auto"/>
              <w:rPr>
                <w:rFonts w:ascii="宋体" w:hAnsi="宋体" w:cs="宋体"/>
                <w:color w:val="000000"/>
                <w:lang w:val="zh-CN"/>
              </w:rPr>
            </w:pPr>
            <w:bookmarkStart w:id="1" w:name="OLE_LINK1"/>
            <w:r>
              <w:rPr>
                <w:rFonts w:hint="eastAsia" w:ascii="宋体" w:hAnsi="宋体" w:cs="宋体"/>
                <w:color w:val="000000"/>
                <w:lang w:val="zh-CN"/>
              </w:rPr>
              <w:t>采购项目编号</w:t>
            </w:r>
          </w:p>
        </w:tc>
        <w:tc>
          <w:tcPr>
            <w:tcW w:w="7462" w:type="dxa"/>
            <w:tcBorders>
              <w:top w:val="single" w:color="000000" w:sz="6" w:space="0"/>
              <w:left w:val="single" w:color="000000" w:sz="6" w:space="0"/>
              <w:bottom w:val="single" w:color="000000" w:sz="6" w:space="0"/>
              <w:right w:val="single" w:color="000000" w:sz="6" w:space="0"/>
            </w:tcBorders>
            <w:vAlign w:val="center"/>
          </w:tcPr>
          <w:p w14:paraId="66D6F86D">
            <w:pPr>
              <w:spacing w:line="360" w:lineRule="auto"/>
              <w:rPr>
                <w:rFonts w:ascii="宋体" w:hAnsi="宋体" w:cs="宋体"/>
                <w:color w:val="000000"/>
                <w:lang w:val="zh-CN"/>
              </w:rPr>
            </w:pPr>
            <w:r>
              <w:rPr>
                <w:rFonts w:hint="eastAsia" w:ascii="宋体" w:hAnsi="宋体"/>
                <w:color w:val="000000"/>
                <w:spacing w:val="-2"/>
              </w:rPr>
              <w:t>刚政采公招（货物）2024-001F号</w:t>
            </w:r>
          </w:p>
        </w:tc>
      </w:tr>
      <w:tr w14:paraId="6DE45F7A">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6CD51ED6">
            <w:pPr>
              <w:spacing w:line="360" w:lineRule="auto"/>
              <w:rPr>
                <w:rFonts w:ascii="宋体" w:hAnsi="宋体" w:cs="宋体"/>
                <w:color w:val="000000"/>
                <w:lang w:val="zh-CN"/>
              </w:rPr>
            </w:pPr>
            <w:r>
              <w:rPr>
                <w:rFonts w:hint="eastAsia" w:ascii="宋体" w:hAnsi="宋体" w:cs="宋体"/>
                <w:color w:val="000000"/>
                <w:lang w:val="zh-CN"/>
              </w:rPr>
              <w:t>采购项目名称</w:t>
            </w:r>
          </w:p>
        </w:tc>
        <w:tc>
          <w:tcPr>
            <w:tcW w:w="7462" w:type="dxa"/>
            <w:tcBorders>
              <w:top w:val="single" w:color="000000" w:sz="6" w:space="0"/>
              <w:left w:val="single" w:color="000000" w:sz="6" w:space="0"/>
              <w:bottom w:val="single" w:color="000000" w:sz="6" w:space="0"/>
              <w:right w:val="single" w:color="000000" w:sz="6" w:space="0"/>
            </w:tcBorders>
            <w:vAlign w:val="center"/>
          </w:tcPr>
          <w:p w14:paraId="155C658B">
            <w:pPr>
              <w:spacing w:line="360" w:lineRule="auto"/>
              <w:rPr>
                <w:rFonts w:ascii="宋体" w:hAnsi="宋体" w:cs="宋体"/>
                <w:color w:val="000000"/>
                <w:lang w:val="zh-CN"/>
              </w:rPr>
            </w:pPr>
            <w:r>
              <w:rPr>
                <w:rFonts w:hint="eastAsia" w:ascii="宋体" w:hAnsi="宋体"/>
                <w:color w:val="000000"/>
                <w:spacing w:val="-2"/>
                <w:lang w:val="zh-CN"/>
              </w:rPr>
              <w:t>刚察县公安局执法办案管理中心信息化建设项目(第五次)</w:t>
            </w:r>
          </w:p>
        </w:tc>
      </w:tr>
      <w:tr w14:paraId="1A985AA5">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shd w:val="clear" w:color="auto" w:fill="auto"/>
            <w:vAlign w:val="center"/>
          </w:tcPr>
          <w:p w14:paraId="1AA8022B">
            <w:pPr>
              <w:widowControl/>
              <w:spacing w:line="320" w:lineRule="exact"/>
              <w:jc w:val="left"/>
              <w:rPr>
                <w:rFonts w:ascii="宋体" w:hAnsi="宋体" w:cs="宋体"/>
                <w:lang w:val="zh-CN"/>
              </w:rPr>
            </w:pPr>
            <w:r>
              <w:rPr>
                <w:rFonts w:hint="eastAsia" w:ascii="宋体" w:hAnsi="宋体" w:cs="Arial"/>
              </w:rPr>
              <w:t>集采机构</w:t>
            </w:r>
          </w:p>
        </w:tc>
        <w:tc>
          <w:tcPr>
            <w:tcW w:w="7462" w:type="dxa"/>
            <w:tcBorders>
              <w:top w:val="single" w:color="000000" w:sz="6" w:space="0"/>
              <w:left w:val="single" w:color="000000" w:sz="6" w:space="0"/>
              <w:bottom w:val="single" w:color="000000" w:sz="6" w:space="0"/>
              <w:right w:val="single" w:color="000000" w:sz="6" w:space="0"/>
            </w:tcBorders>
            <w:shd w:val="clear" w:color="auto" w:fill="auto"/>
            <w:vAlign w:val="center"/>
          </w:tcPr>
          <w:p w14:paraId="4D8808FC">
            <w:pPr>
              <w:widowControl/>
              <w:spacing w:line="320" w:lineRule="exact"/>
              <w:jc w:val="left"/>
              <w:rPr>
                <w:rFonts w:ascii="宋体" w:hAnsi="宋体" w:cs="Arial"/>
              </w:rPr>
            </w:pPr>
            <w:r>
              <w:rPr>
                <w:rFonts w:hint="eastAsia" w:ascii="宋体" w:hAnsi="宋体" w:cs="Arial"/>
              </w:rPr>
              <w:t>刚察县政府采购中心</w:t>
            </w:r>
          </w:p>
        </w:tc>
      </w:tr>
      <w:tr w14:paraId="2A2F0999">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25488DD3">
            <w:pPr>
              <w:spacing w:line="360" w:lineRule="auto"/>
              <w:rPr>
                <w:rFonts w:ascii="宋体" w:hAnsi="宋体" w:cs="宋体"/>
                <w:color w:val="000000"/>
                <w:lang w:val="zh-CN"/>
              </w:rPr>
            </w:pPr>
            <w:r>
              <w:rPr>
                <w:rFonts w:hint="eastAsia" w:ascii="宋体" w:hAnsi="宋体" w:cs="宋体"/>
                <w:color w:val="000000"/>
                <w:lang w:val="zh-CN"/>
              </w:rPr>
              <w:t>采购方式</w:t>
            </w:r>
          </w:p>
        </w:tc>
        <w:tc>
          <w:tcPr>
            <w:tcW w:w="7462" w:type="dxa"/>
            <w:tcBorders>
              <w:top w:val="single" w:color="000000" w:sz="6" w:space="0"/>
              <w:left w:val="single" w:color="000000" w:sz="6" w:space="0"/>
              <w:bottom w:val="single" w:color="000000" w:sz="6" w:space="0"/>
              <w:right w:val="single" w:color="000000" w:sz="6" w:space="0"/>
            </w:tcBorders>
            <w:vAlign w:val="center"/>
          </w:tcPr>
          <w:p w14:paraId="14B50F58">
            <w:pPr>
              <w:spacing w:line="360" w:lineRule="auto"/>
              <w:rPr>
                <w:rFonts w:ascii="宋体" w:hAnsi="宋体" w:cs="宋体"/>
                <w:color w:val="000000"/>
                <w:lang w:val="zh-CN"/>
              </w:rPr>
            </w:pPr>
            <w:r>
              <w:rPr>
                <w:rFonts w:hint="eastAsia" w:ascii="宋体" w:hAnsi="宋体" w:cs="宋体"/>
                <w:color w:val="000000"/>
                <w:lang w:val="zh-CN"/>
              </w:rPr>
              <w:t>公开招标</w:t>
            </w:r>
          </w:p>
        </w:tc>
      </w:tr>
      <w:tr w14:paraId="6E5CD0E9">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9463E75">
            <w:pPr>
              <w:widowControl/>
              <w:spacing w:line="320" w:lineRule="exact"/>
              <w:jc w:val="left"/>
              <w:rPr>
                <w:rFonts w:ascii="宋体" w:hAnsi="宋体" w:cs="宋体"/>
                <w:color w:val="000000"/>
                <w:lang w:val="zh-CN"/>
              </w:rPr>
            </w:pPr>
            <w:r>
              <w:rPr>
                <w:rFonts w:hint="eastAsia" w:ascii="宋体" w:hAnsi="宋体" w:cs="Arial"/>
              </w:rPr>
              <w:t>评分办法</w:t>
            </w:r>
          </w:p>
        </w:tc>
        <w:tc>
          <w:tcPr>
            <w:tcW w:w="7462" w:type="dxa"/>
            <w:tcBorders>
              <w:top w:val="single" w:color="000000" w:sz="6" w:space="0"/>
              <w:left w:val="single" w:color="000000" w:sz="6" w:space="0"/>
              <w:bottom w:val="single" w:color="000000" w:sz="6" w:space="0"/>
              <w:right w:val="single" w:color="000000" w:sz="6" w:space="0"/>
            </w:tcBorders>
            <w:vAlign w:val="center"/>
          </w:tcPr>
          <w:p w14:paraId="4768B855">
            <w:pPr>
              <w:widowControl/>
              <w:spacing w:line="320" w:lineRule="exact"/>
              <w:jc w:val="left"/>
              <w:rPr>
                <w:rFonts w:ascii="宋体" w:hAnsi="宋体" w:cs="宋体"/>
                <w:color w:val="000000"/>
                <w:lang w:val="zh-CN"/>
              </w:rPr>
            </w:pPr>
            <w:r>
              <w:rPr>
                <w:rFonts w:hint="eastAsia" w:ascii="宋体" w:hAnsi="宋体" w:cs="Arial"/>
              </w:rPr>
              <w:t>综合评分法</w:t>
            </w:r>
          </w:p>
        </w:tc>
      </w:tr>
      <w:tr w14:paraId="26DD612A">
        <w:tblPrEx>
          <w:tblCellMar>
            <w:top w:w="0" w:type="dxa"/>
            <w:left w:w="108" w:type="dxa"/>
            <w:bottom w:w="0" w:type="dxa"/>
            <w:right w:w="108" w:type="dxa"/>
          </w:tblCellMar>
        </w:tblPrEx>
        <w:trPr>
          <w:trHeight w:val="628"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100FE052">
            <w:pPr>
              <w:spacing w:line="360" w:lineRule="auto"/>
              <w:rPr>
                <w:rFonts w:ascii="宋体" w:hAnsi="宋体" w:cs="宋体"/>
                <w:color w:val="000000"/>
                <w:lang w:val="zh-CN"/>
              </w:rPr>
            </w:pPr>
            <w:r>
              <w:rPr>
                <w:rFonts w:hint="eastAsia" w:ascii="宋体" w:hAnsi="宋体" w:cs="宋体"/>
                <w:color w:val="000000"/>
                <w:lang w:val="zh-CN"/>
              </w:rPr>
              <w:t>采购预算额度</w:t>
            </w:r>
          </w:p>
        </w:tc>
        <w:tc>
          <w:tcPr>
            <w:tcW w:w="7462" w:type="dxa"/>
            <w:tcBorders>
              <w:top w:val="single" w:color="000000" w:sz="6" w:space="0"/>
              <w:left w:val="single" w:color="000000" w:sz="6" w:space="0"/>
              <w:bottom w:val="single" w:color="000000" w:sz="6" w:space="0"/>
              <w:right w:val="single" w:color="000000" w:sz="6" w:space="0"/>
            </w:tcBorders>
            <w:vAlign w:val="center"/>
          </w:tcPr>
          <w:p w14:paraId="433B1244">
            <w:pPr>
              <w:widowControl/>
              <w:spacing w:line="620" w:lineRule="exact"/>
              <w:outlineLvl w:val="2"/>
              <w:rPr>
                <w:rFonts w:ascii="宋体" w:hAnsi="宋体"/>
                <w:bCs/>
              </w:rPr>
            </w:pPr>
            <w:r>
              <w:rPr>
                <w:rFonts w:hint="eastAsia"/>
              </w:rPr>
              <w:t>4422723</w:t>
            </w:r>
            <w:r>
              <w:rPr>
                <w:rFonts w:hint="eastAsia" w:ascii="宋体" w:hAnsi="宋体" w:cs="宋体"/>
                <w:color w:val="000000"/>
                <w:lang w:val="zh-CN"/>
              </w:rPr>
              <w:t>元</w:t>
            </w:r>
            <w:r>
              <w:rPr>
                <w:rFonts w:hint="eastAsia" w:ascii="宋体" w:hAnsi="宋体" w:cs="宋体"/>
                <w:color w:val="000000"/>
              </w:rPr>
              <w:t>(大写：肆佰肆拾贰万贰仟柒佰贰拾叁元整)</w:t>
            </w:r>
          </w:p>
        </w:tc>
      </w:tr>
      <w:tr w14:paraId="51AA7F83">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730BF2E9">
            <w:pPr>
              <w:spacing w:line="360" w:lineRule="auto"/>
              <w:rPr>
                <w:rFonts w:ascii="宋体" w:hAnsi="宋体" w:cs="宋体"/>
                <w:color w:val="000000"/>
              </w:rPr>
            </w:pPr>
            <w:r>
              <w:rPr>
                <w:rFonts w:hint="eastAsia" w:ascii="宋体" w:hAnsi="宋体" w:cs="宋体"/>
                <w:color w:val="000000"/>
              </w:rPr>
              <w:t>最高限价</w:t>
            </w:r>
          </w:p>
        </w:tc>
        <w:tc>
          <w:tcPr>
            <w:tcW w:w="7462" w:type="dxa"/>
            <w:tcBorders>
              <w:top w:val="single" w:color="000000" w:sz="6" w:space="0"/>
              <w:left w:val="single" w:color="000000" w:sz="6" w:space="0"/>
              <w:bottom w:val="single" w:color="000000" w:sz="6" w:space="0"/>
              <w:right w:val="single" w:color="000000" w:sz="6" w:space="0"/>
            </w:tcBorders>
            <w:vAlign w:val="center"/>
          </w:tcPr>
          <w:p w14:paraId="3D11BA0D">
            <w:pPr>
              <w:widowControl/>
              <w:spacing w:line="620" w:lineRule="exact"/>
              <w:outlineLvl w:val="2"/>
              <w:rPr>
                <w:rFonts w:ascii="宋体" w:hAnsi="宋体"/>
                <w:bCs/>
              </w:rPr>
            </w:pPr>
            <w:r>
              <w:rPr>
                <w:rFonts w:hint="eastAsia"/>
              </w:rPr>
              <w:t>4422723</w:t>
            </w:r>
            <w:r>
              <w:rPr>
                <w:rFonts w:hint="eastAsia" w:ascii="宋体" w:hAnsi="宋体" w:cs="宋体"/>
                <w:color w:val="000000"/>
                <w:lang w:val="zh-CN"/>
              </w:rPr>
              <w:t>元</w:t>
            </w:r>
            <w:r>
              <w:rPr>
                <w:rFonts w:hint="eastAsia" w:ascii="宋体" w:hAnsi="宋体" w:cs="宋体"/>
                <w:color w:val="000000"/>
              </w:rPr>
              <w:t>(大写：肆佰肆拾贰万贰仟柒佰贰拾叁元整)</w:t>
            </w:r>
          </w:p>
        </w:tc>
      </w:tr>
      <w:tr w14:paraId="7E484AA8">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4D84FE9">
            <w:pPr>
              <w:spacing w:line="360" w:lineRule="auto"/>
              <w:rPr>
                <w:rFonts w:ascii="宋体" w:hAnsi="宋体" w:cs="宋体"/>
                <w:color w:val="000000"/>
                <w:lang w:val="zh-CN"/>
              </w:rPr>
            </w:pPr>
            <w:r>
              <w:rPr>
                <w:rFonts w:hint="eastAsia" w:ascii="宋体" w:hAnsi="宋体" w:cs="宋体"/>
                <w:color w:val="000000"/>
                <w:lang w:val="zh-CN"/>
              </w:rPr>
              <w:t>项目分包个数</w:t>
            </w:r>
          </w:p>
        </w:tc>
        <w:tc>
          <w:tcPr>
            <w:tcW w:w="7462" w:type="dxa"/>
            <w:tcBorders>
              <w:top w:val="single" w:color="000000" w:sz="6" w:space="0"/>
              <w:left w:val="single" w:color="000000" w:sz="6" w:space="0"/>
              <w:bottom w:val="single" w:color="000000" w:sz="6" w:space="0"/>
              <w:right w:val="single" w:color="000000" w:sz="6" w:space="0"/>
            </w:tcBorders>
            <w:vAlign w:val="center"/>
          </w:tcPr>
          <w:p w14:paraId="7864DF97">
            <w:pPr>
              <w:spacing w:line="360" w:lineRule="auto"/>
              <w:rPr>
                <w:rFonts w:ascii="宋体" w:hAnsi="宋体" w:cs="宋体"/>
                <w:color w:val="000000"/>
              </w:rPr>
            </w:pPr>
            <w:r>
              <w:rPr>
                <w:rFonts w:hint="eastAsia" w:ascii="宋体" w:hAnsi="宋体" w:cs="宋体"/>
                <w:color w:val="000000"/>
              </w:rPr>
              <w:t>不分包</w:t>
            </w:r>
          </w:p>
        </w:tc>
      </w:tr>
      <w:tr w14:paraId="6397A39A">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A7240A5">
            <w:pPr>
              <w:spacing w:line="360" w:lineRule="auto"/>
              <w:rPr>
                <w:rFonts w:ascii="宋体" w:hAnsi="宋体" w:cs="宋体"/>
                <w:color w:val="000000"/>
              </w:rPr>
            </w:pPr>
            <w:r>
              <w:rPr>
                <w:rFonts w:hint="eastAsia" w:ascii="宋体" w:hAnsi="宋体" w:cs="宋体"/>
                <w:color w:val="000000"/>
              </w:rPr>
              <w:t>行业归属</w:t>
            </w:r>
          </w:p>
        </w:tc>
        <w:tc>
          <w:tcPr>
            <w:tcW w:w="7462" w:type="dxa"/>
            <w:tcBorders>
              <w:top w:val="single" w:color="000000" w:sz="6" w:space="0"/>
              <w:left w:val="single" w:color="000000" w:sz="6" w:space="0"/>
              <w:bottom w:val="single" w:color="000000" w:sz="6" w:space="0"/>
              <w:right w:val="single" w:color="000000" w:sz="6" w:space="0"/>
            </w:tcBorders>
            <w:vAlign w:val="center"/>
          </w:tcPr>
          <w:p w14:paraId="5066C8CA">
            <w:pPr>
              <w:spacing w:line="360" w:lineRule="auto"/>
              <w:rPr>
                <w:rFonts w:hint="default" w:ascii="宋体" w:hAnsi="宋体" w:eastAsia="宋体" w:cs="宋体"/>
                <w:color w:val="FF0000"/>
                <w:lang w:val="en-US" w:eastAsia="zh-CN"/>
              </w:rPr>
            </w:pPr>
            <w:r>
              <w:rPr>
                <w:rFonts w:hint="eastAsia" w:ascii="宋体" w:hAnsi="宋体" w:cs="宋体"/>
                <w:color w:val="FF0000"/>
                <w:lang w:val="en-US" w:eastAsia="zh-CN"/>
              </w:rPr>
              <w:t>制造业</w:t>
            </w:r>
          </w:p>
        </w:tc>
      </w:tr>
      <w:tr w14:paraId="539208C9">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7CFE475">
            <w:pPr>
              <w:spacing w:line="360" w:lineRule="auto"/>
              <w:rPr>
                <w:rFonts w:ascii="宋体" w:hAnsi="宋体" w:cs="宋体"/>
                <w:color w:val="000000"/>
              </w:rPr>
            </w:pPr>
            <w:r>
              <w:rPr>
                <w:rFonts w:hint="eastAsia" w:ascii="宋体" w:hAnsi="宋体" w:cs="宋体"/>
                <w:color w:val="000000"/>
              </w:rPr>
              <w:t>是否面向中小微企业</w:t>
            </w:r>
          </w:p>
        </w:tc>
        <w:tc>
          <w:tcPr>
            <w:tcW w:w="7462" w:type="dxa"/>
            <w:tcBorders>
              <w:top w:val="single" w:color="000000" w:sz="6" w:space="0"/>
              <w:left w:val="single" w:color="000000" w:sz="6" w:space="0"/>
              <w:bottom w:val="single" w:color="000000" w:sz="6" w:space="0"/>
              <w:right w:val="single" w:color="000000" w:sz="6" w:space="0"/>
            </w:tcBorders>
            <w:vAlign w:val="center"/>
          </w:tcPr>
          <w:p w14:paraId="0F077C18">
            <w:pPr>
              <w:spacing w:line="360" w:lineRule="auto"/>
              <w:rPr>
                <w:rFonts w:ascii="宋体"/>
                <w:bCs/>
              </w:rPr>
            </w:pPr>
            <w:r>
              <w:rPr>
                <w:rFonts w:hint="eastAsia" w:ascii="宋体"/>
                <w:bCs/>
              </w:rPr>
              <w:t>本项目非专门面向中小微企业</w:t>
            </w:r>
          </w:p>
        </w:tc>
      </w:tr>
      <w:tr w14:paraId="0A1B51FA">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7F071B95">
            <w:pPr>
              <w:spacing w:line="360" w:lineRule="auto"/>
              <w:rPr>
                <w:rFonts w:ascii="宋体" w:hAnsi="宋体" w:cs="宋体"/>
                <w:color w:val="000000"/>
              </w:rPr>
            </w:pPr>
            <w:r>
              <w:rPr>
                <w:rFonts w:hint="eastAsia" w:ascii="宋体" w:hAnsi="宋体" w:cs="宋体"/>
                <w:color w:val="000000"/>
              </w:rPr>
              <w:t>投标保证金</w:t>
            </w:r>
          </w:p>
        </w:tc>
        <w:tc>
          <w:tcPr>
            <w:tcW w:w="7462" w:type="dxa"/>
            <w:tcBorders>
              <w:top w:val="single" w:color="000000" w:sz="6" w:space="0"/>
              <w:left w:val="single" w:color="000000" w:sz="6" w:space="0"/>
              <w:bottom w:val="single" w:color="000000" w:sz="6" w:space="0"/>
              <w:right w:val="single" w:color="000000" w:sz="6" w:space="0"/>
            </w:tcBorders>
            <w:vAlign w:val="center"/>
          </w:tcPr>
          <w:p w14:paraId="640BC496">
            <w:pPr>
              <w:spacing w:line="360" w:lineRule="auto"/>
              <w:rPr>
                <w:rFonts w:ascii="宋体" w:hAnsi="宋体" w:cs="宋体"/>
                <w:color w:val="FF0000"/>
              </w:rPr>
            </w:pPr>
            <w:r>
              <w:rPr>
                <w:rFonts w:hint="eastAsia" w:ascii="宋体" w:hAnsi="宋体" w:cs="宋体"/>
              </w:rPr>
              <w:t>不收取投标保证金</w:t>
            </w:r>
          </w:p>
        </w:tc>
      </w:tr>
      <w:tr w14:paraId="4E3C3451">
        <w:tblPrEx>
          <w:tblCellMar>
            <w:top w:w="0" w:type="dxa"/>
            <w:left w:w="108" w:type="dxa"/>
            <w:bottom w:w="0" w:type="dxa"/>
            <w:right w:w="108" w:type="dxa"/>
          </w:tblCellMar>
        </w:tblPrEx>
        <w:trPr>
          <w:trHeight w:val="90"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5082B7D1">
            <w:pPr>
              <w:spacing w:line="360" w:lineRule="auto"/>
              <w:rPr>
                <w:rFonts w:ascii="宋体" w:hAnsi="宋体" w:cs="宋体"/>
                <w:color w:val="000000"/>
                <w:lang w:val="zh-CN"/>
              </w:rPr>
            </w:pPr>
            <w:r>
              <w:rPr>
                <w:rFonts w:hint="eastAsia" w:ascii="宋体" w:hAnsi="宋体" w:cs="宋体"/>
                <w:color w:val="000000"/>
                <w:lang w:val="zh-CN"/>
              </w:rPr>
              <w:t>各包要求</w:t>
            </w:r>
          </w:p>
        </w:tc>
        <w:tc>
          <w:tcPr>
            <w:tcW w:w="7462" w:type="dxa"/>
            <w:tcBorders>
              <w:top w:val="single" w:color="000000" w:sz="6" w:space="0"/>
              <w:left w:val="single" w:color="000000" w:sz="6" w:space="0"/>
              <w:bottom w:val="single" w:color="000000" w:sz="6" w:space="0"/>
              <w:right w:val="single" w:color="000000" w:sz="6" w:space="0"/>
            </w:tcBorders>
            <w:vAlign w:val="center"/>
          </w:tcPr>
          <w:p w14:paraId="5611CA5E">
            <w:pPr>
              <w:spacing w:line="360" w:lineRule="auto"/>
              <w:rPr>
                <w:rFonts w:ascii="宋体" w:hAnsi="宋体" w:cs="宋体"/>
                <w:color w:val="000000"/>
                <w:lang w:val="zh-CN"/>
              </w:rPr>
            </w:pPr>
            <w:r>
              <w:rPr>
                <w:rFonts w:hint="eastAsia" w:ascii="宋体" w:hAnsi="宋体" w:cs="宋体"/>
                <w:color w:val="000000"/>
                <w:lang w:val="zh-CN"/>
              </w:rPr>
              <w:t>具体内容详见《招标文件》</w:t>
            </w:r>
          </w:p>
        </w:tc>
      </w:tr>
      <w:tr w14:paraId="376F6F68">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696E14FA">
            <w:pPr>
              <w:spacing w:line="360" w:lineRule="auto"/>
              <w:rPr>
                <w:rFonts w:ascii="宋体" w:hAnsi="宋体" w:cs="宋体"/>
                <w:color w:val="000000"/>
                <w:lang w:val="zh-CN"/>
              </w:rPr>
            </w:pPr>
            <w:r>
              <w:rPr>
                <w:rFonts w:hint="eastAsia" w:ascii="宋体" w:hAnsi="宋体" w:cs="宋体"/>
                <w:color w:val="000000"/>
                <w:lang w:val="zh-CN"/>
              </w:rPr>
              <w:t>各包投标人资格要求</w:t>
            </w:r>
          </w:p>
        </w:tc>
        <w:tc>
          <w:tcPr>
            <w:tcW w:w="7462" w:type="dxa"/>
            <w:tcBorders>
              <w:top w:val="single" w:color="000000" w:sz="6" w:space="0"/>
              <w:left w:val="single" w:color="000000" w:sz="6" w:space="0"/>
              <w:bottom w:val="single" w:color="000000" w:sz="6" w:space="0"/>
              <w:right w:val="single" w:color="000000" w:sz="6" w:space="0"/>
            </w:tcBorders>
            <w:vAlign w:val="center"/>
          </w:tcPr>
          <w:p w14:paraId="70DCF1F0">
            <w:pPr>
              <w:widowControl/>
              <w:spacing w:line="320" w:lineRule="exact"/>
            </w:pPr>
            <w:r>
              <w:t>1</w:t>
            </w:r>
            <w:r>
              <w:rPr>
                <w:rFonts w:hint="eastAsia"/>
              </w:rPr>
              <w:t>、应具备《政府采购法》第</w:t>
            </w:r>
            <w:r>
              <w:t>22</w:t>
            </w:r>
            <w:r>
              <w:rPr>
                <w:rFonts w:hint="eastAsia"/>
              </w:rPr>
              <w:t>条所规定的条件：</w:t>
            </w:r>
          </w:p>
          <w:p w14:paraId="6C3ABAD6">
            <w:pPr>
              <w:widowControl/>
              <w:spacing w:line="320" w:lineRule="exact"/>
            </w:pPr>
            <w:r>
              <w:t>(1</w:t>
            </w:r>
            <w:r>
              <w:rPr>
                <w:rFonts w:hint="eastAsia"/>
              </w:rPr>
              <w:t>）投标人的营业执照等证明文件，自然人的身份证明；</w:t>
            </w:r>
          </w:p>
          <w:p w14:paraId="70A41F02">
            <w:pPr>
              <w:widowControl/>
              <w:spacing w:line="320" w:lineRule="exact"/>
            </w:pPr>
            <w:r>
              <w:t>(2</w:t>
            </w:r>
            <w:r>
              <w:rPr>
                <w:rFonts w:hint="eastAsia"/>
              </w:rPr>
              <w:t>）财务状况报告和依法缴纳税收和社会保障资金的相关材料；</w:t>
            </w:r>
          </w:p>
          <w:p w14:paraId="5D913998">
            <w:pPr>
              <w:widowControl/>
              <w:spacing w:line="320" w:lineRule="exact"/>
            </w:pPr>
            <w:r>
              <w:t>(3</w:t>
            </w:r>
            <w:r>
              <w:rPr>
                <w:rFonts w:hint="eastAsia"/>
              </w:rPr>
              <w:t>）具备履行合同所必须的设备和专业技术能力的证明材料；</w:t>
            </w:r>
          </w:p>
          <w:p w14:paraId="33332BD1">
            <w:pPr>
              <w:widowControl/>
              <w:spacing w:line="320" w:lineRule="exact"/>
            </w:pPr>
            <w:r>
              <w:t>(4</w:t>
            </w:r>
            <w:r>
              <w:rPr>
                <w:rFonts w:hint="eastAsia"/>
              </w:rPr>
              <w:t>）参加政府采购活动前</w:t>
            </w:r>
            <w:r>
              <w:t>3</w:t>
            </w:r>
            <w:r>
              <w:rPr>
                <w:rFonts w:hint="eastAsia"/>
              </w:rPr>
              <w:t>年内在经营活动中没有重大违法记录的书面声明；</w:t>
            </w:r>
          </w:p>
          <w:p w14:paraId="790DFEE9">
            <w:pPr>
              <w:widowControl/>
              <w:spacing w:line="320" w:lineRule="exact"/>
            </w:pPr>
            <w:r>
              <w:t>(5</w:t>
            </w:r>
            <w:r>
              <w:rPr>
                <w:rFonts w:hint="eastAsia"/>
              </w:rPr>
              <w:t>）具备法律、行政法规规定的其他条件的证明材料。</w:t>
            </w:r>
          </w:p>
          <w:p w14:paraId="06E65E11">
            <w:pPr>
              <w:widowControl/>
              <w:spacing w:line="320" w:lineRule="exact"/>
            </w:pPr>
            <w:r>
              <w:t>2</w:t>
            </w:r>
            <w:r>
              <w:rPr>
                <w:rFonts w:hint="eastAsia"/>
              </w:rPr>
              <w:t>、经信用中国（</w:t>
            </w:r>
            <w:r>
              <w:t xml:space="preserve"> www</w:t>
            </w:r>
            <w:r>
              <w:rPr>
                <w:rFonts w:hint="eastAsia"/>
              </w:rPr>
              <w:t>.</w:t>
            </w:r>
            <w:r>
              <w:t>creditchina</w:t>
            </w:r>
            <w:r>
              <w:rPr>
                <w:rFonts w:hint="eastAsia"/>
              </w:rPr>
              <w:t>.</w:t>
            </w:r>
            <w:r>
              <w:t>gov</w:t>
            </w:r>
            <w:r>
              <w:rPr>
                <w:rFonts w:hint="eastAsia"/>
              </w:rPr>
              <w:t>.</w:t>
            </w:r>
            <w:r>
              <w:t>cn )</w:t>
            </w:r>
            <w:r>
              <w:rPr>
                <w:rFonts w:hint="eastAsia"/>
              </w:rPr>
              <w:t>、中国政府采购网（</w:t>
            </w:r>
            <w:r>
              <w:t xml:space="preserve"> www</w:t>
            </w:r>
            <w:r>
              <w:rPr>
                <w:rFonts w:hint="eastAsia"/>
              </w:rPr>
              <w:t>.</w:t>
            </w:r>
            <w:r>
              <w:t>c</w:t>
            </w:r>
            <w:r>
              <w:rPr>
                <w:rFonts w:hint="eastAsia"/>
              </w:rPr>
              <w:t>c</w:t>
            </w:r>
            <w:r>
              <w:t>gp</w:t>
            </w:r>
            <w:r>
              <w:rPr>
                <w:rFonts w:hint="eastAsia"/>
              </w:rPr>
              <w:t>.</w:t>
            </w:r>
            <w:r>
              <w:t>gov</w:t>
            </w:r>
            <w:r>
              <w:rPr>
                <w:rFonts w:hint="eastAsia"/>
              </w:rPr>
              <w:t>.</w:t>
            </w:r>
            <w:r>
              <w:t xml:space="preserve">cn </w:t>
            </w:r>
            <w:r>
              <w:rPr>
                <w:rFonts w:hint="eastAsia"/>
              </w:rPr>
              <w:t>）等渠道查询后，列入失信被执行人、重大税收违法失信主体、政府采购严重违法失信行为记录名单的，取消投标资格。</w:t>
            </w:r>
          </w:p>
          <w:p w14:paraId="6A65E793">
            <w:pPr>
              <w:widowControl/>
              <w:spacing w:line="320" w:lineRule="exact"/>
            </w:pPr>
            <w:r>
              <w:t>3</w:t>
            </w:r>
            <w:r>
              <w:rPr>
                <w:rFonts w:hint="eastAsia"/>
              </w:rPr>
              <w:t>、单位负责人为同一人或者存在直接控股、管理关系的不同供应商，不得参加同一合同项下的政府采购活动。否则，皆取消投标资格。</w:t>
            </w:r>
          </w:p>
          <w:p w14:paraId="0E14BB01">
            <w:pPr>
              <w:widowControl/>
              <w:spacing w:line="320" w:lineRule="exact"/>
            </w:pPr>
            <w:r>
              <w:t>4</w:t>
            </w:r>
            <w:r>
              <w:rPr>
                <w:rFonts w:hint="eastAsia"/>
              </w:rPr>
              <w:t>、为本采购项目提供整体设计、规范编制等服务的供应商，不得再参加该采购项目的其他采购活动。</w:t>
            </w:r>
          </w:p>
          <w:p w14:paraId="052EEE79">
            <w:pPr>
              <w:widowControl/>
              <w:spacing w:line="320" w:lineRule="exact"/>
            </w:pPr>
            <w:r>
              <w:t>5</w:t>
            </w:r>
            <w:r>
              <w:rPr>
                <w:rFonts w:hint="eastAsia"/>
              </w:rPr>
              <w:t>、本项目不接受供应商以联合体方式进行投标。</w:t>
            </w:r>
          </w:p>
          <w:p w14:paraId="3177FA69">
            <w:pPr>
              <w:spacing w:line="360" w:lineRule="auto"/>
              <w:rPr>
                <w:rFonts w:ascii="宋体" w:hAnsi="宋体" w:cs="宋体"/>
                <w:color w:val="000000"/>
                <w:lang w:val="zh-CN"/>
              </w:rPr>
            </w:pPr>
            <w:r>
              <w:t>6</w:t>
            </w:r>
            <w:r>
              <w:rPr>
                <w:rFonts w:hint="eastAsia"/>
              </w:rPr>
              <w:t>、招标文件中规定的其他资质条件。</w:t>
            </w:r>
          </w:p>
        </w:tc>
      </w:tr>
      <w:tr w14:paraId="1931BAE5">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5C18D6D7">
            <w:pPr>
              <w:spacing w:line="360" w:lineRule="auto"/>
              <w:rPr>
                <w:rFonts w:ascii="宋体" w:hAnsi="宋体" w:cs="宋体"/>
                <w:color w:val="000000"/>
                <w:lang w:val="zh-CN"/>
              </w:rPr>
            </w:pPr>
            <w:r>
              <w:rPr>
                <w:rFonts w:hint="eastAsia" w:ascii="宋体" w:hAnsi="宋体" w:cs="宋体"/>
                <w:color w:val="000000"/>
                <w:lang w:val="zh-CN"/>
              </w:rPr>
              <w:t>公告发布时间</w:t>
            </w:r>
          </w:p>
        </w:tc>
        <w:tc>
          <w:tcPr>
            <w:tcW w:w="7462" w:type="dxa"/>
            <w:tcBorders>
              <w:top w:val="single" w:color="000000" w:sz="6" w:space="0"/>
              <w:left w:val="single" w:color="000000" w:sz="6" w:space="0"/>
              <w:bottom w:val="single" w:color="000000" w:sz="6" w:space="0"/>
              <w:right w:val="single" w:color="000000" w:sz="6" w:space="0"/>
            </w:tcBorders>
            <w:vAlign w:val="center"/>
          </w:tcPr>
          <w:p w14:paraId="7407991D">
            <w:pPr>
              <w:spacing w:line="360" w:lineRule="auto"/>
              <w:rPr>
                <w:rFonts w:ascii="宋体" w:hAnsi="宋体" w:cs="宋体"/>
                <w:b/>
                <w:bCs/>
                <w:color w:val="FF0000"/>
                <w:lang w:val="zh-CN"/>
              </w:rPr>
            </w:pPr>
            <w:r>
              <w:rPr>
                <w:rFonts w:hint="eastAsia" w:ascii="宋体" w:hAnsi="宋体" w:cs="宋体"/>
                <w:b/>
                <w:bCs/>
                <w:color w:val="FF0000"/>
                <w:lang w:val="zh-CN"/>
              </w:rPr>
              <w:t>20</w:t>
            </w:r>
            <w:r>
              <w:rPr>
                <w:rFonts w:hint="eastAsia" w:ascii="宋体" w:hAnsi="宋体" w:cs="宋体"/>
                <w:b/>
                <w:bCs/>
                <w:color w:val="FF0000"/>
              </w:rPr>
              <w:t>25</w:t>
            </w:r>
            <w:r>
              <w:rPr>
                <w:rFonts w:hint="eastAsia" w:ascii="宋体" w:hAnsi="宋体" w:cs="宋体"/>
                <w:b/>
                <w:bCs/>
                <w:color w:val="FF0000"/>
                <w:lang w:val="zh-CN"/>
              </w:rPr>
              <w:t>年</w:t>
            </w:r>
            <w:r>
              <w:rPr>
                <w:rFonts w:hint="eastAsia" w:ascii="宋体" w:hAnsi="宋体" w:cs="宋体"/>
                <w:b/>
                <w:bCs/>
                <w:color w:val="FF0000"/>
              </w:rPr>
              <w:t>3</w:t>
            </w:r>
            <w:r>
              <w:rPr>
                <w:rFonts w:hint="eastAsia" w:ascii="宋体" w:hAnsi="宋体" w:cs="宋体"/>
                <w:b/>
                <w:bCs/>
                <w:color w:val="FF0000"/>
                <w:lang w:val="zh-CN"/>
              </w:rPr>
              <w:t>月</w:t>
            </w:r>
            <w:r>
              <w:rPr>
                <w:rFonts w:hint="eastAsia" w:ascii="宋体" w:hAnsi="宋体" w:cs="宋体"/>
                <w:b/>
                <w:bCs/>
                <w:color w:val="FF0000"/>
              </w:rPr>
              <w:t>5</w:t>
            </w:r>
            <w:r>
              <w:rPr>
                <w:rFonts w:hint="eastAsia" w:ascii="宋体" w:hAnsi="宋体" w:cs="宋体"/>
                <w:b/>
                <w:bCs/>
                <w:color w:val="FF0000"/>
                <w:lang w:val="zh-CN"/>
              </w:rPr>
              <w:t>日</w:t>
            </w:r>
          </w:p>
        </w:tc>
      </w:tr>
      <w:tr w14:paraId="0EBC4374">
        <w:tblPrEx>
          <w:tblCellMar>
            <w:top w:w="0" w:type="dxa"/>
            <w:left w:w="108" w:type="dxa"/>
            <w:bottom w:w="0" w:type="dxa"/>
            <w:right w:w="108" w:type="dxa"/>
          </w:tblCellMar>
        </w:tblPrEx>
        <w:trPr>
          <w:trHeight w:val="997"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31AD726">
            <w:pPr>
              <w:spacing w:line="360" w:lineRule="auto"/>
              <w:rPr>
                <w:rFonts w:ascii="宋体" w:hAnsi="宋体" w:cs="宋体"/>
                <w:color w:val="000000"/>
                <w:lang w:val="zh-CN"/>
              </w:rPr>
            </w:pPr>
            <w:r>
              <w:rPr>
                <w:rFonts w:hint="eastAsia" w:ascii="宋体" w:hAnsi="宋体" w:cs="宋体"/>
                <w:color w:val="000000"/>
                <w:lang w:val="zh-CN"/>
              </w:rPr>
              <w:t>获取招标文件的时间期限</w:t>
            </w:r>
          </w:p>
        </w:tc>
        <w:tc>
          <w:tcPr>
            <w:tcW w:w="7462" w:type="dxa"/>
            <w:tcBorders>
              <w:top w:val="single" w:color="000000" w:sz="6" w:space="0"/>
              <w:left w:val="single" w:color="000000" w:sz="6" w:space="0"/>
              <w:bottom w:val="single" w:color="000000" w:sz="6" w:space="0"/>
              <w:right w:val="single" w:color="000000" w:sz="6" w:space="0"/>
            </w:tcBorders>
            <w:vAlign w:val="center"/>
          </w:tcPr>
          <w:p w14:paraId="54D8F865">
            <w:pPr>
              <w:spacing w:line="360" w:lineRule="auto"/>
              <w:rPr>
                <w:rFonts w:ascii="宋体" w:hAnsi="宋体" w:cs="宋体"/>
                <w:b/>
                <w:bCs/>
                <w:color w:val="FF0000"/>
                <w:lang w:val="zh-CN"/>
              </w:rPr>
            </w:pPr>
            <w:r>
              <w:rPr>
                <w:rFonts w:hint="eastAsia" w:ascii="宋体" w:hAnsi="宋体" w:cs="宋体"/>
                <w:b/>
                <w:bCs/>
                <w:color w:val="FF0000"/>
                <w:lang w:val="zh-CN"/>
              </w:rPr>
              <w:t>20</w:t>
            </w:r>
            <w:r>
              <w:rPr>
                <w:rFonts w:hint="eastAsia" w:ascii="宋体" w:hAnsi="宋体" w:cs="宋体"/>
                <w:b/>
                <w:bCs/>
                <w:color w:val="FF0000"/>
              </w:rPr>
              <w:t>25</w:t>
            </w:r>
            <w:r>
              <w:rPr>
                <w:rFonts w:hint="eastAsia" w:ascii="宋体" w:hAnsi="宋体" w:cs="宋体"/>
                <w:b/>
                <w:bCs/>
                <w:color w:val="FF0000"/>
                <w:lang w:val="zh-CN"/>
              </w:rPr>
              <w:t>年</w:t>
            </w:r>
            <w:r>
              <w:rPr>
                <w:rFonts w:hint="eastAsia" w:ascii="宋体" w:hAnsi="宋体" w:cs="宋体"/>
                <w:b/>
                <w:bCs/>
                <w:color w:val="FF0000"/>
              </w:rPr>
              <w:t>3</w:t>
            </w:r>
            <w:r>
              <w:rPr>
                <w:rFonts w:hint="eastAsia" w:ascii="宋体" w:hAnsi="宋体" w:cs="宋体"/>
                <w:b/>
                <w:bCs/>
                <w:color w:val="FF0000"/>
                <w:lang w:val="zh-CN"/>
              </w:rPr>
              <w:t>月</w:t>
            </w:r>
            <w:r>
              <w:rPr>
                <w:rFonts w:hint="eastAsia" w:ascii="宋体" w:hAnsi="宋体" w:cs="宋体"/>
                <w:b/>
                <w:bCs/>
                <w:color w:val="FF0000"/>
              </w:rPr>
              <w:t>5</w:t>
            </w:r>
            <w:r>
              <w:rPr>
                <w:rFonts w:hint="eastAsia" w:ascii="宋体" w:hAnsi="宋体" w:cs="宋体"/>
                <w:b/>
                <w:bCs/>
                <w:color w:val="FF0000"/>
                <w:lang w:val="zh-CN"/>
              </w:rPr>
              <w:t>日至</w:t>
            </w:r>
            <w:r>
              <w:rPr>
                <w:rFonts w:hint="eastAsia" w:ascii="宋体" w:hAnsi="宋体" w:cs="宋体"/>
                <w:b/>
                <w:bCs/>
                <w:color w:val="FF0000"/>
              </w:rPr>
              <w:t>2025年</w:t>
            </w:r>
            <w:r>
              <w:rPr>
                <w:rFonts w:hint="eastAsia" w:ascii="宋体" w:hAnsi="宋体" w:cs="宋体"/>
                <w:b/>
                <w:bCs/>
                <w:color w:val="FF0000"/>
                <w:lang w:val="en-US" w:eastAsia="zh-CN"/>
              </w:rPr>
              <w:t>4</w:t>
            </w:r>
            <w:r>
              <w:rPr>
                <w:rFonts w:hint="eastAsia" w:ascii="宋体" w:hAnsi="宋体" w:cs="宋体"/>
                <w:b/>
                <w:bCs/>
                <w:color w:val="FF0000"/>
                <w:lang w:val="zh-CN"/>
              </w:rPr>
              <w:t>月</w:t>
            </w:r>
            <w:r>
              <w:rPr>
                <w:rFonts w:hint="eastAsia" w:ascii="宋体" w:hAnsi="宋体" w:cs="宋体"/>
                <w:b/>
                <w:bCs/>
                <w:color w:val="FF0000"/>
                <w:lang w:val="en-US" w:eastAsia="zh-CN"/>
              </w:rPr>
              <w:t>2</w:t>
            </w:r>
            <w:r>
              <w:rPr>
                <w:rFonts w:hint="eastAsia" w:ascii="宋体" w:hAnsi="宋体" w:cs="宋体"/>
                <w:b/>
                <w:bCs/>
                <w:color w:val="FF0000"/>
                <w:lang w:val="zh-CN"/>
              </w:rPr>
              <w:t>日（节假日除外），上午</w:t>
            </w:r>
            <w:r>
              <w:rPr>
                <w:rFonts w:hint="eastAsia" w:ascii="宋体" w:hAnsi="宋体" w:cs="宋体"/>
                <w:b/>
                <w:bCs/>
                <w:color w:val="FF0000"/>
              </w:rPr>
              <w:t>9</w:t>
            </w:r>
            <w:r>
              <w:rPr>
                <w:rFonts w:hint="eastAsia" w:ascii="宋体" w:hAnsi="宋体" w:cs="宋体"/>
                <w:b/>
                <w:bCs/>
                <w:color w:val="FF0000"/>
                <w:lang w:val="zh-CN"/>
              </w:rPr>
              <w:t>:</w:t>
            </w:r>
            <w:r>
              <w:rPr>
                <w:rFonts w:hint="eastAsia" w:ascii="宋体" w:hAnsi="宋体" w:cs="宋体"/>
                <w:b/>
                <w:bCs/>
                <w:color w:val="FF0000"/>
              </w:rPr>
              <w:t>00</w:t>
            </w:r>
            <w:r>
              <w:rPr>
                <w:rFonts w:hint="eastAsia" w:ascii="宋体" w:hAnsi="宋体" w:cs="宋体"/>
                <w:b/>
                <w:bCs/>
                <w:color w:val="FF0000"/>
                <w:lang w:val="zh-CN"/>
              </w:rPr>
              <w:t>-12:00,下午12:00-</w:t>
            </w:r>
            <w:r>
              <w:rPr>
                <w:rFonts w:hint="eastAsia" w:ascii="宋体" w:hAnsi="宋体" w:cs="宋体"/>
                <w:b/>
                <w:bCs/>
                <w:color w:val="FF0000"/>
              </w:rPr>
              <w:t>17</w:t>
            </w:r>
            <w:r>
              <w:rPr>
                <w:rFonts w:hint="eastAsia" w:ascii="宋体" w:hAnsi="宋体" w:cs="宋体"/>
                <w:b/>
                <w:bCs/>
                <w:color w:val="FF0000"/>
                <w:lang w:val="zh-CN"/>
              </w:rPr>
              <w:t>:</w:t>
            </w:r>
            <w:r>
              <w:rPr>
                <w:rFonts w:hint="eastAsia" w:ascii="宋体" w:hAnsi="宋体" w:cs="宋体"/>
                <w:b/>
                <w:bCs/>
                <w:color w:val="FF0000"/>
              </w:rPr>
              <w:t>0</w:t>
            </w:r>
            <w:r>
              <w:rPr>
                <w:rFonts w:hint="eastAsia" w:ascii="宋体" w:hAnsi="宋体" w:cs="宋体"/>
                <w:b/>
                <w:bCs/>
                <w:color w:val="FF0000"/>
                <w:lang w:val="zh-CN"/>
              </w:rPr>
              <w:t>0（节假日除外）</w:t>
            </w:r>
          </w:p>
        </w:tc>
      </w:tr>
      <w:tr w14:paraId="4A427ADC">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0BA041B4">
            <w:pPr>
              <w:spacing w:line="360" w:lineRule="auto"/>
              <w:rPr>
                <w:rFonts w:ascii="宋体" w:hAnsi="宋体" w:cs="宋体"/>
                <w:color w:val="000000"/>
                <w:lang w:val="zh-CN"/>
              </w:rPr>
            </w:pPr>
            <w:r>
              <w:rPr>
                <w:rFonts w:hint="eastAsia" w:ascii="宋体" w:hAnsi="宋体" w:cs="宋体"/>
                <w:color w:val="000000"/>
                <w:lang w:val="zh-CN"/>
              </w:rPr>
              <w:t>获取招标文件方式</w:t>
            </w:r>
          </w:p>
        </w:tc>
        <w:tc>
          <w:tcPr>
            <w:tcW w:w="7462" w:type="dxa"/>
            <w:tcBorders>
              <w:top w:val="single" w:color="000000" w:sz="6" w:space="0"/>
              <w:left w:val="single" w:color="000000" w:sz="6" w:space="0"/>
              <w:bottom w:val="single" w:color="000000" w:sz="6" w:space="0"/>
              <w:right w:val="single" w:color="000000" w:sz="6" w:space="0"/>
            </w:tcBorders>
            <w:vAlign w:val="center"/>
          </w:tcPr>
          <w:p w14:paraId="02E323F8">
            <w:pPr>
              <w:spacing w:line="360" w:lineRule="auto"/>
              <w:rPr>
                <w:rFonts w:ascii="宋体" w:hAnsi="宋体" w:cs="宋体"/>
                <w:lang w:val="zh-CN"/>
              </w:rPr>
            </w:pPr>
            <w:r>
              <w:rPr>
                <w:rFonts w:hint="eastAsia" w:ascii="宋体" w:hAnsi="宋体" w:cs="Tahoma"/>
              </w:rPr>
              <w:t>线上报名，CA办理及操作系统请咨询：政采云客服95763；《青海政府采购网》免费下载招标文件。（提示：请潜在供应商报名前务必完成网上企业注册等手续；具体操作详见附件操作指南或咨询：政采云客服95763）</w:t>
            </w:r>
          </w:p>
        </w:tc>
      </w:tr>
      <w:tr w14:paraId="5A3218C8">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4551A10">
            <w:pPr>
              <w:spacing w:line="360" w:lineRule="auto"/>
              <w:rPr>
                <w:rFonts w:ascii="宋体" w:hAnsi="宋体" w:cs="宋体"/>
                <w:color w:val="000000"/>
                <w:lang w:val="zh-CN"/>
              </w:rPr>
            </w:pPr>
            <w:r>
              <w:rPr>
                <w:rFonts w:hint="eastAsia" w:ascii="宋体" w:hAnsi="宋体" w:cs="宋体"/>
                <w:color w:val="000000"/>
                <w:lang w:val="zh-CN"/>
              </w:rPr>
              <w:t>招标文件售价</w:t>
            </w:r>
          </w:p>
        </w:tc>
        <w:tc>
          <w:tcPr>
            <w:tcW w:w="7462" w:type="dxa"/>
            <w:tcBorders>
              <w:top w:val="single" w:color="000000" w:sz="6" w:space="0"/>
              <w:left w:val="single" w:color="000000" w:sz="6" w:space="0"/>
              <w:bottom w:val="single" w:color="000000" w:sz="6" w:space="0"/>
              <w:right w:val="single" w:color="000000" w:sz="6" w:space="0"/>
            </w:tcBorders>
            <w:vAlign w:val="center"/>
          </w:tcPr>
          <w:p w14:paraId="19557A20">
            <w:pPr>
              <w:pStyle w:val="209"/>
              <w:spacing w:line="360" w:lineRule="auto"/>
              <w:jc w:val="both"/>
              <w:rPr>
                <w:rFonts w:ascii="宋体" w:hAnsi="宋体" w:cs="宋体"/>
                <w:color w:val="000000"/>
                <w:lang w:val="zh-CN"/>
              </w:rPr>
            </w:pPr>
            <w:r>
              <w:rPr>
                <w:rFonts w:hint="eastAsia" w:ascii="宋体" w:hAnsi="宋体" w:cs="宋体"/>
                <w:color w:val="000000"/>
                <w:lang w:val="zh-CN"/>
              </w:rPr>
              <w:t>0.00</w:t>
            </w:r>
          </w:p>
        </w:tc>
      </w:tr>
      <w:tr w14:paraId="78408D7B">
        <w:tblPrEx>
          <w:tblCellMar>
            <w:top w:w="0" w:type="dxa"/>
            <w:left w:w="108" w:type="dxa"/>
            <w:bottom w:w="0" w:type="dxa"/>
            <w:right w:w="108" w:type="dxa"/>
          </w:tblCellMar>
        </w:tblPrEx>
        <w:trPr>
          <w:trHeight w:val="674"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B313356">
            <w:pPr>
              <w:spacing w:line="360" w:lineRule="auto"/>
              <w:rPr>
                <w:rFonts w:ascii="宋体" w:hAnsi="宋体" w:cs="宋体"/>
                <w:color w:val="000000"/>
                <w:lang w:val="zh-CN"/>
              </w:rPr>
            </w:pPr>
            <w:r>
              <w:rPr>
                <w:rFonts w:hint="eastAsia" w:ascii="宋体" w:hAnsi="宋体" w:cs="宋体"/>
                <w:color w:val="000000"/>
                <w:lang w:val="zh-CN"/>
              </w:rPr>
              <w:t>获取招标文件地点</w:t>
            </w:r>
          </w:p>
        </w:tc>
        <w:tc>
          <w:tcPr>
            <w:tcW w:w="7462" w:type="dxa"/>
            <w:tcBorders>
              <w:top w:val="single" w:color="000000" w:sz="6" w:space="0"/>
              <w:left w:val="single" w:color="000000" w:sz="6" w:space="0"/>
              <w:bottom w:val="single" w:color="000000" w:sz="6" w:space="0"/>
              <w:right w:val="single" w:color="000000" w:sz="6" w:space="0"/>
            </w:tcBorders>
            <w:vAlign w:val="center"/>
          </w:tcPr>
          <w:p w14:paraId="078242FE">
            <w:pPr>
              <w:pStyle w:val="209"/>
              <w:spacing w:line="360" w:lineRule="auto"/>
              <w:jc w:val="both"/>
              <w:rPr>
                <w:rFonts w:ascii="宋体" w:hAnsi="宋体"/>
              </w:rPr>
            </w:pPr>
            <w:r>
              <w:rPr>
                <w:rFonts w:hint="eastAsia"/>
              </w:rPr>
              <w:t>《政采云平台》免费下载招标文件。</w:t>
            </w:r>
          </w:p>
        </w:tc>
      </w:tr>
      <w:tr w14:paraId="3047C07C">
        <w:tblPrEx>
          <w:tblCellMar>
            <w:top w:w="0" w:type="dxa"/>
            <w:left w:w="108" w:type="dxa"/>
            <w:bottom w:w="0" w:type="dxa"/>
            <w:right w:w="108" w:type="dxa"/>
          </w:tblCellMar>
        </w:tblPrEx>
        <w:trPr>
          <w:trHeight w:val="465"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5171B83">
            <w:pPr>
              <w:spacing w:line="360" w:lineRule="auto"/>
              <w:rPr>
                <w:rFonts w:ascii="宋体" w:hAnsi="宋体" w:cs="宋体"/>
                <w:color w:val="000000"/>
                <w:lang w:val="zh-CN"/>
              </w:rPr>
            </w:pPr>
            <w:r>
              <w:rPr>
                <w:rFonts w:hint="eastAsia" w:ascii="宋体" w:hAnsi="宋体" w:cs="宋体"/>
                <w:color w:val="000000"/>
                <w:lang w:val="zh-CN"/>
              </w:rPr>
              <w:t>电子签到</w:t>
            </w:r>
            <w:r>
              <w:rPr>
                <w:rFonts w:hint="eastAsia" w:ascii="宋体" w:hAnsi="宋体" w:cs="宋体"/>
                <w:color w:val="000000"/>
              </w:rPr>
              <w:t>及</w:t>
            </w:r>
            <w:r>
              <w:rPr>
                <w:rFonts w:hint="eastAsia" w:ascii="宋体" w:hAnsi="宋体" w:cs="宋体"/>
                <w:color w:val="000000"/>
                <w:lang w:val="zh-CN"/>
              </w:rPr>
              <w:t>解密时间</w:t>
            </w:r>
          </w:p>
        </w:tc>
        <w:tc>
          <w:tcPr>
            <w:tcW w:w="7462" w:type="dxa"/>
            <w:tcBorders>
              <w:top w:val="single" w:color="000000" w:sz="6" w:space="0"/>
              <w:left w:val="single" w:color="000000" w:sz="6" w:space="0"/>
              <w:bottom w:val="single" w:color="000000" w:sz="6" w:space="0"/>
              <w:right w:val="single" w:color="000000" w:sz="6" w:space="0"/>
            </w:tcBorders>
            <w:vAlign w:val="center"/>
          </w:tcPr>
          <w:p w14:paraId="71B2DE0C">
            <w:pPr>
              <w:spacing w:line="360" w:lineRule="auto"/>
              <w:rPr>
                <w:rFonts w:ascii="宋体" w:hAnsi="宋体" w:cs="宋体"/>
                <w:lang w:val="zh-CN"/>
              </w:rPr>
            </w:pPr>
            <w:r>
              <w:rPr>
                <w:rFonts w:hint="eastAsia" w:ascii="宋体" w:hAnsi="宋体" w:cs="宋体"/>
                <w:b/>
                <w:bCs/>
                <w:color w:val="FF0000"/>
                <w:lang w:val="zh-CN"/>
              </w:rPr>
              <w:t>202</w:t>
            </w:r>
            <w:r>
              <w:rPr>
                <w:rFonts w:hint="eastAsia" w:ascii="宋体" w:hAnsi="宋体" w:cs="宋体"/>
                <w:b/>
                <w:bCs/>
                <w:color w:val="FF0000"/>
              </w:rPr>
              <w:t>5</w:t>
            </w:r>
            <w:r>
              <w:rPr>
                <w:rFonts w:hint="eastAsia" w:ascii="宋体" w:hAnsi="宋体" w:cs="宋体"/>
                <w:b/>
                <w:bCs/>
                <w:color w:val="FF0000"/>
                <w:lang w:val="zh-CN"/>
              </w:rPr>
              <w:t>年</w:t>
            </w:r>
            <w:r>
              <w:rPr>
                <w:rFonts w:hint="eastAsia" w:ascii="宋体" w:hAnsi="宋体" w:cs="宋体"/>
                <w:b/>
                <w:bCs/>
                <w:color w:val="FF0000"/>
                <w:lang w:val="en-US" w:eastAsia="zh-CN"/>
              </w:rPr>
              <w:t>4</w:t>
            </w:r>
            <w:r>
              <w:rPr>
                <w:rFonts w:hint="eastAsia" w:ascii="宋体" w:hAnsi="宋体" w:cs="宋体"/>
                <w:b/>
                <w:bCs/>
                <w:color w:val="FF0000"/>
                <w:lang w:val="zh-CN"/>
              </w:rPr>
              <w:t>月</w:t>
            </w:r>
            <w:r>
              <w:rPr>
                <w:rFonts w:hint="eastAsia" w:ascii="宋体" w:hAnsi="宋体" w:cs="宋体"/>
                <w:b/>
                <w:bCs/>
                <w:color w:val="FF0000"/>
                <w:lang w:val="en-US" w:eastAsia="zh-CN"/>
              </w:rPr>
              <w:t>10</w:t>
            </w:r>
            <w:r>
              <w:rPr>
                <w:rFonts w:hint="eastAsia" w:ascii="宋体" w:hAnsi="宋体" w:cs="宋体"/>
                <w:b/>
                <w:bCs/>
                <w:color w:val="FF0000"/>
                <w:lang w:val="zh-CN"/>
              </w:rPr>
              <w:t>日</w:t>
            </w:r>
            <w:r>
              <w:rPr>
                <w:rFonts w:hint="eastAsia" w:ascii="宋体" w:hAnsi="宋体" w:cs="宋体"/>
                <w:b/>
                <w:bCs/>
                <w:color w:val="FF0000"/>
              </w:rPr>
              <w:t>上午09</w:t>
            </w:r>
            <w:r>
              <w:rPr>
                <w:rFonts w:hint="eastAsia" w:ascii="宋体" w:hAnsi="宋体" w:cs="宋体"/>
                <w:b/>
                <w:bCs/>
                <w:color w:val="FF0000"/>
                <w:lang w:val="zh-CN"/>
              </w:rPr>
              <w:t>:00:00时（北京时间）</w:t>
            </w:r>
          </w:p>
        </w:tc>
      </w:tr>
      <w:tr w14:paraId="0489DFBE">
        <w:tblPrEx>
          <w:tblCellMar>
            <w:top w:w="0" w:type="dxa"/>
            <w:left w:w="108" w:type="dxa"/>
            <w:bottom w:w="0" w:type="dxa"/>
            <w:right w:w="108" w:type="dxa"/>
          </w:tblCellMar>
        </w:tblPrEx>
        <w:trPr>
          <w:trHeight w:val="301"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D7951B2">
            <w:pPr>
              <w:spacing w:line="360" w:lineRule="auto"/>
              <w:rPr>
                <w:rFonts w:ascii="宋体" w:hAnsi="宋体" w:cs="宋体"/>
                <w:color w:val="000000"/>
                <w:lang w:val="zh-CN"/>
              </w:rPr>
            </w:pPr>
            <w:r>
              <w:rPr>
                <w:rFonts w:hint="eastAsia" w:ascii="宋体" w:hAnsi="宋体" w:cs="宋体"/>
                <w:color w:val="000000"/>
                <w:lang w:val="zh-CN"/>
              </w:rPr>
              <w:t>投标及开标地点</w:t>
            </w:r>
          </w:p>
        </w:tc>
        <w:tc>
          <w:tcPr>
            <w:tcW w:w="7462" w:type="dxa"/>
            <w:tcBorders>
              <w:top w:val="single" w:color="000000" w:sz="6" w:space="0"/>
              <w:left w:val="single" w:color="000000" w:sz="6" w:space="0"/>
              <w:bottom w:val="single" w:color="000000" w:sz="6" w:space="0"/>
              <w:right w:val="single" w:color="000000" w:sz="6" w:space="0"/>
            </w:tcBorders>
            <w:vAlign w:val="center"/>
          </w:tcPr>
          <w:p w14:paraId="69ECD191">
            <w:pPr>
              <w:pStyle w:val="239"/>
              <w:ind w:firstLine="0"/>
              <w:rPr>
                <w:lang w:val="zh-CN"/>
              </w:rPr>
            </w:pPr>
            <w:r>
              <w:rPr>
                <w:rFonts w:hint="eastAsia" w:ascii="宋体" w:hAnsi="宋体" w:cs="宋体"/>
              </w:rPr>
              <w:t>政采云平台（www.zcygov.cn） 如非系统原因造成无法解密的或非系统原因加密文件上传不成功的或没办理CA锁而造成加密文件无法解密、加密文件无法上传的视为无效投标。</w:t>
            </w:r>
          </w:p>
        </w:tc>
      </w:tr>
      <w:tr w14:paraId="1AF3DB01">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9896D7E">
            <w:pPr>
              <w:spacing w:line="360" w:lineRule="auto"/>
              <w:rPr>
                <w:rFonts w:ascii="宋体" w:hAnsi="宋体" w:cs="宋体"/>
                <w:color w:val="000000"/>
                <w:lang w:val="zh-CN"/>
              </w:rPr>
            </w:pPr>
            <w:r>
              <w:rPr>
                <w:rFonts w:hint="eastAsia" w:ascii="宋体" w:hAnsi="Cambria" w:cs="宋体"/>
                <w:lang w:val="zh-CN"/>
              </w:rPr>
              <w:t>答疑或澄清或告知方式</w:t>
            </w:r>
          </w:p>
        </w:tc>
        <w:tc>
          <w:tcPr>
            <w:tcW w:w="7462" w:type="dxa"/>
            <w:tcBorders>
              <w:top w:val="single" w:color="000000" w:sz="6" w:space="0"/>
              <w:left w:val="single" w:color="000000" w:sz="6" w:space="0"/>
              <w:bottom w:val="single" w:color="000000" w:sz="6" w:space="0"/>
              <w:right w:val="single" w:color="000000" w:sz="6" w:space="0"/>
            </w:tcBorders>
            <w:vAlign w:val="center"/>
          </w:tcPr>
          <w:p w14:paraId="3231FBCE">
            <w:pPr>
              <w:spacing w:line="360" w:lineRule="auto"/>
              <w:ind w:left="240" w:hanging="240"/>
              <w:rPr>
                <w:rFonts w:ascii="宋体" w:hAnsi="宋体" w:cs="宋体"/>
                <w:color w:val="000000"/>
                <w:lang w:val="zh-CN"/>
              </w:rPr>
            </w:pPr>
            <w:r>
              <w:rPr>
                <w:rFonts w:hint="eastAsia" w:ascii="宋体" w:hAnsi="宋体" w:cs="宋体"/>
              </w:rPr>
              <w:t>在政采云平台（www.zcygov.cn），由</w:t>
            </w:r>
            <w:r>
              <w:rPr>
                <w:rFonts w:hint="eastAsia" w:ascii="宋体" w:hAnsi="宋体"/>
              </w:rPr>
              <w:t>供应商法定代表人或委托代理人在</w:t>
            </w:r>
            <w:r>
              <w:rPr>
                <w:rFonts w:hint="eastAsia" w:hAnsi="宋体"/>
              </w:rPr>
              <w:t>规定的时间等候答疑</w:t>
            </w:r>
          </w:p>
        </w:tc>
      </w:tr>
      <w:tr w14:paraId="7C08B7CE">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31D1564B">
            <w:pPr>
              <w:spacing w:line="360" w:lineRule="auto"/>
              <w:rPr>
                <w:rFonts w:ascii="宋体" w:hAnsi="宋体" w:cs="宋体"/>
                <w:color w:val="000000"/>
                <w:lang w:val="zh-CN"/>
              </w:rPr>
            </w:pPr>
            <w:r>
              <w:rPr>
                <w:rFonts w:hint="eastAsia" w:ascii="宋体" w:hAnsi="宋体" w:cs="宋体"/>
                <w:color w:val="000000"/>
                <w:lang w:val="zh-CN"/>
              </w:rPr>
              <w:t>采购人联系</w:t>
            </w:r>
            <w:r>
              <w:rPr>
                <w:rFonts w:hint="eastAsia" w:ascii="宋体" w:hAnsi="宋体" w:cs="宋体"/>
                <w:color w:val="000000"/>
              </w:rPr>
              <w:t>人</w:t>
            </w:r>
          </w:p>
        </w:tc>
        <w:tc>
          <w:tcPr>
            <w:tcW w:w="7462" w:type="dxa"/>
            <w:tcBorders>
              <w:top w:val="single" w:color="000000" w:sz="6" w:space="0"/>
              <w:left w:val="single" w:color="000000" w:sz="6" w:space="0"/>
              <w:bottom w:val="single" w:color="000000" w:sz="6" w:space="0"/>
              <w:right w:val="single" w:color="000000" w:sz="6" w:space="0"/>
            </w:tcBorders>
            <w:vAlign w:val="center"/>
          </w:tcPr>
          <w:p w14:paraId="09A5C395">
            <w:pPr>
              <w:spacing w:line="360" w:lineRule="auto"/>
              <w:rPr>
                <w:rFonts w:ascii="宋体" w:hAnsi="宋体" w:cs="宋体"/>
                <w:color w:val="000000"/>
              </w:rPr>
            </w:pPr>
            <w:r>
              <w:rPr>
                <w:rFonts w:hint="eastAsia" w:ascii="宋体" w:hAnsi="宋体" w:cs="宋体"/>
                <w:color w:val="000000"/>
                <w:lang w:val="zh-CN"/>
              </w:rPr>
              <w:t>刚察县公安局</w:t>
            </w:r>
          </w:p>
          <w:p w14:paraId="02448F8C">
            <w:pPr>
              <w:spacing w:line="360" w:lineRule="auto"/>
              <w:ind w:left="240" w:hanging="240"/>
              <w:rPr>
                <w:rFonts w:ascii="宋体" w:hAnsi="宋体" w:cs="宋体"/>
                <w:color w:val="000000"/>
              </w:rPr>
            </w:pPr>
            <w:r>
              <w:rPr>
                <w:rFonts w:hint="eastAsia" w:ascii="宋体" w:hAnsi="宋体" w:cs="宋体"/>
                <w:color w:val="000000"/>
                <w:lang w:val="zh-CN"/>
              </w:rPr>
              <w:t>联系人：王警官</w:t>
            </w:r>
            <w:r>
              <w:rPr>
                <w:rFonts w:hint="eastAsia" w:ascii="宋体" w:hAnsi="宋体" w:cs="宋体"/>
                <w:color w:val="000000"/>
              </w:rPr>
              <w:t xml:space="preserve">                   </w:t>
            </w:r>
            <w:r>
              <w:rPr>
                <w:rFonts w:hint="eastAsia" w:ascii="宋体" w:hAnsi="宋体" w:cs="宋体"/>
                <w:color w:val="000000"/>
                <w:lang w:val="zh-CN"/>
              </w:rPr>
              <w:t>联系电话：</w:t>
            </w:r>
            <w:r>
              <w:rPr>
                <w:rFonts w:hint="eastAsia" w:ascii="宋体" w:hAnsi="宋体" w:cs="宋体"/>
                <w:lang w:val="zh-CN"/>
              </w:rPr>
              <w:t>0970-8652523</w:t>
            </w:r>
          </w:p>
        </w:tc>
      </w:tr>
      <w:tr w14:paraId="081D62A8">
        <w:tblPrEx>
          <w:tblCellMar>
            <w:top w:w="0" w:type="dxa"/>
            <w:left w:w="108" w:type="dxa"/>
            <w:bottom w:w="0" w:type="dxa"/>
            <w:right w:w="108" w:type="dxa"/>
          </w:tblCellMar>
        </w:tblPrEx>
        <w:trPr>
          <w:trHeight w:val="805"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72C1393C">
            <w:pPr>
              <w:spacing w:line="360" w:lineRule="auto"/>
              <w:rPr>
                <w:rFonts w:ascii="宋体" w:hAnsi="宋体" w:cs="宋体"/>
                <w:color w:val="000000"/>
                <w:sz w:val="21"/>
                <w:szCs w:val="21"/>
              </w:rPr>
            </w:pPr>
            <w:r>
              <w:rPr>
                <w:rFonts w:hint="eastAsia" w:ascii="宋体" w:hAnsi="宋体" w:cs="宋体"/>
                <w:sz w:val="21"/>
                <w:szCs w:val="21"/>
              </w:rPr>
              <w:t>集中</w:t>
            </w:r>
            <w:r>
              <w:rPr>
                <w:rFonts w:ascii="宋体" w:hAnsi="宋体" w:cs="宋体"/>
                <w:sz w:val="21"/>
                <w:szCs w:val="21"/>
              </w:rPr>
              <w:t>采购机构及联系人</w:t>
            </w:r>
          </w:p>
        </w:tc>
        <w:tc>
          <w:tcPr>
            <w:tcW w:w="7462" w:type="dxa"/>
            <w:tcBorders>
              <w:top w:val="single" w:color="000000" w:sz="6" w:space="0"/>
              <w:left w:val="single" w:color="000000" w:sz="6" w:space="0"/>
              <w:bottom w:val="single" w:color="000000" w:sz="6" w:space="0"/>
              <w:right w:val="single" w:color="000000" w:sz="6" w:space="0"/>
            </w:tcBorders>
            <w:vAlign w:val="center"/>
          </w:tcPr>
          <w:p w14:paraId="733FE5F0">
            <w:pPr>
              <w:spacing w:line="360" w:lineRule="auto"/>
              <w:rPr>
                <w:rFonts w:ascii="宋体" w:hAnsi="宋体" w:cs="宋体"/>
                <w:szCs w:val="21"/>
              </w:rPr>
            </w:pPr>
            <w:r>
              <w:rPr>
                <w:rFonts w:hint="eastAsia" w:ascii="宋体" w:hAnsi="宋体" w:cs="宋体"/>
                <w:szCs w:val="21"/>
              </w:rPr>
              <w:t>刚察县政府采购中心</w:t>
            </w:r>
          </w:p>
          <w:p w14:paraId="4926F329">
            <w:pPr>
              <w:spacing w:line="360" w:lineRule="auto"/>
              <w:rPr>
                <w:rFonts w:ascii="宋体" w:hAnsi="宋体" w:cs="宋体"/>
                <w:color w:val="000000"/>
                <w:lang w:val="zh-CN"/>
              </w:rPr>
            </w:pPr>
            <w:r>
              <w:rPr>
                <w:rFonts w:hint="eastAsia" w:ascii="宋体" w:hAnsi="宋体" w:cs="宋体"/>
                <w:color w:val="000000"/>
                <w:lang w:val="zh-CN"/>
              </w:rPr>
              <w:t>联系人：</w:t>
            </w:r>
            <w:r>
              <w:rPr>
                <w:rFonts w:hint="eastAsia" w:ascii="宋体" w:hAnsi="宋体" w:cs="宋体"/>
                <w:szCs w:val="21"/>
              </w:rPr>
              <w:t>徐先生                   联系电话：0970-8659329</w:t>
            </w:r>
          </w:p>
        </w:tc>
      </w:tr>
      <w:tr w14:paraId="03115C98">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52179D83">
            <w:pPr>
              <w:spacing w:line="360" w:lineRule="auto"/>
              <w:rPr>
                <w:rFonts w:ascii="宋体" w:hAnsi="宋体" w:cs="宋体"/>
                <w:color w:val="000000"/>
                <w:lang w:val="zh-CN"/>
              </w:rPr>
            </w:pPr>
            <w:r>
              <w:rPr>
                <w:rFonts w:hint="eastAsia" w:ascii="宋体" w:hAnsi="宋体" w:cs="宋体"/>
                <w:color w:val="000000"/>
                <w:lang w:val="zh-CN"/>
              </w:rPr>
              <w:t>其他事项</w:t>
            </w:r>
          </w:p>
        </w:tc>
        <w:tc>
          <w:tcPr>
            <w:tcW w:w="7462" w:type="dxa"/>
            <w:tcBorders>
              <w:top w:val="single" w:color="000000" w:sz="6" w:space="0"/>
              <w:left w:val="single" w:color="000000" w:sz="6" w:space="0"/>
              <w:bottom w:val="single" w:color="000000" w:sz="6" w:space="0"/>
              <w:right w:val="single" w:color="000000" w:sz="6" w:space="0"/>
            </w:tcBorders>
            <w:vAlign w:val="center"/>
          </w:tcPr>
          <w:p w14:paraId="60750E29">
            <w:pPr>
              <w:widowControl/>
              <w:spacing w:line="320" w:lineRule="exact"/>
              <w:jc w:val="left"/>
            </w:pPr>
            <w:r>
              <w:rPr>
                <w:rFonts w:hint="eastAsia"/>
              </w:rPr>
              <w:t>1、本次项目招标采用线上进行，供应商无需到达现场开标，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p>
          <w:p w14:paraId="368A7EC6">
            <w:pPr>
              <w:widowControl/>
              <w:spacing w:line="320" w:lineRule="exact"/>
              <w:jc w:val="left"/>
            </w:pPr>
            <w:r>
              <w:rPr>
                <w:rFonts w:hint="eastAsia"/>
              </w:rPr>
              <w:t>2、线上电子化开评标系统操作及办理CA锁等相关事宜请咨询政采云</w:t>
            </w:r>
          </w:p>
          <w:p w14:paraId="2500519A">
            <w:pPr>
              <w:widowControl/>
              <w:spacing w:line="320" w:lineRule="exact"/>
              <w:jc w:val="left"/>
            </w:pPr>
            <w:r>
              <w:rPr>
                <w:rFonts w:hint="eastAsia"/>
              </w:rPr>
              <w:t>3、线上CA：PC咨询网址（可及时反馈问题截图，让客服快速定位问题）:http://tseal.cn/k.html，咨询电话：17797113425王老师</w:t>
            </w:r>
          </w:p>
          <w:p w14:paraId="702A9292">
            <w:pPr>
              <w:widowControl/>
              <w:spacing w:line="320" w:lineRule="exact"/>
            </w:pPr>
            <w:r>
              <w:rPr>
                <w:rFonts w:hint="eastAsia"/>
              </w:rPr>
              <w:t>4、注：投标供应商务必在开标当天9：30时之前进入电子开标系统完成电子签到，如未签到无法解密的视为自动放弃。</w:t>
            </w:r>
          </w:p>
          <w:p w14:paraId="4DF317BC">
            <w:pPr>
              <w:widowControl/>
              <w:spacing w:line="320" w:lineRule="exact"/>
              <w:rPr>
                <w:rFonts w:ascii="Calibri" w:hAnsi="Calibri"/>
                <w:kern w:val="2"/>
              </w:rPr>
            </w:pPr>
            <w:r>
              <w:rPr>
                <w:rFonts w:hint="eastAsia"/>
              </w:rPr>
              <w:t>5</w:t>
            </w:r>
            <w:r>
              <w:rPr>
                <w:rFonts w:hint="eastAsia" w:ascii="Calibri" w:hAnsi="Calibri"/>
                <w:kern w:val="2"/>
              </w:rPr>
              <w:t>、本公告及变更信息以青海省政府采购网发布的公告信息为准。</w:t>
            </w:r>
          </w:p>
          <w:p w14:paraId="514050F4">
            <w:pPr>
              <w:widowControl/>
              <w:spacing w:line="320" w:lineRule="exact"/>
              <w:rPr>
                <w:rFonts w:ascii="Calibri" w:hAnsi="Calibri"/>
                <w:kern w:val="2"/>
              </w:rPr>
            </w:pPr>
            <w:r>
              <w:rPr>
                <w:rFonts w:hint="eastAsia" w:ascii="Calibri" w:hAnsi="Calibri"/>
                <w:kern w:val="2"/>
              </w:rPr>
              <w:t>6、招标文件中凡需与原有设备、系统并机、兼容、匹配等要求的，请主动和采购人联系，取得原有设备、系统相关资料。若有招标文件未提及或变更内容的，请及时与采购人联系。</w:t>
            </w:r>
          </w:p>
        </w:tc>
      </w:tr>
      <w:tr w14:paraId="1AC2862D">
        <w:tblPrEx>
          <w:tblCellMar>
            <w:top w:w="0" w:type="dxa"/>
            <w:left w:w="108" w:type="dxa"/>
            <w:bottom w:w="0" w:type="dxa"/>
            <w:right w:w="108" w:type="dxa"/>
          </w:tblCellMar>
        </w:tblPrEx>
        <w:trPr>
          <w:trHeight w:val="23" w:hRule="atLeast"/>
          <w:jc w:val="center"/>
        </w:trPr>
        <w:tc>
          <w:tcPr>
            <w:tcW w:w="2459" w:type="dxa"/>
            <w:tcBorders>
              <w:top w:val="single" w:color="000000" w:sz="6" w:space="0"/>
              <w:left w:val="single" w:color="000000" w:sz="6" w:space="0"/>
              <w:bottom w:val="single" w:color="000000" w:sz="6" w:space="0"/>
              <w:right w:val="single" w:color="000000" w:sz="6" w:space="0"/>
            </w:tcBorders>
            <w:vAlign w:val="center"/>
          </w:tcPr>
          <w:p w14:paraId="4136551E">
            <w:pPr>
              <w:spacing w:line="360" w:lineRule="auto"/>
              <w:rPr>
                <w:rFonts w:ascii="宋体" w:hAnsi="宋体" w:cs="宋体"/>
                <w:color w:val="000000"/>
                <w:lang w:val="zh-CN"/>
              </w:rPr>
            </w:pPr>
            <w:r>
              <w:rPr>
                <w:rFonts w:hint="eastAsia" w:ascii="宋体" w:hAnsi="宋体" w:cs="宋体"/>
                <w:color w:val="000000"/>
                <w:lang w:val="zh-CN"/>
              </w:rPr>
              <w:t>财政监督部门及电话</w:t>
            </w:r>
          </w:p>
        </w:tc>
        <w:tc>
          <w:tcPr>
            <w:tcW w:w="7462" w:type="dxa"/>
            <w:tcBorders>
              <w:top w:val="single" w:color="000000" w:sz="6" w:space="0"/>
              <w:left w:val="single" w:color="000000" w:sz="6" w:space="0"/>
              <w:bottom w:val="single" w:color="000000" w:sz="6" w:space="0"/>
              <w:right w:val="single" w:color="000000" w:sz="6" w:space="0"/>
            </w:tcBorders>
            <w:vAlign w:val="center"/>
          </w:tcPr>
          <w:p w14:paraId="17A4B3B4">
            <w:pPr>
              <w:spacing w:line="360" w:lineRule="auto"/>
              <w:rPr>
                <w:rFonts w:ascii="宋体" w:hAnsi="宋体" w:cs="宋体"/>
                <w:color w:val="000000"/>
                <w:lang w:val="zh-CN"/>
              </w:rPr>
            </w:pPr>
            <w:r>
              <w:rPr>
                <w:rFonts w:hint="eastAsia" w:ascii="宋体" w:hAnsi="宋体" w:cs="宋体"/>
                <w:color w:val="000000"/>
                <w:lang w:val="zh-CN"/>
              </w:rPr>
              <w:t xml:space="preserve">刚察县财政局           </w:t>
            </w:r>
            <w:r>
              <w:rPr>
                <w:rFonts w:hint="eastAsia" w:ascii="宋体" w:hAnsi="宋体" w:cs="宋体"/>
                <w:color w:val="000000"/>
              </w:rPr>
              <w:t xml:space="preserve">   </w:t>
            </w:r>
            <w:r>
              <w:rPr>
                <w:rFonts w:hint="eastAsia" w:ascii="宋体" w:hAnsi="宋体" w:cs="宋体"/>
                <w:color w:val="000000"/>
                <w:lang w:val="zh-CN"/>
              </w:rPr>
              <w:t>联系电话：</w:t>
            </w:r>
            <w:r>
              <w:rPr>
                <w:rFonts w:hint="eastAsia" w:ascii="宋体" w:hAnsi="宋体" w:cs="宋体"/>
                <w:szCs w:val="21"/>
              </w:rPr>
              <w:t>0970-8659329</w:t>
            </w:r>
          </w:p>
        </w:tc>
      </w:tr>
      <w:bookmarkEnd w:id="1"/>
    </w:tbl>
    <w:p w14:paraId="2B0846A0">
      <w:pPr>
        <w:rPr>
          <w:rFonts w:ascii="宋体" w:hAnsi="宋体" w:cs="宋体"/>
          <w:color w:val="000000"/>
          <w:lang w:val="zh-CN"/>
        </w:rPr>
      </w:pPr>
      <w:bookmarkStart w:id="2" w:name="_Toc24554913"/>
    </w:p>
    <w:p w14:paraId="5CB8224F">
      <w:pPr>
        <w:pStyle w:val="235"/>
        <w:spacing w:before="0" w:after="0" w:line="360" w:lineRule="auto"/>
        <w:rPr>
          <w:rFonts w:ascii="宋体" w:hAnsi="宋体" w:cs="宋体"/>
          <w:color w:val="000000"/>
          <w:szCs w:val="36"/>
        </w:rPr>
      </w:pPr>
      <w:bookmarkStart w:id="3" w:name="_Toc6896"/>
      <w:r>
        <w:rPr>
          <w:rFonts w:hint="eastAsia" w:ascii="宋体" w:hAnsi="宋体" w:cs="宋体"/>
          <w:color w:val="000000"/>
          <w:szCs w:val="36"/>
          <w:lang w:val="zh-CN"/>
        </w:rPr>
        <w:t>第二部分  投标人须知</w:t>
      </w:r>
      <w:bookmarkEnd w:id="2"/>
      <w:bookmarkEnd w:id="3"/>
    </w:p>
    <w:p w14:paraId="1745B286">
      <w:pPr>
        <w:pStyle w:val="235"/>
        <w:spacing w:before="0" w:after="0" w:line="360" w:lineRule="auto"/>
        <w:rPr>
          <w:rFonts w:ascii="宋体" w:hAnsi="宋体" w:cs="宋体"/>
          <w:color w:val="000000"/>
        </w:rPr>
      </w:pPr>
      <w:bookmarkStart w:id="4" w:name="_Toc27414"/>
      <w:r>
        <w:rPr>
          <w:rFonts w:hint="eastAsia" w:ascii="宋体" w:hAnsi="宋体" w:cs="宋体"/>
          <w:color w:val="000000"/>
          <w:lang w:val="zh-CN"/>
        </w:rPr>
        <w:t>一、说明</w:t>
      </w:r>
      <w:bookmarkEnd w:id="4"/>
    </w:p>
    <w:p w14:paraId="3401E740">
      <w:pPr>
        <w:pStyle w:val="235"/>
        <w:spacing w:before="0" w:after="0" w:line="360" w:lineRule="auto"/>
        <w:jc w:val="left"/>
        <w:rPr>
          <w:rFonts w:ascii="宋体" w:hAnsi="宋体" w:cs="宋体"/>
          <w:color w:val="000000"/>
          <w:lang w:val="zh-CN"/>
        </w:rPr>
      </w:pPr>
      <w:bookmarkStart w:id="5" w:name="_Toc4785"/>
      <w:r>
        <w:rPr>
          <w:rFonts w:hint="eastAsia" w:ascii="宋体" w:hAnsi="宋体" w:cs="宋体"/>
          <w:color w:val="000000"/>
          <w:sz w:val="28"/>
          <w:szCs w:val="28"/>
          <w:lang w:val="zh-CN"/>
        </w:rPr>
        <w:t>1.适用范围</w:t>
      </w:r>
      <w:bookmarkEnd w:id="5"/>
    </w:p>
    <w:p w14:paraId="2081FF13">
      <w:pPr>
        <w:spacing w:line="360" w:lineRule="auto"/>
        <w:ind w:firstLine="360"/>
        <w:rPr>
          <w:rFonts w:ascii="宋体" w:hAnsi="宋体" w:cs="宋体"/>
          <w:color w:val="000000"/>
          <w:lang w:val="zh-CN"/>
        </w:rPr>
      </w:pPr>
      <w:r>
        <w:rPr>
          <w:rFonts w:hint="eastAsia" w:ascii="宋体" w:hAnsi="宋体" w:cs="宋体"/>
          <w:color w:val="000000"/>
          <w:lang w:val="zh-CN"/>
        </w:rPr>
        <w:t>本次招标依据采购人的采购计划，仅适用于本招标文件中所叙述的项目。</w:t>
      </w:r>
    </w:p>
    <w:p w14:paraId="03C07027">
      <w:pPr>
        <w:pStyle w:val="235"/>
        <w:spacing w:before="0" w:after="0" w:line="360" w:lineRule="auto"/>
        <w:jc w:val="left"/>
        <w:rPr>
          <w:rFonts w:ascii="宋体" w:hAnsi="宋体" w:cs="宋体"/>
          <w:color w:val="000000"/>
          <w:lang w:val="zh-CN"/>
        </w:rPr>
      </w:pPr>
      <w:bookmarkStart w:id="6" w:name="_Toc7014"/>
      <w:r>
        <w:rPr>
          <w:rFonts w:hint="eastAsia" w:ascii="宋体" w:hAnsi="宋体" w:cs="宋体"/>
          <w:color w:val="000000"/>
          <w:sz w:val="28"/>
          <w:szCs w:val="28"/>
          <w:lang w:val="zh-CN"/>
        </w:rPr>
        <w:t>2.采购方式、合格的投标人</w:t>
      </w:r>
      <w:bookmarkEnd w:id="6"/>
    </w:p>
    <w:p w14:paraId="0C6E0D20">
      <w:pPr>
        <w:spacing w:line="360" w:lineRule="auto"/>
        <w:ind w:firstLine="360"/>
        <w:rPr>
          <w:rFonts w:ascii="宋体" w:hAnsi="宋体" w:cs="宋体"/>
          <w:b/>
          <w:bCs/>
          <w:color w:val="000000"/>
          <w:lang w:val="zh-CN"/>
        </w:rPr>
      </w:pPr>
      <w:r>
        <w:rPr>
          <w:rFonts w:hint="eastAsia" w:ascii="宋体" w:hAnsi="宋体" w:cs="宋体"/>
          <w:color w:val="000000"/>
          <w:lang w:val="zh-CN"/>
        </w:rPr>
        <w:t>2.1</w:t>
      </w:r>
      <w:r>
        <w:rPr>
          <w:rFonts w:hint="eastAsia" w:ascii="宋体" w:hAnsi="宋体" w:cs="宋体"/>
          <w:color w:val="000000"/>
        </w:rPr>
        <w:t xml:space="preserve"> </w:t>
      </w:r>
      <w:r>
        <w:rPr>
          <w:rFonts w:hint="eastAsia" w:ascii="宋体" w:hAnsi="宋体" w:cs="宋体"/>
          <w:color w:val="000000"/>
          <w:lang w:val="zh-CN"/>
        </w:rPr>
        <w:t>本次招标采取公开招标方式。</w:t>
      </w:r>
    </w:p>
    <w:p w14:paraId="3816AB53">
      <w:pPr>
        <w:spacing w:line="360" w:lineRule="auto"/>
        <w:ind w:firstLine="360"/>
        <w:rPr>
          <w:rFonts w:ascii="宋体" w:hAnsi="宋体" w:cs="宋体"/>
          <w:color w:val="000000"/>
          <w:lang w:val="zh-CN"/>
        </w:rPr>
      </w:pPr>
      <w:r>
        <w:rPr>
          <w:rFonts w:hint="eastAsia" w:ascii="宋体" w:hAnsi="宋体" w:cs="宋体"/>
          <w:color w:val="000000"/>
          <w:lang w:val="zh-CN"/>
        </w:rPr>
        <w:t>2.2</w:t>
      </w:r>
      <w:r>
        <w:rPr>
          <w:rFonts w:hint="eastAsia" w:ascii="宋体" w:hAnsi="宋体" w:cs="宋体"/>
          <w:color w:val="000000"/>
        </w:rPr>
        <w:t xml:space="preserve"> </w:t>
      </w:r>
      <w:r>
        <w:rPr>
          <w:rFonts w:hint="eastAsia" w:ascii="宋体" w:hAnsi="宋体" w:cs="宋体"/>
          <w:color w:val="000000"/>
          <w:lang w:val="zh-CN"/>
        </w:rPr>
        <w:t>合格的投标人：详见第一部分</w:t>
      </w:r>
      <w:r>
        <w:rPr>
          <w:rFonts w:hint="eastAsia" w:ascii="宋体" w:hAnsi="宋体" w:cs="宋体"/>
          <w:color w:val="000000"/>
        </w:rPr>
        <w:t>“</w:t>
      </w:r>
      <w:r>
        <w:rPr>
          <w:rFonts w:hint="eastAsia" w:ascii="宋体" w:hAnsi="宋体" w:cs="宋体"/>
          <w:color w:val="000000"/>
          <w:lang w:val="zh-CN"/>
        </w:rPr>
        <w:t>各包投标人资格要求</w:t>
      </w:r>
      <w:r>
        <w:rPr>
          <w:rFonts w:hint="eastAsia" w:ascii="宋体" w:hAnsi="宋体" w:cs="宋体"/>
          <w:color w:val="000000"/>
        </w:rPr>
        <w:t>”。</w:t>
      </w:r>
    </w:p>
    <w:p w14:paraId="1FF34678">
      <w:pPr>
        <w:pStyle w:val="235"/>
        <w:spacing w:before="0" w:after="0" w:line="360" w:lineRule="auto"/>
        <w:jc w:val="left"/>
        <w:rPr>
          <w:rFonts w:ascii="宋体" w:hAnsi="宋体" w:cs="宋体"/>
          <w:color w:val="000000"/>
          <w:lang w:val="zh-CN"/>
        </w:rPr>
      </w:pPr>
      <w:bookmarkStart w:id="7" w:name="_Toc27559"/>
      <w:r>
        <w:rPr>
          <w:rFonts w:hint="eastAsia" w:ascii="宋体" w:hAnsi="宋体" w:cs="宋体"/>
          <w:color w:val="000000"/>
          <w:sz w:val="28"/>
          <w:szCs w:val="28"/>
          <w:lang w:val="zh-CN"/>
        </w:rPr>
        <w:t>3.投标费用</w:t>
      </w:r>
      <w:bookmarkEnd w:id="7"/>
    </w:p>
    <w:p w14:paraId="54A8CB1D">
      <w:pPr>
        <w:spacing w:line="360" w:lineRule="auto"/>
        <w:ind w:firstLine="480"/>
        <w:rPr>
          <w:rFonts w:ascii="宋体" w:hAnsi="宋体" w:cs="宋体"/>
          <w:color w:val="000000"/>
          <w:lang w:val="zh-CN"/>
        </w:rPr>
      </w:pPr>
      <w:r>
        <w:rPr>
          <w:rFonts w:hint="eastAsia" w:ascii="宋体" w:hAnsi="宋体" w:cs="宋体"/>
          <w:color w:val="000000"/>
          <w:lang w:val="zh-CN"/>
        </w:rPr>
        <w:t>投标人应自愿承担与参加本次投标有关的费用。采购中心对投标人发生的费用不承担任何责任。</w:t>
      </w:r>
    </w:p>
    <w:p w14:paraId="3D20EFF7">
      <w:pPr>
        <w:pStyle w:val="235"/>
        <w:spacing w:before="0" w:after="0" w:line="360" w:lineRule="auto"/>
        <w:rPr>
          <w:rFonts w:ascii="宋体" w:hAnsi="宋体" w:cs="宋体"/>
          <w:color w:val="000000"/>
        </w:rPr>
      </w:pPr>
      <w:bookmarkStart w:id="8" w:name="_Toc16631"/>
      <w:r>
        <w:rPr>
          <w:rFonts w:hint="eastAsia" w:ascii="宋体" w:hAnsi="宋体" w:cs="宋体"/>
          <w:color w:val="000000"/>
          <w:lang w:val="zh-CN"/>
        </w:rPr>
        <w:t>二、招标文件说明</w:t>
      </w:r>
      <w:bookmarkEnd w:id="8"/>
    </w:p>
    <w:p w14:paraId="1BA37F90">
      <w:pPr>
        <w:pStyle w:val="235"/>
        <w:spacing w:before="0" w:after="0" w:line="360" w:lineRule="auto"/>
        <w:jc w:val="left"/>
        <w:rPr>
          <w:rFonts w:ascii="宋体" w:hAnsi="宋体" w:cs="宋体"/>
          <w:color w:val="000000"/>
          <w:lang w:val="zh-CN"/>
        </w:rPr>
      </w:pPr>
      <w:bookmarkStart w:id="9" w:name="_Toc8001"/>
      <w:r>
        <w:rPr>
          <w:rFonts w:hint="eastAsia" w:ascii="宋体" w:hAnsi="宋体" w:cs="宋体"/>
          <w:color w:val="000000"/>
          <w:sz w:val="28"/>
          <w:szCs w:val="28"/>
          <w:lang w:val="zh-CN"/>
        </w:rPr>
        <w:t>4.招标文件的构成</w:t>
      </w:r>
      <w:bookmarkEnd w:id="9"/>
    </w:p>
    <w:p w14:paraId="60C8230C">
      <w:pPr>
        <w:spacing w:line="360" w:lineRule="auto"/>
        <w:ind w:firstLine="360"/>
        <w:rPr>
          <w:rFonts w:ascii="宋体" w:hAnsi="宋体" w:cs="宋体"/>
          <w:color w:val="000000"/>
          <w:lang w:val="zh-CN"/>
        </w:rPr>
      </w:pPr>
      <w:r>
        <w:rPr>
          <w:rFonts w:hint="eastAsia" w:ascii="宋体" w:hAnsi="宋体" w:cs="宋体"/>
          <w:color w:val="000000"/>
          <w:lang w:val="zh-CN"/>
        </w:rPr>
        <w:t>4.1</w:t>
      </w:r>
      <w:r>
        <w:rPr>
          <w:rFonts w:hint="eastAsia" w:ascii="宋体" w:hAnsi="宋体" w:cs="宋体"/>
          <w:color w:val="000000"/>
        </w:rPr>
        <w:t xml:space="preserve"> </w:t>
      </w:r>
      <w:r>
        <w:rPr>
          <w:rFonts w:hint="eastAsia" w:ascii="宋体" w:hAnsi="宋体" w:cs="宋体"/>
          <w:color w:val="000000"/>
          <w:lang w:val="zh-CN"/>
        </w:rPr>
        <w:t>招标文件包括：</w:t>
      </w:r>
    </w:p>
    <w:p w14:paraId="1130037A">
      <w:pPr>
        <w:spacing w:line="360" w:lineRule="auto"/>
        <w:ind w:firstLine="480"/>
        <w:rPr>
          <w:rFonts w:ascii="宋体" w:hAnsi="宋体" w:cs="宋体"/>
          <w:color w:val="000000"/>
          <w:lang w:val="zh-CN"/>
        </w:rPr>
      </w:pPr>
      <w:r>
        <w:rPr>
          <w:rFonts w:hint="eastAsia" w:ascii="宋体" w:hAnsi="宋体" w:cs="宋体"/>
          <w:color w:val="000000"/>
          <w:lang w:val="zh-CN"/>
        </w:rPr>
        <w:t>（1）投标邀请</w:t>
      </w:r>
    </w:p>
    <w:p w14:paraId="5E7BCC42">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2</w:t>
      </w:r>
      <w:r>
        <w:rPr>
          <w:rFonts w:hint="eastAsia" w:ascii="宋体" w:hAnsi="宋体" w:cs="宋体"/>
          <w:color w:val="000000"/>
          <w:lang w:val="zh-CN"/>
        </w:rPr>
        <w:t>）投标人须知</w:t>
      </w:r>
    </w:p>
    <w:p w14:paraId="5EB856A2">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3</w:t>
      </w:r>
      <w:r>
        <w:rPr>
          <w:rFonts w:hint="eastAsia" w:ascii="宋体" w:hAnsi="宋体" w:cs="宋体"/>
          <w:color w:val="000000"/>
          <w:lang w:val="zh-CN"/>
        </w:rPr>
        <w:t>）刚察县政府采购项目合同书范本</w:t>
      </w:r>
    </w:p>
    <w:p w14:paraId="492B0EF6">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4</w:t>
      </w:r>
      <w:r>
        <w:rPr>
          <w:rFonts w:hint="eastAsia" w:ascii="宋体" w:hAnsi="宋体" w:cs="宋体"/>
          <w:color w:val="000000"/>
          <w:lang w:val="zh-CN"/>
        </w:rPr>
        <w:t>）投标文件格式</w:t>
      </w:r>
    </w:p>
    <w:p w14:paraId="333AF9A8">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5</w:t>
      </w:r>
      <w:r>
        <w:rPr>
          <w:rFonts w:hint="eastAsia" w:ascii="宋体" w:hAnsi="宋体" w:cs="宋体"/>
          <w:color w:val="000000"/>
          <w:lang w:val="zh-CN"/>
        </w:rPr>
        <w:t>）采购项目要求及技术参数</w:t>
      </w:r>
    </w:p>
    <w:p w14:paraId="02B7C788">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6</w:t>
      </w:r>
      <w:r>
        <w:rPr>
          <w:rFonts w:hint="eastAsia" w:ascii="宋体" w:hAnsi="宋体" w:cs="宋体"/>
          <w:color w:val="000000"/>
          <w:lang w:val="zh-CN"/>
        </w:rPr>
        <w:t>）采购过程中发生的澄清、变更和补充文件</w:t>
      </w:r>
    </w:p>
    <w:p w14:paraId="107C3410">
      <w:pPr>
        <w:spacing w:line="360" w:lineRule="auto"/>
        <w:ind w:firstLine="480"/>
        <w:rPr>
          <w:rFonts w:ascii="宋体" w:hAnsi="宋体" w:cs="宋体"/>
          <w:color w:val="000000"/>
          <w:lang w:val="zh-CN"/>
        </w:rPr>
      </w:pPr>
      <w:r>
        <w:rPr>
          <w:rFonts w:hint="eastAsia" w:ascii="宋体" w:hAnsi="宋体" w:cs="宋体"/>
          <w:color w:val="000000"/>
          <w:lang w:val="zh-CN"/>
        </w:rPr>
        <w:t xml:space="preserve">4.2 </w:t>
      </w:r>
      <w:r>
        <w:rPr>
          <w:rFonts w:hint="eastAsia" w:ascii="宋体" w:hAnsi="宋体" w:cs="宋体"/>
        </w:rPr>
        <w:t>投标人按照招标文件的要求编制投标文件。投标文件对招标文件提出的要求和条件作出明确响应。</w:t>
      </w:r>
    </w:p>
    <w:p w14:paraId="7F83F494">
      <w:pPr>
        <w:pStyle w:val="235"/>
        <w:spacing w:before="0" w:after="0" w:line="360" w:lineRule="auto"/>
        <w:jc w:val="left"/>
        <w:rPr>
          <w:rFonts w:ascii="宋体" w:hAnsi="宋体" w:cs="宋体"/>
          <w:color w:val="000000"/>
          <w:sz w:val="28"/>
          <w:szCs w:val="28"/>
          <w:lang w:val="zh-CN"/>
        </w:rPr>
      </w:pPr>
      <w:bookmarkStart w:id="10" w:name="_Toc6239"/>
      <w:r>
        <w:rPr>
          <w:rFonts w:hint="eastAsia" w:ascii="宋体" w:hAnsi="宋体" w:cs="宋体"/>
          <w:color w:val="000000"/>
          <w:sz w:val="28"/>
          <w:szCs w:val="28"/>
          <w:lang w:val="zh-CN"/>
        </w:rPr>
        <w:t>5.招标文件、采购活动和中标结果的质疑</w:t>
      </w:r>
      <w:bookmarkEnd w:id="10"/>
    </w:p>
    <w:p w14:paraId="73D4446C">
      <w:pPr>
        <w:spacing w:line="360" w:lineRule="auto"/>
        <w:ind w:firstLine="480"/>
        <w:rPr>
          <w:rFonts w:ascii="宋体" w:hAnsi="宋体" w:cs="宋体"/>
          <w:color w:val="000000"/>
          <w:lang w:val="zh-CN"/>
        </w:rPr>
      </w:pPr>
      <w:r>
        <w:rPr>
          <w:rFonts w:hint="eastAsia" w:ascii="宋体" w:hAnsi="宋体" w:cs="宋体"/>
          <w:color w:val="000000"/>
          <w:lang w:val="zh-CN"/>
        </w:rPr>
        <w:t>投标人认为招标文件使自己的权益受到损害的，可以在知道或者应知其权益受到损害之日起7个工作日内以书面形式（如信件、传真等）向采购人或刚察县政府采购中心提出质疑，不接受匿名质疑。</w:t>
      </w:r>
      <w:r>
        <w:rPr>
          <w:rFonts w:ascii="Arial" w:hAnsi="Arial" w:cs="Arial"/>
          <w:color w:val="000000"/>
        </w:rPr>
        <w:t>潜在供应商已依法获取其可质疑的采购文件的，可以对该文件提出质疑</w:t>
      </w:r>
      <w:r>
        <w:rPr>
          <w:rFonts w:hint="eastAsia" w:ascii="Arial" w:hAnsi="Arial" w:cs="Arial"/>
          <w:color w:val="000000"/>
        </w:rPr>
        <w:t>，</w:t>
      </w:r>
      <w:r>
        <w:rPr>
          <w:rFonts w:ascii="Arial" w:hAnsi="Arial" w:cs="Arial"/>
          <w:color w:val="000000"/>
        </w:rPr>
        <w:t>对采购文件提出质疑的，在获取采购文件或者采购文件公告期限届满之日起</w:t>
      </w:r>
      <w:r>
        <w:rPr>
          <w:rFonts w:hint="eastAsia" w:ascii="宋体" w:hAnsi="宋体" w:cs="宋体"/>
          <w:color w:val="000000"/>
        </w:rPr>
        <w:t>7</w:t>
      </w:r>
      <w:r>
        <w:rPr>
          <w:rFonts w:ascii="Arial" w:hAnsi="Arial" w:cs="Arial"/>
          <w:color w:val="000000"/>
        </w:rPr>
        <w:t>个工作日内提出</w:t>
      </w:r>
      <w:r>
        <w:rPr>
          <w:rFonts w:hint="eastAsia" w:ascii="宋体" w:hAnsi="宋体" w:cs="宋体"/>
          <w:color w:val="000000"/>
        </w:rPr>
        <w:t>。</w:t>
      </w:r>
      <w:r>
        <w:rPr>
          <w:rFonts w:ascii="Arial" w:hAnsi="Arial" w:cs="Arial"/>
          <w:color w:val="000000"/>
        </w:rPr>
        <w:t>供应商</w:t>
      </w:r>
      <w:r>
        <w:rPr>
          <w:rFonts w:hint="eastAsia" w:ascii="Arial" w:hAnsi="Arial" w:cs="Arial"/>
          <w:color w:val="000000"/>
        </w:rPr>
        <w:t>须</w:t>
      </w:r>
      <w:r>
        <w:rPr>
          <w:rFonts w:ascii="Arial" w:hAnsi="Arial" w:cs="Arial"/>
          <w:color w:val="000000"/>
        </w:rPr>
        <w:t>在法定质疑期内一次性提出针对同一采购程序环节的质疑。</w:t>
      </w:r>
      <w:r>
        <w:rPr>
          <w:rFonts w:hint="eastAsia" w:ascii="Arial" w:hAnsi="Arial" w:cs="Arial"/>
          <w:color w:val="000000"/>
        </w:rPr>
        <w:t>采购人或采购中心</w:t>
      </w:r>
      <w:r>
        <w:rPr>
          <w:rFonts w:hint="eastAsia" w:ascii="宋体" w:hAnsi="宋体" w:cs="宋体"/>
          <w:color w:val="000000"/>
          <w:lang w:val="zh-CN"/>
        </w:rPr>
        <w:t>在收到书面</w:t>
      </w:r>
      <w:r>
        <w:rPr>
          <w:rFonts w:ascii="Arial" w:hAnsi="Arial" w:cs="Arial"/>
          <w:color w:val="000000"/>
        </w:rPr>
        <w:t>质疑函后</w:t>
      </w:r>
      <w:r>
        <w:rPr>
          <w:rFonts w:hint="eastAsia" w:ascii="宋体" w:hAnsi="宋体" w:cs="宋体"/>
          <w:color w:val="000000"/>
        </w:rPr>
        <w:t>7</w:t>
      </w:r>
      <w:r>
        <w:rPr>
          <w:rFonts w:ascii="Arial" w:hAnsi="Arial" w:cs="Arial"/>
          <w:color w:val="000000"/>
        </w:rPr>
        <w:t>个工作日内作出答复</w:t>
      </w:r>
      <w:r>
        <w:rPr>
          <w:rFonts w:hint="eastAsia" w:ascii="宋体" w:hAnsi="宋体" w:cs="宋体"/>
          <w:color w:val="000000"/>
          <w:lang w:val="zh-CN"/>
        </w:rPr>
        <w:t>。</w:t>
      </w:r>
    </w:p>
    <w:p w14:paraId="158FAE6D">
      <w:pPr>
        <w:spacing w:line="360" w:lineRule="auto"/>
        <w:ind w:firstLine="480"/>
        <w:rPr>
          <w:rFonts w:ascii="宋体" w:hAnsi="宋体" w:cs="宋体"/>
          <w:color w:val="000000"/>
          <w:lang w:val="zh-CN"/>
        </w:rPr>
      </w:pPr>
      <w:r>
        <w:rPr>
          <w:rFonts w:hint="eastAsia" w:ascii="宋体" w:hAnsi="宋体" w:cs="宋体"/>
          <w:color w:val="000000"/>
          <w:lang w:val="zh-CN"/>
        </w:rPr>
        <w:t>参与采购活动的投标人对评审过程或者结果提出质疑的，采购人、采购中心可以组织原评审委员会协助答复质疑。质疑事项处理完成后，刚察县政府采购中心应按照规定填写《刚察县政府采购投标人质疑处理情况表》，并在15日内报同级政府采购监督管理部门备案。</w:t>
      </w:r>
    </w:p>
    <w:p w14:paraId="59CBBBBD">
      <w:pPr>
        <w:spacing w:line="360" w:lineRule="auto"/>
        <w:ind w:firstLine="480"/>
        <w:rPr>
          <w:rFonts w:ascii="宋体" w:hAnsi="宋体" w:cs="宋体"/>
          <w:color w:val="000000"/>
          <w:lang w:val="zh-CN"/>
        </w:rPr>
      </w:pPr>
      <w:r>
        <w:rPr>
          <w:rFonts w:hint="eastAsia" w:ascii="宋体" w:hAnsi="宋体" w:cs="宋体"/>
          <w:color w:val="000000"/>
          <w:lang w:val="zh-CN"/>
        </w:rPr>
        <w:t>投标人应知其权益受到损害之日，是指：</w:t>
      </w:r>
    </w:p>
    <w:p w14:paraId="4EE7CAFF">
      <w:pPr>
        <w:spacing w:line="360" w:lineRule="auto"/>
        <w:ind w:firstLine="480"/>
        <w:rPr>
          <w:rFonts w:ascii="宋体" w:hAnsi="宋体" w:cs="宋体"/>
          <w:color w:val="000000"/>
          <w:lang w:val="zh-CN"/>
        </w:rPr>
      </w:pPr>
      <w:r>
        <w:rPr>
          <w:rFonts w:hint="eastAsia" w:ascii="宋体" w:hAnsi="宋体" w:cs="宋体"/>
          <w:color w:val="000000"/>
          <w:lang w:val="zh-CN"/>
        </w:rPr>
        <w:t>（一）对可以质疑的招标文件提出质疑的，为收到招标文件之日或者招标文件公告期限届满之日；</w:t>
      </w:r>
    </w:p>
    <w:p w14:paraId="7E65A6CE">
      <w:pPr>
        <w:spacing w:line="360" w:lineRule="auto"/>
        <w:ind w:firstLine="480"/>
        <w:rPr>
          <w:rFonts w:ascii="宋体" w:hAnsi="宋体" w:cs="宋体"/>
          <w:color w:val="000000"/>
          <w:lang w:val="zh-CN"/>
        </w:rPr>
      </w:pPr>
      <w:r>
        <w:rPr>
          <w:rFonts w:hint="eastAsia" w:ascii="宋体" w:hAnsi="宋体" w:cs="宋体"/>
          <w:color w:val="000000"/>
          <w:lang w:val="zh-CN"/>
        </w:rPr>
        <w:t>（二）对采购过程提出质疑的，为各采购程序环节结束之日；</w:t>
      </w:r>
    </w:p>
    <w:p w14:paraId="0175C12E">
      <w:pPr>
        <w:spacing w:line="360" w:lineRule="auto"/>
        <w:ind w:firstLine="480"/>
        <w:rPr>
          <w:rFonts w:ascii="宋体" w:hAnsi="宋体" w:cs="宋体"/>
          <w:color w:val="000000"/>
          <w:lang w:val="zh-CN"/>
        </w:rPr>
      </w:pPr>
      <w:r>
        <w:rPr>
          <w:rFonts w:hint="eastAsia" w:ascii="宋体" w:hAnsi="宋体" w:cs="宋体"/>
          <w:color w:val="000000"/>
          <w:lang w:val="zh-CN"/>
        </w:rPr>
        <w:t>（三）对中标结果提出质疑的，为中标结果公告期限届满之日。</w:t>
      </w:r>
    </w:p>
    <w:p w14:paraId="0CFC1A8F">
      <w:pPr>
        <w:pStyle w:val="235"/>
        <w:spacing w:before="0" w:after="0" w:line="360" w:lineRule="auto"/>
        <w:jc w:val="left"/>
        <w:rPr>
          <w:rFonts w:ascii="宋体" w:hAnsi="宋体" w:cs="宋体"/>
          <w:color w:val="000000"/>
          <w:lang w:val="zh-CN"/>
        </w:rPr>
      </w:pPr>
      <w:bookmarkStart w:id="11" w:name="_Toc9472"/>
      <w:r>
        <w:rPr>
          <w:rFonts w:hint="eastAsia" w:ascii="宋体" w:hAnsi="宋体" w:cs="宋体"/>
          <w:color w:val="000000"/>
          <w:sz w:val="28"/>
          <w:szCs w:val="28"/>
          <w:lang w:val="zh-CN"/>
        </w:rPr>
        <w:t>6.澄清或修改</w:t>
      </w:r>
      <w:bookmarkEnd w:id="11"/>
    </w:p>
    <w:p w14:paraId="06553BD4">
      <w:pPr>
        <w:spacing w:line="360" w:lineRule="auto"/>
        <w:ind w:firstLine="480"/>
        <w:rPr>
          <w:rFonts w:ascii="宋体" w:hAnsi="宋体" w:cs="宋体"/>
          <w:color w:val="000000"/>
          <w:lang w:val="zh-CN"/>
        </w:rPr>
      </w:pPr>
      <w:r>
        <w:rPr>
          <w:rFonts w:hint="eastAsia" w:ascii="宋体" w:hAnsi="宋体" w:cs="宋体"/>
          <w:color w:val="000000"/>
          <w:lang w:val="zh-CN"/>
        </w:rPr>
        <w:t>6.1 采购中心可以对已发出的招标文件进行必要的澄清或者修改，但不得改变采购标的和资格条件。澄清或者修改在原公告发布媒体上发布澄清公告。澄清或者修改的内容为招标文件的组成部分。</w:t>
      </w:r>
    </w:p>
    <w:p w14:paraId="4079C8E6">
      <w:pPr>
        <w:spacing w:line="360" w:lineRule="auto"/>
        <w:ind w:firstLine="480"/>
        <w:rPr>
          <w:rFonts w:ascii="宋体" w:hAnsi="宋体" w:cs="宋体"/>
          <w:color w:val="000000"/>
          <w:lang w:val="zh-CN"/>
        </w:rPr>
      </w:pPr>
      <w:r>
        <w:rPr>
          <w:rFonts w:ascii="宋体" w:hAnsi="宋体" w:cs="宋体"/>
          <w:color w:val="000000"/>
          <w:lang w:val="zh-CN"/>
        </w:rPr>
        <w:t xml:space="preserve">6.2 </w:t>
      </w:r>
      <w:r>
        <w:rPr>
          <w:rFonts w:hint="eastAsia" w:ascii="宋体" w:hAnsi="宋体" w:cs="宋体"/>
          <w:color w:val="000000"/>
          <w:lang w:val="zh-CN"/>
        </w:rPr>
        <w:t>澄清或者修改的内容可能影响投标文件编制的，采购中心在投标截止时间至少15日前，以书面形式通知所有获取招标文件的潜在投标人，</w:t>
      </w:r>
      <w:r>
        <w:rPr>
          <w:rFonts w:ascii="宋体" w:hAnsi="宋体" w:cs="宋体"/>
          <w:color w:val="000000"/>
          <w:lang w:val="zh-CN"/>
        </w:rPr>
        <w:t>并在发布本次招标公告的网站上发布变更公告</w:t>
      </w:r>
      <w:r>
        <w:rPr>
          <w:rFonts w:hint="eastAsia" w:ascii="宋体" w:hAnsi="宋体" w:cs="宋体"/>
          <w:color w:val="000000"/>
          <w:lang w:val="zh-CN"/>
        </w:rPr>
        <w:t>；不足15日的，采购中心顺延提交投标文件的截止时间。</w:t>
      </w:r>
    </w:p>
    <w:p w14:paraId="2578D262">
      <w:pPr>
        <w:spacing w:line="360" w:lineRule="auto"/>
        <w:ind w:firstLine="482"/>
        <w:rPr>
          <w:rFonts w:ascii="宋体" w:hAnsi="宋体" w:cs="宋体"/>
          <w:b/>
          <w:color w:val="000000"/>
          <w:lang w:val="zh-CN"/>
        </w:rPr>
      </w:pPr>
      <w:r>
        <w:rPr>
          <w:rFonts w:hint="eastAsia" w:ascii="宋体" w:hAnsi="宋体" w:cs="宋体"/>
          <w:b/>
          <w:color w:val="000000"/>
          <w:lang w:val="zh-CN"/>
        </w:rPr>
        <w:t>6.3 在评审过程中评审专家就有关问题需要向供应商进行澄清时，将通过电子评标系统进行线上询问，供应商接到澄清通知登录评标系统在规定的时间内完成线上答复，超时视为认可评审专家所提出的所有问题；如发出的为告知函则无需在线提交任何证明资料。</w:t>
      </w:r>
    </w:p>
    <w:p w14:paraId="2E228D45">
      <w:pPr>
        <w:pStyle w:val="235"/>
        <w:spacing w:before="0" w:after="0" w:line="360" w:lineRule="auto"/>
        <w:rPr>
          <w:rFonts w:ascii="宋体" w:hAnsi="宋体" w:cs="宋体"/>
          <w:color w:val="000000"/>
        </w:rPr>
      </w:pPr>
      <w:bookmarkStart w:id="12" w:name="_Toc15197"/>
      <w:r>
        <w:rPr>
          <w:rFonts w:hint="eastAsia" w:ascii="宋体" w:hAnsi="宋体" w:cs="宋体"/>
          <w:color w:val="000000"/>
          <w:lang w:val="zh-CN"/>
        </w:rPr>
        <w:t>三、投标文件的编制</w:t>
      </w:r>
      <w:bookmarkEnd w:id="12"/>
    </w:p>
    <w:p w14:paraId="6F7C4092">
      <w:pPr>
        <w:pStyle w:val="235"/>
        <w:spacing w:before="0" w:after="0" w:line="360" w:lineRule="auto"/>
        <w:jc w:val="left"/>
        <w:rPr>
          <w:rFonts w:ascii="宋体" w:hAnsi="宋体" w:cs="宋体"/>
          <w:color w:val="000000"/>
          <w:lang w:val="zh-CN"/>
        </w:rPr>
      </w:pPr>
      <w:bookmarkStart w:id="13" w:name="_Toc5884"/>
      <w:r>
        <w:rPr>
          <w:rFonts w:hint="eastAsia" w:ascii="宋体" w:hAnsi="宋体" w:cs="宋体"/>
          <w:color w:val="000000"/>
          <w:sz w:val="28"/>
          <w:szCs w:val="28"/>
          <w:lang w:val="zh-CN"/>
        </w:rPr>
        <w:t>7.投标文件的语言及度量衡单位</w:t>
      </w:r>
      <w:bookmarkEnd w:id="13"/>
    </w:p>
    <w:p w14:paraId="7268FFFB">
      <w:pPr>
        <w:spacing w:line="360" w:lineRule="auto"/>
        <w:ind w:firstLine="480"/>
        <w:rPr>
          <w:rFonts w:ascii="宋体" w:hAnsi="宋体" w:cs="宋体"/>
          <w:color w:val="000000"/>
          <w:lang w:val="zh-CN"/>
        </w:rPr>
      </w:pPr>
      <w:r>
        <w:rPr>
          <w:rFonts w:hint="eastAsia" w:ascii="宋体" w:hAnsi="宋体" w:cs="宋体"/>
          <w:color w:val="000000"/>
          <w:lang w:val="zh-CN"/>
        </w:rPr>
        <w:t>7.1</w:t>
      </w:r>
      <w:r>
        <w:rPr>
          <w:rFonts w:hint="eastAsia" w:ascii="宋体" w:hAnsi="宋体" w:cs="宋体"/>
          <w:color w:val="000000"/>
        </w:rPr>
        <w:t xml:space="preserve"> </w:t>
      </w:r>
      <w:r>
        <w:rPr>
          <w:rFonts w:hint="eastAsia" w:ascii="宋体" w:hAnsi="宋体" w:cs="宋体"/>
          <w:color w:val="000000"/>
          <w:lang w:val="zh-CN"/>
        </w:rPr>
        <w:t>投标人提交的投标文件以及投标人与采购中心就此投标发生的所有来往函电均应使用简体中文。</w:t>
      </w:r>
      <w:r>
        <w:rPr>
          <w:rFonts w:hint="eastAsia" w:ascii="宋体" w:hAnsi="宋体" w:cs="宋体"/>
          <w:color w:val="000000"/>
        </w:rPr>
        <w:t>除签名、盖章、专用名称等特殊情形外，以中文汉语以外的文字表述的投标文件视同未提供。</w:t>
      </w:r>
    </w:p>
    <w:p w14:paraId="0BD79A9B">
      <w:pPr>
        <w:spacing w:line="360" w:lineRule="auto"/>
        <w:ind w:firstLine="480"/>
        <w:rPr>
          <w:rFonts w:ascii="宋体" w:hAnsi="宋体" w:cs="宋体"/>
          <w:color w:val="000000"/>
          <w:lang w:val="zh-CN"/>
        </w:rPr>
      </w:pPr>
      <w:r>
        <w:rPr>
          <w:rFonts w:hint="eastAsia" w:ascii="宋体" w:hAnsi="宋体" w:cs="宋体"/>
          <w:color w:val="000000"/>
          <w:lang w:val="zh-CN"/>
        </w:rPr>
        <w:t>7.2 除招标文件中另有规定外，投标文件所使用的度量衡单位，均须采用国家法定计量单位。</w:t>
      </w:r>
    </w:p>
    <w:p w14:paraId="27F64312">
      <w:pPr>
        <w:spacing w:line="360" w:lineRule="auto"/>
        <w:ind w:firstLine="480"/>
        <w:rPr>
          <w:rFonts w:ascii="宋体" w:hAnsi="宋体" w:cs="宋体"/>
          <w:color w:val="000000"/>
          <w:lang w:val="zh-CN"/>
        </w:rPr>
      </w:pPr>
      <w:r>
        <w:rPr>
          <w:rFonts w:hint="eastAsia" w:ascii="宋体" w:hAnsi="宋体" w:cs="宋体"/>
          <w:color w:val="000000"/>
          <w:lang w:val="zh-CN"/>
        </w:rPr>
        <w:t>7.3 附有外文资料的须翻译成中文，并加盖投标人公章，如果翻译的中文资料与外文资料出现差异与矛盾时，以中文为准，其准确性由投标人负责。</w:t>
      </w:r>
    </w:p>
    <w:p w14:paraId="79B829C7">
      <w:pPr>
        <w:pStyle w:val="235"/>
        <w:spacing w:before="0" w:after="0" w:line="360" w:lineRule="auto"/>
        <w:jc w:val="left"/>
        <w:rPr>
          <w:rFonts w:ascii="宋体" w:hAnsi="宋体" w:cs="宋体"/>
          <w:color w:val="000000"/>
          <w:lang w:val="zh-CN"/>
        </w:rPr>
      </w:pPr>
      <w:bookmarkStart w:id="14" w:name="_Toc28078"/>
      <w:r>
        <w:rPr>
          <w:rFonts w:hint="eastAsia" w:ascii="宋体" w:hAnsi="宋体" w:cs="宋体"/>
          <w:color w:val="000000"/>
          <w:sz w:val="28"/>
          <w:szCs w:val="28"/>
          <w:lang w:val="zh-CN"/>
        </w:rPr>
        <w:t>8.投标报价及币种</w:t>
      </w:r>
      <w:bookmarkEnd w:id="14"/>
    </w:p>
    <w:p w14:paraId="6454718E">
      <w:pPr>
        <w:spacing w:line="360" w:lineRule="auto"/>
        <w:ind w:firstLine="480"/>
        <w:rPr>
          <w:rFonts w:ascii="宋体" w:hAnsi="宋体" w:cs="宋体"/>
          <w:color w:val="000000"/>
          <w:lang w:val="zh-CN"/>
        </w:rPr>
      </w:pPr>
      <w:r>
        <w:rPr>
          <w:rFonts w:hint="eastAsia" w:ascii="宋体" w:hAnsi="宋体" w:cs="宋体"/>
          <w:color w:val="000000"/>
          <w:lang w:val="zh-CN"/>
        </w:rPr>
        <w:t>8.1</w:t>
      </w:r>
      <w:r>
        <w:rPr>
          <w:rFonts w:hint="eastAsia" w:ascii="宋体" w:hAnsi="宋体" w:cs="宋体"/>
          <w:color w:val="000000"/>
        </w:rPr>
        <w:t xml:space="preserve"> </w:t>
      </w:r>
      <w:r>
        <w:rPr>
          <w:rFonts w:hint="eastAsia" w:ascii="宋体" w:hAnsi="宋体" w:cs="宋体"/>
          <w:color w:val="000000"/>
          <w:lang w:val="zh-CN"/>
        </w:rPr>
        <w:t>投标报价为投标总价。投标报价必须包括：产品费、验收费、手续费、包装费、运输费、保险费、安装费、调试费、培训费、售前、售中、售后服务费、税金及不可预见费等全部费用。</w:t>
      </w:r>
    </w:p>
    <w:p w14:paraId="43CFE089">
      <w:pPr>
        <w:spacing w:line="360" w:lineRule="auto"/>
        <w:ind w:firstLine="480"/>
        <w:rPr>
          <w:rFonts w:ascii="宋体" w:hAnsi="宋体" w:cs="宋体"/>
          <w:color w:val="000000"/>
          <w:lang w:val="zh-CN"/>
        </w:rPr>
      </w:pPr>
      <w:r>
        <w:rPr>
          <w:rFonts w:hint="eastAsia" w:ascii="宋体" w:hAnsi="宋体" w:cs="宋体"/>
          <w:color w:val="000000"/>
          <w:lang w:val="zh-CN"/>
        </w:rPr>
        <w:t>8.2</w:t>
      </w:r>
      <w:r>
        <w:rPr>
          <w:rFonts w:hint="eastAsia" w:ascii="宋体" w:hAnsi="宋体" w:cs="宋体"/>
          <w:color w:val="000000"/>
        </w:rPr>
        <w:t xml:space="preserve"> </w:t>
      </w:r>
      <w:r>
        <w:rPr>
          <w:rFonts w:hint="eastAsia" w:ascii="宋体" w:hAnsi="宋体" w:cs="宋体"/>
          <w:color w:val="000000"/>
          <w:lang w:val="zh-CN"/>
        </w:rPr>
        <w:t>投标报价有效期与投标有效期一致。</w:t>
      </w:r>
    </w:p>
    <w:p w14:paraId="6750F78B">
      <w:pPr>
        <w:spacing w:line="360" w:lineRule="auto"/>
        <w:ind w:firstLine="480"/>
        <w:rPr>
          <w:rFonts w:ascii="宋体" w:hAnsi="宋体" w:cs="宋体"/>
          <w:color w:val="000000"/>
          <w:lang w:val="zh-CN"/>
        </w:rPr>
      </w:pPr>
      <w:r>
        <w:rPr>
          <w:rFonts w:hint="eastAsia" w:ascii="宋体" w:hAnsi="宋体" w:cs="宋体"/>
          <w:color w:val="000000"/>
          <w:lang w:val="zh-CN"/>
        </w:rPr>
        <w:t>8.</w:t>
      </w:r>
      <w:r>
        <w:rPr>
          <w:rFonts w:hint="eastAsia" w:ascii="宋体" w:hAnsi="宋体" w:cs="宋体"/>
          <w:color w:val="000000"/>
        </w:rPr>
        <w:t xml:space="preserve">3 </w:t>
      </w:r>
      <w:r>
        <w:rPr>
          <w:rFonts w:hint="eastAsia" w:ascii="宋体" w:hAnsi="宋体" w:cs="宋体"/>
          <w:color w:val="000000"/>
          <w:lang w:val="zh-CN"/>
        </w:rPr>
        <w:t>投标报价为闭口价，即中标后在合同有效期内价格不变。</w:t>
      </w:r>
    </w:p>
    <w:p w14:paraId="1FC75FF1">
      <w:pPr>
        <w:spacing w:line="360" w:lineRule="auto"/>
        <w:ind w:firstLine="480"/>
        <w:rPr>
          <w:rFonts w:ascii="宋体" w:hAnsi="宋体" w:cs="宋体"/>
          <w:color w:val="000000"/>
          <w:lang w:val="zh-CN"/>
        </w:rPr>
      </w:pPr>
      <w:r>
        <w:rPr>
          <w:rFonts w:hint="eastAsia" w:ascii="宋体" w:hAnsi="宋体" w:cs="宋体"/>
          <w:color w:val="000000"/>
          <w:lang w:val="zh-CN"/>
        </w:rPr>
        <w:t>8.</w:t>
      </w:r>
      <w:r>
        <w:rPr>
          <w:rFonts w:hint="eastAsia" w:ascii="宋体" w:hAnsi="宋体" w:cs="宋体"/>
          <w:color w:val="000000"/>
        </w:rPr>
        <w:t xml:space="preserve">4 </w:t>
      </w:r>
      <w:r>
        <w:rPr>
          <w:rFonts w:hint="eastAsia" w:ascii="宋体" w:hAnsi="宋体" w:cs="宋体"/>
          <w:color w:val="000000"/>
          <w:lang w:val="zh-CN"/>
        </w:rPr>
        <w:t>投标币种是人民币。</w:t>
      </w:r>
    </w:p>
    <w:p w14:paraId="0E31EF46">
      <w:pPr>
        <w:pStyle w:val="235"/>
        <w:spacing w:before="0" w:after="0" w:line="360" w:lineRule="auto"/>
        <w:jc w:val="left"/>
        <w:rPr>
          <w:rFonts w:ascii="宋体" w:hAnsi="宋体" w:cs="宋体"/>
          <w:color w:val="000000"/>
          <w:lang w:val="zh-CN"/>
        </w:rPr>
      </w:pPr>
      <w:bookmarkStart w:id="15" w:name="_Toc7129"/>
      <w:r>
        <w:rPr>
          <w:rFonts w:hint="eastAsia" w:ascii="宋体" w:hAnsi="宋体" w:cs="宋体"/>
          <w:color w:val="000000"/>
          <w:sz w:val="28"/>
          <w:szCs w:val="28"/>
        </w:rPr>
        <w:t>9</w:t>
      </w:r>
      <w:r>
        <w:rPr>
          <w:rFonts w:hint="eastAsia" w:ascii="宋体" w:hAnsi="宋体" w:cs="宋体"/>
          <w:color w:val="000000"/>
          <w:sz w:val="28"/>
          <w:szCs w:val="28"/>
          <w:lang w:val="zh-CN"/>
        </w:rPr>
        <w:t>.投标有效期</w:t>
      </w:r>
      <w:bookmarkEnd w:id="15"/>
    </w:p>
    <w:p w14:paraId="2A280CF8">
      <w:pPr>
        <w:spacing w:line="360" w:lineRule="auto"/>
        <w:ind w:firstLine="480"/>
        <w:rPr>
          <w:rFonts w:ascii="宋体" w:hAnsi="宋体" w:cs="宋体"/>
          <w:color w:val="000000"/>
          <w:lang w:val="zh-CN"/>
        </w:rPr>
      </w:pPr>
      <w:r>
        <w:rPr>
          <w:rFonts w:hint="eastAsia" w:ascii="宋体" w:hAnsi="宋体" w:cs="宋体"/>
          <w:color w:val="000000"/>
          <w:shd w:val="clear" w:color="auto" w:fill="FFFFFF"/>
        </w:rPr>
        <w:t>从提交投标文件的截止之日起</w:t>
      </w:r>
      <w:r>
        <w:rPr>
          <w:rFonts w:hint="eastAsia" w:ascii="宋体" w:hAnsi="宋体" w:cs="宋体"/>
          <w:color w:val="000000"/>
          <w:lang w:val="zh-CN"/>
        </w:rPr>
        <w:t>60日历日。投标文件中承诺的投标有效期不少于招标文件中载明的投标有效期。</w:t>
      </w:r>
    </w:p>
    <w:p w14:paraId="0A41DC8C">
      <w:pPr>
        <w:pStyle w:val="235"/>
        <w:spacing w:before="0" w:after="0" w:line="360" w:lineRule="auto"/>
        <w:jc w:val="left"/>
        <w:rPr>
          <w:rFonts w:ascii="宋体" w:hAnsi="宋体" w:cs="宋体"/>
          <w:color w:val="000000"/>
          <w:lang w:val="zh-CN"/>
        </w:rPr>
      </w:pPr>
      <w:bookmarkStart w:id="16" w:name="_Toc28096"/>
      <w:r>
        <w:rPr>
          <w:rFonts w:hint="eastAsia" w:ascii="宋体" w:hAnsi="宋体" w:cs="宋体"/>
          <w:color w:val="000000"/>
          <w:sz w:val="28"/>
          <w:szCs w:val="28"/>
          <w:lang w:val="zh-CN"/>
        </w:rPr>
        <w:t>1</w:t>
      </w:r>
      <w:r>
        <w:rPr>
          <w:rFonts w:hint="eastAsia" w:ascii="宋体" w:hAnsi="宋体" w:cs="宋体"/>
          <w:color w:val="000000"/>
          <w:sz w:val="28"/>
          <w:szCs w:val="28"/>
        </w:rPr>
        <w:t>0</w:t>
      </w:r>
      <w:r>
        <w:rPr>
          <w:rFonts w:hint="eastAsia" w:ascii="宋体" w:hAnsi="宋体" w:cs="宋体"/>
          <w:color w:val="000000"/>
          <w:sz w:val="28"/>
          <w:szCs w:val="28"/>
          <w:lang w:val="zh-CN"/>
        </w:rPr>
        <w:t>.投标文件构成</w:t>
      </w:r>
      <w:bookmarkEnd w:id="16"/>
    </w:p>
    <w:p w14:paraId="10EBFE90">
      <w:pPr>
        <w:spacing w:line="360" w:lineRule="auto"/>
        <w:ind w:firstLine="480"/>
        <w:rPr>
          <w:rFonts w:ascii="宋体" w:hAnsi="宋体" w:cs="宋体"/>
          <w:color w:val="000000"/>
          <w:lang w:val="zh-CN"/>
        </w:rPr>
      </w:pPr>
      <w:r>
        <w:rPr>
          <w:rFonts w:hint="eastAsia" w:ascii="宋体" w:hAnsi="宋体" w:cs="宋体"/>
          <w:color w:val="000000"/>
          <w:lang w:val="zh-CN"/>
        </w:rPr>
        <w:t>投标人应提交相关证明材料，作为其参加投标和中标后有能力履行合同的证明。编写的投标文件须包括以下内容（格式见招标文件第四部分）：</w:t>
      </w:r>
    </w:p>
    <w:p w14:paraId="19F70AE4">
      <w:pPr>
        <w:spacing w:line="360" w:lineRule="auto"/>
        <w:ind w:firstLine="482"/>
        <w:rPr>
          <w:rFonts w:ascii="宋体" w:hAnsi="宋体" w:cs="宋体"/>
          <w:color w:val="000000"/>
        </w:rPr>
      </w:pPr>
      <w:r>
        <w:rPr>
          <w:rFonts w:hint="eastAsia" w:ascii="宋体" w:hAnsi="宋体" w:cs="宋体"/>
          <w:b/>
          <w:bCs/>
          <w:color w:val="000000"/>
        </w:rPr>
        <w:t>10.1</w:t>
      </w:r>
      <w:r>
        <w:rPr>
          <w:rFonts w:hint="eastAsia" w:ascii="宋体" w:hAnsi="宋体" w:cs="宋体"/>
          <w:b/>
          <w:bCs/>
          <w:color w:val="000000"/>
          <w:lang w:val="zh-CN"/>
        </w:rPr>
        <w:t>、投标文件（上册）（资格审查）</w:t>
      </w:r>
    </w:p>
    <w:p w14:paraId="23B77815">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投标函</w:t>
      </w:r>
    </w:p>
    <w:p w14:paraId="0481E3EB">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法定代表人证明书</w:t>
      </w:r>
    </w:p>
    <w:p w14:paraId="725A9240">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法定代表人授权书</w:t>
      </w:r>
    </w:p>
    <w:p w14:paraId="5281F01E">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投标人承诺函</w:t>
      </w:r>
    </w:p>
    <w:p w14:paraId="2FE457A0">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投标人诚信承诺书</w:t>
      </w:r>
    </w:p>
    <w:p w14:paraId="7B54F57D">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资格证明材料</w:t>
      </w:r>
    </w:p>
    <w:p w14:paraId="029CFDC6">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财务状况报告，依法缴纳税收和社会保障资金的相关材料</w:t>
      </w:r>
    </w:p>
    <w:p w14:paraId="76FDB6D5">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具备履行合同所必须的设备和专业技术能力的证明材料</w:t>
      </w:r>
    </w:p>
    <w:p w14:paraId="26BB1113">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无重大违法记录声明</w:t>
      </w:r>
    </w:p>
    <w:p w14:paraId="37799EB8">
      <w:pPr>
        <w:spacing w:line="360" w:lineRule="auto"/>
        <w:ind w:firstLine="482"/>
        <w:rPr>
          <w:rFonts w:ascii="宋体" w:hAnsi="宋体" w:cs="宋体"/>
          <w:color w:val="000000"/>
        </w:rPr>
      </w:pPr>
      <w:r>
        <w:rPr>
          <w:rFonts w:hint="eastAsia" w:ascii="宋体" w:hAnsi="宋体" w:cs="宋体"/>
          <w:b/>
          <w:bCs/>
          <w:color w:val="000000"/>
        </w:rPr>
        <w:t xml:space="preserve">10.2 </w:t>
      </w:r>
      <w:r>
        <w:rPr>
          <w:rFonts w:hint="eastAsia" w:ascii="宋体" w:hAnsi="宋体" w:cs="宋体"/>
          <w:b/>
          <w:bCs/>
          <w:color w:val="000000"/>
          <w:lang w:val="zh-CN"/>
        </w:rPr>
        <w:t>投标文件（下册）（符合性审查）</w:t>
      </w:r>
    </w:p>
    <w:p w14:paraId="238B3537">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评分对照表</w:t>
      </w:r>
    </w:p>
    <w:p w14:paraId="5149ABA7">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开标一览表（报价表）</w:t>
      </w:r>
    </w:p>
    <w:p w14:paraId="16CF6451">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分项报价表</w:t>
      </w:r>
    </w:p>
    <w:p w14:paraId="640F351B">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技术规格响应表</w:t>
      </w:r>
    </w:p>
    <w:p w14:paraId="33B2DC8D">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投标产品相关资料</w:t>
      </w:r>
    </w:p>
    <w:p w14:paraId="37234E3D">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投标人的类似业绩证明材料</w:t>
      </w:r>
    </w:p>
    <w:p w14:paraId="44E875A8">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制造（生产）企业小型、微型企业声明函、从业人员声明函</w:t>
      </w:r>
    </w:p>
    <w:p w14:paraId="36BA533D">
      <w:pPr>
        <w:numPr>
          <w:ilvl w:val="0"/>
          <w:numId w:val="2"/>
        </w:numPr>
        <w:spacing w:line="360" w:lineRule="auto"/>
        <w:ind w:firstLine="480"/>
        <w:rPr>
          <w:rFonts w:ascii="宋体" w:hAnsi="宋体" w:cs="宋体"/>
          <w:color w:val="000000"/>
          <w:lang w:val="zh-CN"/>
        </w:rPr>
      </w:pPr>
      <w:r>
        <w:rPr>
          <w:rFonts w:hint="eastAsia" w:ascii="宋体" w:hAnsi="宋体" w:cs="宋体"/>
        </w:rPr>
        <w:t>残疾人福利性单位声明函</w:t>
      </w:r>
    </w:p>
    <w:p w14:paraId="13D6672B">
      <w:pPr>
        <w:numPr>
          <w:ilvl w:val="0"/>
          <w:numId w:val="2"/>
        </w:numPr>
        <w:spacing w:line="360" w:lineRule="auto"/>
        <w:ind w:firstLine="480"/>
        <w:rPr>
          <w:rFonts w:ascii="宋体" w:hAnsi="宋体" w:cs="宋体"/>
          <w:color w:val="000000"/>
          <w:lang w:val="zh-CN"/>
        </w:rPr>
      </w:pPr>
      <w:r>
        <w:rPr>
          <w:rFonts w:hint="eastAsia" w:ascii="宋体" w:hAnsi="宋体" w:cs="宋体"/>
          <w:color w:val="000000"/>
          <w:lang w:val="zh-CN"/>
        </w:rPr>
        <w:t>投标人认为在其他方面有必要说明的事项</w:t>
      </w:r>
    </w:p>
    <w:p w14:paraId="2364F11C">
      <w:pPr>
        <w:spacing w:line="360" w:lineRule="auto"/>
        <w:ind w:firstLine="600"/>
        <w:rPr>
          <w:rFonts w:ascii="宋体" w:hAnsi="宋体" w:cs="宋体"/>
          <w:color w:val="000000"/>
          <w:lang w:val="zh-CN"/>
        </w:rPr>
      </w:pPr>
      <w:r>
        <w:rPr>
          <w:rFonts w:hint="eastAsia" w:ascii="宋体" w:hAnsi="宋体" w:cs="宋体"/>
          <w:color w:val="000000"/>
          <w:lang w:val="zh-CN"/>
        </w:rPr>
        <w:t>注：投标人须按上述内容、顺序和格式编制投标文件，并按要求编制目录、页码，并保证所提供的全部资料真实可信，自愿承担相应责任。</w:t>
      </w:r>
    </w:p>
    <w:p w14:paraId="3935283E">
      <w:pPr>
        <w:pStyle w:val="235"/>
        <w:spacing w:before="0" w:after="0" w:line="360" w:lineRule="auto"/>
        <w:jc w:val="left"/>
        <w:rPr>
          <w:rFonts w:ascii="宋体" w:hAnsi="宋体" w:cs="宋体"/>
          <w:color w:val="000000"/>
          <w:lang w:val="zh-CN"/>
        </w:rPr>
      </w:pPr>
      <w:bookmarkStart w:id="17" w:name="_Toc18760"/>
      <w:r>
        <w:rPr>
          <w:rFonts w:hint="eastAsia" w:ascii="宋体" w:hAnsi="宋体" w:cs="宋体"/>
          <w:color w:val="000000"/>
          <w:sz w:val="28"/>
          <w:szCs w:val="28"/>
          <w:lang w:val="zh-CN"/>
        </w:rPr>
        <w:t>1</w:t>
      </w:r>
      <w:r>
        <w:rPr>
          <w:rFonts w:hint="eastAsia" w:ascii="宋体" w:hAnsi="宋体" w:cs="宋体"/>
          <w:color w:val="000000"/>
          <w:sz w:val="28"/>
          <w:szCs w:val="28"/>
        </w:rPr>
        <w:t>1</w:t>
      </w:r>
      <w:r>
        <w:rPr>
          <w:rFonts w:hint="eastAsia" w:ascii="宋体" w:hAnsi="宋体" w:cs="宋体"/>
          <w:color w:val="000000"/>
          <w:sz w:val="28"/>
          <w:szCs w:val="28"/>
          <w:lang w:val="zh-CN"/>
        </w:rPr>
        <w:t>.投标文件的编制要求</w:t>
      </w:r>
      <w:bookmarkEnd w:id="17"/>
    </w:p>
    <w:p w14:paraId="4ED9A116">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1</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18393112">
      <w:pPr>
        <w:widowControl/>
        <w:ind w:firstLine="482"/>
        <w:jc w:val="left"/>
        <w:rPr>
          <w:rFonts w:ascii="宋体" w:hAnsi="宋体" w:cs="宋体"/>
          <w:b/>
          <w:color w:val="000000"/>
          <w:lang w:val="zh-CN"/>
        </w:rPr>
      </w:pPr>
      <w:r>
        <w:rPr>
          <w:rFonts w:hint="eastAsia" w:ascii="宋体" w:hAnsi="宋体" w:cs="宋体"/>
          <w:b/>
          <w:color w:val="000000"/>
          <w:lang w:val="zh-CN"/>
        </w:rPr>
        <w:t>1</w:t>
      </w:r>
      <w:r>
        <w:rPr>
          <w:rFonts w:hint="eastAsia" w:ascii="宋体" w:hAnsi="宋体" w:cs="宋体"/>
          <w:b/>
          <w:color w:val="000000"/>
        </w:rPr>
        <w:t>1</w:t>
      </w:r>
      <w:r>
        <w:rPr>
          <w:rFonts w:hint="eastAsia" w:ascii="宋体" w:hAnsi="宋体" w:cs="宋体"/>
          <w:b/>
          <w:color w:val="000000"/>
          <w:lang w:val="zh-CN"/>
        </w:rPr>
        <w:t>.2</w:t>
      </w:r>
      <w:r>
        <w:rPr>
          <w:rFonts w:hint="eastAsia" w:ascii="宋体" w:hAnsi="宋体" w:cs="宋体"/>
          <w:b/>
          <w:color w:val="000000"/>
        </w:rPr>
        <w:t xml:space="preserve"> </w:t>
      </w:r>
      <w:r>
        <w:rPr>
          <w:rFonts w:hint="eastAsia" w:ascii="宋体" w:hAnsi="宋体" w:cs="宋体"/>
          <w:b/>
          <w:color w:val="000000"/>
          <w:lang w:val="zh-CN"/>
        </w:rPr>
        <w:t>投标人应在投标截止时间之前将加密电子投标文件上传至评标系统；加密电子投标文件的制作详情请咨询政采云，咨询电话：</w:t>
      </w:r>
      <w:r>
        <w:rPr>
          <w:rFonts w:hint="eastAsia" w:ascii="宋体" w:hAnsi="宋体" w:cs="宋体"/>
          <w:b/>
          <w:color w:val="FF0000"/>
        </w:rPr>
        <w:t>95763</w:t>
      </w:r>
      <w:r>
        <w:rPr>
          <w:rFonts w:hint="eastAsia" w:ascii="宋体" w:hAnsi="宋体" w:cs="宋体"/>
          <w:b/>
          <w:color w:val="000000"/>
          <w:lang w:val="zh-CN"/>
        </w:rPr>
        <w:t>。</w:t>
      </w:r>
    </w:p>
    <w:p w14:paraId="7E6694EF">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1</w:t>
      </w:r>
      <w:r>
        <w:rPr>
          <w:rFonts w:hint="eastAsia" w:ascii="宋体" w:hAnsi="宋体" w:cs="宋体"/>
          <w:color w:val="000000"/>
          <w:lang w:val="zh-CN"/>
        </w:rPr>
        <w:t>.3投标文件中不得行间插字、涂改或增删，如有修改错漏处，须由投标人法定代表人或其委托代理人签字、加盖公章。</w:t>
      </w:r>
    </w:p>
    <w:p w14:paraId="78434B9E">
      <w:pPr>
        <w:pStyle w:val="235"/>
        <w:spacing w:before="0" w:after="0" w:line="360" w:lineRule="auto"/>
        <w:rPr>
          <w:rFonts w:ascii="宋体" w:hAnsi="宋体" w:cs="宋体"/>
          <w:color w:val="000000"/>
        </w:rPr>
      </w:pPr>
      <w:bookmarkStart w:id="18" w:name="_Toc20397"/>
      <w:r>
        <w:rPr>
          <w:rFonts w:hint="eastAsia" w:ascii="宋体" w:hAnsi="宋体" w:cs="宋体"/>
          <w:color w:val="000000"/>
          <w:lang w:val="zh-CN"/>
        </w:rPr>
        <w:t>四、电子投标文件的上传</w:t>
      </w:r>
      <w:bookmarkEnd w:id="18"/>
    </w:p>
    <w:p w14:paraId="0D5957E9">
      <w:pPr>
        <w:pStyle w:val="235"/>
        <w:spacing w:before="0" w:after="0" w:line="360" w:lineRule="auto"/>
        <w:jc w:val="left"/>
        <w:rPr>
          <w:rFonts w:ascii="宋体" w:hAnsi="宋体" w:cs="宋体"/>
          <w:color w:val="000000"/>
          <w:lang w:val="zh-CN"/>
        </w:rPr>
      </w:pPr>
      <w:bookmarkStart w:id="19" w:name="_Toc2933"/>
      <w:r>
        <w:rPr>
          <w:rFonts w:hint="eastAsia" w:ascii="宋体" w:hAnsi="宋体" w:cs="宋体"/>
          <w:color w:val="000000"/>
          <w:sz w:val="28"/>
          <w:szCs w:val="28"/>
          <w:lang w:val="zh-CN"/>
        </w:rPr>
        <w:t>1</w:t>
      </w:r>
      <w:r>
        <w:rPr>
          <w:rFonts w:hint="eastAsia" w:ascii="宋体" w:hAnsi="宋体" w:cs="宋体"/>
          <w:color w:val="000000"/>
          <w:sz w:val="28"/>
          <w:szCs w:val="28"/>
        </w:rPr>
        <w:t>2</w:t>
      </w:r>
      <w:r>
        <w:rPr>
          <w:rFonts w:hint="eastAsia" w:ascii="宋体" w:hAnsi="宋体" w:cs="宋体"/>
          <w:color w:val="000000"/>
          <w:sz w:val="28"/>
          <w:szCs w:val="28"/>
          <w:lang w:val="zh-CN"/>
        </w:rPr>
        <w:t>.</w:t>
      </w:r>
      <w:r>
        <w:rPr>
          <w:rFonts w:hint="eastAsia" w:ascii="宋体" w:hAnsi="宋体" w:cs="宋体"/>
          <w:color w:val="000000"/>
          <w:lang w:val="zh-CN"/>
        </w:rPr>
        <w:t xml:space="preserve"> </w:t>
      </w:r>
      <w:r>
        <w:rPr>
          <w:rFonts w:hint="eastAsia" w:ascii="宋体" w:hAnsi="宋体" w:cs="宋体"/>
          <w:color w:val="000000"/>
          <w:sz w:val="28"/>
          <w:szCs w:val="28"/>
          <w:lang w:val="zh-CN"/>
        </w:rPr>
        <w:t>电子投标文件上传</w:t>
      </w:r>
      <w:bookmarkEnd w:id="19"/>
    </w:p>
    <w:p w14:paraId="439D8275">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2</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电子投标文件</w:t>
      </w:r>
      <w:r>
        <w:rPr>
          <w:rFonts w:hint="eastAsia" w:ascii="宋体" w:hAnsi="宋体" w:cs="宋体"/>
          <w:color w:val="000000"/>
        </w:rPr>
        <w:t>(上、下册)</w:t>
      </w:r>
      <w:r>
        <w:rPr>
          <w:rFonts w:hint="eastAsia" w:ascii="宋体" w:hAnsi="宋体" w:cs="宋体"/>
          <w:color w:val="000000"/>
          <w:lang w:val="zh-CN"/>
        </w:rPr>
        <w:t>，应分别按照招标文件的及电子评标系统要求上传。</w:t>
      </w:r>
    </w:p>
    <w:p w14:paraId="0B6DE67B">
      <w:pPr>
        <w:pStyle w:val="235"/>
        <w:spacing w:before="0" w:after="0" w:line="360" w:lineRule="auto"/>
        <w:jc w:val="left"/>
        <w:rPr>
          <w:rFonts w:ascii="宋体" w:hAnsi="宋体" w:cs="宋体"/>
          <w:color w:val="000000"/>
          <w:lang w:val="zh-CN"/>
        </w:rPr>
      </w:pPr>
      <w:bookmarkStart w:id="20" w:name="_Toc23912"/>
      <w:r>
        <w:rPr>
          <w:rFonts w:hint="eastAsia" w:ascii="宋体" w:hAnsi="宋体" w:cs="宋体"/>
          <w:color w:val="000000"/>
          <w:sz w:val="28"/>
          <w:szCs w:val="28"/>
          <w:lang w:val="zh-CN"/>
        </w:rPr>
        <w:t>1</w:t>
      </w:r>
      <w:r>
        <w:rPr>
          <w:rFonts w:hint="eastAsia" w:ascii="宋体" w:hAnsi="宋体" w:cs="宋体"/>
          <w:color w:val="000000"/>
          <w:sz w:val="28"/>
          <w:szCs w:val="28"/>
        </w:rPr>
        <w:t>3</w:t>
      </w:r>
      <w:r>
        <w:rPr>
          <w:rFonts w:hint="eastAsia" w:ascii="宋体" w:hAnsi="宋体" w:cs="宋体"/>
          <w:color w:val="000000"/>
          <w:sz w:val="28"/>
          <w:szCs w:val="28"/>
          <w:lang w:val="zh-CN"/>
        </w:rPr>
        <w:t>.上传加密电子投标文件的时间、地点、方式</w:t>
      </w:r>
      <w:bookmarkEnd w:id="20"/>
    </w:p>
    <w:p w14:paraId="0DEE4D2D">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3</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投标人在招标文件要求开标截止时间前，</w:t>
      </w:r>
      <w:r>
        <w:rPr>
          <w:rFonts w:ascii="宋体" w:hAnsi="宋体" w:cs="宋体"/>
          <w:color w:val="000000"/>
          <w:lang w:val="zh-CN"/>
        </w:rPr>
        <w:t>按要求</w:t>
      </w:r>
      <w:r>
        <w:rPr>
          <w:rFonts w:hint="eastAsia" w:ascii="宋体" w:hAnsi="宋体" w:cs="宋体"/>
          <w:color w:val="000000"/>
          <w:lang w:val="zh-CN"/>
        </w:rPr>
        <w:t>上传加密电子投标文件至评标系统。</w:t>
      </w:r>
    </w:p>
    <w:p w14:paraId="44297F48">
      <w:pPr>
        <w:pStyle w:val="235"/>
        <w:spacing w:before="0" w:after="0" w:line="360" w:lineRule="auto"/>
        <w:jc w:val="left"/>
        <w:rPr>
          <w:rFonts w:ascii="宋体" w:hAnsi="宋体" w:cs="宋体"/>
          <w:color w:val="000000"/>
          <w:lang w:val="zh-CN"/>
        </w:rPr>
      </w:pPr>
      <w:bookmarkStart w:id="21" w:name="_Toc16669"/>
      <w:r>
        <w:rPr>
          <w:rFonts w:hint="eastAsia" w:ascii="宋体" w:hAnsi="宋体" w:cs="宋体"/>
          <w:color w:val="000000"/>
          <w:sz w:val="28"/>
          <w:szCs w:val="28"/>
          <w:lang w:val="zh-CN"/>
        </w:rPr>
        <w:t>1</w:t>
      </w:r>
      <w:r>
        <w:rPr>
          <w:rFonts w:hint="eastAsia" w:ascii="宋体" w:hAnsi="宋体" w:cs="宋体"/>
          <w:color w:val="000000"/>
          <w:sz w:val="28"/>
          <w:szCs w:val="28"/>
        </w:rPr>
        <w:t>4</w:t>
      </w:r>
      <w:r>
        <w:rPr>
          <w:rFonts w:hint="eastAsia" w:ascii="宋体" w:hAnsi="宋体" w:cs="宋体"/>
          <w:color w:val="000000"/>
          <w:sz w:val="28"/>
          <w:szCs w:val="28"/>
          <w:lang w:val="zh-CN"/>
        </w:rPr>
        <w:t>.电子投标文件的补充、修改或者撤回</w:t>
      </w:r>
      <w:bookmarkEnd w:id="21"/>
    </w:p>
    <w:p w14:paraId="0B3EE35A">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4</w:t>
      </w:r>
      <w:r>
        <w:rPr>
          <w:rFonts w:hint="eastAsia" w:ascii="宋体" w:hAnsi="宋体" w:cs="宋体"/>
          <w:color w:val="000000"/>
          <w:lang w:val="zh-CN"/>
        </w:rPr>
        <w:t>.1</w:t>
      </w:r>
      <w:r>
        <w:rPr>
          <w:rFonts w:hint="eastAsia" w:ascii="宋体" w:hAnsi="宋体" w:cs="宋体"/>
          <w:color w:val="000000"/>
        </w:rPr>
        <w:t xml:space="preserve"> 投标人在投标截止时间前，可以对所上传的电子投标文件进行补充、修改或者撤回。补充、修改的内容按照招标文件要求签署、盖章，作为投标文件的组成部分。</w:t>
      </w:r>
    </w:p>
    <w:p w14:paraId="10B9035C">
      <w:pPr>
        <w:pStyle w:val="235"/>
        <w:spacing w:before="0" w:after="0" w:line="360" w:lineRule="auto"/>
        <w:rPr>
          <w:rFonts w:ascii="宋体" w:hAnsi="宋体" w:cs="宋体"/>
          <w:color w:val="000000"/>
          <w:highlight w:val="green"/>
        </w:rPr>
      </w:pPr>
      <w:bookmarkStart w:id="22" w:name="_Toc3335"/>
      <w:r>
        <w:rPr>
          <w:rFonts w:hint="eastAsia" w:ascii="宋体" w:hAnsi="宋体" w:cs="宋体"/>
          <w:color w:val="000000"/>
          <w:lang w:val="zh-CN"/>
        </w:rPr>
        <w:br w:type="page"/>
      </w:r>
      <w:r>
        <w:rPr>
          <w:rFonts w:hint="eastAsia" w:ascii="宋体" w:hAnsi="宋体" w:cs="宋体"/>
          <w:color w:val="000000"/>
          <w:lang w:val="zh-CN"/>
        </w:rPr>
        <w:t>五、开标</w:t>
      </w:r>
      <w:bookmarkEnd w:id="22"/>
    </w:p>
    <w:p w14:paraId="26CFBFD0">
      <w:pPr>
        <w:pStyle w:val="235"/>
        <w:spacing w:before="0" w:after="0" w:line="360" w:lineRule="auto"/>
        <w:jc w:val="left"/>
        <w:rPr>
          <w:rFonts w:ascii="宋体" w:hAnsi="宋体" w:cs="宋体"/>
          <w:color w:val="000000"/>
          <w:lang w:val="zh-CN"/>
        </w:rPr>
      </w:pPr>
      <w:bookmarkStart w:id="23" w:name="_Toc31007"/>
      <w:r>
        <w:rPr>
          <w:rFonts w:hint="eastAsia" w:ascii="宋体" w:hAnsi="宋体" w:cs="宋体"/>
          <w:color w:val="000000"/>
          <w:sz w:val="28"/>
          <w:szCs w:val="28"/>
          <w:lang w:val="zh-CN"/>
        </w:rPr>
        <w:t>1</w:t>
      </w:r>
      <w:r>
        <w:rPr>
          <w:rFonts w:hint="eastAsia" w:ascii="宋体" w:hAnsi="宋体" w:cs="宋体"/>
          <w:color w:val="000000"/>
          <w:sz w:val="28"/>
          <w:szCs w:val="28"/>
        </w:rPr>
        <w:t>5</w:t>
      </w:r>
      <w:r>
        <w:rPr>
          <w:rFonts w:hint="eastAsia" w:ascii="宋体" w:hAnsi="宋体" w:cs="宋体"/>
          <w:color w:val="000000"/>
          <w:sz w:val="28"/>
          <w:szCs w:val="28"/>
          <w:lang w:val="zh-CN"/>
        </w:rPr>
        <w:t>.开标</w:t>
      </w:r>
      <w:bookmarkEnd w:id="23"/>
    </w:p>
    <w:p w14:paraId="044F3246">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5</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开标在招标文件确定的上传投标文件截止时间的同一时间进行。刚察县政府采购中心按本文件中确定的时间和地点组织开标活动。</w:t>
      </w:r>
    </w:p>
    <w:p w14:paraId="35AE284A">
      <w:pPr>
        <w:spacing w:line="360" w:lineRule="auto"/>
        <w:ind w:firstLine="480"/>
        <w:rPr>
          <w:rFonts w:ascii="宋体" w:hAnsi="宋体" w:cs="宋体"/>
          <w:color w:val="000000"/>
          <w:lang w:val="zh-CN"/>
        </w:rPr>
      </w:pPr>
      <w:r>
        <w:rPr>
          <w:rFonts w:hint="eastAsia" w:ascii="宋体" w:hAnsi="宋体" w:cs="宋体"/>
          <w:color w:val="000000"/>
          <w:lang w:val="zh-CN"/>
        </w:rPr>
        <w:t>采购中心对开标、评标现场活动进行全程录音录像。录音录像清晰可辨，音像资料作为采购文件一并存档。</w:t>
      </w:r>
    </w:p>
    <w:p w14:paraId="7EA96465">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5</w:t>
      </w:r>
      <w:r>
        <w:rPr>
          <w:rFonts w:hint="eastAsia" w:ascii="宋体" w:hAnsi="宋体" w:cs="宋体"/>
          <w:color w:val="000000"/>
          <w:lang w:val="zh-CN"/>
        </w:rPr>
        <w:t>.2</w:t>
      </w:r>
      <w:r>
        <w:rPr>
          <w:rFonts w:hint="eastAsia" w:ascii="宋体" w:hAnsi="宋体" w:cs="宋体"/>
          <w:color w:val="000000"/>
        </w:rPr>
        <w:t xml:space="preserve"> </w:t>
      </w:r>
      <w:r>
        <w:rPr>
          <w:rFonts w:hint="eastAsia" w:ascii="宋体" w:hAnsi="宋体" w:cs="宋体"/>
          <w:color w:val="000000"/>
          <w:shd w:val="clear" w:color="auto" w:fill="FFFFFF"/>
        </w:rPr>
        <w:t>开标由</w:t>
      </w:r>
      <w:r>
        <w:rPr>
          <w:rFonts w:hint="eastAsia" w:ascii="宋体" w:hAnsi="宋体" w:cs="宋体"/>
          <w:color w:val="000000"/>
          <w:lang w:val="zh-CN"/>
        </w:rPr>
        <w:t>采购中心</w:t>
      </w:r>
      <w:r>
        <w:rPr>
          <w:rFonts w:hint="eastAsia" w:ascii="宋体" w:hAnsi="宋体" w:cs="宋体"/>
          <w:color w:val="000000"/>
          <w:shd w:val="clear" w:color="auto" w:fill="FFFFFF"/>
        </w:rPr>
        <w:t>主持。评标委员会成员不得参加开标活动。</w:t>
      </w:r>
    </w:p>
    <w:p w14:paraId="2E365980">
      <w:pPr>
        <w:spacing w:line="360" w:lineRule="auto"/>
        <w:ind w:firstLine="480"/>
        <w:rPr>
          <w:rFonts w:ascii="宋体" w:hAnsi="宋体" w:cs="宋体"/>
          <w:color w:val="000000"/>
          <w:shd w:val="clear" w:color="auto" w:fill="FFFFFF"/>
          <w:lang w:val="zh-CN"/>
        </w:rPr>
      </w:pPr>
      <w:r>
        <w:rPr>
          <w:rFonts w:hint="eastAsia" w:ascii="宋体" w:hAnsi="宋体" w:cs="宋体"/>
          <w:color w:val="000000"/>
          <w:shd w:val="clear" w:color="auto" w:fill="FFFFFF"/>
          <w:lang w:val="zh-CN"/>
        </w:rPr>
        <w:t>投标人不足3家的，宣布本次公开招标采购活动终止。</w:t>
      </w:r>
    </w:p>
    <w:p w14:paraId="4305A994">
      <w:pPr>
        <w:spacing w:line="360" w:lineRule="auto"/>
        <w:ind w:firstLine="480"/>
        <w:rPr>
          <w:rFonts w:ascii="宋体" w:hAnsi="宋体" w:cs="宋体"/>
          <w:color w:val="000000"/>
        </w:rPr>
      </w:pPr>
      <w:r>
        <w:rPr>
          <w:rFonts w:hint="eastAsia" w:ascii="宋体" w:hAnsi="宋体" w:cs="宋体"/>
          <w:color w:val="000000"/>
        </w:rPr>
        <w:t>15.3开标过程由</w:t>
      </w:r>
      <w:r>
        <w:rPr>
          <w:rFonts w:hint="eastAsia" w:ascii="宋体" w:hAnsi="宋体" w:cs="宋体"/>
          <w:color w:val="000000"/>
          <w:lang w:val="zh-CN"/>
        </w:rPr>
        <w:t>采购中心</w:t>
      </w:r>
      <w:r>
        <w:rPr>
          <w:rFonts w:hint="eastAsia" w:ascii="宋体" w:hAnsi="宋体" w:cs="宋体"/>
          <w:color w:val="000000"/>
        </w:rPr>
        <w:t>负责记录，由参加开标的各投标人代表和相关工作人员线上签字确认后</w:t>
      </w:r>
      <w:r>
        <w:rPr>
          <w:rFonts w:ascii="宋体" w:hAnsi="宋体" w:cs="宋体"/>
          <w:color w:val="000000"/>
        </w:rPr>
        <w:t>随采购文件一并存档</w:t>
      </w:r>
      <w:r>
        <w:rPr>
          <w:rFonts w:hint="eastAsia" w:ascii="宋体" w:hAnsi="宋体" w:cs="宋体"/>
          <w:color w:val="000000"/>
        </w:rPr>
        <w:t>。</w:t>
      </w:r>
    </w:p>
    <w:p w14:paraId="7688B0AF">
      <w:pPr>
        <w:pStyle w:val="235"/>
        <w:spacing w:before="0" w:after="0" w:line="360" w:lineRule="auto"/>
        <w:rPr>
          <w:rFonts w:ascii="宋体" w:hAnsi="宋体" w:cs="宋体"/>
          <w:color w:val="000000"/>
        </w:rPr>
      </w:pPr>
      <w:bookmarkStart w:id="24" w:name="_Toc26242"/>
      <w:bookmarkStart w:id="25" w:name="_Toc496004006"/>
      <w:r>
        <w:rPr>
          <w:rFonts w:hint="eastAsia" w:ascii="宋体" w:hAnsi="宋体" w:cs="宋体"/>
          <w:szCs w:val="36"/>
        </w:rPr>
        <w:t>六、资格</w:t>
      </w:r>
      <w:r>
        <w:rPr>
          <w:rFonts w:hint="eastAsia" w:ascii="宋体" w:hAnsi="宋体" w:cs="宋体"/>
          <w:color w:val="000000"/>
          <w:lang w:val="zh-CN"/>
        </w:rPr>
        <w:t>审查</w:t>
      </w:r>
      <w:r>
        <w:rPr>
          <w:rFonts w:hint="eastAsia" w:ascii="宋体" w:hAnsi="宋体" w:cs="宋体"/>
          <w:szCs w:val="36"/>
        </w:rPr>
        <w:t>程序</w:t>
      </w:r>
      <w:bookmarkEnd w:id="24"/>
      <w:bookmarkEnd w:id="25"/>
    </w:p>
    <w:p w14:paraId="00AB0545">
      <w:pPr>
        <w:pStyle w:val="235"/>
        <w:spacing w:before="0" w:after="0" w:line="360" w:lineRule="auto"/>
        <w:jc w:val="left"/>
        <w:rPr>
          <w:rFonts w:ascii="宋体" w:hAnsi="宋体" w:cs="宋体"/>
          <w:color w:val="000000"/>
          <w:sz w:val="28"/>
          <w:szCs w:val="28"/>
        </w:rPr>
      </w:pPr>
      <w:bookmarkStart w:id="26" w:name="_Toc26052"/>
      <w:r>
        <w:rPr>
          <w:rFonts w:hint="eastAsia" w:ascii="宋体" w:hAnsi="宋体" w:cs="宋体"/>
          <w:color w:val="000000"/>
          <w:sz w:val="28"/>
          <w:szCs w:val="28"/>
        </w:rPr>
        <w:t>16.资格审查</w:t>
      </w:r>
      <w:bookmarkEnd w:id="26"/>
    </w:p>
    <w:p w14:paraId="009E964D">
      <w:pPr>
        <w:spacing w:line="360" w:lineRule="auto"/>
        <w:ind w:firstLine="480"/>
        <w:rPr>
          <w:rFonts w:ascii="宋体" w:hAnsi="宋体" w:cs="宋体"/>
          <w:color w:val="000000"/>
        </w:rPr>
      </w:pPr>
      <w:r>
        <w:rPr>
          <w:rFonts w:hint="eastAsia" w:ascii="宋体" w:hAnsi="宋体" w:cs="宋体"/>
          <w:color w:val="000000"/>
        </w:rPr>
        <w:t>16.1 开标结束后，采购人依法对投标人的资格性审查文件（上册）进行审查。</w:t>
      </w:r>
    </w:p>
    <w:p w14:paraId="4C77AE9D">
      <w:pPr>
        <w:spacing w:line="360" w:lineRule="auto"/>
        <w:ind w:firstLine="480"/>
        <w:rPr>
          <w:rFonts w:ascii="宋体" w:hAnsi="宋体" w:cs="宋体"/>
          <w:color w:val="000000"/>
        </w:rPr>
      </w:pPr>
      <w:r>
        <w:rPr>
          <w:rFonts w:hint="eastAsia" w:ascii="宋体" w:hAnsi="宋体" w:cs="宋体"/>
          <w:color w:val="000000"/>
        </w:rPr>
        <w:t>16.2 合格投标人不足3家的，不得评标，</w:t>
      </w:r>
      <w:r>
        <w:rPr>
          <w:rFonts w:hint="eastAsia" w:ascii="宋体" w:hAnsi="宋体" w:cs="宋体"/>
          <w:color w:val="000000"/>
          <w:shd w:val="clear" w:color="auto" w:fill="FFFFFF"/>
          <w:lang w:val="zh-CN"/>
        </w:rPr>
        <w:t>宣布本次公开招标采购活动终止</w:t>
      </w:r>
      <w:r>
        <w:rPr>
          <w:rFonts w:hint="eastAsia" w:ascii="宋体" w:hAnsi="宋体" w:cs="宋体"/>
          <w:color w:val="000000"/>
        </w:rPr>
        <w:t>。</w:t>
      </w:r>
    </w:p>
    <w:p w14:paraId="3172820A">
      <w:pPr>
        <w:spacing w:line="360" w:lineRule="auto"/>
        <w:ind w:firstLine="480"/>
        <w:rPr>
          <w:rFonts w:ascii="宋体" w:hAnsi="宋体" w:cs="宋体"/>
          <w:color w:val="000000"/>
          <w:sz w:val="28"/>
          <w:szCs w:val="28"/>
        </w:rPr>
      </w:pPr>
      <w:bookmarkStart w:id="27" w:name="_Toc497503249"/>
      <w:bookmarkStart w:id="28" w:name="_Toc497503449"/>
      <w:bookmarkStart w:id="29" w:name="_Toc497503516"/>
      <w:bookmarkStart w:id="30" w:name="_Toc30809"/>
      <w:bookmarkStart w:id="31" w:name="_Toc497503315"/>
      <w:r>
        <w:rPr>
          <w:rFonts w:hint="eastAsia" w:ascii="宋体" w:hAnsi="宋体" w:cs="宋体"/>
          <w:color w:val="000000"/>
        </w:rPr>
        <w:t>16.3 资格审查时，投标人存在下列情况之一的，按无效投标处理：</w:t>
      </w:r>
      <w:bookmarkEnd w:id="27"/>
      <w:bookmarkEnd w:id="28"/>
      <w:bookmarkEnd w:id="29"/>
      <w:bookmarkEnd w:id="30"/>
      <w:bookmarkEnd w:id="31"/>
    </w:p>
    <w:p w14:paraId="64186916">
      <w:pPr>
        <w:numPr>
          <w:ilvl w:val="0"/>
          <w:numId w:val="3"/>
        </w:numPr>
        <w:tabs>
          <w:tab w:val="left" w:pos="960"/>
        </w:tabs>
        <w:spacing w:line="360" w:lineRule="auto"/>
        <w:ind w:firstLine="480"/>
        <w:rPr>
          <w:rFonts w:ascii="宋体" w:hAnsi="宋体" w:cs="宋体"/>
          <w:color w:val="000000"/>
        </w:rPr>
      </w:pPr>
      <w:r>
        <w:rPr>
          <w:rFonts w:hint="eastAsia" w:ascii="宋体" w:hAnsi="宋体" w:cs="宋体"/>
          <w:color w:val="000000"/>
          <w:shd w:val="clear" w:color="auto" w:fill="FFFFFF"/>
        </w:rPr>
        <w:t>不具备</w:t>
      </w:r>
      <w:r>
        <w:rPr>
          <w:rFonts w:hint="eastAsia" w:ascii="宋体" w:hAnsi="宋体" w:cs="宋体"/>
          <w:color w:val="000000"/>
          <w:lang w:val="zh-CN"/>
        </w:rPr>
        <w:t>第一部分“投标邀请”中各包投标人资格要求</w:t>
      </w:r>
      <w:r>
        <w:rPr>
          <w:rFonts w:hint="eastAsia" w:ascii="宋体" w:hAnsi="宋体" w:cs="宋体"/>
          <w:color w:val="000000"/>
          <w:shd w:val="clear" w:color="auto" w:fill="FFFFFF"/>
        </w:rPr>
        <w:t>的；</w:t>
      </w:r>
    </w:p>
    <w:p w14:paraId="4FFC2FA4">
      <w:pPr>
        <w:numPr>
          <w:ilvl w:val="0"/>
          <w:numId w:val="3"/>
        </w:numPr>
        <w:tabs>
          <w:tab w:val="left" w:pos="960"/>
        </w:tabs>
        <w:spacing w:line="360" w:lineRule="auto"/>
        <w:ind w:firstLine="480"/>
        <w:rPr>
          <w:rFonts w:ascii="宋体" w:hAnsi="宋体" w:cs="宋体"/>
          <w:color w:val="000000"/>
        </w:rPr>
      </w:pPr>
      <w:r>
        <w:rPr>
          <w:rFonts w:hint="eastAsia" w:ascii="宋体" w:hAnsi="宋体" w:cs="宋体"/>
          <w:color w:val="000000"/>
        </w:rPr>
        <w:t>未按第10.1要求提供相关资料的；</w:t>
      </w:r>
    </w:p>
    <w:p w14:paraId="0CD549A2">
      <w:pPr>
        <w:numPr>
          <w:ilvl w:val="0"/>
          <w:numId w:val="3"/>
        </w:numPr>
        <w:tabs>
          <w:tab w:val="left" w:pos="960"/>
        </w:tabs>
        <w:spacing w:line="360" w:lineRule="auto"/>
        <w:ind w:firstLine="480"/>
        <w:rPr>
          <w:rFonts w:ascii="宋体" w:hAnsi="宋体" w:cs="宋体"/>
          <w:color w:val="000000"/>
          <w:shd w:val="clear" w:color="auto" w:fill="FFFFFF"/>
        </w:rPr>
      </w:pPr>
      <w:r>
        <w:rPr>
          <w:rFonts w:hint="eastAsia" w:ascii="宋体" w:hAnsi="宋体" w:cs="宋体"/>
          <w:color w:val="000000"/>
        </w:rPr>
        <w:t>资格性审查文件未按招标文件规定和要求签字、盖章的；</w:t>
      </w:r>
    </w:p>
    <w:p w14:paraId="6C0962A1">
      <w:pPr>
        <w:numPr>
          <w:ilvl w:val="0"/>
          <w:numId w:val="3"/>
        </w:numPr>
        <w:tabs>
          <w:tab w:val="left" w:pos="960"/>
        </w:tabs>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报价超过招标文件中规定的预算金额或者最高限价的；</w:t>
      </w:r>
    </w:p>
    <w:p w14:paraId="2BDAF78E">
      <w:pPr>
        <w:numPr>
          <w:ilvl w:val="0"/>
          <w:numId w:val="3"/>
        </w:numPr>
        <w:tabs>
          <w:tab w:val="left" w:pos="960"/>
        </w:tabs>
        <w:spacing w:line="360" w:lineRule="auto"/>
        <w:ind w:firstLine="480"/>
        <w:rPr>
          <w:rFonts w:ascii="宋体" w:hAnsi="宋体" w:cs="宋体"/>
          <w:color w:val="000000"/>
          <w:shd w:val="clear" w:color="auto" w:fill="FFFFFF"/>
        </w:rPr>
      </w:pPr>
      <w:r>
        <w:rPr>
          <w:rFonts w:hint="eastAsia" w:ascii="宋体" w:hAnsi="宋体" w:cs="宋体"/>
          <w:color w:val="000000"/>
          <w:lang w:val="zh-CN"/>
        </w:rPr>
        <w:t>投标有效期不能满足招标文件要求的；</w:t>
      </w:r>
    </w:p>
    <w:p w14:paraId="2E65AD57">
      <w:pPr>
        <w:pStyle w:val="235"/>
        <w:spacing w:before="0" w:after="0" w:line="360" w:lineRule="auto"/>
        <w:rPr>
          <w:rFonts w:ascii="宋体" w:hAnsi="宋体" w:cs="宋体"/>
          <w:color w:val="000000"/>
        </w:rPr>
      </w:pPr>
      <w:bookmarkStart w:id="32" w:name="_Toc15470"/>
      <w:r>
        <w:rPr>
          <w:rFonts w:hint="eastAsia" w:ascii="宋体" w:hAnsi="宋体" w:cs="宋体"/>
          <w:color w:val="000000"/>
          <w:lang w:val="zh-CN"/>
        </w:rPr>
        <w:t>七、评审程序及方法</w:t>
      </w:r>
      <w:bookmarkEnd w:id="32"/>
    </w:p>
    <w:p w14:paraId="2E87C5F7">
      <w:pPr>
        <w:pStyle w:val="235"/>
        <w:spacing w:before="0" w:after="0" w:line="360" w:lineRule="auto"/>
        <w:jc w:val="left"/>
        <w:rPr>
          <w:rFonts w:ascii="宋体" w:hAnsi="宋体" w:cs="宋体"/>
          <w:color w:val="000000"/>
          <w:lang w:val="zh-CN"/>
        </w:rPr>
      </w:pPr>
      <w:bookmarkStart w:id="33" w:name="_Toc31504"/>
      <w:r>
        <w:rPr>
          <w:rFonts w:hint="eastAsia" w:ascii="宋体" w:hAnsi="宋体" w:cs="宋体"/>
          <w:color w:val="000000"/>
          <w:sz w:val="28"/>
          <w:szCs w:val="28"/>
          <w:lang w:val="zh-CN"/>
        </w:rPr>
        <w:t>1</w:t>
      </w:r>
      <w:r>
        <w:rPr>
          <w:rFonts w:hint="eastAsia" w:ascii="宋体" w:hAnsi="宋体" w:cs="宋体"/>
          <w:color w:val="000000"/>
          <w:sz w:val="28"/>
          <w:szCs w:val="28"/>
        </w:rPr>
        <w:t>7</w:t>
      </w:r>
      <w:r>
        <w:rPr>
          <w:rFonts w:hint="eastAsia" w:ascii="宋体" w:hAnsi="宋体" w:cs="宋体"/>
          <w:color w:val="000000"/>
          <w:sz w:val="28"/>
          <w:szCs w:val="28"/>
          <w:lang w:val="zh-CN"/>
        </w:rPr>
        <w:t>.评标委员会</w:t>
      </w:r>
      <w:bookmarkEnd w:id="33"/>
    </w:p>
    <w:p w14:paraId="544B7C7C">
      <w:pPr>
        <w:spacing w:line="360" w:lineRule="auto"/>
        <w:ind w:firstLine="480"/>
        <w:rPr>
          <w:rFonts w:ascii="宋体" w:hAnsi="宋体" w:cs="宋体"/>
          <w:color w:val="000000"/>
          <w:lang w:val="zh-CN"/>
        </w:rPr>
      </w:pPr>
      <w:r>
        <w:rPr>
          <w:rFonts w:hint="eastAsia" w:ascii="宋体" w:hAnsi="宋体" w:cs="宋体"/>
          <w:color w:val="000000"/>
        </w:rPr>
        <w:t xml:space="preserve">17.1 </w:t>
      </w:r>
      <w:r>
        <w:rPr>
          <w:rFonts w:hint="eastAsia" w:ascii="宋体" w:hAnsi="宋体" w:cs="宋体"/>
          <w:color w:val="000000"/>
          <w:lang w:val="zh-CN"/>
        </w:rPr>
        <w:t>刚察县政府采购中心负责组织评标工作，并履行下列职责：</w:t>
      </w:r>
    </w:p>
    <w:p w14:paraId="542007FE">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1</w:t>
      </w:r>
      <w:r>
        <w:rPr>
          <w:rFonts w:hint="eastAsia" w:ascii="宋体" w:hAnsi="宋体" w:cs="宋体"/>
          <w:color w:val="000000"/>
          <w:lang w:val="zh-CN"/>
        </w:rPr>
        <w:t>）核对评审专家身份和采购人代表授权函，对评审专家在政府采购活动中的职责履行情况予以记录，并及时将有关违法违规行为向财政部门报告；</w:t>
      </w:r>
    </w:p>
    <w:p w14:paraId="2BFBDDE9">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2</w:t>
      </w:r>
      <w:r>
        <w:rPr>
          <w:rFonts w:hint="eastAsia" w:ascii="宋体" w:hAnsi="宋体" w:cs="宋体"/>
          <w:color w:val="000000"/>
          <w:lang w:val="zh-CN"/>
        </w:rPr>
        <w:t>）宣布评标纪律；</w:t>
      </w:r>
    </w:p>
    <w:p w14:paraId="008D0FE1">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3</w:t>
      </w:r>
      <w:r>
        <w:rPr>
          <w:rFonts w:hint="eastAsia" w:ascii="宋体" w:hAnsi="宋体" w:cs="宋体"/>
          <w:color w:val="000000"/>
          <w:lang w:val="zh-CN"/>
        </w:rPr>
        <w:t>）公布投标人名单，告知评审专家回避的情形；</w:t>
      </w:r>
    </w:p>
    <w:p w14:paraId="4993BAA7">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4</w:t>
      </w:r>
      <w:r>
        <w:rPr>
          <w:rFonts w:hint="eastAsia" w:ascii="宋体" w:hAnsi="宋体" w:cs="宋体"/>
          <w:color w:val="000000"/>
          <w:lang w:val="zh-CN"/>
        </w:rPr>
        <w:t>）组织评标委员会推选评标组长，采购人代表不得担任组长；</w:t>
      </w:r>
    </w:p>
    <w:p w14:paraId="5CD62F92">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5</w:t>
      </w:r>
      <w:r>
        <w:rPr>
          <w:rFonts w:hint="eastAsia" w:ascii="宋体" w:hAnsi="宋体" w:cs="宋体"/>
          <w:color w:val="000000"/>
          <w:lang w:val="zh-CN"/>
        </w:rPr>
        <w:t>）在评标期间采取必要的通讯管理措施，保证评标活动不受外界干扰；</w:t>
      </w:r>
    </w:p>
    <w:p w14:paraId="22DC75EC">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6</w:t>
      </w:r>
      <w:r>
        <w:rPr>
          <w:rFonts w:hint="eastAsia" w:ascii="宋体" w:hAnsi="宋体" w:cs="宋体"/>
          <w:color w:val="000000"/>
          <w:lang w:val="zh-CN"/>
        </w:rPr>
        <w:t>）根据评标委员会的要求介绍政府采购相关政策法规、招标文件；</w:t>
      </w:r>
    </w:p>
    <w:p w14:paraId="10C1AAAA">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7</w:t>
      </w:r>
      <w:r>
        <w:rPr>
          <w:rFonts w:hint="eastAsia" w:ascii="宋体" w:hAnsi="宋体" w:cs="宋体"/>
          <w:color w:val="000000"/>
          <w:lang w:val="zh-CN"/>
        </w:rPr>
        <w:t>）维护评标秩序，监督评标委员会依照招标文件规定的评标程序、方法和标准进行独立评审，及时制止和纠正采购人代表、评审专家的倾向性言论或者违法违规行为；</w:t>
      </w:r>
    </w:p>
    <w:p w14:paraId="147833F4">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8</w:t>
      </w:r>
      <w:r>
        <w:rPr>
          <w:rFonts w:hint="eastAsia" w:ascii="宋体" w:hAnsi="宋体" w:cs="宋体"/>
          <w:color w:val="000000"/>
          <w:lang w:val="zh-CN"/>
        </w:rPr>
        <w:t>）核对评标结果，有</w:t>
      </w:r>
      <w:r>
        <w:rPr>
          <w:rFonts w:hint="eastAsia" w:ascii="宋体" w:hAnsi="宋体" w:cs="宋体"/>
          <w:color w:val="000000"/>
        </w:rPr>
        <w:t>19.4</w:t>
      </w:r>
      <w:r>
        <w:rPr>
          <w:rFonts w:hint="eastAsia" w:ascii="宋体" w:hAnsi="宋体" w:cs="宋体"/>
          <w:color w:val="000000"/>
          <w:lang w:val="zh-CN"/>
        </w:rPr>
        <w:t>规定情形的，要求评标委员会复核或者书面说明理由，评标委员会拒绝的，应予记录并向本级财政部门报告；</w:t>
      </w:r>
    </w:p>
    <w:p w14:paraId="496F91CF">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9</w:t>
      </w:r>
      <w:r>
        <w:rPr>
          <w:rFonts w:hint="eastAsia" w:ascii="宋体" w:hAnsi="宋体" w:cs="宋体"/>
          <w:color w:val="000000"/>
          <w:lang w:val="zh-CN"/>
        </w:rPr>
        <w:t>）评审工作完成后，按照规定由采购人向评审专家支付劳务报酬和异地评审差旅费，不得向评审专家以外的其他人员支付评审劳务报酬；</w:t>
      </w:r>
    </w:p>
    <w:p w14:paraId="49D4BA1F">
      <w:pPr>
        <w:spacing w:line="360" w:lineRule="auto"/>
        <w:ind w:firstLine="480"/>
        <w:rPr>
          <w:rFonts w:ascii="宋体" w:hAnsi="宋体" w:cs="宋体"/>
          <w:color w:val="000000"/>
          <w:lang w:val="zh-CN"/>
        </w:rPr>
      </w:pPr>
      <w:r>
        <w:rPr>
          <w:rFonts w:hint="eastAsia" w:ascii="宋体" w:hAnsi="宋体" w:cs="宋体"/>
          <w:color w:val="000000"/>
          <w:lang w:val="zh-CN"/>
        </w:rPr>
        <w:t>（</w:t>
      </w:r>
      <w:r>
        <w:rPr>
          <w:rFonts w:hint="eastAsia" w:ascii="宋体" w:hAnsi="宋体" w:cs="宋体"/>
          <w:color w:val="000000"/>
        </w:rPr>
        <w:t>10</w:t>
      </w:r>
      <w:r>
        <w:rPr>
          <w:rFonts w:hint="eastAsia" w:ascii="宋体" w:hAnsi="宋体" w:cs="宋体"/>
          <w:color w:val="000000"/>
          <w:lang w:val="zh-CN"/>
        </w:rPr>
        <w:t>）处理与评标有关的其他事项。</w:t>
      </w:r>
    </w:p>
    <w:p w14:paraId="5F27CE58">
      <w:pPr>
        <w:spacing w:line="360" w:lineRule="auto"/>
        <w:ind w:firstLine="480"/>
        <w:rPr>
          <w:rFonts w:ascii="宋体" w:hAnsi="宋体" w:cs="宋体"/>
          <w:color w:val="000000"/>
        </w:rPr>
      </w:pPr>
      <w:r>
        <w:rPr>
          <w:rFonts w:hint="eastAsia" w:ascii="宋体" w:hAnsi="宋体" w:cs="宋体"/>
          <w:color w:val="000000"/>
          <w:lang w:val="zh-CN"/>
        </w:rPr>
        <w:t>采购人可以在评标前说明项目背景和采购需求，说明内容不得含有歧视性、倾向性意见，不得超出招标文件所述范围。说明提交书面材料，并随采购文件一并存档。</w:t>
      </w:r>
    </w:p>
    <w:p w14:paraId="4A14D86F">
      <w:pPr>
        <w:spacing w:line="360" w:lineRule="auto"/>
        <w:ind w:firstLine="480"/>
        <w:rPr>
          <w:rFonts w:ascii="宋体" w:hAnsi="宋体" w:cs="宋体"/>
          <w:color w:val="000000"/>
        </w:rPr>
      </w:pPr>
      <w:r>
        <w:rPr>
          <w:rFonts w:hint="eastAsia" w:ascii="宋体" w:hAnsi="宋体" w:cs="宋体"/>
          <w:color w:val="000000"/>
        </w:rPr>
        <w:t>17.2 评标委员会负责具体评标事务，并独立履行下列职责：</w:t>
      </w:r>
    </w:p>
    <w:p w14:paraId="59FF10F4">
      <w:pPr>
        <w:numPr>
          <w:ilvl w:val="0"/>
          <w:numId w:val="4"/>
        </w:numPr>
        <w:spacing w:line="360" w:lineRule="auto"/>
        <w:ind w:firstLine="480"/>
        <w:rPr>
          <w:rFonts w:ascii="宋体" w:hAnsi="宋体" w:cs="宋体"/>
          <w:color w:val="000000"/>
        </w:rPr>
      </w:pPr>
      <w:r>
        <w:rPr>
          <w:rFonts w:hint="eastAsia" w:ascii="宋体" w:hAnsi="宋体" w:cs="宋体"/>
          <w:color w:val="000000"/>
        </w:rPr>
        <w:t>严格遵守评审工作纪律,按照客观、公正、审慎的原则,根据采购文件规定的评审程序、评审方法和评审标准进行独立评审</w:t>
      </w:r>
      <w:r>
        <w:rPr>
          <w:rFonts w:hint="eastAsia" w:ascii="宋体" w:hAnsi="宋体" w:cs="宋体"/>
          <w:color w:val="000000"/>
          <w:lang w:val="zh-CN"/>
        </w:rPr>
        <w:t>；</w:t>
      </w:r>
    </w:p>
    <w:p w14:paraId="54C4A79F">
      <w:pPr>
        <w:numPr>
          <w:ilvl w:val="0"/>
          <w:numId w:val="4"/>
        </w:numPr>
        <w:spacing w:line="360" w:lineRule="auto"/>
        <w:ind w:firstLine="480"/>
        <w:rPr>
          <w:rFonts w:ascii="宋体" w:hAnsi="宋体" w:cs="宋体"/>
          <w:color w:val="000000"/>
        </w:rPr>
      </w:pPr>
      <w:r>
        <w:rPr>
          <w:rFonts w:hint="eastAsia" w:ascii="宋体" w:hAnsi="宋体" w:cs="宋体"/>
          <w:color w:val="000000"/>
        </w:rPr>
        <w:t>现采购文件内容违反国家有关强制性规定或者采购文件存在歧义、重大缺陷导致评审工作无法进行时,停止评审并向刚察县政府采购中心书面说明情况</w:t>
      </w:r>
      <w:r>
        <w:rPr>
          <w:rFonts w:hint="eastAsia" w:ascii="宋体" w:hAnsi="宋体" w:cs="宋体"/>
          <w:color w:val="000000"/>
          <w:lang w:val="zh-CN"/>
        </w:rPr>
        <w:t>；</w:t>
      </w:r>
    </w:p>
    <w:p w14:paraId="550A822B">
      <w:pPr>
        <w:numPr>
          <w:ilvl w:val="0"/>
          <w:numId w:val="4"/>
        </w:numPr>
        <w:spacing w:line="360" w:lineRule="auto"/>
        <w:ind w:firstLine="480"/>
        <w:rPr>
          <w:rFonts w:ascii="宋体" w:hAnsi="宋体" w:cs="宋体"/>
          <w:color w:val="000000"/>
        </w:rPr>
      </w:pPr>
      <w:r>
        <w:rPr>
          <w:rFonts w:hint="eastAsia" w:ascii="宋体" w:hAnsi="宋体" w:cs="宋体"/>
          <w:color w:val="000000"/>
        </w:rPr>
        <w:t>审查、评价投标文件是否符合招标文件的商务、技术等实质性要求</w:t>
      </w:r>
      <w:r>
        <w:rPr>
          <w:rFonts w:hint="eastAsia" w:ascii="宋体" w:hAnsi="宋体" w:cs="宋体"/>
          <w:color w:val="000000"/>
          <w:lang w:val="zh-CN"/>
        </w:rPr>
        <w:t>；</w:t>
      </w:r>
    </w:p>
    <w:p w14:paraId="3C0A598B">
      <w:pPr>
        <w:numPr>
          <w:ilvl w:val="0"/>
          <w:numId w:val="4"/>
        </w:numPr>
        <w:spacing w:line="360" w:lineRule="auto"/>
        <w:ind w:firstLine="480"/>
        <w:rPr>
          <w:rFonts w:ascii="宋体" w:hAnsi="宋体" w:cs="宋体"/>
          <w:color w:val="000000"/>
        </w:rPr>
      </w:pPr>
      <w:r>
        <w:rPr>
          <w:rFonts w:hint="eastAsia" w:ascii="宋体" w:hAnsi="宋体" w:cs="宋体"/>
          <w:color w:val="000000"/>
        </w:rPr>
        <w:t>要求投标人对投标文件有关事项作出澄清或者说明；</w:t>
      </w:r>
    </w:p>
    <w:p w14:paraId="68F1C530">
      <w:pPr>
        <w:numPr>
          <w:ilvl w:val="0"/>
          <w:numId w:val="4"/>
        </w:numPr>
        <w:spacing w:line="360" w:lineRule="auto"/>
        <w:ind w:firstLine="480"/>
        <w:rPr>
          <w:rFonts w:ascii="宋体" w:hAnsi="宋体" w:cs="宋体"/>
          <w:color w:val="000000"/>
        </w:rPr>
      </w:pPr>
      <w:r>
        <w:rPr>
          <w:rFonts w:hint="eastAsia" w:ascii="宋体" w:hAnsi="宋体" w:cs="宋体"/>
          <w:color w:val="000000"/>
        </w:rPr>
        <w:t>对投标文件进行比较和评价；</w:t>
      </w:r>
    </w:p>
    <w:p w14:paraId="60BA1FE9">
      <w:pPr>
        <w:numPr>
          <w:ilvl w:val="0"/>
          <w:numId w:val="4"/>
        </w:numPr>
        <w:spacing w:line="360" w:lineRule="auto"/>
        <w:ind w:firstLine="480"/>
        <w:rPr>
          <w:rFonts w:ascii="宋体" w:hAnsi="宋体" w:cs="宋体"/>
          <w:color w:val="000000"/>
        </w:rPr>
      </w:pPr>
      <w:r>
        <w:rPr>
          <w:rFonts w:hint="eastAsia" w:ascii="宋体" w:hAnsi="宋体" w:cs="宋体"/>
          <w:color w:val="000000"/>
        </w:rPr>
        <w:t>确定中标候选人名单，以及根据采购人委托直接确定中标人；</w:t>
      </w:r>
    </w:p>
    <w:p w14:paraId="42E651DD">
      <w:pPr>
        <w:numPr>
          <w:ilvl w:val="0"/>
          <w:numId w:val="4"/>
        </w:numPr>
        <w:spacing w:line="360" w:lineRule="auto"/>
        <w:ind w:firstLine="480"/>
        <w:rPr>
          <w:rFonts w:ascii="宋体" w:hAnsi="宋体" w:cs="宋体"/>
          <w:color w:val="000000"/>
        </w:rPr>
      </w:pPr>
      <w:r>
        <w:rPr>
          <w:rFonts w:hint="eastAsia" w:ascii="宋体" w:hAnsi="宋体" w:cs="宋体"/>
          <w:color w:val="000000"/>
        </w:rPr>
        <w:t>配合答复供应商的询问、质疑和投诉等事项,不得泄露评审文件、评审情况和在评审过程中获悉的商业秘密</w:t>
      </w:r>
      <w:r>
        <w:rPr>
          <w:rFonts w:hint="eastAsia" w:ascii="宋体" w:hAnsi="宋体" w:cs="宋体"/>
          <w:color w:val="000000"/>
          <w:lang w:val="zh-CN"/>
        </w:rPr>
        <w:t>；</w:t>
      </w:r>
    </w:p>
    <w:p w14:paraId="3443A0AE">
      <w:pPr>
        <w:numPr>
          <w:ilvl w:val="0"/>
          <w:numId w:val="4"/>
        </w:numPr>
        <w:spacing w:line="360" w:lineRule="auto"/>
        <w:ind w:firstLine="480"/>
        <w:rPr>
          <w:rFonts w:ascii="宋体" w:hAnsi="宋体" w:cs="宋体"/>
          <w:color w:val="000000"/>
        </w:rPr>
      </w:pPr>
      <w:r>
        <w:rPr>
          <w:rFonts w:hint="eastAsia" w:ascii="宋体" w:hAnsi="宋体" w:cs="宋体"/>
          <w:color w:val="000000"/>
        </w:rPr>
        <w:t>向采购人、采购中心或者有关部门报告评标中发现的违法行为。</w:t>
      </w:r>
    </w:p>
    <w:p w14:paraId="4B8E204B">
      <w:pPr>
        <w:spacing w:line="360" w:lineRule="auto"/>
        <w:ind w:firstLine="480"/>
        <w:rPr>
          <w:rFonts w:ascii="宋体" w:hAnsi="宋体" w:cs="宋体"/>
          <w:color w:val="000000"/>
        </w:rPr>
      </w:pPr>
      <w:r>
        <w:rPr>
          <w:rFonts w:hint="eastAsia" w:ascii="宋体" w:hAnsi="宋体" w:cs="宋体"/>
          <w:color w:val="000000"/>
        </w:rPr>
        <w:t>17.3 评标委员会由采购人代表和评审专家组成，成员人数为5人以上单数，其中评审专家不得少于成员总数的三分之二。</w:t>
      </w:r>
    </w:p>
    <w:p w14:paraId="3F055874">
      <w:pPr>
        <w:spacing w:line="360" w:lineRule="auto"/>
        <w:ind w:firstLine="480"/>
        <w:rPr>
          <w:rFonts w:ascii="宋体" w:hAnsi="宋体" w:cs="宋体"/>
          <w:color w:val="000000"/>
        </w:rPr>
      </w:pPr>
      <w:r>
        <w:rPr>
          <w:rFonts w:hint="eastAsia" w:ascii="宋体" w:hAnsi="宋体" w:cs="宋体"/>
          <w:color w:val="000000"/>
        </w:rPr>
        <w:t>采购项目符合下列情形之一的，评标委员会成员人数为7人以上单数：</w:t>
      </w:r>
    </w:p>
    <w:p w14:paraId="198AE080">
      <w:pPr>
        <w:spacing w:line="360" w:lineRule="auto"/>
        <w:ind w:firstLine="480"/>
        <w:rPr>
          <w:rFonts w:ascii="宋体" w:hAnsi="宋体" w:cs="宋体"/>
          <w:color w:val="000000"/>
        </w:rPr>
      </w:pPr>
      <w:r>
        <w:rPr>
          <w:rFonts w:hint="eastAsia" w:ascii="宋体" w:hAnsi="宋体" w:cs="宋体"/>
          <w:color w:val="000000"/>
        </w:rPr>
        <w:t>（1）采购预算金额在1000万元以上；</w:t>
      </w:r>
    </w:p>
    <w:p w14:paraId="7E356591">
      <w:pPr>
        <w:spacing w:line="360" w:lineRule="auto"/>
        <w:ind w:firstLine="480"/>
        <w:rPr>
          <w:rFonts w:ascii="宋体" w:hAnsi="宋体" w:cs="宋体"/>
          <w:color w:val="000000"/>
        </w:rPr>
      </w:pPr>
      <w:r>
        <w:rPr>
          <w:rFonts w:hint="eastAsia" w:ascii="宋体" w:hAnsi="宋体" w:cs="宋体"/>
          <w:color w:val="000000"/>
        </w:rPr>
        <w:t>（2）技术复杂；</w:t>
      </w:r>
    </w:p>
    <w:p w14:paraId="45272803">
      <w:pPr>
        <w:spacing w:line="360" w:lineRule="auto"/>
        <w:ind w:firstLine="480"/>
        <w:rPr>
          <w:rFonts w:ascii="宋体" w:hAnsi="宋体" w:cs="宋体"/>
          <w:color w:val="000000"/>
        </w:rPr>
      </w:pPr>
      <w:r>
        <w:rPr>
          <w:rFonts w:hint="eastAsia" w:ascii="宋体" w:hAnsi="宋体" w:cs="宋体"/>
          <w:color w:val="000000"/>
        </w:rPr>
        <w:t>（3）社会影响较大。</w:t>
      </w:r>
    </w:p>
    <w:p w14:paraId="7F6302C1">
      <w:pPr>
        <w:spacing w:line="360" w:lineRule="auto"/>
        <w:ind w:firstLine="480"/>
        <w:rPr>
          <w:rFonts w:ascii="宋体" w:hAnsi="宋体" w:cs="宋体"/>
          <w:color w:val="000000"/>
        </w:rPr>
      </w:pPr>
      <w:r>
        <w:rPr>
          <w:rFonts w:hint="eastAsia" w:ascii="宋体" w:hAnsi="宋体" w:cs="宋体"/>
          <w:color w:val="000000"/>
        </w:rPr>
        <w:t>评审专家对本单位的采购项目只能作为采购人代表参与评标。采购中心工作人员不得参加由本机构代理的政府采购项目的评标。</w:t>
      </w:r>
    </w:p>
    <w:p w14:paraId="49FA9DCF">
      <w:pPr>
        <w:spacing w:line="360" w:lineRule="auto"/>
        <w:ind w:firstLine="480"/>
        <w:rPr>
          <w:rFonts w:ascii="宋体" w:hAnsi="宋体" w:cs="宋体"/>
          <w:color w:val="000000"/>
        </w:rPr>
      </w:pPr>
      <w:r>
        <w:rPr>
          <w:rFonts w:hint="eastAsia" w:ascii="宋体" w:hAnsi="宋体" w:cs="宋体"/>
          <w:color w:val="000000"/>
        </w:rPr>
        <w:t>评标委员会成员名单在评标结果公告前保密。</w:t>
      </w:r>
    </w:p>
    <w:p w14:paraId="124DE551">
      <w:pPr>
        <w:spacing w:line="360" w:lineRule="auto"/>
        <w:ind w:firstLine="480"/>
        <w:rPr>
          <w:rFonts w:ascii="宋体" w:hAnsi="宋体" w:cs="宋体"/>
          <w:color w:val="000000"/>
        </w:rPr>
      </w:pPr>
      <w:r>
        <w:rPr>
          <w:rFonts w:hint="eastAsia" w:ascii="宋体" w:hAnsi="宋体" w:cs="宋体"/>
          <w:color w:val="000000"/>
        </w:rPr>
        <w:t xml:space="preserve">17.4 </w:t>
      </w:r>
      <w:r>
        <w:rPr>
          <w:rFonts w:hint="eastAsia" w:ascii="宋体" w:hAnsi="宋体" w:cs="宋体"/>
          <w:color w:val="000000"/>
          <w:lang w:val="zh-CN"/>
        </w:rPr>
        <w:t>采购中心</w:t>
      </w:r>
      <w:r>
        <w:rPr>
          <w:rFonts w:hint="eastAsia" w:ascii="宋体" w:hAnsi="宋体" w:cs="宋体"/>
          <w:color w:val="000000"/>
        </w:rPr>
        <w:t>从省级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优先选择本单位以外的评审专家，本项目所需评审专家均为省级专家库抽取。</w:t>
      </w:r>
    </w:p>
    <w:p w14:paraId="5E9AAFC6">
      <w:pPr>
        <w:spacing w:line="360" w:lineRule="auto"/>
        <w:ind w:firstLine="480"/>
        <w:rPr>
          <w:rFonts w:ascii="宋体" w:hAnsi="宋体" w:cs="宋体"/>
          <w:color w:val="000000"/>
        </w:rPr>
      </w:pPr>
      <w:r>
        <w:rPr>
          <w:rFonts w:hint="eastAsia" w:ascii="宋体" w:hAnsi="宋体" w:cs="宋体"/>
          <w:color w:val="000000"/>
          <w:lang w:val="zh-CN"/>
        </w:rPr>
        <w:t>1</w:t>
      </w:r>
      <w:r>
        <w:rPr>
          <w:rFonts w:hint="eastAsia" w:ascii="宋体" w:hAnsi="宋体" w:cs="宋体"/>
          <w:color w:val="000000"/>
        </w:rPr>
        <w:t>7</w:t>
      </w:r>
      <w:r>
        <w:rPr>
          <w:rFonts w:hint="eastAsia" w:ascii="宋体" w:hAnsi="宋体" w:cs="宋体"/>
          <w:color w:val="000000"/>
          <w:lang w:val="zh-CN"/>
        </w:rPr>
        <w:t>.</w:t>
      </w:r>
      <w:r>
        <w:rPr>
          <w:rFonts w:hint="eastAsia" w:ascii="宋体" w:hAnsi="宋体" w:cs="宋体"/>
          <w:color w:val="000000"/>
        </w:rPr>
        <w:t>5 评标中因评标委员会成员缺席、回避或者健康等特殊原因导致评标委员会组成不符合规定的，采购中心依法补足后继续评标。被更换的评标委员会成员所作出的评标意见无效。无法及时补足评标委员会成员的，采购中心停止评标活动，封存所有投标文件和开标、评标资料，依法重新组建评标委员会进行评标。原评标委员会所作出的评标意见无效。</w:t>
      </w:r>
    </w:p>
    <w:p w14:paraId="69BEF1A1">
      <w:pPr>
        <w:spacing w:line="360" w:lineRule="auto"/>
        <w:ind w:firstLine="480"/>
        <w:rPr>
          <w:rFonts w:ascii="宋体" w:hAnsi="宋体" w:cs="宋体"/>
          <w:color w:val="000000"/>
          <w:lang w:val="zh-CN"/>
        </w:rPr>
      </w:pPr>
      <w:r>
        <w:rPr>
          <w:rFonts w:hint="eastAsia" w:ascii="宋体" w:hAnsi="宋体" w:cs="宋体"/>
          <w:color w:val="000000"/>
          <w:lang w:val="zh-CN"/>
        </w:rPr>
        <w:t>采购中心</w:t>
      </w:r>
      <w:r>
        <w:rPr>
          <w:rFonts w:hint="eastAsia" w:ascii="宋体" w:hAnsi="宋体" w:cs="宋体"/>
          <w:color w:val="000000"/>
        </w:rPr>
        <w:t>将变更、重新组建评标委员会的情况予以记录，并随采购文件一并存档。</w:t>
      </w:r>
    </w:p>
    <w:p w14:paraId="02B83829">
      <w:pPr>
        <w:pStyle w:val="235"/>
        <w:spacing w:before="0" w:after="0" w:line="360" w:lineRule="auto"/>
        <w:jc w:val="left"/>
        <w:rPr>
          <w:rFonts w:ascii="宋体" w:hAnsi="宋体" w:cs="宋体"/>
          <w:color w:val="000000"/>
          <w:lang w:val="zh-CN"/>
        </w:rPr>
      </w:pPr>
      <w:bookmarkStart w:id="34" w:name="_Toc30580"/>
      <w:r>
        <w:rPr>
          <w:rFonts w:hint="eastAsia" w:ascii="宋体" w:hAnsi="宋体" w:cs="宋体"/>
          <w:color w:val="000000"/>
          <w:sz w:val="28"/>
          <w:szCs w:val="28"/>
        </w:rPr>
        <w:t>18</w:t>
      </w:r>
      <w:r>
        <w:rPr>
          <w:rFonts w:hint="eastAsia" w:ascii="宋体" w:hAnsi="宋体" w:cs="宋体"/>
          <w:color w:val="000000"/>
          <w:sz w:val="28"/>
          <w:szCs w:val="28"/>
          <w:lang w:val="zh-CN"/>
        </w:rPr>
        <w:t>.评审工作程序</w:t>
      </w:r>
      <w:bookmarkEnd w:id="34"/>
    </w:p>
    <w:p w14:paraId="7984F990">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8</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评标委员会对符合资格的投标人的符合性文件进行审查，以确定其是否满足招标文件的实质性要求。</w:t>
      </w:r>
    </w:p>
    <w:p w14:paraId="1E41A230">
      <w:pPr>
        <w:spacing w:line="360" w:lineRule="auto"/>
        <w:ind w:firstLine="480"/>
        <w:rPr>
          <w:rFonts w:ascii="宋体" w:hAnsi="宋体" w:cs="宋体"/>
          <w:color w:val="000000"/>
          <w:lang w:val="zh-CN"/>
        </w:rPr>
      </w:pPr>
      <w:r>
        <w:rPr>
          <w:rFonts w:hint="eastAsia" w:ascii="宋体" w:hAnsi="宋体" w:cs="宋体"/>
          <w:color w:val="000000"/>
        </w:rPr>
        <w:t>18.1.1</w:t>
      </w:r>
      <w:r>
        <w:rPr>
          <w:rFonts w:hint="eastAsia" w:ascii="宋体" w:hAnsi="宋体" w:cs="宋体"/>
          <w:b/>
          <w:bCs/>
          <w:color w:val="000000"/>
        </w:rPr>
        <w:t xml:space="preserve"> </w:t>
      </w:r>
      <w:r>
        <w:rPr>
          <w:rFonts w:hint="eastAsia" w:ascii="宋体" w:hAnsi="宋体" w:cs="宋体"/>
          <w:color w:val="000000"/>
          <w:lang w:val="zh-CN"/>
        </w:rPr>
        <w:t>投标文件中含义不明确、同类问题表述不一致或者有明显文字和计算错误的内容，评标委员会以书面形式要求投标人作出必要的澄清、说明或者补正。</w:t>
      </w:r>
    </w:p>
    <w:p w14:paraId="6819366F">
      <w:pPr>
        <w:spacing w:line="360" w:lineRule="auto"/>
        <w:ind w:firstLine="480"/>
        <w:rPr>
          <w:rFonts w:ascii="宋体" w:hAnsi="宋体" w:cs="宋体"/>
          <w:b/>
          <w:bCs/>
          <w:color w:val="000000"/>
        </w:rPr>
      </w:pPr>
      <w:r>
        <w:rPr>
          <w:rFonts w:hint="eastAsia" w:ascii="宋体" w:hAnsi="宋体" w:cs="宋体"/>
          <w:color w:val="000000"/>
          <w:lang w:val="zh-CN"/>
        </w:rPr>
        <w:t>投标人的澄清、说明或者补正采用线上形式，并加盖公章，或者由法定代表人或其授权的代表签字。投标人的澄清、说明或者补正不得超出投标文件的范围或者改变投标文件的实质性内容。</w:t>
      </w:r>
    </w:p>
    <w:p w14:paraId="0B4DD8F8">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8</w:t>
      </w:r>
      <w:r>
        <w:rPr>
          <w:rFonts w:hint="eastAsia" w:ascii="宋体" w:hAnsi="宋体" w:cs="宋体"/>
          <w:color w:val="000000"/>
          <w:lang w:val="zh-CN"/>
        </w:rPr>
        <w:t>.</w:t>
      </w:r>
      <w:r>
        <w:rPr>
          <w:rFonts w:hint="eastAsia" w:ascii="宋体" w:hAnsi="宋体" w:cs="宋体"/>
          <w:color w:val="000000"/>
        </w:rPr>
        <w:t>1</w:t>
      </w:r>
      <w:r>
        <w:rPr>
          <w:rFonts w:hint="eastAsia" w:ascii="宋体" w:hAnsi="宋体" w:cs="宋体"/>
          <w:color w:val="000000"/>
          <w:lang w:val="zh-CN"/>
        </w:rPr>
        <w:t>.2投标人存在下列情况之一的，投标无效:</w:t>
      </w:r>
    </w:p>
    <w:p w14:paraId="330EEB98">
      <w:pPr>
        <w:numPr>
          <w:ilvl w:val="0"/>
          <w:numId w:val="5"/>
        </w:numPr>
        <w:spacing w:line="360" w:lineRule="auto"/>
        <w:ind w:firstLine="480"/>
        <w:rPr>
          <w:rFonts w:ascii="宋体" w:hAnsi="宋体" w:cs="宋体"/>
          <w:color w:val="000000"/>
          <w:lang w:val="zh-CN"/>
        </w:rPr>
      </w:pPr>
      <w:r>
        <w:rPr>
          <w:rFonts w:hint="eastAsia" w:ascii="宋体" w:hAnsi="宋体" w:cs="宋体"/>
          <w:color w:val="000000"/>
          <w:lang w:val="zh-CN"/>
        </w:rPr>
        <w:t>符合性审查文件未按招标文件要求签署、盖章的；</w:t>
      </w:r>
    </w:p>
    <w:p w14:paraId="627234C2">
      <w:pPr>
        <w:numPr>
          <w:ilvl w:val="0"/>
          <w:numId w:val="5"/>
        </w:numPr>
        <w:spacing w:line="360" w:lineRule="auto"/>
        <w:ind w:firstLine="480"/>
        <w:rPr>
          <w:rFonts w:ascii="宋体" w:hAnsi="宋体" w:cs="宋体"/>
          <w:color w:val="000000"/>
          <w:lang w:val="zh-CN"/>
        </w:rPr>
      </w:pPr>
      <w:r>
        <w:rPr>
          <w:rFonts w:hint="eastAsia" w:ascii="宋体" w:hAnsi="宋体" w:cs="宋体"/>
          <w:lang w:val="zh-CN"/>
        </w:rPr>
        <w:t>未按第1</w:t>
      </w:r>
      <w:r>
        <w:rPr>
          <w:rFonts w:hint="eastAsia" w:ascii="宋体" w:hAnsi="宋体" w:cs="宋体"/>
        </w:rPr>
        <w:t>0.</w:t>
      </w:r>
      <w:r>
        <w:rPr>
          <w:rFonts w:hint="eastAsia" w:ascii="宋体" w:hAnsi="宋体" w:cs="宋体"/>
          <w:lang w:val="zh-CN"/>
        </w:rPr>
        <w:t>2（</w:t>
      </w:r>
      <w:r>
        <w:rPr>
          <w:rFonts w:hint="eastAsia" w:ascii="宋体" w:hAnsi="宋体" w:cs="宋体"/>
        </w:rPr>
        <w:t>10</w:t>
      </w:r>
      <w:r>
        <w:rPr>
          <w:rFonts w:hint="eastAsia" w:ascii="宋体" w:hAnsi="宋体" w:cs="宋体"/>
          <w:lang w:val="zh-CN"/>
        </w:rPr>
        <w:t>）</w:t>
      </w:r>
      <w:r>
        <w:rPr>
          <w:rFonts w:hint="eastAsia" w:ascii="宋体" w:hAnsi="宋体" w:cs="楷体_GB2312"/>
          <w:lang w:val="zh-CN"/>
        </w:rPr>
        <w:t>-</w:t>
      </w:r>
      <w:r>
        <w:rPr>
          <w:rFonts w:ascii="宋体" w:hAnsi="宋体" w:cs="宋体"/>
          <w:lang w:val="zh-CN"/>
        </w:rPr>
        <w:t>（</w:t>
      </w:r>
      <w:r>
        <w:rPr>
          <w:rFonts w:hint="eastAsia" w:ascii="宋体" w:hAnsi="宋体" w:cs="宋体"/>
          <w:lang w:val="zh-CN"/>
        </w:rPr>
        <w:t>1</w:t>
      </w:r>
      <w:r>
        <w:rPr>
          <w:rFonts w:hint="eastAsia" w:ascii="宋体" w:hAnsi="宋体" w:cs="宋体"/>
        </w:rPr>
        <w:t>4</w:t>
      </w:r>
      <w:r>
        <w:rPr>
          <w:rFonts w:ascii="宋体" w:hAnsi="宋体" w:cs="宋体"/>
          <w:lang w:val="zh-CN"/>
        </w:rPr>
        <w:t>）</w:t>
      </w:r>
      <w:r>
        <w:rPr>
          <w:rFonts w:hint="eastAsia" w:ascii="宋体" w:hAnsi="宋体" w:cs="宋体"/>
          <w:lang w:val="zh-CN"/>
        </w:rPr>
        <w:t>款要求提供相关资料的</w:t>
      </w:r>
      <w:r>
        <w:rPr>
          <w:rFonts w:hint="eastAsia" w:ascii="宋体" w:hAnsi="宋体" w:cs="宋体"/>
          <w:color w:val="000000"/>
          <w:lang w:val="zh-CN"/>
        </w:rPr>
        <w:t>；</w:t>
      </w:r>
    </w:p>
    <w:p w14:paraId="0F72709B">
      <w:pPr>
        <w:numPr>
          <w:ilvl w:val="0"/>
          <w:numId w:val="5"/>
        </w:num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投标文件含有采购人不能接受的附加条件的；</w:t>
      </w:r>
    </w:p>
    <w:p w14:paraId="57BDF59B">
      <w:pPr>
        <w:numPr>
          <w:ilvl w:val="0"/>
          <w:numId w:val="5"/>
        </w:numPr>
        <w:spacing w:line="360" w:lineRule="auto"/>
        <w:ind w:firstLine="480"/>
        <w:rPr>
          <w:rFonts w:ascii="宋体" w:hAnsi="宋体" w:cs="宋体"/>
          <w:color w:val="000000"/>
          <w:lang w:val="zh-CN"/>
        </w:rPr>
      </w:pPr>
      <w:r>
        <w:rPr>
          <w:rFonts w:hint="eastAsia" w:ascii="宋体" w:hAnsi="宋体" w:cs="宋体"/>
          <w:lang w:val="zh-CN"/>
        </w:rPr>
        <w:t>服务</w:t>
      </w:r>
      <w:r>
        <w:rPr>
          <w:rFonts w:hint="eastAsia" w:ascii="宋体" w:hAnsi="宋体" w:cs="宋体"/>
        </w:rPr>
        <w:t>/交货</w:t>
      </w:r>
      <w:r>
        <w:rPr>
          <w:rFonts w:hint="eastAsia" w:ascii="宋体" w:hAnsi="宋体" w:cs="宋体"/>
          <w:lang w:val="zh-CN"/>
        </w:rPr>
        <w:t>时间</w:t>
      </w:r>
      <w:r>
        <w:rPr>
          <w:rFonts w:hint="eastAsia" w:ascii="宋体" w:hAnsi="宋体" w:cs="宋体"/>
          <w:color w:val="000000"/>
          <w:lang w:val="zh-CN"/>
        </w:rPr>
        <w:t>不能满足招标文件要求的；</w:t>
      </w:r>
    </w:p>
    <w:p w14:paraId="47589B4C">
      <w:pPr>
        <w:numPr>
          <w:ilvl w:val="0"/>
          <w:numId w:val="5"/>
        </w:numPr>
        <w:spacing w:line="360" w:lineRule="auto"/>
        <w:ind w:firstLine="480"/>
        <w:rPr>
          <w:rFonts w:ascii="宋体" w:hAnsi="宋体" w:cs="宋体"/>
          <w:color w:val="000000"/>
          <w:lang w:val="zh-CN"/>
        </w:rPr>
      </w:pPr>
      <w:r>
        <w:rPr>
          <w:rFonts w:hint="eastAsia" w:ascii="宋体" w:hAnsi="宋体"/>
          <w:color w:val="000000"/>
        </w:rPr>
        <w:t>投标总报价超过招标文件规定的采购预算额度或者最高限价的；</w:t>
      </w:r>
    </w:p>
    <w:p w14:paraId="41AA42BE">
      <w:pPr>
        <w:numPr>
          <w:ilvl w:val="0"/>
          <w:numId w:val="5"/>
        </w:numPr>
        <w:spacing w:line="360" w:lineRule="auto"/>
        <w:ind w:firstLine="480"/>
        <w:rPr>
          <w:rFonts w:ascii="宋体" w:hAnsi="宋体" w:cs="宋体"/>
          <w:color w:val="000000"/>
          <w:lang w:val="zh-CN"/>
        </w:rPr>
      </w:pPr>
      <w:r>
        <w:rPr>
          <w:rFonts w:hint="eastAsia" w:ascii="宋体" w:hAnsi="宋体" w:cs="宋体"/>
          <w:color w:val="000000"/>
          <w:lang w:val="zh-CN"/>
        </w:rPr>
        <w:t>存在串通投标行为；</w:t>
      </w:r>
    </w:p>
    <w:p w14:paraId="244AFBD2">
      <w:pPr>
        <w:numPr>
          <w:ilvl w:val="0"/>
          <w:numId w:val="5"/>
        </w:numPr>
        <w:spacing w:line="360" w:lineRule="auto"/>
        <w:ind w:firstLine="480"/>
        <w:rPr>
          <w:rFonts w:ascii="宋体" w:hAnsi="宋体" w:cs="宋体"/>
          <w:color w:val="000000"/>
          <w:lang w:val="zh-CN"/>
        </w:rPr>
      </w:pPr>
      <w:r>
        <w:rPr>
          <w:rFonts w:hint="eastAsia" w:ascii="宋体" w:hAnsi="宋体"/>
          <w:color w:val="000000"/>
        </w:rPr>
        <w:t>投标报价出现前后不一致</w:t>
      </w:r>
      <w:r>
        <w:rPr>
          <w:rFonts w:ascii="宋体" w:hAnsi="宋体"/>
          <w:color w:val="000000"/>
        </w:rPr>
        <w:t>，</w:t>
      </w:r>
      <w:r>
        <w:rPr>
          <w:rFonts w:hint="eastAsia" w:ascii="宋体" w:hAnsi="宋体"/>
          <w:color w:val="000000"/>
        </w:rPr>
        <w:t>又不按18.1.</w:t>
      </w:r>
      <w:r>
        <w:rPr>
          <w:rFonts w:ascii="宋体" w:hAnsi="宋体"/>
          <w:color w:val="000000"/>
        </w:rPr>
        <w:t>3</w:t>
      </w:r>
      <w:r>
        <w:rPr>
          <w:rFonts w:hint="eastAsia" w:ascii="宋体" w:hAnsi="宋体"/>
          <w:color w:val="000000"/>
        </w:rPr>
        <w:t>进行确认</w:t>
      </w:r>
      <w:r>
        <w:rPr>
          <w:rFonts w:ascii="宋体" w:hAnsi="宋体"/>
          <w:color w:val="000000"/>
        </w:rPr>
        <w:t>的；</w:t>
      </w:r>
    </w:p>
    <w:p w14:paraId="4C3A2748">
      <w:pPr>
        <w:numPr>
          <w:ilvl w:val="0"/>
          <w:numId w:val="5"/>
        </w:numPr>
        <w:spacing w:line="360" w:lineRule="auto"/>
        <w:ind w:firstLine="480"/>
        <w:rPr>
          <w:rFonts w:ascii="宋体" w:hAnsi="宋体" w:cs="宋体"/>
          <w:color w:val="000000"/>
          <w:lang w:val="zh-CN"/>
        </w:rPr>
      </w:pPr>
      <w:r>
        <w:rPr>
          <w:rFonts w:hint="eastAsia" w:ascii="宋体" w:hAnsi="宋体"/>
          <w:color w:val="000000"/>
        </w:rPr>
        <w:t>评标委员会认为应按无效投标处理的其他情况；</w:t>
      </w:r>
    </w:p>
    <w:p w14:paraId="2ADA68EA">
      <w:pPr>
        <w:numPr>
          <w:ilvl w:val="0"/>
          <w:numId w:val="5"/>
        </w:numPr>
        <w:spacing w:line="360" w:lineRule="auto"/>
        <w:ind w:firstLine="480"/>
        <w:rPr>
          <w:rFonts w:ascii="宋体" w:hAnsi="宋体" w:cs="宋体"/>
          <w:color w:val="000000"/>
          <w:lang w:val="zh-CN"/>
        </w:rPr>
      </w:pPr>
      <w:r>
        <w:rPr>
          <w:rFonts w:hint="eastAsia" w:ascii="宋体" w:hAnsi="宋体" w:cs="宋体"/>
          <w:color w:val="000000"/>
          <w:lang w:val="zh-CN"/>
        </w:rPr>
        <w:t>法律、法规和招标文件规定的其他无效情形。</w:t>
      </w:r>
    </w:p>
    <w:p w14:paraId="647B607F">
      <w:pPr>
        <w:spacing w:line="360" w:lineRule="auto"/>
        <w:ind w:firstLine="480"/>
        <w:rPr>
          <w:rFonts w:ascii="宋体" w:hAnsi="宋体" w:cs="宋体"/>
          <w:color w:val="000000"/>
        </w:rPr>
      </w:pPr>
      <w:r>
        <w:rPr>
          <w:rFonts w:hint="eastAsia" w:ascii="宋体" w:hAnsi="宋体" w:cs="宋体"/>
          <w:color w:val="000000"/>
        </w:rPr>
        <w:t>18.1.3 投标文件报价出现前后不一致的，按照下列规定修正：</w:t>
      </w:r>
    </w:p>
    <w:p w14:paraId="75055BD7">
      <w:pPr>
        <w:spacing w:line="360" w:lineRule="auto"/>
        <w:ind w:firstLine="480"/>
        <w:rPr>
          <w:rFonts w:ascii="宋体" w:hAnsi="宋体" w:cs="宋体"/>
          <w:color w:val="000000"/>
        </w:rPr>
      </w:pPr>
      <w:r>
        <w:rPr>
          <w:rFonts w:hint="eastAsia" w:ascii="宋体" w:hAnsi="宋体" w:cs="宋体"/>
          <w:color w:val="000000"/>
        </w:rPr>
        <w:t>（1）投标文件中开标一览表（报价表）内容与投标文件中相应内容不一致的，以开标一览表（报价表）为准；</w:t>
      </w:r>
    </w:p>
    <w:p w14:paraId="4BB2B662">
      <w:pPr>
        <w:spacing w:line="360" w:lineRule="auto"/>
        <w:ind w:firstLine="480"/>
        <w:rPr>
          <w:rFonts w:ascii="宋体" w:hAnsi="宋体" w:cs="宋体"/>
          <w:color w:val="000000"/>
        </w:rPr>
      </w:pPr>
      <w:r>
        <w:rPr>
          <w:rFonts w:hint="eastAsia" w:ascii="宋体" w:hAnsi="宋体" w:cs="宋体"/>
          <w:color w:val="000000"/>
        </w:rPr>
        <w:t>（2）大写金额和小写金额不一致的，以大写金额为准；</w:t>
      </w:r>
    </w:p>
    <w:p w14:paraId="570C47BC">
      <w:pPr>
        <w:spacing w:line="360" w:lineRule="auto"/>
        <w:ind w:firstLine="480"/>
        <w:rPr>
          <w:rFonts w:ascii="宋体" w:hAnsi="宋体" w:cs="宋体"/>
          <w:color w:val="000000"/>
        </w:rPr>
      </w:pPr>
      <w:r>
        <w:rPr>
          <w:rFonts w:hint="eastAsia" w:ascii="宋体" w:hAnsi="宋体" w:cs="宋体"/>
          <w:color w:val="000000"/>
        </w:rPr>
        <w:t>（3）单价金额小数点或者百分比有明显错位的，以开标一览表的总价为准，并修改单价；</w:t>
      </w:r>
    </w:p>
    <w:p w14:paraId="2C205FB4">
      <w:pPr>
        <w:spacing w:line="360" w:lineRule="auto"/>
        <w:ind w:firstLine="480"/>
        <w:rPr>
          <w:rFonts w:ascii="宋体" w:hAnsi="宋体" w:cs="宋体"/>
          <w:color w:val="000000"/>
        </w:rPr>
      </w:pPr>
      <w:r>
        <w:rPr>
          <w:rFonts w:hint="eastAsia" w:ascii="宋体" w:hAnsi="宋体" w:cs="宋体"/>
          <w:color w:val="000000"/>
        </w:rPr>
        <w:t>（4）总价金额与按单价汇总金额不一致的，以单价金额计算结果为准。</w:t>
      </w:r>
    </w:p>
    <w:p w14:paraId="42FE12C7">
      <w:pPr>
        <w:spacing w:line="360" w:lineRule="auto"/>
        <w:ind w:firstLine="480"/>
        <w:rPr>
          <w:rFonts w:ascii="宋体" w:hAnsi="宋体" w:cs="宋体"/>
          <w:color w:val="000000"/>
        </w:rPr>
      </w:pPr>
      <w:r>
        <w:rPr>
          <w:rFonts w:hint="eastAsia" w:ascii="宋体" w:hAnsi="宋体" w:cs="宋体"/>
          <w:color w:val="000000"/>
        </w:rPr>
        <w:t>同时出现两种以上不一致的，按照前款规定的顺序修正。修正后的报价按18.1.1第二款的规定经投标人确认后产生约束力。</w:t>
      </w:r>
    </w:p>
    <w:p w14:paraId="3BB9249A">
      <w:pPr>
        <w:spacing w:line="360" w:lineRule="auto"/>
        <w:ind w:firstLine="480"/>
        <w:rPr>
          <w:rFonts w:ascii="宋体" w:hAnsi="宋体" w:cs="宋体"/>
          <w:color w:val="000000"/>
          <w:lang w:val="zh-CN"/>
        </w:rPr>
      </w:pPr>
      <w:r>
        <w:rPr>
          <w:rFonts w:hint="eastAsia" w:ascii="宋体" w:hAnsi="宋体" w:cs="宋体"/>
          <w:color w:val="000000"/>
        </w:rPr>
        <w:t xml:space="preserve">18.2 </w:t>
      </w:r>
      <w:r>
        <w:rPr>
          <w:rFonts w:hint="eastAsia" w:ascii="宋体" w:hAnsi="宋体" w:cs="宋体"/>
          <w:color w:val="000000"/>
          <w:lang w:val="zh-CN"/>
        </w:rPr>
        <w:t>根据</w:t>
      </w:r>
      <w:r>
        <w:rPr>
          <w:rFonts w:hint="eastAsia" w:ascii="宋体" w:hAnsi="宋体" w:cs="宋体"/>
          <w:szCs w:val="21"/>
        </w:rPr>
        <w:t>《政府采购促进中小企业发展管理办法》第十一条“中小企业参加政府采购活动，应当出具本办法规定的《中小企业声明函》，否则不得享受相关中小企业扶持政策。</w:t>
      </w:r>
    </w:p>
    <w:p w14:paraId="17B202B6">
      <w:pPr>
        <w:spacing w:line="360" w:lineRule="auto"/>
        <w:ind w:firstLine="480"/>
        <w:rPr>
          <w:rFonts w:ascii="宋体" w:hAnsi="宋体" w:cs="宋体"/>
          <w:color w:val="000000"/>
          <w:lang w:val="zh-CN"/>
        </w:rPr>
      </w:pPr>
      <w:r>
        <w:rPr>
          <w:rFonts w:hint="eastAsia" w:ascii="宋体" w:hAnsi="宋体" w:cs="宋体"/>
          <w:color w:val="000000"/>
          <w:lang w:val="zh-CN"/>
        </w:rPr>
        <w:t>根据财政部、民政部、中国残疾人联合会出台的《关于促进残疾人就业政府采购政策的通知》（财库[2017]141号），属残疾人福利性单位的，投标人须提供《残疾人福利性单位声明函》（详见附件</w:t>
      </w:r>
      <w:r>
        <w:rPr>
          <w:rFonts w:hint="eastAsia" w:ascii="宋体" w:hAnsi="宋体" w:cs="宋体"/>
          <w:color w:val="000000"/>
        </w:rPr>
        <w:t>18</w:t>
      </w:r>
      <w:r>
        <w:rPr>
          <w:rFonts w:hint="eastAsia" w:ascii="宋体" w:hAnsi="宋体" w:cs="宋体"/>
          <w:color w:val="000000"/>
          <w:lang w:val="zh-CN"/>
        </w:rPr>
        <w:t>），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069EDBD2">
      <w:pPr>
        <w:spacing w:line="360" w:lineRule="auto"/>
        <w:ind w:firstLine="480"/>
        <w:rPr>
          <w:rFonts w:ascii="宋体" w:hAnsi="宋体" w:cs="宋体"/>
          <w:color w:val="000000"/>
          <w:lang w:val="zh-CN"/>
        </w:rPr>
      </w:pPr>
      <w:r>
        <w:rPr>
          <w:rFonts w:hint="eastAsia" w:ascii="宋体" w:hAnsi="宋体" w:cs="宋体"/>
          <w:color w:val="000000"/>
        </w:rPr>
        <w:t xml:space="preserve">18.3 </w:t>
      </w:r>
      <w:r>
        <w:rPr>
          <w:rFonts w:hint="eastAsia" w:ascii="宋体" w:hAnsi="宋体" w:cs="宋体"/>
          <w:color w:val="000000"/>
          <w:lang w:val="zh-CN"/>
        </w:rPr>
        <w:t>在评审过程中，</w:t>
      </w:r>
      <w:r>
        <w:rPr>
          <w:rFonts w:hint="eastAsia" w:ascii="宋体" w:hAnsi="宋体" w:cs="宋体"/>
          <w:color w:val="000000"/>
          <w:shd w:val="clear" w:color="auto" w:fill="FFFFFF"/>
        </w:rPr>
        <w:t>评标委员会成员对需要共同认定的事项存在争议的，按照少数服从多数的原则作出结论。持不同意见的评标委员会成员在评标报告上签署不同意见及理由，否则视为同意评标报告。</w:t>
      </w:r>
    </w:p>
    <w:p w14:paraId="3BA91DE5">
      <w:pPr>
        <w:spacing w:line="360" w:lineRule="auto"/>
        <w:ind w:firstLine="48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8</w:t>
      </w:r>
      <w:r>
        <w:rPr>
          <w:rFonts w:hint="eastAsia" w:ascii="宋体" w:hAnsi="宋体" w:cs="宋体"/>
          <w:color w:val="000000"/>
          <w:lang w:val="zh-CN"/>
        </w:rPr>
        <w:t>.</w:t>
      </w:r>
      <w:r>
        <w:rPr>
          <w:rFonts w:hint="eastAsia" w:ascii="宋体" w:hAnsi="宋体" w:cs="宋体"/>
          <w:color w:val="000000"/>
        </w:rPr>
        <w:t>4</w:t>
      </w:r>
      <w:r>
        <w:rPr>
          <w:rFonts w:hint="eastAsia" w:ascii="宋体" w:hAnsi="宋体" w:cs="宋体"/>
          <w:color w:val="000000"/>
          <w:lang w:val="zh-CN"/>
        </w:rPr>
        <w:t xml:space="preserve"> </w:t>
      </w:r>
      <w:r>
        <w:rPr>
          <w:rFonts w:hint="eastAsia" w:ascii="宋体" w:hAnsi="宋体" w:cs="宋体"/>
          <w:color w:val="000000"/>
          <w:shd w:val="clear" w:color="auto" w:fill="FFFFFF"/>
        </w:rPr>
        <w:t>评标委员会按照招标文件中规定的评标方法和标准，对符合性审查合格的投标文件进行商务和技术评估，综合比较与评价。</w:t>
      </w:r>
    </w:p>
    <w:p w14:paraId="6A02A3BD">
      <w:pPr>
        <w:spacing w:line="360" w:lineRule="auto"/>
        <w:ind w:firstLine="480"/>
        <w:rPr>
          <w:rFonts w:ascii="宋体" w:hAnsi="宋体" w:cs="宋体"/>
          <w:color w:val="000000"/>
          <w:shd w:val="clear" w:color="auto" w:fill="FFFFFF"/>
        </w:rPr>
      </w:pPr>
      <w:r>
        <w:rPr>
          <w:rFonts w:hint="eastAsia" w:ascii="宋体" w:hAnsi="宋体" w:cs="宋体"/>
          <w:color w:val="000000"/>
          <w:lang w:val="zh-CN"/>
        </w:rPr>
        <w:t>1</w:t>
      </w:r>
      <w:r>
        <w:rPr>
          <w:rFonts w:hint="eastAsia" w:ascii="宋体" w:hAnsi="宋体" w:cs="宋体"/>
          <w:color w:val="000000"/>
        </w:rPr>
        <w:t>8</w:t>
      </w:r>
      <w:r>
        <w:rPr>
          <w:rFonts w:hint="eastAsia" w:ascii="宋体" w:hAnsi="宋体" w:cs="宋体"/>
          <w:color w:val="000000"/>
          <w:lang w:val="zh-CN"/>
        </w:rPr>
        <w:t>.</w:t>
      </w:r>
      <w:r>
        <w:rPr>
          <w:rFonts w:hint="eastAsia" w:ascii="宋体" w:hAnsi="宋体" w:cs="宋体"/>
          <w:color w:val="000000"/>
        </w:rPr>
        <w:t xml:space="preserve">5 </w:t>
      </w:r>
      <w:r>
        <w:rPr>
          <w:rFonts w:hint="eastAsia" w:ascii="宋体" w:hAnsi="宋体" w:cs="宋体"/>
          <w:color w:val="000000"/>
          <w:shd w:val="clear" w:color="auto" w:fill="FFFFFF"/>
        </w:rPr>
        <w:t>评标委员会认为投标人的报价明显低于其他通过符合性审查投标人的报价，有可能影响产品质量或者不能诚信履约的，要求其在评标现场合理的时间内提供书面说明，必要时提交相关证明材料；投标人不能证明其报价合理性的，评标委员会将其作为无效投标处理。</w:t>
      </w:r>
    </w:p>
    <w:p w14:paraId="011F9C2D">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18.6采用最低评标价法的采购项目，提供相同品牌产品的不同投标人参加</w:t>
      </w:r>
    </w:p>
    <w:p w14:paraId="3F447EA7">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同一合同项下投标的，以其中通过资格审查、符合性审查且报价最低的参加评标；报价相同的，由采购人或者采购人委托评标委员会按照技术指标优劣顺序排列确定一个参加评标的投标人，招标文件未规定的采取随机抽取方式确定，其他投标无效。</w:t>
      </w:r>
    </w:p>
    <w:p w14:paraId="33E78790">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技术指标优劣顺序排列确定一个投标人获得中标人推荐资格，招标文件未规定的采取随机抽取方式确定，其他同品牌投标人不作为中标候选人。</w:t>
      </w:r>
    </w:p>
    <w:p w14:paraId="6307F21E">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 xml:space="preserve">18.7答疑的方式和情形 </w:t>
      </w:r>
    </w:p>
    <w:p w14:paraId="14E02F58">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 xml:space="preserve">18.7.1答疑方式：详见第一部分投标邀请“答疑方式”。 </w:t>
      </w:r>
    </w:p>
    <w:p w14:paraId="7879FD63">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18.7.2答疑期间，投标人存在以下情况的，澄清、说明的内容将不予接受，评标委员会将按照招标文件的要求对现有的投标资料做出评审意见：</w:t>
      </w:r>
    </w:p>
    <w:p w14:paraId="5B5BE3E6">
      <w:pPr>
        <w:spacing w:line="360" w:lineRule="auto"/>
        <w:ind w:firstLine="480"/>
        <w:rPr>
          <w:rFonts w:ascii="宋体" w:hAnsi="宋体" w:cs="宋体"/>
          <w:color w:val="000000"/>
          <w:shd w:val="clear" w:color="auto" w:fill="FFFFFF"/>
        </w:rPr>
      </w:pPr>
      <w:bookmarkStart w:id="35" w:name="_Toc6366"/>
      <w:r>
        <w:rPr>
          <w:rFonts w:hint="eastAsia" w:ascii="宋体" w:hAnsi="宋体" w:cs="宋体"/>
          <w:color w:val="000000"/>
          <w:shd w:val="clear" w:color="auto" w:fill="FFFFFF"/>
        </w:rPr>
        <w:t xml:space="preserve">（1）拒绝或在规定的时间内未做出澄清、说明； </w:t>
      </w:r>
    </w:p>
    <w:p w14:paraId="6FFB0D51">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（2）投标人的澄清、说明或者补正超出投标文件的范围或者改变投标文件</w:t>
      </w:r>
    </w:p>
    <w:p w14:paraId="69F0CFDE">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 xml:space="preserve">的实质性内容； </w:t>
      </w:r>
    </w:p>
    <w:p w14:paraId="30BE4416">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 xml:space="preserve">（3）澄清、说明的内容仍不能说明问题的； </w:t>
      </w:r>
    </w:p>
    <w:p w14:paraId="71890680">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 xml:space="preserve">（4）投标人主动提出的澄清、说明的内容； </w:t>
      </w:r>
    </w:p>
    <w:p w14:paraId="6E0079B2">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（5）评标委员会认为应不予接受的其他情况。</w:t>
      </w:r>
    </w:p>
    <w:p w14:paraId="65BA0810">
      <w:pPr>
        <w:pStyle w:val="235"/>
        <w:spacing w:before="0" w:after="0" w:line="360" w:lineRule="auto"/>
        <w:jc w:val="left"/>
        <w:rPr>
          <w:rFonts w:ascii="宋体" w:hAnsi="宋体" w:cs="宋体"/>
          <w:color w:val="000000"/>
          <w:sz w:val="28"/>
          <w:szCs w:val="28"/>
          <w:lang w:val="zh-CN"/>
        </w:rPr>
      </w:pPr>
      <w:r>
        <w:rPr>
          <w:rFonts w:hint="eastAsia" w:ascii="宋体" w:hAnsi="宋体" w:cs="宋体"/>
          <w:color w:val="000000"/>
          <w:sz w:val="28"/>
          <w:szCs w:val="28"/>
        </w:rPr>
        <w:t>19</w:t>
      </w:r>
      <w:r>
        <w:rPr>
          <w:rFonts w:hint="eastAsia" w:ascii="宋体" w:hAnsi="宋体" w:cs="宋体"/>
          <w:color w:val="000000"/>
          <w:sz w:val="28"/>
          <w:szCs w:val="28"/>
          <w:lang w:val="zh-CN"/>
        </w:rPr>
        <w:t>.评审方法和标准</w:t>
      </w:r>
      <w:bookmarkEnd w:id="35"/>
    </w:p>
    <w:p w14:paraId="59E5E407">
      <w:pPr>
        <w:spacing w:line="360" w:lineRule="auto"/>
        <w:ind w:firstLine="480"/>
        <w:rPr>
          <w:rFonts w:ascii="宋体" w:hAnsi="宋体" w:cs="宋体"/>
          <w:color w:val="000000"/>
          <w:lang w:val="zh-CN"/>
        </w:rPr>
      </w:pPr>
      <w:r>
        <w:rPr>
          <w:rFonts w:hint="eastAsia" w:ascii="宋体" w:hAnsi="宋体" w:cs="宋体"/>
          <w:color w:val="000000"/>
          <w:lang w:val="zh-CN"/>
        </w:rPr>
        <w:t>本项目采用综合评分法，</w:t>
      </w:r>
      <w:r>
        <w:rPr>
          <w:rFonts w:hint="eastAsia" w:ascii="宋体" w:hAnsi="宋体" w:cs="宋体"/>
          <w:color w:val="000000"/>
          <w:shd w:val="clear" w:color="auto" w:fill="FFFFFF"/>
        </w:rPr>
        <w:t>投标文件满足招标文件全部实质性要求，且按照评审因素的量化指标评审得分最高的投标人为中标候选人的评标方法</w:t>
      </w:r>
      <w:r>
        <w:rPr>
          <w:rFonts w:hint="eastAsia" w:ascii="宋体" w:hAnsi="宋体" w:cs="宋体"/>
          <w:color w:val="000000"/>
          <w:lang w:val="zh-CN"/>
        </w:rPr>
        <w:t>。</w:t>
      </w:r>
    </w:p>
    <w:p w14:paraId="599896FA">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评审因素的设定与投标人所提供货物服务的质量相关，包括</w:t>
      </w:r>
      <w:r>
        <w:rPr>
          <w:rFonts w:hint="eastAsia" w:ascii="宋体" w:hAnsi="宋体" w:cs="宋体"/>
          <w:b/>
          <w:bCs/>
          <w:color w:val="000000"/>
          <w:shd w:val="clear" w:color="auto" w:fill="FFFFFF"/>
        </w:rPr>
        <w:t>投标报价、技术或者服务水平、履约能力、售后服务</w:t>
      </w:r>
      <w:r>
        <w:rPr>
          <w:rFonts w:hint="eastAsia" w:ascii="宋体" w:hAnsi="宋体" w:cs="宋体"/>
          <w:color w:val="000000"/>
          <w:shd w:val="clear" w:color="auto" w:fill="FFFFFF"/>
        </w:rPr>
        <w:t>等。资格条件不得作为评审因素。</w:t>
      </w:r>
    </w:p>
    <w:p w14:paraId="6F50EF34">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评审因素细化和量化，且与相应的商务条件和采购需求对应。商务条件和采购需求指标有区间规定的，评审因素量化到相应区间，并设置各区间对应的不同分值。</w:t>
      </w:r>
    </w:p>
    <w:p w14:paraId="3E2CF5BF">
      <w:pPr>
        <w:ind w:firstLine="480"/>
        <w:jc w:val="left"/>
        <w:rPr>
          <w:rFonts w:ascii="宋体" w:hAnsi="宋体" w:cs="宋体"/>
          <w:lang w:val="zh-CN"/>
        </w:rPr>
      </w:pPr>
      <w:r>
        <w:rPr>
          <w:rFonts w:hint="eastAsia" w:ascii="宋体" w:hAnsi="宋体"/>
        </w:rPr>
        <w:t>评审标准和分值分配：</w:t>
      </w:r>
      <w:r>
        <w:rPr>
          <w:rFonts w:hint="eastAsia" w:ascii="宋体" w:hAnsi="宋体" w:cs="宋体"/>
          <w:lang w:val="zh-CN"/>
        </w:rPr>
        <w:t xml:space="preserve"> </w:t>
      </w:r>
    </w:p>
    <w:p w14:paraId="412EE0F3">
      <w:pPr>
        <w:spacing w:line="360" w:lineRule="auto"/>
        <w:ind w:firstLine="480"/>
        <w:rPr>
          <w:rFonts w:ascii="宋体" w:hAnsi="宋体"/>
        </w:rPr>
      </w:pPr>
      <w:r>
        <w:rPr>
          <w:rFonts w:hint="eastAsia" w:ascii="宋体" w:hAnsi="宋体"/>
        </w:rPr>
        <w:t>具体项目及评分细则：</w:t>
      </w:r>
    </w:p>
    <w:tbl>
      <w:tblPr>
        <w:tblStyle w:val="242"/>
        <w:tblW w:w="8794"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732"/>
        <w:gridCol w:w="898"/>
        <w:gridCol w:w="6164"/>
      </w:tblGrid>
      <w:tr w14:paraId="1316E2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trPr>
        <w:tc>
          <w:tcPr>
            <w:tcW w:w="1732" w:type="dxa"/>
            <w:vAlign w:val="center"/>
          </w:tcPr>
          <w:p w14:paraId="06AB6027">
            <w:pPr>
              <w:spacing w:line="300" w:lineRule="exact"/>
              <w:jc w:val="center"/>
              <w:rPr>
                <w:rFonts w:ascii="宋体" w:hAnsi="宋体" w:cs="宋体"/>
                <w:color w:val="000000"/>
              </w:rPr>
            </w:pPr>
            <w:r>
              <w:rPr>
                <w:rFonts w:hint="eastAsia" w:ascii="宋体" w:hAnsi="宋体" w:cs="宋体"/>
                <w:color w:val="000000"/>
              </w:rPr>
              <w:t>评标项目</w:t>
            </w:r>
          </w:p>
        </w:tc>
        <w:tc>
          <w:tcPr>
            <w:tcW w:w="898" w:type="dxa"/>
            <w:vAlign w:val="center"/>
          </w:tcPr>
          <w:p w14:paraId="64118E1D">
            <w:pPr>
              <w:spacing w:line="300" w:lineRule="exact"/>
              <w:jc w:val="center"/>
              <w:rPr>
                <w:rFonts w:ascii="宋体" w:hAnsi="宋体" w:cs="宋体"/>
                <w:color w:val="000000"/>
              </w:rPr>
            </w:pPr>
            <w:r>
              <w:rPr>
                <w:rFonts w:hint="eastAsia" w:ascii="宋体" w:hAnsi="宋体" w:cs="宋体"/>
                <w:color w:val="000000"/>
              </w:rPr>
              <w:t>分值</w:t>
            </w:r>
          </w:p>
        </w:tc>
        <w:tc>
          <w:tcPr>
            <w:tcW w:w="6164" w:type="dxa"/>
            <w:vAlign w:val="center"/>
          </w:tcPr>
          <w:p w14:paraId="40FDA061">
            <w:pPr>
              <w:spacing w:line="300" w:lineRule="exact"/>
              <w:jc w:val="center"/>
              <w:rPr>
                <w:rFonts w:ascii="宋体" w:hAnsi="宋体" w:cs="宋体"/>
                <w:color w:val="000000"/>
              </w:rPr>
            </w:pPr>
            <w:r>
              <w:rPr>
                <w:rFonts w:hint="eastAsia" w:ascii="宋体" w:hAnsi="宋体" w:cs="宋体"/>
                <w:color w:val="000000"/>
              </w:rPr>
              <w:t>评标办法描述</w:t>
            </w:r>
          </w:p>
        </w:tc>
      </w:tr>
      <w:tr w14:paraId="346963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0" w:hRule="atLeast"/>
        </w:trPr>
        <w:tc>
          <w:tcPr>
            <w:tcW w:w="1732" w:type="dxa"/>
            <w:vAlign w:val="center"/>
          </w:tcPr>
          <w:p w14:paraId="0EE729CB">
            <w:pPr>
              <w:spacing w:line="300" w:lineRule="exact"/>
              <w:jc w:val="center"/>
              <w:rPr>
                <w:rFonts w:ascii="宋体" w:hAnsi="宋体" w:cs="宋体"/>
                <w:color w:val="000000"/>
              </w:rPr>
            </w:pPr>
            <w:r>
              <w:rPr>
                <w:rFonts w:hint="eastAsia" w:ascii="宋体" w:hAnsi="宋体" w:cs="宋体"/>
                <w:color w:val="000000"/>
              </w:rPr>
              <w:t>投标报价</w:t>
            </w:r>
          </w:p>
        </w:tc>
        <w:tc>
          <w:tcPr>
            <w:tcW w:w="898" w:type="dxa"/>
            <w:vAlign w:val="center"/>
          </w:tcPr>
          <w:p w14:paraId="25A1F622">
            <w:pPr>
              <w:spacing w:line="300" w:lineRule="exact"/>
              <w:jc w:val="center"/>
              <w:rPr>
                <w:rFonts w:ascii="宋体" w:hAnsi="宋体" w:cs="宋体"/>
                <w:color w:val="000000"/>
              </w:rPr>
            </w:pPr>
            <w:r>
              <w:rPr>
                <w:rFonts w:hint="eastAsia" w:ascii="宋体" w:hAnsi="宋体" w:cs="宋体"/>
                <w:color w:val="000000"/>
              </w:rPr>
              <w:t>30</w:t>
            </w:r>
          </w:p>
        </w:tc>
        <w:tc>
          <w:tcPr>
            <w:tcW w:w="6164" w:type="dxa"/>
            <w:vAlign w:val="center"/>
          </w:tcPr>
          <w:p w14:paraId="439E1C4C">
            <w:pPr>
              <w:spacing w:line="300" w:lineRule="exact"/>
              <w:jc w:val="left"/>
              <w:rPr>
                <w:rFonts w:ascii="宋体" w:hAnsi="宋体" w:cs="宋体"/>
                <w:color w:val="000000"/>
              </w:rPr>
            </w:pPr>
            <w:r>
              <w:rPr>
                <w:rFonts w:hint="eastAsia" w:ascii="宋体" w:hAnsi="宋体" w:cs="宋体"/>
                <w:color w:val="000000"/>
              </w:rPr>
              <w:t>（1）货物项目的价格分值占总分值的比重不得低于30%</w:t>
            </w:r>
          </w:p>
          <w:p w14:paraId="4FA9000E">
            <w:pPr>
              <w:spacing w:line="300" w:lineRule="exact"/>
              <w:jc w:val="left"/>
              <w:rPr>
                <w:rFonts w:ascii="宋体" w:hAnsi="宋体" w:cs="宋体"/>
                <w:color w:val="000000"/>
              </w:rPr>
            </w:pPr>
            <w:r>
              <w:rPr>
                <w:rFonts w:hint="eastAsia" w:ascii="宋体" w:hAnsi="宋体" w:cs="宋体"/>
                <w:color w:val="000000"/>
              </w:rPr>
              <w:t>（2）价格分采用低价优先法计算，即满足磋商文件要求且投标价格最低的投标报价为评标基准价，其价格分为满分。其他投标人的价格分统一按照下列公式计算：投标报价得分=(评标基准价／投标报价)×100×30%</w:t>
            </w:r>
          </w:p>
          <w:p w14:paraId="4F83EA04">
            <w:pPr>
              <w:spacing w:line="300" w:lineRule="exact"/>
              <w:jc w:val="left"/>
              <w:rPr>
                <w:rFonts w:ascii="宋体" w:hAnsi="宋体" w:cs="宋体"/>
                <w:color w:val="000000"/>
              </w:rPr>
            </w:pPr>
            <w:r>
              <w:rPr>
                <w:rFonts w:hint="eastAsia" w:ascii="宋体" w:hAnsi="宋体" w:cs="宋体"/>
                <w:color w:val="000000"/>
              </w:rPr>
              <w:t>（3）因落实政府采购政策进行价格调整的，以调整后的价格计算评标基准价和投标报价。残疾人福利性单位属于小型、微型企业的，不重复享受政策。（注：根据《政府采购促进中小企业发展管理办法》的相关规定，对小型和微型企业制造（生产）产品的价格给予10%的扣除，用扣除后的价格参与评审）</w:t>
            </w:r>
          </w:p>
        </w:tc>
      </w:tr>
      <w:tr w14:paraId="2D1B02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0" w:hRule="atLeast"/>
        </w:trPr>
        <w:tc>
          <w:tcPr>
            <w:tcW w:w="1732" w:type="dxa"/>
            <w:vAlign w:val="center"/>
          </w:tcPr>
          <w:p w14:paraId="7EFDB5D4">
            <w:pPr>
              <w:spacing w:line="300" w:lineRule="exact"/>
              <w:jc w:val="center"/>
              <w:rPr>
                <w:rFonts w:ascii="宋体" w:hAnsi="宋体" w:cs="宋体"/>
                <w:color w:val="000000"/>
              </w:rPr>
            </w:pPr>
            <w:r>
              <w:rPr>
                <w:rFonts w:hint="eastAsia" w:ascii="宋体" w:hAnsi="宋体" w:cs="宋体"/>
                <w:color w:val="000000"/>
              </w:rPr>
              <w:t>技术水平</w:t>
            </w:r>
          </w:p>
        </w:tc>
        <w:tc>
          <w:tcPr>
            <w:tcW w:w="898" w:type="dxa"/>
            <w:vAlign w:val="center"/>
          </w:tcPr>
          <w:p w14:paraId="243BD0B8">
            <w:pPr>
              <w:spacing w:line="300" w:lineRule="exact"/>
              <w:jc w:val="center"/>
              <w:rPr>
                <w:rFonts w:ascii="宋体" w:hAnsi="宋体" w:cs="宋体"/>
                <w:color w:val="000000"/>
              </w:rPr>
            </w:pPr>
            <w:r>
              <w:rPr>
                <w:rFonts w:hint="eastAsia" w:ascii="宋体" w:hAnsi="宋体" w:cs="宋体"/>
                <w:color w:val="000000"/>
              </w:rPr>
              <w:t>42</w:t>
            </w:r>
          </w:p>
        </w:tc>
        <w:tc>
          <w:tcPr>
            <w:tcW w:w="6164" w:type="dxa"/>
            <w:vAlign w:val="center"/>
          </w:tcPr>
          <w:p w14:paraId="1E280701">
            <w:pPr>
              <w:spacing w:line="300" w:lineRule="exact"/>
              <w:jc w:val="left"/>
              <w:rPr>
                <w:rFonts w:hint="default" w:ascii="宋体" w:hAnsi="宋体" w:eastAsia="宋体" w:cs="宋体"/>
                <w:color w:val="000000"/>
                <w:lang w:val="en-US" w:eastAsia="zh-CN"/>
              </w:rPr>
            </w:pPr>
            <w:r>
              <w:rPr>
                <w:rFonts w:hint="eastAsia" w:ascii="宋体" w:hAnsi="宋体" w:cs="宋体"/>
                <w:b/>
                <w:bCs/>
                <w:color w:val="000000"/>
              </w:rPr>
              <w:t>（1）技术参数：</w:t>
            </w:r>
            <w:r>
              <w:rPr>
                <w:rFonts w:hint="eastAsia" w:ascii="宋体" w:hAnsi="宋体" w:cs="宋体"/>
                <w:color w:val="000000"/>
              </w:rPr>
              <w:t>技术参数和配置完全满足或高于招标文件要求的得40分，每有一</w:t>
            </w:r>
            <w:r>
              <w:rPr>
                <w:rFonts w:hint="eastAsia" w:ascii="宋体" w:hAnsi="宋体" w:cs="宋体"/>
                <w:color w:val="000000"/>
                <w:highlight w:val="none"/>
                <w:lang w:val="en-US" w:eastAsia="zh-CN"/>
              </w:rPr>
              <w:t>个</w:t>
            </w:r>
            <w:r>
              <w:rPr>
                <w:rFonts w:hint="eastAsia" w:ascii="宋体" w:hAnsi="宋体" w:cs="宋体"/>
                <w:color w:val="000000"/>
              </w:rPr>
              <w:t>负偏离扣</w:t>
            </w:r>
            <w:r>
              <w:rPr>
                <w:rFonts w:hint="eastAsia" w:ascii="宋体" w:hAnsi="宋体" w:cs="宋体"/>
                <w:color w:val="000000"/>
                <w:lang w:val="en-US" w:eastAsia="zh-CN"/>
              </w:rPr>
              <w:t>2</w:t>
            </w:r>
            <w:r>
              <w:rPr>
                <w:rFonts w:hint="eastAsia" w:ascii="宋体" w:hAnsi="宋体" w:cs="宋体"/>
                <w:color w:val="000000"/>
              </w:rPr>
              <w:t>分，扣完该项得分为止。</w:t>
            </w:r>
            <w:r>
              <w:rPr>
                <w:rFonts w:hint="eastAsia" w:ascii="宋体" w:hAnsi="宋体" w:cs="宋体"/>
                <w:color w:val="000000"/>
                <w:lang w:val="en-US" w:eastAsia="zh-CN"/>
              </w:rPr>
              <w:t>此项评分以生产厂家出具的证明文件或产品彩页或检测报告等材料为依据。</w:t>
            </w:r>
          </w:p>
          <w:p w14:paraId="3FF91E2F">
            <w:pPr>
              <w:spacing w:line="300" w:lineRule="exact"/>
              <w:jc w:val="left"/>
              <w:rPr>
                <w:rFonts w:ascii="宋体" w:hAnsi="宋体" w:cs="宋体"/>
                <w:color w:val="000000"/>
              </w:rPr>
            </w:pPr>
            <w:r>
              <w:rPr>
                <w:rFonts w:hint="eastAsia" w:ascii="宋体" w:hAnsi="宋体" w:cs="宋体"/>
                <w:b/>
                <w:bCs/>
                <w:color w:val="000000"/>
              </w:rPr>
              <w:t>（2）节能和环保：</w:t>
            </w:r>
            <w:r>
              <w:rPr>
                <w:rFonts w:hint="eastAsia" w:ascii="宋体" w:hAnsi="宋体" w:cs="宋体"/>
                <w:color w:val="000000"/>
              </w:rPr>
              <w:t>所投产品为节能产品得0.5分，所投产品为环保产品得0.5分，满分1分，未提供不得分。该项得分的认定以《国家节能产品认证证书》、《中国环境标志产品认证证书》。</w:t>
            </w:r>
          </w:p>
          <w:p w14:paraId="22BDCA6B">
            <w:pPr>
              <w:spacing w:line="300" w:lineRule="exact"/>
              <w:jc w:val="left"/>
              <w:rPr>
                <w:rFonts w:ascii="宋体" w:hAnsi="宋体" w:cs="宋体"/>
                <w:b/>
                <w:bCs/>
                <w:color w:val="000000"/>
              </w:rPr>
            </w:pPr>
            <w:r>
              <w:rPr>
                <w:rFonts w:hint="eastAsia" w:ascii="宋体" w:hAnsi="宋体" w:cs="宋体"/>
                <w:b/>
                <w:bCs/>
                <w:color w:val="000000"/>
              </w:rPr>
              <w:t>（3）产品有自主知识产权得1分。</w:t>
            </w:r>
          </w:p>
        </w:tc>
      </w:tr>
      <w:tr w14:paraId="0C52E7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9" w:hRule="atLeast"/>
        </w:trPr>
        <w:tc>
          <w:tcPr>
            <w:tcW w:w="1732" w:type="dxa"/>
            <w:vAlign w:val="center"/>
          </w:tcPr>
          <w:p w14:paraId="4B866301">
            <w:pPr>
              <w:spacing w:line="300" w:lineRule="exact"/>
              <w:jc w:val="center"/>
              <w:rPr>
                <w:rFonts w:ascii="宋体" w:hAnsi="宋体" w:cs="宋体"/>
                <w:color w:val="000000"/>
              </w:rPr>
            </w:pPr>
            <w:r>
              <w:rPr>
                <w:rFonts w:hint="eastAsia" w:ascii="宋体" w:hAnsi="宋体" w:cs="宋体"/>
                <w:color w:val="000000"/>
              </w:rPr>
              <w:t>管理及实施 方案</w:t>
            </w:r>
          </w:p>
        </w:tc>
        <w:tc>
          <w:tcPr>
            <w:tcW w:w="898" w:type="dxa"/>
            <w:vAlign w:val="center"/>
          </w:tcPr>
          <w:p w14:paraId="1037F01B">
            <w:pPr>
              <w:spacing w:line="300" w:lineRule="exact"/>
              <w:jc w:val="center"/>
              <w:rPr>
                <w:rFonts w:ascii="宋体" w:hAnsi="宋体" w:cs="宋体"/>
                <w:color w:val="000000"/>
              </w:rPr>
            </w:pPr>
            <w:r>
              <w:rPr>
                <w:rFonts w:hint="eastAsia" w:ascii="宋体" w:hAnsi="宋体" w:cs="宋体"/>
                <w:color w:val="000000"/>
              </w:rPr>
              <w:t>8</w:t>
            </w:r>
          </w:p>
        </w:tc>
        <w:tc>
          <w:tcPr>
            <w:tcW w:w="6164" w:type="dxa"/>
            <w:vAlign w:val="center"/>
          </w:tcPr>
          <w:p w14:paraId="622EBC57">
            <w:pPr>
              <w:widowControl/>
              <w:jc w:val="left"/>
              <w:rPr>
                <w:rFonts w:ascii="宋体" w:hAnsi="宋体" w:cs="宋体"/>
                <w:color w:val="000000"/>
              </w:rPr>
            </w:pPr>
            <w:r>
              <w:rPr>
                <w:rFonts w:hint="eastAsia" w:ascii="宋体" w:hAnsi="宋体" w:eastAsia="宋体" w:cs="宋体"/>
                <w:b/>
                <w:bCs/>
                <w:color w:val="000000"/>
                <w:sz w:val="24"/>
                <w:szCs w:val="24"/>
              </w:rPr>
              <w:t>项目管理及实施方案：</w:t>
            </w:r>
            <w:r>
              <w:rPr>
                <w:rFonts w:hint="eastAsia" w:ascii="宋体" w:hAnsi="宋体" w:eastAsia="宋体" w:cs="宋体"/>
                <w:color w:val="000000"/>
                <w:sz w:val="24"/>
                <w:szCs w:val="24"/>
              </w:rPr>
              <w:t>供应商根据本项目设置了项目管理机构，并具有科学、具体的项目管理措施，包括但不限于以下内容：①项目的实施计划及总体安排②项目进度保障措施③管理机构人员配备④突发事件处理措施等</w:t>
            </w:r>
            <w:r>
              <w:rPr>
                <w:rFonts w:hint="eastAsia" w:ascii="宋体" w:hAnsi="宋体" w:eastAsia="宋体" w:cs="宋体"/>
                <w:color w:val="000000"/>
                <w:sz w:val="24"/>
                <w:szCs w:val="24"/>
                <w:highlight w:val="none"/>
              </w:rPr>
              <w:t>。</w:t>
            </w:r>
            <w:r>
              <w:rPr>
                <w:rFonts w:hint="eastAsia" w:ascii="宋体" w:hAnsi="宋体" w:eastAsia="宋体" w:cs="宋体"/>
                <w:color w:val="auto"/>
                <w:kern w:val="0"/>
                <w:sz w:val="24"/>
                <w:szCs w:val="24"/>
                <w:highlight w:val="none"/>
                <w:lang w:val="en-US" w:eastAsia="zh-CN" w:bidi="ar"/>
              </w:rPr>
              <w:t>以上因素每实质性响应一项得</w:t>
            </w:r>
            <w:r>
              <w:rPr>
                <w:rFonts w:hint="eastAsia" w:ascii="宋体" w:hAnsi="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val="en-US" w:eastAsia="zh-CN" w:bidi="ar"/>
              </w:rPr>
              <w:t>分，每有一项存在缺陷或不足的扣</w:t>
            </w:r>
            <w:r>
              <w:rPr>
                <w:rFonts w:hint="eastAsia" w:ascii="宋体" w:hAnsi="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分，</w:t>
            </w:r>
            <w:bookmarkStart w:id="85" w:name="_GoBack"/>
            <w:bookmarkEnd w:id="85"/>
            <w:r>
              <w:rPr>
                <w:rFonts w:hint="eastAsia" w:ascii="宋体" w:hAnsi="宋体" w:eastAsia="宋体" w:cs="宋体"/>
                <w:color w:val="auto"/>
                <w:kern w:val="0"/>
                <w:sz w:val="24"/>
                <w:szCs w:val="24"/>
                <w:highlight w:val="none"/>
                <w:lang w:val="en-US" w:eastAsia="zh-CN" w:bidi="ar"/>
              </w:rPr>
              <w:t>满分</w:t>
            </w:r>
            <w:r>
              <w:rPr>
                <w:rFonts w:hint="eastAsia" w:ascii="宋体" w:hAnsi="宋体" w:cs="宋体"/>
                <w:color w:val="auto"/>
                <w:kern w:val="0"/>
                <w:sz w:val="24"/>
                <w:szCs w:val="24"/>
                <w:highlight w:val="none"/>
                <w:lang w:val="en-US" w:eastAsia="zh-CN" w:bidi="ar"/>
              </w:rPr>
              <w:t>8</w:t>
            </w:r>
            <w:r>
              <w:rPr>
                <w:rFonts w:hint="eastAsia" w:ascii="宋体" w:hAnsi="宋体" w:eastAsia="宋体" w:cs="宋体"/>
                <w:color w:val="auto"/>
                <w:kern w:val="0"/>
                <w:sz w:val="24"/>
                <w:szCs w:val="24"/>
                <w:highlight w:val="none"/>
                <w:lang w:val="en-US" w:eastAsia="zh-CN" w:bidi="ar"/>
              </w:rPr>
              <w:t>分，未实质性响应或未提供不得分。</w:t>
            </w:r>
          </w:p>
        </w:tc>
      </w:tr>
      <w:tr w14:paraId="7D2B71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92" w:hRule="atLeast"/>
        </w:trPr>
        <w:tc>
          <w:tcPr>
            <w:tcW w:w="1732" w:type="dxa"/>
            <w:vAlign w:val="center"/>
          </w:tcPr>
          <w:p w14:paraId="04C1EEA9">
            <w:pPr>
              <w:spacing w:line="300" w:lineRule="exact"/>
              <w:jc w:val="center"/>
              <w:rPr>
                <w:rFonts w:ascii="宋体" w:hAnsi="宋体" w:cs="宋体"/>
                <w:color w:val="000000"/>
              </w:rPr>
            </w:pPr>
            <w:r>
              <w:rPr>
                <w:rFonts w:hint="eastAsia" w:ascii="宋体" w:hAnsi="宋体" w:cs="宋体"/>
                <w:color w:val="000000"/>
              </w:rPr>
              <w:t>类似业绩</w:t>
            </w:r>
          </w:p>
        </w:tc>
        <w:tc>
          <w:tcPr>
            <w:tcW w:w="898" w:type="dxa"/>
            <w:vAlign w:val="center"/>
          </w:tcPr>
          <w:p w14:paraId="5AC88194">
            <w:pPr>
              <w:spacing w:line="300" w:lineRule="exact"/>
              <w:jc w:val="center"/>
              <w:rPr>
                <w:rFonts w:ascii="宋体" w:hAnsi="宋体" w:cs="宋体"/>
                <w:color w:val="000000"/>
              </w:rPr>
            </w:pPr>
            <w:r>
              <w:rPr>
                <w:rFonts w:hint="eastAsia" w:ascii="宋体" w:hAnsi="宋体" w:cs="宋体"/>
                <w:color w:val="000000"/>
              </w:rPr>
              <w:t>5</w:t>
            </w:r>
          </w:p>
        </w:tc>
        <w:tc>
          <w:tcPr>
            <w:tcW w:w="6164" w:type="dxa"/>
            <w:vAlign w:val="center"/>
          </w:tcPr>
          <w:p w14:paraId="139A27A7">
            <w:pPr>
              <w:pStyle w:val="234"/>
              <w:widowControl/>
              <w:spacing w:before="0" w:beforeAutospacing="0" w:after="0" w:afterAutospacing="0"/>
              <w:rPr>
                <w:rFonts w:ascii="宋体" w:hAnsi="宋体" w:cs="宋体"/>
                <w:color w:val="000000"/>
              </w:rPr>
            </w:pPr>
            <w:r>
              <w:rPr>
                <w:rFonts w:hint="eastAsia" w:ascii="宋体" w:hAnsi="宋体" w:cs="宋体"/>
                <w:b/>
                <w:bCs/>
              </w:rPr>
              <w:t>类似业绩情况：</w:t>
            </w:r>
            <w:r>
              <w:rPr>
                <w:rFonts w:hint="eastAsia" w:ascii="宋体" w:hAnsi="宋体" w:cs="宋体"/>
              </w:rPr>
              <w:t>2022年至今投标人类似业绩证明材料。每提供1项得1分,满分5分；未提供的不得分（提供合同复印件或扫描件）。</w:t>
            </w:r>
          </w:p>
        </w:tc>
      </w:tr>
      <w:tr w14:paraId="30E11CE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9" w:hRule="atLeast"/>
        </w:trPr>
        <w:tc>
          <w:tcPr>
            <w:tcW w:w="1732" w:type="dxa"/>
            <w:vAlign w:val="center"/>
          </w:tcPr>
          <w:p w14:paraId="01BC042B">
            <w:pPr>
              <w:spacing w:line="300" w:lineRule="exact"/>
              <w:jc w:val="center"/>
              <w:rPr>
                <w:rFonts w:ascii="宋体" w:hAnsi="宋体" w:cs="宋体"/>
                <w:color w:val="000000"/>
              </w:rPr>
            </w:pPr>
            <w:r>
              <w:rPr>
                <w:rFonts w:hint="eastAsia" w:ascii="宋体" w:hAnsi="宋体" w:cs="宋体"/>
                <w:color w:val="000000"/>
              </w:rPr>
              <w:t>履约能力</w:t>
            </w:r>
          </w:p>
        </w:tc>
        <w:tc>
          <w:tcPr>
            <w:tcW w:w="898" w:type="dxa"/>
            <w:vAlign w:val="center"/>
          </w:tcPr>
          <w:p w14:paraId="2F48654A">
            <w:pPr>
              <w:spacing w:line="300" w:lineRule="exact"/>
              <w:jc w:val="center"/>
              <w:rPr>
                <w:rFonts w:ascii="宋体" w:hAnsi="宋体" w:cs="宋体"/>
                <w:color w:val="000000"/>
              </w:rPr>
            </w:pPr>
            <w:r>
              <w:rPr>
                <w:rFonts w:hint="eastAsia" w:ascii="宋体" w:hAnsi="宋体" w:cs="宋体"/>
                <w:color w:val="000000"/>
              </w:rPr>
              <w:t>4</w:t>
            </w:r>
          </w:p>
        </w:tc>
        <w:tc>
          <w:tcPr>
            <w:tcW w:w="6164" w:type="dxa"/>
            <w:vAlign w:val="center"/>
          </w:tcPr>
          <w:p w14:paraId="4378F67A">
            <w:pPr>
              <w:widowControl/>
              <w:jc w:val="left"/>
              <w:rPr>
                <w:rFonts w:ascii="宋体" w:hAnsi="宋体" w:cs="宋体"/>
                <w:color w:val="000000"/>
              </w:rPr>
            </w:pPr>
            <w:r>
              <w:rPr>
                <w:rFonts w:hint="eastAsia" w:ascii="宋体" w:hAnsi="宋体" w:eastAsia="宋体" w:cs="宋体"/>
                <w:b/>
                <w:bCs/>
                <w:color w:val="000000"/>
                <w:kern w:val="0"/>
                <w:sz w:val="24"/>
                <w:szCs w:val="24"/>
                <w:lang w:val="en-US" w:eastAsia="zh-CN" w:bidi="ar"/>
              </w:rPr>
              <w:t>投标人针对本项目特点制定详细的货物供货及配送方案。</w:t>
            </w:r>
            <w:r>
              <w:rPr>
                <w:rFonts w:hint="eastAsia" w:ascii="宋体" w:hAnsi="宋体" w:eastAsia="宋体" w:cs="宋体"/>
                <w:color w:val="000000"/>
                <w:kern w:val="0"/>
                <w:sz w:val="24"/>
                <w:szCs w:val="24"/>
                <w:lang w:val="en-US" w:eastAsia="zh-CN" w:bidi="ar"/>
              </w:rPr>
              <w:t>包含：①完善的供货计划②完善的运输计划及运输配置③完善的供货保证措施④完善的应急预案和措施等。</w:t>
            </w:r>
            <w:r>
              <w:rPr>
                <w:rFonts w:hint="eastAsia" w:ascii="宋体" w:hAnsi="宋体" w:eastAsia="宋体" w:cs="宋体"/>
                <w:color w:val="auto"/>
                <w:kern w:val="0"/>
                <w:sz w:val="24"/>
                <w:szCs w:val="24"/>
                <w:highlight w:val="none"/>
                <w:lang w:val="en-US" w:eastAsia="zh-CN" w:bidi="ar"/>
              </w:rPr>
              <w:t>以上因素每实质性响应一项得</w:t>
            </w:r>
            <w:r>
              <w:rPr>
                <w:rFonts w:hint="eastAsia" w:ascii="宋体" w:hAnsi="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分，每有一项存在缺陷或不足的扣</w:t>
            </w:r>
            <w:r>
              <w:rPr>
                <w:rFonts w:hint="eastAsia" w:ascii="宋体" w:hAnsi="宋体" w:cs="宋体"/>
                <w:color w:val="auto"/>
                <w:kern w:val="0"/>
                <w:sz w:val="24"/>
                <w:szCs w:val="24"/>
                <w:highlight w:val="none"/>
                <w:lang w:val="en-US" w:eastAsia="zh-CN" w:bidi="ar"/>
              </w:rPr>
              <w:t>0.5</w:t>
            </w:r>
            <w:r>
              <w:rPr>
                <w:rFonts w:hint="eastAsia" w:ascii="宋体" w:hAnsi="宋体" w:eastAsia="宋体" w:cs="宋体"/>
                <w:color w:val="auto"/>
                <w:kern w:val="0"/>
                <w:sz w:val="24"/>
                <w:szCs w:val="24"/>
                <w:highlight w:val="none"/>
                <w:lang w:val="en-US" w:eastAsia="zh-CN" w:bidi="ar"/>
              </w:rPr>
              <w:t>分，满分</w:t>
            </w:r>
            <w:r>
              <w:rPr>
                <w:rFonts w:hint="eastAsia" w:ascii="宋体" w:hAnsi="宋体" w:cs="宋体"/>
                <w:color w:val="auto"/>
                <w:kern w:val="0"/>
                <w:sz w:val="24"/>
                <w:szCs w:val="24"/>
                <w:highlight w:val="none"/>
                <w:lang w:val="en-US" w:eastAsia="zh-CN" w:bidi="ar"/>
              </w:rPr>
              <w:t>4</w:t>
            </w:r>
            <w:r>
              <w:rPr>
                <w:rFonts w:hint="eastAsia" w:ascii="宋体" w:hAnsi="宋体" w:eastAsia="宋体" w:cs="宋体"/>
                <w:color w:val="auto"/>
                <w:kern w:val="0"/>
                <w:sz w:val="24"/>
                <w:szCs w:val="24"/>
                <w:highlight w:val="none"/>
                <w:lang w:val="en-US" w:eastAsia="zh-CN" w:bidi="ar"/>
              </w:rPr>
              <w:t>分，未实质性响应或未提供不得分。</w:t>
            </w:r>
          </w:p>
        </w:tc>
      </w:tr>
      <w:tr w14:paraId="10E9CD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584" w:hRule="atLeast"/>
        </w:trPr>
        <w:tc>
          <w:tcPr>
            <w:tcW w:w="1732" w:type="dxa"/>
            <w:vAlign w:val="center"/>
          </w:tcPr>
          <w:p w14:paraId="62F9281A">
            <w:pPr>
              <w:spacing w:line="300" w:lineRule="exact"/>
              <w:jc w:val="center"/>
              <w:rPr>
                <w:rFonts w:ascii="宋体" w:hAnsi="宋体" w:cs="宋体"/>
                <w:color w:val="000000"/>
              </w:rPr>
            </w:pPr>
            <w:r>
              <w:rPr>
                <w:rFonts w:hint="eastAsia" w:ascii="宋体" w:hAnsi="宋体" w:cs="宋体"/>
                <w:color w:val="000000"/>
              </w:rPr>
              <w:t>售后服务</w:t>
            </w:r>
          </w:p>
        </w:tc>
        <w:tc>
          <w:tcPr>
            <w:tcW w:w="898" w:type="dxa"/>
            <w:vAlign w:val="center"/>
          </w:tcPr>
          <w:p w14:paraId="1CDCA6E9">
            <w:pPr>
              <w:spacing w:line="300" w:lineRule="exact"/>
              <w:jc w:val="center"/>
              <w:rPr>
                <w:rFonts w:ascii="宋体" w:hAnsi="宋体" w:cs="宋体"/>
                <w:color w:val="000000"/>
              </w:rPr>
            </w:pPr>
            <w:r>
              <w:rPr>
                <w:rFonts w:hint="eastAsia" w:ascii="宋体" w:hAnsi="宋体" w:cs="宋体"/>
                <w:color w:val="000000"/>
              </w:rPr>
              <w:t>11</w:t>
            </w:r>
          </w:p>
        </w:tc>
        <w:tc>
          <w:tcPr>
            <w:tcW w:w="6164" w:type="dxa"/>
            <w:vAlign w:val="center"/>
          </w:tcPr>
          <w:p w14:paraId="572349A4">
            <w:pPr>
              <w:keepNext w:val="0"/>
              <w:keepLines w:val="0"/>
              <w:widowControl/>
              <w:suppressLineNumbers w:val="0"/>
              <w:jc w:val="left"/>
              <w:rPr>
                <w:rFonts w:ascii="宋体" w:hAnsi="宋体" w:cs="宋体"/>
                <w:color w:val="000000"/>
              </w:rPr>
            </w:pPr>
            <w:r>
              <w:rPr>
                <w:rFonts w:hint="eastAsia" w:ascii="宋体" w:hAnsi="宋体" w:cs="宋体"/>
                <w:b/>
                <w:bCs/>
                <w:color w:val="000000"/>
              </w:rPr>
              <w:t>售后服务计划、措施及服务承诺（8分）：</w:t>
            </w:r>
            <w:r>
              <w:rPr>
                <w:rFonts w:hint="eastAsia" w:ascii="宋体" w:hAnsi="宋体" w:cs="宋体"/>
                <w:color w:val="000000"/>
              </w:rPr>
              <w:t>针对该项目须有完善的售后服务体系。包含：①售后服务机构和人员②售后服务内容、流程和服务质量③售后服务中应包含的人员培训、定期回访等④在质量保证期内，对于产品质量问题造成的损坏，免费提供咨询、维修服务、售后服务相关承诺。</w:t>
            </w:r>
            <w:r>
              <w:rPr>
                <w:rFonts w:hint="eastAsia" w:ascii="宋体" w:hAnsi="宋体" w:eastAsia="宋体" w:cs="宋体"/>
                <w:color w:val="auto"/>
                <w:kern w:val="0"/>
                <w:sz w:val="24"/>
                <w:szCs w:val="24"/>
                <w:highlight w:val="none"/>
                <w:lang w:val="en-US" w:eastAsia="zh-CN" w:bidi="ar"/>
              </w:rPr>
              <w:t>以上因素每实质性响应一项得</w:t>
            </w:r>
            <w:r>
              <w:rPr>
                <w:rFonts w:hint="eastAsia" w:ascii="宋体" w:hAnsi="宋体" w:cs="宋体"/>
                <w:color w:val="auto"/>
                <w:kern w:val="0"/>
                <w:sz w:val="24"/>
                <w:szCs w:val="24"/>
                <w:highlight w:val="none"/>
                <w:lang w:val="en-US" w:eastAsia="zh-CN" w:bidi="ar"/>
              </w:rPr>
              <w:t>2</w:t>
            </w:r>
            <w:r>
              <w:rPr>
                <w:rFonts w:hint="eastAsia" w:ascii="宋体" w:hAnsi="宋体" w:eastAsia="宋体" w:cs="宋体"/>
                <w:color w:val="auto"/>
                <w:kern w:val="0"/>
                <w:sz w:val="24"/>
                <w:szCs w:val="24"/>
                <w:highlight w:val="none"/>
                <w:lang w:val="en-US" w:eastAsia="zh-CN" w:bidi="ar"/>
              </w:rPr>
              <w:t>分，每有一项存在缺陷或不足的扣</w:t>
            </w:r>
            <w:r>
              <w:rPr>
                <w:rFonts w:hint="eastAsia" w:ascii="宋体" w:hAnsi="宋体" w:cs="宋体"/>
                <w:color w:val="auto"/>
                <w:kern w:val="0"/>
                <w:sz w:val="24"/>
                <w:szCs w:val="24"/>
                <w:highlight w:val="none"/>
                <w:lang w:val="en-US" w:eastAsia="zh-CN" w:bidi="ar"/>
              </w:rPr>
              <w:t>1</w:t>
            </w:r>
            <w:r>
              <w:rPr>
                <w:rFonts w:hint="eastAsia" w:ascii="宋体" w:hAnsi="宋体" w:eastAsia="宋体" w:cs="宋体"/>
                <w:color w:val="auto"/>
                <w:kern w:val="0"/>
                <w:sz w:val="24"/>
                <w:szCs w:val="24"/>
                <w:highlight w:val="none"/>
                <w:lang w:val="en-US" w:eastAsia="zh-CN" w:bidi="ar"/>
              </w:rPr>
              <w:t>分，满分</w:t>
            </w:r>
            <w:r>
              <w:rPr>
                <w:rFonts w:hint="eastAsia" w:ascii="宋体" w:hAnsi="宋体" w:cs="宋体"/>
                <w:color w:val="auto"/>
                <w:kern w:val="0"/>
                <w:sz w:val="24"/>
                <w:szCs w:val="24"/>
                <w:highlight w:val="none"/>
                <w:lang w:val="en-US" w:eastAsia="zh-CN" w:bidi="ar"/>
              </w:rPr>
              <w:t>8</w:t>
            </w:r>
            <w:r>
              <w:rPr>
                <w:rFonts w:hint="eastAsia" w:ascii="宋体" w:hAnsi="宋体" w:eastAsia="宋体" w:cs="宋体"/>
                <w:color w:val="auto"/>
                <w:kern w:val="0"/>
                <w:sz w:val="24"/>
                <w:szCs w:val="24"/>
                <w:highlight w:val="none"/>
                <w:lang w:val="en-US" w:eastAsia="zh-CN" w:bidi="ar"/>
              </w:rPr>
              <w:t>分，未实质性响应或未提供不得分。</w:t>
            </w:r>
          </w:p>
          <w:p w14:paraId="1E259849">
            <w:pPr>
              <w:widowControl/>
              <w:jc w:val="left"/>
              <w:rPr>
                <w:rFonts w:ascii="宋体" w:hAnsi="宋体" w:cs="宋体"/>
                <w:color w:val="000000"/>
              </w:rPr>
            </w:pPr>
            <w:r>
              <w:rPr>
                <w:rFonts w:hint="eastAsia" w:ascii="宋体" w:hAnsi="宋体" w:cs="宋体"/>
                <w:b/>
                <w:bCs/>
                <w:color w:val="000000"/>
              </w:rPr>
              <w:t>售后服务响应时间（3分）：</w:t>
            </w:r>
            <w:r>
              <w:rPr>
                <w:rFonts w:hint="eastAsia" w:ascii="宋体" w:hAnsi="宋体" w:cs="宋体"/>
                <w:color w:val="000000"/>
              </w:rPr>
              <w:t>针对所投产品售后服务响应时间，投标人在1小时内响应，12小时内赶赴现场维修的，得3分；投标人在2小时内响应，24小时内赶赴现场维修的，得1分；投标人在3小时内响应，36小时内赶赴现场维修的，得0.5分。不提供不得分。</w:t>
            </w:r>
          </w:p>
        </w:tc>
      </w:tr>
    </w:tbl>
    <w:p w14:paraId="050AFCC0">
      <w:pPr>
        <w:spacing w:line="360" w:lineRule="auto"/>
        <w:jc w:val="left"/>
        <w:rPr>
          <w:rFonts w:hint="eastAsia" w:ascii="宋体" w:hAnsi="Cambria" w:cs="宋体"/>
          <w:b/>
          <w:highlight w:val="none"/>
        </w:rPr>
      </w:pPr>
      <w:r>
        <w:rPr>
          <w:rFonts w:hint="eastAsia" w:ascii="宋体" w:hAnsi="Cambria" w:cs="宋体"/>
          <w:b/>
        </w:rPr>
        <w:t>注：</w:t>
      </w:r>
      <w:r>
        <w:rPr>
          <w:rFonts w:hint="eastAsia" w:ascii="宋体" w:hAnsi="Cambria" w:cs="宋体"/>
          <w:b/>
          <w:highlight w:val="none"/>
        </w:rPr>
        <w:t>内容存在缺陷或不足是指:方案内容不切合行业实际、不符合行业政策，或名称错误、地点区域错误、内容与本项目需求无关或过于简单、方案内容矛盾或表述前后不一致、仅有框架或标题、适用的标准(方法)错误、明显复制其他项目内容或内容不适用项目实际情况或内容逻辑漏洞或原理错误。</w:t>
      </w:r>
    </w:p>
    <w:p w14:paraId="28E5DF44">
      <w:pPr>
        <w:spacing w:line="360" w:lineRule="auto"/>
        <w:ind w:firstLine="482" w:firstLineChars="200"/>
        <w:jc w:val="left"/>
        <w:rPr>
          <w:rFonts w:ascii="宋体" w:hAnsi="Cambria" w:cs="宋体"/>
          <w:b/>
        </w:rPr>
      </w:pPr>
      <w:r>
        <w:rPr>
          <w:rFonts w:hint="eastAsia" w:ascii="宋体" w:hAnsi="Cambria" w:cs="宋体"/>
          <w:b/>
        </w:rPr>
        <w:t>各供应商的提交的响应文件中，应将上述涉及到的证明资料扫描件（或复印件）附在其中，并加盖公章</w:t>
      </w:r>
      <w:r>
        <w:rPr>
          <w:rFonts w:hint="eastAsia" w:ascii="宋体" w:hAnsi="Cambria" w:cs="宋体"/>
        </w:rPr>
        <w:t>。</w:t>
      </w:r>
    </w:p>
    <w:p w14:paraId="6016103E">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19.3 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540F8097">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19.4 评标结果汇总完成后，除下列情形外，任何人不得修改评标结果：</w:t>
      </w:r>
    </w:p>
    <w:p w14:paraId="12C24D86">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（1）分值汇总计算错误的；</w:t>
      </w:r>
    </w:p>
    <w:p w14:paraId="20BB91F1">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（2）分项评分超出评分标准范围的；</w:t>
      </w:r>
    </w:p>
    <w:p w14:paraId="099CD398">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（3）评标委员会成员对客观评审因素评分不一致的；</w:t>
      </w:r>
    </w:p>
    <w:p w14:paraId="023EA73D">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（4）经评标委员会认定评分畸高、畸低的。</w:t>
      </w:r>
    </w:p>
    <w:p w14:paraId="4CB61AB4">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评标报告签署前，经复核发现存在以上情形之一的，评标委员会当场修改评标结果，并在评标报告中记载；评标报告签署后，刚察县政府采购中心发现存在以上情形之一的，组织原评标委员会进行重新评审，重新评审改变评标结果的，书面报告本级财政部门。</w:t>
      </w:r>
    </w:p>
    <w:p w14:paraId="362E499C">
      <w:pPr>
        <w:spacing w:line="360" w:lineRule="auto"/>
        <w:ind w:firstLine="480"/>
        <w:rPr>
          <w:rFonts w:ascii="宋体" w:hAnsi="宋体" w:cs="宋体"/>
          <w:color w:val="000000"/>
          <w:shd w:val="clear" w:color="auto" w:fill="FFFFFF"/>
        </w:rPr>
      </w:pPr>
      <w:r>
        <w:rPr>
          <w:rFonts w:hint="eastAsia" w:ascii="宋体" w:hAnsi="宋体" w:cs="宋体"/>
          <w:color w:val="000000"/>
          <w:shd w:val="clear" w:color="auto" w:fill="FFFFFF"/>
        </w:rPr>
        <w:t>投标人对以上情形提出质疑的，刚察县政府采购中心可以组织原评标委员会进行重新评审，重新评审改变评标结果的，书面报告本级财政部门。</w:t>
      </w:r>
    </w:p>
    <w:p w14:paraId="5C4B9235">
      <w:pPr>
        <w:rPr>
          <w:rFonts w:hint="eastAsia" w:ascii="宋体" w:hAnsi="宋体" w:cs="宋体"/>
          <w:color w:val="000000"/>
          <w:lang w:val="zh-CN"/>
        </w:rPr>
      </w:pPr>
      <w:bookmarkStart w:id="36" w:name="_Toc29329"/>
      <w:r>
        <w:rPr>
          <w:rFonts w:hint="eastAsia" w:ascii="宋体" w:hAnsi="宋体" w:cs="宋体"/>
          <w:color w:val="000000"/>
          <w:lang w:val="zh-CN"/>
        </w:rPr>
        <w:br w:type="page"/>
      </w:r>
    </w:p>
    <w:p w14:paraId="44B4C4E8">
      <w:pPr>
        <w:pStyle w:val="235"/>
        <w:spacing w:before="0" w:after="0" w:line="360" w:lineRule="auto"/>
        <w:rPr>
          <w:rFonts w:ascii="宋体" w:hAnsi="宋体" w:cs="宋体"/>
          <w:color w:val="000000"/>
          <w:lang w:val="zh-CN"/>
        </w:rPr>
      </w:pPr>
      <w:r>
        <w:rPr>
          <w:rFonts w:hint="eastAsia" w:ascii="宋体" w:hAnsi="宋体" w:cs="宋体"/>
          <w:color w:val="000000"/>
          <w:lang w:val="zh-CN"/>
        </w:rPr>
        <w:t>八、中标</w:t>
      </w:r>
      <w:bookmarkEnd w:id="36"/>
    </w:p>
    <w:p w14:paraId="3F4C9620">
      <w:pPr>
        <w:pStyle w:val="235"/>
        <w:spacing w:before="0" w:after="0" w:line="360" w:lineRule="auto"/>
        <w:jc w:val="left"/>
        <w:rPr>
          <w:rFonts w:ascii="宋体" w:hAnsi="宋体" w:cs="宋体"/>
          <w:color w:val="000000"/>
          <w:lang w:val="zh-CN"/>
        </w:rPr>
      </w:pPr>
      <w:bookmarkStart w:id="37" w:name="_Toc26259"/>
      <w:r>
        <w:rPr>
          <w:rFonts w:hint="eastAsia" w:ascii="宋体" w:hAnsi="宋体" w:cs="宋体"/>
          <w:color w:val="000000"/>
          <w:sz w:val="28"/>
          <w:szCs w:val="28"/>
          <w:lang w:val="zh-CN"/>
        </w:rPr>
        <w:t>2</w:t>
      </w:r>
      <w:r>
        <w:rPr>
          <w:rFonts w:hint="eastAsia" w:ascii="宋体" w:hAnsi="宋体" w:cs="宋体"/>
          <w:color w:val="000000"/>
          <w:sz w:val="28"/>
          <w:szCs w:val="28"/>
        </w:rPr>
        <w:t>0</w:t>
      </w:r>
      <w:r>
        <w:rPr>
          <w:rFonts w:hint="eastAsia" w:ascii="宋体" w:hAnsi="宋体" w:cs="宋体"/>
          <w:color w:val="000000"/>
          <w:sz w:val="28"/>
          <w:szCs w:val="28"/>
          <w:lang w:val="zh-CN"/>
        </w:rPr>
        <w:t>.推荐并确定中标人</w:t>
      </w:r>
      <w:bookmarkEnd w:id="37"/>
    </w:p>
    <w:p w14:paraId="0720BABF">
      <w:pPr>
        <w:spacing w:line="360" w:lineRule="auto"/>
        <w:ind w:firstLine="480"/>
        <w:rPr>
          <w:rFonts w:ascii="宋体" w:hAnsi="宋体" w:cs="宋体"/>
          <w:color w:val="000000"/>
        </w:rPr>
      </w:pPr>
      <w:r>
        <w:rPr>
          <w:rFonts w:hint="eastAsia" w:ascii="宋体" w:hAnsi="宋体" w:cs="宋体"/>
          <w:color w:val="000000"/>
        </w:rPr>
        <w:t>20.1 采购中心在评标结束后2个工作日内将评标报告提交采购人。采购人自收到评标报告之日起5个工作日内，在评标报告确定的中标候选人名单中按顺序确定中标人。</w:t>
      </w:r>
    </w:p>
    <w:p w14:paraId="1B5261A1">
      <w:pPr>
        <w:spacing w:line="360" w:lineRule="auto"/>
        <w:ind w:firstLine="480"/>
        <w:rPr>
          <w:rFonts w:ascii="宋体" w:hAnsi="宋体" w:cs="宋体"/>
          <w:color w:val="000000"/>
        </w:rPr>
      </w:pPr>
      <w:r>
        <w:rPr>
          <w:rFonts w:hint="eastAsia" w:ascii="宋体" w:hAnsi="宋体" w:cs="宋体"/>
          <w:color w:val="000000"/>
        </w:rPr>
        <w:t>20.2 采购人在收到评标报告5个工作日内未按评标报告推荐的中标候选人顺序确定中标人，又不能说明合法理由的，视同按评标报告推荐的顺序确定排名第一的中标候选人为中标人。</w:t>
      </w:r>
    </w:p>
    <w:p w14:paraId="609BB386">
      <w:pPr>
        <w:pStyle w:val="235"/>
        <w:spacing w:before="0" w:after="0" w:line="360" w:lineRule="auto"/>
        <w:jc w:val="left"/>
        <w:rPr>
          <w:rFonts w:ascii="宋体" w:hAnsi="宋体" w:cs="宋体"/>
          <w:color w:val="000000"/>
          <w:lang w:val="zh-CN"/>
        </w:rPr>
      </w:pPr>
      <w:bookmarkStart w:id="38" w:name="_Toc5742"/>
      <w:r>
        <w:rPr>
          <w:rFonts w:hint="eastAsia" w:ascii="宋体" w:hAnsi="宋体" w:cs="宋体"/>
          <w:color w:val="000000"/>
          <w:sz w:val="28"/>
          <w:szCs w:val="28"/>
          <w:lang w:val="zh-CN"/>
        </w:rPr>
        <w:t>2</w:t>
      </w:r>
      <w:r>
        <w:rPr>
          <w:rFonts w:hint="eastAsia" w:ascii="宋体" w:hAnsi="宋体" w:cs="宋体"/>
          <w:color w:val="000000"/>
          <w:sz w:val="28"/>
          <w:szCs w:val="28"/>
        </w:rPr>
        <w:t>1</w:t>
      </w:r>
      <w:r>
        <w:rPr>
          <w:rFonts w:hint="eastAsia" w:ascii="宋体" w:hAnsi="宋体" w:cs="宋体"/>
          <w:color w:val="000000"/>
          <w:sz w:val="28"/>
          <w:szCs w:val="28"/>
          <w:lang w:val="zh-CN"/>
        </w:rPr>
        <w:t>.中标通知</w:t>
      </w:r>
      <w:bookmarkEnd w:id="38"/>
    </w:p>
    <w:p w14:paraId="071AEFD0">
      <w:pPr>
        <w:spacing w:line="360" w:lineRule="auto"/>
        <w:ind w:firstLine="480"/>
        <w:rPr>
          <w:rFonts w:ascii="宋体" w:hAnsi="宋体" w:cs="宋体"/>
          <w:color w:val="000000"/>
        </w:rPr>
      </w:pPr>
      <w:r>
        <w:rPr>
          <w:rFonts w:hint="eastAsia" w:ascii="宋体" w:hAnsi="宋体" w:cs="宋体"/>
          <w:color w:val="000000"/>
        </w:rPr>
        <w:t>21.1采购中心自中标人确定之日起2个工作日内，在省级以上财政部门指定的媒体上公告中标结果。</w:t>
      </w:r>
    </w:p>
    <w:p w14:paraId="6597611F">
      <w:pPr>
        <w:spacing w:line="360" w:lineRule="auto"/>
        <w:ind w:firstLine="480"/>
        <w:rPr>
          <w:rFonts w:ascii="宋体" w:hAnsi="宋体" w:cs="宋体"/>
          <w:color w:val="000000"/>
        </w:rPr>
      </w:pPr>
      <w:r>
        <w:rPr>
          <w:rFonts w:hint="eastAsia" w:ascii="宋体" w:hAnsi="宋体" w:cs="宋体"/>
          <w:color w:val="000000"/>
        </w:rPr>
        <w:t>21.2 中标结果公告内容包括采购人及其委托的采购中心的名称、地址、联系方式，项目名称和项目编号，中标人名称、地址和中标金额，主要中标标的的名称、数量、单价、服务要求，中标公告期限以及评审专家名单。</w:t>
      </w:r>
    </w:p>
    <w:p w14:paraId="4A5D5A01">
      <w:pPr>
        <w:spacing w:line="360" w:lineRule="auto"/>
        <w:ind w:firstLine="480"/>
        <w:rPr>
          <w:rFonts w:ascii="宋体" w:hAnsi="宋体" w:cs="宋体"/>
          <w:color w:val="000000"/>
        </w:rPr>
      </w:pPr>
      <w:r>
        <w:rPr>
          <w:rFonts w:hint="eastAsia" w:ascii="宋体" w:hAnsi="宋体" w:cs="宋体"/>
          <w:color w:val="000000"/>
        </w:rPr>
        <w:t>21.3 中标公告期限为1个工作日。</w:t>
      </w:r>
    </w:p>
    <w:p w14:paraId="189222A0">
      <w:pPr>
        <w:spacing w:line="360" w:lineRule="auto"/>
        <w:ind w:firstLine="480"/>
        <w:rPr>
          <w:rFonts w:ascii="宋体" w:hAnsi="宋体" w:cs="宋体"/>
          <w:color w:val="000000"/>
        </w:rPr>
      </w:pPr>
      <w:r>
        <w:rPr>
          <w:rFonts w:hint="eastAsia" w:ascii="宋体" w:hAnsi="宋体" w:cs="宋体"/>
          <w:color w:val="000000"/>
        </w:rPr>
        <w:t>21.4 在公告中标结果的同时，</w:t>
      </w:r>
      <w:r>
        <w:rPr>
          <w:rFonts w:hint="eastAsia" w:ascii="宋体" w:hAnsi="宋体" w:cs="宋体"/>
          <w:color w:val="000000"/>
          <w:shd w:val="clear" w:color="auto" w:fill="FFFFFF"/>
        </w:rPr>
        <w:t>采购中心</w:t>
      </w:r>
      <w:r>
        <w:rPr>
          <w:rFonts w:hint="eastAsia" w:ascii="宋体" w:hAnsi="宋体" w:cs="宋体"/>
          <w:color w:val="000000"/>
        </w:rPr>
        <w:t>向中标人发出中标通知书；对投标无效的投标人，刚察县政府采购中心告知其投标无效的原因；采用综合评分法评审的，还告知未中标人本人的评审得分与排序。</w:t>
      </w:r>
    </w:p>
    <w:p w14:paraId="24062B22">
      <w:pPr>
        <w:spacing w:line="360" w:lineRule="auto"/>
        <w:ind w:firstLine="480"/>
        <w:rPr>
          <w:rFonts w:ascii="宋体" w:hAnsi="宋体" w:cs="宋体"/>
          <w:color w:val="000000"/>
        </w:rPr>
      </w:pPr>
      <w:r>
        <w:rPr>
          <w:rFonts w:hint="eastAsia" w:ascii="宋体" w:hAnsi="宋体" w:cs="宋体"/>
          <w:color w:val="000000"/>
        </w:rPr>
        <w:t>21.5 中标通知书发出后，采购人不得违法改变中标结果，中标人无正当理由不得放弃中标。</w:t>
      </w:r>
    </w:p>
    <w:p w14:paraId="1740A59D">
      <w:pPr>
        <w:pStyle w:val="235"/>
        <w:spacing w:before="0" w:after="0" w:line="360" w:lineRule="auto"/>
        <w:rPr>
          <w:rFonts w:ascii="宋体" w:hAnsi="宋体" w:cs="宋体"/>
          <w:color w:val="000000"/>
          <w:lang w:val="zh-CN"/>
        </w:rPr>
      </w:pPr>
      <w:bookmarkStart w:id="39" w:name="_Toc30121"/>
      <w:r>
        <w:rPr>
          <w:rFonts w:hint="eastAsia" w:ascii="宋体" w:hAnsi="宋体" w:cs="宋体"/>
          <w:color w:val="000000"/>
          <w:lang w:val="zh-CN"/>
        </w:rPr>
        <w:t>九、授予合同</w:t>
      </w:r>
      <w:bookmarkEnd w:id="39"/>
    </w:p>
    <w:p w14:paraId="5E43F0CE">
      <w:pPr>
        <w:pStyle w:val="235"/>
        <w:spacing w:before="0" w:after="0" w:line="360" w:lineRule="auto"/>
        <w:jc w:val="left"/>
        <w:rPr>
          <w:rFonts w:ascii="宋体" w:hAnsi="宋体" w:cs="宋体"/>
          <w:color w:val="000000"/>
          <w:sz w:val="24"/>
        </w:rPr>
      </w:pPr>
      <w:bookmarkStart w:id="40" w:name="_Toc5192"/>
      <w:r>
        <w:rPr>
          <w:rFonts w:hint="eastAsia" w:ascii="宋体" w:hAnsi="宋体" w:cs="宋体"/>
          <w:color w:val="000000"/>
          <w:sz w:val="28"/>
          <w:szCs w:val="28"/>
          <w:lang w:val="zh-CN"/>
        </w:rPr>
        <w:t>2</w:t>
      </w:r>
      <w:r>
        <w:rPr>
          <w:rFonts w:hint="eastAsia" w:ascii="宋体" w:hAnsi="宋体" w:cs="宋体"/>
          <w:color w:val="000000"/>
          <w:sz w:val="28"/>
          <w:szCs w:val="28"/>
        </w:rPr>
        <w:t>2</w:t>
      </w:r>
      <w:r>
        <w:rPr>
          <w:rFonts w:hint="eastAsia" w:ascii="宋体" w:hAnsi="宋体" w:cs="宋体"/>
          <w:color w:val="000000"/>
          <w:sz w:val="28"/>
          <w:szCs w:val="28"/>
          <w:lang w:val="zh-CN"/>
        </w:rPr>
        <w:t>.签订合同</w:t>
      </w:r>
      <w:bookmarkEnd w:id="40"/>
    </w:p>
    <w:p w14:paraId="7C9A82CF">
      <w:pPr>
        <w:spacing w:line="360" w:lineRule="auto"/>
        <w:ind w:firstLine="480"/>
        <w:rPr>
          <w:rFonts w:ascii="宋体" w:hAnsi="宋体" w:cs="宋体"/>
          <w:color w:val="000000"/>
        </w:rPr>
      </w:pPr>
      <w:r>
        <w:rPr>
          <w:rFonts w:hint="eastAsia" w:ascii="宋体" w:hAnsi="宋体" w:cs="宋体"/>
          <w:color w:val="000000"/>
          <w:lang w:val="zh-CN"/>
        </w:rPr>
        <w:t>2</w:t>
      </w:r>
      <w:r>
        <w:rPr>
          <w:rFonts w:hint="eastAsia" w:ascii="宋体" w:hAnsi="宋体" w:cs="宋体"/>
          <w:color w:val="000000"/>
        </w:rPr>
        <w:t>2</w:t>
      </w:r>
      <w:r>
        <w:rPr>
          <w:rFonts w:hint="eastAsia" w:ascii="宋体" w:hAnsi="宋体" w:cs="宋体"/>
          <w:color w:val="000000"/>
          <w:lang w:val="zh-CN"/>
        </w:rPr>
        <w:t>.1</w:t>
      </w:r>
      <w:r>
        <w:rPr>
          <w:rFonts w:hint="eastAsia" w:ascii="宋体" w:hAnsi="宋体" w:cs="宋体"/>
          <w:color w:val="000000"/>
        </w:rPr>
        <w:t xml:space="preserve"> 采购人自中标通知书发出之日起30日内，按照招标文件和中标人投标文件的规定，与中标人签订书面合同。所签订的合同不得对招标文件确定的事项和中标人投标文件作实质性修改。</w:t>
      </w:r>
    </w:p>
    <w:p w14:paraId="2740A8BD">
      <w:pPr>
        <w:spacing w:line="360" w:lineRule="auto"/>
        <w:ind w:firstLine="480"/>
        <w:rPr>
          <w:rFonts w:ascii="宋体" w:hAnsi="宋体" w:cs="宋体"/>
          <w:color w:val="000000"/>
        </w:rPr>
      </w:pPr>
      <w:r>
        <w:rPr>
          <w:rFonts w:hint="eastAsia" w:ascii="宋体" w:hAnsi="宋体" w:cs="宋体"/>
          <w:color w:val="000000"/>
        </w:rPr>
        <w:t>采购人不得向中标人提出任何不合理的要求作为签订合同的条件。</w:t>
      </w:r>
    </w:p>
    <w:p w14:paraId="50A2EE6F">
      <w:pPr>
        <w:spacing w:line="360" w:lineRule="auto"/>
        <w:ind w:firstLine="480"/>
        <w:rPr>
          <w:rFonts w:ascii="宋体" w:hAnsi="宋体" w:cs="宋体"/>
          <w:color w:val="000000"/>
          <w:lang w:val="zh-CN"/>
        </w:rPr>
      </w:pPr>
      <w:r>
        <w:rPr>
          <w:rFonts w:hint="eastAsia" w:ascii="宋体" w:hAnsi="宋体" w:cs="宋体"/>
          <w:color w:val="000000"/>
          <w:lang w:val="zh-CN"/>
        </w:rPr>
        <w:t>2</w:t>
      </w:r>
      <w:r>
        <w:rPr>
          <w:rFonts w:hint="eastAsia" w:ascii="宋体" w:hAnsi="宋体" w:cs="宋体"/>
          <w:color w:val="000000"/>
        </w:rPr>
        <w:t>2</w:t>
      </w:r>
      <w:r>
        <w:rPr>
          <w:rFonts w:hint="eastAsia" w:ascii="宋体" w:hAnsi="宋体" w:cs="宋体"/>
          <w:color w:val="000000"/>
          <w:lang w:val="zh-CN"/>
        </w:rPr>
        <w:t>.2 签订合同时，可将中标人的投标保证金转为中标人的履约保证金或中标人以支票、汇票、本票等非现金形式向采购人指定的账户交纳履约保证金。履约保证金的数额由采购人确定，但不得超出采购合同总金额的10%。</w:t>
      </w:r>
    </w:p>
    <w:p w14:paraId="734B0BBD">
      <w:pPr>
        <w:spacing w:line="360" w:lineRule="auto"/>
        <w:ind w:firstLine="480"/>
        <w:rPr>
          <w:rFonts w:ascii="宋体" w:hAnsi="宋体" w:cs="宋体"/>
          <w:color w:val="000000"/>
          <w:lang w:val="zh-CN"/>
        </w:rPr>
      </w:pPr>
      <w:r>
        <w:rPr>
          <w:rFonts w:hint="eastAsia" w:ascii="宋体" w:hAnsi="宋体" w:cs="宋体"/>
          <w:color w:val="000000"/>
          <w:lang w:val="zh-CN"/>
        </w:rPr>
        <w:t>2</w:t>
      </w:r>
      <w:r>
        <w:rPr>
          <w:rFonts w:hint="eastAsia" w:ascii="宋体" w:hAnsi="宋体" w:cs="宋体"/>
          <w:color w:val="000000"/>
        </w:rPr>
        <w:t>2</w:t>
      </w:r>
      <w:r>
        <w:rPr>
          <w:rFonts w:hint="eastAsia" w:ascii="宋体" w:hAnsi="宋体" w:cs="宋体"/>
          <w:color w:val="000000"/>
          <w:lang w:val="zh-CN"/>
        </w:rPr>
        <w:t>.3</w:t>
      </w:r>
      <w:r>
        <w:rPr>
          <w:rFonts w:hint="eastAsia" w:ascii="宋体" w:hAnsi="宋体" w:cs="宋体"/>
          <w:color w:val="000000"/>
        </w:rPr>
        <w:t xml:space="preserve"> 中标人拒绝与采购人签订合同的</w:t>
      </w:r>
      <w:r>
        <w:rPr>
          <w:rFonts w:hint="eastAsia" w:ascii="宋体" w:hAnsi="宋体" w:cs="宋体"/>
          <w:color w:val="000000"/>
          <w:lang w:val="zh-CN"/>
        </w:rPr>
        <w:t>，采购人可以按照评标报告推荐的中标候选人名单排序，确定下一候选人为中标人，也可重新开展政府采购活动。</w:t>
      </w:r>
    </w:p>
    <w:p w14:paraId="41FA29EE">
      <w:pPr>
        <w:spacing w:line="360" w:lineRule="auto"/>
        <w:ind w:firstLine="480"/>
        <w:rPr>
          <w:rFonts w:ascii="宋体" w:hAnsi="宋体" w:cs="宋体"/>
          <w:color w:val="000000"/>
          <w:lang w:val="zh-CN"/>
        </w:rPr>
      </w:pPr>
      <w:r>
        <w:rPr>
          <w:rFonts w:hint="eastAsia" w:ascii="宋体" w:hAnsi="宋体" w:cs="宋体"/>
          <w:color w:val="000000"/>
          <w:lang w:val="zh-CN"/>
        </w:rPr>
        <w:t>2</w:t>
      </w:r>
      <w:r>
        <w:rPr>
          <w:rFonts w:hint="eastAsia" w:ascii="宋体" w:hAnsi="宋体" w:cs="宋体"/>
          <w:color w:val="000000"/>
        </w:rPr>
        <w:t>2</w:t>
      </w:r>
      <w:r>
        <w:rPr>
          <w:rFonts w:hint="eastAsia" w:ascii="宋体" w:hAnsi="宋体" w:cs="宋体"/>
          <w:color w:val="000000"/>
          <w:lang w:val="zh-CN"/>
        </w:rPr>
        <w:t>.4</w:t>
      </w:r>
      <w:r>
        <w:rPr>
          <w:rFonts w:hint="eastAsia" w:ascii="宋体" w:hAnsi="宋体" w:cs="宋体"/>
          <w:color w:val="000000"/>
        </w:rPr>
        <w:t xml:space="preserve"> </w:t>
      </w:r>
      <w:r>
        <w:rPr>
          <w:rFonts w:hint="eastAsia" w:ascii="宋体" w:hAnsi="宋体" w:cs="宋体"/>
          <w:color w:val="000000"/>
          <w:lang w:val="zh-CN"/>
        </w:rPr>
        <w:t>招标文件、中标人的投标文件、《中标通知书》及其澄清、说明文件、承诺等，均为签订采购合同的依据，作为采购合同的组成部分。</w:t>
      </w:r>
    </w:p>
    <w:p w14:paraId="4FBE4560">
      <w:pPr>
        <w:spacing w:line="360" w:lineRule="auto"/>
        <w:ind w:firstLine="480"/>
        <w:rPr>
          <w:rFonts w:ascii="宋体" w:hAnsi="宋体" w:cs="宋体"/>
          <w:color w:val="000000"/>
        </w:rPr>
      </w:pPr>
      <w:r>
        <w:rPr>
          <w:rFonts w:hint="eastAsia" w:ascii="宋体" w:hAnsi="宋体" w:cs="宋体"/>
          <w:color w:val="000000"/>
        </w:rPr>
        <w:t xml:space="preserve">22.5 </w:t>
      </w:r>
      <w:r>
        <w:rPr>
          <w:rFonts w:hint="eastAsia" w:ascii="宋体" w:hAnsi="宋体" w:cs="宋体"/>
          <w:color w:val="000000"/>
          <w:lang w:val="zh-CN"/>
        </w:rPr>
        <w:t>采购合同签订之日起</w:t>
      </w:r>
      <w:r>
        <w:rPr>
          <w:rFonts w:hint="eastAsia" w:ascii="宋体" w:hAnsi="宋体" w:cs="宋体"/>
          <w:color w:val="000000"/>
        </w:rPr>
        <w:t>2</w:t>
      </w:r>
      <w:r>
        <w:rPr>
          <w:rFonts w:hint="eastAsia" w:ascii="宋体" w:hAnsi="宋体" w:cs="宋体"/>
          <w:color w:val="000000"/>
          <w:lang w:val="zh-CN"/>
        </w:rPr>
        <w:t>个工作日内，由采购人将采购合同在青海政府采购网上公告，但采购合同中涉及国家秘密、商业秘密的内容除外。</w:t>
      </w:r>
    </w:p>
    <w:p w14:paraId="696BBA96">
      <w:pPr>
        <w:spacing w:line="360" w:lineRule="auto"/>
        <w:ind w:firstLine="480"/>
        <w:rPr>
          <w:rFonts w:ascii="宋体" w:hAnsi="宋体" w:cs="宋体"/>
          <w:color w:val="000000"/>
        </w:rPr>
      </w:pPr>
      <w:r>
        <w:rPr>
          <w:rFonts w:hint="eastAsia" w:ascii="宋体" w:hAnsi="宋体" w:cs="宋体"/>
          <w:color w:val="000000"/>
        </w:rPr>
        <w:t>22.6 采购人与中标人根据合同的约定依法履行合同义务。政府采购合同的履行、违约责任和解决争议的方法等适用《中华人民共和国民法典》。</w:t>
      </w:r>
    </w:p>
    <w:p w14:paraId="018BEEDC">
      <w:pPr>
        <w:spacing w:line="360" w:lineRule="auto"/>
        <w:ind w:firstLine="480"/>
        <w:rPr>
          <w:rFonts w:ascii="宋体" w:hAnsi="宋体" w:cs="宋体"/>
          <w:color w:val="000000"/>
        </w:rPr>
      </w:pPr>
      <w:r>
        <w:rPr>
          <w:rFonts w:hint="eastAsia" w:ascii="宋体" w:hAnsi="宋体" w:cs="宋体"/>
          <w:color w:val="000000"/>
        </w:rPr>
        <w:t>22.7</w:t>
      </w:r>
      <w:r>
        <w:rPr>
          <w:rFonts w:hint="eastAsia"/>
          <w:color w:val="000000"/>
        </w:rPr>
        <w:t>采购中心按照政府采购合同规定的技术、服务、安全标准组织对供应商履约情况进行验收，并出具验收书。验收书包括每一项技术、服务、安全标准的履约情况。</w:t>
      </w:r>
    </w:p>
    <w:p w14:paraId="1B7780B0">
      <w:pPr>
        <w:spacing w:line="360" w:lineRule="auto"/>
        <w:ind w:firstLine="480"/>
        <w:rPr>
          <w:rFonts w:ascii="宋体" w:hAnsi="宋体" w:cs="宋体"/>
          <w:color w:val="000000"/>
        </w:rPr>
      </w:pPr>
      <w:r>
        <w:rPr>
          <w:rFonts w:hint="eastAsia" w:ascii="宋体" w:hAnsi="宋体" w:cs="宋体"/>
          <w:color w:val="000000"/>
        </w:rPr>
        <w:t>22.8</w:t>
      </w:r>
      <w:r>
        <w:rPr>
          <w:rFonts w:ascii="宋体" w:hAnsi="宋体" w:cs="宋体"/>
          <w:color w:val="000000"/>
        </w:rPr>
        <w:t xml:space="preserve"> </w:t>
      </w:r>
      <w:r>
        <w:rPr>
          <w:rFonts w:hint="eastAsia" w:ascii="宋体" w:hAnsi="宋体" w:cs="宋体"/>
          <w:color w:val="000000"/>
        </w:rPr>
        <w:t>采购人可以邀请参加本项目的其他投标人或者第三方机构参与验收。参与验收的投标人或者第三方机构的意见作为验收书的参考资料一并存档。</w:t>
      </w:r>
    </w:p>
    <w:p w14:paraId="7E624F52">
      <w:pPr>
        <w:spacing w:line="360" w:lineRule="auto"/>
        <w:ind w:firstLine="480"/>
        <w:rPr>
          <w:rFonts w:ascii="宋体" w:hAnsi="宋体" w:cs="宋体"/>
          <w:color w:val="000000"/>
        </w:rPr>
      </w:pPr>
      <w:r>
        <w:rPr>
          <w:rFonts w:hint="eastAsia" w:ascii="宋体" w:hAnsi="宋体" w:cs="宋体"/>
          <w:color w:val="000000"/>
        </w:rPr>
        <w:t>22.9</w:t>
      </w:r>
      <w:r>
        <w:rPr>
          <w:rFonts w:ascii="宋体" w:hAnsi="宋体" w:cs="宋体"/>
          <w:color w:val="000000"/>
        </w:rPr>
        <w:t xml:space="preserve"> </w:t>
      </w:r>
      <w:r>
        <w:rPr>
          <w:rFonts w:hint="eastAsia" w:ascii="宋体" w:hAnsi="宋体" w:cs="宋体"/>
          <w:color w:val="000000"/>
        </w:rPr>
        <w:t>采购人加强对中标人的履约管理，并按照采购合同约定，及时向中标人支付采购资金。对于中标人违反采购合同约定的行为，采购人及时处理，依法追究其违约责任。</w:t>
      </w:r>
    </w:p>
    <w:p w14:paraId="36F8FBFA">
      <w:pPr>
        <w:spacing w:line="360" w:lineRule="auto"/>
        <w:ind w:firstLine="480"/>
        <w:rPr>
          <w:rFonts w:ascii="宋体" w:hAnsi="宋体" w:cs="宋体"/>
          <w:color w:val="000000"/>
        </w:rPr>
      </w:pPr>
      <w:r>
        <w:rPr>
          <w:rFonts w:hint="eastAsia" w:ascii="宋体" w:hAnsi="宋体" w:cs="宋体"/>
          <w:color w:val="000000"/>
        </w:rPr>
        <w:t>22.10 采购人、采购中心建立真实完整的招标采购档案，妥善保存每项采购活动的采购文件。</w:t>
      </w:r>
    </w:p>
    <w:p w14:paraId="2E576CDA">
      <w:pPr>
        <w:pStyle w:val="235"/>
        <w:spacing w:before="0" w:after="0" w:line="360" w:lineRule="auto"/>
        <w:rPr>
          <w:rFonts w:ascii="宋体" w:hAnsi="宋体" w:cs="宋体"/>
          <w:color w:val="000000"/>
          <w:lang w:val="zh-CN"/>
        </w:rPr>
      </w:pPr>
    </w:p>
    <w:p w14:paraId="30925F43">
      <w:pPr>
        <w:pStyle w:val="235"/>
        <w:spacing w:before="0" w:after="0" w:line="360" w:lineRule="auto"/>
        <w:rPr>
          <w:rFonts w:ascii="宋体" w:hAnsi="宋体" w:cs="宋体"/>
          <w:color w:val="000000"/>
          <w:lang w:val="zh-CN"/>
        </w:rPr>
      </w:pPr>
      <w:bookmarkStart w:id="41" w:name="_Toc10599"/>
      <w:r>
        <w:rPr>
          <w:rFonts w:hint="eastAsia" w:ascii="宋体" w:hAnsi="宋体" w:cs="宋体"/>
          <w:color w:val="000000"/>
          <w:lang w:val="zh-CN"/>
        </w:rPr>
        <w:t>十、其他</w:t>
      </w:r>
      <w:bookmarkEnd w:id="41"/>
    </w:p>
    <w:p w14:paraId="24DD7E8B">
      <w:pPr>
        <w:pStyle w:val="235"/>
        <w:spacing w:before="0" w:after="0" w:line="360" w:lineRule="auto"/>
        <w:jc w:val="left"/>
        <w:rPr>
          <w:rFonts w:ascii="宋体" w:hAnsi="宋体" w:cs="宋体"/>
          <w:color w:val="000000"/>
          <w:sz w:val="28"/>
          <w:szCs w:val="28"/>
        </w:rPr>
      </w:pPr>
      <w:bookmarkStart w:id="42" w:name="_Toc25921"/>
      <w:r>
        <w:rPr>
          <w:rFonts w:hint="eastAsia" w:ascii="宋体" w:hAnsi="宋体" w:cs="宋体"/>
          <w:color w:val="000000"/>
          <w:sz w:val="28"/>
          <w:szCs w:val="28"/>
        </w:rPr>
        <w:t>23. 串通投标的情形</w:t>
      </w:r>
      <w:bookmarkEnd w:id="42"/>
    </w:p>
    <w:p w14:paraId="14418869">
      <w:pPr>
        <w:spacing w:line="360" w:lineRule="auto"/>
        <w:ind w:firstLine="480"/>
        <w:rPr>
          <w:rFonts w:ascii="宋体" w:hAnsi="宋体" w:cs="宋体"/>
          <w:color w:val="000000"/>
        </w:rPr>
      </w:pPr>
      <w:r>
        <w:rPr>
          <w:rFonts w:hint="eastAsia" w:ascii="宋体" w:hAnsi="宋体" w:cs="宋体"/>
          <w:color w:val="000000"/>
        </w:rPr>
        <w:t>23.1投标人遵循公平竞争的原则，不得恶意串通，不得妨碍其他投标人的竞争行为，不得损害采购人或者其他投标人的合法权益。在评标过程中发现投标人有上述情形的，评标委员会认定其投标无效，并书面报告本级财政部门。</w:t>
      </w:r>
    </w:p>
    <w:p w14:paraId="1EB0A833">
      <w:pPr>
        <w:spacing w:line="360" w:lineRule="auto"/>
        <w:ind w:firstLine="480"/>
        <w:rPr>
          <w:rFonts w:ascii="宋体" w:hAnsi="宋体" w:cs="宋体"/>
          <w:color w:val="000000"/>
        </w:rPr>
      </w:pPr>
      <w:r>
        <w:rPr>
          <w:rFonts w:hint="eastAsia" w:ascii="宋体" w:hAnsi="宋体" w:cs="宋体"/>
          <w:color w:val="000000"/>
        </w:rPr>
        <w:t>23.2</w:t>
      </w:r>
      <w:r>
        <w:rPr>
          <w:rFonts w:ascii="宋体" w:hAnsi="宋体" w:cs="宋体"/>
          <w:color w:val="000000"/>
        </w:rPr>
        <w:t xml:space="preserve"> </w:t>
      </w:r>
      <w:r>
        <w:rPr>
          <w:rFonts w:hint="eastAsia" w:ascii="宋体" w:hAnsi="宋体" w:cs="宋体"/>
          <w:color w:val="000000"/>
        </w:rPr>
        <w:t>有下列情形之一的，视为投标人串通投标，其投标无效：</w:t>
      </w:r>
    </w:p>
    <w:p w14:paraId="5B93A562">
      <w:pPr>
        <w:spacing w:line="360" w:lineRule="auto"/>
        <w:ind w:firstLine="480"/>
        <w:rPr>
          <w:rFonts w:ascii="宋体" w:hAnsi="宋体" w:cs="宋体"/>
          <w:color w:val="000000"/>
        </w:rPr>
      </w:pPr>
      <w:r>
        <w:rPr>
          <w:rFonts w:hint="eastAsia" w:ascii="宋体" w:hAnsi="宋体" w:cs="宋体"/>
          <w:color w:val="000000"/>
        </w:rPr>
        <w:t>（1）不同投标人的投标文件由同一单位或者个人编制；</w:t>
      </w:r>
    </w:p>
    <w:p w14:paraId="4FFFE1C8">
      <w:pPr>
        <w:spacing w:line="360" w:lineRule="auto"/>
        <w:ind w:firstLine="480"/>
        <w:rPr>
          <w:rFonts w:ascii="宋体" w:hAnsi="宋体" w:cs="宋体"/>
          <w:color w:val="000000"/>
        </w:rPr>
      </w:pPr>
      <w:r>
        <w:rPr>
          <w:rFonts w:hint="eastAsia" w:ascii="宋体" w:hAnsi="宋体" w:cs="宋体"/>
          <w:color w:val="000000"/>
        </w:rPr>
        <w:t>（2）不同投标人委托同一单位或者个人办理投标事宜；</w:t>
      </w:r>
    </w:p>
    <w:p w14:paraId="561BF635">
      <w:pPr>
        <w:spacing w:line="360" w:lineRule="auto"/>
        <w:ind w:firstLine="480"/>
        <w:rPr>
          <w:rFonts w:ascii="宋体" w:hAnsi="宋体" w:cs="宋体"/>
          <w:color w:val="000000"/>
        </w:rPr>
      </w:pPr>
      <w:r>
        <w:rPr>
          <w:rFonts w:hint="eastAsia" w:ascii="宋体" w:hAnsi="宋体" w:cs="宋体"/>
          <w:color w:val="000000"/>
        </w:rPr>
        <w:t>（3）不同投标人的投标文件载明的项目管理成员或者联系人员为同一人；</w:t>
      </w:r>
    </w:p>
    <w:p w14:paraId="0DF3B38E">
      <w:pPr>
        <w:spacing w:line="360" w:lineRule="auto"/>
        <w:ind w:firstLine="480"/>
        <w:rPr>
          <w:rFonts w:ascii="宋体" w:hAnsi="宋体" w:cs="宋体"/>
          <w:color w:val="000000"/>
        </w:rPr>
      </w:pPr>
      <w:r>
        <w:rPr>
          <w:rFonts w:hint="eastAsia" w:ascii="宋体" w:hAnsi="宋体" w:cs="宋体"/>
          <w:color w:val="000000"/>
        </w:rPr>
        <w:t>（4）不同投标人的投标文件异常一致或者投标报价呈规律性差异；</w:t>
      </w:r>
    </w:p>
    <w:p w14:paraId="696F5D2D">
      <w:pPr>
        <w:spacing w:line="360" w:lineRule="auto"/>
        <w:ind w:firstLine="480"/>
        <w:rPr>
          <w:rFonts w:ascii="宋体" w:hAnsi="宋体" w:cs="宋体"/>
          <w:color w:val="000000"/>
        </w:rPr>
      </w:pPr>
      <w:r>
        <w:rPr>
          <w:rFonts w:hint="eastAsia" w:ascii="宋体" w:hAnsi="宋体" w:cs="宋体"/>
          <w:color w:val="000000"/>
        </w:rPr>
        <w:t>（5）不同投标人的投标文件相互混装；</w:t>
      </w:r>
    </w:p>
    <w:p w14:paraId="2DFA762D">
      <w:pPr>
        <w:spacing w:line="360" w:lineRule="auto"/>
        <w:ind w:firstLine="480"/>
        <w:rPr>
          <w:rFonts w:ascii="宋体" w:hAnsi="宋体" w:cs="宋体"/>
          <w:color w:val="000000"/>
        </w:rPr>
      </w:pPr>
      <w:r>
        <w:rPr>
          <w:rFonts w:hint="eastAsia" w:ascii="宋体" w:hAnsi="宋体" w:cs="宋体"/>
          <w:color w:val="000000"/>
        </w:rPr>
        <w:t>（6）不同投标人的投标保证金从同一单位或者个人的账户转出。</w:t>
      </w:r>
    </w:p>
    <w:p w14:paraId="4B42107A">
      <w:pPr>
        <w:pStyle w:val="235"/>
        <w:spacing w:before="0" w:after="0" w:line="360" w:lineRule="auto"/>
        <w:jc w:val="left"/>
        <w:rPr>
          <w:rFonts w:ascii="宋体" w:hAnsi="宋体" w:cs="宋体"/>
          <w:color w:val="000000"/>
          <w:sz w:val="28"/>
          <w:szCs w:val="28"/>
        </w:rPr>
      </w:pPr>
      <w:bookmarkStart w:id="43" w:name="_Toc5503"/>
      <w:r>
        <w:rPr>
          <w:rFonts w:hint="eastAsia" w:ascii="宋体" w:hAnsi="宋体" w:cs="宋体"/>
          <w:color w:val="000000"/>
          <w:sz w:val="28"/>
          <w:szCs w:val="28"/>
        </w:rPr>
        <w:t>24. 废标</w:t>
      </w:r>
      <w:bookmarkEnd w:id="43"/>
    </w:p>
    <w:p w14:paraId="43758A51">
      <w:pPr>
        <w:spacing w:line="360" w:lineRule="auto"/>
        <w:ind w:firstLine="480"/>
        <w:rPr>
          <w:rFonts w:ascii="宋体" w:hAnsi="宋体" w:cs="宋体"/>
          <w:color w:val="000000"/>
        </w:rPr>
      </w:pPr>
      <w:r>
        <w:rPr>
          <w:rFonts w:hint="eastAsia" w:ascii="宋体" w:hAnsi="宋体" w:cs="宋体"/>
          <w:color w:val="000000"/>
        </w:rPr>
        <w:t>24.1</w:t>
      </w:r>
      <w:r>
        <w:rPr>
          <w:rFonts w:ascii="宋体" w:hAnsi="宋体" w:cs="宋体"/>
          <w:color w:val="000000"/>
        </w:rPr>
        <w:t xml:space="preserve"> </w:t>
      </w:r>
      <w:r>
        <w:rPr>
          <w:rFonts w:hint="eastAsia" w:ascii="宋体" w:hAnsi="宋体" w:cs="宋体"/>
          <w:color w:val="000000"/>
        </w:rPr>
        <w:t>在招标采购中，出现下列情形之一的，应予废标：</w:t>
      </w:r>
    </w:p>
    <w:p w14:paraId="68A9AB53">
      <w:pPr>
        <w:spacing w:line="360" w:lineRule="auto"/>
        <w:ind w:firstLine="480"/>
        <w:rPr>
          <w:rFonts w:ascii="宋体" w:hAnsi="宋体" w:cs="宋体"/>
          <w:color w:val="000000"/>
        </w:rPr>
      </w:pPr>
      <w:r>
        <w:rPr>
          <w:rFonts w:hint="eastAsia" w:ascii="宋体" w:hAnsi="宋体" w:cs="宋体"/>
          <w:color w:val="000000"/>
        </w:rPr>
        <w:t>（1）符合专业条件的投标人或者对招标文件作实质性响应的投标人不足三家的。</w:t>
      </w:r>
    </w:p>
    <w:p w14:paraId="34CFD9CD">
      <w:pPr>
        <w:spacing w:line="360" w:lineRule="auto"/>
        <w:ind w:firstLine="480"/>
        <w:rPr>
          <w:rFonts w:ascii="宋体" w:hAnsi="宋体" w:cs="宋体"/>
          <w:color w:val="000000"/>
        </w:rPr>
      </w:pPr>
      <w:r>
        <w:rPr>
          <w:rFonts w:hint="eastAsia" w:ascii="宋体" w:hAnsi="宋体" w:cs="宋体"/>
          <w:color w:val="000000"/>
        </w:rPr>
        <w:t>（2）出现影响采购公正的违法、违规行为的。</w:t>
      </w:r>
    </w:p>
    <w:p w14:paraId="557DE7D8">
      <w:pPr>
        <w:spacing w:line="360" w:lineRule="auto"/>
        <w:ind w:firstLine="480"/>
        <w:rPr>
          <w:rFonts w:ascii="宋体" w:hAnsi="宋体" w:cs="宋体"/>
          <w:color w:val="000000"/>
        </w:rPr>
      </w:pPr>
      <w:r>
        <w:rPr>
          <w:rFonts w:hint="eastAsia" w:ascii="宋体" w:hAnsi="宋体" w:cs="宋体"/>
          <w:color w:val="000000"/>
        </w:rPr>
        <w:t>（3）投标人的报价均超出采购预算，采购人不能支付的。</w:t>
      </w:r>
    </w:p>
    <w:p w14:paraId="26993CBB">
      <w:pPr>
        <w:spacing w:line="360" w:lineRule="auto"/>
        <w:ind w:firstLine="480"/>
        <w:rPr>
          <w:rFonts w:ascii="宋体" w:hAnsi="宋体" w:cs="宋体"/>
          <w:color w:val="000000"/>
        </w:rPr>
      </w:pPr>
      <w:r>
        <w:rPr>
          <w:rFonts w:hint="eastAsia" w:ascii="宋体" w:hAnsi="宋体" w:cs="宋体"/>
          <w:color w:val="000000"/>
        </w:rPr>
        <w:t>（4）因重大变故，采购任务取消的。</w:t>
      </w:r>
    </w:p>
    <w:p w14:paraId="1CA3E60E">
      <w:pPr>
        <w:spacing w:line="360" w:lineRule="auto"/>
        <w:ind w:firstLine="480"/>
        <w:rPr>
          <w:rFonts w:ascii="宋体" w:hAnsi="宋体" w:cs="宋体"/>
          <w:color w:val="000000"/>
        </w:rPr>
      </w:pPr>
      <w:r>
        <w:rPr>
          <w:rFonts w:hint="eastAsia" w:ascii="宋体" w:hAnsi="宋体" w:cs="宋体"/>
          <w:color w:val="000000"/>
        </w:rPr>
        <w:t>废标后，由刚察县政府采购中心发布废标公告。</w:t>
      </w:r>
    </w:p>
    <w:p w14:paraId="0A8DB692">
      <w:pPr>
        <w:spacing w:line="360" w:lineRule="auto"/>
        <w:ind w:firstLine="480"/>
        <w:rPr>
          <w:rFonts w:ascii="宋体" w:hAnsi="宋体" w:cs="宋体"/>
          <w:color w:val="000000"/>
        </w:rPr>
      </w:pPr>
      <w:r>
        <w:rPr>
          <w:rFonts w:ascii="宋体" w:hAnsi="宋体" w:cs="宋体"/>
          <w:color w:val="000000"/>
        </w:rPr>
        <w:t>2</w:t>
      </w:r>
      <w:r>
        <w:rPr>
          <w:rFonts w:hint="eastAsia" w:ascii="宋体" w:hAnsi="宋体" w:cs="宋体"/>
          <w:color w:val="000000"/>
        </w:rPr>
        <w:t>4</w:t>
      </w:r>
      <w:r>
        <w:rPr>
          <w:rFonts w:ascii="宋体" w:hAnsi="宋体" w:cs="宋体"/>
          <w:color w:val="000000"/>
        </w:rPr>
        <w:t xml:space="preserve">.2 </w:t>
      </w:r>
      <w:r>
        <w:rPr>
          <w:rFonts w:hint="eastAsia" w:ascii="宋体" w:hAnsi="宋体" w:cs="宋体"/>
          <w:color w:val="000000"/>
        </w:rPr>
        <w:t>公开招标数额标准以上的采购项目，投标截止后投标人不足3家或者通过资格审查或符合性审查的投标人不足3家的，除采购任务取消情形外，按照以下方式处理：</w:t>
      </w:r>
    </w:p>
    <w:p w14:paraId="3282F809">
      <w:pPr>
        <w:spacing w:line="360" w:lineRule="auto"/>
        <w:ind w:firstLine="480"/>
        <w:rPr>
          <w:rFonts w:ascii="宋体" w:hAnsi="宋体" w:cs="宋体"/>
          <w:color w:val="000000"/>
        </w:rPr>
      </w:pPr>
      <w:r>
        <w:rPr>
          <w:rFonts w:hint="eastAsia" w:ascii="宋体" w:hAnsi="宋体" w:cs="宋体"/>
          <w:color w:val="000000"/>
        </w:rPr>
        <w:t>（1）招标文件存在不合理条款或者招标程序不符合规定的，采购人、采购中心改正后依法重新招标；</w:t>
      </w:r>
    </w:p>
    <w:p w14:paraId="76A8B882">
      <w:pPr>
        <w:spacing w:line="360" w:lineRule="auto"/>
        <w:ind w:firstLine="480"/>
        <w:rPr>
          <w:rFonts w:ascii="宋体" w:hAnsi="宋体" w:cs="宋体"/>
          <w:color w:val="000000"/>
        </w:rPr>
      </w:pPr>
      <w:r>
        <w:rPr>
          <w:rFonts w:hint="eastAsia" w:ascii="宋体" w:hAnsi="宋体" w:cs="宋体"/>
          <w:color w:val="000000"/>
        </w:rPr>
        <w:t>（2）招标文件没有不合理条款、招标程序符合规定，需要采用其他采购方式采购的，采购人依法报财政部门批准。</w:t>
      </w:r>
    </w:p>
    <w:p w14:paraId="071A94F6">
      <w:pPr>
        <w:spacing w:line="360" w:lineRule="auto"/>
        <w:ind w:firstLine="480"/>
        <w:jc w:val="left"/>
        <w:rPr>
          <w:rFonts w:ascii="宋体" w:hAnsi="宋体" w:cs="宋体"/>
          <w:color w:val="000000"/>
          <w:spacing w:val="-20"/>
        </w:rPr>
      </w:pPr>
      <w:r>
        <w:rPr>
          <w:rFonts w:hint="eastAsia" w:ascii="宋体" w:hAnsi="宋体" w:cs="宋体"/>
          <w:color w:val="000000"/>
          <w:spacing w:val="-20"/>
          <w:lang w:val="zh-CN"/>
        </w:rPr>
        <w:t>其他未尽事宜，按照《中华人民共和国政府采购法》、《中华人民共和国政府采购法实施条例》、《中华人民共和国</w:t>
      </w:r>
      <w:r>
        <w:rPr>
          <w:rFonts w:hint="eastAsia" w:ascii="宋体" w:hAnsi="宋体" w:cs="宋体"/>
          <w:color w:val="000000"/>
          <w:spacing w:val="-20"/>
        </w:rPr>
        <w:t>民法典</w:t>
      </w:r>
      <w:r>
        <w:rPr>
          <w:rFonts w:hint="eastAsia" w:ascii="宋体" w:hAnsi="宋体" w:cs="宋体"/>
          <w:color w:val="000000"/>
          <w:spacing w:val="-20"/>
          <w:lang w:val="zh-CN"/>
        </w:rPr>
        <w:t>》等法律法规的有关条款执行。</w:t>
      </w:r>
    </w:p>
    <w:p w14:paraId="6E4E3919">
      <w:pPr>
        <w:pStyle w:val="235"/>
        <w:spacing w:before="0" w:after="0" w:line="360" w:lineRule="auto"/>
        <w:rPr>
          <w:color w:val="000000"/>
          <w:sz w:val="32"/>
        </w:rPr>
      </w:pPr>
      <w:r>
        <w:rPr>
          <w:rFonts w:hint="eastAsia" w:ascii="宋体" w:hAnsi="宋体" w:cs="宋体"/>
          <w:color w:val="000000"/>
          <w:szCs w:val="36"/>
          <w:lang w:val="zh-CN"/>
        </w:rPr>
        <w:br w:type="page" w:clear="all"/>
      </w:r>
      <w:bookmarkStart w:id="44" w:name="_Toc6418"/>
      <w:r>
        <w:rPr>
          <w:rFonts w:hint="eastAsia" w:ascii="宋体" w:hAnsi="宋体" w:cs="宋体"/>
          <w:color w:val="000000"/>
          <w:szCs w:val="36"/>
          <w:lang w:val="zh-CN"/>
        </w:rPr>
        <w:t xml:space="preserve">第三部分 </w:t>
      </w:r>
      <w:r>
        <w:rPr>
          <w:rFonts w:hint="eastAsia" w:ascii="宋体" w:hAnsi="宋体" w:cs="宋体"/>
          <w:color w:val="000000"/>
          <w:szCs w:val="36"/>
        </w:rPr>
        <w:t xml:space="preserve"> </w:t>
      </w:r>
      <w:r>
        <w:rPr>
          <w:rFonts w:hint="eastAsia" w:ascii="宋体" w:hAnsi="宋体" w:cs="宋体"/>
          <w:color w:val="000000"/>
          <w:szCs w:val="36"/>
          <w:lang w:val="zh-CN"/>
        </w:rPr>
        <w:t>刚察县政府采购项目合同书范本</w:t>
      </w:r>
      <w:bookmarkEnd w:id="44"/>
    </w:p>
    <w:p w14:paraId="5DEEDE4F">
      <w:pPr>
        <w:spacing w:after="120" w:line="560" w:lineRule="exact"/>
        <w:jc w:val="center"/>
        <w:rPr>
          <w:rFonts w:ascii="宋体" w:hAnsi="宋体"/>
          <w:b/>
          <w:bCs/>
          <w:color w:val="000000"/>
          <w:sz w:val="36"/>
          <w:szCs w:val="36"/>
        </w:rPr>
      </w:pPr>
    </w:p>
    <w:p w14:paraId="24838BB4">
      <w:pPr>
        <w:spacing w:line="560" w:lineRule="exact"/>
        <w:rPr>
          <w:rFonts w:ascii="宋体"/>
          <w:color w:val="000000"/>
        </w:rPr>
      </w:pPr>
    </w:p>
    <w:p w14:paraId="3FB0B864">
      <w:pPr>
        <w:spacing w:line="560" w:lineRule="exact"/>
        <w:rPr>
          <w:rFonts w:ascii="宋体"/>
          <w:color w:val="000000"/>
        </w:rPr>
      </w:pPr>
    </w:p>
    <w:p w14:paraId="60F509AD">
      <w:pPr>
        <w:spacing w:line="560" w:lineRule="exact"/>
        <w:rPr>
          <w:rFonts w:ascii="宋体"/>
          <w:color w:val="000000"/>
        </w:rPr>
      </w:pPr>
    </w:p>
    <w:p w14:paraId="213D902B">
      <w:pPr>
        <w:spacing w:line="560" w:lineRule="exact"/>
        <w:rPr>
          <w:rFonts w:ascii="宋体" w:hAnsi="宋体"/>
          <w:b/>
          <w:bCs/>
          <w:color w:val="000000"/>
          <w:sz w:val="48"/>
          <w:szCs w:val="48"/>
        </w:rPr>
      </w:pPr>
    </w:p>
    <w:p w14:paraId="42A613BF">
      <w:pPr>
        <w:pStyle w:val="186"/>
        <w:ind w:firstLine="964"/>
        <w:jc w:val="left"/>
        <w:rPr>
          <w:sz w:val="48"/>
          <w:szCs w:val="48"/>
        </w:rPr>
      </w:pPr>
      <w:bookmarkStart w:id="45" w:name="_Toc23610"/>
      <w:bookmarkStart w:id="46" w:name="_Toc3367909"/>
      <w:bookmarkStart w:id="47" w:name="_Toc21093"/>
      <w:r>
        <w:rPr>
          <w:rFonts w:hint="eastAsia"/>
          <w:sz w:val="48"/>
          <w:szCs w:val="48"/>
        </w:rPr>
        <w:t>刚察县政府采购项目合同书</w:t>
      </w:r>
      <w:bookmarkEnd w:id="45"/>
      <w:bookmarkEnd w:id="46"/>
      <w:bookmarkEnd w:id="47"/>
    </w:p>
    <w:p w14:paraId="5FEBDE83">
      <w:pPr>
        <w:ind w:firstLine="480"/>
      </w:pPr>
    </w:p>
    <w:p w14:paraId="5C1B8C7F">
      <w:pPr>
        <w:ind w:firstLine="480"/>
      </w:pPr>
    </w:p>
    <w:p w14:paraId="4317DB55">
      <w:pPr>
        <w:ind w:firstLine="480"/>
      </w:pPr>
    </w:p>
    <w:p w14:paraId="072B1AF4">
      <w:pPr>
        <w:ind w:firstLine="480"/>
      </w:pPr>
    </w:p>
    <w:p w14:paraId="484D1ECE">
      <w:pPr>
        <w:ind w:firstLine="480"/>
      </w:pPr>
    </w:p>
    <w:p w14:paraId="4B31E01C">
      <w:pPr>
        <w:ind w:firstLine="480"/>
      </w:pPr>
    </w:p>
    <w:p w14:paraId="4989A162">
      <w:pPr>
        <w:ind w:firstLine="480"/>
      </w:pPr>
    </w:p>
    <w:p w14:paraId="4279636F">
      <w:pPr>
        <w:ind w:firstLine="480"/>
      </w:pPr>
    </w:p>
    <w:p w14:paraId="09B01731">
      <w:pPr>
        <w:ind w:firstLine="480"/>
      </w:pPr>
    </w:p>
    <w:p w14:paraId="04B4CE34">
      <w:pPr>
        <w:ind w:firstLine="480"/>
      </w:pPr>
    </w:p>
    <w:p w14:paraId="457DEF2A">
      <w:pPr>
        <w:ind w:firstLine="480"/>
      </w:pPr>
    </w:p>
    <w:p w14:paraId="24A45E37">
      <w:pPr>
        <w:ind w:firstLine="480"/>
      </w:pPr>
    </w:p>
    <w:p w14:paraId="7DB4B4A6">
      <w:pPr>
        <w:spacing w:line="360" w:lineRule="auto"/>
        <w:ind w:firstLine="602"/>
        <w:rPr>
          <w:b/>
          <w:sz w:val="30"/>
          <w:szCs w:val="30"/>
          <w:u w:val="single"/>
        </w:rPr>
      </w:pPr>
      <w:r>
        <w:rPr>
          <w:rFonts w:hint="eastAsia"/>
          <w:b/>
          <w:sz w:val="30"/>
          <w:szCs w:val="30"/>
        </w:rPr>
        <w:t>采购项目名称：</w:t>
      </w:r>
      <w:r>
        <w:rPr>
          <w:rFonts w:hint="eastAsia"/>
          <w:b/>
          <w:sz w:val="30"/>
          <w:szCs w:val="30"/>
          <w:u w:val="single"/>
        </w:rPr>
        <w:t xml:space="preserve">                                  </w:t>
      </w:r>
    </w:p>
    <w:p w14:paraId="7F11B607">
      <w:pPr>
        <w:spacing w:line="360" w:lineRule="auto"/>
        <w:ind w:firstLine="602"/>
        <w:rPr>
          <w:b/>
          <w:sz w:val="30"/>
          <w:szCs w:val="30"/>
          <w:u w:val="single"/>
        </w:rPr>
      </w:pPr>
      <w:r>
        <w:rPr>
          <w:rFonts w:hint="eastAsia"/>
          <w:b/>
          <w:sz w:val="30"/>
          <w:szCs w:val="30"/>
        </w:rPr>
        <w:t>采购项目编号：</w:t>
      </w:r>
      <w:r>
        <w:rPr>
          <w:rFonts w:hint="eastAsia"/>
          <w:b/>
          <w:sz w:val="30"/>
          <w:szCs w:val="30"/>
          <w:u w:val="single"/>
        </w:rPr>
        <w:t xml:space="preserve">                                  </w:t>
      </w:r>
      <w:r>
        <w:rPr>
          <w:rFonts w:hint="eastAsia"/>
          <w:b/>
          <w:sz w:val="30"/>
          <w:szCs w:val="30"/>
        </w:rPr>
        <w:t xml:space="preserve">                                              </w:t>
      </w:r>
    </w:p>
    <w:p w14:paraId="298ED714">
      <w:pPr>
        <w:spacing w:line="360" w:lineRule="auto"/>
        <w:ind w:firstLine="602"/>
        <w:rPr>
          <w:b/>
          <w:sz w:val="30"/>
          <w:szCs w:val="30"/>
          <w:u w:val="single"/>
        </w:rPr>
      </w:pPr>
      <w:r>
        <w:rPr>
          <w:rFonts w:hint="eastAsia"/>
          <w:b/>
          <w:sz w:val="30"/>
          <w:szCs w:val="30"/>
        </w:rPr>
        <w:t>采购合同编号：</w:t>
      </w:r>
      <w:r>
        <w:rPr>
          <w:rFonts w:hint="eastAsia"/>
          <w:b/>
          <w:sz w:val="30"/>
          <w:szCs w:val="30"/>
          <w:u w:val="single"/>
        </w:rPr>
        <w:t xml:space="preserve">                                 </w:t>
      </w:r>
    </w:p>
    <w:p w14:paraId="1BB7EE99">
      <w:pPr>
        <w:spacing w:line="360" w:lineRule="auto"/>
        <w:ind w:firstLine="602"/>
        <w:rPr>
          <w:b/>
          <w:sz w:val="30"/>
          <w:szCs w:val="30"/>
        </w:rPr>
      </w:pPr>
      <w:r>
        <w:rPr>
          <w:rFonts w:hint="eastAsia"/>
          <w:b/>
          <w:sz w:val="30"/>
          <w:szCs w:val="30"/>
        </w:rPr>
        <w:t>合同金额（人民币）：</w:t>
      </w:r>
      <w:r>
        <w:rPr>
          <w:rFonts w:hint="eastAsia"/>
          <w:b/>
          <w:sz w:val="30"/>
          <w:szCs w:val="30"/>
          <w:u w:val="single"/>
        </w:rPr>
        <w:t xml:space="preserve">                             </w:t>
      </w:r>
      <w:r>
        <w:rPr>
          <w:rFonts w:hint="eastAsia"/>
          <w:b/>
          <w:sz w:val="30"/>
          <w:szCs w:val="30"/>
        </w:rPr>
        <w:t xml:space="preserve">                                     </w:t>
      </w:r>
    </w:p>
    <w:p w14:paraId="65C329DA">
      <w:pPr>
        <w:spacing w:line="360" w:lineRule="auto"/>
        <w:ind w:firstLine="602"/>
        <w:jc w:val="left"/>
        <w:rPr>
          <w:b/>
          <w:sz w:val="30"/>
          <w:szCs w:val="30"/>
        </w:rPr>
      </w:pPr>
      <w:r>
        <w:rPr>
          <w:rFonts w:hint="eastAsia"/>
          <w:b/>
          <w:sz w:val="30"/>
          <w:szCs w:val="30"/>
        </w:rPr>
        <w:t>采购单位（委托方）：</w:t>
      </w:r>
      <w:r>
        <w:rPr>
          <w:rFonts w:hint="eastAsia"/>
          <w:b/>
          <w:sz w:val="30"/>
          <w:szCs w:val="30"/>
          <w:u w:val="single"/>
        </w:rPr>
        <w:t xml:space="preserve">                       </w:t>
      </w:r>
      <w:r>
        <w:rPr>
          <w:rFonts w:hint="eastAsia"/>
          <w:b/>
          <w:sz w:val="30"/>
          <w:szCs w:val="30"/>
        </w:rPr>
        <w:t>（盖章）</w:t>
      </w:r>
    </w:p>
    <w:p w14:paraId="54D7AF32">
      <w:pPr>
        <w:spacing w:line="360" w:lineRule="auto"/>
        <w:ind w:firstLine="602"/>
        <w:jc w:val="left"/>
        <w:rPr>
          <w:b/>
          <w:sz w:val="30"/>
          <w:szCs w:val="30"/>
          <w:u w:val="single"/>
        </w:rPr>
      </w:pPr>
      <w:r>
        <w:rPr>
          <w:rFonts w:hint="eastAsia"/>
          <w:b/>
          <w:sz w:val="30"/>
          <w:szCs w:val="30"/>
        </w:rPr>
        <w:t>成交供应商（受托方）：</w:t>
      </w:r>
      <w:r>
        <w:rPr>
          <w:rFonts w:hint="eastAsia"/>
          <w:b/>
          <w:sz w:val="30"/>
          <w:szCs w:val="30"/>
          <w:u w:val="single"/>
        </w:rPr>
        <w:t xml:space="preserve">                     </w:t>
      </w:r>
      <w:r>
        <w:rPr>
          <w:rFonts w:hint="eastAsia"/>
          <w:b/>
          <w:sz w:val="30"/>
          <w:szCs w:val="30"/>
        </w:rPr>
        <w:t>（盖章）</w:t>
      </w:r>
    </w:p>
    <w:p w14:paraId="56A27D26">
      <w:pPr>
        <w:spacing w:line="360" w:lineRule="auto"/>
        <w:ind w:firstLine="602"/>
        <w:rPr>
          <w:b/>
          <w:sz w:val="30"/>
          <w:szCs w:val="30"/>
        </w:rPr>
      </w:pPr>
      <w:r>
        <w:rPr>
          <w:rFonts w:hint="eastAsia"/>
          <w:b/>
          <w:sz w:val="30"/>
          <w:szCs w:val="30"/>
        </w:rPr>
        <w:t>招标日期：</w:t>
      </w:r>
      <w:r>
        <w:rPr>
          <w:rFonts w:hint="eastAsia"/>
          <w:b/>
          <w:sz w:val="30"/>
          <w:szCs w:val="30"/>
          <w:u w:val="single"/>
        </w:rPr>
        <w:t xml:space="preserve">                                      </w:t>
      </w:r>
    </w:p>
    <w:p w14:paraId="51C72C19">
      <w:pPr>
        <w:ind w:firstLine="482"/>
        <w:rPr>
          <w:rFonts w:ascii="宋体" w:hAnsi="宋体"/>
          <w:b/>
          <w:bCs/>
        </w:rPr>
      </w:pPr>
    </w:p>
    <w:p w14:paraId="0710DC4B">
      <w:pPr>
        <w:pStyle w:val="250"/>
      </w:pPr>
    </w:p>
    <w:p w14:paraId="2EF954A4">
      <w:pPr>
        <w:spacing w:line="360" w:lineRule="auto"/>
        <w:jc w:val="left"/>
        <w:rPr>
          <w:rFonts w:ascii="宋体" w:hAnsi="宋体"/>
          <w:b/>
          <w:bCs/>
          <w:sz w:val="28"/>
          <w:szCs w:val="28"/>
        </w:rPr>
      </w:pPr>
      <w:r>
        <w:rPr>
          <w:rFonts w:hint="eastAsia" w:ascii="宋体" w:hAnsi="宋体"/>
          <w:b/>
          <w:bCs/>
          <w:sz w:val="28"/>
          <w:szCs w:val="28"/>
          <w:lang w:val="zh-CN"/>
        </w:rPr>
        <w:t>采</w:t>
      </w:r>
      <w:r>
        <w:rPr>
          <w:rFonts w:hint="eastAsia" w:ascii="宋体" w:hAnsi="宋体"/>
          <w:b/>
          <w:bCs/>
          <w:sz w:val="28"/>
          <w:szCs w:val="28"/>
        </w:rPr>
        <w:t xml:space="preserve"> </w:t>
      </w:r>
      <w:r>
        <w:rPr>
          <w:rFonts w:hint="eastAsia" w:ascii="宋体" w:hAnsi="宋体"/>
          <w:b/>
          <w:bCs/>
          <w:sz w:val="28"/>
          <w:szCs w:val="28"/>
          <w:lang w:val="zh-CN"/>
        </w:rPr>
        <w:t>购</w:t>
      </w:r>
      <w:r>
        <w:rPr>
          <w:rFonts w:hint="eastAsia" w:ascii="宋体" w:hAnsi="宋体"/>
          <w:b/>
          <w:bCs/>
          <w:sz w:val="28"/>
          <w:szCs w:val="28"/>
        </w:rPr>
        <w:t xml:space="preserve"> </w:t>
      </w:r>
      <w:r>
        <w:rPr>
          <w:rFonts w:hint="eastAsia" w:ascii="宋体" w:hAnsi="宋体"/>
          <w:b/>
          <w:bCs/>
          <w:sz w:val="28"/>
          <w:szCs w:val="28"/>
          <w:lang w:val="zh-CN"/>
        </w:rPr>
        <w:t>人（以下简称甲方）：</w:t>
      </w:r>
    </w:p>
    <w:p w14:paraId="6DAAB8C1">
      <w:pPr>
        <w:spacing w:line="360" w:lineRule="auto"/>
        <w:rPr>
          <w:rFonts w:ascii="宋体" w:hAnsi="宋体"/>
          <w:sz w:val="28"/>
          <w:szCs w:val="28"/>
        </w:rPr>
      </w:pPr>
      <w:r>
        <w:rPr>
          <w:rFonts w:hint="eastAsia" w:ascii="宋体" w:hAnsi="宋体"/>
          <w:b/>
          <w:bCs/>
          <w:sz w:val="30"/>
          <w:szCs w:val="30"/>
          <w:lang w:val="zh-CN"/>
        </w:rPr>
        <w:t>中</w:t>
      </w:r>
      <w:r>
        <w:rPr>
          <w:rFonts w:hint="eastAsia" w:ascii="宋体" w:hAnsi="宋体"/>
          <w:b/>
          <w:bCs/>
          <w:sz w:val="30"/>
          <w:szCs w:val="30"/>
        </w:rPr>
        <w:t xml:space="preserve"> </w:t>
      </w:r>
      <w:r>
        <w:rPr>
          <w:rFonts w:hint="eastAsia" w:ascii="宋体" w:hAnsi="宋体"/>
          <w:b/>
          <w:bCs/>
          <w:sz w:val="30"/>
          <w:szCs w:val="30"/>
          <w:lang w:val="zh-CN"/>
        </w:rPr>
        <w:t>标</w:t>
      </w:r>
      <w:r>
        <w:rPr>
          <w:rFonts w:hint="eastAsia" w:ascii="宋体" w:hAnsi="宋体"/>
          <w:b/>
          <w:bCs/>
          <w:sz w:val="30"/>
          <w:szCs w:val="30"/>
        </w:rPr>
        <w:t xml:space="preserve"> </w:t>
      </w:r>
      <w:r>
        <w:rPr>
          <w:rFonts w:hint="eastAsia" w:ascii="宋体" w:hAnsi="宋体"/>
          <w:b/>
          <w:bCs/>
          <w:sz w:val="30"/>
          <w:szCs w:val="30"/>
          <w:lang w:val="zh-CN"/>
        </w:rPr>
        <w:t>人</w:t>
      </w:r>
      <w:r>
        <w:rPr>
          <w:rFonts w:hint="eastAsia" w:ascii="宋体" w:hAnsi="宋体"/>
          <w:b/>
          <w:bCs/>
          <w:sz w:val="28"/>
          <w:szCs w:val="28"/>
          <w:lang w:val="zh-CN"/>
        </w:rPr>
        <w:t>（以下简称乙方）：</w:t>
      </w:r>
    </w:p>
    <w:p w14:paraId="74446524">
      <w:pPr>
        <w:spacing w:line="360" w:lineRule="auto"/>
        <w:ind w:firstLine="480"/>
        <w:rPr>
          <w:rFonts w:ascii="宋体" w:hAnsi="宋体"/>
          <w:lang w:val="zh-CN"/>
        </w:rPr>
      </w:pPr>
      <w:r>
        <w:rPr>
          <w:rFonts w:hint="eastAsia" w:ascii="宋体" w:hAnsi="宋体"/>
          <w:lang w:val="zh-CN"/>
        </w:rPr>
        <w:t>甲、乙双方根据</w:t>
      </w:r>
      <w:r>
        <w:rPr>
          <w:rFonts w:hint="eastAsia" w:ascii="宋体" w:hAnsi="宋体"/>
        </w:rPr>
        <w:t>20</w:t>
      </w:r>
      <w:r>
        <w:rPr>
          <w:rFonts w:hint="eastAsia" w:ascii="宋体" w:hAnsi="宋体"/>
          <w:lang w:val="zh-CN"/>
        </w:rPr>
        <w:t>2</w:t>
      </w:r>
      <w:r>
        <w:rPr>
          <w:rFonts w:hint="eastAsia" w:ascii="宋体" w:hAnsi="宋体"/>
        </w:rPr>
        <w:t>3</w:t>
      </w:r>
      <w:r>
        <w:rPr>
          <w:rFonts w:hint="eastAsia" w:ascii="宋体" w:hAnsi="宋体"/>
          <w:lang w:val="zh-CN"/>
        </w:rPr>
        <w:t>年XX月XX日（采购项目名称</w:t>
      </w:r>
      <w:r>
        <w:rPr>
          <w:rFonts w:hint="eastAsia" w:ascii="宋体" w:hAnsi="宋体"/>
        </w:rPr>
        <w:t>·包号</w:t>
      </w:r>
      <w:r>
        <w:rPr>
          <w:rFonts w:hint="eastAsia" w:ascii="宋体" w:hAnsi="宋体"/>
          <w:lang w:val="zh-CN"/>
        </w:rPr>
        <w:t>）采购项目（采购项目编号）的招标文件要求和采购代理机构出具的《中标通知书》，并经双方协商一致，签订本合同协议书。</w:t>
      </w:r>
    </w:p>
    <w:p w14:paraId="5E4A6BF2">
      <w:pPr>
        <w:spacing w:line="360" w:lineRule="auto"/>
        <w:rPr>
          <w:rFonts w:ascii="宋体" w:hAnsi="宋体"/>
          <w:lang w:val="zh-CN"/>
        </w:rPr>
      </w:pPr>
      <w:r>
        <w:rPr>
          <w:rFonts w:hint="eastAsia" w:ascii="宋体" w:hAnsi="宋体"/>
          <w:lang w:val="zh-CN"/>
        </w:rPr>
        <w:t>一、签订本政府采购合同的依据</w:t>
      </w:r>
    </w:p>
    <w:p w14:paraId="12DC9836">
      <w:pPr>
        <w:spacing w:line="360" w:lineRule="auto"/>
        <w:ind w:firstLine="480"/>
        <w:rPr>
          <w:rFonts w:ascii="宋体" w:hAnsi="宋体"/>
          <w:lang w:val="zh-CN"/>
        </w:rPr>
      </w:pPr>
      <w:r>
        <w:rPr>
          <w:rFonts w:hint="eastAsia" w:ascii="宋体" w:hAnsi="宋体"/>
          <w:lang w:val="zh-CN"/>
        </w:rPr>
        <w:t>本政府采购合同所附下列文件是构成本政府采购合同不可分割的部分：</w:t>
      </w:r>
    </w:p>
    <w:p w14:paraId="61AF7871">
      <w:pPr>
        <w:spacing w:line="360" w:lineRule="auto"/>
        <w:ind w:firstLine="480"/>
        <w:rPr>
          <w:rFonts w:ascii="宋体" w:hAnsi="宋体"/>
          <w:lang w:val="zh-CN"/>
        </w:rPr>
      </w:pPr>
      <w:r>
        <w:rPr>
          <w:rFonts w:hint="eastAsia" w:ascii="宋体" w:hAnsi="宋体"/>
          <w:lang w:val="zh-CN"/>
        </w:rPr>
        <w:t>1.招标文件；</w:t>
      </w:r>
    </w:p>
    <w:p w14:paraId="78B405F7">
      <w:pPr>
        <w:spacing w:line="360" w:lineRule="auto"/>
        <w:ind w:firstLine="480"/>
        <w:rPr>
          <w:rFonts w:ascii="宋体" w:hAnsi="宋体"/>
          <w:lang w:val="zh-CN"/>
        </w:rPr>
      </w:pPr>
      <w:r>
        <w:rPr>
          <w:rFonts w:hint="eastAsia" w:ascii="宋体" w:hAnsi="宋体"/>
          <w:lang w:val="zh-CN"/>
        </w:rPr>
        <w:t>2.招标文件的澄清、变更公告；</w:t>
      </w:r>
    </w:p>
    <w:p w14:paraId="3B16D12B">
      <w:pPr>
        <w:spacing w:line="360" w:lineRule="auto"/>
        <w:ind w:firstLine="480"/>
        <w:rPr>
          <w:rFonts w:ascii="宋体" w:hAnsi="宋体"/>
          <w:lang w:val="zh-CN"/>
        </w:rPr>
      </w:pPr>
      <w:r>
        <w:rPr>
          <w:rFonts w:hint="eastAsia" w:ascii="宋体" w:hAnsi="宋体"/>
          <w:lang w:val="zh-CN"/>
        </w:rPr>
        <w:t>3.中标人提交的投标文件；</w:t>
      </w:r>
    </w:p>
    <w:p w14:paraId="7F02A43A">
      <w:pPr>
        <w:spacing w:line="360" w:lineRule="auto"/>
        <w:ind w:firstLine="480"/>
        <w:rPr>
          <w:rFonts w:ascii="宋体" w:hAnsi="宋体"/>
          <w:lang w:val="zh-CN"/>
        </w:rPr>
      </w:pPr>
      <w:r>
        <w:rPr>
          <w:rFonts w:hint="eastAsia" w:ascii="宋体" w:hAnsi="宋体"/>
          <w:lang w:val="zh-CN"/>
        </w:rPr>
        <w:t>4.招标文件中规定的政府采购合同通用条款；</w:t>
      </w:r>
    </w:p>
    <w:p w14:paraId="6335FF44">
      <w:pPr>
        <w:spacing w:line="360" w:lineRule="auto"/>
        <w:ind w:firstLine="480"/>
        <w:rPr>
          <w:rFonts w:ascii="宋体" w:hAnsi="宋体"/>
          <w:lang w:val="zh-CN"/>
        </w:rPr>
      </w:pPr>
      <w:r>
        <w:rPr>
          <w:rFonts w:hint="eastAsia" w:ascii="宋体" w:hAnsi="宋体"/>
          <w:lang w:val="zh-CN"/>
        </w:rPr>
        <w:t>5.中标通知书；</w:t>
      </w:r>
    </w:p>
    <w:p w14:paraId="6AEA6520">
      <w:pPr>
        <w:spacing w:line="360" w:lineRule="auto"/>
        <w:ind w:firstLine="480"/>
        <w:rPr>
          <w:rFonts w:ascii="宋体" w:hAnsi="宋体"/>
          <w:lang w:val="zh-CN"/>
        </w:rPr>
      </w:pPr>
      <w:r>
        <w:rPr>
          <w:rFonts w:hint="eastAsia" w:ascii="宋体" w:hAnsi="宋体"/>
          <w:lang w:val="zh-CN"/>
        </w:rPr>
        <w:t>6.履约保证金缴费证明。</w:t>
      </w:r>
    </w:p>
    <w:p w14:paraId="68B6189D">
      <w:pPr>
        <w:spacing w:line="360" w:lineRule="auto"/>
        <w:rPr>
          <w:rFonts w:ascii="宋体" w:hAnsi="宋体"/>
          <w:lang w:val="zh-CN"/>
        </w:rPr>
      </w:pPr>
      <w:r>
        <w:rPr>
          <w:rFonts w:hint="eastAsia" w:ascii="宋体" w:hAnsi="宋体"/>
          <w:lang w:val="zh-CN"/>
        </w:rPr>
        <w:t>二、合同标的及金额                                       单位：元</w:t>
      </w:r>
    </w:p>
    <w:tbl>
      <w:tblPr>
        <w:tblStyle w:val="31"/>
        <w:tblW w:w="0" w:type="auto"/>
        <w:jc w:val="center"/>
        <w:tblLayout w:type="fixed"/>
        <w:tblCellMar>
          <w:top w:w="0" w:type="dxa"/>
          <w:left w:w="108" w:type="dxa"/>
          <w:bottom w:w="0" w:type="dxa"/>
          <w:right w:w="108" w:type="dxa"/>
        </w:tblCellMar>
      </w:tblPr>
      <w:tblGrid>
        <w:gridCol w:w="731"/>
        <w:gridCol w:w="2271"/>
        <w:gridCol w:w="1899"/>
        <w:gridCol w:w="990"/>
        <w:gridCol w:w="945"/>
        <w:gridCol w:w="1020"/>
        <w:gridCol w:w="761"/>
      </w:tblGrid>
      <w:tr w14:paraId="744989EA">
        <w:tblPrEx>
          <w:tblCellMar>
            <w:top w:w="0" w:type="dxa"/>
            <w:left w:w="108" w:type="dxa"/>
            <w:bottom w:w="0" w:type="dxa"/>
            <w:right w:w="108" w:type="dxa"/>
          </w:tblCellMar>
        </w:tblPrEx>
        <w:trPr>
          <w:cantSplit/>
          <w:trHeight w:val="23" w:hRule="atLeast"/>
          <w:jc w:val="center"/>
        </w:trPr>
        <w:tc>
          <w:tcPr>
            <w:tcW w:w="731" w:type="dxa"/>
            <w:tcBorders>
              <w:top w:val="single" w:color="000000" w:sz="4" w:space="0"/>
              <w:left w:val="single" w:color="000000" w:sz="4" w:space="0"/>
              <w:bottom w:val="single" w:color="000000" w:sz="4" w:space="0"/>
              <w:right w:val="single" w:color="000000" w:sz="4" w:space="0"/>
            </w:tcBorders>
            <w:vAlign w:val="center"/>
          </w:tcPr>
          <w:p w14:paraId="5170E326">
            <w:pPr>
              <w:spacing w:line="360" w:lineRule="auto"/>
              <w:jc w:val="center"/>
              <w:rPr>
                <w:rFonts w:ascii="宋体" w:hAnsi="宋体"/>
                <w:lang w:val="zh-CN"/>
              </w:rPr>
            </w:pPr>
            <w:r>
              <w:rPr>
                <w:rFonts w:hint="eastAsia" w:ascii="宋体" w:hAnsi="宋体"/>
                <w:lang w:val="zh-CN"/>
              </w:rPr>
              <w:t>包号</w:t>
            </w:r>
          </w:p>
        </w:tc>
        <w:tc>
          <w:tcPr>
            <w:tcW w:w="2271" w:type="dxa"/>
            <w:tcBorders>
              <w:top w:val="single" w:color="000000" w:sz="4" w:space="0"/>
              <w:left w:val="single" w:color="000000" w:sz="4" w:space="0"/>
              <w:bottom w:val="single" w:color="000000" w:sz="4" w:space="0"/>
              <w:right w:val="single" w:color="000000" w:sz="4" w:space="0"/>
            </w:tcBorders>
            <w:vAlign w:val="center"/>
          </w:tcPr>
          <w:p w14:paraId="178E0FD0">
            <w:pPr>
              <w:spacing w:line="360" w:lineRule="auto"/>
              <w:jc w:val="center"/>
              <w:rPr>
                <w:rFonts w:ascii="宋体" w:hAnsi="宋体"/>
                <w:lang w:val="zh-CN"/>
              </w:rPr>
            </w:pPr>
            <w:r>
              <w:rPr>
                <w:rFonts w:hint="eastAsia" w:ascii="宋体" w:hAnsi="宋体"/>
                <w:lang w:val="zh-CN"/>
              </w:rPr>
              <w:t>标的名称</w:t>
            </w:r>
          </w:p>
        </w:tc>
        <w:tc>
          <w:tcPr>
            <w:tcW w:w="1899" w:type="dxa"/>
            <w:tcBorders>
              <w:top w:val="single" w:color="000000" w:sz="4" w:space="0"/>
              <w:left w:val="single" w:color="000000" w:sz="4" w:space="0"/>
              <w:bottom w:val="single" w:color="000000" w:sz="4" w:space="0"/>
              <w:right w:val="single" w:color="000000" w:sz="4" w:space="0"/>
            </w:tcBorders>
            <w:vAlign w:val="center"/>
          </w:tcPr>
          <w:p w14:paraId="6F29B3F4">
            <w:pPr>
              <w:spacing w:line="360" w:lineRule="auto"/>
              <w:jc w:val="center"/>
              <w:rPr>
                <w:rFonts w:ascii="宋体" w:hAnsi="宋体"/>
                <w:lang w:val="zh-CN"/>
              </w:rPr>
            </w:pPr>
            <w:r>
              <w:rPr>
                <w:rFonts w:hint="eastAsia" w:ascii="宋体" w:hAnsi="宋体"/>
                <w:lang w:val="zh-CN"/>
              </w:rPr>
              <w:t>规格型号</w:t>
            </w:r>
          </w:p>
        </w:tc>
        <w:tc>
          <w:tcPr>
            <w:tcW w:w="990" w:type="dxa"/>
            <w:tcBorders>
              <w:top w:val="single" w:color="000000" w:sz="4" w:space="0"/>
              <w:left w:val="single" w:color="000000" w:sz="4" w:space="0"/>
              <w:bottom w:val="single" w:color="000000" w:sz="4" w:space="0"/>
              <w:right w:val="single" w:color="000000" w:sz="4" w:space="0"/>
            </w:tcBorders>
            <w:vAlign w:val="center"/>
          </w:tcPr>
          <w:p w14:paraId="2F8197F6">
            <w:pPr>
              <w:spacing w:line="360" w:lineRule="auto"/>
              <w:jc w:val="center"/>
              <w:rPr>
                <w:rFonts w:ascii="宋体" w:hAnsi="宋体"/>
                <w:lang w:val="zh-CN"/>
              </w:rPr>
            </w:pPr>
            <w:r>
              <w:rPr>
                <w:rFonts w:hint="eastAsia" w:ascii="宋体" w:hAnsi="宋体"/>
                <w:lang w:val="zh-CN"/>
              </w:rPr>
              <w:t>数量</w:t>
            </w:r>
          </w:p>
        </w:tc>
        <w:tc>
          <w:tcPr>
            <w:tcW w:w="945" w:type="dxa"/>
            <w:tcBorders>
              <w:top w:val="single" w:color="000000" w:sz="4" w:space="0"/>
              <w:left w:val="single" w:color="000000" w:sz="4" w:space="0"/>
              <w:bottom w:val="single" w:color="000000" w:sz="4" w:space="0"/>
              <w:right w:val="single" w:color="000000" w:sz="4" w:space="0"/>
            </w:tcBorders>
            <w:vAlign w:val="center"/>
          </w:tcPr>
          <w:p w14:paraId="25BCBE12">
            <w:pPr>
              <w:spacing w:line="360" w:lineRule="auto"/>
              <w:jc w:val="center"/>
              <w:rPr>
                <w:rFonts w:ascii="宋体" w:hAnsi="宋体"/>
                <w:lang w:val="zh-CN"/>
              </w:rPr>
            </w:pPr>
            <w:r>
              <w:rPr>
                <w:rFonts w:hint="eastAsia" w:ascii="宋体" w:hAnsi="宋体"/>
                <w:lang w:val="zh-CN"/>
              </w:rPr>
              <w:t>单价</w:t>
            </w:r>
          </w:p>
        </w:tc>
        <w:tc>
          <w:tcPr>
            <w:tcW w:w="1020" w:type="dxa"/>
            <w:tcBorders>
              <w:top w:val="single" w:color="000000" w:sz="4" w:space="0"/>
              <w:left w:val="single" w:color="000000" w:sz="4" w:space="0"/>
              <w:bottom w:val="single" w:color="000000" w:sz="4" w:space="0"/>
              <w:right w:val="single" w:color="000000" w:sz="4" w:space="0"/>
            </w:tcBorders>
            <w:vAlign w:val="center"/>
          </w:tcPr>
          <w:p w14:paraId="738B91B6">
            <w:pPr>
              <w:spacing w:line="360" w:lineRule="auto"/>
              <w:jc w:val="center"/>
              <w:rPr>
                <w:rFonts w:ascii="宋体" w:hAnsi="宋体"/>
                <w:lang w:val="zh-CN"/>
              </w:rPr>
            </w:pPr>
            <w:r>
              <w:rPr>
                <w:rFonts w:hint="eastAsia" w:ascii="宋体" w:hAnsi="宋体"/>
                <w:lang w:val="zh-CN"/>
              </w:rPr>
              <w:t>总价</w:t>
            </w:r>
          </w:p>
        </w:tc>
        <w:tc>
          <w:tcPr>
            <w:tcW w:w="761" w:type="dxa"/>
            <w:tcBorders>
              <w:top w:val="single" w:color="000000" w:sz="4" w:space="0"/>
              <w:left w:val="single" w:color="000000" w:sz="4" w:space="0"/>
              <w:bottom w:val="single" w:color="000000" w:sz="4" w:space="0"/>
              <w:right w:val="single" w:color="000000" w:sz="4" w:space="0"/>
            </w:tcBorders>
            <w:vAlign w:val="center"/>
          </w:tcPr>
          <w:p w14:paraId="50FA3AC3">
            <w:pPr>
              <w:spacing w:line="360" w:lineRule="auto"/>
              <w:jc w:val="center"/>
              <w:rPr>
                <w:rFonts w:ascii="宋体" w:hAnsi="宋体"/>
                <w:lang w:val="zh-CN"/>
              </w:rPr>
            </w:pPr>
            <w:r>
              <w:rPr>
                <w:rFonts w:hint="eastAsia" w:ascii="宋体" w:hAnsi="宋体"/>
                <w:lang w:val="zh-CN"/>
              </w:rPr>
              <w:t>备注</w:t>
            </w:r>
          </w:p>
        </w:tc>
      </w:tr>
      <w:tr w14:paraId="1910D89D">
        <w:tblPrEx>
          <w:tblCellMar>
            <w:top w:w="0" w:type="dxa"/>
            <w:left w:w="108" w:type="dxa"/>
            <w:bottom w:w="0" w:type="dxa"/>
            <w:right w:w="108" w:type="dxa"/>
          </w:tblCellMar>
        </w:tblPrEx>
        <w:trPr>
          <w:cantSplit/>
          <w:trHeight w:val="23" w:hRule="atLeast"/>
          <w:jc w:val="center"/>
        </w:trPr>
        <w:tc>
          <w:tcPr>
            <w:tcW w:w="731" w:type="dxa"/>
            <w:tcBorders>
              <w:top w:val="single" w:color="000000" w:sz="4" w:space="0"/>
              <w:left w:val="single" w:color="000000" w:sz="4" w:space="0"/>
              <w:bottom w:val="single" w:color="000000" w:sz="4" w:space="0"/>
              <w:right w:val="single" w:color="000000" w:sz="4" w:space="0"/>
            </w:tcBorders>
            <w:vAlign w:val="center"/>
          </w:tcPr>
          <w:p w14:paraId="3CF5E0DE">
            <w:pPr>
              <w:spacing w:line="360" w:lineRule="auto"/>
              <w:jc w:val="center"/>
              <w:rPr>
                <w:rFonts w:ascii="宋体" w:hAnsi="宋体"/>
                <w:lang w:val="zh-CN"/>
              </w:rPr>
            </w:pPr>
          </w:p>
        </w:tc>
        <w:tc>
          <w:tcPr>
            <w:tcW w:w="2271" w:type="dxa"/>
            <w:tcBorders>
              <w:top w:val="single" w:color="000000" w:sz="4" w:space="0"/>
              <w:left w:val="single" w:color="000000" w:sz="4" w:space="0"/>
              <w:bottom w:val="single" w:color="000000" w:sz="4" w:space="0"/>
              <w:right w:val="single" w:color="000000" w:sz="4" w:space="0"/>
            </w:tcBorders>
            <w:vAlign w:val="center"/>
          </w:tcPr>
          <w:p w14:paraId="35935E58">
            <w:pPr>
              <w:spacing w:line="360" w:lineRule="auto"/>
              <w:jc w:val="center"/>
              <w:rPr>
                <w:rFonts w:ascii="宋体" w:hAnsi="宋体"/>
                <w:lang w:val="zh-CN"/>
              </w:rPr>
            </w:pPr>
          </w:p>
        </w:tc>
        <w:tc>
          <w:tcPr>
            <w:tcW w:w="1899" w:type="dxa"/>
            <w:tcBorders>
              <w:top w:val="single" w:color="000000" w:sz="4" w:space="0"/>
              <w:left w:val="single" w:color="000000" w:sz="4" w:space="0"/>
              <w:bottom w:val="single" w:color="000000" w:sz="4" w:space="0"/>
              <w:right w:val="single" w:color="000000" w:sz="4" w:space="0"/>
            </w:tcBorders>
            <w:vAlign w:val="center"/>
          </w:tcPr>
          <w:p w14:paraId="13B4EF5A">
            <w:pPr>
              <w:spacing w:line="360" w:lineRule="auto"/>
              <w:jc w:val="center"/>
              <w:rPr>
                <w:rFonts w:ascii="宋体" w:hAnsi="宋体"/>
                <w:lang w:val="zh-CN"/>
              </w:rPr>
            </w:pPr>
          </w:p>
        </w:tc>
        <w:tc>
          <w:tcPr>
            <w:tcW w:w="990" w:type="dxa"/>
            <w:tcBorders>
              <w:top w:val="single" w:color="000000" w:sz="4" w:space="0"/>
              <w:left w:val="single" w:color="000000" w:sz="4" w:space="0"/>
              <w:bottom w:val="single" w:color="000000" w:sz="4" w:space="0"/>
              <w:right w:val="single" w:color="000000" w:sz="4" w:space="0"/>
            </w:tcBorders>
            <w:vAlign w:val="center"/>
          </w:tcPr>
          <w:p w14:paraId="6FE9690A">
            <w:pPr>
              <w:spacing w:line="360" w:lineRule="auto"/>
              <w:jc w:val="center"/>
              <w:rPr>
                <w:rFonts w:ascii="宋体" w:hAnsi="宋体"/>
                <w:lang w:val="zh-CN"/>
              </w:rPr>
            </w:pPr>
          </w:p>
        </w:tc>
        <w:tc>
          <w:tcPr>
            <w:tcW w:w="945" w:type="dxa"/>
            <w:tcBorders>
              <w:top w:val="single" w:color="000000" w:sz="4" w:space="0"/>
              <w:left w:val="single" w:color="000000" w:sz="4" w:space="0"/>
              <w:bottom w:val="single" w:color="000000" w:sz="4" w:space="0"/>
              <w:right w:val="single" w:color="000000" w:sz="4" w:space="0"/>
            </w:tcBorders>
            <w:vAlign w:val="center"/>
          </w:tcPr>
          <w:p w14:paraId="6EE9F92D">
            <w:pPr>
              <w:spacing w:line="360" w:lineRule="auto"/>
              <w:jc w:val="center"/>
              <w:rPr>
                <w:rFonts w:ascii="宋体" w:hAnsi="宋体"/>
                <w:lang w:val="zh-CN"/>
              </w:rPr>
            </w:pPr>
          </w:p>
        </w:tc>
        <w:tc>
          <w:tcPr>
            <w:tcW w:w="1020" w:type="dxa"/>
            <w:tcBorders>
              <w:top w:val="single" w:color="000000" w:sz="4" w:space="0"/>
              <w:left w:val="single" w:color="000000" w:sz="4" w:space="0"/>
              <w:bottom w:val="single" w:color="000000" w:sz="4" w:space="0"/>
              <w:right w:val="single" w:color="000000" w:sz="4" w:space="0"/>
            </w:tcBorders>
            <w:vAlign w:val="center"/>
          </w:tcPr>
          <w:p w14:paraId="096B51B3">
            <w:pPr>
              <w:spacing w:line="360" w:lineRule="auto"/>
              <w:jc w:val="center"/>
              <w:rPr>
                <w:rFonts w:ascii="宋体" w:hAnsi="宋体"/>
                <w:lang w:val="zh-CN"/>
              </w:rPr>
            </w:pPr>
          </w:p>
        </w:tc>
        <w:tc>
          <w:tcPr>
            <w:tcW w:w="761" w:type="dxa"/>
            <w:tcBorders>
              <w:top w:val="single" w:color="000000" w:sz="4" w:space="0"/>
              <w:left w:val="single" w:color="000000" w:sz="4" w:space="0"/>
              <w:bottom w:val="single" w:color="000000" w:sz="4" w:space="0"/>
              <w:right w:val="single" w:color="000000" w:sz="4" w:space="0"/>
            </w:tcBorders>
            <w:vAlign w:val="center"/>
          </w:tcPr>
          <w:p w14:paraId="1338008B">
            <w:pPr>
              <w:spacing w:line="360" w:lineRule="auto"/>
              <w:jc w:val="center"/>
              <w:rPr>
                <w:rFonts w:ascii="宋体" w:hAnsi="宋体"/>
                <w:lang w:val="zh-CN"/>
              </w:rPr>
            </w:pPr>
          </w:p>
        </w:tc>
      </w:tr>
      <w:tr w14:paraId="501AF91B">
        <w:tblPrEx>
          <w:tblCellMar>
            <w:top w:w="0" w:type="dxa"/>
            <w:left w:w="108" w:type="dxa"/>
            <w:bottom w:w="0" w:type="dxa"/>
            <w:right w:w="108" w:type="dxa"/>
          </w:tblCellMar>
        </w:tblPrEx>
        <w:trPr>
          <w:cantSplit/>
          <w:trHeight w:val="23" w:hRule="atLeast"/>
          <w:jc w:val="center"/>
        </w:trPr>
        <w:tc>
          <w:tcPr>
            <w:tcW w:w="731" w:type="dxa"/>
            <w:tcBorders>
              <w:top w:val="single" w:color="000000" w:sz="4" w:space="0"/>
              <w:left w:val="single" w:color="000000" w:sz="4" w:space="0"/>
              <w:bottom w:val="single" w:color="000000" w:sz="4" w:space="0"/>
              <w:right w:val="single" w:color="000000" w:sz="4" w:space="0"/>
            </w:tcBorders>
            <w:vAlign w:val="center"/>
          </w:tcPr>
          <w:p w14:paraId="0C9B2694">
            <w:pPr>
              <w:spacing w:line="360" w:lineRule="auto"/>
              <w:jc w:val="center"/>
              <w:rPr>
                <w:rFonts w:ascii="宋体" w:hAnsi="宋体"/>
                <w:lang w:val="zh-CN"/>
              </w:rPr>
            </w:pPr>
          </w:p>
        </w:tc>
        <w:tc>
          <w:tcPr>
            <w:tcW w:w="2271" w:type="dxa"/>
            <w:tcBorders>
              <w:top w:val="single" w:color="000000" w:sz="4" w:space="0"/>
              <w:left w:val="single" w:color="000000" w:sz="4" w:space="0"/>
              <w:bottom w:val="single" w:color="000000" w:sz="4" w:space="0"/>
              <w:right w:val="single" w:color="000000" w:sz="4" w:space="0"/>
            </w:tcBorders>
            <w:vAlign w:val="center"/>
          </w:tcPr>
          <w:p w14:paraId="54E4A468">
            <w:pPr>
              <w:spacing w:line="360" w:lineRule="auto"/>
              <w:jc w:val="center"/>
              <w:rPr>
                <w:rFonts w:ascii="宋体" w:hAnsi="宋体"/>
                <w:lang w:val="zh-CN"/>
              </w:rPr>
            </w:pPr>
          </w:p>
        </w:tc>
        <w:tc>
          <w:tcPr>
            <w:tcW w:w="1899" w:type="dxa"/>
            <w:tcBorders>
              <w:top w:val="single" w:color="000000" w:sz="4" w:space="0"/>
              <w:left w:val="single" w:color="000000" w:sz="4" w:space="0"/>
              <w:bottom w:val="single" w:color="000000" w:sz="4" w:space="0"/>
              <w:right w:val="single" w:color="000000" w:sz="4" w:space="0"/>
            </w:tcBorders>
            <w:vAlign w:val="center"/>
          </w:tcPr>
          <w:p w14:paraId="08E585C0">
            <w:pPr>
              <w:spacing w:line="360" w:lineRule="auto"/>
              <w:jc w:val="center"/>
              <w:rPr>
                <w:rFonts w:ascii="宋体" w:hAnsi="宋体"/>
                <w:lang w:val="zh-CN"/>
              </w:rPr>
            </w:pPr>
          </w:p>
        </w:tc>
        <w:tc>
          <w:tcPr>
            <w:tcW w:w="990" w:type="dxa"/>
            <w:tcBorders>
              <w:top w:val="single" w:color="000000" w:sz="4" w:space="0"/>
              <w:left w:val="single" w:color="000000" w:sz="4" w:space="0"/>
              <w:bottom w:val="single" w:color="000000" w:sz="4" w:space="0"/>
              <w:right w:val="single" w:color="000000" w:sz="4" w:space="0"/>
            </w:tcBorders>
            <w:vAlign w:val="center"/>
          </w:tcPr>
          <w:p w14:paraId="19E1B037">
            <w:pPr>
              <w:spacing w:line="360" w:lineRule="auto"/>
              <w:jc w:val="center"/>
              <w:rPr>
                <w:rFonts w:ascii="宋体" w:hAnsi="宋体"/>
                <w:lang w:val="zh-CN"/>
              </w:rPr>
            </w:pPr>
          </w:p>
        </w:tc>
        <w:tc>
          <w:tcPr>
            <w:tcW w:w="945" w:type="dxa"/>
            <w:tcBorders>
              <w:top w:val="single" w:color="000000" w:sz="4" w:space="0"/>
              <w:left w:val="single" w:color="000000" w:sz="4" w:space="0"/>
              <w:bottom w:val="single" w:color="000000" w:sz="4" w:space="0"/>
              <w:right w:val="single" w:color="000000" w:sz="4" w:space="0"/>
            </w:tcBorders>
            <w:vAlign w:val="center"/>
          </w:tcPr>
          <w:p w14:paraId="676C8B37">
            <w:pPr>
              <w:spacing w:line="360" w:lineRule="auto"/>
              <w:jc w:val="center"/>
              <w:rPr>
                <w:rFonts w:ascii="宋体" w:hAnsi="宋体"/>
                <w:lang w:val="zh-CN"/>
              </w:rPr>
            </w:pPr>
          </w:p>
        </w:tc>
        <w:tc>
          <w:tcPr>
            <w:tcW w:w="1020" w:type="dxa"/>
            <w:tcBorders>
              <w:top w:val="single" w:color="000000" w:sz="4" w:space="0"/>
              <w:left w:val="single" w:color="000000" w:sz="4" w:space="0"/>
              <w:bottom w:val="single" w:color="000000" w:sz="4" w:space="0"/>
              <w:right w:val="single" w:color="000000" w:sz="4" w:space="0"/>
            </w:tcBorders>
            <w:vAlign w:val="center"/>
          </w:tcPr>
          <w:p w14:paraId="22116CEA">
            <w:pPr>
              <w:spacing w:line="360" w:lineRule="auto"/>
              <w:jc w:val="center"/>
              <w:rPr>
                <w:rFonts w:ascii="宋体" w:hAnsi="宋体"/>
                <w:lang w:val="zh-CN"/>
              </w:rPr>
            </w:pPr>
          </w:p>
        </w:tc>
        <w:tc>
          <w:tcPr>
            <w:tcW w:w="761" w:type="dxa"/>
            <w:tcBorders>
              <w:top w:val="single" w:color="000000" w:sz="4" w:space="0"/>
              <w:left w:val="single" w:color="000000" w:sz="4" w:space="0"/>
              <w:bottom w:val="single" w:color="000000" w:sz="4" w:space="0"/>
              <w:right w:val="single" w:color="000000" w:sz="4" w:space="0"/>
            </w:tcBorders>
            <w:vAlign w:val="center"/>
          </w:tcPr>
          <w:p w14:paraId="726A9FC2">
            <w:pPr>
              <w:spacing w:line="360" w:lineRule="auto"/>
              <w:jc w:val="center"/>
              <w:rPr>
                <w:rFonts w:ascii="宋体" w:hAnsi="宋体"/>
                <w:lang w:val="zh-CN"/>
              </w:rPr>
            </w:pPr>
          </w:p>
        </w:tc>
      </w:tr>
    </w:tbl>
    <w:p w14:paraId="12C0BE86">
      <w:pPr>
        <w:spacing w:line="360" w:lineRule="auto"/>
        <w:jc w:val="left"/>
        <w:rPr>
          <w:rFonts w:ascii="宋体" w:hAnsi="宋体"/>
          <w:u w:val="single"/>
        </w:rPr>
      </w:pPr>
      <w:r>
        <w:rPr>
          <w:rFonts w:hint="eastAsia" w:ascii="宋体" w:hAnsi="宋体"/>
          <w:lang w:val="zh-CN"/>
        </w:rPr>
        <w:t>根据上述政府采购合同文件要求，本政府采购合同的总金额为人民币</w:t>
      </w:r>
      <w:r>
        <w:rPr>
          <w:rFonts w:hint="eastAsia" w:ascii="宋体" w:hAnsi="宋体"/>
          <w:u w:val="single"/>
        </w:rPr>
        <w:t xml:space="preserve">           </w:t>
      </w:r>
    </w:p>
    <w:p w14:paraId="2F8DE8CE">
      <w:pPr>
        <w:spacing w:line="360" w:lineRule="auto"/>
        <w:jc w:val="left"/>
        <w:rPr>
          <w:rFonts w:ascii="宋体" w:hAnsi="宋体"/>
          <w:lang w:val="zh-CN"/>
        </w:rPr>
      </w:pPr>
      <w:r>
        <w:rPr>
          <w:rFonts w:hint="eastAsia" w:ascii="宋体" w:hAnsi="宋体"/>
          <w:lang w:val="zh-CN"/>
        </w:rPr>
        <w:t>（大写）</w:t>
      </w:r>
      <w:r>
        <w:rPr>
          <w:rFonts w:hint="eastAsia" w:ascii="宋体" w:hAnsi="宋体"/>
          <w:u w:val="single"/>
          <w:lang w:val="zh-CN"/>
        </w:rPr>
        <w:t xml:space="preserve">                 </w:t>
      </w:r>
      <w:r>
        <w:rPr>
          <w:rFonts w:hint="eastAsia" w:ascii="宋体" w:hAnsi="宋体"/>
          <w:lang w:val="zh-CN"/>
        </w:rPr>
        <w:t>元。</w:t>
      </w:r>
    </w:p>
    <w:p w14:paraId="49C13E38">
      <w:pPr>
        <w:spacing w:line="360" w:lineRule="auto"/>
        <w:ind w:firstLine="360"/>
        <w:rPr>
          <w:rFonts w:ascii="宋体" w:hAnsi="宋体"/>
        </w:rPr>
      </w:pPr>
      <w:r>
        <w:rPr>
          <w:rFonts w:hint="eastAsia" w:ascii="宋体" w:hAnsi="宋体"/>
          <w:lang w:val="zh-CN"/>
        </w:rPr>
        <w:t>本合同以人民币进行结算，合同总价包括：产品费、验收费、手续费、包装费、运输费、保险费、安装费、调试费、培训费、售前、售中、售后服务费、税金及不可预见费等全部费用。</w:t>
      </w:r>
    </w:p>
    <w:p w14:paraId="198F64CA">
      <w:pPr>
        <w:spacing w:line="360" w:lineRule="auto"/>
        <w:rPr>
          <w:rFonts w:ascii="宋体" w:hAnsi="宋体"/>
        </w:rPr>
      </w:pPr>
      <w:r>
        <w:rPr>
          <w:rFonts w:hint="eastAsia" w:ascii="宋体" w:hAnsi="宋体"/>
          <w:lang w:val="zh-CN"/>
        </w:rPr>
        <w:t>三、交付时间、地点和要求</w:t>
      </w:r>
    </w:p>
    <w:p w14:paraId="4BD1F907">
      <w:pPr>
        <w:spacing w:line="360" w:lineRule="auto"/>
        <w:rPr>
          <w:rFonts w:ascii="宋体" w:hAnsi="宋体"/>
        </w:rPr>
      </w:pPr>
      <w:r>
        <w:rPr>
          <w:rFonts w:hint="eastAsia" w:ascii="宋体" w:hAnsi="宋体"/>
        </w:rPr>
        <w:t>交付时间、地点和要求：合同签订后，甲方要求的90个工作日内。地点为</w:t>
      </w:r>
      <w:r>
        <w:rPr>
          <w:rFonts w:hint="eastAsia" w:ascii="宋体" w:hAnsi="宋体"/>
          <w:u w:val="single"/>
        </w:rPr>
        <w:t xml:space="preserve">         </w:t>
      </w:r>
      <w:r>
        <w:rPr>
          <w:rFonts w:hint="eastAsia" w:ascii="宋体" w:hAnsi="宋体"/>
        </w:rPr>
        <w:t>，</w:t>
      </w:r>
      <w:r>
        <w:rPr>
          <w:rFonts w:hint="eastAsia" w:ascii="等线" w:hAnsi="等线" w:eastAsia="等线" w:cs="等线"/>
        </w:rPr>
        <w:t>并负责搬运、卸货、安装、调试等，发生费用由乙方承担</w:t>
      </w:r>
      <w:r>
        <w:rPr>
          <w:rFonts w:hint="eastAsia" w:ascii="宋体" w:hAnsi="宋体"/>
        </w:rPr>
        <w:t>。</w:t>
      </w:r>
    </w:p>
    <w:p w14:paraId="6F449457">
      <w:pPr>
        <w:spacing w:line="360" w:lineRule="auto"/>
        <w:rPr>
          <w:rFonts w:ascii="宋体" w:hAnsi="宋体"/>
          <w:lang w:val="zh-CN"/>
        </w:rPr>
      </w:pPr>
      <w:r>
        <w:rPr>
          <w:rFonts w:hint="eastAsia" w:ascii="宋体" w:hAnsi="宋体"/>
          <w:lang w:val="zh-CN"/>
        </w:rPr>
        <w:t>四、付款方式</w:t>
      </w:r>
    </w:p>
    <w:p w14:paraId="6CDDBA37">
      <w:pPr>
        <w:spacing w:line="360" w:lineRule="auto"/>
        <w:ind w:left="960" w:hanging="240"/>
        <w:rPr>
          <w:rFonts w:ascii="宋体" w:hAnsi="宋体" w:cs="宋体"/>
        </w:rPr>
      </w:pPr>
      <w:bookmarkStart w:id="48" w:name="_Hlk121720749"/>
      <w:r>
        <w:rPr>
          <w:rFonts w:hint="eastAsia" w:ascii="宋体" w:hAnsi="宋体" w:cs="宋体"/>
        </w:rPr>
        <w:t>甲乙双方合同签订后，甲方向乙方支付合同总价款的</w:t>
      </w:r>
      <w:r>
        <w:rPr>
          <w:rFonts w:hint="eastAsia" w:ascii="宋体" w:hAnsi="宋体" w:cs="宋体"/>
          <w:u w:val="single"/>
        </w:rPr>
        <w:t xml:space="preserve">    %</w:t>
      </w:r>
      <w:r>
        <w:rPr>
          <w:rFonts w:hint="eastAsia" w:ascii="宋体" w:hAnsi="宋体" w:cs="宋体"/>
        </w:rPr>
        <w:t>，即人民币</w:t>
      </w:r>
    </w:p>
    <w:p w14:paraId="438784D0">
      <w:pPr>
        <w:spacing w:line="360" w:lineRule="auto"/>
        <w:rPr>
          <w:rFonts w:ascii="宋体" w:hAnsi="宋体" w:cs="宋体"/>
          <w:lang w:val="zh-CN"/>
        </w:rPr>
      </w:pPr>
      <w:r>
        <w:rPr>
          <w:rFonts w:hint="eastAsia" w:ascii="宋体" w:hAnsi="宋体" w:cs="宋体"/>
        </w:rPr>
        <w:t>（</w:t>
      </w:r>
      <w:r>
        <w:rPr>
          <w:rFonts w:hint="eastAsia" w:ascii="宋体" w:hAnsi="宋体" w:cs="宋体"/>
          <w:u w:val="single"/>
        </w:rPr>
        <w:t xml:space="preserve">小写：      </w:t>
      </w:r>
      <w:r>
        <w:rPr>
          <w:rFonts w:hint="eastAsia" w:ascii="宋体" w:hAnsi="宋体" w:cs="宋体"/>
          <w:b/>
          <w:bCs/>
          <w:u w:val="single"/>
        </w:rPr>
        <w:t>元整，大写：       元整）</w:t>
      </w:r>
      <w:r>
        <w:rPr>
          <w:rFonts w:hint="eastAsia" w:ascii="宋体" w:hAnsi="宋体" w:cs="宋体"/>
        </w:rPr>
        <w:t>。</w:t>
      </w:r>
      <w:r>
        <w:rPr>
          <w:rFonts w:hint="eastAsia" w:ascii="宋体" w:hAnsi="宋体" w:cs="宋体"/>
          <w:lang w:val="zh-CN"/>
        </w:rPr>
        <w:t>乙方所交付的产品由甲方报同级财政监管部门，组织到货验收后，按合同金额向乙方支付合同总价款的</w:t>
      </w:r>
      <w:r>
        <w:rPr>
          <w:rFonts w:hint="eastAsia" w:ascii="宋体" w:hAnsi="宋体" w:cs="宋体"/>
          <w:u w:val="single"/>
        </w:rPr>
        <w:t xml:space="preserve">     </w:t>
      </w:r>
      <w:r>
        <w:rPr>
          <w:rFonts w:hint="eastAsia" w:ascii="宋体" w:hAnsi="宋体" w:cs="宋体"/>
          <w:u w:val="single"/>
          <w:lang w:val="zh-CN"/>
        </w:rPr>
        <w:t>%</w:t>
      </w:r>
      <w:r>
        <w:rPr>
          <w:rFonts w:hint="eastAsia" w:ascii="宋体" w:hAnsi="宋体" w:cs="宋体"/>
          <w:lang w:val="zh-CN"/>
        </w:rPr>
        <w:t>，</w:t>
      </w:r>
      <w:r>
        <w:rPr>
          <w:rFonts w:hint="eastAsia" w:ascii="宋体" w:hAnsi="宋体" w:cs="宋体"/>
        </w:rPr>
        <w:t>即人民币（</w:t>
      </w:r>
      <w:r>
        <w:rPr>
          <w:rFonts w:hint="eastAsia" w:ascii="宋体" w:hAnsi="宋体" w:cs="宋体"/>
          <w:u w:val="single"/>
        </w:rPr>
        <w:t>小写：</w:t>
      </w:r>
      <w:r>
        <w:rPr>
          <w:rFonts w:hint="eastAsia" w:ascii="宋体" w:hAnsi="宋体" w:cs="宋体"/>
          <w:b/>
          <w:bCs/>
          <w:u w:val="single"/>
        </w:rPr>
        <w:t xml:space="preserve">      元整，大写：         元整）</w:t>
      </w:r>
      <w:r>
        <w:rPr>
          <w:rFonts w:hint="eastAsia" w:ascii="宋体" w:hAnsi="宋体" w:cs="宋体"/>
          <w:lang w:val="zh-CN"/>
        </w:rPr>
        <w:t>。</w:t>
      </w:r>
    </w:p>
    <w:p w14:paraId="7CE5D7A0">
      <w:pPr>
        <w:spacing w:line="360" w:lineRule="auto"/>
        <w:rPr>
          <w:rFonts w:ascii="宋体" w:hAnsi="宋体" w:cs="宋体"/>
          <w:lang w:val="zh-CN"/>
        </w:rPr>
      </w:pPr>
      <w:r>
        <w:rPr>
          <w:rFonts w:hint="eastAsia" w:ascii="宋体" w:hAnsi="宋体" w:cs="宋体"/>
          <w:lang w:val="zh-CN"/>
        </w:rPr>
        <w:t>乙方向甲方提交合同总额的</w:t>
      </w:r>
      <w:r>
        <w:rPr>
          <w:rFonts w:hint="eastAsia" w:ascii="宋体" w:hAnsi="宋体" w:cs="宋体"/>
          <w:u w:val="single"/>
        </w:rPr>
        <w:t xml:space="preserve">  </w:t>
      </w:r>
      <w:r>
        <w:rPr>
          <w:rFonts w:hint="eastAsia" w:ascii="宋体" w:hAnsi="宋体" w:cs="宋体"/>
          <w:u w:val="single"/>
          <w:lang w:val="zh-CN"/>
        </w:rPr>
        <w:t>%</w:t>
      </w:r>
      <w:r>
        <w:rPr>
          <w:rFonts w:hint="eastAsia" w:ascii="宋体" w:hAnsi="宋体" w:cs="宋体"/>
          <w:lang w:val="zh-CN"/>
        </w:rPr>
        <w:t>，的履约保证金</w:t>
      </w:r>
      <w:r>
        <w:rPr>
          <w:rFonts w:hint="eastAsia" w:ascii="宋体" w:hAnsi="宋体" w:cs="宋体"/>
        </w:rPr>
        <w:t>即人民币（</w:t>
      </w:r>
      <w:r>
        <w:rPr>
          <w:rFonts w:hint="eastAsia" w:ascii="宋体" w:hAnsi="宋体" w:cs="宋体"/>
          <w:u w:val="single"/>
        </w:rPr>
        <w:t>小写：</w:t>
      </w:r>
      <w:r>
        <w:rPr>
          <w:rFonts w:hint="eastAsia" w:ascii="宋体" w:hAnsi="宋体" w:cs="宋体"/>
          <w:b/>
          <w:bCs/>
          <w:u w:val="single"/>
        </w:rPr>
        <w:t xml:space="preserve">       元整，大写：         元整</w:t>
      </w:r>
      <w:r>
        <w:rPr>
          <w:rFonts w:hint="eastAsia" w:ascii="宋体" w:hAnsi="宋体" w:cs="宋体"/>
          <w:u w:val="single"/>
        </w:rPr>
        <w:t>）</w:t>
      </w:r>
      <w:r>
        <w:rPr>
          <w:rFonts w:hint="eastAsia" w:ascii="宋体" w:hAnsi="宋体" w:cs="宋体"/>
          <w:lang w:val="zh-CN"/>
        </w:rPr>
        <w:t>转为质量保证金。质量保证金待约定的免费质保期满（</w:t>
      </w:r>
      <w:r>
        <w:rPr>
          <w:rFonts w:hint="eastAsia" w:ascii="宋体" w:hAnsi="宋体" w:cs="宋体"/>
          <w:u w:val="single"/>
          <w:lang w:val="zh-CN"/>
        </w:rPr>
        <w:t xml:space="preserve">   年</w:t>
      </w:r>
      <w:r>
        <w:rPr>
          <w:rFonts w:hint="eastAsia" w:ascii="宋体" w:hAnsi="宋体" w:cs="宋体"/>
          <w:lang w:val="zh-CN"/>
        </w:rPr>
        <w:t>）且产品无质量问题后，由乙方提出书面申请，</w:t>
      </w:r>
      <w:bookmarkStart w:id="49" w:name="_Hlk121345282"/>
      <w:r>
        <w:rPr>
          <w:rFonts w:hint="eastAsia" w:ascii="宋体" w:hAnsi="宋体" w:cs="宋体"/>
          <w:lang w:val="zh-CN"/>
        </w:rPr>
        <w:t>甲方以转账方式予以退还，</w:t>
      </w:r>
      <w:bookmarkEnd w:id="48"/>
      <w:r>
        <w:rPr>
          <w:rFonts w:hint="eastAsia" w:ascii="宋体" w:hAnsi="宋体" w:cs="宋体"/>
          <w:lang w:val="zh-CN"/>
        </w:rPr>
        <w:t>不计利息。</w:t>
      </w:r>
    </w:p>
    <w:p w14:paraId="7E7BA3FD">
      <w:pPr>
        <w:spacing w:line="360" w:lineRule="auto"/>
        <w:rPr>
          <w:rFonts w:ascii="宋体" w:hAnsi="宋体" w:cs="宋体"/>
          <w:u w:val="single"/>
        </w:rPr>
      </w:pPr>
      <w:r>
        <w:rPr>
          <w:rFonts w:hint="eastAsia" w:ascii="宋体" w:hAnsi="宋体" w:cs="宋体"/>
          <w:lang w:val="zh-CN"/>
        </w:rPr>
        <w:t>以上外汇汇率汇差由乙方负担。</w:t>
      </w:r>
    </w:p>
    <w:bookmarkEnd w:id="49"/>
    <w:p w14:paraId="008E5E34">
      <w:pPr>
        <w:pStyle w:val="211"/>
        <w:tabs>
          <w:tab w:val="left" w:pos="360"/>
        </w:tabs>
        <w:rPr>
          <w:rFonts w:ascii="宋体" w:hAnsi="宋体" w:cs="宋体"/>
          <w:lang w:val="zh-CN"/>
        </w:rPr>
      </w:pPr>
      <w:r>
        <w:rPr>
          <w:rFonts w:hint="eastAsia" w:ascii="宋体" w:hAnsi="宋体" w:cs="宋体"/>
          <w:lang w:val="zh-CN"/>
        </w:rPr>
        <w:t>五、质量保修范围和保修期</w:t>
      </w:r>
    </w:p>
    <w:p w14:paraId="2B642D0C">
      <w:pPr>
        <w:pStyle w:val="211"/>
        <w:tabs>
          <w:tab w:val="left" w:pos="360"/>
        </w:tabs>
        <w:spacing w:line="360" w:lineRule="auto"/>
        <w:ind w:firstLine="480"/>
        <w:rPr>
          <w:rFonts w:ascii="宋体" w:hAnsi="宋体" w:cs="宋体"/>
          <w:lang w:val="zh-CN"/>
        </w:rPr>
      </w:pPr>
      <w:r>
        <w:rPr>
          <w:rFonts w:hint="eastAsia" w:ascii="宋体" w:hAnsi="宋体" w:cs="宋体"/>
          <w:lang w:val="zh-CN"/>
        </w:rPr>
        <w:t>自验收合格之日起</w:t>
      </w:r>
      <w:r>
        <w:rPr>
          <w:rFonts w:hint="eastAsia" w:ascii="宋体" w:hAnsi="宋体" w:cs="宋体"/>
          <w:u w:val="single"/>
        </w:rPr>
        <w:t xml:space="preserve">   </w:t>
      </w:r>
      <w:r>
        <w:rPr>
          <w:rFonts w:hint="eastAsia" w:ascii="宋体" w:hAnsi="宋体" w:cs="宋体"/>
          <w:lang w:val="zh-CN"/>
        </w:rPr>
        <w:t>年，提供免费维护及保养服务，终身维修。在保修期内，设备质量问题免费维修；在保修期外，非正常使用造成的设备故障，只收取维修成本费。</w:t>
      </w:r>
    </w:p>
    <w:p w14:paraId="5B375020">
      <w:pPr>
        <w:spacing w:line="360" w:lineRule="auto"/>
        <w:rPr>
          <w:rFonts w:ascii="宋体" w:hAnsi="宋体" w:cs="宋体"/>
          <w:lang w:val="zh-CN"/>
        </w:rPr>
      </w:pPr>
      <w:r>
        <w:rPr>
          <w:rFonts w:hint="eastAsia" w:ascii="宋体" w:hAnsi="宋体" w:cs="宋体"/>
          <w:lang w:val="zh-CN"/>
        </w:rPr>
        <w:t>六、合同的变更、终止与转让</w:t>
      </w:r>
    </w:p>
    <w:p w14:paraId="37FB998C">
      <w:pPr>
        <w:spacing w:line="360" w:lineRule="auto"/>
        <w:ind w:firstLine="360"/>
        <w:rPr>
          <w:rFonts w:ascii="宋体" w:hAnsi="宋体" w:cs="宋体"/>
          <w:lang w:val="zh-CN"/>
        </w:rPr>
      </w:pPr>
      <w:r>
        <w:rPr>
          <w:rFonts w:hint="eastAsia" w:ascii="宋体" w:hAnsi="宋体" w:cs="宋体"/>
          <w:lang w:val="zh-CN"/>
        </w:rPr>
        <w:t>1.除《中华人民共和国政府采购法》第50条规定的情形外，本合同一经签订，甲乙双方不得擅自变更、中止或终止。</w:t>
      </w:r>
    </w:p>
    <w:p w14:paraId="46F7BAB7">
      <w:pPr>
        <w:spacing w:line="360" w:lineRule="auto"/>
        <w:ind w:firstLine="360"/>
        <w:rPr>
          <w:rFonts w:ascii="宋体" w:hAnsi="宋体" w:cs="宋体"/>
          <w:lang w:val="zh-CN"/>
        </w:rPr>
      </w:pPr>
      <w:r>
        <w:rPr>
          <w:rFonts w:hint="eastAsia" w:ascii="宋体" w:hAnsi="宋体" w:cs="宋体"/>
          <w:lang w:val="zh-CN"/>
        </w:rPr>
        <w:t>2.乙方不得擅自转让其应履行的合同义务。</w:t>
      </w:r>
    </w:p>
    <w:p w14:paraId="72386A12">
      <w:pPr>
        <w:spacing w:line="360" w:lineRule="auto"/>
        <w:rPr>
          <w:rFonts w:ascii="宋体" w:hAnsi="宋体" w:cs="宋体"/>
          <w:lang w:val="zh-CN"/>
        </w:rPr>
      </w:pPr>
      <w:r>
        <w:rPr>
          <w:rFonts w:hint="eastAsia" w:ascii="宋体" w:hAnsi="宋体" w:cs="宋体"/>
          <w:lang w:val="zh-CN"/>
        </w:rPr>
        <w:t>七、违约责任</w:t>
      </w:r>
    </w:p>
    <w:p w14:paraId="4B198FE5">
      <w:pPr>
        <w:spacing w:line="360" w:lineRule="auto"/>
        <w:rPr>
          <w:rFonts w:ascii="宋体" w:hAnsi="宋体" w:cs="宋体"/>
          <w:lang w:val="zh-CN"/>
        </w:rPr>
      </w:pPr>
      <w:r>
        <w:rPr>
          <w:rFonts w:hint="eastAsia" w:ascii="宋体" w:hAnsi="宋体" w:cs="宋体"/>
          <w:lang w:val="zh-CN"/>
        </w:rPr>
        <w:t>①乙方所提供的产品规格、技术标准、材料等质量不合格的，应及时更换；更换不及时的，按逾期交货处罚；因质量问题甲方不同意接收的，质保金全额扣除，并由乙方赔偿由此引起的甲方的一切经济损失。</w:t>
      </w:r>
    </w:p>
    <w:p w14:paraId="45C1851A">
      <w:pPr>
        <w:spacing w:line="360" w:lineRule="auto"/>
        <w:rPr>
          <w:rFonts w:ascii="宋体" w:hAnsi="宋体" w:cs="宋体"/>
          <w:lang w:val="zh-CN"/>
        </w:rPr>
      </w:pPr>
      <w:r>
        <w:rPr>
          <w:rFonts w:hint="eastAsia" w:ascii="宋体" w:hAnsi="宋体" w:cs="宋体"/>
          <w:lang w:val="zh-CN"/>
        </w:rPr>
        <w:t>②乙方提供的货物如侵犯了第三方权益而引发纠纷或诉讼的，均由乙方负责交涉并承担全部责任。</w:t>
      </w:r>
    </w:p>
    <w:p w14:paraId="43405506">
      <w:pPr>
        <w:spacing w:line="360" w:lineRule="auto"/>
        <w:rPr>
          <w:rFonts w:ascii="宋体" w:hAnsi="宋体" w:cs="宋体"/>
          <w:lang w:val="zh-CN"/>
        </w:rPr>
      </w:pPr>
      <w:r>
        <w:rPr>
          <w:rFonts w:hint="eastAsia" w:ascii="宋体" w:hAnsi="宋体" w:cs="宋体"/>
          <w:lang w:val="zh-CN"/>
        </w:rPr>
        <w:t>③因包装、运输引起的货物损坏，按质量不合格处罚。</w:t>
      </w:r>
    </w:p>
    <w:p w14:paraId="572D085B">
      <w:pPr>
        <w:spacing w:line="360" w:lineRule="auto"/>
        <w:rPr>
          <w:rFonts w:ascii="宋体" w:hAnsi="宋体" w:cs="宋体"/>
          <w:lang w:val="zh-CN"/>
        </w:rPr>
      </w:pPr>
      <w:r>
        <w:rPr>
          <w:rFonts w:hint="eastAsia" w:ascii="宋体" w:hAnsi="宋体" w:cs="宋体"/>
          <w:lang w:val="zh-CN"/>
        </w:rPr>
        <w:t>④甲方无故延期接受货物</w:t>
      </w:r>
      <w:r>
        <w:rPr>
          <w:rFonts w:hint="eastAsia" w:ascii="宋体" w:hAnsi="宋体" w:cs="宋体"/>
        </w:rPr>
        <w:t>或</w:t>
      </w:r>
      <w:r>
        <w:rPr>
          <w:rFonts w:hint="eastAsia" w:ascii="宋体" w:hAnsi="宋体" w:cs="宋体"/>
          <w:lang w:val="zh-CN"/>
        </w:rPr>
        <w:t>乙方逾期交货的，每天应向对方偿付未交货物的货款3‰的违约金，但违约金累计不得超过违约货款的5%，超过30天对方有权解除合同，违约方承担因此给对方造成的经济损失。</w:t>
      </w:r>
    </w:p>
    <w:p w14:paraId="3E6CF664">
      <w:pPr>
        <w:spacing w:line="360" w:lineRule="auto"/>
        <w:rPr>
          <w:rFonts w:ascii="宋体" w:hAnsi="宋体" w:cs="宋体"/>
          <w:lang w:val="zh-CN"/>
        </w:rPr>
      </w:pPr>
      <w:r>
        <w:rPr>
          <w:rFonts w:hint="eastAsia" w:ascii="宋体" w:hAnsi="宋体" w:cs="宋体"/>
          <w:lang w:val="zh-CN"/>
        </w:rPr>
        <w:t>⑤乙方未按本合同和响应文件中规定的服务承诺提供售后服务的，乙方应按本合同合计金额的5%向甲方支付违约金。</w:t>
      </w:r>
    </w:p>
    <w:p w14:paraId="670C6CD3">
      <w:pPr>
        <w:spacing w:line="360" w:lineRule="auto"/>
        <w:rPr>
          <w:rFonts w:ascii="宋体" w:hAnsi="宋体" w:cs="宋体"/>
          <w:lang w:val="zh-CN"/>
        </w:rPr>
      </w:pPr>
      <w:r>
        <w:rPr>
          <w:rFonts w:hint="eastAsia" w:ascii="宋体" w:hAnsi="宋体" w:cs="宋体"/>
          <w:lang w:val="zh-CN"/>
        </w:rPr>
        <w:t>⑥乙方提供的货物在质量保证期内，因设计、工艺或材料的缺陷和其它质量原因造成的问题，由乙方负责，费用从合同款中扣除，不足另补。</w:t>
      </w:r>
    </w:p>
    <w:p w14:paraId="72AB2C10">
      <w:pPr>
        <w:spacing w:line="360" w:lineRule="auto"/>
        <w:rPr>
          <w:rFonts w:ascii="宋体" w:hAnsi="宋体" w:cs="宋体"/>
          <w:lang w:val="zh-CN"/>
        </w:rPr>
      </w:pPr>
      <w:r>
        <w:rPr>
          <w:rFonts w:hint="eastAsia" w:ascii="宋体" w:hAnsi="宋体" w:cs="宋体"/>
          <w:lang w:val="zh-CN"/>
        </w:rPr>
        <w:t>⑦其它违约行为按违约货款额5%收取违约金并赔偿经济损失。</w:t>
      </w:r>
    </w:p>
    <w:p w14:paraId="3C3EA24A">
      <w:pPr>
        <w:spacing w:line="360" w:lineRule="auto"/>
        <w:rPr>
          <w:rFonts w:ascii="宋体" w:hAnsi="宋体" w:cs="宋体"/>
          <w:lang w:val="zh-CN"/>
        </w:rPr>
      </w:pPr>
      <w:r>
        <w:rPr>
          <w:rFonts w:hint="eastAsia" w:ascii="宋体" w:hAnsi="宋体" w:cs="宋体"/>
          <w:lang w:val="zh-CN"/>
        </w:rPr>
        <w:t>八、不可抗力</w:t>
      </w:r>
    </w:p>
    <w:p w14:paraId="6EE5A6B0">
      <w:pPr>
        <w:spacing w:line="360" w:lineRule="auto"/>
        <w:ind w:firstLine="360"/>
        <w:rPr>
          <w:rFonts w:ascii="宋体" w:hAnsi="宋体" w:cs="宋体"/>
          <w:lang w:val="zh-CN"/>
        </w:rPr>
      </w:pPr>
      <w:r>
        <w:rPr>
          <w:rFonts w:hint="eastAsia" w:ascii="宋体" w:hAnsi="宋体" w:cs="宋体"/>
          <w:lang w:val="zh-CN"/>
        </w:rPr>
        <w:t>不可抗力使合同的某些内容有变更必要的，双方应通过协商在10天内达成进一步履行合同的协议，因不可抗力致使合同不能履行的，合同终止。除法律、法规规定的不可抗力情形外，双方约定出现无情况亦视为不可抗力。</w:t>
      </w:r>
    </w:p>
    <w:p w14:paraId="4998D372">
      <w:pPr>
        <w:spacing w:line="360" w:lineRule="auto"/>
        <w:rPr>
          <w:rFonts w:ascii="宋体" w:hAnsi="宋体" w:cs="宋体"/>
          <w:lang w:val="zh-CN"/>
        </w:rPr>
      </w:pPr>
      <w:r>
        <w:rPr>
          <w:rFonts w:hint="eastAsia" w:ascii="宋体" w:hAnsi="宋体" w:cs="宋体"/>
          <w:lang w:val="zh-CN"/>
        </w:rPr>
        <w:t>九、知识产权：乙方承诺所提供产品在中国境内不受任何第三方对甲方的知识产权追索。其他详见合同通用条款。</w:t>
      </w:r>
    </w:p>
    <w:p w14:paraId="09F99797">
      <w:pPr>
        <w:spacing w:line="360" w:lineRule="auto"/>
        <w:rPr>
          <w:rFonts w:ascii="宋体" w:hAnsi="宋体" w:cs="宋体"/>
          <w:lang w:val="zh-CN"/>
        </w:rPr>
      </w:pPr>
      <w:r>
        <w:rPr>
          <w:rFonts w:hint="eastAsia" w:ascii="宋体" w:hAnsi="宋体" w:cs="宋体"/>
          <w:lang w:val="zh-CN"/>
        </w:rPr>
        <w:t>十、其他约定：</w:t>
      </w:r>
    </w:p>
    <w:p w14:paraId="5A790DE9">
      <w:pPr>
        <w:spacing w:line="360" w:lineRule="auto"/>
        <w:rPr>
          <w:rFonts w:ascii="宋体" w:hAnsi="宋体" w:cs="宋体"/>
          <w:lang w:val="zh-CN"/>
        </w:rPr>
      </w:pPr>
      <w:r>
        <w:rPr>
          <w:rFonts w:hint="eastAsia" w:ascii="宋体" w:hAnsi="宋体" w:cs="宋体"/>
          <w:lang w:val="zh-CN"/>
        </w:rPr>
        <w:t>十、合同争议解决</w:t>
      </w:r>
    </w:p>
    <w:p w14:paraId="5AAE198E">
      <w:pPr>
        <w:spacing w:line="360" w:lineRule="auto"/>
        <w:ind w:firstLine="360"/>
        <w:rPr>
          <w:rFonts w:ascii="宋体" w:hAnsi="宋体" w:cs="宋体"/>
          <w:lang w:val="zh-CN"/>
        </w:rPr>
      </w:pPr>
      <w:r>
        <w:rPr>
          <w:rFonts w:hint="eastAsia" w:ascii="宋体" w:hAnsi="宋体" w:cs="宋体"/>
          <w:lang w:val="zh-CN"/>
        </w:rPr>
        <w:t>1.因产品质量问题发生争议的，应邀请国家认可的质量检测机构进行鉴定。产品符合标准的，鉴定费由甲方承担；产品不符合标准的，鉴定费由乙方承担。</w:t>
      </w:r>
    </w:p>
    <w:p w14:paraId="219EE980">
      <w:pPr>
        <w:spacing w:line="360" w:lineRule="auto"/>
        <w:ind w:firstLine="360"/>
        <w:rPr>
          <w:rFonts w:ascii="宋体" w:hAnsi="宋体" w:cs="宋体"/>
          <w:lang w:val="zh-CN"/>
        </w:rPr>
      </w:pPr>
      <w:r>
        <w:rPr>
          <w:rFonts w:hint="eastAsia" w:ascii="宋体" w:hAnsi="宋体" w:cs="宋体"/>
          <w:lang w:val="zh-CN"/>
        </w:rPr>
        <w:t>2.因履行本合同引起的或与本合同有关的争议，甲乙双方应首先通过友好协商解决，如果协商不能解决，可向甲方所在地人民法院提起诉讼。</w:t>
      </w:r>
    </w:p>
    <w:p w14:paraId="6FA41128">
      <w:pPr>
        <w:spacing w:line="360" w:lineRule="auto"/>
        <w:ind w:firstLine="360"/>
        <w:rPr>
          <w:rFonts w:ascii="宋体" w:hAnsi="宋体" w:cs="宋体"/>
          <w:lang w:val="zh-CN"/>
        </w:rPr>
      </w:pPr>
      <w:r>
        <w:rPr>
          <w:rFonts w:hint="eastAsia" w:ascii="宋体" w:hAnsi="宋体" w:cs="宋体"/>
          <w:lang w:val="zh-CN"/>
        </w:rPr>
        <w:t>3.诉讼期间，本合同继续履行。</w:t>
      </w:r>
    </w:p>
    <w:p w14:paraId="08F82753">
      <w:pPr>
        <w:spacing w:line="360" w:lineRule="auto"/>
        <w:rPr>
          <w:rFonts w:ascii="宋体" w:hAnsi="宋体" w:cs="宋体"/>
          <w:lang w:val="zh-CN"/>
        </w:rPr>
      </w:pPr>
      <w:r>
        <w:rPr>
          <w:rFonts w:hint="eastAsia" w:ascii="宋体" w:hAnsi="宋体" w:cs="宋体"/>
          <w:lang w:val="zh-CN"/>
        </w:rPr>
        <w:t>十一、合同生效及其它：</w:t>
      </w:r>
    </w:p>
    <w:p w14:paraId="2C9335F2">
      <w:pPr>
        <w:spacing w:line="360" w:lineRule="auto"/>
        <w:ind w:firstLine="360"/>
        <w:rPr>
          <w:rFonts w:ascii="宋体" w:hAnsi="宋体" w:cs="宋体"/>
          <w:lang w:val="zh-CN"/>
        </w:rPr>
      </w:pPr>
      <w:r>
        <w:rPr>
          <w:rFonts w:hint="eastAsia" w:ascii="宋体" w:hAnsi="宋体" w:cs="宋体"/>
          <w:lang w:val="zh-CN"/>
        </w:rPr>
        <w:t>1.本合同一式十份，经双方签字，并加盖公章即为生效。</w:t>
      </w:r>
    </w:p>
    <w:p w14:paraId="6A16A7FA">
      <w:pPr>
        <w:spacing w:line="360" w:lineRule="auto"/>
        <w:ind w:firstLine="360"/>
        <w:rPr>
          <w:rFonts w:ascii="宋体" w:hAnsi="宋体" w:cs="宋体"/>
          <w:lang w:val="zh-CN"/>
        </w:rPr>
      </w:pPr>
      <w:r>
        <w:rPr>
          <w:rFonts w:hint="eastAsia" w:ascii="宋体" w:hAnsi="宋体" w:cs="宋体"/>
          <w:lang w:val="zh-CN"/>
        </w:rPr>
        <w:t>2.本合同未尽事宜，按《中华人民共和国民法典》有关规定处理。</w:t>
      </w:r>
    </w:p>
    <w:p w14:paraId="5ABFB5A7">
      <w:pPr>
        <w:spacing w:line="360" w:lineRule="auto"/>
        <w:ind w:firstLine="360"/>
        <w:rPr>
          <w:rFonts w:ascii="宋体" w:hAnsi="宋体" w:cs="宋体"/>
          <w:lang w:val="zh-CN"/>
        </w:rPr>
      </w:pPr>
      <w:r>
        <w:rPr>
          <w:rFonts w:hint="eastAsia" w:ascii="宋体" w:hAnsi="宋体" w:cs="宋体"/>
          <w:lang w:val="zh-CN"/>
        </w:rPr>
        <w:t>3.本合同的组成包含《合同通用条款》。</w:t>
      </w:r>
    </w:p>
    <w:p w14:paraId="3FD518D5">
      <w:pPr>
        <w:spacing w:line="360" w:lineRule="auto"/>
        <w:rPr>
          <w:rFonts w:ascii="宋体" w:hAnsi="宋体" w:cs="宋体"/>
          <w:lang w:val="zh-CN"/>
        </w:rPr>
      </w:pPr>
      <w:r>
        <w:rPr>
          <w:rFonts w:hint="eastAsia" w:ascii="宋体" w:hAnsi="宋体" w:cs="宋体"/>
          <w:lang w:val="zh-CN"/>
        </w:rPr>
        <w:t>甲方（盖章）：                         乙方（盖章）：</w:t>
      </w:r>
    </w:p>
    <w:p w14:paraId="3C123653">
      <w:pPr>
        <w:spacing w:line="360" w:lineRule="auto"/>
        <w:rPr>
          <w:rFonts w:ascii="宋体" w:hAnsi="宋体" w:cs="宋体"/>
          <w:lang w:val="zh-CN"/>
        </w:rPr>
      </w:pPr>
      <w:r>
        <w:rPr>
          <w:rFonts w:hint="eastAsia" w:ascii="宋体" w:hAnsi="宋体" w:cs="宋体"/>
          <w:lang w:val="zh-CN"/>
        </w:rPr>
        <w:t>法定代表人或委托代理人：               法定代表人或委托代理人：</w:t>
      </w:r>
    </w:p>
    <w:p w14:paraId="5E10B753">
      <w:pPr>
        <w:spacing w:line="360" w:lineRule="auto"/>
        <w:rPr>
          <w:rFonts w:ascii="宋体" w:hAnsi="宋体" w:cs="宋体"/>
          <w:lang w:val="zh-CN"/>
        </w:rPr>
      </w:pPr>
      <w:r>
        <w:rPr>
          <w:rFonts w:hint="eastAsia" w:ascii="宋体" w:hAnsi="宋体" w:cs="宋体"/>
          <w:lang w:val="zh-CN"/>
        </w:rPr>
        <w:t xml:space="preserve">                                       开户银行：</w:t>
      </w:r>
    </w:p>
    <w:p w14:paraId="45F17714">
      <w:pPr>
        <w:spacing w:line="360" w:lineRule="auto"/>
        <w:rPr>
          <w:rFonts w:ascii="宋体" w:hAnsi="宋体" w:cs="宋体"/>
          <w:lang w:val="zh-CN"/>
        </w:rPr>
      </w:pPr>
      <w:r>
        <w:rPr>
          <w:rFonts w:hint="eastAsia" w:ascii="宋体" w:hAnsi="宋体" w:cs="宋体"/>
          <w:lang w:val="zh-CN"/>
        </w:rPr>
        <w:t xml:space="preserve">                                       账号：</w:t>
      </w:r>
    </w:p>
    <w:p w14:paraId="6E6B36DD">
      <w:pPr>
        <w:spacing w:line="360" w:lineRule="auto"/>
        <w:rPr>
          <w:rFonts w:ascii="宋体" w:hAnsi="宋体" w:cs="宋体"/>
          <w:lang w:val="zh-CN"/>
        </w:rPr>
      </w:pPr>
      <w:r>
        <w:rPr>
          <w:rFonts w:hint="eastAsia" w:ascii="宋体" w:hAnsi="宋体" w:cs="宋体"/>
          <w:lang w:val="zh-CN"/>
        </w:rPr>
        <w:t>地址：                                 地址：</w:t>
      </w:r>
    </w:p>
    <w:p w14:paraId="093BE14B">
      <w:pPr>
        <w:spacing w:line="360" w:lineRule="auto"/>
        <w:rPr>
          <w:rFonts w:ascii="宋体" w:hAnsi="宋体" w:cs="宋体"/>
          <w:lang w:val="zh-CN"/>
        </w:rPr>
      </w:pPr>
      <w:r>
        <w:rPr>
          <w:rFonts w:hint="eastAsia" w:ascii="宋体" w:hAnsi="宋体" w:cs="宋体"/>
          <w:lang w:val="zh-CN"/>
        </w:rPr>
        <w:t>联系电话：                             联系电话：</w:t>
      </w:r>
    </w:p>
    <w:p w14:paraId="7448FAB7">
      <w:pPr>
        <w:spacing w:line="360" w:lineRule="auto"/>
        <w:ind w:firstLine="1320"/>
        <w:rPr>
          <w:rFonts w:ascii="宋体" w:hAnsi="宋体" w:cs="宋体"/>
          <w:lang w:val="zh-CN"/>
        </w:rPr>
      </w:pPr>
      <w:r>
        <w:rPr>
          <w:rFonts w:hint="eastAsia" w:ascii="宋体" w:hAnsi="宋体" w:cs="宋体"/>
          <w:lang w:val="zh-CN"/>
        </w:rPr>
        <w:t>签约时间：    年    月    日</w:t>
      </w:r>
    </w:p>
    <w:p w14:paraId="61621119">
      <w:pPr>
        <w:spacing w:after="156" w:line="360" w:lineRule="auto"/>
        <w:jc w:val="center"/>
        <w:rPr>
          <w:rFonts w:ascii="宋体" w:hAnsi="宋体" w:cs="Arial"/>
          <w:bCs/>
          <w:color w:val="000000"/>
        </w:rPr>
      </w:pPr>
    </w:p>
    <w:p w14:paraId="5B904965">
      <w:pPr>
        <w:spacing w:after="156" w:line="360" w:lineRule="auto"/>
        <w:jc w:val="center"/>
        <w:rPr>
          <w:rFonts w:ascii="宋体" w:hAnsi="宋体" w:cs="Arial"/>
          <w:bCs/>
          <w:color w:val="000000"/>
          <w:lang w:val="zh-CN"/>
        </w:rPr>
      </w:pPr>
    </w:p>
    <w:p w14:paraId="1593B1CE">
      <w:pPr>
        <w:spacing w:after="156" w:line="360" w:lineRule="auto"/>
        <w:jc w:val="center"/>
        <w:rPr>
          <w:rFonts w:ascii="宋体" w:hAnsi="宋体" w:cs="Arial"/>
          <w:bCs/>
          <w:color w:val="000000"/>
          <w:lang w:val="zh-CN"/>
        </w:rPr>
      </w:pPr>
    </w:p>
    <w:p w14:paraId="5E8E6AAB">
      <w:pPr>
        <w:spacing w:after="156" w:line="360" w:lineRule="auto"/>
        <w:jc w:val="center"/>
        <w:rPr>
          <w:rFonts w:ascii="宋体" w:hAnsi="宋体" w:cs="Arial"/>
          <w:bCs/>
          <w:color w:val="000000"/>
        </w:rPr>
      </w:pPr>
      <w:r>
        <w:rPr>
          <w:rFonts w:hint="eastAsia" w:ascii="宋体" w:hAnsi="宋体" w:cs="Arial"/>
          <w:bCs/>
          <w:color w:val="000000"/>
          <w:lang w:val="zh-CN"/>
        </w:rPr>
        <w:br w:type="page"/>
      </w:r>
      <w:r>
        <w:rPr>
          <w:rFonts w:hint="eastAsia" w:ascii="宋体" w:hAnsi="宋体" w:cs="Arial"/>
          <w:bCs/>
          <w:color w:val="000000"/>
          <w:lang w:val="zh-CN"/>
        </w:rPr>
        <w:t>合同通用条款</w:t>
      </w:r>
    </w:p>
    <w:p w14:paraId="51E8BE8E">
      <w:pPr>
        <w:spacing w:line="360" w:lineRule="auto"/>
        <w:ind w:firstLine="480"/>
        <w:rPr>
          <w:rFonts w:ascii="宋体" w:hAnsi="宋体" w:cs="Arial"/>
          <w:color w:val="000000"/>
        </w:rPr>
      </w:pPr>
      <w:r>
        <w:rPr>
          <w:rFonts w:hint="eastAsia" w:ascii="宋体" w:hAnsi="宋体" w:cs="Arial"/>
          <w:color w:val="000000"/>
          <w:lang w:val="zh-CN"/>
        </w:rPr>
        <w:t>根据《中华人民共和国民法典》、《中华人民共和国政府采购法》的规定，合同双方经协商达成一致，自愿订立本合同，遵循公平原则明确双方的权利、义务，确保双方诚实守信地履行合同。</w:t>
      </w:r>
    </w:p>
    <w:p w14:paraId="1510C805">
      <w:pPr>
        <w:spacing w:line="360" w:lineRule="auto"/>
        <w:ind w:firstLine="472"/>
        <w:rPr>
          <w:rFonts w:ascii="宋体" w:hAnsi="宋体" w:cs="Arial"/>
          <w:b/>
          <w:bCs/>
          <w:color w:val="000000"/>
        </w:rPr>
      </w:pPr>
      <w:r>
        <w:rPr>
          <w:rFonts w:hint="eastAsia" w:ascii="宋体" w:hAnsi="宋体" w:cs="Arial"/>
          <w:b/>
          <w:bCs/>
          <w:color w:val="000000"/>
        </w:rPr>
        <w:t>一、</w:t>
      </w:r>
      <w:r>
        <w:rPr>
          <w:rFonts w:hint="eastAsia" w:ascii="宋体" w:hAnsi="宋体" w:cs="Arial"/>
          <w:b/>
          <w:bCs/>
          <w:color w:val="000000"/>
          <w:lang w:val="zh-CN"/>
        </w:rPr>
        <w:t>定义</w:t>
      </w:r>
    </w:p>
    <w:p w14:paraId="028824F6">
      <w:pPr>
        <w:spacing w:line="360" w:lineRule="auto"/>
        <w:ind w:firstLine="480"/>
        <w:rPr>
          <w:rFonts w:ascii="宋体" w:hAnsi="宋体" w:cs="Arial"/>
          <w:color w:val="000000"/>
        </w:rPr>
      </w:pPr>
      <w:r>
        <w:rPr>
          <w:rFonts w:hint="eastAsia" w:ascii="宋体" w:hAnsi="宋体" w:cs="Arial"/>
          <w:color w:val="000000"/>
          <w:lang w:val="zh-CN"/>
        </w:rPr>
        <w:t>本合同中的下列术语应解释为：</w:t>
      </w:r>
    </w:p>
    <w:p w14:paraId="220C1950">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“合同”指甲乙双方签署的、载明的甲乙双方权利义务的协议，包括所有的附件、附录和上述文件所提到的构成合同的所有文件。</w:t>
      </w:r>
    </w:p>
    <w:p w14:paraId="6FCCE16A">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“合同金额”指根据合同规定，乙方在正确地完全履行合同义务后甲方应付给乙方的价款。</w:t>
      </w:r>
    </w:p>
    <w:p w14:paraId="567D2F69">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“合同条款”指本合同条款。</w:t>
      </w:r>
    </w:p>
    <w:p w14:paraId="0E534E41">
      <w:pPr>
        <w:spacing w:line="360" w:lineRule="auto"/>
        <w:ind w:firstLine="48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“货物”指乙方根据合同约定须向甲方提供的一切产品、设备、机械、仪表、备件等，包括辅助工具、使用手册等相关资料。</w:t>
      </w:r>
    </w:p>
    <w:p w14:paraId="6F3544E4">
      <w:pPr>
        <w:spacing w:line="360" w:lineRule="auto"/>
        <w:ind w:firstLine="48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“服务”指根据本合同规定乙方承担与供货有关的辅助服务，如运输、保险及安装、调试、提供技术援助、培训和合同中规定乙方应承担的其它义务。</w:t>
      </w:r>
    </w:p>
    <w:p w14:paraId="266985F9">
      <w:pPr>
        <w:spacing w:line="360" w:lineRule="auto"/>
        <w:ind w:firstLine="480"/>
        <w:rPr>
          <w:rFonts w:ascii="宋体" w:hAnsi="宋体" w:cs="Arial"/>
          <w:color w:val="000000"/>
        </w:rPr>
      </w:pPr>
      <w:r>
        <w:rPr>
          <w:rFonts w:hint="eastAsia" w:ascii="宋体" w:hAnsi="宋体" w:cs="Arial"/>
          <w:color w:val="000000"/>
        </w:rPr>
        <w:t>6、</w:t>
      </w:r>
      <w:r>
        <w:rPr>
          <w:rFonts w:hint="eastAsia" w:ascii="宋体" w:hAnsi="宋体" w:cs="Arial"/>
          <w:color w:val="000000"/>
          <w:lang w:val="zh-CN"/>
        </w:rPr>
        <w:t>“甲方”指购买货物和服务的单位。</w:t>
      </w:r>
    </w:p>
    <w:p w14:paraId="58FBD6B6">
      <w:pPr>
        <w:spacing w:line="360" w:lineRule="auto"/>
        <w:ind w:firstLine="480"/>
        <w:rPr>
          <w:rFonts w:ascii="宋体" w:hAnsi="宋体" w:cs="Arial"/>
          <w:color w:val="000000"/>
        </w:rPr>
      </w:pPr>
      <w:r>
        <w:rPr>
          <w:rFonts w:hint="eastAsia" w:ascii="宋体" w:hAnsi="宋体" w:cs="Arial"/>
          <w:color w:val="000000"/>
        </w:rPr>
        <w:t>7、</w:t>
      </w:r>
      <w:r>
        <w:rPr>
          <w:rFonts w:hint="eastAsia" w:ascii="宋体" w:hAnsi="宋体" w:cs="Arial"/>
          <w:color w:val="000000"/>
          <w:lang w:val="zh-CN"/>
        </w:rPr>
        <w:t>“乙方”指提供本合同条款下货物和服务的公司或其他实体。</w:t>
      </w:r>
    </w:p>
    <w:p w14:paraId="5D198506">
      <w:pPr>
        <w:spacing w:line="360" w:lineRule="auto"/>
        <w:ind w:firstLine="480"/>
        <w:rPr>
          <w:rFonts w:ascii="宋体" w:hAnsi="宋体" w:cs="Arial"/>
          <w:color w:val="000000"/>
        </w:rPr>
      </w:pPr>
      <w:r>
        <w:rPr>
          <w:rFonts w:hint="eastAsia" w:ascii="宋体" w:hAnsi="宋体" w:cs="Arial"/>
          <w:color w:val="000000"/>
        </w:rPr>
        <w:t>8、</w:t>
      </w:r>
      <w:r>
        <w:rPr>
          <w:rFonts w:hint="eastAsia" w:ascii="宋体" w:hAnsi="宋体" w:cs="Arial"/>
          <w:color w:val="000000"/>
          <w:lang w:val="zh-CN"/>
        </w:rPr>
        <w:t>“现场”指合同规定货物将要运至和安装的地点。</w:t>
      </w:r>
    </w:p>
    <w:p w14:paraId="6A470B25">
      <w:pPr>
        <w:spacing w:line="360" w:lineRule="auto"/>
        <w:ind w:firstLine="480"/>
        <w:rPr>
          <w:rFonts w:ascii="宋体" w:hAnsi="宋体" w:cs="Arial"/>
          <w:color w:val="000000"/>
        </w:rPr>
      </w:pPr>
      <w:r>
        <w:rPr>
          <w:rFonts w:hint="eastAsia" w:ascii="宋体" w:hAnsi="宋体" w:cs="Arial"/>
          <w:color w:val="000000"/>
        </w:rPr>
        <w:t>9、</w:t>
      </w:r>
      <w:r>
        <w:rPr>
          <w:rFonts w:hint="eastAsia" w:ascii="宋体" w:hAnsi="宋体" w:cs="Arial"/>
          <w:color w:val="000000"/>
          <w:lang w:val="zh-CN"/>
        </w:rPr>
        <w:t>“验收”指合同双方依据强制性的国家技术质量规范和合同约定，确认合同条款下的货物符合合同规定的活动。</w:t>
      </w:r>
    </w:p>
    <w:p w14:paraId="7E56802C">
      <w:pPr>
        <w:spacing w:line="360" w:lineRule="auto"/>
        <w:ind w:firstLine="480"/>
        <w:rPr>
          <w:rFonts w:ascii="宋体" w:hAnsi="宋体" w:cs="Arial"/>
          <w:color w:val="000000"/>
        </w:rPr>
      </w:pPr>
      <w:r>
        <w:rPr>
          <w:rFonts w:hint="eastAsia" w:ascii="宋体" w:hAnsi="宋体" w:cs="Arial"/>
          <w:color w:val="000000"/>
        </w:rPr>
        <w:t>10、</w:t>
      </w:r>
      <w:r>
        <w:rPr>
          <w:rFonts w:hint="eastAsia" w:ascii="宋体" w:hAnsi="宋体" w:cs="Arial"/>
          <w:color w:val="000000"/>
          <w:lang w:val="zh-CN"/>
        </w:rPr>
        <w:t>原厂商：产品制造商或其在中国境内设立的办事或技术服务机构。除另有说明外，本合同文件所述的制造商、产品制造商、制造厂家、产品制造厂家均为原厂商。</w:t>
      </w:r>
    </w:p>
    <w:p w14:paraId="17502F57">
      <w:pPr>
        <w:spacing w:line="360" w:lineRule="auto"/>
        <w:ind w:firstLine="480"/>
        <w:rPr>
          <w:rFonts w:ascii="宋体" w:hAnsi="宋体" w:cs="Arial"/>
          <w:color w:val="000000"/>
        </w:rPr>
      </w:pPr>
      <w:r>
        <w:rPr>
          <w:rFonts w:hint="eastAsia" w:ascii="宋体" w:hAnsi="宋体" w:cs="Arial"/>
          <w:color w:val="000000"/>
        </w:rPr>
        <w:t>11、</w:t>
      </w:r>
      <w:r>
        <w:rPr>
          <w:rFonts w:hint="eastAsia" w:ascii="宋体" w:hAnsi="宋体" w:cs="Arial"/>
          <w:color w:val="000000"/>
          <w:lang w:val="zh-CN"/>
        </w:rPr>
        <w:t>原产地：指产品的生产地，或提供服务的来源地。</w:t>
      </w:r>
    </w:p>
    <w:p w14:paraId="3ADF1119">
      <w:pPr>
        <w:spacing w:line="360" w:lineRule="auto"/>
        <w:ind w:firstLine="480"/>
        <w:rPr>
          <w:rFonts w:ascii="宋体" w:hAnsi="宋体" w:cs="Arial"/>
          <w:color w:val="000000"/>
        </w:rPr>
      </w:pPr>
      <w:r>
        <w:rPr>
          <w:rFonts w:hint="eastAsia" w:ascii="宋体" w:hAnsi="宋体" w:cs="Arial"/>
          <w:color w:val="000000"/>
        </w:rPr>
        <w:t>12、</w:t>
      </w:r>
      <w:r>
        <w:rPr>
          <w:rFonts w:hint="eastAsia" w:ascii="宋体" w:hAnsi="宋体" w:cs="Arial"/>
          <w:color w:val="000000"/>
          <w:lang w:val="zh-CN"/>
        </w:rPr>
        <w:t>“工作日”指国家法定工作日，“天”指日历天数。</w:t>
      </w:r>
    </w:p>
    <w:p w14:paraId="3C720C09">
      <w:pPr>
        <w:spacing w:line="360" w:lineRule="auto"/>
        <w:ind w:firstLine="472"/>
        <w:rPr>
          <w:rFonts w:ascii="宋体" w:hAnsi="宋体" w:cs="Arial"/>
          <w:b/>
          <w:bCs/>
          <w:color w:val="000000"/>
        </w:rPr>
      </w:pPr>
      <w:r>
        <w:rPr>
          <w:rFonts w:hint="eastAsia" w:ascii="宋体" w:hAnsi="宋体" w:cs="Arial"/>
          <w:b/>
          <w:bCs/>
          <w:color w:val="000000"/>
        </w:rPr>
        <w:t>二、</w:t>
      </w:r>
      <w:r>
        <w:rPr>
          <w:rFonts w:hint="eastAsia" w:ascii="宋体" w:hAnsi="宋体" w:cs="Arial"/>
          <w:b/>
          <w:bCs/>
          <w:color w:val="000000"/>
          <w:lang w:val="zh-CN"/>
        </w:rPr>
        <w:t>技术规格要求</w:t>
      </w:r>
    </w:p>
    <w:p w14:paraId="38AF44B0">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本合同条款下提交货物的技术规格要求应等于或优于招标文件/招标响应文件技术规格要求。若技术规格要求中无相应规定，则应符合相应的国家有关部门最新颁布的相应正式标准。</w:t>
      </w:r>
    </w:p>
    <w:p w14:paraId="35D2C7B3">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乙方应向甲方提供货物及服务有关的标准的中文文本。</w:t>
      </w:r>
    </w:p>
    <w:p w14:paraId="5A56E19C">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除非技术规范中另有规定，计量单位均采用中华人民共和国法定计量单位。</w:t>
      </w:r>
    </w:p>
    <w:p w14:paraId="6AAA3B1B">
      <w:pPr>
        <w:spacing w:line="360" w:lineRule="auto"/>
        <w:ind w:firstLine="472"/>
        <w:rPr>
          <w:rFonts w:ascii="宋体" w:hAnsi="宋体" w:cs="Arial"/>
          <w:b/>
          <w:bCs/>
          <w:color w:val="000000"/>
        </w:rPr>
      </w:pPr>
      <w:r>
        <w:rPr>
          <w:rFonts w:hint="eastAsia" w:ascii="宋体" w:hAnsi="宋体" w:cs="Arial"/>
          <w:b/>
          <w:bCs/>
          <w:color w:val="000000"/>
        </w:rPr>
        <w:t>三、</w:t>
      </w:r>
      <w:r>
        <w:rPr>
          <w:rFonts w:hint="eastAsia" w:ascii="宋体" w:hAnsi="宋体" w:cs="Arial"/>
          <w:b/>
          <w:bCs/>
          <w:color w:val="000000"/>
          <w:lang w:val="zh-CN"/>
        </w:rPr>
        <w:t>合同范围</w:t>
      </w:r>
    </w:p>
    <w:p w14:paraId="08228470">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60EE3575">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乙方应负责培训甲方的技术人员。</w:t>
      </w:r>
    </w:p>
    <w:p w14:paraId="6FBC05DE">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31950DE9">
      <w:pPr>
        <w:spacing w:line="360" w:lineRule="auto"/>
        <w:ind w:firstLine="472"/>
        <w:rPr>
          <w:rFonts w:ascii="宋体" w:hAnsi="宋体" w:cs="Arial"/>
          <w:b/>
          <w:bCs/>
          <w:color w:val="000000"/>
        </w:rPr>
      </w:pPr>
      <w:r>
        <w:rPr>
          <w:rFonts w:hint="eastAsia" w:ascii="宋体" w:hAnsi="宋体" w:cs="Arial"/>
          <w:b/>
          <w:bCs/>
          <w:color w:val="000000"/>
        </w:rPr>
        <w:t>四、</w:t>
      </w:r>
      <w:r>
        <w:rPr>
          <w:rFonts w:hint="eastAsia" w:ascii="宋体" w:hAnsi="宋体" w:cs="Arial"/>
          <w:b/>
          <w:bCs/>
          <w:color w:val="000000"/>
          <w:lang w:val="zh-CN"/>
        </w:rPr>
        <w:t>合同文件和资料</w:t>
      </w:r>
    </w:p>
    <w:p w14:paraId="2B5127DF">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乙方在提供仪器设备时应同时提供中文版相关的技术资料，如目录索引、图纸、操作手册、使用指南、维修指南、服务手册等。</w:t>
      </w:r>
    </w:p>
    <w:p w14:paraId="19D28FE5">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FDF76BB">
      <w:pPr>
        <w:spacing w:line="360" w:lineRule="auto"/>
        <w:ind w:firstLine="472"/>
        <w:rPr>
          <w:rFonts w:ascii="宋体" w:hAnsi="宋体" w:cs="Arial"/>
          <w:b/>
          <w:bCs/>
          <w:color w:val="000000"/>
        </w:rPr>
      </w:pPr>
      <w:r>
        <w:rPr>
          <w:rFonts w:hint="eastAsia" w:ascii="宋体" w:hAnsi="宋体" w:cs="Arial"/>
          <w:b/>
          <w:bCs/>
          <w:color w:val="000000"/>
        </w:rPr>
        <w:t>五、</w:t>
      </w:r>
      <w:r>
        <w:rPr>
          <w:rFonts w:hint="eastAsia" w:ascii="宋体" w:hAnsi="宋体" w:cs="Arial"/>
          <w:b/>
          <w:bCs/>
          <w:color w:val="000000"/>
          <w:lang w:val="zh-CN"/>
        </w:rPr>
        <w:t>知识产权</w:t>
      </w:r>
    </w:p>
    <w:p w14:paraId="6F30EF4E">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乙方应保证甲方在使用该货物或其任何一部分时不受第三方提出的侵犯专利权、</w:t>
      </w:r>
      <w:r>
        <w:rPr>
          <w:rFonts w:hint="eastAsia" w:ascii="宋体" w:hAnsi="宋体" w:cs="Arial"/>
          <w:color w:val="000000"/>
        </w:rPr>
        <w:t xml:space="preserve"> </w:t>
      </w:r>
      <w:r>
        <w:rPr>
          <w:rFonts w:hint="eastAsia" w:ascii="宋体" w:hAnsi="宋体" w:cs="Arial"/>
          <w:color w:val="000000"/>
          <w:lang w:val="zh-CN"/>
        </w:rPr>
        <w:t>著作权、商标权和工业设计权等的起诉。</w:t>
      </w:r>
    </w:p>
    <w:p w14:paraId="2CA0B1FE">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任何第三方提出侵权指控，乙方须与第三方交涉并承担由此产生的一切责任、费用和经济赔偿。</w:t>
      </w:r>
    </w:p>
    <w:p w14:paraId="67524E7C">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双方应共同遵守国家有关版权、专利、商标等知识产权方面的法律规定，相互尊重对方的知识产权，对本合同内容、对方的技术秘密和商业秘密负有保密责任。如有违反，违约方负相关法律责任。</w:t>
      </w:r>
    </w:p>
    <w:p w14:paraId="0C24C9A5">
      <w:pPr>
        <w:spacing w:line="360" w:lineRule="auto"/>
        <w:ind w:firstLine="48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在本合同生效时已经存在并为各方合法拥有或使用的所有技术、资料和信息的知识产权，仍应属于其各自的原权利人所有或享有，另有约定的除外。</w:t>
      </w:r>
    </w:p>
    <w:p w14:paraId="269A70F7">
      <w:pPr>
        <w:spacing w:line="360" w:lineRule="auto"/>
        <w:ind w:firstLine="48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688B30EB">
      <w:pPr>
        <w:spacing w:line="360" w:lineRule="auto"/>
        <w:ind w:firstLine="472"/>
        <w:rPr>
          <w:rFonts w:ascii="宋体" w:hAnsi="宋体" w:cs="Arial"/>
          <w:b/>
          <w:bCs/>
          <w:color w:val="000000"/>
        </w:rPr>
      </w:pPr>
      <w:r>
        <w:rPr>
          <w:rFonts w:hint="eastAsia" w:ascii="宋体" w:hAnsi="宋体" w:cs="Arial"/>
          <w:b/>
          <w:bCs/>
          <w:color w:val="000000"/>
        </w:rPr>
        <w:t>六、</w:t>
      </w:r>
      <w:r>
        <w:rPr>
          <w:rFonts w:hint="eastAsia" w:ascii="宋体" w:hAnsi="宋体" w:cs="Arial"/>
          <w:b/>
          <w:bCs/>
          <w:color w:val="000000"/>
          <w:lang w:val="zh-CN"/>
        </w:rPr>
        <w:t>保密</w:t>
      </w:r>
    </w:p>
    <w:p w14:paraId="5465FBDB">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1ADB43D7">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保密信息指任何一方因履行本合同所知悉的任何以口头、书面、图表或电子形式存在的对方信息，具体包括：</w:t>
      </w:r>
    </w:p>
    <w:p w14:paraId="186D4E68">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任何涉及对方过去、现在或将来的商业计划、规章制度、操作规程、处理手段、财务信息；</w:t>
      </w:r>
    </w:p>
    <w:p w14:paraId="15887C50">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任何对方的技术措施、技术方案、软件应用及开发，硬件设备的品种、质量、数量、品牌等；</w:t>
      </w:r>
    </w:p>
    <w:p w14:paraId="49287527">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任何对方的技术秘密或专有知识、文件、报告、数据、客户软件、流程图、数据库、发明、知识、贸易秘密。</w:t>
      </w:r>
    </w:p>
    <w:p w14:paraId="43080B45">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乙方应根据甲方的要求签署相应的保密协议，保密协议与本条款存在不一致的，以保密协议为准。</w:t>
      </w:r>
    </w:p>
    <w:p w14:paraId="134EC496">
      <w:pPr>
        <w:spacing w:line="360" w:lineRule="auto"/>
        <w:ind w:firstLine="472"/>
        <w:rPr>
          <w:rFonts w:ascii="宋体" w:hAnsi="宋体" w:cs="Arial"/>
          <w:b/>
          <w:bCs/>
          <w:color w:val="000000"/>
        </w:rPr>
      </w:pPr>
      <w:r>
        <w:rPr>
          <w:rFonts w:hint="eastAsia" w:ascii="宋体" w:hAnsi="宋体" w:cs="Arial"/>
          <w:b/>
          <w:bCs/>
          <w:color w:val="000000"/>
        </w:rPr>
        <w:t>七、</w:t>
      </w:r>
      <w:r>
        <w:rPr>
          <w:rFonts w:hint="eastAsia" w:ascii="宋体" w:hAnsi="宋体" w:cs="Arial"/>
          <w:b/>
          <w:bCs/>
          <w:color w:val="000000"/>
          <w:lang w:val="zh-CN"/>
        </w:rPr>
        <w:t>质量保证</w:t>
      </w:r>
    </w:p>
    <w:p w14:paraId="4FDB3A58">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货物质量保证</w:t>
      </w:r>
    </w:p>
    <w:p w14:paraId="647C77CD">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乙方必须保证货物是全新、未使用过的，并完全符合强制性的国家技术质量规范和合同规定的质量、规格、性能和技术规范等的要求。</w:t>
      </w:r>
    </w:p>
    <w:p w14:paraId="7E078FCE">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11BEA74A">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72D3DF41">
      <w:pPr>
        <w:spacing w:line="360" w:lineRule="auto"/>
        <w:ind w:firstLine="48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在收到通知后虽答复，但没有弥补缺陷，甲方可采取必要的补救措施，但由此引发的风险和费用将由乙方承担。甲方可从合同款或乙方提交的保证金中扣款，不足部分，甲方有权要求乙方赔偿。甲方根据合同规定对卖方行使的其他权力不受影响。</w:t>
      </w:r>
    </w:p>
    <w:p w14:paraId="3AF2BEF6">
      <w:pPr>
        <w:spacing w:line="360" w:lineRule="auto"/>
        <w:ind w:firstLine="48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合同条款下货物的质量保证期自货物通过最终验收起算，合同另行规定除外。</w:t>
      </w:r>
    </w:p>
    <w:p w14:paraId="62902109">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辅助服务质量保证</w:t>
      </w:r>
    </w:p>
    <w:p w14:paraId="13EE917B">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588FC7D6">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乙方应保证合同条款下所提供的服务包括培训、安装指导、单机调试、系统联调和试验等，按合同规定方式进行，并保证不存在因乙方工作人员的过失、错误或疏忽而产生的缺陷。</w:t>
      </w:r>
    </w:p>
    <w:p w14:paraId="7F8B53AD">
      <w:pPr>
        <w:spacing w:line="360" w:lineRule="auto"/>
        <w:ind w:firstLine="482"/>
        <w:rPr>
          <w:rFonts w:ascii="宋体" w:hAnsi="宋体" w:cs="Arial"/>
          <w:color w:val="000000"/>
        </w:rPr>
      </w:pPr>
      <w:r>
        <w:rPr>
          <w:rFonts w:hint="eastAsia" w:ascii="宋体" w:hAnsi="宋体" w:cs="Arial"/>
          <w:b/>
          <w:bCs/>
          <w:color w:val="000000"/>
          <w:lang w:val="zh-CN"/>
        </w:rPr>
        <w:t>八、包装要求</w:t>
      </w:r>
    </w:p>
    <w:p w14:paraId="5DD1B91D">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除合同另有约定外</w:t>
      </w:r>
      <w:r>
        <w:rPr>
          <w:rFonts w:hint="eastAsia" w:ascii="宋体" w:hAnsi="宋体" w:cs="Arial"/>
          <w:color w:val="000000"/>
        </w:rPr>
        <w:t>,</w:t>
      </w:r>
      <w:r>
        <w:rPr>
          <w:rFonts w:hint="eastAsia" w:ascii="宋体" w:hAnsi="宋体" w:cs="Arial"/>
          <w:color w:val="000000"/>
          <w:lang w:val="zh-CN"/>
        </w:rPr>
        <w:t>乙方提供的全部货物</w:t>
      </w:r>
      <w:r>
        <w:rPr>
          <w:rFonts w:hint="eastAsia" w:ascii="宋体" w:hAnsi="宋体" w:cs="Arial"/>
          <w:color w:val="000000"/>
        </w:rPr>
        <w:t>,</w:t>
      </w:r>
      <w:r>
        <w:rPr>
          <w:rFonts w:hint="eastAsia" w:ascii="宋体" w:hAnsi="宋体" w:cs="Arial"/>
          <w:color w:val="000000"/>
          <w:lang w:val="zh-CN"/>
        </w:rPr>
        <w:t>均应采用本行业通用的方式进行包装，且该包装应符合国家有关包装的法律、法规的规定。</w:t>
      </w:r>
    </w:p>
    <w:p w14:paraId="14273D06">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包装应适应于远距离运输，并有良好的防潮、防震、防锈和防粗暴装卸等保护措施，以确保货物安全运抵现场。由于包装不善所引起的货物锈蚀、损坏和损失均由乙方承担。</w:t>
      </w:r>
    </w:p>
    <w:p w14:paraId="07EE2CB0">
      <w:pPr>
        <w:spacing w:line="360" w:lineRule="auto"/>
        <w:ind w:firstLine="480"/>
        <w:rPr>
          <w:rFonts w:ascii="宋体" w:hAnsi="宋体" w:cs="Arial"/>
          <w:color w:val="000000"/>
          <w:lang w:val="zh-CN"/>
        </w:rPr>
      </w:pPr>
      <w:r>
        <w:rPr>
          <w:rFonts w:hint="eastAsia" w:ascii="宋体" w:hAnsi="宋体" w:cs="Arial"/>
          <w:color w:val="000000"/>
          <w:lang w:val="zh-CN"/>
        </w:rPr>
        <w:t>乙方应提供货物运至合同规定的最终目的地所需要的包装，以防止货物在转运中损坏或变质。</w:t>
      </w:r>
    </w:p>
    <w:p w14:paraId="0145D7B3">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乙方所提供的货物包装均为出厂时原包装。</w:t>
      </w:r>
    </w:p>
    <w:p w14:paraId="3E928D08">
      <w:pPr>
        <w:spacing w:line="360" w:lineRule="auto"/>
        <w:ind w:firstLine="48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乙方所提供货物必须附有质量合格证，装箱清单，主机、附件、各种零部件和消耗品，有清楚的与装箱单相对应的名称和编号。</w:t>
      </w:r>
    </w:p>
    <w:p w14:paraId="30CBDA70">
      <w:pPr>
        <w:spacing w:line="360" w:lineRule="auto"/>
        <w:ind w:firstLine="480"/>
        <w:rPr>
          <w:rFonts w:ascii="宋体" w:hAnsi="宋体" w:cs="Arial"/>
          <w:color w:val="000000"/>
        </w:rPr>
      </w:pPr>
      <w:r>
        <w:rPr>
          <w:rFonts w:hint="eastAsia" w:ascii="宋体" w:hAnsi="宋体" w:cs="Arial"/>
          <w:color w:val="000000"/>
        </w:rPr>
        <w:t>5、</w:t>
      </w:r>
      <w:r>
        <w:rPr>
          <w:rFonts w:hint="eastAsia" w:ascii="宋体" w:hAnsi="宋体" w:cs="Arial"/>
          <w:color w:val="000000"/>
          <w:lang w:val="zh-CN"/>
        </w:rPr>
        <w:t>货物运输中的运输费用和保险费用均由乙方承担。运输过程中的一切损失、损坏均由乙方负责。</w:t>
      </w:r>
    </w:p>
    <w:p w14:paraId="23802C44">
      <w:pPr>
        <w:spacing w:line="360" w:lineRule="auto"/>
        <w:ind w:firstLine="482"/>
        <w:rPr>
          <w:rFonts w:ascii="宋体" w:hAnsi="宋体" w:cs="Arial"/>
          <w:color w:val="000000"/>
        </w:rPr>
      </w:pPr>
      <w:r>
        <w:rPr>
          <w:rFonts w:hint="eastAsia" w:ascii="宋体" w:hAnsi="宋体" w:cs="Arial"/>
          <w:b/>
          <w:bCs/>
          <w:color w:val="000000"/>
        </w:rPr>
        <w:t xml:space="preserve">九、 </w:t>
      </w:r>
      <w:r>
        <w:rPr>
          <w:rFonts w:hint="eastAsia" w:ascii="宋体" w:hAnsi="宋体" w:cs="Arial"/>
          <w:b/>
          <w:bCs/>
          <w:color w:val="000000"/>
          <w:lang w:val="zh-CN"/>
        </w:rPr>
        <w:t>价格</w:t>
      </w:r>
    </w:p>
    <w:p w14:paraId="682799FC">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23BE4927">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本合同价格为固定价格，包括了乙方履行合同全过程产生的所有成本和费用以及乙方应承担的一切税费。</w:t>
      </w:r>
    </w:p>
    <w:p w14:paraId="68BAF22D">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检验费用</w:t>
      </w:r>
    </w:p>
    <w:p w14:paraId="4FA9745C">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乙方必须负担本条款下属于乙方负责的检验、测试、调试、试运行和验收的所有费用，并负责乙方派往买方组织的检验、测试和验收人员的所有费用。</w:t>
      </w:r>
    </w:p>
    <w:p w14:paraId="33F99E3B">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甲方按合同计划参加在乙方工厂所在地检验、测试和验收的费用全部由乙方负责并已包含在合同总价中。</w:t>
      </w:r>
    </w:p>
    <w:p w14:paraId="46A40102">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甲方检验人员已到卖方所在地，测试无法依照合同进行，</w:t>
      </w:r>
      <w:r>
        <w:rPr>
          <w:rFonts w:hint="eastAsia" w:ascii="宋体" w:hAnsi="宋体" w:cs="Arial"/>
          <w:color w:val="000000"/>
        </w:rPr>
        <w:t xml:space="preserve"> </w:t>
      </w:r>
      <w:r>
        <w:rPr>
          <w:rFonts w:hint="eastAsia" w:ascii="宋体" w:hAnsi="宋体" w:cs="Arial"/>
          <w:color w:val="000000"/>
          <w:lang w:val="zh-CN"/>
        </w:rPr>
        <w:t>而引起甲方人员延长逗留时间，所有由此产生的包括甲方人员在内的直接费用及成本由乙方承担。</w:t>
      </w:r>
    </w:p>
    <w:p w14:paraId="44966A2E">
      <w:pPr>
        <w:spacing w:line="360" w:lineRule="auto"/>
        <w:ind w:firstLine="482"/>
        <w:rPr>
          <w:rFonts w:ascii="宋体" w:hAnsi="宋体" w:cs="Arial"/>
          <w:color w:val="000000"/>
        </w:rPr>
      </w:pPr>
      <w:r>
        <w:rPr>
          <w:rFonts w:hint="eastAsia" w:ascii="宋体" w:hAnsi="宋体" w:cs="Arial"/>
          <w:b/>
          <w:bCs/>
          <w:color w:val="000000"/>
        </w:rPr>
        <w:t>十、</w:t>
      </w:r>
      <w:r>
        <w:rPr>
          <w:rFonts w:hint="eastAsia" w:ascii="宋体" w:hAnsi="宋体" w:cs="Arial"/>
          <w:b/>
          <w:bCs/>
          <w:color w:val="000000"/>
          <w:lang w:val="zh-CN"/>
        </w:rPr>
        <w:t>交货方式及交货日期</w:t>
      </w:r>
    </w:p>
    <w:p w14:paraId="220D4D5C">
      <w:pPr>
        <w:spacing w:line="360" w:lineRule="auto"/>
        <w:ind w:firstLine="480"/>
        <w:rPr>
          <w:rFonts w:ascii="宋体" w:hAnsi="宋体" w:cs="Arial"/>
          <w:color w:val="000000"/>
        </w:rPr>
      </w:pPr>
      <w:r>
        <w:rPr>
          <w:rFonts w:hint="eastAsia" w:ascii="宋体" w:hAnsi="宋体" w:cs="Arial"/>
          <w:color w:val="000000"/>
          <w:lang w:val="zh-CN"/>
        </w:rPr>
        <w:t>交货方式：现场交货，乙方负责办理运输和保险，将货物运抵现场。</w:t>
      </w:r>
    </w:p>
    <w:p w14:paraId="284FB431">
      <w:pPr>
        <w:spacing w:line="360" w:lineRule="auto"/>
        <w:ind w:firstLine="480"/>
        <w:rPr>
          <w:rFonts w:ascii="宋体" w:hAnsi="宋体" w:cs="Arial"/>
          <w:color w:val="000000"/>
        </w:rPr>
      </w:pPr>
      <w:r>
        <w:rPr>
          <w:rFonts w:hint="eastAsia" w:ascii="宋体" w:hAnsi="宋体" w:cs="Arial"/>
          <w:color w:val="000000"/>
          <w:lang w:val="zh-CN"/>
        </w:rPr>
        <w:t>交货期应根据产品的特点实事求是填写，进口产品90个工作日内，国产产品60个工作日内。特殊产品交货期需说明。（实际交货期以采购人要求为准）</w:t>
      </w:r>
    </w:p>
    <w:p w14:paraId="1AB35D62">
      <w:pPr>
        <w:spacing w:line="360" w:lineRule="auto"/>
        <w:ind w:firstLine="480"/>
        <w:rPr>
          <w:rFonts w:ascii="宋体" w:hAnsi="宋体" w:cs="Arial"/>
          <w:color w:val="000000"/>
        </w:rPr>
      </w:pPr>
      <w:r>
        <w:rPr>
          <w:rFonts w:hint="eastAsia" w:ascii="宋体" w:hAnsi="宋体" w:cs="Arial"/>
          <w:color w:val="000000"/>
          <w:lang w:val="zh-CN"/>
        </w:rPr>
        <w:t>交货日期：所有货物运抵现场并经双方开箱验收合格之日。</w:t>
      </w:r>
    </w:p>
    <w:p w14:paraId="5DD42DD2">
      <w:pPr>
        <w:spacing w:line="360" w:lineRule="auto"/>
        <w:ind w:firstLine="482"/>
        <w:rPr>
          <w:rFonts w:ascii="宋体" w:hAnsi="宋体" w:cs="Arial"/>
          <w:color w:val="000000"/>
        </w:rPr>
      </w:pPr>
      <w:r>
        <w:rPr>
          <w:rFonts w:hint="eastAsia" w:ascii="宋体" w:hAnsi="宋体" w:cs="Arial"/>
          <w:b/>
          <w:color w:val="000000"/>
          <w:lang w:val="zh-CN"/>
        </w:rPr>
        <w:t>十一.检验和验收</w:t>
      </w:r>
    </w:p>
    <w:p w14:paraId="64F61566">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开箱验收</w:t>
      </w:r>
    </w:p>
    <w:p w14:paraId="190B77CE">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货物运抵现场后，双方应及时开箱验收，并制作验收记录，以确认与本合同约定的数量、型号等是否一致。</w:t>
      </w:r>
    </w:p>
    <w:p w14:paraId="5AD1A675">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659BD941">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开箱验收中如发现货物的数量、规格与合同约定不符，甲方有权拒收货物，乙方应及时按甲方要求免费对拒收货物采取更换或其他必要的补救措施，直至开箱验收合格，方视为乙方完中标货。</w:t>
      </w:r>
    </w:p>
    <w:p w14:paraId="4BFBB444">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检验验收</w:t>
      </w:r>
    </w:p>
    <w:p w14:paraId="244A6478">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交货完成后，乙方应及时组装、调试、试运行，按照合同专用条款规定的试运行完成后，双方及时组织对货物检验验收。合同双方均须派人参加合同要求双方参加的试验、检验。</w:t>
      </w:r>
    </w:p>
    <w:p w14:paraId="3BBA7614">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在具体实施合同规定的检验验收之前，乙方需提前提交相应的测试计划（包括测试程序、测试内容和检验标准、试验时间安排等）供甲方确认。</w:t>
      </w:r>
    </w:p>
    <w:p w14:paraId="7EE961CA">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除需甲方确认的试验验收外，乙方还应对所有检验验收测试的结果、步骤、原始数据等作妥善记录。如甲方要求，乙方应提供这些记录给买方。</w:t>
      </w:r>
    </w:p>
    <w:p w14:paraId="59221214">
      <w:pPr>
        <w:spacing w:line="360" w:lineRule="auto"/>
        <w:ind w:firstLine="480"/>
        <w:rPr>
          <w:rFonts w:ascii="宋体" w:hAnsi="宋体" w:cs="Arial"/>
          <w:color w:val="000000"/>
        </w:rPr>
      </w:pPr>
      <w:r>
        <w:rPr>
          <w:rFonts w:hint="eastAsia" w:ascii="宋体" w:hAnsi="宋体" w:cs="Arial"/>
          <w:color w:val="000000"/>
        </w:rPr>
        <w:t>（4）</w:t>
      </w:r>
      <w:r>
        <w:rPr>
          <w:rFonts w:hint="eastAsia" w:ascii="宋体" w:hAnsi="宋体" w:cs="Arial"/>
          <w:color w:val="000000"/>
          <w:lang w:val="zh-CN"/>
        </w:rPr>
        <w:t>检验测试出现全部或部分未达到本合同所约定的技术指标，甲方有权选择下列任一处理方式：</w:t>
      </w:r>
    </w:p>
    <w:p w14:paraId="0ACE4A0A">
      <w:pPr>
        <w:spacing w:line="360" w:lineRule="auto"/>
        <w:ind w:firstLine="480"/>
        <w:rPr>
          <w:rFonts w:ascii="宋体" w:hAnsi="宋体" w:cs="Arial"/>
          <w:color w:val="000000"/>
        </w:rPr>
      </w:pPr>
      <w:r>
        <w:rPr>
          <w:rFonts w:hint="eastAsia" w:ascii="宋体" w:hAnsi="宋体" w:cs="Arial"/>
          <w:color w:val="000000"/>
        </w:rPr>
        <w:t>a.</w:t>
      </w:r>
      <w:r>
        <w:rPr>
          <w:rFonts w:hint="eastAsia" w:ascii="宋体" w:hAnsi="宋体" w:cs="Arial"/>
          <w:color w:val="000000"/>
          <w:lang w:val="zh-CN"/>
        </w:rPr>
        <w:t>重新测试直至合格为止；</w:t>
      </w:r>
    </w:p>
    <w:p w14:paraId="5FE62EBE">
      <w:pPr>
        <w:spacing w:line="360" w:lineRule="auto"/>
        <w:ind w:firstLine="480"/>
        <w:rPr>
          <w:rFonts w:ascii="宋体" w:hAnsi="宋体" w:cs="Arial"/>
          <w:color w:val="000000"/>
        </w:rPr>
      </w:pPr>
      <w:r>
        <w:rPr>
          <w:rFonts w:hint="eastAsia" w:ascii="宋体" w:hAnsi="宋体" w:cs="Arial"/>
          <w:color w:val="000000"/>
        </w:rPr>
        <w:t>b.</w:t>
      </w:r>
      <w:r>
        <w:rPr>
          <w:rFonts w:hint="eastAsia" w:ascii="宋体" w:hAnsi="宋体" w:cs="Arial"/>
          <w:color w:val="000000"/>
          <w:lang w:val="zh-CN"/>
        </w:rPr>
        <w:t>要求乙方对货物进行免费更换，然后重新测试直至合格为止；</w:t>
      </w:r>
    </w:p>
    <w:p w14:paraId="7274AC8D">
      <w:pPr>
        <w:spacing w:line="360" w:lineRule="auto"/>
        <w:ind w:firstLine="480"/>
        <w:rPr>
          <w:rFonts w:ascii="宋体" w:hAnsi="宋体" w:cs="Arial"/>
          <w:color w:val="000000"/>
        </w:rPr>
      </w:pPr>
      <w:r>
        <w:rPr>
          <w:rFonts w:hint="eastAsia" w:ascii="宋体" w:hAnsi="宋体" w:cs="Arial"/>
          <w:color w:val="000000"/>
          <w:lang w:val="zh-CN"/>
        </w:rPr>
        <w:t>无论选择何种方式，甲方因此而发生的因卖方原因引起的所有费用均由乙方负担。</w:t>
      </w:r>
    </w:p>
    <w:p w14:paraId="1A5CA912">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使用过程检验</w:t>
      </w:r>
    </w:p>
    <w:p w14:paraId="48675C68">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3333445">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如果合同双方对乙方提供的上述试验结果报告的解释有分歧，双方须于出现分歧后</w:t>
      </w:r>
      <w:r>
        <w:rPr>
          <w:rFonts w:hint="eastAsia" w:ascii="宋体" w:hAnsi="宋体" w:cs="Arial"/>
          <w:color w:val="000000"/>
        </w:rPr>
        <w:t>10</w:t>
      </w:r>
      <w:r>
        <w:rPr>
          <w:rFonts w:hint="eastAsia" w:ascii="宋体" w:hAnsi="宋体" w:cs="Arial"/>
          <w:color w:val="000000"/>
          <w:lang w:val="zh-CN"/>
        </w:rPr>
        <w:t>天内给对方声明，以陈述己方的观点。声明须附有关证据。分歧应通过协商解决。</w:t>
      </w:r>
    </w:p>
    <w:p w14:paraId="5B4177E5">
      <w:pPr>
        <w:spacing w:line="360" w:lineRule="auto"/>
        <w:ind w:firstLine="482"/>
        <w:rPr>
          <w:rFonts w:ascii="宋体" w:hAnsi="宋体" w:cs="Arial"/>
          <w:color w:val="000000"/>
        </w:rPr>
      </w:pPr>
      <w:r>
        <w:rPr>
          <w:rFonts w:hint="eastAsia" w:ascii="宋体" w:hAnsi="宋体" w:cs="Arial"/>
          <w:b/>
          <w:bCs/>
          <w:color w:val="000000"/>
        </w:rPr>
        <w:t>十二、</w:t>
      </w:r>
      <w:r>
        <w:rPr>
          <w:rFonts w:hint="eastAsia" w:ascii="宋体" w:hAnsi="宋体" w:cs="Arial"/>
          <w:b/>
          <w:bCs/>
          <w:color w:val="000000"/>
          <w:lang w:val="zh-CN"/>
        </w:rPr>
        <w:t>付款条件</w:t>
      </w:r>
    </w:p>
    <w:p w14:paraId="3ABDD618">
      <w:pPr>
        <w:spacing w:line="360" w:lineRule="auto"/>
        <w:ind w:firstLine="480"/>
        <w:rPr>
          <w:rFonts w:ascii="宋体" w:hAnsi="宋体" w:cs="Arial"/>
          <w:color w:val="000000"/>
        </w:rPr>
      </w:pPr>
      <w:r>
        <w:rPr>
          <w:rFonts w:hint="eastAsia" w:ascii="宋体" w:hAnsi="宋体" w:cs="Arial"/>
          <w:color w:val="000000"/>
          <w:lang w:val="zh-CN"/>
        </w:rPr>
        <w:t>本合同条款下的付款方法和条件在“青海省政府采购项目合同书”中具体规定。</w:t>
      </w:r>
    </w:p>
    <w:p w14:paraId="05BD2D5B">
      <w:pPr>
        <w:spacing w:line="360" w:lineRule="auto"/>
        <w:ind w:firstLine="482"/>
        <w:rPr>
          <w:rFonts w:ascii="宋体" w:hAnsi="宋体" w:cs="Arial"/>
          <w:color w:val="000000"/>
        </w:rPr>
      </w:pPr>
      <w:r>
        <w:rPr>
          <w:rFonts w:hint="eastAsia" w:ascii="宋体" w:hAnsi="宋体" w:cs="宋体"/>
          <w:b/>
          <w:bCs/>
          <w:color w:val="000000"/>
          <w:lang w:val="zh-CN"/>
        </w:rPr>
        <w:t>十三、履约保证金</w:t>
      </w:r>
    </w:p>
    <w:p w14:paraId="214BE2F8">
      <w:pPr>
        <w:spacing w:line="360" w:lineRule="auto"/>
        <w:ind w:firstLine="480"/>
        <w:rPr>
          <w:rFonts w:ascii="宋体" w:hAnsi="宋体" w:cs="Arial"/>
          <w:color w:val="000000"/>
        </w:rPr>
      </w:pPr>
      <w:r>
        <w:rPr>
          <w:rFonts w:hint="eastAsia" w:ascii="宋体" w:hAnsi="宋体" w:cs="宋体"/>
          <w:color w:val="000000"/>
          <w:lang w:val="zh-CN"/>
        </w:rPr>
        <w:t>1、乙方应在合同签订</w:t>
      </w:r>
      <w:r>
        <w:rPr>
          <w:rFonts w:hint="eastAsia" w:ascii="宋体" w:hAnsi="宋体" w:cs="宋体"/>
          <w:color w:val="000000"/>
        </w:rPr>
        <w:t>时</w:t>
      </w:r>
      <w:r>
        <w:rPr>
          <w:rFonts w:hint="eastAsia" w:ascii="宋体" w:hAnsi="宋体" w:cs="宋体"/>
          <w:color w:val="000000"/>
          <w:lang w:val="zh-CN"/>
        </w:rPr>
        <w:t>，按约定提交履约保证金。</w:t>
      </w:r>
    </w:p>
    <w:p w14:paraId="6DF10BEE">
      <w:pPr>
        <w:spacing w:line="360" w:lineRule="auto"/>
        <w:ind w:firstLine="480"/>
        <w:rPr>
          <w:rFonts w:ascii="宋体" w:hAnsi="宋体" w:cs="Arial"/>
          <w:color w:val="000000"/>
        </w:rPr>
      </w:pPr>
      <w:r>
        <w:rPr>
          <w:rFonts w:hint="eastAsia" w:ascii="宋体" w:hAnsi="宋体" w:cs="宋体"/>
          <w:color w:val="000000"/>
          <w:lang w:val="zh-CN"/>
        </w:rPr>
        <w:t>2、履约保证金用于补偿甲方因乙方不能履行其合同义务而蒙受的损失。</w:t>
      </w:r>
    </w:p>
    <w:p w14:paraId="192459E6">
      <w:pPr>
        <w:spacing w:line="360" w:lineRule="auto"/>
        <w:ind w:firstLine="480"/>
        <w:rPr>
          <w:rFonts w:ascii="宋体" w:hAnsi="宋体" w:cs="Arial"/>
          <w:color w:val="000000"/>
        </w:rPr>
      </w:pPr>
      <w:r>
        <w:rPr>
          <w:rFonts w:hint="eastAsia" w:ascii="宋体" w:hAnsi="宋体" w:cs="宋体"/>
          <w:color w:val="000000"/>
          <w:lang w:val="zh-CN"/>
        </w:rPr>
        <w:t>3、履约保证金应使用本合同货币，按下述方式之一提交（招标文件中另有约定的除外）：</w:t>
      </w:r>
    </w:p>
    <w:p w14:paraId="0FE9123D">
      <w:pPr>
        <w:spacing w:line="360" w:lineRule="auto"/>
        <w:ind w:firstLine="480"/>
        <w:rPr>
          <w:rFonts w:ascii="宋体" w:hAnsi="宋体" w:cs="Arial"/>
          <w:color w:val="000000"/>
        </w:rPr>
      </w:pPr>
      <w:r>
        <w:rPr>
          <w:rFonts w:hint="eastAsia" w:ascii="宋体" w:hAnsi="宋体" w:cs="宋体"/>
          <w:color w:val="000000"/>
          <w:lang w:val="zh-CN"/>
        </w:rPr>
        <w:t>4、甲方可接受的在中华人民共和国注册和营业的银行出具的履约保函；</w:t>
      </w:r>
    </w:p>
    <w:p w14:paraId="51427BF0">
      <w:pPr>
        <w:spacing w:line="360" w:lineRule="auto"/>
        <w:ind w:firstLine="480"/>
        <w:rPr>
          <w:rFonts w:ascii="宋体" w:hAnsi="宋体" w:cs="Arial"/>
          <w:color w:val="000000"/>
        </w:rPr>
      </w:pPr>
      <w:r>
        <w:rPr>
          <w:rFonts w:hint="eastAsia" w:ascii="宋体" w:hAnsi="宋体" w:cs="宋体"/>
          <w:color w:val="000000"/>
          <w:lang w:val="zh-CN"/>
        </w:rPr>
        <w:t>5、支票或汇票。</w:t>
      </w:r>
    </w:p>
    <w:p w14:paraId="6646A43F">
      <w:pPr>
        <w:spacing w:line="360" w:lineRule="auto"/>
        <w:ind w:firstLine="480"/>
        <w:rPr>
          <w:rFonts w:ascii="宋体" w:hAnsi="宋体" w:cs="Arial"/>
          <w:color w:val="000000"/>
        </w:rPr>
      </w:pPr>
      <w:r>
        <w:rPr>
          <w:rFonts w:hint="eastAsia" w:ascii="宋体" w:hAnsi="宋体" w:cs="宋体"/>
          <w:color w:val="000000"/>
          <w:lang w:val="zh-CN"/>
        </w:rPr>
        <w:t>6、乙方未能按合同规定履行其义务，甲方有权从履约保证金中取得补偿。货物验收合格后，甲方将履约保证金退还乙方或转为质量保证金。</w:t>
      </w:r>
    </w:p>
    <w:p w14:paraId="2D188BEF">
      <w:pPr>
        <w:spacing w:line="360" w:lineRule="auto"/>
        <w:ind w:firstLine="482"/>
        <w:rPr>
          <w:rFonts w:ascii="宋体" w:hAnsi="宋体" w:cs="Arial"/>
          <w:color w:val="000000"/>
        </w:rPr>
      </w:pPr>
      <w:r>
        <w:rPr>
          <w:rFonts w:hint="eastAsia" w:ascii="宋体" w:hAnsi="宋体" w:cs="Arial"/>
          <w:b/>
          <w:bCs/>
          <w:color w:val="000000"/>
        </w:rPr>
        <w:t>十四、</w:t>
      </w:r>
      <w:r>
        <w:rPr>
          <w:rFonts w:hint="eastAsia" w:ascii="宋体" w:hAnsi="宋体" w:cs="Arial"/>
          <w:b/>
          <w:bCs/>
          <w:color w:val="000000"/>
          <w:lang w:val="zh-CN"/>
        </w:rPr>
        <w:t>索赔</w:t>
      </w:r>
    </w:p>
    <w:p w14:paraId="305850F7">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0654B3B">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在履约保证期和检验期内，乙方对甲方提出的索赔负有责任，乙方应按照甲方同意的下列一种或多种方式解决索赔事宜：</w:t>
      </w:r>
    </w:p>
    <w:p w14:paraId="429A9225">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DDD4E64">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根据货物低劣程度、损坏程度以及甲方所遭受损失的数额，经甲乙双方商定降低货物的价格，或由有资质的中介机构评估，以降低后的价格或评估价格为准。</w:t>
      </w:r>
    </w:p>
    <w:p w14:paraId="309CBF0C">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4F183314">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乙方收到甲方发出的索赔通知之日起</w:t>
      </w:r>
      <w:r>
        <w:rPr>
          <w:rFonts w:hint="eastAsia" w:ascii="宋体" w:hAnsi="宋体" w:cs="Arial"/>
          <w:color w:val="000000"/>
        </w:rPr>
        <w:t>5</w:t>
      </w:r>
      <w:r>
        <w:rPr>
          <w:rFonts w:hint="eastAsia" w:ascii="宋体" w:hAnsi="宋体" w:cs="Arial"/>
          <w:color w:val="000000"/>
          <w:lang w:val="zh-CN"/>
        </w:rPr>
        <w:t>个工作日内未作答复的，甲方可从合同款或履约保证金中扣回索赔金额，如金额不足以补偿索赔金额，乙方应补足差额部分。</w:t>
      </w:r>
    </w:p>
    <w:p w14:paraId="2E914905">
      <w:pPr>
        <w:spacing w:line="360" w:lineRule="auto"/>
        <w:ind w:firstLine="482"/>
        <w:rPr>
          <w:rFonts w:ascii="宋体" w:hAnsi="宋体" w:cs="Arial"/>
          <w:color w:val="000000"/>
        </w:rPr>
      </w:pPr>
      <w:r>
        <w:rPr>
          <w:rFonts w:hint="eastAsia" w:ascii="宋体" w:hAnsi="宋体" w:cs="Arial"/>
          <w:b/>
          <w:bCs/>
          <w:color w:val="000000"/>
        </w:rPr>
        <w:t>十五、</w:t>
      </w:r>
      <w:r>
        <w:rPr>
          <w:rFonts w:hint="eastAsia" w:ascii="宋体" w:hAnsi="宋体" w:cs="Arial"/>
          <w:b/>
          <w:bCs/>
          <w:color w:val="000000"/>
          <w:lang w:val="zh-CN"/>
        </w:rPr>
        <w:t>迟延交货</w:t>
      </w:r>
    </w:p>
    <w:p w14:paraId="2722193A">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乙方应按照合同约定的时间交货和提供服务。</w:t>
      </w:r>
    </w:p>
    <w:p w14:paraId="4530819F">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除不可抗力因素外，乙方迟延交货，甲方有权提出违约损失赔偿或解除合同。</w:t>
      </w:r>
    </w:p>
    <w:p w14:paraId="3D7CFE1D">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0A759424">
      <w:pPr>
        <w:spacing w:before="156" w:line="360" w:lineRule="auto"/>
        <w:ind w:firstLine="482"/>
        <w:rPr>
          <w:rFonts w:ascii="宋体" w:hAnsi="宋体" w:cs="Arial"/>
          <w:color w:val="000000"/>
        </w:rPr>
      </w:pPr>
      <w:r>
        <w:rPr>
          <w:rFonts w:hint="eastAsia" w:ascii="宋体" w:hAnsi="宋体" w:cs="Arial"/>
          <w:b/>
          <w:bCs/>
          <w:color w:val="000000"/>
        </w:rPr>
        <w:t>十六、</w:t>
      </w:r>
      <w:r>
        <w:rPr>
          <w:rFonts w:hint="eastAsia" w:ascii="宋体" w:hAnsi="宋体" w:cs="Arial"/>
          <w:b/>
          <w:bCs/>
          <w:color w:val="000000"/>
          <w:lang w:val="zh-CN"/>
        </w:rPr>
        <w:t>违约赔偿</w:t>
      </w:r>
    </w:p>
    <w:p w14:paraId="3BE86B1F">
      <w:pPr>
        <w:spacing w:line="360" w:lineRule="auto"/>
        <w:ind w:firstLine="480"/>
        <w:rPr>
          <w:rFonts w:ascii="宋体" w:hAnsi="宋体" w:cs="Arial"/>
          <w:color w:val="000000"/>
        </w:rPr>
      </w:pPr>
      <w:r>
        <w:rPr>
          <w:rFonts w:hint="eastAsia" w:ascii="宋体" w:hAnsi="宋体" w:cs="Arial"/>
          <w:color w:val="000000"/>
          <w:lang w:val="zh-CN"/>
        </w:rPr>
        <w:t>除不可抗力因素外，</w:t>
      </w:r>
      <w:r>
        <w:rPr>
          <w:rFonts w:hint="eastAsia"/>
        </w:rPr>
        <w:t>甲方无故延期接受货物或乙方逾期交货的，</w:t>
      </w:r>
      <w:r>
        <w:rPr>
          <w:rFonts w:hint="eastAsia" w:ascii="宋体" w:hAnsi="宋体" w:cs="Arial"/>
          <w:color w:val="000000"/>
          <w:lang w:val="zh-CN"/>
        </w:rPr>
        <w:t>每天应向对方偿付未交货物的货款3‰的违约金，但违约金累计不得超过违约货款的5%，超过30天对方有权解除合同，违约方承担因此给对方造成的经济损失。</w:t>
      </w:r>
    </w:p>
    <w:p w14:paraId="0364E081">
      <w:pPr>
        <w:spacing w:before="156" w:line="360" w:lineRule="auto"/>
        <w:ind w:firstLine="482"/>
        <w:rPr>
          <w:rFonts w:ascii="宋体" w:hAnsi="宋体" w:cs="Arial"/>
          <w:color w:val="000000"/>
        </w:rPr>
      </w:pPr>
      <w:r>
        <w:rPr>
          <w:rFonts w:hint="eastAsia" w:ascii="宋体" w:hAnsi="宋体" w:cs="Arial"/>
          <w:b/>
          <w:bCs/>
          <w:color w:val="000000"/>
        </w:rPr>
        <w:t>十七、</w:t>
      </w:r>
      <w:r>
        <w:rPr>
          <w:rFonts w:hint="eastAsia" w:ascii="宋体" w:hAnsi="宋体" w:cs="Arial"/>
          <w:b/>
          <w:bCs/>
          <w:color w:val="000000"/>
          <w:lang w:val="zh-CN"/>
        </w:rPr>
        <w:t>不可抗力</w:t>
      </w:r>
    </w:p>
    <w:p w14:paraId="5A63DE81">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双方中任何一方遭遇法律规定的不可抗力，致使合同履行受阻时，履行合同的期限应予延长，延长的期限应相当于不可抗力所影响的时间。</w:t>
      </w:r>
    </w:p>
    <w:p w14:paraId="60E7706F">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受事故影响的一方应在不可抗力的事故发生后以书面形式通知另一方。</w:t>
      </w:r>
    </w:p>
    <w:p w14:paraId="4DCFCF85">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不可抗力使合同的某些内容有变更必要的，</w:t>
      </w:r>
      <w:r>
        <w:rPr>
          <w:rFonts w:hint="eastAsia" w:ascii="宋体" w:hAnsi="宋体" w:cs="Arial"/>
          <w:color w:val="000000"/>
        </w:rPr>
        <w:t xml:space="preserve"> </w:t>
      </w:r>
      <w:r>
        <w:rPr>
          <w:rFonts w:hint="eastAsia" w:ascii="宋体" w:hAnsi="宋体" w:cs="Arial"/>
          <w:color w:val="000000"/>
          <w:lang w:val="zh-CN"/>
        </w:rPr>
        <w:t>双方应通过协商达成进一步履行合同的协议，因不可抗力致使合同不能履行的，合同终止。</w:t>
      </w:r>
    </w:p>
    <w:p w14:paraId="523B306F">
      <w:pPr>
        <w:spacing w:before="156" w:line="360" w:lineRule="auto"/>
        <w:ind w:firstLine="482"/>
        <w:rPr>
          <w:rFonts w:ascii="宋体" w:hAnsi="宋体" w:cs="Arial"/>
          <w:color w:val="000000"/>
        </w:rPr>
      </w:pPr>
      <w:r>
        <w:rPr>
          <w:rFonts w:hint="eastAsia" w:ascii="宋体" w:hAnsi="宋体" w:cs="Arial"/>
          <w:b/>
          <w:bCs/>
          <w:color w:val="000000"/>
        </w:rPr>
        <w:t>十八、</w:t>
      </w:r>
      <w:r>
        <w:rPr>
          <w:rFonts w:hint="eastAsia" w:ascii="宋体" w:hAnsi="宋体" w:cs="Arial"/>
          <w:b/>
          <w:bCs/>
          <w:color w:val="000000"/>
          <w:lang w:val="zh-CN"/>
        </w:rPr>
        <w:t>税费</w:t>
      </w:r>
    </w:p>
    <w:p w14:paraId="01D9BC24">
      <w:pPr>
        <w:spacing w:line="360" w:lineRule="auto"/>
        <w:ind w:firstLine="480"/>
        <w:rPr>
          <w:rFonts w:ascii="宋体" w:hAnsi="宋体" w:cs="Arial"/>
          <w:color w:val="000000"/>
        </w:rPr>
      </w:pPr>
      <w:r>
        <w:rPr>
          <w:rFonts w:hint="eastAsia" w:ascii="宋体" w:hAnsi="宋体" w:cs="Arial"/>
          <w:color w:val="000000"/>
          <w:lang w:val="zh-CN"/>
        </w:rPr>
        <w:t>与本合同有关的一切税费均由乙方承担。</w:t>
      </w:r>
    </w:p>
    <w:p w14:paraId="431DF8EE">
      <w:pPr>
        <w:spacing w:before="156" w:line="360" w:lineRule="auto"/>
        <w:ind w:firstLine="482"/>
        <w:rPr>
          <w:rFonts w:ascii="宋体" w:hAnsi="宋体" w:cs="Arial"/>
          <w:color w:val="000000"/>
        </w:rPr>
      </w:pPr>
      <w:r>
        <w:rPr>
          <w:rFonts w:hint="eastAsia" w:ascii="宋体" w:hAnsi="宋体" w:cs="Arial"/>
          <w:b/>
          <w:bCs/>
          <w:color w:val="000000"/>
        </w:rPr>
        <w:t>十九、</w:t>
      </w:r>
      <w:r>
        <w:rPr>
          <w:rFonts w:hint="eastAsia" w:ascii="宋体" w:hAnsi="宋体" w:cs="Arial"/>
          <w:b/>
          <w:bCs/>
          <w:color w:val="000000"/>
          <w:lang w:val="zh-CN"/>
        </w:rPr>
        <w:t>合同争议的解决</w:t>
      </w:r>
    </w:p>
    <w:p w14:paraId="04164445">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甲方和乙方由于本合同的履行而发生任何争议时，双方可先通过协商解决。</w:t>
      </w:r>
    </w:p>
    <w:p w14:paraId="6825109D">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任何一方不愿通过协商或通过协商仍不能解决争议，则双方中任何一方均应向甲方所在地人民法院起诉。</w:t>
      </w:r>
    </w:p>
    <w:p w14:paraId="38A5D6F1">
      <w:pPr>
        <w:spacing w:before="156" w:line="360" w:lineRule="auto"/>
        <w:ind w:firstLine="482"/>
        <w:rPr>
          <w:rFonts w:ascii="宋体" w:hAnsi="宋体" w:cs="Arial"/>
          <w:color w:val="000000"/>
        </w:rPr>
      </w:pPr>
      <w:r>
        <w:rPr>
          <w:rFonts w:hint="eastAsia" w:ascii="宋体" w:hAnsi="宋体" w:cs="Arial"/>
          <w:b/>
          <w:bCs/>
          <w:color w:val="000000"/>
        </w:rPr>
        <w:t>二十、</w:t>
      </w:r>
      <w:r>
        <w:rPr>
          <w:rFonts w:hint="eastAsia" w:ascii="宋体" w:hAnsi="宋体" w:cs="Arial"/>
          <w:b/>
          <w:bCs/>
          <w:color w:val="000000"/>
          <w:lang w:val="zh-CN"/>
        </w:rPr>
        <w:t>违约解除合同</w:t>
      </w:r>
    </w:p>
    <w:p w14:paraId="311A350A">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出现下列情形之一的，视为乙方违约。甲方可向乙方发出书面通知，部分或全部终止合同，同时保留向乙方索赔的权利。</w:t>
      </w:r>
    </w:p>
    <w:p w14:paraId="4F6079CD">
      <w:pPr>
        <w:spacing w:line="360" w:lineRule="auto"/>
        <w:ind w:firstLine="480"/>
        <w:rPr>
          <w:rFonts w:ascii="宋体" w:hAnsi="宋体" w:cs="Arial"/>
          <w:color w:val="000000"/>
        </w:rPr>
      </w:pPr>
      <w:r>
        <w:rPr>
          <w:rFonts w:hint="eastAsia" w:ascii="宋体" w:hAnsi="宋体" w:cs="Arial"/>
          <w:color w:val="000000"/>
        </w:rPr>
        <w:t>（1）</w:t>
      </w:r>
      <w:r>
        <w:rPr>
          <w:rFonts w:hint="eastAsia" w:ascii="宋体" w:hAnsi="宋体" w:cs="Arial"/>
          <w:color w:val="000000"/>
          <w:lang w:val="zh-CN"/>
        </w:rPr>
        <w:t>乙方未能在合同规定的限期或甲方同意延长的限期内，提供全部或部分货物的；</w:t>
      </w:r>
    </w:p>
    <w:p w14:paraId="6729204D">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乙方未能履行合同规定的其它主要义务的；</w:t>
      </w:r>
    </w:p>
    <w:p w14:paraId="58D7A694">
      <w:pPr>
        <w:spacing w:line="360" w:lineRule="auto"/>
        <w:ind w:firstLine="480"/>
        <w:rPr>
          <w:rFonts w:ascii="宋体" w:hAnsi="宋体" w:cs="Arial"/>
          <w:color w:val="000000"/>
        </w:rPr>
      </w:pPr>
      <w:r>
        <w:rPr>
          <w:rFonts w:hint="eastAsia" w:ascii="宋体" w:hAnsi="宋体" w:cs="Arial"/>
          <w:color w:val="000000"/>
        </w:rPr>
        <w:t>（3）</w:t>
      </w:r>
      <w:r>
        <w:rPr>
          <w:rFonts w:hint="eastAsia" w:ascii="宋体" w:hAnsi="宋体" w:cs="Arial"/>
          <w:color w:val="000000"/>
          <w:lang w:val="zh-CN"/>
        </w:rPr>
        <w:t>乙方在本合同履行过程中有欺诈行为的。</w:t>
      </w:r>
    </w:p>
    <w:p w14:paraId="42D30D87">
      <w:pPr>
        <w:spacing w:line="360" w:lineRule="auto"/>
        <w:ind w:firstLine="480"/>
        <w:rPr>
          <w:rFonts w:ascii="宋体" w:hAnsi="宋体" w:cs="Arial"/>
          <w:color w:val="000000"/>
        </w:rPr>
      </w:pPr>
      <w:r>
        <w:rPr>
          <w:rFonts w:hint="eastAsia" w:ascii="宋体" w:hAnsi="宋体" w:cs="Arial"/>
          <w:color w:val="000000"/>
        </w:rPr>
        <w:t>2、</w:t>
      </w:r>
      <w:r>
        <w:rPr>
          <w:rFonts w:hint="eastAsia" w:ascii="宋体" w:hAnsi="宋体" w:cs="Arial"/>
          <w:color w:val="00000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184DBE2B">
      <w:pPr>
        <w:spacing w:before="156" w:line="360" w:lineRule="auto"/>
        <w:ind w:firstLine="482"/>
        <w:rPr>
          <w:rFonts w:ascii="宋体" w:hAnsi="宋体" w:cs="Arial"/>
          <w:color w:val="000000"/>
        </w:rPr>
      </w:pPr>
      <w:r>
        <w:rPr>
          <w:rFonts w:hint="eastAsia" w:ascii="宋体" w:hAnsi="宋体" w:cs="Arial"/>
          <w:b/>
          <w:bCs/>
          <w:color w:val="000000"/>
        </w:rPr>
        <w:t>二十一、</w:t>
      </w:r>
      <w:r>
        <w:rPr>
          <w:rFonts w:hint="eastAsia" w:ascii="宋体" w:hAnsi="宋体" w:cs="Arial"/>
          <w:b/>
          <w:bCs/>
          <w:color w:val="000000"/>
          <w:lang w:val="zh-CN"/>
        </w:rPr>
        <w:t>破产终止合同</w:t>
      </w:r>
    </w:p>
    <w:p w14:paraId="528114A2">
      <w:pPr>
        <w:spacing w:line="360" w:lineRule="auto"/>
        <w:ind w:firstLine="480"/>
        <w:rPr>
          <w:rFonts w:ascii="宋体" w:hAnsi="宋体" w:cs="Arial"/>
          <w:color w:val="000000"/>
        </w:rPr>
      </w:pPr>
      <w:r>
        <w:rPr>
          <w:rFonts w:hint="eastAsia" w:ascii="宋体" w:hAnsi="宋体" w:cs="Arial"/>
          <w:color w:val="000000"/>
          <w:lang w:val="zh-CN"/>
        </w:rPr>
        <w:t>乙方破产而无法完全履行本合同义务时，甲方可以书面方式通知乙方终止合同而不给予乙方补偿。该合同的终止将不损害或不影响甲方已经采取或将要采取任何行动或补救措施的权利。</w:t>
      </w:r>
    </w:p>
    <w:p w14:paraId="372DA609">
      <w:pPr>
        <w:spacing w:before="156" w:line="360" w:lineRule="auto"/>
        <w:ind w:firstLine="482"/>
        <w:rPr>
          <w:rFonts w:ascii="宋体" w:hAnsi="宋体" w:cs="Arial"/>
          <w:b/>
          <w:bCs/>
          <w:color w:val="000000"/>
        </w:rPr>
      </w:pPr>
      <w:r>
        <w:rPr>
          <w:rFonts w:hint="eastAsia" w:ascii="宋体" w:hAnsi="宋体" w:cs="Arial"/>
          <w:b/>
          <w:bCs/>
          <w:color w:val="000000"/>
        </w:rPr>
        <w:t>二十二、</w:t>
      </w:r>
      <w:r>
        <w:rPr>
          <w:rFonts w:hint="eastAsia" w:ascii="宋体" w:hAnsi="宋体" w:cs="Arial"/>
          <w:b/>
          <w:bCs/>
          <w:color w:val="000000"/>
          <w:lang w:val="zh-CN"/>
        </w:rPr>
        <w:t>合同的变更、终止与转让</w:t>
      </w:r>
    </w:p>
    <w:p w14:paraId="29EEB0F1">
      <w:pPr>
        <w:ind w:firstLine="480"/>
        <w:jc w:val="left"/>
        <w:rPr>
          <w:rFonts w:ascii="宋体" w:hAnsi="宋体"/>
        </w:rPr>
      </w:pPr>
      <w:r>
        <w:rPr>
          <w:rFonts w:hint="eastAsia" w:ascii="宋体" w:hAnsi="宋体"/>
        </w:rPr>
        <w:t>1.</w:t>
      </w:r>
      <w:r>
        <w:rPr>
          <w:rFonts w:hint="eastAsia" w:ascii="宋体" w:hAnsi="宋体"/>
          <w:lang w:val="zh-CN"/>
        </w:rPr>
        <w:t>除《中华人民共和国政府采购法》第</w:t>
      </w:r>
      <w:r>
        <w:rPr>
          <w:rFonts w:hint="eastAsia" w:ascii="宋体" w:hAnsi="宋体"/>
        </w:rPr>
        <w:t>50</w:t>
      </w:r>
      <w:r>
        <w:rPr>
          <w:rFonts w:hint="eastAsia" w:ascii="宋体" w:hAnsi="宋体"/>
          <w:lang w:val="zh-CN"/>
        </w:rPr>
        <w:t>条规定的情形外，本合同一经签订，甲乙双方不得擅自变更、中止或终止。</w:t>
      </w:r>
    </w:p>
    <w:p w14:paraId="4A2A8776">
      <w:pPr>
        <w:ind w:firstLine="480"/>
        <w:jc w:val="left"/>
        <w:rPr>
          <w:rFonts w:ascii="宋体" w:hAnsi="宋体"/>
        </w:rPr>
      </w:pPr>
      <w:r>
        <w:rPr>
          <w:rFonts w:hint="eastAsia" w:ascii="宋体" w:hAnsi="宋体"/>
        </w:rPr>
        <w:t>2.</w:t>
      </w:r>
      <w:r>
        <w:rPr>
          <w:rFonts w:hint="eastAsia" w:ascii="宋体" w:hAnsi="宋体"/>
          <w:lang w:val="zh-CN"/>
        </w:rPr>
        <w:t>乙方不得擅自转让其应履行的合同义务。</w:t>
      </w:r>
    </w:p>
    <w:p w14:paraId="76B16EAF">
      <w:pPr>
        <w:spacing w:line="360" w:lineRule="auto"/>
        <w:ind w:firstLine="482"/>
        <w:rPr>
          <w:rFonts w:ascii="宋体" w:hAnsi="宋体" w:cs="Arial"/>
          <w:color w:val="000000"/>
        </w:rPr>
      </w:pPr>
      <w:r>
        <w:rPr>
          <w:rFonts w:hint="eastAsia" w:ascii="宋体" w:hAnsi="宋体" w:cs="Arial"/>
          <w:b/>
          <w:bCs/>
          <w:color w:val="000000"/>
        </w:rPr>
        <w:t>二十三、</w:t>
      </w:r>
      <w:r>
        <w:rPr>
          <w:rFonts w:hint="eastAsia" w:ascii="宋体" w:hAnsi="宋体" w:cs="Arial"/>
          <w:b/>
          <w:bCs/>
          <w:color w:val="000000"/>
          <w:lang w:val="zh-CN"/>
        </w:rPr>
        <w:t>合同修改</w:t>
      </w:r>
    </w:p>
    <w:p w14:paraId="536AF5DE">
      <w:pPr>
        <w:spacing w:line="360" w:lineRule="auto"/>
        <w:ind w:firstLine="480"/>
        <w:rPr>
          <w:rFonts w:ascii="宋体" w:hAnsi="宋体" w:cs="Arial"/>
          <w:color w:val="000000"/>
        </w:rPr>
      </w:pPr>
      <w:r>
        <w:rPr>
          <w:rFonts w:hint="eastAsia" w:ascii="宋体" w:hAnsi="宋体" w:cs="Arial"/>
          <w:color w:val="000000"/>
          <w:lang w:val="zh-CN"/>
        </w:rPr>
        <w:t>甲方和乙方都不得擅自变更本合同，但合同继续履行将损害国家和社会公共利益的除外。如必须对合同条款进行改动时，当事人双方须共同签署书面文件，做为合同的补充。</w:t>
      </w:r>
    </w:p>
    <w:p w14:paraId="6897DDB3">
      <w:pPr>
        <w:spacing w:before="156" w:line="360" w:lineRule="auto"/>
        <w:ind w:firstLine="482"/>
        <w:rPr>
          <w:rFonts w:ascii="宋体" w:hAnsi="宋体" w:cs="Arial"/>
          <w:color w:val="000000"/>
        </w:rPr>
      </w:pPr>
      <w:r>
        <w:rPr>
          <w:rFonts w:hint="eastAsia" w:ascii="宋体" w:hAnsi="宋体" w:cs="Arial"/>
          <w:b/>
          <w:bCs/>
          <w:color w:val="000000"/>
        </w:rPr>
        <w:t>二十四、</w:t>
      </w:r>
      <w:r>
        <w:rPr>
          <w:rFonts w:hint="eastAsia" w:ascii="宋体" w:hAnsi="宋体" w:cs="Arial"/>
          <w:b/>
          <w:bCs/>
          <w:color w:val="000000"/>
          <w:lang w:val="zh-CN"/>
        </w:rPr>
        <w:t>通知</w:t>
      </w:r>
    </w:p>
    <w:p w14:paraId="1F96B7FD">
      <w:pPr>
        <w:spacing w:line="360" w:lineRule="auto"/>
        <w:ind w:firstLine="480"/>
        <w:rPr>
          <w:rFonts w:ascii="宋体" w:hAnsi="宋体" w:cs="Arial"/>
          <w:color w:val="000000"/>
        </w:rPr>
      </w:pPr>
      <w:r>
        <w:rPr>
          <w:rFonts w:hint="eastAsia" w:ascii="宋体" w:hAnsi="宋体" w:cs="Arial"/>
          <w:color w:val="000000"/>
          <w:lang w:val="zh-CN"/>
        </w:rPr>
        <w:t>本合同任何一方给另一方的通知，都应以书面形式发送，而另一方也应以书面形式确认并发送到对方明确的地址。</w:t>
      </w:r>
    </w:p>
    <w:p w14:paraId="59E77A0E">
      <w:pPr>
        <w:spacing w:before="156" w:line="360" w:lineRule="auto"/>
        <w:ind w:firstLine="472"/>
        <w:rPr>
          <w:rFonts w:ascii="宋体" w:hAnsi="宋体" w:cs="Arial"/>
          <w:b/>
          <w:bCs/>
          <w:color w:val="000000"/>
        </w:rPr>
      </w:pPr>
      <w:r>
        <w:rPr>
          <w:rFonts w:hint="eastAsia" w:ascii="宋体" w:hAnsi="宋体" w:cs="Arial"/>
          <w:b/>
          <w:bCs/>
          <w:color w:val="000000"/>
        </w:rPr>
        <w:t>二十五、</w:t>
      </w:r>
      <w:r>
        <w:rPr>
          <w:rFonts w:hint="eastAsia" w:ascii="宋体" w:hAnsi="宋体" w:cs="Arial"/>
          <w:b/>
          <w:bCs/>
          <w:color w:val="000000"/>
          <w:lang w:val="zh-CN"/>
        </w:rPr>
        <w:t>计量单位</w:t>
      </w:r>
    </w:p>
    <w:p w14:paraId="4D0ED74A">
      <w:pPr>
        <w:spacing w:line="360" w:lineRule="auto"/>
        <w:ind w:firstLine="480"/>
        <w:rPr>
          <w:rFonts w:ascii="宋体" w:hAnsi="宋体" w:cs="Arial"/>
          <w:color w:val="000000"/>
        </w:rPr>
      </w:pPr>
      <w:r>
        <w:rPr>
          <w:rFonts w:hint="eastAsia" w:ascii="宋体" w:hAnsi="宋体" w:cs="Arial"/>
          <w:color w:val="000000"/>
          <w:lang w:val="zh-CN"/>
        </w:rPr>
        <w:t>除技术规范中另有规定外</w:t>
      </w:r>
      <w:r>
        <w:rPr>
          <w:rFonts w:hint="eastAsia" w:ascii="宋体" w:hAnsi="宋体" w:cs="Arial"/>
          <w:color w:val="000000"/>
        </w:rPr>
        <w:t>,</w:t>
      </w:r>
      <w:r>
        <w:rPr>
          <w:rFonts w:hint="eastAsia" w:ascii="宋体" w:hAnsi="宋体" w:cs="Arial"/>
          <w:color w:val="000000"/>
          <w:lang w:val="zh-CN"/>
        </w:rPr>
        <w:t>计量单位均使用国家法定计量单位。</w:t>
      </w:r>
    </w:p>
    <w:p w14:paraId="5F99BC09">
      <w:pPr>
        <w:spacing w:before="156" w:line="360" w:lineRule="auto"/>
        <w:ind w:firstLine="472"/>
        <w:rPr>
          <w:rFonts w:ascii="宋体" w:hAnsi="宋体" w:cs="Arial"/>
          <w:b/>
          <w:bCs/>
          <w:color w:val="000000"/>
        </w:rPr>
      </w:pPr>
      <w:r>
        <w:rPr>
          <w:rFonts w:hint="eastAsia" w:ascii="宋体" w:hAnsi="宋体" w:cs="Arial"/>
          <w:b/>
          <w:bCs/>
          <w:color w:val="000000"/>
        </w:rPr>
        <w:t>二十六、</w:t>
      </w:r>
      <w:r>
        <w:rPr>
          <w:rFonts w:hint="eastAsia" w:ascii="宋体" w:hAnsi="宋体" w:cs="Arial"/>
          <w:b/>
          <w:bCs/>
          <w:color w:val="000000"/>
          <w:lang w:val="zh-CN"/>
        </w:rPr>
        <w:t>适用法律</w:t>
      </w:r>
    </w:p>
    <w:p w14:paraId="64FD474F">
      <w:pPr>
        <w:spacing w:line="360" w:lineRule="auto"/>
        <w:ind w:firstLine="480"/>
        <w:rPr>
          <w:rFonts w:ascii="宋体" w:hAnsi="宋体" w:cs="Courier New"/>
          <w:b/>
          <w:color w:val="000000"/>
        </w:rPr>
      </w:pPr>
      <w:r>
        <w:rPr>
          <w:rFonts w:hint="eastAsia" w:ascii="宋体" w:hAnsi="宋体" w:cs="Arial"/>
          <w:color w:val="000000"/>
          <w:lang w:val="zh-CN"/>
        </w:rPr>
        <w:t>本合同按照中华人民共和国的相关法律进行解释</w:t>
      </w:r>
    </w:p>
    <w:p w14:paraId="1F08C756">
      <w:pPr>
        <w:spacing w:line="360" w:lineRule="auto"/>
        <w:jc w:val="center"/>
        <w:rPr>
          <w:rFonts w:ascii="宋体" w:hAnsi="宋体" w:cs="Courier New"/>
          <w:b/>
          <w:color w:val="000000"/>
        </w:rPr>
      </w:pPr>
    </w:p>
    <w:p w14:paraId="453E0392">
      <w:pPr>
        <w:pStyle w:val="250"/>
      </w:pPr>
    </w:p>
    <w:p w14:paraId="257E4F68">
      <w:pPr>
        <w:pStyle w:val="250"/>
      </w:pPr>
    </w:p>
    <w:p w14:paraId="243AA3F3">
      <w:pPr>
        <w:pStyle w:val="250"/>
      </w:pPr>
    </w:p>
    <w:p w14:paraId="3372A514">
      <w:pPr>
        <w:pStyle w:val="250"/>
      </w:pPr>
    </w:p>
    <w:p w14:paraId="65FD53A2">
      <w:pPr>
        <w:pStyle w:val="250"/>
      </w:pPr>
    </w:p>
    <w:p w14:paraId="4649BBDD">
      <w:pPr>
        <w:pStyle w:val="250"/>
      </w:pPr>
    </w:p>
    <w:p w14:paraId="1F4920C7">
      <w:pPr>
        <w:pStyle w:val="250"/>
      </w:pPr>
    </w:p>
    <w:p w14:paraId="558E00FD">
      <w:pPr>
        <w:pStyle w:val="250"/>
      </w:pPr>
    </w:p>
    <w:p w14:paraId="30A15A97">
      <w:pPr>
        <w:pStyle w:val="250"/>
      </w:pPr>
      <w:r>
        <w:rPr>
          <w:rFonts w:hint="eastAsia"/>
        </w:rPr>
        <w:br w:type="page"/>
      </w:r>
    </w:p>
    <w:p w14:paraId="5C75BD82">
      <w:pPr>
        <w:pStyle w:val="235"/>
        <w:numPr>
          <w:ilvl w:val="0"/>
          <w:numId w:val="6"/>
        </w:numPr>
        <w:spacing w:before="0" w:after="0" w:line="360" w:lineRule="auto"/>
        <w:rPr>
          <w:rFonts w:ascii="宋体" w:hAnsi="宋体" w:cs="宋体"/>
          <w:color w:val="000000"/>
          <w:szCs w:val="36"/>
          <w:lang w:val="zh-CN"/>
        </w:rPr>
      </w:pPr>
      <w:bookmarkStart w:id="50" w:name="_Toc6005"/>
      <w:r>
        <w:rPr>
          <w:rFonts w:hint="eastAsia" w:ascii="宋体" w:hAnsi="宋体" w:cs="宋体"/>
          <w:color w:val="000000"/>
          <w:szCs w:val="36"/>
          <w:lang w:val="zh-CN"/>
        </w:rPr>
        <w:t>投标文件格式</w:t>
      </w:r>
      <w:bookmarkEnd w:id="50"/>
    </w:p>
    <w:p w14:paraId="4D34A155">
      <w:pPr>
        <w:pStyle w:val="235"/>
        <w:spacing w:before="0" w:after="0" w:line="360" w:lineRule="auto"/>
        <w:jc w:val="left"/>
        <w:outlineLvl w:val="1"/>
        <w:rPr>
          <w:rFonts w:ascii="宋体" w:hAnsi="宋体" w:cs="宋体"/>
          <w:color w:val="000000"/>
        </w:rPr>
      </w:pPr>
      <w:bookmarkStart w:id="51" w:name="_Toc11851"/>
      <w:bookmarkStart w:id="52" w:name="_Toc32159"/>
      <w:r>
        <w:rPr>
          <w:rFonts w:hint="eastAsia" w:ascii="宋体" w:hAnsi="宋体" w:cs="宋体"/>
          <w:color w:val="000000"/>
          <w:sz w:val="30"/>
          <w:szCs w:val="30"/>
          <w:lang w:val="zh-CN"/>
        </w:rPr>
        <w:t>封面</w:t>
      </w:r>
      <w:bookmarkEnd w:id="51"/>
      <w:r>
        <w:rPr>
          <w:rFonts w:hint="eastAsia" w:ascii="宋体" w:hAnsi="宋体" w:cs="宋体"/>
          <w:color w:val="000000"/>
          <w:sz w:val="30"/>
          <w:szCs w:val="30"/>
          <w:lang w:val="zh-CN"/>
        </w:rPr>
        <w:t>（上册）</w:t>
      </w:r>
      <w:bookmarkEnd w:id="52"/>
    </w:p>
    <w:p w14:paraId="5C9FA7DA">
      <w:pPr>
        <w:spacing w:line="360" w:lineRule="auto"/>
        <w:jc w:val="center"/>
        <w:rPr>
          <w:rFonts w:ascii="宋体" w:hAnsi="宋体" w:cs="宋体"/>
          <w:b/>
          <w:bCs/>
          <w:color w:val="000000"/>
          <w:sz w:val="36"/>
          <w:szCs w:val="36"/>
        </w:rPr>
      </w:pPr>
    </w:p>
    <w:p w14:paraId="66D65B14">
      <w:pPr>
        <w:spacing w:line="360" w:lineRule="auto"/>
        <w:jc w:val="center"/>
        <w:rPr>
          <w:rFonts w:ascii="宋体" w:hAnsi="宋体" w:cs="宋体"/>
          <w:b/>
          <w:bCs/>
          <w:color w:val="000000"/>
          <w:sz w:val="52"/>
          <w:szCs w:val="52"/>
          <w:lang w:val="zh-CN"/>
        </w:rPr>
      </w:pPr>
      <w:r>
        <w:rPr>
          <w:rFonts w:hint="eastAsia" w:ascii="宋体" w:hAnsi="宋体" w:cs="宋体"/>
          <w:b/>
          <w:bCs/>
          <w:color w:val="000000"/>
          <w:sz w:val="52"/>
          <w:szCs w:val="52"/>
          <w:lang w:val="zh-CN"/>
        </w:rPr>
        <w:t>刚察县政府采购项目</w:t>
      </w:r>
    </w:p>
    <w:p w14:paraId="7D6C56D3">
      <w:pPr>
        <w:spacing w:line="360" w:lineRule="auto"/>
        <w:rPr>
          <w:rFonts w:ascii="宋体" w:hAnsi="宋体" w:cs="宋体"/>
          <w:color w:val="000000"/>
          <w:sz w:val="36"/>
          <w:szCs w:val="36"/>
        </w:rPr>
      </w:pPr>
    </w:p>
    <w:p w14:paraId="5110B3F2">
      <w:pPr>
        <w:spacing w:line="360" w:lineRule="auto"/>
        <w:jc w:val="center"/>
        <w:rPr>
          <w:rFonts w:ascii="宋体" w:hAnsi="宋体" w:cs="宋体"/>
          <w:b/>
          <w:bCs/>
          <w:color w:val="000000"/>
          <w:sz w:val="72"/>
          <w:szCs w:val="72"/>
          <w:lang w:val="zh-CN"/>
        </w:rPr>
      </w:pPr>
      <w:r>
        <w:rPr>
          <w:rFonts w:hint="eastAsia" w:ascii="宋体" w:hAnsi="宋体" w:cs="宋体"/>
          <w:b/>
          <w:bCs/>
          <w:color w:val="000000"/>
          <w:sz w:val="72"/>
          <w:szCs w:val="72"/>
          <w:lang w:val="zh-CN"/>
        </w:rPr>
        <w:t>投</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标</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文</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件</w:t>
      </w:r>
    </w:p>
    <w:p w14:paraId="162C4691">
      <w:pPr>
        <w:spacing w:line="360" w:lineRule="auto"/>
        <w:jc w:val="center"/>
        <w:rPr>
          <w:rFonts w:ascii="宋体" w:hAnsi="宋体" w:cs="宋体"/>
          <w:b/>
          <w:bCs/>
          <w:color w:val="000000"/>
          <w:sz w:val="36"/>
          <w:szCs w:val="36"/>
          <w:lang w:val="zh-CN"/>
        </w:rPr>
      </w:pPr>
      <w:r>
        <w:rPr>
          <w:rFonts w:hint="eastAsia" w:ascii="宋体" w:hAnsi="宋体" w:cs="宋体"/>
          <w:b/>
          <w:bCs/>
          <w:color w:val="000000"/>
          <w:sz w:val="36"/>
          <w:szCs w:val="36"/>
          <w:lang w:val="zh-CN"/>
        </w:rPr>
        <w:t>（上册）</w:t>
      </w:r>
    </w:p>
    <w:p w14:paraId="57ACB212">
      <w:pPr>
        <w:spacing w:line="360" w:lineRule="auto"/>
        <w:jc w:val="center"/>
        <w:rPr>
          <w:rFonts w:ascii="宋体" w:hAnsi="宋体" w:cs="宋体"/>
          <w:color w:val="000000"/>
          <w:sz w:val="36"/>
          <w:szCs w:val="36"/>
          <w:lang w:val="zh-CN"/>
        </w:rPr>
      </w:pPr>
      <w:r>
        <w:rPr>
          <w:rFonts w:hint="eastAsia" w:ascii="宋体" w:hAnsi="宋体" w:cs="宋体"/>
          <w:b/>
          <w:bCs/>
          <w:color w:val="000000"/>
          <w:sz w:val="36"/>
          <w:szCs w:val="36"/>
          <w:lang w:val="zh-CN"/>
        </w:rPr>
        <w:t>（资格审查文件）</w:t>
      </w:r>
    </w:p>
    <w:p w14:paraId="1D198F11">
      <w:pPr>
        <w:spacing w:line="360" w:lineRule="auto"/>
        <w:rPr>
          <w:rFonts w:ascii="宋体" w:hAnsi="宋体" w:cs="宋体"/>
          <w:color w:val="000000"/>
          <w:sz w:val="36"/>
          <w:szCs w:val="36"/>
        </w:rPr>
      </w:pPr>
    </w:p>
    <w:p w14:paraId="35213BC2">
      <w:pPr>
        <w:spacing w:line="360" w:lineRule="auto"/>
        <w:rPr>
          <w:rFonts w:ascii="宋体" w:hAnsi="宋体" w:cs="宋体"/>
          <w:b/>
          <w:bCs/>
          <w:color w:val="000000"/>
          <w:sz w:val="36"/>
          <w:szCs w:val="36"/>
        </w:rPr>
      </w:pPr>
      <w:r>
        <w:rPr>
          <w:rFonts w:hint="eastAsia" w:ascii="宋体" w:hAnsi="宋体" w:cs="宋体"/>
          <w:b/>
          <w:bCs/>
          <w:color w:val="000000"/>
          <w:sz w:val="36"/>
          <w:szCs w:val="36"/>
          <w:lang w:val="zh-CN"/>
        </w:rPr>
        <w:t>采购项目编号：</w:t>
      </w:r>
    </w:p>
    <w:p w14:paraId="4EA14197">
      <w:pPr>
        <w:spacing w:line="360" w:lineRule="auto"/>
        <w:rPr>
          <w:rFonts w:ascii="宋体" w:hAnsi="宋体" w:cs="宋体"/>
          <w:b/>
          <w:bCs/>
          <w:color w:val="000000"/>
          <w:sz w:val="36"/>
          <w:szCs w:val="36"/>
        </w:rPr>
      </w:pPr>
      <w:r>
        <w:rPr>
          <w:rFonts w:hint="eastAsia" w:ascii="宋体" w:hAnsi="宋体" w:cs="宋体"/>
          <w:b/>
          <w:bCs/>
          <w:color w:val="000000"/>
          <w:sz w:val="36"/>
          <w:szCs w:val="36"/>
          <w:lang w:val="zh-CN"/>
        </w:rPr>
        <w:t>采购项目名称</w:t>
      </w:r>
      <w:r>
        <w:rPr>
          <w:rFonts w:hint="eastAsia" w:ascii="宋体" w:hAnsi="宋体" w:cs="宋体"/>
          <w:b/>
          <w:bCs/>
          <w:color w:val="000000"/>
          <w:sz w:val="36"/>
          <w:szCs w:val="36"/>
        </w:rPr>
        <w:t>：</w:t>
      </w:r>
    </w:p>
    <w:p w14:paraId="68691DC7">
      <w:pPr>
        <w:spacing w:line="360" w:lineRule="auto"/>
        <w:rPr>
          <w:rFonts w:ascii="宋体" w:hAnsi="宋体" w:cs="宋体"/>
          <w:b/>
          <w:bCs/>
          <w:color w:val="000000"/>
          <w:sz w:val="36"/>
          <w:szCs w:val="36"/>
        </w:rPr>
      </w:pPr>
    </w:p>
    <w:p w14:paraId="3AAFC3C2">
      <w:pPr>
        <w:spacing w:line="360" w:lineRule="auto"/>
        <w:rPr>
          <w:rFonts w:ascii="宋体" w:hAnsi="宋体" w:cs="宋体"/>
          <w:b/>
          <w:bCs/>
          <w:color w:val="000000"/>
          <w:sz w:val="36"/>
          <w:szCs w:val="36"/>
        </w:rPr>
      </w:pPr>
    </w:p>
    <w:p w14:paraId="70C92649">
      <w:pPr>
        <w:spacing w:line="360" w:lineRule="auto"/>
        <w:rPr>
          <w:rFonts w:ascii="宋体" w:hAnsi="宋体" w:cs="宋体"/>
          <w:b/>
          <w:bCs/>
          <w:color w:val="000000"/>
          <w:sz w:val="36"/>
          <w:szCs w:val="36"/>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投标人：</w:t>
      </w:r>
      <w:r>
        <w:rPr>
          <w:rFonts w:hint="eastAsia" w:ascii="宋体" w:hAnsi="宋体" w:cs="宋体"/>
          <w:b/>
          <w:bCs/>
          <w:color w:val="000000"/>
          <w:sz w:val="36"/>
          <w:szCs w:val="36"/>
          <w:u w:val="single"/>
        </w:rPr>
        <w:t xml:space="preserve">                         </w:t>
      </w:r>
      <w:r>
        <w:rPr>
          <w:rFonts w:hint="eastAsia" w:ascii="宋体" w:hAnsi="宋体" w:cs="宋体"/>
          <w:b/>
          <w:bCs/>
          <w:color w:val="000000"/>
          <w:sz w:val="36"/>
          <w:szCs w:val="36"/>
        </w:rPr>
        <w:t>（</w:t>
      </w:r>
      <w:r>
        <w:rPr>
          <w:rFonts w:hint="eastAsia" w:ascii="宋体" w:hAnsi="宋体" w:cs="宋体"/>
          <w:b/>
          <w:bCs/>
          <w:color w:val="000000"/>
          <w:sz w:val="36"/>
          <w:szCs w:val="36"/>
          <w:lang w:val="zh-CN"/>
        </w:rPr>
        <w:t>公章）</w:t>
      </w:r>
    </w:p>
    <w:p w14:paraId="1B6CE24B">
      <w:pPr>
        <w:spacing w:line="360" w:lineRule="auto"/>
        <w:rPr>
          <w:rFonts w:ascii="宋体" w:hAnsi="宋体" w:cs="宋体"/>
          <w:b/>
          <w:bCs/>
          <w:color w:val="000000"/>
          <w:sz w:val="36"/>
          <w:szCs w:val="36"/>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法定代表人或委托代理人：</w:t>
      </w:r>
      <w:r>
        <w:rPr>
          <w:rFonts w:hint="eastAsia" w:ascii="宋体" w:hAnsi="宋体" w:cs="宋体"/>
          <w:b/>
          <w:bCs/>
          <w:color w:val="000000"/>
          <w:sz w:val="36"/>
          <w:szCs w:val="36"/>
          <w:u w:val="single"/>
        </w:rPr>
        <w:t xml:space="preserve">   </w:t>
      </w:r>
      <w:r>
        <w:rPr>
          <w:rFonts w:hint="eastAsia" w:ascii="宋体" w:hAnsi="宋体" w:cs="宋体"/>
          <w:b/>
          <w:bCs/>
          <w:color w:val="000000"/>
          <w:sz w:val="36"/>
          <w:szCs w:val="36"/>
          <w:lang w:val="zh-CN"/>
        </w:rPr>
        <w:t>（签字或盖章）</w:t>
      </w:r>
    </w:p>
    <w:p w14:paraId="7B8BAD9E">
      <w:pPr>
        <w:spacing w:line="360" w:lineRule="auto"/>
        <w:rPr>
          <w:rFonts w:ascii="宋体" w:hAnsi="宋体" w:cs="宋体"/>
          <w:b/>
          <w:bCs/>
          <w:color w:val="000000"/>
          <w:sz w:val="36"/>
          <w:szCs w:val="36"/>
          <w:lang w:val="zh-CN"/>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年</w:t>
      </w: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月</w:t>
      </w: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日</w:t>
      </w:r>
    </w:p>
    <w:p w14:paraId="5211664C">
      <w:pPr>
        <w:pStyle w:val="235"/>
        <w:spacing w:before="0" w:after="0" w:line="360" w:lineRule="auto"/>
        <w:outlineLvl w:val="1"/>
        <w:rPr>
          <w:rFonts w:ascii="宋体" w:hAnsi="宋体" w:cs="宋体"/>
          <w:color w:val="000000"/>
          <w:lang w:val="zh-CN"/>
        </w:rPr>
      </w:pPr>
      <w:r>
        <w:rPr>
          <w:rFonts w:hint="eastAsia" w:ascii="宋体" w:hAnsi="宋体" w:cs="宋体"/>
          <w:b w:val="0"/>
          <w:bCs w:val="0"/>
          <w:color w:val="000000"/>
          <w:lang w:val="zh-CN"/>
        </w:rPr>
        <w:br w:type="page" w:clear="all"/>
      </w:r>
      <w:bookmarkStart w:id="53" w:name="_Toc20930"/>
      <w:bookmarkStart w:id="54" w:name="_Toc8514"/>
      <w:bookmarkStart w:id="55" w:name="_Toc29902"/>
      <w:r>
        <w:rPr>
          <w:rFonts w:hint="eastAsia" w:ascii="宋体" w:hAnsi="宋体" w:cs="宋体"/>
          <w:color w:val="000000"/>
          <w:sz w:val="30"/>
          <w:szCs w:val="30"/>
          <w:lang w:val="zh-CN"/>
        </w:rPr>
        <w:t>目录（上册）</w:t>
      </w:r>
      <w:bookmarkEnd w:id="53"/>
    </w:p>
    <w:p w14:paraId="11BED2B8">
      <w:pPr>
        <w:numPr>
          <w:ilvl w:val="0"/>
          <w:numId w:val="7"/>
        </w:numPr>
        <w:spacing w:line="360" w:lineRule="auto"/>
        <w:rPr>
          <w:rFonts w:ascii="宋体" w:hAnsi="宋体" w:cs="宋体"/>
          <w:color w:val="000000"/>
          <w:lang w:val="zh-CN"/>
        </w:rPr>
      </w:pPr>
      <w:r>
        <w:rPr>
          <w:rFonts w:hint="eastAsia" w:ascii="宋体" w:hAnsi="宋体" w:cs="宋体"/>
          <w:color w:val="000000"/>
          <w:lang w:val="zh-CN"/>
        </w:rPr>
        <w:t>投标函……………………………………………………………所在页码</w:t>
      </w:r>
    </w:p>
    <w:p w14:paraId="088BDF9D">
      <w:pPr>
        <w:numPr>
          <w:ilvl w:val="0"/>
          <w:numId w:val="7"/>
        </w:numPr>
        <w:spacing w:line="360" w:lineRule="auto"/>
        <w:rPr>
          <w:rFonts w:ascii="宋体" w:hAnsi="宋体" w:cs="宋体"/>
          <w:color w:val="000000"/>
          <w:lang w:val="zh-CN"/>
        </w:rPr>
      </w:pPr>
      <w:r>
        <w:rPr>
          <w:rFonts w:hint="eastAsia" w:ascii="宋体" w:hAnsi="宋体" w:cs="宋体"/>
          <w:color w:val="000000"/>
          <w:lang w:val="zh-CN"/>
        </w:rPr>
        <w:t>法定代表人证明书………………………………………………所在页码</w:t>
      </w:r>
    </w:p>
    <w:p w14:paraId="443ED12F">
      <w:pPr>
        <w:numPr>
          <w:ilvl w:val="0"/>
          <w:numId w:val="7"/>
        </w:numPr>
        <w:spacing w:line="360" w:lineRule="auto"/>
        <w:rPr>
          <w:rFonts w:ascii="宋体" w:hAnsi="宋体" w:cs="宋体"/>
          <w:color w:val="000000"/>
          <w:lang w:val="zh-CN"/>
        </w:rPr>
      </w:pPr>
      <w:r>
        <w:rPr>
          <w:rFonts w:hint="eastAsia" w:ascii="宋体" w:hAnsi="宋体" w:cs="宋体"/>
          <w:color w:val="000000"/>
          <w:lang w:val="zh-CN"/>
        </w:rPr>
        <w:t>法定代表人授权书………………………………………………所在页码</w:t>
      </w:r>
    </w:p>
    <w:p w14:paraId="160979F5">
      <w:pPr>
        <w:numPr>
          <w:ilvl w:val="0"/>
          <w:numId w:val="7"/>
        </w:numPr>
        <w:spacing w:line="360" w:lineRule="auto"/>
        <w:rPr>
          <w:rFonts w:ascii="宋体" w:hAnsi="宋体" w:cs="宋体"/>
          <w:color w:val="000000"/>
          <w:lang w:val="zh-CN"/>
        </w:rPr>
      </w:pPr>
      <w:r>
        <w:rPr>
          <w:rFonts w:hint="eastAsia" w:ascii="宋体" w:hAnsi="宋体" w:cs="宋体"/>
          <w:color w:val="000000"/>
          <w:lang w:val="zh-CN"/>
        </w:rPr>
        <w:t>投标人承诺函……………………………………………………所在页码</w:t>
      </w:r>
    </w:p>
    <w:p w14:paraId="36179280">
      <w:pPr>
        <w:numPr>
          <w:ilvl w:val="0"/>
          <w:numId w:val="7"/>
        </w:numPr>
        <w:spacing w:line="360" w:lineRule="auto"/>
        <w:rPr>
          <w:rFonts w:ascii="宋体" w:hAnsi="宋体" w:cs="宋体"/>
          <w:color w:val="000000"/>
          <w:lang w:val="zh-CN"/>
        </w:rPr>
      </w:pPr>
      <w:r>
        <w:rPr>
          <w:rFonts w:hint="eastAsia" w:ascii="宋体" w:hAnsi="宋体" w:cs="宋体"/>
          <w:color w:val="000000"/>
          <w:lang w:val="zh-CN"/>
        </w:rPr>
        <w:t>投标人诚信承诺书………………………………………………所在页码</w:t>
      </w:r>
    </w:p>
    <w:p w14:paraId="3E268486">
      <w:pPr>
        <w:numPr>
          <w:ilvl w:val="0"/>
          <w:numId w:val="7"/>
        </w:numPr>
        <w:spacing w:line="360" w:lineRule="auto"/>
        <w:rPr>
          <w:rFonts w:ascii="宋体" w:hAnsi="宋体" w:cs="宋体"/>
          <w:color w:val="000000"/>
          <w:lang w:val="zh-CN"/>
        </w:rPr>
      </w:pPr>
      <w:r>
        <w:rPr>
          <w:rFonts w:hint="eastAsia" w:ascii="宋体" w:hAnsi="宋体" w:cs="宋体"/>
          <w:color w:val="000000"/>
          <w:lang w:val="zh-CN"/>
        </w:rPr>
        <w:t>资格证明材料……………………………………………………所在页码</w:t>
      </w:r>
    </w:p>
    <w:p w14:paraId="04AB5B36">
      <w:pPr>
        <w:numPr>
          <w:ilvl w:val="0"/>
          <w:numId w:val="7"/>
        </w:numPr>
        <w:spacing w:line="360" w:lineRule="auto"/>
        <w:rPr>
          <w:rFonts w:ascii="宋体" w:hAnsi="宋体" w:cs="宋体"/>
          <w:color w:val="000000"/>
          <w:lang w:val="zh-CN"/>
        </w:rPr>
      </w:pPr>
      <w:r>
        <w:rPr>
          <w:rFonts w:hint="eastAsia" w:ascii="宋体" w:hAnsi="宋体" w:cs="宋体"/>
          <w:color w:val="000000"/>
          <w:lang w:val="zh-CN"/>
        </w:rPr>
        <w:t>财务状况报告，依法缴纳税收和社会保障资金的相关材料…所在页码</w:t>
      </w:r>
    </w:p>
    <w:p w14:paraId="5CC059C6">
      <w:pPr>
        <w:numPr>
          <w:ilvl w:val="0"/>
          <w:numId w:val="7"/>
        </w:numPr>
        <w:spacing w:line="360" w:lineRule="auto"/>
        <w:rPr>
          <w:rFonts w:ascii="宋体" w:hAnsi="宋体" w:cs="宋体"/>
          <w:color w:val="000000"/>
          <w:lang w:val="zh-CN"/>
        </w:rPr>
      </w:pPr>
      <w:r>
        <w:rPr>
          <w:rFonts w:hint="eastAsia" w:ascii="宋体" w:hAnsi="宋体" w:cs="宋体"/>
          <w:color w:val="000000"/>
          <w:lang w:val="zh-CN"/>
        </w:rPr>
        <w:t>具备履行合同所必需的设备和专业技术能力的证明材料……所在页码</w:t>
      </w:r>
    </w:p>
    <w:p w14:paraId="23ADA14C">
      <w:pPr>
        <w:numPr>
          <w:ilvl w:val="0"/>
          <w:numId w:val="7"/>
        </w:numPr>
        <w:spacing w:line="360" w:lineRule="auto"/>
        <w:rPr>
          <w:rFonts w:ascii="宋体" w:hAnsi="宋体" w:cs="宋体"/>
          <w:color w:val="000000"/>
          <w:lang w:val="zh-CN"/>
        </w:rPr>
      </w:pPr>
      <w:r>
        <w:rPr>
          <w:rFonts w:hint="eastAsia" w:ascii="宋体" w:hAnsi="宋体" w:cs="宋体"/>
          <w:color w:val="000000"/>
          <w:lang w:val="zh-CN"/>
        </w:rPr>
        <w:t>无重大违法记录声明……………………………………………所在页码</w:t>
      </w:r>
    </w:p>
    <w:bookmarkEnd w:id="54"/>
    <w:bookmarkEnd w:id="55"/>
    <w:p w14:paraId="7A7ACED1">
      <w:pPr>
        <w:pStyle w:val="235"/>
        <w:spacing w:before="0" w:after="0" w:line="360" w:lineRule="auto"/>
        <w:jc w:val="left"/>
        <w:outlineLvl w:val="1"/>
        <w:rPr>
          <w:rFonts w:ascii="宋体" w:hAnsi="宋体" w:cs="宋体"/>
          <w:color w:val="000000"/>
          <w:lang w:val="zh-CN"/>
        </w:rPr>
      </w:pPr>
      <w:bookmarkStart w:id="56" w:name="_Toc19582"/>
      <w:r>
        <w:rPr>
          <w:rFonts w:hint="eastAsia" w:ascii="宋体" w:hAnsi="宋体" w:cs="宋体"/>
          <w:color w:val="000000"/>
          <w:sz w:val="30"/>
          <w:szCs w:val="30"/>
          <w:lang w:val="zh-CN"/>
        </w:rPr>
        <w:br w:type="page" w:clear="all"/>
      </w:r>
      <w:bookmarkStart w:id="57" w:name="_Toc3426"/>
      <w:r>
        <w:rPr>
          <w:rFonts w:hint="eastAsia" w:ascii="宋体" w:hAnsi="宋体" w:cs="宋体"/>
          <w:color w:val="000000"/>
          <w:sz w:val="30"/>
          <w:szCs w:val="30"/>
        </w:rPr>
        <w:t>（1）</w:t>
      </w:r>
      <w:r>
        <w:rPr>
          <w:rFonts w:hint="eastAsia" w:ascii="宋体" w:hAnsi="宋体" w:cs="宋体"/>
          <w:color w:val="000000"/>
          <w:sz w:val="30"/>
          <w:szCs w:val="30"/>
          <w:lang w:val="zh-CN"/>
        </w:rPr>
        <w:t>投标函</w:t>
      </w:r>
      <w:bookmarkEnd w:id="56"/>
      <w:bookmarkEnd w:id="57"/>
    </w:p>
    <w:p w14:paraId="6A873EF0">
      <w:pPr>
        <w:spacing w:line="360" w:lineRule="auto"/>
        <w:rPr>
          <w:rFonts w:ascii="宋体" w:hAnsi="宋体" w:cs="宋体"/>
          <w:b/>
          <w:bCs/>
          <w:color w:val="000000"/>
          <w:sz w:val="28"/>
          <w:szCs w:val="28"/>
          <w:lang w:val="zh-CN"/>
        </w:rPr>
      </w:pPr>
    </w:p>
    <w:p w14:paraId="1DB709F7">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投标函</w:t>
      </w:r>
    </w:p>
    <w:p w14:paraId="3F7465DD">
      <w:pPr>
        <w:spacing w:line="360" w:lineRule="auto"/>
        <w:rPr>
          <w:rFonts w:ascii="宋体" w:hAnsi="宋体" w:cs="宋体"/>
          <w:b/>
          <w:bCs/>
          <w:color w:val="000000"/>
          <w:sz w:val="28"/>
          <w:szCs w:val="28"/>
          <w:lang w:val="zh-CN"/>
        </w:rPr>
      </w:pPr>
    </w:p>
    <w:p w14:paraId="281A0C84">
      <w:pPr>
        <w:spacing w:line="360" w:lineRule="auto"/>
        <w:rPr>
          <w:rFonts w:ascii="宋体" w:hAnsi="宋体" w:cs="宋体"/>
          <w:color w:val="000000"/>
          <w:lang w:val="zh-CN"/>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7A4C6A2B">
      <w:pPr>
        <w:spacing w:line="360" w:lineRule="auto"/>
        <w:ind w:firstLine="480"/>
        <w:rPr>
          <w:rFonts w:ascii="宋体" w:hAnsi="宋体" w:cs="宋体"/>
          <w:color w:val="000000"/>
          <w:lang w:val="zh-CN"/>
        </w:rPr>
      </w:pPr>
      <w:r>
        <w:rPr>
          <w:rFonts w:hint="eastAsia" w:ascii="宋体" w:hAnsi="宋体" w:cs="宋体"/>
          <w:color w:val="000000"/>
          <w:lang w:val="zh-CN"/>
        </w:rPr>
        <w:t>我们收到</w:t>
      </w:r>
      <w:r>
        <w:rPr>
          <w:rFonts w:hint="eastAsia" w:ascii="宋体" w:hAnsi="宋体" w:cs="宋体"/>
          <w:color w:val="000000"/>
          <w:u w:val="single"/>
          <w:lang w:val="zh-CN"/>
        </w:rPr>
        <w:t>采购项目名称（采购项目编号）</w:t>
      </w:r>
      <w:r>
        <w:rPr>
          <w:rFonts w:hint="eastAsia" w:ascii="宋体" w:hAnsi="宋体" w:cs="宋体"/>
          <w:color w:val="000000"/>
          <w:lang w:val="zh-CN"/>
        </w:rPr>
        <w:t>招标文件，经研究，法定代表人（姓名、职务）正式授权（委托代理人姓名、职务）代表投标人（投标人名称、地址）提交投标文件。</w:t>
      </w:r>
    </w:p>
    <w:p w14:paraId="64D6536B">
      <w:pPr>
        <w:spacing w:line="360" w:lineRule="auto"/>
        <w:ind w:firstLine="480"/>
        <w:rPr>
          <w:rFonts w:ascii="宋体" w:hAnsi="宋体" w:cs="宋体"/>
          <w:color w:val="000000"/>
          <w:lang w:val="zh-CN"/>
        </w:rPr>
      </w:pPr>
      <w:r>
        <w:rPr>
          <w:rFonts w:hint="eastAsia" w:ascii="宋体" w:hAnsi="宋体" w:cs="宋体"/>
          <w:color w:val="000000"/>
          <w:lang w:val="zh-CN"/>
        </w:rPr>
        <w:t>据此函，签字代表宣布同意如下：</w:t>
      </w:r>
    </w:p>
    <w:p w14:paraId="37932799">
      <w:pPr>
        <w:spacing w:line="360" w:lineRule="auto"/>
        <w:ind w:firstLine="480"/>
        <w:rPr>
          <w:rFonts w:ascii="宋体" w:hAnsi="宋体" w:cs="宋体"/>
          <w:color w:val="000000"/>
          <w:lang w:val="zh-CN"/>
        </w:rPr>
      </w:pPr>
      <w:r>
        <w:rPr>
          <w:rFonts w:hint="eastAsia" w:ascii="宋体" w:hAnsi="宋体" w:cs="宋体"/>
          <w:color w:val="000000"/>
          <w:lang w:val="zh-CN"/>
        </w:rPr>
        <w:t>1.我方已详阅招标文件的全部内容，包括澄清、修改条款等有关附件，承诺对其完全理解并接受。</w:t>
      </w:r>
    </w:p>
    <w:p w14:paraId="448CC072">
      <w:pPr>
        <w:spacing w:line="360" w:lineRule="auto"/>
        <w:ind w:firstLine="480"/>
        <w:rPr>
          <w:rFonts w:ascii="宋体" w:hAnsi="宋体" w:cs="宋体"/>
          <w:color w:val="000000"/>
          <w:lang w:val="zh-CN"/>
        </w:rPr>
      </w:pPr>
      <w:r>
        <w:rPr>
          <w:rFonts w:hint="eastAsia" w:ascii="宋体" w:hAnsi="宋体" w:cs="宋体"/>
          <w:color w:val="000000"/>
          <w:lang w:val="zh-CN"/>
        </w:rPr>
        <w:t>2.投标有效期：</w:t>
      </w:r>
      <w:r>
        <w:rPr>
          <w:rFonts w:hint="eastAsia" w:ascii="宋体" w:hAnsi="宋体" w:cs="宋体"/>
          <w:color w:val="000000"/>
          <w:shd w:val="clear" w:color="auto" w:fill="FFFFFF"/>
        </w:rPr>
        <w:t>从提交投标文件的截止之日起</w:t>
      </w:r>
      <w:r>
        <w:rPr>
          <w:rFonts w:hint="eastAsia" w:ascii="宋体" w:hAnsi="宋体" w:cs="宋体"/>
          <w:color w:val="000000"/>
          <w:u w:val="single"/>
          <w:lang w:val="zh-CN"/>
        </w:rPr>
        <w:t xml:space="preserve">  60  </w:t>
      </w:r>
      <w:r>
        <w:rPr>
          <w:rFonts w:hint="eastAsia" w:ascii="宋体" w:hAnsi="宋体" w:cs="宋体"/>
          <w:color w:val="000000"/>
          <w:lang w:val="zh-CN"/>
        </w:rPr>
        <w:t>日历日内有效。如果我方在投标有效期内撤回投标或中标后不签约的，投标保证金将被贵方没收。</w:t>
      </w:r>
    </w:p>
    <w:p w14:paraId="176B0FF8">
      <w:pPr>
        <w:spacing w:line="360" w:lineRule="auto"/>
        <w:ind w:firstLine="480"/>
        <w:rPr>
          <w:rFonts w:ascii="宋体" w:hAnsi="宋体" w:cs="宋体"/>
          <w:color w:val="000000"/>
          <w:lang w:val="zh-CN"/>
        </w:rPr>
      </w:pPr>
      <w:r>
        <w:rPr>
          <w:rFonts w:hint="eastAsia" w:ascii="宋体" w:hAnsi="宋体" w:cs="宋体"/>
          <w:color w:val="000000"/>
          <w:lang w:val="zh-CN"/>
        </w:rPr>
        <w:t>3.我方同意按照贵方要求提供与投标有关的一切数据或资料，理解并接受贵方制定的评标办法。</w:t>
      </w:r>
    </w:p>
    <w:p w14:paraId="545724B1">
      <w:pPr>
        <w:spacing w:line="360" w:lineRule="auto"/>
        <w:ind w:firstLine="480"/>
        <w:rPr>
          <w:rFonts w:ascii="宋体" w:hAnsi="宋体" w:cs="宋体"/>
          <w:color w:val="000000"/>
          <w:lang w:val="zh-CN"/>
        </w:rPr>
      </w:pPr>
      <w:r>
        <w:rPr>
          <w:rFonts w:hint="eastAsia" w:ascii="宋体" w:hAnsi="宋体" w:cs="宋体"/>
          <w:color w:val="000000"/>
          <w:lang w:val="zh-CN"/>
        </w:rPr>
        <w:t>4.与本投标有关的一切正式往来通讯请寄：</w:t>
      </w:r>
    </w:p>
    <w:p w14:paraId="045B8AF2">
      <w:pPr>
        <w:spacing w:line="360" w:lineRule="auto"/>
        <w:rPr>
          <w:rFonts w:ascii="宋体" w:hAnsi="宋体" w:cs="宋体"/>
          <w:color w:val="000000"/>
          <w:lang w:val="zh-CN"/>
        </w:rPr>
      </w:pPr>
    </w:p>
    <w:p w14:paraId="53B76ECD">
      <w:pPr>
        <w:spacing w:line="360" w:lineRule="auto"/>
        <w:rPr>
          <w:rFonts w:ascii="宋体" w:hAnsi="宋体" w:cs="宋体"/>
          <w:color w:val="000000"/>
          <w:lang w:val="zh-CN"/>
        </w:rPr>
      </w:pPr>
      <w:r>
        <w:rPr>
          <w:rFonts w:hint="eastAsia" w:ascii="宋体" w:hAnsi="宋体" w:cs="宋体"/>
          <w:color w:val="000000"/>
          <w:lang w:val="zh-CN"/>
        </w:rPr>
        <w:t>地址：_______________          邮编：______________</w:t>
      </w:r>
    </w:p>
    <w:p w14:paraId="0C402E76">
      <w:pPr>
        <w:spacing w:line="360" w:lineRule="auto"/>
        <w:rPr>
          <w:rFonts w:ascii="宋体" w:hAnsi="宋体" w:cs="宋体"/>
          <w:color w:val="000000"/>
          <w:lang w:val="zh-CN"/>
        </w:rPr>
      </w:pPr>
      <w:r>
        <w:rPr>
          <w:rFonts w:hint="eastAsia" w:ascii="宋体" w:hAnsi="宋体" w:cs="宋体"/>
          <w:color w:val="000000"/>
          <w:lang w:val="zh-CN"/>
        </w:rPr>
        <w:t>电话：_______________          传真：______________</w:t>
      </w:r>
    </w:p>
    <w:p w14:paraId="7BD50104">
      <w:pPr>
        <w:spacing w:line="360" w:lineRule="auto"/>
        <w:rPr>
          <w:rFonts w:ascii="宋体" w:hAnsi="宋体" w:cs="宋体"/>
          <w:color w:val="000000"/>
          <w:lang w:val="zh-CN"/>
        </w:rPr>
      </w:pPr>
      <w:r>
        <w:rPr>
          <w:rFonts w:hint="eastAsia" w:ascii="宋体" w:hAnsi="宋体" w:cs="宋体"/>
          <w:color w:val="000000"/>
          <w:lang w:val="zh-CN"/>
        </w:rPr>
        <w:t>法定代表人姓名： ___________   职务：____________</w:t>
      </w:r>
    </w:p>
    <w:p w14:paraId="23A95B65">
      <w:pPr>
        <w:spacing w:line="360" w:lineRule="auto"/>
        <w:rPr>
          <w:rFonts w:ascii="宋体" w:hAnsi="宋体" w:cs="宋体"/>
          <w:color w:val="000000"/>
          <w:lang w:val="zh-CN"/>
        </w:rPr>
      </w:pPr>
    </w:p>
    <w:p w14:paraId="3FEE1625">
      <w:pPr>
        <w:spacing w:line="360" w:lineRule="auto"/>
        <w:rPr>
          <w:rFonts w:ascii="宋体" w:hAnsi="宋体" w:cs="宋体"/>
          <w:color w:val="000000"/>
          <w:lang w:val="zh-CN"/>
        </w:rPr>
      </w:pPr>
    </w:p>
    <w:p w14:paraId="2CAB5D74">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208766D7">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51EB6ED0">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39F0E96F">
      <w:pPr>
        <w:pStyle w:val="235"/>
        <w:spacing w:before="0" w:after="0" w:line="360" w:lineRule="auto"/>
        <w:jc w:val="left"/>
        <w:outlineLvl w:val="1"/>
        <w:rPr>
          <w:rFonts w:ascii="宋体" w:hAnsi="宋体" w:cs="宋体"/>
          <w:color w:val="000000"/>
        </w:rPr>
      </w:pPr>
      <w:r>
        <w:rPr>
          <w:rFonts w:hint="eastAsia" w:ascii="宋体" w:hAnsi="宋体" w:cs="宋体"/>
          <w:b w:val="0"/>
          <w:bCs w:val="0"/>
          <w:color w:val="000000"/>
          <w:sz w:val="24"/>
          <w:lang w:val="zh-CN"/>
        </w:rPr>
        <w:br w:type="page" w:clear="all"/>
      </w:r>
      <w:bookmarkStart w:id="58" w:name="_Toc3733"/>
      <w:bookmarkStart w:id="59" w:name="_Toc29944"/>
      <w:r>
        <w:rPr>
          <w:rFonts w:hint="eastAsia" w:ascii="宋体" w:hAnsi="宋体" w:cs="宋体"/>
          <w:color w:val="000000"/>
          <w:sz w:val="30"/>
          <w:szCs w:val="30"/>
          <w:lang w:val="zh-CN"/>
        </w:rPr>
        <w:t>（</w:t>
      </w:r>
      <w:r>
        <w:rPr>
          <w:rFonts w:hint="eastAsia" w:ascii="宋体" w:hAnsi="宋体" w:cs="宋体"/>
          <w:color w:val="000000"/>
          <w:sz w:val="30"/>
          <w:szCs w:val="30"/>
        </w:rPr>
        <w:t>2</w:t>
      </w:r>
      <w:r>
        <w:rPr>
          <w:rFonts w:hint="eastAsia" w:ascii="宋体" w:hAnsi="宋体" w:cs="宋体"/>
          <w:color w:val="000000"/>
          <w:sz w:val="30"/>
          <w:szCs w:val="30"/>
          <w:lang w:val="zh-CN"/>
        </w:rPr>
        <w:t>）</w:t>
      </w:r>
      <w:r>
        <w:rPr>
          <w:rFonts w:hint="eastAsia" w:ascii="宋体" w:hAnsi="宋体" w:cs="宋体"/>
          <w:color w:val="000000"/>
          <w:sz w:val="30"/>
          <w:szCs w:val="30"/>
        </w:rPr>
        <w:t>法定代表人证明书</w:t>
      </w:r>
      <w:bookmarkEnd w:id="58"/>
    </w:p>
    <w:p w14:paraId="3A0A411B">
      <w:pPr>
        <w:spacing w:line="360" w:lineRule="auto"/>
        <w:rPr>
          <w:rFonts w:ascii="宋体" w:hAnsi="宋体" w:cs="宋体"/>
          <w:color w:val="000000"/>
          <w:sz w:val="28"/>
          <w:szCs w:val="28"/>
          <w:lang w:val="zh-CN"/>
        </w:rPr>
      </w:pPr>
    </w:p>
    <w:p w14:paraId="35A08BB8">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法定代表人证明书</w:t>
      </w:r>
    </w:p>
    <w:p w14:paraId="55AB9625">
      <w:pPr>
        <w:spacing w:line="360" w:lineRule="auto"/>
        <w:rPr>
          <w:rFonts w:ascii="宋体" w:hAnsi="宋体" w:cs="宋体"/>
          <w:b/>
          <w:bCs/>
          <w:color w:val="000000"/>
          <w:sz w:val="28"/>
          <w:szCs w:val="28"/>
          <w:lang w:val="zh-CN"/>
        </w:rPr>
      </w:pPr>
    </w:p>
    <w:p w14:paraId="6178F0EF">
      <w:pPr>
        <w:spacing w:line="360" w:lineRule="auto"/>
        <w:rPr>
          <w:rFonts w:ascii="宋体" w:hAnsi="宋体" w:cs="宋体"/>
          <w:color w:val="000000"/>
          <w:lang w:val="zh-CN"/>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2F19F379">
      <w:pPr>
        <w:spacing w:line="360" w:lineRule="auto"/>
        <w:rPr>
          <w:rFonts w:ascii="宋体" w:hAnsi="宋体" w:cs="宋体"/>
          <w:color w:val="000000"/>
          <w:lang w:val="zh-CN"/>
        </w:rPr>
      </w:pPr>
      <w:r>
        <w:rPr>
          <w:rFonts w:hint="eastAsia" w:ascii="宋体" w:hAnsi="宋体" w:cs="宋体"/>
          <w:color w:val="000000"/>
          <w:lang w:val="zh-CN"/>
        </w:rPr>
        <w:t xml:space="preserve">    </w:t>
      </w:r>
      <w:r>
        <w:rPr>
          <w:rFonts w:hint="eastAsia" w:ascii="宋体" w:hAnsi="宋体" w:cs="宋体"/>
          <w:color w:val="000000"/>
          <w:u w:val="single"/>
          <w:lang w:val="zh-CN"/>
        </w:rPr>
        <w:t>（法定代表人姓名）</w:t>
      </w:r>
      <w:r>
        <w:rPr>
          <w:rFonts w:hint="eastAsia" w:ascii="宋体" w:hAnsi="宋体" w:cs="宋体"/>
          <w:color w:val="000000"/>
          <w:lang w:val="zh-CN"/>
        </w:rPr>
        <w:t>现任我单位</w:t>
      </w:r>
      <w:r>
        <w:rPr>
          <w:rFonts w:hint="eastAsia" w:ascii="宋体" w:hAnsi="宋体" w:cs="宋体"/>
          <w:color w:val="000000"/>
          <w:u w:val="single"/>
          <w:lang w:val="zh-CN"/>
        </w:rPr>
        <w:t xml:space="preserve">      </w:t>
      </w:r>
      <w:r>
        <w:rPr>
          <w:rFonts w:hint="eastAsia" w:ascii="宋体" w:hAnsi="宋体" w:cs="宋体"/>
          <w:color w:val="000000"/>
          <w:lang w:val="zh-CN"/>
        </w:rPr>
        <w:t>职务，为法定代表人，特此证明。</w:t>
      </w:r>
    </w:p>
    <w:p w14:paraId="5B3A03F7">
      <w:pPr>
        <w:spacing w:line="360" w:lineRule="auto"/>
        <w:rPr>
          <w:rFonts w:ascii="宋体" w:hAnsi="宋体" w:cs="宋体"/>
          <w:color w:val="000000"/>
          <w:lang w:val="zh-CN"/>
        </w:rPr>
      </w:pPr>
    </w:p>
    <w:p w14:paraId="1F746A27">
      <w:pPr>
        <w:spacing w:line="360" w:lineRule="auto"/>
        <w:rPr>
          <w:rFonts w:ascii="宋体" w:hAnsi="宋体" w:cs="宋体"/>
          <w:color w:val="000000"/>
          <w:lang w:val="zh-CN"/>
        </w:rPr>
      </w:pPr>
      <w:r>
        <w:rPr>
          <w:rFonts w:hint="eastAsia" w:ascii="宋体" w:hAnsi="宋体" w:cs="宋体"/>
          <w:color w:val="000000"/>
          <w:lang w:val="zh-CN"/>
        </w:rPr>
        <w:t>法定代表人基本情况：</w:t>
      </w:r>
    </w:p>
    <w:p w14:paraId="33C3182C">
      <w:pPr>
        <w:spacing w:line="360" w:lineRule="auto"/>
        <w:rPr>
          <w:rFonts w:ascii="宋体" w:hAnsi="宋体" w:cs="宋体"/>
          <w:color w:val="000000"/>
          <w:u w:val="single"/>
          <w:lang w:val="zh-CN"/>
        </w:rPr>
      </w:pPr>
      <w:r>
        <w:rPr>
          <w:rFonts w:hint="eastAsia" w:ascii="宋体" w:hAnsi="宋体" w:cs="宋体"/>
          <w:color w:val="000000"/>
          <w:lang w:val="zh-CN"/>
        </w:rPr>
        <w:t>性别：</w:t>
      </w:r>
      <w:r>
        <w:rPr>
          <w:rFonts w:hint="eastAsia" w:ascii="宋体" w:hAnsi="宋体" w:cs="宋体"/>
          <w:color w:val="000000"/>
          <w:u w:val="single"/>
          <w:lang w:val="zh-CN"/>
        </w:rPr>
        <w:t xml:space="preserve">           </w:t>
      </w:r>
      <w:r>
        <w:rPr>
          <w:rFonts w:hint="eastAsia" w:ascii="宋体" w:hAnsi="宋体" w:cs="宋体"/>
          <w:color w:val="000000"/>
          <w:lang w:val="zh-CN"/>
        </w:rPr>
        <w:t>年龄：</w:t>
      </w:r>
      <w:r>
        <w:rPr>
          <w:rFonts w:hint="eastAsia" w:ascii="宋体" w:hAnsi="宋体" w:cs="宋体"/>
          <w:color w:val="000000"/>
          <w:u w:val="single"/>
          <w:lang w:val="zh-CN"/>
        </w:rPr>
        <w:t xml:space="preserve">           </w:t>
      </w:r>
      <w:r>
        <w:rPr>
          <w:rFonts w:hint="eastAsia" w:ascii="宋体" w:hAnsi="宋体" w:cs="宋体"/>
          <w:color w:val="000000"/>
          <w:lang w:val="zh-CN"/>
        </w:rPr>
        <w:t xml:space="preserve"> 民族：</w:t>
      </w:r>
      <w:r>
        <w:rPr>
          <w:rFonts w:hint="eastAsia" w:ascii="宋体" w:hAnsi="宋体" w:cs="宋体"/>
          <w:color w:val="000000"/>
          <w:u w:val="single"/>
          <w:lang w:val="zh-CN"/>
        </w:rPr>
        <w:t xml:space="preserve">         </w:t>
      </w:r>
    </w:p>
    <w:p w14:paraId="73A4E169">
      <w:pPr>
        <w:spacing w:line="360" w:lineRule="auto"/>
        <w:rPr>
          <w:rFonts w:ascii="宋体" w:hAnsi="宋体" w:cs="宋体"/>
          <w:color w:val="000000"/>
          <w:u w:val="single"/>
          <w:lang w:val="zh-CN"/>
        </w:rPr>
      </w:pPr>
      <w:r>
        <w:rPr>
          <w:rFonts w:hint="eastAsia" w:ascii="宋体" w:hAnsi="宋体" w:cs="宋体"/>
          <w:color w:val="000000"/>
          <w:lang w:val="zh-CN"/>
        </w:rPr>
        <w:t>地址：</w:t>
      </w:r>
      <w:r>
        <w:rPr>
          <w:rFonts w:hint="eastAsia" w:ascii="宋体" w:hAnsi="宋体" w:cs="宋体"/>
          <w:color w:val="000000"/>
          <w:u w:val="single"/>
          <w:lang w:val="zh-CN"/>
        </w:rPr>
        <w:t xml:space="preserve">                                            </w:t>
      </w:r>
    </w:p>
    <w:p w14:paraId="608025E1">
      <w:pPr>
        <w:spacing w:line="360" w:lineRule="auto"/>
        <w:rPr>
          <w:rFonts w:ascii="宋体" w:hAnsi="宋体" w:cs="宋体"/>
          <w:color w:val="000000"/>
          <w:lang w:val="zh-CN"/>
        </w:rPr>
      </w:pPr>
      <w:r>
        <w:rPr>
          <w:rFonts w:hint="eastAsia" w:ascii="宋体" w:hAnsi="宋体" w:cs="宋体"/>
          <w:color w:val="000000"/>
          <w:lang w:val="zh-CN"/>
        </w:rPr>
        <w:t>身份证号码：</w:t>
      </w:r>
      <w:r>
        <w:rPr>
          <w:rFonts w:hint="eastAsia" w:ascii="宋体" w:hAnsi="宋体" w:cs="宋体"/>
          <w:color w:val="000000"/>
          <w:u w:val="single"/>
          <w:lang w:val="zh-CN"/>
        </w:rPr>
        <w:t xml:space="preserve">                                      </w:t>
      </w:r>
    </w:p>
    <w:p w14:paraId="6844FB3E">
      <w:pPr>
        <w:spacing w:line="360" w:lineRule="auto"/>
        <w:rPr>
          <w:rFonts w:ascii="宋体" w:hAnsi="宋体" w:cs="宋体"/>
          <w:color w:val="000000"/>
          <w:lang w:val="zh-CN"/>
        </w:rPr>
      </w:pPr>
    </w:p>
    <w:p w14:paraId="64D4E5EC">
      <w:pPr>
        <w:spacing w:line="360" w:lineRule="auto"/>
        <w:rPr>
          <w:rFonts w:ascii="宋体" w:hAnsi="宋体" w:cs="宋体"/>
          <w:color w:val="000000"/>
          <w:lang w:val="zh-CN"/>
        </w:rPr>
      </w:pPr>
      <w:r>
        <w:rPr>
          <w:rFonts w:hint="eastAsia" w:ascii="宋体" w:hAnsi="宋体" w:cs="宋体"/>
          <w:color w:val="000000"/>
          <w:lang w:val="zh-CN"/>
        </w:rPr>
        <w:t>附法定代表人第二代身份证双面扫描（或复印）件</w:t>
      </w:r>
    </w:p>
    <w:p w14:paraId="28E17459">
      <w:pPr>
        <w:spacing w:line="360" w:lineRule="auto"/>
        <w:rPr>
          <w:rFonts w:ascii="宋体" w:hAnsi="宋体" w:cs="宋体"/>
          <w:color w:val="000000"/>
          <w:lang w:val="zh-CN"/>
        </w:rPr>
      </w:pPr>
    </w:p>
    <w:p w14:paraId="0D8339A4">
      <w:pPr>
        <w:spacing w:line="360" w:lineRule="auto"/>
        <w:rPr>
          <w:rFonts w:ascii="宋体" w:hAnsi="宋体" w:cs="宋体"/>
          <w:color w:val="000000"/>
          <w:lang w:val="zh-CN"/>
        </w:rPr>
      </w:pPr>
    </w:p>
    <w:p w14:paraId="1E8F7A77">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5ABD59D7">
      <w:pPr>
        <w:spacing w:line="360" w:lineRule="auto"/>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0A901969">
      <w:pPr>
        <w:pStyle w:val="235"/>
        <w:spacing w:before="0" w:after="0" w:line="360" w:lineRule="auto"/>
        <w:jc w:val="left"/>
        <w:outlineLvl w:val="1"/>
        <w:rPr>
          <w:rFonts w:ascii="宋体" w:hAnsi="宋体" w:cs="宋体"/>
          <w:color w:val="000000"/>
          <w:lang w:val="zh-CN"/>
        </w:rPr>
      </w:pPr>
      <w:r>
        <w:rPr>
          <w:rFonts w:hint="eastAsia" w:ascii="宋体" w:hAnsi="宋体" w:cs="宋体"/>
          <w:color w:val="000000"/>
          <w:lang w:val="zh-CN"/>
        </w:rPr>
        <w:br w:type="page" w:clear="all"/>
      </w:r>
      <w:bookmarkEnd w:id="59"/>
      <w:bookmarkStart w:id="60" w:name="_Toc6704"/>
      <w:bookmarkStart w:id="61" w:name="_Toc17284"/>
      <w:r>
        <w:rPr>
          <w:rFonts w:hint="eastAsia" w:ascii="宋体" w:hAnsi="宋体" w:cs="宋体"/>
          <w:color w:val="000000"/>
          <w:sz w:val="30"/>
          <w:szCs w:val="30"/>
        </w:rPr>
        <w:t>（3）</w:t>
      </w:r>
      <w:r>
        <w:rPr>
          <w:rFonts w:hint="eastAsia" w:ascii="宋体" w:hAnsi="宋体" w:cs="宋体"/>
          <w:color w:val="000000"/>
          <w:sz w:val="30"/>
          <w:szCs w:val="30"/>
          <w:lang w:val="zh-CN"/>
        </w:rPr>
        <w:t>法定代表人授权书</w:t>
      </w:r>
      <w:bookmarkEnd w:id="60"/>
    </w:p>
    <w:p w14:paraId="75F88693">
      <w:pPr>
        <w:spacing w:line="360" w:lineRule="auto"/>
        <w:rPr>
          <w:rFonts w:ascii="宋体" w:hAnsi="宋体" w:cs="宋体"/>
          <w:color w:val="000000"/>
          <w:sz w:val="28"/>
          <w:szCs w:val="28"/>
          <w:lang w:val="zh-CN"/>
        </w:rPr>
      </w:pPr>
    </w:p>
    <w:p w14:paraId="16928FC0">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法定代表人授权书</w:t>
      </w:r>
    </w:p>
    <w:p w14:paraId="50061339">
      <w:pPr>
        <w:spacing w:line="360" w:lineRule="auto"/>
        <w:rPr>
          <w:rFonts w:ascii="宋体" w:hAnsi="宋体" w:cs="宋体"/>
          <w:b/>
          <w:bCs/>
          <w:color w:val="000000"/>
          <w:sz w:val="28"/>
          <w:szCs w:val="28"/>
          <w:lang w:val="zh-CN"/>
        </w:rPr>
      </w:pPr>
    </w:p>
    <w:p w14:paraId="2CBE003E">
      <w:pPr>
        <w:spacing w:line="360" w:lineRule="auto"/>
        <w:rPr>
          <w:rFonts w:ascii="宋体" w:hAnsi="宋体" w:cs="宋体"/>
          <w:b/>
          <w:bCs/>
          <w:color w:val="000000"/>
          <w:u w:val="single"/>
          <w:lang w:val="zh-CN"/>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2D8FBA49">
      <w:pPr>
        <w:spacing w:line="360" w:lineRule="auto"/>
        <w:rPr>
          <w:rFonts w:ascii="宋体" w:hAnsi="宋体" w:cs="宋体"/>
          <w:color w:val="000000"/>
          <w:lang w:val="zh-CN"/>
        </w:rPr>
      </w:pPr>
      <w:r>
        <w:rPr>
          <w:rFonts w:hint="eastAsia" w:ascii="宋体" w:hAnsi="宋体" w:cs="宋体"/>
          <w:color w:val="000000"/>
          <w:lang w:val="zh-CN"/>
        </w:rPr>
        <w:t xml:space="preserve">    </w:t>
      </w:r>
      <w:r>
        <w:rPr>
          <w:rFonts w:hint="eastAsia" w:ascii="宋体" w:hAnsi="宋体" w:cs="宋体"/>
          <w:color w:val="000000"/>
          <w:u w:val="single"/>
          <w:lang w:val="zh-CN"/>
        </w:rPr>
        <w:t>（投标人名称）</w:t>
      </w:r>
      <w:r>
        <w:rPr>
          <w:rFonts w:hint="eastAsia" w:ascii="宋体" w:hAnsi="宋体" w:cs="宋体"/>
          <w:color w:val="000000"/>
          <w:lang w:val="zh-CN"/>
        </w:rPr>
        <w:t>系中华人民共和国合法企业，法定地址</w:t>
      </w:r>
      <w:r>
        <w:rPr>
          <w:rFonts w:hint="eastAsia" w:ascii="宋体" w:hAnsi="宋体" w:cs="宋体"/>
          <w:color w:val="000000"/>
          <w:u w:val="single"/>
          <w:lang w:val="zh-CN"/>
        </w:rPr>
        <w:t xml:space="preserve">              </w:t>
      </w:r>
      <w:r>
        <w:rPr>
          <w:rFonts w:hint="eastAsia" w:ascii="宋体" w:hAnsi="宋体" w:cs="宋体"/>
          <w:color w:val="000000"/>
          <w:lang w:val="zh-CN"/>
        </w:rPr>
        <w:t>。</w:t>
      </w:r>
    </w:p>
    <w:p w14:paraId="20FAFE62">
      <w:pPr>
        <w:spacing w:line="360" w:lineRule="auto"/>
        <w:rPr>
          <w:rFonts w:ascii="宋体" w:hAnsi="宋体" w:cs="宋体"/>
          <w:color w:val="000000"/>
          <w:lang w:val="zh-CN"/>
        </w:rPr>
      </w:pPr>
      <w:r>
        <w:rPr>
          <w:rFonts w:hint="eastAsia" w:ascii="宋体" w:hAnsi="宋体" w:cs="宋体"/>
          <w:color w:val="000000"/>
        </w:rPr>
        <w:t xml:space="preserve">    </w:t>
      </w:r>
      <w:r>
        <w:rPr>
          <w:rFonts w:hint="eastAsia" w:ascii="宋体" w:hAnsi="宋体" w:cs="宋体"/>
          <w:color w:val="000000"/>
          <w:u w:val="single"/>
          <w:lang w:val="zh-CN"/>
        </w:rPr>
        <w:t>（法定代表人姓名）</w:t>
      </w:r>
      <w:r>
        <w:rPr>
          <w:rFonts w:hint="eastAsia" w:ascii="宋体" w:hAnsi="宋体" w:cs="宋体"/>
          <w:color w:val="000000"/>
          <w:lang w:val="zh-CN"/>
        </w:rPr>
        <w:t>特授权</w:t>
      </w:r>
      <w:r>
        <w:rPr>
          <w:rFonts w:hint="eastAsia" w:ascii="宋体" w:hAnsi="宋体" w:cs="宋体"/>
          <w:color w:val="000000"/>
          <w:u w:val="single"/>
          <w:lang w:val="zh-CN"/>
        </w:rPr>
        <w:t>（委托代理人姓名）</w:t>
      </w:r>
      <w:r>
        <w:rPr>
          <w:rFonts w:hint="eastAsia" w:ascii="宋体" w:hAnsi="宋体" w:cs="宋体"/>
          <w:color w:val="000000"/>
          <w:lang w:val="zh-CN"/>
        </w:rPr>
        <w:t>代表我单位全权办理</w:t>
      </w:r>
    </w:p>
    <w:p w14:paraId="42E2E6B9">
      <w:pPr>
        <w:spacing w:line="360" w:lineRule="auto"/>
        <w:rPr>
          <w:rFonts w:ascii="宋体" w:hAnsi="宋体" w:cs="宋体"/>
          <w:color w:val="000000"/>
          <w:lang w:val="zh-CN"/>
        </w:rPr>
      </w:pPr>
      <w:r>
        <w:rPr>
          <w:rFonts w:hint="eastAsia" w:ascii="宋体" w:hAnsi="宋体" w:cs="宋体"/>
          <w:color w:val="000000"/>
          <w:u w:val="single"/>
          <w:lang w:val="zh-CN"/>
        </w:rPr>
        <w:t xml:space="preserve">                         </w:t>
      </w:r>
      <w:r>
        <w:rPr>
          <w:rFonts w:hint="eastAsia" w:ascii="宋体" w:hAnsi="宋体" w:cs="宋体"/>
          <w:color w:val="000000"/>
          <w:lang w:val="zh-CN"/>
        </w:rPr>
        <w:t>项目的投标、答疑等具体工作，并签署全部有关的文件、资料。</w:t>
      </w:r>
    </w:p>
    <w:p w14:paraId="2503EEB4">
      <w:pPr>
        <w:spacing w:line="360" w:lineRule="auto"/>
        <w:ind w:firstLine="480"/>
        <w:rPr>
          <w:rFonts w:ascii="宋体" w:hAnsi="宋体" w:cs="宋体"/>
          <w:color w:val="000000"/>
          <w:lang w:val="zh-CN"/>
        </w:rPr>
      </w:pPr>
      <w:r>
        <w:rPr>
          <w:rFonts w:hint="eastAsia" w:ascii="宋体" w:hAnsi="宋体" w:cs="宋体"/>
          <w:color w:val="000000"/>
          <w:lang w:val="zh-CN"/>
        </w:rPr>
        <w:t>我单位对被授权人的签名负全部责任。</w:t>
      </w:r>
    </w:p>
    <w:p w14:paraId="049E530E">
      <w:pPr>
        <w:spacing w:line="360" w:lineRule="auto"/>
        <w:ind w:firstLine="480"/>
        <w:rPr>
          <w:rFonts w:ascii="宋体" w:hAnsi="宋体" w:cs="宋体"/>
          <w:color w:val="000000"/>
          <w:lang w:val="zh-CN"/>
        </w:rPr>
      </w:pPr>
      <w:r>
        <w:rPr>
          <w:rFonts w:hint="eastAsia" w:ascii="宋体" w:hAnsi="宋体" w:cs="宋体"/>
          <w:color w:val="000000"/>
          <w:lang w:val="zh-CN"/>
        </w:rPr>
        <w:t>被授权人联系电话：</w:t>
      </w:r>
    </w:p>
    <w:p w14:paraId="6E758D1F">
      <w:pPr>
        <w:spacing w:line="360" w:lineRule="auto"/>
        <w:rPr>
          <w:rFonts w:ascii="宋体" w:hAnsi="宋体" w:cs="宋体"/>
          <w:color w:val="000000"/>
          <w:lang w:val="zh-CN"/>
        </w:rPr>
      </w:pPr>
    </w:p>
    <w:p w14:paraId="107FD944">
      <w:pPr>
        <w:spacing w:line="360" w:lineRule="auto"/>
        <w:rPr>
          <w:rFonts w:ascii="宋体" w:hAnsi="宋体" w:cs="宋体"/>
          <w:color w:val="000000"/>
          <w:lang w:val="zh-CN"/>
        </w:rPr>
      </w:pPr>
      <w:r>
        <w:rPr>
          <w:rFonts w:hint="eastAsia" w:ascii="宋体" w:hAnsi="宋体" w:cs="宋体"/>
          <w:color w:val="000000"/>
          <w:lang w:val="zh-CN"/>
        </w:rPr>
        <w:t>被授权人（委托代理人）签字或盖章：</w:t>
      </w:r>
      <w:r>
        <w:rPr>
          <w:rFonts w:hint="eastAsia" w:ascii="宋体" w:hAnsi="宋体" w:cs="宋体"/>
          <w:color w:val="000000"/>
          <w:u w:val="single"/>
          <w:lang w:val="zh-CN"/>
        </w:rPr>
        <w:t xml:space="preserve">                  </w:t>
      </w:r>
      <w:r>
        <w:rPr>
          <w:rFonts w:hint="eastAsia" w:ascii="宋体" w:hAnsi="宋体" w:cs="宋体"/>
          <w:color w:val="000000"/>
          <w:lang w:val="zh-CN"/>
        </w:rPr>
        <w:t xml:space="preserve"> 职务：</w:t>
      </w:r>
      <w:r>
        <w:rPr>
          <w:rFonts w:hint="eastAsia"/>
          <w:lang w:val="zh-CN"/>
        </w:rPr>
        <w:t xml:space="preserve">                    </w:t>
      </w:r>
    </w:p>
    <w:p w14:paraId="70FC6FB5">
      <w:pPr>
        <w:spacing w:line="360" w:lineRule="auto"/>
        <w:rPr>
          <w:rFonts w:ascii="宋体" w:hAnsi="宋体" w:cs="宋体"/>
          <w:color w:val="000000"/>
          <w:lang w:val="zh-CN"/>
        </w:rPr>
      </w:pPr>
    </w:p>
    <w:p w14:paraId="7D3017A2">
      <w:pPr>
        <w:spacing w:line="360" w:lineRule="auto"/>
        <w:rPr>
          <w:rFonts w:ascii="宋体" w:hAnsi="宋体" w:cs="宋体"/>
          <w:color w:val="000000"/>
          <w:lang w:val="zh-CN"/>
        </w:rPr>
      </w:pPr>
      <w:r>
        <w:rPr>
          <w:rFonts w:hint="eastAsia" w:ascii="宋体" w:hAnsi="宋体" w:cs="宋体"/>
          <w:color w:val="000000"/>
          <w:lang w:val="zh-CN"/>
        </w:rPr>
        <w:t>授权人（法定代表人）签字或盖章：</w:t>
      </w:r>
      <w:r>
        <w:rPr>
          <w:rFonts w:hint="eastAsia" w:ascii="宋体" w:hAnsi="宋体" w:cs="宋体"/>
          <w:color w:val="000000"/>
          <w:u w:val="single"/>
          <w:lang w:val="zh-CN"/>
        </w:rPr>
        <w:t xml:space="preserve">                    </w:t>
      </w:r>
      <w:r>
        <w:rPr>
          <w:rFonts w:hint="eastAsia" w:ascii="宋体" w:hAnsi="宋体" w:cs="宋体"/>
          <w:color w:val="000000"/>
          <w:lang w:val="zh-CN"/>
        </w:rPr>
        <w:t xml:space="preserve"> 职务：                    </w:t>
      </w:r>
    </w:p>
    <w:p w14:paraId="34D5A463">
      <w:pPr>
        <w:spacing w:line="360" w:lineRule="auto"/>
        <w:rPr>
          <w:rFonts w:ascii="宋体" w:hAnsi="宋体" w:cs="宋体"/>
          <w:color w:val="000000"/>
          <w:lang w:val="zh-CN"/>
        </w:rPr>
      </w:pPr>
    </w:p>
    <w:p w14:paraId="739EC996">
      <w:pPr>
        <w:spacing w:line="360" w:lineRule="auto"/>
        <w:rPr>
          <w:rFonts w:ascii="宋体" w:hAnsi="宋体" w:cs="宋体"/>
          <w:color w:val="000000"/>
          <w:lang w:val="zh-CN"/>
        </w:rPr>
      </w:pPr>
      <w:r>
        <w:rPr>
          <w:rFonts w:hint="eastAsia" w:ascii="宋体" w:hAnsi="宋体" w:cs="宋体"/>
          <w:color w:val="000000"/>
          <w:lang w:val="zh-CN"/>
        </w:rPr>
        <w:t>附被授权人第二代身份证双面扫描（或复印）件</w:t>
      </w:r>
    </w:p>
    <w:p w14:paraId="71D2D443">
      <w:pPr>
        <w:spacing w:line="360" w:lineRule="auto"/>
        <w:rPr>
          <w:rFonts w:ascii="宋体" w:hAnsi="宋体" w:cs="宋体"/>
          <w:color w:val="000000"/>
          <w:lang w:val="zh-CN"/>
        </w:rPr>
      </w:pPr>
    </w:p>
    <w:p w14:paraId="13E73131">
      <w:pPr>
        <w:spacing w:line="360" w:lineRule="auto"/>
        <w:rPr>
          <w:rFonts w:ascii="宋体" w:hAnsi="宋体" w:cs="宋体"/>
          <w:color w:val="000000"/>
          <w:lang w:val="zh-CN"/>
        </w:rPr>
      </w:pPr>
    </w:p>
    <w:p w14:paraId="004F6CEB">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59C50951">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6C08F9DD">
      <w:pPr>
        <w:spacing w:line="360" w:lineRule="auto"/>
        <w:rPr>
          <w:rFonts w:ascii="宋体" w:hAnsi="宋体" w:cs="宋体"/>
          <w:color w:val="000000"/>
          <w:lang w:val="zh-CN"/>
        </w:rPr>
      </w:pPr>
    </w:p>
    <w:p w14:paraId="3233B93C">
      <w:pPr>
        <w:pStyle w:val="235"/>
        <w:spacing w:before="0" w:after="0" w:line="360" w:lineRule="auto"/>
        <w:jc w:val="left"/>
        <w:outlineLvl w:val="1"/>
        <w:rPr>
          <w:rFonts w:ascii="宋体" w:hAnsi="宋体" w:cs="宋体"/>
          <w:color w:val="000000"/>
          <w:lang w:val="zh-CN"/>
        </w:rPr>
      </w:pPr>
      <w:r>
        <w:rPr>
          <w:rFonts w:hint="eastAsia" w:ascii="宋体" w:hAnsi="宋体" w:cs="宋体"/>
          <w:color w:val="000000"/>
          <w:lang w:val="zh-CN"/>
        </w:rPr>
        <w:br w:type="page" w:clear="all"/>
      </w:r>
      <w:bookmarkStart w:id="62" w:name="_Toc1909"/>
      <w:r>
        <w:rPr>
          <w:rFonts w:hint="eastAsia" w:ascii="宋体" w:hAnsi="宋体" w:cs="宋体"/>
          <w:color w:val="000000"/>
          <w:sz w:val="30"/>
          <w:szCs w:val="30"/>
        </w:rPr>
        <w:t>（4）</w:t>
      </w:r>
      <w:r>
        <w:rPr>
          <w:rFonts w:hint="eastAsia" w:ascii="宋体" w:hAnsi="宋体" w:cs="宋体"/>
          <w:color w:val="000000"/>
          <w:sz w:val="30"/>
          <w:szCs w:val="30"/>
          <w:lang w:val="zh-CN"/>
        </w:rPr>
        <w:t>投标人承诺函</w:t>
      </w:r>
      <w:bookmarkEnd w:id="61"/>
    </w:p>
    <w:p w14:paraId="51E2C38D">
      <w:pPr>
        <w:spacing w:line="360" w:lineRule="auto"/>
        <w:rPr>
          <w:rFonts w:ascii="宋体" w:hAnsi="宋体" w:cs="宋体"/>
          <w:color w:val="000000"/>
          <w:sz w:val="28"/>
          <w:szCs w:val="28"/>
          <w:lang w:val="zh-CN"/>
        </w:rPr>
      </w:pPr>
    </w:p>
    <w:p w14:paraId="1AB63FB5">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投标人承诺函</w:t>
      </w:r>
    </w:p>
    <w:p w14:paraId="031C841C">
      <w:pPr>
        <w:spacing w:line="360" w:lineRule="auto"/>
        <w:rPr>
          <w:rFonts w:ascii="宋体" w:hAnsi="宋体" w:cs="宋体"/>
          <w:b/>
          <w:bCs/>
          <w:color w:val="000000"/>
          <w:sz w:val="28"/>
          <w:szCs w:val="28"/>
          <w:lang w:val="zh-CN"/>
        </w:rPr>
      </w:pPr>
    </w:p>
    <w:p w14:paraId="48FF8C72">
      <w:pPr>
        <w:spacing w:line="360" w:lineRule="auto"/>
        <w:rPr>
          <w:rFonts w:ascii="宋体" w:hAnsi="宋体" w:cs="宋体"/>
          <w:b/>
          <w:bCs/>
          <w:color w:val="000000"/>
          <w:u w:val="single"/>
          <w:lang w:val="zh-CN"/>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285D32E0">
      <w:pPr>
        <w:spacing w:line="360" w:lineRule="auto"/>
        <w:ind w:firstLine="480"/>
        <w:rPr>
          <w:rFonts w:ascii="宋体" w:hAnsi="宋体" w:cs="宋体"/>
          <w:color w:val="000000"/>
          <w:lang w:val="zh-CN"/>
        </w:rPr>
      </w:pPr>
      <w:r>
        <w:rPr>
          <w:rFonts w:hint="eastAsia" w:ascii="宋体" w:hAnsi="宋体" w:cs="宋体"/>
          <w:color w:val="000000"/>
          <w:lang w:val="zh-CN"/>
        </w:rPr>
        <w:t>关于贵方20</w:t>
      </w:r>
      <w:r>
        <w:rPr>
          <w:rFonts w:hint="eastAsia" w:ascii="宋体" w:hAnsi="宋体" w:cs="宋体"/>
          <w:color w:val="000000"/>
        </w:rPr>
        <w:t>XX</w:t>
      </w:r>
      <w:r>
        <w:rPr>
          <w:rFonts w:hint="eastAsia" w:ascii="宋体" w:hAnsi="宋体" w:cs="宋体"/>
          <w:color w:val="000000"/>
          <w:lang w:val="zh-CN"/>
        </w:rPr>
        <w:t>年</w:t>
      </w:r>
      <w:r>
        <w:rPr>
          <w:rFonts w:hint="eastAsia" w:ascii="宋体" w:hAnsi="宋体" w:cs="宋体"/>
          <w:color w:val="000000"/>
          <w:u w:val="single"/>
          <w:lang w:val="zh-CN"/>
        </w:rPr>
        <w:t xml:space="preserve">   </w:t>
      </w:r>
      <w:r>
        <w:rPr>
          <w:rFonts w:hint="eastAsia" w:ascii="宋体" w:hAnsi="宋体" w:cs="宋体"/>
          <w:color w:val="000000"/>
          <w:lang w:val="zh-CN"/>
        </w:rPr>
        <w:t>月</w:t>
      </w:r>
      <w:r>
        <w:rPr>
          <w:rFonts w:hint="eastAsia" w:ascii="宋体" w:hAnsi="宋体" w:cs="宋体"/>
          <w:color w:val="000000"/>
          <w:u w:val="single"/>
          <w:lang w:val="zh-CN"/>
        </w:rPr>
        <w:t xml:space="preserve">   </w:t>
      </w:r>
      <w:r>
        <w:rPr>
          <w:rFonts w:hint="eastAsia" w:ascii="宋体" w:hAnsi="宋体" w:cs="宋体"/>
          <w:color w:val="000000"/>
          <w:lang w:val="zh-CN"/>
        </w:rPr>
        <w:t>日</w:t>
      </w:r>
      <w:r>
        <w:rPr>
          <w:rFonts w:hint="eastAsia" w:ascii="宋体" w:hAnsi="宋体" w:cs="宋体"/>
          <w:color w:val="000000"/>
          <w:u w:val="single"/>
          <w:lang w:val="zh-CN"/>
        </w:rPr>
        <w:t xml:space="preserve">          (项目名称)</w:t>
      </w:r>
      <w:r>
        <w:rPr>
          <w:rFonts w:hint="eastAsia" w:ascii="宋体" w:hAnsi="宋体" w:cs="宋体"/>
          <w:color w:val="000000"/>
          <w:lang w:val="zh-CN"/>
        </w:rPr>
        <w:t>采购项目，本签字人愿意参加投标，提供采购一览表中要求的所有产品，并证实提交的所有资料是准确的和真实的。同时，我代表（投标人名称），在此作如下承诺：</w:t>
      </w:r>
    </w:p>
    <w:p w14:paraId="30127787">
      <w:pPr>
        <w:spacing w:line="360" w:lineRule="auto"/>
        <w:rPr>
          <w:rFonts w:ascii="宋体" w:hAnsi="宋体" w:cs="宋体"/>
          <w:color w:val="000000"/>
          <w:lang w:val="zh-CN"/>
        </w:rPr>
      </w:pPr>
      <w:r>
        <w:rPr>
          <w:rFonts w:hint="eastAsia" w:ascii="宋体" w:hAnsi="宋体" w:cs="宋体"/>
          <w:color w:val="000000"/>
          <w:lang w:val="zh-CN"/>
        </w:rPr>
        <w:t xml:space="preserve">   </w:t>
      </w:r>
      <w:r>
        <w:rPr>
          <w:rFonts w:hint="eastAsia" w:ascii="宋体" w:hAnsi="宋体" w:cs="宋体"/>
          <w:color w:val="000000"/>
        </w:rPr>
        <w:t xml:space="preserve"> </w:t>
      </w:r>
      <w:r>
        <w:rPr>
          <w:rFonts w:hint="eastAsia" w:ascii="宋体" w:hAnsi="宋体" w:cs="宋体"/>
          <w:color w:val="000000"/>
          <w:lang w:val="zh-CN"/>
        </w:rPr>
        <w:t>1.完全理解和接受招标文件的一切规定和要求；</w:t>
      </w:r>
    </w:p>
    <w:p w14:paraId="3DEAC682">
      <w:pPr>
        <w:spacing w:line="360" w:lineRule="auto"/>
        <w:ind w:firstLine="480"/>
        <w:rPr>
          <w:rFonts w:ascii="宋体" w:hAnsi="宋体" w:cs="宋体"/>
          <w:color w:val="000000"/>
          <w:lang w:val="zh-CN"/>
        </w:rPr>
      </w:pPr>
      <w:r>
        <w:rPr>
          <w:rFonts w:hint="eastAsia" w:ascii="宋体" w:hAnsi="宋体" w:cs="宋体"/>
          <w:color w:val="00000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5BC3E5C9">
      <w:pPr>
        <w:spacing w:line="360" w:lineRule="auto"/>
        <w:ind w:firstLine="480"/>
        <w:rPr>
          <w:rFonts w:ascii="宋体" w:hAnsi="宋体" w:cs="宋体"/>
          <w:color w:val="000000"/>
          <w:lang w:val="zh-CN"/>
        </w:rPr>
      </w:pPr>
      <w:r>
        <w:rPr>
          <w:rFonts w:hint="eastAsia" w:ascii="宋体" w:hAnsi="宋体" w:cs="宋体"/>
          <w:color w:val="000000"/>
          <w:lang w:val="zh-CN"/>
        </w:rPr>
        <w:t>3、我方保证甲方在使用该产品或其任何一部分时，不受第三方提出的侵犯专利权、著作权、商标权和工业设计权等知识产权的起诉，若有违犯，愿承担相应的一切责任。</w:t>
      </w:r>
    </w:p>
    <w:p w14:paraId="5A61EB70">
      <w:pPr>
        <w:spacing w:line="360" w:lineRule="auto"/>
        <w:ind w:firstLine="480"/>
        <w:rPr>
          <w:rFonts w:ascii="宋体" w:hAnsi="宋体" w:cs="宋体"/>
          <w:color w:val="000000"/>
          <w:lang w:val="zh-CN"/>
        </w:rPr>
      </w:pPr>
      <w:r>
        <w:rPr>
          <w:rFonts w:hint="eastAsia" w:ascii="宋体" w:hAnsi="宋体" w:cs="宋体"/>
          <w:color w:val="000000"/>
          <w:lang w:val="zh-CN"/>
        </w:rPr>
        <w:t>4、我方承诺，除招标文件中规定的进口产品外，所投的产品均为国产产品，且均符合国家强制性标准。若有不实，愿承担相应的责任。</w:t>
      </w:r>
    </w:p>
    <w:p w14:paraId="7000F969">
      <w:pPr>
        <w:spacing w:line="360" w:lineRule="auto"/>
        <w:ind w:firstLine="480"/>
        <w:rPr>
          <w:rFonts w:ascii="宋体" w:hAnsi="宋体" w:cs="宋体"/>
          <w:color w:val="000000"/>
          <w:lang w:val="zh-CN"/>
        </w:rPr>
      </w:pPr>
      <w:r>
        <w:rPr>
          <w:rFonts w:hint="eastAsia" w:ascii="宋体" w:hAnsi="宋体" w:cs="宋体"/>
          <w:color w:val="000000"/>
          <w:lang w:val="zh-CN"/>
        </w:rPr>
        <w:t>5、在整个招标过程中我方若有违规行为，贵方可按招标文件之规定给予处罚，我方完全接受。</w:t>
      </w:r>
    </w:p>
    <w:p w14:paraId="76BBE8C8">
      <w:pPr>
        <w:spacing w:line="360" w:lineRule="auto"/>
        <w:ind w:firstLine="480"/>
        <w:rPr>
          <w:rFonts w:ascii="宋体" w:hAnsi="宋体" w:cs="宋体"/>
          <w:color w:val="000000"/>
          <w:lang w:val="zh-CN"/>
        </w:rPr>
      </w:pPr>
      <w:r>
        <w:rPr>
          <w:rFonts w:hint="eastAsia" w:ascii="宋体" w:hAnsi="宋体" w:cs="宋体"/>
          <w:color w:val="000000"/>
          <w:lang w:val="zh-CN"/>
        </w:rPr>
        <w:t>6、若中标，本承诺将成为合同不可分割的一部分，与合同具有同等的法律效力。</w:t>
      </w:r>
    </w:p>
    <w:p w14:paraId="08351ECD">
      <w:pPr>
        <w:spacing w:line="360" w:lineRule="auto"/>
        <w:rPr>
          <w:rFonts w:ascii="宋体" w:hAnsi="宋体" w:cs="宋体"/>
          <w:color w:val="000000"/>
          <w:lang w:val="zh-CN"/>
        </w:rPr>
      </w:pPr>
    </w:p>
    <w:p w14:paraId="339928BB">
      <w:pPr>
        <w:spacing w:line="360" w:lineRule="auto"/>
        <w:rPr>
          <w:rFonts w:ascii="宋体" w:hAnsi="宋体" w:cs="宋体"/>
          <w:color w:val="000000"/>
          <w:lang w:val="zh-CN"/>
        </w:rPr>
      </w:pPr>
    </w:p>
    <w:p w14:paraId="077364E3">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2FECFD11">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7B1EFB70">
      <w:pPr>
        <w:spacing w:line="360" w:lineRule="auto"/>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64433986">
      <w:pPr>
        <w:pStyle w:val="235"/>
        <w:spacing w:before="0" w:after="0" w:line="360" w:lineRule="auto"/>
        <w:jc w:val="left"/>
        <w:outlineLvl w:val="1"/>
        <w:rPr>
          <w:rFonts w:ascii="宋体" w:hAnsi="宋体" w:cs="宋体"/>
          <w:color w:val="000000"/>
          <w:lang w:val="zh-CN"/>
        </w:rPr>
      </w:pPr>
      <w:r>
        <w:rPr>
          <w:rFonts w:hint="eastAsia" w:ascii="宋体" w:hAnsi="宋体" w:cs="宋体"/>
          <w:color w:val="000000"/>
          <w:lang w:val="zh-CN"/>
        </w:rPr>
        <w:br w:type="page" w:clear="all"/>
      </w:r>
      <w:bookmarkStart w:id="63" w:name="_Toc5719"/>
      <w:r>
        <w:rPr>
          <w:rFonts w:hint="eastAsia" w:ascii="宋体" w:hAnsi="宋体" w:cs="宋体"/>
          <w:color w:val="000000"/>
          <w:sz w:val="30"/>
          <w:szCs w:val="30"/>
        </w:rPr>
        <w:t>（5）</w:t>
      </w:r>
      <w:r>
        <w:rPr>
          <w:rFonts w:hint="eastAsia" w:ascii="宋体" w:hAnsi="宋体" w:cs="宋体"/>
          <w:color w:val="000000"/>
          <w:sz w:val="30"/>
          <w:szCs w:val="30"/>
          <w:lang w:val="zh-CN"/>
        </w:rPr>
        <w:t>投标人诚信承诺书</w:t>
      </w:r>
      <w:bookmarkEnd w:id="62"/>
    </w:p>
    <w:p w14:paraId="565210FA">
      <w:pPr>
        <w:spacing w:line="360" w:lineRule="auto"/>
        <w:rPr>
          <w:rFonts w:ascii="宋体" w:hAnsi="宋体" w:cs="宋体"/>
          <w:color w:val="000000"/>
          <w:sz w:val="28"/>
          <w:szCs w:val="28"/>
          <w:lang w:val="zh-CN"/>
        </w:rPr>
      </w:pPr>
    </w:p>
    <w:p w14:paraId="6352DEC9">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投标人诚信承诺书</w:t>
      </w:r>
    </w:p>
    <w:p w14:paraId="5436D1CB">
      <w:pPr>
        <w:spacing w:line="360" w:lineRule="auto"/>
        <w:rPr>
          <w:rFonts w:ascii="宋体" w:hAnsi="宋体" w:cs="宋体"/>
          <w:color w:val="000000"/>
          <w:lang w:val="zh-CN"/>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12BCC769">
      <w:pPr>
        <w:spacing w:line="360" w:lineRule="auto"/>
        <w:ind w:firstLine="480"/>
        <w:rPr>
          <w:rFonts w:ascii="宋体" w:hAnsi="宋体" w:cs="宋体"/>
          <w:color w:val="000000"/>
          <w:lang w:val="zh-CN"/>
        </w:rPr>
      </w:pPr>
      <w:r>
        <w:rPr>
          <w:rFonts w:hint="eastAsia" w:ascii="宋体" w:hAnsi="宋体" w:cs="宋体"/>
          <w:color w:val="000000"/>
          <w:lang w:val="zh-CN"/>
        </w:rPr>
        <w:t>为了诚实、客观、有序地参与刚察县政府采购活动，愿就以下内容作出承诺：</w:t>
      </w:r>
    </w:p>
    <w:p w14:paraId="14DF3E87">
      <w:pPr>
        <w:spacing w:line="360" w:lineRule="auto"/>
        <w:ind w:firstLine="480"/>
        <w:rPr>
          <w:rFonts w:ascii="宋体" w:hAnsi="宋体" w:cs="宋体"/>
          <w:color w:val="000000"/>
          <w:lang w:val="zh-CN"/>
        </w:rPr>
      </w:pPr>
      <w:r>
        <w:rPr>
          <w:rFonts w:hint="eastAsia" w:ascii="宋体" w:hAnsi="宋体" w:cs="宋体"/>
          <w:color w:val="000000"/>
          <w:lang w:val="zh-CN"/>
        </w:rPr>
        <w:t>一、自觉遵守各项法律、法规、规章、制度以及社会公德，维护廉洁环境，与同场竞争的其他投标人平等参加政府采购活动。</w:t>
      </w:r>
    </w:p>
    <w:p w14:paraId="454BC8A6">
      <w:pPr>
        <w:spacing w:line="360" w:lineRule="auto"/>
        <w:ind w:firstLine="480"/>
        <w:rPr>
          <w:rFonts w:ascii="宋体" w:hAnsi="宋体" w:cs="宋体"/>
          <w:color w:val="000000"/>
          <w:lang w:val="zh-CN"/>
        </w:rPr>
      </w:pPr>
      <w:r>
        <w:rPr>
          <w:rFonts w:hint="eastAsia" w:ascii="宋体" w:hAnsi="宋体" w:cs="宋体"/>
          <w:color w:val="000000"/>
          <w:lang w:val="zh-CN"/>
        </w:rPr>
        <w:t>二、参加采购中心组织的政府采购活动时，严格按照招标文件的规定和要求提供所需的相关材料，并对所提供的各类资料的真实性负责，不虚假应标，不虚列业绩。</w:t>
      </w:r>
    </w:p>
    <w:p w14:paraId="55F65413">
      <w:pPr>
        <w:spacing w:line="360" w:lineRule="auto"/>
        <w:ind w:firstLine="480"/>
        <w:rPr>
          <w:rFonts w:ascii="宋体" w:hAnsi="宋体" w:cs="宋体"/>
          <w:color w:val="000000"/>
          <w:lang w:val="zh-CN"/>
        </w:rPr>
      </w:pPr>
      <w:r>
        <w:rPr>
          <w:rFonts w:hint="eastAsia" w:ascii="宋体" w:hAnsi="宋体" w:cs="宋体"/>
          <w:color w:val="000000"/>
          <w:lang w:val="zh-CN"/>
        </w:rPr>
        <w:t>三、尊重参与政府采购活动各相关方的合法行为，接受政府采购活动依法形成的意见、结果。</w:t>
      </w:r>
    </w:p>
    <w:p w14:paraId="7998B817">
      <w:pPr>
        <w:spacing w:line="360" w:lineRule="auto"/>
        <w:ind w:firstLine="480"/>
        <w:rPr>
          <w:rFonts w:ascii="宋体" w:hAnsi="宋体" w:cs="宋体"/>
          <w:color w:val="000000"/>
          <w:lang w:val="zh-CN"/>
        </w:rPr>
      </w:pPr>
      <w:r>
        <w:rPr>
          <w:rFonts w:hint="eastAsia" w:ascii="宋体" w:hAnsi="宋体" w:cs="宋体"/>
          <w:color w:val="000000"/>
          <w:lang w:val="zh-CN"/>
        </w:rPr>
        <w:t>四、依法参加政府采购活动，不围标、串标，维护市场秩序，不提供“三无”产品、以次充好。</w:t>
      </w:r>
    </w:p>
    <w:p w14:paraId="66D76779">
      <w:pPr>
        <w:spacing w:line="360" w:lineRule="auto"/>
        <w:ind w:firstLine="480"/>
        <w:rPr>
          <w:rFonts w:ascii="宋体" w:hAnsi="宋体" w:cs="宋体"/>
          <w:color w:val="000000"/>
          <w:lang w:val="zh-CN"/>
        </w:rPr>
      </w:pPr>
      <w:r>
        <w:rPr>
          <w:rFonts w:hint="eastAsia" w:ascii="宋体" w:hAnsi="宋体" w:cs="宋体"/>
          <w:color w:val="000000"/>
          <w:lang w:val="zh-CN"/>
        </w:rPr>
        <w:t>五、积极推动政府采购活动健康开展，对采购活动有疑问、异议时，按法律规定的程序实名反映情况，不恶意中伤、无事生非，以和谐、平等的心态参加政府采购活动。</w:t>
      </w:r>
    </w:p>
    <w:p w14:paraId="18F56E50">
      <w:pPr>
        <w:spacing w:line="360" w:lineRule="auto"/>
        <w:ind w:firstLine="480"/>
        <w:rPr>
          <w:rFonts w:ascii="宋体" w:hAnsi="宋体" w:cs="宋体"/>
          <w:color w:val="000000"/>
          <w:lang w:val="zh-CN"/>
        </w:rPr>
      </w:pPr>
      <w:r>
        <w:rPr>
          <w:rFonts w:hint="eastAsia" w:ascii="宋体" w:hAnsi="宋体" w:cs="宋体"/>
          <w:color w:val="000000"/>
          <w:lang w:val="zh-CN"/>
        </w:rPr>
        <w:t>六、认真履行中标人应承担的责任和义务，全面执行采购合同规定的各项内容，保质保量地按时提供采购物品。</w:t>
      </w:r>
    </w:p>
    <w:p w14:paraId="2BB4704B">
      <w:pPr>
        <w:spacing w:line="360" w:lineRule="auto"/>
        <w:ind w:firstLine="480"/>
        <w:rPr>
          <w:rFonts w:ascii="宋体" w:hAnsi="宋体" w:cs="宋体"/>
          <w:color w:val="000000"/>
          <w:lang w:val="zh-CN"/>
        </w:rPr>
      </w:pPr>
      <w:r>
        <w:rPr>
          <w:rFonts w:hint="eastAsia" w:ascii="宋体" w:hAnsi="宋体" w:cs="宋体"/>
          <w:color w:val="000000"/>
          <w:lang w:val="zh-CN"/>
        </w:rPr>
        <w:t>若本企业（单位）发生有悖于上述承诺的行为，愿意接受《中华人民共和国政府采购法》和《政府采购法实施条例》中对投标人的相关处理。</w:t>
      </w:r>
    </w:p>
    <w:p w14:paraId="33BDCC3D">
      <w:pPr>
        <w:spacing w:line="360" w:lineRule="auto"/>
        <w:ind w:firstLine="480"/>
        <w:rPr>
          <w:rFonts w:ascii="宋体" w:hAnsi="宋体" w:cs="宋体"/>
          <w:color w:val="000000"/>
          <w:lang w:val="zh-CN"/>
        </w:rPr>
      </w:pPr>
      <w:r>
        <w:rPr>
          <w:rFonts w:hint="eastAsia" w:ascii="宋体" w:hAnsi="宋体" w:cs="宋体"/>
          <w:color w:val="000000"/>
          <w:lang w:val="zh-CN"/>
        </w:rPr>
        <w:t>本承诺是采购项目投标文件的组成部分。</w:t>
      </w:r>
    </w:p>
    <w:p w14:paraId="07BE853C">
      <w:pPr>
        <w:spacing w:line="360" w:lineRule="auto"/>
        <w:rPr>
          <w:rFonts w:ascii="宋体" w:hAnsi="宋体" w:cs="宋体"/>
          <w:color w:val="000000"/>
          <w:lang w:val="zh-CN"/>
        </w:rPr>
      </w:pPr>
    </w:p>
    <w:p w14:paraId="2E52C26A">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05CA399C">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65ECF179">
      <w:pPr>
        <w:spacing w:line="360" w:lineRule="auto"/>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4B0965AD">
      <w:pPr>
        <w:pStyle w:val="235"/>
        <w:spacing w:before="0" w:after="0" w:line="360" w:lineRule="auto"/>
        <w:jc w:val="left"/>
        <w:outlineLvl w:val="1"/>
        <w:rPr>
          <w:rFonts w:ascii="宋体" w:hAnsi="宋体" w:cs="宋体"/>
          <w:color w:val="000000"/>
          <w:lang w:val="zh-CN"/>
        </w:rPr>
      </w:pPr>
      <w:r>
        <w:rPr>
          <w:rFonts w:hint="eastAsia" w:ascii="宋体" w:hAnsi="宋体" w:cs="宋体"/>
          <w:color w:val="000000"/>
          <w:sz w:val="24"/>
          <w:lang w:val="zh-CN"/>
        </w:rPr>
        <w:br w:type="page" w:clear="all"/>
      </w:r>
      <w:bookmarkEnd w:id="63"/>
      <w:bookmarkStart w:id="64" w:name="_Toc4302"/>
      <w:bookmarkStart w:id="65" w:name="_Toc8344"/>
      <w:r>
        <w:rPr>
          <w:rFonts w:hint="eastAsia" w:ascii="宋体" w:hAnsi="宋体" w:cs="宋体"/>
          <w:color w:val="000000"/>
          <w:sz w:val="30"/>
          <w:szCs w:val="30"/>
        </w:rPr>
        <w:t>（6）</w:t>
      </w:r>
      <w:r>
        <w:rPr>
          <w:rFonts w:hint="eastAsia" w:ascii="宋体" w:hAnsi="宋体" w:cs="宋体"/>
          <w:color w:val="000000"/>
          <w:sz w:val="30"/>
          <w:szCs w:val="30"/>
          <w:lang w:val="zh-CN"/>
        </w:rPr>
        <w:t>资格证明材料</w:t>
      </w:r>
      <w:bookmarkEnd w:id="64"/>
    </w:p>
    <w:p w14:paraId="1FE232E6">
      <w:pPr>
        <w:spacing w:line="360" w:lineRule="auto"/>
        <w:rPr>
          <w:rFonts w:ascii="宋体" w:hAnsi="宋体" w:cs="宋体"/>
          <w:color w:val="000000"/>
          <w:sz w:val="28"/>
          <w:szCs w:val="28"/>
          <w:lang w:val="zh-CN"/>
        </w:rPr>
      </w:pPr>
    </w:p>
    <w:p w14:paraId="6B98D750">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资格证明材料</w:t>
      </w:r>
    </w:p>
    <w:p w14:paraId="0D5FD086">
      <w:pPr>
        <w:spacing w:line="360" w:lineRule="auto"/>
        <w:rPr>
          <w:rFonts w:ascii="宋体" w:hAnsi="宋体" w:cs="宋体"/>
          <w:color w:val="000000"/>
          <w:sz w:val="28"/>
          <w:szCs w:val="28"/>
          <w:lang w:val="zh-CN"/>
        </w:rPr>
      </w:pPr>
    </w:p>
    <w:p w14:paraId="055D6A6A">
      <w:pPr>
        <w:spacing w:line="360" w:lineRule="auto"/>
        <w:ind w:firstLine="480"/>
        <w:rPr>
          <w:rFonts w:ascii="宋体" w:hAnsi="宋体" w:cs="宋体"/>
          <w:color w:val="000000"/>
        </w:rPr>
      </w:pPr>
      <w:r>
        <w:rPr>
          <w:rFonts w:hint="eastAsia" w:ascii="宋体" w:hAnsi="宋体" w:cs="宋体"/>
          <w:color w:val="000000"/>
        </w:rPr>
        <w:t>资格证明材料包括：</w:t>
      </w:r>
    </w:p>
    <w:p w14:paraId="05223B38">
      <w:pPr>
        <w:numPr>
          <w:ilvl w:val="0"/>
          <w:numId w:val="8"/>
        </w:numPr>
        <w:spacing w:line="360" w:lineRule="auto"/>
        <w:ind w:firstLine="480"/>
        <w:rPr>
          <w:rFonts w:ascii="宋体" w:hAnsi="宋体" w:cs="宋体"/>
          <w:color w:val="000000"/>
        </w:rPr>
      </w:pPr>
      <w:r>
        <w:rPr>
          <w:rFonts w:hint="eastAsia" w:ascii="宋体" w:hAnsi="宋体" w:cs="宋体"/>
          <w:color w:val="000000"/>
        </w:rPr>
        <w:t>提供有效的营业执照三证（五证）合一统一社会代码证及其他资格证明文件（扫描或复印件）；</w:t>
      </w:r>
    </w:p>
    <w:p w14:paraId="2FD49C7E">
      <w:pPr>
        <w:spacing w:line="360" w:lineRule="auto"/>
        <w:ind w:firstLine="480"/>
        <w:rPr>
          <w:rFonts w:ascii="宋体" w:hAnsi="宋体" w:cs="宋体"/>
          <w:color w:val="000000"/>
        </w:rPr>
      </w:pPr>
      <w:r>
        <w:rPr>
          <w:rFonts w:hint="eastAsia" w:ascii="宋体" w:hAnsi="宋体"/>
        </w:rPr>
        <w:t>企业法人需提交“统一社会信用代码的营业执照；事业法人需提交 “统一社会信用代码的事业单位法人证书”；其他组织需提交“统一社会信用代码的社会团体法人登记证书”或“统一社会信用代码的民办非企业单位登记证书”或“统一社会信用代码的基金会法人登记证书”；个体工商户需提交“统一社会信用代码的营业执照”或“营业执照、税务登记证”；自然人需提交身份证明。</w:t>
      </w:r>
    </w:p>
    <w:p w14:paraId="141110AC">
      <w:pPr>
        <w:spacing w:line="360" w:lineRule="auto"/>
        <w:ind w:firstLine="480"/>
        <w:rPr>
          <w:rFonts w:ascii="宋体" w:hAnsi="宋体" w:cs="宋体"/>
          <w:color w:val="000000"/>
        </w:rPr>
      </w:pPr>
      <w:r>
        <w:rPr>
          <w:rFonts w:hint="eastAsia" w:ascii="宋体" w:hAnsi="宋体" w:cs="宋体"/>
          <w:color w:val="000000"/>
        </w:rPr>
        <w:t>（2）招标文件规定的有关资格证书、许可证书、认证等；</w:t>
      </w:r>
    </w:p>
    <w:p w14:paraId="352DF622">
      <w:pPr>
        <w:spacing w:line="360" w:lineRule="auto"/>
        <w:ind w:firstLine="480"/>
        <w:rPr>
          <w:rFonts w:ascii="宋体" w:hAnsi="宋体" w:cs="宋体"/>
          <w:color w:val="000000"/>
        </w:rPr>
      </w:pPr>
      <w:r>
        <w:rPr>
          <w:rFonts w:hint="eastAsia" w:ascii="宋体" w:hAnsi="宋体" w:cs="宋体"/>
          <w:color w:val="000000"/>
        </w:rPr>
        <w:t>（3）投标人认为有必要提供的其他资格证明文件。</w:t>
      </w:r>
    </w:p>
    <w:p w14:paraId="517194E8">
      <w:pPr>
        <w:pStyle w:val="235"/>
        <w:spacing w:before="0" w:after="0" w:line="360" w:lineRule="auto"/>
        <w:jc w:val="left"/>
        <w:outlineLvl w:val="1"/>
        <w:rPr>
          <w:rFonts w:ascii="宋体" w:hAnsi="宋体" w:cs="宋体"/>
          <w:color w:val="000000"/>
        </w:rPr>
      </w:pPr>
      <w:r>
        <w:rPr>
          <w:rFonts w:hint="eastAsia" w:ascii="宋体" w:hAnsi="宋体" w:cs="宋体"/>
          <w:color w:val="000000"/>
          <w:sz w:val="24"/>
          <w:lang w:val="zh-CN"/>
        </w:rPr>
        <w:br w:type="page" w:clear="all"/>
      </w:r>
      <w:bookmarkStart w:id="66" w:name="_Toc27267"/>
      <w:r>
        <w:rPr>
          <w:rFonts w:hint="eastAsia" w:ascii="宋体" w:hAnsi="宋体" w:cs="宋体"/>
          <w:color w:val="000000"/>
          <w:sz w:val="30"/>
          <w:szCs w:val="30"/>
        </w:rPr>
        <w:t>（7）</w:t>
      </w:r>
      <w:r>
        <w:rPr>
          <w:rFonts w:hint="eastAsia" w:ascii="宋体" w:hAnsi="宋体" w:cs="宋体"/>
          <w:color w:val="000000"/>
          <w:sz w:val="30"/>
          <w:szCs w:val="30"/>
          <w:lang w:val="zh-CN"/>
        </w:rPr>
        <w:t>财务状况报告，依法缴纳税收和社会保障资金的相关材料</w:t>
      </w:r>
      <w:bookmarkEnd w:id="65"/>
    </w:p>
    <w:p w14:paraId="5D5AB899">
      <w:pPr>
        <w:spacing w:line="360" w:lineRule="auto"/>
        <w:rPr>
          <w:rFonts w:ascii="宋体" w:hAnsi="宋体" w:cs="宋体"/>
          <w:color w:val="000000"/>
          <w:sz w:val="28"/>
          <w:szCs w:val="28"/>
          <w:lang w:val="zh-CN"/>
        </w:rPr>
      </w:pPr>
    </w:p>
    <w:p w14:paraId="4752EF2C">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财务状况报告，依法缴纳税收和社会保障资金的相关材料</w:t>
      </w:r>
    </w:p>
    <w:p w14:paraId="3B881D67">
      <w:pPr>
        <w:spacing w:line="360" w:lineRule="auto"/>
        <w:rPr>
          <w:rFonts w:ascii="宋体" w:hAnsi="宋体" w:cs="宋体"/>
          <w:color w:val="000000"/>
          <w:sz w:val="28"/>
          <w:szCs w:val="28"/>
          <w:lang w:val="zh-CN"/>
        </w:rPr>
      </w:pPr>
    </w:p>
    <w:p w14:paraId="718B7A5C">
      <w:pPr>
        <w:spacing w:line="360" w:lineRule="auto"/>
        <w:ind w:firstLine="480"/>
        <w:rPr>
          <w:rFonts w:ascii="宋体" w:hAnsi="宋体" w:cs="宋体"/>
          <w:color w:val="000000"/>
          <w:lang w:val="zh-CN"/>
        </w:rPr>
      </w:pPr>
      <w:r>
        <w:rPr>
          <w:rFonts w:hint="eastAsia" w:ascii="宋体" w:hAnsi="宋体" w:cs="宋体"/>
          <w:color w:val="000000"/>
          <w:lang w:val="zh-CN"/>
        </w:rPr>
        <w:t>按照招标文件第2.2款（1）中第&lt;2&gt;条规定提供以下相关材料。</w:t>
      </w:r>
    </w:p>
    <w:p w14:paraId="1F326324">
      <w:pPr>
        <w:spacing w:line="360" w:lineRule="auto"/>
        <w:ind w:firstLine="480"/>
        <w:rPr>
          <w:rFonts w:ascii="宋体" w:hAnsi="宋体" w:cs="宋体"/>
          <w:color w:val="000000"/>
          <w:lang w:val="zh-CN"/>
        </w:rPr>
      </w:pPr>
      <w:r>
        <w:rPr>
          <w:rFonts w:hint="eastAsia" w:ascii="宋体" w:hAnsi="宋体" w:cs="宋体"/>
          <w:color w:val="000000"/>
          <w:lang w:val="zh-CN"/>
        </w:rPr>
        <w:t>1、①投标人是法人公司的需</w:t>
      </w:r>
      <w:r>
        <w:rPr>
          <w:rFonts w:ascii="宋体" w:hAnsi="宋体" w:cs="宋体"/>
          <w:color w:val="000000"/>
          <w:lang w:val="zh-CN"/>
        </w:rPr>
        <w:t>提供</w:t>
      </w:r>
      <w:r>
        <w:rPr>
          <w:rFonts w:hint="eastAsia" w:ascii="宋体" w:hAnsi="宋体" w:cs="宋体"/>
          <w:color w:val="000000"/>
          <w:u w:val="single"/>
        </w:rPr>
        <w:t>2022年度或2023年度</w:t>
      </w:r>
      <w:r>
        <w:rPr>
          <w:rFonts w:hint="eastAsia" w:ascii="宋体" w:hAnsi="宋体"/>
        </w:rPr>
        <w:t>经第三方审计的财务状况报告或基本开户银行出具的近</w:t>
      </w:r>
      <w:r>
        <w:rPr>
          <w:rFonts w:hint="eastAsia" w:ascii="宋体" w:hAnsi="宋体" w:cs="宋体"/>
          <w:color w:val="000000"/>
          <w:lang w:val="zh-CN"/>
        </w:rPr>
        <w:t>三个月</w:t>
      </w:r>
      <w:r>
        <w:rPr>
          <w:rFonts w:hint="eastAsia" w:ascii="宋体" w:hAnsi="宋体"/>
        </w:rPr>
        <w:t>资信证明（同时提供基本存款账户开户许可证）</w:t>
      </w:r>
      <w:r>
        <w:rPr>
          <w:rFonts w:hint="eastAsia" w:ascii="宋体" w:hAnsi="宋体" w:cs="宋体"/>
          <w:color w:val="000000"/>
          <w:lang w:val="zh-CN"/>
        </w:rPr>
        <w:t>。②</w:t>
      </w:r>
      <w:r>
        <w:rPr>
          <w:rFonts w:hint="eastAsia" w:ascii="宋体" w:hAnsi="宋体"/>
        </w:rPr>
        <w:t>投标人为2023年度新成立的公司或是其他组织或自然人的企业，没有经审计的财务报告，可以提供基本开户银行出具的近</w:t>
      </w:r>
      <w:r>
        <w:rPr>
          <w:rFonts w:hint="eastAsia" w:ascii="宋体" w:hAnsi="宋体" w:cs="宋体"/>
          <w:color w:val="000000"/>
          <w:lang w:val="zh-CN"/>
        </w:rPr>
        <w:t>三个月</w:t>
      </w:r>
      <w:r>
        <w:rPr>
          <w:rFonts w:hint="eastAsia" w:ascii="宋体" w:hAnsi="宋体"/>
        </w:rPr>
        <w:t>资信证明（同时提供基本存款账户开户许可证）。</w:t>
      </w:r>
    </w:p>
    <w:p w14:paraId="0C0797F1">
      <w:pPr>
        <w:spacing w:line="360" w:lineRule="auto"/>
        <w:ind w:firstLine="480"/>
        <w:rPr>
          <w:rFonts w:ascii="宋体" w:hAnsi="宋体" w:cs="宋体"/>
          <w:color w:val="000000"/>
          <w:lang w:val="zh-CN"/>
        </w:rPr>
      </w:pPr>
      <w:r>
        <w:rPr>
          <w:rFonts w:hint="eastAsia" w:ascii="宋体" w:hAnsi="宋体" w:cs="宋体"/>
          <w:color w:val="000000"/>
          <w:lang w:val="zh-CN"/>
        </w:rPr>
        <w:t>2、提供近半年至今任意一个月企业依法缴纳税收和缴纳职工社会保障资金记录的证明材料；依法免税或不需要缴纳社会保障资金的投标人须提供相应文件证明其依法免税或不需要缴纳社会保障资金。</w:t>
      </w:r>
    </w:p>
    <w:p w14:paraId="25EAC978">
      <w:pPr>
        <w:pStyle w:val="235"/>
        <w:spacing w:before="0" w:after="0" w:line="360" w:lineRule="auto"/>
        <w:jc w:val="left"/>
        <w:outlineLvl w:val="1"/>
        <w:rPr>
          <w:rFonts w:ascii="宋体" w:hAnsi="宋体" w:cs="宋体"/>
        </w:rPr>
      </w:pPr>
      <w:r>
        <w:rPr>
          <w:rFonts w:hint="eastAsia" w:ascii="宋体" w:hAnsi="宋体" w:cs="宋体"/>
          <w:color w:val="000000"/>
          <w:sz w:val="24"/>
          <w:lang w:val="zh-CN"/>
        </w:rPr>
        <w:br w:type="page" w:clear="all"/>
      </w:r>
      <w:bookmarkEnd w:id="66"/>
      <w:bookmarkStart w:id="67" w:name="_Toc1735"/>
      <w:bookmarkStart w:id="68" w:name="_Toc21530"/>
      <w:r>
        <w:rPr>
          <w:rFonts w:hint="eastAsia" w:ascii="宋体" w:hAnsi="宋体" w:cs="宋体"/>
          <w:sz w:val="30"/>
          <w:szCs w:val="30"/>
        </w:rPr>
        <w:t>（8）</w:t>
      </w:r>
      <w:r>
        <w:rPr>
          <w:rFonts w:hint="eastAsia" w:ascii="宋体" w:hAnsi="宋体" w:cs="宋体"/>
          <w:sz w:val="30"/>
          <w:szCs w:val="30"/>
          <w:lang w:val="zh-CN"/>
        </w:rPr>
        <w:t>具备履行合同所必需的设备和专业技术能力的证明材料</w:t>
      </w:r>
      <w:bookmarkEnd w:id="67"/>
    </w:p>
    <w:p w14:paraId="423EC07C">
      <w:pPr>
        <w:spacing w:line="360" w:lineRule="auto"/>
        <w:rPr>
          <w:rFonts w:ascii="宋体" w:hAnsi="宋体" w:cs="宋体"/>
          <w:sz w:val="28"/>
          <w:szCs w:val="28"/>
          <w:lang w:val="zh-CN"/>
        </w:rPr>
      </w:pPr>
    </w:p>
    <w:p w14:paraId="7F9530C7">
      <w:pPr>
        <w:spacing w:line="360" w:lineRule="auto"/>
        <w:jc w:val="center"/>
        <w:rPr>
          <w:rFonts w:ascii="宋体" w:hAnsi="宋体" w:cs="宋体"/>
          <w:b/>
          <w:bCs/>
          <w:sz w:val="36"/>
          <w:szCs w:val="36"/>
          <w:lang w:val="zh-CN"/>
        </w:rPr>
      </w:pPr>
      <w:r>
        <w:rPr>
          <w:rFonts w:hint="eastAsia" w:ascii="宋体" w:hAnsi="宋体" w:cs="宋体"/>
          <w:b/>
          <w:bCs/>
          <w:sz w:val="28"/>
          <w:szCs w:val="28"/>
          <w:lang w:val="zh-CN"/>
        </w:rPr>
        <w:t>具备履行合同所必需的设备和专业技术能力的证明材料</w:t>
      </w:r>
    </w:p>
    <w:p w14:paraId="6FD8B563">
      <w:pPr>
        <w:spacing w:line="360" w:lineRule="auto"/>
        <w:ind w:firstLine="480"/>
        <w:rPr>
          <w:rFonts w:ascii="宋体" w:hAnsi="宋体" w:cs="宋体"/>
          <w:lang w:val="zh-CN"/>
        </w:rPr>
      </w:pPr>
    </w:p>
    <w:p w14:paraId="42ED0CF3">
      <w:pPr>
        <w:spacing w:line="360" w:lineRule="auto"/>
        <w:ind w:firstLine="480"/>
        <w:rPr>
          <w:rFonts w:ascii="宋体" w:hAnsi="宋体" w:cs="宋体"/>
          <w:lang w:val="zh-CN"/>
        </w:rPr>
      </w:pPr>
      <w:r>
        <w:rPr>
          <w:rFonts w:hint="eastAsia" w:ascii="宋体" w:hAnsi="宋体" w:cs="宋体"/>
          <w:lang w:val="zh-CN"/>
        </w:rPr>
        <w:t>为保证本项目合同的顺利履行，投标人必须具备履行合同的设备和专业技术能力，须提供具备履行合同的设备和专业技术能力的承诺函（格式自拟）。</w:t>
      </w:r>
    </w:p>
    <w:p w14:paraId="25FD1A6B">
      <w:pPr>
        <w:pStyle w:val="235"/>
        <w:spacing w:before="0" w:after="0" w:line="360" w:lineRule="auto"/>
        <w:jc w:val="left"/>
        <w:outlineLvl w:val="1"/>
        <w:rPr>
          <w:rFonts w:ascii="宋体" w:hAnsi="宋体" w:cs="宋体"/>
          <w:color w:val="000000"/>
          <w:sz w:val="30"/>
          <w:szCs w:val="30"/>
        </w:rPr>
      </w:pPr>
    </w:p>
    <w:p w14:paraId="3730C43D">
      <w:pPr>
        <w:pStyle w:val="235"/>
        <w:spacing w:before="0" w:after="0" w:line="360" w:lineRule="auto"/>
        <w:jc w:val="left"/>
        <w:outlineLvl w:val="1"/>
        <w:rPr>
          <w:rFonts w:ascii="宋体" w:hAnsi="宋体" w:cs="宋体"/>
          <w:color w:val="000000"/>
          <w:sz w:val="30"/>
          <w:szCs w:val="30"/>
        </w:rPr>
      </w:pPr>
    </w:p>
    <w:p w14:paraId="004428B0">
      <w:pPr>
        <w:pStyle w:val="235"/>
        <w:spacing w:before="0" w:after="0" w:line="360" w:lineRule="auto"/>
        <w:jc w:val="left"/>
        <w:outlineLvl w:val="1"/>
        <w:rPr>
          <w:rFonts w:ascii="宋体" w:hAnsi="宋体" w:cs="宋体"/>
          <w:color w:val="000000"/>
          <w:sz w:val="30"/>
          <w:szCs w:val="30"/>
        </w:rPr>
      </w:pPr>
    </w:p>
    <w:p w14:paraId="68645363">
      <w:pPr>
        <w:pStyle w:val="235"/>
        <w:spacing w:before="0" w:after="0" w:line="360" w:lineRule="auto"/>
        <w:jc w:val="left"/>
        <w:outlineLvl w:val="1"/>
        <w:rPr>
          <w:rFonts w:ascii="宋体" w:hAnsi="宋体" w:cs="宋体"/>
          <w:color w:val="000000"/>
          <w:sz w:val="30"/>
          <w:szCs w:val="30"/>
        </w:rPr>
      </w:pPr>
    </w:p>
    <w:p w14:paraId="0AFC696E">
      <w:pPr>
        <w:pStyle w:val="235"/>
        <w:spacing w:before="0" w:after="0" w:line="360" w:lineRule="auto"/>
        <w:jc w:val="left"/>
        <w:outlineLvl w:val="1"/>
        <w:rPr>
          <w:rFonts w:ascii="宋体" w:hAnsi="宋体" w:cs="宋体"/>
          <w:color w:val="000000"/>
          <w:sz w:val="30"/>
          <w:szCs w:val="30"/>
        </w:rPr>
      </w:pPr>
    </w:p>
    <w:p w14:paraId="7585244C">
      <w:pPr>
        <w:pStyle w:val="235"/>
        <w:spacing w:before="0" w:after="0" w:line="360" w:lineRule="auto"/>
        <w:jc w:val="left"/>
        <w:outlineLvl w:val="1"/>
        <w:rPr>
          <w:rFonts w:ascii="宋体" w:hAnsi="宋体" w:cs="宋体"/>
          <w:color w:val="000000"/>
          <w:sz w:val="30"/>
          <w:szCs w:val="30"/>
        </w:rPr>
      </w:pPr>
    </w:p>
    <w:p w14:paraId="0D4AE4B7">
      <w:pPr>
        <w:pStyle w:val="235"/>
        <w:spacing w:before="0" w:after="0" w:line="360" w:lineRule="auto"/>
        <w:jc w:val="left"/>
        <w:outlineLvl w:val="1"/>
        <w:rPr>
          <w:rFonts w:ascii="宋体" w:hAnsi="宋体" w:cs="宋体"/>
          <w:color w:val="000000"/>
          <w:sz w:val="30"/>
          <w:szCs w:val="30"/>
        </w:rPr>
      </w:pPr>
    </w:p>
    <w:p w14:paraId="229308BB">
      <w:pPr>
        <w:pStyle w:val="235"/>
        <w:spacing w:before="0" w:after="0" w:line="360" w:lineRule="auto"/>
        <w:jc w:val="left"/>
        <w:outlineLvl w:val="1"/>
        <w:rPr>
          <w:rFonts w:ascii="宋体" w:hAnsi="宋体" w:cs="宋体"/>
          <w:color w:val="000000"/>
          <w:sz w:val="30"/>
          <w:szCs w:val="30"/>
        </w:rPr>
      </w:pPr>
    </w:p>
    <w:p w14:paraId="061129F8">
      <w:pPr>
        <w:pStyle w:val="235"/>
        <w:spacing w:before="0" w:after="0" w:line="360" w:lineRule="auto"/>
        <w:jc w:val="left"/>
        <w:outlineLvl w:val="1"/>
        <w:rPr>
          <w:rFonts w:ascii="宋体" w:hAnsi="宋体" w:cs="宋体"/>
          <w:color w:val="000000"/>
          <w:sz w:val="30"/>
          <w:szCs w:val="30"/>
        </w:rPr>
      </w:pPr>
    </w:p>
    <w:p w14:paraId="69EB5373">
      <w:pPr>
        <w:pStyle w:val="235"/>
        <w:spacing w:before="0" w:after="0" w:line="360" w:lineRule="auto"/>
        <w:jc w:val="left"/>
        <w:outlineLvl w:val="1"/>
        <w:rPr>
          <w:rFonts w:ascii="宋体" w:hAnsi="宋体" w:cs="宋体"/>
          <w:color w:val="000000"/>
          <w:sz w:val="30"/>
          <w:szCs w:val="30"/>
        </w:rPr>
      </w:pPr>
    </w:p>
    <w:p w14:paraId="59EEBB27">
      <w:pPr>
        <w:pStyle w:val="235"/>
        <w:spacing w:before="0" w:after="0" w:line="360" w:lineRule="auto"/>
        <w:jc w:val="left"/>
        <w:outlineLvl w:val="1"/>
        <w:rPr>
          <w:rFonts w:ascii="宋体" w:hAnsi="宋体" w:cs="宋体"/>
          <w:color w:val="000000"/>
          <w:sz w:val="30"/>
          <w:szCs w:val="30"/>
        </w:rPr>
      </w:pPr>
    </w:p>
    <w:p w14:paraId="2E84568E">
      <w:pPr>
        <w:pStyle w:val="235"/>
        <w:spacing w:before="0" w:after="0" w:line="360" w:lineRule="auto"/>
        <w:jc w:val="left"/>
        <w:outlineLvl w:val="1"/>
        <w:rPr>
          <w:rFonts w:ascii="宋体" w:hAnsi="宋体" w:cs="宋体"/>
          <w:color w:val="000000"/>
          <w:sz w:val="30"/>
          <w:szCs w:val="30"/>
        </w:rPr>
      </w:pPr>
    </w:p>
    <w:p w14:paraId="62831086">
      <w:pPr>
        <w:pStyle w:val="235"/>
        <w:spacing w:before="0" w:after="0" w:line="360" w:lineRule="auto"/>
        <w:jc w:val="left"/>
        <w:outlineLvl w:val="1"/>
        <w:rPr>
          <w:rFonts w:ascii="宋体" w:hAnsi="宋体" w:cs="宋体"/>
          <w:color w:val="000000"/>
          <w:sz w:val="30"/>
          <w:szCs w:val="30"/>
        </w:rPr>
      </w:pPr>
    </w:p>
    <w:p w14:paraId="73163431">
      <w:pPr>
        <w:pStyle w:val="235"/>
        <w:spacing w:before="0" w:after="0" w:line="360" w:lineRule="auto"/>
        <w:jc w:val="left"/>
        <w:outlineLvl w:val="1"/>
        <w:rPr>
          <w:rFonts w:ascii="宋体" w:hAnsi="宋体" w:cs="宋体"/>
          <w:color w:val="000000"/>
          <w:sz w:val="30"/>
          <w:szCs w:val="30"/>
        </w:rPr>
      </w:pPr>
    </w:p>
    <w:p w14:paraId="0C0B12F6">
      <w:pPr>
        <w:pStyle w:val="235"/>
        <w:spacing w:before="0" w:after="0" w:line="360" w:lineRule="auto"/>
        <w:jc w:val="left"/>
        <w:outlineLvl w:val="1"/>
        <w:rPr>
          <w:rFonts w:ascii="宋体" w:hAnsi="宋体" w:cs="宋体"/>
          <w:color w:val="000000"/>
          <w:sz w:val="30"/>
          <w:szCs w:val="30"/>
        </w:rPr>
      </w:pPr>
    </w:p>
    <w:p w14:paraId="3A4CF088">
      <w:pPr>
        <w:pStyle w:val="235"/>
        <w:spacing w:before="0" w:after="0" w:line="360" w:lineRule="auto"/>
        <w:jc w:val="left"/>
        <w:outlineLvl w:val="1"/>
        <w:rPr>
          <w:rFonts w:ascii="宋体" w:hAnsi="宋体" w:cs="宋体"/>
          <w:color w:val="000000"/>
          <w:sz w:val="30"/>
          <w:szCs w:val="30"/>
        </w:rPr>
      </w:pPr>
    </w:p>
    <w:p w14:paraId="2588DE35">
      <w:pPr>
        <w:pStyle w:val="235"/>
        <w:spacing w:before="0" w:after="0" w:line="360" w:lineRule="auto"/>
        <w:jc w:val="left"/>
        <w:outlineLvl w:val="1"/>
        <w:rPr>
          <w:rFonts w:ascii="宋体" w:hAnsi="宋体" w:cs="宋体"/>
          <w:color w:val="000000"/>
          <w:sz w:val="30"/>
          <w:szCs w:val="30"/>
        </w:rPr>
      </w:pPr>
    </w:p>
    <w:p w14:paraId="62258E88">
      <w:pPr>
        <w:outlineLvl w:val="1"/>
        <w:rPr>
          <w:rFonts w:ascii="宋体" w:hAnsi="宋体" w:cs="宋体"/>
          <w:color w:val="000000"/>
        </w:rPr>
      </w:pPr>
      <w:r>
        <w:rPr>
          <w:rFonts w:hint="eastAsia" w:ascii="宋体" w:hAnsi="宋体" w:cs="宋体"/>
          <w:color w:val="000000"/>
        </w:rPr>
        <w:br w:type="page" w:clear="all"/>
      </w:r>
    </w:p>
    <w:p w14:paraId="1BC160FC">
      <w:pPr>
        <w:pStyle w:val="235"/>
        <w:spacing w:before="0" w:after="0" w:line="360" w:lineRule="auto"/>
        <w:jc w:val="left"/>
        <w:outlineLvl w:val="1"/>
        <w:rPr>
          <w:rFonts w:ascii="宋体" w:hAnsi="宋体" w:cs="宋体"/>
          <w:color w:val="000000"/>
        </w:rPr>
      </w:pPr>
      <w:bookmarkStart w:id="69" w:name="_Toc26560"/>
      <w:r>
        <w:rPr>
          <w:rFonts w:hint="eastAsia" w:ascii="宋体" w:hAnsi="宋体" w:cs="宋体"/>
          <w:color w:val="000000"/>
          <w:sz w:val="30"/>
          <w:szCs w:val="30"/>
        </w:rPr>
        <w:t>（9）</w:t>
      </w:r>
      <w:r>
        <w:rPr>
          <w:rFonts w:hint="eastAsia" w:ascii="宋体" w:hAnsi="宋体" w:cs="宋体"/>
          <w:color w:val="000000"/>
          <w:sz w:val="30"/>
          <w:szCs w:val="30"/>
          <w:lang w:val="zh-CN"/>
        </w:rPr>
        <w:t>无重大违法记录声明</w:t>
      </w:r>
      <w:bookmarkEnd w:id="68"/>
    </w:p>
    <w:p w14:paraId="6D5B5371">
      <w:pPr>
        <w:spacing w:line="360" w:lineRule="auto"/>
        <w:rPr>
          <w:rFonts w:ascii="宋体" w:hAnsi="宋体" w:cs="宋体"/>
          <w:color w:val="000000"/>
          <w:sz w:val="28"/>
          <w:szCs w:val="28"/>
          <w:lang w:val="zh-CN"/>
        </w:rPr>
      </w:pPr>
    </w:p>
    <w:p w14:paraId="004053C9">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无重大违法记录声明</w:t>
      </w:r>
    </w:p>
    <w:p w14:paraId="473C2B33">
      <w:pPr>
        <w:spacing w:line="360" w:lineRule="auto"/>
        <w:rPr>
          <w:rFonts w:ascii="宋体" w:hAnsi="宋体" w:cs="宋体"/>
          <w:b/>
          <w:bCs/>
          <w:color w:val="000000"/>
          <w:sz w:val="28"/>
          <w:szCs w:val="28"/>
        </w:rPr>
      </w:pPr>
    </w:p>
    <w:p w14:paraId="72D9D148">
      <w:pPr>
        <w:spacing w:line="360" w:lineRule="auto"/>
        <w:rPr>
          <w:rFonts w:ascii="宋体" w:hAnsi="宋体" w:cs="宋体"/>
          <w:b/>
          <w:bCs/>
          <w:color w:val="000000"/>
          <w:u w:val="single"/>
        </w:rPr>
      </w:pPr>
      <w:r>
        <w:rPr>
          <w:rFonts w:hint="eastAsia" w:ascii="宋体" w:hAnsi="宋体" w:cs="宋体"/>
          <w:b/>
          <w:bCs/>
          <w:color w:val="000000"/>
        </w:rPr>
        <w:t>致：</w:t>
      </w:r>
      <w:r>
        <w:rPr>
          <w:rFonts w:hint="eastAsia" w:ascii="宋体" w:hAnsi="宋体" w:cs="宋体"/>
          <w:b/>
          <w:bCs/>
          <w:color w:val="000000"/>
          <w:u w:val="single"/>
          <w:lang w:val="zh-CN"/>
        </w:rPr>
        <w:t>刚察县政府采购中心</w:t>
      </w:r>
    </w:p>
    <w:p w14:paraId="4AF27560">
      <w:pPr>
        <w:spacing w:line="360" w:lineRule="auto"/>
        <w:ind w:firstLine="480"/>
        <w:rPr>
          <w:rFonts w:ascii="宋体" w:hAnsi="宋体" w:cs="宋体"/>
          <w:color w:val="000000"/>
          <w:shd w:val="clear" w:color="auto" w:fill="FFFFFF"/>
        </w:rPr>
      </w:pPr>
      <w:r>
        <w:rPr>
          <w:rFonts w:hint="eastAsia" w:ascii="宋体" w:hAnsi="宋体" w:cs="宋体"/>
          <w:color w:val="000000"/>
        </w:rPr>
        <w:t>我单位参加本次政府采购项目活动前三年内，在经营活动中无重大违法活动记录，符合《政府采购法》规定的供应商资格条</w:t>
      </w:r>
      <w:r>
        <w:rPr>
          <w:rFonts w:hint="eastAsia" w:ascii="宋体" w:hAnsi="宋体" w:cs="宋体"/>
          <w:color w:val="000000"/>
          <w:shd w:val="clear" w:color="auto" w:fill="FFFFFF"/>
        </w:rPr>
        <w:t>件。我方对此声明负全部法律责任。</w:t>
      </w:r>
    </w:p>
    <w:p w14:paraId="102F30BC">
      <w:pPr>
        <w:spacing w:line="360" w:lineRule="auto"/>
        <w:ind w:firstLine="480"/>
        <w:rPr>
          <w:rFonts w:ascii="宋体" w:hAnsi="宋体" w:cs="宋体"/>
          <w:color w:val="000000"/>
        </w:rPr>
      </w:pPr>
      <w:r>
        <w:rPr>
          <w:rFonts w:hint="eastAsia" w:ascii="宋体" w:hAnsi="宋体" w:cs="宋体"/>
          <w:color w:val="000000"/>
        </w:rPr>
        <w:t>特此声明。</w:t>
      </w:r>
    </w:p>
    <w:p w14:paraId="72081E41">
      <w:pPr>
        <w:spacing w:line="360" w:lineRule="auto"/>
        <w:jc w:val="left"/>
        <w:rPr>
          <w:rFonts w:ascii="宋体" w:hAnsi="宋体" w:cs="宋体"/>
          <w:color w:val="000000"/>
        </w:rPr>
      </w:pPr>
    </w:p>
    <w:p w14:paraId="47ABEB0E">
      <w:pPr>
        <w:spacing w:line="360" w:lineRule="auto"/>
        <w:ind w:firstLine="482"/>
        <w:jc w:val="left"/>
        <w:rPr>
          <w:rFonts w:ascii="宋体" w:hAnsi="宋体" w:cs="宋体"/>
          <w:b/>
          <w:color w:val="000000"/>
        </w:rPr>
      </w:pPr>
      <w:r>
        <w:rPr>
          <w:rFonts w:hint="eastAsia" w:ascii="宋体" w:hAnsi="宋体" w:cs="宋体"/>
          <w:b/>
          <w:color w:val="000000"/>
          <w:lang w:val="zh-CN"/>
        </w:rPr>
        <w:t>附</w:t>
      </w:r>
      <w:r>
        <w:rPr>
          <w:rFonts w:hint="eastAsia" w:ascii="宋体" w:hAnsi="宋体" w:cs="宋体"/>
          <w:b/>
          <w:color w:val="000000"/>
        </w:rPr>
        <w:t>“</w:t>
      </w:r>
      <w:r>
        <w:rPr>
          <w:rFonts w:hint="eastAsia" w:ascii="宋体" w:hAnsi="宋体" w:cs="宋体"/>
          <w:b/>
          <w:color w:val="000000"/>
          <w:lang w:val="zh-CN"/>
        </w:rPr>
        <w:t>信用中国</w:t>
      </w:r>
      <w:r>
        <w:rPr>
          <w:rFonts w:hint="eastAsia" w:ascii="宋体" w:hAnsi="宋体" w:cs="宋体"/>
          <w:b/>
        </w:rPr>
        <w:t>（www.creditchina.gov.cn）</w:t>
      </w:r>
      <w:r>
        <w:rPr>
          <w:rFonts w:hint="eastAsia" w:ascii="宋体" w:hAnsi="宋体" w:cs="宋体"/>
          <w:b/>
          <w:color w:val="000000"/>
        </w:rPr>
        <w:t>”查询报告</w:t>
      </w:r>
      <w:r>
        <w:rPr>
          <w:rFonts w:hint="eastAsia" w:ascii="宋体" w:hAnsi="宋体" w:cs="宋体"/>
          <w:b/>
          <w:color w:val="000000"/>
          <w:lang w:val="zh-CN"/>
        </w:rPr>
        <w:t>、</w:t>
      </w:r>
      <w:r>
        <w:rPr>
          <w:rFonts w:hint="eastAsia" w:ascii="宋体" w:hAnsi="宋体" w:cs="宋体"/>
          <w:b/>
          <w:color w:val="000000"/>
        </w:rPr>
        <w:t>“</w:t>
      </w:r>
      <w:r>
        <w:rPr>
          <w:rFonts w:hint="eastAsia" w:ascii="宋体" w:hAnsi="宋体" w:cs="宋体"/>
          <w:b/>
          <w:color w:val="000000"/>
          <w:lang w:val="zh-CN"/>
        </w:rPr>
        <w:t>政府采购网</w:t>
      </w:r>
      <w:r>
        <w:rPr>
          <w:rFonts w:hint="eastAsia" w:ascii="宋体" w:hAnsi="宋体" w:cs="宋体"/>
          <w:b/>
        </w:rPr>
        <w:t>（www.ccgp.gov.cn）</w:t>
      </w:r>
      <w:r>
        <w:rPr>
          <w:rFonts w:hint="eastAsia" w:ascii="宋体" w:hAnsi="宋体" w:cs="宋体"/>
          <w:b/>
          <w:color w:val="000000"/>
        </w:rPr>
        <w:t>”</w:t>
      </w:r>
      <w:r>
        <w:rPr>
          <w:rFonts w:hint="eastAsia" w:ascii="宋体" w:hAnsi="宋体" w:cs="宋体"/>
          <w:b/>
          <w:color w:val="000000"/>
          <w:lang w:val="zh-CN"/>
        </w:rPr>
        <w:t>网站查询截图</w:t>
      </w:r>
      <w:r>
        <w:rPr>
          <w:rFonts w:hint="eastAsia" w:ascii="宋体" w:hAnsi="宋体" w:cs="宋体"/>
          <w:b/>
          <w:color w:val="000000"/>
        </w:rPr>
        <w:t>，</w:t>
      </w:r>
      <w:r>
        <w:rPr>
          <w:rFonts w:hint="eastAsia" w:ascii="宋体" w:hAnsi="宋体" w:cs="宋体"/>
          <w:b/>
          <w:color w:val="000000"/>
          <w:lang w:val="zh-CN"/>
        </w:rPr>
        <w:t>时间为投标截止时间前</w:t>
      </w:r>
      <w:r>
        <w:rPr>
          <w:rFonts w:hint="eastAsia" w:ascii="宋体" w:hAnsi="宋体" w:cs="宋体"/>
          <w:b/>
          <w:color w:val="000000"/>
        </w:rPr>
        <w:t>20</w:t>
      </w:r>
      <w:r>
        <w:rPr>
          <w:rFonts w:hint="eastAsia" w:ascii="宋体" w:hAnsi="宋体" w:cs="宋体"/>
          <w:b/>
          <w:color w:val="000000"/>
          <w:lang w:val="zh-CN"/>
        </w:rPr>
        <w:t>天内</w:t>
      </w:r>
      <w:r>
        <w:rPr>
          <w:rFonts w:hint="eastAsia" w:ascii="宋体" w:hAnsi="宋体" w:cs="宋体"/>
          <w:b/>
          <w:color w:val="000000"/>
        </w:rPr>
        <w:t>；实际</w:t>
      </w:r>
      <w:r>
        <w:rPr>
          <w:rFonts w:hint="eastAsia" w:ascii="宋体" w:hAnsi="宋体" w:cs="宋体"/>
          <w:b/>
          <w:color w:val="000000"/>
          <w:lang w:val="zh-CN"/>
        </w:rPr>
        <w:t>以现场查验为准。</w:t>
      </w:r>
    </w:p>
    <w:p w14:paraId="70AB9A8A">
      <w:pPr>
        <w:spacing w:line="360" w:lineRule="auto"/>
        <w:jc w:val="left"/>
        <w:rPr>
          <w:rFonts w:ascii="宋体" w:hAnsi="宋体" w:cs="宋体"/>
          <w:color w:val="000000"/>
        </w:rPr>
      </w:pPr>
    </w:p>
    <w:p w14:paraId="4E34ED6A">
      <w:pPr>
        <w:spacing w:line="360" w:lineRule="auto"/>
        <w:jc w:val="left"/>
        <w:rPr>
          <w:rFonts w:ascii="宋体" w:hAnsi="宋体" w:cs="宋体"/>
          <w:color w:val="000000"/>
        </w:rPr>
      </w:pPr>
    </w:p>
    <w:p w14:paraId="635142CE">
      <w:pPr>
        <w:spacing w:line="360" w:lineRule="auto"/>
        <w:jc w:val="left"/>
        <w:rPr>
          <w:rFonts w:ascii="宋体" w:hAnsi="宋体" w:cs="宋体"/>
          <w:color w:val="000000"/>
        </w:rPr>
      </w:pPr>
    </w:p>
    <w:p w14:paraId="6011C586">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00042CDF">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4483629A">
      <w:pPr>
        <w:spacing w:line="360" w:lineRule="auto"/>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2AD4848F">
      <w:pPr>
        <w:jc w:val="left"/>
        <w:rPr>
          <w:rFonts w:ascii="宋体" w:cs="宋体"/>
          <w:b/>
          <w:bCs/>
          <w:lang w:val="zh-CN"/>
        </w:rPr>
      </w:pPr>
      <w:r>
        <w:rPr>
          <w:rFonts w:hint="eastAsia" w:ascii="宋体" w:hAnsi="宋体" w:cs="宋体"/>
          <w:color w:val="000000"/>
          <w:lang w:val="zh-CN"/>
        </w:rPr>
        <w:br w:type="page" w:clear="all"/>
      </w:r>
      <w:bookmarkEnd w:id="69"/>
    </w:p>
    <w:p w14:paraId="45524D6A">
      <w:pPr>
        <w:rPr>
          <w:b/>
          <w:sz w:val="36"/>
          <w:szCs w:val="36"/>
        </w:rPr>
      </w:pPr>
      <w:r>
        <w:rPr>
          <w:rFonts w:hint="eastAsia"/>
          <w:b/>
          <w:sz w:val="36"/>
          <w:szCs w:val="36"/>
          <w:lang w:val="zh-CN"/>
        </w:rPr>
        <w:t>（下册）</w:t>
      </w:r>
    </w:p>
    <w:p w14:paraId="3005E9B1">
      <w:pPr>
        <w:spacing w:line="360" w:lineRule="auto"/>
        <w:jc w:val="right"/>
        <w:rPr>
          <w:rFonts w:ascii="宋体" w:hAnsi="宋体" w:cs="宋体"/>
          <w:b/>
          <w:bCs/>
          <w:color w:val="000000"/>
          <w:sz w:val="36"/>
          <w:szCs w:val="36"/>
        </w:rPr>
      </w:pPr>
      <w:r>
        <w:rPr>
          <w:rFonts w:hint="eastAsia" w:ascii="宋体" w:hAnsi="宋体" w:cs="宋体"/>
          <w:b/>
          <w:bCs/>
          <w:color w:val="000000"/>
          <w:sz w:val="36"/>
          <w:szCs w:val="36"/>
        </w:rPr>
        <w:t xml:space="preserve"> </w:t>
      </w:r>
    </w:p>
    <w:p w14:paraId="12A52F1E">
      <w:pPr>
        <w:spacing w:line="360" w:lineRule="auto"/>
        <w:jc w:val="center"/>
        <w:rPr>
          <w:rFonts w:ascii="宋体" w:hAnsi="宋体" w:cs="宋体"/>
          <w:b/>
          <w:bCs/>
          <w:color w:val="000000"/>
          <w:sz w:val="52"/>
          <w:szCs w:val="52"/>
          <w:lang w:val="zh-CN"/>
        </w:rPr>
      </w:pPr>
      <w:r>
        <w:rPr>
          <w:rFonts w:hint="eastAsia" w:ascii="宋体" w:hAnsi="宋体" w:cs="宋体"/>
          <w:b/>
          <w:bCs/>
          <w:color w:val="000000"/>
          <w:sz w:val="52"/>
          <w:szCs w:val="52"/>
          <w:lang w:val="zh-CN"/>
        </w:rPr>
        <w:t>刚察县政府采购项目</w:t>
      </w:r>
    </w:p>
    <w:p w14:paraId="6385C789">
      <w:pPr>
        <w:spacing w:line="360" w:lineRule="auto"/>
        <w:rPr>
          <w:rFonts w:ascii="宋体" w:hAnsi="宋体" w:cs="宋体"/>
          <w:color w:val="000000"/>
          <w:sz w:val="36"/>
          <w:szCs w:val="36"/>
        </w:rPr>
      </w:pPr>
    </w:p>
    <w:p w14:paraId="6ED2BFF2">
      <w:pPr>
        <w:spacing w:line="360" w:lineRule="auto"/>
        <w:jc w:val="center"/>
        <w:rPr>
          <w:rFonts w:ascii="宋体" w:hAnsi="宋体" w:cs="宋体"/>
          <w:b/>
          <w:bCs/>
          <w:color w:val="000000"/>
          <w:sz w:val="72"/>
          <w:szCs w:val="72"/>
        </w:rPr>
      </w:pPr>
      <w:r>
        <w:rPr>
          <w:rFonts w:hint="eastAsia" w:ascii="宋体" w:hAnsi="宋体" w:cs="宋体"/>
          <w:b/>
          <w:bCs/>
          <w:color w:val="000000"/>
          <w:sz w:val="72"/>
          <w:szCs w:val="72"/>
          <w:lang w:val="zh-CN"/>
        </w:rPr>
        <w:t>投</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标</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文</w:t>
      </w:r>
      <w:r>
        <w:rPr>
          <w:rFonts w:hint="eastAsia" w:ascii="宋体" w:hAnsi="宋体" w:cs="宋体"/>
          <w:b/>
          <w:bCs/>
          <w:color w:val="000000"/>
          <w:sz w:val="72"/>
          <w:szCs w:val="72"/>
        </w:rPr>
        <w:t xml:space="preserve"> </w:t>
      </w:r>
      <w:r>
        <w:rPr>
          <w:rFonts w:hint="eastAsia" w:ascii="宋体" w:hAnsi="宋体" w:cs="宋体"/>
          <w:b/>
          <w:bCs/>
          <w:color w:val="000000"/>
          <w:sz w:val="72"/>
          <w:szCs w:val="72"/>
          <w:lang w:val="zh-CN"/>
        </w:rPr>
        <w:t>件</w:t>
      </w:r>
    </w:p>
    <w:p w14:paraId="2EAE4150">
      <w:pPr>
        <w:spacing w:line="360" w:lineRule="auto"/>
        <w:jc w:val="center"/>
        <w:rPr>
          <w:rFonts w:ascii="宋体" w:hAnsi="宋体" w:cs="宋体"/>
          <w:b/>
          <w:bCs/>
          <w:color w:val="000000"/>
          <w:sz w:val="44"/>
          <w:szCs w:val="44"/>
          <w:lang w:val="zh-CN"/>
        </w:rPr>
      </w:pPr>
      <w:r>
        <w:rPr>
          <w:rFonts w:hint="eastAsia" w:ascii="宋体" w:hAnsi="宋体" w:cs="宋体"/>
          <w:b/>
          <w:bCs/>
          <w:color w:val="000000"/>
          <w:sz w:val="44"/>
          <w:szCs w:val="44"/>
          <w:lang w:val="zh-CN"/>
        </w:rPr>
        <w:t>（下册）</w:t>
      </w:r>
    </w:p>
    <w:p w14:paraId="5AA2B08A">
      <w:pPr>
        <w:jc w:val="center"/>
        <w:rPr>
          <w:rFonts w:cs="Calibri"/>
          <w:sz w:val="28"/>
          <w:szCs w:val="28"/>
        </w:rPr>
      </w:pPr>
      <w:r>
        <w:rPr>
          <w:rFonts w:hint="eastAsia" w:ascii="宋体" w:hAnsi="宋体"/>
          <w:b/>
          <w:bCs/>
          <w:sz w:val="36"/>
          <w:szCs w:val="36"/>
        </w:rPr>
        <w:t>（符合性审查文件）</w:t>
      </w:r>
    </w:p>
    <w:p w14:paraId="4168126C">
      <w:pPr>
        <w:pStyle w:val="250"/>
      </w:pPr>
    </w:p>
    <w:p w14:paraId="44CA804D">
      <w:pPr>
        <w:spacing w:line="360" w:lineRule="auto"/>
        <w:rPr>
          <w:rFonts w:ascii="宋体" w:hAnsi="宋体" w:cs="宋体"/>
          <w:color w:val="000000"/>
          <w:sz w:val="36"/>
          <w:szCs w:val="36"/>
        </w:rPr>
      </w:pPr>
    </w:p>
    <w:p w14:paraId="22437A9C">
      <w:pPr>
        <w:spacing w:line="360" w:lineRule="auto"/>
        <w:rPr>
          <w:rFonts w:ascii="宋体" w:hAnsi="宋体" w:cs="宋体"/>
          <w:color w:val="000000"/>
          <w:sz w:val="36"/>
          <w:szCs w:val="36"/>
        </w:rPr>
      </w:pPr>
    </w:p>
    <w:p w14:paraId="766D3B73">
      <w:pPr>
        <w:spacing w:line="360" w:lineRule="auto"/>
        <w:rPr>
          <w:rFonts w:ascii="宋体" w:hAnsi="宋体" w:cs="宋体"/>
          <w:b/>
          <w:bCs/>
          <w:color w:val="000000"/>
          <w:sz w:val="36"/>
          <w:szCs w:val="36"/>
        </w:rPr>
      </w:pPr>
      <w:r>
        <w:rPr>
          <w:rFonts w:hint="eastAsia" w:ascii="宋体" w:hAnsi="宋体" w:cs="宋体"/>
          <w:b/>
          <w:bCs/>
          <w:color w:val="000000"/>
          <w:sz w:val="36"/>
          <w:szCs w:val="36"/>
          <w:lang w:val="zh-CN"/>
        </w:rPr>
        <w:t>采购项目编号：</w:t>
      </w:r>
    </w:p>
    <w:p w14:paraId="361426B8">
      <w:pPr>
        <w:spacing w:line="360" w:lineRule="auto"/>
        <w:rPr>
          <w:rFonts w:ascii="宋体" w:hAnsi="宋体" w:cs="宋体"/>
          <w:b/>
          <w:bCs/>
          <w:color w:val="000000"/>
          <w:sz w:val="36"/>
          <w:szCs w:val="36"/>
        </w:rPr>
      </w:pPr>
      <w:r>
        <w:rPr>
          <w:rFonts w:hint="eastAsia" w:ascii="宋体" w:hAnsi="宋体" w:cs="宋体"/>
          <w:b/>
          <w:bCs/>
          <w:color w:val="000000"/>
          <w:sz w:val="36"/>
          <w:szCs w:val="36"/>
          <w:lang w:val="zh-CN"/>
        </w:rPr>
        <w:t>采购项目名称</w:t>
      </w:r>
      <w:r>
        <w:rPr>
          <w:rFonts w:hint="eastAsia" w:ascii="宋体" w:hAnsi="宋体" w:cs="宋体"/>
          <w:b/>
          <w:bCs/>
          <w:color w:val="000000"/>
          <w:sz w:val="36"/>
          <w:szCs w:val="36"/>
        </w:rPr>
        <w:t>：</w:t>
      </w:r>
    </w:p>
    <w:p w14:paraId="2D6B39A8">
      <w:pPr>
        <w:spacing w:line="360" w:lineRule="auto"/>
        <w:rPr>
          <w:rFonts w:ascii="宋体" w:hAnsi="宋体" w:cs="宋体"/>
          <w:b/>
          <w:bCs/>
          <w:color w:val="000000"/>
          <w:sz w:val="36"/>
          <w:szCs w:val="36"/>
        </w:rPr>
      </w:pPr>
    </w:p>
    <w:p w14:paraId="7A0E59A7">
      <w:pPr>
        <w:spacing w:line="360" w:lineRule="auto"/>
        <w:rPr>
          <w:rFonts w:ascii="宋体" w:hAnsi="宋体" w:cs="宋体"/>
          <w:b/>
          <w:bCs/>
          <w:color w:val="000000"/>
          <w:sz w:val="36"/>
          <w:szCs w:val="36"/>
        </w:rPr>
      </w:pPr>
    </w:p>
    <w:p w14:paraId="3999A410">
      <w:pPr>
        <w:spacing w:line="360" w:lineRule="auto"/>
        <w:rPr>
          <w:rFonts w:ascii="宋体" w:hAnsi="宋体" w:cs="宋体"/>
          <w:b/>
          <w:bCs/>
          <w:color w:val="000000"/>
          <w:sz w:val="36"/>
          <w:szCs w:val="36"/>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投标人：</w:t>
      </w:r>
      <w:r>
        <w:rPr>
          <w:rFonts w:hint="eastAsia" w:ascii="宋体" w:hAnsi="宋体" w:cs="宋体"/>
          <w:b/>
          <w:bCs/>
          <w:color w:val="000000"/>
          <w:sz w:val="36"/>
          <w:szCs w:val="36"/>
          <w:u w:val="single"/>
        </w:rPr>
        <w:t xml:space="preserve">                         </w:t>
      </w:r>
      <w:r>
        <w:rPr>
          <w:rFonts w:hint="eastAsia" w:ascii="宋体" w:hAnsi="宋体" w:cs="宋体"/>
          <w:b/>
          <w:bCs/>
          <w:color w:val="000000"/>
          <w:sz w:val="36"/>
          <w:szCs w:val="36"/>
        </w:rPr>
        <w:t>（</w:t>
      </w:r>
      <w:r>
        <w:rPr>
          <w:rFonts w:hint="eastAsia" w:ascii="宋体" w:hAnsi="宋体" w:cs="宋体"/>
          <w:b/>
          <w:bCs/>
          <w:color w:val="000000"/>
          <w:sz w:val="36"/>
          <w:szCs w:val="36"/>
          <w:lang w:val="zh-CN"/>
        </w:rPr>
        <w:t>公章）</w:t>
      </w:r>
    </w:p>
    <w:p w14:paraId="3AA4139E">
      <w:pPr>
        <w:spacing w:line="360" w:lineRule="auto"/>
        <w:rPr>
          <w:rFonts w:ascii="宋体" w:hAnsi="宋体" w:cs="宋体"/>
          <w:b/>
          <w:bCs/>
          <w:color w:val="000000"/>
          <w:sz w:val="36"/>
          <w:szCs w:val="36"/>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法定代表人或委托代理人：</w:t>
      </w:r>
      <w:r>
        <w:rPr>
          <w:rFonts w:hint="eastAsia" w:ascii="宋体" w:hAnsi="宋体" w:cs="宋体"/>
          <w:b/>
          <w:bCs/>
          <w:color w:val="000000"/>
          <w:sz w:val="36"/>
          <w:szCs w:val="36"/>
          <w:u w:val="single"/>
        </w:rPr>
        <w:t xml:space="preserve">   </w:t>
      </w:r>
      <w:r>
        <w:rPr>
          <w:rFonts w:hint="eastAsia" w:ascii="宋体" w:hAnsi="宋体" w:cs="宋体"/>
          <w:b/>
          <w:bCs/>
          <w:color w:val="000000"/>
          <w:sz w:val="36"/>
          <w:szCs w:val="36"/>
          <w:lang w:val="zh-CN"/>
        </w:rPr>
        <w:t>（签字或盖章）</w:t>
      </w:r>
    </w:p>
    <w:p w14:paraId="6CF333BF">
      <w:pPr>
        <w:spacing w:line="360" w:lineRule="auto"/>
        <w:rPr>
          <w:rFonts w:ascii="宋体" w:hAnsi="宋体" w:cs="宋体"/>
          <w:b/>
          <w:bCs/>
          <w:color w:val="000000"/>
          <w:sz w:val="36"/>
          <w:szCs w:val="36"/>
          <w:lang w:val="zh-CN"/>
        </w:rPr>
      </w:pP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年</w:t>
      </w: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月</w:t>
      </w:r>
      <w:r>
        <w:rPr>
          <w:rFonts w:hint="eastAsia" w:ascii="宋体" w:hAnsi="宋体" w:cs="宋体"/>
          <w:b/>
          <w:bCs/>
          <w:color w:val="000000"/>
          <w:sz w:val="36"/>
          <w:szCs w:val="36"/>
        </w:rPr>
        <w:t xml:space="preserve">    </w:t>
      </w:r>
      <w:r>
        <w:rPr>
          <w:rFonts w:hint="eastAsia" w:ascii="宋体" w:hAnsi="宋体" w:cs="宋体"/>
          <w:b/>
          <w:bCs/>
          <w:color w:val="000000"/>
          <w:sz w:val="36"/>
          <w:szCs w:val="36"/>
          <w:lang w:val="zh-CN"/>
        </w:rPr>
        <w:t>日</w:t>
      </w:r>
    </w:p>
    <w:p w14:paraId="37C303ED">
      <w:pPr>
        <w:pStyle w:val="235"/>
        <w:spacing w:before="0" w:after="0" w:line="360" w:lineRule="auto"/>
        <w:rPr>
          <w:rFonts w:ascii="宋体" w:hAnsi="宋体" w:cs="宋体"/>
          <w:color w:val="000000"/>
          <w:lang w:val="zh-CN"/>
        </w:rPr>
      </w:pPr>
      <w:r>
        <w:rPr>
          <w:rFonts w:hint="eastAsia" w:ascii="宋体" w:hAnsi="宋体" w:cs="宋体"/>
          <w:b w:val="0"/>
          <w:bCs w:val="0"/>
          <w:color w:val="000000"/>
          <w:lang w:val="zh-CN"/>
        </w:rPr>
        <w:br w:type="page" w:clear="all"/>
      </w:r>
      <w:bookmarkStart w:id="70" w:name="_Toc19897"/>
      <w:r>
        <w:rPr>
          <w:rFonts w:hint="eastAsia" w:ascii="宋体" w:hAnsi="宋体" w:cs="宋体"/>
          <w:color w:val="000000"/>
          <w:sz w:val="30"/>
          <w:szCs w:val="30"/>
          <w:lang w:val="zh-CN"/>
        </w:rPr>
        <w:t>目录（下册）</w:t>
      </w:r>
      <w:bookmarkEnd w:id="70"/>
    </w:p>
    <w:p w14:paraId="15D73076">
      <w:pPr>
        <w:spacing w:line="360" w:lineRule="auto"/>
        <w:rPr>
          <w:rFonts w:ascii="宋体" w:hAnsi="宋体" w:cs="宋体"/>
          <w:color w:val="000000"/>
          <w:lang w:val="zh-CN"/>
        </w:rPr>
      </w:pPr>
      <w:r>
        <w:rPr>
          <w:rFonts w:hint="eastAsia" w:ascii="宋体" w:hAnsi="宋体" w:cs="宋体"/>
          <w:color w:val="000000"/>
        </w:rPr>
        <w:t>(10)评分对照表</w:t>
      </w:r>
      <w:r>
        <w:rPr>
          <w:rFonts w:hint="eastAsia" w:ascii="宋体" w:hAnsi="宋体" w:cs="宋体"/>
          <w:color w:val="000000"/>
          <w:lang w:val="zh-CN"/>
        </w:rPr>
        <w:t>………………………………………………………所在页码</w:t>
      </w:r>
    </w:p>
    <w:p w14:paraId="7CD32D89">
      <w:pPr>
        <w:spacing w:line="360" w:lineRule="auto"/>
        <w:rPr>
          <w:rFonts w:ascii="宋体" w:hAnsi="宋体" w:cs="宋体"/>
          <w:color w:val="000000"/>
          <w:lang w:val="zh-CN"/>
        </w:rPr>
      </w:pPr>
      <w:r>
        <w:rPr>
          <w:rFonts w:hint="eastAsia" w:ascii="宋体" w:hAnsi="宋体" w:cs="宋体"/>
          <w:color w:val="000000"/>
        </w:rPr>
        <w:t>(11)</w:t>
      </w:r>
      <w:r>
        <w:rPr>
          <w:rFonts w:hint="eastAsia" w:ascii="宋体" w:hAnsi="宋体" w:cs="宋体"/>
          <w:color w:val="000000"/>
          <w:lang w:val="zh-CN"/>
        </w:rPr>
        <w:t>开标一览表（报价表）…………………………………………所在页码</w:t>
      </w:r>
    </w:p>
    <w:p w14:paraId="4ABC342F">
      <w:pPr>
        <w:spacing w:line="360" w:lineRule="auto"/>
        <w:rPr>
          <w:rFonts w:ascii="宋体" w:hAnsi="宋体" w:cs="宋体"/>
          <w:color w:val="000000"/>
          <w:lang w:val="zh-CN"/>
        </w:rPr>
      </w:pPr>
      <w:r>
        <w:rPr>
          <w:rFonts w:hint="eastAsia" w:ascii="宋体" w:hAnsi="宋体" w:cs="宋体"/>
          <w:color w:val="000000"/>
        </w:rPr>
        <w:t>(12)</w:t>
      </w:r>
      <w:r>
        <w:rPr>
          <w:rFonts w:hint="eastAsia" w:ascii="宋体" w:hAnsi="宋体" w:cs="宋体"/>
          <w:color w:val="000000"/>
          <w:lang w:val="zh-CN"/>
        </w:rPr>
        <w:t>分项报价表………………………………………………………所在页码</w:t>
      </w:r>
    </w:p>
    <w:p w14:paraId="24F2DCDA">
      <w:pPr>
        <w:spacing w:line="360" w:lineRule="auto"/>
        <w:rPr>
          <w:rFonts w:ascii="宋体" w:hAnsi="宋体" w:cs="宋体"/>
          <w:color w:val="000000"/>
          <w:lang w:val="zh-CN"/>
        </w:rPr>
      </w:pPr>
      <w:r>
        <w:rPr>
          <w:rFonts w:hint="eastAsia" w:ascii="宋体" w:hAnsi="宋体" w:cs="宋体"/>
          <w:color w:val="000000"/>
        </w:rPr>
        <w:t>(13)</w:t>
      </w:r>
      <w:r>
        <w:rPr>
          <w:rFonts w:hint="eastAsia" w:ascii="宋体" w:hAnsi="宋体" w:cs="宋体"/>
          <w:color w:val="000000"/>
          <w:lang w:val="zh-CN"/>
        </w:rPr>
        <w:t>技术规格响应表…………………………………………………所在页码</w:t>
      </w:r>
    </w:p>
    <w:p w14:paraId="1369DCB4">
      <w:pPr>
        <w:spacing w:line="360" w:lineRule="auto"/>
        <w:rPr>
          <w:rFonts w:ascii="宋体" w:hAnsi="宋体" w:cs="宋体"/>
          <w:color w:val="000000"/>
          <w:lang w:val="zh-CN"/>
        </w:rPr>
      </w:pPr>
      <w:r>
        <w:rPr>
          <w:rFonts w:hint="eastAsia" w:ascii="宋体" w:hAnsi="宋体" w:cs="宋体"/>
          <w:color w:val="000000"/>
        </w:rPr>
        <w:t>(14)</w:t>
      </w:r>
      <w:r>
        <w:rPr>
          <w:rFonts w:hint="eastAsia" w:ascii="宋体" w:hAnsi="宋体" w:cs="宋体"/>
          <w:color w:val="000000"/>
          <w:lang w:val="zh-CN"/>
        </w:rPr>
        <w:t>投标产品相关资料………………………………………………所在页码</w:t>
      </w:r>
    </w:p>
    <w:p w14:paraId="0F78D89A">
      <w:pPr>
        <w:spacing w:line="360" w:lineRule="auto"/>
        <w:rPr>
          <w:rFonts w:ascii="宋体" w:hAnsi="宋体" w:cs="宋体"/>
          <w:color w:val="000000"/>
          <w:lang w:val="zh-CN"/>
        </w:rPr>
      </w:pPr>
      <w:r>
        <w:rPr>
          <w:rFonts w:hint="eastAsia" w:ascii="宋体" w:hAnsi="宋体" w:cs="宋体"/>
          <w:color w:val="000000"/>
        </w:rPr>
        <w:t>(15)</w:t>
      </w:r>
      <w:r>
        <w:rPr>
          <w:rFonts w:hint="eastAsia" w:ascii="宋体" w:hAnsi="宋体" w:cs="宋体"/>
          <w:color w:val="000000"/>
          <w:lang w:val="zh-CN"/>
        </w:rPr>
        <w:t>投标人的类似业绩证明材料……………………………………所在页码</w:t>
      </w:r>
    </w:p>
    <w:p w14:paraId="3541470C">
      <w:pPr>
        <w:spacing w:line="360" w:lineRule="auto"/>
        <w:rPr>
          <w:rFonts w:ascii="宋体" w:hAnsi="宋体" w:cs="宋体"/>
          <w:color w:val="000000"/>
          <w:lang w:val="zh-CN"/>
        </w:rPr>
      </w:pPr>
      <w:r>
        <w:rPr>
          <w:rFonts w:hint="eastAsia" w:ascii="宋体" w:hAnsi="宋体" w:cs="宋体"/>
          <w:color w:val="000000"/>
        </w:rPr>
        <w:t>(16)</w:t>
      </w:r>
      <w:r>
        <w:rPr>
          <w:rFonts w:hint="eastAsia" w:ascii="宋体" w:hAnsi="宋体" w:cs="宋体"/>
          <w:color w:val="000000"/>
          <w:lang w:val="zh-CN"/>
        </w:rPr>
        <w:t>制造（生产）企业小型微型企业声明函、从业人员声明函…所在页码</w:t>
      </w:r>
    </w:p>
    <w:p w14:paraId="72982705">
      <w:pPr>
        <w:spacing w:line="360" w:lineRule="auto"/>
        <w:rPr>
          <w:rFonts w:ascii="宋体" w:hAnsi="宋体" w:cs="宋体"/>
          <w:color w:val="000000"/>
          <w:lang w:val="zh-CN"/>
        </w:rPr>
      </w:pPr>
      <w:r>
        <w:rPr>
          <w:rFonts w:hint="eastAsia" w:ascii="宋体" w:hAnsi="宋体" w:cs="宋体"/>
          <w:color w:val="000000"/>
        </w:rPr>
        <w:t>(17)</w:t>
      </w:r>
      <w:r>
        <w:rPr>
          <w:rFonts w:hint="eastAsia" w:ascii="宋体" w:hAnsi="宋体" w:cs="宋体"/>
          <w:color w:val="000000"/>
          <w:lang w:val="zh-CN"/>
        </w:rPr>
        <w:t>残疾人福利性单位声明函………………………………………所在页码</w:t>
      </w:r>
    </w:p>
    <w:p w14:paraId="6A9B9835">
      <w:pPr>
        <w:spacing w:line="360" w:lineRule="auto"/>
        <w:rPr>
          <w:rFonts w:ascii="宋体" w:hAnsi="宋体" w:cs="宋体"/>
          <w:color w:val="000000"/>
          <w:lang w:val="zh-CN"/>
        </w:rPr>
      </w:pPr>
      <w:r>
        <w:rPr>
          <w:rFonts w:hint="eastAsia" w:ascii="宋体" w:hAnsi="宋体" w:cs="宋体"/>
          <w:color w:val="000000"/>
        </w:rPr>
        <w:t>(18)</w:t>
      </w:r>
      <w:r>
        <w:rPr>
          <w:rFonts w:hint="eastAsia" w:ascii="宋体" w:hAnsi="宋体" w:cs="宋体"/>
          <w:color w:val="000000"/>
          <w:lang w:val="zh-CN"/>
        </w:rPr>
        <w:t>投标人认为在其他方面有必要说明的事项……………………所在页码</w:t>
      </w:r>
    </w:p>
    <w:p w14:paraId="0906A4E2">
      <w:pPr>
        <w:pStyle w:val="235"/>
        <w:spacing w:before="0" w:after="0" w:line="360" w:lineRule="auto"/>
        <w:jc w:val="left"/>
        <w:outlineLvl w:val="1"/>
        <w:rPr>
          <w:rFonts w:ascii="宋体" w:hAnsi="宋体" w:cs="宋体"/>
          <w:color w:val="000000"/>
          <w:sz w:val="30"/>
          <w:szCs w:val="30"/>
          <w:lang w:val="zh-CN"/>
        </w:rPr>
      </w:pPr>
      <w:r>
        <w:rPr>
          <w:rFonts w:hint="eastAsia" w:ascii="宋体" w:hAnsi="宋体" w:cs="宋体"/>
          <w:color w:val="000000"/>
          <w:lang w:val="zh-CN"/>
        </w:rPr>
        <w:br w:type="page" w:clear="all"/>
      </w:r>
      <w:bookmarkStart w:id="71" w:name="_Toc17049"/>
      <w:r>
        <w:rPr>
          <w:rFonts w:hint="eastAsia" w:ascii="宋体" w:hAnsi="宋体" w:cs="宋体"/>
          <w:color w:val="000000"/>
          <w:sz w:val="30"/>
          <w:szCs w:val="30"/>
        </w:rPr>
        <w:t>（10）</w:t>
      </w:r>
      <w:r>
        <w:rPr>
          <w:rFonts w:hint="eastAsia" w:ascii="宋体" w:hAnsi="宋体" w:cs="宋体"/>
          <w:color w:val="000000"/>
          <w:sz w:val="30"/>
          <w:szCs w:val="30"/>
          <w:lang w:val="zh-CN"/>
        </w:rPr>
        <w:t>评分对照表</w:t>
      </w:r>
      <w:bookmarkEnd w:id="71"/>
    </w:p>
    <w:p w14:paraId="0A359235">
      <w:pPr>
        <w:spacing w:line="360" w:lineRule="auto"/>
        <w:rPr>
          <w:rFonts w:ascii="宋体" w:hAnsi="宋体" w:cs="宋体"/>
          <w:color w:val="000000"/>
          <w:sz w:val="28"/>
          <w:szCs w:val="28"/>
        </w:rPr>
      </w:pPr>
    </w:p>
    <w:p w14:paraId="54B4CD39">
      <w:pPr>
        <w:spacing w:line="360" w:lineRule="auto"/>
        <w:jc w:val="center"/>
        <w:rPr>
          <w:rFonts w:ascii="宋体" w:hAnsi="宋体" w:cs="宋体"/>
          <w:color w:val="000000"/>
        </w:rPr>
      </w:pPr>
      <w:r>
        <w:rPr>
          <w:rFonts w:hint="eastAsia" w:ascii="宋体" w:hAnsi="宋体" w:cs="宋体"/>
          <w:b/>
          <w:bCs/>
          <w:color w:val="000000"/>
          <w:sz w:val="28"/>
          <w:szCs w:val="28"/>
        </w:rPr>
        <w:t>评分对照表</w:t>
      </w:r>
    </w:p>
    <w:p w14:paraId="441421EB">
      <w:pPr>
        <w:spacing w:line="360" w:lineRule="auto"/>
        <w:rPr>
          <w:rFonts w:ascii="宋体" w:hAnsi="宋体" w:cs="宋体"/>
          <w:color w:val="000000"/>
          <w:sz w:val="28"/>
          <w:szCs w:val="28"/>
        </w:rPr>
      </w:pPr>
    </w:p>
    <w:tbl>
      <w:tblPr>
        <w:tblStyle w:val="3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71"/>
        <w:gridCol w:w="2514"/>
        <w:gridCol w:w="2266"/>
        <w:gridCol w:w="2966"/>
      </w:tblGrid>
      <w:tr w14:paraId="1B97A0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6D45DDCF">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序号</w:t>
            </w:r>
          </w:p>
        </w:tc>
        <w:tc>
          <w:tcPr>
            <w:tcW w:w="2514" w:type="dxa"/>
            <w:vAlign w:val="center"/>
          </w:tcPr>
          <w:p w14:paraId="4D200A2A">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招标文件评分标准</w:t>
            </w:r>
          </w:p>
        </w:tc>
        <w:tc>
          <w:tcPr>
            <w:tcW w:w="2266" w:type="dxa"/>
            <w:vAlign w:val="center"/>
          </w:tcPr>
          <w:p w14:paraId="372E6B3A">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投标响应部分</w:t>
            </w:r>
          </w:p>
        </w:tc>
        <w:tc>
          <w:tcPr>
            <w:tcW w:w="2966" w:type="dxa"/>
            <w:vAlign w:val="center"/>
          </w:tcPr>
          <w:p w14:paraId="47FF409C">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投标文件中对应页码</w:t>
            </w:r>
          </w:p>
        </w:tc>
      </w:tr>
      <w:tr w14:paraId="29EF10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12B7CE5D">
            <w:pPr>
              <w:pStyle w:val="207"/>
              <w:spacing w:line="360" w:lineRule="auto"/>
              <w:ind w:firstLine="0"/>
              <w:jc w:val="center"/>
              <w:rPr>
                <w:rFonts w:ascii="宋体" w:hAnsi="宋体" w:cs="宋体"/>
                <w:color w:val="000000"/>
                <w:szCs w:val="24"/>
              </w:rPr>
            </w:pPr>
          </w:p>
        </w:tc>
        <w:tc>
          <w:tcPr>
            <w:tcW w:w="2514" w:type="dxa"/>
            <w:vAlign w:val="center"/>
          </w:tcPr>
          <w:p w14:paraId="190D489B">
            <w:pPr>
              <w:pStyle w:val="207"/>
              <w:spacing w:line="360" w:lineRule="auto"/>
              <w:ind w:firstLine="0"/>
              <w:jc w:val="center"/>
              <w:rPr>
                <w:rFonts w:ascii="宋体" w:hAnsi="宋体" w:cs="宋体"/>
                <w:color w:val="000000"/>
                <w:szCs w:val="24"/>
              </w:rPr>
            </w:pPr>
          </w:p>
        </w:tc>
        <w:tc>
          <w:tcPr>
            <w:tcW w:w="2266" w:type="dxa"/>
            <w:vAlign w:val="center"/>
          </w:tcPr>
          <w:p w14:paraId="604B50F9">
            <w:pPr>
              <w:pStyle w:val="207"/>
              <w:spacing w:line="360" w:lineRule="auto"/>
              <w:ind w:firstLine="0"/>
              <w:jc w:val="center"/>
              <w:rPr>
                <w:rFonts w:ascii="宋体" w:hAnsi="宋体" w:cs="宋体"/>
                <w:color w:val="000000"/>
                <w:szCs w:val="24"/>
              </w:rPr>
            </w:pPr>
          </w:p>
        </w:tc>
        <w:tc>
          <w:tcPr>
            <w:tcW w:w="2966" w:type="dxa"/>
            <w:vAlign w:val="center"/>
          </w:tcPr>
          <w:p w14:paraId="458704BB">
            <w:pPr>
              <w:pStyle w:val="207"/>
              <w:spacing w:line="360" w:lineRule="auto"/>
              <w:ind w:firstLine="0"/>
              <w:jc w:val="center"/>
              <w:rPr>
                <w:rFonts w:ascii="宋体" w:hAnsi="宋体" w:cs="宋体"/>
                <w:color w:val="000000"/>
                <w:szCs w:val="24"/>
              </w:rPr>
            </w:pPr>
          </w:p>
        </w:tc>
      </w:tr>
      <w:tr w14:paraId="7D7E1E4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3EA7868C">
            <w:pPr>
              <w:pStyle w:val="207"/>
              <w:spacing w:line="360" w:lineRule="auto"/>
              <w:ind w:firstLine="0"/>
              <w:jc w:val="center"/>
              <w:rPr>
                <w:rFonts w:ascii="宋体" w:hAnsi="宋体" w:cs="宋体"/>
                <w:color w:val="000000"/>
                <w:szCs w:val="24"/>
              </w:rPr>
            </w:pPr>
          </w:p>
        </w:tc>
        <w:tc>
          <w:tcPr>
            <w:tcW w:w="2514" w:type="dxa"/>
            <w:vAlign w:val="center"/>
          </w:tcPr>
          <w:p w14:paraId="72FF4215">
            <w:pPr>
              <w:pStyle w:val="207"/>
              <w:spacing w:line="360" w:lineRule="auto"/>
              <w:ind w:firstLine="0"/>
              <w:jc w:val="center"/>
              <w:rPr>
                <w:rFonts w:ascii="宋体" w:hAnsi="宋体" w:cs="宋体"/>
                <w:color w:val="000000"/>
                <w:szCs w:val="24"/>
              </w:rPr>
            </w:pPr>
          </w:p>
        </w:tc>
        <w:tc>
          <w:tcPr>
            <w:tcW w:w="2266" w:type="dxa"/>
            <w:vAlign w:val="center"/>
          </w:tcPr>
          <w:p w14:paraId="66EF8FA9">
            <w:pPr>
              <w:pStyle w:val="207"/>
              <w:spacing w:line="360" w:lineRule="auto"/>
              <w:ind w:firstLine="0"/>
              <w:jc w:val="center"/>
              <w:rPr>
                <w:rFonts w:ascii="宋体" w:hAnsi="宋体" w:cs="宋体"/>
                <w:color w:val="000000"/>
                <w:szCs w:val="24"/>
              </w:rPr>
            </w:pPr>
          </w:p>
        </w:tc>
        <w:tc>
          <w:tcPr>
            <w:tcW w:w="2966" w:type="dxa"/>
            <w:vAlign w:val="center"/>
          </w:tcPr>
          <w:p w14:paraId="2944CF26">
            <w:pPr>
              <w:pStyle w:val="207"/>
              <w:spacing w:line="360" w:lineRule="auto"/>
              <w:ind w:firstLine="0"/>
              <w:jc w:val="center"/>
              <w:rPr>
                <w:rFonts w:ascii="宋体" w:hAnsi="宋体" w:cs="宋体"/>
                <w:color w:val="000000"/>
                <w:szCs w:val="24"/>
              </w:rPr>
            </w:pPr>
          </w:p>
        </w:tc>
      </w:tr>
      <w:tr w14:paraId="6E7034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6FEE02FD">
            <w:pPr>
              <w:pStyle w:val="207"/>
              <w:spacing w:line="360" w:lineRule="auto"/>
              <w:ind w:firstLine="0"/>
              <w:jc w:val="center"/>
              <w:rPr>
                <w:rFonts w:ascii="宋体" w:hAnsi="宋体" w:cs="宋体"/>
                <w:color w:val="000000"/>
                <w:szCs w:val="24"/>
              </w:rPr>
            </w:pPr>
          </w:p>
        </w:tc>
        <w:tc>
          <w:tcPr>
            <w:tcW w:w="2514" w:type="dxa"/>
            <w:vAlign w:val="center"/>
          </w:tcPr>
          <w:p w14:paraId="5BABBC16">
            <w:pPr>
              <w:pStyle w:val="207"/>
              <w:spacing w:line="360" w:lineRule="auto"/>
              <w:ind w:firstLine="0"/>
              <w:jc w:val="center"/>
              <w:rPr>
                <w:rFonts w:ascii="宋体" w:hAnsi="宋体" w:cs="宋体"/>
                <w:color w:val="000000"/>
                <w:szCs w:val="24"/>
              </w:rPr>
            </w:pPr>
          </w:p>
        </w:tc>
        <w:tc>
          <w:tcPr>
            <w:tcW w:w="2266" w:type="dxa"/>
            <w:vAlign w:val="center"/>
          </w:tcPr>
          <w:p w14:paraId="0B355D07">
            <w:pPr>
              <w:pStyle w:val="207"/>
              <w:spacing w:line="360" w:lineRule="auto"/>
              <w:ind w:firstLine="0"/>
              <w:jc w:val="center"/>
              <w:rPr>
                <w:rFonts w:ascii="宋体" w:hAnsi="宋体" w:cs="宋体"/>
                <w:color w:val="000000"/>
                <w:szCs w:val="24"/>
              </w:rPr>
            </w:pPr>
          </w:p>
        </w:tc>
        <w:tc>
          <w:tcPr>
            <w:tcW w:w="2966" w:type="dxa"/>
            <w:vAlign w:val="center"/>
          </w:tcPr>
          <w:p w14:paraId="26A52C53">
            <w:pPr>
              <w:pStyle w:val="207"/>
              <w:spacing w:line="360" w:lineRule="auto"/>
              <w:ind w:firstLine="0"/>
              <w:jc w:val="center"/>
              <w:rPr>
                <w:rFonts w:ascii="宋体" w:hAnsi="宋体" w:cs="宋体"/>
                <w:color w:val="000000"/>
                <w:szCs w:val="24"/>
              </w:rPr>
            </w:pPr>
          </w:p>
        </w:tc>
      </w:tr>
      <w:tr w14:paraId="2AA09D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00C61F34">
            <w:pPr>
              <w:pStyle w:val="207"/>
              <w:spacing w:line="360" w:lineRule="auto"/>
              <w:ind w:firstLine="0"/>
              <w:jc w:val="center"/>
              <w:rPr>
                <w:rFonts w:ascii="宋体" w:hAnsi="宋体" w:cs="宋体"/>
                <w:color w:val="000000"/>
                <w:szCs w:val="24"/>
              </w:rPr>
            </w:pPr>
          </w:p>
        </w:tc>
        <w:tc>
          <w:tcPr>
            <w:tcW w:w="2514" w:type="dxa"/>
            <w:vAlign w:val="center"/>
          </w:tcPr>
          <w:p w14:paraId="531B8CF3">
            <w:pPr>
              <w:pStyle w:val="207"/>
              <w:spacing w:line="360" w:lineRule="auto"/>
              <w:ind w:firstLine="0"/>
              <w:jc w:val="center"/>
              <w:rPr>
                <w:rFonts w:ascii="宋体" w:hAnsi="宋体" w:cs="宋体"/>
                <w:color w:val="000000"/>
                <w:szCs w:val="24"/>
              </w:rPr>
            </w:pPr>
          </w:p>
        </w:tc>
        <w:tc>
          <w:tcPr>
            <w:tcW w:w="2266" w:type="dxa"/>
            <w:vAlign w:val="center"/>
          </w:tcPr>
          <w:p w14:paraId="6715B14B">
            <w:pPr>
              <w:pStyle w:val="207"/>
              <w:spacing w:line="360" w:lineRule="auto"/>
              <w:ind w:firstLine="0"/>
              <w:jc w:val="center"/>
              <w:rPr>
                <w:rFonts w:ascii="宋体" w:hAnsi="宋体" w:cs="宋体"/>
                <w:color w:val="000000"/>
                <w:szCs w:val="24"/>
              </w:rPr>
            </w:pPr>
          </w:p>
        </w:tc>
        <w:tc>
          <w:tcPr>
            <w:tcW w:w="2966" w:type="dxa"/>
            <w:vAlign w:val="center"/>
          </w:tcPr>
          <w:p w14:paraId="79A8F319">
            <w:pPr>
              <w:pStyle w:val="207"/>
              <w:spacing w:line="360" w:lineRule="auto"/>
              <w:ind w:firstLine="0"/>
              <w:jc w:val="center"/>
              <w:rPr>
                <w:rFonts w:ascii="宋体" w:hAnsi="宋体" w:cs="宋体"/>
                <w:color w:val="000000"/>
                <w:szCs w:val="24"/>
              </w:rPr>
            </w:pPr>
          </w:p>
        </w:tc>
      </w:tr>
      <w:tr w14:paraId="7C3A90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388F1D75">
            <w:pPr>
              <w:pStyle w:val="207"/>
              <w:spacing w:line="360" w:lineRule="auto"/>
              <w:ind w:firstLine="0"/>
              <w:jc w:val="center"/>
              <w:rPr>
                <w:rFonts w:ascii="宋体" w:hAnsi="宋体" w:cs="宋体"/>
                <w:color w:val="000000"/>
                <w:szCs w:val="24"/>
              </w:rPr>
            </w:pPr>
          </w:p>
        </w:tc>
        <w:tc>
          <w:tcPr>
            <w:tcW w:w="2514" w:type="dxa"/>
            <w:vAlign w:val="center"/>
          </w:tcPr>
          <w:p w14:paraId="6EC63E8C">
            <w:pPr>
              <w:pStyle w:val="207"/>
              <w:spacing w:line="360" w:lineRule="auto"/>
              <w:ind w:firstLine="0"/>
              <w:jc w:val="center"/>
              <w:rPr>
                <w:rFonts w:ascii="宋体" w:hAnsi="宋体" w:cs="宋体"/>
                <w:color w:val="000000"/>
                <w:szCs w:val="24"/>
              </w:rPr>
            </w:pPr>
          </w:p>
        </w:tc>
        <w:tc>
          <w:tcPr>
            <w:tcW w:w="2266" w:type="dxa"/>
            <w:vAlign w:val="center"/>
          </w:tcPr>
          <w:p w14:paraId="6E358A3C">
            <w:pPr>
              <w:pStyle w:val="207"/>
              <w:spacing w:line="360" w:lineRule="auto"/>
              <w:ind w:firstLine="0"/>
              <w:jc w:val="center"/>
              <w:rPr>
                <w:rFonts w:ascii="宋体" w:hAnsi="宋体" w:cs="宋体"/>
                <w:color w:val="000000"/>
                <w:szCs w:val="24"/>
              </w:rPr>
            </w:pPr>
          </w:p>
        </w:tc>
        <w:tc>
          <w:tcPr>
            <w:tcW w:w="2966" w:type="dxa"/>
            <w:vAlign w:val="center"/>
          </w:tcPr>
          <w:p w14:paraId="0AD1C208">
            <w:pPr>
              <w:pStyle w:val="207"/>
              <w:spacing w:line="360" w:lineRule="auto"/>
              <w:ind w:firstLine="0"/>
              <w:jc w:val="center"/>
              <w:rPr>
                <w:rFonts w:ascii="宋体" w:hAnsi="宋体" w:cs="宋体"/>
                <w:color w:val="000000"/>
                <w:szCs w:val="24"/>
              </w:rPr>
            </w:pPr>
          </w:p>
        </w:tc>
      </w:tr>
      <w:tr w14:paraId="5664BF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871" w:type="dxa"/>
            <w:vAlign w:val="center"/>
          </w:tcPr>
          <w:p w14:paraId="5694F7FE">
            <w:pPr>
              <w:pStyle w:val="207"/>
              <w:spacing w:line="360" w:lineRule="auto"/>
              <w:ind w:firstLine="0"/>
              <w:jc w:val="center"/>
              <w:rPr>
                <w:rFonts w:ascii="宋体" w:hAnsi="宋体" w:cs="宋体"/>
                <w:color w:val="000000"/>
                <w:szCs w:val="24"/>
              </w:rPr>
            </w:pPr>
          </w:p>
        </w:tc>
        <w:tc>
          <w:tcPr>
            <w:tcW w:w="2514" w:type="dxa"/>
            <w:vAlign w:val="center"/>
          </w:tcPr>
          <w:p w14:paraId="253407E8">
            <w:pPr>
              <w:pStyle w:val="207"/>
              <w:spacing w:line="360" w:lineRule="auto"/>
              <w:ind w:firstLine="0"/>
              <w:jc w:val="center"/>
              <w:rPr>
                <w:rFonts w:ascii="宋体" w:hAnsi="宋体" w:cs="宋体"/>
                <w:color w:val="000000"/>
                <w:szCs w:val="24"/>
              </w:rPr>
            </w:pPr>
          </w:p>
        </w:tc>
        <w:tc>
          <w:tcPr>
            <w:tcW w:w="2266" w:type="dxa"/>
            <w:vAlign w:val="center"/>
          </w:tcPr>
          <w:p w14:paraId="5C2F0873">
            <w:pPr>
              <w:pStyle w:val="207"/>
              <w:spacing w:line="360" w:lineRule="auto"/>
              <w:ind w:firstLine="0"/>
              <w:jc w:val="center"/>
              <w:rPr>
                <w:rFonts w:ascii="宋体" w:hAnsi="宋体" w:cs="宋体"/>
                <w:color w:val="000000"/>
                <w:szCs w:val="24"/>
              </w:rPr>
            </w:pPr>
          </w:p>
        </w:tc>
        <w:tc>
          <w:tcPr>
            <w:tcW w:w="2966" w:type="dxa"/>
            <w:vAlign w:val="center"/>
          </w:tcPr>
          <w:p w14:paraId="26CE7468">
            <w:pPr>
              <w:pStyle w:val="207"/>
              <w:spacing w:line="360" w:lineRule="auto"/>
              <w:ind w:firstLine="0"/>
              <w:jc w:val="center"/>
              <w:rPr>
                <w:rFonts w:ascii="宋体" w:hAnsi="宋体" w:cs="宋体"/>
                <w:color w:val="000000"/>
                <w:szCs w:val="24"/>
              </w:rPr>
            </w:pPr>
          </w:p>
        </w:tc>
      </w:tr>
    </w:tbl>
    <w:p w14:paraId="34A1D307">
      <w:pPr>
        <w:spacing w:line="360" w:lineRule="auto"/>
        <w:rPr>
          <w:rFonts w:ascii="宋体" w:hAnsi="宋体" w:cs="宋体"/>
          <w:color w:val="000000"/>
          <w:lang w:val="zh-CN"/>
        </w:rPr>
      </w:pPr>
    </w:p>
    <w:p w14:paraId="627659D7">
      <w:pPr>
        <w:pStyle w:val="235"/>
        <w:spacing w:before="0" w:after="0" w:line="360" w:lineRule="auto"/>
        <w:jc w:val="left"/>
        <w:outlineLvl w:val="1"/>
        <w:rPr>
          <w:rFonts w:ascii="宋体" w:hAnsi="宋体" w:cs="宋体"/>
          <w:color w:val="000000"/>
          <w:lang w:val="zh-CN"/>
        </w:rPr>
      </w:pPr>
      <w:bookmarkStart w:id="72" w:name="_Toc27463"/>
      <w:bookmarkStart w:id="73" w:name="_Toc28963"/>
      <w:r>
        <w:rPr>
          <w:rFonts w:hint="eastAsia" w:ascii="宋体" w:hAnsi="宋体" w:cs="宋体"/>
          <w:color w:val="000000"/>
          <w:sz w:val="30"/>
          <w:szCs w:val="30"/>
          <w:lang w:val="zh-CN"/>
        </w:rPr>
        <w:t>行数不够可自行添加</w:t>
      </w:r>
      <w:r>
        <w:rPr>
          <w:rFonts w:hint="eastAsia" w:ascii="宋体" w:hAnsi="宋体" w:cs="宋体"/>
          <w:color w:val="000000"/>
          <w:sz w:val="30"/>
          <w:szCs w:val="30"/>
          <w:lang w:val="zh-CN"/>
        </w:rPr>
        <w:br w:type="page" w:clear="all"/>
      </w:r>
      <w:bookmarkStart w:id="74" w:name="_Toc26451"/>
      <w:r>
        <w:rPr>
          <w:rFonts w:hint="eastAsia" w:ascii="宋体" w:hAnsi="宋体" w:cs="宋体"/>
          <w:color w:val="000000"/>
          <w:sz w:val="30"/>
          <w:szCs w:val="30"/>
        </w:rPr>
        <w:t>（11）</w:t>
      </w:r>
      <w:r>
        <w:rPr>
          <w:rFonts w:hint="eastAsia" w:ascii="宋体" w:hAnsi="宋体" w:cs="宋体"/>
          <w:color w:val="000000"/>
          <w:sz w:val="30"/>
          <w:szCs w:val="30"/>
          <w:lang w:val="zh-CN"/>
        </w:rPr>
        <w:t>开标一览表（报价表）</w:t>
      </w:r>
      <w:bookmarkEnd w:id="72"/>
      <w:bookmarkEnd w:id="73"/>
    </w:p>
    <w:p w14:paraId="280DA46C">
      <w:pPr>
        <w:spacing w:line="360" w:lineRule="auto"/>
        <w:rPr>
          <w:rFonts w:ascii="宋体" w:hAnsi="宋体" w:cs="宋体"/>
          <w:b/>
          <w:bCs/>
          <w:color w:val="000000"/>
          <w:sz w:val="28"/>
          <w:szCs w:val="28"/>
          <w:lang w:val="zh-CN"/>
        </w:rPr>
      </w:pPr>
    </w:p>
    <w:bookmarkEnd w:id="74"/>
    <w:p w14:paraId="445FE999">
      <w:pPr>
        <w:spacing w:line="360" w:lineRule="auto"/>
        <w:jc w:val="center"/>
        <w:rPr>
          <w:rFonts w:ascii="宋体" w:hAnsi="宋体" w:cs="宋体"/>
          <w:b/>
          <w:bCs/>
          <w:color w:val="000000"/>
          <w:sz w:val="36"/>
          <w:szCs w:val="36"/>
          <w:lang w:val="zh-CN"/>
        </w:rPr>
      </w:pPr>
      <w:bookmarkStart w:id="75" w:name="_Toc515908222"/>
      <w:bookmarkStart w:id="76" w:name="_Toc14290"/>
      <w:r>
        <w:rPr>
          <w:rFonts w:hint="eastAsia" w:ascii="宋体" w:hAnsi="宋体" w:cs="宋体"/>
          <w:b/>
          <w:bCs/>
          <w:color w:val="000000"/>
          <w:sz w:val="28"/>
          <w:szCs w:val="28"/>
          <w:lang w:val="zh-CN"/>
        </w:rPr>
        <w:t>开标一览表（报价表）</w:t>
      </w:r>
    </w:p>
    <w:p w14:paraId="3D1E623D">
      <w:pPr>
        <w:spacing w:line="360" w:lineRule="auto"/>
        <w:rPr>
          <w:rFonts w:ascii="宋体" w:hAnsi="宋体" w:cs="宋体"/>
          <w:b/>
          <w:bCs/>
          <w:color w:val="000000"/>
          <w:sz w:val="28"/>
          <w:szCs w:val="28"/>
          <w:lang w:val="zh-CN"/>
        </w:rPr>
      </w:pPr>
    </w:p>
    <w:tbl>
      <w:tblPr>
        <w:tblStyle w:val="31"/>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57" w:type="dxa"/>
          <w:bottom w:w="0" w:type="dxa"/>
          <w:right w:w="57" w:type="dxa"/>
        </w:tblCellMar>
      </w:tblPr>
      <w:tblGrid>
        <w:gridCol w:w="2632"/>
        <w:gridCol w:w="5985"/>
      </w:tblGrid>
      <w:tr w14:paraId="1D5A61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32" w:type="dxa"/>
            <w:vAlign w:val="center"/>
          </w:tcPr>
          <w:p w14:paraId="37CBA456">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投标人名称</w:t>
            </w:r>
          </w:p>
        </w:tc>
        <w:tc>
          <w:tcPr>
            <w:tcW w:w="5985" w:type="dxa"/>
            <w:vAlign w:val="center"/>
          </w:tcPr>
          <w:p w14:paraId="18B221BB">
            <w:pPr>
              <w:pStyle w:val="207"/>
              <w:spacing w:line="360" w:lineRule="auto"/>
              <w:ind w:firstLine="0"/>
              <w:rPr>
                <w:rFonts w:ascii="宋体" w:hAnsi="宋体" w:cs="宋体"/>
                <w:color w:val="000000"/>
                <w:szCs w:val="24"/>
              </w:rPr>
            </w:pPr>
          </w:p>
        </w:tc>
      </w:tr>
      <w:tr w14:paraId="14B070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32" w:type="dxa"/>
            <w:vAlign w:val="center"/>
          </w:tcPr>
          <w:p w14:paraId="7EDFBA69">
            <w:pPr>
              <w:pStyle w:val="207"/>
              <w:spacing w:line="360" w:lineRule="auto"/>
              <w:ind w:firstLine="0"/>
              <w:jc w:val="center"/>
              <w:rPr>
                <w:rFonts w:ascii="宋体" w:hAnsi="宋体" w:cs="宋体"/>
                <w:color w:val="000000"/>
                <w:szCs w:val="24"/>
              </w:rPr>
            </w:pPr>
            <w:r>
              <w:rPr>
                <w:rFonts w:hint="eastAsia" w:ascii="宋体" w:hAnsi="宋体" w:cs="宋体"/>
                <w:color w:val="000000"/>
                <w:szCs w:val="24"/>
                <w:lang w:val="zh-CN"/>
              </w:rPr>
              <w:t>投标包号</w:t>
            </w:r>
          </w:p>
        </w:tc>
        <w:tc>
          <w:tcPr>
            <w:tcW w:w="5985" w:type="dxa"/>
            <w:vAlign w:val="center"/>
          </w:tcPr>
          <w:p w14:paraId="63B0ECA7">
            <w:pPr>
              <w:pStyle w:val="207"/>
              <w:spacing w:line="360" w:lineRule="auto"/>
              <w:ind w:firstLine="0"/>
              <w:rPr>
                <w:rFonts w:ascii="宋体" w:hAnsi="宋体" w:cs="宋体"/>
                <w:color w:val="000000"/>
                <w:szCs w:val="24"/>
              </w:rPr>
            </w:pPr>
          </w:p>
        </w:tc>
      </w:tr>
      <w:tr w14:paraId="2C350B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32" w:type="dxa"/>
            <w:vAlign w:val="center"/>
          </w:tcPr>
          <w:p w14:paraId="6A7FB6F5">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投标报价</w:t>
            </w:r>
          </w:p>
        </w:tc>
        <w:tc>
          <w:tcPr>
            <w:tcW w:w="5985" w:type="dxa"/>
            <w:vAlign w:val="center"/>
          </w:tcPr>
          <w:p w14:paraId="7CDD6999">
            <w:pPr>
              <w:spacing w:line="360" w:lineRule="auto"/>
              <w:rPr>
                <w:rFonts w:ascii="宋体" w:hAnsi="宋体" w:cs="宋体"/>
                <w:color w:val="000000"/>
                <w:lang w:val="zh-CN"/>
              </w:rPr>
            </w:pPr>
            <w:r>
              <w:rPr>
                <w:rFonts w:hint="eastAsia" w:ascii="宋体" w:hAnsi="宋体" w:cs="宋体"/>
                <w:color w:val="000000"/>
                <w:lang w:val="zh-CN"/>
              </w:rPr>
              <w:t>大写：</w:t>
            </w:r>
          </w:p>
          <w:p w14:paraId="24E9A1D5">
            <w:pPr>
              <w:pStyle w:val="207"/>
              <w:spacing w:line="360" w:lineRule="auto"/>
              <w:ind w:firstLine="0"/>
              <w:rPr>
                <w:rFonts w:ascii="宋体" w:hAnsi="宋体" w:cs="宋体"/>
                <w:color w:val="000000"/>
                <w:szCs w:val="24"/>
              </w:rPr>
            </w:pPr>
            <w:r>
              <w:rPr>
                <w:rFonts w:hint="eastAsia" w:ascii="宋体" w:hAnsi="宋体" w:cs="宋体"/>
                <w:color w:val="000000"/>
                <w:szCs w:val="24"/>
                <w:lang w:val="zh-CN"/>
              </w:rPr>
              <w:t>小写：</w:t>
            </w:r>
          </w:p>
        </w:tc>
      </w:tr>
      <w:tr w14:paraId="671E21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57" w:type="dxa"/>
            <w:bottom w:w="0" w:type="dxa"/>
            <w:right w:w="57" w:type="dxa"/>
          </w:tblCellMar>
        </w:tblPrEx>
        <w:trPr>
          <w:trHeight w:val="23" w:hRule="atLeast"/>
          <w:jc w:val="center"/>
        </w:trPr>
        <w:tc>
          <w:tcPr>
            <w:tcW w:w="2632" w:type="dxa"/>
            <w:vAlign w:val="center"/>
          </w:tcPr>
          <w:p w14:paraId="4B6EF3DC">
            <w:pPr>
              <w:pStyle w:val="207"/>
              <w:spacing w:line="360" w:lineRule="auto"/>
              <w:ind w:firstLine="0"/>
              <w:jc w:val="center"/>
              <w:rPr>
                <w:rFonts w:ascii="宋体" w:hAnsi="宋体" w:cs="宋体"/>
                <w:color w:val="000000"/>
                <w:szCs w:val="24"/>
              </w:rPr>
            </w:pPr>
            <w:r>
              <w:rPr>
                <w:rFonts w:hint="eastAsia" w:ascii="宋体" w:hAnsi="宋体" w:cs="宋体"/>
                <w:color w:val="000000"/>
                <w:szCs w:val="24"/>
              </w:rPr>
              <w:t>交货时间</w:t>
            </w:r>
          </w:p>
        </w:tc>
        <w:tc>
          <w:tcPr>
            <w:tcW w:w="5985" w:type="dxa"/>
            <w:vAlign w:val="center"/>
          </w:tcPr>
          <w:p w14:paraId="6085BB5F">
            <w:pPr>
              <w:pStyle w:val="207"/>
              <w:spacing w:line="360" w:lineRule="auto"/>
              <w:ind w:firstLine="0"/>
              <w:rPr>
                <w:rFonts w:ascii="宋体" w:hAnsi="宋体" w:cs="宋体"/>
                <w:color w:val="000000"/>
                <w:szCs w:val="24"/>
              </w:rPr>
            </w:pPr>
          </w:p>
        </w:tc>
      </w:tr>
    </w:tbl>
    <w:p w14:paraId="3D30CAFE">
      <w:pPr>
        <w:spacing w:line="360" w:lineRule="auto"/>
        <w:rPr>
          <w:rFonts w:ascii="宋体" w:hAnsi="宋体" w:cs="宋体"/>
          <w:color w:val="000000"/>
          <w:lang w:val="zh-CN"/>
        </w:rPr>
      </w:pPr>
      <w:r>
        <w:rPr>
          <w:rFonts w:hint="eastAsia" w:ascii="宋体" w:hAnsi="宋体" w:cs="宋体"/>
          <w:b/>
          <w:bCs/>
          <w:color w:val="000000"/>
          <w:lang w:val="zh-CN"/>
        </w:rPr>
        <w:t>注：</w:t>
      </w:r>
      <w:r>
        <w:rPr>
          <w:rFonts w:hint="eastAsia" w:ascii="宋体" w:hAnsi="宋体" w:cs="宋体"/>
          <w:color w:val="000000"/>
          <w:lang w:val="zh-CN"/>
        </w:rPr>
        <w:t>1.填写此表时不得改变表格形式。</w:t>
      </w:r>
    </w:p>
    <w:p w14:paraId="035C63F8">
      <w:pPr>
        <w:spacing w:line="360" w:lineRule="auto"/>
        <w:ind w:firstLine="480"/>
        <w:rPr>
          <w:rFonts w:ascii="宋体" w:hAnsi="宋体" w:cs="宋体"/>
          <w:color w:val="000000"/>
          <w:lang w:val="zh-CN"/>
        </w:rPr>
      </w:pPr>
      <w:r>
        <w:rPr>
          <w:rFonts w:hint="eastAsia" w:ascii="宋体" w:hAnsi="宋体" w:cs="宋体"/>
          <w:color w:val="000000"/>
          <w:lang w:val="zh-CN"/>
        </w:rPr>
        <w:t>2.“投标报价”为投标总价。投标报价必须包括：产品费、验收费、手续费、包装费、运输费、保险费、安装费、调试费、培训费、售前、售中、售后服务费、税金及不可预见费等全部费用。</w:t>
      </w:r>
    </w:p>
    <w:p w14:paraId="15AB199D">
      <w:pPr>
        <w:spacing w:line="360" w:lineRule="auto"/>
        <w:ind w:firstLine="480"/>
        <w:rPr>
          <w:rFonts w:ascii="宋体" w:hAnsi="宋体" w:cs="宋体"/>
          <w:color w:val="000000"/>
        </w:rPr>
      </w:pPr>
      <w:r>
        <w:rPr>
          <w:rFonts w:hint="eastAsia" w:ascii="宋体" w:hAnsi="宋体" w:cs="宋体"/>
          <w:color w:val="000000"/>
          <w:lang w:val="zh-CN"/>
        </w:rPr>
        <w:t>3.“交货时间”是指产品能够交付使用的具体时间（详见第五部分）。</w:t>
      </w:r>
    </w:p>
    <w:p w14:paraId="4CF9F213">
      <w:pPr>
        <w:spacing w:line="360" w:lineRule="auto"/>
        <w:ind w:firstLine="480"/>
        <w:rPr>
          <w:rFonts w:ascii="宋体" w:hAnsi="宋体" w:cs="宋体"/>
          <w:color w:val="000000"/>
          <w:lang w:val="zh-CN"/>
        </w:rPr>
      </w:pPr>
      <w:r>
        <w:rPr>
          <w:rFonts w:hint="eastAsia" w:ascii="宋体" w:hAnsi="宋体" w:cs="宋体"/>
          <w:color w:val="000000"/>
          <w:lang w:val="zh-CN"/>
        </w:rPr>
        <w:t>4.投标报价不能有两个或两个以上的报价方案，</w:t>
      </w:r>
      <w:r>
        <w:rPr>
          <w:rFonts w:hint="eastAsia" w:ascii="宋体" w:hAnsi="宋体" w:cs="宋体"/>
          <w:color w:val="000000"/>
        </w:rPr>
        <w:t>否则投标无效</w:t>
      </w:r>
      <w:r>
        <w:rPr>
          <w:rFonts w:hint="eastAsia" w:ascii="宋体" w:hAnsi="宋体" w:cs="宋体"/>
          <w:color w:val="000000"/>
          <w:lang w:val="zh-CN"/>
        </w:rPr>
        <w:t>。</w:t>
      </w:r>
    </w:p>
    <w:p w14:paraId="2E11DDDA">
      <w:pPr>
        <w:spacing w:line="360" w:lineRule="auto"/>
        <w:rPr>
          <w:rFonts w:ascii="宋体" w:hAnsi="宋体" w:cs="宋体"/>
          <w:color w:val="000000"/>
          <w:lang w:val="zh-CN"/>
        </w:rPr>
      </w:pPr>
    </w:p>
    <w:p w14:paraId="4C983623">
      <w:pPr>
        <w:spacing w:line="360" w:lineRule="auto"/>
        <w:rPr>
          <w:rFonts w:ascii="宋体" w:hAnsi="宋体" w:cs="宋体"/>
          <w:color w:val="000000"/>
          <w:lang w:val="zh-CN"/>
        </w:rPr>
      </w:pPr>
    </w:p>
    <w:p w14:paraId="6A029EEC">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21D8FD99">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3D5945AE">
      <w:pPr>
        <w:spacing w:line="360" w:lineRule="auto"/>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3563488F">
      <w:pPr>
        <w:spacing w:line="360" w:lineRule="auto"/>
        <w:rPr>
          <w:rFonts w:ascii="宋体" w:hAnsi="宋体" w:cs="宋体"/>
          <w:color w:val="000000"/>
          <w:lang w:val="zh-CN"/>
        </w:rPr>
      </w:pPr>
    </w:p>
    <w:p w14:paraId="0C7E2AB6">
      <w:pPr>
        <w:pStyle w:val="235"/>
        <w:spacing w:before="0" w:after="0" w:line="360" w:lineRule="auto"/>
        <w:jc w:val="left"/>
        <w:outlineLvl w:val="1"/>
        <w:rPr>
          <w:rFonts w:ascii="宋体" w:hAnsi="宋体" w:cs="宋体"/>
          <w:color w:val="000000"/>
          <w:lang w:val="zh-CN"/>
        </w:rPr>
      </w:pPr>
    </w:p>
    <w:p w14:paraId="3E4BB5B9">
      <w:pPr>
        <w:rPr>
          <w:rFonts w:ascii="宋体" w:hAnsi="宋体" w:cs="宋体"/>
          <w:color w:val="000000"/>
          <w:lang w:val="zh-CN"/>
        </w:rPr>
      </w:pPr>
    </w:p>
    <w:p w14:paraId="5C3212EB">
      <w:pPr>
        <w:pStyle w:val="235"/>
        <w:spacing w:before="0" w:after="0" w:line="360" w:lineRule="auto"/>
        <w:jc w:val="left"/>
        <w:outlineLvl w:val="1"/>
        <w:rPr>
          <w:rFonts w:ascii="宋体" w:hAnsi="宋体" w:cs="宋体"/>
          <w:color w:val="000000"/>
          <w:sz w:val="30"/>
          <w:szCs w:val="30"/>
        </w:rPr>
      </w:pPr>
    </w:p>
    <w:p w14:paraId="0FFF223B">
      <w:pPr>
        <w:pStyle w:val="235"/>
        <w:spacing w:before="0" w:after="0" w:line="360" w:lineRule="auto"/>
        <w:jc w:val="left"/>
        <w:outlineLvl w:val="1"/>
        <w:rPr>
          <w:rFonts w:ascii="宋体" w:hAnsi="宋体" w:cs="宋体"/>
          <w:color w:val="000000"/>
          <w:sz w:val="30"/>
          <w:szCs w:val="30"/>
        </w:rPr>
      </w:pPr>
    </w:p>
    <w:p w14:paraId="6F02544C">
      <w:pPr>
        <w:pStyle w:val="235"/>
        <w:spacing w:before="0" w:after="0" w:line="360" w:lineRule="auto"/>
        <w:jc w:val="left"/>
        <w:outlineLvl w:val="1"/>
        <w:rPr>
          <w:rFonts w:ascii="宋体" w:hAnsi="宋体" w:cs="宋体"/>
          <w:color w:val="000000"/>
          <w:sz w:val="30"/>
          <w:szCs w:val="30"/>
        </w:rPr>
      </w:pPr>
    </w:p>
    <w:p w14:paraId="38DD9C6B">
      <w:pPr>
        <w:pStyle w:val="235"/>
        <w:spacing w:before="0" w:after="0" w:line="360" w:lineRule="auto"/>
        <w:jc w:val="left"/>
        <w:outlineLvl w:val="1"/>
        <w:rPr>
          <w:rFonts w:ascii="宋体" w:hAnsi="宋体" w:cs="宋体"/>
          <w:color w:val="000000"/>
          <w:sz w:val="30"/>
          <w:szCs w:val="30"/>
        </w:rPr>
      </w:pPr>
    </w:p>
    <w:p w14:paraId="2F824BAD">
      <w:pPr>
        <w:pStyle w:val="235"/>
        <w:spacing w:before="0" w:after="0" w:line="360" w:lineRule="auto"/>
        <w:jc w:val="left"/>
        <w:outlineLvl w:val="1"/>
        <w:rPr>
          <w:rFonts w:ascii="宋体" w:hAnsi="宋体" w:cs="宋体"/>
          <w:color w:val="000000"/>
          <w:sz w:val="30"/>
          <w:szCs w:val="30"/>
        </w:rPr>
      </w:pPr>
    </w:p>
    <w:p w14:paraId="22E43334">
      <w:pPr>
        <w:pStyle w:val="235"/>
        <w:spacing w:before="0" w:after="0" w:line="360" w:lineRule="auto"/>
        <w:jc w:val="left"/>
        <w:outlineLvl w:val="1"/>
        <w:rPr>
          <w:rFonts w:ascii="宋体" w:hAnsi="宋体" w:cs="宋体"/>
          <w:color w:val="000000"/>
        </w:rPr>
      </w:pPr>
      <w:bookmarkStart w:id="77" w:name="_Toc10305"/>
      <w:r>
        <w:rPr>
          <w:rFonts w:hint="eastAsia" w:ascii="宋体" w:hAnsi="宋体" w:cs="宋体"/>
          <w:color w:val="000000"/>
          <w:sz w:val="30"/>
          <w:szCs w:val="30"/>
        </w:rPr>
        <w:t>（12）</w:t>
      </w:r>
      <w:r>
        <w:rPr>
          <w:rFonts w:hint="eastAsia" w:ascii="宋体" w:hAnsi="宋体" w:cs="宋体"/>
          <w:color w:val="000000"/>
          <w:sz w:val="30"/>
          <w:szCs w:val="30"/>
          <w:lang w:val="zh-CN"/>
        </w:rPr>
        <w:t>分项报价表</w:t>
      </w:r>
      <w:bookmarkEnd w:id="75"/>
      <w:bookmarkEnd w:id="76"/>
    </w:p>
    <w:p w14:paraId="68FD1F1A">
      <w:pPr>
        <w:spacing w:line="360" w:lineRule="auto"/>
        <w:rPr>
          <w:rFonts w:ascii="宋体" w:hAnsi="宋体" w:cs="宋体"/>
          <w:b/>
          <w:bCs/>
          <w:color w:val="000000"/>
          <w:sz w:val="28"/>
          <w:szCs w:val="28"/>
          <w:lang w:val="zh-CN"/>
        </w:rPr>
      </w:pPr>
    </w:p>
    <w:p w14:paraId="2CA0F5A1">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分项报价表</w:t>
      </w:r>
    </w:p>
    <w:p w14:paraId="74CD166C">
      <w:pPr>
        <w:spacing w:line="360" w:lineRule="auto"/>
        <w:rPr>
          <w:rFonts w:ascii="宋体" w:hAnsi="宋体" w:cs="宋体"/>
          <w:b/>
          <w:bCs/>
          <w:color w:val="000000"/>
          <w:sz w:val="28"/>
          <w:szCs w:val="28"/>
          <w:lang w:val="zh-CN"/>
        </w:rPr>
      </w:pPr>
    </w:p>
    <w:p w14:paraId="3610053F">
      <w:pPr>
        <w:autoSpaceDE w:val="0"/>
        <w:autoSpaceDN w:val="0"/>
        <w:adjustRightInd w:val="0"/>
        <w:ind w:firstLine="3975" w:firstLineChars="1100"/>
        <w:rPr>
          <w:rFonts w:ascii="宋体" w:hAnsi="宋体" w:cs="宋体"/>
          <w:b/>
          <w:bCs/>
          <w:color w:val="000000"/>
          <w:sz w:val="36"/>
          <w:szCs w:val="36"/>
          <w:lang w:val="zh-CN"/>
        </w:rPr>
      </w:pPr>
      <w:r>
        <w:rPr>
          <w:rFonts w:hint="eastAsia" w:ascii="宋体" w:hAnsi="宋体" w:cs="宋体"/>
          <w:b/>
          <w:bCs/>
          <w:color w:val="000000"/>
          <w:sz w:val="36"/>
          <w:szCs w:val="36"/>
          <w:lang w:val="zh-CN"/>
        </w:rPr>
        <w:t>分项报价表</w:t>
      </w:r>
    </w:p>
    <w:p w14:paraId="76B37CED">
      <w:pPr>
        <w:autoSpaceDE w:val="0"/>
        <w:autoSpaceDN w:val="0"/>
        <w:adjustRightInd w:val="0"/>
        <w:ind w:firstLine="482"/>
        <w:rPr>
          <w:rFonts w:ascii="宋体" w:hAnsi="宋体" w:cs="宋体"/>
          <w:b/>
          <w:bCs/>
          <w:color w:val="000000"/>
          <w:lang w:val="zh-CN"/>
        </w:rPr>
      </w:pPr>
    </w:p>
    <w:p w14:paraId="715C2E2E">
      <w:pPr>
        <w:autoSpaceDE w:val="0"/>
        <w:autoSpaceDN w:val="0"/>
        <w:adjustRightInd w:val="0"/>
        <w:ind w:firstLine="241" w:firstLineChars="100"/>
        <w:rPr>
          <w:lang w:val="zh-CN"/>
        </w:rPr>
      </w:pPr>
      <w:r>
        <w:rPr>
          <w:rFonts w:hint="eastAsia" w:ascii="宋体" w:hAnsi="宋体" w:cs="宋体"/>
          <w:b/>
          <w:bCs/>
          <w:color w:val="000000"/>
          <w:lang w:val="zh-CN"/>
        </w:rPr>
        <w:t>投标供应商名称:</w:t>
      </w:r>
      <w:r>
        <w:rPr>
          <w:rFonts w:hint="eastAsia" w:ascii="宋体" w:hAnsi="宋体" w:cs="宋体"/>
          <w:b/>
          <w:bCs/>
          <w:color w:val="000000"/>
        </w:rPr>
        <w:t xml:space="preserve">                                    </w:t>
      </w:r>
      <w:r>
        <w:rPr>
          <w:rFonts w:hint="eastAsia" w:ascii="宋体" w:hAnsi="宋体" w:cs="宋体"/>
          <w:b/>
          <w:bCs/>
          <w:color w:val="000000"/>
          <w:lang w:val="zh-CN"/>
        </w:rPr>
        <w:t xml:space="preserve"> </w:t>
      </w:r>
      <w:r>
        <w:rPr>
          <w:rFonts w:hint="eastAsia" w:ascii="宋体" w:hAnsi="宋体" w:cs="宋体"/>
          <w:b/>
          <w:bCs/>
          <w:color w:val="000000"/>
        </w:rPr>
        <w:t xml:space="preserve"> </w:t>
      </w:r>
      <w:r>
        <w:rPr>
          <w:rFonts w:hint="eastAsia" w:ascii="宋体" w:hAnsi="宋体" w:cs="宋体"/>
          <w:b/>
          <w:bCs/>
          <w:color w:val="000000"/>
          <w:lang w:val="zh-CN"/>
        </w:rPr>
        <w:t>单位：人民币（元）</w:t>
      </w:r>
    </w:p>
    <w:tbl>
      <w:tblPr>
        <w:tblStyle w:val="31"/>
        <w:tblW w:w="91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7"/>
        <w:gridCol w:w="1230"/>
        <w:gridCol w:w="628"/>
        <w:gridCol w:w="840"/>
        <w:gridCol w:w="1414"/>
        <w:gridCol w:w="1308"/>
        <w:gridCol w:w="728"/>
        <w:gridCol w:w="739"/>
        <w:gridCol w:w="967"/>
        <w:gridCol w:w="615"/>
      </w:tblGrid>
      <w:tr w14:paraId="16F11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433DF50F">
            <w:pPr>
              <w:jc w:val="center"/>
              <w:rPr>
                <w:b/>
                <w:color w:val="000000"/>
              </w:rPr>
            </w:pPr>
            <w:r>
              <w:rPr>
                <w:b/>
                <w:color w:val="000000"/>
              </w:rPr>
              <w:t>序号</w:t>
            </w:r>
          </w:p>
        </w:tc>
        <w:tc>
          <w:tcPr>
            <w:tcW w:w="1230" w:type="dxa"/>
            <w:vAlign w:val="center"/>
          </w:tcPr>
          <w:p w14:paraId="46FF3F42">
            <w:pPr>
              <w:jc w:val="center"/>
              <w:rPr>
                <w:b/>
                <w:color w:val="000000"/>
              </w:rPr>
            </w:pPr>
            <w:r>
              <w:rPr>
                <w:rFonts w:hint="eastAsia"/>
                <w:b/>
                <w:color w:val="000000"/>
              </w:rPr>
              <w:t>产品名称</w:t>
            </w:r>
          </w:p>
        </w:tc>
        <w:tc>
          <w:tcPr>
            <w:tcW w:w="1468" w:type="dxa"/>
            <w:gridSpan w:val="2"/>
            <w:vAlign w:val="center"/>
          </w:tcPr>
          <w:p w14:paraId="6DF5CC60">
            <w:pPr>
              <w:jc w:val="center"/>
              <w:rPr>
                <w:b/>
                <w:color w:val="000000"/>
              </w:rPr>
            </w:pPr>
            <w:r>
              <w:rPr>
                <w:b/>
                <w:color w:val="000000"/>
              </w:rPr>
              <w:t>规格</w:t>
            </w:r>
            <w:r>
              <w:rPr>
                <w:rFonts w:hint="eastAsia"/>
                <w:b/>
                <w:color w:val="000000"/>
              </w:rPr>
              <w:t>/</w:t>
            </w:r>
            <w:r>
              <w:rPr>
                <w:b/>
                <w:color w:val="000000"/>
              </w:rPr>
              <w:t>型号</w:t>
            </w:r>
          </w:p>
        </w:tc>
        <w:tc>
          <w:tcPr>
            <w:tcW w:w="1414" w:type="dxa"/>
            <w:vAlign w:val="center"/>
          </w:tcPr>
          <w:p w14:paraId="00BF2BE8">
            <w:pPr>
              <w:jc w:val="center"/>
              <w:rPr>
                <w:b/>
                <w:color w:val="000000"/>
              </w:rPr>
            </w:pPr>
            <w:r>
              <w:rPr>
                <w:b/>
                <w:color w:val="000000"/>
              </w:rPr>
              <w:t>生产厂家</w:t>
            </w:r>
          </w:p>
        </w:tc>
        <w:tc>
          <w:tcPr>
            <w:tcW w:w="1308" w:type="dxa"/>
            <w:vAlign w:val="center"/>
          </w:tcPr>
          <w:p w14:paraId="0F716AFC">
            <w:pPr>
              <w:jc w:val="center"/>
              <w:rPr>
                <w:b/>
                <w:color w:val="000000"/>
              </w:rPr>
            </w:pPr>
            <w:r>
              <w:rPr>
                <w:b/>
                <w:color w:val="000000"/>
              </w:rPr>
              <w:t>数量</w:t>
            </w:r>
            <w:r>
              <w:rPr>
                <w:rFonts w:hint="eastAsia"/>
                <w:b/>
                <w:color w:val="000000"/>
              </w:rPr>
              <w:t>及单位</w:t>
            </w:r>
          </w:p>
        </w:tc>
        <w:tc>
          <w:tcPr>
            <w:tcW w:w="728" w:type="dxa"/>
            <w:vAlign w:val="center"/>
          </w:tcPr>
          <w:p w14:paraId="1C9FC1C4">
            <w:pPr>
              <w:jc w:val="center"/>
              <w:rPr>
                <w:b/>
                <w:color w:val="000000"/>
              </w:rPr>
            </w:pPr>
            <w:r>
              <w:rPr>
                <w:b/>
                <w:color w:val="000000"/>
              </w:rPr>
              <w:t>单价</w:t>
            </w:r>
          </w:p>
        </w:tc>
        <w:tc>
          <w:tcPr>
            <w:tcW w:w="739" w:type="dxa"/>
            <w:vAlign w:val="center"/>
          </w:tcPr>
          <w:p w14:paraId="36B08F87">
            <w:pPr>
              <w:jc w:val="center"/>
              <w:rPr>
                <w:b/>
                <w:color w:val="000000"/>
              </w:rPr>
            </w:pPr>
            <w:r>
              <w:rPr>
                <w:rFonts w:hint="eastAsia"/>
                <w:b/>
                <w:color w:val="000000"/>
              </w:rPr>
              <w:t>总价</w:t>
            </w:r>
          </w:p>
        </w:tc>
        <w:tc>
          <w:tcPr>
            <w:tcW w:w="967" w:type="dxa"/>
            <w:vAlign w:val="center"/>
          </w:tcPr>
          <w:p w14:paraId="2AB572FC">
            <w:pPr>
              <w:jc w:val="center"/>
              <w:rPr>
                <w:b/>
                <w:color w:val="000000"/>
              </w:rPr>
            </w:pPr>
            <w:r>
              <w:rPr>
                <w:rFonts w:hint="eastAsia"/>
                <w:b/>
                <w:color w:val="000000"/>
              </w:rPr>
              <w:t>质保期</w:t>
            </w:r>
          </w:p>
        </w:tc>
        <w:tc>
          <w:tcPr>
            <w:tcW w:w="615" w:type="dxa"/>
            <w:vAlign w:val="center"/>
          </w:tcPr>
          <w:p w14:paraId="4F6EF285">
            <w:pPr>
              <w:jc w:val="center"/>
              <w:rPr>
                <w:b/>
                <w:color w:val="000000"/>
              </w:rPr>
            </w:pPr>
            <w:r>
              <w:rPr>
                <w:b/>
                <w:color w:val="000000"/>
              </w:rPr>
              <w:t>备注</w:t>
            </w:r>
          </w:p>
        </w:tc>
      </w:tr>
      <w:tr w14:paraId="0F0EF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5FCB8F80">
            <w:pPr>
              <w:ind w:firstLine="199" w:firstLineChars="83"/>
              <w:jc w:val="center"/>
              <w:rPr>
                <w:color w:val="000000"/>
              </w:rPr>
            </w:pPr>
            <w:r>
              <w:rPr>
                <w:rFonts w:hint="eastAsia"/>
                <w:color w:val="000000"/>
              </w:rPr>
              <w:t>1</w:t>
            </w:r>
          </w:p>
        </w:tc>
        <w:tc>
          <w:tcPr>
            <w:tcW w:w="1230" w:type="dxa"/>
            <w:vAlign w:val="center"/>
          </w:tcPr>
          <w:p w14:paraId="4A445B29">
            <w:pPr>
              <w:ind w:firstLine="482"/>
              <w:jc w:val="center"/>
              <w:rPr>
                <w:b/>
                <w:color w:val="000000"/>
              </w:rPr>
            </w:pPr>
          </w:p>
        </w:tc>
        <w:tc>
          <w:tcPr>
            <w:tcW w:w="1468" w:type="dxa"/>
            <w:gridSpan w:val="2"/>
            <w:vAlign w:val="center"/>
          </w:tcPr>
          <w:p w14:paraId="55020001">
            <w:pPr>
              <w:ind w:firstLine="480"/>
              <w:jc w:val="center"/>
              <w:rPr>
                <w:color w:val="000000"/>
              </w:rPr>
            </w:pPr>
          </w:p>
        </w:tc>
        <w:tc>
          <w:tcPr>
            <w:tcW w:w="1414" w:type="dxa"/>
            <w:vAlign w:val="center"/>
          </w:tcPr>
          <w:p w14:paraId="655EA25C">
            <w:pPr>
              <w:ind w:firstLine="480"/>
              <w:jc w:val="center"/>
              <w:rPr>
                <w:color w:val="000000"/>
              </w:rPr>
            </w:pPr>
          </w:p>
        </w:tc>
        <w:tc>
          <w:tcPr>
            <w:tcW w:w="1308" w:type="dxa"/>
            <w:vAlign w:val="center"/>
          </w:tcPr>
          <w:p w14:paraId="0AAA7EC4">
            <w:pPr>
              <w:ind w:firstLine="480"/>
              <w:jc w:val="center"/>
              <w:rPr>
                <w:color w:val="000000"/>
              </w:rPr>
            </w:pPr>
          </w:p>
        </w:tc>
        <w:tc>
          <w:tcPr>
            <w:tcW w:w="728" w:type="dxa"/>
            <w:vAlign w:val="center"/>
          </w:tcPr>
          <w:p w14:paraId="4D467E29">
            <w:pPr>
              <w:ind w:firstLine="480"/>
              <w:jc w:val="center"/>
              <w:rPr>
                <w:color w:val="000000"/>
              </w:rPr>
            </w:pPr>
          </w:p>
        </w:tc>
        <w:tc>
          <w:tcPr>
            <w:tcW w:w="739" w:type="dxa"/>
            <w:vAlign w:val="center"/>
          </w:tcPr>
          <w:p w14:paraId="3DD4F8CB">
            <w:pPr>
              <w:ind w:firstLine="480"/>
              <w:jc w:val="center"/>
              <w:rPr>
                <w:color w:val="000000"/>
              </w:rPr>
            </w:pPr>
          </w:p>
        </w:tc>
        <w:tc>
          <w:tcPr>
            <w:tcW w:w="967" w:type="dxa"/>
            <w:vAlign w:val="center"/>
          </w:tcPr>
          <w:p w14:paraId="1DFFDED9">
            <w:pPr>
              <w:ind w:firstLine="480"/>
              <w:jc w:val="center"/>
              <w:rPr>
                <w:color w:val="000000"/>
              </w:rPr>
            </w:pPr>
          </w:p>
        </w:tc>
        <w:tc>
          <w:tcPr>
            <w:tcW w:w="615" w:type="dxa"/>
            <w:vAlign w:val="center"/>
          </w:tcPr>
          <w:p w14:paraId="2CDCDBA6">
            <w:pPr>
              <w:ind w:firstLine="480"/>
              <w:jc w:val="center"/>
              <w:rPr>
                <w:color w:val="000000"/>
              </w:rPr>
            </w:pPr>
          </w:p>
        </w:tc>
      </w:tr>
      <w:tr w14:paraId="2F246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0E46D7B0">
            <w:pPr>
              <w:ind w:firstLine="199" w:firstLineChars="83"/>
              <w:jc w:val="center"/>
              <w:rPr>
                <w:color w:val="000000"/>
              </w:rPr>
            </w:pPr>
            <w:r>
              <w:rPr>
                <w:rFonts w:hint="eastAsia"/>
                <w:color w:val="000000"/>
              </w:rPr>
              <w:t>2</w:t>
            </w:r>
          </w:p>
        </w:tc>
        <w:tc>
          <w:tcPr>
            <w:tcW w:w="1230" w:type="dxa"/>
            <w:vAlign w:val="center"/>
          </w:tcPr>
          <w:p w14:paraId="234EAC82">
            <w:pPr>
              <w:ind w:firstLine="482"/>
              <w:jc w:val="center"/>
              <w:rPr>
                <w:b/>
                <w:color w:val="000000"/>
              </w:rPr>
            </w:pPr>
          </w:p>
        </w:tc>
        <w:tc>
          <w:tcPr>
            <w:tcW w:w="1468" w:type="dxa"/>
            <w:gridSpan w:val="2"/>
            <w:vAlign w:val="center"/>
          </w:tcPr>
          <w:p w14:paraId="7730A0F9">
            <w:pPr>
              <w:ind w:firstLine="480"/>
              <w:jc w:val="center"/>
              <w:rPr>
                <w:color w:val="000000"/>
              </w:rPr>
            </w:pPr>
          </w:p>
        </w:tc>
        <w:tc>
          <w:tcPr>
            <w:tcW w:w="1414" w:type="dxa"/>
            <w:vAlign w:val="center"/>
          </w:tcPr>
          <w:p w14:paraId="64410857">
            <w:pPr>
              <w:ind w:firstLine="480"/>
              <w:jc w:val="center"/>
              <w:rPr>
                <w:color w:val="000000"/>
              </w:rPr>
            </w:pPr>
          </w:p>
        </w:tc>
        <w:tc>
          <w:tcPr>
            <w:tcW w:w="1308" w:type="dxa"/>
            <w:vAlign w:val="center"/>
          </w:tcPr>
          <w:p w14:paraId="0B51C9D4">
            <w:pPr>
              <w:ind w:firstLine="480"/>
              <w:jc w:val="center"/>
              <w:rPr>
                <w:color w:val="000000"/>
              </w:rPr>
            </w:pPr>
          </w:p>
        </w:tc>
        <w:tc>
          <w:tcPr>
            <w:tcW w:w="728" w:type="dxa"/>
            <w:vAlign w:val="center"/>
          </w:tcPr>
          <w:p w14:paraId="49BB42CA">
            <w:pPr>
              <w:ind w:firstLine="480"/>
              <w:jc w:val="center"/>
              <w:rPr>
                <w:color w:val="000000"/>
              </w:rPr>
            </w:pPr>
          </w:p>
        </w:tc>
        <w:tc>
          <w:tcPr>
            <w:tcW w:w="739" w:type="dxa"/>
            <w:vAlign w:val="center"/>
          </w:tcPr>
          <w:p w14:paraId="40E1195D">
            <w:pPr>
              <w:ind w:firstLine="480"/>
              <w:jc w:val="center"/>
              <w:rPr>
                <w:color w:val="000000"/>
              </w:rPr>
            </w:pPr>
          </w:p>
        </w:tc>
        <w:tc>
          <w:tcPr>
            <w:tcW w:w="967" w:type="dxa"/>
            <w:vAlign w:val="center"/>
          </w:tcPr>
          <w:p w14:paraId="59FBC7E8">
            <w:pPr>
              <w:ind w:firstLine="480"/>
              <w:jc w:val="center"/>
              <w:rPr>
                <w:color w:val="000000"/>
              </w:rPr>
            </w:pPr>
          </w:p>
        </w:tc>
        <w:tc>
          <w:tcPr>
            <w:tcW w:w="615" w:type="dxa"/>
            <w:vAlign w:val="center"/>
          </w:tcPr>
          <w:p w14:paraId="44CC802A">
            <w:pPr>
              <w:ind w:firstLine="480"/>
              <w:jc w:val="center"/>
              <w:rPr>
                <w:color w:val="000000"/>
              </w:rPr>
            </w:pPr>
          </w:p>
        </w:tc>
      </w:tr>
      <w:tr w14:paraId="666F4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02FF73EA">
            <w:pPr>
              <w:ind w:firstLine="199" w:firstLineChars="83"/>
              <w:jc w:val="center"/>
              <w:rPr>
                <w:color w:val="000000"/>
              </w:rPr>
            </w:pPr>
            <w:r>
              <w:rPr>
                <w:rFonts w:hint="eastAsia"/>
                <w:color w:val="000000"/>
              </w:rPr>
              <w:t>3</w:t>
            </w:r>
          </w:p>
        </w:tc>
        <w:tc>
          <w:tcPr>
            <w:tcW w:w="1230" w:type="dxa"/>
            <w:vAlign w:val="center"/>
          </w:tcPr>
          <w:p w14:paraId="3AEAF441">
            <w:pPr>
              <w:ind w:firstLine="482"/>
              <w:jc w:val="center"/>
              <w:rPr>
                <w:b/>
                <w:color w:val="000000"/>
              </w:rPr>
            </w:pPr>
          </w:p>
        </w:tc>
        <w:tc>
          <w:tcPr>
            <w:tcW w:w="1468" w:type="dxa"/>
            <w:gridSpan w:val="2"/>
            <w:vAlign w:val="center"/>
          </w:tcPr>
          <w:p w14:paraId="11787AEA">
            <w:pPr>
              <w:ind w:firstLine="480"/>
              <w:jc w:val="center"/>
              <w:rPr>
                <w:color w:val="000000"/>
              </w:rPr>
            </w:pPr>
          </w:p>
        </w:tc>
        <w:tc>
          <w:tcPr>
            <w:tcW w:w="1414" w:type="dxa"/>
            <w:vAlign w:val="center"/>
          </w:tcPr>
          <w:p w14:paraId="2A11D918">
            <w:pPr>
              <w:ind w:firstLine="480"/>
              <w:jc w:val="center"/>
              <w:rPr>
                <w:color w:val="000000"/>
              </w:rPr>
            </w:pPr>
          </w:p>
        </w:tc>
        <w:tc>
          <w:tcPr>
            <w:tcW w:w="1308" w:type="dxa"/>
            <w:vAlign w:val="center"/>
          </w:tcPr>
          <w:p w14:paraId="5A76F33A">
            <w:pPr>
              <w:ind w:firstLine="480"/>
              <w:jc w:val="center"/>
              <w:rPr>
                <w:color w:val="000000"/>
              </w:rPr>
            </w:pPr>
          </w:p>
        </w:tc>
        <w:tc>
          <w:tcPr>
            <w:tcW w:w="728" w:type="dxa"/>
            <w:vAlign w:val="center"/>
          </w:tcPr>
          <w:p w14:paraId="4F836BD4">
            <w:pPr>
              <w:ind w:firstLine="480"/>
              <w:jc w:val="center"/>
              <w:rPr>
                <w:color w:val="000000"/>
              </w:rPr>
            </w:pPr>
          </w:p>
        </w:tc>
        <w:tc>
          <w:tcPr>
            <w:tcW w:w="739" w:type="dxa"/>
            <w:vAlign w:val="center"/>
          </w:tcPr>
          <w:p w14:paraId="4A87E566">
            <w:pPr>
              <w:ind w:firstLine="480"/>
              <w:jc w:val="center"/>
              <w:rPr>
                <w:color w:val="000000"/>
              </w:rPr>
            </w:pPr>
          </w:p>
        </w:tc>
        <w:tc>
          <w:tcPr>
            <w:tcW w:w="967" w:type="dxa"/>
            <w:vAlign w:val="center"/>
          </w:tcPr>
          <w:p w14:paraId="627B6612">
            <w:pPr>
              <w:ind w:firstLine="480"/>
              <w:jc w:val="center"/>
              <w:rPr>
                <w:color w:val="000000"/>
              </w:rPr>
            </w:pPr>
          </w:p>
        </w:tc>
        <w:tc>
          <w:tcPr>
            <w:tcW w:w="615" w:type="dxa"/>
            <w:vAlign w:val="center"/>
          </w:tcPr>
          <w:p w14:paraId="7F7F8AFE">
            <w:pPr>
              <w:ind w:firstLine="480"/>
              <w:jc w:val="center"/>
              <w:rPr>
                <w:color w:val="000000"/>
              </w:rPr>
            </w:pPr>
          </w:p>
        </w:tc>
      </w:tr>
      <w:tr w14:paraId="095BB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408BBF62">
            <w:pPr>
              <w:ind w:firstLine="199" w:firstLineChars="83"/>
              <w:jc w:val="center"/>
              <w:rPr>
                <w:color w:val="000000"/>
              </w:rPr>
            </w:pPr>
            <w:r>
              <w:rPr>
                <w:rFonts w:hint="eastAsia"/>
                <w:color w:val="000000"/>
              </w:rPr>
              <w:t>4</w:t>
            </w:r>
          </w:p>
        </w:tc>
        <w:tc>
          <w:tcPr>
            <w:tcW w:w="1230" w:type="dxa"/>
            <w:vAlign w:val="center"/>
          </w:tcPr>
          <w:p w14:paraId="7241674D">
            <w:pPr>
              <w:ind w:firstLine="482"/>
              <w:jc w:val="center"/>
              <w:rPr>
                <w:b/>
                <w:color w:val="000000"/>
              </w:rPr>
            </w:pPr>
          </w:p>
        </w:tc>
        <w:tc>
          <w:tcPr>
            <w:tcW w:w="1468" w:type="dxa"/>
            <w:gridSpan w:val="2"/>
            <w:vAlign w:val="center"/>
          </w:tcPr>
          <w:p w14:paraId="76594D28">
            <w:pPr>
              <w:ind w:firstLine="480"/>
              <w:jc w:val="center"/>
              <w:rPr>
                <w:color w:val="000000"/>
              </w:rPr>
            </w:pPr>
          </w:p>
        </w:tc>
        <w:tc>
          <w:tcPr>
            <w:tcW w:w="1414" w:type="dxa"/>
            <w:vAlign w:val="center"/>
          </w:tcPr>
          <w:p w14:paraId="4C422F0B">
            <w:pPr>
              <w:ind w:firstLine="480"/>
              <w:jc w:val="center"/>
              <w:rPr>
                <w:color w:val="000000"/>
              </w:rPr>
            </w:pPr>
          </w:p>
        </w:tc>
        <w:tc>
          <w:tcPr>
            <w:tcW w:w="1308" w:type="dxa"/>
            <w:vAlign w:val="center"/>
          </w:tcPr>
          <w:p w14:paraId="109C4065">
            <w:pPr>
              <w:ind w:firstLine="480"/>
              <w:jc w:val="center"/>
              <w:rPr>
                <w:color w:val="000000"/>
              </w:rPr>
            </w:pPr>
          </w:p>
        </w:tc>
        <w:tc>
          <w:tcPr>
            <w:tcW w:w="728" w:type="dxa"/>
            <w:vAlign w:val="center"/>
          </w:tcPr>
          <w:p w14:paraId="621AC14E">
            <w:pPr>
              <w:ind w:firstLine="480"/>
              <w:jc w:val="center"/>
              <w:rPr>
                <w:color w:val="000000"/>
              </w:rPr>
            </w:pPr>
          </w:p>
        </w:tc>
        <w:tc>
          <w:tcPr>
            <w:tcW w:w="739" w:type="dxa"/>
            <w:vAlign w:val="center"/>
          </w:tcPr>
          <w:p w14:paraId="34873E0A">
            <w:pPr>
              <w:ind w:firstLine="480"/>
              <w:jc w:val="center"/>
              <w:rPr>
                <w:color w:val="000000"/>
              </w:rPr>
            </w:pPr>
          </w:p>
        </w:tc>
        <w:tc>
          <w:tcPr>
            <w:tcW w:w="967" w:type="dxa"/>
            <w:vAlign w:val="center"/>
          </w:tcPr>
          <w:p w14:paraId="7C0EE65E">
            <w:pPr>
              <w:ind w:firstLine="480"/>
              <w:jc w:val="center"/>
              <w:rPr>
                <w:color w:val="000000"/>
              </w:rPr>
            </w:pPr>
          </w:p>
        </w:tc>
        <w:tc>
          <w:tcPr>
            <w:tcW w:w="615" w:type="dxa"/>
            <w:vAlign w:val="center"/>
          </w:tcPr>
          <w:p w14:paraId="7738A295">
            <w:pPr>
              <w:ind w:firstLine="480"/>
              <w:jc w:val="center"/>
              <w:rPr>
                <w:color w:val="000000"/>
              </w:rPr>
            </w:pPr>
          </w:p>
        </w:tc>
      </w:tr>
      <w:tr w14:paraId="06BD9A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4CAE16F1">
            <w:pPr>
              <w:ind w:firstLine="199" w:firstLineChars="83"/>
              <w:jc w:val="center"/>
              <w:rPr>
                <w:color w:val="000000"/>
              </w:rPr>
            </w:pPr>
            <w:r>
              <w:rPr>
                <w:rFonts w:hint="eastAsia"/>
                <w:color w:val="000000"/>
              </w:rPr>
              <w:t>5</w:t>
            </w:r>
          </w:p>
        </w:tc>
        <w:tc>
          <w:tcPr>
            <w:tcW w:w="1230" w:type="dxa"/>
            <w:vAlign w:val="center"/>
          </w:tcPr>
          <w:p w14:paraId="72C5AD9E">
            <w:pPr>
              <w:ind w:firstLine="482"/>
              <w:jc w:val="center"/>
              <w:rPr>
                <w:b/>
                <w:color w:val="000000"/>
              </w:rPr>
            </w:pPr>
          </w:p>
        </w:tc>
        <w:tc>
          <w:tcPr>
            <w:tcW w:w="1468" w:type="dxa"/>
            <w:gridSpan w:val="2"/>
            <w:vAlign w:val="center"/>
          </w:tcPr>
          <w:p w14:paraId="35C4AEFB">
            <w:pPr>
              <w:ind w:firstLine="480"/>
              <w:jc w:val="center"/>
              <w:rPr>
                <w:color w:val="000000"/>
              </w:rPr>
            </w:pPr>
          </w:p>
        </w:tc>
        <w:tc>
          <w:tcPr>
            <w:tcW w:w="1414" w:type="dxa"/>
            <w:vAlign w:val="center"/>
          </w:tcPr>
          <w:p w14:paraId="53499327">
            <w:pPr>
              <w:ind w:firstLine="480"/>
              <w:jc w:val="center"/>
              <w:rPr>
                <w:color w:val="000000"/>
              </w:rPr>
            </w:pPr>
          </w:p>
        </w:tc>
        <w:tc>
          <w:tcPr>
            <w:tcW w:w="1308" w:type="dxa"/>
            <w:vAlign w:val="center"/>
          </w:tcPr>
          <w:p w14:paraId="13EE2283">
            <w:pPr>
              <w:ind w:firstLine="480"/>
              <w:jc w:val="center"/>
              <w:rPr>
                <w:color w:val="000000"/>
              </w:rPr>
            </w:pPr>
          </w:p>
        </w:tc>
        <w:tc>
          <w:tcPr>
            <w:tcW w:w="728" w:type="dxa"/>
            <w:vAlign w:val="center"/>
          </w:tcPr>
          <w:p w14:paraId="2C6D9354">
            <w:pPr>
              <w:ind w:firstLine="480"/>
              <w:jc w:val="center"/>
              <w:rPr>
                <w:color w:val="000000"/>
              </w:rPr>
            </w:pPr>
          </w:p>
        </w:tc>
        <w:tc>
          <w:tcPr>
            <w:tcW w:w="739" w:type="dxa"/>
            <w:vAlign w:val="center"/>
          </w:tcPr>
          <w:p w14:paraId="68BE851A">
            <w:pPr>
              <w:ind w:firstLine="480"/>
              <w:jc w:val="center"/>
              <w:rPr>
                <w:color w:val="000000"/>
              </w:rPr>
            </w:pPr>
          </w:p>
        </w:tc>
        <w:tc>
          <w:tcPr>
            <w:tcW w:w="967" w:type="dxa"/>
            <w:vAlign w:val="center"/>
          </w:tcPr>
          <w:p w14:paraId="5697DE52">
            <w:pPr>
              <w:ind w:firstLine="480"/>
              <w:jc w:val="center"/>
              <w:rPr>
                <w:color w:val="000000"/>
              </w:rPr>
            </w:pPr>
          </w:p>
        </w:tc>
        <w:tc>
          <w:tcPr>
            <w:tcW w:w="615" w:type="dxa"/>
            <w:vAlign w:val="center"/>
          </w:tcPr>
          <w:p w14:paraId="7AFDB0CD">
            <w:pPr>
              <w:ind w:firstLine="480"/>
              <w:jc w:val="center"/>
              <w:rPr>
                <w:color w:val="000000"/>
              </w:rPr>
            </w:pPr>
          </w:p>
        </w:tc>
      </w:tr>
      <w:tr w14:paraId="021E0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3933181C">
            <w:pPr>
              <w:ind w:firstLine="199" w:firstLineChars="83"/>
              <w:jc w:val="center"/>
              <w:rPr>
                <w:color w:val="000000"/>
              </w:rPr>
            </w:pPr>
            <w:r>
              <w:rPr>
                <w:rFonts w:hint="eastAsia"/>
                <w:color w:val="000000"/>
              </w:rPr>
              <w:t>6</w:t>
            </w:r>
          </w:p>
        </w:tc>
        <w:tc>
          <w:tcPr>
            <w:tcW w:w="1230" w:type="dxa"/>
            <w:vAlign w:val="center"/>
          </w:tcPr>
          <w:p w14:paraId="0A7DB4C3">
            <w:pPr>
              <w:ind w:firstLine="482"/>
              <w:jc w:val="center"/>
              <w:rPr>
                <w:b/>
                <w:color w:val="000000"/>
              </w:rPr>
            </w:pPr>
          </w:p>
        </w:tc>
        <w:tc>
          <w:tcPr>
            <w:tcW w:w="1468" w:type="dxa"/>
            <w:gridSpan w:val="2"/>
            <w:vAlign w:val="center"/>
          </w:tcPr>
          <w:p w14:paraId="1924BFA1">
            <w:pPr>
              <w:ind w:firstLine="480"/>
              <w:jc w:val="center"/>
              <w:rPr>
                <w:color w:val="000000"/>
              </w:rPr>
            </w:pPr>
          </w:p>
        </w:tc>
        <w:tc>
          <w:tcPr>
            <w:tcW w:w="1414" w:type="dxa"/>
            <w:vAlign w:val="center"/>
          </w:tcPr>
          <w:p w14:paraId="241E967B">
            <w:pPr>
              <w:ind w:firstLine="480"/>
              <w:jc w:val="center"/>
              <w:rPr>
                <w:color w:val="000000"/>
              </w:rPr>
            </w:pPr>
          </w:p>
        </w:tc>
        <w:tc>
          <w:tcPr>
            <w:tcW w:w="1308" w:type="dxa"/>
            <w:vAlign w:val="center"/>
          </w:tcPr>
          <w:p w14:paraId="3250885D">
            <w:pPr>
              <w:ind w:firstLine="480"/>
              <w:jc w:val="center"/>
              <w:rPr>
                <w:color w:val="000000"/>
              </w:rPr>
            </w:pPr>
          </w:p>
        </w:tc>
        <w:tc>
          <w:tcPr>
            <w:tcW w:w="728" w:type="dxa"/>
            <w:vAlign w:val="center"/>
          </w:tcPr>
          <w:p w14:paraId="52DF4EBD">
            <w:pPr>
              <w:ind w:firstLine="480"/>
              <w:jc w:val="center"/>
              <w:rPr>
                <w:color w:val="000000"/>
              </w:rPr>
            </w:pPr>
          </w:p>
        </w:tc>
        <w:tc>
          <w:tcPr>
            <w:tcW w:w="739" w:type="dxa"/>
            <w:vAlign w:val="center"/>
          </w:tcPr>
          <w:p w14:paraId="5F8EF1B5">
            <w:pPr>
              <w:ind w:firstLine="480"/>
              <w:jc w:val="center"/>
              <w:rPr>
                <w:color w:val="000000"/>
              </w:rPr>
            </w:pPr>
          </w:p>
        </w:tc>
        <w:tc>
          <w:tcPr>
            <w:tcW w:w="967" w:type="dxa"/>
            <w:vAlign w:val="center"/>
          </w:tcPr>
          <w:p w14:paraId="4047F9D5">
            <w:pPr>
              <w:ind w:firstLine="480"/>
              <w:jc w:val="center"/>
              <w:rPr>
                <w:color w:val="000000"/>
              </w:rPr>
            </w:pPr>
          </w:p>
        </w:tc>
        <w:tc>
          <w:tcPr>
            <w:tcW w:w="615" w:type="dxa"/>
            <w:vAlign w:val="center"/>
          </w:tcPr>
          <w:p w14:paraId="0BF13D32">
            <w:pPr>
              <w:ind w:firstLine="480"/>
              <w:jc w:val="center"/>
              <w:rPr>
                <w:color w:val="000000"/>
              </w:rPr>
            </w:pPr>
          </w:p>
        </w:tc>
      </w:tr>
      <w:tr w14:paraId="17A3D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717" w:type="dxa"/>
            <w:vAlign w:val="center"/>
          </w:tcPr>
          <w:p w14:paraId="7B5CA679">
            <w:pPr>
              <w:ind w:firstLine="199" w:firstLineChars="83"/>
              <w:jc w:val="center"/>
              <w:rPr>
                <w:color w:val="000000"/>
              </w:rPr>
            </w:pPr>
            <w:r>
              <w:rPr>
                <w:rFonts w:hint="eastAsia"/>
                <w:color w:val="000000"/>
              </w:rPr>
              <w:t>....</w:t>
            </w:r>
          </w:p>
        </w:tc>
        <w:tc>
          <w:tcPr>
            <w:tcW w:w="1230" w:type="dxa"/>
            <w:vAlign w:val="center"/>
          </w:tcPr>
          <w:p w14:paraId="05FDA1B8">
            <w:pPr>
              <w:ind w:firstLine="482"/>
              <w:jc w:val="center"/>
              <w:rPr>
                <w:b/>
                <w:color w:val="000000"/>
              </w:rPr>
            </w:pPr>
          </w:p>
        </w:tc>
        <w:tc>
          <w:tcPr>
            <w:tcW w:w="1468" w:type="dxa"/>
            <w:gridSpan w:val="2"/>
            <w:vAlign w:val="center"/>
          </w:tcPr>
          <w:p w14:paraId="0D641EEF">
            <w:pPr>
              <w:ind w:firstLine="480"/>
              <w:jc w:val="center"/>
              <w:rPr>
                <w:color w:val="000000"/>
              </w:rPr>
            </w:pPr>
          </w:p>
        </w:tc>
        <w:tc>
          <w:tcPr>
            <w:tcW w:w="1414" w:type="dxa"/>
            <w:vAlign w:val="center"/>
          </w:tcPr>
          <w:p w14:paraId="6B13F2F2">
            <w:pPr>
              <w:ind w:firstLine="480"/>
              <w:jc w:val="center"/>
              <w:rPr>
                <w:color w:val="000000"/>
              </w:rPr>
            </w:pPr>
          </w:p>
        </w:tc>
        <w:tc>
          <w:tcPr>
            <w:tcW w:w="1308" w:type="dxa"/>
            <w:vAlign w:val="center"/>
          </w:tcPr>
          <w:p w14:paraId="6F248575">
            <w:pPr>
              <w:ind w:firstLine="480"/>
              <w:jc w:val="center"/>
              <w:rPr>
                <w:color w:val="000000"/>
              </w:rPr>
            </w:pPr>
          </w:p>
        </w:tc>
        <w:tc>
          <w:tcPr>
            <w:tcW w:w="728" w:type="dxa"/>
            <w:vAlign w:val="center"/>
          </w:tcPr>
          <w:p w14:paraId="7DBE3B2D">
            <w:pPr>
              <w:ind w:firstLine="480"/>
              <w:jc w:val="center"/>
              <w:rPr>
                <w:color w:val="000000"/>
              </w:rPr>
            </w:pPr>
          </w:p>
        </w:tc>
        <w:tc>
          <w:tcPr>
            <w:tcW w:w="739" w:type="dxa"/>
            <w:vAlign w:val="center"/>
          </w:tcPr>
          <w:p w14:paraId="08D04BEE">
            <w:pPr>
              <w:ind w:firstLine="480"/>
              <w:jc w:val="center"/>
              <w:rPr>
                <w:color w:val="000000"/>
              </w:rPr>
            </w:pPr>
          </w:p>
        </w:tc>
        <w:tc>
          <w:tcPr>
            <w:tcW w:w="967" w:type="dxa"/>
            <w:vAlign w:val="center"/>
          </w:tcPr>
          <w:p w14:paraId="384DCCBB">
            <w:pPr>
              <w:ind w:firstLine="480"/>
              <w:jc w:val="center"/>
              <w:rPr>
                <w:color w:val="000000"/>
              </w:rPr>
            </w:pPr>
          </w:p>
        </w:tc>
        <w:tc>
          <w:tcPr>
            <w:tcW w:w="615" w:type="dxa"/>
            <w:vAlign w:val="center"/>
          </w:tcPr>
          <w:p w14:paraId="2B57A3F2">
            <w:pPr>
              <w:ind w:firstLine="480"/>
              <w:jc w:val="center"/>
              <w:rPr>
                <w:color w:val="000000"/>
              </w:rPr>
            </w:pPr>
          </w:p>
        </w:tc>
      </w:tr>
      <w:tr w14:paraId="740C9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6865" w:type="dxa"/>
            <w:gridSpan w:val="7"/>
            <w:vAlign w:val="center"/>
          </w:tcPr>
          <w:p w14:paraId="26BF0FE8">
            <w:pPr>
              <w:ind w:firstLine="480"/>
              <w:rPr>
                <w:color w:val="000000"/>
              </w:rPr>
            </w:pPr>
            <w:r>
              <w:rPr>
                <w:rFonts w:hint="eastAsia"/>
                <w:color w:val="000000"/>
              </w:rPr>
              <w:t>合计：</w:t>
            </w:r>
          </w:p>
        </w:tc>
        <w:tc>
          <w:tcPr>
            <w:tcW w:w="2321" w:type="dxa"/>
            <w:gridSpan w:val="3"/>
            <w:vAlign w:val="center"/>
          </w:tcPr>
          <w:p w14:paraId="190C4B77">
            <w:pPr>
              <w:ind w:firstLine="480"/>
              <w:jc w:val="center"/>
              <w:rPr>
                <w:color w:val="000000"/>
              </w:rPr>
            </w:pPr>
          </w:p>
        </w:tc>
      </w:tr>
      <w:tr w14:paraId="158C9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04" w:hRule="atLeast"/>
        </w:trPr>
        <w:tc>
          <w:tcPr>
            <w:tcW w:w="9186" w:type="dxa"/>
            <w:gridSpan w:val="10"/>
            <w:vAlign w:val="center"/>
          </w:tcPr>
          <w:p w14:paraId="2ACF3790">
            <w:pPr>
              <w:adjustRightInd w:val="0"/>
              <w:ind w:firstLine="482"/>
              <w:textAlignment w:val="baseline"/>
              <w:rPr>
                <w:b/>
                <w:color w:val="000000"/>
              </w:rPr>
            </w:pPr>
            <w:r>
              <w:rPr>
                <w:b/>
                <w:color w:val="000000"/>
              </w:rPr>
              <w:t>优惠承诺及其他：</w:t>
            </w:r>
          </w:p>
          <w:p w14:paraId="4FA71668">
            <w:pPr>
              <w:ind w:firstLine="482"/>
              <w:rPr>
                <w:b/>
                <w:color w:val="000000"/>
              </w:rPr>
            </w:pPr>
          </w:p>
        </w:tc>
      </w:tr>
      <w:tr w14:paraId="3F51DB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7" w:hRule="atLeast"/>
        </w:trPr>
        <w:tc>
          <w:tcPr>
            <w:tcW w:w="2575" w:type="dxa"/>
            <w:gridSpan w:val="3"/>
            <w:vAlign w:val="center"/>
          </w:tcPr>
          <w:p w14:paraId="371DEA8D">
            <w:pPr>
              <w:ind w:firstLine="482"/>
              <w:rPr>
                <w:b/>
                <w:color w:val="000000"/>
              </w:rPr>
            </w:pPr>
            <w:r>
              <w:rPr>
                <w:b/>
                <w:color w:val="000000"/>
              </w:rPr>
              <w:t>投标总价</w:t>
            </w:r>
          </w:p>
        </w:tc>
        <w:tc>
          <w:tcPr>
            <w:tcW w:w="6611" w:type="dxa"/>
            <w:gridSpan w:val="7"/>
            <w:vAlign w:val="center"/>
          </w:tcPr>
          <w:p w14:paraId="5C9FA3F0">
            <w:pPr>
              <w:ind w:firstLine="482"/>
              <w:rPr>
                <w:b/>
                <w:color w:val="000000"/>
              </w:rPr>
            </w:pPr>
            <w:r>
              <w:rPr>
                <w:b/>
                <w:color w:val="000000"/>
              </w:rPr>
              <w:t>大写：                      小写：</w:t>
            </w:r>
          </w:p>
        </w:tc>
      </w:tr>
    </w:tbl>
    <w:p w14:paraId="2DB849E1">
      <w:pPr>
        <w:autoSpaceDE w:val="0"/>
        <w:autoSpaceDN w:val="0"/>
        <w:adjustRightInd w:val="0"/>
        <w:ind w:firstLine="480"/>
        <w:rPr>
          <w:rFonts w:ascii="宋体" w:hAnsi="宋体" w:cs="宋体"/>
          <w:color w:val="000000"/>
          <w:lang w:val="zh-CN"/>
        </w:rPr>
      </w:pP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r>
        <w:rPr>
          <w:rFonts w:hint="eastAsia" w:ascii="宋体" w:hAnsi="宋体" w:cs="宋体"/>
          <w:color w:val="000000"/>
          <w:lang w:val="zh-CN"/>
        </w:rPr>
        <w:tab/>
      </w:r>
    </w:p>
    <w:p w14:paraId="1D32472A">
      <w:pPr>
        <w:spacing w:line="360" w:lineRule="auto"/>
        <w:rPr>
          <w:rFonts w:ascii="宋体" w:hAnsi="宋体"/>
          <w:color w:val="000000"/>
          <w:szCs w:val="20"/>
          <w:lang w:val="zh-CN"/>
        </w:rPr>
      </w:pPr>
      <w:r>
        <w:rPr>
          <w:rFonts w:hint="eastAsia" w:ascii="宋体" w:hAnsi="宋体" w:cs="宋体"/>
          <w:color w:val="000000"/>
          <w:lang w:val="zh-CN"/>
        </w:rPr>
        <w:t>注：</w:t>
      </w:r>
      <w:r>
        <w:rPr>
          <w:rFonts w:hint="eastAsia" w:ascii="宋体" w:hAnsi="宋体" w:cs="宋体"/>
          <w:color w:val="000000"/>
        </w:rPr>
        <w:t>1.</w:t>
      </w:r>
      <w:r>
        <w:rPr>
          <w:rFonts w:hint="eastAsia" w:ascii="宋体" w:hAnsi="宋体" w:cs="宋体"/>
          <w:color w:val="000000"/>
          <w:lang w:val="zh-CN"/>
        </w:rPr>
        <w:t>本表应依照每包采购一览表中的产品序号按顺序逐项填写，不得遗漏，</w:t>
      </w:r>
      <w:r>
        <w:rPr>
          <w:rFonts w:hint="eastAsia" w:ascii="宋体" w:hAnsi="宋体"/>
          <w:color w:val="000000"/>
        </w:rPr>
        <w:t>否则</w:t>
      </w:r>
      <w:r>
        <w:rPr>
          <w:rFonts w:hint="eastAsia" w:ascii="宋体" w:hAnsi="宋体"/>
          <w:color w:val="000000"/>
          <w:szCs w:val="20"/>
        </w:rPr>
        <w:t>，按无效投标处理</w:t>
      </w:r>
      <w:r>
        <w:rPr>
          <w:rFonts w:hint="eastAsia" w:ascii="宋体" w:hAnsi="宋体"/>
          <w:color w:val="000000"/>
          <w:szCs w:val="20"/>
          <w:lang w:val="zh-CN"/>
        </w:rPr>
        <w:t>。</w:t>
      </w:r>
    </w:p>
    <w:p w14:paraId="4E007F56">
      <w:pPr>
        <w:spacing w:line="360" w:lineRule="auto"/>
        <w:ind w:firstLine="480" w:firstLineChars="200"/>
        <w:rPr>
          <w:rFonts w:ascii="宋体" w:hAnsi="宋体"/>
          <w:color w:val="000000"/>
          <w:szCs w:val="20"/>
          <w:lang w:val="zh-CN"/>
        </w:rPr>
      </w:pPr>
      <w:r>
        <w:rPr>
          <w:rFonts w:hint="eastAsia" w:ascii="宋体" w:hAnsi="宋体"/>
          <w:color w:val="000000"/>
          <w:szCs w:val="20"/>
        </w:rPr>
        <w:t>2.</w:t>
      </w:r>
      <w:r>
        <w:rPr>
          <w:rFonts w:hint="eastAsia" w:ascii="宋体" w:hAnsi="宋体"/>
          <w:color w:val="000000"/>
          <w:szCs w:val="20"/>
          <w:lang w:val="zh-CN"/>
        </w:rPr>
        <w:t>投标报价不能有两个或两个以上的报价方案。</w:t>
      </w:r>
    </w:p>
    <w:p w14:paraId="47158DDE">
      <w:pPr>
        <w:spacing w:line="360" w:lineRule="auto"/>
        <w:ind w:firstLine="480" w:firstLineChars="200"/>
        <w:rPr>
          <w:rFonts w:ascii="宋体" w:hAnsi="宋体"/>
          <w:color w:val="000000"/>
          <w:szCs w:val="20"/>
          <w:lang w:val="zh-CN"/>
        </w:rPr>
      </w:pPr>
      <w:r>
        <w:rPr>
          <w:rFonts w:hint="eastAsia" w:ascii="宋体" w:hAnsi="宋体"/>
          <w:color w:val="000000"/>
          <w:szCs w:val="20"/>
        </w:rPr>
        <w:t>3.</w:t>
      </w:r>
      <w:r>
        <w:rPr>
          <w:rFonts w:hint="eastAsia" w:ascii="宋体" w:hAnsi="宋体"/>
          <w:color w:val="000000"/>
          <w:szCs w:val="20"/>
          <w:lang w:val="zh-CN"/>
        </w:rPr>
        <w:t>行数不够可自行添加。</w:t>
      </w:r>
    </w:p>
    <w:p w14:paraId="2BFDB390">
      <w:pPr>
        <w:spacing w:line="360" w:lineRule="auto"/>
        <w:rPr>
          <w:rFonts w:ascii="宋体" w:hAnsi="宋体" w:cs="宋体"/>
          <w:color w:val="000000"/>
          <w:lang w:val="zh-CN"/>
        </w:rPr>
      </w:pPr>
    </w:p>
    <w:p w14:paraId="450F9653">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28B55625">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5270BD16">
      <w:pPr>
        <w:jc w:val="center"/>
        <w:rPr>
          <w:rFonts w:ascii="宋体" w:hAnsi="宋体" w:cs="宋体"/>
          <w:b/>
          <w:bCs/>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0CB22B7C">
      <w:pPr>
        <w:rPr>
          <w:rFonts w:ascii="宋体" w:hAnsi="宋体" w:cs="宋体"/>
          <w:b/>
          <w:bCs/>
          <w:color w:val="000000"/>
          <w:lang w:val="zh-CN"/>
        </w:rPr>
      </w:pPr>
    </w:p>
    <w:p w14:paraId="1F7EF666">
      <w:pPr>
        <w:pStyle w:val="235"/>
        <w:spacing w:before="0" w:after="0" w:line="360" w:lineRule="auto"/>
        <w:jc w:val="left"/>
        <w:outlineLvl w:val="1"/>
        <w:rPr>
          <w:rFonts w:ascii="宋体" w:hAnsi="宋体" w:cs="宋体"/>
          <w:color w:val="000000"/>
        </w:rPr>
      </w:pPr>
      <w:r>
        <w:rPr>
          <w:rFonts w:hint="eastAsia" w:ascii="宋体" w:hAnsi="宋体" w:cs="宋体"/>
          <w:color w:val="000000"/>
          <w:sz w:val="30"/>
          <w:szCs w:val="30"/>
          <w:lang w:val="zh-CN"/>
        </w:rPr>
        <w:br w:type="page" w:clear="all"/>
      </w:r>
      <w:bookmarkStart w:id="78" w:name="_Toc515908223"/>
      <w:bookmarkStart w:id="79" w:name="_Toc9588"/>
      <w:r>
        <w:rPr>
          <w:rFonts w:hint="eastAsia" w:ascii="宋体" w:hAnsi="宋体" w:cs="宋体"/>
          <w:color w:val="000000"/>
          <w:sz w:val="30"/>
          <w:szCs w:val="30"/>
        </w:rPr>
        <w:t>（13）</w:t>
      </w:r>
      <w:r>
        <w:rPr>
          <w:rFonts w:hint="eastAsia" w:ascii="宋体" w:hAnsi="宋体" w:cs="宋体"/>
          <w:color w:val="000000"/>
          <w:sz w:val="30"/>
          <w:szCs w:val="30"/>
          <w:lang w:val="zh-CN"/>
        </w:rPr>
        <w:t>技术规格响应表</w:t>
      </w:r>
      <w:bookmarkEnd w:id="77"/>
      <w:bookmarkEnd w:id="78"/>
    </w:p>
    <w:p w14:paraId="35C0798D">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技术规格响应表</w:t>
      </w:r>
    </w:p>
    <w:p w14:paraId="6E1E3ACE">
      <w:pPr>
        <w:spacing w:line="360" w:lineRule="auto"/>
        <w:rPr>
          <w:rFonts w:ascii="宋体" w:hAnsi="宋体" w:cs="宋体"/>
          <w:b/>
          <w:bCs/>
          <w:color w:val="000000"/>
          <w:lang w:val="zh-CN"/>
        </w:rPr>
      </w:pPr>
      <w:r>
        <w:rPr>
          <w:rFonts w:hint="eastAsia" w:ascii="宋体" w:hAnsi="宋体" w:cs="宋体"/>
          <w:b/>
          <w:bCs/>
          <w:color w:val="000000"/>
          <w:lang w:val="zh-CN"/>
        </w:rPr>
        <w:t>投标人名称</w:t>
      </w:r>
      <w:r>
        <w:rPr>
          <w:rFonts w:hint="eastAsia" w:ascii="宋体" w:hAnsi="宋体" w:cs="宋体"/>
          <w:b/>
          <w:bCs/>
          <w:color w:val="000000"/>
        </w:rPr>
        <w:t xml:space="preserve">：                                              </w:t>
      </w:r>
      <w:r>
        <w:rPr>
          <w:rFonts w:hint="eastAsia" w:ascii="宋体" w:hAnsi="宋体" w:cs="宋体"/>
          <w:b/>
          <w:bCs/>
          <w:color w:val="000000"/>
          <w:lang w:val="zh-CN"/>
        </w:rPr>
        <w:t>包号：</w:t>
      </w:r>
    </w:p>
    <w:tbl>
      <w:tblPr>
        <w:tblStyle w:val="31"/>
        <w:tblW w:w="9267" w:type="dxa"/>
        <w:jc w:val="center"/>
        <w:tblLayout w:type="fixed"/>
        <w:tblCellMar>
          <w:top w:w="0" w:type="dxa"/>
          <w:left w:w="28" w:type="dxa"/>
          <w:bottom w:w="0" w:type="dxa"/>
          <w:right w:w="28" w:type="dxa"/>
        </w:tblCellMar>
      </w:tblPr>
      <w:tblGrid>
        <w:gridCol w:w="616"/>
        <w:gridCol w:w="1233"/>
        <w:gridCol w:w="2378"/>
        <w:gridCol w:w="1247"/>
        <w:gridCol w:w="3083"/>
        <w:gridCol w:w="710"/>
      </w:tblGrid>
      <w:tr w14:paraId="1974BB55">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0838A41">
            <w:pPr>
              <w:spacing w:line="360" w:lineRule="auto"/>
              <w:jc w:val="center"/>
              <w:rPr>
                <w:rFonts w:ascii="宋体" w:hAnsi="宋体" w:cs="宋体"/>
                <w:color w:val="000000"/>
                <w:lang w:val="zh-CN"/>
              </w:rPr>
            </w:pPr>
          </w:p>
        </w:tc>
        <w:tc>
          <w:tcPr>
            <w:tcW w:w="3611" w:type="dxa"/>
            <w:gridSpan w:val="2"/>
            <w:tcBorders>
              <w:top w:val="single" w:color="000000" w:sz="6" w:space="0"/>
              <w:left w:val="single" w:color="000000" w:sz="6" w:space="0"/>
              <w:bottom w:val="single" w:color="000000" w:sz="6" w:space="0"/>
              <w:right w:val="single" w:color="000000" w:sz="6" w:space="0"/>
            </w:tcBorders>
            <w:vAlign w:val="center"/>
          </w:tcPr>
          <w:p w14:paraId="745A79A4">
            <w:pPr>
              <w:spacing w:line="360" w:lineRule="auto"/>
              <w:jc w:val="center"/>
              <w:rPr>
                <w:rFonts w:ascii="宋体" w:hAnsi="宋体" w:cs="宋体"/>
                <w:color w:val="000000"/>
                <w:lang w:val="zh-CN"/>
              </w:rPr>
            </w:pPr>
            <w:r>
              <w:rPr>
                <w:rFonts w:hint="eastAsia" w:ascii="宋体" w:hAnsi="宋体" w:cs="宋体"/>
                <w:color w:val="000000"/>
                <w:lang w:val="zh-CN"/>
              </w:rPr>
              <w:t>采购需求技术参数、指标</w:t>
            </w:r>
          </w:p>
        </w:tc>
        <w:tc>
          <w:tcPr>
            <w:tcW w:w="4330" w:type="dxa"/>
            <w:gridSpan w:val="2"/>
            <w:tcBorders>
              <w:top w:val="single" w:color="000000" w:sz="6" w:space="0"/>
              <w:left w:val="single" w:color="000000" w:sz="6" w:space="0"/>
              <w:bottom w:val="single" w:color="000000" w:sz="6" w:space="0"/>
              <w:right w:val="single" w:color="000000" w:sz="6" w:space="0"/>
            </w:tcBorders>
            <w:vAlign w:val="center"/>
          </w:tcPr>
          <w:p w14:paraId="047D956A">
            <w:pPr>
              <w:spacing w:line="360" w:lineRule="auto"/>
              <w:jc w:val="center"/>
              <w:rPr>
                <w:rFonts w:ascii="宋体" w:hAnsi="宋体" w:cs="宋体"/>
                <w:color w:val="000000"/>
                <w:lang w:val="zh-CN"/>
              </w:rPr>
            </w:pPr>
            <w:r>
              <w:rPr>
                <w:rFonts w:hint="eastAsia" w:ascii="宋体" w:hAnsi="宋体" w:cs="宋体"/>
                <w:color w:val="000000"/>
                <w:lang w:val="zh-CN"/>
              </w:rPr>
              <w:t>投标产品技术参数、指标</w:t>
            </w:r>
          </w:p>
        </w:tc>
        <w:tc>
          <w:tcPr>
            <w:tcW w:w="710" w:type="dxa"/>
            <w:tcBorders>
              <w:top w:val="single" w:color="000000" w:sz="6" w:space="0"/>
              <w:left w:val="single" w:color="000000" w:sz="6" w:space="0"/>
              <w:bottom w:val="single" w:color="000000" w:sz="6" w:space="0"/>
              <w:right w:val="single" w:color="000000" w:sz="6" w:space="0"/>
            </w:tcBorders>
            <w:vAlign w:val="center"/>
          </w:tcPr>
          <w:p w14:paraId="13C8A6CE">
            <w:pPr>
              <w:spacing w:line="360" w:lineRule="auto"/>
              <w:jc w:val="center"/>
              <w:rPr>
                <w:rFonts w:ascii="宋体" w:hAnsi="宋体" w:cs="宋体"/>
                <w:color w:val="000000"/>
                <w:lang w:val="zh-CN"/>
              </w:rPr>
            </w:pPr>
            <w:r>
              <w:rPr>
                <w:rFonts w:hint="eastAsia" w:ascii="宋体" w:hAnsi="宋体" w:cs="宋体"/>
                <w:color w:val="000000"/>
                <w:lang w:val="zh-CN"/>
              </w:rPr>
              <w:t>参数偏离</w:t>
            </w:r>
          </w:p>
        </w:tc>
      </w:tr>
      <w:tr w14:paraId="3AB200DB">
        <w:tblPrEx>
          <w:tblCellMar>
            <w:top w:w="0" w:type="dxa"/>
            <w:left w:w="28" w:type="dxa"/>
            <w:bottom w:w="0" w:type="dxa"/>
            <w:right w:w="28" w:type="dxa"/>
          </w:tblCellMar>
        </w:tblPrEx>
        <w:trPr>
          <w:trHeight w:val="79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BD8FD7A">
            <w:pPr>
              <w:spacing w:line="360" w:lineRule="auto"/>
              <w:jc w:val="center"/>
              <w:rPr>
                <w:rFonts w:ascii="宋体" w:hAnsi="宋体" w:cs="宋体"/>
                <w:color w:val="000000"/>
                <w:lang w:val="zh-CN"/>
              </w:rPr>
            </w:pPr>
            <w:r>
              <w:rPr>
                <w:rFonts w:hint="eastAsia" w:ascii="宋体" w:hAnsi="宋体" w:cs="宋体"/>
                <w:color w:val="00000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62E4DA09">
            <w:pPr>
              <w:spacing w:line="360" w:lineRule="auto"/>
              <w:jc w:val="center"/>
              <w:rPr>
                <w:rFonts w:ascii="宋体" w:hAnsi="宋体" w:cs="宋体"/>
                <w:color w:val="000000"/>
                <w:lang w:val="zh-CN"/>
              </w:rPr>
            </w:pPr>
            <w:r>
              <w:rPr>
                <w:rFonts w:hint="eastAsia" w:ascii="宋体" w:hAnsi="宋体" w:cs="宋体"/>
                <w:color w:val="000000"/>
                <w:lang w:val="zh-CN"/>
              </w:rPr>
              <w:t>名称</w:t>
            </w:r>
          </w:p>
        </w:tc>
        <w:tc>
          <w:tcPr>
            <w:tcW w:w="2378" w:type="dxa"/>
            <w:tcBorders>
              <w:top w:val="single" w:color="000000" w:sz="6" w:space="0"/>
              <w:left w:val="single" w:color="000000" w:sz="6" w:space="0"/>
              <w:bottom w:val="single" w:color="000000" w:sz="6" w:space="0"/>
              <w:right w:val="single" w:color="000000" w:sz="6" w:space="0"/>
            </w:tcBorders>
            <w:vAlign w:val="center"/>
          </w:tcPr>
          <w:p w14:paraId="361B0069">
            <w:pPr>
              <w:spacing w:line="360" w:lineRule="auto"/>
              <w:jc w:val="center"/>
              <w:rPr>
                <w:rFonts w:ascii="宋体" w:hAnsi="宋体" w:cs="宋体"/>
                <w:color w:val="000000"/>
                <w:lang w:val="zh-CN"/>
              </w:rPr>
            </w:pPr>
            <w:r>
              <w:rPr>
                <w:rFonts w:hint="eastAsia" w:ascii="宋体" w:hAnsi="宋体" w:cs="宋体"/>
                <w:color w:val="000000"/>
                <w:lang w:val="zh-CN"/>
              </w:rPr>
              <w:t>技术参数及配置</w:t>
            </w:r>
          </w:p>
        </w:tc>
        <w:tc>
          <w:tcPr>
            <w:tcW w:w="1247" w:type="dxa"/>
            <w:tcBorders>
              <w:top w:val="single" w:color="000000" w:sz="6" w:space="0"/>
              <w:left w:val="single" w:color="000000" w:sz="6" w:space="0"/>
              <w:bottom w:val="single" w:color="000000" w:sz="6" w:space="0"/>
              <w:right w:val="single" w:color="000000" w:sz="6" w:space="0"/>
            </w:tcBorders>
            <w:vAlign w:val="center"/>
          </w:tcPr>
          <w:p w14:paraId="0A3FFB7E">
            <w:pPr>
              <w:spacing w:line="360" w:lineRule="auto"/>
              <w:jc w:val="center"/>
              <w:rPr>
                <w:rFonts w:ascii="宋体" w:hAnsi="宋体" w:cs="宋体"/>
                <w:color w:val="000000"/>
                <w:lang w:val="zh-CN"/>
              </w:rPr>
            </w:pPr>
            <w:r>
              <w:rPr>
                <w:rFonts w:hint="eastAsia" w:ascii="宋体" w:hAnsi="宋体" w:cs="宋体"/>
                <w:color w:val="000000"/>
                <w:lang w:val="zh-CN"/>
              </w:rPr>
              <w:t>名称</w:t>
            </w:r>
          </w:p>
        </w:tc>
        <w:tc>
          <w:tcPr>
            <w:tcW w:w="3083" w:type="dxa"/>
            <w:tcBorders>
              <w:top w:val="single" w:color="000000" w:sz="6" w:space="0"/>
              <w:left w:val="single" w:color="000000" w:sz="6" w:space="0"/>
              <w:bottom w:val="single" w:color="000000" w:sz="6" w:space="0"/>
              <w:right w:val="single" w:color="000000" w:sz="6" w:space="0"/>
            </w:tcBorders>
            <w:vAlign w:val="center"/>
          </w:tcPr>
          <w:p w14:paraId="2D7FB7B1">
            <w:pPr>
              <w:spacing w:line="360" w:lineRule="auto"/>
              <w:jc w:val="center"/>
              <w:rPr>
                <w:rFonts w:ascii="宋体" w:hAnsi="宋体" w:cs="宋体"/>
                <w:color w:val="000000"/>
                <w:lang w:val="zh-CN"/>
              </w:rPr>
            </w:pPr>
            <w:r>
              <w:rPr>
                <w:rFonts w:hint="eastAsia" w:ascii="宋体" w:hAnsi="宋体" w:cs="宋体"/>
                <w:color w:val="000000"/>
                <w:lang w:val="zh-CN"/>
              </w:rPr>
              <w:t>技术参数及配置</w:t>
            </w:r>
          </w:p>
        </w:tc>
        <w:tc>
          <w:tcPr>
            <w:tcW w:w="710" w:type="dxa"/>
            <w:tcBorders>
              <w:top w:val="single" w:color="000000" w:sz="6" w:space="0"/>
              <w:left w:val="single" w:color="000000" w:sz="6" w:space="0"/>
              <w:bottom w:val="single" w:color="000000" w:sz="6" w:space="0"/>
              <w:right w:val="single" w:color="000000" w:sz="6" w:space="0"/>
            </w:tcBorders>
            <w:vAlign w:val="center"/>
          </w:tcPr>
          <w:p w14:paraId="5BA8E62F">
            <w:pPr>
              <w:spacing w:line="360" w:lineRule="auto"/>
              <w:jc w:val="center"/>
              <w:rPr>
                <w:rFonts w:ascii="宋体" w:hAnsi="宋体" w:cs="宋体"/>
                <w:color w:val="000000"/>
                <w:lang w:val="zh-CN"/>
              </w:rPr>
            </w:pPr>
          </w:p>
        </w:tc>
      </w:tr>
      <w:tr w14:paraId="74A9C101">
        <w:tblPrEx>
          <w:tblCellMar>
            <w:top w:w="0" w:type="dxa"/>
            <w:left w:w="28" w:type="dxa"/>
            <w:bottom w:w="0" w:type="dxa"/>
            <w:right w:w="28" w:type="dxa"/>
          </w:tblCellMar>
        </w:tblPrEx>
        <w:trPr>
          <w:trHeight w:val="34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7D26A3DB">
            <w:pPr>
              <w:spacing w:line="360" w:lineRule="auto"/>
              <w:jc w:val="center"/>
              <w:rPr>
                <w:rFonts w:ascii="宋体" w:hAnsi="宋体" w:cs="宋体"/>
                <w:color w:val="000000"/>
                <w:lang w:val="zh-CN"/>
              </w:rPr>
            </w:pPr>
            <w:r>
              <w:rPr>
                <w:rFonts w:hint="eastAsia" w:ascii="宋体" w:hAnsi="宋体" w:cs="宋体"/>
                <w:color w:val="00000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5B8DF4B8">
            <w:pPr>
              <w:spacing w:line="360" w:lineRule="auto"/>
              <w:jc w:val="center"/>
              <w:rPr>
                <w:rFonts w:ascii="宋体" w:hAnsi="宋体" w:cs="宋体"/>
                <w:color w:val="00000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6E4B77A9">
            <w:pPr>
              <w:spacing w:line="360" w:lineRule="auto"/>
              <w:jc w:val="center"/>
              <w:rPr>
                <w:rFonts w:ascii="宋体" w:hAnsi="宋体" w:cs="宋体"/>
                <w:color w:val="00000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31E71E1E">
            <w:pPr>
              <w:spacing w:line="360" w:lineRule="auto"/>
              <w:jc w:val="center"/>
              <w:rPr>
                <w:rFonts w:ascii="宋体" w:hAnsi="宋体" w:cs="宋体"/>
                <w:color w:val="000000"/>
                <w:lang w:val="zh-CN"/>
              </w:rPr>
            </w:pPr>
          </w:p>
        </w:tc>
        <w:tc>
          <w:tcPr>
            <w:tcW w:w="3083" w:type="dxa"/>
            <w:tcBorders>
              <w:top w:val="single" w:color="000000" w:sz="6" w:space="0"/>
              <w:left w:val="single" w:color="000000" w:sz="6" w:space="0"/>
              <w:bottom w:val="single" w:color="000000" w:sz="6" w:space="0"/>
              <w:right w:val="single" w:color="000000" w:sz="6" w:space="0"/>
            </w:tcBorders>
            <w:vAlign w:val="center"/>
          </w:tcPr>
          <w:p w14:paraId="1304BC31">
            <w:pPr>
              <w:spacing w:line="360" w:lineRule="auto"/>
              <w:jc w:val="center"/>
              <w:rPr>
                <w:rFonts w:ascii="宋体" w:hAnsi="宋体" w:cs="宋体"/>
                <w:color w:val="00000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32E5B317">
            <w:pPr>
              <w:spacing w:line="360" w:lineRule="auto"/>
              <w:jc w:val="center"/>
              <w:rPr>
                <w:rFonts w:ascii="宋体" w:hAnsi="宋体" w:cs="宋体"/>
                <w:color w:val="000000"/>
                <w:lang w:val="zh-CN"/>
              </w:rPr>
            </w:pPr>
          </w:p>
        </w:tc>
      </w:tr>
      <w:tr w14:paraId="1803EA34">
        <w:tblPrEx>
          <w:tblCellMar>
            <w:top w:w="0" w:type="dxa"/>
            <w:left w:w="28" w:type="dxa"/>
            <w:bottom w:w="0" w:type="dxa"/>
            <w:right w:w="28" w:type="dxa"/>
          </w:tblCellMar>
        </w:tblPrEx>
        <w:trPr>
          <w:trHeight w:val="213"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6E090A59">
            <w:pPr>
              <w:spacing w:line="360" w:lineRule="auto"/>
              <w:jc w:val="center"/>
              <w:rPr>
                <w:rFonts w:ascii="宋体" w:hAnsi="宋体" w:cs="宋体"/>
                <w:color w:val="000000"/>
                <w:lang w:val="zh-CN"/>
              </w:rPr>
            </w:pPr>
            <w:r>
              <w:rPr>
                <w:rFonts w:hint="eastAsia" w:ascii="宋体" w:hAnsi="宋体" w:cs="宋体"/>
                <w:color w:val="00000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6C5C1C5C">
            <w:pPr>
              <w:spacing w:line="360" w:lineRule="auto"/>
              <w:jc w:val="center"/>
              <w:rPr>
                <w:rFonts w:ascii="宋体" w:hAnsi="宋体" w:cs="宋体"/>
                <w:color w:val="00000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12C53628">
            <w:pPr>
              <w:spacing w:line="360" w:lineRule="auto"/>
              <w:jc w:val="center"/>
              <w:rPr>
                <w:rFonts w:ascii="宋体" w:hAnsi="宋体" w:cs="宋体"/>
                <w:color w:val="00000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17C3BF69">
            <w:pPr>
              <w:spacing w:line="360" w:lineRule="auto"/>
              <w:jc w:val="center"/>
              <w:rPr>
                <w:rFonts w:ascii="宋体" w:hAnsi="宋体" w:cs="宋体"/>
                <w:color w:val="000000"/>
                <w:lang w:val="zh-CN"/>
              </w:rPr>
            </w:pPr>
          </w:p>
        </w:tc>
        <w:tc>
          <w:tcPr>
            <w:tcW w:w="3083" w:type="dxa"/>
            <w:tcBorders>
              <w:top w:val="single" w:color="000000" w:sz="6" w:space="0"/>
              <w:left w:val="single" w:color="000000" w:sz="6" w:space="0"/>
              <w:bottom w:val="single" w:color="000000" w:sz="6" w:space="0"/>
              <w:right w:val="single" w:color="000000" w:sz="6" w:space="0"/>
            </w:tcBorders>
            <w:vAlign w:val="center"/>
          </w:tcPr>
          <w:p w14:paraId="274E1B8D">
            <w:pPr>
              <w:spacing w:line="360" w:lineRule="auto"/>
              <w:jc w:val="center"/>
              <w:rPr>
                <w:rFonts w:ascii="宋体" w:hAnsi="宋体" w:cs="宋体"/>
                <w:color w:val="00000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0DBAFDF1">
            <w:pPr>
              <w:spacing w:line="360" w:lineRule="auto"/>
              <w:jc w:val="center"/>
              <w:rPr>
                <w:rFonts w:ascii="宋体" w:hAnsi="宋体" w:cs="宋体"/>
                <w:color w:val="000000"/>
                <w:lang w:val="zh-CN"/>
              </w:rPr>
            </w:pPr>
          </w:p>
        </w:tc>
      </w:tr>
      <w:tr w14:paraId="61E31252">
        <w:tblPrEx>
          <w:tblCellMar>
            <w:top w:w="0" w:type="dxa"/>
            <w:left w:w="28" w:type="dxa"/>
            <w:bottom w:w="0" w:type="dxa"/>
            <w:right w:w="28" w:type="dxa"/>
          </w:tblCellMar>
        </w:tblPrEx>
        <w:trPr>
          <w:trHeight w:val="228"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5CA2E42E">
            <w:pPr>
              <w:spacing w:line="360" w:lineRule="auto"/>
              <w:jc w:val="center"/>
              <w:rPr>
                <w:rFonts w:ascii="宋体" w:hAnsi="宋体" w:cs="宋体"/>
                <w:color w:val="000000"/>
                <w:lang w:val="zh-CN"/>
              </w:rPr>
            </w:pPr>
            <w:r>
              <w:rPr>
                <w:rFonts w:hint="eastAsia" w:ascii="宋体" w:hAnsi="宋体" w:cs="宋体"/>
                <w:color w:val="00000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154359B1">
            <w:pPr>
              <w:spacing w:line="360" w:lineRule="auto"/>
              <w:jc w:val="center"/>
              <w:rPr>
                <w:rFonts w:ascii="宋体" w:hAnsi="宋体" w:cs="宋体"/>
                <w:color w:val="000000"/>
                <w:lang w:val="zh-CN"/>
              </w:rPr>
            </w:pPr>
          </w:p>
        </w:tc>
        <w:tc>
          <w:tcPr>
            <w:tcW w:w="2378" w:type="dxa"/>
            <w:tcBorders>
              <w:top w:val="single" w:color="000000" w:sz="6" w:space="0"/>
              <w:left w:val="single" w:color="000000" w:sz="6" w:space="0"/>
              <w:bottom w:val="single" w:color="000000" w:sz="6" w:space="0"/>
              <w:right w:val="single" w:color="000000" w:sz="6" w:space="0"/>
            </w:tcBorders>
            <w:vAlign w:val="center"/>
          </w:tcPr>
          <w:p w14:paraId="52AB7F53">
            <w:pPr>
              <w:spacing w:line="360" w:lineRule="auto"/>
              <w:jc w:val="center"/>
              <w:rPr>
                <w:rFonts w:ascii="宋体" w:hAnsi="宋体" w:cs="宋体"/>
                <w:color w:val="000000"/>
                <w:lang w:val="zh-CN"/>
              </w:rPr>
            </w:pPr>
          </w:p>
        </w:tc>
        <w:tc>
          <w:tcPr>
            <w:tcW w:w="1247" w:type="dxa"/>
            <w:tcBorders>
              <w:top w:val="single" w:color="000000" w:sz="6" w:space="0"/>
              <w:left w:val="single" w:color="000000" w:sz="6" w:space="0"/>
              <w:bottom w:val="single" w:color="000000" w:sz="6" w:space="0"/>
              <w:right w:val="single" w:color="000000" w:sz="6" w:space="0"/>
            </w:tcBorders>
            <w:vAlign w:val="center"/>
          </w:tcPr>
          <w:p w14:paraId="2C9C6B33">
            <w:pPr>
              <w:spacing w:line="360" w:lineRule="auto"/>
              <w:jc w:val="center"/>
              <w:rPr>
                <w:rFonts w:ascii="宋体" w:hAnsi="宋体" w:cs="宋体"/>
                <w:color w:val="000000"/>
                <w:lang w:val="zh-CN"/>
              </w:rPr>
            </w:pPr>
          </w:p>
        </w:tc>
        <w:tc>
          <w:tcPr>
            <w:tcW w:w="3083" w:type="dxa"/>
            <w:tcBorders>
              <w:top w:val="single" w:color="000000" w:sz="6" w:space="0"/>
              <w:left w:val="single" w:color="000000" w:sz="6" w:space="0"/>
              <w:bottom w:val="single" w:color="000000" w:sz="6" w:space="0"/>
              <w:right w:val="single" w:color="000000" w:sz="6" w:space="0"/>
            </w:tcBorders>
            <w:vAlign w:val="center"/>
          </w:tcPr>
          <w:p w14:paraId="080D7C26">
            <w:pPr>
              <w:spacing w:line="360" w:lineRule="auto"/>
              <w:jc w:val="center"/>
              <w:rPr>
                <w:rFonts w:ascii="宋体" w:hAnsi="宋体" w:cs="宋体"/>
                <w:color w:val="000000"/>
                <w:lang w:val="zh-CN"/>
              </w:rPr>
            </w:pPr>
          </w:p>
        </w:tc>
        <w:tc>
          <w:tcPr>
            <w:tcW w:w="710" w:type="dxa"/>
            <w:tcBorders>
              <w:top w:val="single" w:color="000000" w:sz="6" w:space="0"/>
              <w:left w:val="single" w:color="000000" w:sz="6" w:space="0"/>
              <w:bottom w:val="single" w:color="000000" w:sz="6" w:space="0"/>
              <w:right w:val="single" w:color="000000" w:sz="6" w:space="0"/>
            </w:tcBorders>
            <w:vAlign w:val="center"/>
          </w:tcPr>
          <w:p w14:paraId="00DA23EA">
            <w:pPr>
              <w:spacing w:line="360" w:lineRule="auto"/>
              <w:jc w:val="center"/>
              <w:rPr>
                <w:rFonts w:ascii="宋体" w:hAnsi="宋体" w:cs="宋体"/>
                <w:color w:val="000000"/>
                <w:lang w:val="zh-CN"/>
              </w:rPr>
            </w:pPr>
          </w:p>
        </w:tc>
      </w:tr>
    </w:tbl>
    <w:p w14:paraId="14A5FF4B">
      <w:pPr>
        <w:spacing w:line="360" w:lineRule="auto"/>
        <w:rPr>
          <w:rFonts w:ascii="宋体" w:hAnsi="宋体" w:cs="仿宋"/>
          <w:b/>
          <w:bCs/>
          <w:sz w:val="28"/>
          <w:szCs w:val="28"/>
        </w:rPr>
      </w:pPr>
      <w:r>
        <w:rPr>
          <w:rFonts w:hint="eastAsia" w:ascii="宋体" w:hAnsi="宋体" w:cs="宋体"/>
          <w:color w:val="000000"/>
          <w:lang w:val="zh-CN"/>
        </w:rPr>
        <w:t>注：1.本表应按照每包“项目概况及技术参数”中产品序号的指标逐项填写，不得遗漏，</w:t>
      </w:r>
      <w:r>
        <w:rPr>
          <w:rFonts w:hint="eastAsia" w:ascii="宋体" w:hAnsi="宋体"/>
          <w:color w:val="000000"/>
        </w:rPr>
        <w:t>否则</w:t>
      </w:r>
      <w:r>
        <w:rPr>
          <w:rFonts w:hint="eastAsia" w:ascii="宋体" w:hAnsi="宋体"/>
          <w:color w:val="000000"/>
          <w:szCs w:val="20"/>
        </w:rPr>
        <w:t>，按无效投标处理</w:t>
      </w:r>
      <w:r>
        <w:rPr>
          <w:rFonts w:hint="eastAsia" w:ascii="宋体" w:hAnsi="宋体"/>
          <w:color w:val="000000"/>
        </w:rPr>
        <w:t>。</w:t>
      </w:r>
    </w:p>
    <w:p w14:paraId="79996437">
      <w:pPr>
        <w:numPr>
          <w:ilvl w:val="0"/>
          <w:numId w:val="9"/>
        </w:numPr>
        <w:spacing w:line="360" w:lineRule="auto"/>
        <w:ind w:firstLine="480"/>
        <w:rPr>
          <w:rFonts w:ascii="宋体" w:hAnsi="宋体" w:cs="宋体"/>
          <w:color w:val="000000"/>
          <w:lang w:val="zh-CN"/>
        </w:rPr>
      </w:pPr>
      <w:r>
        <w:rPr>
          <w:rFonts w:hint="eastAsia" w:ascii="宋体" w:hAnsi="宋体" w:cs="宋体"/>
          <w:color w:val="000000"/>
        </w:rPr>
        <w:t>“投标产品技术参数、指标”必须与投标文件中提供的产品检测报告、彩页等证明材料的实质性响应情况相一致，</w:t>
      </w:r>
      <w:r>
        <w:rPr>
          <w:rFonts w:hint="eastAsia" w:ascii="宋体" w:hAnsi="宋体" w:cs="宋体"/>
        </w:rPr>
        <w:t>供货商须保证所供货物完全符合</w:t>
      </w:r>
      <w:r>
        <w:rPr>
          <w:rFonts w:hint="eastAsia" w:ascii="宋体" w:hAnsi="宋体" w:cs="仿宋"/>
        </w:rPr>
        <w:t>刚察县公安局采购招标标准规定的规格，货物质量及要求符合标准。</w:t>
      </w:r>
      <w:r>
        <w:rPr>
          <w:rFonts w:hint="eastAsia" w:ascii="宋体" w:hAnsi="宋体" w:cs="宋体"/>
          <w:color w:val="000000"/>
          <w:lang w:val="zh-CN"/>
        </w:rPr>
        <w:t>如果与投标文件中提供的产品检测报告、彩页等证明材料中的实质性响应情况不一致或直接复制招标文件“采购需求技术参数、指标”内容的，按无效投标处理。</w:t>
      </w:r>
    </w:p>
    <w:p w14:paraId="40FB313B">
      <w:pPr>
        <w:numPr>
          <w:ilvl w:val="0"/>
          <w:numId w:val="10"/>
        </w:numPr>
        <w:spacing w:line="360" w:lineRule="auto"/>
        <w:ind w:firstLine="480"/>
        <w:rPr>
          <w:rFonts w:ascii="宋体" w:hAnsi="宋体" w:cs="宋体"/>
          <w:color w:val="000000"/>
          <w:lang w:val="zh-CN"/>
        </w:rPr>
      </w:pPr>
      <w:r>
        <w:rPr>
          <w:rFonts w:hint="eastAsia" w:ascii="宋体" w:hAnsi="宋体" w:cs="宋体"/>
          <w:color w:val="000000"/>
          <w:lang w:val="zh-CN"/>
        </w:rPr>
        <w:t>填写此表时以招标项目参数要求为基本投标要求，满足招标项目参数要求的指标需列出“</w:t>
      </w:r>
      <w:r>
        <w:rPr>
          <w:rFonts w:hint="eastAsia" w:ascii="宋体" w:hAnsi="宋体" w:cs="宋体"/>
          <w:color w:val="000000"/>
        </w:rPr>
        <w:t>0</w:t>
      </w:r>
      <w:r>
        <w:rPr>
          <w:rFonts w:hint="eastAsia" w:ascii="宋体" w:hAnsi="宋体" w:cs="宋体"/>
          <w:color w:val="000000"/>
          <w:lang w:val="zh-CN"/>
        </w:rPr>
        <w:t>”；超出、不满足招标项目参数要求的指标需列出“+”、“-”偏差，并做出详细说明；如果只注明“+”、“-”或未填写，将视为该项指标不响应。</w:t>
      </w:r>
    </w:p>
    <w:p w14:paraId="7201DC1D">
      <w:pPr>
        <w:numPr>
          <w:ilvl w:val="0"/>
          <w:numId w:val="10"/>
        </w:numPr>
        <w:spacing w:line="360" w:lineRule="auto"/>
        <w:ind w:firstLine="480"/>
        <w:rPr>
          <w:rFonts w:ascii="宋体" w:hAnsi="Cambria" w:cs="宋体"/>
          <w:b/>
          <w:lang w:val="zh-CN"/>
        </w:rPr>
      </w:pPr>
      <w:r>
        <w:rPr>
          <w:rFonts w:hint="eastAsia" w:ascii="宋体" w:hAnsi="宋体" w:cs="宋体"/>
          <w:color w:val="000000"/>
          <w:lang w:val="zh-CN"/>
        </w:rPr>
        <w:t>投标人响应采购需求应具体、明确，含糊不清、不确切或伪造、编造证明材料的，按照实质性不响应处理。对伪造、编造证明材料的，将报告本级财政部门。</w:t>
      </w:r>
    </w:p>
    <w:p w14:paraId="2A31B96D">
      <w:pPr>
        <w:pStyle w:val="14"/>
        <w:ind w:firstLine="480"/>
      </w:pPr>
      <w:r>
        <w:rPr>
          <w:rFonts w:hint="eastAsia" w:hAnsi="宋体" w:cs="宋体"/>
          <w:color w:val="000000"/>
        </w:rPr>
        <w:t>5.行数不够可自行添加。</w:t>
      </w:r>
    </w:p>
    <w:p w14:paraId="4095E3D4">
      <w:pPr>
        <w:spacing w:line="360" w:lineRule="auto"/>
        <w:jc w:val="center"/>
        <w:rPr>
          <w:rFonts w:ascii="宋体" w:hAnsi="宋体" w:cs="宋体"/>
          <w:b/>
          <w:bCs/>
          <w:color w:val="000000"/>
          <w:lang w:val="zh-CN"/>
        </w:rPr>
      </w:pPr>
    </w:p>
    <w:p w14:paraId="5C829D04">
      <w:pPr>
        <w:spacing w:line="360" w:lineRule="auto"/>
        <w:jc w:val="center"/>
        <w:rPr>
          <w:rFonts w:ascii="宋体" w:hAnsi="宋体" w:cs="宋体"/>
          <w:b/>
          <w:bCs/>
          <w:color w:val="000000"/>
          <w:lang w:val="zh-CN"/>
        </w:rPr>
      </w:pPr>
    </w:p>
    <w:p w14:paraId="303A93AD">
      <w:pPr>
        <w:spacing w:line="360" w:lineRule="auto"/>
        <w:jc w:val="center"/>
        <w:rPr>
          <w:rFonts w:ascii="宋体" w:hAnsi="宋体" w:cs="宋体"/>
          <w:b/>
          <w:bCs/>
          <w:color w:val="000000"/>
          <w:lang w:val="zh-CN"/>
        </w:rPr>
      </w:pPr>
    </w:p>
    <w:p w14:paraId="51DE91AE">
      <w:pPr>
        <w:spacing w:line="360" w:lineRule="auto"/>
        <w:jc w:val="center"/>
        <w:rPr>
          <w:rFonts w:ascii="宋体" w:hAnsi="宋体" w:cs="宋体"/>
          <w:b/>
          <w:bCs/>
          <w:color w:val="000000"/>
          <w:lang w:val="zh-CN"/>
        </w:rPr>
      </w:pPr>
      <w:r>
        <w:rPr>
          <w:rFonts w:hint="eastAsia" w:ascii="宋体" w:hAnsi="宋体" w:cs="宋体"/>
          <w:b/>
          <w:bCs/>
          <w:color w:val="000000"/>
          <w:lang w:val="zh-CN"/>
        </w:rPr>
        <w:t xml:space="preserve">投标人：           </w:t>
      </w:r>
      <w:r>
        <w:rPr>
          <w:rFonts w:hint="eastAsia" w:ascii="宋体" w:hAnsi="宋体" w:cs="宋体"/>
          <w:b/>
          <w:bCs/>
          <w:color w:val="000000"/>
        </w:rPr>
        <w:t xml:space="preserve">           </w:t>
      </w:r>
      <w:r>
        <w:rPr>
          <w:rFonts w:hint="eastAsia" w:ascii="宋体" w:hAnsi="宋体" w:cs="宋体"/>
          <w:b/>
          <w:bCs/>
          <w:color w:val="000000"/>
          <w:lang w:val="zh-CN"/>
        </w:rPr>
        <w:t xml:space="preserve">  （公章）</w:t>
      </w:r>
    </w:p>
    <w:p w14:paraId="7A15563C">
      <w:pPr>
        <w:spacing w:line="360" w:lineRule="auto"/>
        <w:jc w:val="center"/>
        <w:rPr>
          <w:rFonts w:ascii="宋体" w:hAnsi="宋体" w:cs="宋体"/>
          <w:b/>
          <w:bCs/>
          <w:color w:val="000000"/>
          <w:lang w:val="zh-CN"/>
        </w:rPr>
      </w:pPr>
      <w:r>
        <w:rPr>
          <w:rFonts w:hint="eastAsia" w:ascii="宋体" w:hAnsi="宋体" w:cs="宋体"/>
          <w:b/>
          <w:bCs/>
          <w:color w:val="000000"/>
          <w:lang w:val="zh-CN"/>
        </w:rPr>
        <w:t>法定代表人或委托代理人：        （签字或盖章）</w:t>
      </w:r>
    </w:p>
    <w:p w14:paraId="1C9695D9">
      <w:pPr>
        <w:spacing w:line="360" w:lineRule="auto"/>
        <w:ind w:firstLine="3253"/>
        <w:rPr>
          <w:rFonts w:ascii="宋体" w:hAnsi="宋体" w:cs="宋体"/>
          <w:b/>
          <w:bCs/>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34B65A4A">
      <w:pPr>
        <w:pStyle w:val="235"/>
        <w:spacing w:before="0" w:after="0" w:line="360" w:lineRule="auto"/>
        <w:jc w:val="left"/>
        <w:outlineLvl w:val="1"/>
        <w:rPr>
          <w:rFonts w:ascii="宋体" w:hAnsi="宋体" w:cs="宋体"/>
          <w:color w:val="000000"/>
        </w:rPr>
      </w:pPr>
      <w:r>
        <w:rPr>
          <w:rFonts w:hint="eastAsia" w:ascii="宋体" w:hAnsi="宋体" w:cs="宋体"/>
          <w:color w:val="000000"/>
          <w:sz w:val="24"/>
          <w:szCs w:val="24"/>
          <w:lang w:val="zh-CN"/>
        </w:rPr>
        <w:br w:type="page" w:clear="all"/>
      </w:r>
      <w:bookmarkStart w:id="80" w:name="_Toc515908224"/>
      <w:bookmarkStart w:id="81" w:name="_Toc17893"/>
      <w:r>
        <w:rPr>
          <w:rFonts w:hint="eastAsia" w:ascii="宋体" w:hAnsi="宋体" w:cs="宋体"/>
          <w:color w:val="000000"/>
          <w:sz w:val="30"/>
          <w:szCs w:val="30"/>
        </w:rPr>
        <w:t>（14）</w:t>
      </w:r>
      <w:r>
        <w:rPr>
          <w:rFonts w:hint="eastAsia" w:ascii="宋体" w:hAnsi="宋体" w:cs="宋体"/>
          <w:color w:val="000000"/>
          <w:sz w:val="30"/>
          <w:szCs w:val="30"/>
          <w:lang w:val="zh-CN"/>
        </w:rPr>
        <w:t>投标产品相关资料</w:t>
      </w:r>
      <w:bookmarkEnd w:id="79"/>
      <w:bookmarkEnd w:id="80"/>
    </w:p>
    <w:p w14:paraId="5DBDB0F7">
      <w:pPr>
        <w:spacing w:line="360" w:lineRule="auto"/>
        <w:rPr>
          <w:rFonts w:ascii="宋体" w:hAnsi="宋体" w:cs="宋体"/>
          <w:color w:val="000000"/>
          <w:sz w:val="28"/>
          <w:szCs w:val="28"/>
          <w:lang w:val="zh-CN"/>
        </w:rPr>
      </w:pPr>
    </w:p>
    <w:p w14:paraId="0D326B18">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投标产品相关资料</w:t>
      </w:r>
    </w:p>
    <w:p w14:paraId="0C788CFF">
      <w:pPr>
        <w:spacing w:line="360" w:lineRule="auto"/>
        <w:rPr>
          <w:rFonts w:ascii="宋体" w:hAnsi="宋体" w:cs="宋体"/>
          <w:color w:val="000000"/>
          <w:sz w:val="28"/>
          <w:szCs w:val="28"/>
          <w:lang w:val="zh-CN"/>
        </w:rPr>
      </w:pPr>
    </w:p>
    <w:p w14:paraId="03965CDA">
      <w:pPr>
        <w:spacing w:line="360" w:lineRule="auto"/>
        <w:ind w:firstLine="480"/>
        <w:rPr>
          <w:rFonts w:ascii="宋体" w:hAnsi="宋体" w:cs="宋体"/>
          <w:sz w:val="32"/>
          <w:lang w:val="zh-CN"/>
        </w:rPr>
      </w:pPr>
      <w:r>
        <w:rPr>
          <w:rFonts w:hint="eastAsia" w:ascii="宋体" w:hAnsi="宋体" w:cs="宋体"/>
          <w:color w:val="000000"/>
          <w:lang w:val="zh-CN"/>
        </w:rPr>
        <w:t>根据采购项目内容，投标时提供国家认可的质监机构出具的投标产品的产品检验报告</w:t>
      </w:r>
      <w:r>
        <w:rPr>
          <w:rFonts w:hint="eastAsia" w:ascii="Arial" w:hAnsi="宋体" w:cs="Arial"/>
          <w:color w:val="000000"/>
          <w:lang w:val="zh-CN"/>
        </w:rPr>
        <w:t>或</w:t>
      </w:r>
      <w:r>
        <w:rPr>
          <w:rFonts w:ascii="Arial" w:hAnsi="宋体" w:cs="Arial"/>
          <w:color w:val="000000"/>
          <w:lang w:val="zh-CN"/>
        </w:rPr>
        <w:t>证明技术参数的彩页（或厂家公开发布的资料参数）</w:t>
      </w:r>
      <w:r>
        <w:rPr>
          <w:rFonts w:hint="eastAsia" w:ascii="Arial" w:hAnsi="宋体" w:cs="Arial"/>
          <w:color w:val="000000"/>
          <w:lang w:val="zh-CN"/>
        </w:rPr>
        <w:t>，</w:t>
      </w:r>
      <w:r>
        <w:rPr>
          <w:rFonts w:hint="eastAsia" w:ascii="宋体" w:hAnsi="宋体" w:cs="宋体"/>
        </w:rPr>
        <w:t>供货商必须保证所供货物完全符合</w:t>
      </w:r>
      <w:r>
        <w:rPr>
          <w:rFonts w:hint="eastAsia" w:ascii="宋体" w:hAnsi="宋体" w:cs="仿宋"/>
        </w:rPr>
        <w:t>采购招标标准规定的规格，货物质量及要求符合标准</w:t>
      </w:r>
      <w:r>
        <w:rPr>
          <w:rFonts w:hint="eastAsia" w:ascii="宋体" w:hAnsi="宋体" w:cs="宋体"/>
          <w:lang w:val="zh-CN"/>
        </w:rPr>
        <w:t>等资料。</w:t>
      </w:r>
    </w:p>
    <w:p w14:paraId="2E54D2C1">
      <w:pPr>
        <w:pStyle w:val="235"/>
        <w:spacing w:before="0" w:after="0" w:line="360" w:lineRule="auto"/>
        <w:jc w:val="both"/>
        <w:outlineLvl w:val="1"/>
        <w:rPr>
          <w:rFonts w:ascii="宋体" w:hAnsi="宋体" w:cs="宋体"/>
          <w:color w:val="000000"/>
          <w:lang w:val="zh-CN"/>
        </w:rPr>
      </w:pPr>
    </w:p>
    <w:p w14:paraId="3FEFB99A">
      <w:pPr>
        <w:rPr>
          <w:rFonts w:ascii="宋体" w:hAnsi="宋体" w:cs="宋体"/>
          <w:color w:val="000000"/>
          <w:lang w:val="zh-CN"/>
        </w:rPr>
      </w:pPr>
    </w:p>
    <w:p w14:paraId="494F6389">
      <w:pPr>
        <w:rPr>
          <w:rFonts w:ascii="宋体" w:hAnsi="宋体" w:cs="宋体"/>
          <w:color w:val="000000"/>
          <w:lang w:val="zh-CN"/>
        </w:rPr>
      </w:pPr>
    </w:p>
    <w:p w14:paraId="678AB143">
      <w:pPr>
        <w:rPr>
          <w:rFonts w:ascii="宋体" w:hAnsi="宋体" w:cs="宋体"/>
          <w:color w:val="000000"/>
          <w:lang w:val="zh-CN"/>
        </w:rPr>
      </w:pPr>
    </w:p>
    <w:p w14:paraId="645CFB01">
      <w:pPr>
        <w:rPr>
          <w:rFonts w:ascii="宋体" w:hAnsi="宋体" w:cs="宋体"/>
          <w:color w:val="000000"/>
          <w:lang w:val="zh-CN"/>
        </w:rPr>
      </w:pPr>
    </w:p>
    <w:p w14:paraId="1083515F">
      <w:pPr>
        <w:rPr>
          <w:rFonts w:ascii="宋体" w:hAnsi="宋体" w:cs="宋体"/>
          <w:color w:val="000000"/>
          <w:lang w:val="zh-CN"/>
        </w:rPr>
      </w:pPr>
    </w:p>
    <w:p w14:paraId="6B02BC7C">
      <w:pPr>
        <w:rPr>
          <w:rFonts w:ascii="宋体" w:hAnsi="宋体" w:cs="宋体"/>
          <w:color w:val="000000"/>
          <w:lang w:val="zh-CN"/>
        </w:rPr>
      </w:pPr>
    </w:p>
    <w:p w14:paraId="40D37F76">
      <w:pPr>
        <w:rPr>
          <w:rFonts w:ascii="宋体" w:hAnsi="宋体" w:cs="宋体"/>
          <w:color w:val="000000"/>
          <w:lang w:val="zh-CN"/>
        </w:rPr>
      </w:pPr>
    </w:p>
    <w:p w14:paraId="07B1B8C6">
      <w:pPr>
        <w:rPr>
          <w:rFonts w:ascii="宋体" w:hAnsi="宋体" w:cs="宋体"/>
          <w:color w:val="000000"/>
          <w:lang w:val="zh-CN"/>
        </w:rPr>
      </w:pPr>
    </w:p>
    <w:p w14:paraId="117BBEF9">
      <w:pPr>
        <w:rPr>
          <w:rFonts w:ascii="宋体" w:hAnsi="宋体" w:cs="宋体"/>
          <w:color w:val="000000"/>
          <w:lang w:val="zh-CN"/>
        </w:rPr>
      </w:pPr>
    </w:p>
    <w:p w14:paraId="4098831E">
      <w:pPr>
        <w:rPr>
          <w:rFonts w:ascii="宋体" w:hAnsi="宋体" w:cs="宋体"/>
          <w:color w:val="000000"/>
          <w:lang w:val="zh-CN"/>
        </w:rPr>
      </w:pPr>
    </w:p>
    <w:p w14:paraId="4E9B2887">
      <w:pPr>
        <w:rPr>
          <w:rFonts w:ascii="宋体" w:hAnsi="宋体" w:cs="宋体"/>
          <w:color w:val="000000"/>
          <w:lang w:val="zh-CN"/>
        </w:rPr>
      </w:pPr>
    </w:p>
    <w:p w14:paraId="34757C35">
      <w:pPr>
        <w:rPr>
          <w:rFonts w:ascii="宋体" w:hAnsi="宋体" w:cs="宋体"/>
          <w:color w:val="000000"/>
          <w:lang w:val="zh-CN"/>
        </w:rPr>
      </w:pPr>
    </w:p>
    <w:p w14:paraId="4B1DFA4E">
      <w:pPr>
        <w:rPr>
          <w:rFonts w:ascii="宋体" w:hAnsi="宋体" w:cs="宋体"/>
          <w:color w:val="000000"/>
          <w:lang w:val="zh-CN"/>
        </w:rPr>
      </w:pPr>
    </w:p>
    <w:p w14:paraId="6973C075">
      <w:pPr>
        <w:rPr>
          <w:rFonts w:ascii="宋体" w:hAnsi="宋体" w:cs="宋体"/>
          <w:color w:val="000000"/>
          <w:lang w:val="zh-CN"/>
        </w:rPr>
      </w:pPr>
    </w:p>
    <w:p w14:paraId="344C41D9">
      <w:pPr>
        <w:rPr>
          <w:rFonts w:ascii="宋体" w:hAnsi="宋体" w:cs="宋体"/>
          <w:color w:val="000000"/>
          <w:lang w:val="zh-CN"/>
        </w:rPr>
      </w:pPr>
    </w:p>
    <w:p w14:paraId="56566650">
      <w:pPr>
        <w:rPr>
          <w:rFonts w:ascii="宋体" w:hAnsi="宋体" w:cs="宋体"/>
          <w:color w:val="000000"/>
          <w:lang w:val="zh-CN"/>
        </w:rPr>
      </w:pPr>
    </w:p>
    <w:p w14:paraId="784D55BC">
      <w:pPr>
        <w:rPr>
          <w:rFonts w:ascii="宋体" w:hAnsi="宋体" w:cs="宋体"/>
          <w:color w:val="000000"/>
          <w:lang w:val="zh-CN"/>
        </w:rPr>
      </w:pPr>
    </w:p>
    <w:p w14:paraId="79A92039">
      <w:pPr>
        <w:rPr>
          <w:rFonts w:ascii="宋体" w:hAnsi="宋体" w:cs="宋体"/>
          <w:color w:val="000000"/>
          <w:lang w:val="zh-CN"/>
        </w:rPr>
      </w:pPr>
    </w:p>
    <w:p w14:paraId="07CA1317">
      <w:pPr>
        <w:rPr>
          <w:rFonts w:ascii="宋体" w:hAnsi="宋体" w:cs="宋体"/>
          <w:color w:val="000000"/>
          <w:lang w:val="zh-CN"/>
        </w:rPr>
      </w:pPr>
    </w:p>
    <w:p w14:paraId="3B4B8E1E">
      <w:pPr>
        <w:rPr>
          <w:rFonts w:ascii="宋体" w:hAnsi="宋体" w:cs="宋体"/>
          <w:color w:val="000000"/>
          <w:lang w:val="zh-CN"/>
        </w:rPr>
      </w:pPr>
    </w:p>
    <w:p w14:paraId="307A25DC">
      <w:pPr>
        <w:rPr>
          <w:rFonts w:ascii="宋体" w:hAnsi="宋体" w:cs="宋体"/>
          <w:color w:val="000000"/>
          <w:lang w:val="zh-CN"/>
        </w:rPr>
      </w:pPr>
    </w:p>
    <w:p w14:paraId="0D5CC149">
      <w:pPr>
        <w:rPr>
          <w:rFonts w:ascii="宋体" w:hAnsi="宋体" w:cs="宋体"/>
          <w:color w:val="000000"/>
          <w:lang w:val="zh-CN"/>
        </w:rPr>
      </w:pPr>
    </w:p>
    <w:p w14:paraId="597912F3">
      <w:pPr>
        <w:rPr>
          <w:rFonts w:ascii="宋体" w:hAnsi="宋体" w:cs="宋体"/>
          <w:color w:val="000000"/>
          <w:lang w:val="zh-CN"/>
        </w:rPr>
      </w:pPr>
    </w:p>
    <w:p w14:paraId="33C1D7AC">
      <w:pPr>
        <w:rPr>
          <w:rFonts w:ascii="宋体" w:hAnsi="宋体" w:cs="宋体"/>
          <w:color w:val="000000"/>
          <w:lang w:val="zh-CN"/>
        </w:rPr>
      </w:pPr>
    </w:p>
    <w:p w14:paraId="60E78EA6">
      <w:pPr>
        <w:rPr>
          <w:rFonts w:ascii="宋体" w:hAnsi="宋体" w:cs="宋体"/>
          <w:color w:val="000000"/>
          <w:lang w:val="zh-CN"/>
        </w:rPr>
      </w:pPr>
    </w:p>
    <w:p w14:paraId="787B8389">
      <w:pPr>
        <w:rPr>
          <w:rFonts w:ascii="宋体" w:hAnsi="宋体" w:cs="宋体"/>
          <w:color w:val="000000"/>
          <w:lang w:val="zh-CN"/>
        </w:rPr>
      </w:pPr>
    </w:p>
    <w:p w14:paraId="22F30898">
      <w:pPr>
        <w:rPr>
          <w:rFonts w:ascii="宋体" w:hAnsi="宋体" w:cs="宋体"/>
          <w:color w:val="000000"/>
          <w:lang w:val="zh-CN"/>
        </w:rPr>
      </w:pPr>
    </w:p>
    <w:bookmarkEnd w:id="81"/>
    <w:p w14:paraId="697DEDF0">
      <w:pPr>
        <w:pStyle w:val="235"/>
        <w:spacing w:before="0" w:after="0" w:line="360" w:lineRule="auto"/>
        <w:jc w:val="both"/>
        <w:outlineLvl w:val="1"/>
        <w:rPr>
          <w:rFonts w:ascii="宋体" w:hAnsi="宋体" w:cs="宋体"/>
          <w:color w:val="000000"/>
          <w:sz w:val="30"/>
          <w:szCs w:val="30"/>
        </w:rPr>
      </w:pPr>
      <w:bookmarkStart w:id="82" w:name="_Toc16168"/>
      <w:bookmarkStart w:id="83" w:name="_Toc24554970"/>
      <w:r>
        <w:rPr>
          <w:rFonts w:hint="eastAsia" w:ascii="宋体" w:hAnsi="宋体" w:cs="宋体"/>
          <w:color w:val="000000"/>
          <w:sz w:val="30"/>
          <w:szCs w:val="30"/>
        </w:rPr>
        <w:br w:type="page"/>
      </w:r>
      <w:r>
        <w:rPr>
          <w:rFonts w:hint="eastAsia" w:ascii="宋体" w:hAnsi="宋体" w:cs="宋体"/>
          <w:color w:val="000000"/>
          <w:sz w:val="30"/>
          <w:szCs w:val="30"/>
        </w:rPr>
        <w:t>（15）</w:t>
      </w:r>
      <w:r>
        <w:rPr>
          <w:rFonts w:hint="eastAsia" w:ascii="宋体" w:hAnsi="宋体" w:cs="宋体"/>
          <w:color w:val="000000"/>
          <w:sz w:val="30"/>
          <w:szCs w:val="30"/>
          <w:lang w:val="zh-CN"/>
        </w:rPr>
        <w:t>投标人的类似业绩证明材料</w:t>
      </w:r>
      <w:bookmarkEnd w:id="82"/>
      <w:bookmarkEnd w:id="83"/>
    </w:p>
    <w:p w14:paraId="385A660C">
      <w:pPr>
        <w:spacing w:line="360" w:lineRule="auto"/>
        <w:rPr>
          <w:rFonts w:ascii="宋体" w:hAnsi="宋体" w:cs="宋体"/>
          <w:color w:val="000000"/>
          <w:sz w:val="28"/>
          <w:szCs w:val="28"/>
          <w:lang w:val="zh-CN"/>
        </w:rPr>
      </w:pPr>
    </w:p>
    <w:p w14:paraId="30D18697">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投标人的类似业绩证明材料</w:t>
      </w:r>
    </w:p>
    <w:p w14:paraId="79AB2176">
      <w:pPr>
        <w:spacing w:line="360" w:lineRule="auto"/>
        <w:rPr>
          <w:rFonts w:ascii="宋体" w:hAnsi="宋体" w:cs="宋体"/>
          <w:color w:val="000000"/>
          <w:sz w:val="28"/>
          <w:szCs w:val="28"/>
          <w:lang w:val="zh-CN"/>
        </w:rPr>
      </w:pPr>
    </w:p>
    <w:p w14:paraId="4CDB619F">
      <w:pPr>
        <w:pStyle w:val="235"/>
        <w:spacing w:before="0" w:after="0" w:line="360" w:lineRule="auto"/>
        <w:ind w:firstLine="480"/>
        <w:jc w:val="left"/>
        <w:outlineLvl w:val="1"/>
        <w:rPr>
          <w:rFonts w:ascii="宋体" w:hAnsi="宋体" w:cs="宋体"/>
          <w:b w:val="0"/>
          <w:bCs w:val="0"/>
          <w:color w:val="000000"/>
          <w:sz w:val="24"/>
          <w:szCs w:val="24"/>
          <w:lang w:val="zh-CN"/>
        </w:rPr>
      </w:pPr>
      <w:r>
        <w:rPr>
          <w:rFonts w:hint="eastAsia" w:ascii="宋体" w:hAnsi="宋体" w:cs="宋体"/>
          <w:b w:val="0"/>
          <w:bCs w:val="0"/>
          <w:color w:val="000000"/>
          <w:sz w:val="24"/>
          <w:szCs w:val="24"/>
          <w:lang w:val="zh-CN"/>
        </w:rPr>
        <w:t>提供自</w:t>
      </w:r>
      <w:r>
        <w:rPr>
          <w:rFonts w:hint="eastAsia" w:ascii="宋体" w:hAnsi="宋体" w:cs="宋体"/>
          <w:b w:val="0"/>
          <w:bCs w:val="0"/>
          <w:color w:val="000000"/>
          <w:sz w:val="24"/>
          <w:szCs w:val="24"/>
          <w:u w:val="single"/>
          <w:lang w:val="zh-CN"/>
        </w:rPr>
        <w:t xml:space="preserve"> </w:t>
      </w:r>
      <w:r>
        <w:rPr>
          <w:rFonts w:hint="eastAsia" w:ascii="宋体" w:hAnsi="宋体" w:cs="宋体"/>
          <w:b w:val="0"/>
          <w:bCs w:val="0"/>
          <w:color w:val="000000"/>
          <w:sz w:val="24"/>
          <w:szCs w:val="24"/>
          <w:u w:val="single"/>
        </w:rPr>
        <w:t>2022</w:t>
      </w:r>
      <w:r>
        <w:rPr>
          <w:rFonts w:hint="eastAsia" w:ascii="宋体" w:hAnsi="宋体" w:cs="宋体"/>
          <w:b w:val="0"/>
          <w:bCs w:val="0"/>
          <w:color w:val="000000"/>
          <w:sz w:val="24"/>
          <w:szCs w:val="24"/>
          <w:u w:val="single"/>
          <w:lang w:val="zh-CN"/>
        </w:rPr>
        <w:t xml:space="preserve"> </w:t>
      </w:r>
      <w:r>
        <w:rPr>
          <w:rFonts w:hint="eastAsia" w:ascii="宋体" w:hAnsi="宋体" w:cs="宋体"/>
          <w:b w:val="0"/>
          <w:bCs w:val="0"/>
          <w:color w:val="000000"/>
          <w:sz w:val="24"/>
          <w:szCs w:val="24"/>
          <w:lang w:val="zh-CN"/>
        </w:rPr>
        <w:t>年以来的类似业绩证明材料。类似业绩是指与采购项目在产品类型、使用功能、合同规模等方面相同或相近的项目。需提供包含合同首页、标的及金额所在页、供货合同签字盖章页的扫描（或复印）件，具体要求见评分标准细则</w:t>
      </w:r>
    </w:p>
    <w:p w14:paraId="53898B91">
      <w:pPr>
        <w:rPr>
          <w:lang w:val="zh-CN"/>
        </w:rPr>
      </w:pPr>
    </w:p>
    <w:p w14:paraId="16AA62A2">
      <w:pPr>
        <w:rPr>
          <w:lang w:val="zh-CN"/>
        </w:rPr>
      </w:pPr>
    </w:p>
    <w:p w14:paraId="049A8437">
      <w:pPr>
        <w:rPr>
          <w:lang w:val="zh-CN"/>
        </w:rPr>
      </w:pPr>
    </w:p>
    <w:p w14:paraId="4C98B3B9">
      <w:pPr>
        <w:rPr>
          <w:lang w:val="zh-CN"/>
        </w:rPr>
      </w:pPr>
    </w:p>
    <w:p w14:paraId="3FCF706E">
      <w:pPr>
        <w:rPr>
          <w:lang w:val="zh-CN"/>
        </w:rPr>
      </w:pPr>
    </w:p>
    <w:p w14:paraId="27BBF777">
      <w:pPr>
        <w:rPr>
          <w:lang w:val="zh-CN"/>
        </w:rPr>
      </w:pPr>
    </w:p>
    <w:p w14:paraId="30984263">
      <w:pPr>
        <w:rPr>
          <w:lang w:val="zh-CN"/>
        </w:rPr>
      </w:pPr>
    </w:p>
    <w:p w14:paraId="6EC869F7">
      <w:pPr>
        <w:rPr>
          <w:lang w:val="zh-CN"/>
        </w:rPr>
      </w:pPr>
    </w:p>
    <w:p w14:paraId="51AA8165">
      <w:pPr>
        <w:rPr>
          <w:lang w:val="zh-CN"/>
        </w:rPr>
      </w:pPr>
    </w:p>
    <w:p w14:paraId="0EB2AADD">
      <w:pPr>
        <w:rPr>
          <w:lang w:val="zh-CN"/>
        </w:rPr>
      </w:pPr>
    </w:p>
    <w:p w14:paraId="44BE1187">
      <w:pPr>
        <w:rPr>
          <w:lang w:val="zh-CN"/>
        </w:rPr>
      </w:pPr>
    </w:p>
    <w:p w14:paraId="367CDD8D">
      <w:pPr>
        <w:rPr>
          <w:lang w:val="zh-CN"/>
        </w:rPr>
      </w:pPr>
    </w:p>
    <w:p w14:paraId="7242CB28">
      <w:pPr>
        <w:rPr>
          <w:lang w:val="zh-CN"/>
        </w:rPr>
      </w:pPr>
    </w:p>
    <w:p w14:paraId="7C573867">
      <w:pPr>
        <w:rPr>
          <w:lang w:val="zh-CN"/>
        </w:rPr>
      </w:pPr>
    </w:p>
    <w:p w14:paraId="4C9E69F7">
      <w:pPr>
        <w:rPr>
          <w:lang w:val="zh-CN"/>
        </w:rPr>
      </w:pPr>
    </w:p>
    <w:p w14:paraId="75717A8C">
      <w:pPr>
        <w:rPr>
          <w:lang w:val="zh-CN"/>
        </w:rPr>
      </w:pPr>
    </w:p>
    <w:p w14:paraId="476F1FC7">
      <w:pPr>
        <w:rPr>
          <w:lang w:val="zh-CN"/>
        </w:rPr>
      </w:pPr>
    </w:p>
    <w:p w14:paraId="6C789EE2">
      <w:pPr>
        <w:rPr>
          <w:lang w:val="zh-CN"/>
        </w:rPr>
      </w:pPr>
    </w:p>
    <w:p w14:paraId="30A7018F">
      <w:pPr>
        <w:rPr>
          <w:lang w:val="zh-CN"/>
        </w:rPr>
      </w:pPr>
    </w:p>
    <w:p w14:paraId="50BD6B2B">
      <w:pPr>
        <w:rPr>
          <w:lang w:val="zh-CN"/>
        </w:rPr>
      </w:pPr>
    </w:p>
    <w:p w14:paraId="46CC7AA0">
      <w:pPr>
        <w:rPr>
          <w:lang w:val="zh-CN"/>
        </w:rPr>
      </w:pPr>
    </w:p>
    <w:p w14:paraId="5A118A8C">
      <w:pPr>
        <w:rPr>
          <w:lang w:val="zh-CN"/>
        </w:rPr>
      </w:pPr>
    </w:p>
    <w:p w14:paraId="6A8DEC83">
      <w:pPr>
        <w:rPr>
          <w:lang w:val="zh-CN"/>
        </w:rPr>
      </w:pPr>
    </w:p>
    <w:p w14:paraId="391D9030">
      <w:pPr>
        <w:rPr>
          <w:lang w:val="zh-CN"/>
        </w:rPr>
      </w:pPr>
    </w:p>
    <w:p w14:paraId="20E4762E">
      <w:pPr>
        <w:rPr>
          <w:lang w:val="zh-CN"/>
        </w:rPr>
      </w:pPr>
    </w:p>
    <w:p w14:paraId="75ABAFB9">
      <w:pPr>
        <w:rPr>
          <w:lang w:val="zh-CN"/>
        </w:rPr>
      </w:pPr>
    </w:p>
    <w:p w14:paraId="5E487A6F">
      <w:pPr>
        <w:rPr>
          <w:lang w:val="zh-CN"/>
        </w:rPr>
      </w:pPr>
    </w:p>
    <w:p w14:paraId="7071D8B7">
      <w:pPr>
        <w:rPr>
          <w:lang w:val="zh-CN"/>
        </w:rPr>
      </w:pPr>
    </w:p>
    <w:p w14:paraId="5BDD883E">
      <w:pPr>
        <w:rPr>
          <w:lang w:val="zh-CN"/>
        </w:rPr>
      </w:pPr>
    </w:p>
    <w:p w14:paraId="4672217B">
      <w:pPr>
        <w:rPr>
          <w:lang w:val="zh-CN"/>
        </w:rPr>
      </w:pPr>
    </w:p>
    <w:p w14:paraId="7F2E5221">
      <w:pPr>
        <w:rPr>
          <w:lang w:val="zh-CN"/>
        </w:rPr>
      </w:pPr>
    </w:p>
    <w:p w14:paraId="33FEE90E">
      <w:pPr>
        <w:rPr>
          <w:lang w:val="zh-CN"/>
        </w:rPr>
      </w:pPr>
    </w:p>
    <w:p w14:paraId="2E049B53">
      <w:pPr>
        <w:rPr>
          <w:lang w:val="zh-CN"/>
        </w:rPr>
      </w:pPr>
    </w:p>
    <w:p w14:paraId="4CE02D8B">
      <w:pPr>
        <w:rPr>
          <w:lang w:val="zh-CN"/>
        </w:rPr>
      </w:pPr>
    </w:p>
    <w:p w14:paraId="075ECD5E">
      <w:pPr>
        <w:rPr>
          <w:lang w:val="zh-CN"/>
        </w:rPr>
      </w:pPr>
    </w:p>
    <w:p w14:paraId="7184C3D6">
      <w:pPr>
        <w:pStyle w:val="235"/>
        <w:spacing w:before="0" w:after="0" w:line="360" w:lineRule="auto"/>
        <w:jc w:val="left"/>
        <w:outlineLvl w:val="1"/>
        <w:rPr>
          <w:rFonts w:ascii="宋体" w:hAnsi="宋体" w:cs="宋体"/>
          <w:color w:val="000000"/>
          <w:sz w:val="30"/>
          <w:szCs w:val="30"/>
          <w:lang w:val="zh-CN"/>
        </w:rPr>
      </w:pPr>
      <w:r>
        <w:rPr>
          <w:rFonts w:hint="eastAsia" w:ascii="宋体" w:hAnsi="宋体" w:cs="宋体"/>
          <w:b w:val="0"/>
          <w:bCs w:val="0"/>
          <w:color w:val="000000"/>
          <w:sz w:val="24"/>
          <w:szCs w:val="24"/>
          <w:lang w:val="zh-CN"/>
        </w:rPr>
        <w:br w:type="page"/>
      </w:r>
      <w:r>
        <w:rPr>
          <w:rFonts w:hint="eastAsia" w:ascii="宋体" w:hAnsi="宋体" w:cs="宋体"/>
          <w:color w:val="000000"/>
          <w:sz w:val="30"/>
          <w:szCs w:val="30"/>
          <w:lang w:val="zh-CN"/>
        </w:rPr>
        <w:t>（16.1）制造（生产）企业小型、微型企业声明函</w:t>
      </w:r>
    </w:p>
    <w:p w14:paraId="6E420233">
      <w:pPr>
        <w:widowControl/>
        <w:spacing w:line="360" w:lineRule="auto"/>
        <w:jc w:val="center"/>
        <w:rPr>
          <w:rFonts w:ascii="宋体" w:hAnsi="宋体" w:cs="宋体"/>
          <w:b/>
          <w:color w:val="000000" w:themeColor="text1"/>
        </w:rPr>
      </w:pPr>
    </w:p>
    <w:p w14:paraId="63AB0430">
      <w:pPr>
        <w:autoSpaceDE w:val="0"/>
        <w:autoSpaceDN w:val="0"/>
        <w:spacing w:line="360" w:lineRule="auto"/>
        <w:ind w:firstLine="562" w:firstLineChars="200"/>
        <w:jc w:val="center"/>
        <w:rPr>
          <w:rFonts w:ascii="宋体" w:hAnsi="宋体" w:cs="宋体"/>
          <w:b/>
          <w:bCs/>
          <w:color w:val="000000" w:themeColor="text1"/>
          <w:sz w:val="36"/>
          <w:szCs w:val="36"/>
          <w:lang w:val="zh-CN"/>
        </w:rPr>
      </w:pPr>
      <w:r>
        <w:rPr>
          <w:rFonts w:hint="eastAsia" w:ascii="宋体" w:hAnsi="宋体" w:cs="宋体"/>
          <w:b/>
          <w:bCs/>
          <w:color w:val="000000" w:themeColor="text1"/>
          <w:sz w:val="28"/>
          <w:szCs w:val="28"/>
        </w:rPr>
        <w:t>中小企业声明函</w:t>
      </w:r>
    </w:p>
    <w:p w14:paraId="1A813B24">
      <w:pPr>
        <w:autoSpaceDE w:val="0"/>
        <w:autoSpaceDN w:val="0"/>
        <w:spacing w:line="360" w:lineRule="auto"/>
        <w:rPr>
          <w:rFonts w:ascii="宋体" w:hAnsi="宋体" w:cs="宋体"/>
          <w:color w:val="000000" w:themeColor="text1"/>
          <w:lang w:val="zh-CN"/>
        </w:rPr>
      </w:pPr>
      <w:r>
        <w:rPr>
          <w:rFonts w:hint="eastAsia" w:ascii="宋体" w:hAnsi="宋体" w:cs="宋体"/>
          <w:b/>
          <w:bCs/>
          <w:color w:val="000000" w:themeColor="text1"/>
          <w:lang w:val="zh-CN"/>
        </w:rPr>
        <w:t>致：刚察县政府采购中心</w:t>
      </w:r>
    </w:p>
    <w:p w14:paraId="5456125E">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本公司郑重声明，根据《政府采购促进中小企业发展管理办法》（财库﹝2020﹞46号）的规定，本公司参加</w:t>
      </w:r>
      <w:r>
        <w:rPr>
          <w:rFonts w:hint="eastAsia" w:ascii="宋体" w:hAnsi="宋体" w:cs="宋体"/>
          <w:color w:val="000000" w:themeColor="text1"/>
          <w:u w:val="single"/>
        </w:rPr>
        <w:t>（单位名称）的（项目名称）</w:t>
      </w:r>
      <w:r>
        <w:rPr>
          <w:rFonts w:hint="eastAsia" w:ascii="宋体" w:hAnsi="宋体" w:cs="宋体"/>
          <w:color w:val="000000" w:themeColor="text1"/>
        </w:rPr>
        <w:t>采购活动，提供的货物全部由符合政策要求的中小企业制造。相关企业的具体情况如下：</w:t>
      </w:r>
    </w:p>
    <w:p w14:paraId="36B1A0BC">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1.</w:t>
      </w:r>
      <w:r>
        <w:rPr>
          <w:rFonts w:hint="eastAsia" w:ascii="宋体" w:hAnsi="宋体" w:cs="宋体"/>
          <w:color w:val="000000" w:themeColor="text1"/>
          <w:u w:val="single"/>
        </w:rPr>
        <w:t>（标的名称）</w:t>
      </w:r>
      <w:r>
        <w:rPr>
          <w:rFonts w:hint="eastAsia" w:ascii="宋体" w:hAnsi="宋体" w:cs="宋体"/>
          <w:color w:val="000000" w:themeColor="text1"/>
        </w:rPr>
        <w:t>，属于</w:t>
      </w:r>
      <w:r>
        <w:rPr>
          <w:rFonts w:hint="eastAsia" w:ascii="宋体" w:hAnsi="宋体" w:cs="宋体"/>
          <w:color w:val="000000" w:themeColor="text1"/>
          <w:u w:val="single"/>
        </w:rPr>
        <w:t>（</w:t>
      </w:r>
      <w:r>
        <w:rPr>
          <w:rFonts w:hint="eastAsia" w:ascii="宋体" w:hAnsi="宋体" w:cs="宋体"/>
          <w:color w:val="000000" w:themeColor="text1"/>
          <w:u w:val="single"/>
          <w:lang w:val="en-US" w:eastAsia="zh-CN"/>
        </w:rPr>
        <w:t>制造业</w:t>
      </w:r>
      <w:r>
        <w:rPr>
          <w:rFonts w:hint="eastAsia" w:ascii="宋体" w:hAnsi="宋体" w:cs="宋体"/>
          <w:color w:val="000000" w:themeColor="text1"/>
          <w:u w:val="single"/>
        </w:rPr>
        <w:t>）</w:t>
      </w:r>
      <w:r>
        <w:rPr>
          <w:rFonts w:hint="eastAsia" w:ascii="宋体" w:hAnsi="宋体" w:cs="宋体"/>
          <w:color w:val="000000" w:themeColor="text1"/>
        </w:rPr>
        <w:t>行业；制造商为</w:t>
      </w:r>
      <w:r>
        <w:rPr>
          <w:rFonts w:hint="eastAsia" w:ascii="宋体" w:hAnsi="宋体" w:cs="宋体"/>
          <w:color w:val="000000" w:themeColor="text1"/>
          <w:u w:val="single"/>
        </w:rPr>
        <w:t>（企业名称）</w:t>
      </w:r>
      <w:r>
        <w:rPr>
          <w:rFonts w:hint="eastAsia" w:ascii="宋体" w:hAnsi="宋体" w:cs="宋体"/>
          <w:color w:val="000000" w:themeColor="text1"/>
        </w:rPr>
        <w:t>，从业人员</w:t>
      </w:r>
      <w:r>
        <w:rPr>
          <w:rFonts w:hint="eastAsia" w:ascii="宋体" w:hAnsi="宋体" w:cs="宋体"/>
          <w:color w:val="000000" w:themeColor="text1"/>
          <w:u w:val="single"/>
        </w:rPr>
        <w:t xml:space="preserve">   </w:t>
      </w:r>
      <w:r>
        <w:rPr>
          <w:rFonts w:hint="eastAsia" w:ascii="宋体" w:hAnsi="宋体" w:cs="宋体"/>
          <w:color w:val="000000" w:themeColor="text1"/>
        </w:rPr>
        <w:t>人，营业收入为</w:t>
      </w:r>
      <w:r>
        <w:rPr>
          <w:rFonts w:hint="eastAsia" w:ascii="宋体" w:hAnsi="宋体" w:cs="宋体"/>
          <w:color w:val="000000" w:themeColor="text1"/>
          <w:u w:val="single"/>
        </w:rPr>
        <w:t xml:space="preserve">   </w:t>
      </w:r>
      <w:r>
        <w:rPr>
          <w:rFonts w:hint="eastAsia" w:ascii="宋体" w:hAnsi="宋体" w:cs="宋体"/>
          <w:color w:val="000000" w:themeColor="text1"/>
        </w:rPr>
        <w:t>万元，资产总额为</w:t>
      </w:r>
      <w:r>
        <w:rPr>
          <w:rFonts w:hint="eastAsia" w:ascii="宋体" w:hAnsi="宋体" w:cs="宋体"/>
          <w:color w:val="000000" w:themeColor="text1"/>
          <w:u w:val="single"/>
        </w:rPr>
        <w:t xml:space="preserve">   </w:t>
      </w:r>
      <w:r>
        <w:rPr>
          <w:rFonts w:hint="eastAsia" w:ascii="宋体" w:hAnsi="宋体" w:cs="宋体"/>
          <w:color w:val="000000" w:themeColor="text1"/>
        </w:rPr>
        <w:t>万元</w:t>
      </w:r>
      <w:r>
        <w:rPr>
          <w:rFonts w:hint="eastAsia" w:ascii="宋体" w:hAnsi="宋体" w:cs="宋体"/>
          <w:color w:val="000000" w:themeColor="text1"/>
          <w:vertAlign w:val="superscript"/>
        </w:rPr>
        <w:t>1</w:t>
      </w:r>
      <w:r>
        <w:rPr>
          <w:rFonts w:hint="eastAsia" w:ascii="宋体" w:hAnsi="宋体" w:cs="宋体"/>
          <w:color w:val="000000" w:themeColor="text1"/>
        </w:rPr>
        <w:t>，属于</w:t>
      </w:r>
      <w:r>
        <w:rPr>
          <w:rFonts w:hint="eastAsia" w:ascii="宋体" w:hAnsi="宋体" w:cs="宋体"/>
          <w:color w:val="000000" w:themeColor="text1"/>
          <w:u w:val="single"/>
        </w:rPr>
        <w:t>（中型企业、小型企业、微型企业）</w:t>
      </w:r>
      <w:r>
        <w:rPr>
          <w:rFonts w:hint="eastAsia" w:ascii="宋体" w:hAnsi="宋体" w:cs="宋体"/>
          <w:color w:val="000000" w:themeColor="text1"/>
        </w:rPr>
        <w:t>；</w:t>
      </w:r>
    </w:p>
    <w:p w14:paraId="6931E549">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2.</w:t>
      </w:r>
      <w:r>
        <w:rPr>
          <w:rFonts w:hint="eastAsia" w:ascii="宋体" w:hAnsi="宋体" w:cs="宋体"/>
          <w:color w:val="000000" w:themeColor="text1"/>
          <w:u w:val="single"/>
        </w:rPr>
        <w:t>（标的名称）</w:t>
      </w:r>
      <w:r>
        <w:rPr>
          <w:rFonts w:hint="eastAsia" w:ascii="宋体" w:hAnsi="宋体" w:cs="宋体"/>
          <w:color w:val="000000" w:themeColor="text1"/>
        </w:rPr>
        <w:t>，属于</w:t>
      </w:r>
      <w:r>
        <w:rPr>
          <w:rFonts w:hint="eastAsia" w:ascii="宋体" w:hAnsi="宋体" w:cs="宋体"/>
          <w:color w:val="000000" w:themeColor="text1"/>
          <w:u w:val="single"/>
        </w:rPr>
        <w:t>（采购文件中明确的所属行业）</w:t>
      </w:r>
      <w:r>
        <w:rPr>
          <w:rFonts w:hint="eastAsia" w:ascii="宋体" w:hAnsi="宋体" w:cs="宋体"/>
          <w:color w:val="000000" w:themeColor="text1"/>
        </w:rPr>
        <w:t>行业；制造商为</w:t>
      </w:r>
      <w:r>
        <w:rPr>
          <w:rFonts w:hint="eastAsia" w:ascii="宋体" w:hAnsi="宋体" w:cs="宋体"/>
          <w:color w:val="000000" w:themeColor="text1"/>
          <w:u w:val="single"/>
        </w:rPr>
        <w:t>（企业名称）</w:t>
      </w:r>
      <w:r>
        <w:rPr>
          <w:rFonts w:hint="eastAsia" w:ascii="宋体" w:hAnsi="宋体" w:cs="宋体"/>
          <w:color w:val="000000" w:themeColor="text1"/>
        </w:rPr>
        <w:t>，从业人员</w:t>
      </w:r>
      <w:r>
        <w:rPr>
          <w:rFonts w:hint="eastAsia" w:ascii="宋体" w:hAnsi="宋体" w:cs="宋体"/>
          <w:color w:val="000000" w:themeColor="text1"/>
          <w:u w:val="single"/>
        </w:rPr>
        <w:t xml:space="preserve">   </w:t>
      </w:r>
      <w:r>
        <w:rPr>
          <w:rFonts w:hint="eastAsia" w:ascii="宋体" w:hAnsi="宋体" w:cs="宋体"/>
          <w:color w:val="000000" w:themeColor="text1"/>
        </w:rPr>
        <w:t>人，营业收入为</w:t>
      </w:r>
      <w:r>
        <w:rPr>
          <w:rFonts w:hint="eastAsia" w:ascii="宋体" w:hAnsi="宋体" w:cs="宋体"/>
          <w:color w:val="000000" w:themeColor="text1"/>
          <w:u w:val="single"/>
        </w:rPr>
        <w:t xml:space="preserve">   </w:t>
      </w:r>
      <w:r>
        <w:rPr>
          <w:rFonts w:hint="eastAsia" w:ascii="宋体" w:hAnsi="宋体" w:cs="宋体"/>
          <w:color w:val="000000" w:themeColor="text1"/>
        </w:rPr>
        <w:t>万元，资产总额为</w:t>
      </w:r>
      <w:r>
        <w:rPr>
          <w:rFonts w:hint="eastAsia" w:ascii="宋体" w:hAnsi="宋体" w:cs="宋体"/>
          <w:color w:val="000000" w:themeColor="text1"/>
          <w:u w:val="single"/>
        </w:rPr>
        <w:t xml:space="preserve">   </w:t>
      </w:r>
      <w:r>
        <w:rPr>
          <w:rFonts w:hint="eastAsia" w:ascii="宋体" w:hAnsi="宋体" w:cs="宋体"/>
          <w:color w:val="000000" w:themeColor="text1"/>
        </w:rPr>
        <w:t>万元</w:t>
      </w:r>
      <w:r>
        <w:rPr>
          <w:rFonts w:hint="eastAsia" w:ascii="宋体" w:hAnsi="宋体" w:cs="宋体"/>
          <w:color w:val="000000" w:themeColor="text1"/>
          <w:vertAlign w:val="superscript"/>
        </w:rPr>
        <w:t>1</w:t>
      </w:r>
      <w:r>
        <w:rPr>
          <w:rFonts w:hint="eastAsia" w:ascii="宋体" w:hAnsi="宋体" w:cs="宋体"/>
          <w:color w:val="000000" w:themeColor="text1"/>
        </w:rPr>
        <w:t>，属于</w:t>
      </w:r>
      <w:r>
        <w:rPr>
          <w:rFonts w:hint="eastAsia" w:ascii="宋体" w:hAnsi="宋体" w:cs="宋体"/>
          <w:color w:val="000000" w:themeColor="text1"/>
          <w:u w:val="single"/>
        </w:rPr>
        <w:t>（中型企业、小型企业、微型企业）</w:t>
      </w:r>
      <w:r>
        <w:rPr>
          <w:rFonts w:hint="eastAsia" w:ascii="宋体" w:hAnsi="宋体" w:cs="宋体"/>
          <w:color w:val="000000" w:themeColor="text1"/>
        </w:rPr>
        <w:t>；</w:t>
      </w:r>
    </w:p>
    <w:p w14:paraId="76C3E48D">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w:t>
      </w:r>
    </w:p>
    <w:p w14:paraId="6737BAF3">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以上企业，不属于大企业的分支机构，不存在控股股东为大企业的情形，也不存在与大企业的负责人为同一人的情形。</w:t>
      </w:r>
    </w:p>
    <w:p w14:paraId="0965315E">
      <w:pPr>
        <w:widowControl/>
        <w:spacing w:line="360" w:lineRule="auto"/>
        <w:ind w:firstLine="480" w:firstLineChars="200"/>
        <w:jc w:val="left"/>
        <w:rPr>
          <w:rFonts w:ascii="宋体" w:hAnsi="宋体" w:cs="宋体"/>
          <w:color w:val="000000" w:themeColor="text1"/>
        </w:rPr>
      </w:pPr>
      <w:r>
        <w:rPr>
          <w:rFonts w:hint="eastAsia" w:ascii="宋体" w:hAnsi="宋体" w:cs="宋体"/>
          <w:color w:val="000000" w:themeColor="text1"/>
        </w:rPr>
        <w:t>本企业对上述声明内容的真实性负责。如有虚假，将依法承担相应责任。</w:t>
      </w:r>
    </w:p>
    <w:p w14:paraId="1D6CD90A">
      <w:pPr>
        <w:widowControl/>
        <w:spacing w:line="360" w:lineRule="auto"/>
        <w:ind w:firstLine="480" w:firstLineChars="200"/>
        <w:jc w:val="center"/>
        <w:rPr>
          <w:rFonts w:ascii="宋体" w:hAnsi="宋体" w:cs="宋体"/>
          <w:color w:val="000000" w:themeColor="text1"/>
        </w:rPr>
      </w:pPr>
    </w:p>
    <w:p w14:paraId="1CD2D13F">
      <w:pPr>
        <w:widowControl/>
        <w:spacing w:line="360" w:lineRule="auto"/>
        <w:ind w:firstLine="480" w:firstLineChars="200"/>
        <w:jc w:val="center"/>
        <w:rPr>
          <w:rFonts w:ascii="宋体" w:hAnsi="宋体" w:cs="宋体"/>
          <w:color w:val="000000" w:themeColor="text1"/>
        </w:rPr>
      </w:pPr>
    </w:p>
    <w:p w14:paraId="35FD81FE">
      <w:pPr>
        <w:widowControl/>
        <w:spacing w:line="360" w:lineRule="auto"/>
        <w:ind w:firstLine="480" w:firstLineChars="200"/>
        <w:jc w:val="center"/>
        <w:rPr>
          <w:rFonts w:ascii="宋体" w:hAnsi="宋体" w:cs="宋体"/>
          <w:color w:val="000000" w:themeColor="text1"/>
        </w:rPr>
      </w:pPr>
    </w:p>
    <w:p w14:paraId="42323ABD">
      <w:pPr>
        <w:widowControl/>
        <w:spacing w:line="360" w:lineRule="auto"/>
        <w:ind w:firstLine="482" w:firstLineChars="200"/>
        <w:jc w:val="center"/>
        <w:rPr>
          <w:rFonts w:ascii="宋体" w:hAnsi="宋体" w:cs="宋体"/>
          <w:b/>
          <w:bCs/>
          <w:color w:val="000000" w:themeColor="text1"/>
        </w:rPr>
      </w:pPr>
      <w:r>
        <w:rPr>
          <w:rFonts w:hint="eastAsia" w:ascii="宋体" w:hAnsi="宋体" w:cs="宋体"/>
          <w:b/>
          <w:bCs/>
          <w:color w:val="000000" w:themeColor="text1"/>
        </w:rPr>
        <w:t>企业名称（盖章）：</w:t>
      </w:r>
    </w:p>
    <w:p w14:paraId="2DFC2B07">
      <w:pPr>
        <w:widowControl/>
        <w:spacing w:line="360" w:lineRule="auto"/>
        <w:ind w:firstLine="482" w:firstLineChars="200"/>
        <w:jc w:val="center"/>
        <w:rPr>
          <w:rFonts w:ascii="宋体" w:hAnsi="宋体" w:cs="宋体"/>
          <w:b/>
          <w:bCs/>
          <w:color w:val="000000" w:themeColor="text1"/>
        </w:rPr>
      </w:pPr>
      <w:r>
        <w:rPr>
          <w:rFonts w:hint="eastAsia" w:ascii="宋体" w:hAnsi="宋体" w:cs="宋体"/>
          <w:b/>
          <w:bCs/>
          <w:color w:val="000000" w:themeColor="text1"/>
        </w:rPr>
        <w:t>日 期：</w:t>
      </w:r>
    </w:p>
    <w:p w14:paraId="4594384A">
      <w:pPr>
        <w:widowControl/>
        <w:spacing w:line="360" w:lineRule="auto"/>
        <w:jc w:val="left"/>
        <w:rPr>
          <w:rFonts w:ascii="宋体" w:hAnsi="宋体" w:cs="宋体"/>
          <w:color w:val="000000" w:themeColor="text1"/>
        </w:rPr>
      </w:pPr>
      <w:r>
        <w:rPr>
          <w:rFonts w:hint="eastAsia" w:ascii="宋体" w:hAnsi="宋体" w:cs="宋体"/>
          <w:color w:val="000000" w:themeColor="text1"/>
        </w:rPr>
        <w:t>注：1、</w:t>
      </w:r>
      <w:r>
        <w:rPr>
          <w:rFonts w:hint="eastAsia" w:ascii="宋体" w:hAnsi="宋体" w:cs="宋体"/>
          <w:color w:val="000000" w:themeColor="text1"/>
          <w:vertAlign w:val="superscript"/>
        </w:rPr>
        <w:t>1</w:t>
      </w:r>
      <w:r>
        <w:rPr>
          <w:rFonts w:hint="eastAsia" w:ascii="宋体" w:hAnsi="宋体" w:cs="宋体"/>
          <w:color w:val="000000" w:themeColor="text1"/>
        </w:rPr>
        <w:t>从业人员、营业收入、资产总额填报上一年度数据，无上一年度数据的新成立企业可不填报。</w:t>
      </w:r>
    </w:p>
    <w:p w14:paraId="4499FA14">
      <w:pPr>
        <w:widowControl/>
        <w:spacing w:line="360" w:lineRule="auto"/>
        <w:jc w:val="left"/>
        <w:rPr>
          <w:rFonts w:ascii="宋体" w:hAnsi="宋体" w:cs="宋体"/>
          <w:color w:val="000000" w:themeColor="text1"/>
        </w:rPr>
      </w:pPr>
      <w:r>
        <w:rPr>
          <w:rFonts w:hint="eastAsia" w:ascii="宋体" w:hAnsi="宋体" w:cs="宋体"/>
          <w:color w:val="000000" w:themeColor="text1"/>
        </w:rPr>
        <w:t xml:space="preserve">    2、成交供应商享受《政府采购促进中小企业发展管理办法》规定的中小企业扶持政策的，采购代理机构应当随成交结果公开成交供应商的《中小企业声明函》。</w:t>
      </w:r>
    </w:p>
    <w:p w14:paraId="57B198D8">
      <w:pPr>
        <w:widowControl/>
        <w:spacing w:line="360" w:lineRule="auto"/>
        <w:jc w:val="left"/>
        <w:rPr>
          <w:rFonts w:ascii="宋体" w:hAnsi="宋体" w:cs="宋体"/>
          <w:color w:val="000000" w:themeColor="text1"/>
        </w:rPr>
      </w:pPr>
      <w:r>
        <w:rPr>
          <w:rFonts w:hint="eastAsia" w:ascii="宋体" w:hAnsi="宋体" w:cs="宋体"/>
          <w:color w:val="000000" w:themeColor="text1"/>
        </w:rPr>
        <w:t xml:space="preserve">    </w:t>
      </w:r>
      <w:bookmarkStart w:id="84" w:name="_Toc13265"/>
      <w:r>
        <w:rPr>
          <w:rFonts w:hint="eastAsia" w:ascii="宋体" w:hAnsi="宋体" w:cs="宋体"/>
          <w:color w:val="000000" w:themeColor="text1"/>
        </w:rPr>
        <w:t>3、若无此项内容，可不提供此函。</w:t>
      </w:r>
      <w:bookmarkEnd w:id="84"/>
    </w:p>
    <w:p w14:paraId="3113CF97">
      <w:pPr>
        <w:pStyle w:val="235"/>
        <w:spacing w:before="0" w:after="0" w:line="360" w:lineRule="auto"/>
        <w:jc w:val="left"/>
        <w:outlineLvl w:val="1"/>
        <w:rPr>
          <w:rFonts w:ascii="宋体" w:hAnsi="宋体" w:cs="宋体"/>
          <w:color w:val="000000"/>
          <w:sz w:val="30"/>
          <w:szCs w:val="30"/>
          <w:lang w:val="zh-CN"/>
        </w:rPr>
      </w:pPr>
      <w:r>
        <w:rPr>
          <w:rFonts w:hint="eastAsia" w:ascii="宋体" w:hAnsi="宋体" w:cs="宋体"/>
          <w:color w:val="000000"/>
          <w:lang w:val="zh-CN"/>
        </w:rPr>
        <w:br w:type="page" w:clear="all"/>
      </w:r>
      <w:r>
        <w:rPr>
          <w:rFonts w:hint="eastAsia" w:ascii="宋体" w:hAnsi="宋体" w:cs="宋体"/>
          <w:color w:val="000000"/>
          <w:sz w:val="30"/>
          <w:szCs w:val="30"/>
          <w:lang w:val="zh-CN"/>
        </w:rPr>
        <w:t>（16.2）从业人员声明函</w:t>
      </w:r>
    </w:p>
    <w:p w14:paraId="5C4D8428">
      <w:pPr>
        <w:spacing w:line="440" w:lineRule="exact"/>
        <w:ind w:left="6987" w:hanging="6987"/>
        <w:jc w:val="center"/>
        <w:rPr>
          <w:rFonts w:ascii="宋体" w:hAnsi="宋体" w:cs="宋体"/>
          <w:b/>
          <w:bCs/>
          <w:color w:val="000000"/>
          <w:lang w:val="zh-CN"/>
        </w:rPr>
      </w:pPr>
    </w:p>
    <w:p w14:paraId="47C46A5C">
      <w:pPr>
        <w:spacing w:line="440" w:lineRule="exact"/>
        <w:ind w:left="8152" w:hanging="8152"/>
        <w:jc w:val="center"/>
        <w:rPr>
          <w:rFonts w:ascii="宋体" w:hAnsi="宋体" w:cs="宋体"/>
          <w:b/>
          <w:color w:val="000000"/>
        </w:rPr>
      </w:pPr>
      <w:r>
        <w:rPr>
          <w:rFonts w:hint="eastAsia" w:ascii="宋体" w:hAnsi="宋体" w:cs="宋体"/>
          <w:b/>
          <w:color w:val="000000"/>
          <w:sz w:val="28"/>
          <w:szCs w:val="28"/>
        </w:rPr>
        <w:t>从业人员声明函</w:t>
      </w:r>
    </w:p>
    <w:p w14:paraId="0099C12E">
      <w:pPr>
        <w:spacing w:line="440" w:lineRule="exact"/>
        <w:ind w:left="6987" w:hanging="6987"/>
        <w:rPr>
          <w:rFonts w:ascii="宋体" w:hAnsi="宋体" w:cs="宋体"/>
          <w:b/>
          <w:bCs/>
          <w:color w:val="000000"/>
          <w:lang w:val="zh-CN"/>
        </w:rPr>
      </w:pPr>
    </w:p>
    <w:p w14:paraId="295CB99C">
      <w:pPr>
        <w:spacing w:line="440" w:lineRule="exact"/>
        <w:ind w:left="6987" w:hanging="6987"/>
        <w:rPr>
          <w:rFonts w:ascii="宋体" w:hAnsi="宋体" w:cs="宋体"/>
          <w:color w:val="000000"/>
        </w:rPr>
      </w:pPr>
      <w:r>
        <w:rPr>
          <w:rFonts w:hint="eastAsia" w:ascii="宋体" w:hAnsi="宋体" w:cs="宋体"/>
          <w:b/>
          <w:bCs/>
          <w:color w:val="000000"/>
          <w:lang w:val="zh-CN"/>
        </w:rPr>
        <w:t>致：</w:t>
      </w:r>
      <w:r>
        <w:rPr>
          <w:rFonts w:hint="eastAsia" w:ascii="宋体" w:hAnsi="宋体" w:cs="宋体"/>
          <w:b/>
          <w:bCs/>
          <w:color w:val="000000"/>
          <w:u w:val="single"/>
          <w:lang w:val="zh-CN"/>
        </w:rPr>
        <w:t>刚察县政府采购中心</w:t>
      </w:r>
    </w:p>
    <w:p w14:paraId="0BDE9926">
      <w:pPr>
        <w:spacing w:line="440" w:lineRule="exact"/>
        <w:ind w:left="-5" w:firstLine="480"/>
        <w:rPr>
          <w:rFonts w:ascii="宋体" w:hAnsi="宋体" w:cs="宋体"/>
          <w:color w:val="000000"/>
        </w:rPr>
      </w:pPr>
      <w:r>
        <w:rPr>
          <w:rFonts w:hint="eastAsia" w:ascii="宋体" w:hAnsi="宋体" w:cs="宋体"/>
          <w:color w:val="000000"/>
        </w:rPr>
        <w:t>本公司郑重声明：根据《政府采购促进中小企业发展管理办法》（财库﹝2020﹞46 号）、《工业和信息部、国家统计局、国家发展和改革委员会、财政部关于印发中小企业划型标准规定的通知》（工信部联企业[2011]300 号）规定，本公司从业人员数为</w:t>
      </w:r>
      <w:r>
        <w:rPr>
          <w:rFonts w:hint="eastAsia" w:ascii="宋体" w:hAnsi="宋体" w:cs="宋体"/>
          <w:color w:val="000000"/>
          <w:u w:val="single"/>
        </w:rPr>
        <w:t xml:space="preserve">       </w:t>
      </w:r>
      <w:r>
        <w:rPr>
          <w:rFonts w:hint="eastAsia" w:ascii="宋体" w:hAnsi="宋体" w:cs="宋体"/>
          <w:color w:val="000000"/>
        </w:rPr>
        <w:t>人。</w:t>
      </w:r>
    </w:p>
    <w:p w14:paraId="68C46911">
      <w:pPr>
        <w:spacing w:line="440" w:lineRule="exact"/>
        <w:ind w:left="-2" w:firstLine="480"/>
        <w:rPr>
          <w:rFonts w:ascii="宋体" w:hAnsi="宋体" w:cs="宋体"/>
          <w:color w:val="000000"/>
        </w:rPr>
      </w:pPr>
      <w:r>
        <w:rPr>
          <w:rFonts w:hint="eastAsia" w:ascii="宋体" w:hAnsi="宋体" w:cs="宋体"/>
          <w:color w:val="000000"/>
        </w:rPr>
        <w:t>本公司对上述声明的真实性负责，如有虚假，将依法承担相应责任。</w:t>
      </w:r>
    </w:p>
    <w:p w14:paraId="1A033E4F">
      <w:pPr>
        <w:spacing w:line="360" w:lineRule="auto"/>
        <w:jc w:val="center"/>
        <w:rPr>
          <w:rFonts w:ascii="宋体" w:hAnsi="宋体" w:cs="宋体"/>
          <w:b/>
          <w:bCs/>
          <w:color w:val="000000"/>
          <w:lang w:val="zh-CN"/>
        </w:rPr>
      </w:pPr>
    </w:p>
    <w:p w14:paraId="7C59E6FD">
      <w:pPr>
        <w:spacing w:line="360" w:lineRule="auto"/>
        <w:jc w:val="center"/>
        <w:rPr>
          <w:rFonts w:ascii="宋体" w:hAnsi="宋体" w:cs="宋体"/>
          <w:b/>
          <w:bCs/>
          <w:color w:val="000000"/>
          <w:lang w:val="zh-CN"/>
        </w:rPr>
      </w:pPr>
    </w:p>
    <w:p w14:paraId="774AD3AB">
      <w:pPr>
        <w:spacing w:line="360" w:lineRule="auto"/>
        <w:jc w:val="center"/>
        <w:rPr>
          <w:rFonts w:ascii="宋体" w:hAnsi="宋体" w:cs="宋体"/>
          <w:b/>
          <w:bCs/>
          <w:color w:val="000000"/>
          <w:lang w:val="zh-CN"/>
        </w:rPr>
      </w:pPr>
    </w:p>
    <w:p w14:paraId="1C53E18D">
      <w:pPr>
        <w:spacing w:line="360" w:lineRule="auto"/>
        <w:jc w:val="center"/>
        <w:rPr>
          <w:rFonts w:ascii="宋体" w:hAnsi="宋体" w:cs="宋体"/>
          <w:b/>
          <w:bCs/>
          <w:color w:val="000000"/>
          <w:lang w:val="zh-CN"/>
        </w:rPr>
      </w:pPr>
    </w:p>
    <w:p w14:paraId="4E2D26DA">
      <w:pPr>
        <w:spacing w:line="360" w:lineRule="auto"/>
        <w:jc w:val="center"/>
        <w:rPr>
          <w:rFonts w:ascii="宋体" w:hAnsi="宋体" w:cs="宋体"/>
          <w:b/>
          <w:bCs/>
          <w:color w:val="000000"/>
          <w:lang w:val="zh-CN"/>
        </w:rPr>
      </w:pPr>
    </w:p>
    <w:p w14:paraId="3F1A6BDF">
      <w:pPr>
        <w:spacing w:line="360" w:lineRule="auto"/>
        <w:jc w:val="center"/>
        <w:rPr>
          <w:rFonts w:ascii="宋体" w:hAnsi="宋体" w:cs="宋体"/>
          <w:b/>
          <w:bCs/>
          <w:color w:val="000000"/>
          <w:lang w:val="zh-CN"/>
        </w:rPr>
      </w:pPr>
    </w:p>
    <w:p w14:paraId="366B388E">
      <w:pPr>
        <w:spacing w:line="360" w:lineRule="auto"/>
        <w:jc w:val="center"/>
        <w:rPr>
          <w:rFonts w:ascii="宋体" w:hAnsi="宋体" w:cs="宋体"/>
          <w:b/>
          <w:bCs/>
          <w:color w:val="000000"/>
          <w:lang w:val="zh-CN"/>
        </w:rPr>
      </w:pPr>
    </w:p>
    <w:p w14:paraId="77B8A477">
      <w:pPr>
        <w:spacing w:line="360" w:lineRule="auto"/>
        <w:jc w:val="center"/>
        <w:rPr>
          <w:rFonts w:ascii="宋体" w:hAnsi="宋体" w:cs="宋体"/>
          <w:b/>
          <w:bCs/>
          <w:color w:val="000000"/>
          <w:lang w:val="zh-CN"/>
        </w:rPr>
      </w:pPr>
    </w:p>
    <w:p w14:paraId="61952FE4">
      <w:pPr>
        <w:spacing w:line="360" w:lineRule="auto"/>
        <w:jc w:val="center"/>
        <w:rPr>
          <w:rFonts w:ascii="宋体" w:hAnsi="宋体" w:cs="宋体"/>
          <w:b/>
          <w:bCs/>
          <w:color w:val="000000"/>
          <w:lang w:val="zh-CN"/>
        </w:rPr>
      </w:pPr>
    </w:p>
    <w:p w14:paraId="674CA7E2">
      <w:pPr>
        <w:spacing w:line="360" w:lineRule="auto"/>
        <w:jc w:val="center"/>
        <w:rPr>
          <w:rFonts w:ascii="宋体" w:hAnsi="宋体" w:cs="宋体"/>
          <w:b/>
          <w:bCs/>
          <w:color w:val="000000"/>
          <w:lang w:val="zh-CN"/>
        </w:rPr>
      </w:pPr>
    </w:p>
    <w:p w14:paraId="537E86EC">
      <w:pPr>
        <w:spacing w:line="360" w:lineRule="auto"/>
        <w:jc w:val="center"/>
        <w:rPr>
          <w:rFonts w:ascii="宋体" w:hAnsi="宋体" w:cs="宋体"/>
          <w:b/>
          <w:bCs/>
          <w:color w:val="000000"/>
          <w:lang w:val="zh-CN"/>
        </w:rPr>
      </w:pPr>
    </w:p>
    <w:p w14:paraId="5D2B0529">
      <w:pPr>
        <w:spacing w:line="360" w:lineRule="auto"/>
        <w:jc w:val="center"/>
        <w:rPr>
          <w:rFonts w:ascii="宋体" w:hAnsi="宋体" w:cs="宋体"/>
          <w:b/>
          <w:bCs/>
          <w:color w:val="000000"/>
          <w:lang w:val="zh-CN"/>
        </w:rPr>
      </w:pPr>
    </w:p>
    <w:p w14:paraId="6BDBC1B2">
      <w:pPr>
        <w:spacing w:line="360" w:lineRule="auto"/>
        <w:ind w:firstLine="1446" w:firstLineChars="600"/>
        <w:jc w:val="center"/>
        <w:rPr>
          <w:rFonts w:ascii="宋体" w:hAnsi="宋体" w:cs="宋体"/>
          <w:b/>
          <w:bCs/>
          <w:color w:val="000000"/>
          <w:lang w:val="zh-CN"/>
        </w:rPr>
      </w:pPr>
      <w:r>
        <w:rPr>
          <w:rFonts w:hint="eastAsia" w:ascii="宋体" w:hAnsi="宋体" w:cs="宋体"/>
          <w:b/>
          <w:bCs/>
          <w:color w:val="000000"/>
          <w:lang w:val="zh-CN"/>
        </w:rPr>
        <w:t>制造（生产）企业名称：       （公章）</w:t>
      </w:r>
    </w:p>
    <w:p w14:paraId="66E1B346">
      <w:pPr>
        <w:spacing w:line="360" w:lineRule="auto"/>
        <w:ind w:firstLine="1446" w:firstLineChars="600"/>
        <w:jc w:val="center"/>
        <w:rPr>
          <w:rFonts w:ascii="宋体" w:hAnsi="宋体" w:cs="宋体"/>
          <w:b/>
          <w:bCs/>
          <w:color w:val="000000"/>
          <w:lang w:val="zh-CN"/>
        </w:rPr>
      </w:pPr>
      <w:r>
        <w:rPr>
          <w:rFonts w:hint="eastAsia" w:ascii="宋体" w:hAnsi="宋体" w:cs="宋体"/>
          <w:b/>
          <w:bCs/>
          <w:color w:val="000000"/>
          <w:lang w:val="zh-CN"/>
        </w:rPr>
        <w:t>制造（生产）企业法定代表人：       （签字或盖章）</w:t>
      </w:r>
    </w:p>
    <w:p w14:paraId="41AC7F64">
      <w:pPr>
        <w:spacing w:line="360" w:lineRule="auto"/>
        <w:ind w:firstLine="1446" w:firstLineChars="600"/>
        <w:jc w:val="center"/>
        <w:rPr>
          <w:rFonts w:ascii="宋体" w:hAnsi="宋体" w:cs="宋体"/>
          <w:color w:val="000000"/>
          <w:lang w:val="zh-CN"/>
        </w:rPr>
      </w:pPr>
      <w:r>
        <w:rPr>
          <w:rFonts w:hint="eastAsia" w:ascii="宋体" w:hAnsi="宋体" w:cs="宋体"/>
          <w:b/>
          <w:bCs/>
          <w:color w:val="000000"/>
          <w:lang w:val="zh-CN"/>
        </w:rPr>
        <w:t xml:space="preserve">年  </w:t>
      </w:r>
      <w:r>
        <w:rPr>
          <w:rFonts w:hint="eastAsia" w:ascii="宋体" w:hAnsi="宋体" w:cs="宋体"/>
          <w:b/>
          <w:bCs/>
          <w:color w:val="000000"/>
        </w:rPr>
        <w:t xml:space="preserve"> </w:t>
      </w:r>
      <w:r>
        <w:rPr>
          <w:rFonts w:hint="eastAsia" w:ascii="宋体" w:hAnsi="宋体" w:cs="宋体"/>
          <w:b/>
          <w:bCs/>
          <w:color w:val="000000"/>
          <w:lang w:val="zh-CN"/>
        </w:rPr>
        <w:t xml:space="preserve"> 月 </w:t>
      </w:r>
      <w:r>
        <w:rPr>
          <w:rFonts w:hint="eastAsia" w:ascii="宋体" w:hAnsi="宋体" w:cs="宋体"/>
          <w:b/>
          <w:bCs/>
          <w:color w:val="000000"/>
        </w:rPr>
        <w:t xml:space="preserve">  </w:t>
      </w:r>
      <w:r>
        <w:rPr>
          <w:rFonts w:hint="eastAsia" w:ascii="宋体" w:hAnsi="宋体" w:cs="宋体"/>
          <w:b/>
          <w:bCs/>
          <w:color w:val="000000"/>
          <w:lang w:val="zh-CN"/>
        </w:rPr>
        <w:t xml:space="preserve"> 日</w:t>
      </w:r>
    </w:p>
    <w:p w14:paraId="192050C4">
      <w:pPr>
        <w:pStyle w:val="235"/>
        <w:spacing w:before="0" w:after="0" w:line="360" w:lineRule="auto"/>
        <w:jc w:val="left"/>
        <w:outlineLvl w:val="1"/>
        <w:rPr>
          <w:rFonts w:ascii="宋体" w:hAnsi="宋体" w:cs="宋体"/>
          <w:color w:val="000000"/>
          <w:sz w:val="30"/>
          <w:szCs w:val="30"/>
          <w:lang w:val="zh-CN"/>
        </w:rPr>
      </w:pPr>
      <w:r>
        <w:rPr>
          <w:rFonts w:hint="eastAsia" w:ascii="宋体" w:hAnsi="宋体" w:cs="宋体"/>
          <w:color w:val="000000"/>
          <w:lang w:val="zh-CN"/>
        </w:rPr>
        <w:br w:type="page" w:clear="all"/>
      </w:r>
      <w:r>
        <w:rPr>
          <w:rFonts w:hint="eastAsia" w:ascii="宋体" w:hAnsi="宋体" w:cs="宋体"/>
          <w:color w:val="000000"/>
          <w:sz w:val="30"/>
          <w:szCs w:val="30"/>
          <w:lang w:val="zh-CN"/>
        </w:rPr>
        <w:t>（17）残疾人福利性单位声明函</w:t>
      </w:r>
    </w:p>
    <w:p w14:paraId="120072AF">
      <w:pPr>
        <w:jc w:val="center"/>
        <w:rPr>
          <w:rFonts w:ascii="宋体" w:hAnsi="宋体" w:cs="宋体"/>
          <w:b/>
          <w:sz w:val="36"/>
          <w:szCs w:val="36"/>
        </w:rPr>
      </w:pPr>
    </w:p>
    <w:p w14:paraId="0FC7F250">
      <w:pPr>
        <w:jc w:val="center"/>
        <w:rPr>
          <w:rFonts w:ascii="宋体" w:hAnsi="宋体" w:cs="宋体"/>
          <w:b/>
          <w:sz w:val="36"/>
          <w:szCs w:val="36"/>
        </w:rPr>
      </w:pPr>
      <w:r>
        <w:rPr>
          <w:rFonts w:hint="eastAsia" w:ascii="宋体" w:hAnsi="宋体" w:cs="宋体"/>
          <w:b/>
          <w:sz w:val="36"/>
          <w:szCs w:val="36"/>
        </w:rPr>
        <w:t>残疾人福利性单位声明函</w:t>
      </w:r>
    </w:p>
    <w:p w14:paraId="199244DD">
      <w:pPr>
        <w:spacing w:after="156"/>
        <w:rPr>
          <w:rFonts w:ascii="宋体" w:hAnsi="宋体" w:cs="宋体"/>
          <w:bCs/>
        </w:rPr>
      </w:pPr>
    </w:p>
    <w:p w14:paraId="6AF472B3">
      <w:pPr>
        <w:spacing w:after="156"/>
        <w:rPr>
          <w:rFonts w:ascii="宋体" w:hAnsi="宋体" w:cs="宋体"/>
          <w:b/>
          <w:bCs/>
        </w:rPr>
      </w:pPr>
      <w:r>
        <w:rPr>
          <w:rFonts w:hint="eastAsia" w:ascii="宋体" w:hAnsi="宋体" w:cs="宋体"/>
          <w:b/>
          <w:bCs/>
        </w:rPr>
        <w:t>致：</w:t>
      </w:r>
      <w:r>
        <w:rPr>
          <w:rFonts w:hint="eastAsia" w:ascii="宋体" w:hAnsi="宋体" w:cs="宋体"/>
          <w:b/>
          <w:bCs/>
          <w:color w:val="000000"/>
          <w:u w:val="single"/>
          <w:lang w:val="zh-CN"/>
        </w:rPr>
        <w:t>刚察县政府采购中心</w:t>
      </w:r>
    </w:p>
    <w:p w14:paraId="480A7CA9">
      <w:pPr>
        <w:spacing w:line="360" w:lineRule="auto"/>
        <w:ind w:firstLine="480"/>
        <w:rPr>
          <w:rFonts w:ascii="宋体" w:hAnsi="宋体" w:cs="宋体"/>
        </w:rPr>
      </w:pPr>
    </w:p>
    <w:p w14:paraId="00D0124C">
      <w:pPr>
        <w:spacing w:line="360" w:lineRule="auto"/>
        <w:ind w:firstLine="480"/>
        <w:rPr>
          <w:rFonts w:ascii="宋体" w:hAnsi="宋体" w:cs="宋体"/>
        </w:rPr>
      </w:pPr>
      <w:r>
        <w:rPr>
          <w:rFonts w:hint="eastAsia" w:ascii="宋体" w:hAnsi="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u w:val="single"/>
        </w:rPr>
        <w:t xml:space="preserve">       </w:t>
      </w:r>
      <w:r>
        <w:rPr>
          <w:rFonts w:hint="eastAsia" w:ascii="宋体" w:hAnsi="宋体" w:cs="宋体"/>
        </w:rPr>
        <w:t>人，安置的残疾人人数</w:t>
      </w:r>
      <w:r>
        <w:rPr>
          <w:rFonts w:hint="eastAsia" w:ascii="宋体" w:hAnsi="宋体" w:cs="宋体"/>
          <w:u w:val="single"/>
        </w:rPr>
        <w:t xml:space="preserve">      </w:t>
      </w:r>
      <w:r>
        <w:rPr>
          <w:rFonts w:hint="eastAsia" w:ascii="宋体" w:hAnsi="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33196E96">
      <w:pPr>
        <w:spacing w:line="360" w:lineRule="auto"/>
        <w:ind w:firstLine="480"/>
        <w:rPr>
          <w:rFonts w:ascii="宋体" w:hAnsi="宋体" w:cs="宋体"/>
        </w:rPr>
      </w:pPr>
      <w:r>
        <w:rPr>
          <w:rFonts w:hint="eastAsia" w:ascii="宋体" w:hAnsi="宋体" w:cs="宋体"/>
        </w:rPr>
        <w:t>本单位对上述声明的真实性负责。如有虚假，将依法承担相应责任。</w:t>
      </w:r>
    </w:p>
    <w:p w14:paraId="46FE591E">
      <w:pPr>
        <w:spacing w:line="360" w:lineRule="auto"/>
        <w:ind w:firstLine="480"/>
        <w:rPr>
          <w:rFonts w:ascii="宋体" w:hAnsi="宋体" w:cs="宋体"/>
        </w:rPr>
      </w:pPr>
    </w:p>
    <w:p w14:paraId="6653A850">
      <w:pPr>
        <w:spacing w:line="360" w:lineRule="auto"/>
        <w:rPr>
          <w:rFonts w:ascii="宋体" w:hAnsi="宋体" w:cs="宋体"/>
        </w:rPr>
      </w:pPr>
      <w:r>
        <w:rPr>
          <w:rFonts w:hint="eastAsia" w:ascii="宋体" w:hAnsi="宋体" w:cs="宋体"/>
        </w:rPr>
        <w:t>注：若无此项内容，可不提供此函。</w:t>
      </w:r>
    </w:p>
    <w:p w14:paraId="7EE7AC7D">
      <w:pPr>
        <w:spacing w:line="360" w:lineRule="auto"/>
        <w:ind w:firstLine="480"/>
        <w:rPr>
          <w:rFonts w:ascii="宋体" w:hAnsi="宋体" w:cs="宋体"/>
        </w:rPr>
      </w:pPr>
    </w:p>
    <w:p w14:paraId="60864050">
      <w:pPr>
        <w:spacing w:line="360" w:lineRule="auto"/>
        <w:ind w:firstLine="480"/>
        <w:rPr>
          <w:rFonts w:ascii="宋体" w:hAnsi="宋体" w:cs="宋体"/>
        </w:rPr>
      </w:pPr>
    </w:p>
    <w:p w14:paraId="4532828B">
      <w:pPr>
        <w:spacing w:line="360" w:lineRule="auto"/>
        <w:ind w:firstLine="480"/>
        <w:rPr>
          <w:rFonts w:ascii="宋体" w:hAnsi="宋体" w:cs="宋体"/>
        </w:rPr>
      </w:pPr>
    </w:p>
    <w:p w14:paraId="652726A3">
      <w:pPr>
        <w:spacing w:line="360" w:lineRule="auto"/>
        <w:ind w:firstLine="480"/>
        <w:rPr>
          <w:rFonts w:ascii="宋体" w:hAnsi="宋体" w:cs="宋体"/>
        </w:rPr>
      </w:pPr>
    </w:p>
    <w:p w14:paraId="1EBC564E">
      <w:pPr>
        <w:spacing w:line="360" w:lineRule="auto"/>
        <w:ind w:firstLine="480"/>
        <w:rPr>
          <w:rFonts w:ascii="宋体" w:hAnsi="宋体" w:cs="宋体"/>
        </w:rPr>
      </w:pPr>
    </w:p>
    <w:p w14:paraId="5F677E98">
      <w:pPr>
        <w:spacing w:line="360" w:lineRule="auto"/>
        <w:ind w:firstLine="480"/>
        <w:rPr>
          <w:rFonts w:ascii="宋体" w:hAnsi="宋体" w:cs="宋体"/>
        </w:rPr>
      </w:pPr>
    </w:p>
    <w:p w14:paraId="376F4CFA">
      <w:pPr>
        <w:spacing w:line="360" w:lineRule="auto"/>
        <w:ind w:firstLine="480"/>
        <w:rPr>
          <w:rFonts w:ascii="宋体" w:hAnsi="宋体" w:cs="宋体"/>
        </w:rPr>
      </w:pPr>
    </w:p>
    <w:p w14:paraId="62D0E7DD">
      <w:pPr>
        <w:spacing w:line="360" w:lineRule="auto"/>
        <w:jc w:val="center"/>
        <w:rPr>
          <w:rFonts w:ascii="宋体" w:hAnsi="宋体" w:cs="宋体"/>
          <w:b/>
        </w:rPr>
      </w:pPr>
      <w:r>
        <w:rPr>
          <w:rFonts w:hint="eastAsia" w:ascii="宋体" w:hAnsi="宋体" w:cs="宋体"/>
          <w:b/>
        </w:rPr>
        <w:t xml:space="preserve">                                企业名称：</w:t>
      </w:r>
      <w:r>
        <w:rPr>
          <w:rFonts w:hint="eastAsia" w:ascii="宋体" w:hAnsi="宋体" w:cs="宋体"/>
          <w:sz w:val="28"/>
          <w:szCs w:val="28"/>
          <w:u w:val="single"/>
        </w:rPr>
        <w:t xml:space="preserve">       </w:t>
      </w:r>
      <w:r>
        <w:rPr>
          <w:rFonts w:hint="eastAsia" w:ascii="宋体" w:hAnsi="宋体" w:cs="宋体"/>
          <w:b/>
        </w:rPr>
        <w:t>（公章）</w:t>
      </w:r>
    </w:p>
    <w:p w14:paraId="76B6275A">
      <w:pPr>
        <w:spacing w:line="360" w:lineRule="auto"/>
        <w:ind w:firstLine="482"/>
        <w:jc w:val="center"/>
        <w:rPr>
          <w:rFonts w:ascii="宋体" w:hAnsi="宋体" w:cs="宋体"/>
          <w:b/>
        </w:rPr>
      </w:pPr>
      <w:r>
        <w:rPr>
          <w:rFonts w:hint="eastAsia" w:ascii="宋体" w:hAnsi="宋体" w:cs="宋体"/>
          <w:b/>
        </w:rPr>
        <w:t xml:space="preserve">                            企业法定代表人：</w:t>
      </w:r>
      <w:r>
        <w:rPr>
          <w:rFonts w:hint="eastAsia" w:ascii="宋体" w:hAnsi="宋体" w:cs="宋体"/>
          <w:sz w:val="28"/>
          <w:szCs w:val="28"/>
          <w:u w:val="single"/>
        </w:rPr>
        <w:t xml:space="preserve">      </w:t>
      </w:r>
      <w:r>
        <w:rPr>
          <w:rFonts w:hint="eastAsia" w:ascii="宋体" w:hAnsi="宋体" w:cs="宋体"/>
          <w:b/>
        </w:rPr>
        <w:t>（签字或盖章）</w:t>
      </w:r>
    </w:p>
    <w:p w14:paraId="32E90E46">
      <w:pPr>
        <w:ind w:firstLine="482"/>
        <w:jc w:val="center"/>
        <w:rPr>
          <w:rFonts w:ascii="宋体" w:hAnsi="宋体" w:cs="宋体"/>
          <w:b/>
        </w:rPr>
      </w:pPr>
      <w:r>
        <w:rPr>
          <w:rFonts w:hint="eastAsia" w:ascii="宋体" w:hAnsi="宋体" w:cs="宋体"/>
          <w:b/>
        </w:rPr>
        <w:t xml:space="preserve">                       年   月   日</w:t>
      </w:r>
    </w:p>
    <w:p w14:paraId="69FB1653">
      <w:pPr>
        <w:pStyle w:val="235"/>
        <w:spacing w:before="0" w:after="0" w:line="360" w:lineRule="auto"/>
        <w:jc w:val="left"/>
        <w:outlineLvl w:val="1"/>
        <w:rPr>
          <w:rFonts w:ascii="宋体" w:hAnsi="宋体" w:cs="宋体"/>
          <w:color w:val="000000"/>
          <w:sz w:val="30"/>
          <w:szCs w:val="30"/>
          <w:lang w:val="zh-CN"/>
        </w:rPr>
      </w:pPr>
      <w:r>
        <w:rPr>
          <w:rFonts w:hint="eastAsia" w:ascii="宋体" w:hAnsi="宋体" w:cs="宋体"/>
        </w:rPr>
        <w:br w:type="page"/>
      </w:r>
      <w:r>
        <w:rPr>
          <w:rFonts w:hint="eastAsia" w:ascii="宋体" w:hAnsi="宋体" w:cs="宋体"/>
          <w:color w:val="000000"/>
          <w:sz w:val="30"/>
          <w:szCs w:val="30"/>
          <w:lang w:val="zh-CN"/>
        </w:rPr>
        <w:t>（18）投标人认为在其他方面有必要说明的事项</w:t>
      </w:r>
    </w:p>
    <w:p w14:paraId="33AE25B8">
      <w:pPr>
        <w:spacing w:line="360" w:lineRule="auto"/>
        <w:rPr>
          <w:rFonts w:ascii="宋体" w:hAnsi="宋体" w:cs="宋体"/>
          <w:color w:val="000000"/>
          <w:sz w:val="28"/>
          <w:szCs w:val="28"/>
          <w:lang w:val="zh-CN"/>
        </w:rPr>
      </w:pPr>
    </w:p>
    <w:p w14:paraId="1B147FCE">
      <w:pPr>
        <w:spacing w:line="360" w:lineRule="auto"/>
        <w:jc w:val="center"/>
        <w:rPr>
          <w:rFonts w:ascii="宋体" w:hAnsi="宋体" w:cs="宋体"/>
          <w:b/>
          <w:bCs/>
          <w:color w:val="000000"/>
          <w:sz w:val="36"/>
          <w:szCs w:val="36"/>
          <w:lang w:val="zh-CN"/>
        </w:rPr>
      </w:pPr>
      <w:r>
        <w:rPr>
          <w:rFonts w:hint="eastAsia" w:ascii="宋体" w:hAnsi="宋体" w:cs="宋体"/>
          <w:b/>
          <w:bCs/>
          <w:color w:val="000000"/>
          <w:sz w:val="28"/>
          <w:szCs w:val="28"/>
          <w:lang w:val="zh-CN"/>
        </w:rPr>
        <w:t>投标人认为在其他方面有必要说明的事项</w:t>
      </w:r>
    </w:p>
    <w:p w14:paraId="39A6BFFC">
      <w:pPr>
        <w:spacing w:line="360" w:lineRule="auto"/>
        <w:rPr>
          <w:rFonts w:ascii="宋体" w:hAnsi="宋体" w:cs="宋体"/>
          <w:color w:val="000000"/>
          <w:lang w:val="zh-CN"/>
        </w:rPr>
      </w:pPr>
      <w:r>
        <w:rPr>
          <w:rFonts w:hint="eastAsia" w:ascii="宋体" w:hAnsi="宋体" w:cs="宋体"/>
          <w:color w:val="000000"/>
          <w:lang w:val="zh-CN"/>
        </w:rPr>
        <w:t>格式自定</w:t>
      </w:r>
    </w:p>
    <w:p w14:paraId="1090C78B">
      <w:pPr>
        <w:pStyle w:val="235"/>
        <w:numPr>
          <w:ilvl w:val="0"/>
          <w:numId w:val="11"/>
        </w:numPr>
        <w:spacing w:before="0" w:after="0" w:line="500" w:lineRule="exact"/>
        <w:rPr>
          <w:rFonts w:ascii="宋体" w:hAnsi="宋体" w:cs="宋体"/>
          <w:color w:val="000000"/>
          <w:szCs w:val="36"/>
          <w:lang w:val="zh-CN"/>
        </w:rPr>
      </w:pPr>
      <w:r>
        <w:rPr>
          <w:rFonts w:hint="eastAsia" w:ascii="宋体" w:hAnsi="宋体" w:cs="宋体"/>
          <w:color w:val="000000"/>
          <w:lang w:val="zh-CN"/>
        </w:rPr>
        <w:br w:type="page" w:clear="all"/>
      </w:r>
      <w:r>
        <w:rPr>
          <w:rFonts w:hint="eastAsia" w:ascii="宋体" w:hAnsi="宋体" w:cs="宋体"/>
          <w:color w:val="000000"/>
          <w:szCs w:val="36"/>
          <w:lang w:val="zh-CN"/>
        </w:rPr>
        <w:t xml:space="preserve"> 采购项目要求及技术参数</w:t>
      </w:r>
    </w:p>
    <w:p w14:paraId="34A4C095">
      <w:pPr>
        <w:pStyle w:val="235"/>
        <w:spacing w:before="0" w:after="0" w:line="360" w:lineRule="auto"/>
        <w:jc w:val="left"/>
        <w:outlineLvl w:val="1"/>
        <w:rPr>
          <w:rFonts w:ascii="宋体" w:hAnsi="宋体" w:cs="宋体"/>
          <w:color w:val="000000"/>
          <w:lang w:val="zh-CN"/>
        </w:rPr>
      </w:pPr>
      <w:r>
        <w:rPr>
          <w:rFonts w:hint="eastAsia" w:ascii="宋体" w:hAnsi="宋体" w:cs="宋体"/>
          <w:color w:val="000000"/>
          <w:sz w:val="28"/>
          <w:szCs w:val="28"/>
          <w:lang w:val="zh-CN"/>
        </w:rPr>
        <w:t>1.投标说明</w:t>
      </w:r>
    </w:p>
    <w:p w14:paraId="0B7AD88B">
      <w:pPr>
        <w:spacing w:line="360" w:lineRule="auto"/>
        <w:ind w:firstLine="480" w:firstLineChars="200"/>
        <w:rPr>
          <w:rFonts w:ascii="宋体" w:hAnsi="宋体" w:cs="宋体"/>
          <w:color w:val="000000"/>
          <w:lang w:val="zh-CN"/>
        </w:rPr>
      </w:pPr>
      <w:r>
        <w:rPr>
          <w:rFonts w:hint="eastAsia" w:ascii="宋体" w:hAnsi="宋体" w:cs="宋体"/>
          <w:color w:val="000000"/>
          <w:lang w:val="zh-CN"/>
        </w:rPr>
        <w:t>1.1</w:t>
      </w:r>
      <w:r>
        <w:rPr>
          <w:rFonts w:hint="eastAsia" w:ascii="宋体" w:hAnsi="宋体" w:cs="宋体"/>
          <w:color w:val="000000"/>
        </w:rPr>
        <w:t xml:space="preserve"> </w:t>
      </w:r>
      <w:r>
        <w:rPr>
          <w:rFonts w:hint="eastAsia" w:ascii="宋体" w:hAnsi="宋体" w:cs="宋体"/>
          <w:color w:val="000000"/>
          <w:lang w:val="zh-CN"/>
        </w:rPr>
        <w:t>投标人可以按照招标文件规定的包号选择投标，但必须对所投包号中的所有内容作为一个整体进行投标，不能拆分或少报。否则，投标无效。</w:t>
      </w:r>
    </w:p>
    <w:p w14:paraId="6F7F1CEE">
      <w:pPr>
        <w:spacing w:line="360" w:lineRule="auto"/>
        <w:ind w:firstLine="480" w:firstLineChars="200"/>
        <w:rPr>
          <w:rFonts w:ascii="宋体" w:hAnsi="宋体" w:cs="宋体"/>
          <w:color w:val="000000"/>
          <w:lang w:val="zh-CN"/>
        </w:rPr>
      </w:pPr>
      <w:r>
        <w:rPr>
          <w:rFonts w:hint="eastAsia" w:ascii="宋体" w:hAnsi="宋体" w:cs="宋体"/>
          <w:color w:val="000000"/>
          <w:lang w:val="zh-CN"/>
        </w:rPr>
        <w:t>1.2</w:t>
      </w:r>
      <w:r>
        <w:rPr>
          <w:rFonts w:hint="eastAsia" w:ascii="宋体" w:hAnsi="宋体" w:cs="宋体"/>
          <w:color w:val="000000"/>
        </w:rPr>
        <w:t xml:space="preserve"> </w:t>
      </w:r>
      <w:r>
        <w:rPr>
          <w:rFonts w:hint="eastAsia" w:ascii="宋体" w:hAnsi="宋体" w:cs="宋体"/>
          <w:color w:val="000000"/>
          <w:lang w:val="zh-CN"/>
        </w:rPr>
        <w:t>投标人必须如实填写“技术规格响应表”，在“投标产品技术参数、指标”栏中列出所投产品的具体技术参数、指标；以采购人需求为最低指标要求，投标人对超出或不满足最低指标要求的指标需列出“＋、-”偏差。如果与投标文件中提供的产品检测报告、彩页等证明材料中的实质性响应情况不一致或直接复制招标文件“采购需求技术参数、指标”内容的，按无效投标处理。</w:t>
      </w:r>
    </w:p>
    <w:p w14:paraId="39EAF74E">
      <w:pPr>
        <w:spacing w:line="360" w:lineRule="auto"/>
        <w:ind w:firstLine="480" w:firstLineChars="200"/>
        <w:rPr>
          <w:rFonts w:ascii="宋体" w:hAnsi="宋体" w:cs="宋体"/>
          <w:color w:val="000000"/>
          <w:lang w:val="zh-CN"/>
        </w:rPr>
      </w:pPr>
      <w:r>
        <w:rPr>
          <w:rFonts w:hint="eastAsia" w:ascii="宋体" w:hAnsi="宋体" w:cs="宋体"/>
          <w:color w:val="000000"/>
          <w:lang w:val="zh-CN"/>
        </w:rPr>
        <w:t>1.</w:t>
      </w:r>
      <w:r>
        <w:rPr>
          <w:rFonts w:hint="eastAsia" w:ascii="宋体" w:hAnsi="宋体" w:cs="宋体"/>
          <w:color w:val="000000"/>
        </w:rPr>
        <w:t xml:space="preserve">3 </w:t>
      </w:r>
      <w:r>
        <w:rPr>
          <w:rFonts w:hint="eastAsia" w:ascii="宋体" w:hAnsi="宋体" w:cs="宋体"/>
          <w:color w:val="000000"/>
          <w:lang w:val="zh-CN"/>
        </w:rPr>
        <w:t>招标内容中未特别标注为“原装进口”字样的产品，投标人须投国产产品；标注为“原装进口”字样的产品，投标人可以投进口产品，但如果因信息不对称等原因，仍有满足采购需求的国内产品要求参与采购竞争的，可以投国产产品，并且按照公平竞争原则实施采购。</w:t>
      </w:r>
    </w:p>
    <w:p w14:paraId="31BD79FB">
      <w:pPr>
        <w:spacing w:line="360" w:lineRule="auto"/>
        <w:ind w:firstLine="480" w:firstLineChars="200"/>
        <w:rPr>
          <w:rFonts w:ascii="宋体" w:hAnsi="宋体" w:cs="宋体"/>
          <w:color w:val="000000"/>
          <w:lang w:val="zh-CN"/>
        </w:rPr>
      </w:pPr>
      <w:r>
        <w:rPr>
          <w:rFonts w:hint="eastAsia" w:ascii="宋体" w:hAnsi="宋体" w:cs="宋体"/>
          <w:color w:val="000000"/>
        </w:rPr>
        <w:t>1.4</w:t>
      </w:r>
      <w:r>
        <w:rPr>
          <w:rFonts w:ascii="宋体" w:hAnsi="宋体" w:cs="宋体"/>
          <w:color w:val="000000"/>
        </w:rPr>
        <w:t xml:space="preserve"> </w:t>
      </w:r>
      <w:r>
        <w:rPr>
          <w:rFonts w:hint="eastAsia" w:ascii="宋体" w:hAnsi="宋体"/>
        </w:rPr>
        <w:t>所投产品或其任何一部分不得侵犯专利权、著作权、商标权和工业设计权等知识产权。</w:t>
      </w:r>
    </w:p>
    <w:p w14:paraId="3A0477AA">
      <w:pPr>
        <w:spacing w:line="360" w:lineRule="auto"/>
        <w:ind w:firstLine="480" w:firstLineChars="200"/>
        <w:rPr>
          <w:rFonts w:ascii="宋体" w:hAnsi="宋体" w:cs="宋体"/>
          <w:color w:val="000000"/>
        </w:rPr>
      </w:pPr>
      <w:r>
        <w:rPr>
          <w:rFonts w:hint="eastAsia" w:ascii="宋体" w:hAnsi="宋体" w:cs="宋体"/>
          <w:color w:val="000000"/>
        </w:rPr>
        <w:t>1.</w:t>
      </w:r>
      <w:r>
        <w:rPr>
          <w:rFonts w:ascii="宋体" w:hAnsi="宋体" w:cs="宋体"/>
          <w:color w:val="000000"/>
        </w:rPr>
        <w:t>5</w:t>
      </w:r>
      <w:r>
        <w:rPr>
          <w:rFonts w:hint="eastAsia" w:ascii="宋体" w:hAnsi="宋体" w:cs="宋体"/>
          <w:color w:val="000000"/>
        </w:rPr>
        <w:t xml:space="preserve"> 项目中标后分包情况：不允许。</w:t>
      </w:r>
    </w:p>
    <w:p w14:paraId="01B54FDB">
      <w:pPr>
        <w:pStyle w:val="235"/>
        <w:spacing w:before="0" w:after="0" w:line="360" w:lineRule="auto"/>
        <w:jc w:val="left"/>
        <w:outlineLvl w:val="1"/>
        <w:rPr>
          <w:rFonts w:ascii="宋体" w:hAnsi="宋体" w:cs="宋体"/>
          <w:color w:val="000000"/>
          <w:lang w:val="zh-CN"/>
        </w:rPr>
      </w:pPr>
      <w:r>
        <w:rPr>
          <w:rFonts w:hint="eastAsia" w:ascii="宋体" w:hAnsi="宋体" w:cs="宋体"/>
          <w:color w:val="000000"/>
          <w:sz w:val="28"/>
          <w:szCs w:val="28"/>
        </w:rPr>
        <w:t>2.</w:t>
      </w:r>
      <w:r>
        <w:rPr>
          <w:rFonts w:hint="eastAsia" w:ascii="宋体" w:hAnsi="宋体" w:cs="宋体"/>
          <w:color w:val="000000"/>
          <w:sz w:val="28"/>
          <w:szCs w:val="28"/>
          <w:lang w:val="zh-CN"/>
        </w:rPr>
        <w:t>重要指标</w:t>
      </w:r>
    </w:p>
    <w:p w14:paraId="76B23279">
      <w:pPr>
        <w:spacing w:line="360" w:lineRule="auto"/>
        <w:ind w:left="480"/>
        <w:rPr>
          <w:rFonts w:ascii="宋体" w:hAnsi="宋体" w:cs="宋体"/>
          <w:b/>
          <w:bCs/>
          <w:color w:val="000000"/>
          <w:lang w:val="zh-CN"/>
        </w:rPr>
      </w:pPr>
      <w:r>
        <w:rPr>
          <w:rFonts w:hint="eastAsia" w:ascii="宋体" w:hAnsi="宋体" w:cs="宋体"/>
          <w:color w:val="000000"/>
        </w:rPr>
        <w:t>2</w:t>
      </w:r>
      <w:r>
        <w:rPr>
          <w:rFonts w:hint="eastAsia" w:ascii="宋体" w:hAnsi="宋体" w:cs="宋体"/>
          <w:color w:val="000000"/>
          <w:lang w:val="zh-CN"/>
        </w:rPr>
        <w:t>.1</w:t>
      </w:r>
      <w:r>
        <w:rPr>
          <w:rFonts w:hint="eastAsia" w:ascii="宋体" w:hAnsi="宋体" w:cs="宋体"/>
          <w:color w:val="000000"/>
        </w:rPr>
        <w:t xml:space="preserve"> </w:t>
      </w:r>
      <w:r>
        <w:rPr>
          <w:rFonts w:hint="eastAsia" w:ascii="宋体" w:hAnsi="宋体" w:cs="宋体"/>
          <w:color w:val="000000"/>
          <w:lang w:val="zh-CN"/>
        </w:rPr>
        <w:t>“</w:t>
      </w:r>
      <w:r>
        <w:rPr>
          <w:rFonts w:hint="eastAsia" w:ascii="宋体" w:hAnsi="宋体" w:cs="宋体"/>
          <w:b/>
          <w:bCs/>
          <w:color w:val="000000"/>
          <w:lang w:val="zh-CN"/>
        </w:rPr>
        <w:t>技术参数”中用第五部分或打分项说明的符号标注的属于重要技术参数、指标。</w:t>
      </w:r>
    </w:p>
    <w:p w14:paraId="5C11713E">
      <w:pPr>
        <w:spacing w:line="360" w:lineRule="auto"/>
        <w:ind w:left="480"/>
        <w:rPr>
          <w:rFonts w:ascii="宋体" w:hAnsi="宋体" w:cs="宋体"/>
          <w:color w:val="000000"/>
          <w:lang w:val="zh-CN"/>
        </w:rPr>
      </w:pPr>
      <w:r>
        <w:rPr>
          <w:rFonts w:hint="eastAsia" w:ascii="宋体" w:hAnsi="宋体" w:cs="宋体"/>
          <w:color w:val="000000"/>
        </w:rPr>
        <w:t>2</w:t>
      </w:r>
      <w:r>
        <w:rPr>
          <w:rFonts w:hint="eastAsia" w:ascii="宋体" w:hAnsi="宋体" w:cs="宋体"/>
          <w:color w:val="000000"/>
          <w:lang w:val="zh-CN"/>
        </w:rPr>
        <w:t>.2</w:t>
      </w:r>
      <w:r>
        <w:rPr>
          <w:rFonts w:hint="eastAsia" w:ascii="宋体" w:hAnsi="宋体" w:cs="宋体"/>
          <w:color w:val="000000"/>
        </w:rPr>
        <w:t xml:space="preserve"> </w:t>
      </w:r>
      <w:r>
        <w:rPr>
          <w:rFonts w:hint="eastAsia" w:ascii="宋体" w:hAnsi="宋体" w:cs="宋体"/>
          <w:color w:val="000000"/>
          <w:lang w:val="zh-CN"/>
        </w:rPr>
        <w:t>招标文件中凡需与原有设备、系统并机、兼容、匹配等要求的，请主动和采购人联系，取得原有设备、系统相关资料。若有招标文件未提及或变更内容的，请及时与刚察县政府采购中心联系。</w:t>
      </w:r>
    </w:p>
    <w:p w14:paraId="3A473ABD">
      <w:pPr>
        <w:spacing w:line="360" w:lineRule="auto"/>
        <w:ind w:left="480"/>
        <w:rPr>
          <w:rFonts w:ascii="宋体" w:hAnsi="宋体" w:cs="宋体"/>
          <w:color w:val="000000"/>
        </w:rPr>
      </w:pPr>
      <w:r>
        <w:rPr>
          <w:rFonts w:hint="eastAsia" w:ascii="宋体" w:hAnsi="宋体" w:cs="宋体"/>
          <w:color w:val="000000"/>
        </w:rPr>
        <w:t>2</w:t>
      </w:r>
      <w:r>
        <w:rPr>
          <w:rFonts w:hint="eastAsia" w:ascii="宋体" w:hAnsi="宋体" w:cs="宋体"/>
          <w:color w:val="000000"/>
          <w:lang w:val="zh-CN"/>
        </w:rPr>
        <w:t>.3</w:t>
      </w:r>
      <w:r>
        <w:rPr>
          <w:rFonts w:hint="eastAsia" w:ascii="宋体" w:hAnsi="宋体" w:cs="宋体"/>
          <w:color w:val="000000"/>
        </w:rPr>
        <w:t xml:space="preserve"> </w:t>
      </w:r>
      <w:r>
        <w:rPr>
          <w:rFonts w:hint="eastAsia" w:ascii="宋体" w:hAnsi="宋体" w:cs="宋体"/>
          <w:color w:val="000000"/>
          <w:lang w:val="zh-CN"/>
        </w:rPr>
        <w:t>技术参数中除注明签订合同时提供</w:t>
      </w:r>
      <w:r>
        <w:rPr>
          <w:rFonts w:hint="eastAsia" w:ascii="宋体" w:hAnsi="宋体" w:cs="宋体"/>
          <w:color w:val="000000"/>
        </w:rPr>
        <w:t>的相关授权、服务承诺等资料以外，其余相关资料在投标时必须附在投标文件中。</w:t>
      </w:r>
    </w:p>
    <w:p w14:paraId="2401A5D9">
      <w:pPr>
        <w:spacing w:line="360" w:lineRule="auto"/>
        <w:rPr>
          <w:rFonts w:ascii="宋体" w:hAnsi="宋体" w:cs="宋体"/>
          <w:color w:val="000000"/>
        </w:rPr>
      </w:pPr>
    </w:p>
    <w:p w14:paraId="58FF46FC">
      <w:pPr>
        <w:pStyle w:val="13"/>
        <w:rPr>
          <w:rFonts w:ascii="宋体" w:hAnsi="宋体" w:cs="宋体"/>
          <w:color w:val="000000"/>
        </w:rPr>
      </w:pPr>
    </w:p>
    <w:p w14:paraId="340C9114">
      <w:pPr>
        <w:rPr>
          <w:rFonts w:ascii="宋体" w:hAnsi="宋体" w:cs="宋体"/>
          <w:color w:val="000000"/>
        </w:rPr>
      </w:pPr>
    </w:p>
    <w:p w14:paraId="001E8A37">
      <w:pPr>
        <w:pStyle w:val="13"/>
        <w:sectPr>
          <w:headerReference r:id="rId3" w:type="default"/>
          <w:footerReference r:id="rId4" w:type="default"/>
          <w:footerReference r:id="rId5" w:type="even"/>
          <w:pgSz w:w="11906" w:h="16838" w:orient="landscape"/>
          <w:pgMar w:top="1440" w:right="1466" w:bottom="1440" w:left="1800" w:header="851" w:footer="992" w:gutter="0"/>
          <w:cols w:space="1701" w:num="1"/>
        </w:sectPr>
      </w:pPr>
    </w:p>
    <w:p w14:paraId="7AA5DF7D">
      <w:pPr>
        <w:widowControl/>
        <w:ind w:firstLine="640"/>
        <w:jc w:val="left"/>
        <w:rPr>
          <w:rFonts w:ascii="宋体" w:hAnsi="宋体" w:cs="宋体"/>
          <w:color w:val="000000"/>
          <w:lang w:val="zh-CN"/>
        </w:rPr>
      </w:pPr>
      <w:r>
        <w:rPr>
          <w:rFonts w:hint="eastAsia" w:ascii="黑体" w:hAnsi="黑体" w:eastAsia="黑体" w:cs="黑体"/>
          <w:color w:val="000000"/>
          <w:sz w:val="32"/>
          <w:szCs w:val="32"/>
        </w:rPr>
        <w:t>一、采购需求</w:t>
      </w:r>
      <w:r>
        <w:rPr>
          <w:rFonts w:hint="eastAsia" w:ascii="宋体" w:hAnsi="宋体" w:cs="宋体"/>
          <w:color w:val="000000"/>
          <w:lang w:val="zh-CN"/>
        </w:rPr>
        <w:t>（是指采购人为实现项目目标，拟采购的标的及其需要满足的所有技术、商务要求）</w:t>
      </w:r>
    </w:p>
    <w:tbl>
      <w:tblPr>
        <w:tblStyle w:val="31"/>
        <w:tblW w:w="5602" w:type="pct"/>
        <w:tblInd w:w="-59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
        <w:gridCol w:w="661"/>
        <w:gridCol w:w="6669"/>
        <w:gridCol w:w="6"/>
        <w:gridCol w:w="417"/>
        <w:gridCol w:w="6"/>
        <w:gridCol w:w="814"/>
        <w:gridCol w:w="10"/>
      </w:tblGrid>
      <w:tr w14:paraId="7D98F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19" w:hRule="atLeast"/>
        </w:trPr>
        <w:tc>
          <w:tcPr>
            <w:tcW w:w="509" w:type="pct"/>
            <w:shd w:val="clear" w:color="auto" w:fill="auto"/>
            <w:noWrap/>
            <w:vAlign w:val="center"/>
          </w:tcPr>
          <w:p w14:paraId="184297D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序号</w:t>
            </w:r>
          </w:p>
        </w:tc>
        <w:tc>
          <w:tcPr>
            <w:tcW w:w="346" w:type="pct"/>
            <w:shd w:val="clear" w:color="auto" w:fill="auto"/>
            <w:noWrap/>
            <w:vAlign w:val="center"/>
          </w:tcPr>
          <w:p w14:paraId="471F4E65">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设备软件名称</w:t>
            </w:r>
          </w:p>
        </w:tc>
        <w:tc>
          <w:tcPr>
            <w:tcW w:w="3493" w:type="pct"/>
            <w:gridSpan w:val="2"/>
            <w:shd w:val="clear" w:color="auto" w:fill="auto"/>
            <w:noWrap/>
            <w:vAlign w:val="center"/>
          </w:tcPr>
          <w:p w14:paraId="68419AB2">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主要性能指标</w:t>
            </w:r>
          </w:p>
        </w:tc>
        <w:tc>
          <w:tcPr>
            <w:tcW w:w="221" w:type="pct"/>
            <w:gridSpan w:val="2"/>
            <w:shd w:val="clear" w:color="auto" w:fill="auto"/>
            <w:noWrap/>
            <w:vAlign w:val="center"/>
          </w:tcPr>
          <w:p w14:paraId="1599367A">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单位</w:t>
            </w:r>
          </w:p>
        </w:tc>
        <w:tc>
          <w:tcPr>
            <w:tcW w:w="428" w:type="pct"/>
            <w:gridSpan w:val="2"/>
            <w:shd w:val="clear" w:color="auto" w:fill="auto"/>
            <w:noWrap/>
            <w:vAlign w:val="center"/>
          </w:tcPr>
          <w:p w14:paraId="57D70C5F">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数量</w:t>
            </w:r>
          </w:p>
        </w:tc>
      </w:tr>
      <w:tr w14:paraId="50194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402" w:hRule="atLeast"/>
        </w:trPr>
        <w:tc>
          <w:tcPr>
            <w:tcW w:w="4994" w:type="pct"/>
            <w:gridSpan w:val="7"/>
            <w:shd w:val="clear" w:color="auto" w:fill="auto"/>
            <w:noWrap/>
            <w:vAlign w:val="center"/>
          </w:tcPr>
          <w:p w14:paraId="68DC0A9F">
            <w:pPr>
              <w:widowControl/>
              <w:jc w:val="center"/>
              <w:textAlignment w:val="center"/>
              <w:rPr>
                <w:rFonts w:ascii="宋体" w:hAnsi="宋体" w:cs="宋体"/>
                <w:color w:val="000000" w:themeColor="text1"/>
                <w:sz w:val="22"/>
                <w:szCs w:val="22"/>
              </w:rPr>
            </w:pPr>
            <w:r>
              <w:rPr>
                <w:rFonts w:hint="eastAsia" w:ascii="宋体" w:hAnsi="宋体" w:cs="宋体"/>
                <w:b/>
                <w:bCs/>
                <w:color w:val="000000" w:themeColor="text1"/>
                <w:sz w:val="22"/>
                <w:szCs w:val="22"/>
              </w:rPr>
              <w:t>入区登记大厅（1间）</w:t>
            </w:r>
          </w:p>
        </w:tc>
      </w:tr>
      <w:tr w14:paraId="5FC5A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002BA5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w:t>
            </w:r>
          </w:p>
        </w:tc>
        <w:tc>
          <w:tcPr>
            <w:tcW w:w="346" w:type="pct"/>
            <w:shd w:val="clear" w:color="auto" w:fill="auto"/>
            <w:noWrap/>
            <w:vAlign w:val="center"/>
          </w:tcPr>
          <w:p w14:paraId="6A4F2009">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727DB7F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64E4E9E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585BF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57209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2068BE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w:t>
            </w:r>
          </w:p>
        </w:tc>
        <w:tc>
          <w:tcPr>
            <w:tcW w:w="346" w:type="pct"/>
            <w:shd w:val="clear" w:color="auto" w:fill="auto"/>
            <w:noWrap/>
            <w:vAlign w:val="center"/>
          </w:tcPr>
          <w:p w14:paraId="205674B0">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3D79E82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p>
          <w:p w14:paraId="5D5332D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3A0DD0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E055B4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41D6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353E2EF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w:t>
            </w:r>
          </w:p>
        </w:tc>
        <w:tc>
          <w:tcPr>
            <w:tcW w:w="346" w:type="pct"/>
            <w:shd w:val="clear" w:color="auto" w:fill="auto"/>
            <w:noWrap/>
            <w:vAlign w:val="center"/>
          </w:tcPr>
          <w:p w14:paraId="1B4F093D">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自动登记终端</w:t>
            </w:r>
          </w:p>
        </w:tc>
        <w:tc>
          <w:tcPr>
            <w:tcW w:w="3489" w:type="pct"/>
            <w:shd w:val="clear" w:color="auto" w:fill="auto"/>
            <w:vAlign w:val="center"/>
          </w:tcPr>
          <w:p w14:paraId="4D8A753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系统功能：1.二代身份证：支持二代身份证识别，读取身份证信息；2.人脸识别：支持双目活体人脸识别、人证比对；3.网络通信：支持双网口，支持局域网和互联网通信；4.触屏操作：支持触屏操作办理业务；5.文件打印：A4激光打印机。</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硬件规格：触摸显示屏；尺寸：≥20寸；分辨率：≥1080P，16:9；面板类型：TFT、LED背光；亮度/对比度：≥250 cd/m²/ 3000:1（透射）；可视角度(H/V)：≥178/178°；反应时间：&lt;16ms；透光率：&gt;88%；身份识别系统：安全认证：内置公安部认证的二代证读卡器安全模块；读卡距离：至少0-5cm；读卡速度：读卡速度≤1.5秒；感应角度：卡片与感应区平面最大张角70°</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主机；处理器：≥4核；内存：≥8G DDR4 2400MHz；存储容量：≥128G SSD；操作系统：正版操作系统</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其他：电源：AC220V±10%，50HZ；接口：双网口、USB、音频口；语音：支持远程语音、功放；工作温度与湿度：0℃—50℃/&lt;80%功耗：&lt;150W；连续工作时间：支持7×24小时</w:t>
            </w:r>
          </w:p>
        </w:tc>
        <w:tc>
          <w:tcPr>
            <w:tcW w:w="221" w:type="pct"/>
            <w:gridSpan w:val="2"/>
            <w:shd w:val="clear" w:color="auto" w:fill="auto"/>
            <w:noWrap/>
            <w:vAlign w:val="center"/>
          </w:tcPr>
          <w:p w14:paraId="0BE31A0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83D382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9CAEC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1635ED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w:t>
            </w:r>
          </w:p>
        </w:tc>
        <w:tc>
          <w:tcPr>
            <w:tcW w:w="346" w:type="pct"/>
            <w:shd w:val="clear" w:color="auto" w:fill="auto"/>
            <w:noWrap/>
            <w:vAlign w:val="center"/>
          </w:tcPr>
          <w:p w14:paraId="31291DC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执法流程管控终端</w:t>
            </w:r>
          </w:p>
        </w:tc>
        <w:tc>
          <w:tcPr>
            <w:tcW w:w="3489" w:type="pct"/>
            <w:shd w:val="clear" w:color="auto" w:fill="auto"/>
            <w:vAlign w:val="center"/>
          </w:tcPr>
          <w:p w14:paraId="5874BB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系统功能：1.信息展示：支持显示当前在区涉案人数，当前讯问室个数及正在使用的讯问室个数；2.入区登记：支持预约入区签到；支持临出区回区登记；支持入区登记；支持选择入区原因、人员类型、案件信息、警情信息、案由等；支持刷脸识别、警号获取或手动输入主办和协办民警信息；支持民警发卡；支持主办民警和管理员签字；3.出区登记：支持展示在区涉案人员列表，包括头像、姓名、性别、证件类型、证件号码、入区时间；支持对在区涉案人员进行最终出区操作和临时出区操作；支持选择出区原由；支持查看涉案人员办案流程情况；支持查看涉案人员出区审批情况，未审批无法出区；支持出区管理员签字。</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硬件规格：显示屏：≥15英寸电容触摸屏；分辨率：≥1920*1080；操作方式：触摸屏操作+实体按键；摄像头：≥200万双目超清摄像头；音频输入：双mic，支持≥2米拾音距离；音频输出：≥3W喇叭；用户数量：≥20000个；人脸识别：容量≥20000张，识别距离至少满足0.3-2m，支持真人检测；指纹识别：电容式指纹，容量≥5000枚；人证核验：内置身份证阅读器，支持人证核验功能；供电方式：DC 12V或标准POE；防水等级：≥IP65；工作温度：-10℃—50℃</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含终端桌面安装支架及终端电源。</w:t>
            </w:r>
          </w:p>
        </w:tc>
        <w:tc>
          <w:tcPr>
            <w:tcW w:w="221" w:type="pct"/>
            <w:gridSpan w:val="2"/>
            <w:shd w:val="clear" w:color="auto" w:fill="auto"/>
            <w:noWrap/>
            <w:vAlign w:val="center"/>
          </w:tcPr>
          <w:p w14:paraId="553F26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07ADA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00B4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3C68E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w:t>
            </w:r>
          </w:p>
        </w:tc>
        <w:tc>
          <w:tcPr>
            <w:tcW w:w="346" w:type="pct"/>
            <w:shd w:val="clear" w:color="auto" w:fill="auto"/>
            <w:noWrap/>
            <w:vAlign w:val="center"/>
          </w:tcPr>
          <w:p w14:paraId="7DE87C2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18D488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0821D8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21388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04C8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1C26679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w:t>
            </w:r>
          </w:p>
        </w:tc>
        <w:tc>
          <w:tcPr>
            <w:tcW w:w="346" w:type="pct"/>
            <w:shd w:val="clear" w:color="auto" w:fill="auto"/>
            <w:noWrap/>
            <w:vAlign w:val="center"/>
          </w:tcPr>
          <w:p w14:paraId="5D4176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4C925A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205ACB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F0425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C6A4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5B7BB85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w:t>
            </w:r>
          </w:p>
        </w:tc>
        <w:tc>
          <w:tcPr>
            <w:tcW w:w="346" w:type="pct"/>
            <w:shd w:val="clear" w:color="auto" w:fill="auto"/>
            <w:noWrap/>
            <w:vAlign w:val="center"/>
          </w:tcPr>
          <w:p w14:paraId="3B62B47E">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59D5BD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3F6223B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5E02155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10B64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871D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17E157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w:t>
            </w:r>
          </w:p>
        </w:tc>
        <w:tc>
          <w:tcPr>
            <w:tcW w:w="346" w:type="pct"/>
            <w:shd w:val="clear" w:color="auto" w:fill="auto"/>
            <w:noWrap/>
            <w:vAlign w:val="center"/>
          </w:tcPr>
          <w:p w14:paraId="3397BC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案件登记台</w:t>
            </w:r>
          </w:p>
        </w:tc>
        <w:tc>
          <w:tcPr>
            <w:tcW w:w="3489" w:type="pct"/>
            <w:shd w:val="clear" w:color="auto" w:fill="auto"/>
            <w:vAlign w:val="center"/>
          </w:tcPr>
          <w:p w14:paraId="42285DB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 1、基材：精选高密度板，板材厚度不小于 2.5cm，厚度升级承重有力，桌子更加平稳，木纹纹理清晰，经防潮、防虫、防腐处理，抗弯力强，不易变形。</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2、产品经过新工艺多层覆合，无异味、0 甲醛，通过各项检测，更环保；油漆：四道底漆，三道面漆，底漆采用环保油漆，面漆采用环保聚酯漆，色泽均匀、光滑耐用可长期保持表面效果。</w:t>
            </w:r>
          </w:p>
        </w:tc>
        <w:tc>
          <w:tcPr>
            <w:tcW w:w="221" w:type="pct"/>
            <w:gridSpan w:val="2"/>
            <w:shd w:val="clear" w:color="auto" w:fill="auto"/>
            <w:noWrap/>
            <w:vAlign w:val="center"/>
          </w:tcPr>
          <w:p w14:paraId="1C8415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项</w:t>
            </w:r>
          </w:p>
        </w:tc>
        <w:tc>
          <w:tcPr>
            <w:tcW w:w="428" w:type="pct"/>
            <w:gridSpan w:val="2"/>
            <w:shd w:val="clear" w:color="auto" w:fill="auto"/>
            <w:noWrap/>
            <w:vAlign w:val="center"/>
          </w:tcPr>
          <w:p w14:paraId="695D5F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0318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0" w:hRule="atLeast"/>
        </w:trPr>
        <w:tc>
          <w:tcPr>
            <w:tcW w:w="508" w:type="pct"/>
            <w:shd w:val="clear" w:color="auto" w:fill="auto"/>
            <w:noWrap/>
            <w:vAlign w:val="center"/>
          </w:tcPr>
          <w:p w14:paraId="6221A7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1.9</w:t>
            </w:r>
          </w:p>
        </w:tc>
        <w:tc>
          <w:tcPr>
            <w:tcW w:w="346" w:type="pct"/>
            <w:shd w:val="clear" w:color="auto" w:fill="auto"/>
            <w:noWrap/>
            <w:vAlign w:val="center"/>
          </w:tcPr>
          <w:p w14:paraId="4DE29F3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民警登记坐具</w:t>
            </w:r>
          </w:p>
        </w:tc>
        <w:tc>
          <w:tcPr>
            <w:tcW w:w="3489" w:type="pct"/>
            <w:shd w:val="clear" w:color="auto" w:fill="auto"/>
            <w:vAlign w:val="center"/>
          </w:tcPr>
          <w:p w14:paraId="35CAC2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 密度高弹力 海绵，软硬适中、表面有一层保护面,可防氧化,防碎，永不变形。实木扶手，实木油漆。</w:t>
            </w:r>
          </w:p>
        </w:tc>
        <w:tc>
          <w:tcPr>
            <w:tcW w:w="221" w:type="pct"/>
            <w:gridSpan w:val="2"/>
            <w:shd w:val="clear" w:color="auto" w:fill="auto"/>
            <w:noWrap/>
            <w:vAlign w:val="center"/>
          </w:tcPr>
          <w:p w14:paraId="08FF73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7A78D9D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D16A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35" w:hRule="atLeast"/>
        </w:trPr>
        <w:tc>
          <w:tcPr>
            <w:tcW w:w="508" w:type="pct"/>
            <w:shd w:val="clear" w:color="auto" w:fill="auto"/>
            <w:noWrap/>
            <w:vAlign w:val="center"/>
          </w:tcPr>
          <w:p w14:paraId="26E2C5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1.10 </w:t>
            </w:r>
          </w:p>
        </w:tc>
        <w:tc>
          <w:tcPr>
            <w:tcW w:w="346" w:type="pct"/>
            <w:shd w:val="clear" w:color="auto" w:fill="auto"/>
            <w:noWrap/>
            <w:vAlign w:val="center"/>
          </w:tcPr>
          <w:p w14:paraId="2427C2B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入区登记显示屏</w:t>
            </w:r>
          </w:p>
        </w:tc>
        <w:tc>
          <w:tcPr>
            <w:tcW w:w="3489" w:type="pct"/>
            <w:shd w:val="clear" w:color="auto" w:fill="auto"/>
            <w:vAlign w:val="center"/>
          </w:tcPr>
          <w:p w14:paraId="7ED0E1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显示尺寸：≥55 inch LED背光源；背光源类型：DLED；物理分辨率：≥3840 × 2160 @60 Hz；亮度：≥350 cd/m²；色深度：≥8 bit+FRC；对比度：≥4500：1（Typ.）；响应时间：≤6.5 ms；色域：≥90% NTSC（CIE1931）（Typ.）；刷新率：≥60 Hz</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可视角：≥178°(H)/178°(V)。</w:t>
            </w:r>
          </w:p>
        </w:tc>
        <w:tc>
          <w:tcPr>
            <w:tcW w:w="221" w:type="pct"/>
            <w:gridSpan w:val="2"/>
            <w:shd w:val="clear" w:color="auto" w:fill="auto"/>
            <w:noWrap/>
            <w:vAlign w:val="center"/>
          </w:tcPr>
          <w:p w14:paraId="18DB8D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7FB9CF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DA7D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233" w:hRule="atLeast"/>
        </w:trPr>
        <w:tc>
          <w:tcPr>
            <w:tcW w:w="508" w:type="pct"/>
            <w:shd w:val="clear" w:color="auto" w:fill="auto"/>
            <w:noWrap/>
            <w:vAlign w:val="center"/>
          </w:tcPr>
          <w:p w14:paraId="2B90829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1.11</w:t>
            </w:r>
          </w:p>
        </w:tc>
        <w:tc>
          <w:tcPr>
            <w:tcW w:w="346" w:type="pct"/>
            <w:shd w:val="clear" w:color="auto" w:fill="auto"/>
            <w:noWrap/>
            <w:vAlign w:val="center"/>
          </w:tcPr>
          <w:p w14:paraId="5BDCD2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等候坐具</w:t>
            </w:r>
          </w:p>
        </w:tc>
        <w:tc>
          <w:tcPr>
            <w:tcW w:w="3489" w:type="pct"/>
            <w:shd w:val="clear" w:color="auto" w:fill="auto"/>
            <w:vAlign w:val="center"/>
          </w:tcPr>
          <w:p w14:paraId="1E3ACD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定制，采用铝合金材料铸成形后直接抛光，喷涂空调户外漆粉，采用进口冷扎钢板，除锈处理后静电喷粉，采用优质海绵,真皮或西皮饰面，横梁钢管，喷涂空调户外漆粉，能承受风吹、雨淋和日照的考验。</w:t>
            </w:r>
          </w:p>
        </w:tc>
        <w:tc>
          <w:tcPr>
            <w:tcW w:w="221" w:type="pct"/>
            <w:gridSpan w:val="2"/>
            <w:shd w:val="clear" w:color="auto" w:fill="auto"/>
            <w:noWrap/>
            <w:vAlign w:val="center"/>
          </w:tcPr>
          <w:p w14:paraId="296E82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项</w:t>
            </w:r>
          </w:p>
        </w:tc>
        <w:tc>
          <w:tcPr>
            <w:tcW w:w="428" w:type="pct"/>
            <w:gridSpan w:val="2"/>
            <w:shd w:val="clear" w:color="auto" w:fill="auto"/>
            <w:noWrap/>
            <w:vAlign w:val="center"/>
          </w:tcPr>
          <w:p w14:paraId="77B019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E8DC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295" w:hRule="atLeast"/>
        </w:trPr>
        <w:tc>
          <w:tcPr>
            <w:tcW w:w="508" w:type="pct"/>
            <w:shd w:val="clear" w:color="auto" w:fill="auto"/>
            <w:noWrap/>
            <w:vAlign w:val="center"/>
          </w:tcPr>
          <w:p w14:paraId="2D2513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1.12</w:t>
            </w:r>
          </w:p>
        </w:tc>
        <w:tc>
          <w:tcPr>
            <w:tcW w:w="346" w:type="pct"/>
            <w:shd w:val="clear" w:color="auto" w:fill="auto"/>
            <w:noWrap/>
            <w:vAlign w:val="center"/>
          </w:tcPr>
          <w:p w14:paraId="7174A0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嫌疑人号服</w:t>
            </w:r>
          </w:p>
        </w:tc>
        <w:tc>
          <w:tcPr>
            <w:tcW w:w="3489" w:type="pct"/>
            <w:shd w:val="clear" w:color="auto" w:fill="auto"/>
            <w:vAlign w:val="center"/>
          </w:tcPr>
          <w:p w14:paraId="787094E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材质采用合成纤维，舒适，耐用，采用标准规格尺寸，印有数字或标识，作为在押人员的身份代码，方便监控和管理。</w:t>
            </w:r>
          </w:p>
        </w:tc>
        <w:tc>
          <w:tcPr>
            <w:tcW w:w="221" w:type="pct"/>
            <w:gridSpan w:val="2"/>
            <w:shd w:val="clear" w:color="auto" w:fill="auto"/>
            <w:noWrap/>
            <w:vAlign w:val="center"/>
          </w:tcPr>
          <w:p w14:paraId="2D02AF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76C23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90 </w:t>
            </w:r>
          </w:p>
        </w:tc>
      </w:tr>
      <w:tr w14:paraId="5CA084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893" w:hRule="atLeast"/>
        </w:trPr>
        <w:tc>
          <w:tcPr>
            <w:tcW w:w="508" w:type="pct"/>
            <w:shd w:val="clear" w:color="auto" w:fill="auto"/>
            <w:noWrap/>
            <w:vAlign w:val="center"/>
          </w:tcPr>
          <w:p w14:paraId="76C015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1.13</w:t>
            </w:r>
          </w:p>
        </w:tc>
        <w:tc>
          <w:tcPr>
            <w:tcW w:w="346" w:type="pct"/>
            <w:shd w:val="clear" w:color="auto" w:fill="auto"/>
            <w:noWrap/>
            <w:vAlign w:val="center"/>
          </w:tcPr>
          <w:p w14:paraId="3097BC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物品储物柜</w:t>
            </w:r>
          </w:p>
        </w:tc>
        <w:tc>
          <w:tcPr>
            <w:tcW w:w="3489" w:type="pct"/>
            <w:shd w:val="clear" w:color="auto" w:fill="auto"/>
            <w:vAlign w:val="center"/>
          </w:tcPr>
          <w:p w14:paraId="36D4BAA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铁皮储物柜具有、防火、防腐且耐磨、其表面粉末无毒、无味、色泽鲜艳。铁皮储物柜规格尺寸是：900×420×1850毫米，误差±5%，采用冷轧钢板生产制作，耐用款板材至少满足1.0~1.2毫米厚</w:t>
            </w:r>
          </w:p>
        </w:tc>
        <w:tc>
          <w:tcPr>
            <w:tcW w:w="221" w:type="pct"/>
            <w:gridSpan w:val="2"/>
            <w:shd w:val="clear" w:color="auto" w:fill="auto"/>
            <w:noWrap/>
            <w:vAlign w:val="center"/>
          </w:tcPr>
          <w:p w14:paraId="3B63E01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4D15429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45C8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8932C44">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2</w:t>
            </w:r>
          </w:p>
        </w:tc>
        <w:tc>
          <w:tcPr>
            <w:tcW w:w="4486" w:type="pct"/>
            <w:gridSpan w:val="6"/>
            <w:shd w:val="clear" w:color="auto" w:fill="auto"/>
            <w:noWrap/>
            <w:vAlign w:val="center"/>
          </w:tcPr>
          <w:p w14:paraId="33CF7D71">
            <w:pPr>
              <w:widowControl/>
              <w:jc w:val="center"/>
              <w:textAlignment w:val="center"/>
              <w:rPr>
                <w:rFonts w:ascii="宋体" w:hAnsi="宋体" w:cs="宋体"/>
                <w:color w:val="000000" w:themeColor="text1"/>
                <w:sz w:val="22"/>
                <w:szCs w:val="22"/>
              </w:rPr>
            </w:pPr>
            <w:r>
              <w:rPr>
                <w:rFonts w:hint="eastAsia" w:ascii="宋体" w:hAnsi="宋体" w:cs="宋体"/>
                <w:b/>
                <w:bCs/>
                <w:color w:val="000000" w:themeColor="text1"/>
                <w:sz w:val="22"/>
                <w:szCs w:val="22"/>
              </w:rPr>
              <w:t>人身检查/随身物品保管/信息采集室（1间）</w:t>
            </w:r>
          </w:p>
        </w:tc>
      </w:tr>
      <w:tr w14:paraId="32A98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3876D07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w:t>
            </w:r>
          </w:p>
        </w:tc>
        <w:tc>
          <w:tcPr>
            <w:tcW w:w="346" w:type="pct"/>
            <w:shd w:val="clear" w:color="auto" w:fill="auto"/>
            <w:noWrap/>
            <w:vAlign w:val="center"/>
          </w:tcPr>
          <w:p w14:paraId="0E12D8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2FB5C3D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707282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4066A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EDE3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15693F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2.2</w:t>
            </w:r>
          </w:p>
        </w:tc>
        <w:tc>
          <w:tcPr>
            <w:tcW w:w="346" w:type="pct"/>
            <w:shd w:val="clear" w:color="auto" w:fill="auto"/>
            <w:noWrap/>
            <w:vAlign w:val="center"/>
          </w:tcPr>
          <w:p w14:paraId="55E31CE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6DDCE4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79F952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6D4FAA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F977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06BF26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2.3</w:t>
            </w:r>
          </w:p>
        </w:tc>
        <w:tc>
          <w:tcPr>
            <w:tcW w:w="346" w:type="pct"/>
            <w:shd w:val="clear" w:color="auto" w:fill="auto"/>
            <w:noWrap/>
            <w:vAlign w:val="center"/>
          </w:tcPr>
          <w:p w14:paraId="000968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伤痕抓拍摄像机（固定式）</w:t>
            </w:r>
          </w:p>
        </w:tc>
        <w:tc>
          <w:tcPr>
            <w:tcW w:w="3489" w:type="pct"/>
            <w:shd w:val="clear" w:color="auto" w:fill="auto"/>
            <w:vAlign w:val="center"/>
          </w:tcPr>
          <w:p w14:paraId="28640257">
            <w:pPr>
              <w:widowControl/>
              <w:textAlignment w:val="center"/>
              <w:rPr>
                <w:rFonts w:ascii="宋体" w:hAnsi="宋体" w:cs="宋体"/>
                <w:sz w:val="22"/>
                <w:szCs w:val="22"/>
              </w:rPr>
            </w:pPr>
            <w:r>
              <w:rPr>
                <w:rFonts w:hint="eastAsia" w:ascii="宋体" w:hAnsi="宋体" w:cs="宋体"/>
                <w:sz w:val="22"/>
                <w:szCs w:val="22"/>
              </w:rPr>
              <w:t>1、≥500 万像素 CMOS 传感器，变焦范围≥2.8-12mm</w:t>
            </w:r>
          </w:p>
          <w:p w14:paraId="4EF0C94E">
            <w:pPr>
              <w:widowControl/>
              <w:textAlignment w:val="center"/>
              <w:rPr>
                <w:rFonts w:ascii="宋体" w:hAnsi="宋体" w:cs="宋体"/>
                <w:sz w:val="22"/>
                <w:szCs w:val="22"/>
              </w:rPr>
            </w:pPr>
            <w:r>
              <w:rPr>
                <w:rFonts w:hint="eastAsia" w:ascii="宋体" w:hAnsi="宋体" w:cs="宋体"/>
                <w:sz w:val="22"/>
                <w:szCs w:val="22"/>
              </w:rPr>
              <w:t>2、接口要求：≥ 1 个音频输入接口、≥1 个音频输出接口、≥1 路报警输入接口，≥1 路报警输出接口、≥1 个 TF 卡槽、内置 MIC</w:t>
            </w:r>
          </w:p>
          <w:p w14:paraId="50B2ACFE">
            <w:pPr>
              <w:widowControl/>
              <w:textAlignment w:val="center"/>
              <w:rPr>
                <w:rFonts w:ascii="宋体" w:hAnsi="宋体" w:cs="宋体"/>
                <w:sz w:val="22"/>
                <w:szCs w:val="22"/>
              </w:rPr>
            </w:pPr>
            <w:r>
              <w:rPr>
                <w:rFonts w:hint="eastAsia" w:ascii="宋体" w:hAnsi="宋体" w:cs="宋体"/>
                <w:sz w:val="22"/>
                <w:szCs w:val="22"/>
              </w:rPr>
              <w:t>3、TF 卡支持≥256G</w:t>
            </w:r>
          </w:p>
          <w:p w14:paraId="087DDDE7">
            <w:pPr>
              <w:widowControl/>
              <w:textAlignment w:val="center"/>
              <w:rPr>
                <w:rFonts w:ascii="宋体" w:hAnsi="宋体" w:cs="宋体"/>
                <w:sz w:val="22"/>
                <w:szCs w:val="22"/>
              </w:rPr>
            </w:pPr>
            <w:r>
              <w:rPr>
                <w:rFonts w:hint="eastAsia" w:ascii="宋体" w:hAnsi="宋体" w:cs="宋体"/>
                <w:sz w:val="22"/>
                <w:szCs w:val="22"/>
              </w:rPr>
              <w:t>4、最低照度彩色≤0.002lx（@F1.4，彩色模式）；黑白≤0.001lx（@F1.6，黑白模式）</w:t>
            </w:r>
          </w:p>
          <w:p w14:paraId="6392893D">
            <w:pPr>
              <w:widowControl/>
              <w:textAlignment w:val="center"/>
              <w:rPr>
                <w:rFonts w:ascii="宋体" w:hAnsi="宋体" w:cs="宋体"/>
                <w:sz w:val="22"/>
                <w:szCs w:val="22"/>
              </w:rPr>
            </w:pPr>
            <w:r>
              <w:rPr>
                <w:rFonts w:hint="eastAsia" w:ascii="宋体" w:hAnsi="宋体" w:cs="宋体"/>
                <w:sz w:val="22"/>
                <w:szCs w:val="22"/>
              </w:rPr>
              <w:t>5、水平旋转范围≥350°，垂直旋转范围≥0°～90°</w:t>
            </w:r>
          </w:p>
          <w:p w14:paraId="4CE269E5">
            <w:pPr>
              <w:widowControl/>
              <w:textAlignment w:val="center"/>
              <w:rPr>
                <w:rFonts w:ascii="宋体" w:hAnsi="宋体" w:cs="宋体"/>
                <w:sz w:val="22"/>
                <w:szCs w:val="22"/>
              </w:rPr>
            </w:pPr>
            <w:r>
              <w:rPr>
                <w:rFonts w:hint="eastAsia" w:ascii="宋体" w:hAnsi="宋体" w:cs="宋体"/>
                <w:sz w:val="22"/>
                <w:szCs w:val="22"/>
              </w:rPr>
              <w:t>6、支持设置≥4 块感兴趣区域</w:t>
            </w:r>
          </w:p>
          <w:p w14:paraId="35770B0E">
            <w:pPr>
              <w:widowControl/>
              <w:textAlignment w:val="center"/>
              <w:rPr>
                <w:rFonts w:ascii="宋体" w:hAnsi="宋体" w:cs="宋体"/>
                <w:sz w:val="22"/>
                <w:szCs w:val="22"/>
              </w:rPr>
            </w:pPr>
            <w:r>
              <w:rPr>
                <w:rFonts w:hint="eastAsia" w:ascii="宋体" w:hAnsi="宋体" w:cs="宋体"/>
                <w:sz w:val="22"/>
                <w:szCs w:val="22"/>
              </w:rPr>
              <w:t>7、支持设置黑白名单</w:t>
            </w:r>
          </w:p>
          <w:p w14:paraId="62D4841F">
            <w:pPr>
              <w:widowControl/>
              <w:textAlignment w:val="center"/>
              <w:rPr>
                <w:rFonts w:ascii="宋体" w:hAnsi="宋体" w:cs="宋体"/>
                <w:sz w:val="22"/>
                <w:szCs w:val="22"/>
              </w:rPr>
            </w:pPr>
            <w:r>
              <w:rPr>
                <w:rFonts w:hint="eastAsia" w:ascii="宋体" w:hAnsi="宋体" w:cs="宋体"/>
                <w:sz w:val="22"/>
                <w:szCs w:val="22"/>
              </w:rPr>
              <w:t>8、支持发起单向语音广播（提供第三方出具的检测报告）</w:t>
            </w:r>
          </w:p>
          <w:p w14:paraId="4DDDCE73">
            <w:pPr>
              <w:widowControl/>
              <w:textAlignment w:val="center"/>
              <w:rPr>
                <w:rFonts w:ascii="宋体" w:hAnsi="宋体" w:cs="宋体"/>
                <w:sz w:val="22"/>
                <w:szCs w:val="22"/>
              </w:rPr>
            </w:pPr>
            <w:r>
              <w:rPr>
                <w:rFonts w:hint="eastAsia" w:ascii="宋体" w:hAnsi="宋体" w:cs="宋体"/>
                <w:sz w:val="22"/>
                <w:szCs w:val="22"/>
              </w:rPr>
              <w:t>9、支持周界、物品遗留、物品丢失、徘徊、奔跑、人数统计、人群聚集、值岗检测等智能算法</w:t>
            </w:r>
          </w:p>
          <w:p w14:paraId="78853695">
            <w:pPr>
              <w:widowControl/>
              <w:textAlignment w:val="center"/>
              <w:rPr>
                <w:rFonts w:ascii="宋体" w:hAnsi="宋体" w:cs="宋体"/>
                <w:color w:val="000000" w:themeColor="text1"/>
                <w:sz w:val="22"/>
                <w:szCs w:val="22"/>
              </w:rPr>
            </w:pPr>
            <w:r>
              <w:rPr>
                <w:rFonts w:hint="eastAsia" w:ascii="宋体" w:hAnsi="宋体" w:cs="宋体"/>
                <w:sz w:val="22"/>
                <w:szCs w:val="22"/>
              </w:rPr>
              <w:t>10、摄像机检测到警戒区域有人员出现时，自动抓拍、录像， 并进行语音警示（提供第三方出具的检测报告）</w:t>
            </w:r>
          </w:p>
        </w:tc>
        <w:tc>
          <w:tcPr>
            <w:tcW w:w="221" w:type="pct"/>
            <w:gridSpan w:val="2"/>
            <w:shd w:val="clear" w:color="auto" w:fill="auto"/>
            <w:noWrap/>
            <w:vAlign w:val="center"/>
          </w:tcPr>
          <w:p w14:paraId="3620B3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AF1B9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B94D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40" w:hRule="atLeast"/>
        </w:trPr>
        <w:tc>
          <w:tcPr>
            <w:tcW w:w="508" w:type="pct"/>
            <w:shd w:val="clear" w:color="auto" w:fill="auto"/>
            <w:noWrap/>
            <w:vAlign w:val="center"/>
          </w:tcPr>
          <w:p w14:paraId="16AFE1C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2.4</w:t>
            </w:r>
          </w:p>
        </w:tc>
        <w:tc>
          <w:tcPr>
            <w:tcW w:w="346" w:type="pct"/>
            <w:shd w:val="clear" w:color="auto" w:fill="auto"/>
            <w:noWrap/>
            <w:vAlign w:val="center"/>
          </w:tcPr>
          <w:p w14:paraId="3D843DA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人身检查终端（手持式）</w:t>
            </w:r>
          </w:p>
        </w:tc>
        <w:tc>
          <w:tcPr>
            <w:tcW w:w="3489" w:type="pct"/>
            <w:shd w:val="clear" w:color="auto" w:fill="auto"/>
            <w:vAlign w:val="center"/>
          </w:tcPr>
          <w:p w14:paraId="6AC9A5AB">
            <w:pPr>
              <w:widowControl/>
              <w:textAlignment w:val="center"/>
              <w:rPr>
                <w:rFonts w:ascii="宋体" w:hAnsi="宋体" w:cs="宋体"/>
                <w:sz w:val="22"/>
                <w:szCs w:val="22"/>
              </w:rPr>
            </w:pPr>
            <w:r>
              <w:rPr>
                <w:rFonts w:hint="eastAsia" w:ascii="宋体" w:hAnsi="宋体" w:cs="宋体"/>
                <w:sz w:val="22"/>
                <w:szCs w:val="22"/>
              </w:rPr>
              <w:t>1、手持设计，用于民警对于隐私伤痕抓拍</w:t>
            </w:r>
          </w:p>
          <w:p w14:paraId="257B9CD2">
            <w:pPr>
              <w:widowControl/>
              <w:textAlignment w:val="center"/>
              <w:rPr>
                <w:rFonts w:ascii="宋体" w:hAnsi="宋体" w:cs="宋体"/>
                <w:sz w:val="22"/>
                <w:szCs w:val="22"/>
              </w:rPr>
            </w:pPr>
            <w:r>
              <w:rPr>
                <w:rFonts w:hint="eastAsia" w:ascii="宋体" w:hAnsi="宋体" w:cs="宋体"/>
                <w:sz w:val="22"/>
                <w:szCs w:val="22"/>
              </w:rPr>
              <w:t>2、具有多点触控电容屏，显示屏尺寸应≥5 英寸</w:t>
            </w:r>
          </w:p>
          <w:p w14:paraId="067AF33D">
            <w:pPr>
              <w:widowControl/>
              <w:textAlignment w:val="center"/>
              <w:rPr>
                <w:rFonts w:ascii="宋体" w:hAnsi="宋体" w:cs="宋体"/>
                <w:sz w:val="22"/>
                <w:szCs w:val="22"/>
              </w:rPr>
            </w:pPr>
            <w:r>
              <w:rPr>
                <w:rFonts w:hint="eastAsia" w:ascii="宋体" w:hAnsi="宋体" w:cs="宋体"/>
                <w:sz w:val="22"/>
                <w:szCs w:val="22"/>
              </w:rPr>
              <w:t>3、应内置≥500 万像素摄像头，具有闪光灯、自动对焦功能</w:t>
            </w:r>
          </w:p>
          <w:p w14:paraId="37B99A06">
            <w:pPr>
              <w:widowControl/>
              <w:textAlignment w:val="center"/>
              <w:rPr>
                <w:rFonts w:ascii="宋体" w:hAnsi="宋体" w:cs="宋体"/>
                <w:sz w:val="22"/>
                <w:szCs w:val="22"/>
              </w:rPr>
            </w:pPr>
            <w:r>
              <w:rPr>
                <w:rFonts w:hint="eastAsia" w:ascii="宋体" w:hAnsi="宋体" w:cs="宋体"/>
                <w:sz w:val="22"/>
                <w:szCs w:val="22"/>
              </w:rPr>
              <w:t>4、应支持人脸识别快速关联人员身份（提供第三方出具的检测报告）</w:t>
            </w:r>
          </w:p>
          <w:p w14:paraId="65E5CE37">
            <w:pPr>
              <w:widowControl/>
              <w:textAlignment w:val="center"/>
              <w:rPr>
                <w:rFonts w:ascii="宋体" w:hAnsi="宋体" w:cs="宋体"/>
                <w:sz w:val="22"/>
                <w:szCs w:val="22"/>
              </w:rPr>
            </w:pPr>
            <w:r>
              <w:rPr>
                <w:rFonts w:hint="eastAsia" w:ascii="宋体" w:hAnsi="宋体" w:cs="宋体"/>
                <w:sz w:val="22"/>
                <w:szCs w:val="22"/>
              </w:rPr>
              <w:t>5、应采用电容/电感式传感器，支持采集指纹图像，图像像素为 256X360，采集指纹图片分辨率≥500DPI，支持存储 1000 枚指纹信息</w:t>
            </w:r>
          </w:p>
          <w:p w14:paraId="3C69AD15">
            <w:pPr>
              <w:widowControl/>
              <w:textAlignment w:val="center"/>
              <w:rPr>
                <w:rFonts w:ascii="宋体" w:hAnsi="宋体" w:cs="宋体"/>
                <w:sz w:val="22"/>
                <w:szCs w:val="22"/>
              </w:rPr>
            </w:pPr>
            <w:r>
              <w:rPr>
                <w:rFonts w:hint="eastAsia" w:ascii="宋体" w:hAnsi="宋体" w:cs="宋体"/>
                <w:sz w:val="22"/>
                <w:szCs w:val="22"/>
              </w:rPr>
              <w:t>6、应支持 1：N 人脸识别比对功能，人脸库支持存放 10000 张人脸照片</w:t>
            </w:r>
          </w:p>
          <w:p w14:paraId="6832FBC4">
            <w:pPr>
              <w:widowControl/>
              <w:textAlignment w:val="center"/>
              <w:rPr>
                <w:rFonts w:ascii="宋体" w:hAnsi="宋体" w:cs="宋体"/>
                <w:sz w:val="22"/>
                <w:szCs w:val="22"/>
              </w:rPr>
            </w:pPr>
            <w:r>
              <w:rPr>
                <w:rFonts w:hint="eastAsia" w:ascii="宋体" w:hAnsi="宋体" w:cs="宋体"/>
                <w:sz w:val="22"/>
                <w:szCs w:val="22"/>
              </w:rPr>
              <w:t>7、应支持录入随身物品信息，包括物品图片抓拍、登记民警、物品名称、物品数量、计量单位、是否涉案、特征描述</w:t>
            </w:r>
          </w:p>
          <w:p w14:paraId="117B86CE">
            <w:pPr>
              <w:widowControl/>
              <w:textAlignment w:val="center"/>
              <w:rPr>
                <w:rFonts w:ascii="宋体" w:hAnsi="宋体" w:cs="宋体"/>
                <w:sz w:val="22"/>
                <w:szCs w:val="22"/>
              </w:rPr>
            </w:pPr>
            <w:r>
              <w:rPr>
                <w:rFonts w:hint="eastAsia" w:ascii="宋体" w:hAnsi="宋体" w:cs="宋体"/>
                <w:sz w:val="22"/>
                <w:szCs w:val="22"/>
              </w:rPr>
              <w:t>8、应支持无伤痕信息登记</w:t>
            </w:r>
          </w:p>
          <w:p w14:paraId="16875DCA">
            <w:pPr>
              <w:widowControl/>
              <w:textAlignment w:val="center"/>
              <w:rPr>
                <w:rFonts w:ascii="宋体" w:hAnsi="宋体" w:cs="宋体"/>
                <w:sz w:val="22"/>
                <w:szCs w:val="22"/>
              </w:rPr>
            </w:pPr>
            <w:r>
              <w:rPr>
                <w:rFonts w:hint="eastAsia" w:ascii="宋体" w:hAnsi="宋体" w:cs="宋体"/>
                <w:sz w:val="22"/>
                <w:szCs w:val="22"/>
              </w:rPr>
              <w:t>9、支持对安检文书进行确认，文书内容包括安全检查基本信息、标记人体模型、已拍照片</w:t>
            </w:r>
          </w:p>
          <w:p w14:paraId="4B377ECE">
            <w:pPr>
              <w:widowControl/>
              <w:textAlignment w:val="center"/>
              <w:rPr>
                <w:rFonts w:ascii="宋体" w:hAnsi="宋体" w:cs="宋体"/>
                <w:sz w:val="22"/>
                <w:szCs w:val="22"/>
              </w:rPr>
            </w:pPr>
            <w:r>
              <w:rPr>
                <w:rFonts w:hint="eastAsia" w:ascii="宋体" w:hAnsi="宋体" w:cs="宋体"/>
                <w:sz w:val="22"/>
                <w:szCs w:val="22"/>
              </w:rPr>
              <w:t>10、应支持对嫌疑人身体痕迹部位进行标记拍照（提供第三方出具的检测报告）</w:t>
            </w:r>
          </w:p>
          <w:p w14:paraId="76D8090B">
            <w:pPr>
              <w:widowControl/>
              <w:textAlignment w:val="center"/>
              <w:rPr>
                <w:rFonts w:ascii="宋体" w:hAnsi="宋体" w:cs="宋体"/>
                <w:sz w:val="22"/>
                <w:szCs w:val="22"/>
              </w:rPr>
            </w:pPr>
            <w:r>
              <w:rPr>
                <w:rFonts w:hint="eastAsia" w:ascii="宋体" w:hAnsi="宋体" w:cs="宋体"/>
                <w:sz w:val="22"/>
                <w:szCs w:val="22"/>
              </w:rPr>
              <w:t>11、支持文书签字和捺印</w:t>
            </w:r>
          </w:p>
          <w:p w14:paraId="6F42557B">
            <w:pPr>
              <w:widowControl/>
              <w:textAlignment w:val="center"/>
              <w:rPr>
                <w:rFonts w:ascii="宋体" w:hAnsi="宋体" w:cs="宋体"/>
                <w:sz w:val="22"/>
                <w:szCs w:val="22"/>
              </w:rPr>
            </w:pPr>
            <w:r>
              <w:rPr>
                <w:rFonts w:hint="eastAsia" w:ascii="宋体" w:hAnsi="宋体" w:cs="宋体"/>
                <w:sz w:val="22"/>
                <w:szCs w:val="22"/>
              </w:rPr>
              <w:t>12、支持终端离线操作</w:t>
            </w:r>
          </w:p>
          <w:p w14:paraId="2FF2AADC">
            <w:pPr>
              <w:widowControl/>
              <w:textAlignment w:val="center"/>
              <w:rPr>
                <w:rFonts w:ascii="宋体" w:hAnsi="宋体" w:cs="宋体"/>
                <w:sz w:val="22"/>
                <w:szCs w:val="22"/>
              </w:rPr>
            </w:pPr>
            <w:r>
              <w:rPr>
                <w:rFonts w:hint="eastAsia" w:ascii="宋体" w:hAnsi="宋体" w:cs="宋体"/>
                <w:sz w:val="22"/>
                <w:szCs w:val="22"/>
              </w:rPr>
              <w:t>13、支持终端放回底座时自动与平台进行联网及数据同步并进行充电，实现信息有线传输（提供第三方出具的检测报告）</w:t>
            </w:r>
          </w:p>
          <w:p w14:paraId="0D199911">
            <w:pPr>
              <w:widowControl/>
              <w:textAlignment w:val="center"/>
              <w:rPr>
                <w:rFonts w:ascii="宋体" w:hAnsi="宋体" w:cs="宋体"/>
                <w:color w:val="000000" w:themeColor="text1"/>
                <w:sz w:val="22"/>
                <w:szCs w:val="22"/>
              </w:rPr>
            </w:pPr>
            <w:r>
              <w:rPr>
                <w:rFonts w:hint="eastAsia" w:ascii="宋体" w:hAnsi="宋体" w:cs="宋体"/>
                <w:sz w:val="22"/>
                <w:szCs w:val="22"/>
              </w:rPr>
              <w:t>14、嫌疑人入区后，终端可接收到平台下发的人脸信息；嫌疑人出区后，终端可清除已下发的人脸信息；支持联网时，终端可自动更新人脸信息（提供第三方出具的检测报告）</w:t>
            </w:r>
          </w:p>
        </w:tc>
        <w:tc>
          <w:tcPr>
            <w:tcW w:w="221" w:type="pct"/>
            <w:gridSpan w:val="2"/>
            <w:shd w:val="clear" w:color="auto" w:fill="auto"/>
            <w:noWrap/>
            <w:vAlign w:val="center"/>
          </w:tcPr>
          <w:p w14:paraId="3EBC39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8BC3BE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B703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532E96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2.5</w:t>
            </w:r>
          </w:p>
        </w:tc>
        <w:tc>
          <w:tcPr>
            <w:tcW w:w="346" w:type="pct"/>
            <w:shd w:val="clear" w:color="auto" w:fill="auto"/>
            <w:noWrap/>
            <w:vAlign w:val="center"/>
          </w:tcPr>
          <w:p w14:paraId="7FA052F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安检门</w:t>
            </w:r>
          </w:p>
        </w:tc>
        <w:tc>
          <w:tcPr>
            <w:tcW w:w="3489" w:type="pct"/>
            <w:shd w:val="clear" w:color="auto" w:fill="auto"/>
            <w:vAlign w:val="center"/>
          </w:tcPr>
          <w:p w14:paraId="2CB2A9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探测精度：最高灵敏度正中间可检测到1个硬币大小的金属；不会漏报和串报； </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区位显示：支持1/6防区；</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频率设置：多种频率可调，降低多台门并行使用的干扰；</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 xml:space="preserve">灵敏度调节：灵敏度可以根据需要调整，共有 255 级灵敏度； </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 xml:space="preserve">统计人数：双侧对射红外可以准确检测到通过人数和报警人数； </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面板显示：数码管显示；</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安全保护：符合国际安全标准，对心脏起博器佩带者、孕妇、磁性介质等无害</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电气参数：电源输入DC15 V, 4 A，功率＜10W ，防护等级≥IP41，工作温度和湿度-20℃─45℃，≤95%，无冷凝。</w:t>
            </w:r>
          </w:p>
        </w:tc>
        <w:tc>
          <w:tcPr>
            <w:tcW w:w="221" w:type="pct"/>
            <w:gridSpan w:val="2"/>
            <w:shd w:val="clear" w:color="auto" w:fill="auto"/>
            <w:noWrap/>
            <w:vAlign w:val="center"/>
          </w:tcPr>
          <w:p w14:paraId="415E3C8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D377D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5A19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0FE836E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2.6</w:t>
            </w:r>
          </w:p>
        </w:tc>
        <w:tc>
          <w:tcPr>
            <w:tcW w:w="346" w:type="pct"/>
            <w:shd w:val="clear" w:color="auto" w:fill="auto"/>
            <w:noWrap/>
            <w:vAlign w:val="center"/>
          </w:tcPr>
          <w:p w14:paraId="0F5E7A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手持金属探测器</w:t>
            </w:r>
          </w:p>
        </w:tc>
        <w:tc>
          <w:tcPr>
            <w:tcW w:w="3489" w:type="pct"/>
            <w:shd w:val="clear" w:color="auto" w:fill="auto"/>
            <w:vAlign w:val="center"/>
          </w:tcPr>
          <w:p w14:paraId="1B3726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1.灵敏度高，能探测一枚大头针大小金属物品；2.探测面大、从上到下一次探测完毕、大大的提高工作效率；3.具有三个指示灯显示，开机时绿色灯亮，探测时红色指示灯亮，电压降低时 黄色指示灯亮；4.有声光和振动报警双重提示方式,准确快速判断金属位置；5.具有高低灵敏度调节按钮，根据实际需求调节探测灵敏度。</w:t>
            </w:r>
          </w:p>
        </w:tc>
        <w:tc>
          <w:tcPr>
            <w:tcW w:w="221" w:type="pct"/>
            <w:gridSpan w:val="2"/>
            <w:shd w:val="clear" w:color="auto" w:fill="auto"/>
            <w:noWrap/>
            <w:vAlign w:val="center"/>
          </w:tcPr>
          <w:p w14:paraId="7863966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9DDB9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2880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305B2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2.7</w:t>
            </w:r>
          </w:p>
        </w:tc>
        <w:tc>
          <w:tcPr>
            <w:tcW w:w="346" w:type="pct"/>
            <w:shd w:val="clear" w:color="auto" w:fill="auto"/>
            <w:noWrap/>
            <w:vAlign w:val="center"/>
          </w:tcPr>
          <w:p w14:paraId="0FAA9D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高拍仪</w:t>
            </w:r>
          </w:p>
        </w:tc>
        <w:tc>
          <w:tcPr>
            <w:tcW w:w="3489" w:type="pct"/>
            <w:shd w:val="clear" w:color="auto" w:fill="auto"/>
            <w:vAlign w:val="center"/>
          </w:tcPr>
          <w:p w14:paraId="340A03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摄像头：≥1000万像素，手动对焦；副摄像头：≥200万像素，支持自动对焦，支持水平、上下旋转，可灵活调整拍摄角度。产品高度：≤400mm，立杆高度可调整，以适应A3及以下的拍摄幅面；扫描类型：支持证件、票据、文档、书籍、图片、立体实物、人脸照片的数据采集存档和动态展示；扫描速度：≤1秒；感光元件：CMOS传感器；符合UVC标准；图片格式：JPG、TIF、PDF、BMP、TGA、PCX、PNG、RAS等，支持一键生成PDF文件。视频格式：MP4、AVI、WMV等。接口类型：USB2.0，支持外接电源接口。</w:t>
            </w:r>
          </w:p>
        </w:tc>
        <w:tc>
          <w:tcPr>
            <w:tcW w:w="221" w:type="pct"/>
            <w:gridSpan w:val="2"/>
            <w:shd w:val="clear" w:color="auto" w:fill="auto"/>
            <w:noWrap/>
            <w:vAlign w:val="center"/>
          </w:tcPr>
          <w:p w14:paraId="3951B9E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BDD40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5BB2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5CC2045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2.8</w:t>
            </w:r>
          </w:p>
        </w:tc>
        <w:tc>
          <w:tcPr>
            <w:tcW w:w="346" w:type="pct"/>
            <w:shd w:val="clear" w:color="auto" w:fill="auto"/>
            <w:noWrap/>
            <w:vAlign w:val="center"/>
          </w:tcPr>
          <w:p w14:paraId="442485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53FCE2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27267F5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9DE62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DF97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144C65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2.9</w:t>
            </w:r>
          </w:p>
        </w:tc>
        <w:tc>
          <w:tcPr>
            <w:tcW w:w="346" w:type="pct"/>
            <w:shd w:val="clear" w:color="auto" w:fill="auto"/>
            <w:noWrap/>
            <w:vAlign w:val="center"/>
          </w:tcPr>
          <w:p w14:paraId="6DC49E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人脸物品寄存柜（主柜）</w:t>
            </w:r>
          </w:p>
        </w:tc>
        <w:tc>
          <w:tcPr>
            <w:tcW w:w="3489" w:type="pct"/>
            <w:shd w:val="clear" w:color="auto" w:fill="auto"/>
            <w:vAlign w:val="center"/>
          </w:tcPr>
          <w:p w14:paraId="0232FB9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双面人脸物品寄存主柜，≥12格口：模    式：寄存柜主机，宽边；材质：≥1.0mm冷轧板；以太网卡端口：≥1×1000Mb自适应</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供电配置：自主设计线性稳压电源，稳压性能好，输出纹波小，尺寸：≥高1900mm*宽880mm*深430mm，误差±5%。箱门尺寸：≥高280.8mm*宽310mm*深430mm，误差±5%；工控机：≥4核，≥2GHz，芯片组：单芯片组，内置GPU处理器；显示屏： ≥7英寸LCD触摸显示屏，屏幕比例9:16，屏幕分辨率≥600*1024，采用宽动态≥200万双目摄像头，支持人脸、刷卡、CPU卡序列号、身份证卡序列号）、密码等认证方式，采用深度学习算法，支持照片、视频防假；1:N人脸识别速度≤0.2s，人脸验证准确率≥99%，本地支持 ≥6000 人脸库、≥6000 张卡，≥5 万条事件记录。</w:t>
            </w:r>
          </w:p>
        </w:tc>
        <w:tc>
          <w:tcPr>
            <w:tcW w:w="221" w:type="pct"/>
            <w:gridSpan w:val="2"/>
            <w:shd w:val="clear" w:color="auto" w:fill="auto"/>
            <w:noWrap/>
            <w:vAlign w:val="center"/>
          </w:tcPr>
          <w:p w14:paraId="4284F6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2F0220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E66C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A14CE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2.10 </w:t>
            </w:r>
          </w:p>
        </w:tc>
        <w:tc>
          <w:tcPr>
            <w:tcW w:w="346" w:type="pct"/>
            <w:shd w:val="clear" w:color="auto" w:fill="auto"/>
            <w:noWrap/>
            <w:vAlign w:val="center"/>
          </w:tcPr>
          <w:p w14:paraId="79C9B4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人脸物品寄存柜（副柜）</w:t>
            </w:r>
          </w:p>
        </w:tc>
        <w:tc>
          <w:tcPr>
            <w:tcW w:w="3489" w:type="pct"/>
            <w:shd w:val="clear" w:color="auto" w:fill="auto"/>
            <w:vAlign w:val="center"/>
          </w:tcPr>
          <w:p w14:paraId="10D637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双面人脸物品寄存副柜，≥12格口。模式：寄存柜主机，宽边；材质：≥1.0mm冷轧板；配置：供电（12V/19V兼容）支持JAHC功能。电磁锁：使用电压12V 、电流2A、响应时间小于8ms，尺寸：高≥1900mm*宽760mm*深430mm，±5%，箱门尺寸：≥高280.8mm*宽310mm*深430mm，误差±5%。</w:t>
            </w:r>
          </w:p>
        </w:tc>
        <w:tc>
          <w:tcPr>
            <w:tcW w:w="221" w:type="pct"/>
            <w:gridSpan w:val="2"/>
            <w:shd w:val="clear" w:color="auto" w:fill="auto"/>
            <w:noWrap/>
            <w:vAlign w:val="center"/>
          </w:tcPr>
          <w:p w14:paraId="4C50D8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22D53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E5A90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22" w:hRule="atLeast"/>
        </w:trPr>
        <w:tc>
          <w:tcPr>
            <w:tcW w:w="508" w:type="pct"/>
            <w:shd w:val="clear" w:color="auto" w:fill="auto"/>
            <w:noWrap/>
            <w:vAlign w:val="center"/>
          </w:tcPr>
          <w:p w14:paraId="4D97ADA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2.11</w:t>
            </w:r>
          </w:p>
        </w:tc>
        <w:tc>
          <w:tcPr>
            <w:tcW w:w="346" w:type="pct"/>
            <w:shd w:val="clear" w:color="auto" w:fill="auto"/>
            <w:noWrap/>
            <w:vAlign w:val="center"/>
          </w:tcPr>
          <w:p w14:paraId="1CCC3B7F">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00689E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2F51BD0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39CE36C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0F70F4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669F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793B44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2.12 </w:t>
            </w:r>
          </w:p>
        </w:tc>
        <w:tc>
          <w:tcPr>
            <w:tcW w:w="346" w:type="pct"/>
            <w:shd w:val="clear" w:color="auto" w:fill="auto"/>
            <w:noWrap/>
            <w:vAlign w:val="center"/>
          </w:tcPr>
          <w:p w14:paraId="0D2646F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5BE260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76702E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181F0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2C3A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08" w:hRule="atLeast"/>
        </w:trPr>
        <w:tc>
          <w:tcPr>
            <w:tcW w:w="508" w:type="pct"/>
            <w:shd w:val="clear" w:color="auto" w:fill="auto"/>
            <w:noWrap/>
            <w:vAlign w:val="center"/>
          </w:tcPr>
          <w:p w14:paraId="5F3910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2.13</w:t>
            </w:r>
          </w:p>
        </w:tc>
        <w:tc>
          <w:tcPr>
            <w:tcW w:w="346" w:type="pct"/>
            <w:shd w:val="clear" w:color="auto" w:fill="auto"/>
            <w:noWrap/>
            <w:vAlign w:val="center"/>
          </w:tcPr>
          <w:p w14:paraId="645756E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标</w:t>
            </w:r>
          </w:p>
          <w:p w14:paraId="7059275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采</w:t>
            </w:r>
          </w:p>
          <w:p w14:paraId="6E10FD3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w:t>
            </w:r>
          </w:p>
          <w:p w14:paraId="20EE16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体</w:t>
            </w:r>
          </w:p>
          <w:p w14:paraId="4C5F06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机</w:t>
            </w:r>
          </w:p>
        </w:tc>
        <w:tc>
          <w:tcPr>
            <w:tcW w:w="3489" w:type="pct"/>
            <w:shd w:val="clear" w:color="auto" w:fill="auto"/>
            <w:vAlign w:val="center"/>
          </w:tcPr>
          <w:p w14:paraId="1E1D45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指掌纹一体化采集仪;指纹采集窗口≥36mm*39mm，掌纹采集窗口≥133mm*125mm，有效指纹窗口图像尺寸≥32.5mm*32.5mm.有效张文图像尺寸≥120mm*120mm、指纹图像像素数≥640mm*640mm像素、张文图像像素数≥2362*2362像素，图像分辨率≥500dpi、图像畸变&lt;1%/,图像灰度级≥8位≥256级，背景灰度值≥255，图像背景不均匀度&lt;10%,图像动态灰度范围&gt;180，环境光&lt;300Lx,采集速度&gt;15/秒,工作电压AC200V,工作温度-10°C,工作湿度10%-80%,硬件接口USB2.0,镜头;恒温镜头、加热、自动除雾。2、专用鞋印/足迹电子采集设备、图像区域;不小于 3500mm（长）x150mm（宽）、图像灰度;不小于 256 级、物理分辨率;&gt;130DPI/光学 畸变&lt;1%采集速度：&lt;10 秒、接口;USB2.0.</w:t>
            </w:r>
            <w:r>
              <w:rPr>
                <w:rFonts w:hint="eastAsia" w:ascii="宋体" w:hAnsi="宋体" w:cs="宋体"/>
                <w:color w:val="000000" w:themeColor="text1"/>
                <w:sz w:val="22"/>
                <w:szCs w:val="22"/>
                <w:lang w:eastAsia="zh-CN"/>
              </w:rPr>
              <w:t>，</w:t>
            </w:r>
            <w:r>
              <w:rPr>
                <w:rFonts w:hint="eastAsia" w:ascii="宋体" w:hAnsi="宋体" w:cs="宋体"/>
                <w:color w:val="000000" w:themeColor="text1"/>
                <w:sz w:val="22"/>
                <w:szCs w:val="22"/>
              </w:rPr>
              <w:t>设备采集数据能够与青海省公安厅标采后台系统进行衔接，能够实现与青海省公安厅刑专系统进行无缝数据连接，能够实现与青海省公安厅指掌纹自动识别系统进行数据传输比对</w:t>
            </w:r>
            <w:r>
              <w:rPr>
                <w:rFonts w:hint="eastAsia" w:ascii="宋体" w:hAnsi="宋体" w:cs="宋体"/>
                <w:color w:val="000000" w:themeColor="text1"/>
                <w:sz w:val="22"/>
                <w:szCs w:val="22"/>
                <w:lang w:eastAsia="zh-CN"/>
              </w:rPr>
              <w:t>；</w:t>
            </w:r>
            <w:r>
              <w:rPr>
                <w:rFonts w:hint="eastAsia" w:ascii="宋体" w:hAnsi="宋体" w:cs="宋体"/>
                <w:color w:val="000000" w:themeColor="text1"/>
                <w:sz w:val="22"/>
                <w:szCs w:val="22"/>
              </w:rPr>
              <w:t>3、1.产品采用便携式设计、统一的工作平台，将专业计算机、多功能读卡模块、并行提取模块等硬件集成于一体。全面适配国产操作 ；系统，高效安全，自主可控。 2.专业硬件设备配置： 操作系统：国产操作系统； CPU：； 内存：≥8GB 高速内存； 存储：≥1TB 固态硬盘； 显示器：≥11.6 英寸高亮度触摸液晶显示器，分辩率≥1366×768 或更高； 多功能读卡器：兼容国内所有 SIM 卡(包括 2G\3G\4G\5G)，支持各类存储卡（包括 SD/MS/TF/M2）； USB 口：内置 3 个 3.0； 并行提取模块：支持多个案件检材并行提取，支持 3 路并行高速智能提取； 内置蓝牙模块。 3.配备专用 USB 安全传输线；传输速度不低于 500MB/min（USB3.0 不低于 3.5GB/min）。4、搜痕一体化采集平台，完成多系统、多设备、多项新型信息采集技术的集成。平台尺寸：≥1.5 米*0.5 米*1 米（误差±5mm），采用铁质材料，抗暴 抗砸。5、主机接口：USB 接口；阅读距离：0-5cm；阅读时间&lt;1s；天线谐振频率不小于 13.56MHz；天线表面磁场强度（Hmax）≤7.5A/m（rms）； 天线表面法线方向 5cm 处电磁场强度（Hmin）≥1.5A/mrms。6、传感器类型:CMOS,传感器尺寸不小于:22.3×14.9mm,有效像素不小于:2410 万,光学变焦不小于：3 倍,快门类型:电子控制纵走式焦平面快门,快门速度:不小于 1/4000-30 秒，B 门,显示屏尺寸:不小于 3 英寸,显示屏像素:不小于 92 万像素液晶屏,菜单语言:不小于 25 种（含简体中文）取景器类型:光学,取景器描述:类型：眼平五面镜:视野率：垂直/水平方向约为 95%（眼点约为 21 毫米）,放大 倍率：约 0.8 倍（-1m，使用 50mm 镜头对无限远处对焦）,眼点：约 21 毫米（自目镜透镜中央起，-1m）.（满足基础办案采集需求）</w:t>
            </w:r>
          </w:p>
        </w:tc>
        <w:tc>
          <w:tcPr>
            <w:tcW w:w="221" w:type="pct"/>
            <w:gridSpan w:val="2"/>
            <w:shd w:val="clear" w:color="auto" w:fill="auto"/>
            <w:noWrap/>
            <w:vAlign w:val="center"/>
          </w:tcPr>
          <w:p w14:paraId="49214C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CE12BD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DCE6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0" w:hRule="atLeast"/>
        </w:trPr>
        <w:tc>
          <w:tcPr>
            <w:tcW w:w="508" w:type="pct"/>
            <w:shd w:val="clear" w:color="auto" w:fill="auto"/>
            <w:noWrap/>
            <w:vAlign w:val="center"/>
          </w:tcPr>
          <w:p w14:paraId="1E02E84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2.14</w:t>
            </w:r>
          </w:p>
        </w:tc>
        <w:tc>
          <w:tcPr>
            <w:tcW w:w="346" w:type="pct"/>
            <w:shd w:val="clear" w:color="auto" w:fill="auto"/>
            <w:noWrap/>
            <w:vAlign w:val="center"/>
          </w:tcPr>
          <w:p w14:paraId="345624E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电子数据自助取证一体机</w:t>
            </w:r>
          </w:p>
        </w:tc>
        <w:tc>
          <w:tcPr>
            <w:tcW w:w="3489" w:type="pct"/>
            <w:shd w:val="clear" w:color="auto" w:fill="auto"/>
            <w:vAlign w:val="center"/>
          </w:tcPr>
          <w:p w14:paraId="332B55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一、硬件配置要求：1、≥4 核、主频 ≥1.8GHz、末级缓存容量是 ≥2MB缓存、支持的内存最高速率是 ≥2666MT/s ；配置不低于DDR4 32G 内存；要求配置不低于23.8英寸的电容触摸显示屏，分辨率不低于1920*1080；配置不低于3.84T企业级SSD；预装正版操作系统；2、配置不少于1个SATA/SAS只读接口、1个SATA/SAS读写接口、1个USB3.0只读接口；3、配置不少于4个USB3.0读写口；配置不少于1个蓝光刻录光驱；配置不少于1个手机检验接口；配置万兆网口和千兆网口；二、主要功能：支持对手机和计算机检材进行快速检验，支持硬盘复制和制作镜像；支持上传案件和检材信息、取证结果、检验报告、录屏、录像、截屏、照片等数据到系统上留存归档，确保取证过程可追溯和司法有效性；在联网及获取绑定手机的情况下，支持解析电脑版微信聊天记录、好友信息、群组信息；微信登陆状态下可在线解析无需手机；支持从内存镜像中获取微信密钥进行离线解析；支持QQ解析，在未保存密码的情况下，也可能解析出聊天记录的内容；支持绕过QQ绑定的手机设备锁，在有绑定手机的情况下也可以直接输入登陆密码进行解密；支持macOS系统的钥匙串保存密码提取。三、基本能力：完全由国内自主研发，自主知识产权，无软件潜在泄密风险（须提供软件著作权证书作为佐证）；要求支持开机自启动、支持引导式自助取证流程；要求支持对手机和计算机检材进行快速检验，支持硬盘复制和制作镜像；要求支持对取证过程自动录屏、录像、拍照、截屏，并保存到对应案例目录下；要求支持对取证完成的案件相关数据进行导出、刻录光盘；要求支持自动生成BCP数据包、网页报告、案例压缩包，并支持MD5、SHA-1、SHA-256多种哈希值计算方式；要求支持高拍仪主副摄像头同时录像、拍照功能；支持自助取证过程中进行拍照固定证据功能；要求支持语音提醒，可以对每个重要步骤自动发出语音提醒，增加引导降低学习成本，提升用户使用体验。要求内置打印机，支持一键打印纸质报告。支持取证状态短信提醒功能。要求支持报告文书电子签名功能，签字图片自动插入报告文书中。要求支持电子屏内容自定义功能，满足不同客户对电子屏内容的定制需求。四、 取证分析：要求支持主流操作系统取证；要求支持基本磁盘/动态磁盘、MBR磁盘/GPT磁盘、LDM/LVM磁盘、磁盘阵列重组，支持FAT12、FAT16、FAT32、exFAT、NTFS、CDFS、UDF、Ext2/3/4、HFSX/HFS+ UFS、ReiserFS、XFS、JFS、以及手机上的YAFFS2、ROFS等多种文件系统格式的解析，及多种被删除数据的恢复；要求支持E01、Ex01、L01、DD、IMG、001、ISO、DMG、VMDK、VHD、AFF、Lx01、GHO、VDI、DVD、HDD、HDS、VHDX、QCOW2等镜像文件的加载和分析；要求支持RAID-5HP和RAID-6的RAID磁盘组加载；要求支持自定义报告，摘录功能可以将数据片段、文本信息、文件信息、取证结果或其它类型的数据添加到摘录视图中，并可将摘录数据生成报告以自定义模板形式导出。要求支持简单删除文件恢复、格式化后的文件恢复、被删除的磁盘分区恢复、根据文件头尾特征对被删除文件进行恢复；要求支持对Office复合文件和PDF文件的搜索；要求支持系统痕迹分析功能，可获取USB设备使用记录、应用程序运行痕迹、用户最近访问记录、回收站删除记录等用户痕迹信息；要求支持注册表被删除键名、键值的恢复，并能显示最后写入时间；要求在联网及获取绑定手机的情况下，支持解析电脑版微信聊天记录、好友信息、群组信息；微信登陆状态下可在线解析无需手机；支持从内存镜像中获取微信密钥进行离线解析；要求支持手机微信备份文件解析，可解析备份在电脑上的微信信息。</w:t>
            </w:r>
          </w:p>
        </w:tc>
        <w:tc>
          <w:tcPr>
            <w:tcW w:w="221" w:type="pct"/>
            <w:gridSpan w:val="2"/>
            <w:shd w:val="clear" w:color="auto" w:fill="auto"/>
            <w:noWrap/>
            <w:vAlign w:val="center"/>
          </w:tcPr>
          <w:p w14:paraId="122376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A68370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C71F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696" w:hRule="atLeast"/>
        </w:trPr>
        <w:tc>
          <w:tcPr>
            <w:tcW w:w="508" w:type="pct"/>
            <w:shd w:val="clear" w:color="auto" w:fill="auto"/>
            <w:noWrap/>
            <w:vAlign w:val="center"/>
          </w:tcPr>
          <w:p w14:paraId="20EC18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2.15 </w:t>
            </w:r>
          </w:p>
        </w:tc>
        <w:tc>
          <w:tcPr>
            <w:tcW w:w="346" w:type="pct"/>
            <w:shd w:val="clear" w:color="auto" w:fill="auto"/>
            <w:noWrap/>
            <w:vAlign w:val="center"/>
          </w:tcPr>
          <w:p w14:paraId="33FC81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声纹采集仪</w:t>
            </w:r>
          </w:p>
        </w:tc>
        <w:tc>
          <w:tcPr>
            <w:tcW w:w="3489" w:type="pct"/>
            <w:shd w:val="clear" w:color="auto" w:fill="auto"/>
            <w:vAlign w:val="center"/>
          </w:tcPr>
          <w:p w14:paraId="1BB449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要求：声纹采集：具备高精度、高品质的录音功能，并能够定向采集目标发言人的语音信息，保存高保真语音样本。信息采集：支持目标人员信息采集，包括人员基本信息、类别、案件类型等；支持自动过滤问话人语音，只保留目标人语音；支持采集信息分类列表展示，包括未上报、已上报、审核不通过等；支持上报信息统计并分时间段列表展示；质量检测: 支持声音波形图的实时显示；支持语音数据质量检测实时显示并及时提醒录入语音的有效性；支持有效时长、平均能量、截幅比、信噪比、说话人数、削波、丢帧等检测；语音上报：支持采集到的语音和人员信息提交上报；离线采集时，支持系统联网后上报；注册反馈：支持展示声纹库反馈的声纹注册审核状态，并支持展示声纹编码；</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技术指标：设备外观：设备采用集成化设计，小巧便携，外形美观，能够适配多种采集场景；运行环境：设备通过USB接口连接在客户端电脑上，通过驱动程序进行控制，兼容多版本操纵系统；采集距离：有效采集距离支持0.6-1米的远场采集；角色分离：支持交谈模式下声纹数据采集，定向采集目标发言人语音，准确分离问答双方；断点续录：采集过程中，若声纹采集设备断开连接，采集软件自动暂停录音，设备连接正后，即可继续录音，无需重新采集；灵敏度（参考1 V/Pa，1 kHz）≥50mV/Pa；本机噪声级及信噪比：等效噪声级≤36dB （A计权），信噪比≥50dB；频率响应：50Hz-8KHz；波形失真度：设备采集的语音为高保真音频，其波形失真度要求≤7%，以满足声纹比对和声纹鉴定的业务需求；指向性：指向性满足单向（以1kHz正弦波信号为参考），在不超过±45度入射角（正面）的范围内声压级衰减不超过3 dB（参考0度入射），在超过±60度入射角（正面）的范围内衰减不低于5 dB（参考0度入射）；麦克风阵列：专用声纹采集设备使用麦克风阵列技术，具有16路麦克风，用来对声场的空间特性进行采样并处理；噪声抑制：配合降噪算法，实现混响抑制及语音增强，且对人声语谱无明显影响；稳定性：常温下连续工作48小时以上；入网管理：采集设备具有唯一标识码，可进行入网注册和入网后管理。采集语音格式：单声道，16位量化精度；采样率：16kHz采样率；语音活动检测：具有语音活动检测功能，能够检测和摒弃无人声静音段；有效时长检测：具有有效语音时长检测功能。要求有效语音时长不低于120s，否则无法上报语音；平均能量检测：具有平均能量检测功能。要求语音平均能量不低于-25dB，否则无法上报语音；说话人数检测：具有说话人数检测功能。要求语音数据中仅有一人且为同一人语音，否则无法上报语音；截幅比例检测：具有截幅比例检测功能。要求整段语音截幅比不超过10%，否则无法上报语音；</w:t>
            </w:r>
          </w:p>
        </w:tc>
        <w:tc>
          <w:tcPr>
            <w:tcW w:w="221" w:type="pct"/>
            <w:gridSpan w:val="2"/>
            <w:shd w:val="clear" w:color="auto" w:fill="auto"/>
            <w:noWrap/>
            <w:vAlign w:val="center"/>
          </w:tcPr>
          <w:p w14:paraId="77C8C1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16220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54DB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0" w:hRule="atLeast"/>
        </w:trPr>
        <w:tc>
          <w:tcPr>
            <w:tcW w:w="508" w:type="pct"/>
            <w:shd w:val="clear" w:color="auto" w:fill="auto"/>
            <w:noWrap/>
            <w:vAlign w:val="center"/>
          </w:tcPr>
          <w:p w14:paraId="6CBA3A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2.16</w:t>
            </w:r>
          </w:p>
        </w:tc>
        <w:tc>
          <w:tcPr>
            <w:tcW w:w="346" w:type="pct"/>
            <w:shd w:val="clear" w:color="auto" w:fill="auto"/>
            <w:noWrap/>
            <w:vAlign w:val="center"/>
          </w:tcPr>
          <w:p w14:paraId="2AEF21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台账输出设备</w:t>
            </w:r>
          </w:p>
        </w:tc>
        <w:tc>
          <w:tcPr>
            <w:tcW w:w="3489" w:type="pct"/>
            <w:shd w:val="clear" w:color="auto" w:fill="auto"/>
            <w:vAlign w:val="center"/>
          </w:tcPr>
          <w:p w14:paraId="39ADD1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最大打印幅面A4最高分辨率HQ1200，600×600dpi；黑白打印速度A4：≥18ppm，letter：≥26ppm彩色打印速度A4：≥4ppm，letter：≥12ppm；处理器≥400MHz内存标配：≥64MB，最大：≥64MB；双面打印手动；网络功能不支持网络打印；打印性能首页打印时间黑白＜14秒，彩色＜26秒</w:t>
            </w:r>
          </w:p>
        </w:tc>
        <w:tc>
          <w:tcPr>
            <w:tcW w:w="221" w:type="pct"/>
            <w:gridSpan w:val="2"/>
            <w:shd w:val="clear" w:color="auto" w:fill="auto"/>
            <w:noWrap/>
            <w:vAlign w:val="center"/>
          </w:tcPr>
          <w:p w14:paraId="6867F4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AC902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1317C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0" w:hRule="atLeast"/>
        </w:trPr>
        <w:tc>
          <w:tcPr>
            <w:tcW w:w="508" w:type="pct"/>
            <w:shd w:val="clear" w:color="auto" w:fill="auto"/>
            <w:noWrap/>
            <w:vAlign w:val="center"/>
          </w:tcPr>
          <w:p w14:paraId="079DCFB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2.17</w:t>
            </w:r>
          </w:p>
        </w:tc>
        <w:tc>
          <w:tcPr>
            <w:tcW w:w="346" w:type="pct"/>
            <w:shd w:val="clear" w:color="auto" w:fill="auto"/>
            <w:noWrap/>
            <w:vAlign w:val="center"/>
          </w:tcPr>
          <w:p w14:paraId="333C2F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6F8820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52E892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436910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30DC9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74251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c>
          <w:tcPr>
            <w:tcW w:w="4486" w:type="pct"/>
            <w:gridSpan w:val="6"/>
            <w:shd w:val="clear" w:color="auto" w:fill="auto"/>
            <w:noWrap/>
            <w:vAlign w:val="center"/>
          </w:tcPr>
          <w:p w14:paraId="048F37BB">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尿检室（1间）</w:t>
            </w:r>
          </w:p>
        </w:tc>
      </w:tr>
      <w:tr w14:paraId="2CCD2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41EDB4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3.1</w:t>
            </w:r>
          </w:p>
        </w:tc>
        <w:tc>
          <w:tcPr>
            <w:tcW w:w="346" w:type="pct"/>
            <w:shd w:val="clear" w:color="auto" w:fill="auto"/>
            <w:noWrap/>
            <w:vAlign w:val="center"/>
          </w:tcPr>
          <w:p w14:paraId="40259C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615202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693A82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C1BE2A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0791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0B2E9AC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3.2</w:t>
            </w:r>
          </w:p>
        </w:tc>
        <w:tc>
          <w:tcPr>
            <w:tcW w:w="346" w:type="pct"/>
            <w:shd w:val="clear" w:color="auto" w:fill="auto"/>
            <w:noWrap/>
            <w:vAlign w:val="center"/>
          </w:tcPr>
          <w:p w14:paraId="38F2908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1C31C5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6017C32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61E0C1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29D88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27" w:hRule="atLeast"/>
        </w:trPr>
        <w:tc>
          <w:tcPr>
            <w:tcW w:w="508" w:type="pct"/>
            <w:shd w:val="clear" w:color="auto" w:fill="auto"/>
            <w:noWrap/>
            <w:vAlign w:val="center"/>
          </w:tcPr>
          <w:p w14:paraId="09C3DE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3.3</w:t>
            </w:r>
          </w:p>
        </w:tc>
        <w:tc>
          <w:tcPr>
            <w:tcW w:w="346" w:type="pct"/>
            <w:shd w:val="clear" w:color="auto" w:fill="auto"/>
            <w:noWrap/>
            <w:vAlign w:val="center"/>
          </w:tcPr>
          <w:p w14:paraId="39FD46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799D161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7E221E8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01E7F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BBE0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1CFCA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3.4</w:t>
            </w:r>
          </w:p>
        </w:tc>
        <w:tc>
          <w:tcPr>
            <w:tcW w:w="346" w:type="pct"/>
            <w:shd w:val="clear" w:color="auto" w:fill="auto"/>
            <w:noWrap/>
            <w:vAlign w:val="center"/>
          </w:tcPr>
          <w:p w14:paraId="0FD134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验毒尿检板</w:t>
            </w:r>
          </w:p>
        </w:tc>
        <w:tc>
          <w:tcPr>
            <w:tcW w:w="3489" w:type="pct"/>
            <w:shd w:val="clear" w:color="auto" w:fill="auto"/>
            <w:vAlign w:val="center"/>
          </w:tcPr>
          <w:p w14:paraId="505E1D4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10人份/盒，吗啡、甲基安非他明、氯胺酮、四氢大麻酚酸、二亚甲基双氧安非他明联合检测试剂盒。</w:t>
            </w:r>
          </w:p>
        </w:tc>
        <w:tc>
          <w:tcPr>
            <w:tcW w:w="221" w:type="pct"/>
            <w:gridSpan w:val="2"/>
            <w:shd w:val="clear" w:color="auto" w:fill="auto"/>
            <w:noWrap/>
            <w:vAlign w:val="center"/>
          </w:tcPr>
          <w:p w14:paraId="049B86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盒</w:t>
            </w:r>
          </w:p>
        </w:tc>
        <w:tc>
          <w:tcPr>
            <w:tcW w:w="428" w:type="pct"/>
            <w:gridSpan w:val="2"/>
            <w:shd w:val="clear" w:color="auto" w:fill="auto"/>
            <w:noWrap/>
            <w:vAlign w:val="center"/>
          </w:tcPr>
          <w:p w14:paraId="78468A2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46525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534C7C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3.5</w:t>
            </w:r>
          </w:p>
        </w:tc>
        <w:tc>
          <w:tcPr>
            <w:tcW w:w="346" w:type="pct"/>
            <w:shd w:val="clear" w:color="auto" w:fill="auto"/>
            <w:noWrap/>
            <w:vAlign w:val="center"/>
          </w:tcPr>
          <w:p w14:paraId="60CE6D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毒检登记终端</w:t>
            </w:r>
          </w:p>
        </w:tc>
        <w:tc>
          <w:tcPr>
            <w:tcW w:w="3489" w:type="pct"/>
            <w:shd w:val="clear" w:color="auto" w:fill="auto"/>
            <w:vAlign w:val="center"/>
          </w:tcPr>
          <w:p w14:paraId="2CFB265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系统功能：支持民警刷脸登录及用户名密码登录终端；支持民警自助登记嫌疑人毒检结果，包括检测样本、检测项目、检测结果照片等；支持民警签字及嫌疑人签字捺印，嫌疑人指纹按捺确认检测结果；内置条码打印机，支持嫌疑人信息打印；内置打印机，支持打印现场检测报告书、尿液提取笔录及现场检测图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硬件规格：通信方式：TCP/IP；屏幕尺寸：≥21寸；分辨率：≥1080P，16:9；面板类型：TFT、LED背光可视角度(H/V)：≥178/178°；热插拔特性：支持即插即用；摄像头规格：≥1080P/30fps，双目、支持人脸识别，1:1或1:N在线识别；指纹仪规格：电容式指纹仪；图像大小：≥256*360像素，508DPI；终端内存：≥8G DDR4 ≥2400MHz；储存容量：≥128G SSD；操作系统及软件：中文信息处理要求：符合 GB 18030 的相关规定；操作系统备份及还原功能：支持操作系统备份及还原功能；固件备份还原能力：支持备份及还原固件的功能；操作系统及驱动升级：支持通过网络、闪存盘等方式对操作系统、驱动进行升级；能支持区域化授权使用；接口类型：双网口、USB、音频口；电源：AC220V±10%　50HZ。</w:t>
            </w:r>
          </w:p>
        </w:tc>
        <w:tc>
          <w:tcPr>
            <w:tcW w:w="221" w:type="pct"/>
            <w:gridSpan w:val="2"/>
            <w:shd w:val="clear" w:color="auto" w:fill="auto"/>
            <w:noWrap/>
            <w:vAlign w:val="center"/>
          </w:tcPr>
          <w:p w14:paraId="428CB1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1818E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5DA7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06D89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3.6</w:t>
            </w:r>
          </w:p>
        </w:tc>
        <w:tc>
          <w:tcPr>
            <w:tcW w:w="346" w:type="pct"/>
            <w:shd w:val="clear" w:color="auto" w:fill="auto"/>
            <w:noWrap/>
            <w:vAlign w:val="center"/>
          </w:tcPr>
          <w:p w14:paraId="18571E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尿检台</w:t>
            </w:r>
          </w:p>
        </w:tc>
        <w:tc>
          <w:tcPr>
            <w:tcW w:w="3489" w:type="pct"/>
            <w:shd w:val="clear" w:color="auto" w:fill="auto"/>
            <w:vAlign w:val="center"/>
          </w:tcPr>
          <w:p w14:paraId="61DFD2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配套尿检台</w:t>
            </w:r>
          </w:p>
        </w:tc>
        <w:tc>
          <w:tcPr>
            <w:tcW w:w="221" w:type="pct"/>
            <w:gridSpan w:val="2"/>
            <w:shd w:val="clear" w:color="auto" w:fill="auto"/>
            <w:noWrap/>
            <w:vAlign w:val="center"/>
          </w:tcPr>
          <w:p w14:paraId="2F333D1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项</w:t>
            </w:r>
          </w:p>
        </w:tc>
        <w:tc>
          <w:tcPr>
            <w:tcW w:w="428" w:type="pct"/>
            <w:gridSpan w:val="2"/>
            <w:shd w:val="clear" w:color="auto" w:fill="auto"/>
            <w:noWrap/>
            <w:vAlign w:val="center"/>
          </w:tcPr>
          <w:p w14:paraId="4B49FF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5C2C3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D65C7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c>
          <w:tcPr>
            <w:tcW w:w="4486" w:type="pct"/>
            <w:gridSpan w:val="6"/>
            <w:shd w:val="clear" w:color="auto" w:fill="auto"/>
            <w:noWrap/>
            <w:vAlign w:val="center"/>
          </w:tcPr>
          <w:p w14:paraId="79269E78">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候问室（1男1女）</w:t>
            </w:r>
          </w:p>
        </w:tc>
      </w:tr>
      <w:tr w14:paraId="44532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1D11B6E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4.1</w:t>
            </w:r>
          </w:p>
        </w:tc>
        <w:tc>
          <w:tcPr>
            <w:tcW w:w="346" w:type="pct"/>
            <w:shd w:val="clear" w:color="auto" w:fill="auto"/>
            <w:noWrap/>
            <w:vAlign w:val="center"/>
          </w:tcPr>
          <w:p w14:paraId="11EE7E9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2EBF7A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6A46B2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FF992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r>
      <w:tr w14:paraId="2F986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20778DE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4.2</w:t>
            </w:r>
          </w:p>
        </w:tc>
        <w:tc>
          <w:tcPr>
            <w:tcW w:w="346" w:type="pct"/>
            <w:shd w:val="clear" w:color="auto" w:fill="auto"/>
            <w:noWrap/>
            <w:vAlign w:val="center"/>
          </w:tcPr>
          <w:p w14:paraId="2126DA3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725A12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1F989ED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31267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r>
      <w:tr w14:paraId="5BAD8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606E14C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4.3</w:t>
            </w:r>
          </w:p>
        </w:tc>
        <w:tc>
          <w:tcPr>
            <w:tcW w:w="346" w:type="pct"/>
            <w:shd w:val="clear" w:color="auto" w:fill="auto"/>
            <w:noWrap/>
            <w:vAlign w:val="center"/>
          </w:tcPr>
          <w:p w14:paraId="4B8E98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侯问管控终端</w:t>
            </w:r>
          </w:p>
        </w:tc>
        <w:tc>
          <w:tcPr>
            <w:tcW w:w="3489" w:type="pct"/>
            <w:shd w:val="clear" w:color="auto" w:fill="auto"/>
            <w:vAlign w:val="center"/>
          </w:tcPr>
          <w:p w14:paraId="012B1E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1.采用≥200W高清摄像头，具有≥88度超广角镜头，高清≥1080P画质；2.≥8英寸触摸屏，分辨率≥1280*800,采用星光级图像传感器，无需白光补光灯，支持红外自动补光，在暗光或无光环境下人员身份核验效果不受影响，金属边框及玻璃面板；3.采用深度学习算法，支持≥20000人脸库，识别距离至少满足：0.3-4m；4.≥IP65防水设计，适应恶劣环境；5.隐藏式刷卡设计，支持13．56MHz M卡、CPU序列号识别；6.支持外接≥1个RS485读卡器，作为出门读卡器使用；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业务功能参数：1.候问管理：支出候问室名称显示；支持侯问室状态显示，包括当前房间人数、剩余可容纳人数及显示关押的人员姓名、照片、性别、年龄、主办民警、案件；支持涉案人员刷脸自动带入/带出房间；支持民警刷脸手动带入/带出涉案人员；</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2.审讯管理：支出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含设备暗装底盒、配套终端电源、门锁套件。</w:t>
            </w:r>
          </w:p>
        </w:tc>
        <w:tc>
          <w:tcPr>
            <w:tcW w:w="221" w:type="pct"/>
            <w:gridSpan w:val="2"/>
            <w:shd w:val="clear" w:color="auto" w:fill="auto"/>
            <w:noWrap/>
            <w:vAlign w:val="center"/>
          </w:tcPr>
          <w:p w14:paraId="621FC84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66549C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12FD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7F8C84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4.4</w:t>
            </w:r>
          </w:p>
        </w:tc>
        <w:tc>
          <w:tcPr>
            <w:tcW w:w="346" w:type="pct"/>
            <w:shd w:val="clear" w:color="auto" w:fill="auto"/>
            <w:noWrap/>
            <w:vAlign w:val="center"/>
          </w:tcPr>
          <w:p w14:paraId="31262D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20864B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0B30EFA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615DE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AEAE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9F844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4.5</w:t>
            </w:r>
          </w:p>
        </w:tc>
        <w:tc>
          <w:tcPr>
            <w:tcW w:w="346" w:type="pct"/>
            <w:shd w:val="clear" w:color="auto" w:fill="auto"/>
            <w:noWrap/>
            <w:vAlign w:val="center"/>
          </w:tcPr>
          <w:p w14:paraId="7B2D770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LED状态显示屏</w:t>
            </w:r>
          </w:p>
        </w:tc>
        <w:tc>
          <w:tcPr>
            <w:tcW w:w="3489" w:type="pct"/>
            <w:shd w:val="clear" w:color="auto" w:fill="auto"/>
            <w:vAlign w:val="center"/>
          </w:tcPr>
          <w:p w14:paraId="4D8505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1.类型：室内双色显示屏；2.LED封装：国产；3.像素间距：≤4.75mm；4.像素密度：≥44000点/㎡；5.亮度：≥500cd/㎡；6.视角：≥120°。</w:t>
            </w:r>
          </w:p>
        </w:tc>
        <w:tc>
          <w:tcPr>
            <w:tcW w:w="221" w:type="pct"/>
            <w:gridSpan w:val="2"/>
            <w:shd w:val="clear" w:color="auto" w:fill="auto"/>
            <w:noWrap/>
            <w:vAlign w:val="center"/>
          </w:tcPr>
          <w:p w14:paraId="6CDA7C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24CBF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280A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774" w:hRule="atLeast"/>
        </w:trPr>
        <w:tc>
          <w:tcPr>
            <w:tcW w:w="508" w:type="pct"/>
            <w:shd w:val="clear" w:color="auto" w:fill="auto"/>
            <w:noWrap/>
            <w:vAlign w:val="center"/>
          </w:tcPr>
          <w:p w14:paraId="34A4602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4.6</w:t>
            </w:r>
          </w:p>
        </w:tc>
        <w:tc>
          <w:tcPr>
            <w:tcW w:w="346" w:type="pct"/>
            <w:shd w:val="clear" w:color="auto" w:fill="auto"/>
            <w:noWrap/>
            <w:vAlign w:val="center"/>
          </w:tcPr>
          <w:p w14:paraId="4D7267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看守台</w:t>
            </w:r>
          </w:p>
        </w:tc>
        <w:tc>
          <w:tcPr>
            <w:tcW w:w="3489" w:type="pct"/>
            <w:shd w:val="clear" w:color="auto" w:fill="auto"/>
            <w:vAlign w:val="center"/>
          </w:tcPr>
          <w:p w14:paraId="2C16C8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1.产品尺寸：至少满足(L*W*H)约2100*500*550mm；2.材质：约2.0mm冷轧钢板/镀锌板；侧板材质实木；侧板厚度约18mm；</w:t>
            </w:r>
          </w:p>
        </w:tc>
        <w:tc>
          <w:tcPr>
            <w:tcW w:w="221" w:type="pct"/>
            <w:gridSpan w:val="2"/>
            <w:shd w:val="clear" w:color="auto" w:fill="auto"/>
            <w:noWrap/>
            <w:vAlign w:val="center"/>
          </w:tcPr>
          <w:p w14:paraId="0BA29F4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1A0D23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B295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A04E1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4.7</w:t>
            </w:r>
          </w:p>
        </w:tc>
        <w:tc>
          <w:tcPr>
            <w:tcW w:w="346" w:type="pct"/>
            <w:shd w:val="clear" w:color="auto" w:fill="auto"/>
            <w:noWrap/>
            <w:vAlign w:val="center"/>
          </w:tcPr>
          <w:p w14:paraId="16CE7E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看守坐具</w:t>
            </w:r>
          </w:p>
        </w:tc>
        <w:tc>
          <w:tcPr>
            <w:tcW w:w="3489" w:type="pct"/>
            <w:shd w:val="clear" w:color="auto" w:fill="auto"/>
            <w:noWrap/>
            <w:vAlign w:val="center"/>
          </w:tcPr>
          <w:p w14:paraId="4F21D2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油漆；表面光滑、线条流畅、手感柔和。</w:t>
            </w:r>
          </w:p>
        </w:tc>
        <w:tc>
          <w:tcPr>
            <w:tcW w:w="221" w:type="pct"/>
            <w:gridSpan w:val="2"/>
            <w:shd w:val="clear" w:color="auto" w:fill="auto"/>
            <w:noWrap/>
            <w:vAlign w:val="center"/>
          </w:tcPr>
          <w:p w14:paraId="17B80C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71E7305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BFE99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84AE4EF">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5</w:t>
            </w:r>
          </w:p>
        </w:tc>
        <w:tc>
          <w:tcPr>
            <w:tcW w:w="4486" w:type="pct"/>
            <w:gridSpan w:val="6"/>
            <w:shd w:val="clear" w:color="auto" w:fill="auto"/>
            <w:noWrap/>
            <w:vAlign w:val="center"/>
          </w:tcPr>
          <w:p w14:paraId="7B6FEAB5">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询（讯）问室（3间）</w:t>
            </w:r>
          </w:p>
        </w:tc>
      </w:tr>
      <w:tr w14:paraId="483CD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04774A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5.1</w:t>
            </w:r>
          </w:p>
        </w:tc>
        <w:tc>
          <w:tcPr>
            <w:tcW w:w="346" w:type="pct"/>
            <w:shd w:val="clear" w:color="auto" w:fill="auto"/>
            <w:noWrap/>
            <w:vAlign w:val="center"/>
          </w:tcPr>
          <w:p w14:paraId="7A612A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bottom"/>
          </w:tcPr>
          <w:p w14:paraId="5802FFB6">
            <w:pPr>
              <w:widowControl/>
              <w:textAlignment w:val="bottom"/>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0B3931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F6F92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 </w:t>
            </w:r>
          </w:p>
        </w:tc>
      </w:tr>
      <w:tr w14:paraId="365AC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029DED8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5.2</w:t>
            </w:r>
          </w:p>
        </w:tc>
        <w:tc>
          <w:tcPr>
            <w:tcW w:w="346" w:type="pct"/>
            <w:shd w:val="clear" w:color="auto" w:fill="auto"/>
            <w:noWrap/>
            <w:vAlign w:val="center"/>
          </w:tcPr>
          <w:p w14:paraId="715CA8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44710C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0ECAC02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DED3A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 </w:t>
            </w:r>
          </w:p>
        </w:tc>
      </w:tr>
      <w:tr w14:paraId="1CFB8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970" w:hRule="atLeast"/>
        </w:trPr>
        <w:tc>
          <w:tcPr>
            <w:tcW w:w="508" w:type="pct"/>
            <w:shd w:val="clear" w:color="auto" w:fill="auto"/>
            <w:noWrap/>
            <w:vAlign w:val="center"/>
          </w:tcPr>
          <w:p w14:paraId="6D3F8F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5.3</w:t>
            </w:r>
          </w:p>
        </w:tc>
        <w:tc>
          <w:tcPr>
            <w:tcW w:w="346" w:type="pct"/>
            <w:shd w:val="clear" w:color="auto" w:fill="auto"/>
            <w:noWrap/>
            <w:vAlign w:val="center"/>
          </w:tcPr>
          <w:p w14:paraId="0B27AF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空间定位摄像机</w:t>
            </w:r>
          </w:p>
        </w:tc>
        <w:tc>
          <w:tcPr>
            <w:tcW w:w="3489" w:type="pct"/>
            <w:shd w:val="clear" w:color="auto" w:fill="auto"/>
            <w:vAlign w:val="center"/>
          </w:tcPr>
          <w:p w14:paraId="1F98F7A0">
            <w:pPr>
              <w:widowControl/>
              <w:textAlignment w:val="center"/>
              <w:rPr>
                <w:rFonts w:ascii="宋体" w:hAnsi="宋体" w:cs="宋体"/>
                <w:sz w:val="22"/>
                <w:szCs w:val="22"/>
              </w:rPr>
            </w:pPr>
            <w:r>
              <w:rPr>
                <w:rFonts w:hint="eastAsia" w:ascii="宋体" w:hAnsi="宋体" w:cs="宋体"/>
                <w:sz w:val="22"/>
                <w:szCs w:val="22"/>
              </w:rPr>
              <w:t>1、≥600 万像素传感器，2.8~12mm 电动变焦</w:t>
            </w:r>
          </w:p>
          <w:p w14:paraId="6BD63902">
            <w:pPr>
              <w:widowControl/>
              <w:textAlignment w:val="center"/>
              <w:rPr>
                <w:rFonts w:ascii="宋体" w:hAnsi="宋体" w:cs="宋体"/>
                <w:sz w:val="22"/>
                <w:szCs w:val="22"/>
              </w:rPr>
            </w:pPr>
            <w:r>
              <w:rPr>
                <w:rFonts w:hint="eastAsia" w:ascii="宋体" w:hAnsi="宋体" w:cs="宋体"/>
                <w:sz w:val="22"/>
                <w:szCs w:val="22"/>
              </w:rPr>
              <w:t>2、需支持人脸抓拍，单画面同时检测人脸数≥30 张，单画面同时抓拍人脸数≥15 张</w:t>
            </w:r>
          </w:p>
          <w:p w14:paraId="73403B9F">
            <w:pPr>
              <w:widowControl/>
              <w:textAlignment w:val="center"/>
              <w:rPr>
                <w:rFonts w:ascii="宋体" w:hAnsi="宋体" w:cs="宋体"/>
                <w:sz w:val="22"/>
                <w:szCs w:val="22"/>
              </w:rPr>
            </w:pPr>
            <w:r>
              <w:rPr>
                <w:rFonts w:hint="eastAsia" w:ascii="宋体" w:hAnsi="宋体" w:cs="宋体"/>
                <w:sz w:val="22"/>
                <w:szCs w:val="22"/>
              </w:rPr>
              <w:t>3、需支持红外灯，红外补光距离≥30 米</w:t>
            </w:r>
          </w:p>
          <w:p w14:paraId="21578080">
            <w:pPr>
              <w:widowControl/>
              <w:textAlignment w:val="center"/>
              <w:rPr>
                <w:rFonts w:ascii="宋体" w:hAnsi="宋体" w:cs="宋体"/>
                <w:sz w:val="22"/>
                <w:szCs w:val="22"/>
              </w:rPr>
            </w:pPr>
            <w:r>
              <w:rPr>
                <w:rFonts w:hint="eastAsia" w:ascii="宋体" w:hAnsi="宋体" w:cs="宋体"/>
                <w:sz w:val="22"/>
                <w:szCs w:val="22"/>
              </w:rPr>
              <w:t>4、需支持对经过设定区域内的行人进行人体检测并抓拍，可抓拍人体正面、背面、侧面人体图片并上传至平台（提供第三方出具的检测报告）</w:t>
            </w:r>
          </w:p>
          <w:p w14:paraId="1862694D">
            <w:pPr>
              <w:widowControl/>
              <w:textAlignment w:val="center"/>
              <w:rPr>
                <w:rFonts w:ascii="宋体" w:hAnsi="宋体" w:cs="宋体"/>
                <w:sz w:val="22"/>
                <w:szCs w:val="22"/>
              </w:rPr>
            </w:pPr>
            <w:r>
              <w:rPr>
                <w:rFonts w:hint="eastAsia" w:ascii="宋体" w:hAnsi="宋体" w:cs="宋体"/>
                <w:sz w:val="22"/>
                <w:szCs w:val="22"/>
              </w:rPr>
              <w:t>5、需支持人脸识别准确率≥95%</w:t>
            </w:r>
          </w:p>
          <w:p w14:paraId="2D7C6EB3">
            <w:pPr>
              <w:widowControl/>
              <w:textAlignment w:val="center"/>
              <w:rPr>
                <w:rFonts w:ascii="宋体" w:hAnsi="宋体" w:cs="宋体"/>
                <w:sz w:val="22"/>
                <w:szCs w:val="22"/>
              </w:rPr>
            </w:pPr>
            <w:r>
              <w:rPr>
                <w:rFonts w:hint="eastAsia" w:ascii="宋体" w:hAnsi="宋体" w:cs="宋体"/>
                <w:sz w:val="22"/>
                <w:szCs w:val="22"/>
              </w:rPr>
              <w:t>6、需支持同时检测≥50 个行人并同时显示行进轨迹，并实时输出行人的坐标信息和时间戳（提供第三方出具的检测报告）</w:t>
            </w:r>
          </w:p>
          <w:p w14:paraId="46D7AE8A">
            <w:pPr>
              <w:widowControl/>
              <w:textAlignment w:val="center"/>
              <w:rPr>
                <w:rFonts w:ascii="宋体" w:hAnsi="宋体" w:cs="宋体"/>
                <w:sz w:val="22"/>
                <w:szCs w:val="22"/>
              </w:rPr>
            </w:pPr>
            <w:r>
              <w:rPr>
                <w:rFonts w:hint="eastAsia" w:ascii="宋体" w:hAnsi="宋体" w:cs="宋体"/>
                <w:sz w:val="22"/>
                <w:szCs w:val="22"/>
              </w:rPr>
              <w:t>7、配合无感轨迹定位设备，需支持以某一物理位置为坐标原点， 分别标定镜头并建立坐标系；</w:t>
            </w:r>
          </w:p>
          <w:p w14:paraId="3F892026">
            <w:pPr>
              <w:widowControl/>
              <w:textAlignment w:val="center"/>
              <w:rPr>
                <w:rFonts w:ascii="宋体" w:hAnsi="宋体" w:cs="宋体"/>
                <w:sz w:val="22"/>
                <w:szCs w:val="22"/>
              </w:rPr>
            </w:pPr>
            <w:r>
              <w:rPr>
                <w:rFonts w:hint="eastAsia" w:ascii="宋体" w:hAnsi="宋体" w:cs="宋体"/>
                <w:sz w:val="22"/>
                <w:szCs w:val="22"/>
              </w:rPr>
              <w:t>8、需支持智能行为分析功能，支持奔跑、徘徊、人群聚集、人</w:t>
            </w:r>
          </w:p>
          <w:p w14:paraId="1286E3EB">
            <w:pPr>
              <w:widowControl/>
              <w:textAlignment w:val="center"/>
              <w:rPr>
                <w:rFonts w:ascii="宋体" w:hAnsi="宋体" w:cs="宋体"/>
                <w:color w:val="000000" w:themeColor="text1"/>
                <w:sz w:val="22"/>
                <w:szCs w:val="22"/>
              </w:rPr>
            </w:pPr>
            <w:r>
              <w:rPr>
                <w:rFonts w:hint="eastAsia" w:ascii="宋体" w:hAnsi="宋体" w:cs="宋体"/>
                <w:sz w:val="22"/>
                <w:szCs w:val="22"/>
              </w:rPr>
              <w:t>数统计、攀高、值岗检测等（提供第三方出具的检测报告）</w:t>
            </w:r>
          </w:p>
        </w:tc>
        <w:tc>
          <w:tcPr>
            <w:tcW w:w="221" w:type="pct"/>
            <w:gridSpan w:val="2"/>
            <w:shd w:val="clear" w:color="auto" w:fill="auto"/>
            <w:noWrap/>
            <w:vAlign w:val="center"/>
          </w:tcPr>
          <w:p w14:paraId="17DB31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48FC2F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12FD3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0F67130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5.4</w:t>
            </w:r>
          </w:p>
        </w:tc>
        <w:tc>
          <w:tcPr>
            <w:tcW w:w="346" w:type="pct"/>
            <w:shd w:val="clear" w:color="auto" w:fill="auto"/>
            <w:noWrap/>
            <w:vAlign w:val="center"/>
          </w:tcPr>
          <w:p w14:paraId="4B241A5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签字摄像机</w:t>
            </w:r>
          </w:p>
        </w:tc>
        <w:tc>
          <w:tcPr>
            <w:tcW w:w="3489" w:type="pct"/>
            <w:shd w:val="clear" w:color="auto" w:fill="auto"/>
            <w:vAlign w:val="center"/>
          </w:tcPr>
          <w:p w14:paraId="71EFFEB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视频分辨率和帧率≥2560×1440、25帧/秒，最低照度彩色≤0.005lx，宽动态能力综合评价得分≥140，视频压缩标准需支持H.265，内置电动变焦镜头，电动变焦范围不小于3-12mm；2.支持记录系统操作、配置操作、数据操作、事件操作、异常状态、用户管理、清空日志等不低于八种类型的日志信息。可按照主类型、次类型、开始时间、结束时间搜索日志，主类型有全部类型、报警、异常、操作、信息等不少于五种类型；次类型可在主类型限定范围内按功能细分搜索的日志范围；</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3.字符叠加(OSD)功能支持在视频图像上叠加≥28行字符，字符可选择项至少包括通道名称、时间、日期等，字体、颜色、位置、闪烁、滚动效果可设置；4.具备区域入侵、越界入侵、进入区域、离开区域、人员聚集、快速移动、徘徊、物品移除、物品遗留、停车智能分析功能，当以上智能分析行为达到设定的阈值时，可通过客户端软件或浏览器给出报警提示；5.支持PoE供电，≥1个DC12V电源输出接口，具有≥1个存储卡插槽，具有麦克风、音频输入输出、报警输入输出接口，内置红外补光灯，补光距离≥30米，防护等级不低于IP66。</w:t>
            </w:r>
          </w:p>
        </w:tc>
        <w:tc>
          <w:tcPr>
            <w:tcW w:w="221" w:type="pct"/>
            <w:gridSpan w:val="2"/>
            <w:shd w:val="clear" w:color="auto" w:fill="auto"/>
            <w:noWrap/>
            <w:vAlign w:val="center"/>
          </w:tcPr>
          <w:p w14:paraId="57A8E9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73E7C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23A06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4BEA80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5.5</w:t>
            </w:r>
          </w:p>
        </w:tc>
        <w:tc>
          <w:tcPr>
            <w:tcW w:w="346" w:type="pct"/>
            <w:shd w:val="clear" w:color="auto" w:fill="auto"/>
            <w:noWrap/>
            <w:vAlign w:val="center"/>
          </w:tcPr>
          <w:p w14:paraId="787EF8F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温湿度显示屏</w:t>
            </w:r>
          </w:p>
        </w:tc>
        <w:tc>
          <w:tcPr>
            <w:tcW w:w="3489" w:type="pct"/>
            <w:shd w:val="clear" w:color="auto" w:fill="auto"/>
            <w:vAlign w:val="center"/>
          </w:tcPr>
          <w:p w14:paraId="30E3DE2D">
            <w:pPr>
              <w:widowControl/>
              <w:textAlignment w:val="center"/>
              <w:rPr>
                <w:rFonts w:ascii="宋体" w:hAnsi="宋体" w:cs="宋体"/>
                <w:sz w:val="22"/>
                <w:szCs w:val="22"/>
              </w:rPr>
            </w:pPr>
            <w:r>
              <w:rPr>
                <w:rFonts w:hint="eastAsia" w:ascii="宋体" w:hAnsi="宋体" w:cs="宋体"/>
                <w:sz w:val="22"/>
                <w:szCs w:val="22"/>
              </w:rPr>
              <w:t>1、温湿度屏与超广角全景摄像机一体化设计，集时间、温湿度采集显示与全景画面采集功能于一体</w:t>
            </w:r>
          </w:p>
          <w:p w14:paraId="22D55CCC">
            <w:pPr>
              <w:widowControl/>
              <w:textAlignment w:val="center"/>
              <w:rPr>
                <w:rFonts w:ascii="宋体" w:hAnsi="宋体" w:cs="宋体"/>
                <w:sz w:val="22"/>
                <w:szCs w:val="22"/>
              </w:rPr>
            </w:pPr>
            <w:r>
              <w:rPr>
                <w:rFonts w:hint="eastAsia" w:ascii="宋体" w:hAnsi="宋体" w:cs="宋体"/>
                <w:sz w:val="22"/>
                <w:szCs w:val="22"/>
              </w:rPr>
              <w:t>2、静态数字显示，适于同步录音录像</w:t>
            </w:r>
          </w:p>
          <w:p w14:paraId="64F598AF">
            <w:pPr>
              <w:widowControl/>
              <w:textAlignment w:val="center"/>
              <w:rPr>
                <w:rFonts w:ascii="宋体" w:hAnsi="宋体" w:cs="宋体"/>
                <w:sz w:val="22"/>
                <w:szCs w:val="22"/>
              </w:rPr>
            </w:pPr>
            <w:r>
              <w:rPr>
                <w:rFonts w:hint="eastAsia" w:ascii="宋体" w:hAnsi="宋体" w:cs="宋体"/>
                <w:sz w:val="22"/>
                <w:szCs w:val="22"/>
              </w:rPr>
              <w:t>3、≤2.1mm超广角定焦镜头，支持ICR双滤切换</w:t>
            </w:r>
          </w:p>
          <w:p w14:paraId="74A2F3B0">
            <w:pPr>
              <w:widowControl/>
              <w:textAlignment w:val="center"/>
              <w:rPr>
                <w:rFonts w:ascii="宋体" w:hAnsi="宋体" w:cs="宋体"/>
                <w:sz w:val="22"/>
                <w:szCs w:val="22"/>
              </w:rPr>
            </w:pPr>
            <w:r>
              <w:rPr>
                <w:rFonts w:hint="eastAsia" w:ascii="宋体" w:hAnsi="宋体" w:cs="宋体"/>
                <w:sz w:val="22"/>
                <w:szCs w:val="22"/>
              </w:rPr>
              <w:t>4、摄像机分辨率≥2592×1944</w:t>
            </w:r>
          </w:p>
          <w:p w14:paraId="53834F6E">
            <w:pPr>
              <w:widowControl/>
              <w:textAlignment w:val="center"/>
              <w:rPr>
                <w:rFonts w:ascii="宋体" w:hAnsi="宋体" w:cs="宋体"/>
                <w:sz w:val="22"/>
                <w:szCs w:val="22"/>
              </w:rPr>
            </w:pPr>
            <w:r>
              <w:rPr>
                <w:rFonts w:hint="eastAsia" w:ascii="宋体" w:hAnsi="宋体" w:cs="宋体"/>
                <w:sz w:val="22"/>
                <w:szCs w:val="22"/>
              </w:rPr>
              <w:t>5、内置MIC和扬声器，具有≥1个RJ45接口、1路音频输入接口、1路音频输出接口、2路报警输入接口、1路报警输出接口、1个RS485接口、1个复位按钮、1个存储卡接口</w:t>
            </w:r>
          </w:p>
          <w:p w14:paraId="06CCBA29">
            <w:pPr>
              <w:widowControl/>
              <w:textAlignment w:val="center"/>
              <w:rPr>
                <w:rFonts w:ascii="宋体" w:hAnsi="宋体" w:cs="宋体"/>
                <w:sz w:val="22"/>
                <w:szCs w:val="22"/>
              </w:rPr>
            </w:pPr>
            <w:r>
              <w:rPr>
                <w:rFonts w:hint="eastAsia" w:ascii="宋体" w:hAnsi="宋体" w:cs="宋体"/>
                <w:sz w:val="22"/>
                <w:szCs w:val="22"/>
              </w:rPr>
              <w:t>6、支持显示屏手动校时或通过ntp自动校时（提供第三方出具的检测报告)</w:t>
            </w:r>
          </w:p>
          <w:p w14:paraId="68B7CE31">
            <w:pPr>
              <w:widowControl/>
              <w:textAlignment w:val="center"/>
              <w:rPr>
                <w:rFonts w:ascii="宋体" w:hAnsi="宋体" w:cs="宋体"/>
                <w:sz w:val="22"/>
                <w:szCs w:val="22"/>
              </w:rPr>
            </w:pPr>
            <w:r>
              <w:rPr>
                <w:rFonts w:hint="eastAsia" w:ascii="宋体" w:hAnsi="宋体" w:cs="宋体"/>
                <w:sz w:val="22"/>
                <w:szCs w:val="22"/>
              </w:rPr>
              <w:t>7、应支持值岗、攀高、人数统计等智能分析功能（提供第三方出具的检测报告)</w:t>
            </w:r>
          </w:p>
          <w:p w14:paraId="778A621C">
            <w:pPr>
              <w:widowControl/>
              <w:textAlignment w:val="center"/>
              <w:rPr>
                <w:rFonts w:ascii="宋体" w:hAnsi="宋体" w:cs="宋体"/>
                <w:sz w:val="22"/>
                <w:szCs w:val="22"/>
              </w:rPr>
            </w:pPr>
            <w:r>
              <w:rPr>
                <w:rFonts w:hint="eastAsia" w:ascii="宋体" w:hAnsi="宋体" w:cs="宋体"/>
                <w:sz w:val="22"/>
                <w:szCs w:val="22"/>
              </w:rPr>
              <w:t>8、应支持三码流同时输出，主码流最高分辨率≥2592*1944@30fps，最高帧率1920*1080@60 fps</w:t>
            </w:r>
          </w:p>
          <w:p w14:paraId="33E7D9A7">
            <w:pPr>
              <w:widowControl/>
              <w:textAlignment w:val="center"/>
              <w:rPr>
                <w:rFonts w:ascii="宋体" w:hAnsi="宋体" w:cs="宋体"/>
                <w:sz w:val="22"/>
                <w:szCs w:val="22"/>
              </w:rPr>
            </w:pPr>
            <w:r>
              <w:rPr>
                <w:rFonts w:hint="eastAsia" w:ascii="宋体" w:hAnsi="宋体" w:cs="宋体"/>
                <w:sz w:val="22"/>
                <w:szCs w:val="22"/>
              </w:rPr>
              <w:t>9、应支持音视频本地存储卡存储，录制的文件可使用通用播放软件播放</w:t>
            </w:r>
          </w:p>
          <w:p w14:paraId="7C22AEA1">
            <w:pPr>
              <w:widowControl/>
              <w:textAlignment w:val="center"/>
              <w:rPr>
                <w:rFonts w:ascii="宋体" w:hAnsi="宋体" w:cs="宋体"/>
                <w:color w:val="000000" w:themeColor="text1"/>
                <w:sz w:val="22"/>
                <w:szCs w:val="22"/>
              </w:rPr>
            </w:pPr>
            <w:r>
              <w:rPr>
                <w:rFonts w:hint="eastAsia" w:ascii="宋体" w:hAnsi="宋体" w:cs="宋体"/>
                <w:sz w:val="22"/>
                <w:szCs w:val="22"/>
              </w:rPr>
              <w:t>10、应摄像机支持畸变矫正、远端放大功能（提供第三方出具的检测报告)</w:t>
            </w:r>
          </w:p>
        </w:tc>
        <w:tc>
          <w:tcPr>
            <w:tcW w:w="221" w:type="pct"/>
            <w:gridSpan w:val="2"/>
            <w:shd w:val="clear" w:color="auto" w:fill="auto"/>
            <w:noWrap/>
            <w:vAlign w:val="center"/>
          </w:tcPr>
          <w:p w14:paraId="0526C3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块</w:t>
            </w:r>
          </w:p>
        </w:tc>
        <w:tc>
          <w:tcPr>
            <w:tcW w:w="428" w:type="pct"/>
            <w:gridSpan w:val="2"/>
            <w:shd w:val="clear" w:color="auto" w:fill="auto"/>
            <w:noWrap/>
            <w:vAlign w:val="center"/>
          </w:tcPr>
          <w:p w14:paraId="531904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06608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2D89F7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5.6</w:t>
            </w:r>
          </w:p>
        </w:tc>
        <w:tc>
          <w:tcPr>
            <w:tcW w:w="346" w:type="pct"/>
            <w:shd w:val="clear" w:color="auto" w:fill="auto"/>
            <w:noWrap/>
            <w:vAlign w:val="center"/>
          </w:tcPr>
          <w:p w14:paraId="1CA5F1B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审讯主机</w:t>
            </w:r>
          </w:p>
          <w:p w14:paraId="61D98431">
            <w:pPr>
              <w:widowControl/>
              <w:textAlignment w:val="center"/>
              <w:rPr>
                <w:rFonts w:ascii="宋体" w:hAnsi="宋体" w:cs="宋体"/>
                <w:color w:val="000000" w:themeColor="text1"/>
                <w:sz w:val="22"/>
                <w:szCs w:val="22"/>
              </w:rPr>
            </w:pPr>
          </w:p>
        </w:tc>
        <w:tc>
          <w:tcPr>
            <w:tcW w:w="3489" w:type="pct"/>
            <w:shd w:val="clear" w:color="auto" w:fill="auto"/>
            <w:vAlign w:val="center"/>
          </w:tcPr>
          <w:p w14:paraId="1A1DC9FB">
            <w:pPr>
              <w:widowControl/>
              <w:textAlignment w:val="center"/>
              <w:rPr>
                <w:rFonts w:ascii="宋体" w:hAnsi="宋体" w:cs="宋体"/>
                <w:sz w:val="22"/>
                <w:szCs w:val="22"/>
              </w:rPr>
            </w:pPr>
            <w:r>
              <w:rPr>
                <w:rFonts w:hint="eastAsia" w:ascii="宋体" w:hAnsi="宋体" w:cs="宋体"/>
                <w:sz w:val="22"/>
                <w:szCs w:val="22"/>
              </w:rPr>
              <w:t>1、应支持≥6 个硬盘插槽。</w:t>
            </w:r>
          </w:p>
          <w:p w14:paraId="3AB4F2EE">
            <w:pPr>
              <w:widowControl/>
              <w:textAlignment w:val="center"/>
              <w:rPr>
                <w:rFonts w:ascii="宋体" w:hAnsi="宋体" w:cs="宋体"/>
                <w:sz w:val="22"/>
                <w:szCs w:val="22"/>
              </w:rPr>
            </w:pPr>
            <w:r>
              <w:rPr>
                <w:rFonts w:hint="eastAsia" w:ascii="宋体" w:hAnsi="宋体" w:cs="宋体"/>
                <w:sz w:val="22"/>
                <w:szCs w:val="22"/>
              </w:rPr>
              <w:t>2、接口要求≥：1 个 RJ45 网络接口、2 个 POE 网络接口、1 个HDMI 输入、1 个 VGA 输入、1 个 VGA 输出</w:t>
            </w:r>
          </w:p>
          <w:p w14:paraId="072F95B2">
            <w:pPr>
              <w:widowControl/>
              <w:textAlignment w:val="center"/>
              <w:rPr>
                <w:rFonts w:ascii="宋体" w:hAnsi="宋体" w:cs="宋体"/>
                <w:sz w:val="22"/>
                <w:szCs w:val="22"/>
              </w:rPr>
            </w:pPr>
            <w:r>
              <w:rPr>
                <w:rFonts w:hint="eastAsia" w:ascii="宋体" w:hAnsi="宋体" w:cs="宋体"/>
                <w:sz w:val="22"/>
                <w:szCs w:val="22"/>
              </w:rPr>
              <w:t>3、应支持采集讯问室实时音视频和环境信息，包括讯问民警人声、嫌疑人人声、其他环境声音、嫌疑人正面画面、室内全景画面、时间、温度、湿度等；</w:t>
            </w:r>
          </w:p>
          <w:p w14:paraId="5C5E2619">
            <w:pPr>
              <w:widowControl/>
              <w:textAlignment w:val="center"/>
              <w:rPr>
                <w:rFonts w:ascii="宋体" w:hAnsi="宋体" w:cs="宋体"/>
                <w:sz w:val="22"/>
                <w:szCs w:val="22"/>
              </w:rPr>
            </w:pPr>
            <w:r>
              <w:rPr>
                <w:rFonts w:hint="eastAsia" w:ascii="宋体" w:hAnsi="宋体" w:cs="宋体"/>
                <w:sz w:val="22"/>
                <w:szCs w:val="22"/>
              </w:rPr>
              <w:t>4、采集的声音和图像应清晰无损坏</w:t>
            </w:r>
          </w:p>
          <w:p w14:paraId="31A0DB74">
            <w:pPr>
              <w:widowControl/>
              <w:textAlignment w:val="center"/>
              <w:rPr>
                <w:rFonts w:ascii="宋体" w:hAnsi="宋体" w:cs="宋体"/>
                <w:sz w:val="22"/>
                <w:szCs w:val="22"/>
              </w:rPr>
            </w:pPr>
            <w:r>
              <w:rPr>
                <w:rFonts w:hint="eastAsia" w:ascii="宋体" w:hAnsi="宋体" w:cs="宋体"/>
                <w:sz w:val="22"/>
                <w:szCs w:val="22"/>
              </w:rPr>
              <w:t>5、应支持通过国产化客户端电脑同步清晰回放讯问音视频，在CPU为RAM或C86架构、操作系统为国产操作系统的客户端电脑上均能正常回放。（提供第三方出具的检测报告）</w:t>
            </w:r>
          </w:p>
          <w:p w14:paraId="12D8346A">
            <w:pPr>
              <w:widowControl/>
              <w:textAlignment w:val="center"/>
              <w:rPr>
                <w:rFonts w:ascii="宋体" w:hAnsi="宋体" w:cs="宋体"/>
                <w:sz w:val="22"/>
                <w:szCs w:val="22"/>
              </w:rPr>
            </w:pPr>
            <w:r>
              <w:rPr>
                <w:rFonts w:hint="eastAsia" w:ascii="宋体" w:hAnsi="宋体" w:cs="宋体"/>
                <w:sz w:val="22"/>
                <w:szCs w:val="22"/>
              </w:rPr>
              <w:t>6、应支持视频、音频丢失报警功能</w:t>
            </w:r>
          </w:p>
          <w:p w14:paraId="50C6BFCC">
            <w:pPr>
              <w:widowControl/>
              <w:textAlignment w:val="center"/>
              <w:rPr>
                <w:rFonts w:ascii="宋体" w:hAnsi="宋体" w:cs="宋体"/>
                <w:sz w:val="22"/>
                <w:szCs w:val="22"/>
              </w:rPr>
            </w:pPr>
            <w:r>
              <w:rPr>
                <w:rFonts w:hint="eastAsia" w:ascii="宋体" w:hAnsi="宋体" w:cs="宋体"/>
                <w:sz w:val="22"/>
                <w:szCs w:val="22"/>
              </w:rPr>
              <w:t>7、应支持自动对光盘进行封盘</w:t>
            </w:r>
          </w:p>
          <w:p w14:paraId="15C0D147">
            <w:pPr>
              <w:widowControl/>
              <w:textAlignment w:val="center"/>
              <w:rPr>
                <w:rFonts w:ascii="宋体" w:hAnsi="宋体" w:cs="宋体"/>
                <w:sz w:val="22"/>
                <w:szCs w:val="22"/>
              </w:rPr>
            </w:pPr>
            <w:r>
              <w:rPr>
                <w:rFonts w:hint="eastAsia" w:ascii="宋体" w:hAnsi="宋体" w:cs="宋体"/>
                <w:sz w:val="22"/>
                <w:szCs w:val="22"/>
              </w:rPr>
              <w:t>8、讯问结束后刻录的时间不超过 5 分钟。支持通过硬盘音视频数据实现光盘更换自动回补刻录。</w:t>
            </w:r>
          </w:p>
          <w:p w14:paraId="3049D4A7">
            <w:pPr>
              <w:widowControl/>
              <w:textAlignment w:val="center"/>
              <w:rPr>
                <w:rFonts w:ascii="宋体" w:hAnsi="宋体" w:cs="宋体"/>
                <w:sz w:val="22"/>
                <w:szCs w:val="22"/>
              </w:rPr>
            </w:pPr>
            <w:r>
              <w:rPr>
                <w:rFonts w:hint="eastAsia" w:ascii="宋体" w:hAnsi="宋体" w:cs="宋体"/>
                <w:sz w:val="22"/>
                <w:szCs w:val="22"/>
              </w:rPr>
              <w:t>9、讯问音视频回放应保证画面清晰，声音无提前或滞后且不失真</w:t>
            </w:r>
          </w:p>
          <w:p w14:paraId="20A3AD91">
            <w:pPr>
              <w:widowControl/>
              <w:textAlignment w:val="center"/>
              <w:rPr>
                <w:rFonts w:ascii="宋体" w:hAnsi="宋体" w:cs="宋体"/>
                <w:sz w:val="22"/>
                <w:szCs w:val="22"/>
              </w:rPr>
            </w:pPr>
            <w:r>
              <w:rPr>
                <w:rFonts w:hint="eastAsia" w:ascii="宋体" w:hAnsi="宋体" w:cs="宋体"/>
                <w:sz w:val="22"/>
                <w:szCs w:val="22"/>
              </w:rPr>
              <w:t>10、应支持通过在CPU为RAM或C86架构、操作系统为国产操作系统的客户端电脑的客户端电脑上正常刻录、录像（提供第三方出具的检测报告）</w:t>
            </w:r>
          </w:p>
          <w:p w14:paraId="26854766">
            <w:pPr>
              <w:widowControl/>
              <w:textAlignment w:val="center"/>
              <w:rPr>
                <w:rFonts w:ascii="宋体" w:hAnsi="宋体" w:cs="宋体"/>
                <w:sz w:val="22"/>
                <w:szCs w:val="22"/>
              </w:rPr>
            </w:pPr>
            <w:r>
              <w:rPr>
                <w:rFonts w:hint="eastAsia" w:ascii="宋体" w:hAnsi="宋体" w:cs="宋体"/>
                <w:sz w:val="22"/>
                <w:szCs w:val="22"/>
              </w:rPr>
              <w:t>11、刻录光盘需包含播放器，无需另外安装播放软件，即可在任意电脑上自动播放</w:t>
            </w:r>
          </w:p>
          <w:p w14:paraId="01334AF0">
            <w:pPr>
              <w:widowControl/>
              <w:textAlignment w:val="center"/>
              <w:rPr>
                <w:rFonts w:ascii="宋体" w:hAnsi="宋体" w:cs="宋体"/>
                <w:sz w:val="22"/>
                <w:szCs w:val="22"/>
              </w:rPr>
            </w:pPr>
            <w:r>
              <w:rPr>
                <w:rFonts w:hint="eastAsia" w:ascii="宋体" w:hAnsi="宋体" w:cs="宋体"/>
                <w:sz w:val="22"/>
                <w:szCs w:val="22"/>
              </w:rPr>
              <w:t>12、应支持视频画面质量检测，支持≥场景变化、视频抖动、条纹干扰、人为干扰、亮度异常、视频模糊、噪声干扰、视频偏色、画面冻结、信号缺失等视频诊断算法（提供第三方出具的检测报告）</w:t>
            </w:r>
          </w:p>
          <w:p w14:paraId="3A8E6B30">
            <w:pPr>
              <w:widowControl/>
              <w:textAlignment w:val="center"/>
              <w:rPr>
                <w:rFonts w:ascii="宋体" w:hAnsi="宋体" w:cs="宋体"/>
                <w:sz w:val="22"/>
                <w:szCs w:val="22"/>
              </w:rPr>
            </w:pPr>
            <w:r>
              <w:rPr>
                <w:rFonts w:hint="eastAsia" w:ascii="宋体" w:hAnsi="宋体" w:cs="宋体"/>
                <w:sz w:val="22"/>
                <w:szCs w:val="22"/>
              </w:rPr>
              <w:t>13、支持对光盘进行加密，未通过验证不可进行擦写或拷贝操作</w:t>
            </w:r>
          </w:p>
          <w:p w14:paraId="3F7E93A9">
            <w:pPr>
              <w:widowControl/>
              <w:textAlignment w:val="center"/>
              <w:rPr>
                <w:rFonts w:ascii="宋体" w:hAnsi="宋体" w:cs="宋体"/>
                <w:sz w:val="22"/>
                <w:szCs w:val="22"/>
              </w:rPr>
            </w:pPr>
            <w:r>
              <w:rPr>
                <w:rFonts w:hint="eastAsia" w:ascii="宋体" w:hAnsi="宋体" w:cs="宋体"/>
                <w:sz w:val="22"/>
                <w:szCs w:val="22"/>
              </w:rPr>
              <w:t>14、视频画面质量检测应支持≥4 个数字和示证通道同步分析</w:t>
            </w:r>
          </w:p>
          <w:p w14:paraId="0ADC26A7">
            <w:pPr>
              <w:widowControl/>
              <w:textAlignment w:val="center"/>
              <w:rPr>
                <w:rFonts w:ascii="宋体" w:hAnsi="宋体" w:cs="宋体"/>
                <w:sz w:val="22"/>
                <w:szCs w:val="22"/>
              </w:rPr>
            </w:pPr>
            <w:r>
              <w:rPr>
                <w:rFonts w:hint="eastAsia" w:ascii="宋体" w:hAnsi="宋体" w:cs="宋体"/>
                <w:sz w:val="22"/>
                <w:szCs w:val="22"/>
              </w:rPr>
              <w:t>15、支持音频混音。可显示声音波形</w:t>
            </w:r>
          </w:p>
          <w:p w14:paraId="24FB46BE">
            <w:pPr>
              <w:widowControl/>
              <w:textAlignment w:val="center"/>
              <w:rPr>
                <w:rFonts w:ascii="宋体" w:hAnsi="宋体" w:cs="宋体"/>
                <w:sz w:val="22"/>
                <w:szCs w:val="22"/>
              </w:rPr>
            </w:pPr>
            <w:r>
              <w:rPr>
                <w:rFonts w:hint="eastAsia" w:ascii="宋体" w:hAnsi="宋体" w:cs="宋体"/>
                <w:sz w:val="22"/>
                <w:szCs w:val="22"/>
              </w:rPr>
              <w:t>16、应支持画面合成，合成数量支持 1/2/3/4/5/6/8，分辨率支持≥4K，帧率支持 60fps；（提供第三方出具的检测报告）</w:t>
            </w:r>
          </w:p>
          <w:p w14:paraId="68C92B53">
            <w:pPr>
              <w:widowControl/>
              <w:textAlignment w:val="center"/>
              <w:rPr>
                <w:rFonts w:ascii="宋体" w:hAnsi="宋体" w:cs="宋体"/>
                <w:sz w:val="22"/>
                <w:szCs w:val="22"/>
              </w:rPr>
            </w:pPr>
            <w:r>
              <w:rPr>
                <w:rFonts w:hint="eastAsia" w:ascii="宋体" w:hAnsi="宋体" w:cs="宋体"/>
                <w:sz w:val="22"/>
                <w:szCs w:val="22"/>
              </w:rPr>
              <w:t>17、支持一键直刻，光盘刻录可选择单盘直刻、双盘直刻或循环直刻，并可自定义刻录通道</w:t>
            </w:r>
          </w:p>
          <w:p w14:paraId="10EC149A">
            <w:pPr>
              <w:widowControl/>
              <w:textAlignment w:val="center"/>
              <w:rPr>
                <w:rFonts w:ascii="宋体" w:hAnsi="宋体" w:cs="宋体"/>
                <w:sz w:val="22"/>
                <w:szCs w:val="22"/>
              </w:rPr>
            </w:pPr>
            <w:r>
              <w:rPr>
                <w:rFonts w:hint="eastAsia" w:ascii="宋体" w:hAnsi="宋体" w:cs="宋体"/>
                <w:sz w:val="22"/>
                <w:szCs w:val="22"/>
              </w:rPr>
              <w:t>18、支持 GB/T28181、RTSP 等接入协议</w:t>
            </w:r>
          </w:p>
          <w:p w14:paraId="573A9916">
            <w:pPr>
              <w:widowControl/>
              <w:textAlignment w:val="center"/>
              <w:rPr>
                <w:rFonts w:ascii="宋体" w:hAnsi="宋体" w:cs="宋体"/>
                <w:sz w:val="22"/>
                <w:szCs w:val="22"/>
              </w:rPr>
            </w:pPr>
            <w:r>
              <w:rPr>
                <w:rFonts w:hint="eastAsia" w:ascii="宋体" w:hAnsi="宋体" w:cs="宋体"/>
                <w:sz w:val="22"/>
                <w:szCs w:val="22"/>
              </w:rPr>
              <w:t>19、支持接入人体生命体征信息，可在实时视频上同步叠加血压、血氧、心律等体征信息</w:t>
            </w:r>
          </w:p>
          <w:p w14:paraId="145E9C6E">
            <w:pPr>
              <w:widowControl/>
              <w:textAlignment w:val="center"/>
              <w:rPr>
                <w:rFonts w:ascii="宋体" w:hAnsi="宋体" w:cs="宋体"/>
                <w:color w:val="000000" w:themeColor="text1"/>
                <w:sz w:val="22"/>
                <w:szCs w:val="22"/>
              </w:rPr>
            </w:pPr>
            <w:r>
              <w:rPr>
                <w:rFonts w:hint="eastAsia" w:ascii="宋体" w:hAnsi="宋体" w:cs="宋体"/>
                <w:sz w:val="22"/>
                <w:szCs w:val="22"/>
              </w:rPr>
              <w:t>20、主机应标配 1 块≥4T 的硬盘</w:t>
            </w:r>
          </w:p>
        </w:tc>
        <w:tc>
          <w:tcPr>
            <w:tcW w:w="221" w:type="pct"/>
            <w:gridSpan w:val="2"/>
            <w:shd w:val="clear" w:color="auto" w:fill="auto"/>
            <w:noWrap/>
            <w:vAlign w:val="center"/>
          </w:tcPr>
          <w:p w14:paraId="3AF5B8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732DDE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63C39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43" w:hRule="atLeast"/>
        </w:trPr>
        <w:tc>
          <w:tcPr>
            <w:tcW w:w="508" w:type="pct"/>
            <w:shd w:val="clear" w:color="auto" w:fill="auto"/>
            <w:noWrap/>
            <w:vAlign w:val="center"/>
          </w:tcPr>
          <w:p w14:paraId="02E6A1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5.7</w:t>
            </w:r>
          </w:p>
        </w:tc>
        <w:tc>
          <w:tcPr>
            <w:tcW w:w="346" w:type="pct"/>
            <w:shd w:val="clear" w:color="auto" w:fill="auto"/>
            <w:noWrap/>
            <w:vAlign w:val="center"/>
          </w:tcPr>
          <w:p w14:paraId="708120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物证展示台</w:t>
            </w:r>
          </w:p>
        </w:tc>
        <w:tc>
          <w:tcPr>
            <w:tcW w:w="3489" w:type="pct"/>
            <w:shd w:val="clear" w:color="auto" w:fill="auto"/>
            <w:vAlign w:val="center"/>
          </w:tcPr>
          <w:p w14:paraId="14CC0B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多路VGA输入+输出的接口设置使得无论是单采集信号源还是多路信号源都可以方便进行切换，满足用户在电脑显示界面和展台采集画面间的无缝转换。2.具备光学变焦，在图像放大时不损失画面质量，配合专门的视频接口，可以将最多的细节轻松输出展示。3.更大的底座带来更丰富的接口，同时搭载功能更为强大的ISP芯片使得画面传输速率和高分辨率情况下的画面质量均有很大的提升，完美支持1080P视频的输出。</w:t>
            </w:r>
          </w:p>
        </w:tc>
        <w:tc>
          <w:tcPr>
            <w:tcW w:w="221" w:type="pct"/>
            <w:gridSpan w:val="2"/>
            <w:shd w:val="clear" w:color="auto" w:fill="auto"/>
            <w:noWrap/>
            <w:vAlign w:val="center"/>
          </w:tcPr>
          <w:p w14:paraId="15C8B3E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EFA18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6ED2E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714C4D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5.8</w:t>
            </w:r>
          </w:p>
        </w:tc>
        <w:tc>
          <w:tcPr>
            <w:tcW w:w="346" w:type="pct"/>
            <w:shd w:val="clear" w:color="auto" w:fill="auto"/>
            <w:noWrap/>
            <w:vAlign w:val="center"/>
          </w:tcPr>
          <w:p w14:paraId="6239A2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讯问管控终端</w:t>
            </w:r>
          </w:p>
        </w:tc>
        <w:tc>
          <w:tcPr>
            <w:tcW w:w="3489" w:type="pct"/>
            <w:shd w:val="clear" w:color="auto" w:fill="auto"/>
            <w:vAlign w:val="center"/>
          </w:tcPr>
          <w:p w14:paraId="307A76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1.采用≥200W高清摄像头，具有≥88度超广角镜头，高清≥1080P画质；2.≥8英寸触摸屏，分辨率≥1280*800,采用星光级图像传感器，无需白光补光灯，支持红外自动补光，在暗光或无光环境下人员身份核验效果不受影响,金属边框及玻璃面板；3.采用深度学习算法，支持≥20000人脸库，识别距离至少满足：0.3-4m；4.≥IP65防水设计，适应恶劣环境；5.隐藏式刷卡设计，支持13．56MHz M卡、CPU序列号识别；6.支持外接≥1个RS485读卡器，作为出门读卡器使用。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业务功能参数：审讯管理：支出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含设备安装底盒、终端电源及门锁套件。</w:t>
            </w:r>
          </w:p>
        </w:tc>
        <w:tc>
          <w:tcPr>
            <w:tcW w:w="221" w:type="pct"/>
            <w:gridSpan w:val="2"/>
            <w:shd w:val="clear" w:color="auto" w:fill="auto"/>
            <w:noWrap/>
            <w:vAlign w:val="center"/>
          </w:tcPr>
          <w:p w14:paraId="737C07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4C53A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1F2FD4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07437D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5.9</w:t>
            </w:r>
          </w:p>
        </w:tc>
        <w:tc>
          <w:tcPr>
            <w:tcW w:w="346" w:type="pct"/>
            <w:shd w:val="clear" w:color="auto" w:fill="auto"/>
            <w:noWrap/>
            <w:vAlign w:val="center"/>
          </w:tcPr>
          <w:p w14:paraId="678F4C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一体化审讯台</w:t>
            </w:r>
          </w:p>
        </w:tc>
        <w:tc>
          <w:tcPr>
            <w:tcW w:w="3489" w:type="pct"/>
            <w:shd w:val="clear" w:color="auto" w:fill="auto"/>
            <w:vAlign w:val="center"/>
          </w:tcPr>
          <w:p w14:paraId="10203DB7">
            <w:pPr>
              <w:widowControl/>
              <w:textAlignment w:val="center"/>
              <w:rPr>
                <w:rFonts w:ascii="宋体" w:hAnsi="宋体" w:cs="宋体"/>
                <w:sz w:val="22"/>
                <w:szCs w:val="22"/>
              </w:rPr>
            </w:pPr>
            <w:r>
              <w:rPr>
                <w:rFonts w:hint="eastAsia" w:ascii="宋体" w:hAnsi="宋体" w:cs="宋体"/>
                <w:sz w:val="22"/>
                <w:szCs w:val="22"/>
              </w:rPr>
              <w:t>1、智能审讯一体桌应集成审讯台、审讯终端、电动升降单元、示证单元、特写摄像机、拾音器、编码器、音箱、交换机、报警按钮、智能触摸中控系统、打印功能为一体，并预留审讯主机、示证展台和电子签名捺印设备安装位置</w:t>
            </w:r>
          </w:p>
          <w:p w14:paraId="72C317B7">
            <w:pPr>
              <w:widowControl/>
              <w:textAlignment w:val="center"/>
              <w:rPr>
                <w:rFonts w:ascii="宋体" w:hAnsi="宋体" w:cs="宋体"/>
                <w:sz w:val="22"/>
                <w:szCs w:val="22"/>
              </w:rPr>
            </w:pPr>
            <w:r>
              <w:rPr>
                <w:rFonts w:hint="eastAsia" w:ascii="宋体" w:hAnsi="宋体" w:cs="宋体"/>
                <w:sz w:val="22"/>
                <w:szCs w:val="22"/>
              </w:rPr>
              <w:t>2、电动升降单元：≥21 寸，支持 HDMI 接口，仰角满足 0－15° 可调节角度，分辨率≥1920*1080</w:t>
            </w:r>
          </w:p>
          <w:p w14:paraId="33C5BC14">
            <w:pPr>
              <w:widowControl/>
              <w:textAlignment w:val="center"/>
              <w:rPr>
                <w:rFonts w:ascii="宋体" w:hAnsi="宋体" w:cs="宋体"/>
                <w:sz w:val="22"/>
                <w:szCs w:val="22"/>
              </w:rPr>
            </w:pPr>
            <w:r>
              <w:rPr>
                <w:rFonts w:hint="eastAsia" w:ascii="宋体" w:hAnsi="宋体" w:cs="宋体"/>
                <w:sz w:val="22"/>
                <w:szCs w:val="22"/>
              </w:rPr>
              <w:t>3、示证单元：≥43 寸，分辨率≥1920*1080</w:t>
            </w:r>
          </w:p>
          <w:p w14:paraId="388E4B95">
            <w:pPr>
              <w:widowControl/>
              <w:textAlignment w:val="center"/>
              <w:rPr>
                <w:rFonts w:ascii="宋体" w:hAnsi="宋体" w:cs="宋体"/>
                <w:sz w:val="22"/>
                <w:szCs w:val="22"/>
              </w:rPr>
            </w:pPr>
            <w:r>
              <w:rPr>
                <w:rFonts w:hint="eastAsia" w:ascii="宋体" w:hAnsi="宋体" w:cs="宋体"/>
                <w:sz w:val="22"/>
                <w:szCs w:val="22"/>
              </w:rPr>
              <w:t>4、审讯终端配置≥8 核处理器，≥8G 内存，≥1TB 机械硬盘，</w:t>
            </w:r>
          </w:p>
          <w:p w14:paraId="4134D878">
            <w:pPr>
              <w:widowControl/>
              <w:textAlignment w:val="center"/>
              <w:rPr>
                <w:rFonts w:ascii="宋体" w:hAnsi="宋体" w:cs="宋体"/>
                <w:sz w:val="22"/>
                <w:szCs w:val="22"/>
              </w:rPr>
            </w:pPr>
            <w:r>
              <w:rPr>
                <w:rFonts w:hint="eastAsia" w:ascii="宋体" w:hAnsi="宋体" w:cs="宋体"/>
                <w:sz w:val="22"/>
                <w:szCs w:val="22"/>
              </w:rPr>
              <w:t>≥240GB 固态硬盘</w:t>
            </w:r>
          </w:p>
          <w:p w14:paraId="658ED5F1">
            <w:pPr>
              <w:widowControl/>
              <w:textAlignment w:val="center"/>
              <w:rPr>
                <w:rFonts w:ascii="宋体" w:hAnsi="宋体" w:cs="宋体"/>
                <w:sz w:val="22"/>
                <w:szCs w:val="22"/>
              </w:rPr>
            </w:pPr>
            <w:r>
              <w:rPr>
                <w:rFonts w:hint="eastAsia" w:ascii="宋体" w:hAnsi="宋体" w:cs="宋体"/>
                <w:sz w:val="22"/>
                <w:szCs w:val="22"/>
              </w:rPr>
              <w:t>5、特写摄像机：≥500 万像素，2.8～12mm 电动变焦，支持变倍聚焦</w:t>
            </w:r>
          </w:p>
          <w:p w14:paraId="5453B9A6">
            <w:pPr>
              <w:widowControl/>
              <w:textAlignment w:val="center"/>
              <w:rPr>
                <w:rFonts w:ascii="宋体" w:hAnsi="宋体" w:cs="宋体"/>
                <w:sz w:val="22"/>
                <w:szCs w:val="22"/>
              </w:rPr>
            </w:pPr>
            <w:r>
              <w:rPr>
                <w:rFonts w:hint="eastAsia" w:ascii="宋体" w:hAnsi="宋体" w:cs="宋体"/>
                <w:sz w:val="22"/>
                <w:szCs w:val="22"/>
              </w:rPr>
              <w:t>6、特写摄像机角度可调，上下左右可调整角度≥7 度</w:t>
            </w:r>
          </w:p>
          <w:p w14:paraId="55925AB1">
            <w:pPr>
              <w:widowControl/>
              <w:textAlignment w:val="center"/>
              <w:rPr>
                <w:rFonts w:ascii="宋体" w:hAnsi="宋体" w:cs="宋体"/>
                <w:sz w:val="22"/>
                <w:szCs w:val="22"/>
              </w:rPr>
            </w:pPr>
            <w:r>
              <w:rPr>
                <w:rFonts w:hint="eastAsia" w:ascii="宋体" w:hAnsi="宋体" w:cs="宋体"/>
                <w:sz w:val="22"/>
                <w:szCs w:val="22"/>
              </w:rPr>
              <w:t>7、桌面提供接口：音频 3.5mm 输出≥1 个、≥1 个 USB 接口、</w:t>
            </w:r>
          </w:p>
          <w:p w14:paraId="6063C307">
            <w:pPr>
              <w:widowControl/>
              <w:textAlignment w:val="center"/>
              <w:rPr>
                <w:rFonts w:ascii="宋体" w:hAnsi="宋体" w:cs="宋体"/>
                <w:sz w:val="22"/>
                <w:szCs w:val="22"/>
              </w:rPr>
            </w:pPr>
            <w:r>
              <w:rPr>
                <w:rFonts w:hint="eastAsia" w:ascii="宋体" w:hAnsi="宋体" w:cs="宋体"/>
                <w:sz w:val="22"/>
                <w:szCs w:val="22"/>
              </w:rPr>
              <w:t>≥1 个 AC 220V 插口</w:t>
            </w:r>
          </w:p>
          <w:p w14:paraId="32AC7B6C">
            <w:pPr>
              <w:widowControl/>
              <w:textAlignment w:val="center"/>
              <w:rPr>
                <w:rFonts w:ascii="宋体" w:hAnsi="宋体" w:cs="宋体"/>
                <w:sz w:val="22"/>
                <w:szCs w:val="22"/>
              </w:rPr>
            </w:pPr>
            <w:r>
              <w:rPr>
                <w:rFonts w:hint="eastAsia" w:ascii="宋体" w:hAnsi="宋体" w:cs="宋体"/>
                <w:sz w:val="22"/>
                <w:szCs w:val="22"/>
              </w:rPr>
              <w:t>8、应内置高保真拾音器，具备高灵敏度、全向拾音</w:t>
            </w:r>
          </w:p>
          <w:p w14:paraId="2E8350A9">
            <w:pPr>
              <w:widowControl/>
              <w:textAlignment w:val="center"/>
              <w:rPr>
                <w:rFonts w:ascii="宋体" w:hAnsi="宋体" w:cs="宋体"/>
                <w:sz w:val="22"/>
                <w:szCs w:val="22"/>
              </w:rPr>
            </w:pPr>
            <w:r>
              <w:rPr>
                <w:rFonts w:hint="eastAsia" w:ascii="宋体" w:hAnsi="宋体" w:cs="宋体"/>
                <w:sz w:val="22"/>
                <w:szCs w:val="22"/>
              </w:rPr>
              <w:t>9、智能审讯模块，应支持一键开关机、示证切换、升降单元升降、开启审讯等功能，方便民警便捷开展审讯工作（提供第三方出具的检测报告）</w:t>
            </w:r>
          </w:p>
          <w:p w14:paraId="51F01A69">
            <w:pPr>
              <w:widowControl/>
              <w:textAlignment w:val="center"/>
              <w:rPr>
                <w:rFonts w:ascii="宋体" w:hAnsi="宋体" w:cs="宋体"/>
                <w:sz w:val="22"/>
                <w:szCs w:val="22"/>
              </w:rPr>
            </w:pPr>
            <w:r>
              <w:rPr>
                <w:rFonts w:hint="eastAsia" w:ascii="宋体" w:hAnsi="宋体" w:cs="宋体"/>
                <w:sz w:val="22"/>
                <w:szCs w:val="22"/>
              </w:rPr>
              <w:t>10、智能触摸中控系统：≥7 寸，应支持电控开关、智能审讯、大屏影像、生命体征、审讯椅控制等应用模块</w:t>
            </w:r>
          </w:p>
          <w:p w14:paraId="3474BD5E">
            <w:pPr>
              <w:widowControl/>
              <w:textAlignment w:val="center"/>
              <w:rPr>
                <w:rFonts w:ascii="宋体" w:hAnsi="宋体" w:cs="宋体"/>
                <w:sz w:val="22"/>
                <w:szCs w:val="22"/>
              </w:rPr>
            </w:pPr>
            <w:r>
              <w:rPr>
                <w:rFonts w:hint="eastAsia" w:ascii="宋体" w:hAnsi="宋体" w:cs="宋体"/>
                <w:sz w:val="22"/>
                <w:szCs w:val="22"/>
              </w:rPr>
              <w:t>11、电控开关模块，支持控制设备通断电</w:t>
            </w:r>
          </w:p>
          <w:p w14:paraId="318AC59A">
            <w:pPr>
              <w:widowControl/>
              <w:textAlignment w:val="center"/>
              <w:rPr>
                <w:rFonts w:ascii="宋体" w:hAnsi="宋体" w:cs="宋体"/>
                <w:sz w:val="22"/>
                <w:szCs w:val="22"/>
              </w:rPr>
            </w:pPr>
            <w:r>
              <w:rPr>
                <w:rFonts w:hint="eastAsia" w:ascii="宋体" w:hAnsi="宋体" w:cs="宋体"/>
                <w:sz w:val="22"/>
                <w:szCs w:val="22"/>
              </w:rPr>
              <w:t>12、应支持生命体征模块，可以实时查看嫌疑人心率、体温、血压数据，支持体征异常报警（提供第三方出具的检测报告）</w:t>
            </w:r>
          </w:p>
          <w:p w14:paraId="07E1998A">
            <w:pPr>
              <w:widowControl/>
              <w:textAlignment w:val="center"/>
              <w:rPr>
                <w:rFonts w:ascii="宋体" w:hAnsi="宋体" w:cs="宋体"/>
                <w:sz w:val="22"/>
                <w:szCs w:val="22"/>
              </w:rPr>
            </w:pPr>
            <w:r>
              <w:rPr>
                <w:rFonts w:hint="eastAsia" w:ascii="宋体" w:hAnsi="宋体" w:cs="宋体"/>
                <w:sz w:val="22"/>
                <w:szCs w:val="22"/>
              </w:rPr>
              <w:t>13、大屏影像模块，可以实时回显查看示证画面当前内容，便于民警核对</w:t>
            </w:r>
          </w:p>
          <w:p w14:paraId="2F5DBFAF">
            <w:pPr>
              <w:widowControl/>
              <w:textAlignment w:val="center"/>
              <w:rPr>
                <w:rFonts w:ascii="宋体" w:hAnsi="宋体" w:cs="宋体"/>
                <w:sz w:val="22"/>
                <w:szCs w:val="22"/>
              </w:rPr>
            </w:pPr>
            <w:r>
              <w:rPr>
                <w:rFonts w:hint="eastAsia" w:ascii="宋体" w:hAnsi="宋体" w:cs="宋体"/>
                <w:sz w:val="22"/>
                <w:szCs w:val="22"/>
              </w:rPr>
              <w:t>14、打印模块隐蔽式嵌套于桌面下方，支持抽拉，可方便维护， 桌面预留出纸口，纸张可无障碍摊放到桌面</w:t>
            </w:r>
          </w:p>
          <w:p w14:paraId="177D32FD">
            <w:pPr>
              <w:widowControl/>
              <w:textAlignment w:val="center"/>
              <w:rPr>
                <w:rFonts w:ascii="宋体" w:hAnsi="宋体" w:cs="宋体"/>
                <w:sz w:val="22"/>
                <w:szCs w:val="22"/>
              </w:rPr>
            </w:pPr>
            <w:r>
              <w:rPr>
                <w:rFonts w:hint="eastAsia" w:ascii="宋体" w:hAnsi="宋体" w:cs="宋体"/>
                <w:sz w:val="22"/>
                <w:szCs w:val="22"/>
              </w:rPr>
              <w:t>15、支持彩色打印</w:t>
            </w:r>
          </w:p>
          <w:p w14:paraId="6C69A1E7">
            <w:pPr>
              <w:widowControl/>
              <w:textAlignment w:val="center"/>
              <w:rPr>
                <w:rFonts w:ascii="宋体" w:hAnsi="宋体" w:cs="宋体"/>
                <w:sz w:val="22"/>
                <w:szCs w:val="22"/>
              </w:rPr>
            </w:pPr>
            <w:r>
              <w:rPr>
                <w:rFonts w:hint="eastAsia" w:ascii="宋体" w:hAnsi="宋体" w:cs="宋体"/>
                <w:sz w:val="22"/>
                <w:szCs w:val="22"/>
              </w:rPr>
              <w:t>16、支持在CPU为RAM或C86架构、操作系统为国产操作系统的客户端电脑客户端电脑上录像、刻录（提供第三方出具的检测报告）</w:t>
            </w:r>
          </w:p>
          <w:p w14:paraId="7BFFE7B1">
            <w:pPr>
              <w:widowControl/>
              <w:textAlignment w:val="center"/>
              <w:rPr>
                <w:rFonts w:ascii="宋体" w:hAnsi="宋体" w:cs="宋体"/>
                <w:color w:val="000000" w:themeColor="text1"/>
                <w:sz w:val="22"/>
                <w:szCs w:val="22"/>
              </w:rPr>
            </w:pPr>
            <w:r>
              <w:rPr>
                <w:rFonts w:hint="eastAsia" w:ascii="宋体" w:hAnsi="宋体" w:cs="宋体"/>
                <w:sz w:val="22"/>
                <w:szCs w:val="22"/>
              </w:rPr>
              <w:t>17、支持按下桌面手动报警按钮触发应急报警</w:t>
            </w:r>
          </w:p>
        </w:tc>
        <w:tc>
          <w:tcPr>
            <w:tcW w:w="221" w:type="pct"/>
            <w:gridSpan w:val="2"/>
            <w:shd w:val="clear" w:color="auto" w:fill="auto"/>
            <w:noWrap/>
            <w:vAlign w:val="center"/>
          </w:tcPr>
          <w:p w14:paraId="210F18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AE9FE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53799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90" w:hRule="atLeast"/>
        </w:trPr>
        <w:tc>
          <w:tcPr>
            <w:tcW w:w="508" w:type="pct"/>
            <w:shd w:val="clear" w:color="auto" w:fill="auto"/>
            <w:noWrap/>
            <w:vAlign w:val="center"/>
          </w:tcPr>
          <w:p w14:paraId="153C31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5.10 </w:t>
            </w:r>
          </w:p>
        </w:tc>
        <w:tc>
          <w:tcPr>
            <w:tcW w:w="346" w:type="pct"/>
            <w:shd w:val="clear" w:color="auto" w:fill="auto"/>
            <w:noWrap/>
            <w:vAlign w:val="center"/>
          </w:tcPr>
          <w:p w14:paraId="35440D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bottom"/>
          </w:tcPr>
          <w:p w14:paraId="231FA544">
            <w:pPr>
              <w:widowControl/>
              <w:textAlignment w:val="bottom"/>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支持≥128GB；2、显示屏：尺寸：≥10.1英寸；显示比例：16:10；分辨率：≥1280*800；亮度：≥350cd/m²；对比度：≥800:1；可视角度：水平≥160°，垂直≥160°；3、摄像头：像素：≥200W；传感器：≥1/3"CMOS；有效像素@帧率：≥1920*1080@30fps；；最低照度：≥0.1lux；</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06D0986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7F461F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58205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CE1E28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5.11</w:t>
            </w:r>
          </w:p>
        </w:tc>
        <w:tc>
          <w:tcPr>
            <w:tcW w:w="346" w:type="pct"/>
            <w:shd w:val="clear" w:color="auto" w:fill="auto"/>
            <w:noWrap/>
            <w:vAlign w:val="center"/>
          </w:tcPr>
          <w:p w14:paraId="24D413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有线耳机</w:t>
            </w:r>
          </w:p>
        </w:tc>
        <w:tc>
          <w:tcPr>
            <w:tcW w:w="3489" w:type="pct"/>
            <w:shd w:val="clear" w:color="auto" w:fill="auto"/>
            <w:vAlign w:val="bottom"/>
          </w:tcPr>
          <w:p w14:paraId="57399949">
            <w:pPr>
              <w:widowControl/>
              <w:textAlignment w:val="bottom"/>
              <w:rPr>
                <w:rFonts w:ascii="宋体" w:hAnsi="宋体" w:cs="宋体"/>
                <w:color w:val="000000" w:themeColor="text1"/>
                <w:sz w:val="22"/>
                <w:szCs w:val="22"/>
              </w:rPr>
            </w:pPr>
            <w:r>
              <w:rPr>
                <w:rFonts w:hint="eastAsia" w:ascii="宋体" w:hAnsi="宋体" w:cs="宋体"/>
                <w:color w:val="000000" w:themeColor="text1"/>
                <w:sz w:val="22"/>
                <w:szCs w:val="22"/>
              </w:rPr>
              <w:t>佩戴方式入耳式耳机；麦克风频响范围20-20000Hz麦克风有；接口类型3.5mm外接AUX接口纠错；产品尺寸≥80x80x31mm；产品颜色黑色，白色</w:t>
            </w:r>
          </w:p>
        </w:tc>
        <w:tc>
          <w:tcPr>
            <w:tcW w:w="221" w:type="pct"/>
            <w:gridSpan w:val="2"/>
            <w:shd w:val="clear" w:color="auto" w:fill="auto"/>
            <w:noWrap/>
            <w:vAlign w:val="center"/>
          </w:tcPr>
          <w:p w14:paraId="3B6DE8C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48E7AAB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053F3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0DC6B9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5.12</w:t>
            </w:r>
          </w:p>
        </w:tc>
        <w:tc>
          <w:tcPr>
            <w:tcW w:w="346" w:type="pct"/>
            <w:shd w:val="clear" w:color="auto" w:fill="auto"/>
            <w:noWrap/>
            <w:vAlign w:val="center"/>
          </w:tcPr>
          <w:p w14:paraId="05E5C9E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6BB55B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5EF06E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4B3566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 </w:t>
            </w:r>
          </w:p>
        </w:tc>
      </w:tr>
      <w:tr w14:paraId="3C4F2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055BDD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5.13</w:t>
            </w:r>
          </w:p>
        </w:tc>
        <w:tc>
          <w:tcPr>
            <w:tcW w:w="346" w:type="pct"/>
            <w:shd w:val="clear" w:color="auto" w:fill="auto"/>
            <w:noWrap/>
            <w:vAlign w:val="center"/>
          </w:tcPr>
          <w:p w14:paraId="152EB33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审讯专用坐具</w:t>
            </w:r>
          </w:p>
        </w:tc>
        <w:tc>
          <w:tcPr>
            <w:tcW w:w="3489" w:type="pct"/>
            <w:shd w:val="clear" w:color="auto" w:fill="auto"/>
            <w:vAlign w:val="center"/>
          </w:tcPr>
          <w:p w14:paraId="5CFE1F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审讯椅桌面上方装有手铐，方便约束其手腕，下部为脚环装置。腰部有安全杠，防止头部前倾。审讯椅选用国标201优质不锈钢材料，包括靠背、座面、椅腿、扶手。采用优质铁管制作而成，结实耐用，桌面、靠背、坐垫处采用西皮软包，桌面也是钢板制成，无棱角更安全，手部采用优质的U型锁，脚部为弹簧设计的锁扣，安全可靠，方便。可固定与地面上，安全带设计更为人性化。座位处及锁手处面板为加厚钢板，锁具为钥匙型，钥匙通用（特制），椅子后部有弹簧开关，掰动开关脚部锁具自动打开，使用中无需配备其它任何锁具，靠背有胸带；尺寸750x875x950mm，误差±5%。</w:t>
            </w:r>
          </w:p>
        </w:tc>
        <w:tc>
          <w:tcPr>
            <w:tcW w:w="221" w:type="pct"/>
            <w:gridSpan w:val="2"/>
            <w:shd w:val="clear" w:color="auto" w:fill="auto"/>
            <w:noWrap/>
            <w:vAlign w:val="center"/>
          </w:tcPr>
          <w:p w14:paraId="2F48956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3C944B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757A7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9341D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5.14</w:t>
            </w:r>
          </w:p>
        </w:tc>
        <w:tc>
          <w:tcPr>
            <w:tcW w:w="346" w:type="pct"/>
            <w:shd w:val="clear" w:color="auto" w:fill="auto"/>
            <w:noWrap/>
            <w:vAlign w:val="center"/>
          </w:tcPr>
          <w:p w14:paraId="0C1FAE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LED状态显示屏</w:t>
            </w:r>
          </w:p>
        </w:tc>
        <w:tc>
          <w:tcPr>
            <w:tcW w:w="3489" w:type="pct"/>
            <w:shd w:val="clear" w:color="auto" w:fill="auto"/>
            <w:vAlign w:val="center"/>
          </w:tcPr>
          <w:p w14:paraId="32CD6B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1.类型：室内双色显示屏；2.LED封装：国产；3.像素间距：≤4.75mm；4.像素密度：≥44000点/㎡；5.亮度：≥500cd/㎡；6.视角：≥120°。</w:t>
            </w:r>
          </w:p>
        </w:tc>
        <w:tc>
          <w:tcPr>
            <w:tcW w:w="221" w:type="pct"/>
            <w:gridSpan w:val="2"/>
            <w:shd w:val="clear" w:color="auto" w:fill="auto"/>
            <w:noWrap/>
            <w:vAlign w:val="center"/>
          </w:tcPr>
          <w:p w14:paraId="17FE71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FA0A0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70EF9F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3F6EA1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6</w:t>
            </w:r>
          </w:p>
        </w:tc>
        <w:tc>
          <w:tcPr>
            <w:tcW w:w="4486" w:type="pct"/>
            <w:gridSpan w:val="6"/>
            <w:shd w:val="clear" w:color="auto" w:fill="auto"/>
            <w:noWrap/>
            <w:vAlign w:val="center"/>
          </w:tcPr>
          <w:p w14:paraId="05EB8955">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询问室/兼远程取证室和远程提讯室（1间）</w:t>
            </w:r>
          </w:p>
        </w:tc>
      </w:tr>
      <w:tr w14:paraId="123F8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92" w:hRule="atLeast"/>
        </w:trPr>
        <w:tc>
          <w:tcPr>
            <w:tcW w:w="508" w:type="pct"/>
            <w:shd w:val="clear" w:color="auto" w:fill="auto"/>
            <w:noWrap/>
            <w:vAlign w:val="center"/>
          </w:tcPr>
          <w:p w14:paraId="1BAB020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6.1</w:t>
            </w:r>
          </w:p>
        </w:tc>
        <w:tc>
          <w:tcPr>
            <w:tcW w:w="346" w:type="pct"/>
            <w:shd w:val="clear" w:color="auto" w:fill="auto"/>
            <w:noWrap/>
            <w:vAlign w:val="center"/>
          </w:tcPr>
          <w:p w14:paraId="303A4E2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712F4D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7F311C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A7795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2D6C83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6611E7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6.2</w:t>
            </w:r>
          </w:p>
        </w:tc>
        <w:tc>
          <w:tcPr>
            <w:tcW w:w="346" w:type="pct"/>
            <w:shd w:val="clear" w:color="auto" w:fill="auto"/>
            <w:noWrap/>
            <w:vAlign w:val="center"/>
          </w:tcPr>
          <w:p w14:paraId="2D80B7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048C41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515322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7B870D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B89E4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970" w:hRule="atLeast"/>
        </w:trPr>
        <w:tc>
          <w:tcPr>
            <w:tcW w:w="508" w:type="pct"/>
            <w:shd w:val="clear" w:color="auto" w:fill="auto"/>
            <w:noWrap/>
            <w:vAlign w:val="center"/>
          </w:tcPr>
          <w:p w14:paraId="6BE9A74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6.3</w:t>
            </w:r>
          </w:p>
        </w:tc>
        <w:tc>
          <w:tcPr>
            <w:tcW w:w="346" w:type="pct"/>
            <w:shd w:val="clear" w:color="auto" w:fill="auto"/>
            <w:noWrap/>
            <w:vAlign w:val="center"/>
          </w:tcPr>
          <w:p w14:paraId="45EB165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空间定位摄像机</w:t>
            </w:r>
          </w:p>
        </w:tc>
        <w:tc>
          <w:tcPr>
            <w:tcW w:w="3489" w:type="pct"/>
            <w:shd w:val="clear" w:color="auto" w:fill="auto"/>
            <w:vAlign w:val="center"/>
          </w:tcPr>
          <w:p w14:paraId="7704F7E5">
            <w:pPr>
              <w:widowControl/>
              <w:textAlignment w:val="center"/>
              <w:rPr>
                <w:rFonts w:ascii="宋体" w:hAnsi="宋体" w:cs="宋体"/>
                <w:sz w:val="22"/>
                <w:szCs w:val="22"/>
              </w:rPr>
            </w:pPr>
            <w:r>
              <w:rPr>
                <w:rFonts w:hint="eastAsia" w:ascii="宋体" w:hAnsi="宋体" w:cs="宋体"/>
                <w:sz w:val="22"/>
                <w:szCs w:val="22"/>
              </w:rPr>
              <w:t>1、≥600 万像素传感器，2.8~12mm 电动变焦</w:t>
            </w:r>
          </w:p>
          <w:p w14:paraId="5C07DDBF">
            <w:pPr>
              <w:widowControl/>
              <w:textAlignment w:val="center"/>
              <w:rPr>
                <w:rFonts w:ascii="宋体" w:hAnsi="宋体" w:cs="宋体"/>
                <w:sz w:val="22"/>
                <w:szCs w:val="22"/>
              </w:rPr>
            </w:pPr>
            <w:r>
              <w:rPr>
                <w:rFonts w:hint="eastAsia" w:ascii="宋体" w:hAnsi="宋体" w:cs="宋体"/>
                <w:sz w:val="22"/>
                <w:szCs w:val="22"/>
              </w:rPr>
              <w:t>2、需支持人脸抓拍，单画面同时检测人脸数≥30 张，单画面同时抓拍人脸数≥15 张</w:t>
            </w:r>
          </w:p>
          <w:p w14:paraId="51B49AE7">
            <w:pPr>
              <w:widowControl/>
              <w:textAlignment w:val="center"/>
              <w:rPr>
                <w:rFonts w:ascii="宋体" w:hAnsi="宋体" w:cs="宋体"/>
                <w:sz w:val="22"/>
                <w:szCs w:val="22"/>
              </w:rPr>
            </w:pPr>
            <w:r>
              <w:rPr>
                <w:rFonts w:hint="eastAsia" w:ascii="宋体" w:hAnsi="宋体" w:cs="宋体"/>
                <w:sz w:val="22"/>
                <w:szCs w:val="22"/>
              </w:rPr>
              <w:t>3、需支持红外灯，红外补光距离≥30 米</w:t>
            </w:r>
          </w:p>
          <w:p w14:paraId="35E61E85">
            <w:pPr>
              <w:widowControl/>
              <w:textAlignment w:val="center"/>
              <w:rPr>
                <w:rFonts w:ascii="宋体" w:hAnsi="宋体" w:cs="宋体"/>
                <w:sz w:val="22"/>
                <w:szCs w:val="22"/>
              </w:rPr>
            </w:pPr>
            <w:r>
              <w:rPr>
                <w:rFonts w:hint="eastAsia" w:ascii="宋体" w:hAnsi="宋体" w:cs="宋体"/>
                <w:sz w:val="22"/>
                <w:szCs w:val="22"/>
              </w:rPr>
              <w:t>4、需支持对经过设定区域内的行人进行人体检测并抓拍，可抓拍人体正面、背面、侧面人体图片并上传至平台（提供第三方出具的检测报告）</w:t>
            </w:r>
          </w:p>
          <w:p w14:paraId="175B63A0">
            <w:pPr>
              <w:widowControl/>
              <w:textAlignment w:val="center"/>
              <w:rPr>
                <w:rFonts w:ascii="宋体" w:hAnsi="宋体" w:cs="宋体"/>
                <w:sz w:val="22"/>
                <w:szCs w:val="22"/>
              </w:rPr>
            </w:pPr>
            <w:r>
              <w:rPr>
                <w:rFonts w:hint="eastAsia" w:ascii="宋体" w:hAnsi="宋体" w:cs="宋体"/>
                <w:sz w:val="22"/>
                <w:szCs w:val="22"/>
              </w:rPr>
              <w:t>5、需支持人脸识别准确率≥95%</w:t>
            </w:r>
          </w:p>
          <w:p w14:paraId="3D68797D">
            <w:pPr>
              <w:widowControl/>
              <w:textAlignment w:val="center"/>
              <w:rPr>
                <w:rFonts w:ascii="宋体" w:hAnsi="宋体" w:cs="宋体"/>
                <w:sz w:val="22"/>
                <w:szCs w:val="22"/>
              </w:rPr>
            </w:pPr>
            <w:r>
              <w:rPr>
                <w:rFonts w:hint="eastAsia" w:ascii="宋体" w:hAnsi="宋体" w:cs="宋体"/>
                <w:sz w:val="22"/>
                <w:szCs w:val="22"/>
              </w:rPr>
              <w:t>6、需支持同时检测≥50 个行人并同时显示行进轨迹，并实时输出行人的坐标信息和时间戳（提供第三方出具的检测报告）</w:t>
            </w:r>
          </w:p>
          <w:p w14:paraId="7F34EC9F">
            <w:pPr>
              <w:widowControl/>
              <w:textAlignment w:val="center"/>
              <w:rPr>
                <w:rFonts w:ascii="宋体" w:hAnsi="宋体" w:cs="宋体"/>
                <w:sz w:val="22"/>
                <w:szCs w:val="22"/>
              </w:rPr>
            </w:pPr>
            <w:r>
              <w:rPr>
                <w:rFonts w:hint="eastAsia" w:ascii="宋体" w:hAnsi="宋体" w:cs="宋体"/>
                <w:sz w:val="22"/>
                <w:szCs w:val="22"/>
              </w:rPr>
              <w:t>7、配合无感轨迹定位设备，需支持以某一物理位置为坐标原点， 分别标定镜头并建立坐标系；</w:t>
            </w:r>
          </w:p>
          <w:p w14:paraId="127634AD">
            <w:pPr>
              <w:widowControl/>
              <w:textAlignment w:val="center"/>
              <w:rPr>
                <w:rFonts w:ascii="宋体" w:hAnsi="宋体" w:cs="宋体"/>
                <w:sz w:val="22"/>
                <w:szCs w:val="22"/>
              </w:rPr>
            </w:pPr>
            <w:r>
              <w:rPr>
                <w:rFonts w:hint="eastAsia" w:ascii="宋体" w:hAnsi="宋体" w:cs="宋体"/>
                <w:sz w:val="22"/>
                <w:szCs w:val="22"/>
              </w:rPr>
              <w:t>8、需支持智能行为分析功能，支持奔跑、徘徊、人群聚集、人</w:t>
            </w:r>
          </w:p>
          <w:p w14:paraId="5A7865B1">
            <w:pPr>
              <w:widowControl/>
              <w:textAlignment w:val="center"/>
              <w:rPr>
                <w:rFonts w:ascii="宋体" w:hAnsi="宋体" w:cs="宋体"/>
                <w:color w:val="000000" w:themeColor="text1"/>
                <w:sz w:val="22"/>
                <w:szCs w:val="22"/>
              </w:rPr>
            </w:pPr>
            <w:r>
              <w:rPr>
                <w:rFonts w:hint="eastAsia" w:ascii="宋体" w:hAnsi="宋体" w:cs="宋体"/>
                <w:sz w:val="22"/>
                <w:szCs w:val="22"/>
              </w:rPr>
              <w:t>数统计、攀高、值岗检测等（提供第三方出具的检测报告）</w:t>
            </w:r>
          </w:p>
        </w:tc>
        <w:tc>
          <w:tcPr>
            <w:tcW w:w="221" w:type="pct"/>
            <w:gridSpan w:val="2"/>
            <w:shd w:val="clear" w:color="auto" w:fill="auto"/>
            <w:noWrap/>
            <w:vAlign w:val="center"/>
          </w:tcPr>
          <w:p w14:paraId="743CC1F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1CCCE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D5766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05BEAD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6.4</w:t>
            </w:r>
          </w:p>
        </w:tc>
        <w:tc>
          <w:tcPr>
            <w:tcW w:w="346" w:type="pct"/>
            <w:shd w:val="clear" w:color="auto" w:fill="auto"/>
            <w:noWrap/>
            <w:vAlign w:val="center"/>
          </w:tcPr>
          <w:p w14:paraId="2FD256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签字摄像机</w:t>
            </w:r>
          </w:p>
        </w:tc>
        <w:tc>
          <w:tcPr>
            <w:tcW w:w="3489" w:type="pct"/>
            <w:shd w:val="clear" w:color="auto" w:fill="auto"/>
            <w:vAlign w:val="center"/>
          </w:tcPr>
          <w:p w14:paraId="78067E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视频分辨率和帧率≥2560×1440、25帧/秒，最低照度彩色≤0.005lx，宽动态能力综合评价得分≥140，视频压缩标准需支持H.265，内置电动变焦镜头，电动变焦范围不小于3-12mm；2.支持记录系统操作、配置操作、数据操作、事件操作、异常状态、用户管理、清空日志等不低于八种类型的日志信息。可按照主类型、次类型、开始时间、结束时间搜索日志，主类型有全部类型、报警、异常、操作、信息等不少于五种类型；次类型可在主类型限定范围内按功能细分搜索的日志范围；</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3.字符叠加(OSD)功能支持在视频图像上叠加≥28行字符，字符可选择项至少包括通道名称、时间、日期等，字体、颜色、位置、闪烁、滚动效果可设置；4.具备区域入侵、越界入侵、进入区域、离开区域、人员聚集、快速移动、徘徊、物品移除、物品遗留、停车智能分析功能，当以上智能分析行为达到设定的阈值时，可通过客户端软件或浏览器给出报警提示；5.支持PoE供电，≥1个DC12V电源输出接口，具有≥1个存储卡插槽，具有麦克风、音频输入输出、报警输入输出接口，内置红外补光灯，补光距离≥30米，防护等级不低于IP66。</w:t>
            </w:r>
          </w:p>
        </w:tc>
        <w:tc>
          <w:tcPr>
            <w:tcW w:w="221" w:type="pct"/>
            <w:gridSpan w:val="2"/>
            <w:shd w:val="clear" w:color="auto" w:fill="auto"/>
            <w:noWrap/>
            <w:vAlign w:val="center"/>
          </w:tcPr>
          <w:p w14:paraId="1E71110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5BB1DA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CD2B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3C0C0D7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6.5</w:t>
            </w:r>
          </w:p>
        </w:tc>
        <w:tc>
          <w:tcPr>
            <w:tcW w:w="346" w:type="pct"/>
            <w:shd w:val="clear" w:color="auto" w:fill="auto"/>
            <w:noWrap/>
            <w:vAlign w:val="center"/>
          </w:tcPr>
          <w:p w14:paraId="73B60D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温湿度显示屏</w:t>
            </w:r>
          </w:p>
        </w:tc>
        <w:tc>
          <w:tcPr>
            <w:tcW w:w="3489" w:type="pct"/>
            <w:shd w:val="clear" w:color="auto" w:fill="auto"/>
            <w:vAlign w:val="center"/>
          </w:tcPr>
          <w:p w14:paraId="5D20A2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1、温湿度屏与超广角全景摄像机一体化设计，集时间、温湿度采集显示与全景画面采集功能于一体</w:t>
            </w:r>
          </w:p>
          <w:p w14:paraId="605039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2、静态数字显示，适于同步录音录像</w:t>
            </w:r>
          </w:p>
          <w:p w14:paraId="3EFB56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3、≤2.1mm超广角定焦镜头，支持ICR双滤切换</w:t>
            </w:r>
          </w:p>
          <w:p w14:paraId="3C13A4E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4、摄像机分辨率≥2592×1944</w:t>
            </w:r>
          </w:p>
          <w:p w14:paraId="1F6E57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5、内置MIC和扬声器，具有≥1个RJ45接口、1路音频输入接口、1路音频输出接口、2路报警输入接口、1路报警输出接口、1个RS485接口、1个复位按钮、1个存储卡接口</w:t>
            </w:r>
          </w:p>
          <w:p w14:paraId="7724A74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6、支持显示屏手动校时或通过ntp自动校时（提供第三方出具的检测报告)</w:t>
            </w:r>
          </w:p>
          <w:p w14:paraId="2FFE07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7、应支持值岗、攀高、人数统计等智能分析功能（提供第三方出具的检测报告)</w:t>
            </w:r>
          </w:p>
          <w:p w14:paraId="28EADF9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8、应支持三码流同时输出，主码流最高分辨率≥2592*1944@30fps，最高帧率1920*1080@60 fps</w:t>
            </w:r>
          </w:p>
          <w:p w14:paraId="09D0B3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9、应支持音视频本地存储卡存储，录制的文件可使用通用播放软件播放</w:t>
            </w:r>
          </w:p>
          <w:p w14:paraId="5C91985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10、应摄像机支持畸变矫正、远端放大功能（提供第三方出具的检测报告)</w:t>
            </w:r>
          </w:p>
        </w:tc>
        <w:tc>
          <w:tcPr>
            <w:tcW w:w="221" w:type="pct"/>
            <w:gridSpan w:val="2"/>
            <w:shd w:val="clear" w:color="auto" w:fill="auto"/>
            <w:noWrap/>
            <w:vAlign w:val="center"/>
          </w:tcPr>
          <w:p w14:paraId="342748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块</w:t>
            </w:r>
          </w:p>
        </w:tc>
        <w:tc>
          <w:tcPr>
            <w:tcW w:w="428" w:type="pct"/>
            <w:gridSpan w:val="2"/>
            <w:shd w:val="clear" w:color="auto" w:fill="auto"/>
            <w:noWrap/>
            <w:vAlign w:val="center"/>
          </w:tcPr>
          <w:p w14:paraId="66B26BD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A6F58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5583DA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6.6</w:t>
            </w:r>
          </w:p>
        </w:tc>
        <w:tc>
          <w:tcPr>
            <w:tcW w:w="346" w:type="pct"/>
            <w:shd w:val="clear" w:color="auto" w:fill="auto"/>
            <w:noWrap/>
            <w:vAlign w:val="center"/>
          </w:tcPr>
          <w:p w14:paraId="756E1A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审讯主机</w:t>
            </w:r>
          </w:p>
        </w:tc>
        <w:tc>
          <w:tcPr>
            <w:tcW w:w="3489" w:type="pct"/>
            <w:shd w:val="clear" w:color="auto" w:fill="auto"/>
            <w:vAlign w:val="center"/>
          </w:tcPr>
          <w:p w14:paraId="2F7067F0">
            <w:pPr>
              <w:widowControl/>
              <w:textAlignment w:val="center"/>
              <w:rPr>
                <w:rFonts w:ascii="宋体" w:hAnsi="宋体" w:cs="宋体"/>
                <w:sz w:val="22"/>
                <w:szCs w:val="22"/>
              </w:rPr>
            </w:pPr>
            <w:r>
              <w:rPr>
                <w:rFonts w:hint="eastAsia" w:ascii="宋体" w:hAnsi="宋体" w:cs="宋体"/>
                <w:sz w:val="22"/>
                <w:szCs w:val="22"/>
              </w:rPr>
              <w:t>1、应支持≥6 个硬盘插槽。</w:t>
            </w:r>
          </w:p>
          <w:p w14:paraId="09379F3C">
            <w:pPr>
              <w:widowControl/>
              <w:textAlignment w:val="center"/>
              <w:rPr>
                <w:rFonts w:ascii="宋体" w:hAnsi="宋体" w:cs="宋体"/>
                <w:sz w:val="22"/>
                <w:szCs w:val="22"/>
              </w:rPr>
            </w:pPr>
            <w:r>
              <w:rPr>
                <w:rFonts w:hint="eastAsia" w:ascii="宋体" w:hAnsi="宋体" w:cs="宋体"/>
                <w:sz w:val="22"/>
                <w:szCs w:val="22"/>
              </w:rPr>
              <w:t>2、接口要求≥：1 个 RJ45 网络接口、2 个 POE 网络接口、1 个HDMI 输入、1 个 VGA 输入、1 个 VGA 输出</w:t>
            </w:r>
          </w:p>
          <w:p w14:paraId="3A68E67F">
            <w:pPr>
              <w:widowControl/>
              <w:textAlignment w:val="center"/>
              <w:rPr>
                <w:rFonts w:ascii="宋体" w:hAnsi="宋体" w:cs="宋体"/>
                <w:sz w:val="22"/>
                <w:szCs w:val="22"/>
              </w:rPr>
            </w:pPr>
            <w:r>
              <w:rPr>
                <w:rFonts w:hint="eastAsia" w:ascii="宋体" w:hAnsi="宋体" w:cs="宋体"/>
                <w:sz w:val="22"/>
                <w:szCs w:val="22"/>
              </w:rPr>
              <w:t>3、应支持采集讯问室实时音视频和环境信息，包括讯问民警人声、嫌疑人人声、其他环境声音、嫌疑人正面画面、室内全景画面、时间、温度、湿度等；</w:t>
            </w:r>
          </w:p>
          <w:p w14:paraId="0930C454">
            <w:pPr>
              <w:widowControl/>
              <w:textAlignment w:val="center"/>
              <w:rPr>
                <w:rFonts w:ascii="宋体" w:hAnsi="宋体" w:cs="宋体"/>
                <w:sz w:val="22"/>
                <w:szCs w:val="22"/>
              </w:rPr>
            </w:pPr>
            <w:r>
              <w:rPr>
                <w:rFonts w:hint="eastAsia" w:ascii="宋体" w:hAnsi="宋体" w:cs="宋体"/>
                <w:sz w:val="22"/>
                <w:szCs w:val="22"/>
              </w:rPr>
              <w:t>4、采集的声音和图像应清晰无损坏</w:t>
            </w:r>
          </w:p>
          <w:p w14:paraId="0E4212EB">
            <w:pPr>
              <w:widowControl/>
              <w:textAlignment w:val="center"/>
              <w:rPr>
                <w:rFonts w:ascii="宋体" w:hAnsi="宋体" w:cs="宋体"/>
                <w:sz w:val="22"/>
                <w:szCs w:val="22"/>
              </w:rPr>
            </w:pPr>
            <w:r>
              <w:rPr>
                <w:rFonts w:hint="eastAsia" w:ascii="宋体" w:hAnsi="宋体" w:cs="宋体"/>
                <w:sz w:val="22"/>
                <w:szCs w:val="22"/>
              </w:rPr>
              <w:t>5、应支持通过国产化客户端电脑同步清晰回放讯问音视频，在CPU为RAM或C86架构、操作系统为国产操作系统的客户端电脑上均能正常回放。（提供第三方出具的检测报告）</w:t>
            </w:r>
          </w:p>
          <w:p w14:paraId="2260D0BF">
            <w:pPr>
              <w:widowControl/>
              <w:textAlignment w:val="center"/>
              <w:rPr>
                <w:rFonts w:ascii="宋体" w:hAnsi="宋体" w:cs="宋体"/>
                <w:sz w:val="22"/>
                <w:szCs w:val="22"/>
              </w:rPr>
            </w:pPr>
            <w:r>
              <w:rPr>
                <w:rFonts w:hint="eastAsia" w:ascii="宋体" w:hAnsi="宋体" w:cs="宋体"/>
                <w:sz w:val="22"/>
                <w:szCs w:val="22"/>
              </w:rPr>
              <w:t>6、应支持视频、音频丢失报警功能</w:t>
            </w:r>
          </w:p>
          <w:p w14:paraId="69DCEFCA">
            <w:pPr>
              <w:widowControl/>
              <w:textAlignment w:val="center"/>
              <w:rPr>
                <w:rFonts w:ascii="宋体" w:hAnsi="宋体" w:cs="宋体"/>
                <w:sz w:val="22"/>
                <w:szCs w:val="22"/>
              </w:rPr>
            </w:pPr>
            <w:r>
              <w:rPr>
                <w:rFonts w:hint="eastAsia" w:ascii="宋体" w:hAnsi="宋体" w:cs="宋体"/>
                <w:sz w:val="22"/>
                <w:szCs w:val="22"/>
              </w:rPr>
              <w:t>7、应支持自动对光盘进行封盘</w:t>
            </w:r>
          </w:p>
          <w:p w14:paraId="2780F246">
            <w:pPr>
              <w:widowControl/>
              <w:textAlignment w:val="center"/>
              <w:rPr>
                <w:rFonts w:ascii="宋体" w:hAnsi="宋体" w:cs="宋体"/>
                <w:sz w:val="22"/>
                <w:szCs w:val="22"/>
              </w:rPr>
            </w:pPr>
            <w:r>
              <w:rPr>
                <w:rFonts w:hint="eastAsia" w:ascii="宋体" w:hAnsi="宋体" w:cs="宋体"/>
                <w:sz w:val="22"/>
                <w:szCs w:val="22"/>
              </w:rPr>
              <w:t>8、讯问结束后刻录的时间不超过 5 分钟。支持通过硬盘音视频数据实现光盘更换自动回补刻录。</w:t>
            </w:r>
          </w:p>
          <w:p w14:paraId="69356F35">
            <w:pPr>
              <w:widowControl/>
              <w:textAlignment w:val="center"/>
              <w:rPr>
                <w:rFonts w:ascii="宋体" w:hAnsi="宋体" w:cs="宋体"/>
                <w:sz w:val="22"/>
                <w:szCs w:val="22"/>
              </w:rPr>
            </w:pPr>
            <w:r>
              <w:rPr>
                <w:rFonts w:hint="eastAsia" w:ascii="宋体" w:hAnsi="宋体" w:cs="宋体"/>
                <w:sz w:val="22"/>
                <w:szCs w:val="22"/>
              </w:rPr>
              <w:t>9、讯问音视频回放应保证画面清晰，声音无提前或滞后且不失真</w:t>
            </w:r>
          </w:p>
          <w:p w14:paraId="2B085784">
            <w:pPr>
              <w:widowControl/>
              <w:textAlignment w:val="center"/>
              <w:rPr>
                <w:rFonts w:ascii="宋体" w:hAnsi="宋体" w:cs="宋体"/>
                <w:sz w:val="22"/>
                <w:szCs w:val="22"/>
              </w:rPr>
            </w:pPr>
            <w:r>
              <w:rPr>
                <w:rFonts w:hint="eastAsia" w:ascii="宋体" w:hAnsi="宋体" w:cs="宋体"/>
                <w:sz w:val="22"/>
                <w:szCs w:val="22"/>
              </w:rPr>
              <w:t>10、应支持通过在CPU为RAM或C86架构、操作系统为国产操作系统的客户端电脑的客户端电脑上正常刻录、录像（提供第三方出具的检测报告）</w:t>
            </w:r>
          </w:p>
          <w:p w14:paraId="042004C8">
            <w:pPr>
              <w:widowControl/>
              <w:textAlignment w:val="center"/>
              <w:rPr>
                <w:rFonts w:ascii="宋体" w:hAnsi="宋体" w:cs="宋体"/>
                <w:sz w:val="22"/>
                <w:szCs w:val="22"/>
              </w:rPr>
            </w:pPr>
            <w:r>
              <w:rPr>
                <w:rFonts w:hint="eastAsia" w:ascii="宋体" w:hAnsi="宋体" w:cs="宋体"/>
                <w:sz w:val="22"/>
                <w:szCs w:val="22"/>
              </w:rPr>
              <w:t>11、刻录光盘需包含播放器，无需另外安装播放软件，即可在任意电脑上自动播放</w:t>
            </w:r>
          </w:p>
          <w:p w14:paraId="50DEC4CC">
            <w:pPr>
              <w:widowControl/>
              <w:textAlignment w:val="center"/>
              <w:rPr>
                <w:rFonts w:ascii="宋体" w:hAnsi="宋体" w:cs="宋体"/>
                <w:sz w:val="22"/>
                <w:szCs w:val="22"/>
              </w:rPr>
            </w:pPr>
            <w:r>
              <w:rPr>
                <w:rFonts w:hint="eastAsia" w:ascii="宋体" w:hAnsi="宋体" w:cs="宋体"/>
                <w:sz w:val="22"/>
                <w:szCs w:val="22"/>
              </w:rPr>
              <w:t>12、应支持视频画面质量检测，支持≥场景变化、视频抖动、条纹干扰、人为干扰、亮度异常、视频模糊、噪声干扰、视频偏色、画面冻结、信号缺失等视频诊断算法（提供第三方出具的检测报告）</w:t>
            </w:r>
          </w:p>
          <w:p w14:paraId="68C035B6">
            <w:pPr>
              <w:widowControl/>
              <w:textAlignment w:val="center"/>
              <w:rPr>
                <w:rFonts w:ascii="宋体" w:hAnsi="宋体" w:cs="宋体"/>
                <w:sz w:val="22"/>
                <w:szCs w:val="22"/>
              </w:rPr>
            </w:pPr>
            <w:r>
              <w:rPr>
                <w:rFonts w:hint="eastAsia" w:ascii="宋体" w:hAnsi="宋体" w:cs="宋体"/>
                <w:sz w:val="22"/>
                <w:szCs w:val="22"/>
              </w:rPr>
              <w:t>13、支持对光盘进行加密，未通过验证不可进行擦写或拷贝操作</w:t>
            </w:r>
          </w:p>
          <w:p w14:paraId="5C4B1121">
            <w:pPr>
              <w:widowControl/>
              <w:textAlignment w:val="center"/>
              <w:rPr>
                <w:rFonts w:ascii="宋体" w:hAnsi="宋体" w:cs="宋体"/>
                <w:sz w:val="22"/>
                <w:szCs w:val="22"/>
              </w:rPr>
            </w:pPr>
            <w:r>
              <w:rPr>
                <w:rFonts w:hint="eastAsia" w:ascii="宋体" w:hAnsi="宋体" w:cs="宋体"/>
                <w:sz w:val="22"/>
                <w:szCs w:val="22"/>
              </w:rPr>
              <w:t>14、视频画面质量检测应支持≥4 个数字和示证通道同步分析</w:t>
            </w:r>
          </w:p>
          <w:p w14:paraId="65089965">
            <w:pPr>
              <w:widowControl/>
              <w:textAlignment w:val="center"/>
              <w:rPr>
                <w:rFonts w:ascii="宋体" w:hAnsi="宋体" w:cs="宋体"/>
                <w:sz w:val="22"/>
                <w:szCs w:val="22"/>
              </w:rPr>
            </w:pPr>
            <w:r>
              <w:rPr>
                <w:rFonts w:hint="eastAsia" w:ascii="宋体" w:hAnsi="宋体" w:cs="宋体"/>
                <w:sz w:val="22"/>
                <w:szCs w:val="22"/>
              </w:rPr>
              <w:t>15、支持音频混音。可显示声音波形</w:t>
            </w:r>
          </w:p>
          <w:p w14:paraId="15DB7D38">
            <w:pPr>
              <w:widowControl/>
              <w:textAlignment w:val="center"/>
              <w:rPr>
                <w:rFonts w:ascii="宋体" w:hAnsi="宋体" w:cs="宋体"/>
                <w:sz w:val="22"/>
                <w:szCs w:val="22"/>
              </w:rPr>
            </w:pPr>
            <w:r>
              <w:rPr>
                <w:rFonts w:hint="eastAsia" w:ascii="宋体" w:hAnsi="宋体" w:cs="宋体"/>
                <w:sz w:val="22"/>
                <w:szCs w:val="22"/>
              </w:rPr>
              <w:t>16、应支持画面合成，合成数量支持 1/2/3/4/5/6/8，分辨率支持≥4K，帧率支持 60fps；（提供第三方出具的检测报告）</w:t>
            </w:r>
          </w:p>
          <w:p w14:paraId="5BDED961">
            <w:pPr>
              <w:widowControl/>
              <w:textAlignment w:val="center"/>
              <w:rPr>
                <w:rFonts w:ascii="宋体" w:hAnsi="宋体" w:cs="宋体"/>
                <w:sz w:val="22"/>
                <w:szCs w:val="22"/>
              </w:rPr>
            </w:pPr>
            <w:r>
              <w:rPr>
                <w:rFonts w:hint="eastAsia" w:ascii="宋体" w:hAnsi="宋体" w:cs="宋体"/>
                <w:sz w:val="22"/>
                <w:szCs w:val="22"/>
              </w:rPr>
              <w:t>17、支持一键直刻，光盘刻录可选择单盘直刻、双盘直刻或循环直刻，并可自定义刻录通道</w:t>
            </w:r>
          </w:p>
          <w:p w14:paraId="6042808C">
            <w:pPr>
              <w:widowControl/>
              <w:textAlignment w:val="center"/>
              <w:rPr>
                <w:rFonts w:ascii="宋体" w:hAnsi="宋体" w:cs="宋体"/>
                <w:sz w:val="22"/>
                <w:szCs w:val="22"/>
              </w:rPr>
            </w:pPr>
            <w:r>
              <w:rPr>
                <w:rFonts w:hint="eastAsia" w:ascii="宋体" w:hAnsi="宋体" w:cs="宋体"/>
                <w:sz w:val="22"/>
                <w:szCs w:val="22"/>
              </w:rPr>
              <w:t>18、支持 GB/T28181、RTSP 等接入协议</w:t>
            </w:r>
          </w:p>
          <w:p w14:paraId="6305521B">
            <w:pPr>
              <w:widowControl/>
              <w:textAlignment w:val="center"/>
              <w:rPr>
                <w:rFonts w:ascii="宋体" w:hAnsi="宋体" w:cs="宋体"/>
                <w:sz w:val="22"/>
                <w:szCs w:val="22"/>
              </w:rPr>
            </w:pPr>
            <w:r>
              <w:rPr>
                <w:rFonts w:hint="eastAsia" w:ascii="宋体" w:hAnsi="宋体" w:cs="宋体"/>
                <w:sz w:val="22"/>
                <w:szCs w:val="22"/>
              </w:rPr>
              <w:t>19、支持接入人体生命体征信息，可在实时视频上同步叠加血压、血氧、心律等体征信息</w:t>
            </w:r>
          </w:p>
          <w:p w14:paraId="60C235E1">
            <w:pPr>
              <w:widowControl/>
              <w:textAlignment w:val="center"/>
              <w:rPr>
                <w:rFonts w:ascii="宋体" w:hAnsi="宋体" w:cs="宋体"/>
                <w:color w:val="000000" w:themeColor="text1"/>
                <w:sz w:val="22"/>
                <w:szCs w:val="22"/>
              </w:rPr>
            </w:pPr>
            <w:r>
              <w:rPr>
                <w:rFonts w:hint="eastAsia" w:ascii="宋体" w:hAnsi="宋体" w:cs="宋体"/>
                <w:sz w:val="22"/>
                <w:szCs w:val="22"/>
              </w:rPr>
              <w:t>20、主机应标配 1 块≥4T 的硬盘</w:t>
            </w:r>
          </w:p>
        </w:tc>
        <w:tc>
          <w:tcPr>
            <w:tcW w:w="221" w:type="pct"/>
            <w:gridSpan w:val="2"/>
            <w:shd w:val="clear" w:color="auto" w:fill="auto"/>
            <w:noWrap/>
            <w:vAlign w:val="center"/>
          </w:tcPr>
          <w:p w14:paraId="24728D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B2F34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82B9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557EC9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6.7</w:t>
            </w:r>
          </w:p>
        </w:tc>
        <w:tc>
          <w:tcPr>
            <w:tcW w:w="346" w:type="pct"/>
            <w:shd w:val="clear" w:color="auto" w:fill="auto"/>
            <w:noWrap/>
            <w:vAlign w:val="center"/>
          </w:tcPr>
          <w:p w14:paraId="7A00B9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物证展示台</w:t>
            </w:r>
          </w:p>
        </w:tc>
        <w:tc>
          <w:tcPr>
            <w:tcW w:w="3489" w:type="pct"/>
            <w:shd w:val="clear" w:color="auto" w:fill="auto"/>
            <w:vAlign w:val="center"/>
          </w:tcPr>
          <w:p w14:paraId="68EBED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多路VGA输入+输出的接口设置使得无论是单采集信号源还是多路信号源都可以方便进行切换，满足用户在电脑显示界面和展台采集画面间的无缝转换。2.具备光学变焦，在图像放大时不损失画面质量，配合专门的视频接口，可以将最多的细节轻松输出展示。3.更大的底座带来更丰富的接口，同时搭载功能更为强大的ISP芯片使得画面传输速率和高分辨率情况下的画面质量均有很大的提升，完美支持1080P视频的输出。</w:t>
            </w:r>
          </w:p>
        </w:tc>
        <w:tc>
          <w:tcPr>
            <w:tcW w:w="221" w:type="pct"/>
            <w:gridSpan w:val="2"/>
            <w:shd w:val="clear" w:color="auto" w:fill="auto"/>
            <w:noWrap/>
            <w:vAlign w:val="center"/>
          </w:tcPr>
          <w:p w14:paraId="7EA0D0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016A8E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E1E6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072E07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6.8</w:t>
            </w:r>
          </w:p>
        </w:tc>
        <w:tc>
          <w:tcPr>
            <w:tcW w:w="346" w:type="pct"/>
            <w:shd w:val="clear" w:color="auto" w:fill="auto"/>
            <w:noWrap/>
            <w:vAlign w:val="center"/>
          </w:tcPr>
          <w:p w14:paraId="0B0470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讯问管控终端</w:t>
            </w:r>
          </w:p>
        </w:tc>
        <w:tc>
          <w:tcPr>
            <w:tcW w:w="3489" w:type="pct"/>
            <w:shd w:val="clear" w:color="auto" w:fill="auto"/>
            <w:vAlign w:val="center"/>
          </w:tcPr>
          <w:p w14:paraId="6CEB1C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1.采用≥200W高清摄像头，具有≥88度超广角镜头，高清≥1080P画质；2.≥8英寸触摸屏，分辨率≥1280*800,采用星光级图像传感器，无需白光补光灯，支持红外自动补光，在暗光或无光环境下人员身份核验效果不受影响,金属边框及玻璃面板；3.采用深度学习算法，支持≥20000人脸库，识别距离至少满足：0.3-4m；4.≥IP65防水设计，适应恶劣环境；5.隐藏式刷卡设计，支持13．56MHz M卡、CPU序列号识别；6.支持外接≥1个RS485读卡器，作为出门读卡器使用。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业务功能参数：审讯管理：支出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含设备安装支架、终端电源及门锁套件。</w:t>
            </w:r>
          </w:p>
        </w:tc>
        <w:tc>
          <w:tcPr>
            <w:tcW w:w="221" w:type="pct"/>
            <w:gridSpan w:val="2"/>
            <w:shd w:val="clear" w:color="auto" w:fill="auto"/>
            <w:noWrap/>
            <w:vAlign w:val="center"/>
          </w:tcPr>
          <w:p w14:paraId="684B55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38046C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FC99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6D92ED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6.9</w:t>
            </w:r>
          </w:p>
        </w:tc>
        <w:tc>
          <w:tcPr>
            <w:tcW w:w="346" w:type="pct"/>
            <w:shd w:val="clear" w:color="auto" w:fill="auto"/>
            <w:noWrap/>
            <w:vAlign w:val="center"/>
          </w:tcPr>
          <w:p w14:paraId="04F409D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一体化审讯台</w:t>
            </w:r>
          </w:p>
        </w:tc>
        <w:tc>
          <w:tcPr>
            <w:tcW w:w="3489" w:type="pct"/>
            <w:shd w:val="clear" w:color="auto" w:fill="auto"/>
            <w:vAlign w:val="center"/>
          </w:tcPr>
          <w:p w14:paraId="6B548D11">
            <w:pPr>
              <w:widowControl/>
              <w:textAlignment w:val="center"/>
              <w:rPr>
                <w:rFonts w:ascii="宋体" w:hAnsi="宋体" w:cs="宋体"/>
                <w:sz w:val="22"/>
                <w:szCs w:val="22"/>
              </w:rPr>
            </w:pPr>
            <w:r>
              <w:rPr>
                <w:rFonts w:hint="eastAsia" w:ascii="宋体" w:hAnsi="宋体" w:cs="宋体"/>
                <w:sz w:val="22"/>
                <w:szCs w:val="22"/>
              </w:rPr>
              <w:t>1、智能审讯一体桌应集成审讯台、审讯终端、电动升降单元、示证单元、特写摄像机、拾音器、编码器、音箱、交换机、报警按钮、智能触摸中控系统、打印功能为一体，并预留审讯主机、示证展台和电子签名捺印设备安装位置</w:t>
            </w:r>
          </w:p>
          <w:p w14:paraId="626D7896">
            <w:pPr>
              <w:widowControl/>
              <w:textAlignment w:val="center"/>
              <w:rPr>
                <w:rFonts w:ascii="宋体" w:hAnsi="宋体" w:cs="宋体"/>
                <w:sz w:val="22"/>
                <w:szCs w:val="22"/>
              </w:rPr>
            </w:pPr>
            <w:r>
              <w:rPr>
                <w:rFonts w:hint="eastAsia" w:ascii="宋体" w:hAnsi="宋体" w:cs="宋体"/>
                <w:sz w:val="22"/>
                <w:szCs w:val="22"/>
              </w:rPr>
              <w:t>2、电动升降单元：≥21 寸，支持 HDMI 接口，仰角满足 0－15° 可调节角度，分辨率≥1920*1080</w:t>
            </w:r>
          </w:p>
          <w:p w14:paraId="2C75D489">
            <w:pPr>
              <w:widowControl/>
              <w:textAlignment w:val="center"/>
              <w:rPr>
                <w:rFonts w:ascii="宋体" w:hAnsi="宋体" w:cs="宋体"/>
                <w:sz w:val="22"/>
                <w:szCs w:val="22"/>
              </w:rPr>
            </w:pPr>
            <w:r>
              <w:rPr>
                <w:rFonts w:hint="eastAsia" w:ascii="宋体" w:hAnsi="宋体" w:cs="宋体"/>
                <w:sz w:val="22"/>
                <w:szCs w:val="22"/>
              </w:rPr>
              <w:t>3、示证单元：≥43 寸，分辨率≥1920*1080</w:t>
            </w:r>
          </w:p>
          <w:p w14:paraId="6BE366CF">
            <w:pPr>
              <w:widowControl/>
              <w:textAlignment w:val="center"/>
              <w:rPr>
                <w:rFonts w:ascii="宋体" w:hAnsi="宋体" w:cs="宋体"/>
                <w:sz w:val="22"/>
                <w:szCs w:val="22"/>
              </w:rPr>
            </w:pPr>
            <w:r>
              <w:rPr>
                <w:rFonts w:hint="eastAsia" w:ascii="宋体" w:hAnsi="宋体" w:cs="宋体"/>
                <w:sz w:val="22"/>
                <w:szCs w:val="22"/>
              </w:rPr>
              <w:t>4、审讯终端配置≥8 核处理器，≥8G 内存，≥1TB 机械硬盘，</w:t>
            </w:r>
          </w:p>
          <w:p w14:paraId="7352AFDB">
            <w:pPr>
              <w:widowControl/>
              <w:textAlignment w:val="center"/>
              <w:rPr>
                <w:rFonts w:ascii="宋体" w:hAnsi="宋体" w:cs="宋体"/>
                <w:sz w:val="22"/>
                <w:szCs w:val="22"/>
              </w:rPr>
            </w:pPr>
            <w:r>
              <w:rPr>
                <w:rFonts w:hint="eastAsia" w:ascii="宋体" w:hAnsi="宋体" w:cs="宋体"/>
                <w:sz w:val="22"/>
                <w:szCs w:val="22"/>
              </w:rPr>
              <w:t>≥240GB 固态硬盘</w:t>
            </w:r>
          </w:p>
          <w:p w14:paraId="325B6C39">
            <w:pPr>
              <w:widowControl/>
              <w:textAlignment w:val="center"/>
              <w:rPr>
                <w:rFonts w:ascii="宋体" w:hAnsi="宋体" w:cs="宋体"/>
                <w:sz w:val="22"/>
                <w:szCs w:val="22"/>
              </w:rPr>
            </w:pPr>
            <w:r>
              <w:rPr>
                <w:rFonts w:hint="eastAsia" w:ascii="宋体" w:hAnsi="宋体" w:cs="宋体"/>
                <w:sz w:val="22"/>
                <w:szCs w:val="22"/>
              </w:rPr>
              <w:t>5、特写摄像机：≥500 万像素，2.8～12mm 电动变焦，支持变倍聚焦</w:t>
            </w:r>
          </w:p>
          <w:p w14:paraId="1C00046F">
            <w:pPr>
              <w:widowControl/>
              <w:textAlignment w:val="center"/>
              <w:rPr>
                <w:rFonts w:ascii="宋体" w:hAnsi="宋体" w:cs="宋体"/>
                <w:sz w:val="22"/>
                <w:szCs w:val="22"/>
              </w:rPr>
            </w:pPr>
            <w:r>
              <w:rPr>
                <w:rFonts w:hint="eastAsia" w:ascii="宋体" w:hAnsi="宋体" w:cs="宋体"/>
                <w:sz w:val="22"/>
                <w:szCs w:val="22"/>
              </w:rPr>
              <w:t>6、特写摄像机角度可调，上下左右可调整角度≥7 度</w:t>
            </w:r>
          </w:p>
          <w:p w14:paraId="1C8B924F">
            <w:pPr>
              <w:widowControl/>
              <w:textAlignment w:val="center"/>
              <w:rPr>
                <w:rFonts w:ascii="宋体" w:hAnsi="宋体" w:cs="宋体"/>
                <w:sz w:val="22"/>
                <w:szCs w:val="22"/>
              </w:rPr>
            </w:pPr>
            <w:r>
              <w:rPr>
                <w:rFonts w:hint="eastAsia" w:ascii="宋体" w:hAnsi="宋体" w:cs="宋体"/>
                <w:sz w:val="22"/>
                <w:szCs w:val="22"/>
              </w:rPr>
              <w:t>7、桌面提供接口：音频 3.5mm 输出≥1 个、≥1 个 USB 接口、</w:t>
            </w:r>
          </w:p>
          <w:p w14:paraId="21B5BBBA">
            <w:pPr>
              <w:widowControl/>
              <w:textAlignment w:val="center"/>
              <w:rPr>
                <w:rFonts w:ascii="宋体" w:hAnsi="宋体" w:cs="宋体"/>
                <w:sz w:val="22"/>
                <w:szCs w:val="22"/>
              </w:rPr>
            </w:pPr>
            <w:r>
              <w:rPr>
                <w:rFonts w:hint="eastAsia" w:ascii="宋体" w:hAnsi="宋体" w:cs="宋体"/>
                <w:sz w:val="22"/>
                <w:szCs w:val="22"/>
              </w:rPr>
              <w:t>≥1 个 AC 220V 插口</w:t>
            </w:r>
          </w:p>
          <w:p w14:paraId="32B7613D">
            <w:pPr>
              <w:widowControl/>
              <w:textAlignment w:val="center"/>
              <w:rPr>
                <w:rFonts w:ascii="宋体" w:hAnsi="宋体" w:cs="宋体"/>
                <w:sz w:val="22"/>
                <w:szCs w:val="22"/>
              </w:rPr>
            </w:pPr>
            <w:r>
              <w:rPr>
                <w:rFonts w:hint="eastAsia" w:ascii="宋体" w:hAnsi="宋体" w:cs="宋体"/>
                <w:sz w:val="22"/>
                <w:szCs w:val="22"/>
              </w:rPr>
              <w:t>8、应内置高保真拾音器，具备高灵敏度、全向拾音</w:t>
            </w:r>
          </w:p>
          <w:p w14:paraId="4B7019CF">
            <w:pPr>
              <w:widowControl/>
              <w:textAlignment w:val="center"/>
              <w:rPr>
                <w:rFonts w:ascii="宋体" w:hAnsi="宋体" w:cs="宋体"/>
                <w:sz w:val="22"/>
                <w:szCs w:val="22"/>
              </w:rPr>
            </w:pPr>
            <w:r>
              <w:rPr>
                <w:rFonts w:hint="eastAsia" w:ascii="宋体" w:hAnsi="宋体" w:cs="宋体"/>
                <w:sz w:val="22"/>
                <w:szCs w:val="22"/>
              </w:rPr>
              <w:t>9、智能审讯模块，应支持一键开关机、示证切换、升降单元升降、开启审讯等功能，方便民警便捷开展审讯工作（提供第三方出具的检测报告）</w:t>
            </w:r>
          </w:p>
          <w:p w14:paraId="4E154372">
            <w:pPr>
              <w:widowControl/>
              <w:textAlignment w:val="center"/>
              <w:rPr>
                <w:rFonts w:ascii="宋体" w:hAnsi="宋体" w:cs="宋体"/>
                <w:sz w:val="22"/>
                <w:szCs w:val="22"/>
              </w:rPr>
            </w:pPr>
            <w:r>
              <w:rPr>
                <w:rFonts w:hint="eastAsia" w:ascii="宋体" w:hAnsi="宋体" w:cs="宋体"/>
                <w:sz w:val="22"/>
                <w:szCs w:val="22"/>
              </w:rPr>
              <w:t>10、智能触摸中控系统：≥7 寸，应支持电控开关、智能审讯、大屏影像、生命体征、审讯椅控制等应用模块</w:t>
            </w:r>
          </w:p>
          <w:p w14:paraId="57ECCDF9">
            <w:pPr>
              <w:widowControl/>
              <w:textAlignment w:val="center"/>
              <w:rPr>
                <w:rFonts w:ascii="宋体" w:hAnsi="宋体" w:cs="宋体"/>
                <w:sz w:val="22"/>
                <w:szCs w:val="22"/>
              </w:rPr>
            </w:pPr>
            <w:r>
              <w:rPr>
                <w:rFonts w:hint="eastAsia" w:ascii="宋体" w:hAnsi="宋体" w:cs="宋体"/>
                <w:sz w:val="22"/>
                <w:szCs w:val="22"/>
              </w:rPr>
              <w:t>11、电控开关模块，支持控制设备通断电</w:t>
            </w:r>
          </w:p>
          <w:p w14:paraId="02CACC62">
            <w:pPr>
              <w:widowControl/>
              <w:textAlignment w:val="center"/>
              <w:rPr>
                <w:rFonts w:ascii="宋体" w:hAnsi="宋体" w:cs="宋体"/>
                <w:sz w:val="22"/>
                <w:szCs w:val="22"/>
              </w:rPr>
            </w:pPr>
            <w:r>
              <w:rPr>
                <w:rFonts w:hint="eastAsia" w:ascii="宋体" w:hAnsi="宋体" w:cs="宋体"/>
                <w:sz w:val="22"/>
                <w:szCs w:val="22"/>
              </w:rPr>
              <w:t>12、应支持生命体征模块，可以实时查看嫌疑人心率、体温、血压数据，支持体征异常报警（提供第三方出具的检测报告）</w:t>
            </w:r>
          </w:p>
          <w:p w14:paraId="03473CE9">
            <w:pPr>
              <w:widowControl/>
              <w:textAlignment w:val="center"/>
              <w:rPr>
                <w:rFonts w:ascii="宋体" w:hAnsi="宋体" w:cs="宋体"/>
                <w:sz w:val="22"/>
                <w:szCs w:val="22"/>
              </w:rPr>
            </w:pPr>
            <w:r>
              <w:rPr>
                <w:rFonts w:hint="eastAsia" w:ascii="宋体" w:hAnsi="宋体" w:cs="宋体"/>
                <w:sz w:val="22"/>
                <w:szCs w:val="22"/>
              </w:rPr>
              <w:t>13、大屏影像模块，可以实时回显查看示证画面当前内容，便于民警核对</w:t>
            </w:r>
          </w:p>
          <w:p w14:paraId="4FC56EC3">
            <w:pPr>
              <w:widowControl/>
              <w:textAlignment w:val="center"/>
              <w:rPr>
                <w:rFonts w:ascii="宋体" w:hAnsi="宋体" w:cs="宋体"/>
                <w:sz w:val="22"/>
                <w:szCs w:val="22"/>
              </w:rPr>
            </w:pPr>
            <w:r>
              <w:rPr>
                <w:rFonts w:hint="eastAsia" w:ascii="宋体" w:hAnsi="宋体" w:cs="宋体"/>
                <w:sz w:val="22"/>
                <w:szCs w:val="22"/>
              </w:rPr>
              <w:t>14、打印模块隐蔽式嵌套于桌面下方，支持抽拉，可方便维护， 桌面预留出纸口，纸张可无障碍摊放到桌面</w:t>
            </w:r>
          </w:p>
          <w:p w14:paraId="69FD647D">
            <w:pPr>
              <w:widowControl/>
              <w:textAlignment w:val="center"/>
              <w:rPr>
                <w:rFonts w:ascii="宋体" w:hAnsi="宋体" w:cs="宋体"/>
                <w:sz w:val="22"/>
                <w:szCs w:val="22"/>
              </w:rPr>
            </w:pPr>
            <w:r>
              <w:rPr>
                <w:rFonts w:hint="eastAsia" w:ascii="宋体" w:hAnsi="宋体" w:cs="宋体"/>
                <w:sz w:val="22"/>
                <w:szCs w:val="22"/>
              </w:rPr>
              <w:t>15、支持彩色打印</w:t>
            </w:r>
          </w:p>
          <w:p w14:paraId="2074A84C">
            <w:pPr>
              <w:widowControl/>
              <w:textAlignment w:val="center"/>
              <w:rPr>
                <w:rFonts w:ascii="宋体" w:hAnsi="宋体" w:cs="宋体"/>
                <w:sz w:val="22"/>
                <w:szCs w:val="22"/>
              </w:rPr>
            </w:pPr>
            <w:r>
              <w:rPr>
                <w:rFonts w:hint="eastAsia" w:ascii="宋体" w:hAnsi="宋体" w:cs="宋体"/>
                <w:sz w:val="22"/>
                <w:szCs w:val="22"/>
              </w:rPr>
              <w:t>16、支持在CPU为RAM或C86架构、操作系统为国产操作系统的客户端电脑客户端电脑上录像、刻录（提供第三方出具的检测报告）</w:t>
            </w:r>
          </w:p>
          <w:p w14:paraId="443B3807">
            <w:pPr>
              <w:widowControl/>
              <w:textAlignment w:val="center"/>
              <w:rPr>
                <w:rFonts w:ascii="宋体" w:hAnsi="宋体" w:cs="宋体"/>
                <w:color w:val="000000" w:themeColor="text1"/>
                <w:sz w:val="22"/>
                <w:szCs w:val="22"/>
              </w:rPr>
            </w:pPr>
            <w:r>
              <w:rPr>
                <w:rFonts w:hint="eastAsia" w:ascii="宋体" w:hAnsi="宋体" w:cs="宋体"/>
                <w:sz w:val="22"/>
                <w:szCs w:val="22"/>
              </w:rPr>
              <w:t>17、支持按下桌面手动报警按钮触发应急报警</w:t>
            </w:r>
          </w:p>
        </w:tc>
        <w:tc>
          <w:tcPr>
            <w:tcW w:w="221" w:type="pct"/>
            <w:gridSpan w:val="2"/>
            <w:shd w:val="clear" w:color="auto" w:fill="auto"/>
            <w:noWrap/>
            <w:vAlign w:val="center"/>
          </w:tcPr>
          <w:p w14:paraId="23E614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676C7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DDCA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1FF99A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6.10 </w:t>
            </w:r>
          </w:p>
        </w:tc>
        <w:tc>
          <w:tcPr>
            <w:tcW w:w="346" w:type="pct"/>
            <w:shd w:val="clear" w:color="auto" w:fill="auto"/>
            <w:noWrap/>
            <w:vAlign w:val="center"/>
          </w:tcPr>
          <w:p w14:paraId="1A4987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0828093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5456275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943C9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22E0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779F342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6.11 </w:t>
            </w:r>
          </w:p>
        </w:tc>
        <w:tc>
          <w:tcPr>
            <w:tcW w:w="346" w:type="pct"/>
            <w:shd w:val="clear" w:color="auto" w:fill="auto"/>
            <w:noWrap/>
            <w:vAlign w:val="center"/>
          </w:tcPr>
          <w:p w14:paraId="19E40E1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一体式提讯终端</w:t>
            </w:r>
          </w:p>
        </w:tc>
        <w:tc>
          <w:tcPr>
            <w:tcW w:w="3489" w:type="pct"/>
            <w:shd w:val="clear" w:color="auto" w:fill="auto"/>
            <w:vAlign w:val="center"/>
          </w:tcPr>
          <w:p w14:paraId="5AB9C9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1.终端采用一体化集成架构，嵌入式操作系统，内置≥12倍光学变焦云台相机，≥72度水平视场角，自动取景，便捷部署、快速安装；2.视频编解码协议支持 H.264 BP、H.264 HP、H.265 视频编解码协议选项；视频分辨率具备≥4K（30/25/15fps）等分辨率编解码和输入输出能力；3.具备不低于4K双流能力，终端内置不少于8阵列麦克风，拾音距离≥8米，高保真会议音频，精准还原会议人声；4.在不增加第三方设备或网关情况下，支持同网段的高清摄像头通过 IP 网络将图像发送给视频会议终端，可作为主流图像源或辅流图像源或直接输出到显示器；5.温湿度信息叠加，支持温湿度接入，可显示温湿度 OSD 信息，OSD 信息位置可调；6.支持双流协议，支持终端将PC机（静态或动态） 的画面或视频画面和主摄像机画面同时实时传送，最大支持主流≥4K30fps 情况下，辅流支持≥4K30fps；支持辅流双流发送功能，会议中支持辅流音视频输入即插即发送功能。支持在空闲时音视频输入即插即显示在本地显示器上，无需切换显示器视频源；7.支持通过语音助手召集会议(点对点、多点);支持通过语音助手加入会议;支持通过语音助手进行会议控制(调节音量、邀请终端、发送内容共享、延长会议、点名选看)；8.支持设置模式倒装、正装、自适应。</w:t>
            </w:r>
          </w:p>
        </w:tc>
        <w:tc>
          <w:tcPr>
            <w:tcW w:w="221" w:type="pct"/>
            <w:gridSpan w:val="2"/>
            <w:shd w:val="clear" w:color="auto" w:fill="auto"/>
            <w:noWrap/>
            <w:vAlign w:val="center"/>
          </w:tcPr>
          <w:p w14:paraId="738FC1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52DFA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5018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8E1A2E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6.12 </w:t>
            </w:r>
          </w:p>
        </w:tc>
        <w:tc>
          <w:tcPr>
            <w:tcW w:w="346" w:type="pct"/>
            <w:shd w:val="clear" w:color="auto" w:fill="auto"/>
            <w:noWrap/>
            <w:vAlign w:val="center"/>
          </w:tcPr>
          <w:p w14:paraId="3EB00A7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鹅颈话筒</w:t>
            </w:r>
          </w:p>
        </w:tc>
        <w:tc>
          <w:tcPr>
            <w:tcW w:w="3489" w:type="pct"/>
            <w:shd w:val="clear" w:color="auto" w:fill="auto"/>
            <w:vAlign w:val="center"/>
          </w:tcPr>
          <w:p w14:paraId="37A916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1.频率响应：65 Hz~20 kHz；2.灵敏度：-29 dB ± 3 dB；3.换能方式：ECM电容式；4.输出接口：卡侬头；5.输出阻抗：2 kΩ；6.指向性：心形单指向</w:t>
            </w:r>
          </w:p>
        </w:tc>
        <w:tc>
          <w:tcPr>
            <w:tcW w:w="221" w:type="pct"/>
            <w:gridSpan w:val="2"/>
            <w:shd w:val="clear" w:color="auto" w:fill="auto"/>
            <w:noWrap/>
            <w:vAlign w:val="center"/>
          </w:tcPr>
          <w:p w14:paraId="558DFA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9E672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DC15A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2" w:hRule="atLeast"/>
        </w:trPr>
        <w:tc>
          <w:tcPr>
            <w:tcW w:w="508" w:type="pct"/>
            <w:shd w:val="clear" w:color="auto" w:fill="auto"/>
            <w:noWrap/>
            <w:vAlign w:val="center"/>
          </w:tcPr>
          <w:p w14:paraId="424EF4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6.13 </w:t>
            </w:r>
          </w:p>
        </w:tc>
        <w:tc>
          <w:tcPr>
            <w:tcW w:w="346" w:type="pct"/>
            <w:shd w:val="clear" w:color="auto" w:fill="auto"/>
            <w:noWrap/>
            <w:vAlign w:val="center"/>
          </w:tcPr>
          <w:p w14:paraId="2548FC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音频输出终端</w:t>
            </w:r>
          </w:p>
        </w:tc>
        <w:tc>
          <w:tcPr>
            <w:tcW w:w="3489" w:type="pct"/>
            <w:shd w:val="clear" w:color="auto" w:fill="auto"/>
            <w:vAlign w:val="center"/>
          </w:tcPr>
          <w:p w14:paraId="25825C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失真度：＜ 0.1%；低音单元：LF: ≥1 × 4"；频率范围：80 Hz~20 kHz；信噪比：＞ 82 dB；高音单元：HF: 1 × 1"；额定功率：≥30 W；灵敏度：93 ± 3 dB；工作电压：220 V/50 Hz；安装方式：壁挂安装，自带支架</w:t>
            </w:r>
          </w:p>
        </w:tc>
        <w:tc>
          <w:tcPr>
            <w:tcW w:w="221" w:type="pct"/>
            <w:gridSpan w:val="2"/>
            <w:shd w:val="clear" w:color="auto" w:fill="auto"/>
            <w:noWrap/>
            <w:vAlign w:val="center"/>
          </w:tcPr>
          <w:p w14:paraId="4C1751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对</w:t>
            </w:r>
          </w:p>
        </w:tc>
        <w:tc>
          <w:tcPr>
            <w:tcW w:w="428" w:type="pct"/>
            <w:gridSpan w:val="2"/>
            <w:shd w:val="clear" w:color="auto" w:fill="auto"/>
            <w:noWrap/>
            <w:vAlign w:val="center"/>
          </w:tcPr>
          <w:p w14:paraId="7CD2A21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CFF9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2EFA27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6.14 </w:t>
            </w:r>
          </w:p>
        </w:tc>
        <w:tc>
          <w:tcPr>
            <w:tcW w:w="346" w:type="pct"/>
            <w:shd w:val="clear" w:color="auto" w:fill="auto"/>
            <w:noWrap/>
            <w:vAlign w:val="center"/>
          </w:tcPr>
          <w:p w14:paraId="7126AD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提讯显示屏</w:t>
            </w:r>
          </w:p>
        </w:tc>
        <w:tc>
          <w:tcPr>
            <w:tcW w:w="3489" w:type="pct"/>
            <w:shd w:val="clear" w:color="auto" w:fill="auto"/>
            <w:vAlign w:val="center"/>
          </w:tcPr>
          <w:p w14:paraId="351A379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特性：4K高清显示屏，支持≥3840*2160@60Hz超高清显示；采用金属外壳，防辐射、防磁场、防强电场干扰；支持通过串口连接中控设备，进行远程集中控制；实时监控设备温度，高温报警；内置喇叭及功放，支持3.5 mm音频输入；支持U盘点播，含文本、图片、音频、视频等多种格式多媒体播放</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技术规格：显示尺寸：≥55 inch；物理分辨率：≥3840 × 2160；背光源类型：D-LED；亮度：≥450 cd/㎡；可视角：≥178° (H)/178° (V)；色深度：≥10 bit, (8 bit + FRC)；对比度：≥5000 : 1；响应时间：≤6 ms；刷新率：≥60 Hz；连续使用时间：7 × 24H；色域：≥72 % NTSC；音视频输入接口至少满足：HDMI2.0 × 1,VGA × 1, DP1.2 × 1, Audio In(3.5mm)×1；音视频输出接口至少满足：Audio Out(3.5mm)× 1, Speaker (8 Ω 5 W) × 2；数据传输接口至少满足：USB 2.0 (支持程序升级和USB播放) × 1；控制接口至少满足：RS232 IN × 1, RS232 OUT × 1；电源：100~240 VAC, 50/60 Hz；功耗：≤ 190 W；待机功耗：≤ 0.5 W；工作温度至少满足：0 ℃ ~ 40 ℃；工作湿度至少满足：10% ~ 80% RH(无冷凝)；存储温度至少满足：-20 ℃ ~ 60 ℃；存储湿度至少满足：10% ~ 90% RH(无冷凝)。</w:t>
            </w:r>
          </w:p>
        </w:tc>
        <w:tc>
          <w:tcPr>
            <w:tcW w:w="221" w:type="pct"/>
            <w:gridSpan w:val="2"/>
            <w:shd w:val="clear" w:color="auto" w:fill="auto"/>
            <w:noWrap/>
            <w:vAlign w:val="center"/>
          </w:tcPr>
          <w:p w14:paraId="0CAFE7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E7625B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0BA6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46FC95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6.15 </w:t>
            </w:r>
          </w:p>
        </w:tc>
        <w:tc>
          <w:tcPr>
            <w:tcW w:w="346" w:type="pct"/>
            <w:shd w:val="clear" w:color="auto" w:fill="auto"/>
            <w:noWrap/>
            <w:vAlign w:val="center"/>
          </w:tcPr>
          <w:p w14:paraId="39F0D7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取证会议终端</w:t>
            </w:r>
          </w:p>
        </w:tc>
        <w:tc>
          <w:tcPr>
            <w:tcW w:w="3489" w:type="pct"/>
            <w:shd w:val="clear" w:color="auto" w:fill="auto"/>
            <w:vAlign w:val="center"/>
          </w:tcPr>
          <w:p w14:paraId="63EC51F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1.采用一体化集成架构，嵌入式操作系统，非 PC、非工控机架构，产品设备主要元器件采用国产器件，包含音视频编解码单元、CPU处理单元；2.支持ITU-T H.323 和IETF SIP 通信标准，速率范围支持 64kbps-16Mbps，具备强大的带宽处理能力，支持在 1Mbps-16Mbps 带宽下实现 4kP30fps 活动视频；3.支持单屏双显、单屏三显、双屏双显。可任意切换每个屏幕的显示内容（本地画面、会议画面、本地演示、会议演示）；支持画外画（左右对等两画面，品字型三画面，左大右两小三画面）、 画中画（一大一小，一大两小）；4.双流支持 H.239 和 BFCP 双流协议，支持终端将 PC 机（静态或动态） 的画面或视频画面和主摄像机画面同时实时传送，最大支持主流≥4K30fps 情况下，辅流支持≥4K30fps；支持辅流双流发送功能，会议中支持辅流音视频输入即插即发送功能。支持在空闲时音视频输入即插即显示在本地显示器上，无需切换显示器视频源；5.在不增加第三方设备或网关情况下，支持同网段的高清摄像头通过 IP 网络将图像发送给视频会议终端，可作为主流图像源或辅流图像源或直接输出到显示器；6.温湿度信息叠加，支持温湿度接入，可显示温湿度 OSD 信息，OSD 信息位置可调；7.支持遥控近端或远端摄像机，支持对摄像机的上下、左右转动， 手动、自动调焦，视野调整，背光补偿，亮度调节，支持摄像机预置位快照及预览功能。</w:t>
            </w:r>
          </w:p>
        </w:tc>
        <w:tc>
          <w:tcPr>
            <w:tcW w:w="221" w:type="pct"/>
            <w:gridSpan w:val="2"/>
            <w:shd w:val="clear" w:color="auto" w:fill="auto"/>
            <w:noWrap/>
            <w:vAlign w:val="center"/>
          </w:tcPr>
          <w:p w14:paraId="44AE8C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AD25C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CF7F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09F203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6.16 </w:t>
            </w:r>
          </w:p>
        </w:tc>
        <w:tc>
          <w:tcPr>
            <w:tcW w:w="346" w:type="pct"/>
            <w:shd w:val="clear" w:color="auto" w:fill="auto"/>
            <w:noWrap/>
            <w:vAlign w:val="center"/>
          </w:tcPr>
          <w:p w14:paraId="36BC641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取证显示器</w:t>
            </w:r>
          </w:p>
        </w:tc>
        <w:tc>
          <w:tcPr>
            <w:tcW w:w="3489" w:type="pct"/>
            <w:shd w:val="clear" w:color="auto" w:fill="auto"/>
            <w:vAlign w:val="center"/>
          </w:tcPr>
          <w:p w14:paraId="459792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特性：4K高清显示屏，支持≥3840*2160@60Hz超高清显示；采用金属外壳，防辐射、防磁场、防强电场干扰；支持通过串口连接中控设备，进行远程集中控制；实时监控设备温度，高温报警；内置喇叭及功放，支持3.5 mm音频输入；支持U盘点播，含文本、图片、音频、视频等多种格式多媒体播放</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技术规格：显示尺寸：≥55 inch；物理分辨率：≥3840 × 2160；背光源类型：D-LED；亮度：≥450 cd/㎡；可视角：≥178° (H)/178° (V)；色深度：≥10 bit, (8 bit + FRC)；对比度：≥5000 : 1；响应时间：≤6 ms；刷新率：≥60 Hz；连续使用时间：7 × 24H；色域：≥72 % NTSC；音视频输入接口至少满足：HDMI2.0 × 1,VGA × 1, DP1.2 × 1, Audio In(3.5mm)×1；音视频输出接口至少满足：Audio Out(3.5mm)× 1, Speaker (8 Ω 5 W) × 2；数据传输接口至少满足：USB 2.0 (支持程序升级和USB播放) × 1；控制接口至少满足：RS232 IN × 1, RS232 OUT × 1；电源：100~240 VAC, 50/60 Hz；功耗：≤ 190 W；待机功耗：≤ 0.5 W；工作温度至少满足：0 ℃ ~ 40 ℃；工作湿度至少满足：10% ~ 80% RH(无冷凝)；存储温度至少满足：-20 ℃ ~ 60 ℃；存储湿度至少满足：10% ~ 90% RH(无冷凝)。</w:t>
            </w:r>
          </w:p>
        </w:tc>
        <w:tc>
          <w:tcPr>
            <w:tcW w:w="221" w:type="pct"/>
            <w:gridSpan w:val="2"/>
            <w:shd w:val="clear" w:color="auto" w:fill="auto"/>
            <w:noWrap/>
            <w:vAlign w:val="center"/>
          </w:tcPr>
          <w:p w14:paraId="7988DCD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C0139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843DE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272EB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6.17 </w:t>
            </w:r>
          </w:p>
        </w:tc>
        <w:tc>
          <w:tcPr>
            <w:tcW w:w="346" w:type="pct"/>
            <w:shd w:val="clear" w:color="auto" w:fill="auto"/>
            <w:noWrap/>
            <w:vAlign w:val="center"/>
          </w:tcPr>
          <w:p w14:paraId="2FAE89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签字捺印板</w:t>
            </w:r>
          </w:p>
        </w:tc>
        <w:tc>
          <w:tcPr>
            <w:tcW w:w="3489" w:type="pct"/>
            <w:shd w:val="clear" w:color="auto" w:fill="auto"/>
            <w:vAlign w:val="center"/>
          </w:tcPr>
          <w:p w14:paraId="0F02EE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屏幕尺寸：≥10.1" ；屏幕类型：IPS LCD；显示比例：16:10；分辨率：≥1280*800；亮度：≥200；对比度：≥800:1；可视角度：水平 ≥170°，垂直≥170°；手写感应方式：电磁感应；指纹采集头类型：电容型</w:t>
            </w:r>
          </w:p>
        </w:tc>
        <w:tc>
          <w:tcPr>
            <w:tcW w:w="221" w:type="pct"/>
            <w:gridSpan w:val="2"/>
            <w:shd w:val="clear" w:color="auto" w:fill="auto"/>
            <w:noWrap/>
            <w:vAlign w:val="center"/>
          </w:tcPr>
          <w:p w14:paraId="32188B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0E0DEE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60DB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563547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6.18 </w:t>
            </w:r>
          </w:p>
        </w:tc>
        <w:tc>
          <w:tcPr>
            <w:tcW w:w="346" w:type="pct"/>
            <w:shd w:val="clear" w:color="auto" w:fill="auto"/>
            <w:noWrap/>
            <w:vAlign w:val="center"/>
          </w:tcPr>
          <w:p w14:paraId="0B9029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音频输出终端</w:t>
            </w:r>
          </w:p>
        </w:tc>
        <w:tc>
          <w:tcPr>
            <w:tcW w:w="3489" w:type="pct"/>
            <w:shd w:val="clear" w:color="auto" w:fill="auto"/>
            <w:vAlign w:val="center"/>
          </w:tcPr>
          <w:p w14:paraId="5E827C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失真度：＜ 0.1%；低音单元：LF: 1 × 5"；频率范围：70 Hz~20 kHz；信噪比：＞ 82 dB；高音单元：HF: ≥1 × 1"；额定功率：≥50 W；灵敏度：95 ± 3 dB；工作电压：220 V/50 Hz；安装方式：壁挂安装，自带支架</w:t>
            </w:r>
          </w:p>
        </w:tc>
        <w:tc>
          <w:tcPr>
            <w:tcW w:w="221" w:type="pct"/>
            <w:gridSpan w:val="2"/>
            <w:shd w:val="clear" w:color="auto" w:fill="auto"/>
            <w:noWrap/>
            <w:vAlign w:val="center"/>
          </w:tcPr>
          <w:p w14:paraId="4A68EC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对</w:t>
            </w:r>
          </w:p>
        </w:tc>
        <w:tc>
          <w:tcPr>
            <w:tcW w:w="428" w:type="pct"/>
            <w:gridSpan w:val="2"/>
            <w:shd w:val="clear" w:color="auto" w:fill="auto"/>
            <w:noWrap/>
            <w:vAlign w:val="center"/>
          </w:tcPr>
          <w:p w14:paraId="543134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905F5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60C560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6.19 </w:t>
            </w:r>
          </w:p>
        </w:tc>
        <w:tc>
          <w:tcPr>
            <w:tcW w:w="346" w:type="pct"/>
            <w:shd w:val="clear" w:color="auto" w:fill="auto"/>
            <w:noWrap/>
            <w:vAlign w:val="center"/>
          </w:tcPr>
          <w:p w14:paraId="464D39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拾音器</w:t>
            </w:r>
          </w:p>
        </w:tc>
        <w:tc>
          <w:tcPr>
            <w:tcW w:w="3489" w:type="pct"/>
            <w:shd w:val="clear" w:color="auto" w:fill="auto"/>
            <w:vAlign w:val="center"/>
          </w:tcPr>
          <w:p w14:paraId="6479DCA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7F4EEC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32C9DC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AE2D4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0E3A2CA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6.20 </w:t>
            </w:r>
          </w:p>
        </w:tc>
        <w:tc>
          <w:tcPr>
            <w:tcW w:w="346" w:type="pct"/>
            <w:shd w:val="clear" w:color="auto" w:fill="auto"/>
            <w:noWrap/>
            <w:vAlign w:val="center"/>
          </w:tcPr>
          <w:p w14:paraId="6D5622F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取证终端</w:t>
            </w:r>
          </w:p>
        </w:tc>
        <w:tc>
          <w:tcPr>
            <w:tcW w:w="3489" w:type="pct"/>
            <w:shd w:val="clear" w:color="auto" w:fill="auto"/>
            <w:vAlign w:val="center"/>
          </w:tcPr>
          <w:p w14:paraId="526590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76508A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20CA0D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1B6BEC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5597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A3A86A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6.21 </w:t>
            </w:r>
          </w:p>
        </w:tc>
        <w:tc>
          <w:tcPr>
            <w:tcW w:w="346" w:type="pct"/>
            <w:shd w:val="clear" w:color="auto" w:fill="auto"/>
            <w:noWrap/>
            <w:vAlign w:val="center"/>
          </w:tcPr>
          <w:p w14:paraId="4826FC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有线耳机</w:t>
            </w:r>
          </w:p>
        </w:tc>
        <w:tc>
          <w:tcPr>
            <w:tcW w:w="3489" w:type="pct"/>
            <w:shd w:val="clear" w:color="auto" w:fill="auto"/>
            <w:vAlign w:val="center"/>
          </w:tcPr>
          <w:p w14:paraId="3CC4E2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佩戴方式入耳式耳机；麦克风频响范围20-20000Hz麦克风有；接口类型3.5mm外接AUX接口纠错；产品尺寸≥80x80x31mm；产品颜色黑色，白色</w:t>
            </w:r>
          </w:p>
        </w:tc>
        <w:tc>
          <w:tcPr>
            <w:tcW w:w="221" w:type="pct"/>
            <w:gridSpan w:val="2"/>
            <w:shd w:val="clear" w:color="auto" w:fill="auto"/>
            <w:noWrap/>
            <w:vAlign w:val="center"/>
          </w:tcPr>
          <w:p w14:paraId="60A1EB3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0AB3D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42A7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5007C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6.22 </w:t>
            </w:r>
          </w:p>
        </w:tc>
        <w:tc>
          <w:tcPr>
            <w:tcW w:w="346" w:type="pct"/>
            <w:shd w:val="clear" w:color="auto" w:fill="auto"/>
            <w:noWrap/>
            <w:vAlign w:val="center"/>
          </w:tcPr>
          <w:p w14:paraId="2968F8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65A4F9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53679BB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260A80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7F0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2FEC56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6.23 </w:t>
            </w:r>
          </w:p>
        </w:tc>
        <w:tc>
          <w:tcPr>
            <w:tcW w:w="346" w:type="pct"/>
            <w:shd w:val="clear" w:color="auto" w:fill="auto"/>
            <w:noWrap/>
            <w:vAlign w:val="center"/>
          </w:tcPr>
          <w:p w14:paraId="5C86DC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审讯专用坐具</w:t>
            </w:r>
          </w:p>
        </w:tc>
        <w:tc>
          <w:tcPr>
            <w:tcW w:w="3489" w:type="pct"/>
            <w:shd w:val="clear" w:color="auto" w:fill="auto"/>
            <w:vAlign w:val="center"/>
          </w:tcPr>
          <w:p w14:paraId="7078B34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审讯椅桌面上方装有手*铐，方便约束其手腕，下部为脚环装置。腰部有安全杠，防止头部前倾。审讯椅选用国标201优质不锈钢材料，包括靠背、座面、椅腿、扶手。采用优质铁管制作而成，结实耐用，桌面、靠背、坐垫处采用西皮软包，桌面也是钢板制成，无棱角更安全，手部采用优质的U型锁，脚部为弹簧设计的锁扣，安全可靠，方便。可固定与地面上，安全带设计更为人性化。座位处及锁手处面板为加厚钢板，锁具为钥匙型，钥匙通用（特制），椅子后部有弹簧开关，掰动开关脚部锁具自动打开，使用中无需配备其它任何锁具，靠背有胸带；尺寸750x875x950mm，误差±5%。</w:t>
            </w:r>
          </w:p>
        </w:tc>
        <w:tc>
          <w:tcPr>
            <w:tcW w:w="221" w:type="pct"/>
            <w:gridSpan w:val="2"/>
            <w:shd w:val="clear" w:color="auto" w:fill="auto"/>
            <w:noWrap/>
            <w:vAlign w:val="center"/>
          </w:tcPr>
          <w:p w14:paraId="02F29D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3528B6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4836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54D654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6.24 </w:t>
            </w:r>
          </w:p>
        </w:tc>
        <w:tc>
          <w:tcPr>
            <w:tcW w:w="346" w:type="pct"/>
            <w:shd w:val="clear" w:color="auto" w:fill="auto"/>
            <w:noWrap/>
            <w:vAlign w:val="center"/>
          </w:tcPr>
          <w:p w14:paraId="0619A7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LED状态显示屏</w:t>
            </w:r>
          </w:p>
        </w:tc>
        <w:tc>
          <w:tcPr>
            <w:tcW w:w="3489" w:type="pct"/>
            <w:shd w:val="clear" w:color="auto" w:fill="auto"/>
            <w:vAlign w:val="center"/>
          </w:tcPr>
          <w:p w14:paraId="69581E7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1.类型：室内双色显示屏；2.LED封装：国产；3.像素间距：≤4.75mm；4.像素密度：≥44000点/㎡；5.亮度：≥500cd/㎡；6.视角：≥120°。</w:t>
            </w:r>
          </w:p>
        </w:tc>
        <w:tc>
          <w:tcPr>
            <w:tcW w:w="221" w:type="pct"/>
            <w:gridSpan w:val="2"/>
            <w:shd w:val="clear" w:color="auto" w:fill="auto"/>
            <w:noWrap/>
            <w:vAlign w:val="center"/>
          </w:tcPr>
          <w:p w14:paraId="035F51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37F66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40A9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D0CFAF7">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7</w:t>
            </w:r>
          </w:p>
        </w:tc>
        <w:tc>
          <w:tcPr>
            <w:tcW w:w="4486" w:type="pct"/>
            <w:gridSpan w:val="6"/>
            <w:shd w:val="clear" w:color="auto" w:fill="auto"/>
            <w:noWrap/>
            <w:vAlign w:val="center"/>
          </w:tcPr>
          <w:p w14:paraId="0944014C">
            <w:pPr>
              <w:widowControl/>
              <w:jc w:val="center"/>
              <w:textAlignment w:val="center"/>
              <w:rPr>
                <w:rFonts w:ascii="宋体" w:hAnsi="宋体" w:cs="宋体"/>
                <w:color w:val="000000" w:themeColor="text1"/>
                <w:sz w:val="22"/>
                <w:szCs w:val="22"/>
              </w:rPr>
            </w:pPr>
            <w:r>
              <w:rPr>
                <w:rFonts w:hint="eastAsia" w:ascii="宋体" w:hAnsi="宋体" w:cs="宋体"/>
                <w:b/>
                <w:bCs/>
                <w:color w:val="000000" w:themeColor="text1"/>
                <w:sz w:val="22"/>
                <w:szCs w:val="22"/>
              </w:rPr>
              <w:t>未成年人询问室兼远程提讯室（1 间）</w:t>
            </w:r>
          </w:p>
        </w:tc>
      </w:tr>
      <w:tr w14:paraId="40520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39" w:hRule="atLeast"/>
        </w:trPr>
        <w:tc>
          <w:tcPr>
            <w:tcW w:w="508" w:type="pct"/>
            <w:shd w:val="clear" w:color="auto" w:fill="auto"/>
            <w:noWrap/>
            <w:vAlign w:val="center"/>
          </w:tcPr>
          <w:p w14:paraId="51CA4D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7.1</w:t>
            </w:r>
          </w:p>
        </w:tc>
        <w:tc>
          <w:tcPr>
            <w:tcW w:w="346" w:type="pct"/>
            <w:shd w:val="clear" w:color="auto" w:fill="auto"/>
            <w:noWrap/>
            <w:vAlign w:val="center"/>
          </w:tcPr>
          <w:p w14:paraId="1DA27CA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15F849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17D0E21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504AD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73024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2E98F6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7.2</w:t>
            </w:r>
          </w:p>
        </w:tc>
        <w:tc>
          <w:tcPr>
            <w:tcW w:w="346" w:type="pct"/>
            <w:shd w:val="clear" w:color="auto" w:fill="auto"/>
            <w:noWrap/>
            <w:vAlign w:val="center"/>
          </w:tcPr>
          <w:p w14:paraId="1CAF1B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30958F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1CBA2C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BD66F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7108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786" w:hRule="atLeast"/>
        </w:trPr>
        <w:tc>
          <w:tcPr>
            <w:tcW w:w="508" w:type="pct"/>
            <w:shd w:val="clear" w:color="auto" w:fill="auto"/>
            <w:noWrap/>
            <w:vAlign w:val="center"/>
          </w:tcPr>
          <w:p w14:paraId="0EE77B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7.3</w:t>
            </w:r>
          </w:p>
        </w:tc>
        <w:tc>
          <w:tcPr>
            <w:tcW w:w="346" w:type="pct"/>
            <w:shd w:val="clear" w:color="auto" w:fill="auto"/>
            <w:noWrap/>
            <w:vAlign w:val="center"/>
          </w:tcPr>
          <w:p w14:paraId="723C548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空间定位摄像机</w:t>
            </w:r>
          </w:p>
        </w:tc>
        <w:tc>
          <w:tcPr>
            <w:tcW w:w="3489" w:type="pct"/>
            <w:shd w:val="clear" w:color="auto" w:fill="auto"/>
            <w:vAlign w:val="center"/>
          </w:tcPr>
          <w:p w14:paraId="3DC4BC47">
            <w:pPr>
              <w:widowControl/>
              <w:textAlignment w:val="center"/>
              <w:rPr>
                <w:rFonts w:ascii="宋体" w:hAnsi="宋体" w:cs="宋体"/>
                <w:sz w:val="22"/>
                <w:szCs w:val="22"/>
              </w:rPr>
            </w:pPr>
            <w:r>
              <w:rPr>
                <w:rFonts w:hint="eastAsia" w:ascii="宋体" w:hAnsi="宋体" w:cs="宋体"/>
                <w:sz w:val="22"/>
                <w:szCs w:val="22"/>
              </w:rPr>
              <w:t>1、≥600 万像素传感器，2.8~12mm 电动变焦</w:t>
            </w:r>
          </w:p>
          <w:p w14:paraId="7BC055A4">
            <w:pPr>
              <w:widowControl/>
              <w:textAlignment w:val="center"/>
              <w:rPr>
                <w:rFonts w:ascii="宋体" w:hAnsi="宋体" w:cs="宋体"/>
                <w:sz w:val="22"/>
                <w:szCs w:val="22"/>
              </w:rPr>
            </w:pPr>
            <w:r>
              <w:rPr>
                <w:rFonts w:hint="eastAsia" w:ascii="宋体" w:hAnsi="宋体" w:cs="宋体"/>
                <w:sz w:val="22"/>
                <w:szCs w:val="22"/>
              </w:rPr>
              <w:t>2、需支持人脸抓拍，单画面同时检测人脸数≥30 张，单画面同时抓拍人脸数≥15 张</w:t>
            </w:r>
          </w:p>
          <w:p w14:paraId="70C17EF7">
            <w:pPr>
              <w:widowControl/>
              <w:textAlignment w:val="center"/>
              <w:rPr>
                <w:rFonts w:ascii="宋体" w:hAnsi="宋体" w:cs="宋体"/>
                <w:sz w:val="22"/>
                <w:szCs w:val="22"/>
              </w:rPr>
            </w:pPr>
            <w:r>
              <w:rPr>
                <w:rFonts w:hint="eastAsia" w:ascii="宋体" w:hAnsi="宋体" w:cs="宋体"/>
                <w:sz w:val="22"/>
                <w:szCs w:val="22"/>
              </w:rPr>
              <w:t>3、需支持红外灯，红外补光距离≥30 米</w:t>
            </w:r>
          </w:p>
          <w:p w14:paraId="323B7155">
            <w:pPr>
              <w:widowControl/>
              <w:textAlignment w:val="center"/>
              <w:rPr>
                <w:rFonts w:ascii="宋体" w:hAnsi="宋体" w:cs="宋体"/>
                <w:sz w:val="22"/>
                <w:szCs w:val="22"/>
              </w:rPr>
            </w:pPr>
            <w:r>
              <w:rPr>
                <w:rFonts w:hint="eastAsia" w:ascii="宋体" w:hAnsi="宋体" w:cs="宋体"/>
                <w:sz w:val="22"/>
                <w:szCs w:val="22"/>
              </w:rPr>
              <w:t>4、需支持对经过设定区域内的行人进行人体检测并抓拍，可抓拍人体正面、背面、侧面人体图片并上传至平台（提供第三方出具的检测报告）</w:t>
            </w:r>
          </w:p>
          <w:p w14:paraId="5EABE1A4">
            <w:pPr>
              <w:widowControl/>
              <w:textAlignment w:val="center"/>
              <w:rPr>
                <w:rFonts w:ascii="宋体" w:hAnsi="宋体" w:cs="宋体"/>
                <w:sz w:val="22"/>
                <w:szCs w:val="22"/>
              </w:rPr>
            </w:pPr>
            <w:r>
              <w:rPr>
                <w:rFonts w:hint="eastAsia" w:ascii="宋体" w:hAnsi="宋体" w:cs="宋体"/>
                <w:sz w:val="22"/>
                <w:szCs w:val="22"/>
              </w:rPr>
              <w:t>5、需支持人脸识别准确率≥95%</w:t>
            </w:r>
          </w:p>
          <w:p w14:paraId="68A22836">
            <w:pPr>
              <w:widowControl/>
              <w:textAlignment w:val="center"/>
              <w:rPr>
                <w:rFonts w:ascii="宋体" w:hAnsi="宋体" w:cs="宋体"/>
                <w:sz w:val="22"/>
                <w:szCs w:val="22"/>
              </w:rPr>
            </w:pPr>
            <w:r>
              <w:rPr>
                <w:rFonts w:hint="eastAsia" w:ascii="宋体" w:hAnsi="宋体" w:cs="宋体"/>
                <w:sz w:val="22"/>
                <w:szCs w:val="22"/>
              </w:rPr>
              <w:t>6、需支持同时检测≥50 个行人并同时显示行进轨迹，并实时输出行人的坐标信息和时间戳（提供第三方出具的检测报告）</w:t>
            </w:r>
          </w:p>
          <w:p w14:paraId="5D14C018">
            <w:pPr>
              <w:widowControl/>
              <w:textAlignment w:val="center"/>
              <w:rPr>
                <w:rFonts w:ascii="宋体" w:hAnsi="宋体" w:cs="宋体"/>
                <w:sz w:val="22"/>
                <w:szCs w:val="22"/>
              </w:rPr>
            </w:pPr>
            <w:r>
              <w:rPr>
                <w:rFonts w:hint="eastAsia" w:ascii="宋体" w:hAnsi="宋体" w:cs="宋体"/>
                <w:sz w:val="22"/>
                <w:szCs w:val="22"/>
              </w:rPr>
              <w:t>7、配合无感轨迹定位设备，需支持以某一物理位置为坐标原点， 分别标定镜头并建立坐标系；</w:t>
            </w:r>
          </w:p>
          <w:p w14:paraId="128CCB8E">
            <w:pPr>
              <w:widowControl/>
              <w:textAlignment w:val="center"/>
              <w:rPr>
                <w:rFonts w:ascii="宋体" w:hAnsi="宋体" w:cs="宋体"/>
                <w:sz w:val="22"/>
                <w:szCs w:val="22"/>
              </w:rPr>
            </w:pPr>
            <w:r>
              <w:rPr>
                <w:rFonts w:hint="eastAsia" w:ascii="宋体" w:hAnsi="宋体" w:cs="宋体"/>
                <w:sz w:val="22"/>
                <w:szCs w:val="22"/>
              </w:rPr>
              <w:t>8、需支持智能行为分析功能，支持奔跑、徘徊、人群聚集、人</w:t>
            </w:r>
          </w:p>
          <w:p w14:paraId="519B26C2">
            <w:pPr>
              <w:widowControl/>
              <w:textAlignment w:val="center"/>
              <w:rPr>
                <w:rFonts w:ascii="宋体" w:hAnsi="宋体" w:cs="宋体"/>
                <w:color w:val="000000" w:themeColor="text1"/>
                <w:sz w:val="22"/>
                <w:szCs w:val="22"/>
              </w:rPr>
            </w:pPr>
            <w:r>
              <w:rPr>
                <w:rFonts w:hint="eastAsia" w:ascii="宋体" w:hAnsi="宋体" w:cs="宋体"/>
                <w:sz w:val="22"/>
                <w:szCs w:val="22"/>
              </w:rPr>
              <w:t>数统计、攀高、值岗检测等（提供第三方出具的检测报告）</w:t>
            </w:r>
          </w:p>
        </w:tc>
        <w:tc>
          <w:tcPr>
            <w:tcW w:w="221" w:type="pct"/>
            <w:gridSpan w:val="2"/>
            <w:shd w:val="clear" w:color="auto" w:fill="auto"/>
            <w:noWrap/>
            <w:vAlign w:val="center"/>
          </w:tcPr>
          <w:p w14:paraId="7B4BC3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584AB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A335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0C0044F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7.4</w:t>
            </w:r>
          </w:p>
        </w:tc>
        <w:tc>
          <w:tcPr>
            <w:tcW w:w="346" w:type="pct"/>
            <w:shd w:val="clear" w:color="auto" w:fill="auto"/>
            <w:noWrap/>
            <w:vAlign w:val="center"/>
          </w:tcPr>
          <w:p w14:paraId="37A170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签字摄像机</w:t>
            </w:r>
          </w:p>
        </w:tc>
        <w:tc>
          <w:tcPr>
            <w:tcW w:w="3489" w:type="pct"/>
            <w:shd w:val="clear" w:color="auto" w:fill="auto"/>
            <w:vAlign w:val="center"/>
          </w:tcPr>
          <w:p w14:paraId="2B54170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视频分辨率和帧率≥2560×1440、25帧/秒，最低照度彩色≤0.005lx，宽动态能力综合评价得分≥140，视频压缩标准需支持H.265，内置电动变焦镜头，电动变焦范围不小于3-12mm；2.支持记录系统操作、配置操作、数据操作、事件操作、异常状态、用户管理、清空日志等不低于八种类型的日志信息。可按照主类型、次类型、开始时间、结束时间搜索日志，主类型有全部类型、报警、异常、操作、信息等不少于五种类型；次类型可在主类型限定范围内按功能细分搜索的日志范围；3.字符叠加(OSD)功能支持在视频图像上叠加≥28行字符，字符可选择项至少包括通道名称、时间、日期等，字体、颜色、位置、闪烁、滚动效果可设置；4.具备区域入侵、越界入侵、进入区域、离开区域、人员聚集、快速移动、徘徊、物品移除、物品遗留、停车智能分析功能，当以上智能分析行为达到设定的阈值时，可通过客户端软件或浏览器给出报警提示；5.支持PoE供电，≥1个DC12V电源输出接口，具有≥1个存储卡插槽，具有麦克风、音频输入输出、报警输入输出接口，内置红外补光灯，补光距离≥30米，防护等级不低于IP66。</w:t>
            </w:r>
          </w:p>
        </w:tc>
        <w:tc>
          <w:tcPr>
            <w:tcW w:w="221" w:type="pct"/>
            <w:gridSpan w:val="2"/>
            <w:shd w:val="clear" w:color="auto" w:fill="auto"/>
            <w:noWrap/>
            <w:vAlign w:val="center"/>
          </w:tcPr>
          <w:p w14:paraId="16DA10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A56C3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809F5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5E55ED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7.5</w:t>
            </w:r>
          </w:p>
        </w:tc>
        <w:tc>
          <w:tcPr>
            <w:tcW w:w="346" w:type="pct"/>
            <w:shd w:val="clear" w:color="auto" w:fill="auto"/>
            <w:noWrap/>
            <w:vAlign w:val="center"/>
          </w:tcPr>
          <w:p w14:paraId="7984935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温湿度显示屏</w:t>
            </w:r>
          </w:p>
        </w:tc>
        <w:tc>
          <w:tcPr>
            <w:tcW w:w="3489" w:type="pct"/>
            <w:shd w:val="clear" w:color="auto" w:fill="auto"/>
            <w:vAlign w:val="center"/>
          </w:tcPr>
          <w:p w14:paraId="6378D3E0">
            <w:pPr>
              <w:widowControl/>
              <w:textAlignment w:val="center"/>
              <w:rPr>
                <w:rFonts w:ascii="宋体" w:hAnsi="宋体" w:cs="宋体"/>
                <w:sz w:val="22"/>
                <w:szCs w:val="22"/>
              </w:rPr>
            </w:pPr>
            <w:r>
              <w:rPr>
                <w:rFonts w:hint="eastAsia" w:ascii="宋体" w:hAnsi="宋体" w:cs="宋体"/>
                <w:sz w:val="22"/>
                <w:szCs w:val="22"/>
              </w:rPr>
              <w:t>1、温湿度屏与超广角全景摄像机一体化设计，集时间、温湿度采集显示与全景画面采集功能于一体</w:t>
            </w:r>
          </w:p>
          <w:p w14:paraId="3FD053AF">
            <w:pPr>
              <w:widowControl/>
              <w:textAlignment w:val="center"/>
              <w:rPr>
                <w:rFonts w:ascii="宋体" w:hAnsi="宋体" w:cs="宋体"/>
                <w:sz w:val="22"/>
                <w:szCs w:val="22"/>
              </w:rPr>
            </w:pPr>
            <w:r>
              <w:rPr>
                <w:rFonts w:hint="eastAsia" w:ascii="宋体" w:hAnsi="宋体" w:cs="宋体"/>
                <w:sz w:val="22"/>
                <w:szCs w:val="22"/>
              </w:rPr>
              <w:t>2、静态数字显示，适于同步录音录像</w:t>
            </w:r>
          </w:p>
          <w:p w14:paraId="528026FC">
            <w:pPr>
              <w:widowControl/>
              <w:textAlignment w:val="center"/>
              <w:rPr>
                <w:rFonts w:ascii="宋体" w:hAnsi="宋体" w:cs="宋体"/>
                <w:sz w:val="22"/>
                <w:szCs w:val="22"/>
              </w:rPr>
            </w:pPr>
            <w:r>
              <w:rPr>
                <w:rFonts w:hint="eastAsia" w:ascii="宋体" w:hAnsi="宋体" w:cs="宋体"/>
                <w:sz w:val="22"/>
                <w:szCs w:val="22"/>
              </w:rPr>
              <w:t>3、≤2.1mm超广角定焦镜头，支持ICR双滤切换</w:t>
            </w:r>
          </w:p>
          <w:p w14:paraId="0007F5A0">
            <w:pPr>
              <w:widowControl/>
              <w:textAlignment w:val="center"/>
              <w:rPr>
                <w:rFonts w:ascii="宋体" w:hAnsi="宋体" w:cs="宋体"/>
                <w:sz w:val="22"/>
                <w:szCs w:val="22"/>
              </w:rPr>
            </w:pPr>
            <w:r>
              <w:rPr>
                <w:rFonts w:hint="eastAsia" w:ascii="宋体" w:hAnsi="宋体" w:cs="宋体"/>
                <w:sz w:val="22"/>
                <w:szCs w:val="22"/>
              </w:rPr>
              <w:t>4、摄像机分辨率≥2592×1944</w:t>
            </w:r>
          </w:p>
          <w:p w14:paraId="25D590E0">
            <w:pPr>
              <w:widowControl/>
              <w:textAlignment w:val="center"/>
              <w:rPr>
                <w:rFonts w:ascii="宋体" w:hAnsi="宋体" w:cs="宋体"/>
                <w:sz w:val="22"/>
                <w:szCs w:val="22"/>
              </w:rPr>
            </w:pPr>
            <w:r>
              <w:rPr>
                <w:rFonts w:hint="eastAsia" w:ascii="宋体" w:hAnsi="宋体" w:cs="宋体"/>
                <w:sz w:val="22"/>
                <w:szCs w:val="22"/>
              </w:rPr>
              <w:t>5、内置MIC和扬声器，具有≥1个RJ45接口、1路音频输入接口、1路音频输出接口、2路报警输入接口、1路报警输出接口、1个RS485接口、1个复位按钮、1个存储卡接口</w:t>
            </w:r>
          </w:p>
          <w:p w14:paraId="44116BF1">
            <w:pPr>
              <w:widowControl/>
              <w:textAlignment w:val="center"/>
              <w:rPr>
                <w:rFonts w:ascii="宋体" w:hAnsi="宋体" w:cs="宋体"/>
                <w:sz w:val="22"/>
                <w:szCs w:val="22"/>
              </w:rPr>
            </w:pPr>
            <w:r>
              <w:rPr>
                <w:rFonts w:hint="eastAsia" w:ascii="宋体" w:hAnsi="宋体" w:cs="宋体"/>
                <w:sz w:val="22"/>
                <w:szCs w:val="22"/>
              </w:rPr>
              <w:t>6、支持显示屏手动校时或通过ntp自动校时（提供第三方出具的检测报告)</w:t>
            </w:r>
          </w:p>
          <w:p w14:paraId="395EFEFE">
            <w:pPr>
              <w:widowControl/>
              <w:textAlignment w:val="center"/>
              <w:rPr>
                <w:rFonts w:ascii="宋体" w:hAnsi="宋体" w:cs="宋体"/>
                <w:sz w:val="22"/>
                <w:szCs w:val="22"/>
              </w:rPr>
            </w:pPr>
            <w:r>
              <w:rPr>
                <w:rFonts w:hint="eastAsia" w:ascii="宋体" w:hAnsi="宋体" w:cs="宋体"/>
                <w:sz w:val="22"/>
                <w:szCs w:val="22"/>
              </w:rPr>
              <w:t>7、应支持值岗、攀高、人数统计等智能分析功能（提供第三方出具的检测报告)</w:t>
            </w:r>
          </w:p>
          <w:p w14:paraId="734B7089">
            <w:pPr>
              <w:widowControl/>
              <w:textAlignment w:val="center"/>
              <w:rPr>
                <w:rFonts w:ascii="宋体" w:hAnsi="宋体" w:cs="宋体"/>
                <w:sz w:val="22"/>
                <w:szCs w:val="22"/>
              </w:rPr>
            </w:pPr>
            <w:r>
              <w:rPr>
                <w:rFonts w:hint="eastAsia" w:ascii="宋体" w:hAnsi="宋体" w:cs="宋体"/>
                <w:sz w:val="22"/>
                <w:szCs w:val="22"/>
              </w:rPr>
              <w:t>8、应支持三码流同时输出，主码流最高分辨率≥2592*1944@30fps，最高帧率1920*1080@60 fps</w:t>
            </w:r>
          </w:p>
          <w:p w14:paraId="792D1E25">
            <w:pPr>
              <w:widowControl/>
              <w:textAlignment w:val="center"/>
              <w:rPr>
                <w:rFonts w:ascii="宋体" w:hAnsi="宋体" w:cs="宋体"/>
                <w:sz w:val="22"/>
                <w:szCs w:val="22"/>
              </w:rPr>
            </w:pPr>
            <w:r>
              <w:rPr>
                <w:rFonts w:hint="eastAsia" w:ascii="宋体" w:hAnsi="宋体" w:cs="宋体"/>
                <w:sz w:val="22"/>
                <w:szCs w:val="22"/>
              </w:rPr>
              <w:t>9、应支持音视频本地存储卡存储，录制的文件可使用通用播放软件播放</w:t>
            </w:r>
          </w:p>
          <w:p w14:paraId="74008703">
            <w:pPr>
              <w:widowControl/>
              <w:textAlignment w:val="center"/>
              <w:rPr>
                <w:rFonts w:ascii="宋体" w:hAnsi="宋体" w:cs="宋体"/>
                <w:color w:val="000000" w:themeColor="text1"/>
                <w:sz w:val="22"/>
                <w:szCs w:val="22"/>
              </w:rPr>
            </w:pPr>
            <w:r>
              <w:rPr>
                <w:rFonts w:hint="eastAsia" w:ascii="宋体" w:hAnsi="宋体" w:cs="宋体"/>
                <w:sz w:val="22"/>
                <w:szCs w:val="22"/>
              </w:rPr>
              <w:t>10、应摄像机支持畸变矫正、远端放大功能（提供第三方出具的检测报告)</w:t>
            </w:r>
          </w:p>
        </w:tc>
        <w:tc>
          <w:tcPr>
            <w:tcW w:w="221" w:type="pct"/>
            <w:gridSpan w:val="2"/>
            <w:shd w:val="clear" w:color="auto" w:fill="auto"/>
            <w:noWrap/>
            <w:vAlign w:val="center"/>
          </w:tcPr>
          <w:p w14:paraId="5629D5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块</w:t>
            </w:r>
          </w:p>
        </w:tc>
        <w:tc>
          <w:tcPr>
            <w:tcW w:w="428" w:type="pct"/>
            <w:gridSpan w:val="2"/>
            <w:shd w:val="clear" w:color="auto" w:fill="auto"/>
            <w:noWrap/>
            <w:vAlign w:val="center"/>
          </w:tcPr>
          <w:p w14:paraId="191850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B364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1EA3E9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7.6</w:t>
            </w:r>
          </w:p>
        </w:tc>
        <w:tc>
          <w:tcPr>
            <w:tcW w:w="346" w:type="pct"/>
            <w:shd w:val="clear" w:color="auto" w:fill="auto"/>
            <w:noWrap/>
            <w:vAlign w:val="center"/>
          </w:tcPr>
          <w:p w14:paraId="5EDD46D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审讯主机</w:t>
            </w:r>
          </w:p>
        </w:tc>
        <w:tc>
          <w:tcPr>
            <w:tcW w:w="3489" w:type="pct"/>
            <w:shd w:val="clear" w:color="auto" w:fill="auto"/>
            <w:vAlign w:val="center"/>
          </w:tcPr>
          <w:p w14:paraId="342E4906">
            <w:pPr>
              <w:widowControl/>
              <w:textAlignment w:val="center"/>
              <w:rPr>
                <w:rFonts w:ascii="宋体" w:hAnsi="宋体" w:cs="宋体"/>
                <w:sz w:val="22"/>
                <w:szCs w:val="22"/>
              </w:rPr>
            </w:pPr>
            <w:r>
              <w:rPr>
                <w:rFonts w:hint="eastAsia" w:ascii="宋体" w:hAnsi="宋体" w:cs="宋体"/>
                <w:sz w:val="22"/>
                <w:szCs w:val="22"/>
              </w:rPr>
              <w:t>1、应支持≥6 个硬盘插槽。</w:t>
            </w:r>
          </w:p>
          <w:p w14:paraId="440EA88D">
            <w:pPr>
              <w:widowControl/>
              <w:textAlignment w:val="center"/>
              <w:rPr>
                <w:rFonts w:ascii="宋体" w:hAnsi="宋体" w:cs="宋体"/>
                <w:sz w:val="22"/>
                <w:szCs w:val="22"/>
              </w:rPr>
            </w:pPr>
            <w:r>
              <w:rPr>
                <w:rFonts w:hint="eastAsia" w:ascii="宋体" w:hAnsi="宋体" w:cs="宋体"/>
                <w:sz w:val="22"/>
                <w:szCs w:val="22"/>
              </w:rPr>
              <w:t>2、接口要求≥：1 个 RJ45 网络接口、2 个 POE 网络接口、1 个HDMI 输入、1 个 VGA 输入、1 个 VGA 输出</w:t>
            </w:r>
          </w:p>
          <w:p w14:paraId="52F35E22">
            <w:pPr>
              <w:widowControl/>
              <w:textAlignment w:val="center"/>
              <w:rPr>
                <w:rFonts w:ascii="宋体" w:hAnsi="宋体" w:cs="宋体"/>
                <w:sz w:val="22"/>
                <w:szCs w:val="22"/>
              </w:rPr>
            </w:pPr>
            <w:r>
              <w:rPr>
                <w:rFonts w:hint="eastAsia" w:ascii="宋体" w:hAnsi="宋体" w:cs="宋体"/>
                <w:sz w:val="22"/>
                <w:szCs w:val="22"/>
              </w:rPr>
              <w:t>3、应支持采集讯问室实时音视频和环境信息，包括讯问民警人声、嫌疑人人声、其他环境声音、嫌疑人正面画面、室内全景画面、时间、温度、湿度等；</w:t>
            </w:r>
          </w:p>
          <w:p w14:paraId="08687C64">
            <w:pPr>
              <w:widowControl/>
              <w:textAlignment w:val="center"/>
              <w:rPr>
                <w:rFonts w:ascii="宋体" w:hAnsi="宋体" w:cs="宋体"/>
                <w:sz w:val="22"/>
                <w:szCs w:val="22"/>
              </w:rPr>
            </w:pPr>
            <w:r>
              <w:rPr>
                <w:rFonts w:hint="eastAsia" w:ascii="宋体" w:hAnsi="宋体" w:cs="宋体"/>
                <w:sz w:val="22"/>
                <w:szCs w:val="22"/>
              </w:rPr>
              <w:t>4、采集的声音和图像应清晰无损坏</w:t>
            </w:r>
          </w:p>
          <w:p w14:paraId="066DB3E0">
            <w:pPr>
              <w:widowControl/>
              <w:textAlignment w:val="center"/>
              <w:rPr>
                <w:rFonts w:ascii="宋体" w:hAnsi="宋体" w:cs="宋体"/>
                <w:sz w:val="22"/>
                <w:szCs w:val="22"/>
              </w:rPr>
            </w:pPr>
            <w:r>
              <w:rPr>
                <w:rFonts w:hint="eastAsia" w:ascii="宋体" w:hAnsi="宋体" w:cs="宋体"/>
                <w:sz w:val="22"/>
                <w:szCs w:val="22"/>
              </w:rPr>
              <w:t>5、应支持通过国产化客户端电脑同步清晰回放讯问音视频，在CPU为RAM或C86架构、操作系统为国产操作系统的客户端电脑上均能正常回放。（提供第三方出具的检测报告）</w:t>
            </w:r>
          </w:p>
          <w:p w14:paraId="73DCC532">
            <w:pPr>
              <w:widowControl/>
              <w:textAlignment w:val="center"/>
              <w:rPr>
                <w:rFonts w:ascii="宋体" w:hAnsi="宋体" w:cs="宋体"/>
                <w:sz w:val="22"/>
                <w:szCs w:val="22"/>
              </w:rPr>
            </w:pPr>
            <w:r>
              <w:rPr>
                <w:rFonts w:hint="eastAsia" w:ascii="宋体" w:hAnsi="宋体" w:cs="宋体"/>
                <w:sz w:val="22"/>
                <w:szCs w:val="22"/>
              </w:rPr>
              <w:t>6、应支持视频、音频丢失报警功能</w:t>
            </w:r>
          </w:p>
          <w:p w14:paraId="1ACF71C8">
            <w:pPr>
              <w:widowControl/>
              <w:textAlignment w:val="center"/>
              <w:rPr>
                <w:rFonts w:ascii="宋体" w:hAnsi="宋体" w:cs="宋体"/>
                <w:sz w:val="22"/>
                <w:szCs w:val="22"/>
              </w:rPr>
            </w:pPr>
            <w:r>
              <w:rPr>
                <w:rFonts w:hint="eastAsia" w:ascii="宋体" w:hAnsi="宋体" w:cs="宋体"/>
                <w:sz w:val="22"/>
                <w:szCs w:val="22"/>
              </w:rPr>
              <w:t>7、应支持自动对光盘进行封盘</w:t>
            </w:r>
          </w:p>
          <w:p w14:paraId="10B60461">
            <w:pPr>
              <w:widowControl/>
              <w:textAlignment w:val="center"/>
              <w:rPr>
                <w:rFonts w:ascii="宋体" w:hAnsi="宋体" w:cs="宋体"/>
                <w:sz w:val="22"/>
                <w:szCs w:val="22"/>
              </w:rPr>
            </w:pPr>
            <w:r>
              <w:rPr>
                <w:rFonts w:hint="eastAsia" w:ascii="宋体" w:hAnsi="宋体" w:cs="宋体"/>
                <w:sz w:val="22"/>
                <w:szCs w:val="22"/>
              </w:rPr>
              <w:t>8、讯问结束后刻录的时间不超过 5 分钟。支持通过硬盘音视频数据实现光盘更换自动回补刻录。</w:t>
            </w:r>
          </w:p>
          <w:p w14:paraId="658A05AB">
            <w:pPr>
              <w:widowControl/>
              <w:textAlignment w:val="center"/>
              <w:rPr>
                <w:rFonts w:ascii="宋体" w:hAnsi="宋体" w:cs="宋体"/>
                <w:sz w:val="22"/>
                <w:szCs w:val="22"/>
              </w:rPr>
            </w:pPr>
            <w:r>
              <w:rPr>
                <w:rFonts w:hint="eastAsia" w:ascii="宋体" w:hAnsi="宋体" w:cs="宋体"/>
                <w:sz w:val="22"/>
                <w:szCs w:val="22"/>
              </w:rPr>
              <w:t>9、讯问音视频回放应保证画面清晰，声音无提前或滞后且不失真</w:t>
            </w:r>
          </w:p>
          <w:p w14:paraId="3968DC81">
            <w:pPr>
              <w:widowControl/>
              <w:textAlignment w:val="center"/>
              <w:rPr>
                <w:rFonts w:ascii="宋体" w:hAnsi="宋体" w:cs="宋体"/>
                <w:sz w:val="22"/>
                <w:szCs w:val="22"/>
              </w:rPr>
            </w:pPr>
            <w:r>
              <w:rPr>
                <w:rFonts w:hint="eastAsia" w:ascii="宋体" w:hAnsi="宋体" w:cs="宋体"/>
                <w:sz w:val="22"/>
                <w:szCs w:val="22"/>
              </w:rPr>
              <w:t>10、应支持通过在CPU为RAM或C86架构、操作系统为国产操作系统的客户端电脑的客户端电脑上正常刻录、录像（提供第三方出具的检测报告）</w:t>
            </w:r>
          </w:p>
          <w:p w14:paraId="323E3EC6">
            <w:pPr>
              <w:widowControl/>
              <w:textAlignment w:val="center"/>
              <w:rPr>
                <w:rFonts w:ascii="宋体" w:hAnsi="宋体" w:cs="宋体"/>
                <w:sz w:val="22"/>
                <w:szCs w:val="22"/>
              </w:rPr>
            </w:pPr>
            <w:r>
              <w:rPr>
                <w:rFonts w:hint="eastAsia" w:ascii="宋体" w:hAnsi="宋体" w:cs="宋体"/>
                <w:sz w:val="22"/>
                <w:szCs w:val="22"/>
              </w:rPr>
              <w:t>11、刻录光盘需包含播放器，无需另外安装播放软件，即可在任意电脑上自动播放</w:t>
            </w:r>
          </w:p>
          <w:p w14:paraId="5E3EBD22">
            <w:pPr>
              <w:widowControl/>
              <w:textAlignment w:val="center"/>
              <w:rPr>
                <w:rFonts w:ascii="宋体" w:hAnsi="宋体" w:cs="宋体"/>
                <w:sz w:val="22"/>
                <w:szCs w:val="22"/>
              </w:rPr>
            </w:pPr>
            <w:r>
              <w:rPr>
                <w:rFonts w:hint="eastAsia" w:ascii="宋体" w:hAnsi="宋体" w:cs="宋体"/>
                <w:sz w:val="22"/>
                <w:szCs w:val="22"/>
              </w:rPr>
              <w:t>12、应支持视频画面质量检测，支持≥场景变化、视频抖动、条纹干扰、人为干扰、亮度异常、视频模糊、噪声干扰、视频偏色、画面冻结、信号缺失等视频诊断算法（提供第三方出具的检测报告）</w:t>
            </w:r>
          </w:p>
          <w:p w14:paraId="122B4D9E">
            <w:pPr>
              <w:widowControl/>
              <w:textAlignment w:val="center"/>
              <w:rPr>
                <w:rFonts w:ascii="宋体" w:hAnsi="宋体" w:cs="宋体"/>
                <w:sz w:val="22"/>
                <w:szCs w:val="22"/>
              </w:rPr>
            </w:pPr>
            <w:r>
              <w:rPr>
                <w:rFonts w:hint="eastAsia" w:ascii="宋体" w:hAnsi="宋体" w:cs="宋体"/>
                <w:sz w:val="22"/>
                <w:szCs w:val="22"/>
              </w:rPr>
              <w:t>13、支持对光盘进行加密，未通过验证不可进行擦写或拷贝操作</w:t>
            </w:r>
          </w:p>
          <w:p w14:paraId="14B8A625">
            <w:pPr>
              <w:widowControl/>
              <w:textAlignment w:val="center"/>
              <w:rPr>
                <w:rFonts w:ascii="宋体" w:hAnsi="宋体" w:cs="宋体"/>
                <w:sz w:val="22"/>
                <w:szCs w:val="22"/>
              </w:rPr>
            </w:pPr>
            <w:r>
              <w:rPr>
                <w:rFonts w:hint="eastAsia" w:ascii="宋体" w:hAnsi="宋体" w:cs="宋体"/>
                <w:sz w:val="22"/>
                <w:szCs w:val="22"/>
              </w:rPr>
              <w:t>14、视频画面质量检测应支持≥4 个数字和示证通道同步分析</w:t>
            </w:r>
          </w:p>
          <w:p w14:paraId="0401CD68">
            <w:pPr>
              <w:widowControl/>
              <w:textAlignment w:val="center"/>
              <w:rPr>
                <w:rFonts w:ascii="宋体" w:hAnsi="宋体" w:cs="宋体"/>
                <w:sz w:val="22"/>
                <w:szCs w:val="22"/>
              </w:rPr>
            </w:pPr>
            <w:r>
              <w:rPr>
                <w:rFonts w:hint="eastAsia" w:ascii="宋体" w:hAnsi="宋体" w:cs="宋体"/>
                <w:sz w:val="22"/>
                <w:szCs w:val="22"/>
              </w:rPr>
              <w:t>15、支持音频混音。可显示声音波形</w:t>
            </w:r>
          </w:p>
          <w:p w14:paraId="1551803C">
            <w:pPr>
              <w:widowControl/>
              <w:textAlignment w:val="center"/>
              <w:rPr>
                <w:rFonts w:ascii="宋体" w:hAnsi="宋体" w:cs="宋体"/>
                <w:sz w:val="22"/>
                <w:szCs w:val="22"/>
              </w:rPr>
            </w:pPr>
            <w:r>
              <w:rPr>
                <w:rFonts w:hint="eastAsia" w:ascii="宋体" w:hAnsi="宋体" w:cs="宋体"/>
                <w:sz w:val="22"/>
                <w:szCs w:val="22"/>
              </w:rPr>
              <w:t>16、应支持画面合成，合成数量支持 1/2/3/4/5/6/8，分辨率支持≥4K，帧率支持 60fps；（提供第三方出具的检测报告）</w:t>
            </w:r>
          </w:p>
          <w:p w14:paraId="31DCEBCF">
            <w:pPr>
              <w:widowControl/>
              <w:textAlignment w:val="center"/>
              <w:rPr>
                <w:rFonts w:ascii="宋体" w:hAnsi="宋体" w:cs="宋体"/>
                <w:sz w:val="22"/>
                <w:szCs w:val="22"/>
              </w:rPr>
            </w:pPr>
            <w:r>
              <w:rPr>
                <w:rFonts w:hint="eastAsia" w:ascii="宋体" w:hAnsi="宋体" w:cs="宋体"/>
                <w:sz w:val="22"/>
                <w:szCs w:val="22"/>
              </w:rPr>
              <w:t>17、支持一键直刻，光盘刻录可选择单盘直刻、双盘直刻或循环直刻，并可自定义刻录通道</w:t>
            </w:r>
          </w:p>
          <w:p w14:paraId="76D9AC4C">
            <w:pPr>
              <w:widowControl/>
              <w:textAlignment w:val="center"/>
              <w:rPr>
                <w:rFonts w:ascii="宋体" w:hAnsi="宋体" w:cs="宋体"/>
                <w:sz w:val="22"/>
                <w:szCs w:val="22"/>
              </w:rPr>
            </w:pPr>
            <w:r>
              <w:rPr>
                <w:rFonts w:hint="eastAsia" w:ascii="宋体" w:hAnsi="宋体" w:cs="宋体"/>
                <w:sz w:val="22"/>
                <w:szCs w:val="22"/>
              </w:rPr>
              <w:t>18、支持 GB/T28181、RTSP 等接入协议</w:t>
            </w:r>
          </w:p>
          <w:p w14:paraId="5900AD6E">
            <w:pPr>
              <w:widowControl/>
              <w:textAlignment w:val="center"/>
              <w:rPr>
                <w:rFonts w:ascii="宋体" w:hAnsi="宋体" w:cs="宋体"/>
                <w:sz w:val="22"/>
                <w:szCs w:val="22"/>
              </w:rPr>
            </w:pPr>
            <w:r>
              <w:rPr>
                <w:rFonts w:hint="eastAsia" w:ascii="宋体" w:hAnsi="宋体" w:cs="宋体"/>
                <w:sz w:val="22"/>
                <w:szCs w:val="22"/>
              </w:rPr>
              <w:t>19、支持接入人体生命体征信息，可在实时视频上同步叠加血压、血氧、心律等体征信息</w:t>
            </w:r>
          </w:p>
          <w:p w14:paraId="66BA4331">
            <w:pPr>
              <w:widowControl/>
              <w:textAlignment w:val="center"/>
              <w:rPr>
                <w:rFonts w:ascii="宋体" w:hAnsi="宋体" w:cs="宋体"/>
                <w:color w:val="000000" w:themeColor="text1"/>
                <w:sz w:val="22"/>
                <w:szCs w:val="22"/>
              </w:rPr>
            </w:pPr>
            <w:r>
              <w:rPr>
                <w:rFonts w:hint="eastAsia" w:ascii="宋体" w:hAnsi="宋体" w:cs="宋体"/>
                <w:sz w:val="22"/>
                <w:szCs w:val="22"/>
              </w:rPr>
              <w:t>20、主机应标配 1 块≥4T 的硬盘</w:t>
            </w:r>
          </w:p>
        </w:tc>
        <w:tc>
          <w:tcPr>
            <w:tcW w:w="221" w:type="pct"/>
            <w:gridSpan w:val="2"/>
            <w:shd w:val="clear" w:color="auto" w:fill="auto"/>
            <w:noWrap/>
            <w:vAlign w:val="center"/>
          </w:tcPr>
          <w:p w14:paraId="4C1495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6EFD0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B7DD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0C5EFA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7.7</w:t>
            </w:r>
          </w:p>
        </w:tc>
        <w:tc>
          <w:tcPr>
            <w:tcW w:w="346" w:type="pct"/>
            <w:shd w:val="clear" w:color="auto" w:fill="auto"/>
            <w:noWrap/>
            <w:vAlign w:val="center"/>
          </w:tcPr>
          <w:p w14:paraId="083ADF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物证展示台</w:t>
            </w:r>
          </w:p>
        </w:tc>
        <w:tc>
          <w:tcPr>
            <w:tcW w:w="3489" w:type="pct"/>
            <w:shd w:val="clear" w:color="auto" w:fill="auto"/>
            <w:vAlign w:val="center"/>
          </w:tcPr>
          <w:p w14:paraId="0F2D0B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多路VGA输入+输出的接口设置使得无论是单采集信号源还是多路信号源都可以方便进行切换，满足用户在电脑显示界面和展台采集画面间的无缝转换2.具备光学变焦，在图像放大时不损失画面质量，配合专门的视频接口，可以将最多的细节轻松输出展示。3.更大的底座带来更丰富的接口，同时搭载功能更为强大的ISP芯片使得画面传输速率和高分辨率情况下的画面质量均有很大的提升，完美支持1080P视频的输出。</w:t>
            </w:r>
          </w:p>
        </w:tc>
        <w:tc>
          <w:tcPr>
            <w:tcW w:w="221" w:type="pct"/>
            <w:gridSpan w:val="2"/>
            <w:shd w:val="clear" w:color="auto" w:fill="auto"/>
            <w:noWrap/>
            <w:vAlign w:val="center"/>
          </w:tcPr>
          <w:p w14:paraId="2F61181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7FA70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CA6B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55" w:hRule="atLeast"/>
        </w:trPr>
        <w:tc>
          <w:tcPr>
            <w:tcW w:w="508" w:type="pct"/>
            <w:shd w:val="clear" w:color="auto" w:fill="auto"/>
            <w:noWrap/>
            <w:vAlign w:val="center"/>
          </w:tcPr>
          <w:p w14:paraId="6F50BD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7.8</w:t>
            </w:r>
          </w:p>
        </w:tc>
        <w:tc>
          <w:tcPr>
            <w:tcW w:w="346" w:type="pct"/>
            <w:shd w:val="clear" w:color="auto" w:fill="auto"/>
            <w:noWrap/>
            <w:vAlign w:val="center"/>
          </w:tcPr>
          <w:p w14:paraId="5E75DB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讯问管控终端</w:t>
            </w:r>
          </w:p>
        </w:tc>
        <w:tc>
          <w:tcPr>
            <w:tcW w:w="3489" w:type="pct"/>
            <w:shd w:val="clear" w:color="auto" w:fill="auto"/>
            <w:vAlign w:val="center"/>
          </w:tcPr>
          <w:p w14:paraId="3BB960B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1.采用≥200W高清摄像头，具有≥88度超广角镜头，高清≥1080P画质；2.≥8英寸触摸屏，分辨率≥1280*800,采用星光级图像传感器，无需白光补光灯，支持红外自动补光，在暗光或无光环境下人员身份核验效果不受影响,金属边框及玻璃面板；3.采用深度学习算法，支持≥20000人脸库，识别距离至少满足：0.3-4m；4.≥IP65防水设计，适应恶劣环境；5.隐藏式刷卡设计，支持13．56MHz M卡、CPU序列号识别；6.支持外接≥1个RS485读卡器，作为出门读卡器使用。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业务功能参数：审讯管理：支出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含设备安装支架、终端电源及门锁套件。</w:t>
            </w:r>
          </w:p>
        </w:tc>
        <w:tc>
          <w:tcPr>
            <w:tcW w:w="221" w:type="pct"/>
            <w:gridSpan w:val="2"/>
            <w:shd w:val="clear" w:color="auto" w:fill="auto"/>
            <w:noWrap/>
            <w:vAlign w:val="center"/>
          </w:tcPr>
          <w:p w14:paraId="33D542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73AF7C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3F0B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57449E9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7.9</w:t>
            </w:r>
          </w:p>
        </w:tc>
        <w:tc>
          <w:tcPr>
            <w:tcW w:w="346" w:type="pct"/>
            <w:shd w:val="clear" w:color="auto" w:fill="auto"/>
            <w:noWrap/>
            <w:vAlign w:val="center"/>
          </w:tcPr>
          <w:p w14:paraId="7EF27B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一体化审讯台</w:t>
            </w:r>
          </w:p>
        </w:tc>
        <w:tc>
          <w:tcPr>
            <w:tcW w:w="3489" w:type="pct"/>
            <w:shd w:val="clear" w:color="auto" w:fill="auto"/>
            <w:vAlign w:val="center"/>
          </w:tcPr>
          <w:p w14:paraId="62A5B23A">
            <w:pPr>
              <w:widowControl/>
              <w:textAlignment w:val="center"/>
              <w:rPr>
                <w:rFonts w:ascii="宋体" w:hAnsi="宋体" w:cs="宋体"/>
                <w:sz w:val="22"/>
                <w:szCs w:val="22"/>
              </w:rPr>
            </w:pPr>
            <w:r>
              <w:rPr>
                <w:rFonts w:hint="eastAsia" w:ascii="宋体" w:hAnsi="宋体" w:cs="宋体"/>
                <w:sz w:val="22"/>
                <w:szCs w:val="22"/>
              </w:rPr>
              <w:t>1、智能审讯一体桌应集成审讯台、审讯终端、电动升降单元、示证单元、特写摄像机、拾音器、编码器、音箱、交换机、报警按钮、智能触摸中控系统、打印功能为一体，并预留审讯主机、示证展台和电子签名捺印设备安装位置</w:t>
            </w:r>
          </w:p>
          <w:p w14:paraId="5270B289">
            <w:pPr>
              <w:widowControl/>
              <w:textAlignment w:val="center"/>
              <w:rPr>
                <w:rFonts w:ascii="宋体" w:hAnsi="宋体" w:cs="宋体"/>
                <w:sz w:val="22"/>
                <w:szCs w:val="22"/>
              </w:rPr>
            </w:pPr>
            <w:r>
              <w:rPr>
                <w:rFonts w:hint="eastAsia" w:ascii="宋体" w:hAnsi="宋体" w:cs="宋体"/>
                <w:sz w:val="22"/>
                <w:szCs w:val="22"/>
              </w:rPr>
              <w:t>2、电动升降单元：≥21 寸，支持 HDMI 接口，仰角满足 0－15° 可调节角度，分辨率≥1920*1080</w:t>
            </w:r>
          </w:p>
          <w:p w14:paraId="4D158CD2">
            <w:pPr>
              <w:widowControl/>
              <w:textAlignment w:val="center"/>
              <w:rPr>
                <w:rFonts w:ascii="宋体" w:hAnsi="宋体" w:cs="宋体"/>
                <w:sz w:val="22"/>
                <w:szCs w:val="22"/>
              </w:rPr>
            </w:pPr>
            <w:r>
              <w:rPr>
                <w:rFonts w:hint="eastAsia" w:ascii="宋体" w:hAnsi="宋体" w:cs="宋体"/>
                <w:sz w:val="22"/>
                <w:szCs w:val="22"/>
              </w:rPr>
              <w:t>3、示证单元：≥43 寸，分辨率≥1920*1080</w:t>
            </w:r>
          </w:p>
          <w:p w14:paraId="718E31AC">
            <w:pPr>
              <w:widowControl/>
              <w:textAlignment w:val="center"/>
              <w:rPr>
                <w:rFonts w:ascii="宋体" w:hAnsi="宋体" w:cs="宋体"/>
                <w:sz w:val="22"/>
                <w:szCs w:val="22"/>
              </w:rPr>
            </w:pPr>
            <w:r>
              <w:rPr>
                <w:rFonts w:hint="eastAsia" w:ascii="宋体" w:hAnsi="宋体" w:cs="宋体"/>
                <w:sz w:val="22"/>
                <w:szCs w:val="22"/>
              </w:rPr>
              <w:t>4、审讯终端配置≥8 核处理器，≥8G 内存，≥1TB 机械硬盘，</w:t>
            </w:r>
          </w:p>
          <w:p w14:paraId="69CF0F6D">
            <w:pPr>
              <w:widowControl/>
              <w:textAlignment w:val="center"/>
              <w:rPr>
                <w:rFonts w:ascii="宋体" w:hAnsi="宋体" w:cs="宋体"/>
                <w:sz w:val="22"/>
                <w:szCs w:val="22"/>
              </w:rPr>
            </w:pPr>
            <w:r>
              <w:rPr>
                <w:rFonts w:hint="eastAsia" w:ascii="宋体" w:hAnsi="宋体" w:cs="宋体"/>
                <w:sz w:val="22"/>
                <w:szCs w:val="22"/>
              </w:rPr>
              <w:t>≥240GB 固态硬盘</w:t>
            </w:r>
          </w:p>
          <w:p w14:paraId="47B37548">
            <w:pPr>
              <w:widowControl/>
              <w:textAlignment w:val="center"/>
              <w:rPr>
                <w:rFonts w:ascii="宋体" w:hAnsi="宋体" w:cs="宋体"/>
                <w:sz w:val="22"/>
                <w:szCs w:val="22"/>
              </w:rPr>
            </w:pPr>
            <w:r>
              <w:rPr>
                <w:rFonts w:hint="eastAsia" w:ascii="宋体" w:hAnsi="宋体" w:cs="宋体"/>
                <w:sz w:val="22"/>
                <w:szCs w:val="22"/>
              </w:rPr>
              <w:t>5、特写摄像机：≥500 万像素，2.8～12mm 电动变焦，支持变倍聚焦</w:t>
            </w:r>
          </w:p>
          <w:p w14:paraId="216247FF">
            <w:pPr>
              <w:widowControl/>
              <w:textAlignment w:val="center"/>
              <w:rPr>
                <w:rFonts w:ascii="宋体" w:hAnsi="宋体" w:cs="宋体"/>
                <w:sz w:val="22"/>
                <w:szCs w:val="22"/>
              </w:rPr>
            </w:pPr>
            <w:r>
              <w:rPr>
                <w:rFonts w:hint="eastAsia" w:ascii="宋体" w:hAnsi="宋体" w:cs="宋体"/>
                <w:sz w:val="22"/>
                <w:szCs w:val="22"/>
              </w:rPr>
              <w:t>6、特写摄像机角度可调，上下左右可调整角度≥7 度</w:t>
            </w:r>
          </w:p>
          <w:p w14:paraId="57AF2E83">
            <w:pPr>
              <w:widowControl/>
              <w:textAlignment w:val="center"/>
              <w:rPr>
                <w:rFonts w:ascii="宋体" w:hAnsi="宋体" w:cs="宋体"/>
                <w:sz w:val="22"/>
                <w:szCs w:val="22"/>
              </w:rPr>
            </w:pPr>
            <w:r>
              <w:rPr>
                <w:rFonts w:hint="eastAsia" w:ascii="宋体" w:hAnsi="宋体" w:cs="宋体"/>
                <w:sz w:val="22"/>
                <w:szCs w:val="22"/>
              </w:rPr>
              <w:t>7、桌面提供接口：音频 3.5mm 输出≥1 个、≥1 个 USB 接口、</w:t>
            </w:r>
          </w:p>
          <w:p w14:paraId="6D503DAC">
            <w:pPr>
              <w:widowControl/>
              <w:textAlignment w:val="center"/>
              <w:rPr>
                <w:rFonts w:ascii="宋体" w:hAnsi="宋体" w:cs="宋体"/>
                <w:sz w:val="22"/>
                <w:szCs w:val="22"/>
              </w:rPr>
            </w:pPr>
            <w:r>
              <w:rPr>
                <w:rFonts w:hint="eastAsia" w:ascii="宋体" w:hAnsi="宋体" w:cs="宋体"/>
                <w:sz w:val="22"/>
                <w:szCs w:val="22"/>
              </w:rPr>
              <w:t>≥1 个 AC 220V 插口</w:t>
            </w:r>
          </w:p>
          <w:p w14:paraId="40B9BEB4">
            <w:pPr>
              <w:widowControl/>
              <w:textAlignment w:val="center"/>
              <w:rPr>
                <w:rFonts w:ascii="宋体" w:hAnsi="宋体" w:cs="宋体"/>
                <w:sz w:val="22"/>
                <w:szCs w:val="22"/>
              </w:rPr>
            </w:pPr>
            <w:r>
              <w:rPr>
                <w:rFonts w:hint="eastAsia" w:ascii="宋体" w:hAnsi="宋体" w:cs="宋体"/>
                <w:sz w:val="22"/>
                <w:szCs w:val="22"/>
              </w:rPr>
              <w:t>8、应内置高保真拾音器，具备高灵敏度、全向拾音</w:t>
            </w:r>
          </w:p>
          <w:p w14:paraId="7352B26D">
            <w:pPr>
              <w:widowControl/>
              <w:textAlignment w:val="center"/>
              <w:rPr>
                <w:rFonts w:ascii="宋体" w:hAnsi="宋体" w:cs="宋体"/>
                <w:sz w:val="22"/>
                <w:szCs w:val="22"/>
              </w:rPr>
            </w:pPr>
            <w:r>
              <w:rPr>
                <w:rFonts w:hint="eastAsia" w:ascii="宋体" w:hAnsi="宋体" w:cs="宋体"/>
                <w:sz w:val="22"/>
                <w:szCs w:val="22"/>
              </w:rPr>
              <w:t>9、智能审讯模块，应支持一键开关机、示证切换、升降单元升降、开启审讯等功能，方便民警便捷开展审讯工作（提供第三方出具的检测报告）</w:t>
            </w:r>
          </w:p>
          <w:p w14:paraId="19E23DD7">
            <w:pPr>
              <w:widowControl/>
              <w:textAlignment w:val="center"/>
              <w:rPr>
                <w:rFonts w:ascii="宋体" w:hAnsi="宋体" w:cs="宋体"/>
                <w:sz w:val="22"/>
                <w:szCs w:val="22"/>
              </w:rPr>
            </w:pPr>
            <w:r>
              <w:rPr>
                <w:rFonts w:hint="eastAsia" w:ascii="宋体" w:hAnsi="宋体" w:cs="宋体"/>
                <w:sz w:val="22"/>
                <w:szCs w:val="22"/>
              </w:rPr>
              <w:t>10、智能触摸中控系统：≥7 寸，应支持电控开关、智能审讯、大屏影像、生命体征、审讯椅控制等应用模块</w:t>
            </w:r>
          </w:p>
          <w:p w14:paraId="66636C20">
            <w:pPr>
              <w:widowControl/>
              <w:textAlignment w:val="center"/>
              <w:rPr>
                <w:rFonts w:ascii="宋体" w:hAnsi="宋体" w:cs="宋体"/>
                <w:sz w:val="22"/>
                <w:szCs w:val="22"/>
              </w:rPr>
            </w:pPr>
            <w:r>
              <w:rPr>
                <w:rFonts w:hint="eastAsia" w:ascii="宋体" w:hAnsi="宋体" w:cs="宋体"/>
                <w:sz w:val="22"/>
                <w:szCs w:val="22"/>
              </w:rPr>
              <w:t>11、电控开关模块，支持控制设备通断电</w:t>
            </w:r>
          </w:p>
          <w:p w14:paraId="6755FCA4">
            <w:pPr>
              <w:widowControl/>
              <w:textAlignment w:val="center"/>
              <w:rPr>
                <w:rFonts w:ascii="宋体" w:hAnsi="宋体" w:cs="宋体"/>
                <w:sz w:val="22"/>
                <w:szCs w:val="22"/>
              </w:rPr>
            </w:pPr>
            <w:r>
              <w:rPr>
                <w:rFonts w:hint="eastAsia" w:ascii="宋体" w:hAnsi="宋体" w:cs="宋体"/>
                <w:sz w:val="22"/>
                <w:szCs w:val="22"/>
              </w:rPr>
              <w:t>12、应支持生命体征模块，可以实时查看嫌疑人心率、体温、血压数据，支持体征异常报警（提供第三方出具的检测报告）</w:t>
            </w:r>
          </w:p>
          <w:p w14:paraId="44D8951E">
            <w:pPr>
              <w:widowControl/>
              <w:textAlignment w:val="center"/>
              <w:rPr>
                <w:rFonts w:ascii="宋体" w:hAnsi="宋体" w:cs="宋体"/>
                <w:sz w:val="22"/>
                <w:szCs w:val="22"/>
              </w:rPr>
            </w:pPr>
            <w:r>
              <w:rPr>
                <w:rFonts w:hint="eastAsia" w:ascii="宋体" w:hAnsi="宋体" w:cs="宋体"/>
                <w:sz w:val="22"/>
                <w:szCs w:val="22"/>
              </w:rPr>
              <w:t>13、大屏影像模块，可以实时回显查看示证画面当前内容，便于民警核对</w:t>
            </w:r>
          </w:p>
          <w:p w14:paraId="45FD935F">
            <w:pPr>
              <w:widowControl/>
              <w:textAlignment w:val="center"/>
              <w:rPr>
                <w:rFonts w:ascii="宋体" w:hAnsi="宋体" w:cs="宋体"/>
                <w:sz w:val="22"/>
                <w:szCs w:val="22"/>
              </w:rPr>
            </w:pPr>
            <w:r>
              <w:rPr>
                <w:rFonts w:hint="eastAsia" w:ascii="宋体" w:hAnsi="宋体" w:cs="宋体"/>
                <w:sz w:val="22"/>
                <w:szCs w:val="22"/>
              </w:rPr>
              <w:t>14、打印模块隐蔽式嵌套于桌面下方，支持抽拉，可方便维护， 桌面预留出纸口，纸张可无障碍摊放到桌面</w:t>
            </w:r>
          </w:p>
          <w:p w14:paraId="1A520D08">
            <w:pPr>
              <w:widowControl/>
              <w:textAlignment w:val="center"/>
              <w:rPr>
                <w:rFonts w:ascii="宋体" w:hAnsi="宋体" w:cs="宋体"/>
                <w:sz w:val="22"/>
                <w:szCs w:val="22"/>
              </w:rPr>
            </w:pPr>
            <w:r>
              <w:rPr>
                <w:rFonts w:hint="eastAsia" w:ascii="宋体" w:hAnsi="宋体" w:cs="宋体"/>
                <w:sz w:val="22"/>
                <w:szCs w:val="22"/>
              </w:rPr>
              <w:t>15、支持彩色打印</w:t>
            </w:r>
          </w:p>
          <w:p w14:paraId="7ECDE46F">
            <w:pPr>
              <w:widowControl/>
              <w:textAlignment w:val="center"/>
              <w:rPr>
                <w:rFonts w:ascii="宋体" w:hAnsi="宋体" w:cs="宋体"/>
                <w:sz w:val="22"/>
                <w:szCs w:val="22"/>
              </w:rPr>
            </w:pPr>
            <w:r>
              <w:rPr>
                <w:rFonts w:hint="eastAsia" w:ascii="宋体" w:hAnsi="宋体" w:cs="宋体"/>
                <w:sz w:val="22"/>
                <w:szCs w:val="22"/>
              </w:rPr>
              <w:t>16、支持在CPU为RAM或C86架构、操作系统为国产操作系统的客户端电脑客户端电脑上录像、刻录（提供第三方出具的检测报告）</w:t>
            </w:r>
          </w:p>
          <w:p w14:paraId="45C8F8D8">
            <w:pPr>
              <w:widowControl/>
              <w:textAlignment w:val="center"/>
              <w:rPr>
                <w:rFonts w:ascii="宋体" w:hAnsi="宋体" w:cs="宋体"/>
                <w:color w:val="000000" w:themeColor="text1"/>
                <w:sz w:val="22"/>
                <w:szCs w:val="22"/>
              </w:rPr>
            </w:pPr>
            <w:r>
              <w:rPr>
                <w:rFonts w:hint="eastAsia" w:ascii="宋体" w:hAnsi="宋体" w:cs="宋体"/>
                <w:sz w:val="22"/>
                <w:szCs w:val="22"/>
              </w:rPr>
              <w:t>17、支持按下桌面手动报警按钮触发应急报警</w:t>
            </w:r>
          </w:p>
        </w:tc>
        <w:tc>
          <w:tcPr>
            <w:tcW w:w="221" w:type="pct"/>
            <w:gridSpan w:val="2"/>
            <w:shd w:val="clear" w:color="auto" w:fill="auto"/>
            <w:noWrap/>
            <w:vAlign w:val="center"/>
          </w:tcPr>
          <w:p w14:paraId="6F2697A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7E9BD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EE08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30CAC2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7.10 </w:t>
            </w:r>
          </w:p>
        </w:tc>
        <w:tc>
          <w:tcPr>
            <w:tcW w:w="346" w:type="pct"/>
            <w:shd w:val="clear" w:color="auto" w:fill="auto"/>
            <w:noWrap/>
            <w:vAlign w:val="center"/>
          </w:tcPr>
          <w:p w14:paraId="065229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65EA43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3A4215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923B4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A8B4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7BBFD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7.11</w:t>
            </w:r>
          </w:p>
        </w:tc>
        <w:tc>
          <w:tcPr>
            <w:tcW w:w="346" w:type="pct"/>
            <w:shd w:val="clear" w:color="auto" w:fill="auto"/>
            <w:noWrap/>
            <w:vAlign w:val="center"/>
          </w:tcPr>
          <w:p w14:paraId="056B47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有线耳机</w:t>
            </w:r>
          </w:p>
        </w:tc>
        <w:tc>
          <w:tcPr>
            <w:tcW w:w="3489" w:type="pct"/>
            <w:shd w:val="clear" w:color="auto" w:fill="auto"/>
            <w:vAlign w:val="center"/>
          </w:tcPr>
          <w:p w14:paraId="6ECE7C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佩戴方式入耳式耳机；麦克风频响范围20-20000Hz麦克风有；接口类型3.5mm外接AUX接口纠错；产品尺寸≥80x80x31mm；产品颜色黑色，白色</w:t>
            </w:r>
          </w:p>
        </w:tc>
        <w:tc>
          <w:tcPr>
            <w:tcW w:w="221" w:type="pct"/>
            <w:gridSpan w:val="2"/>
            <w:shd w:val="clear" w:color="auto" w:fill="auto"/>
            <w:noWrap/>
            <w:vAlign w:val="center"/>
          </w:tcPr>
          <w:p w14:paraId="0ECE60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900C9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0259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27" w:hRule="atLeast"/>
        </w:trPr>
        <w:tc>
          <w:tcPr>
            <w:tcW w:w="508" w:type="pct"/>
            <w:shd w:val="clear" w:color="auto" w:fill="auto"/>
            <w:noWrap/>
            <w:vAlign w:val="center"/>
          </w:tcPr>
          <w:p w14:paraId="54B7D7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7.12 </w:t>
            </w:r>
          </w:p>
        </w:tc>
        <w:tc>
          <w:tcPr>
            <w:tcW w:w="346" w:type="pct"/>
            <w:shd w:val="clear" w:color="auto" w:fill="auto"/>
            <w:noWrap/>
            <w:vAlign w:val="center"/>
          </w:tcPr>
          <w:p w14:paraId="0C51543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329EC4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5BDE36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77F581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469A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687719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7.13</w:t>
            </w:r>
          </w:p>
        </w:tc>
        <w:tc>
          <w:tcPr>
            <w:tcW w:w="346" w:type="pct"/>
            <w:shd w:val="clear" w:color="auto" w:fill="auto"/>
            <w:noWrap/>
            <w:vAlign w:val="center"/>
          </w:tcPr>
          <w:p w14:paraId="710A319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审讯专用坐具</w:t>
            </w:r>
          </w:p>
        </w:tc>
        <w:tc>
          <w:tcPr>
            <w:tcW w:w="3489" w:type="pct"/>
            <w:shd w:val="clear" w:color="auto" w:fill="auto"/>
            <w:vAlign w:val="center"/>
          </w:tcPr>
          <w:p w14:paraId="3C08DF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审讯椅桌面上方装有手*铐，方便约束其手腕，下部为脚环装置。腰部有安全杠，防止头部前倾。审讯椅选用国标201优质不锈钢材料，包括靠背、座面、椅腿、扶手。采用优质铁管制作而成，结实耐用，桌面、靠背、坐垫处采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西皮软包，桌面也是钢板制成，无棱角更安全，手部采用优质的U型锁，脚部为弹簧设计的锁扣，安全可靠，方便。可固定与地面上，安全带设计更为人性化。座位处及锁手处面板为加厚钢板，锁具为钥匙型，钥匙通用（特制），椅子后部有弹簧开关，掰动开关脚部锁具自动打开，使用中无需配备其它任何锁具，靠背有胸带，尺寸750x875x950mm，误差±5%。</w:t>
            </w:r>
          </w:p>
        </w:tc>
        <w:tc>
          <w:tcPr>
            <w:tcW w:w="221" w:type="pct"/>
            <w:gridSpan w:val="2"/>
            <w:shd w:val="clear" w:color="auto" w:fill="auto"/>
            <w:noWrap/>
            <w:vAlign w:val="center"/>
          </w:tcPr>
          <w:p w14:paraId="5E7127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0DD09F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D052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58508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7.14 </w:t>
            </w:r>
          </w:p>
        </w:tc>
        <w:tc>
          <w:tcPr>
            <w:tcW w:w="346" w:type="pct"/>
            <w:shd w:val="clear" w:color="auto" w:fill="auto"/>
            <w:noWrap/>
            <w:vAlign w:val="center"/>
          </w:tcPr>
          <w:p w14:paraId="6AB476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LED状态显示屏</w:t>
            </w:r>
          </w:p>
        </w:tc>
        <w:tc>
          <w:tcPr>
            <w:tcW w:w="3489" w:type="pct"/>
            <w:shd w:val="clear" w:color="auto" w:fill="auto"/>
            <w:vAlign w:val="center"/>
          </w:tcPr>
          <w:p w14:paraId="1BDBA8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1.类型：室内双色显示屏；2.LED封装：国产；3.像素间距：≤4.75mm；4.像素密度：≥44000点/㎡；5.亮度：≥500cd/㎡；6.视角：≥120°。</w:t>
            </w:r>
          </w:p>
        </w:tc>
        <w:tc>
          <w:tcPr>
            <w:tcW w:w="221" w:type="pct"/>
            <w:gridSpan w:val="2"/>
            <w:shd w:val="clear" w:color="auto" w:fill="auto"/>
            <w:noWrap/>
            <w:vAlign w:val="center"/>
          </w:tcPr>
          <w:p w14:paraId="062108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74F11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52BC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033EB3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7.15 </w:t>
            </w:r>
          </w:p>
        </w:tc>
        <w:tc>
          <w:tcPr>
            <w:tcW w:w="346" w:type="pct"/>
            <w:shd w:val="clear" w:color="auto" w:fill="auto"/>
            <w:noWrap/>
            <w:vAlign w:val="center"/>
          </w:tcPr>
          <w:p w14:paraId="1CD1B5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监护人看护椅</w:t>
            </w:r>
          </w:p>
        </w:tc>
        <w:tc>
          <w:tcPr>
            <w:tcW w:w="3489" w:type="pct"/>
            <w:shd w:val="clear" w:color="auto" w:fill="auto"/>
            <w:vAlign w:val="center"/>
          </w:tcPr>
          <w:p w14:paraId="17C538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71400E2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15782A9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9F29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E3D10EE">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8</w:t>
            </w:r>
          </w:p>
        </w:tc>
        <w:tc>
          <w:tcPr>
            <w:tcW w:w="4486" w:type="pct"/>
            <w:gridSpan w:val="6"/>
            <w:shd w:val="clear" w:color="auto" w:fill="auto"/>
            <w:noWrap/>
            <w:vAlign w:val="center"/>
          </w:tcPr>
          <w:p w14:paraId="4C95ABF2">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看守所提讯室（1间）</w:t>
            </w:r>
          </w:p>
        </w:tc>
      </w:tr>
      <w:tr w14:paraId="09FCD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61" w:hRule="atLeast"/>
        </w:trPr>
        <w:tc>
          <w:tcPr>
            <w:tcW w:w="508" w:type="pct"/>
            <w:shd w:val="clear" w:color="auto" w:fill="auto"/>
            <w:noWrap/>
            <w:vAlign w:val="center"/>
          </w:tcPr>
          <w:p w14:paraId="76CB37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8.1</w:t>
            </w:r>
          </w:p>
        </w:tc>
        <w:tc>
          <w:tcPr>
            <w:tcW w:w="346" w:type="pct"/>
            <w:shd w:val="clear" w:color="auto" w:fill="auto"/>
            <w:noWrap/>
            <w:vAlign w:val="center"/>
          </w:tcPr>
          <w:p w14:paraId="16913B7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4E0760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7BBC58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D6F9B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E0FA8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4B1291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8.2</w:t>
            </w:r>
          </w:p>
        </w:tc>
        <w:tc>
          <w:tcPr>
            <w:tcW w:w="346" w:type="pct"/>
            <w:shd w:val="clear" w:color="auto" w:fill="auto"/>
            <w:noWrap/>
            <w:vAlign w:val="center"/>
          </w:tcPr>
          <w:p w14:paraId="76BD33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5FBA66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 ；</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03B228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6F15A7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76070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3B26C9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8.3</w:t>
            </w:r>
          </w:p>
        </w:tc>
        <w:tc>
          <w:tcPr>
            <w:tcW w:w="346" w:type="pct"/>
            <w:shd w:val="clear" w:color="auto" w:fill="auto"/>
            <w:noWrap/>
            <w:vAlign w:val="center"/>
          </w:tcPr>
          <w:p w14:paraId="137D20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284E6F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1687B42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F8A1D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EE20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21F74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8.4</w:t>
            </w:r>
          </w:p>
        </w:tc>
        <w:tc>
          <w:tcPr>
            <w:tcW w:w="346" w:type="pct"/>
            <w:shd w:val="clear" w:color="auto" w:fill="auto"/>
            <w:noWrap/>
            <w:vAlign w:val="center"/>
          </w:tcPr>
          <w:p w14:paraId="3C46E5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提讯摄像机</w:t>
            </w:r>
          </w:p>
        </w:tc>
        <w:tc>
          <w:tcPr>
            <w:tcW w:w="3489" w:type="pct"/>
            <w:shd w:val="clear" w:color="auto" w:fill="auto"/>
            <w:vAlign w:val="center"/>
          </w:tcPr>
          <w:p w14:paraId="091202F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1.采用≥1/2.8英寸，≥200万像素CMOS传感器，可实现≥1920x1080高分辨率的优质图像；2.设备支持双mic拾音；3.光学变焦可达≥12倍，支持≥16倍数字变焦；4.至少满足超高帧率1080P下输出帧率可达60 fps。5.丰富完善的接口，支持HDMI高清输出，有效传输距离最高≥150米；6.支持远程控制，采用RS 232和RS 485串口，可对摄像机进行控制。</w:t>
            </w:r>
          </w:p>
        </w:tc>
        <w:tc>
          <w:tcPr>
            <w:tcW w:w="221" w:type="pct"/>
            <w:gridSpan w:val="2"/>
            <w:shd w:val="clear" w:color="auto" w:fill="auto"/>
            <w:noWrap/>
            <w:vAlign w:val="center"/>
          </w:tcPr>
          <w:p w14:paraId="1BFFD8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981EAA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FE41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D18A2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8.5</w:t>
            </w:r>
          </w:p>
        </w:tc>
        <w:tc>
          <w:tcPr>
            <w:tcW w:w="346" w:type="pct"/>
            <w:shd w:val="clear" w:color="auto" w:fill="auto"/>
            <w:noWrap/>
            <w:vAlign w:val="center"/>
          </w:tcPr>
          <w:p w14:paraId="452FAF6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全向麦克风</w:t>
            </w:r>
          </w:p>
        </w:tc>
        <w:tc>
          <w:tcPr>
            <w:tcW w:w="3489" w:type="pct"/>
            <w:shd w:val="clear" w:color="auto" w:fill="auto"/>
            <w:vAlign w:val="center"/>
          </w:tcPr>
          <w:p w14:paraId="7BB0B3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采样频率：300 Hz~16 KHz；麦克风类型：≥6个内置麦克风，MEMS；信噪比：≥ 86 dBV (@1 KHz)；采样率：≥48KHz；3A算法：支持；音频输入接口至少满足：1 x 3.5mm LINE IN × 1，RJ45 × 1；网络接口至少满足：百兆，IEEE 802.3at PoEUSB接口至少满足：USB2.0 x 1</w:t>
            </w:r>
          </w:p>
        </w:tc>
        <w:tc>
          <w:tcPr>
            <w:tcW w:w="221" w:type="pct"/>
            <w:gridSpan w:val="2"/>
            <w:shd w:val="clear" w:color="auto" w:fill="auto"/>
            <w:noWrap/>
            <w:vAlign w:val="center"/>
          </w:tcPr>
          <w:p w14:paraId="222B223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只</w:t>
            </w:r>
          </w:p>
        </w:tc>
        <w:tc>
          <w:tcPr>
            <w:tcW w:w="428" w:type="pct"/>
            <w:gridSpan w:val="2"/>
            <w:shd w:val="clear" w:color="auto" w:fill="auto"/>
            <w:noWrap/>
            <w:vAlign w:val="center"/>
          </w:tcPr>
          <w:p w14:paraId="2FA02A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1862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34B4947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8.6</w:t>
            </w:r>
          </w:p>
        </w:tc>
        <w:tc>
          <w:tcPr>
            <w:tcW w:w="346" w:type="pct"/>
            <w:shd w:val="clear" w:color="auto" w:fill="auto"/>
            <w:noWrap/>
            <w:vAlign w:val="center"/>
          </w:tcPr>
          <w:p w14:paraId="5A80B1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远程提讯终端</w:t>
            </w:r>
          </w:p>
        </w:tc>
        <w:tc>
          <w:tcPr>
            <w:tcW w:w="3489" w:type="pct"/>
            <w:shd w:val="clear" w:color="auto" w:fill="auto"/>
            <w:vAlign w:val="center"/>
          </w:tcPr>
          <w:p w14:paraId="32EF4F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视频输入支持，≥1个HDMI音视频输入接口，≥1个DVI-I视音频输入接口，≥1个3G-SDI视频输入接口，输出：≥1个HDMI视音频输出接口，≥1个DVI-I视音频输出接口/1个3G-SDI视频输出接口;2.支持H.323、SIP等通讯协议的设置,支持呼叫码率128kbps-8Mbps可设置;3.支持呼叫码率128kbps-8Mbps可设置,具备≥4K分辨率图像的解码输出能力；4.支持在会议中，自动识别辅码流视频并 显示在会议画面中；支持在空闲时，自动识别辅码流视频并 显示在本地显示器上，无需切换显示器视频源；</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5.同步能力应满足要求在开会时，与原始现场的声音相比，视频会议中声音相对图 像不存在明显滞后或超前；6.在开会时，打开语音激励功能后，支持 将声音最大的会场自动显示在大画面中；7.支持将会议画面作为RTSP监控码流发 送给其他监控系统，会议和监控系统同时使 用该画面；支持同网段的高清监控摄像机通过IP 网络将监控图像发送给设备，支持在会议过 程中调看实时监控画面；8.支持温湿度屏接入，画 面可叠加温湿度OSD信息，OSD信息位置可调；支持画面背景图片叠加功能，支持上传不少于10张1080P格式的图。</w:t>
            </w:r>
          </w:p>
        </w:tc>
        <w:tc>
          <w:tcPr>
            <w:tcW w:w="221" w:type="pct"/>
            <w:gridSpan w:val="2"/>
            <w:shd w:val="clear" w:color="auto" w:fill="auto"/>
            <w:noWrap/>
            <w:vAlign w:val="center"/>
          </w:tcPr>
          <w:p w14:paraId="74FBC5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EC8A0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67CD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1ECFE89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8.7</w:t>
            </w:r>
          </w:p>
        </w:tc>
        <w:tc>
          <w:tcPr>
            <w:tcW w:w="346" w:type="pct"/>
            <w:shd w:val="clear" w:color="auto" w:fill="auto"/>
            <w:noWrap/>
            <w:vAlign w:val="center"/>
          </w:tcPr>
          <w:p w14:paraId="39845E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显示屏</w:t>
            </w:r>
          </w:p>
        </w:tc>
        <w:tc>
          <w:tcPr>
            <w:tcW w:w="3489" w:type="pct"/>
            <w:shd w:val="clear" w:color="auto" w:fill="auto"/>
            <w:vAlign w:val="center"/>
          </w:tcPr>
          <w:p w14:paraId="325E576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特性：4K高清显示屏，支持≥3840*2160@60Hz超高清显示；采用金属外壳，防辐射、防磁场、防强电场干扰；支持通过串口连接中控设备，进行远程集中控制；实时监控设备温度，高温报警；内置喇叭及功放，支持3.5 mm音频输入；支持U盘点播，含文本、图片、音频、视频等多种格式多媒体播放</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技术规格：显示尺寸：≥55 inch；物理分辨率：≥3840 × 2160；背光源类型：D-LED；亮度：≥450 cd/㎡；可视角：≥178° (H)/178° (V)；色深度：≥10 bit, (8 bit + FRC)；对比度：≥5000 : 1；响应时间：≤6 ms；刷新率：≥60 Hz；连续使用时间：7 × 24H；色域：≥72 % NTSC；音视频输入接口至少满足：HDMI2.0 × 1,VGA × 1, DP1.2 × 1, Audio In(3.5mm)×1；音视频输出接口至少满足：Audio Out(3.5mm)× 1, Speaker (8 Ω 5 W) × 2；数据传输接口至少满足：USB 2.0 (支持程序升级和USB播放) × 1；控制接口至少满足：RS232 IN × 1, RS232 OUT × 1；电源：100~240 VAC, 50/60 Hz；功耗：≤ 190 W；待机功耗：≤ 0.5 W；工作温度至少满足：0 ℃ ~ 40 ℃；工作湿度至少满足：10% ~ 80% RH(无冷凝)；存储温度至少满足：-20 ℃ ~ 60 ℃；存储湿度至少满足：10% ~ 90% RH(无冷凝)。</w:t>
            </w:r>
          </w:p>
        </w:tc>
        <w:tc>
          <w:tcPr>
            <w:tcW w:w="221" w:type="pct"/>
            <w:gridSpan w:val="2"/>
            <w:shd w:val="clear" w:color="auto" w:fill="auto"/>
            <w:noWrap/>
            <w:vAlign w:val="center"/>
          </w:tcPr>
          <w:p w14:paraId="59BE1C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BA30A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21A29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239" w:hRule="atLeast"/>
        </w:trPr>
        <w:tc>
          <w:tcPr>
            <w:tcW w:w="508" w:type="pct"/>
            <w:shd w:val="clear" w:color="auto" w:fill="auto"/>
            <w:noWrap/>
            <w:vAlign w:val="center"/>
          </w:tcPr>
          <w:p w14:paraId="14FAE0E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8.8</w:t>
            </w:r>
          </w:p>
        </w:tc>
        <w:tc>
          <w:tcPr>
            <w:tcW w:w="346" w:type="pct"/>
            <w:shd w:val="clear" w:color="auto" w:fill="auto"/>
            <w:noWrap/>
            <w:vAlign w:val="center"/>
          </w:tcPr>
          <w:p w14:paraId="2FBCDE79">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12E06D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5086CB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5E5497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A337E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0747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B1C8F33">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9</w:t>
            </w:r>
          </w:p>
        </w:tc>
        <w:tc>
          <w:tcPr>
            <w:tcW w:w="4486" w:type="pct"/>
            <w:gridSpan w:val="6"/>
            <w:shd w:val="clear" w:color="auto" w:fill="auto"/>
            <w:noWrap/>
            <w:vAlign w:val="center"/>
          </w:tcPr>
          <w:p w14:paraId="48AD055A">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特殊询问室（1间）</w:t>
            </w:r>
          </w:p>
        </w:tc>
      </w:tr>
      <w:tr w14:paraId="6D3F7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2378C4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w:t>
            </w:r>
          </w:p>
        </w:tc>
        <w:tc>
          <w:tcPr>
            <w:tcW w:w="346" w:type="pct"/>
            <w:shd w:val="clear" w:color="auto" w:fill="auto"/>
            <w:noWrap/>
            <w:vAlign w:val="center"/>
          </w:tcPr>
          <w:p w14:paraId="6B7F41E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21A2D2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67CE2E7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CD6303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A448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4CA2520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9.2</w:t>
            </w:r>
          </w:p>
        </w:tc>
        <w:tc>
          <w:tcPr>
            <w:tcW w:w="346" w:type="pct"/>
            <w:shd w:val="clear" w:color="auto" w:fill="auto"/>
            <w:noWrap/>
            <w:vAlign w:val="center"/>
          </w:tcPr>
          <w:p w14:paraId="65B884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455D171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406E7C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04CC5E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790F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970" w:hRule="atLeast"/>
        </w:trPr>
        <w:tc>
          <w:tcPr>
            <w:tcW w:w="508" w:type="pct"/>
            <w:shd w:val="clear" w:color="auto" w:fill="auto"/>
            <w:noWrap/>
            <w:vAlign w:val="center"/>
          </w:tcPr>
          <w:p w14:paraId="551D11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9.3</w:t>
            </w:r>
          </w:p>
        </w:tc>
        <w:tc>
          <w:tcPr>
            <w:tcW w:w="346" w:type="pct"/>
            <w:shd w:val="clear" w:color="auto" w:fill="auto"/>
            <w:noWrap/>
            <w:vAlign w:val="center"/>
          </w:tcPr>
          <w:p w14:paraId="71BD13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空间定位摄像机</w:t>
            </w:r>
          </w:p>
        </w:tc>
        <w:tc>
          <w:tcPr>
            <w:tcW w:w="3489" w:type="pct"/>
            <w:shd w:val="clear" w:color="auto" w:fill="auto"/>
            <w:vAlign w:val="center"/>
          </w:tcPr>
          <w:p w14:paraId="66FDBF1C">
            <w:pPr>
              <w:widowControl/>
              <w:textAlignment w:val="center"/>
              <w:rPr>
                <w:rFonts w:ascii="宋体" w:hAnsi="宋体" w:cs="宋体"/>
                <w:sz w:val="22"/>
                <w:szCs w:val="22"/>
              </w:rPr>
            </w:pPr>
            <w:r>
              <w:rPr>
                <w:rFonts w:hint="eastAsia" w:ascii="宋体" w:hAnsi="宋体" w:cs="宋体"/>
                <w:sz w:val="22"/>
                <w:szCs w:val="22"/>
              </w:rPr>
              <w:t>1、≥600 万像素传感器，2.8~12mm 电动变焦</w:t>
            </w:r>
          </w:p>
          <w:p w14:paraId="52D02B8B">
            <w:pPr>
              <w:widowControl/>
              <w:textAlignment w:val="center"/>
              <w:rPr>
                <w:rFonts w:ascii="宋体" w:hAnsi="宋体" w:cs="宋体"/>
                <w:sz w:val="22"/>
                <w:szCs w:val="22"/>
              </w:rPr>
            </w:pPr>
            <w:r>
              <w:rPr>
                <w:rFonts w:hint="eastAsia" w:ascii="宋体" w:hAnsi="宋体" w:cs="宋体"/>
                <w:sz w:val="22"/>
                <w:szCs w:val="22"/>
              </w:rPr>
              <w:t>2、需支持人脸抓拍，单画面同时检测人脸数≥30 张，单画面同时抓拍人脸数≥15 张</w:t>
            </w:r>
          </w:p>
          <w:p w14:paraId="22685307">
            <w:pPr>
              <w:widowControl/>
              <w:textAlignment w:val="center"/>
              <w:rPr>
                <w:rFonts w:ascii="宋体" w:hAnsi="宋体" w:cs="宋体"/>
                <w:sz w:val="22"/>
                <w:szCs w:val="22"/>
              </w:rPr>
            </w:pPr>
            <w:r>
              <w:rPr>
                <w:rFonts w:hint="eastAsia" w:ascii="宋体" w:hAnsi="宋体" w:cs="宋体"/>
                <w:sz w:val="22"/>
                <w:szCs w:val="22"/>
              </w:rPr>
              <w:t>3、需支持红外灯，红外补光距离≥30 米</w:t>
            </w:r>
          </w:p>
          <w:p w14:paraId="6672468D">
            <w:pPr>
              <w:widowControl/>
              <w:textAlignment w:val="center"/>
              <w:rPr>
                <w:rFonts w:ascii="宋体" w:hAnsi="宋体" w:cs="宋体"/>
                <w:sz w:val="22"/>
                <w:szCs w:val="22"/>
              </w:rPr>
            </w:pPr>
            <w:r>
              <w:rPr>
                <w:rFonts w:hint="eastAsia" w:ascii="宋体" w:hAnsi="宋体" w:cs="宋体"/>
                <w:sz w:val="22"/>
                <w:szCs w:val="22"/>
              </w:rPr>
              <w:t>4、需支持对经过设定区域内的行人进行人体检测并抓拍，可抓拍人体正面、背面、侧面人体图片并上传至平台（提供第三方出具的检测报告）</w:t>
            </w:r>
          </w:p>
          <w:p w14:paraId="60EE2BC5">
            <w:pPr>
              <w:widowControl/>
              <w:textAlignment w:val="center"/>
              <w:rPr>
                <w:rFonts w:ascii="宋体" w:hAnsi="宋体" w:cs="宋体"/>
                <w:sz w:val="22"/>
                <w:szCs w:val="22"/>
              </w:rPr>
            </w:pPr>
            <w:r>
              <w:rPr>
                <w:rFonts w:hint="eastAsia" w:ascii="宋体" w:hAnsi="宋体" w:cs="宋体"/>
                <w:sz w:val="22"/>
                <w:szCs w:val="22"/>
              </w:rPr>
              <w:t>5、需支持人脸识别准确率≥95%</w:t>
            </w:r>
          </w:p>
          <w:p w14:paraId="1AD54E57">
            <w:pPr>
              <w:widowControl/>
              <w:textAlignment w:val="center"/>
              <w:rPr>
                <w:rFonts w:ascii="宋体" w:hAnsi="宋体" w:cs="宋体"/>
                <w:sz w:val="22"/>
                <w:szCs w:val="22"/>
              </w:rPr>
            </w:pPr>
            <w:r>
              <w:rPr>
                <w:rFonts w:hint="eastAsia" w:ascii="宋体" w:hAnsi="宋体" w:cs="宋体"/>
                <w:sz w:val="22"/>
                <w:szCs w:val="22"/>
              </w:rPr>
              <w:t>6、需支持同时检测≥50 个行人并同时显示行进轨迹，并实时输出行人的坐标信息和时间戳（提供第三方出具的检测报告）</w:t>
            </w:r>
          </w:p>
          <w:p w14:paraId="38C08651">
            <w:pPr>
              <w:widowControl/>
              <w:textAlignment w:val="center"/>
              <w:rPr>
                <w:rFonts w:ascii="宋体" w:hAnsi="宋体" w:cs="宋体"/>
                <w:sz w:val="22"/>
                <w:szCs w:val="22"/>
              </w:rPr>
            </w:pPr>
            <w:r>
              <w:rPr>
                <w:rFonts w:hint="eastAsia" w:ascii="宋体" w:hAnsi="宋体" w:cs="宋体"/>
                <w:sz w:val="22"/>
                <w:szCs w:val="22"/>
              </w:rPr>
              <w:t>7、配合无感轨迹定位设备，需支持以某一物理位置为坐标原点， 分别标定镜头并建立坐标系；</w:t>
            </w:r>
          </w:p>
          <w:p w14:paraId="77C0E224">
            <w:pPr>
              <w:widowControl/>
              <w:textAlignment w:val="center"/>
              <w:rPr>
                <w:rFonts w:ascii="宋体" w:hAnsi="宋体" w:cs="宋体"/>
                <w:sz w:val="22"/>
                <w:szCs w:val="22"/>
              </w:rPr>
            </w:pPr>
            <w:r>
              <w:rPr>
                <w:rFonts w:hint="eastAsia" w:ascii="宋体" w:hAnsi="宋体" w:cs="宋体"/>
                <w:sz w:val="22"/>
                <w:szCs w:val="22"/>
              </w:rPr>
              <w:t>8、需支持智能行为分析功能，支持奔跑、徘徊、人群聚集、人</w:t>
            </w:r>
          </w:p>
          <w:p w14:paraId="0533285B">
            <w:pPr>
              <w:widowControl/>
              <w:textAlignment w:val="center"/>
              <w:rPr>
                <w:rFonts w:ascii="宋体" w:hAnsi="宋体" w:cs="宋体"/>
                <w:color w:val="000000" w:themeColor="text1"/>
                <w:sz w:val="22"/>
                <w:szCs w:val="22"/>
              </w:rPr>
            </w:pPr>
            <w:r>
              <w:rPr>
                <w:rFonts w:hint="eastAsia" w:ascii="宋体" w:hAnsi="宋体" w:cs="宋体"/>
                <w:sz w:val="22"/>
                <w:szCs w:val="22"/>
              </w:rPr>
              <w:t>数统计、攀高、值岗检测等（提供第三方出具的检测报告）</w:t>
            </w:r>
          </w:p>
        </w:tc>
        <w:tc>
          <w:tcPr>
            <w:tcW w:w="221" w:type="pct"/>
            <w:gridSpan w:val="2"/>
            <w:shd w:val="clear" w:color="auto" w:fill="auto"/>
            <w:noWrap/>
            <w:vAlign w:val="center"/>
          </w:tcPr>
          <w:p w14:paraId="79EA2D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A34DE0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5AF6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204" w:hRule="atLeast"/>
        </w:trPr>
        <w:tc>
          <w:tcPr>
            <w:tcW w:w="508" w:type="pct"/>
            <w:shd w:val="clear" w:color="auto" w:fill="auto"/>
            <w:noWrap/>
            <w:vAlign w:val="center"/>
          </w:tcPr>
          <w:p w14:paraId="5EEF9CF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9.4</w:t>
            </w:r>
          </w:p>
        </w:tc>
        <w:tc>
          <w:tcPr>
            <w:tcW w:w="346" w:type="pct"/>
            <w:shd w:val="clear" w:color="auto" w:fill="auto"/>
            <w:noWrap/>
            <w:vAlign w:val="center"/>
          </w:tcPr>
          <w:p w14:paraId="4D6853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签字摄像机</w:t>
            </w:r>
          </w:p>
        </w:tc>
        <w:tc>
          <w:tcPr>
            <w:tcW w:w="3489" w:type="pct"/>
            <w:shd w:val="clear" w:color="auto" w:fill="auto"/>
            <w:vAlign w:val="center"/>
          </w:tcPr>
          <w:p w14:paraId="4F3BFF1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视频分辨率和帧率≥2560×1440、25帧/秒，最低照度彩色≤0.005lx，宽动态能力综合评价得分≥140，视频压缩标准需支持H.265，内置电动变焦镜头，电动变焦范围不小于3-12mm；2.支持记录系统操作、配置操作、数据操作、事件操作、异常状态、用户管理、清空日志等不低于八种类型的日志信息。可按照主类型、次类型、开始时间、结束时间搜索日志，主类型有全部类型、报警、异常、操作、信息等不少于五种类型；次类型可在主类型限定范围内按功能细分搜索的日志范围；3.字符叠加(OSD)功能支持在视频图像上叠加≥28行字符，字符可选择项至少包括通道名称、时间、日期等，字体、颜色、位置、闪烁、滚动效果可设置；4.具备区域入侵、越界入侵、进入区域、离开区域、人员聚集、快速移动、徘徊、物品移除、物品遗留、停车智能分析功能，当以上智能分析行为达到设定的阈值时，可通过客户端软件或浏览器给出报警提示；5.支持PoE供电，≥1个DC12V电源输出接口，具有≥1个存储卡插槽，具有麦克风、音频输入输出、报警输入输出接口，内置红外补光灯，补光距离≥30米，防护等级不低于IP66。</w:t>
            </w:r>
          </w:p>
        </w:tc>
        <w:tc>
          <w:tcPr>
            <w:tcW w:w="221" w:type="pct"/>
            <w:gridSpan w:val="2"/>
            <w:shd w:val="clear" w:color="auto" w:fill="auto"/>
            <w:noWrap/>
            <w:vAlign w:val="center"/>
          </w:tcPr>
          <w:p w14:paraId="33B87A3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A3DB3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FFAD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4DA4F9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9.5</w:t>
            </w:r>
          </w:p>
        </w:tc>
        <w:tc>
          <w:tcPr>
            <w:tcW w:w="346" w:type="pct"/>
            <w:shd w:val="clear" w:color="auto" w:fill="auto"/>
            <w:noWrap/>
            <w:vAlign w:val="center"/>
          </w:tcPr>
          <w:p w14:paraId="1FC5B1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温湿度显示屏</w:t>
            </w:r>
          </w:p>
        </w:tc>
        <w:tc>
          <w:tcPr>
            <w:tcW w:w="3489" w:type="pct"/>
            <w:shd w:val="clear" w:color="auto" w:fill="auto"/>
            <w:vAlign w:val="center"/>
          </w:tcPr>
          <w:p w14:paraId="7F0CD7D4">
            <w:pPr>
              <w:widowControl/>
              <w:textAlignment w:val="center"/>
              <w:rPr>
                <w:rFonts w:ascii="宋体" w:hAnsi="宋体" w:cs="宋体"/>
                <w:sz w:val="22"/>
                <w:szCs w:val="22"/>
              </w:rPr>
            </w:pPr>
            <w:r>
              <w:rPr>
                <w:rFonts w:hint="eastAsia" w:ascii="宋体" w:hAnsi="宋体" w:cs="宋体"/>
                <w:sz w:val="22"/>
                <w:szCs w:val="22"/>
              </w:rPr>
              <w:t>1、温湿度屏与超广角全景摄像机一体化设计，集时间、温湿度采集显示与全景画面采集功能于一体</w:t>
            </w:r>
          </w:p>
          <w:p w14:paraId="0D93593B">
            <w:pPr>
              <w:widowControl/>
              <w:textAlignment w:val="center"/>
              <w:rPr>
                <w:rFonts w:ascii="宋体" w:hAnsi="宋体" w:cs="宋体"/>
                <w:sz w:val="22"/>
                <w:szCs w:val="22"/>
              </w:rPr>
            </w:pPr>
            <w:r>
              <w:rPr>
                <w:rFonts w:hint="eastAsia" w:ascii="宋体" w:hAnsi="宋体" w:cs="宋体"/>
                <w:sz w:val="22"/>
                <w:szCs w:val="22"/>
              </w:rPr>
              <w:t>2、静态数字显示，适于同步录音录像</w:t>
            </w:r>
          </w:p>
          <w:p w14:paraId="7B5AEB03">
            <w:pPr>
              <w:widowControl/>
              <w:textAlignment w:val="center"/>
              <w:rPr>
                <w:rFonts w:ascii="宋体" w:hAnsi="宋体" w:cs="宋体"/>
                <w:sz w:val="22"/>
                <w:szCs w:val="22"/>
              </w:rPr>
            </w:pPr>
            <w:r>
              <w:rPr>
                <w:rFonts w:hint="eastAsia" w:ascii="宋体" w:hAnsi="宋体" w:cs="宋体"/>
                <w:sz w:val="22"/>
                <w:szCs w:val="22"/>
              </w:rPr>
              <w:t>3、≤2.1mm超广角定焦镜头，支持ICR双滤切换</w:t>
            </w:r>
          </w:p>
          <w:p w14:paraId="79E88B87">
            <w:pPr>
              <w:widowControl/>
              <w:textAlignment w:val="center"/>
              <w:rPr>
                <w:rFonts w:ascii="宋体" w:hAnsi="宋体" w:cs="宋体"/>
                <w:sz w:val="22"/>
                <w:szCs w:val="22"/>
              </w:rPr>
            </w:pPr>
            <w:r>
              <w:rPr>
                <w:rFonts w:hint="eastAsia" w:ascii="宋体" w:hAnsi="宋体" w:cs="宋体"/>
                <w:sz w:val="22"/>
                <w:szCs w:val="22"/>
              </w:rPr>
              <w:t>4、摄像机分辨率≥2592×1944</w:t>
            </w:r>
          </w:p>
          <w:p w14:paraId="6FE6A2D5">
            <w:pPr>
              <w:widowControl/>
              <w:textAlignment w:val="center"/>
              <w:rPr>
                <w:rFonts w:ascii="宋体" w:hAnsi="宋体" w:cs="宋体"/>
                <w:sz w:val="22"/>
                <w:szCs w:val="22"/>
              </w:rPr>
            </w:pPr>
            <w:r>
              <w:rPr>
                <w:rFonts w:hint="eastAsia" w:ascii="宋体" w:hAnsi="宋体" w:cs="宋体"/>
                <w:sz w:val="22"/>
                <w:szCs w:val="22"/>
              </w:rPr>
              <w:t>5、内置MIC和扬声器，具有≥1个RJ45接口、1路音频输入接口、1路音频输出接口、2路报警输入接口、1路报警输出接口、1个RS485接口、1个复位按钮、1个存储卡接口</w:t>
            </w:r>
          </w:p>
          <w:p w14:paraId="6479FD80">
            <w:pPr>
              <w:widowControl/>
              <w:textAlignment w:val="center"/>
              <w:rPr>
                <w:rFonts w:ascii="宋体" w:hAnsi="宋体" w:cs="宋体"/>
                <w:sz w:val="22"/>
                <w:szCs w:val="22"/>
              </w:rPr>
            </w:pPr>
            <w:r>
              <w:rPr>
                <w:rFonts w:hint="eastAsia" w:ascii="宋体" w:hAnsi="宋体" w:cs="宋体"/>
                <w:sz w:val="22"/>
                <w:szCs w:val="22"/>
              </w:rPr>
              <w:t>6、支持显示屏手动校时或通过ntp自动校时（提供第三方出具的检测报告)</w:t>
            </w:r>
          </w:p>
          <w:p w14:paraId="0D23CA5A">
            <w:pPr>
              <w:widowControl/>
              <w:textAlignment w:val="center"/>
              <w:rPr>
                <w:rFonts w:ascii="宋体" w:hAnsi="宋体" w:cs="宋体"/>
                <w:sz w:val="22"/>
                <w:szCs w:val="22"/>
              </w:rPr>
            </w:pPr>
            <w:r>
              <w:rPr>
                <w:rFonts w:hint="eastAsia" w:ascii="宋体" w:hAnsi="宋体" w:cs="宋体"/>
                <w:sz w:val="22"/>
                <w:szCs w:val="22"/>
              </w:rPr>
              <w:t>7、应支持值岗、攀高、人数统计等智能分析功能（提供第三方出具的检测报告)</w:t>
            </w:r>
          </w:p>
          <w:p w14:paraId="771A8A64">
            <w:pPr>
              <w:widowControl/>
              <w:textAlignment w:val="center"/>
              <w:rPr>
                <w:rFonts w:ascii="宋体" w:hAnsi="宋体" w:cs="宋体"/>
                <w:sz w:val="22"/>
                <w:szCs w:val="22"/>
              </w:rPr>
            </w:pPr>
            <w:r>
              <w:rPr>
                <w:rFonts w:hint="eastAsia" w:ascii="宋体" w:hAnsi="宋体" w:cs="宋体"/>
                <w:sz w:val="22"/>
                <w:szCs w:val="22"/>
              </w:rPr>
              <w:t>8、应支持三码流同时输出，主码流最高分辨率≥2592*1944@30fps，最高帧率1920*1080@60 fps</w:t>
            </w:r>
          </w:p>
          <w:p w14:paraId="35F6BC79">
            <w:pPr>
              <w:widowControl/>
              <w:textAlignment w:val="center"/>
              <w:rPr>
                <w:rFonts w:ascii="宋体" w:hAnsi="宋体" w:cs="宋体"/>
                <w:sz w:val="22"/>
                <w:szCs w:val="22"/>
              </w:rPr>
            </w:pPr>
            <w:r>
              <w:rPr>
                <w:rFonts w:hint="eastAsia" w:ascii="宋体" w:hAnsi="宋体" w:cs="宋体"/>
                <w:sz w:val="22"/>
                <w:szCs w:val="22"/>
              </w:rPr>
              <w:t>9、应支持音视频本地存储卡存储，录制的文件可使用通用播放软件播放</w:t>
            </w:r>
          </w:p>
          <w:p w14:paraId="0C9E812C">
            <w:pPr>
              <w:widowControl/>
              <w:textAlignment w:val="center"/>
              <w:rPr>
                <w:rFonts w:ascii="宋体" w:hAnsi="宋体" w:cs="宋体"/>
                <w:color w:val="000000" w:themeColor="text1"/>
                <w:sz w:val="22"/>
                <w:szCs w:val="22"/>
              </w:rPr>
            </w:pPr>
            <w:r>
              <w:rPr>
                <w:rFonts w:hint="eastAsia" w:ascii="宋体" w:hAnsi="宋体" w:cs="宋体"/>
                <w:sz w:val="22"/>
                <w:szCs w:val="22"/>
              </w:rPr>
              <w:t>10、应摄像机支持畸变矫正、远端放大功能（提供第三方出具的检测报告)</w:t>
            </w:r>
          </w:p>
        </w:tc>
        <w:tc>
          <w:tcPr>
            <w:tcW w:w="221" w:type="pct"/>
            <w:gridSpan w:val="2"/>
            <w:shd w:val="clear" w:color="auto" w:fill="auto"/>
            <w:noWrap/>
            <w:vAlign w:val="center"/>
          </w:tcPr>
          <w:p w14:paraId="6F073D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块</w:t>
            </w:r>
          </w:p>
        </w:tc>
        <w:tc>
          <w:tcPr>
            <w:tcW w:w="428" w:type="pct"/>
            <w:gridSpan w:val="2"/>
            <w:shd w:val="clear" w:color="auto" w:fill="auto"/>
            <w:noWrap/>
            <w:vAlign w:val="center"/>
          </w:tcPr>
          <w:p w14:paraId="11FEAD9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C2F2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239" w:hRule="atLeast"/>
        </w:trPr>
        <w:tc>
          <w:tcPr>
            <w:tcW w:w="508" w:type="pct"/>
            <w:shd w:val="clear" w:color="auto" w:fill="auto"/>
            <w:noWrap/>
            <w:vAlign w:val="center"/>
          </w:tcPr>
          <w:p w14:paraId="40AC3B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9.6</w:t>
            </w:r>
          </w:p>
        </w:tc>
        <w:tc>
          <w:tcPr>
            <w:tcW w:w="346" w:type="pct"/>
            <w:shd w:val="clear" w:color="auto" w:fill="auto"/>
            <w:noWrap/>
            <w:vAlign w:val="center"/>
          </w:tcPr>
          <w:p w14:paraId="04B665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审讯主机</w:t>
            </w:r>
          </w:p>
        </w:tc>
        <w:tc>
          <w:tcPr>
            <w:tcW w:w="3489" w:type="pct"/>
            <w:shd w:val="clear" w:color="auto" w:fill="auto"/>
            <w:vAlign w:val="center"/>
          </w:tcPr>
          <w:p w14:paraId="39B71A29">
            <w:pPr>
              <w:widowControl/>
              <w:textAlignment w:val="center"/>
              <w:rPr>
                <w:rFonts w:ascii="宋体" w:hAnsi="宋体" w:cs="宋体"/>
                <w:sz w:val="22"/>
                <w:szCs w:val="22"/>
              </w:rPr>
            </w:pPr>
            <w:r>
              <w:rPr>
                <w:rFonts w:hint="eastAsia" w:ascii="宋体" w:hAnsi="宋体" w:cs="宋体"/>
                <w:sz w:val="22"/>
                <w:szCs w:val="22"/>
              </w:rPr>
              <w:t>1、应支持≥6 个硬盘插槽。</w:t>
            </w:r>
          </w:p>
          <w:p w14:paraId="13132C29">
            <w:pPr>
              <w:widowControl/>
              <w:textAlignment w:val="center"/>
              <w:rPr>
                <w:rFonts w:ascii="宋体" w:hAnsi="宋体" w:cs="宋体"/>
                <w:sz w:val="22"/>
                <w:szCs w:val="22"/>
              </w:rPr>
            </w:pPr>
            <w:r>
              <w:rPr>
                <w:rFonts w:hint="eastAsia" w:ascii="宋体" w:hAnsi="宋体" w:cs="宋体"/>
                <w:sz w:val="22"/>
                <w:szCs w:val="22"/>
              </w:rPr>
              <w:t>2、接口要求≥：1 个 RJ45 网络接口、2 个 POE 网络接口、1 个HDMI 输入、1 个 VGA 输入、1 个 VGA 输出</w:t>
            </w:r>
          </w:p>
          <w:p w14:paraId="2AE73C4D">
            <w:pPr>
              <w:widowControl/>
              <w:textAlignment w:val="center"/>
              <w:rPr>
                <w:rFonts w:ascii="宋体" w:hAnsi="宋体" w:cs="宋体"/>
                <w:sz w:val="22"/>
                <w:szCs w:val="22"/>
              </w:rPr>
            </w:pPr>
            <w:r>
              <w:rPr>
                <w:rFonts w:hint="eastAsia" w:ascii="宋体" w:hAnsi="宋体" w:cs="宋体"/>
                <w:sz w:val="22"/>
                <w:szCs w:val="22"/>
              </w:rPr>
              <w:t>3、应支持采集讯问室实时音视频和环境信息，包括讯问民警人声、嫌疑人人声、其他环境声音、嫌疑人正面画面、室内全景画面、时间、温度、湿度等；</w:t>
            </w:r>
          </w:p>
          <w:p w14:paraId="127C9242">
            <w:pPr>
              <w:widowControl/>
              <w:textAlignment w:val="center"/>
              <w:rPr>
                <w:rFonts w:ascii="宋体" w:hAnsi="宋体" w:cs="宋体"/>
                <w:sz w:val="22"/>
                <w:szCs w:val="22"/>
              </w:rPr>
            </w:pPr>
            <w:r>
              <w:rPr>
                <w:rFonts w:hint="eastAsia" w:ascii="宋体" w:hAnsi="宋体" w:cs="宋体"/>
                <w:sz w:val="22"/>
                <w:szCs w:val="22"/>
              </w:rPr>
              <w:t>4、采集的声音和图像应清晰无损坏</w:t>
            </w:r>
          </w:p>
          <w:p w14:paraId="351B7971">
            <w:pPr>
              <w:widowControl/>
              <w:textAlignment w:val="center"/>
              <w:rPr>
                <w:rFonts w:ascii="宋体" w:hAnsi="宋体" w:cs="宋体"/>
                <w:sz w:val="22"/>
                <w:szCs w:val="22"/>
              </w:rPr>
            </w:pPr>
            <w:r>
              <w:rPr>
                <w:rFonts w:hint="eastAsia" w:ascii="宋体" w:hAnsi="宋体" w:cs="宋体"/>
                <w:sz w:val="22"/>
                <w:szCs w:val="22"/>
              </w:rPr>
              <w:t>5、应支持通过国产化客户端电脑同步清晰回放讯问音视频，在CPU为RAM或C86架构、操作系统为国产操作系统的客户端电脑上均能正常回放。（提供第三方出具的检测报告）</w:t>
            </w:r>
          </w:p>
          <w:p w14:paraId="27DB76F9">
            <w:pPr>
              <w:widowControl/>
              <w:textAlignment w:val="center"/>
              <w:rPr>
                <w:rFonts w:ascii="宋体" w:hAnsi="宋体" w:cs="宋体"/>
                <w:sz w:val="22"/>
                <w:szCs w:val="22"/>
              </w:rPr>
            </w:pPr>
            <w:r>
              <w:rPr>
                <w:rFonts w:hint="eastAsia" w:ascii="宋体" w:hAnsi="宋体" w:cs="宋体"/>
                <w:sz w:val="22"/>
                <w:szCs w:val="22"/>
              </w:rPr>
              <w:t>6、应支持视频、音频丢失报警功能</w:t>
            </w:r>
          </w:p>
          <w:p w14:paraId="08EDD570">
            <w:pPr>
              <w:widowControl/>
              <w:textAlignment w:val="center"/>
              <w:rPr>
                <w:rFonts w:ascii="宋体" w:hAnsi="宋体" w:cs="宋体"/>
                <w:sz w:val="22"/>
                <w:szCs w:val="22"/>
              </w:rPr>
            </w:pPr>
            <w:r>
              <w:rPr>
                <w:rFonts w:hint="eastAsia" w:ascii="宋体" w:hAnsi="宋体" w:cs="宋体"/>
                <w:sz w:val="22"/>
                <w:szCs w:val="22"/>
              </w:rPr>
              <w:t>7、应支持自动对光盘进行封盘</w:t>
            </w:r>
          </w:p>
          <w:p w14:paraId="729FBAEC">
            <w:pPr>
              <w:widowControl/>
              <w:textAlignment w:val="center"/>
              <w:rPr>
                <w:rFonts w:ascii="宋体" w:hAnsi="宋体" w:cs="宋体"/>
                <w:sz w:val="22"/>
                <w:szCs w:val="22"/>
              </w:rPr>
            </w:pPr>
            <w:r>
              <w:rPr>
                <w:rFonts w:hint="eastAsia" w:ascii="宋体" w:hAnsi="宋体" w:cs="宋体"/>
                <w:sz w:val="22"/>
                <w:szCs w:val="22"/>
              </w:rPr>
              <w:t>8、讯问结束后刻录的时间不超过 5 分钟。支持通过硬盘音视频数据实现光盘更换自动回补刻录。</w:t>
            </w:r>
          </w:p>
          <w:p w14:paraId="6F900A05">
            <w:pPr>
              <w:widowControl/>
              <w:textAlignment w:val="center"/>
              <w:rPr>
                <w:rFonts w:ascii="宋体" w:hAnsi="宋体" w:cs="宋体"/>
                <w:sz w:val="22"/>
                <w:szCs w:val="22"/>
              </w:rPr>
            </w:pPr>
            <w:r>
              <w:rPr>
                <w:rFonts w:hint="eastAsia" w:ascii="宋体" w:hAnsi="宋体" w:cs="宋体"/>
                <w:sz w:val="22"/>
                <w:szCs w:val="22"/>
              </w:rPr>
              <w:t>9、讯问音视频回放应保证画面清晰，声音无提前或滞后且不失真</w:t>
            </w:r>
          </w:p>
          <w:p w14:paraId="7FFDB062">
            <w:pPr>
              <w:widowControl/>
              <w:textAlignment w:val="center"/>
              <w:rPr>
                <w:rFonts w:ascii="宋体" w:hAnsi="宋体" w:cs="宋体"/>
                <w:sz w:val="22"/>
                <w:szCs w:val="22"/>
              </w:rPr>
            </w:pPr>
            <w:r>
              <w:rPr>
                <w:rFonts w:hint="eastAsia" w:ascii="宋体" w:hAnsi="宋体" w:cs="宋体"/>
                <w:sz w:val="22"/>
                <w:szCs w:val="22"/>
              </w:rPr>
              <w:t>10、应支持通过在CPU为RAM或C86架构、操作系统为国产操作系统的客户端电脑的客户端电脑上正常刻录、录像（提供第三方出具的检测报告）</w:t>
            </w:r>
          </w:p>
          <w:p w14:paraId="68FA6FBE">
            <w:pPr>
              <w:widowControl/>
              <w:textAlignment w:val="center"/>
              <w:rPr>
                <w:rFonts w:ascii="宋体" w:hAnsi="宋体" w:cs="宋体"/>
                <w:sz w:val="22"/>
                <w:szCs w:val="22"/>
              </w:rPr>
            </w:pPr>
            <w:r>
              <w:rPr>
                <w:rFonts w:hint="eastAsia" w:ascii="宋体" w:hAnsi="宋体" w:cs="宋体"/>
                <w:sz w:val="22"/>
                <w:szCs w:val="22"/>
              </w:rPr>
              <w:t>11、刻录光盘需包含播放器，无需另外安装播放软件，即可在任意电脑上自动播放</w:t>
            </w:r>
          </w:p>
          <w:p w14:paraId="6A014DD7">
            <w:pPr>
              <w:widowControl/>
              <w:textAlignment w:val="center"/>
              <w:rPr>
                <w:rFonts w:ascii="宋体" w:hAnsi="宋体" w:cs="宋体"/>
                <w:sz w:val="22"/>
                <w:szCs w:val="22"/>
              </w:rPr>
            </w:pPr>
            <w:r>
              <w:rPr>
                <w:rFonts w:hint="eastAsia" w:ascii="宋体" w:hAnsi="宋体" w:cs="宋体"/>
                <w:sz w:val="22"/>
                <w:szCs w:val="22"/>
              </w:rPr>
              <w:t>12、应支持视频画面质量检测，支持≥场景变化、视频抖动、条纹干扰、人为干扰、亮度异常、视频模糊、噪声干扰、视频偏色、画面冻结、信号缺失等视频诊断算法（提供第三方出具的检测报告）</w:t>
            </w:r>
          </w:p>
          <w:p w14:paraId="5AF5CB70">
            <w:pPr>
              <w:widowControl/>
              <w:textAlignment w:val="center"/>
              <w:rPr>
                <w:rFonts w:ascii="宋体" w:hAnsi="宋体" w:cs="宋体"/>
                <w:sz w:val="22"/>
                <w:szCs w:val="22"/>
              </w:rPr>
            </w:pPr>
            <w:r>
              <w:rPr>
                <w:rFonts w:hint="eastAsia" w:ascii="宋体" w:hAnsi="宋体" w:cs="宋体"/>
                <w:sz w:val="22"/>
                <w:szCs w:val="22"/>
              </w:rPr>
              <w:t>13、支持对光盘进行加密，未通过验证不可进行擦写或拷贝操作</w:t>
            </w:r>
          </w:p>
          <w:p w14:paraId="6B4DFC8E">
            <w:pPr>
              <w:widowControl/>
              <w:textAlignment w:val="center"/>
              <w:rPr>
                <w:rFonts w:ascii="宋体" w:hAnsi="宋体" w:cs="宋体"/>
                <w:sz w:val="22"/>
                <w:szCs w:val="22"/>
              </w:rPr>
            </w:pPr>
            <w:r>
              <w:rPr>
                <w:rFonts w:hint="eastAsia" w:ascii="宋体" w:hAnsi="宋体" w:cs="宋体"/>
                <w:sz w:val="22"/>
                <w:szCs w:val="22"/>
              </w:rPr>
              <w:t>14、视频画面质量检测应支持≥4 个数字和示证通道同步分析</w:t>
            </w:r>
          </w:p>
          <w:p w14:paraId="195A5E78">
            <w:pPr>
              <w:widowControl/>
              <w:textAlignment w:val="center"/>
              <w:rPr>
                <w:rFonts w:ascii="宋体" w:hAnsi="宋体" w:cs="宋体"/>
                <w:sz w:val="22"/>
                <w:szCs w:val="22"/>
              </w:rPr>
            </w:pPr>
            <w:r>
              <w:rPr>
                <w:rFonts w:hint="eastAsia" w:ascii="宋体" w:hAnsi="宋体" w:cs="宋体"/>
                <w:sz w:val="22"/>
                <w:szCs w:val="22"/>
              </w:rPr>
              <w:t>15、支持音频混音。可显示声音波形</w:t>
            </w:r>
          </w:p>
          <w:p w14:paraId="6F9399C9">
            <w:pPr>
              <w:widowControl/>
              <w:textAlignment w:val="center"/>
              <w:rPr>
                <w:rFonts w:ascii="宋体" w:hAnsi="宋体" w:cs="宋体"/>
                <w:sz w:val="22"/>
                <w:szCs w:val="22"/>
              </w:rPr>
            </w:pPr>
            <w:r>
              <w:rPr>
                <w:rFonts w:hint="eastAsia" w:ascii="宋体" w:hAnsi="宋体" w:cs="宋体"/>
                <w:sz w:val="22"/>
                <w:szCs w:val="22"/>
              </w:rPr>
              <w:t>16、应支持画面合成，合成数量支持 1/2/3/4/5/6/8，分辨率支持≥4K，帧率支持 60fps；（提供第三方出具的检测报告）</w:t>
            </w:r>
          </w:p>
          <w:p w14:paraId="2EA463B0">
            <w:pPr>
              <w:widowControl/>
              <w:textAlignment w:val="center"/>
              <w:rPr>
                <w:rFonts w:ascii="宋体" w:hAnsi="宋体" w:cs="宋体"/>
                <w:sz w:val="22"/>
                <w:szCs w:val="22"/>
              </w:rPr>
            </w:pPr>
            <w:r>
              <w:rPr>
                <w:rFonts w:hint="eastAsia" w:ascii="宋体" w:hAnsi="宋体" w:cs="宋体"/>
                <w:sz w:val="22"/>
                <w:szCs w:val="22"/>
              </w:rPr>
              <w:t>17、支持一键直刻，光盘刻录可选择单盘直刻、双盘直刻或循环直刻，并可自定义刻录通道</w:t>
            </w:r>
          </w:p>
          <w:p w14:paraId="32920F72">
            <w:pPr>
              <w:widowControl/>
              <w:textAlignment w:val="center"/>
              <w:rPr>
                <w:rFonts w:ascii="宋体" w:hAnsi="宋体" w:cs="宋体"/>
                <w:sz w:val="22"/>
                <w:szCs w:val="22"/>
              </w:rPr>
            </w:pPr>
            <w:r>
              <w:rPr>
                <w:rFonts w:hint="eastAsia" w:ascii="宋体" w:hAnsi="宋体" w:cs="宋体"/>
                <w:sz w:val="22"/>
                <w:szCs w:val="22"/>
              </w:rPr>
              <w:t>18、支持 GB/T28181、RTSP 等接入协议</w:t>
            </w:r>
          </w:p>
          <w:p w14:paraId="6678AD33">
            <w:pPr>
              <w:widowControl/>
              <w:textAlignment w:val="center"/>
              <w:rPr>
                <w:rFonts w:ascii="宋体" w:hAnsi="宋体" w:cs="宋体"/>
                <w:sz w:val="22"/>
                <w:szCs w:val="22"/>
              </w:rPr>
            </w:pPr>
            <w:r>
              <w:rPr>
                <w:rFonts w:hint="eastAsia" w:ascii="宋体" w:hAnsi="宋体" w:cs="宋体"/>
                <w:sz w:val="22"/>
                <w:szCs w:val="22"/>
              </w:rPr>
              <w:t>19、支持接入人体生命体征信息，可在实时视频上同步叠加血压、血氧、心律等体征信息</w:t>
            </w:r>
          </w:p>
          <w:p w14:paraId="3173AFB4">
            <w:pPr>
              <w:widowControl/>
              <w:textAlignment w:val="center"/>
              <w:rPr>
                <w:rFonts w:ascii="宋体" w:hAnsi="宋体" w:cs="宋体"/>
                <w:color w:val="000000" w:themeColor="text1"/>
                <w:sz w:val="22"/>
                <w:szCs w:val="22"/>
              </w:rPr>
            </w:pPr>
            <w:r>
              <w:rPr>
                <w:rFonts w:hint="eastAsia" w:ascii="宋体" w:hAnsi="宋体" w:cs="宋体"/>
                <w:sz w:val="22"/>
                <w:szCs w:val="22"/>
              </w:rPr>
              <w:t>20、主机应标配 1 块≥4T 的硬盘</w:t>
            </w:r>
          </w:p>
        </w:tc>
        <w:tc>
          <w:tcPr>
            <w:tcW w:w="221" w:type="pct"/>
            <w:gridSpan w:val="2"/>
            <w:shd w:val="clear" w:color="auto" w:fill="auto"/>
            <w:noWrap/>
            <w:vAlign w:val="center"/>
          </w:tcPr>
          <w:p w14:paraId="188BF2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3F9EA3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3A82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29973F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9.7</w:t>
            </w:r>
          </w:p>
        </w:tc>
        <w:tc>
          <w:tcPr>
            <w:tcW w:w="346" w:type="pct"/>
            <w:shd w:val="clear" w:color="auto" w:fill="auto"/>
            <w:noWrap/>
            <w:vAlign w:val="center"/>
          </w:tcPr>
          <w:p w14:paraId="546C364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物证展示台</w:t>
            </w:r>
          </w:p>
        </w:tc>
        <w:tc>
          <w:tcPr>
            <w:tcW w:w="3489" w:type="pct"/>
            <w:shd w:val="clear" w:color="auto" w:fill="auto"/>
            <w:vAlign w:val="center"/>
          </w:tcPr>
          <w:p w14:paraId="72B22A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多路VGA输入+输出的接口设置使得无论是单采集信号源还是多路信号源都可以方便进行切换，满足用户在电脑显示界面和展台采集画面间的无缝转换。2.具备光学变焦，在图像放大时不损失画面质量，配合专门的视频接口，可以将最多的细节轻松输出展示。3.更大的底座带来更丰富的接口，同时搭载功能更为强大的ISP芯片使得画面传输速率和高分辨率情况下的画面质量均有很大的提升，完美支持1080P视频的输出。</w:t>
            </w:r>
          </w:p>
        </w:tc>
        <w:tc>
          <w:tcPr>
            <w:tcW w:w="221" w:type="pct"/>
            <w:gridSpan w:val="2"/>
            <w:shd w:val="clear" w:color="auto" w:fill="auto"/>
            <w:noWrap/>
            <w:vAlign w:val="center"/>
          </w:tcPr>
          <w:p w14:paraId="40B3CD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AEEC8C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D219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5C5C0A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9.8</w:t>
            </w:r>
          </w:p>
        </w:tc>
        <w:tc>
          <w:tcPr>
            <w:tcW w:w="346" w:type="pct"/>
            <w:shd w:val="clear" w:color="auto" w:fill="auto"/>
            <w:noWrap/>
            <w:vAlign w:val="center"/>
          </w:tcPr>
          <w:p w14:paraId="6A68F2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讯问管控终端</w:t>
            </w:r>
          </w:p>
        </w:tc>
        <w:tc>
          <w:tcPr>
            <w:tcW w:w="3489" w:type="pct"/>
            <w:shd w:val="clear" w:color="auto" w:fill="auto"/>
            <w:vAlign w:val="center"/>
          </w:tcPr>
          <w:p w14:paraId="356DF0F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1.采用≥200W高清摄像头，具有≥88度超广角镜头，高清≥1080P画质；2.≥8英寸触摸屏，分辨率≥1280*800,采用星光级图像传感器，无需白光补光灯，支持红外自动补光，在暗光或无光环境下人员身份核验效果不受影响,金属边框及玻璃面板；3.采用深度学习算法，支持≥20000人脸库，识别距离至少满足：0.3-4m；4.≥IP65防水设计，适应恶劣环境；5.隐藏式刷卡设计，支持13．56MHz M卡、CPU序列号识别；6.支持外接≥1个RS485读卡器，作为出门读卡器使用。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业务功能参数：审讯管理：支出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含设备安装支架、终端电源及门锁套件。</w:t>
            </w:r>
          </w:p>
        </w:tc>
        <w:tc>
          <w:tcPr>
            <w:tcW w:w="221" w:type="pct"/>
            <w:gridSpan w:val="2"/>
            <w:shd w:val="clear" w:color="auto" w:fill="auto"/>
            <w:noWrap/>
            <w:vAlign w:val="center"/>
          </w:tcPr>
          <w:p w14:paraId="30BC7F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585FC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1013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20" w:hRule="atLeast"/>
        </w:trPr>
        <w:tc>
          <w:tcPr>
            <w:tcW w:w="508" w:type="pct"/>
            <w:shd w:val="clear" w:color="auto" w:fill="auto"/>
            <w:noWrap/>
            <w:vAlign w:val="center"/>
          </w:tcPr>
          <w:p w14:paraId="7715799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9.9</w:t>
            </w:r>
          </w:p>
        </w:tc>
        <w:tc>
          <w:tcPr>
            <w:tcW w:w="346" w:type="pct"/>
            <w:shd w:val="clear" w:color="auto" w:fill="auto"/>
            <w:noWrap/>
            <w:vAlign w:val="center"/>
          </w:tcPr>
          <w:p w14:paraId="7ACEB0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一体化审讯台</w:t>
            </w:r>
          </w:p>
        </w:tc>
        <w:tc>
          <w:tcPr>
            <w:tcW w:w="3489" w:type="pct"/>
            <w:shd w:val="clear" w:color="auto" w:fill="auto"/>
            <w:vAlign w:val="center"/>
          </w:tcPr>
          <w:p w14:paraId="3CBF1385">
            <w:pPr>
              <w:widowControl/>
              <w:textAlignment w:val="center"/>
              <w:rPr>
                <w:rFonts w:ascii="宋体" w:hAnsi="宋体" w:cs="宋体"/>
                <w:sz w:val="22"/>
                <w:szCs w:val="22"/>
              </w:rPr>
            </w:pPr>
            <w:r>
              <w:rPr>
                <w:rFonts w:hint="eastAsia" w:ascii="宋体" w:hAnsi="宋体" w:cs="宋体"/>
                <w:sz w:val="22"/>
                <w:szCs w:val="22"/>
              </w:rPr>
              <w:t>1、智能审讯一体桌应集成审讯台、审讯终端、电动升降单元、示证单元、特写摄像机、拾音器、编码器、音箱、交换机、报警按钮、智能触摸中控系统、打印功能为一体，并预留审讯主机、示证展台和电子签名捺印设备安装位置</w:t>
            </w:r>
          </w:p>
          <w:p w14:paraId="02BD3C9F">
            <w:pPr>
              <w:widowControl/>
              <w:textAlignment w:val="center"/>
              <w:rPr>
                <w:rFonts w:ascii="宋体" w:hAnsi="宋体" w:cs="宋体"/>
                <w:sz w:val="22"/>
                <w:szCs w:val="22"/>
              </w:rPr>
            </w:pPr>
            <w:r>
              <w:rPr>
                <w:rFonts w:hint="eastAsia" w:ascii="宋体" w:hAnsi="宋体" w:cs="宋体"/>
                <w:sz w:val="22"/>
                <w:szCs w:val="22"/>
              </w:rPr>
              <w:t>2、电动升降单元：≥21 寸，支持 HDMI 接口，仰角满足 0－15° 可调节角度，分辨率≥1920*1080</w:t>
            </w:r>
          </w:p>
          <w:p w14:paraId="4CDBE4E1">
            <w:pPr>
              <w:widowControl/>
              <w:textAlignment w:val="center"/>
              <w:rPr>
                <w:rFonts w:ascii="宋体" w:hAnsi="宋体" w:cs="宋体"/>
                <w:sz w:val="22"/>
                <w:szCs w:val="22"/>
              </w:rPr>
            </w:pPr>
            <w:r>
              <w:rPr>
                <w:rFonts w:hint="eastAsia" w:ascii="宋体" w:hAnsi="宋体" w:cs="宋体"/>
                <w:sz w:val="22"/>
                <w:szCs w:val="22"/>
              </w:rPr>
              <w:t>3、示证单元：≥43 寸，分辨率≥1920*1080</w:t>
            </w:r>
          </w:p>
          <w:p w14:paraId="490ADB90">
            <w:pPr>
              <w:widowControl/>
              <w:textAlignment w:val="center"/>
              <w:rPr>
                <w:rFonts w:ascii="宋体" w:hAnsi="宋体" w:cs="宋体"/>
                <w:sz w:val="22"/>
                <w:szCs w:val="22"/>
              </w:rPr>
            </w:pPr>
            <w:r>
              <w:rPr>
                <w:rFonts w:hint="eastAsia" w:ascii="宋体" w:hAnsi="宋体" w:cs="宋体"/>
                <w:sz w:val="22"/>
                <w:szCs w:val="22"/>
              </w:rPr>
              <w:t>4、审讯终端配置≥8 核处理器，≥8G 内存，≥1TB 机械硬盘，</w:t>
            </w:r>
          </w:p>
          <w:p w14:paraId="687CE08F">
            <w:pPr>
              <w:widowControl/>
              <w:textAlignment w:val="center"/>
              <w:rPr>
                <w:rFonts w:ascii="宋体" w:hAnsi="宋体" w:cs="宋体"/>
                <w:sz w:val="22"/>
                <w:szCs w:val="22"/>
              </w:rPr>
            </w:pPr>
            <w:r>
              <w:rPr>
                <w:rFonts w:hint="eastAsia" w:ascii="宋体" w:hAnsi="宋体" w:cs="宋体"/>
                <w:sz w:val="22"/>
                <w:szCs w:val="22"/>
              </w:rPr>
              <w:t>≥240GB 固态硬盘</w:t>
            </w:r>
          </w:p>
          <w:p w14:paraId="313A9C81">
            <w:pPr>
              <w:widowControl/>
              <w:textAlignment w:val="center"/>
              <w:rPr>
                <w:rFonts w:ascii="宋体" w:hAnsi="宋体" w:cs="宋体"/>
                <w:sz w:val="22"/>
                <w:szCs w:val="22"/>
              </w:rPr>
            </w:pPr>
            <w:r>
              <w:rPr>
                <w:rFonts w:hint="eastAsia" w:ascii="宋体" w:hAnsi="宋体" w:cs="宋体"/>
                <w:sz w:val="22"/>
                <w:szCs w:val="22"/>
              </w:rPr>
              <w:t>5、特写摄像机：≥500 万像素，2.8～12mm 电动变焦，支持变倍聚焦</w:t>
            </w:r>
          </w:p>
          <w:p w14:paraId="51854919">
            <w:pPr>
              <w:widowControl/>
              <w:textAlignment w:val="center"/>
              <w:rPr>
                <w:rFonts w:ascii="宋体" w:hAnsi="宋体" w:cs="宋体"/>
                <w:sz w:val="22"/>
                <w:szCs w:val="22"/>
              </w:rPr>
            </w:pPr>
            <w:r>
              <w:rPr>
                <w:rFonts w:hint="eastAsia" w:ascii="宋体" w:hAnsi="宋体" w:cs="宋体"/>
                <w:sz w:val="22"/>
                <w:szCs w:val="22"/>
              </w:rPr>
              <w:t>6、特写摄像机角度可调，上下左右可调整角度≥7 度</w:t>
            </w:r>
          </w:p>
          <w:p w14:paraId="0296A77F">
            <w:pPr>
              <w:widowControl/>
              <w:textAlignment w:val="center"/>
              <w:rPr>
                <w:rFonts w:ascii="宋体" w:hAnsi="宋体" w:cs="宋体"/>
                <w:sz w:val="22"/>
                <w:szCs w:val="22"/>
              </w:rPr>
            </w:pPr>
            <w:r>
              <w:rPr>
                <w:rFonts w:hint="eastAsia" w:ascii="宋体" w:hAnsi="宋体" w:cs="宋体"/>
                <w:sz w:val="22"/>
                <w:szCs w:val="22"/>
              </w:rPr>
              <w:t>7、桌面提供接口：音频 3.5mm 输出≥1 个、≥1 个 USB 接口、</w:t>
            </w:r>
          </w:p>
          <w:p w14:paraId="259AC1E5">
            <w:pPr>
              <w:widowControl/>
              <w:textAlignment w:val="center"/>
              <w:rPr>
                <w:rFonts w:ascii="宋体" w:hAnsi="宋体" w:cs="宋体"/>
                <w:sz w:val="22"/>
                <w:szCs w:val="22"/>
              </w:rPr>
            </w:pPr>
            <w:r>
              <w:rPr>
                <w:rFonts w:hint="eastAsia" w:ascii="宋体" w:hAnsi="宋体" w:cs="宋体"/>
                <w:sz w:val="22"/>
                <w:szCs w:val="22"/>
              </w:rPr>
              <w:t>≥1 个 AC 220V 插口</w:t>
            </w:r>
          </w:p>
          <w:p w14:paraId="55FB403F">
            <w:pPr>
              <w:widowControl/>
              <w:textAlignment w:val="center"/>
              <w:rPr>
                <w:rFonts w:ascii="宋体" w:hAnsi="宋体" w:cs="宋体"/>
                <w:sz w:val="22"/>
                <w:szCs w:val="22"/>
              </w:rPr>
            </w:pPr>
            <w:r>
              <w:rPr>
                <w:rFonts w:hint="eastAsia" w:ascii="宋体" w:hAnsi="宋体" w:cs="宋体"/>
                <w:sz w:val="22"/>
                <w:szCs w:val="22"/>
              </w:rPr>
              <w:t>8、应内置高保真拾音器，具备高灵敏度、全向拾音</w:t>
            </w:r>
          </w:p>
          <w:p w14:paraId="3E3C785D">
            <w:pPr>
              <w:widowControl/>
              <w:textAlignment w:val="center"/>
              <w:rPr>
                <w:rFonts w:ascii="宋体" w:hAnsi="宋体" w:cs="宋体"/>
                <w:sz w:val="22"/>
                <w:szCs w:val="22"/>
              </w:rPr>
            </w:pPr>
            <w:r>
              <w:rPr>
                <w:rFonts w:hint="eastAsia" w:ascii="宋体" w:hAnsi="宋体" w:cs="宋体"/>
                <w:sz w:val="22"/>
                <w:szCs w:val="22"/>
              </w:rPr>
              <w:t>9、智能审讯模块，应支持一键开关机、示证切换、升降单元升降、开启审讯等功能，方便民警便捷开展审讯工作（提供第三方出具的检测报告）</w:t>
            </w:r>
          </w:p>
          <w:p w14:paraId="3E9BCBBB">
            <w:pPr>
              <w:widowControl/>
              <w:textAlignment w:val="center"/>
              <w:rPr>
                <w:rFonts w:ascii="宋体" w:hAnsi="宋体" w:cs="宋体"/>
                <w:sz w:val="22"/>
                <w:szCs w:val="22"/>
              </w:rPr>
            </w:pPr>
            <w:r>
              <w:rPr>
                <w:rFonts w:hint="eastAsia" w:ascii="宋体" w:hAnsi="宋体" w:cs="宋体"/>
                <w:sz w:val="22"/>
                <w:szCs w:val="22"/>
              </w:rPr>
              <w:t>10、智能触摸中控系统：≥7 寸，应支持电控开关、智能审讯、大屏影像、生命体征、审讯椅控制等应用模块</w:t>
            </w:r>
          </w:p>
          <w:p w14:paraId="280575DD">
            <w:pPr>
              <w:widowControl/>
              <w:textAlignment w:val="center"/>
              <w:rPr>
                <w:rFonts w:ascii="宋体" w:hAnsi="宋体" w:cs="宋体"/>
                <w:sz w:val="22"/>
                <w:szCs w:val="22"/>
              </w:rPr>
            </w:pPr>
            <w:r>
              <w:rPr>
                <w:rFonts w:hint="eastAsia" w:ascii="宋体" w:hAnsi="宋体" w:cs="宋体"/>
                <w:sz w:val="22"/>
                <w:szCs w:val="22"/>
              </w:rPr>
              <w:t>11、电控开关模块，支持控制设备通断电</w:t>
            </w:r>
          </w:p>
          <w:p w14:paraId="0EFB0705">
            <w:pPr>
              <w:widowControl/>
              <w:textAlignment w:val="center"/>
              <w:rPr>
                <w:rFonts w:ascii="宋体" w:hAnsi="宋体" w:cs="宋体"/>
                <w:sz w:val="22"/>
                <w:szCs w:val="22"/>
              </w:rPr>
            </w:pPr>
            <w:r>
              <w:rPr>
                <w:rFonts w:hint="eastAsia" w:ascii="宋体" w:hAnsi="宋体" w:cs="宋体"/>
                <w:sz w:val="22"/>
                <w:szCs w:val="22"/>
              </w:rPr>
              <w:t>12、应支持生命体征模块，可以实时查看嫌疑人心率、体温、血压数据，支持体征异常报警（提供第三方出具的检测报告）</w:t>
            </w:r>
          </w:p>
          <w:p w14:paraId="218F70B6">
            <w:pPr>
              <w:widowControl/>
              <w:textAlignment w:val="center"/>
              <w:rPr>
                <w:rFonts w:ascii="宋体" w:hAnsi="宋体" w:cs="宋体"/>
                <w:sz w:val="22"/>
                <w:szCs w:val="22"/>
              </w:rPr>
            </w:pPr>
            <w:r>
              <w:rPr>
                <w:rFonts w:hint="eastAsia" w:ascii="宋体" w:hAnsi="宋体" w:cs="宋体"/>
                <w:sz w:val="22"/>
                <w:szCs w:val="22"/>
              </w:rPr>
              <w:t>13、大屏影像模块，可以实时回显查看示证画面当前内容，便于民警核对</w:t>
            </w:r>
          </w:p>
          <w:p w14:paraId="41979FFB">
            <w:pPr>
              <w:widowControl/>
              <w:textAlignment w:val="center"/>
              <w:rPr>
                <w:rFonts w:ascii="宋体" w:hAnsi="宋体" w:cs="宋体"/>
                <w:sz w:val="22"/>
                <w:szCs w:val="22"/>
              </w:rPr>
            </w:pPr>
            <w:r>
              <w:rPr>
                <w:rFonts w:hint="eastAsia" w:ascii="宋体" w:hAnsi="宋体" w:cs="宋体"/>
                <w:sz w:val="22"/>
                <w:szCs w:val="22"/>
              </w:rPr>
              <w:t>14、打印模块隐蔽式嵌套于桌面下方，支持抽拉，可方便维护， 桌面预留出纸口，纸张可无障碍摊放到桌面</w:t>
            </w:r>
          </w:p>
          <w:p w14:paraId="2275E72B">
            <w:pPr>
              <w:widowControl/>
              <w:textAlignment w:val="center"/>
              <w:rPr>
                <w:rFonts w:ascii="宋体" w:hAnsi="宋体" w:cs="宋体"/>
                <w:sz w:val="22"/>
                <w:szCs w:val="22"/>
              </w:rPr>
            </w:pPr>
            <w:r>
              <w:rPr>
                <w:rFonts w:hint="eastAsia" w:ascii="宋体" w:hAnsi="宋体" w:cs="宋体"/>
                <w:sz w:val="22"/>
                <w:szCs w:val="22"/>
              </w:rPr>
              <w:t>15、支持彩色打印</w:t>
            </w:r>
          </w:p>
          <w:p w14:paraId="1965B962">
            <w:pPr>
              <w:widowControl/>
              <w:textAlignment w:val="center"/>
              <w:rPr>
                <w:rFonts w:ascii="宋体" w:hAnsi="宋体" w:cs="宋体"/>
                <w:sz w:val="22"/>
                <w:szCs w:val="22"/>
              </w:rPr>
            </w:pPr>
            <w:r>
              <w:rPr>
                <w:rFonts w:hint="eastAsia" w:ascii="宋体" w:hAnsi="宋体" w:cs="宋体"/>
                <w:sz w:val="22"/>
                <w:szCs w:val="22"/>
              </w:rPr>
              <w:t>16、支持在CPU为RAM或C86架构、操作系统为国产操作系统的客户端电脑客户端电脑上录像、刻录（提供第三方出具的检测报告）</w:t>
            </w:r>
          </w:p>
          <w:p w14:paraId="3295205B">
            <w:pPr>
              <w:widowControl/>
              <w:textAlignment w:val="center"/>
              <w:rPr>
                <w:rFonts w:ascii="宋体" w:hAnsi="宋体" w:cs="宋体"/>
                <w:color w:val="000000" w:themeColor="text1"/>
                <w:sz w:val="22"/>
                <w:szCs w:val="22"/>
              </w:rPr>
            </w:pPr>
            <w:r>
              <w:rPr>
                <w:rFonts w:hint="eastAsia" w:ascii="宋体" w:hAnsi="宋体" w:cs="宋体"/>
                <w:sz w:val="22"/>
                <w:szCs w:val="22"/>
              </w:rPr>
              <w:t>17、支持按下桌面手动报警按钮触发应急报警</w:t>
            </w:r>
          </w:p>
        </w:tc>
        <w:tc>
          <w:tcPr>
            <w:tcW w:w="221" w:type="pct"/>
            <w:gridSpan w:val="2"/>
            <w:shd w:val="clear" w:color="auto" w:fill="auto"/>
            <w:noWrap/>
            <w:vAlign w:val="center"/>
          </w:tcPr>
          <w:p w14:paraId="11220F0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E95775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C590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82" w:hRule="atLeast"/>
        </w:trPr>
        <w:tc>
          <w:tcPr>
            <w:tcW w:w="508" w:type="pct"/>
            <w:shd w:val="clear" w:color="auto" w:fill="auto"/>
            <w:noWrap/>
            <w:vAlign w:val="center"/>
          </w:tcPr>
          <w:p w14:paraId="5288273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w:t>
            </w:r>
          </w:p>
        </w:tc>
        <w:tc>
          <w:tcPr>
            <w:tcW w:w="346" w:type="pct"/>
            <w:shd w:val="clear" w:color="auto" w:fill="auto"/>
            <w:noWrap/>
            <w:vAlign w:val="center"/>
          </w:tcPr>
          <w:p w14:paraId="055855D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消毒设备</w:t>
            </w:r>
          </w:p>
        </w:tc>
        <w:tc>
          <w:tcPr>
            <w:tcW w:w="3489" w:type="pct"/>
            <w:shd w:val="clear" w:color="auto" w:fill="auto"/>
            <w:vAlign w:val="center"/>
          </w:tcPr>
          <w:p w14:paraId="70CAD07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1、紫外线消毒灯，额定工作电压 220V；2、适用面积 20-50 ㎡；</w:t>
            </w:r>
          </w:p>
          <w:p w14:paraId="3409413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2、可遥控定时。3、功率 20-40W；</w:t>
            </w:r>
          </w:p>
        </w:tc>
        <w:tc>
          <w:tcPr>
            <w:tcW w:w="221" w:type="pct"/>
            <w:gridSpan w:val="2"/>
            <w:shd w:val="clear" w:color="auto" w:fill="auto"/>
            <w:noWrap/>
            <w:vAlign w:val="center"/>
          </w:tcPr>
          <w:p w14:paraId="3AEC6C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369A51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F5518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287" w:hRule="atLeast"/>
        </w:trPr>
        <w:tc>
          <w:tcPr>
            <w:tcW w:w="508" w:type="pct"/>
            <w:shd w:val="clear" w:color="auto" w:fill="auto"/>
            <w:noWrap/>
            <w:vAlign w:val="center"/>
          </w:tcPr>
          <w:p w14:paraId="183FC0C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9.11</w:t>
            </w:r>
          </w:p>
        </w:tc>
        <w:tc>
          <w:tcPr>
            <w:tcW w:w="346" w:type="pct"/>
            <w:shd w:val="clear" w:color="auto" w:fill="auto"/>
            <w:noWrap/>
            <w:vAlign w:val="center"/>
          </w:tcPr>
          <w:p w14:paraId="5A9271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窗口对讲</w:t>
            </w:r>
          </w:p>
        </w:tc>
        <w:tc>
          <w:tcPr>
            <w:tcW w:w="3489" w:type="pct"/>
            <w:shd w:val="clear" w:color="auto" w:fill="auto"/>
            <w:vAlign w:val="center"/>
          </w:tcPr>
          <w:p w14:paraId="45DA980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1.设备处理器：高性能嵌入式SOC处理器；2.设备操作系统：嵌入式Linux操作系统；3.设备音频参数：内置≥1路麦克风、≥1路外接鹅颈咪杆，支持智能噪声抑制和回声消除处理；4.设备网络接口：≥1个RJ45 10M/100M自适应网口；5.设备其他参数：≥1个电源开关，≥1个I/O输入，防护等级≥IP52，防爆等级≥IK08，工作温度支持-10℃-＋55℃；6.支持呼叫、对讲、广播功能，支持夜间操作辅助照明，支持防窃听功能，支持远程维护与升级功能.</w:t>
            </w:r>
          </w:p>
        </w:tc>
        <w:tc>
          <w:tcPr>
            <w:tcW w:w="221" w:type="pct"/>
            <w:gridSpan w:val="2"/>
            <w:shd w:val="clear" w:color="auto" w:fill="auto"/>
            <w:noWrap/>
            <w:vAlign w:val="center"/>
          </w:tcPr>
          <w:p w14:paraId="6897473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对</w:t>
            </w:r>
          </w:p>
        </w:tc>
        <w:tc>
          <w:tcPr>
            <w:tcW w:w="428" w:type="pct"/>
            <w:gridSpan w:val="2"/>
            <w:shd w:val="clear" w:color="auto" w:fill="auto"/>
            <w:noWrap/>
            <w:vAlign w:val="center"/>
          </w:tcPr>
          <w:p w14:paraId="7333D86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B70A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917" w:hRule="atLeast"/>
        </w:trPr>
        <w:tc>
          <w:tcPr>
            <w:tcW w:w="508" w:type="pct"/>
            <w:shd w:val="clear" w:color="auto" w:fill="auto"/>
            <w:noWrap/>
            <w:vAlign w:val="center"/>
          </w:tcPr>
          <w:p w14:paraId="64EFC16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9.12 </w:t>
            </w:r>
          </w:p>
        </w:tc>
        <w:tc>
          <w:tcPr>
            <w:tcW w:w="346" w:type="pct"/>
            <w:shd w:val="clear" w:color="auto" w:fill="auto"/>
            <w:noWrap/>
            <w:vAlign w:val="center"/>
          </w:tcPr>
          <w:p w14:paraId="3DD3CA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生命体征仪</w:t>
            </w:r>
          </w:p>
        </w:tc>
        <w:tc>
          <w:tcPr>
            <w:tcW w:w="3489" w:type="pct"/>
            <w:shd w:val="clear" w:color="auto" w:fill="auto"/>
            <w:vAlign w:val="center"/>
          </w:tcPr>
          <w:p w14:paraId="24CD8FE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12英寸彩色液晶显示，多种语言操作界面；2.无风扇设计，安静、节能、清洁，同时降低交叉感染的可能性；3.具有标准界面，呼吸氧合图，趋势共存界面，大字符界面，他床观察，便于用户观察；4.波形、参数颜色和位置可随意配置；5.通过按键和旋钮即可完成所有操作；6.最大同时显示8道波形；7.导心电同屏显示，心电波形级联显示；8.数字血氧技术，抗运动干扰，抗环境光干扰，弱灌注时可进行测量；9.无创血压测量方式：手动、连续、间隔测量任选，≥4800组血压数据存储；10.趋势表数据一键打印；11.内置可充电锂电池，交直流两用，可实现不间断监护，网络接口。</w:t>
            </w:r>
          </w:p>
        </w:tc>
        <w:tc>
          <w:tcPr>
            <w:tcW w:w="221" w:type="pct"/>
            <w:gridSpan w:val="2"/>
            <w:shd w:val="clear" w:color="auto" w:fill="auto"/>
            <w:noWrap/>
            <w:vAlign w:val="center"/>
          </w:tcPr>
          <w:p w14:paraId="049CF8D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43292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7A9E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144" w:hRule="atLeast"/>
        </w:trPr>
        <w:tc>
          <w:tcPr>
            <w:tcW w:w="508" w:type="pct"/>
            <w:shd w:val="clear" w:color="auto" w:fill="auto"/>
            <w:noWrap/>
            <w:vAlign w:val="center"/>
          </w:tcPr>
          <w:p w14:paraId="33D415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9.13</w:t>
            </w:r>
          </w:p>
        </w:tc>
        <w:tc>
          <w:tcPr>
            <w:tcW w:w="346" w:type="pct"/>
            <w:shd w:val="clear" w:color="auto" w:fill="auto"/>
            <w:noWrap/>
            <w:vAlign w:val="center"/>
          </w:tcPr>
          <w:p w14:paraId="38FB068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捺印交互终端</w:t>
            </w:r>
          </w:p>
        </w:tc>
        <w:tc>
          <w:tcPr>
            <w:tcW w:w="3489" w:type="pct"/>
            <w:shd w:val="clear" w:color="auto" w:fill="auto"/>
            <w:vAlign w:val="center"/>
          </w:tcPr>
          <w:p w14:paraId="3E3E34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核心系统：CPU：≥4核，频率≥1.8GHz；存储：≥2GBLPDDR+16GBeMMC；扩展内存：MicroSD,支持≥128GB；2、显示屏：尺寸：≥10.1英寸；显示比例：16:10；分辨率：≥1280*800；亮度：≥350cd/m²；对比度：≥800:1；可视角度：水平≥160°，垂直≥160°；3、摄像头：像素：≥200W；传感器：≥1/3"CMOS；有效像素@帧率：≥1920*1080@30fps；；最低照度：≥0.1lux；4、指纹模块：传感器类型：电容式；图像大小：≥256*360pixel；图像分辨率：≥500dpi；认假率（FAR）：≤0.001%；拒真率（FRR）：≤0.1%；5、通讯方式：USB连接：支持，USBHID免驱；以太网：支持，10/100M自适应以太网。</w:t>
            </w:r>
          </w:p>
        </w:tc>
        <w:tc>
          <w:tcPr>
            <w:tcW w:w="221" w:type="pct"/>
            <w:gridSpan w:val="2"/>
            <w:shd w:val="clear" w:color="auto" w:fill="auto"/>
            <w:noWrap/>
            <w:vAlign w:val="center"/>
          </w:tcPr>
          <w:p w14:paraId="72B843C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36747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9113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95" w:hRule="atLeast"/>
        </w:trPr>
        <w:tc>
          <w:tcPr>
            <w:tcW w:w="508" w:type="pct"/>
            <w:shd w:val="clear" w:color="auto" w:fill="auto"/>
            <w:noWrap/>
            <w:vAlign w:val="center"/>
          </w:tcPr>
          <w:p w14:paraId="08DE0B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9.14</w:t>
            </w:r>
          </w:p>
        </w:tc>
        <w:tc>
          <w:tcPr>
            <w:tcW w:w="346" w:type="pct"/>
            <w:shd w:val="clear" w:color="auto" w:fill="auto"/>
            <w:noWrap/>
            <w:vAlign w:val="center"/>
          </w:tcPr>
          <w:p w14:paraId="5430A71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有线耳机</w:t>
            </w:r>
          </w:p>
        </w:tc>
        <w:tc>
          <w:tcPr>
            <w:tcW w:w="3489" w:type="pct"/>
            <w:shd w:val="clear" w:color="auto" w:fill="auto"/>
            <w:vAlign w:val="center"/>
          </w:tcPr>
          <w:p w14:paraId="295F8C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佩戴方式入耳式耳机；麦克风频响范围20-20000Hz麦克风有；接口类型3.5mm外接AUX接口纠错；产品尺寸≥80x80x31mm；产品颜色黑色，白色。</w:t>
            </w:r>
          </w:p>
        </w:tc>
        <w:tc>
          <w:tcPr>
            <w:tcW w:w="221" w:type="pct"/>
            <w:gridSpan w:val="2"/>
            <w:shd w:val="clear" w:color="auto" w:fill="auto"/>
            <w:noWrap/>
            <w:vAlign w:val="center"/>
          </w:tcPr>
          <w:p w14:paraId="0C1F82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D9627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3FEA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581" w:hRule="atLeast"/>
        </w:trPr>
        <w:tc>
          <w:tcPr>
            <w:tcW w:w="508" w:type="pct"/>
            <w:shd w:val="clear" w:color="auto" w:fill="auto"/>
            <w:noWrap/>
            <w:vAlign w:val="center"/>
          </w:tcPr>
          <w:p w14:paraId="3AF49E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9.15 </w:t>
            </w:r>
          </w:p>
        </w:tc>
        <w:tc>
          <w:tcPr>
            <w:tcW w:w="346" w:type="pct"/>
            <w:shd w:val="clear" w:color="auto" w:fill="auto"/>
            <w:noWrap/>
            <w:vAlign w:val="center"/>
          </w:tcPr>
          <w:p w14:paraId="205072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5820430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6ABAEB5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227E68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D7A6D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238" w:hRule="atLeast"/>
        </w:trPr>
        <w:tc>
          <w:tcPr>
            <w:tcW w:w="508" w:type="pct"/>
            <w:shd w:val="clear" w:color="auto" w:fill="auto"/>
            <w:noWrap/>
            <w:vAlign w:val="center"/>
          </w:tcPr>
          <w:p w14:paraId="5FB51A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9.16 </w:t>
            </w:r>
          </w:p>
        </w:tc>
        <w:tc>
          <w:tcPr>
            <w:tcW w:w="346" w:type="pct"/>
            <w:shd w:val="clear" w:color="auto" w:fill="auto"/>
            <w:noWrap/>
            <w:vAlign w:val="center"/>
          </w:tcPr>
          <w:p w14:paraId="4E34DC7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审讯专用坐具</w:t>
            </w:r>
          </w:p>
        </w:tc>
        <w:tc>
          <w:tcPr>
            <w:tcW w:w="3489" w:type="pct"/>
            <w:shd w:val="clear" w:color="auto" w:fill="auto"/>
            <w:vAlign w:val="center"/>
          </w:tcPr>
          <w:p w14:paraId="50DFC8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审讯椅桌面上方装有手*铐，方便约束其手腕，下部为脚环装置。腰部有安全杠，防止头部前倾。审讯椅选用国标201优质不锈钢材料，包括靠背、座面、椅腿、扶手。采用优质铁管制作而成，结实耐用，桌面、靠背、坐垫处采用西皮软包，桌面也是钢板制成，无棱角更安全，手采用优质的U型锁，脚部为弹簧设计的锁扣，安全可靠，方便。可固定与地面上，安全带设计更为人性化。座位处及锁手处面板为加厚钢板，锁具为钥匙型，钥匙通用（特制），椅子后部有弹簧开关，掰动开关脚部锁具自动打开，使用中无需配备其它任何锁具，靠背有胸带，尺寸750x875x950mm，误差±5%。</w:t>
            </w:r>
          </w:p>
        </w:tc>
        <w:tc>
          <w:tcPr>
            <w:tcW w:w="221" w:type="pct"/>
            <w:gridSpan w:val="2"/>
            <w:shd w:val="clear" w:color="auto" w:fill="auto"/>
            <w:noWrap/>
            <w:vAlign w:val="center"/>
          </w:tcPr>
          <w:p w14:paraId="1D1CDC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24FB0B1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3658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417" w:hRule="atLeast"/>
        </w:trPr>
        <w:tc>
          <w:tcPr>
            <w:tcW w:w="508" w:type="pct"/>
            <w:shd w:val="clear" w:color="auto" w:fill="auto"/>
            <w:noWrap/>
            <w:vAlign w:val="center"/>
          </w:tcPr>
          <w:p w14:paraId="366C01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9.17</w:t>
            </w:r>
          </w:p>
        </w:tc>
        <w:tc>
          <w:tcPr>
            <w:tcW w:w="346" w:type="pct"/>
            <w:shd w:val="clear" w:color="auto" w:fill="auto"/>
            <w:noWrap/>
            <w:vAlign w:val="center"/>
          </w:tcPr>
          <w:p w14:paraId="6D9BD8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LED状态显示屏</w:t>
            </w:r>
          </w:p>
        </w:tc>
        <w:tc>
          <w:tcPr>
            <w:tcW w:w="3489" w:type="pct"/>
            <w:shd w:val="clear" w:color="auto" w:fill="auto"/>
            <w:vAlign w:val="center"/>
          </w:tcPr>
          <w:p w14:paraId="0FBC9C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1.类型：室内双色显示屏；2.LED封装：国产；3.像素间距：≤4.75mm；4.像素密度：≥44000点/㎡；5.亮度：≥500cd/㎡；6.视角：≥120°。</w:t>
            </w:r>
          </w:p>
        </w:tc>
        <w:tc>
          <w:tcPr>
            <w:tcW w:w="221" w:type="pct"/>
            <w:gridSpan w:val="2"/>
            <w:shd w:val="clear" w:color="auto" w:fill="auto"/>
            <w:noWrap/>
            <w:vAlign w:val="center"/>
          </w:tcPr>
          <w:p w14:paraId="3D9D57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3BAE2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40F2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8D9828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 </w:t>
            </w:r>
          </w:p>
        </w:tc>
        <w:tc>
          <w:tcPr>
            <w:tcW w:w="4486" w:type="pct"/>
            <w:gridSpan w:val="6"/>
            <w:shd w:val="clear" w:color="auto" w:fill="auto"/>
            <w:noWrap/>
            <w:vAlign w:val="center"/>
          </w:tcPr>
          <w:p w14:paraId="5FF1E4C2">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律师会见室（1间）</w:t>
            </w:r>
          </w:p>
        </w:tc>
      </w:tr>
      <w:tr w14:paraId="62D38E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57" w:hRule="atLeast"/>
        </w:trPr>
        <w:tc>
          <w:tcPr>
            <w:tcW w:w="508" w:type="pct"/>
            <w:shd w:val="clear" w:color="auto" w:fill="auto"/>
            <w:noWrap/>
            <w:vAlign w:val="center"/>
          </w:tcPr>
          <w:p w14:paraId="331D2D1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10.1</w:t>
            </w:r>
          </w:p>
        </w:tc>
        <w:tc>
          <w:tcPr>
            <w:tcW w:w="346" w:type="pct"/>
            <w:shd w:val="clear" w:color="auto" w:fill="auto"/>
            <w:noWrap/>
            <w:vAlign w:val="center"/>
          </w:tcPr>
          <w:p w14:paraId="0F01703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4E919EA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17E168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1C818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1004A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5BFEA0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10.2</w:t>
            </w:r>
          </w:p>
        </w:tc>
        <w:tc>
          <w:tcPr>
            <w:tcW w:w="346" w:type="pct"/>
            <w:shd w:val="clear" w:color="auto" w:fill="auto"/>
            <w:noWrap/>
            <w:vAlign w:val="center"/>
          </w:tcPr>
          <w:p w14:paraId="5DB9584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69E148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71181B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70F570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3207F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284461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10.3</w:t>
            </w:r>
          </w:p>
        </w:tc>
        <w:tc>
          <w:tcPr>
            <w:tcW w:w="346" w:type="pct"/>
            <w:shd w:val="clear" w:color="auto" w:fill="auto"/>
            <w:noWrap/>
            <w:vAlign w:val="center"/>
          </w:tcPr>
          <w:p w14:paraId="72ACC04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业务操作台</w:t>
            </w:r>
          </w:p>
        </w:tc>
        <w:tc>
          <w:tcPr>
            <w:tcW w:w="3489" w:type="pct"/>
            <w:shd w:val="clear" w:color="auto" w:fill="auto"/>
            <w:vAlign w:val="center"/>
          </w:tcPr>
          <w:p w14:paraId="43C0465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材质：1、面材：采用优质多层板，桌面厚度 225mm。2、基材：采用 E0 级多层板，要求达到 GB18580-2017 所规定的标准，单醛释放量≤0.124mg/m3;3、独立侧柜，侧柜含主机柜，隐藏式多功能线盒双层隔断置物。4、铰链：操作力在耐久性实验前后，打开力和关闭力不应大于 20N。耐久性商用试验：80000 次，无缺陷。5、导轨：功能耐久性（8000 次）、垂直向下静载荷（25ON)、水平侧向静载荷（150N)、拉出安全性、猛关或猛开，所有组件或连接件不应断损坏、五金连接件不松动、所有组件的功能不应损害。6、锁具：冲压件应无脱层、裂缝，电镀层表面应无剥落、反绣、毛刺，金属电镀层抗盐雾试验：18h,1.5mm 以下锈点≤20 点／ dm ，其中≥1.0mm</w:t>
            </w:r>
          </w:p>
        </w:tc>
        <w:tc>
          <w:tcPr>
            <w:tcW w:w="221" w:type="pct"/>
            <w:gridSpan w:val="2"/>
            <w:shd w:val="clear" w:color="auto" w:fill="auto"/>
            <w:noWrap/>
            <w:vAlign w:val="center"/>
          </w:tcPr>
          <w:p w14:paraId="494694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张</w:t>
            </w:r>
          </w:p>
        </w:tc>
        <w:tc>
          <w:tcPr>
            <w:tcW w:w="428" w:type="pct"/>
            <w:gridSpan w:val="2"/>
            <w:shd w:val="clear" w:color="auto" w:fill="auto"/>
            <w:noWrap/>
            <w:vAlign w:val="center"/>
          </w:tcPr>
          <w:p w14:paraId="4297E4D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04E8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92" w:hRule="atLeast"/>
        </w:trPr>
        <w:tc>
          <w:tcPr>
            <w:tcW w:w="508" w:type="pct"/>
            <w:shd w:val="clear" w:color="auto" w:fill="auto"/>
            <w:noWrap/>
            <w:vAlign w:val="center"/>
          </w:tcPr>
          <w:p w14:paraId="5D374D6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110.4</w:t>
            </w:r>
          </w:p>
        </w:tc>
        <w:tc>
          <w:tcPr>
            <w:tcW w:w="346" w:type="pct"/>
            <w:shd w:val="clear" w:color="auto" w:fill="auto"/>
            <w:noWrap/>
            <w:vAlign w:val="center"/>
          </w:tcPr>
          <w:p w14:paraId="14D433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民警坐具</w:t>
            </w:r>
          </w:p>
        </w:tc>
        <w:tc>
          <w:tcPr>
            <w:tcW w:w="3489" w:type="pct"/>
            <w:shd w:val="clear" w:color="auto" w:fill="auto"/>
            <w:vAlign w:val="center"/>
          </w:tcPr>
          <w:p w14:paraId="4C434A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4F5600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6403AD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5917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56F91FC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10.5</w:t>
            </w:r>
          </w:p>
        </w:tc>
        <w:tc>
          <w:tcPr>
            <w:tcW w:w="346" w:type="pct"/>
            <w:shd w:val="clear" w:color="auto" w:fill="auto"/>
            <w:noWrap/>
            <w:vAlign w:val="center"/>
          </w:tcPr>
          <w:p w14:paraId="302B87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审讯专用坐具</w:t>
            </w:r>
          </w:p>
        </w:tc>
        <w:tc>
          <w:tcPr>
            <w:tcW w:w="3489" w:type="pct"/>
            <w:shd w:val="clear" w:color="auto" w:fill="auto"/>
            <w:vAlign w:val="center"/>
          </w:tcPr>
          <w:p w14:paraId="3A4898B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审讯椅桌面上方装有手*铐，方便约束其手腕，下部为脚环装置。腰部有安全杠，防止头部前倾。审讯椅选用国标201优质不锈钢材料，包括靠背、座面、椅腿、扶手。采用优质铁管制作而成，结实耐用，桌面、靠背、坐垫处采用西皮软包，桌面也是钢板制成，无棱角更安全，手采用优质的U型锁，脚部为弹簧设计的锁扣，安全可靠，方便。可固定与地面上，安全带设计更为人性化。座位处及锁手处面板为加厚钢板，锁具为钥匙型，钥匙通用（特制），椅子后部有弹簧开关，掰动开关脚部锁具自动打开，使用中无需配备其它任何锁具，靠背有胸带，尺寸750x875x950mm，误差±5%。</w:t>
            </w:r>
          </w:p>
        </w:tc>
        <w:tc>
          <w:tcPr>
            <w:tcW w:w="221" w:type="pct"/>
            <w:gridSpan w:val="2"/>
            <w:shd w:val="clear" w:color="auto" w:fill="auto"/>
            <w:noWrap/>
            <w:vAlign w:val="center"/>
          </w:tcPr>
          <w:p w14:paraId="16E7D8E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68E534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3E80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3CBAE8E">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11</w:t>
            </w:r>
          </w:p>
        </w:tc>
        <w:tc>
          <w:tcPr>
            <w:tcW w:w="4486" w:type="pct"/>
            <w:gridSpan w:val="6"/>
            <w:shd w:val="clear" w:color="auto" w:fill="auto"/>
            <w:noWrap/>
            <w:vAlign w:val="center"/>
          </w:tcPr>
          <w:p w14:paraId="409534FE">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醒酒室</w:t>
            </w:r>
          </w:p>
        </w:tc>
      </w:tr>
      <w:tr w14:paraId="0BCA8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677445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11.1</w:t>
            </w:r>
          </w:p>
        </w:tc>
        <w:tc>
          <w:tcPr>
            <w:tcW w:w="346" w:type="pct"/>
            <w:shd w:val="clear" w:color="auto" w:fill="auto"/>
            <w:noWrap/>
            <w:vAlign w:val="center"/>
          </w:tcPr>
          <w:p w14:paraId="1D9AA2A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59B1D30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7C4691A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E57C1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3B6FC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0CFC7C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11.2</w:t>
            </w:r>
          </w:p>
        </w:tc>
        <w:tc>
          <w:tcPr>
            <w:tcW w:w="346" w:type="pct"/>
            <w:shd w:val="clear" w:color="auto" w:fill="auto"/>
            <w:noWrap/>
            <w:vAlign w:val="center"/>
          </w:tcPr>
          <w:p w14:paraId="3BD64C9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2FD7BF7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7414E69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F69E3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3F11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8082DF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11.3</w:t>
            </w:r>
          </w:p>
        </w:tc>
        <w:tc>
          <w:tcPr>
            <w:tcW w:w="346" w:type="pct"/>
            <w:shd w:val="clear" w:color="auto" w:fill="auto"/>
            <w:noWrap/>
            <w:vAlign w:val="center"/>
          </w:tcPr>
          <w:p w14:paraId="52DE795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药品柜</w:t>
            </w:r>
          </w:p>
        </w:tc>
        <w:tc>
          <w:tcPr>
            <w:tcW w:w="3489" w:type="pct"/>
            <w:shd w:val="clear" w:color="auto" w:fill="auto"/>
            <w:vAlign w:val="center"/>
          </w:tcPr>
          <w:p w14:paraId="7F61476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二抽药柜,1800*900*500/280mm</w:t>
            </w:r>
          </w:p>
        </w:tc>
        <w:tc>
          <w:tcPr>
            <w:tcW w:w="221" w:type="pct"/>
            <w:gridSpan w:val="2"/>
            <w:shd w:val="clear" w:color="auto" w:fill="auto"/>
            <w:noWrap/>
            <w:vAlign w:val="center"/>
          </w:tcPr>
          <w:p w14:paraId="6C397D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F129B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358E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C32BB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11.4</w:t>
            </w:r>
          </w:p>
        </w:tc>
        <w:tc>
          <w:tcPr>
            <w:tcW w:w="346" w:type="pct"/>
            <w:shd w:val="clear" w:color="auto" w:fill="auto"/>
            <w:noWrap/>
            <w:vAlign w:val="center"/>
          </w:tcPr>
          <w:p w14:paraId="0188926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醒酒椅</w:t>
            </w:r>
          </w:p>
        </w:tc>
        <w:tc>
          <w:tcPr>
            <w:tcW w:w="3489" w:type="pct"/>
            <w:shd w:val="clear" w:color="auto" w:fill="auto"/>
            <w:vAlign w:val="center"/>
          </w:tcPr>
          <w:p w14:paraId="020866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固定的铁制椅子，对面板和扶手进行了软包装，腿部、胸部、手臂处有木棍或伸缩带固定，坐上可使人不能动弹，防止醉酒人员在意识不清醒的情况下闹事。</w:t>
            </w:r>
          </w:p>
        </w:tc>
        <w:tc>
          <w:tcPr>
            <w:tcW w:w="221" w:type="pct"/>
            <w:gridSpan w:val="2"/>
            <w:shd w:val="clear" w:color="auto" w:fill="auto"/>
            <w:noWrap/>
            <w:vAlign w:val="center"/>
          </w:tcPr>
          <w:p w14:paraId="0D1F4D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把</w:t>
            </w:r>
          </w:p>
        </w:tc>
        <w:tc>
          <w:tcPr>
            <w:tcW w:w="428" w:type="pct"/>
            <w:gridSpan w:val="2"/>
            <w:shd w:val="clear" w:color="auto" w:fill="auto"/>
            <w:noWrap/>
            <w:vAlign w:val="center"/>
          </w:tcPr>
          <w:p w14:paraId="2FCD34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C1FC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496C387">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 xml:space="preserve">12 </w:t>
            </w:r>
          </w:p>
        </w:tc>
        <w:tc>
          <w:tcPr>
            <w:tcW w:w="4486" w:type="pct"/>
            <w:gridSpan w:val="6"/>
            <w:shd w:val="clear" w:color="auto" w:fill="auto"/>
            <w:noWrap/>
            <w:vAlign w:val="center"/>
          </w:tcPr>
          <w:p w14:paraId="5E169E2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辨认室</w:t>
            </w:r>
          </w:p>
        </w:tc>
      </w:tr>
      <w:tr w14:paraId="7C7AB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0D89412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12.1</w:t>
            </w:r>
          </w:p>
        </w:tc>
        <w:tc>
          <w:tcPr>
            <w:tcW w:w="346" w:type="pct"/>
            <w:shd w:val="clear" w:color="auto" w:fill="auto"/>
            <w:noWrap/>
            <w:vAlign w:val="center"/>
          </w:tcPr>
          <w:p w14:paraId="3F83FC4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7D19639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6E71585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677EA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368C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2058FA0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12.2</w:t>
            </w:r>
          </w:p>
        </w:tc>
        <w:tc>
          <w:tcPr>
            <w:tcW w:w="346" w:type="pct"/>
            <w:shd w:val="clear" w:color="auto" w:fill="auto"/>
            <w:noWrap/>
            <w:vAlign w:val="center"/>
          </w:tcPr>
          <w:p w14:paraId="50F1F0E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14D633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3D31D1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1FD70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4B7D5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6940D7F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12.3</w:t>
            </w:r>
          </w:p>
        </w:tc>
        <w:tc>
          <w:tcPr>
            <w:tcW w:w="346" w:type="pct"/>
            <w:shd w:val="clear" w:color="auto" w:fill="auto"/>
            <w:noWrap/>
            <w:vAlign w:val="center"/>
          </w:tcPr>
          <w:p w14:paraId="57A1E20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3A999C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6B266D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58F278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BDF92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733" w:hRule="atLeast"/>
        </w:trPr>
        <w:tc>
          <w:tcPr>
            <w:tcW w:w="508" w:type="pct"/>
            <w:shd w:val="clear" w:color="auto" w:fill="auto"/>
            <w:noWrap/>
            <w:vAlign w:val="center"/>
          </w:tcPr>
          <w:p w14:paraId="4DF7062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12.4</w:t>
            </w:r>
          </w:p>
        </w:tc>
        <w:tc>
          <w:tcPr>
            <w:tcW w:w="346" w:type="pct"/>
            <w:shd w:val="clear" w:color="auto" w:fill="auto"/>
            <w:noWrap/>
            <w:vAlign w:val="center"/>
          </w:tcPr>
          <w:p w14:paraId="30F578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窗口对讲</w:t>
            </w:r>
          </w:p>
        </w:tc>
        <w:tc>
          <w:tcPr>
            <w:tcW w:w="3489" w:type="pct"/>
            <w:shd w:val="clear" w:color="auto" w:fill="auto"/>
            <w:vAlign w:val="center"/>
          </w:tcPr>
          <w:p w14:paraId="032CD80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1.设备处理器：高性能嵌入式SOC处理器；2.设备操作系统：嵌入式Linux操作系统；3.设备音频参数：内置≥1路麦克风、≥1路外接鹅颈咪杆，支持智能噪声抑制和回声消除处理；4.设备网络接口：≥1个RJ45 10M/100M自适应网口；5.设备其他参数：≥1个电源开关，≥1个I/O输入，防护等级≥IP52，防爆等级≥IK08，工作温度支持-10℃-＋55℃；6.支持呼叫、对讲、广播功能，支持夜间操作辅助照明，支持防窃听功能，支持远程维护与升级功能.</w:t>
            </w:r>
          </w:p>
        </w:tc>
        <w:tc>
          <w:tcPr>
            <w:tcW w:w="221" w:type="pct"/>
            <w:gridSpan w:val="2"/>
            <w:shd w:val="clear" w:color="auto" w:fill="auto"/>
            <w:noWrap/>
            <w:vAlign w:val="center"/>
          </w:tcPr>
          <w:p w14:paraId="4085DD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对</w:t>
            </w:r>
          </w:p>
        </w:tc>
        <w:tc>
          <w:tcPr>
            <w:tcW w:w="428" w:type="pct"/>
            <w:gridSpan w:val="2"/>
            <w:shd w:val="clear" w:color="auto" w:fill="auto"/>
            <w:noWrap/>
            <w:vAlign w:val="center"/>
          </w:tcPr>
          <w:p w14:paraId="460E91B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3E9F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3E79E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13 </w:t>
            </w:r>
          </w:p>
        </w:tc>
        <w:tc>
          <w:tcPr>
            <w:tcW w:w="4486" w:type="pct"/>
            <w:gridSpan w:val="6"/>
            <w:shd w:val="clear" w:color="auto" w:fill="auto"/>
            <w:noWrap/>
            <w:vAlign w:val="center"/>
          </w:tcPr>
          <w:p w14:paraId="45A49C36">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办案区走廊</w:t>
            </w:r>
          </w:p>
        </w:tc>
      </w:tr>
      <w:tr w14:paraId="768C3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3C0F4E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13.1</w:t>
            </w:r>
          </w:p>
        </w:tc>
        <w:tc>
          <w:tcPr>
            <w:tcW w:w="346" w:type="pct"/>
            <w:shd w:val="clear" w:color="auto" w:fill="auto"/>
            <w:noWrap/>
            <w:vAlign w:val="center"/>
          </w:tcPr>
          <w:p w14:paraId="48F92A9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6BA264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1D6EBD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E45389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 </w:t>
            </w:r>
          </w:p>
        </w:tc>
      </w:tr>
      <w:tr w14:paraId="67575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6DD849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13.2</w:t>
            </w:r>
          </w:p>
        </w:tc>
        <w:tc>
          <w:tcPr>
            <w:tcW w:w="346" w:type="pct"/>
            <w:shd w:val="clear" w:color="auto" w:fill="auto"/>
            <w:noWrap/>
            <w:vAlign w:val="center"/>
          </w:tcPr>
          <w:p w14:paraId="7BB44F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5954D3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563196B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6E80A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6 </w:t>
            </w:r>
          </w:p>
        </w:tc>
      </w:tr>
      <w:tr w14:paraId="6CE9E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D04CC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13.3</w:t>
            </w:r>
          </w:p>
        </w:tc>
        <w:tc>
          <w:tcPr>
            <w:tcW w:w="346" w:type="pct"/>
            <w:shd w:val="clear" w:color="auto" w:fill="auto"/>
            <w:noWrap/>
            <w:vAlign w:val="center"/>
          </w:tcPr>
          <w:p w14:paraId="335695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63A0E2B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097F14C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FC5F41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r>
      <w:tr w14:paraId="6EF6A7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F2021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13.4</w:t>
            </w:r>
          </w:p>
        </w:tc>
        <w:tc>
          <w:tcPr>
            <w:tcW w:w="346" w:type="pct"/>
            <w:shd w:val="clear" w:color="auto" w:fill="auto"/>
            <w:noWrap/>
            <w:vAlign w:val="center"/>
          </w:tcPr>
          <w:p w14:paraId="163A79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配套设备</w:t>
            </w:r>
          </w:p>
        </w:tc>
        <w:tc>
          <w:tcPr>
            <w:tcW w:w="3489" w:type="pct"/>
            <w:shd w:val="clear" w:color="auto" w:fill="auto"/>
            <w:vAlign w:val="center"/>
          </w:tcPr>
          <w:p w14:paraId="23E4A0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成品定制：成品定制，标识标牌，墙壁粘贴相关提示语和警示语，张贴覆盖范围2*2.4米，≥1厘米厚亚克力印刷，广告钉安装。</w:t>
            </w:r>
          </w:p>
        </w:tc>
        <w:tc>
          <w:tcPr>
            <w:tcW w:w="221" w:type="pct"/>
            <w:gridSpan w:val="2"/>
            <w:shd w:val="clear" w:color="auto" w:fill="auto"/>
            <w:noWrap/>
            <w:vAlign w:val="center"/>
          </w:tcPr>
          <w:p w14:paraId="14C31B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F876BE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07F6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13A35E9">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 xml:space="preserve">14 </w:t>
            </w:r>
          </w:p>
        </w:tc>
        <w:tc>
          <w:tcPr>
            <w:tcW w:w="4486" w:type="pct"/>
            <w:gridSpan w:val="6"/>
            <w:shd w:val="clear" w:color="auto" w:fill="auto"/>
            <w:noWrap/>
            <w:vAlign w:val="center"/>
          </w:tcPr>
          <w:p w14:paraId="2FA71365">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办案区机房</w:t>
            </w:r>
          </w:p>
        </w:tc>
      </w:tr>
      <w:tr w14:paraId="5C0E0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0FE5AC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14.1</w:t>
            </w:r>
          </w:p>
        </w:tc>
        <w:tc>
          <w:tcPr>
            <w:tcW w:w="346" w:type="pct"/>
            <w:shd w:val="clear" w:color="auto" w:fill="auto"/>
            <w:noWrap/>
            <w:vAlign w:val="center"/>
          </w:tcPr>
          <w:p w14:paraId="48BE9B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机柜</w:t>
            </w:r>
          </w:p>
        </w:tc>
        <w:tc>
          <w:tcPr>
            <w:tcW w:w="3489" w:type="pct"/>
            <w:shd w:val="clear" w:color="auto" w:fill="auto"/>
            <w:vAlign w:val="center"/>
          </w:tcPr>
          <w:p w14:paraId="1F8ACF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42U服务器机柜：承重：静态≥1000KG；前后门材质：前单开网孔门，后双开网孔门，冷轧板 T≥1.2；门敞开百分比：前门≥78%，后门≥77%；侧门材质：冷轧板 T≥1.0；门框左右立柱材质：冷轧板 T≥1.2（框架）；左右支架：冷轧板 T≥2.0；横梁：冷轧板 T≥1.2；层板：≥1个，宽470*深850*高48 mm，误差±5%，承重≥60KG；L型隔条/支架：≥1对，长850*宽38*高38 mm，误差±5%，承重≥30KG；PDU：≥1个，≥8口PDU，输入≥10A，带≥2M线；滚轮：支持，≥4个；脚撑：支持，≥4个；辅件：≥40套安装螺丝，前/后侧门钥匙各两把；尺寸（宽*深*高）：600*1200*2000 mm，误差±5%</w:t>
            </w:r>
          </w:p>
        </w:tc>
        <w:tc>
          <w:tcPr>
            <w:tcW w:w="221" w:type="pct"/>
            <w:gridSpan w:val="2"/>
            <w:shd w:val="clear" w:color="auto" w:fill="auto"/>
            <w:noWrap/>
            <w:vAlign w:val="center"/>
          </w:tcPr>
          <w:p w14:paraId="4DA3682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44872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E742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450289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14.2</w:t>
            </w:r>
          </w:p>
        </w:tc>
        <w:tc>
          <w:tcPr>
            <w:tcW w:w="346" w:type="pct"/>
            <w:shd w:val="clear" w:color="auto" w:fill="auto"/>
            <w:noWrap/>
            <w:vAlign w:val="center"/>
          </w:tcPr>
          <w:p w14:paraId="4D95399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UPS主机</w:t>
            </w:r>
          </w:p>
        </w:tc>
        <w:tc>
          <w:tcPr>
            <w:tcW w:w="3489" w:type="pct"/>
            <w:shd w:val="clear" w:color="auto" w:fill="auto"/>
            <w:vAlign w:val="center"/>
          </w:tcPr>
          <w:p w14:paraId="5B70A3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额定容量：15KW/15KVA；额定输入电压：380/400/415Vac；输入电压范围：138～485Vac；相数：三相五线；输入频率范围：40~70Hz；输入功率因数：满载≥0.99；输出电压：380/400/415(1±1%)Vac；输出频率：市电模式：与输入同步；当市电频率超出最大±10%（可设置±1%、±2%、±4%、±5%）时，输出频率50/60(±0.1);电池模式：50/60(±0.1)；整机效率：≥95%；功率因数：≥1；过载能力：115％以下：长时间运行；115％~130％：15min；130％~155％：1min；＞155%：200ms；电池电压：支持24-40节可设(默认32节)；工作温度：-5℃～40℃；存储温度：-25℃～55℃(不含电池)；相对湿度：0%～95%(不凝露)</w:t>
            </w:r>
          </w:p>
        </w:tc>
        <w:tc>
          <w:tcPr>
            <w:tcW w:w="221" w:type="pct"/>
            <w:gridSpan w:val="2"/>
            <w:shd w:val="clear" w:color="auto" w:fill="auto"/>
            <w:noWrap/>
            <w:vAlign w:val="center"/>
          </w:tcPr>
          <w:p w14:paraId="0E3B29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1CB1C8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BC0C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26F36B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14.3</w:t>
            </w:r>
          </w:p>
        </w:tc>
        <w:tc>
          <w:tcPr>
            <w:tcW w:w="346" w:type="pct"/>
            <w:shd w:val="clear" w:color="auto" w:fill="auto"/>
            <w:noWrap/>
            <w:vAlign w:val="center"/>
          </w:tcPr>
          <w:p w14:paraId="4C5E001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UPS电池</w:t>
            </w:r>
          </w:p>
        </w:tc>
        <w:tc>
          <w:tcPr>
            <w:tcW w:w="3489" w:type="pct"/>
            <w:shd w:val="clear" w:color="auto" w:fill="auto"/>
            <w:vAlign w:val="center"/>
          </w:tcPr>
          <w:p w14:paraId="473847D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额定电压：12V；2、额定容量：100AH；3、设计浮充寿命：8-10年；4、外观：无变形、漏液、裂纹及污迹；标识清晰。5、结构：正、负极端子有明显标志，便于连接。6、气密性：能承受50kPa的正压或负压而不破裂、不开胶，压力释放后壳体无残余变形。7、大电流放电：以30I10A放电3min,极柱不熔断、内部汇流排不熔断，外观不出现异常。8、容益保存率：静置28天后容呈保存率≥96%。9、密封反应效率：密封反应效率≥95%；10、防酸雾性能：对完全充电后的电池以0.2I10A电流连续再充电4h，PH值应呈中性。11、安全阀要求：开阀压力：10-35kPa；闭阀压力：3-30kPa。12、耐过充电能力：完全充电后的电池以0.03C10连续充电160h,无变形、无漏液。13、端电压均衡性：开路：最高与最低差值应≤100mV；设计浮充：进入设计浮充状态24h后端电压差≤480mV；放电：端电压差≤600mV；14、电池间连接电压降：△U≤l0mV；15、防爆性能：充电过程中遇明火，内部不引燃、不引爆；16、封口剂性能：环境温度-30℃~+65℃之间，封口剂无裂纹与溢流现象；17、内阻：同组蓄电池内阻偏差为实测值；18、热失控敏感性：蓄电池温度≤60℃；每24h的电流增长率≤50%；19、过度放电：容量恢复值≥90%；20、低温敏感性：10h率容量≥O.9C10；外观无破裂、过度膨胀及槽、盖分离现象；21、再充电性能：恒压充屯24h的再充电能力因素Rbr21h≥85%；22、容量一致性：同组蓄电池容量试验时，最大实际容量与最小实际容量差值≤5%。</w:t>
            </w:r>
          </w:p>
        </w:tc>
        <w:tc>
          <w:tcPr>
            <w:tcW w:w="221" w:type="pct"/>
            <w:gridSpan w:val="2"/>
            <w:shd w:val="clear" w:color="auto" w:fill="auto"/>
            <w:noWrap/>
            <w:vAlign w:val="center"/>
          </w:tcPr>
          <w:p w14:paraId="007CB6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节</w:t>
            </w:r>
          </w:p>
        </w:tc>
        <w:tc>
          <w:tcPr>
            <w:tcW w:w="428" w:type="pct"/>
            <w:gridSpan w:val="2"/>
            <w:shd w:val="clear" w:color="auto" w:fill="auto"/>
            <w:noWrap/>
            <w:vAlign w:val="center"/>
          </w:tcPr>
          <w:p w14:paraId="7641DD2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30 </w:t>
            </w:r>
          </w:p>
        </w:tc>
      </w:tr>
      <w:tr w14:paraId="5789E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4A0CCF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14.4</w:t>
            </w:r>
          </w:p>
        </w:tc>
        <w:tc>
          <w:tcPr>
            <w:tcW w:w="346" w:type="pct"/>
            <w:shd w:val="clear" w:color="auto" w:fill="auto"/>
            <w:noWrap/>
            <w:vAlign w:val="center"/>
          </w:tcPr>
          <w:p w14:paraId="56D9A9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UPS电池柜</w:t>
            </w:r>
          </w:p>
        </w:tc>
        <w:tc>
          <w:tcPr>
            <w:tcW w:w="3489" w:type="pct"/>
            <w:shd w:val="clear" w:color="auto" w:fill="auto"/>
            <w:vAlign w:val="center"/>
          </w:tcPr>
          <w:p w14:paraId="2B15D1B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外观尺寸：长*宽*高：950*780*1200(mm)，误差±5%；安装方式：框架焊接式，前后插板；材料类型：冷轧钢板（SPCC）板材厚度：左壁厚度≥1.0mm,右壁厚度≥1.0mm,顶盖厚度≥0.6mm；层板：30*30/40*40角铁；其他板厚：立柱为角铁型材增加加强筋结构，柜体为整体受力结构</w:t>
            </w:r>
          </w:p>
        </w:tc>
        <w:tc>
          <w:tcPr>
            <w:tcW w:w="221" w:type="pct"/>
            <w:gridSpan w:val="2"/>
            <w:shd w:val="clear" w:color="auto" w:fill="auto"/>
            <w:noWrap/>
            <w:vAlign w:val="center"/>
          </w:tcPr>
          <w:p w14:paraId="4DEC5F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6B4FD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94E41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5913285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14.5</w:t>
            </w:r>
          </w:p>
        </w:tc>
        <w:tc>
          <w:tcPr>
            <w:tcW w:w="346" w:type="pct"/>
            <w:shd w:val="clear" w:color="auto" w:fill="auto"/>
            <w:noWrap/>
            <w:vAlign w:val="center"/>
          </w:tcPr>
          <w:p w14:paraId="1D09C5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电池箱内线缆</w:t>
            </w:r>
          </w:p>
        </w:tc>
        <w:tc>
          <w:tcPr>
            <w:tcW w:w="3489" w:type="pct"/>
            <w:shd w:val="clear" w:color="auto" w:fill="auto"/>
            <w:vAlign w:val="center"/>
          </w:tcPr>
          <w:p w14:paraId="3C5BC0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1、连接线缆：规格:ZR-BVR-16方；数量至少具有：长度1200mm*2根,450mm*33根；2、绝缘帽：数量至少具有：68；颜色：红/黑；3、铜鼻子：规格：OT-8，已压接；数量（套）至少具有：70</w:t>
            </w:r>
          </w:p>
        </w:tc>
        <w:tc>
          <w:tcPr>
            <w:tcW w:w="221" w:type="pct"/>
            <w:gridSpan w:val="2"/>
            <w:shd w:val="clear" w:color="auto" w:fill="auto"/>
            <w:noWrap/>
            <w:vAlign w:val="center"/>
          </w:tcPr>
          <w:p w14:paraId="106D43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C8D5CC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6CF46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50568D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14.6</w:t>
            </w:r>
          </w:p>
        </w:tc>
        <w:tc>
          <w:tcPr>
            <w:tcW w:w="346" w:type="pct"/>
            <w:shd w:val="clear" w:color="auto" w:fill="auto"/>
            <w:noWrap/>
            <w:vAlign w:val="center"/>
          </w:tcPr>
          <w:p w14:paraId="6E9D86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UPS安装服务</w:t>
            </w:r>
          </w:p>
        </w:tc>
        <w:tc>
          <w:tcPr>
            <w:tcW w:w="3489" w:type="pct"/>
            <w:shd w:val="clear" w:color="auto" w:fill="auto"/>
            <w:vAlign w:val="center"/>
          </w:tcPr>
          <w:p w14:paraId="529CCE4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UPS安装服务：安装调试工作范围：1.电池箱的组装工作；2.电池的放置、连线工作；3.主机和电池箱之间的连线；4.主机和前端配电箱之间线缆的对接工作；5.主机和后端列头柜之间线缆的对接工作；6.主机开机调试；7.UPS主机使用培训。</w:t>
            </w:r>
          </w:p>
        </w:tc>
        <w:tc>
          <w:tcPr>
            <w:tcW w:w="221" w:type="pct"/>
            <w:gridSpan w:val="2"/>
            <w:shd w:val="clear" w:color="auto" w:fill="auto"/>
            <w:noWrap/>
            <w:vAlign w:val="center"/>
          </w:tcPr>
          <w:p w14:paraId="127E09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项</w:t>
            </w:r>
          </w:p>
        </w:tc>
        <w:tc>
          <w:tcPr>
            <w:tcW w:w="428" w:type="pct"/>
            <w:gridSpan w:val="2"/>
            <w:shd w:val="clear" w:color="auto" w:fill="auto"/>
            <w:noWrap/>
            <w:vAlign w:val="center"/>
          </w:tcPr>
          <w:p w14:paraId="7AE198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4527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E1BE10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14.7</w:t>
            </w:r>
          </w:p>
        </w:tc>
        <w:tc>
          <w:tcPr>
            <w:tcW w:w="346" w:type="pct"/>
            <w:shd w:val="clear" w:color="auto" w:fill="auto"/>
            <w:noWrap/>
            <w:vAlign w:val="center"/>
          </w:tcPr>
          <w:p w14:paraId="4090F4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机房空调</w:t>
            </w:r>
          </w:p>
        </w:tc>
        <w:tc>
          <w:tcPr>
            <w:tcW w:w="3489" w:type="pct"/>
            <w:shd w:val="clear" w:color="auto" w:fill="auto"/>
            <w:vAlign w:val="center"/>
          </w:tcPr>
          <w:p w14:paraId="19D571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3匹变频制冷空调</w:t>
            </w:r>
          </w:p>
        </w:tc>
        <w:tc>
          <w:tcPr>
            <w:tcW w:w="221" w:type="pct"/>
            <w:gridSpan w:val="2"/>
            <w:shd w:val="clear" w:color="auto" w:fill="auto"/>
            <w:noWrap/>
            <w:vAlign w:val="center"/>
          </w:tcPr>
          <w:p w14:paraId="4E67908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A9C80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B87E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9D153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14.8</w:t>
            </w:r>
          </w:p>
        </w:tc>
        <w:tc>
          <w:tcPr>
            <w:tcW w:w="346" w:type="pct"/>
            <w:shd w:val="clear" w:color="auto" w:fill="auto"/>
            <w:noWrap/>
            <w:vAlign w:val="center"/>
          </w:tcPr>
          <w:p w14:paraId="61242C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七氟丙烷灭火器</w:t>
            </w:r>
          </w:p>
        </w:tc>
        <w:tc>
          <w:tcPr>
            <w:tcW w:w="3489" w:type="pct"/>
            <w:shd w:val="clear" w:color="auto" w:fill="auto"/>
            <w:vAlign w:val="center"/>
          </w:tcPr>
          <w:p w14:paraId="674F63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七氟丙烷灭火器，单柜式七氟丙烷气体灭火装置，</w:t>
            </w:r>
          </w:p>
        </w:tc>
        <w:tc>
          <w:tcPr>
            <w:tcW w:w="221" w:type="pct"/>
            <w:gridSpan w:val="2"/>
            <w:shd w:val="clear" w:color="auto" w:fill="auto"/>
            <w:noWrap/>
            <w:vAlign w:val="center"/>
          </w:tcPr>
          <w:p w14:paraId="743FB9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74D67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A86B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97FFF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15 </w:t>
            </w:r>
          </w:p>
        </w:tc>
        <w:tc>
          <w:tcPr>
            <w:tcW w:w="4486" w:type="pct"/>
            <w:gridSpan w:val="6"/>
            <w:shd w:val="clear" w:color="auto" w:fill="auto"/>
            <w:noWrap/>
            <w:vAlign w:val="center"/>
          </w:tcPr>
          <w:p w14:paraId="7760325A">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高精度定位系统</w:t>
            </w:r>
          </w:p>
        </w:tc>
      </w:tr>
      <w:tr w14:paraId="33DA1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19BD66A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15.1</w:t>
            </w:r>
          </w:p>
        </w:tc>
        <w:tc>
          <w:tcPr>
            <w:tcW w:w="346" w:type="pct"/>
            <w:shd w:val="clear" w:color="auto" w:fill="auto"/>
            <w:noWrap/>
            <w:vAlign w:val="center"/>
          </w:tcPr>
          <w:p w14:paraId="19C005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渲染引擎</w:t>
            </w:r>
          </w:p>
        </w:tc>
        <w:tc>
          <w:tcPr>
            <w:tcW w:w="3489" w:type="pct"/>
            <w:shd w:val="clear" w:color="auto" w:fill="auto"/>
            <w:vAlign w:val="center"/>
          </w:tcPr>
          <w:p w14:paraId="2707D7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提供三维模型的渲染，具体如下：1.全景图渲染：把360°×180°的全景图片渲染为3D效果的720°全景，可远近缩放、360°拖动；2.标签叠加：支持在720°全景图上叠加图形、文字、矢量图形、动画、视频、语音等标签；3.视频融合：支持把视频（实时视频/本地视频）叠加到720°全景图上，实现虚实结合的效果；4.支持大分辨率图片切片及展示时按可视域加载；5.支持鱼眼效果、水晶球效果的切换。</w:t>
            </w:r>
          </w:p>
        </w:tc>
        <w:tc>
          <w:tcPr>
            <w:tcW w:w="221" w:type="pct"/>
            <w:gridSpan w:val="2"/>
            <w:shd w:val="clear" w:color="auto" w:fill="auto"/>
            <w:noWrap/>
            <w:vAlign w:val="center"/>
          </w:tcPr>
          <w:p w14:paraId="46BA99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9ADDE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D233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13882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15.2</w:t>
            </w:r>
          </w:p>
        </w:tc>
        <w:tc>
          <w:tcPr>
            <w:tcW w:w="346" w:type="pct"/>
            <w:shd w:val="clear" w:color="auto" w:fill="auto"/>
            <w:noWrap/>
            <w:vAlign w:val="center"/>
          </w:tcPr>
          <w:p w14:paraId="44FF70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场景接入数</w:t>
            </w:r>
          </w:p>
        </w:tc>
        <w:tc>
          <w:tcPr>
            <w:tcW w:w="3489" w:type="pct"/>
            <w:shd w:val="clear" w:color="auto" w:fill="auto"/>
            <w:vAlign w:val="center"/>
          </w:tcPr>
          <w:p w14:paraId="4DA4C0F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虚拟现实展示地点，一个拍摄/建模地点地为一个场景（一个办案区为一个场景，每个场景可展示多张3D模型）</w:t>
            </w:r>
          </w:p>
        </w:tc>
        <w:tc>
          <w:tcPr>
            <w:tcW w:w="221" w:type="pct"/>
            <w:gridSpan w:val="2"/>
            <w:shd w:val="clear" w:color="auto" w:fill="auto"/>
            <w:noWrap/>
            <w:vAlign w:val="center"/>
          </w:tcPr>
          <w:p w14:paraId="252133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79E45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7872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0" w:hRule="atLeast"/>
        </w:trPr>
        <w:tc>
          <w:tcPr>
            <w:tcW w:w="508" w:type="pct"/>
            <w:shd w:val="clear" w:color="auto" w:fill="auto"/>
            <w:noWrap/>
            <w:vAlign w:val="center"/>
          </w:tcPr>
          <w:p w14:paraId="47A78A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15.3</w:t>
            </w:r>
          </w:p>
        </w:tc>
        <w:tc>
          <w:tcPr>
            <w:tcW w:w="346" w:type="pct"/>
            <w:shd w:val="clear" w:color="auto" w:fill="auto"/>
            <w:noWrap/>
            <w:vAlign w:val="center"/>
          </w:tcPr>
          <w:p w14:paraId="3071B3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三维配置应用</w:t>
            </w:r>
          </w:p>
        </w:tc>
        <w:tc>
          <w:tcPr>
            <w:tcW w:w="3489" w:type="pct"/>
            <w:shd w:val="clear" w:color="auto" w:fill="auto"/>
            <w:vAlign w:val="center"/>
          </w:tcPr>
          <w:p w14:paraId="162B77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模型加载：支持在三维场景中加载、调度三维模型数据。2、地图操作：支持在三维场景中实现放大、缩小、上升、下降、俯视、仰视、旋转，实现对场景的360°全方位操作。支持触摸屏的多点触摸操作地图。3、标注管理：支持用户在全场景中，自由标注出感兴趣的点位位置。已标注的点位将在列表或场景直接展示，点击场景中的标注弹出气泡或面板，展示点位的具体属性信息。三维场景中的标注可显示或隐藏。标注可进行分类，支持对标注的点位进行增加、删除、修改、查询。4、视点管理：视点管理功能，用户可在场景中选定的任意高度和任意角度的位置，对当前的场景进行保存，方便用户后续对特定场景进行定位，快速切换到指定视点进行浏览。点击每个视点后面的隐显按钮，可进行视点间的切换。支持对视点进行添加、删除、查询以及修改信息。5、图层管理：支持对图层节点及子节点进行添加、删除、查询以及修改信息支持各类图层以树的层级结构方式进行展示。支持场景数据的分图层管理，用户可以根据需求操作图层的开启和隐藏，依据需要创建新的图层，实现图层节点或对象的增删改查。如：将场景地图分为摄像头图层、烟感图层、出入口图层、重要POI图层等各类场景的要素图层，支持监控点等资源图层在地图上显示或者隐藏。6、路径漫游：用户制定好场景漫游的路线，在场景中沿着此路线进行漫游浏览，支持播放、暂停、停止播放等功能。7、地图工具：可点击选择两点，测量两点间的水平或者垂直方向的距离。可点选多个点，测量其形成的多边形面积。可点击选择两点，测量两点之间的贴地距离。8、模型管理：支持上传json、obj、fbx格式的模型，可以卡片形式管理上传的模型;支持批量删除、编辑、重命名模型；支持按模型名称搜索三维模型；9、标签配置：支持在三维模型上绘制矩形、圆形、自定义多边形标签，可自定义设置点位标签放置位置、标签名称、类型，参数等</w:t>
            </w:r>
          </w:p>
        </w:tc>
        <w:tc>
          <w:tcPr>
            <w:tcW w:w="221" w:type="pct"/>
            <w:gridSpan w:val="2"/>
            <w:shd w:val="clear" w:color="auto" w:fill="auto"/>
            <w:noWrap/>
            <w:vAlign w:val="center"/>
          </w:tcPr>
          <w:p w14:paraId="57C263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3FC0BD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87FE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C96A3F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15.4</w:t>
            </w:r>
          </w:p>
        </w:tc>
        <w:tc>
          <w:tcPr>
            <w:tcW w:w="346" w:type="pct"/>
            <w:shd w:val="clear" w:color="auto" w:fill="auto"/>
            <w:noWrap/>
            <w:vAlign w:val="center"/>
          </w:tcPr>
          <w:p w14:paraId="320392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三维模型接入数</w:t>
            </w:r>
          </w:p>
        </w:tc>
        <w:tc>
          <w:tcPr>
            <w:tcW w:w="3489" w:type="pct"/>
            <w:shd w:val="clear" w:color="auto" w:fill="auto"/>
            <w:vAlign w:val="center"/>
          </w:tcPr>
          <w:p w14:paraId="7617CE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接入三维模型，结合渲染引擎实现模型的展示</w:t>
            </w:r>
          </w:p>
        </w:tc>
        <w:tc>
          <w:tcPr>
            <w:tcW w:w="221" w:type="pct"/>
            <w:gridSpan w:val="2"/>
            <w:shd w:val="clear" w:color="auto" w:fill="auto"/>
            <w:noWrap/>
            <w:vAlign w:val="center"/>
          </w:tcPr>
          <w:p w14:paraId="1B4853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F179C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5DBB9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98075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15.5</w:t>
            </w:r>
          </w:p>
        </w:tc>
        <w:tc>
          <w:tcPr>
            <w:tcW w:w="346" w:type="pct"/>
            <w:shd w:val="clear" w:color="auto" w:fill="auto"/>
            <w:noWrap/>
            <w:vAlign w:val="center"/>
          </w:tcPr>
          <w:p w14:paraId="30FA2A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仿真三维模型建模服务</w:t>
            </w:r>
          </w:p>
        </w:tc>
        <w:tc>
          <w:tcPr>
            <w:tcW w:w="3489" w:type="pct"/>
            <w:shd w:val="clear" w:color="auto" w:fill="auto"/>
            <w:vAlign w:val="center"/>
          </w:tcPr>
          <w:p w14:paraId="3A50B3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利用CAD图纸，针对办案区整体以及各个房间进行人工模型制作，并在三维平台进行加载展示</w:t>
            </w:r>
          </w:p>
        </w:tc>
        <w:tc>
          <w:tcPr>
            <w:tcW w:w="221" w:type="pct"/>
            <w:gridSpan w:val="2"/>
            <w:shd w:val="clear" w:color="auto" w:fill="auto"/>
            <w:noWrap/>
            <w:vAlign w:val="center"/>
          </w:tcPr>
          <w:p w14:paraId="661FD64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57502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9A7A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405B0B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15.6</w:t>
            </w:r>
          </w:p>
        </w:tc>
        <w:tc>
          <w:tcPr>
            <w:tcW w:w="346" w:type="pct"/>
            <w:shd w:val="clear" w:color="auto" w:fill="auto"/>
            <w:noWrap/>
            <w:vAlign w:val="center"/>
          </w:tcPr>
          <w:p w14:paraId="212E406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动线应用服务器</w:t>
            </w:r>
          </w:p>
        </w:tc>
        <w:tc>
          <w:tcPr>
            <w:tcW w:w="3489" w:type="pct"/>
            <w:shd w:val="clear" w:color="auto" w:fill="auto"/>
            <w:vAlign w:val="center"/>
          </w:tcPr>
          <w:p w14:paraId="256544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能特性：1、支持接入倾斜场景下的轨迹分析相机，接入目标人脸、人体图片，世界坐标轨迹；2、支持对人脸进行属性提取、建模、比对、聚类分析；3、应支持人体结构化数据分析和人脸识别分析4、支持将同一目标在不同相机下的运动轨迹进行合并；5、支持按需检索目标完整的运动轨迹性能参数：1.支持≥5张地图；2.支持≥50人历史轨迹合并；3.支持≥100万名单库；4.支持≥200万抓拍库；5.支持存储≥30天轨迹数据（日均≥1000万轨迹点）；6.支持合并同一人在不同IPC的运动轨迹，可查询指定人员在指定时间、区域的轨迹信息；支持≥16个名单库，可分别进行管理，每个库可设置不同发报警阈值；最大支持≥100万静态名单库存储，支持创建、删除、查看、布控名单库；7.支持导入坐标地图，支持坐标地图信息修改，支持在坐标地图上同时展示多人轨迹，支持不少于2500条/秒的轨迹数据入库。8.应支持通过人脸与人员信息关联9.应支持对嫌疑人从入区到出区的全过程轨迹进行视频拼接</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硬件处理器：CPU:≥1颗（≥48线程，≥2.2GHz）；内存：≥128GB DDR4；AI智能卡：≥1*智能卡；硬盘：不少于480G SSD*2（系统）+ 2T SATA *1</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外部接口：千兆电口：≥2个；USB：≥4个；VGA：≥2个；机箱规格 ：≥2U 机架式服务器机箱。</w:t>
            </w:r>
          </w:p>
        </w:tc>
        <w:tc>
          <w:tcPr>
            <w:tcW w:w="221" w:type="pct"/>
            <w:gridSpan w:val="2"/>
            <w:shd w:val="clear" w:color="auto" w:fill="auto"/>
            <w:noWrap/>
            <w:vAlign w:val="center"/>
          </w:tcPr>
          <w:p w14:paraId="0EF0D1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5EFB2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B81F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970" w:hRule="atLeast"/>
        </w:trPr>
        <w:tc>
          <w:tcPr>
            <w:tcW w:w="508" w:type="pct"/>
            <w:shd w:val="clear" w:color="auto" w:fill="auto"/>
            <w:noWrap/>
            <w:vAlign w:val="center"/>
          </w:tcPr>
          <w:p w14:paraId="313380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15.7</w:t>
            </w:r>
          </w:p>
        </w:tc>
        <w:tc>
          <w:tcPr>
            <w:tcW w:w="346" w:type="pct"/>
            <w:shd w:val="clear" w:color="auto" w:fill="auto"/>
            <w:noWrap/>
            <w:vAlign w:val="center"/>
          </w:tcPr>
          <w:p w14:paraId="3E2480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室内轨迹分析摄像机</w:t>
            </w:r>
          </w:p>
        </w:tc>
        <w:tc>
          <w:tcPr>
            <w:tcW w:w="3489" w:type="pct"/>
            <w:shd w:val="clear" w:color="auto" w:fill="auto"/>
            <w:vAlign w:val="center"/>
          </w:tcPr>
          <w:p w14:paraId="5D7665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1.室内定位分析半球，支持分辨率≥400万像素，具有≥1/1.8"CMOS传感器，内置GPU芯片，最低照度彩色≤0.0002 lx，黑白≤0.0001 lx；2.内置深度学习算法，支持目标人脸和人体抓拍，并输出目标在世界坐标系的轨迹；内置转换算法，将目标在视频中的位置，通过内参和外参标定以及算法计算，将目标转化为世界坐标系中位置；3.支持目标报警上传间隔配置，报警间隔配置范围至少支持10 s~300 s；支持H.264、H.265、MJPEG视频编码格式；4.需支持不少于四码流技术，主码流分辨率不小于2560x1440@25fps，子码流不小于704x576@25fps，第三码流不小于1920x1080@25fps，第四码流不小于704x576@25fps；5.同一静止场景相同图像质量下，设备在H.265编码方式时，开启智能编码功能和不开启智能编码相比，码率节约80%；6.支持行人位置分析功能，可实时分析监控区域内的行人的3D位置信息。当检测到目标时，可在预览画面中实时框选出目标的位置及大小，支持在抓图、录像中叠加规则和目标信息；7.可通过浏览器或客户端进行坐标系配置，包括坐标X轴实际位置、Y轴实际位置、架设高度、俯仰角、倾斜角、监控方向，设备可将位置信息上报给平台；8.支持因各种原因导致与网络链接断开，当与网络恢复链接时，应能自动侦测到网络状态的恢复，并自动与网络建立连接；9.在浏览器下，可定时抓拍、报警抓拍，抓拍图片可FTP 上传，抓图的图片格式、分辨率、图片质量、时间间隔和报警抓拍图片数量可设置；10.当设备检测到监控画面有亮度异常、偏色、雪花干扰、条纹干扰、画面冻结、信号丢失、清晰度异常、画面抖动、画面遮挡、花屏、增益失衡、异常光斑、紫边、ICR 异常、保护膜未撕等图像异常现象时，可触发上传中心、联动报警输出。支持报警检测间隔、灵敏度、报警延时次数设置；11.在浏览器下，具有定时、移动侦测、移动侦测或报警、移动侦测和报警、事件录像触发方式；12.具有低温低气压适应性，可在不高于-45℃和气压50kPa环境下正常工作；需同时支持DC12V和POE供电，且在不小于DC12V±30%范围内变化时可以正常工作。</w:t>
            </w:r>
          </w:p>
        </w:tc>
        <w:tc>
          <w:tcPr>
            <w:tcW w:w="221" w:type="pct"/>
            <w:gridSpan w:val="2"/>
            <w:shd w:val="clear" w:color="auto" w:fill="auto"/>
            <w:noWrap/>
            <w:vAlign w:val="center"/>
          </w:tcPr>
          <w:p w14:paraId="1C85E4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0D7EA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20 </w:t>
            </w:r>
          </w:p>
        </w:tc>
      </w:tr>
      <w:tr w14:paraId="4B4C8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37A863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15.8</w:t>
            </w:r>
          </w:p>
        </w:tc>
        <w:tc>
          <w:tcPr>
            <w:tcW w:w="346" w:type="pct"/>
            <w:shd w:val="clear" w:color="auto" w:fill="auto"/>
            <w:noWrap/>
            <w:vAlign w:val="center"/>
          </w:tcPr>
          <w:p w14:paraId="00600DA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行为分析服务器</w:t>
            </w:r>
          </w:p>
        </w:tc>
        <w:tc>
          <w:tcPr>
            <w:tcW w:w="3489" w:type="pct"/>
            <w:shd w:val="clear" w:color="auto" w:fill="auto"/>
            <w:vAlign w:val="center"/>
          </w:tcPr>
          <w:p w14:paraId="3650008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硬件规格：CPU：配置≥1颗，核数≥4核，最大频率≥1.8GHz；GPU：≥2张GPU卡；单卡提供≥64TOPS INT8算力；内存：≥8GB DDR4；硬盘：≥1×480GB SSD；数据接口：≥4个千兆电口，≥6个USB接口，≥1个VGA接口；机箱规格：≥1U标准机架式。</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支持多类监管算法：支持睡岗检测、离岗检测、起身离床检测、攀高检测、超时滞留检测、人数异常检测、声强突变、区域人数统计、玩手机检测、倒地检测、警服检测、落单检测（单人未穿警服的时候需要报警）等；2.支持设置异常事件侦测区域，可设置为封闭正方形、长方形、三角形和多边形等区域或设置为一条具有方向的布控线;支持不同任务按需可视化设置布防规则，包括异常事件侦测报警种类、报警阈值、布防启动时间和撤防时间，并可按小时、日、周设定重复周期；3.支持事件分析发生时触发人脸抓拍、分析和比对功能；支持事件告警触发抓拍目标图片，并关联抓拍对应的人脸图片；抓拍的目标图片可为未露出人脸的人体图片，可与后续抓拍的人脸图片进行身份信息匹配并上报；4.配合接入IPC，支持在检测区域内，当人员离开检测区域超过设定时间（最长时长≥7200秒），可自动报警并抓拍图片；支持单人、多人离岗事件检测；支持回岗事件检测，在检测区域内，当人员离开检测区域返回时，样机自动报警并上传抓拍图片；离在岗状态报警事件识别准确率≥95%；检测出事件后到事件上报展示不高于200ms；5.支持对触碰设定高度警戒线的人员进行自动侦测并支持触发报警，单视频画面可同时支持绘制≥9个连续的攀高面，支持尺寸过滤及攀高方向设置，分别进行检测上传报警抓拍图片等功能，以上2~5条参数。</w:t>
            </w:r>
          </w:p>
        </w:tc>
        <w:tc>
          <w:tcPr>
            <w:tcW w:w="221" w:type="pct"/>
            <w:gridSpan w:val="2"/>
            <w:shd w:val="clear" w:color="auto" w:fill="auto"/>
            <w:noWrap/>
            <w:vAlign w:val="center"/>
          </w:tcPr>
          <w:p w14:paraId="3F0A93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DAAB1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F147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3936A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 </w:t>
            </w:r>
          </w:p>
        </w:tc>
        <w:tc>
          <w:tcPr>
            <w:tcW w:w="4486" w:type="pct"/>
            <w:gridSpan w:val="6"/>
            <w:shd w:val="clear" w:color="auto" w:fill="auto"/>
            <w:noWrap/>
            <w:vAlign w:val="center"/>
          </w:tcPr>
          <w:p w14:paraId="3E5364EF">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执法办案系统及存储建设</w:t>
            </w:r>
          </w:p>
        </w:tc>
      </w:tr>
      <w:tr w14:paraId="74A61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52E6E00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w:t>
            </w:r>
          </w:p>
        </w:tc>
        <w:tc>
          <w:tcPr>
            <w:tcW w:w="346" w:type="pct"/>
            <w:shd w:val="clear" w:color="auto" w:fill="auto"/>
            <w:noWrap/>
            <w:vAlign w:val="center"/>
          </w:tcPr>
          <w:p w14:paraId="03AB51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基础管理模块</w:t>
            </w:r>
          </w:p>
        </w:tc>
        <w:tc>
          <w:tcPr>
            <w:tcW w:w="3489" w:type="pct"/>
            <w:shd w:val="clear" w:color="auto" w:fill="auto"/>
            <w:vAlign w:val="center"/>
          </w:tcPr>
          <w:p w14:paraId="240D7E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目录资源管理：支持目录基础信息的增删改查、导入、导出等功能；支持配置多个业务目录；办案场所、房间管理；2.设备信息管理：提供设备统一接入管理，包括视频设备、报警设备、人证设备、审讯主机等；3.组织机构管理：支持单位信息管理，管理单位编码、单位通称、单位全称、单位简称等信息；支持部门信息管理，管理部门编码、部门名称、部门简称、部门类型等信息；4.用户信息管理：支持用户信息的增删改查、导入、导出；支持用户安全管理，可绑定用户mac地址及IP，可自行修改用户密码或者管理员重置密码；提供账户安全设置，支持账户密码有效期设置；5.人员管理：人员基础信息采集，人员的批量导入；用户账号自动创建；6.平台门户：支持用户自定义快捷入口；支持支持自定义菜单内容；支持页面元素设置。</w:t>
            </w:r>
          </w:p>
        </w:tc>
        <w:tc>
          <w:tcPr>
            <w:tcW w:w="221" w:type="pct"/>
            <w:gridSpan w:val="2"/>
            <w:shd w:val="clear" w:color="auto" w:fill="auto"/>
            <w:noWrap/>
            <w:vAlign w:val="center"/>
          </w:tcPr>
          <w:p w14:paraId="5F03D0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EDB514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7244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74075E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w:t>
            </w:r>
          </w:p>
        </w:tc>
        <w:tc>
          <w:tcPr>
            <w:tcW w:w="346" w:type="pct"/>
            <w:shd w:val="clear" w:color="auto" w:fill="auto"/>
            <w:noWrap/>
            <w:vAlign w:val="center"/>
          </w:tcPr>
          <w:p w14:paraId="1BBA369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视频监控模块</w:t>
            </w:r>
          </w:p>
        </w:tc>
        <w:tc>
          <w:tcPr>
            <w:tcW w:w="3489" w:type="pct"/>
            <w:shd w:val="clear" w:color="auto" w:fill="auto"/>
            <w:vAlign w:val="center"/>
          </w:tcPr>
          <w:p w14:paraId="267807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视频监控应用提供视频管理服务，支持编码设备通过设备协议，实现视频预览、录像回放、视频上墙、视频事件监控服务能力。</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一、视频预览：1、支持视频实时预览能力，实现预览窗口布局切换、预览画面自适应及全屏切换；2、支持云台控制、实时抓图、紧急录像、即时回放、主子码流切换、声音开启\关闭；3、支持智能规则展示的能力；4、支持资源视图管理能力，以视图形式管理监控点、视频预览轮巡等自定义资源组，其中视图类型包含公有视图和私有视图；5、支持设置视频播放时是否在视频上方叠加当前用户的用户名、IP地址及使用设备的MAC地址等信息；6、支持设置视频首页栏目（近期查看点位、搜索历史、推荐点位、标签视频）的排布顺序、各栏目的隐藏/显示。二、录像回放：1、支持录像计划管理能力，支持实时录像计划、录像回传计划；2、支持录像回放能力，支持多画面同步回放和异步回放切换、超高倍速回放、分段回放、录像下载、录像剪辑、录像标签、录像锁定、录像抓图；3、支持设置回放画面水印内容，包括用户名、IP地址、MAC地址、监控点位名称、设备名称、分辨率、码率、帧率、地区名称、编码格式以及码流类型，同时支持修改水印颜色。三、视频上墙：1、支持电视墙场景管理能力，实现场景窗口配置、场景切换计划配置以及轮巡计划的管理；2、支持上墙控制能力，实现场景一键上墙、场景切换、电视墙切换、监控点上下墙、轮巡控制操作；</w:t>
            </w:r>
          </w:p>
        </w:tc>
        <w:tc>
          <w:tcPr>
            <w:tcW w:w="221" w:type="pct"/>
            <w:gridSpan w:val="2"/>
            <w:shd w:val="clear" w:color="auto" w:fill="auto"/>
            <w:noWrap/>
            <w:vAlign w:val="center"/>
          </w:tcPr>
          <w:p w14:paraId="160305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97F85F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32B3B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BBBE60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16.3</w:t>
            </w:r>
          </w:p>
        </w:tc>
        <w:tc>
          <w:tcPr>
            <w:tcW w:w="346" w:type="pct"/>
            <w:shd w:val="clear" w:color="auto" w:fill="auto"/>
            <w:noWrap/>
            <w:vAlign w:val="center"/>
          </w:tcPr>
          <w:p w14:paraId="7F9259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监控通道数量</w:t>
            </w:r>
          </w:p>
        </w:tc>
        <w:tc>
          <w:tcPr>
            <w:tcW w:w="3489" w:type="pct"/>
            <w:shd w:val="clear" w:color="auto" w:fill="auto"/>
            <w:vAlign w:val="center"/>
          </w:tcPr>
          <w:p w14:paraId="6A25A51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用于视频通道数量控制</w:t>
            </w:r>
          </w:p>
        </w:tc>
        <w:tc>
          <w:tcPr>
            <w:tcW w:w="221" w:type="pct"/>
            <w:gridSpan w:val="2"/>
            <w:shd w:val="clear" w:color="auto" w:fill="auto"/>
            <w:noWrap/>
            <w:vAlign w:val="center"/>
          </w:tcPr>
          <w:p w14:paraId="2DB11A0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路</w:t>
            </w:r>
          </w:p>
        </w:tc>
        <w:tc>
          <w:tcPr>
            <w:tcW w:w="428" w:type="pct"/>
            <w:gridSpan w:val="2"/>
            <w:shd w:val="clear" w:color="auto" w:fill="auto"/>
            <w:noWrap/>
            <w:vAlign w:val="center"/>
          </w:tcPr>
          <w:p w14:paraId="4EB118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100 </w:t>
            </w:r>
          </w:p>
        </w:tc>
      </w:tr>
      <w:tr w14:paraId="03AAB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05ADBA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16.4</w:t>
            </w:r>
          </w:p>
        </w:tc>
        <w:tc>
          <w:tcPr>
            <w:tcW w:w="346" w:type="pct"/>
            <w:shd w:val="clear" w:color="auto" w:fill="auto"/>
            <w:noWrap/>
            <w:vAlign w:val="center"/>
          </w:tcPr>
          <w:p w14:paraId="4C087C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视频联网模块</w:t>
            </w:r>
          </w:p>
        </w:tc>
        <w:tc>
          <w:tcPr>
            <w:tcW w:w="3489" w:type="pct"/>
            <w:shd w:val="clear" w:color="auto" w:fill="auto"/>
            <w:vAlign w:val="center"/>
          </w:tcPr>
          <w:p w14:paraId="56112CD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上下级域注册管理能力，实现平台数据级联；2、支持资源同步能力；3、支持级联视频点位实时预览、录像回放、录像下载、语音对讲能力；4、支持级联视频点位设备操作控制能力；5、支持下级平台推送到本级平台视频点位路数控制能力，通过级联点位授权路数控制；</w:t>
            </w:r>
          </w:p>
        </w:tc>
        <w:tc>
          <w:tcPr>
            <w:tcW w:w="221" w:type="pct"/>
            <w:gridSpan w:val="2"/>
            <w:shd w:val="clear" w:color="auto" w:fill="auto"/>
            <w:noWrap/>
            <w:vAlign w:val="center"/>
          </w:tcPr>
          <w:p w14:paraId="0500D6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86407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0CDF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0CD377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16.5</w:t>
            </w:r>
          </w:p>
        </w:tc>
        <w:tc>
          <w:tcPr>
            <w:tcW w:w="346" w:type="pct"/>
            <w:shd w:val="clear" w:color="auto" w:fill="auto"/>
            <w:noWrap/>
            <w:vAlign w:val="center"/>
          </w:tcPr>
          <w:p w14:paraId="5553266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视频网管模块</w:t>
            </w:r>
          </w:p>
        </w:tc>
        <w:tc>
          <w:tcPr>
            <w:tcW w:w="3489" w:type="pct"/>
            <w:shd w:val="clear" w:color="auto" w:fill="auto"/>
            <w:vAlign w:val="center"/>
          </w:tcPr>
          <w:p w14:paraId="034A26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一、视频网络管理1、支持监控摄像机、编码设备、存储设备、解码设备等物联设备在线状态、工作状态、硬盘状态、指标采集。2、支持监控点通道的在线状态、录制状态、录像完整性、录像保存天数指标检测。3、支持告警信息统计展现。并支持对监控点、编码设备、解码设备、云储存的告警阈值进行配置。4、提供视频运维报表统计能力，包含区域综合排名统计、录像完整性统计、录像存储达标统计、在线状态统计、离线时长统计报表。5、支持巡检计划配置，可以按照类型和资源以及自定义的巡检周期进行巡检计划配置。</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二、视频质量诊断：1、支持监控点通道的图像质量诊断结果统计和查看。2、支持图像模糊、图像过亮、图像偏色、图像过暗、图像过亮、视频抖动、视频丢帧、场景变换、视频遮挡、对比度、条纹干扰、噪声干扰、信号丢失、黑白图像指标诊断。3、支持码流分辨率、编码格式指标采集。4、支持诊断对比图查看和诊断结果矫正功能。5、支持巡检计划配置，可以按照类型和资源以及自定义的巡检周期进行巡检计划配置。6、支持监控点图像质量统计报表，展现各类诊断故障数量。</w:t>
            </w:r>
          </w:p>
        </w:tc>
        <w:tc>
          <w:tcPr>
            <w:tcW w:w="221" w:type="pct"/>
            <w:gridSpan w:val="2"/>
            <w:shd w:val="clear" w:color="auto" w:fill="auto"/>
            <w:noWrap/>
            <w:vAlign w:val="center"/>
          </w:tcPr>
          <w:p w14:paraId="660E1F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0085C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C08C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71" w:hRule="atLeast"/>
        </w:trPr>
        <w:tc>
          <w:tcPr>
            <w:tcW w:w="508" w:type="pct"/>
            <w:shd w:val="clear" w:color="auto" w:fill="auto"/>
            <w:noWrap/>
            <w:vAlign w:val="center"/>
          </w:tcPr>
          <w:p w14:paraId="0EE02D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16.6</w:t>
            </w:r>
          </w:p>
        </w:tc>
        <w:tc>
          <w:tcPr>
            <w:tcW w:w="346" w:type="pct"/>
            <w:shd w:val="clear" w:color="auto" w:fill="auto"/>
            <w:noWrap/>
            <w:vAlign w:val="center"/>
          </w:tcPr>
          <w:p w14:paraId="2E3A05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门禁管理模块</w:t>
            </w:r>
          </w:p>
        </w:tc>
        <w:tc>
          <w:tcPr>
            <w:tcW w:w="3489" w:type="pct"/>
            <w:shd w:val="clear" w:color="auto" w:fill="auto"/>
            <w:vAlign w:val="center"/>
          </w:tcPr>
          <w:p w14:paraId="6F08336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利用卡片、人脸等生物信息，实现人员身份识别、出入管控等智能应用，主要提供门禁权限管理、事件管理、门禁状态查看、门禁远程控制、人员出入记录实时展示、远程呼叫对讲等应用，具体功能如下：</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1. 支持门禁点管理，包括门和人员通道门禁点；2. 支持门禁权限配置和下发；支持卡（含身份证）、人脸、指纹、卡密码等凭证单独或组合使用的认证方式；3. 支持特殊卡（黑名单卡、胁迫卡、超级卡）、多重认证、首卡常开、反潜回、多门互锁等应用；4. 支持门禁事件订阅、查询和联动；支持门禁设备图上监控；支持人员出入事件和设备事件查询；5. 支持人员出入实时事件投屏；6. 支持门禁远程控制，开门、关门、联动CS客户端查看视频实时画面；7. 支持门禁权限自动下发更新数据到设备；可配置固定时间、固定次数自动下发异动的门禁权限，包含卡、人脸、指纹；8. 支持人员的卡权限在平台进行权限认证，当卡权限还未下发到设备时，平台可以根据刷卡事件进行人员权限判断并进行反控开门；9. 支持人员通行记录区分：内部人员、外部人员、陌生人员。</w:t>
            </w:r>
          </w:p>
        </w:tc>
        <w:tc>
          <w:tcPr>
            <w:tcW w:w="221" w:type="pct"/>
            <w:gridSpan w:val="2"/>
            <w:shd w:val="clear" w:color="auto" w:fill="auto"/>
            <w:noWrap/>
            <w:vAlign w:val="center"/>
          </w:tcPr>
          <w:p w14:paraId="7952DD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门</w:t>
            </w:r>
          </w:p>
        </w:tc>
        <w:tc>
          <w:tcPr>
            <w:tcW w:w="428" w:type="pct"/>
            <w:gridSpan w:val="2"/>
            <w:shd w:val="clear" w:color="auto" w:fill="auto"/>
            <w:noWrap/>
            <w:vAlign w:val="center"/>
          </w:tcPr>
          <w:p w14:paraId="1FB7618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20 </w:t>
            </w:r>
          </w:p>
        </w:tc>
      </w:tr>
      <w:tr w14:paraId="683A2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6A70E1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16.7</w:t>
            </w:r>
          </w:p>
        </w:tc>
        <w:tc>
          <w:tcPr>
            <w:tcW w:w="346" w:type="pct"/>
            <w:shd w:val="clear" w:color="auto" w:fill="auto"/>
            <w:noWrap/>
            <w:vAlign w:val="center"/>
          </w:tcPr>
          <w:p w14:paraId="68A78B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重点区域人员门禁管控模块</w:t>
            </w:r>
          </w:p>
        </w:tc>
        <w:tc>
          <w:tcPr>
            <w:tcW w:w="3489" w:type="pct"/>
            <w:shd w:val="clear" w:color="auto" w:fill="auto"/>
            <w:vAlign w:val="center"/>
          </w:tcPr>
          <w:p w14:paraId="5F7BFC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重点区域人员进出管控主要是在某些重点区域场景中，对人员的进出进行严格管控，包括多重认证、多门互锁、反潜回应用，具体功能如下：</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一、提供多重认证应用：设置为多重认证的门，需要认证分组内的成员按照一定的规则进行认证开门：1、支持前端设备认证，认证分组内的成员按照设定的认证顺序在设备上完成认证开门；2、支持前端设备认证+中心远程开门，认证分组内的成员按照设定的认证顺序在设备上完成认证后，中心操作人员再次通过刷卡/指纹认证后远程开门；3、支持前端设备认证+超级权限认证开门，认证分组内的成员按照设定的认证顺序在设备上完成认证后，再通过刷超级卡或输入超级密码认证后开门；</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二、提供多门互锁应用：在配置为多门互锁的门中，最多只能开启一扇门，且其他门必须处于关闭状态时才能开启这扇门，支持单机多门互锁和跨主机多门互锁；</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三、提供反潜回应用：反潜回是一种防尾随功能，要求持卡者从某个门刷卡进来就必须从某个门刷卡出去，刷卡记录必须一进一出严格对应。支持单机反潜回和跨主机反潜回。</w:t>
            </w:r>
          </w:p>
        </w:tc>
        <w:tc>
          <w:tcPr>
            <w:tcW w:w="221" w:type="pct"/>
            <w:gridSpan w:val="2"/>
            <w:shd w:val="clear" w:color="auto" w:fill="auto"/>
            <w:noWrap/>
            <w:vAlign w:val="center"/>
          </w:tcPr>
          <w:p w14:paraId="7BA31B1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EEAF4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3905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0D8BD23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16.8</w:t>
            </w:r>
          </w:p>
        </w:tc>
        <w:tc>
          <w:tcPr>
            <w:tcW w:w="346" w:type="pct"/>
            <w:shd w:val="clear" w:color="auto" w:fill="auto"/>
            <w:noWrap/>
            <w:vAlign w:val="center"/>
          </w:tcPr>
          <w:p w14:paraId="3E7922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讯问同录模块</w:t>
            </w:r>
          </w:p>
        </w:tc>
        <w:tc>
          <w:tcPr>
            <w:tcW w:w="3489" w:type="pct"/>
            <w:shd w:val="clear" w:color="auto" w:fill="auto"/>
            <w:vAlign w:val="center"/>
          </w:tcPr>
          <w:p w14:paraId="0C9A7A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讯（询）问过程同步录音录像。2.控制讯（询）问过程审讯主机光盘刻录。3.集中刻录管理，支持发起事后刻录，支持刻录任务管理。4.提供讯（询）问记录管理功能，可查看讯（询）问记录办案信息、涉案人员信息、视频、笔录、文书附件。支持笔录视频同步滚动。支持讯（询）问记录刻录及光盘封面打印。支持笔录导出。支持添加历史讯（询）问记录。5.提供案件管理功能，支持案件列表查看、支持新增案件、支持案件关联涉案人员信息查看。6.支持本地审讯时通过刻录打印一体机，打印光盘封面，刻录审讯信息（案件信息、笔录信息、讯问录像）至光盘；支持对光盘内容提取密码的设置。</w:t>
            </w:r>
          </w:p>
        </w:tc>
        <w:tc>
          <w:tcPr>
            <w:tcW w:w="221" w:type="pct"/>
            <w:gridSpan w:val="2"/>
            <w:shd w:val="clear" w:color="auto" w:fill="auto"/>
            <w:noWrap/>
            <w:vAlign w:val="center"/>
          </w:tcPr>
          <w:p w14:paraId="196CFE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71FD7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7E03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52" w:hRule="atLeast"/>
        </w:trPr>
        <w:tc>
          <w:tcPr>
            <w:tcW w:w="508" w:type="pct"/>
            <w:shd w:val="clear" w:color="auto" w:fill="auto"/>
            <w:noWrap/>
            <w:vAlign w:val="center"/>
          </w:tcPr>
          <w:p w14:paraId="3FC76B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16.9</w:t>
            </w:r>
          </w:p>
        </w:tc>
        <w:tc>
          <w:tcPr>
            <w:tcW w:w="346" w:type="pct"/>
            <w:shd w:val="clear" w:color="auto" w:fill="auto"/>
            <w:noWrap/>
            <w:vAlign w:val="center"/>
          </w:tcPr>
          <w:p w14:paraId="143FBF4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电子笔录应用（基础）</w:t>
            </w:r>
          </w:p>
        </w:tc>
        <w:tc>
          <w:tcPr>
            <w:tcW w:w="3489" w:type="pct"/>
            <w:shd w:val="clear" w:color="auto" w:fill="auto"/>
            <w:vAlign w:val="center"/>
          </w:tcPr>
          <w:p w14:paraId="1E2282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我的笔录管理，支持新建笔录，查看我创建的正在进行的或者已结束的笔录。针对正在进行的笔录支持启动笔录客户端，支持结束笔录。针对已结束的笔录支持查看详情（办案信息、涉案人信息）、支持导出笔录。2.笔录客户端基础功能，包含：</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1)保存笔录、导出笔录、打印笔录、笔录找回、常用问答、办案信息；2)重点标记、同步滚动、视频预览、超时提醒、刻录进度、音频检测；3)附件管理、告知书、法律法规、副屏预览、示证控制；4）支持本地审讯/远程审讯时，笔录内容任意位置叠加电子签名、指纹；支持在电子笔录客户端查看当前审讯相关的实时视频；支持展示刻录任务信息，包括刻录状态是否正常、光盘容量、当前刻录进度等；支持展示当前审讯通道的音频波形。3.支持笔录模块管理、支持常用问答管理、支持法律法规管理、支持权利义务告知书管理。</w:t>
            </w:r>
          </w:p>
        </w:tc>
        <w:tc>
          <w:tcPr>
            <w:tcW w:w="221" w:type="pct"/>
            <w:gridSpan w:val="2"/>
            <w:shd w:val="clear" w:color="auto" w:fill="auto"/>
            <w:noWrap/>
            <w:vAlign w:val="center"/>
          </w:tcPr>
          <w:p w14:paraId="3495BC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1B15C50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2E46D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76EEC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16.10 </w:t>
            </w:r>
          </w:p>
        </w:tc>
        <w:tc>
          <w:tcPr>
            <w:tcW w:w="346" w:type="pct"/>
            <w:shd w:val="clear" w:color="auto" w:fill="auto"/>
            <w:noWrap/>
            <w:vAlign w:val="center"/>
          </w:tcPr>
          <w:p w14:paraId="215CB52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电子笔录应用（高级）</w:t>
            </w:r>
          </w:p>
        </w:tc>
        <w:tc>
          <w:tcPr>
            <w:tcW w:w="3489" w:type="pct"/>
            <w:shd w:val="clear" w:color="auto" w:fill="auto"/>
            <w:vAlign w:val="center"/>
          </w:tcPr>
          <w:p w14:paraId="059331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1.笔录提纲、电子签名、签名录像、签名实况；2.文书管理、文书签名；3.历史笔录、协同办案</w:t>
            </w:r>
          </w:p>
        </w:tc>
        <w:tc>
          <w:tcPr>
            <w:tcW w:w="221" w:type="pct"/>
            <w:gridSpan w:val="2"/>
            <w:shd w:val="clear" w:color="auto" w:fill="auto"/>
            <w:noWrap/>
            <w:vAlign w:val="center"/>
          </w:tcPr>
          <w:p w14:paraId="13820F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B1CB2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7523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EDDBF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16.11</w:t>
            </w:r>
          </w:p>
        </w:tc>
        <w:tc>
          <w:tcPr>
            <w:tcW w:w="346" w:type="pct"/>
            <w:shd w:val="clear" w:color="auto" w:fill="auto"/>
            <w:noWrap/>
            <w:vAlign w:val="center"/>
          </w:tcPr>
          <w:p w14:paraId="1A5826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远程提讯模块</w:t>
            </w:r>
          </w:p>
        </w:tc>
        <w:tc>
          <w:tcPr>
            <w:tcW w:w="3489" w:type="pct"/>
            <w:shd w:val="clear" w:color="auto" w:fill="auto"/>
            <w:vAlign w:val="center"/>
          </w:tcPr>
          <w:p w14:paraId="43D118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提供办案中心与看守所进行远程的音视频交互，实现办案人员远程提审涉案人员；2.提供远程的示证控制；3.提供笔录的打印、远程的笔录签名等功能；4.支持在远程提讯界面查看本地提讯室房间信息，包括房间名称、状态、审讯案件名称、审讯对象姓名、办案人员姓名、审讯时长、房间实时视频；支持按办案区、房间状态、房间名称检索本地提讯房间信息。</w:t>
            </w:r>
          </w:p>
        </w:tc>
        <w:tc>
          <w:tcPr>
            <w:tcW w:w="221" w:type="pct"/>
            <w:gridSpan w:val="2"/>
            <w:shd w:val="clear" w:color="auto" w:fill="auto"/>
            <w:noWrap/>
            <w:vAlign w:val="center"/>
          </w:tcPr>
          <w:p w14:paraId="3AB0190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B9C5D1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F2E5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760ECF9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16.12 </w:t>
            </w:r>
          </w:p>
        </w:tc>
        <w:tc>
          <w:tcPr>
            <w:tcW w:w="346" w:type="pct"/>
            <w:shd w:val="clear" w:color="auto" w:fill="auto"/>
            <w:noWrap/>
            <w:vAlign w:val="center"/>
          </w:tcPr>
          <w:p w14:paraId="555E55D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远程指挥模块</w:t>
            </w:r>
          </w:p>
        </w:tc>
        <w:tc>
          <w:tcPr>
            <w:tcW w:w="3489" w:type="pct"/>
            <w:shd w:val="clear" w:color="auto" w:fill="auto"/>
            <w:vAlign w:val="center"/>
          </w:tcPr>
          <w:p w14:paraId="2A874F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语音指挥：在讯(询)问过程中，指挥室内的指挥人员向办案人员发出语音指令，指导讯(询)问。2、文字指挥：在讯(询)问过程中，指挥人员向办案人员发出文字指令。当接收到指挥人员命令时办案人员可通过文字方式回复，防止被讯(询)问人听到交流信息。3、文件传输：在指挥过程中，指挥人员可与办案人员资料互通，将佐证资料、相关说明文件等资料传输给办案人员。5、群组讨论：支持多人群组讨论指挥功能，支持在群组内进行文字交流和文件传输。6、笔录查看：支持办案过程中，指挥室人员查看讯(询)问笔录；7、房间视频监看：支持调取房间内容各类型（画中画、全景、被询问人特写、办案人特写）的监控画面并支持监听声音。</w:t>
            </w:r>
          </w:p>
        </w:tc>
        <w:tc>
          <w:tcPr>
            <w:tcW w:w="221" w:type="pct"/>
            <w:gridSpan w:val="2"/>
            <w:shd w:val="clear" w:color="auto" w:fill="auto"/>
            <w:noWrap/>
            <w:vAlign w:val="center"/>
          </w:tcPr>
          <w:p w14:paraId="0ADA1E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4416D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0A47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95" w:hRule="atLeast"/>
        </w:trPr>
        <w:tc>
          <w:tcPr>
            <w:tcW w:w="508" w:type="pct"/>
            <w:shd w:val="clear" w:color="auto" w:fill="auto"/>
            <w:noWrap/>
            <w:vAlign w:val="center"/>
          </w:tcPr>
          <w:p w14:paraId="7849CD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16.13</w:t>
            </w:r>
          </w:p>
        </w:tc>
        <w:tc>
          <w:tcPr>
            <w:tcW w:w="346" w:type="pct"/>
            <w:shd w:val="clear" w:color="auto" w:fill="auto"/>
            <w:noWrap/>
            <w:vAlign w:val="center"/>
          </w:tcPr>
          <w:p w14:paraId="522325C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执法工作台模块</w:t>
            </w:r>
          </w:p>
        </w:tc>
        <w:tc>
          <w:tcPr>
            <w:tcW w:w="3489" w:type="pct"/>
            <w:shd w:val="clear" w:color="auto" w:fill="auto"/>
            <w:vAlign w:val="center"/>
          </w:tcPr>
          <w:p w14:paraId="5951B8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值班民警工作台：1、提供常用应用入口，可设置常用应用快捷方式，可拖动调节前后顺序；2、支持在区状态展示，展示当前办案区在区人数、预约人数、临时出区人数、今日最终出区人数。3、支持房间状态展示，展示当前办案区侯问室总数，侯问室使用中/空闲个数；展示当前办案区审讯室总数，审讯中/已分配/空闲中个数。4、支持展示当前办案区最近报警信息，可展示报警类型、等级、时间，点击处理，可查看告警详情包括告警图片、视频，可对报警进行确认。5、支持展示当前办案区在区涉案人员信息，包括头像、姓名、性别、人员类型、关联案件、主办民警、在区时长（并且如果在区超时，则会显示成红色提醒用户）、办案流程状态等。6、提供入区登记、预约签到、回区登记功能入口，方便用户操作。7、选中在区涉案人员，可进行信息登记、人身检查、物品登记、信息采集、吸毒检测、侯问室/审讯室分配、物品归还、饮食登记、出区登记。8、支持侯问室房间状态展示，可卡片展示每个侯问室名称、类型、状态（空闲、使用中）、室内人数、可容纳人数，可查看房间实时预览画面，可查看房间内已分配人员详情。9、支持审讯室房间状态展示，可卡片展示每个审讯室名称、状态（空闲、已分配、审讯中），对于已分配的房间，可展示已分配办案人员、涉案人员、案件名称、分配时间，可进行取消分配操作。对于审讯中的房间，可展示办案人员、涉案人员、案件名称、开始时间。10、支持拖动人员卡片至右侧审讯室和侯问室房间快速完成审讯室和侯问室分配。</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法制民警工作台：1、提供常用应用入口，可设置常用应用快捷方式，可拖动调节前后顺序。2、可展示最近的违规待办，包括待办事项和时间，支持对待办进行督办和整改操作。支持点击查看全部违规。3、支持案件统计，展示案件总数、今日新增数、在办案件数、办结案件数、刑事案件数、行政案件数。支持查看近两周、近三月、近一年的行政/刑事案件数量曲线图。支持点击查看全部案件。4、支持警情统计，展示警情总数、今日新增数、处警数、处警率、视频关联数、视频关联率、案件转化数、案件转化率。支持点击查看全部警情。5、支持违规统计，展示违规总数、今日新增数、待督办数、待整改数、已结束数。支持查看违规类型top10。支持点击查看全部违规。6、支持预警统计，展示预警总数，今日新增预警数，预警类型top5。支持点击查看全部预警。</w:t>
            </w:r>
          </w:p>
        </w:tc>
        <w:tc>
          <w:tcPr>
            <w:tcW w:w="221" w:type="pct"/>
            <w:gridSpan w:val="2"/>
            <w:shd w:val="clear" w:color="auto" w:fill="auto"/>
            <w:noWrap/>
            <w:vAlign w:val="center"/>
          </w:tcPr>
          <w:p w14:paraId="3ED44F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466F99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77087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48A75A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16.14 </w:t>
            </w:r>
          </w:p>
        </w:tc>
        <w:tc>
          <w:tcPr>
            <w:tcW w:w="346" w:type="pct"/>
            <w:shd w:val="clear" w:color="auto" w:fill="auto"/>
            <w:noWrap/>
            <w:vAlign w:val="center"/>
          </w:tcPr>
          <w:p w14:paraId="7AF591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出入区管理模块</w:t>
            </w:r>
          </w:p>
        </w:tc>
        <w:tc>
          <w:tcPr>
            <w:tcW w:w="3489" w:type="pct"/>
            <w:shd w:val="clear" w:color="auto" w:fill="auto"/>
            <w:vAlign w:val="center"/>
          </w:tcPr>
          <w:p w14:paraId="03835F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预约申请审批：办案民警带涉案人员进入办案区可提前进行预约登记，可填写涉案人员基本信息、办案基本信息，预计到达时间、预约方式；办案区管理民警可对预约登记信息进行审批。2、临时出区/最终出区申请审批：办案民警带涉案人员临时离开或者最终离开办案区，可提交出区申请，填写具体的出区原由；办案区管理民警可对出区申请信息进行审批。3、涉案人员出入区登记：（1）办案民警带涉案人员进入办案区可进行入区登记，填写涉案人员信息、填写办案信息、可进行办案民警签字和管理员签字；如果已经填写了预约登记信息，则可以直接进行预约签到，自动带出预约登记的信息。若办案民警需要带涉案人员临时出区，则可进行临时出区登记，填写临时出区原由，并可进行管理员签字确认；针对临时出区回区的涉案人员，可直接选择人员后进行回区登记，无需再次填写涉案人员信息。办案结束后，可对涉案人员进行最终出区登记，填写最终出区原由、可进行管理员签字确认。同时可进行流程管控，如果未进行临时出区/最终出区申请审批，则无法提交临时出区/最终出区登记。如果涉案人员有未处理的随身物品，则无法提交最终出区登记；（2）支持涉案人员基本情况、人身检查记录、随身财物检查记录、信息采集记录、吸毒检测记录、活动记录、离开办案区登记信息的查看；支持从涉案人出入区记录快速跳转到该人员历史定位记录查看界面，并支持下载定位记录录像。4、民警出入区登记：民警进出办案区可进行出入区登记，填写民警基本信息。</w:t>
            </w:r>
          </w:p>
        </w:tc>
        <w:tc>
          <w:tcPr>
            <w:tcW w:w="221" w:type="pct"/>
            <w:gridSpan w:val="2"/>
            <w:shd w:val="clear" w:color="auto" w:fill="auto"/>
            <w:noWrap/>
            <w:vAlign w:val="center"/>
          </w:tcPr>
          <w:p w14:paraId="1809D93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84AE9A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E082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01EE034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16.15</w:t>
            </w:r>
          </w:p>
        </w:tc>
        <w:tc>
          <w:tcPr>
            <w:tcW w:w="346" w:type="pct"/>
            <w:shd w:val="clear" w:color="auto" w:fill="auto"/>
            <w:noWrap/>
            <w:vAlign w:val="center"/>
          </w:tcPr>
          <w:p w14:paraId="46212F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人身检查登记模块</w:t>
            </w:r>
          </w:p>
        </w:tc>
        <w:tc>
          <w:tcPr>
            <w:tcW w:w="3489" w:type="pct"/>
            <w:shd w:val="clear" w:color="auto" w:fill="auto"/>
            <w:vAlign w:val="center"/>
          </w:tcPr>
          <w:p w14:paraId="5548CE1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平台人身检查登记：办案民警将违法犯罪嫌疑人带至办案区后，应当对其人身及携带的物品进行安全检查。民警可根据其自述情况，登记其是否有既往病史、是否饮酒、是否有传染性疾病等，同时可根据实际检查情况，记录其体表是否有伤痕、是否饮酒等，可以对其身体部位进行标记和拍照留痕，可进行电子签名确认。</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2、人身检查登记终端：支持通过人身检查终端离线对涉案人员人身检查信息进行登记、拍照和签名，联网后可上传涉案人员人身检查信息至平台。</w:t>
            </w:r>
          </w:p>
        </w:tc>
        <w:tc>
          <w:tcPr>
            <w:tcW w:w="221" w:type="pct"/>
            <w:gridSpan w:val="2"/>
            <w:shd w:val="clear" w:color="auto" w:fill="auto"/>
            <w:noWrap/>
            <w:vAlign w:val="center"/>
          </w:tcPr>
          <w:p w14:paraId="59AB948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B5D233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5418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6818A94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16.16 </w:t>
            </w:r>
          </w:p>
        </w:tc>
        <w:tc>
          <w:tcPr>
            <w:tcW w:w="346" w:type="pct"/>
            <w:shd w:val="clear" w:color="auto" w:fill="auto"/>
            <w:noWrap/>
            <w:vAlign w:val="center"/>
          </w:tcPr>
          <w:p w14:paraId="229B299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随身物品暂存模块</w:t>
            </w:r>
          </w:p>
        </w:tc>
        <w:tc>
          <w:tcPr>
            <w:tcW w:w="3489" w:type="pct"/>
            <w:shd w:val="clear" w:color="auto" w:fill="auto"/>
            <w:vAlign w:val="center"/>
          </w:tcPr>
          <w:p w14:paraId="5FFD94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物品暂存：涉案人员进入办案区后，民警可对其随身携带的物品进行登记、拍照、分配柜格、入柜保管，可进行电子签名捺印，最终可生成随身物品保管清单。2、物品归还：涉案人员最终出区时，可对其随身物品进行归还、代领、扣押、代保管、邮寄或移交处理，可进行拍照和电子签名捺印。平台可展示储物柜柜格使用情况，可远程控制打开柜格。针对人脸储物柜，涉案人员可直接通过人脸认证打开柜格。</w:t>
            </w:r>
          </w:p>
        </w:tc>
        <w:tc>
          <w:tcPr>
            <w:tcW w:w="221" w:type="pct"/>
            <w:gridSpan w:val="2"/>
            <w:shd w:val="clear" w:color="auto" w:fill="auto"/>
            <w:noWrap/>
            <w:vAlign w:val="center"/>
          </w:tcPr>
          <w:p w14:paraId="1A93C10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F8DAE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F858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2A9BFE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16.17</w:t>
            </w:r>
          </w:p>
        </w:tc>
        <w:tc>
          <w:tcPr>
            <w:tcW w:w="346" w:type="pct"/>
            <w:shd w:val="clear" w:color="auto" w:fill="auto"/>
            <w:noWrap/>
            <w:vAlign w:val="center"/>
          </w:tcPr>
          <w:p w14:paraId="285BBA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信息采集登记模块</w:t>
            </w:r>
          </w:p>
        </w:tc>
        <w:tc>
          <w:tcPr>
            <w:tcW w:w="3489" w:type="pct"/>
            <w:shd w:val="clear" w:color="auto" w:fill="auto"/>
            <w:vAlign w:val="center"/>
          </w:tcPr>
          <w:p w14:paraId="456B79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涉案人员进入办案区一律要进行信息采集。平台可记录涉案人员信息采集情况，包括具体采集项目（指纹、血液、尿样、掌纹、足迹等）、信息是否入库、是否进行核查比对。</w:t>
            </w:r>
          </w:p>
        </w:tc>
        <w:tc>
          <w:tcPr>
            <w:tcW w:w="221" w:type="pct"/>
            <w:gridSpan w:val="2"/>
            <w:shd w:val="clear" w:color="auto" w:fill="auto"/>
            <w:noWrap/>
            <w:vAlign w:val="center"/>
          </w:tcPr>
          <w:p w14:paraId="4880FD1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D5131A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w:t>
            </w:r>
          </w:p>
        </w:tc>
      </w:tr>
      <w:tr w14:paraId="5AF056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79B10A9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16.18 </w:t>
            </w:r>
          </w:p>
        </w:tc>
        <w:tc>
          <w:tcPr>
            <w:tcW w:w="346" w:type="pct"/>
            <w:shd w:val="clear" w:color="auto" w:fill="auto"/>
            <w:noWrap/>
            <w:vAlign w:val="center"/>
          </w:tcPr>
          <w:p w14:paraId="245A2A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吸毒检测登记模块</w:t>
            </w:r>
          </w:p>
        </w:tc>
        <w:tc>
          <w:tcPr>
            <w:tcW w:w="3489" w:type="pct"/>
            <w:shd w:val="clear" w:color="auto" w:fill="auto"/>
            <w:vAlign w:val="center"/>
          </w:tcPr>
          <w:p w14:paraId="1F463C7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平台吸毒检测登记：涉案人员进入办案区，如果涉嫌吸毒可对其进行吸毒检测。民警可登记其吸毒检测结果，包括检测样本、检测项目、检测部门、检测地点，可抓拍户籍证明照片、抓拍检测结果照片、抓拍指认检测结果照片、抓拍被检测人员手持结果照片，并可进行电子签名捺印。登记完毕后，可导出涉案人员现场检测报告、尿液提取笔录、尿液照片。2、毒检登记终端：民警可通过毒检登记终端登记涉案人员吸毒检测信息、抓拍吸毒检测照片（户籍证明照片、检测结果照片、指认检测结果照片、被检测人员手持结果照片）、打印标签、预览打印吸毒检测报告（现场检测报告、尿液提取笔录、尿液照片），进行电子签名捺印。</w:t>
            </w:r>
          </w:p>
        </w:tc>
        <w:tc>
          <w:tcPr>
            <w:tcW w:w="221" w:type="pct"/>
            <w:gridSpan w:val="2"/>
            <w:shd w:val="clear" w:color="auto" w:fill="auto"/>
            <w:noWrap/>
            <w:vAlign w:val="center"/>
          </w:tcPr>
          <w:p w14:paraId="6545ED0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55FF53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114B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71" w:hRule="atLeast"/>
        </w:trPr>
        <w:tc>
          <w:tcPr>
            <w:tcW w:w="508" w:type="pct"/>
            <w:shd w:val="clear" w:color="auto" w:fill="auto"/>
            <w:noWrap/>
            <w:vAlign w:val="center"/>
          </w:tcPr>
          <w:p w14:paraId="3A5372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16.19</w:t>
            </w:r>
          </w:p>
        </w:tc>
        <w:tc>
          <w:tcPr>
            <w:tcW w:w="346" w:type="pct"/>
            <w:shd w:val="clear" w:color="auto" w:fill="auto"/>
            <w:noWrap/>
            <w:vAlign w:val="center"/>
          </w:tcPr>
          <w:p w14:paraId="60310D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候问讯问管理模块</w:t>
            </w:r>
          </w:p>
        </w:tc>
        <w:tc>
          <w:tcPr>
            <w:tcW w:w="3489" w:type="pct"/>
            <w:shd w:val="clear" w:color="auto" w:fill="auto"/>
            <w:vAlign w:val="center"/>
          </w:tcPr>
          <w:p w14:paraId="53420A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侯问管理：支持办案区概况展示，包括在区涉案人数、侯问人数、讯问人数、在区民警数、临时出区人数、总涉案人数。可以卡片形式展示各侯问室状态，包括侯问室名称、侯问室类型、可容纳总人数、当前室内人数、还可容纳人数。可查看侯问室实时视频，可查看侯问室当前关押人员信息。可手动分配/带离涉案人员。侯问室分配时可对同案羁押、男女混押、未成年人和成年人混押情况进行提醒。2、讯（询）问管理：支持办案区概况展示，包括在区涉案人数、讯（询）问人数、侯问人数、临时出区人数，支持讯（询）问房间状态展示，包括房间总数、空闲数、已分配数、审讯中数。支持卡片形式展示房间状态：房间空闲时，支持展示房间名称，支持分配涉案人员；房间已分配时，支持展示房间名称、分配时间、审讯人、审讯对象，支持区县分配；房间审讯中时，支持展示房间名称、审讯开始时间、审讯人、审讯对象。3、候问讯问管控终端：候问管理：支持候问室名称显示；支持侯问室状态显示，包括当前房间人数、剩余可容纳人数及显示关押的人员姓名、照片、性别、年龄、主办民警、案件；支持涉案人员刷脸自动带入/带出房间；支持民警刷脸手动带入/带出涉案人员；审讯管理：支持审讯室名称显示；支持审讯室状态显示，包括空闲中、已分配（显示办案人员、审讯对象、案件、分配时间）、审讯中（显示办案人员、审讯对象、案件、审讯开始时间）；在分配状态下，支持办案民警刷脸开始审讯，在审讯状态下，支持办案民警刷脸结束审讯；4、执法流程管控终端：侯问管理：支持查看候问室房间状态，包括房间名称、已关押人数、可容纳人员人数、房间类型等；支持查看候问室关押人员详情，包括人员姓名、照片、性别、年龄、案件、主办民警等；支持手动分配/带离候问室；审讯管理：支持查看审讯室房间状态，包括房间名称、房间状态等；针对空闲中房间，可分配涉案人员；针对已分配房间，展示涉案人员照片、涉案人员姓名、案件、审讯人、分配时间，可取消分配；针对审讯中房间，展示涉案人员照片、涉案人员姓名、案件、审讯人、审讯开始时间。</w:t>
            </w:r>
          </w:p>
        </w:tc>
        <w:tc>
          <w:tcPr>
            <w:tcW w:w="221" w:type="pct"/>
            <w:gridSpan w:val="2"/>
            <w:shd w:val="clear" w:color="auto" w:fill="auto"/>
            <w:noWrap/>
            <w:vAlign w:val="center"/>
          </w:tcPr>
          <w:p w14:paraId="520B15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B5AD0C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45CE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DBAF2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16.20 </w:t>
            </w:r>
          </w:p>
        </w:tc>
        <w:tc>
          <w:tcPr>
            <w:tcW w:w="346" w:type="pct"/>
            <w:shd w:val="clear" w:color="auto" w:fill="auto"/>
            <w:noWrap/>
            <w:vAlign w:val="center"/>
          </w:tcPr>
          <w:p w14:paraId="502B36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饮食休息登记模块</w:t>
            </w:r>
          </w:p>
        </w:tc>
        <w:tc>
          <w:tcPr>
            <w:tcW w:w="3489" w:type="pct"/>
            <w:shd w:val="clear" w:color="auto" w:fill="auto"/>
            <w:vAlign w:val="center"/>
          </w:tcPr>
          <w:p w14:paraId="696151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民警可登记涉案人员在办案区中的饮食休息信息，包括类型（吃饭、喝水、休息）、所在房间、看管员姓名、开始结束时间，并可进行电子签名捺印。</w:t>
            </w:r>
          </w:p>
        </w:tc>
        <w:tc>
          <w:tcPr>
            <w:tcW w:w="221" w:type="pct"/>
            <w:gridSpan w:val="2"/>
            <w:shd w:val="clear" w:color="auto" w:fill="auto"/>
            <w:noWrap/>
            <w:vAlign w:val="center"/>
          </w:tcPr>
          <w:p w14:paraId="74AFF3A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13B94E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989C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59E18CF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16.21</w:t>
            </w:r>
          </w:p>
        </w:tc>
        <w:tc>
          <w:tcPr>
            <w:tcW w:w="346" w:type="pct"/>
            <w:shd w:val="clear" w:color="auto" w:fill="auto"/>
            <w:noWrap/>
            <w:vAlign w:val="center"/>
          </w:tcPr>
          <w:p w14:paraId="26715B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看管巡查登记模块</w:t>
            </w:r>
          </w:p>
        </w:tc>
        <w:tc>
          <w:tcPr>
            <w:tcW w:w="3489" w:type="pct"/>
            <w:shd w:val="clear" w:color="auto" w:fill="auto"/>
            <w:vAlign w:val="center"/>
          </w:tcPr>
          <w:p w14:paraId="1F3759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违法犯罪嫌疑人在办案区等候、休息时，需要安排工作人员不间断看管。民警可通过看管巡查终端定时登记嫌疑人在区状态，包括巡查照片、巡查时间、巡查人、体温、血压、人员在区状态、异常状态、备注。巡查终端可定时语音提醒民警进行巡查。巡查终端联网后可同步在区人员信息，可回传巡查信息至平台。巡查终端上传巡查结果后，系统自动检测巡查过程是否存在漏巡及异常情况，产生漏巡等报警。</w:t>
            </w:r>
          </w:p>
        </w:tc>
        <w:tc>
          <w:tcPr>
            <w:tcW w:w="221" w:type="pct"/>
            <w:gridSpan w:val="2"/>
            <w:shd w:val="clear" w:color="auto" w:fill="auto"/>
            <w:noWrap/>
            <w:vAlign w:val="center"/>
          </w:tcPr>
          <w:p w14:paraId="76F3F80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BB1D68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92DA9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18AA4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16.22 </w:t>
            </w:r>
          </w:p>
        </w:tc>
        <w:tc>
          <w:tcPr>
            <w:tcW w:w="346" w:type="pct"/>
            <w:shd w:val="clear" w:color="auto" w:fill="auto"/>
            <w:noWrap/>
            <w:vAlign w:val="center"/>
          </w:tcPr>
          <w:p w14:paraId="45EE3E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办案区异常告警模块</w:t>
            </w:r>
          </w:p>
        </w:tc>
        <w:tc>
          <w:tcPr>
            <w:tcW w:w="3489" w:type="pct"/>
            <w:shd w:val="clear" w:color="auto" w:fill="auto"/>
            <w:vAlign w:val="center"/>
          </w:tcPr>
          <w:p w14:paraId="06D7E6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异常告警检测：系统可对办案区异常情况进行检测，包括在区超时告警、在区超时预警、审讯超时预警、审讯超时告警、单人审讯、无人看管、陌生人出入区、非法出区、攀高、倒地等。2、异常告警处理：用户可查看异常告警关联的图片或视频信息，可对异常告警做确认或者误报处理，可添加描述信息。</w:t>
            </w:r>
          </w:p>
        </w:tc>
        <w:tc>
          <w:tcPr>
            <w:tcW w:w="221" w:type="pct"/>
            <w:gridSpan w:val="2"/>
            <w:shd w:val="clear" w:color="auto" w:fill="auto"/>
            <w:noWrap/>
            <w:vAlign w:val="center"/>
          </w:tcPr>
          <w:p w14:paraId="14097A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9CCB5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C083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60" w:hRule="atLeast"/>
        </w:trPr>
        <w:tc>
          <w:tcPr>
            <w:tcW w:w="508" w:type="pct"/>
            <w:shd w:val="clear" w:color="auto" w:fill="auto"/>
            <w:noWrap/>
            <w:vAlign w:val="center"/>
          </w:tcPr>
          <w:p w14:paraId="7752D8F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16.23</w:t>
            </w:r>
          </w:p>
        </w:tc>
        <w:tc>
          <w:tcPr>
            <w:tcW w:w="346" w:type="pct"/>
            <w:shd w:val="clear" w:color="auto" w:fill="auto"/>
            <w:noWrap/>
            <w:vAlign w:val="center"/>
          </w:tcPr>
          <w:p w14:paraId="3650CF6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人员定位模块</w:t>
            </w:r>
          </w:p>
        </w:tc>
        <w:tc>
          <w:tcPr>
            <w:tcW w:w="3489" w:type="pct"/>
            <w:shd w:val="clear" w:color="auto" w:fill="auto"/>
            <w:vAlign w:val="center"/>
          </w:tcPr>
          <w:p w14:paraId="52628BC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实时定位：（1）支持卡片展示所有在区人员信息，包括头像、姓名、证件号、停留时长，并支持根据姓名、证件号、人员类型等快速搜索；（2）支持展示办案场所地图并支持放大、缩小、还原；（3）支持接收无感人员定位数据，经分析处理后展示在区人员位置信息；同时可查看人员所在位置视频；（4）支持展示地图上配置的监控点，并支持预览监控点视频；（5）支持人员变动弹窗提醒，包括人员进入、离开，并支持语音播报；（6）支持在室内地图上显示人员实时位置；支持以列表形式展示已登记但尚未离开人员的信息（头像、姓名、证件、停留时长），并支持根据姓名、身份证号、人员类型等条进行人员查询；支持显示当前登记人员总数，支持按人员类型分类统计并展示人员个数；；（7）支持手动关注人员，关注后的人员会加入关注列表中，可通过关键字进行查询；地图上会对实时显示人员位置并播放联动实时视频；当被人员移动至另外一个室内地图范围时，系统可自动切换地图；支持从实时定位模块跳转至人员定位记录回放界面，并查看改人员历史定位记录。2、轨迹查询：（1）支持展示所有出入区人员列表，包括人员姓名、性别、证件类型、证件号、出生年月、人员类型、进入时间、离开时间。（2）支持查看人员历史轨迹，展示人员经过的所有区域、进入该区域的时间及停留时长，展示人员在地图上的行动轨迹；支持轨迹和视频同步回放。3、轨迹下载：支持将人员所有的历史轨迹视频下载到本地。4、轨迹备份：支持将人员历史轨迹视频备份到对象存储，做长久保存；支持轨迹视频拼接合并。</w:t>
            </w:r>
          </w:p>
        </w:tc>
        <w:tc>
          <w:tcPr>
            <w:tcW w:w="221" w:type="pct"/>
            <w:gridSpan w:val="2"/>
            <w:shd w:val="clear" w:color="auto" w:fill="auto"/>
            <w:noWrap/>
            <w:vAlign w:val="center"/>
          </w:tcPr>
          <w:p w14:paraId="581DE5F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F1CC6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260B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9E839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16.24 </w:t>
            </w:r>
          </w:p>
        </w:tc>
        <w:tc>
          <w:tcPr>
            <w:tcW w:w="346" w:type="pct"/>
            <w:shd w:val="clear" w:color="auto" w:fill="auto"/>
            <w:noWrap/>
            <w:vAlign w:val="center"/>
          </w:tcPr>
          <w:p w14:paraId="3A9BA1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定位场所数模块</w:t>
            </w:r>
          </w:p>
        </w:tc>
        <w:tc>
          <w:tcPr>
            <w:tcW w:w="3489" w:type="pct"/>
            <w:shd w:val="clear" w:color="auto" w:fill="auto"/>
            <w:vAlign w:val="center"/>
          </w:tcPr>
          <w:p w14:paraId="34AF11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平台场所下添加的定位场所数量，一个办案区，平台内为一个场所，一个场所下可以添加多张定位地图。</w:t>
            </w:r>
          </w:p>
        </w:tc>
        <w:tc>
          <w:tcPr>
            <w:tcW w:w="221" w:type="pct"/>
            <w:gridSpan w:val="2"/>
            <w:shd w:val="clear" w:color="auto" w:fill="auto"/>
            <w:noWrap/>
            <w:vAlign w:val="center"/>
          </w:tcPr>
          <w:p w14:paraId="2AD1F4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EF620F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7432C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6DADD8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16.25</w:t>
            </w:r>
          </w:p>
        </w:tc>
        <w:tc>
          <w:tcPr>
            <w:tcW w:w="346" w:type="pct"/>
            <w:shd w:val="clear" w:color="auto" w:fill="auto"/>
            <w:noWrap/>
            <w:vAlign w:val="center"/>
          </w:tcPr>
          <w:p w14:paraId="7B0C6B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三维办案区模块</w:t>
            </w:r>
          </w:p>
        </w:tc>
        <w:tc>
          <w:tcPr>
            <w:tcW w:w="3489" w:type="pct"/>
            <w:shd w:val="clear" w:color="auto" w:fill="auto"/>
            <w:vAlign w:val="center"/>
          </w:tcPr>
          <w:p w14:paraId="35452E1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实时定位支持三维地图展示办案区概况；支持实时展示在区涉案人员的信息（头像、姓名、证件、停留时长），并支持根据姓名、身份证号、人员类型等快速搜索；支持人员变动弹窗提醒，包括人员入区、出区、临时出区；支持实时展示在区涉案人员位置；支持手动关注人员，关注后的人员会加入特别关注组中，方便快速查找；支持切换地图来实时查看不同地图上的登记人员；支持定位人员，地图上会突出显示该人员位置；支持跟踪人员，地图上会显著地显示跟踪人员的位置，人员到另外一个地图时会自动切换地图，自动启动播放器预览当前人员所在区域关联的监控点，人员定位信息更新到其他区域时播放器自动切换预览对应监控点；支持定位中人员的轨迹信息查看；支持预览地图上配置的监控点；支持接收报警信息，并且弹窗提示，支持未读报警信息计数提醒，支持查看告警视频；支持地图拖拽、放大、缩小、旋转；支持展示办案区审讯室状态（空闲、已分配、侯问中）、侯问室状态（已关押人数、总容纳人数）；支持展示在区涉案人数、临时出区人数、最终出区人数；支持展示今日告警top5，历史告警类型占比统计；支持展示近三个月、近一年入区人数趋势统计；支持历史办理案件数统计（行政、刑事占比），支持历史案由占比统计。2、轨迹查询：支持定位记录信息列表展示及关键字（定位时间、姓名、证件类型、证件号）查询；支持查看定位记录的轨迹（含地图）信息、全程录像，同时支持按时间段过滤；支持查看经过的任一区域信息，包括区域名称、进入时间和停留时间；支持轨迹和视频同步回放；轨迹视频支持暂停、进度条显示、多倍速播放（1X、2X、4X、8X、16X）、全屏；3、轨迹下载：支持将人员所有的历史轨迹视频下载到本地。4、轨迹备份：支持将人员历史轨迹视频备份到对象存储，做长久保存；支持轨迹视频拼接合并。</w:t>
            </w:r>
          </w:p>
        </w:tc>
        <w:tc>
          <w:tcPr>
            <w:tcW w:w="221" w:type="pct"/>
            <w:gridSpan w:val="2"/>
            <w:shd w:val="clear" w:color="auto" w:fill="auto"/>
            <w:noWrap/>
            <w:vAlign w:val="center"/>
          </w:tcPr>
          <w:p w14:paraId="22E50D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16345F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09D9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62" w:hRule="atLeast"/>
        </w:trPr>
        <w:tc>
          <w:tcPr>
            <w:tcW w:w="508" w:type="pct"/>
            <w:shd w:val="clear" w:color="auto" w:fill="auto"/>
            <w:noWrap/>
            <w:vAlign w:val="center"/>
          </w:tcPr>
          <w:p w14:paraId="1D83A8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16.26 </w:t>
            </w:r>
          </w:p>
        </w:tc>
        <w:tc>
          <w:tcPr>
            <w:tcW w:w="346" w:type="pct"/>
            <w:shd w:val="clear" w:color="auto" w:fill="auto"/>
            <w:noWrap/>
            <w:vAlign w:val="center"/>
          </w:tcPr>
          <w:p w14:paraId="76B41B3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执法档案模块</w:t>
            </w:r>
          </w:p>
        </w:tc>
        <w:tc>
          <w:tcPr>
            <w:tcW w:w="3489" w:type="pct"/>
            <w:shd w:val="clear" w:color="auto" w:fill="auto"/>
            <w:vAlign w:val="center"/>
          </w:tcPr>
          <w:p w14:paraId="767234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一案一档：（1）以案件为维度，汇聚案件关联的信息。支持以卡片形式展示所有的案件信息，包括案件名称、案件编号、案件类型、承办部门、承办人。（2）支持按照创建时间、案件名称、案件类型、承办部门、承办人、案件编号、涉案人员去筛选查询；（3）支持在一案一档界面，查看案件关联的涉案人员相关信息，包括基本信息、办案区活动记录、审讯记录、审讯录像、定位记录录像；支持将人员定位记录视频、审讯过程视频自动备份至云存储系统。2、一人一档：（1）以涉案人员为维度，汇聚人员关联的信息。支持以卡片方式展示所有已登记涉案人员，包括姓名、性别、照片、证件类型、证件号码、联系方式、户籍地址；（2）支持按照姓名、性别、证件类型、证件号码、案件名称、案件编号进行筛选查询；（3）支持展示涉案人员的详细信息，包括人员详情及关联的警情、案件、办案区流程记录（入区登记、人身检查、物品管理、信息采集、吸毒检测、饮食休息、侯问讯问、临时出入区、最终出区）、讯（询）问记录、涉案财物信息及流转记录、卷宗信息及流转记录。</w:t>
            </w:r>
          </w:p>
        </w:tc>
        <w:tc>
          <w:tcPr>
            <w:tcW w:w="221" w:type="pct"/>
            <w:gridSpan w:val="2"/>
            <w:shd w:val="clear" w:color="auto" w:fill="auto"/>
            <w:noWrap/>
            <w:vAlign w:val="center"/>
          </w:tcPr>
          <w:p w14:paraId="01929D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63945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028F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65" w:hRule="atLeast"/>
        </w:trPr>
        <w:tc>
          <w:tcPr>
            <w:tcW w:w="508" w:type="pct"/>
            <w:shd w:val="clear" w:color="auto" w:fill="auto"/>
            <w:noWrap/>
            <w:vAlign w:val="center"/>
          </w:tcPr>
          <w:p w14:paraId="01D635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16.27</w:t>
            </w:r>
          </w:p>
        </w:tc>
        <w:tc>
          <w:tcPr>
            <w:tcW w:w="346" w:type="pct"/>
            <w:shd w:val="clear" w:color="auto" w:fill="auto"/>
            <w:noWrap/>
            <w:vAlign w:val="center"/>
          </w:tcPr>
          <w:p w14:paraId="07BD72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执法态势模块</w:t>
            </w:r>
          </w:p>
        </w:tc>
        <w:tc>
          <w:tcPr>
            <w:tcW w:w="3489" w:type="pct"/>
            <w:shd w:val="clear" w:color="auto" w:fill="auto"/>
            <w:vAlign w:val="center"/>
          </w:tcPr>
          <w:p w14:paraId="60B4F18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可视化展示全县电子地图，可在地图查看全县各个派出所的地理位置以及名称，支持点击对应的派出所跳转至派出所的统计图层；2.支持展示全县所有的警情统计，包括警情总数、月同比变化趋势、月环比变化趋势、涉案警情数，支持曲线图展示全县的警情数变化趋势，可按日（近15天）、周（近三个月）、月（近一年）的时间范围进行筛选统计；3.支持展示全县所有的案件统计，包括案件总数、月同比变化趋势、月环比变化趋势、行政案件数、刑事案件数、在办案件数、办结案件数，支持曲线图展示全县的刑事案件和行政案件数变化趋势，可按日（近15天）、周（近三个月）、月（近一年）的时间范围进行筛选统计；4.支持展示全县所有的涉案人员统计，包括人员总数、当前在区数、临时出区数、最终出区数，支持饼状图展示全县入区案由的数量、比例以及最终出区去向的数量、比例信息；5.支持展示全县所有的预警状况统计，包括预警总数、月同比变化趋势、月环比变化趋势、今日新增数，支持饼状图展示各个预警类型的数量和占比，支持展示各个派出所预警数排名，可按今日、周、月的时间范围筛选统计；支持点击更多按钮跳转预警中心查看预警信息详情；6.支持展示全县办案区的状况信息，包括办案区数量、视频监控点位数量；支持展示询/讯问室数量以及使用量、使用率，候问室的数量以及使用量、使用率；支持展示询/讯问室与候问室的数量比例情况；7.支持展示全县所有的案卷信息，包括案卷总数、月同比变化趋势、月环比变化趋势、今日接收数、今日移交数；支持展示待存入、保管中、待取出和已取出的案卷数量以及四者的占比信息；8.支持展示全县所有的涉案物品统计信息，包括涉案物品总数、月同比变化趋势、月环比变化趋势；支持按照物品类型、出/入库状态、今日出/入库展示各类物品数量。</w:t>
            </w:r>
          </w:p>
        </w:tc>
        <w:tc>
          <w:tcPr>
            <w:tcW w:w="221" w:type="pct"/>
            <w:gridSpan w:val="2"/>
            <w:shd w:val="clear" w:color="auto" w:fill="auto"/>
            <w:noWrap/>
            <w:vAlign w:val="center"/>
          </w:tcPr>
          <w:p w14:paraId="5AA3C4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500B4D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3EE0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02" w:hRule="atLeast"/>
        </w:trPr>
        <w:tc>
          <w:tcPr>
            <w:tcW w:w="508" w:type="pct"/>
            <w:shd w:val="clear" w:color="auto" w:fill="auto"/>
            <w:noWrap/>
            <w:vAlign w:val="center"/>
          </w:tcPr>
          <w:p w14:paraId="2910522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16.28 </w:t>
            </w:r>
          </w:p>
        </w:tc>
        <w:tc>
          <w:tcPr>
            <w:tcW w:w="346" w:type="pct"/>
            <w:shd w:val="clear" w:color="auto" w:fill="auto"/>
            <w:noWrap/>
            <w:vAlign w:val="center"/>
          </w:tcPr>
          <w:p w14:paraId="0A59F7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执法巡查模块</w:t>
            </w:r>
          </w:p>
        </w:tc>
        <w:tc>
          <w:tcPr>
            <w:tcW w:w="3489" w:type="pct"/>
            <w:shd w:val="clear" w:color="auto" w:fill="auto"/>
            <w:vAlign w:val="center"/>
          </w:tcPr>
          <w:p w14:paraId="7274711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案件巡查：可对行政案件和刑事案件进行分类巡查，可查看案件详情、案件关联的警情信息、案件关联的涉案人员信息、涉案人员的办案区活动记录（入区登记、人身检查、物品管理、信息采集、吸毒检测、饮食休息、侯问讯问、临时出入区、最终出区）、涉案人员的讯（询）问记录、案件关联的涉案财物信息及流转记录、案件关联的卷宗信息及流转记录、案件关联的音视频资料信息（接处警、办案区、讯询问、现场勘查）。针对违规的案件，可直接发起问题督办（可选择问题类型、问题等级、填写问题描述、选择违规部门、责任人、上传违规图片），下发给违规人员整改；亦可直接发起执法考评（可选择考评规则、填写考评标题、扣分值、问题描述、责任单位、责任人、问题图片），对违规人员进行扣分触发。可查看历史督办记录，督办问题问题的整改状态。可查看历史的执法考评记录。</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2、场所巡查：可查看各办案场所实时监控视频和历史视频，针对违规的行为，可直接发起问题督办（可选择问题类型、问题等级、填写问题描述、选择违规部门、责任人、上传违规图片），下发给违规人员整改；亦可直接发起执法考评（可选择考评规则、填写考评标题、扣分值、问题描述、责任单位、责任人、问题图片），对违规人员进行扣分触发。</w:t>
            </w:r>
          </w:p>
        </w:tc>
        <w:tc>
          <w:tcPr>
            <w:tcW w:w="221" w:type="pct"/>
            <w:gridSpan w:val="2"/>
            <w:shd w:val="clear" w:color="auto" w:fill="auto"/>
            <w:noWrap/>
            <w:vAlign w:val="center"/>
          </w:tcPr>
          <w:p w14:paraId="7E20EB1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B8CF36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0E8A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7ABD8D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16.29</w:t>
            </w:r>
          </w:p>
        </w:tc>
        <w:tc>
          <w:tcPr>
            <w:tcW w:w="346" w:type="pct"/>
            <w:shd w:val="clear" w:color="auto" w:fill="auto"/>
            <w:noWrap/>
            <w:vAlign w:val="center"/>
          </w:tcPr>
          <w:p w14:paraId="548B50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数据对接网关</w:t>
            </w:r>
          </w:p>
        </w:tc>
        <w:tc>
          <w:tcPr>
            <w:tcW w:w="3489" w:type="pct"/>
            <w:shd w:val="clear" w:color="auto" w:fill="auto"/>
            <w:vAlign w:val="center"/>
          </w:tcPr>
          <w:p w14:paraId="1CF53E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将不同数据源数据，通过各个数据流中的主键字段，进行等值关联合并，输出到同一个目标源中；2.支持按数字、日期等业务字段进行数据增量字段的配置，可实现断点续传，指定偏移量进行数据增量抽取；3.支持查看配置任务的运行状态，初步判断任务运行情况以及性能情况；查看任务的所有执行记录，包含各时间点执行的情况；针对输入、处理、输出每一个节点提供数据量报表、执行日志、性能日志、执行记录等信息；4.以画布式推拽模式和向导模式进行数据集成任务开发，任务主要由输入插件、处理插件和输出插件组成，实现数据接入、数据处理和数据分发，展示数据输入输出流向。</w:t>
            </w:r>
          </w:p>
        </w:tc>
        <w:tc>
          <w:tcPr>
            <w:tcW w:w="221" w:type="pct"/>
            <w:gridSpan w:val="2"/>
            <w:shd w:val="clear" w:color="auto" w:fill="auto"/>
            <w:noWrap/>
            <w:vAlign w:val="center"/>
          </w:tcPr>
          <w:p w14:paraId="41F7989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E1932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EEFA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7DEFE06">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 xml:space="preserve">17 </w:t>
            </w:r>
          </w:p>
        </w:tc>
        <w:tc>
          <w:tcPr>
            <w:tcW w:w="4486" w:type="pct"/>
            <w:gridSpan w:val="6"/>
            <w:shd w:val="clear" w:color="auto" w:fill="auto"/>
            <w:noWrap/>
            <w:vAlign w:val="center"/>
          </w:tcPr>
          <w:p w14:paraId="6D9CB5BA">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远程取证平台</w:t>
            </w:r>
          </w:p>
        </w:tc>
      </w:tr>
      <w:tr w14:paraId="7AF0D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4E76A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17.1</w:t>
            </w:r>
          </w:p>
        </w:tc>
        <w:tc>
          <w:tcPr>
            <w:tcW w:w="346" w:type="pct"/>
            <w:shd w:val="clear" w:color="auto" w:fill="auto"/>
            <w:noWrap/>
            <w:vAlign w:val="center"/>
          </w:tcPr>
          <w:p w14:paraId="1A0986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基础管理模块</w:t>
            </w:r>
          </w:p>
        </w:tc>
        <w:tc>
          <w:tcPr>
            <w:tcW w:w="3489" w:type="pct"/>
            <w:shd w:val="clear" w:color="auto" w:fill="auto"/>
            <w:vAlign w:val="center"/>
          </w:tcPr>
          <w:p w14:paraId="40109A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提供平台登录、人员信息管理、系统配置等基础功能。</w:t>
            </w:r>
          </w:p>
        </w:tc>
        <w:tc>
          <w:tcPr>
            <w:tcW w:w="221" w:type="pct"/>
            <w:gridSpan w:val="2"/>
            <w:shd w:val="clear" w:color="auto" w:fill="auto"/>
            <w:noWrap/>
            <w:vAlign w:val="center"/>
          </w:tcPr>
          <w:p w14:paraId="51FDF7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072322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6D97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158DD29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17.2</w:t>
            </w:r>
          </w:p>
        </w:tc>
        <w:tc>
          <w:tcPr>
            <w:tcW w:w="346" w:type="pct"/>
            <w:shd w:val="clear" w:color="auto" w:fill="auto"/>
            <w:noWrap/>
            <w:vAlign w:val="center"/>
          </w:tcPr>
          <w:p w14:paraId="58D95FD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取证室管理服务</w:t>
            </w:r>
          </w:p>
        </w:tc>
        <w:tc>
          <w:tcPr>
            <w:tcW w:w="3489" w:type="pct"/>
            <w:shd w:val="clear" w:color="auto" w:fill="auto"/>
            <w:vAlign w:val="center"/>
          </w:tcPr>
          <w:p w14:paraId="28691D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同步将笔录制作过程展示给被取证人；2、支持主动获取被取证人的位置信息，支持将位置信息自动填写至笔录中，用户可对自动填写的内容进行二次修改；3、支持对笔录问答内容的输入，并可对输入内容进行复制、粘贴、删除；4、支持笔录内容的自动保存；5、支持将笔录发送至被取证人让其确认和签字；6、支持被取证人拒绝签字时的笔录合成处理；7、支持双向高清音视频通话，实现面对面取证效果；8、支持在PC显示器中显示取证操作界面，在大屏中显示双方视频画面；9、支持最多各5名询问人和记录员在笔录中签名；10、支持对接电子签字板。</w:t>
            </w:r>
          </w:p>
        </w:tc>
        <w:tc>
          <w:tcPr>
            <w:tcW w:w="221" w:type="pct"/>
            <w:gridSpan w:val="2"/>
            <w:shd w:val="clear" w:color="auto" w:fill="auto"/>
            <w:noWrap/>
            <w:vAlign w:val="center"/>
          </w:tcPr>
          <w:p w14:paraId="3E9C72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间</w:t>
            </w:r>
          </w:p>
        </w:tc>
        <w:tc>
          <w:tcPr>
            <w:tcW w:w="428" w:type="pct"/>
            <w:gridSpan w:val="2"/>
            <w:shd w:val="clear" w:color="auto" w:fill="auto"/>
            <w:noWrap/>
            <w:vAlign w:val="center"/>
          </w:tcPr>
          <w:p w14:paraId="5A73CD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D47F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151368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17.3</w:t>
            </w:r>
          </w:p>
        </w:tc>
        <w:tc>
          <w:tcPr>
            <w:tcW w:w="346" w:type="pct"/>
            <w:shd w:val="clear" w:color="auto" w:fill="auto"/>
            <w:noWrap/>
            <w:vAlign w:val="center"/>
          </w:tcPr>
          <w:p w14:paraId="4E32446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取证中心（民警端）</w:t>
            </w:r>
          </w:p>
        </w:tc>
        <w:tc>
          <w:tcPr>
            <w:tcW w:w="3489" w:type="pct"/>
            <w:shd w:val="clear" w:color="auto" w:fill="auto"/>
            <w:vAlign w:val="center"/>
          </w:tcPr>
          <w:p w14:paraId="3E28E7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双向高清音视频通话，实现面对面取证效果；2、支持通过扫描身份证登录平台；3、支持通过人脸比对来核验被取证人身份；4、支持自动定位被取证人所在的取证位置；5、支持对笔录、法律文书、证据材料进行签字（姓名、日期）确认；</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6、支持笔录的确认条款签写；7、支持从手机相册批量上传证据材料；8、支持同步查看高清笔录制作过程；9、支持签写和下载民警指定的法律文书。</w:t>
            </w:r>
          </w:p>
        </w:tc>
        <w:tc>
          <w:tcPr>
            <w:tcW w:w="221" w:type="pct"/>
            <w:gridSpan w:val="2"/>
            <w:shd w:val="clear" w:color="auto" w:fill="auto"/>
            <w:noWrap/>
            <w:vAlign w:val="center"/>
          </w:tcPr>
          <w:p w14:paraId="5988AD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BC58C4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6E38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8EA85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17.4</w:t>
            </w:r>
          </w:p>
        </w:tc>
        <w:tc>
          <w:tcPr>
            <w:tcW w:w="346" w:type="pct"/>
            <w:shd w:val="clear" w:color="auto" w:fill="auto"/>
            <w:noWrap/>
            <w:vAlign w:val="center"/>
          </w:tcPr>
          <w:p w14:paraId="4E7B14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取证中心（群众端小程序）</w:t>
            </w:r>
          </w:p>
        </w:tc>
        <w:tc>
          <w:tcPr>
            <w:tcW w:w="3489" w:type="pct"/>
            <w:shd w:val="clear" w:color="auto" w:fill="auto"/>
            <w:vAlign w:val="center"/>
          </w:tcPr>
          <w:p w14:paraId="74B7F1E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1、支持对保存的案件取证数据进行查询、预览和下载；2、支持对已取证案件，可设置再次取证</w:t>
            </w:r>
          </w:p>
        </w:tc>
        <w:tc>
          <w:tcPr>
            <w:tcW w:w="221" w:type="pct"/>
            <w:gridSpan w:val="2"/>
            <w:shd w:val="clear" w:color="auto" w:fill="auto"/>
            <w:noWrap/>
            <w:vAlign w:val="center"/>
          </w:tcPr>
          <w:p w14:paraId="3B3C57C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4BFCC5B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E50C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520BC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17.5</w:t>
            </w:r>
          </w:p>
        </w:tc>
        <w:tc>
          <w:tcPr>
            <w:tcW w:w="346" w:type="pct"/>
            <w:shd w:val="clear" w:color="auto" w:fill="auto"/>
            <w:noWrap/>
            <w:vAlign w:val="center"/>
          </w:tcPr>
          <w:p w14:paraId="18D79B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案件中心</w:t>
            </w:r>
          </w:p>
        </w:tc>
        <w:tc>
          <w:tcPr>
            <w:tcW w:w="3489" w:type="pct"/>
            <w:shd w:val="clear" w:color="auto" w:fill="auto"/>
            <w:vAlign w:val="center"/>
          </w:tcPr>
          <w:p w14:paraId="5BD7084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1、支持对保存的案件取证数据进行查询、预览和下载；2、支持对已取证案件，可设置再次取证</w:t>
            </w:r>
          </w:p>
        </w:tc>
        <w:tc>
          <w:tcPr>
            <w:tcW w:w="221" w:type="pct"/>
            <w:gridSpan w:val="2"/>
            <w:shd w:val="clear" w:color="auto" w:fill="auto"/>
            <w:noWrap/>
            <w:vAlign w:val="center"/>
          </w:tcPr>
          <w:p w14:paraId="156B34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55246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AFD3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682FF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17.6</w:t>
            </w:r>
          </w:p>
        </w:tc>
        <w:tc>
          <w:tcPr>
            <w:tcW w:w="346" w:type="pct"/>
            <w:shd w:val="clear" w:color="auto" w:fill="auto"/>
            <w:noWrap/>
            <w:vAlign w:val="center"/>
          </w:tcPr>
          <w:p w14:paraId="4725B4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涉众案件中心</w:t>
            </w:r>
          </w:p>
        </w:tc>
        <w:tc>
          <w:tcPr>
            <w:tcW w:w="3489" w:type="pct"/>
            <w:shd w:val="clear" w:color="auto" w:fill="auto"/>
            <w:vAlign w:val="center"/>
          </w:tcPr>
          <w:p w14:paraId="4AD3B3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1、支持专案创建、被害人快速导入、信息登记和收集、自书材料生产和确认签字、证据材料收集等功能</w:t>
            </w:r>
          </w:p>
        </w:tc>
        <w:tc>
          <w:tcPr>
            <w:tcW w:w="221" w:type="pct"/>
            <w:gridSpan w:val="2"/>
            <w:shd w:val="clear" w:color="auto" w:fill="auto"/>
            <w:noWrap/>
            <w:vAlign w:val="center"/>
          </w:tcPr>
          <w:p w14:paraId="2232737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3152EA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1F5A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62BC58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17.7</w:t>
            </w:r>
          </w:p>
        </w:tc>
        <w:tc>
          <w:tcPr>
            <w:tcW w:w="346" w:type="pct"/>
            <w:shd w:val="clear" w:color="auto" w:fill="auto"/>
            <w:noWrap/>
            <w:vAlign w:val="center"/>
          </w:tcPr>
          <w:p w14:paraId="2FD3016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统计中心</w:t>
            </w:r>
          </w:p>
        </w:tc>
        <w:tc>
          <w:tcPr>
            <w:tcW w:w="3489" w:type="pct"/>
            <w:shd w:val="clear" w:color="auto" w:fill="auto"/>
            <w:vAlign w:val="center"/>
          </w:tcPr>
          <w:p w14:paraId="68E41D0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可视化取证数据，如取证室使用排行榜TOP5、取证趋势、被取证人区域分布TOP5、被取证人年龄分布等，能够以看板形式在大屏展示；2、支持根据取证数据，自动计算累计减负公里数、累计节约办案费用、累计办案时长、累计减少碳排放指标。3、支持按照区域切换查询取证数据。</w:t>
            </w:r>
          </w:p>
        </w:tc>
        <w:tc>
          <w:tcPr>
            <w:tcW w:w="221" w:type="pct"/>
            <w:gridSpan w:val="2"/>
            <w:shd w:val="clear" w:color="auto" w:fill="auto"/>
            <w:noWrap/>
            <w:vAlign w:val="center"/>
          </w:tcPr>
          <w:p w14:paraId="2029CE7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A32C56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0929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DEC2A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17.8</w:t>
            </w:r>
          </w:p>
        </w:tc>
        <w:tc>
          <w:tcPr>
            <w:tcW w:w="346" w:type="pct"/>
            <w:shd w:val="clear" w:color="auto" w:fill="auto"/>
            <w:noWrap/>
            <w:vAlign w:val="center"/>
          </w:tcPr>
          <w:p w14:paraId="4CEF14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预约中心</w:t>
            </w:r>
          </w:p>
        </w:tc>
        <w:tc>
          <w:tcPr>
            <w:tcW w:w="3489" w:type="pct"/>
            <w:shd w:val="clear" w:color="auto" w:fill="auto"/>
            <w:vAlign w:val="center"/>
          </w:tcPr>
          <w:p w14:paraId="3F49873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1、支持取证室的预约和管理。2、支持查看取证室的使用状态。</w:t>
            </w:r>
          </w:p>
        </w:tc>
        <w:tc>
          <w:tcPr>
            <w:tcW w:w="221" w:type="pct"/>
            <w:gridSpan w:val="2"/>
            <w:shd w:val="clear" w:color="auto" w:fill="auto"/>
            <w:noWrap/>
            <w:vAlign w:val="center"/>
          </w:tcPr>
          <w:p w14:paraId="6B6709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EF2882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130A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9E4DE9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17.9</w:t>
            </w:r>
          </w:p>
        </w:tc>
        <w:tc>
          <w:tcPr>
            <w:tcW w:w="346" w:type="pct"/>
            <w:shd w:val="clear" w:color="auto" w:fill="auto"/>
            <w:noWrap/>
            <w:vAlign w:val="center"/>
          </w:tcPr>
          <w:p w14:paraId="22EAF12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视频会控基础服务</w:t>
            </w:r>
          </w:p>
        </w:tc>
        <w:tc>
          <w:tcPr>
            <w:tcW w:w="3489" w:type="pct"/>
            <w:shd w:val="clear" w:color="auto" w:fill="auto"/>
            <w:vAlign w:val="center"/>
          </w:tcPr>
          <w:p w14:paraId="18A57AE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1、支持当前用户查看待召开的会议和正在进行的会议；2、支持会议过程中，对会议成员发起邀请、呼叫；3、支持适应网络，保障会议系统安全稳定运行。</w:t>
            </w:r>
          </w:p>
        </w:tc>
        <w:tc>
          <w:tcPr>
            <w:tcW w:w="221" w:type="pct"/>
            <w:gridSpan w:val="2"/>
            <w:shd w:val="clear" w:color="auto" w:fill="auto"/>
            <w:noWrap/>
            <w:vAlign w:val="center"/>
          </w:tcPr>
          <w:p w14:paraId="4A82648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1D77B12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98A0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B5889E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17.10 </w:t>
            </w:r>
          </w:p>
        </w:tc>
        <w:tc>
          <w:tcPr>
            <w:tcW w:w="346" w:type="pct"/>
            <w:shd w:val="clear" w:color="auto" w:fill="auto"/>
            <w:noWrap/>
            <w:vAlign w:val="center"/>
          </w:tcPr>
          <w:p w14:paraId="3F728DC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单间取证室取流并发服务</w:t>
            </w:r>
          </w:p>
        </w:tc>
        <w:tc>
          <w:tcPr>
            <w:tcW w:w="3489" w:type="pct"/>
            <w:shd w:val="clear" w:color="auto" w:fill="auto"/>
            <w:vAlign w:val="center"/>
          </w:tcPr>
          <w:p w14:paraId="4DB6B93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1、提供在手机端小程序上看到PC端的同步画面的服务。2、提供在手机端小程序上看到会议终端的视频画面的服务。3、提供在PC端看到手机端的摄像头视频画面的服务。</w:t>
            </w:r>
          </w:p>
        </w:tc>
        <w:tc>
          <w:tcPr>
            <w:tcW w:w="221" w:type="pct"/>
            <w:gridSpan w:val="2"/>
            <w:shd w:val="clear" w:color="auto" w:fill="auto"/>
            <w:noWrap/>
            <w:vAlign w:val="center"/>
          </w:tcPr>
          <w:p w14:paraId="0B97C0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路</w:t>
            </w:r>
          </w:p>
        </w:tc>
        <w:tc>
          <w:tcPr>
            <w:tcW w:w="428" w:type="pct"/>
            <w:gridSpan w:val="2"/>
            <w:shd w:val="clear" w:color="auto" w:fill="auto"/>
            <w:noWrap/>
            <w:vAlign w:val="center"/>
          </w:tcPr>
          <w:p w14:paraId="4C81BB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7F42C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0C009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17.11</w:t>
            </w:r>
          </w:p>
        </w:tc>
        <w:tc>
          <w:tcPr>
            <w:tcW w:w="346" w:type="pct"/>
            <w:shd w:val="clear" w:color="auto" w:fill="auto"/>
            <w:noWrap/>
            <w:vAlign w:val="center"/>
          </w:tcPr>
          <w:p w14:paraId="097DCE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单间取证室取证录播服务</w:t>
            </w:r>
          </w:p>
        </w:tc>
        <w:tc>
          <w:tcPr>
            <w:tcW w:w="3489" w:type="pct"/>
            <w:shd w:val="clear" w:color="auto" w:fill="auto"/>
            <w:vAlign w:val="center"/>
          </w:tcPr>
          <w:p w14:paraId="02D9955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1、提供支持对取证界面、小程序画面和取证终端视频作为一个完整画面，并录制成mp4文件的服务。2、支持将录播文件保存在服务器硬盘中，提供文件下载和点播等服务。</w:t>
            </w:r>
          </w:p>
        </w:tc>
        <w:tc>
          <w:tcPr>
            <w:tcW w:w="221" w:type="pct"/>
            <w:gridSpan w:val="2"/>
            <w:shd w:val="clear" w:color="auto" w:fill="auto"/>
            <w:noWrap/>
            <w:vAlign w:val="center"/>
          </w:tcPr>
          <w:p w14:paraId="4B68D27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路</w:t>
            </w:r>
          </w:p>
        </w:tc>
        <w:tc>
          <w:tcPr>
            <w:tcW w:w="428" w:type="pct"/>
            <w:gridSpan w:val="2"/>
            <w:shd w:val="clear" w:color="auto" w:fill="auto"/>
            <w:noWrap/>
            <w:vAlign w:val="center"/>
          </w:tcPr>
          <w:p w14:paraId="4DF69F1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96F2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6B8FAF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18</w:t>
            </w:r>
          </w:p>
        </w:tc>
        <w:tc>
          <w:tcPr>
            <w:tcW w:w="4486" w:type="pct"/>
            <w:gridSpan w:val="6"/>
            <w:shd w:val="clear" w:color="auto" w:fill="auto"/>
            <w:noWrap/>
            <w:vAlign w:val="center"/>
          </w:tcPr>
          <w:p w14:paraId="36DBA07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计算存储资源</w:t>
            </w:r>
          </w:p>
        </w:tc>
      </w:tr>
      <w:tr w14:paraId="1A15AA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39" w:hRule="atLeast"/>
        </w:trPr>
        <w:tc>
          <w:tcPr>
            <w:tcW w:w="508" w:type="pct"/>
            <w:shd w:val="clear" w:color="auto" w:fill="auto"/>
            <w:noWrap/>
            <w:vAlign w:val="center"/>
          </w:tcPr>
          <w:p w14:paraId="50BB800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18.1</w:t>
            </w:r>
          </w:p>
        </w:tc>
        <w:tc>
          <w:tcPr>
            <w:tcW w:w="346" w:type="pct"/>
            <w:shd w:val="clear" w:color="auto" w:fill="auto"/>
            <w:noWrap/>
            <w:vAlign w:val="center"/>
          </w:tcPr>
          <w:p w14:paraId="5AC905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硬件服务器</w:t>
            </w:r>
          </w:p>
        </w:tc>
        <w:tc>
          <w:tcPr>
            <w:tcW w:w="3489" w:type="pct"/>
            <w:shd w:val="clear" w:color="auto" w:fill="auto"/>
            <w:vAlign w:val="center"/>
          </w:tcPr>
          <w:p w14:paraId="40A9FF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CPU：配置≥2颗，核数≥12核，主频≥1.8GHz；内存：配置≥128G DDR5，≥16个内存插槽，最大支持扩展至2TB内存；硬盘：配置≥2块1.2T 10K 2.5寸 SAS硬盘，默认支持≥8个3.5寸/2.5寸硬盘，可选最大支持12个3.5寸/2.5寸硬盘，可选兼容≥4个NVMe硬盘；阵列卡：配置SAS+HBA卡，支持RAID 0/1/10;PCIE扩展：支持≥7个PCIe扩展插槽（包括≥1个OCP 插槽），其中≥5个PCIe 5.0；网口：≥4个千兆电口； 支持选配10GbE、25GbE SFP+等多种网络接口；其他接口：≥1个RJ45管理接口，后置≥2个USB 3.0接口，前置≥2个USB2.0接口，≥1个VGA接口；电源：标配550W（1+1）高效白金热插拔冗余电源</w:t>
            </w:r>
          </w:p>
        </w:tc>
        <w:tc>
          <w:tcPr>
            <w:tcW w:w="221" w:type="pct"/>
            <w:gridSpan w:val="2"/>
            <w:shd w:val="clear" w:color="auto" w:fill="auto"/>
            <w:noWrap/>
            <w:vAlign w:val="center"/>
          </w:tcPr>
          <w:p w14:paraId="585E6D8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81E9E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r>
      <w:tr w14:paraId="5BD23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3184BB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18.2</w:t>
            </w:r>
          </w:p>
        </w:tc>
        <w:tc>
          <w:tcPr>
            <w:tcW w:w="346" w:type="pct"/>
            <w:shd w:val="clear" w:color="auto" w:fill="auto"/>
            <w:noWrap/>
            <w:vAlign w:val="center"/>
          </w:tcPr>
          <w:p w14:paraId="73BDB6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校时系统</w:t>
            </w:r>
          </w:p>
        </w:tc>
        <w:tc>
          <w:tcPr>
            <w:tcW w:w="3489" w:type="pct"/>
            <w:shd w:val="clear" w:color="auto" w:fill="auto"/>
            <w:vAlign w:val="center"/>
          </w:tcPr>
          <w:p w14:paraId="2CC555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守时精度：≤28us；跟踪通道数：≥32；捕获通道数：≥128；授时容量：≥10000次/每秒（单端口）；授时精度：≤5us；授时频段：GPS:1575.42±1.023MHz，北斗:1561.098±2.046MHz</w:t>
            </w:r>
          </w:p>
        </w:tc>
        <w:tc>
          <w:tcPr>
            <w:tcW w:w="221" w:type="pct"/>
            <w:gridSpan w:val="2"/>
            <w:shd w:val="clear" w:color="auto" w:fill="auto"/>
            <w:noWrap/>
            <w:vAlign w:val="center"/>
          </w:tcPr>
          <w:p w14:paraId="3E98F5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188F7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D7AB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0A763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18.3</w:t>
            </w:r>
          </w:p>
        </w:tc>
        <w:tc>
          <w:tcPr>
            <w:tcW w:w="346" w:type="pct"/>
            <w:shd w:val="clear" w:color="auto" w:fill="auto"/>
            <w:noWrap/>
            <w:vAlign w:val="center"/>
          </w:tcPr>
          <w:p w14:paraId="47C9A1F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NTP天线</w:t>
            </w:r>
          </w:p>
        </w:tc>
        <w:tc>
          <w:tcPr>
            <w:tcW w:w="3489" w:type="pct"/>
            <w:shd w:val="clear" w:color="auto" w:fill="auto"/>
            <w:vAlign w:val="center"/>
          </w:tcPr>
          <w:p w14:paraId="71C203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NTP60米天馈包是一套用于NTP时钟接收GPS/BD信号的天馈包。天馈包包括1套GPS/BD授时天线接收器、60米RG58成品馈线、1套安装套件、1套防雷包组成。</w:t>
            </w:r>
          </w:p>
        </w:tc>
        <w:tc>
          <w:tcPr>
            <w:tcW w:w="221" w:type="pct"/>
            <w:gridSpan w:val="2"/>
            <w:shd w:val="clear" w:color="auto" w:fill="auto"/>
            <w:noWrap/>
            <w:vAlign w:val="center"/>
          </w:tcPr>
          <w:p w14:paraId="60F780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187D44D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7AD0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0" w:hRule="atLeast"/>
        </w:trPr>
        <w:tc>
          <w:tcPr>
            <w:tcW w:w="508" w:type="pct"/>
            <w:shd w:val="clear" w:color="auto" w:fill="auto"/>
            <w:noWrap/>
            <w:vAlign w:val="center"/>
          </w:tcPr>
          <w:p w14:paraId="6B0396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18.4</w:t>
            </w:r>
          </w:p>
        </w:tc>
        <w:tc>
          <w:tcPr>
            <w:tcW w:w="346" w:type="pct"/>
            <w:shd w:val="clear" w:color="auto" w:fill="auto"/>
            <w:noWrap/>
            <w:vAlign w:val="center"/>
          </w:tcPr>
          <w:p w14:paraId="52551B9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录像存储</w:t>
            </w:r>
          </w:p>
        </w:tc>
        <w:tc>
          <w:tcPr>
            <w:tcW w:w="3489" w:type="pct"/>
            <w:shd w:val="clear" w:color="auto" w:fill="auto"/>
            <w:vAlign w:val="center"/>
          </w:tcPr>
          <w:p w14:paraId="4B51423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网络存储设备，可接入硬盘≥48块，配置≥48块8T企业级硬盘；不低于64位处理器，≥8GB内存，≥2个USB3.0接口，≥1个VGA接口，不低于1200W、1+1冗余电源；2.支持RAID0、1、5、6等RAID模式，支持全局、局部等多种热备选择，支持坏盘自动重构；支持当磁盘处于非工作状态下，进入休眠状态，进行读写操作时可被唤醒，增加磁盘寿命；支持智能风扇调速，支持智能CPU调频等功能；3.接入带宽≥1500Mbps，支持对视音频、图片、智能数据（智能行为分析录像）流进行混合直存，无须存储服务器和图片服务器的参与，平台服务器宕机时，存储业务正常；4.具备≥4个2.5G数据网口，≥1个HDMI接口，具有定位灯、报警灯、网络状态灯、系统盘状态灯、硬盘状态灯，机箱具备防尘滤网，采用双立柱防震设计，设备左右侧面各有不少于2个抬手，具备前面板抽拉标签卡；5.每个控制单元支持双系统应用，当主系统出现故障时，备用系统可接管工作，外置系统盘支持RAID1模式，系统盘支持热插拔，支持系统盘为独立的2块HDD（SATA、SAS）或SSD盘，组成RAID1；6.支持监管并同步实时展示存储主机状态，包括但不限于系统、硬盘、环控、报警、保养灯，需支持展示和统计主机的在离线状态，对于在线设备需支持同步显示和统计连接异常、警告，需支持主机状态报告的管理和下载，支持手动下载及策略下载，需支持配置包括但不限于每天、每三天、每周、每月的下载周期；支持向导型快速配置，在配置前期对主机进行包括但不限于物理环境、域环境、平台环境扫描并提示包括但不限于硬盘数量异常、docker服务异常、镜像异常情况；7. 支持病毒感知与评估，针对被攻击的主机提供日志和病毒样本，内置病毒检测引擎和不少于百万级病毒特征库。</w:t>
            </w:r>
          </w:p>
        </w:tc>
        <w:tc>
          <w:tcPr>
            <w:tcW w:w="221" w:type="pct"/>
            <w:gridSpan w:val="2"/>
            <w:shd w:val="clear" w:color="auto" w:fill="auto"/>
            <w:noWrap/>
            <w:vAlign w:val="center"/>
          </w:tcPr>
          <w:p w14:paraId="317FB73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F3B35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4459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191" w:hRule="atLeast"/>
        </w:trPr>
        <w:tc>
          <w:tcPr>
            <w:tcW w:w="508" w:type="pct"/>
            <w:shd w:val="clear" w:color="auto" w:fill="auto"/>
            <w:noWrap/>
            <w:vAlign w:val="center"/>
          </w:tcPr>
          <w:p w14:paraId="708B76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18.5</w:t>
            </w:r>
          </w:p>
        </w:tc>
        <w:tc>
          <w:tcPr>
            <w:tcW w:w="346" w:type="pct"/>
            <w:shd w:val="clear" w:color="auto" w:fill="auto"/>
            <w:noWrap/>
            <w:vAlign w:val="center"/>
          </w:tcPr>
          <w:p w14:paraId="281331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案件存储管理软件</w:t>
            </w:r>
          </w:p>
        </w:tc>
        <w:tc>
          <w:tcPr>
            <w:tcW w:w="3489" w:type="pct"/>
            <w:shd w:val="clear" w:color="auto" w:fill="auto"/>
            <w:vAlign w:val="center"/>
          </w:tcPr>
          <w:p w14:paraId="56BF407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存储软件可提供海量、安全、高可靠的数据存储能力，具有最少1台存储节点即可构建云存储系统；2.具有云存储系统一键部署，一键部署包含组建集群、创建域、自动创建资源池等；3.一套云存储系统可提供多种类型数据混合存储，同时具有分布式流式存储，分布式对象存储、分布式文件存储、分布式块存储；4.对象存储系统支持对数据重构进行策略控制；支持重构中的磁盘重新上线后重构中止；磁盘故障后，支持在重构过程中进行暂停或取消暂停恢复重构操作；支持根据业务情况，调整设置重构的等级，可分别调整为高速重构、中速重构、低速重构；支持重构速度展示；支持设置立即重构或不执行重构，支持设备为降级状态时可以正常读取对象数据；5.支持图形化页面对图片数据进行处理，包括图片预览、压缩、裁剪、旋转、缩放、格式转换、马赛克、归一化及打文字水印，并支持通过图形化页面下载处理成功的图片数据。支持进行图片处理的图片格式包括jpg，jpeg，bmp，png等；6.支持图形化页面对指定桶内存储的文件进行分类(视频、音频、图片、文档、其他)展示；支持用户通过图形化页面对指定文件进行URL分享，可设置分享文件的URL过期时间；支持图形化页面对上传文件进行标签管理，用户可以对指定的对象进行标签的设定、查询、删除操作；7.对象存储系统支持按需分配存储空间，分配的存储空间支持在线扩大和缩小；系统支持存储空间弹性伸缩，不影响读写业务；系统支持周期在线动态扩大或缩小，存储周期内的业务数据不丢失，业务不受影响；支持在线扩大或缩小存储容量时，同时调整存储周期，业务不受影响；8.对象存储支持三级分层存储机制，即内存缓存层、SSD高速缓存层、传统硬盘存储层；支持动态分级存储，新写入的数据采用内存缓存加速，热点数据智能迁移至SSD存储，数据热度降低之后转存入SATA盘存储 支持历史数据缓存加速，支持对已存入SATA盘的历史数据，根据访问热度策略自动加载至SSD。</w:t>
            </w:r>
          </w:p>
        </w:tc>
        <w:tc>
          <w:tcPr>
            <w:tcW w:w="221" w:type="pct"/>
            <w:gridSpan w:val="2"/>
            <w:shd w:val="clear" w:color="auto" w:fill="auto"/>
            <w:noWrap/>
            <w:vAlign w:val="center"/>
          </w:tcPr>
          <w:p w14:paraId="6F1ADB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8F78E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AF29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82" w:hRule="atLeast"/>
        </w:trPr>
        <w:tc>
          <w:tcPr>
            <w:tcW w:w="508" w:type="pct"/>
            <w:shd w:val="clear" w:color="auto" w:fill="auto"/>
            <w:noWrap/>
            <w:vAlign w:val="center"/>
          </w:tcPr>
          <w:p w14:paraId="68EFBB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18.6</w:t>
            </w:r>
          </w:p>
        </w:tc>
        <w:tc>
          <w:tcPr>
            <w:tcW w:w="346" w:type="pct"/>
            <w:shd w:val="clear" w:color="auto" w:fill="auto"/>
            <w:noWrap/>
            <w:vAlign w:val="center"/>
          </w:tcPr>
          <w:p w14:paraId="123F00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案件存储主机</w:t>
            </w:r>
          </w:p>
        </w:tc>
        <w:tc>
          <w:tcPr>
            <w:tcW w:w="3489" w:type="pct"/>
            <w:shd w:val="clear" w:color="auto" w:fill="auto"/>
            <w:vAlign w:val="center"/>
          </w:tcPr>
          <w:p w14:paraId="2EAEAD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1.专用存储主机，可接入硬盘≥24块，配置≥24块8T企业级硬盘，内置≥1块SSD索引盘、容量≥960GB，≥2颗64位处理器，≥32GB内存，≥2个千兆网口，≥2个万兆口，不低于1+1冗余电源；2.具有热插拔1+1AC220V 或 1+1 直流冗余金牌电源供电，机箱具备防尘滤网，采用双立柱防震；3.具有≥24块硬盘热插拔插槽；具有硬盘热插拔设备在读写数据时，热插拔设备内的任意块硬盘，设备正常运行不宕机，硬盘不损坏，数据不丢失，业务不中断；4.系统具有数据智能重构，可根据不同场景设定重构优先级及重构策略，其中策略包含1~4级：1级：即时读取时重构；2级：自定义点位与时间段重构；3级：用户锁定数据优先重构；4级：存储池安全级别，重构优先级级别依次递减；同时重构系统根据当前负载情况自动调整数据恢复速度，在整个数据恢复过程中，业务不中断；5.系统以流直存模式进行录像、图片数据存储。系统中的实时视频流、抓拍图片无需经过任何转发服务器/虚拟机即可实现数据流直存，视频与图片数据直存后可即存即取；6.具有磁盘故障预测，通过对硬盘SMART信息进行周期性检测，监测会导致硬盘故障的关键指标，通过分析关键指标的变化趋势实现硬盘故障预测；7.设备可对硬盘进行加密解密；具有录像加密功能，当前端相机不具有加密功能时，具有在数据落盘前进行加密；具有从存储出去的数据均为加密后的数据，下载的录像无法通过普通播放器播放，且使用专用播放器播放时，也必须经过授权才可正常解码播放； 8.具有 iSCSI 协议（IP-SAN）、FC 协议（FC-SAN）、NFS/CIFS 协议（NAS）、S3协议、OSS协议等异构接入第三方存储，通过虚拟化功能将存储资源统一管理和分配、流直存方式实现视音频数据直写、存储资源池生命周期自主管理。同时具有对存储资源自动分配，当异构服务器宕机，业务和异构存储资源漂移到集群内正常异构服务器，业务不中断、数据不丢失；9. 需支持病毒感知与评估，针对被攻击的主机提供日志和病毒样本，内置病毒检测引擎和不少于百万级病毒特征库；10.需支持监管并同步实时展示存储主机状态，包括但不限于系统、硬盘、环控、报警、保养灯，需支持展示和统计主机的在离线状态，对于在线设备需支持同步显示和统计连接异常、警告，需支持主机状态报告的管理和下载，支持手动下载及策略下载，需支持配置包括但不限于每天、每三天、每周、每月的下载周期。</w:t>
            </w:r>
          </w:p>
        </w:tc>
        <w:tc>
          <w:tcPr>
            <w:tcW w:w="221" w:type="pct"/>
            <w:gridSpan w:val="2"/>
            <w:shd w:val="clear" w:color="auto" w:fill="auto"/>
            <w:noWrap/>
            <w:vAlign w:val="center"/>
          </w:tcPr>
          <w:p w14:paraId="42D0EE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6B01B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E31E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095BCA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18.7</w:t>
            </w:r>
          </w:p>
        </w:tc>
        <w:tc>
          <w:tcPr>
            <w:tcW w:w="346" w:type="pct"/>
            <w:shd w:val="clear" w:color="auto" w:fill="auto"/>
            <w:noWrap/>
            <w:vAlign w:val="center"/>
          </w:tcPr>
          <w:p w14:paraId="7CA83D8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核心交换机</w:t>
            </w:r>
          </w:p>
        </w:tc>
        <w:tc>
          <w:tcPr>
            <w:tcW w:w="3489" w:type="pct"/>
            <w:shd w:val="clear" w:color="auto" w:fill="auto"/>
            <w:vAlign w:val="center"/>
          </w:tcPr>
          <w:p w14:paraId="326752A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基础规格：可用千兆电接口数量≥24，复用的千兆光口数量≥8，非复用万兆光接口数量≥4，支持≥1个扩展槽位，支持≥40G（QSFP+）端口</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功能特性：1.设备内存容量≥2048Mbytes，端口平均转发时延≤3us，支持IPv4 ACL表入方向≥2K条+出方向≥512条；2.支持STP/RSTP/MSTP/PVST，支持ERPS/RRPP/smartlink并且收敛时间均在50ms之内，支持虚拟化本地负载分担、虚拟化单点管理功能、9台设备堆叠、虚拟化堆叠链路冗余保护收敛时间小于50ms；3.支持DHCP snooping、DHCPv6 snooping、DHCP Relay、SAVI功能，支持BFD for VRRP，BFD for IPv4路由，BFD for IPv6路由，策略路由，等价路由，支持链路聚合功能及聚合零丢包功能；4.支持通过网管平台对接入设备间的链路详情展示，包括传输速率、链路两端设备信息和链路带宽告警，支持通过网管平台在网络拓扑中展示设备详情，包括设备基本信息、性能使用信息、面板状态和端口信息；5.支持通过网管平台实现统一运维管理，在平台上实现对接入的交换机和终端设备进行系统拓扑展示及管理，支持以不同图标展示接入设备间的连接方式，包括网线、光纤和无线连接；6.支持用户的分级分权控制，可以为用户分配不同权限，每个用户只能进行其权限所允许的操作。</w:t>
            </w:r>
          </w:p>
        </w:tc>
        <w:tc>
          <w:tcPr>
            <w:tcW w:w="221" w:type="pct"/>
            <w:gridSpan w:val="2"/>
            <w:shd w:val="clear" w:color="auto" w:fill="auto"/>
            <w:noWrap/>
            <w:vAlign w:val="center"/>
          </w:tcPr>
          <w:p w14:paraId="411F99D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AB573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96429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39BD60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18.8</w:t>
            </w:r>
          </w:p>
        </w:tc>
        <w:tc>
          <w:tcPr>
            <w:tcW w:w="346" w:type="pct"/>
            <w:shd w:val="clear" w:color="auto" w:fill="auto"/>
            <w:noWrap/>
            <w:vAlign w:val="center"/>
          </w:tcPr>
          <w:p w14:paraId="34DE0EC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汇聚交换机</w:t>
            </w:r>
          </w:p>
        </w:tc>
        <w:tc>
          <w:tcPr>
            <w:tcW w:w="3489" w:type="pct"/>
            <w:shd w:val="clear" w:color="auto" w:fill="auto"/>
            <w:vAlign w:val="center"/>
          </w:tcPr>
          <w:p w14:paraId="6AD2E0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基础规格：可用千兆电接口数量≥24，万兆光接口数≥4；交换容量≥336Gbps/3.36Tbps，转发性能≥108Mpps/126Mpps；功能特性：1.支持IPv4/IPv6双协议栈,支持多种隧道技术，支持IPv4/IPv6的组播技术；2.支持标准和扩展ACL；支持基于VLAN的ACL；3.支持CPU保护技术支持VRRP、RRPP、ERPS；4.支持广播风暴抑制，支持IGMP Snooping，可以为远程连接用户提供访问控制，拒绝未通过验证的连接；5.支持基于源MAC地址、目的MAC地址的流分类功能；6.可以为远程连接用户提供访问控制，拒绝未通过验证的连接；7.设备支持Console、Telnet管理登录方式。</w:t>
            </w:r>
          </w:p>
        </w:tc>
        <w:tc>
          <w:tcPr>
            <w:tcW w:w="221" w:type="pct"/>
            <w:gridSpan w:val="2"/>
            <w:shd w:val="clear" w:color="auto" w:fill="auto"/>
            <w:noWrap/>
            <w:vAlign w:val="center"/>
          </w:tcPr>
          <w:p w14:paraId="08DD83A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831288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958E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26EDBD7">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二</w:t>
            </w:r>
          </w:p>
        </w:tc>
        <w:tc>
          <w:tcPr>
            <w:tcW w:w="4486" w:type="pct"/>
            <w:gridSpan w:val="6"/>
            <w:shd w:val="clear" w:color="auto" w:fill="auto"/>
            <w:noWrap/>
            <w:vAlign w:val="center"/>
          </w:tcPr>
          <w:p w14:paraId="2767851B">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执法办案分中心办公区域信息化设备</w:t>
            </w:r>
          </w:p>
        </w:tc>
      </w:tr>
      <w:tr w14:paraId="5DA0FE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1E76EF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c>
          <w:tcPr>
            <w:tcW w:w="4486" w:type="pct"/>
            <w:gridSpan w:val="6"/>
            <w:shd w:val="clear" w:color="auto" w:fill="auto"/>
            <w:noWrap/>
            <w:vAlign w:val="center"/>
          </w:tcPr>
          <w:p w14:paraId="2FE63241">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合成作战室</w:t>
            </w:r>
          </w:p>
        </w:tc>
      </w:tr>
      <w:tr w14:paraId="5E4FE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F67D46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w:t>
            </w:r>
          </w:p>
        </w:tc>
        <w:tc>
          <w:tcPr>
            <w:tcW w:w="346" w:type="pct"/>
            <w:shd w:val="clear" w:color="auto" w:fill="auto"/>
            <w:noWrap/>
            <w:vAlign w:val="center"/>
          </w:tcPr>
          <w:p w14:paraId="4D5383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操作台</w:t>
            </w:r>
          </w:p>
        </w:tc>
        <w:tc>
          <w:tcPr>
            <w:tcW w:w="3489" w:type="pct"/>
            <w:shd w:val="clear" w:color="auto" w:fill="auto"/>
            <w:vAlign w:val="center"/>
          </w:tcPr>
          <w:p w14:paraId="40E6CAB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2人位办公桌，环保板材，木制坚固，玻璃屏风</w:t>
            </w:r>
          </w:p>
        </w:tc>
        <w:tc>
          <w:tcPr>
            <w:tcW w:w="221" w:type="pct"/>
            <w:gridSpan w:val="2"/>
            <w:shd w:val="clear" w:color="auto" w:fill="auto"/>
            <w:noWrap/>
            <w:vAlign w:val="center"/>
          </w:tcPr>
          <w:p w14:paraId="73A7D5D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FC91A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A965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50EE06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w:t>
            </w:r>
          </w:p>
        </w:tc>
        <w:tc>
          <w:tcPr>
            <w:tcW w:w="346" w:type="pct"/>
            <w:shd w:val="clear" w:color="auto" w:fill="auto"/>
            <w:noWrap/>
            <w:vAlign w:val="center"/>
          </w:tcPr>
          <w:p w14:paraId="7B9B1E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操作椅</w:t>
            </w:r>
          </w:p>
        </w:tc>
        <w:tc>
          <w:tcPr>
            <w:tcW w:w="3489" w:type="pct"/>
            <w:shd w:val="clear" w:color="auto" w:fill="auto"/>
            <w:vAlign w:val="center"/>
          </w:tcPr>
          <w:p w14:paraId="22AD3F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1、面材：采用优质西皮厚度0.9~1.5mm，摩擦色牢度干擦≥4级，经过防虫防腐处理，耐磨性好，纹理清晰自然，色泽千致，表面光滑平整，无节疤、腐朽、裂纹、虫眼、夹皮、变色等缺陷，无色差；</w:t>
            </w:r>
          </w:p>
        </w:tc>
        <w:tc>
          <w:tcPr>
            <w:tcW w:w="221" w:type="pct"/>
            <w:gridSpan w:val="2"/>
            <w:shd w:val="clear" w:color="auto" w:fill="auto"/>
            <w:noWrap/>
            <w:vAlign w:val="center"/>
          </w:tcPr>
          <w:p w14:paraId="4A7DC85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B2A84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r>
      <w:tr w14:paraId="240B6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110" w:hRule="atLeast"/>
        </w:trPr>
        <w:tc>
          <w:tcPr>
            <w:tcW w:w="508" w:type="pct"/>
            <w:shd w:val="clear" w:color="auto" w:fill="auto"/>
            <w:noWrap/>
            <w:vAlign w:val="center"/>
          </w:tcPr>
          <w:p w14:paraId="03CDBA6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w:t>
            </w:r>
          </w:p>
        </w:tc>
        <w:tc>
          <w:tcPr>
            <w:tcW w:w="346" w:type="pct"/>
            <w:shd w:val="clear" w:color="auto" w:fill="auto"/>
            <w:noWrap/>
            <w:vAlign w:val="center"/>
          </w:tcPr>
          <w:p w14:paraId="0237E6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巡查平板</w:t>
            </w:r>
          </w:p>
        </w:tc>
        <w:tc>
          <w:tcPr>
            <w:tcW w:w="3489" w:type="pct"/>
            <w:shd w:val="clear" w:color="auto" w:fill="auto"/>
            <w:vAlign w:val="center"/>
          </w:tcPr>
          <w:p w14:paraId="75E24AB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支持部署办案区巡查应用。1.≥8核≥1.8GHZ主频；2.≥10英寸显示屏，IPS LTPS 1920x1200；3.专业扫码头，可识别多种码制的条码，算法鲁棒性强，可有效应对条码脏污、缺损、低对比度等情形，采用暖白补光；4.前置≥500万像素相机，后置≥1300万像素相机；5.≥8800mAh大容量电池，续航更持久；6.支持标准HDMI输出接口；7.防护等级：≥IP68；8.供电方式：电池供电；</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9.工作湿度：5%-95%；10.工作温度：-15 ~ 55⁰C；11.指示灯：充电指示灯；</w:t>
            </w:r>
          </w:p>
        </w:tc>
        <w:tc>
          <w:tcPr>
            <w:tcW w:w="221" w:type="pct"/>
            <w:gridSpan w:val="2"/>
            <w:shd w:val="clear" w:color="auto" w:fill="auto"/>
            <w:noWrap/>
            <w:vAlign w:val="center"/>
          </w:tcPr>
          <w:p w14:paraId="6279B9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262DF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8B508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9B9FA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1.4</w:t>
            </w:r>
          </w:p>
        </w:tc>
        <w:tc>
          <w:tcPr>
            <w:tcW w:w="346" w:type="pct"/>
            <w:shd w:val="clear" w:color="auto" w:fill="auto"/>
            <w:noWrap/>
            <w:vAlign w:val="center"/>
          </w:tcPr>
          <w:p w14:paraId="20AAD9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Type-C网线转换器</w:t>
            </w:r>
          </w:p>
        </w:tc>
        <w:tc>
          <w:tcPr>
            <w:tcW w:w="3489" w:type="pct"/>
            <w:shd w:val="clear" w:color="auto" w:fill="auto"/>
            <w:vAlign w:val="center"/>
          </w:tcPr>
          <w:p w14:paraId="775EED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配套</w:t>
            </w:r>
          </w:p>
        </w:tc>
        <w:tc>
          <w:tcPr>
            <w:tcW w:w="221" w:type="pct"/>
            <w:gridSpan w:val="2"/>
            <w:shd w:val="clear" w:color="auto" w:fill="auto"/>
            <w:noWrap/>
            <w:vAlign w:val="center"/>
          </w:tcPr>
          <w:p w14:paraId="1FB0DBD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5CB23D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47CC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1DB9AC6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1.5</w:t>
            </w:r>
          </w:p>
        </w:tc>
        <w:tc>
          <w:tcPr>
            <w:tcW w:w="346" w:type="pct"/>
            <w:shd w:val="clear" w:color="auto" w:fill="auto"/>
            <w:noWrap/>
            <w:vAlign w:val="center"/>
          </w:tcPr>
          <w:p w14:paraId="6C4D9476">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474B38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0A6C665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2B7B85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9406E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3921C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44691BE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1.6</w:t>
            </w:r>
          </w:p>
        </w:tc>
        <w:tc>
          <w:tcPr>
            <w:tcW w:w="346" w:type="pct"/>
            <w:shd w:val="clear" w:color="auto" w:fill="auto"/>
            <w:noWrap/>
            <w:vAlign w:val="center"/>
          </w:tcPr>
          <w:p w14:paraId="4DBFA3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报警管理主机</w:t>
            </w:r>
          </w:p>
        </w:tc>
        <w:tc>
          <w:tcPr>
            <w:tcW w:w="3489" w:type="pct"/>
            <w:shd w:val="clear" w:color="auto" w:fill="auto"/>
            <w:vAlign w:val="center"/>
          </w:tcPr>
          <w:p w14:paraId="6EEEBF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技术参数：1.≥10寸触摸屏紧急报警管理机；集成视频查看、双向对讲、呼叫前端等功能；2.具有≥1080P视频显示，具有H.264/H.265解码，具有≥256GMicroSD卡存储；3.具有≥4路开关量输入，≥4路继电器输出；具有VGA、HDMI同源输出；4.具有≥1路3.5mm音频输入，≥1路3.5mm音频输出；5.话柄、鹅颈话筒杆可拆卸，具有DC12V、PoE(IEEE802.3at/af)供电；功能特性：1.支持报警盒一键报警，紧急管理机接听呼叫并进行对讲和视频预览；2.管理机可以对报警盒（箱/柱）进行呼叫、预览和广播；3.支持实时对讲、监听监视、分组广播、快速拨号、自动接听，通话保持等；4.支持管理机之间互相可视对讲，支持管理机托管；5.支持VGA、HDMI接口输出以及外接音频输入输出。</w:t>
            </w:r>
          </w:p>
        </w:tc>
        <w:tc>
          <w:tcPr>
            <w:tcW w:w="221" w:type="pct"/>
            <w:gridSpan w:val="2"/>
            <w:shd w:val="clear" w:color="auto" w:fill="auto"/>
            <w:noWrap/>
            <w:vAlign w:val="center"/>
          </w:tcPr>
          <w:p w14:paraId="0707DCB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F5123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C34E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3C97DFD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1.7</w:t>
            </w:r>
          </w:p>
        </w:tc>
        <w:tc>
          <w:tcPr>
            <w:tcW w:w="346" w:type="pct"/>
            <w:shd w:val="clear" w:color="auto" w:fill="auto"/>
            <w:noWrap/>
            <w:vAlign w:val="center"/>
          </w:tcPr>
          <w:p w14:paraId="1E0879E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无线会议话筒</w:t>
            </w:r>
          </w:p>
        </w:tc>
        <w:tc>
          <w:tcPr>
            <w:tcW w:w="3489" w:type="pct"/>
            <w:shd w:val="clear" w:color="auto" w:fill="auto"/>
            <w:vAlign w:val="center"/>
          </w:tcPr>
          <w:p w14:paraId="61C7A52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载波频率范围：UHF602~634MHz；2.调制方式：FM调频；3.音频频率响应：80Hz~15kHz±3dB；4.频率稳定性：±0.005%；5.最大偏移度：±45kHz；6.总谐波失真：&lt;0.7%@1kHz；7.信噪比：≥65dBA@1kHz（声测法）；8.有效工作距离：≥30米。</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接收机参数：1.通道数量：双通道；2.载波频率范围：UHF602~634MHz；3.可用带宽：每通道30MHz；4.信道数目：≥2×100</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5.频率稳定性：±0.005%；6.天线接口：BNC座；7.天线阻抗：50Ω；发射器参数：1.换能原理：电容式；2.指向性：心形；3.供电：2×AA电池</w:t>
            </w:r>
          </w:p>
        </w:tc>
        <w:tc>
          <w:tcPr>
            <w:tcW w:w="221" w:type="pct"/>
            <w:gridSpan w:val="2"/>
            <w:shd w:val="clear" w:color="auto" w:fill="auto"/>
            <w:noWrap/>
            <w:vAlign w:val="center"/>
          </w:tcPr>
          <w:p w14:paraId="6E12B35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4D13D6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6CC55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5589864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1.8</w:t>
            </w:r>
          </w:p>
        </w:tc>
        <w:tc>
          <w:tcPr>
            <w:tcW w:w="346" w:type="pct"/>
            <w:shd w:val="clear" w:color="auto" w:fill="auto"/>
            <w:noWrap/>
            <w:vAlign w:val="center"/>
          </w:tcPr>
          <w:p w14:paraId="52BB50B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电源时序器</w:t>
            </w:r>
          </w:p>
        </w:tc>
        <w:tc>
          <w:tcPr>
            <w:tcW w:w="3489" w:type="pct"/>
            <w:shd w:val="clear" w:color="auto" w:fill="auto"/>
            <w:vAlign w:val="center"/>
          </w:tcPr>
          <w:p w14:paraId="0069E0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输入电源：AC220V±10%50Hz或60Hz；2.输出电源：AC220V±10%50Hz或60Hz；3.输出电源：≥8路时序输出，≥2路直通输出；4.输出通道延时：默认2s（0~999s可设置）；5.输出电流：≥4路10A+4路16A；6.控制方式：RS232；7.场景设置：≥8组</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8.级联：支持；9.时间设置：支持</w:t>
            </w:r>
          </w:p>
        </w:tc>
        <w:tc>
          <w:tcPr>
            <w:tcW w:w="221" w:type="pct"/>
            <w:gridSpan w:val="2"/>
            <w:shd w:val="clear" w:color="auto" w:fill="auto"/>
            <w:noWrap/>
            <w:vAlign w:val="center"/>
          </w:tcPr>
          <w:p w14:paraId="7E5A88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F60801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74FD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71873DB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1.9</w:t>
            </w:r>
          </w:p>
        </w:tc>
        <w:tc>
          <w:tcPr>
            <w:tcW w:w="346" w:type="pct"/>
            <w:shd w:val="clear" w:color="auto" w:fill="auto"/>
            <w:noWrap/>
            <w:vAlign w:val="center"/>
          </w:tcPr>
          <w:p w14:paraId="4E5A7D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调音台</w:t>
            </w:r>
          </w:p>
        </w:tc>
        <w:tc>
          <w:tcPr>
            <w:tcW w:w="3489" w:type="pct"/>
            <w:shd w:val="clear" w:color="auto" w:fill="auto"/>
            <w:vAlign w:val="center"/>
          </w:tcPr>
          <w:p w14:paraId="70C57C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话筒增益：70±2dB；2.频率响应：20Hz~20kHz（+1，-3dB）；3.总谐波失真：20Hz~20kHz≤0.01%@+4dBu；4.信噪比：≥100dB（A计权）；5.串音：≤-50dB；6.最大输入电平：≥10dBu；7.最大输出电平：≥16dBu；8.额定电源电压：AC220V，50/60Hz</w:t>
            </w:r>
          </w:p>
        </w:tc>
        <w:tc>
          <w:tcPr>
            <w:tcW w:w="221" w:type="pct"/>
            <w:gridSpan w:val="2"/>
            <w:shd w:val="clear" w:color="auto" w:fill="auto"/>
            <w:noWrap/>
            <w:vAlign w:val="center"/>
          </w:tcPr>
          <w:p w14:paraId="16C2146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2F35F8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CDB2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496AF9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1.10 </w:t>
            </w:r>
          </w:p>
        </w:tc>
        <w:tc>
          <w:tcPr>
            <w:tcW w:w="346" w:type="pct"/>
            <w:shd w:val="clear" w:color="auto" w:fill="auto"/>
            <w:noWrap/>
            <w:vAlign w:val="center"/>
          </w:tcPr>
          <w:p w14:paraId="1239D7B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反馈抑制器</w:t>
            </w:r>
          </w:p>
        </w:tc>
        <w:tc>
          <w:tcPr>
            <w:tcW w:w="3489" w:type="pct"/>
            <w:shd w:val="clear" w:color="auto" w:fill="auto"/>
            <w:vAlign w:val="center"/>
          </w:tcPr>
          <w:p w14:paraId="59BD1F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1.频率响应：80Hz~15kHz，±2dB；2.正常工作条件下的总谐波失真：≤0.5%；3.失真限制的输出电压：≥3V；4.信噪比：≥105dB5.串音：≥80dB；6.增益差：≤1dB；7.移频：4±1Hz</w:t>
            </w:r>
          </w:p>
        </w:tc>
        <w:tc>
          <w:tcPr>
            <w:tcW w:w="221" w:type="pct"/>
            <w:gridSpan w:val="2"/>
            <w:shd w:val="clear" w:color="auto" w:fill="auto"/>
            <w:noWrap/>
            <w:vAlign w:val="center"/>
          </w:tcPr>
          <w:p w14:paraId="2708DF6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06A36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EC25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6354A7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1.11</w:t>
            </w:r>
          </w:p>
        </w:tc>
        <w:tc>
          <w:tcPr>
            <w:tcW w:w="346" w:type="pct"/>
            <w:shd w:val="clear" w:color="auto" w:fill="auto"/>
            <w:noWrap/>
            <w:vAlign w:val="center"/>
          </w:tcPr>
          <w:p w14:paraId="3E0221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数字音频处理器</w:t>
            </w:r>
          </w:p>
        </w:tc>
        <w:tc>
          <w:tcPr>
            <w:tcW w:w="3489" w:type="pct"/>
            <w:shd w:val="clear" w:color="auto" w:fill="auto"/>
            <w:vAlign w:val="center"/>
          </w:tcPr>
          <w:p w14:paraId="0675E8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采样频率:≥48kHz；2.输入到输出动态范围:≥108dB（A计权）；3.幻像供电:DC48±6V,10mA；4.输入共模制:75dBu@+20dBu,60Hz5.通道隔离度:≥100dB；6.频率响应:20Hz~20kHz；7.本底噪(A-计权):-90dBu；8.等效输入噪声EIN:≤-125dBu；9.总谐波失(THD+N):≤0.005%@1kHz，+4dBu；10.最大输入增益:≥40dB；11.输入阻抗:≥2kΩbalance；12.最大输出电平:20dBu；13.工作电压:110~220V（50/60Hz）；14.功率:≤35</w:t>
            </w:r>
          </w:p>
        </w:tc>
        <w:tc>
          <w:tcPr>
            <w:tcW w:w="221" w:type="pct"/>
            <w:gridSpan w:val="2"/>
            <w:shd w:val="clear" w:color="auto" w:fill="auto"/>
            <w:noWrap/>
            <w:vAlign w:val="center"/>
          </w:tcPr>
          <w:p w14:paraId="4A5B00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61596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EE8A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138FA8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1.12</w:t>
            </w:r>
          </w:p>
        </w:tc>
        <w:tc>
          <w:tcPr>
            <w:tcW w:w="346" w:type="pct"/>
            <w:shd w:val="clear" w:color="auto" w:fill="auto"/>
            <w:noWrap/>
            <w:vAlign w:val="center"/>
          </w:tcPr>
          <w:p w14:paraId="338AF7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会议音频输出终端</w:t>
            </w:r>
          </w:p>
        </w:tc>
        <w:tc>
          <w:tcPr>
            <w:tcW w:w="3489" w:type="pct"/>
            <w:shd w:val="clear" w:color="auto" w:fill="auto"/>
            <w:vAlign w:val="center"/>
          </w:tcPr>
          <w:p w14:paraId="2B8992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1.额定阻抗：≥8Ω；2.额定频率范围：75Hz~20kHz；3.额定功率：≥80W；4.峰值功率：≥320W；5.高音扬声器：HF:≥1×1.35"</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6.中低音扬声器：LF:≥1×6.5"；7.灵敏度：≥91dB；8.连续声压级：≥110dB；9.最大声压级：≥116dB；10.覆盖角度（H×V）：60°×40°；11.安装方式：壁挂安装，自带支架</w:t>
            </w:r>
          </w:p>
        </w:tc>
        <w:tc>
          <w:tcPr>
            <w:tcW w:w="221" w:type="pct"/>
            <w:gridSpan w:val="2"/>
            <w:shd w:val="clear" w:color="auto" w:fill="auto"/>
            <w:noWrap/>
            <w:vAlign w:val="center"/>
          </w:tcPr>
          <w:p w14:paraId="1A1B24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只</w:t>
            </w:r>
          </w:p>
        </w:tc>
        <w:tc>
          <w:tcPr>
            <w:tcW w:w="428" w:type="pct"/>
            <w:gridSpan w:val="2"/>
            <w:shd w:val="clear" w:color="auto" w:fill="auto"/>
            <w:noWrap/>
            <w:vAlign w:val="center"/>
          </w:tcPr>
          <w:p w14:paraId="5ABDED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5E5EF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385045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1.13 </w:t>
            </w:r>
          </w:p>
        </w:tc>
        <w:tc>
          <w:tcPr>
            <w:tcW w:w="346" w:type="pct"/>
            <w:shd w:val="clear" w:color="auto" w:fill="auto"/>
            <w:noWrap/>
            <w:vAlign w:val="center"/>
          </w:tcPr>
          <w:p w14:paraId="6307034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功率放大器</w:t>
            </w:r>
          </w:p>
        </w:tc>
        <w:tc>
          <w:tcPr>
            <w:tcW w:w="3489" w:type="pct"/>
            <w:shd w:val="clear" w:color="auto" w:fill="auto"/>
            <w:vAlign w:val="center"/>
          </w:tcPr>
          <w:p w14:paraId="4299A5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额定功率：立体声：≥2×100W/8Ω；≥2×150W/4Ω；桥接：≥1×300W/8Ω；2.输入连接座：XLR卡侬接口；3.输入灵敏度：1.4V/1V/0.775V（±10%）可选；4.失真度：≤0.1%（1kHz@10%PO）；5.输入阻抗：平衡20kΩ，非平衡10kΩ；6.频率响应：20Hz~20kHz（±1dB）；7.信噪比(A计权)：≥96dB；8.保护方式：过流保护、直流保护、短路保护；9.指示灯：电源、保护、失真；10.冷却方式：风扇冷却；11.额定电源电压：AC220V，50/60Hz；12.最大功耗：300W</w:t>
            </w:r>
          </w:p>
        </w:tc>
        <w:tc>
          <w:tcPr>
            <w:tcW w:w="221" w:type="pct"/>
            <w:gridSpan w:val="2"/>
            <w:shd w:val="clear" w:color="auto" w:fill="auto"/>
            <w:noWrap/>
            <w:vAlign w:val="center"/>
          </w:tcPr>
          <w:p w14:paraId="32D7F63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554C0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C9FA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11D8D1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1.14</w:t>
            </w:r>
          </w:p>
        </w:tc>
        <w:tc>
          <w:tcPr>
            <w:tcW w:w="346" w:type="pct"/>
            <w:shd w:val="clear" w:color="auto" w:fill="auto"/>
            <w:noWrap/>
            <w:vAlign w:val="center"/>
          </w:tcPr>
          <w:p w14:paraId="3C3110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会议音频输出终端</w:t>
            </w:r>
          </w:p>
        </w:tc>
        <w:tc>
          <w:tcPr>
            <w:tcW w:w="3489" w:type="pct"/>
            <w:shd w:val="clear" w:color="auto" w:fill="auto"/>
            <w:vAlign w:val="center"/>
          </w:tcPr>
          <w:p w14:paraId="3EA74E7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.额定阻抗：≥8Ω；2.额定频率范围：100Hz~20kHz；3.额定功率：≥40W；4.峰值功率：≥160W；5.同轴扬声器：LF:≥1×4"</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6.灵敏度：≥86dB；7.连续声压级：≥102dB；8.最大声压级：≥108dB</w:t>
            </w:r>
          </w:p>
        </w:tc>
        <w:tc>
          <w:tcPr>
            <w:tcW w:w="221" w:type="pct"/>
            <w:gridSpan w:val="2"/>
            <w:shd w:val="clear" w:color="auto" w:fill="auto"/>
            <w:noWrap/>
            <w:vAlign w:val="center"/>
          </w:tcPr>
          <w:p w14:paraId="5D6613A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只</w:t>
            </w:r>
          </w:p>
        </w:tc>
        <w:tc>
          <w:tcPr>
            <w:tcW w:w="428" w:type="pct"/>
            <w:gridSpan w:val="2"/>
            <w:shd w:val="clear" w:color="auto" w:fill="auto"/>
            <w:noWrap/>
            <w:vAlign w:val="center"/>
          </w:tcPr>
          <w:p w14:paraId="7901F7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 </w:t>
            </w:r>
          </w:p>
        </w:tc>
      </w:tr>
      <w:tr w14:paraId="469B4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4F7A075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1.15</w:t>
            </w:r>
          </w:p>
        </w:tc>
        <w:tc>
          <w:tcPr>
            <w:tcW w:w="346" w:type="pct"/>
            <w:shd w:val="clear" w:color="auto" w:fill="auto"/>
            <w:noWrap/>
            <w:vAlign w:val="center"/>
          </w:tcPr>
          <w:p w14:paraId="295CA5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功率放大器</w:t>
            </w:r>
          </w:p>
        </w:tc>
        <w:tc>
          <w:tcPr>
            <w:tcW w:w="3489" w:type="pct"/>
            <w:shd w:val="clear" w:color="auto" w:fill="auto"/>
            <w:vAlign w:val="center"/>
          </w:tcPr>
          <w:p w14:paraId="57586D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额定功率：立体声：≥2×100W/8Ω；≥2×150W/4Ω；桥接：≥1×300W/8Ω；2.输入连接座：XLR卡侬接口；3.输入灵敏度：1.4V/1V/0.775V（±10%）可选；4.失真度：≤0.1%（1kHz@10%PO）；5.输入阻抗：平衡20kΩ，非平衡10kΩ；6.频率响应：20Hz~20kHz（±1dB）；7.信噪比(A计权)：≥96dB；8.保护方式：过流保护、直流保护、短路保护；9.指示灯：电源、保护、失真；10.冷却方式：风扇冷却；11.额定电源电压：AC220V，50/60Hz；12.最大功耗：300W</w:t>
            </w:r>
          </w:p>
        </w:tc>
        <w:tc>
          <w:tcPr>
            <w:tcW w:w="221" w:type="pct"/>
            <w:gridSpan w:val="2"/>
            <w:shd w:val="clear" w:color="auto" w:fill="auto"/>
            <w:noWrap/>
            <w:vAlign w:val="center"/>
          </w:tcPr>
          <w:p w14:paraId="4541B2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05757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D283A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29" w:hRule="atLeast"/>
        </w:trPr>
        <w:tc>
          <w:tcPr>
            <w:tcW w:w="508" w:type="pct"/>
            <w:shd w:val="clear" w:color="auto" w:fill="auto"/>
            <w:vAlign w:val="center"/>
          </w:tcPr>
          <w:p w14:paraId="4931AB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1.16</w:t>
            </w:r>
          </w:p>
        </w:tc>
        <w:tc>
          <w:tcPr>
            <w:tcW w:w="346" w:type="pct"/>
            <w:shd w:val="clear" w:color="auto" w:fill="auto"/>
            <w:noWrap/>
            <w:vAlign w:val="center"/>
          </w:tcPr>
          <w:p w14:paraId="3D60060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LED显示屏</w:t>
            </w:r>
          </w:p>
        </w:tc>
        <w:tc>
          <w:tcPr>
            <w:tcW w:w="3489" w:type="pct"/>
            <w:shd w:val="clear" w:color="auto" w:fill="auto"/>
            <w:vAlign w:val="center"/>
          </w:tcPr>
          <w:p w14:paraId="4D43F03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1.LED像素点间距≤1.25mm;像素密度≥640000点/㎡，SMD封装1R1G1B， 三合一封装；2.单元尺寸≤600x337.5x29.5（mm），误差±10%，重量＜3.5kg；3.显示屏幕峰值亮度≥600nits,峰值功耗＜460W/㎡ （600nits亮度），平均功耗＜160W/㎡；4.支架组装式设计，支架采用组装式设计，支持拆装；5.LED单元箱体间连接网线具备L型等非矩形框架走线方式，网线利用率＞95%；6.LED屏幕通过局域网客户端，局域网WEB端，红外遥控器，射频遥控器，物理按键五种种方式实现亮度调节；7.高精度压铸箱体结构设计，支持灯板、电源、接收卡正面拆卸；8.采用动态引擎算法，高亮刺眼画面细节自动识别，局部区域亮度无感调控，观看柔和舒适，图像质量提升的同时降低不必要的功耗；9.支持自动除湿，有效保护长时间不用或潮湿环境下的灯珠；10.支持通过扫描LED箱体后的设备机身标签二维码，观看产品实际生产过程视频，需提供能看到机身二维码的产品实物照片及操作过程演示文档或视频证明。</w:t>
            </w:r>
          </w:p>
        </w:tc>
        <w:tc>
          <w:tcPr>
            <w:tcW w:w="221" w:type="pct"/>
            <w:gridSpan w:val="2"/>
            <w:shd w:val="clear" w:color="auto" w:fill="auto"/>
            <w:noWrap/>
            <w:vAlign w:val="center"/>
          </w:tcPr>
          <w:p w14:paraId="6E779D7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w:t>
            </w:r>
          </w:p>
        </w:tc>
        <w:tc>
          <w:tcPr>
            <w:tcW w:w="428" w:type="pct"/>
            <w:gridSpan w:val="2"/>
            <w:shd w:val="clear" w:color="auto" w:fill="auto"/>
            <w:noWrap/>
            <w:vAlign w:val="center"/>
          </w:tcPr>
          <w:p w14:paraId="4048C34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 </w:t>
            </w:r>
          </w:p>
        </w:tc>
      </w:tr>
      <w:tr w14:paraId="53B88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AB7AF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1.17</w:t>
            </w:r>
          </w:p>
        </w:tc>
        <w:tc>
          <w:tcPr>
            <w:tcW w:w="346" w:type="pct"/>
            <w:shd w:val="clear" w:color="auto" w:fill="auto"/>
            <w:noWrap/>
            <w:vAlign w:val="center"/>
          </w:tcPr>
          <w:p w14:paraId="4DCA37B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大屏支架</w:t>
            </w:r>
          </w:p>
        </w:tc>
        <w:tc>
          <w:tcPr>
            <w:tcW w:w="3489" w:type="pct"/>
            <w:shd w:val="clear" w:color="auto" w:fill="auto"/>
            <w:vAlign w:val="center"/>
          </w:tcPr>
          <w:p w14:paraId="6956330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大屏支架，材料SPCC 高强度钢板，表面静电喷塑处理。</w:t>
            </w:r>
          </w:p>
        </w:tc>
        <w:tc>
          <w:tcPr>
            <w:tcW w:w="221" w:type="pct"/>
            <w:gridSpan w:val="2"/>
            <w:shd w:val="clear" w:color="auto" w:fill="auto"/>
            <w:noWrap/>
            <w:vAlign w:val="center"/>
          </w:tcPr>
          <w:p w14:paraId="6A9918F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w:t>
            </w:r>
          </w:p>
        </w:tc>
        <w:tc>
          <w:tcPr>
            <w:tcW w:w="428" w:type="pct"/>
            <w:gridSpan w:val="2"/>
            <w:shd w:val="clear" w:color="auto" w:fill="auto"/>
            <w:noWrap/>
            <w:vAlign w:val="center"/>
          </w:tcPr>
          <w:p w14:paraId="00FC4B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7 </w:t>
            </w:r>
          </w:p>
        </w:tc>
      </w:tr>
      <w:tr w14:paraId="7FAC6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6A2C0A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1.18</w:t>
            </w:r>
          </w:p>
        </w:tc>
        <w:tc>
          <w:tcPr>
            <w:tcW w:w="346" w:type="pct"/>
            <w:shd w:val="clear" w:color="auto" w:fill="auto"/>
            <w:noWrap/>
            <w:vAlign w:val="center"/>
          </w:tcPr>
          <w:p w14:paraId="4C576C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发送卡</w:t>
            </w:r>
          </w:p>
        </w:tc>
        <w:tc>
          <w:tcPr>
            <w:tcW w:w="3489" w:type="pct"/>
            <w:shd w:val="clear" w:color="auto" w:fill="auto"/>
            <w:vAlign w:val="center"/>
          </w:tcPr>
          <w:p w14:paraId="00E8E65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LED发送卡采用机架式设计；2.支持≥1路HDMI视频信号输入，≥4路网口带载输出，带载高达≥260万像素；3.支持视频信号输入全屏缩放及自定义缩放；4.支持多发送卡通过网络进行级联管理和统一控制；5.支持热备份、支持设备间备份和网口间备份；6.支持通过客户端等多软件端进行操作支持；7.支持屏幕底图配置设置和更换、屏保和开机logo配置；8.支持屏幕除湿配置；9.支持遥控器扩展，支持通过遥控器操作控制屏幕显示遥控UI菜单；10.支持对屏幕进行逐点校正配置有效消除色差，有效提高显示屏的画质；11.支持查看设备运行状态、设备内存、CPU使用率、设备运行温度和网口使用率等参数。</w:t>
            </w:r>
          </w:p>
        </w:tc>
        <w:tc>
          <w:tcPr>
            <w:tcW w:w="221" w:type="pct"/>
            <w:gridSpan w:val="2"/>
            <w:shd w:val="clear" w:color="auto" w:fill="auto"/>
            <w:noWrap/>
            <w:vAlign w:val="center"/>
          </w:tcPr>
          <w:p w14:paraId="591B58E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7A13A5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26525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571" w:hRule="atLeast"/>
        </w:trPr>
        <w:tc>
          <w:tcPr>
            <w:tcW w:w="508" w:type="pct"/>
            <w:shd w:val="clear" w:color="auto" w:fill="auto"/>
            <w:noWrap/>
            <w:vAlign w:val="center"/>
          </w:tcPr>
          <w:p w14:paraId="670C95C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1.19</w:t>
            </w:r>
          </w:p>
        </w:tc>
        <w:tc>
          <w:tcPr>
            <w:tcW w:w="346" w:type="pct"/>
            <w:shd w:val="clear" w:color="auto" w:fill="auto"/>
            <w:noWrap/>
            <w:vAlign w:val="center"/>
          </w:tcPr>
          <w:p w14:paraId="7DCC43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解码拼控一体机</w:t>
            </w:r>
          </w:p>
        </w:tc>
        <w:tc>
          <w:tcPr>
            <w:tcW w:w="3489" w:type="pct"/>
            <w:shd w:val="clear" w:color="auto" w:fill="auto"/>
            <w:vAlign w:val="center"/>
          </w:tcPr>
          <w:p w14:paraId="1E9AAF9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1.框架式结构，机箱高度≤3U，≥2个10M/100M/1000M自适应以太网口，≥2个RS485/232复用口，≥8路HDMI输入接口、≥16路HDMI输出接口，输出分辨率支持≥3840×2160@30 Hz；2.支持对HDMI输入视频源进行编码，编码分辨率不低于1080P，支持≥128路1080P视频同时解码输出，支持≥128个窗口；；3.支持网络、数字视频信号的接入和切换输出，支持解码H.265、H.264、MPEG4、MJPEG等主流的编码格式，支持PS、TS、ES、RTP等主流封装格式，支持ONVIF协议接入设备解码；4.产品采用嵌入式架构，无需要操作系统，具有开窗、漫游、漂移、改变形状等功能，同时支持在底图上开窗漫游，支持窗口置底、置顶操作，支持断电保护功能，支持自动保存断电前的运行参数，重新加电后可恢复到断电前的状态；5.支持将窗口、底图、字符叠加信息保存成场景，支持一键调用，场景保存方式支持以布局缩略图方式显示，输入信号切换时无花屏、无蓝屏、无肉眼可见的黑场现象；6.支持用户添加、删除、修改、密码设置等操作，支持为不同用户设置不同管理权限（资源权限、配置权限、操作权限），支持设置≥64个用户；7.支持通过抓屏软可将远程桌面实时解码上墙显示，实时画面帧率≥30fps，同时抓取≥8个4K信号上墙显示，且上墙前后CPU占用率无明显变化，支持在电视墙进行≥8画面分割显示，支持对远程桌面进行整屏、单窗口、自定义区域抓屏上墙；8.支持将一路输入视频图像发送至多个输出接口进行拼接显示，支持将多路输入视频图像发送至多个输出接口拼接显示；支持拼接不少于32路分辨率为1920×1080的视频图像；拼接时不同输出之间画面应同步、无撕裂感、无错位；支持多块屏幕图像的拼接，可将显示单元拼接成一个高分辨率的单一逻辑屏；全屏刷新时间≤20ms，；9.单输出接口支持不少于16个分辨率≥4096×2160图层或16个分辨率≥1920×1080图层；单张输出板卡支持不少于30个分辨率≥4096×2160图层；10.输出分辨率支持支持自定义，设置范围宽不低于1280～3840、高不低于720～2160可设；支持根据屏的点数及显示面积制定输出分辨率，通过软件内部界面设置及相应的点数划分制定功能实现自适应，支持将自定义分辨率添加到系统默认列表中;10.支持获取序列号、软件版本、工作时长设备温度等屏幕关键信息;支持控制拼接屏开关;支持获取并调节屏幕背光;支持获取并调节屏幕图像模式；支持客户端软件上添加、删除、修改用户，可为不同用户设置不同画面管理区域，包括资源权限、配置权限、操作权限，需提供功能截图。</w:t>
            </w:r>
          </w:p>
        </w:tc>
        <w:tc>
          <w:tcPr>
            <w:tcW w:w="221" w:type="pct"/>
            <w:gridSpan w:val="2"/>
            <w:shd w:val="clear" w:color="auto" w:fill="auto"/>
            <w:noWrap/>
            <w:vAlign w:val="center"/>
          </w:tcPr>
          <w:p w14:paraId="04CE4F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921641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45DE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890" w:hRule="atLeast"/>
        </w:trPr>
        <w:tc>
          <w:tcPr>
            <w:tcW w:w="508" w:type="pct"/>
            <w:shd w:val="clear" w:color="auto" w:fill="auto"/>
            <w:noWrap/>
            <w:vAlign w:val="center"/>
          </w:tcPr>
          <w:p w14:paraId="0AABD15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1.20 </w:t>
            </w:r>
          </w:p>
        </w:tc>
        <w:tc>
          <w:tcPr>
            <w:tcW w:w="346" w:type="pct"/>
            <w:shd w:val="clear" w:color="auto" w:fill="auto"/>
            <w:noWrap/>
            <w:vAlign w:val="center"/>
          </w:tcPr>
          <w:p w14:paraId="521590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配电柜</w:t>
            </w:r>
          </w:p>
        </w:tc>
        <w:tc>
          <w:tcPr>
            <w:tcW w:w="3489" w:type="pct"/>
            <w:shd w:val="clear" w:color="auto" w:fill="auto"/>
            <w:vAlign w:val="center"/>
          </w:tcPr>
          <w:p w14:paraId="34F0C4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额定功率≥10KW，输入电压380V，输出电压220V，具有≥3个输出回路，支持回路状态监测、远程控制、计划任务上电、分步逐级上电，内置PLC控制器、PLC控制电源模块；2.设备壳体采用折弯焊接加固，钣金厚度≥1.2mm，外壳无划痕，结构稳固，具有塑壳断路器输入保护，微型断路器输出保护， 两级均有断路器保护措施；3.设备一次回路电缆不低于 GB/T 19666-2019标准，一次回路铜电缆线规格不低于ZC-BVR2.5、6mm²，二次回路电缆不低于GB/T 5023.3-2008标准，二次回路铜电缆线规格不低于RV-0.75mm²，线径较标称值余量≥20%；4.设备具有 TCP/IP 网络通讯端口、 RS232串口通讯端口，支持PC 软件、 C/S、B/S 及手机 APP 软件进行远程控制，支持串口、网络同时进行控制；5.支持实时温度数据叠加，支持调整OSD叠加位置，支持实时温度曲线叠加在可视化画面中，触发报警后温度曲线自动变为红色；具备温度突升、突降的差温报警功能，支持设定不低于1℃～120℃温度突升或突降的差温报警阈值，不低于1～30秒温度突升或者突降报警时间阈值，当环境温度满足设定高温报警阈值和时间阈值时，触发设备温度突升或突降差温报警，叠加温度突升/突降报警信息，报警指示灯自动点亮。</w:t>
            </w:r>
          </w:p>
        </w:tc>
        <w:tc>
          <w:tcPr>
            <w:tcW w:w="221" w:type="pct"/>
            <w:gridSpan w:val="2"/>
            <w:shd w:val="clear" w:color="auto" w:fill="auto"/>
            <w:noWrap/>
            <w:vAlign w:val="center"/>
          </w:tcPr>
          <w:p w14:paraId="5573B4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EB15E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668A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ED966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1.21</w:t>
            </w:r>
          </w:p>
        </w:tc>
        <w:tc>
          <w:tcPr>
            <w:tcW w:w="346" w:type="pct"/>
            <w:shd w:val="clear" w:color="auto" w:fill="auto"/>
            <w:noWrap/>
            <w:vAlign w:val="center"/>
          </w:tcPr>
          <w:p w14:paraId="5823B7F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辅材</w:t>
            </w:r>
          </w:p>
        </w:tc>
        <w:tc>
          <w:tcPr>
            <w:tcW w:w="3489" w:type="pct"/>
            <w:shd w:val="clear" w:color="auto" w:fill="auto"/>
            <w:vAlign w:val="center"/>
          </w:tcPr>
          <w:p w14:paraId="2A4FBD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大屏配套线缆，10米HDMI线缆*10、LED室内箱体网线组件包*3、LED室内箱体电源线组件包*1</w:t>
            </w:r>
          </w:p>
        </w:tc>
        <w:tc>
          <w:tcPr>
            <w:tcW w:w="221" w:type="pct"/>
            <w:gridSpan w:val="2"/>
            <w:shd w:val="clear" w:color="auto" w:fill="auto"/>
            <w:noWrap/>
            <w:vAlign w:val="center"/>
          </w:tcPr>
          <w:p w14:paraId="3CE8712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C7C26D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DF45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2A3482D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1.22</w:t>
            </w:r>
          </w:p>
        </w:tc>
        <w:tc>
          <w:tcPr>
            <w:tcW w:w="346" w:type="pct"/>
            <w:shd w:val="clear" w:color="auto" w:fill="auto"/>
            <w:noWrap/>
            <w:vAlign w:val="center"/>
          </w:tcPr>
          <w:p w14:paraId="24E4F976">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188E99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3CEB58C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04FE5A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A4C78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3C845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3AE39A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c>
          <w:tcPr>
            <w:tcW w:w="4486" w:type="pct"/>
            <w:gridSpan w:val="6"/>
            <w:shd w:val="clear" w:color="auto" w:fill="auto"/>
            <w:noWrap/>
            <w:vAlign w:val="center"/>
          </w:tcPr>
          <w:p w14:paraId="72B8A9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民警休息室</w:t>
            </w:r>
          </w:p>
        </w:tc>
      </w:tr>
      <w:tr w14:paraId="64535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BCC34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w:t>
            </w:r>
          </w:p>
        </w:tc>
        <w:tc>
          <w:tcPr>
            <w:tcW w:w="346" w:type="pct"/>
            <w:shd w:val="clear" w:color="auto" w:fill="auto"/>
            <w:noWrap/>
            <w:vAlign w:val="center"/>
          </w:tcPr>
          <w:p w14:paraId="6129064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衣柜</w:t>
            </w:r>
          </w:p>
        </w:tc>
        <w:tc>
          <w:tcPr>
            <w:tcW w:w="3489" w:type="pct"/>
            <w:shd w:val="clear" w:color="auto" w:fill="auto"/>
            <w:vAlign w:val="center"/>
          </w:tcPr>
          <w:p w14:paraId="5AE1E1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二门更衣柜，实木，宽度900-1200mm,深度550-600mm,根据现场定制</w:t>
            </w:r>
          </w:p>
        </w:tc>
        <w:tc>
          <w:tcPr>
            <w:tcW w:w="221" w:type="pct"/>
            <w:gridSpan w:val="2"/>
            <w:shd w:val="clear" w:color="auto" w:fill="auto"/>
            <w:noWrap/>
            <w:vAlign w:val="center"/>
          </w:tcPr>
          <w:p w14:paraId="75AD58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62E673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0B03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008DA63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2.2</w:t>
            </w:r>
          </w:p>
        </w:tc>
        <w:tc>
          <w:tcPr>
            <w:tcW w:w="346" w:type="pct"/>
            <w:shd w:val="clear" w:color="auto" w:fill="auto"/>
            <w:noWrap/>
            <w:vAlign w:val="center"/>
          </w:tcPr>
          <w:p w14:paraId="021FC97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报警管理主机</w:t>
            </w:r>
          </w:p>
        </w:tc>
        <w:tc>
          <w:tcPr>
            <w:tcW w:w="3489" w:type="pct"/>
            <w:shd w:val="clear" w:color="auto" w:fill="auto"/>
            <w:vAlign w:val="center"/>
          </w:tcPr>
          <w:p w14:paraId="5FAD20E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技术参数：1.≥10寸触摸屏紧急报警管理机；集成视频查看、双向对讲、呼叫前端等功能；2.具有≥1080P视频显示，具有H.264/H.265解码，具有≥256GMicroSD卡存储；3.具有≥4路开关量输入，≥4路继电器输出；具有VGA、HDMI同源输出；4.具有≥1路3.5mm音频输入，≥1路3.5mm音频输出；5.话柄、鹅颈话筒杆可拆卸，具有DC12V、PoE(IEEE802.3at/af)供电；</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支持报警盒一键报警，紧急管理机接听呼叫并进行对讲和视频预览；2.管理机可以对报警盒（箱/柱）进行呼叫、预览和广播；3.支持实时对讲、监听监视、分组广播、快速拨号、自动接听，通话保持等；4.支持管理机之间互相可视对讲，支持管理机托管；5.支持VGA、HDMI接口输出以及外接音频输入输出。</w:t>
            </w:r>
          </w:p>
        </w:tc>
        <w:tc>
          <w:tcPr>
            <w:tcW w:w="221" w:type="pct"/>
            <w:gridSpan w:val="2"/>
            <w:shd w:val="clear" w:color="auto" w:fill="auto"/>
            <w:noWrap/>
            <w:vAlign w:val="center"/>
          </w:tcPr>
          <w:p w14:paraId="09ABE3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FBA56A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0D62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734ED4B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2.3</w:t>
            </w:r>
          </w:p>
        </w:tc>
        <w:tc>
          <w:tcPr>
            <w:tcW w:w="346" w:type="pct"/>
            <w:shd w:val="clear" w:color="auto" w:fill="auto"/>
            <w:noWrap/>
            <w:vAlign w:val="center"/>
          </w:tcPr>
          <w:p w14:paraId="0083B208">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5B7ADEE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2A366C9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2705A7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D781E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8 </w:t>
            </w:r>
          </w:p>
        </w:tc>
      </w:tr>
      <w:tr w14:paraId="647B6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7BC861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2.4</w:t>
            </w:r>
          </w:p>
        </w:tc>
        <w:tc>
          <w:tcPr>
            <w:tcW w:w="346" w:type="pct"/>
            <w:shd w:val="clear" w:color="auto" w:fill="auto"/>
            <w:noWrap/>
            <w:vAlign w:val="center"/>
          </w:tcPr>
          <w:p w14:paraId="432BE9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业务办理工作站</w:t>
            </w:r>
          </w:p>
        </w:tc>
        <w:tc>
          <w:tcPr>
            <w:tcW w:w="3489" w:type="pct"/>
            <w:shd w:val="clear" w:color="auto" w:fill="auto"/>
            <w:vAlign w:val="center"/>
          </w:tcPr>
          <w:p w14:paraId="44C9C6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7DEE02A0">
            <w:pPr>
              <w:widowControl/>
              <w:numPr>
                <w:ilvl w:val="0"/>
                <w:numId w:val="12"/>
              </w:numPr>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610E35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F726E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15 </w:t>
            </w:r>
          </w:p>
        </w:tc>
      </w:tr>
      <w:tr w14:paraId="01C56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AB83F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2.5</w:t>
            </w:r>
          </w:p>
        </w:tc>
        <w:tc>
          <w:tcPr>
            <w:tcW w:w="346" w:type="pct"/>
            <w:shd w:val="clear" w:color="auto" w:fill="auto"/>
            <w:noWrap/>
            <w:vAlign w:val="center"/>
          </w:tcPr>
          <w:p w14:paraId="51A8073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笔记本</w:t>
            </w:r>
          </w:p>
        </w:tc>
        <w:tc>
          <w:tcPr>
            <w:tcW w:w="3489" w:type="pct"/>
            <w:shd w:val="clear" w:color="auto" w:fill="auto"/>
            <w:vAlign w:val="center"/>
          </w:tcPr>
          <w:p w14:paraId="7CFFE3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cpu选择ARM架构处理器，核心数≥8，主频≥2.3GHz</w:t>
            </w:r>
          </w:p>
          <w:p w14:paraId="290836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内存容量≥8G DDR4  内存频率≥3200MHz</w:t>
            </w:r>
          </w:p>
          <w:p w14:paraId="323F1F0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硬盘&gt;≥512GB M.2 NVME SSD  显卡：集成显卡，接口支持HDMI</w:t>
            </w:r>
            <w:r>
              <w:rPr>
                <w:rFonts w:hint="eastAsia" w:ascii="宋体" w:hAnsi="宋体" w:cs="宋体"/>
                <w:color w:val="000000" w:themeColor="text1"/>
                <w:sz w:val="22"/>
                <w:szCs w:val="22"/>
                <w:lang w:val="en-US" w:eastAsia="zh-CN"/>
              </w:rPr>
              <w:t xml:space="preserve">  </w:t>
            </w:r>
            <w:r>
              <w:rPr>
                <w:rFonts w:hint="eastAsia" w:ascii="宋体" w:hAnsi="宋体" w:cs="宋体"/>
                <w:color w:val="000000" w:themeColor="text1"/>
                <w:sz w:val="22"/>
                <w:szCs w:val="22"/>
              </w:rPr>
              <w:t>声卡：集成声卡</w:t>
            </w:r>
          </w:p>
        </w:tc>
        <w:tc>
          <w:tcPr>
            <w:tcW w:w="221" w:type="pct"/>
            <w:gridSpan w:val="2"/>
            <w:shd w:val="clear" w:color="auto" w:fill="auto"/>
            <w:noWrap/>
            <w:vAlign w:val="center"/>
          </w:tcPr>
          <w:p w14:paraId="0A4608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5BDC05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260F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5F86F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2.6</w:t>
            </w:r>
          </w:p>
        </w:tc>
        <w:tc>
          <w:tcPr>
            <w:tcW w:w="346" w:type="pct"/>
            <w:shd w:val="clear" w:color="auto" w:fill="auto"/>
            <w:noWrap/>
            <w:vAlign w:val="center"/>
          </w:tcPr>
          <w:p w14:paraId="7C1FC7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台账输出终端</w:t>
            </w:r>
          </w:p>
        </w:tc>
        <w:tc>
          <w:tcPr>
            <w:tcW w:w="3489" w:type="pct"/>
            <w:shd w:val="clear" w:color="auto" w:fill="auto"/>
            <w:vAlign w:val="center"/>
          </w:tcPr>
          <w:p w14:paraId="3C9167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最大打印幅面A4；最高分辨率HQ1200，600×600dpi；黑白打印速度A4：≥18ppm，letter：≥26ppm彩色打印速度A4：≥4ppm，letter：≥12ppm处理器≥400MHz内存标配：≥64MB，最大：≥64MB。打印性能：首页打印时间黑白＜14秒，彩色＜26秒</w:t>
            </w:r>
          </w:p>
        </w:tc>
        <w:tc>
          <w:tcPr>
            <w:tcW w:w="221" w:type="pct"/>
            <w:gridSpan w:val="2"/>
            <w:shd w:val="clear" w:color="auto" w:fill="auto"/>
            <w:noWrap/>
            <w:vAlign w:val="center"/>
          </w:tcPr>
          <w:p w14:paraId="6B9955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908EF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DF29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BF6FD5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2.7</w:t>
            </w:r>
          </w:p>
        </w:tc>
        <w:tc>
          <w:tcPr>
            <w:tcW w:w="346" w:type="pct"/>
            <w:shd w:val="clear" w:color="auto" w:fill="auto"/>
            <w:noWrap/>
            <w:vAlign w:val="center"/>
          </w:tcPr>
          <w:p w14:paraId="0E9549C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文件柜</w:t>
            </w:r>
          </w:p>
        </w:tc>
        <w:tc>
          <w:tcPr>
            <w:tcW w:w="3489" w:type="pct"/>
            <w:shd w:val="clear" w:color="auto" w:fill="auto"/>
            <w:vAlign w:val="center"/>
          </w:tcPr>
          <w:p w14:paraId="33CAE5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中二斗文件柜，材质：板材，玻璃；尺寸：不小于180*85*39cm</w:t>
            </w:r>
          </w:p>
        </w:tc>
        <w:tc>
          <w:tcPr>
            <w:tcW w:w="221" w:type="pct"/>
            <w:gridSpan w:val="2"/>
            <w:shd w:val="clear" w:color="auto" w:fill="auto"/>
            <w:noWrap/>
            <w:vAlign w:val="center"/>
          </w:tcPr>
          <w:p w14:paraId="434A6F7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419A7C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21A7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C40C4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2.8</w:t>
            </w:r>
          </w:p>
        </w:tc>
        <w:tc>
          <w:tcPr>
            <w:tcW w:w="346" w:type="pct"/>
            <w:shd w:val="clear" w:color="auto" w:fill="auto"/>
            <w:noWrap/>
            <w:vAlign w:val="center"/>
          </w:tcPr>
          <w:p w14:paraId="53FEEB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茶吧机</w:t>
            </w:r>
          </w:p>
        </w:tc>
        <w:tc>
          <w:tcPr>
            <w:tcW w:w="3489" w:type="pct"/>
            <w:shd w:val="clear" w:color="auto" w:fill="auto"/>
            <w:vAlign w:val="center"/>
          </w:tcPr>
          <w:p w14:paraId="43CA23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智能水位识别，九段智能调温，双壶独立出水口，钢化玻璃触屏，功率：不低于水壶1400w，保温15w。</w:t>
            </w:r>
          </w:p>
        </w:tc>
        <w:tc>
          <w:tcPr>
            <w:tcW w:w="221" w:type="pct"/>
            <w:gridSpan w:val="2"/>
            <w:shd w:val="clear" w:color="auto" w:fill="auto"/>
            <w:noWrap/>
            <w:vAlign w:val="center"/>
          </w:tcPr>
          <w:p w14:paraId="314D46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3F097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B221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199F6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2.9</w:t>
            </w:r>
          </w:p>
        </w:tc>
        <w:tc>
          <w:tcPr>
            <w:tcW w:w="346" w:type="pct"/>
            <w:shd w:val="clear" w:color="auto" w:fill="auto"/>
            <w:noWrap/>
            <w:vAlign w:val="center"/>
          </w:tcPr>
          <w:p w14:paraId="7A30E93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单人床</w:t>
            </w:r>
          </w:p>
        </w:tc>
        <w:tc>
          <w:tcPr>
            <w:tcW w:w="3489" w:type="pct"/>
            <w:shd w:val="clear" w:color="auto" w:fill="auto"/>
            <w:vAlign w:val="center"/>
          </w:tcPr>
          <w:p w14:paraId="2838E30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实木单人床 1.2 米，框架架构，框架材质：橡胶木，含床垫，被套，床头柜</w:t>
            </w:r>
          </w:p>
        </w:tc>
        <w:tc>
          <w:tcPr>
            <w:tcW w:w="221" w:type="pct"/>
            <w:gridSpan w:val="2"/>
            <w:shd w:val="clear" w:color="auto" w:fill="auto"/>
            <w:noWrap/>
            <w:vAlign w:val="center"/>
          </w:tcPr>
          <w:p w14:paraId="787934E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张</w:t>
            </w:r>
          </w:p>
        </w:tc>
        <w:tc>
          <w:tcPr>
            <w:tcW w:w="428" w:type="pct"/>
            <w:gridSpan w:val="2"/>
            <w:shd w:val="clear" w:color="auto" w:fill="auto"/>
            <w:noWrap/>
            <w:vAlign w:val="center"/>
          </w:tcPr>
          <w:p w14:paraId="2B28AD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7882B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8EEFDB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2.10 </w:t>
            </w:r>
          </w:p>
        </w:tc>
        <w:tc>
          <w:tcPr>
            <w:tcW w:w="346" w:type="pct"/>
            <w:shd w:val="clear" w:color="auto" w:fill="auto"/>
            <w:noWrap/>
            <w:vAlign w:val="center"/>
          </w:tcPr>
          <w:p w14:paraId="4092B0D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沙发</w:t>
            </w:r>
          </w:p>
        </w:tc>
        <w:tc>
          <w:tcPr>
            <w:tcW w:w="3489" w:type="pct"/>
            <w:shd w:val="clear" w:color="auto" w:fill="auto"/>
            <w:vAlign w:val="center"/>
          </w:tcPr>
          <w:p w14:paraId="16FBAAB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 人位皮艺沙发，高回弹压缩棉，优质加厚西皮</w:t>
            </w:r>
          </w:p>
        </w:tc>
        <w:tc>
          <w:tcPr>
            <w:tcW w:w="221" w:type="pct"/>
            <w:gridSpan w:val="2"/>
            <w:shd w:val="clear" w:color="auto" w:fill="auto"/>
            <w:noWrap/>
            <w:vAlign w:val="center"/>
          </w:tcPr>
          <w:p w14:paraId="15C8E29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28766F0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84E7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030CF4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 </w:t>
            </w:r>
          </w:p>
        </w:tc>
        <w:tc>
          <w:tcPr>
            <w:tcW w:w="4486" w:type="pct"/>
            <w:gridSpan w:val="6"/>
            <w:shd w:val="clear" w:color="auto" w:fill="auto"/>
            <w:noWrap/>
            <w:vAlign w:val="center"/>
          </w:tcPr>
          <w:p w14:paraId="458B076C">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辅材及其他</w:t>
            </w:r>
          </w:p>
        </w:tc>
      </w:tr>
      <w:tr w14:paraId="56076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2939E8E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3.1</w:t>
            </w:r>
          </w:p>
        </w:tc>
        <w:tc>
          <w:tcPr>
            <w:tcW w:w="346" w:type="pct"/>
            <w:shd w:val="clear" w:color="auto" w:fill="auto"/>
            <w:noWrap/>
            <w:vAlign w:val="center"/>
          </w:tcPr>
          <w:p w14:paraId="057EF9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人脸门禁一体机</w:t>
            </w:r>
          </w:p>
        </w:tc>
        <w:tc>
          <w:tcPr>
            <w:tcW w:w="3489" w:type="pct"/>
            <w:shd w:val="clear" w:color="auto" w:fill="auto"/>
            <w:vAlign w:val="center"/>
          </w:tcPr>
          <w:p w14:paraId="7C1D6B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屏幕参数：≥7英寸触摸显示屏，屏幕比例9:16，屏幕分辨率≥600*1024；摄像头参数：采用宽动态≥200万双目摄像头；认证方式：支持人脸、刷卡、密码、指纹认证方式，可外接身份证、社保卡功能模块；存储容量：本地支持≥2万人脸库、≥5万张卡，≥1万枚指纹、≥15万条事件记录；通信方式：有线网络；使用环境：≥IP65，室内外环境；安装方式：壁挂安装；电源输入： DC12V/2A</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含终端电源</w:t>
            </w:r>
          </w:p>
        </w:tc>
        <w:tc>
          <w:tcPr>
            <w:tcW w:w="221" w:type="pct"/>
            <w:gridSpan w:val="2"/>
            <w:shd w:val="clear" w:color="auto" w:fill="auto"/>
            <w:noWrap/>
            <w:vAlign w:val="center"/>
          </w:tcPr>
          <w:p w14:paraId="5FBB47F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385B4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8 </w:t>
            </w:r>
          </w:p>
        </w:tc>
      </w:tr>
      <w:tr w14:paraId="7450F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3C7411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3.2</w:t>
            </w:r>
          </w:p>
        </w:tc>
        <w:tc>
          <w:tcPr>
            <w:tcW w:w="346" w:type="pct"/>
            <w:shd w:val="clear" w:color="auto" w:fill="auto"/>
            <w:noWrap/>
            <w:vAlign w:val="center"/>
          </w:tcPr>
          <w:p w14:paraId="4EDA33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单门磁力锁套件</w:t>
            </w:r>
          </w:p>
        </w:tc>
        <w:tc>
          <w:tcPr>
            <w:tcW w:w="3489" w:type="pct"/>
            <w:shd w:val="clear" w:color="auto" w:fill="auto"/>
            <w:vAlign w:val="center"/>
          </w:tcPr>
          <w:p w14:paraId="3240BEC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单门磁力锁、磁力锁支架、闭门器、开门按钮等</w:t>
            </w:r>
          </w:p>
        </w:tc>
        <w:tc>
          <w:tcPr>
            <w:tcW w:w="221" w:type="pct"/>
            <w:gridSpan w:val="2"/>
            <w:shd w:val="clear" w:color="auto" w:fill="auto"/>
            <w:noWrap/>
            <w:vAlign w:val="center"/>
          </w:tcPr>
          <w:p w14:paraId="5C980AA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451C2C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538C8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891E28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3.3</w:t>
            </w:r>
          </w:p>
        </w:tc>
        <w:tc>
          <w:tcPr>
            <w:tcW w:w="346" w:type="pct"/>
            <w:shd w:val="clear" w:color="auto" w:fill="auto"/>
            <w:noWrap/>
            <w:vAlign w:val="center"/>
          </w:tcPr>
          <w:p w14:paraId="6728CD5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双门磁力锁套件</w:t>
            </w:r>
          </w:p>
        </w:tc>
        <w:tc>
          <w:tcPr>
            <w:tcW w:w="3489" w:type="pct"/>
            <w:shd w:val="clear" w:color="auto" w:fill="auto"/>
            <w:vAlign w:val="center"/>
          </w:tcPr>
          <w:p w14:paraId="4D9E4A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双门磁力锁、磁力锁支架、闭门器、开门按钮等</w:t>
            </w:r>
          </w:p>
        </w:tc>
        <w:tc>
          <w:tcPr>
            <w:tcW w:w="221" w:type="pct"/>
            <w:gridSpan w:val="2"/>
            <w:shd w:val="clear" w:color="auto" w:fill="auto"/>
            <w:noWrap/>
            <w:vAlign w:val="center"/>
          </w:tcPr>
          <w:p w14:paraId="798A195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7955B8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38BD7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7EB378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3.4</w:t>
            </w:r>
          </w:p>
        </w:tc>
        <w:tc>
          <w:tcPr>
            <w:tcW w:w="346" w:type="pct"/>
            <w:shd w:val="clear" w:color="auto" w:fill="auto"/>
            <w:noWrap/>
            <w:vAlign w:val="center"/>
          </w:tcPr>
          <w:p w14:paraId="068C48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人脸采集终端</w:t>
            </w:r>
          </w:p>
        </w:tc>
        <w:tc>
          <w:tcPr>
            <w:tcW w:w="3489" w:type="pct"/>
            <w:shd w:val="clear" w:color="auto" w:fill="auto"/>
            <w:vAlign w:val="center"/>
          </w:tcPr>
          <w:p w14:paraId="61BAD91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3英寸触摸显示屏，屏幕分辨率≥800*480；2、采用≥200万双目摄像头，有照片视频防假功能；3、支持人脸采集、指纹采集、卡片录入、身份证采集；4、支持有线网络、无线WiFi、USB口通信；5、支持在线采集，通过网络协议或USB口对接到平台，平台进行在线采集，采集信息实时上传；6、工作电压：DC12V/1.5A (自带电源适配器）</w:t>
            </w:r>
          </w:p>
        </w:tc>
        <w:tc>
          <w:tcPr>
            <w:tcW w:w="221" w:type="pct"/>
            <w:gridSpan w:val="2"/>
            <w:shd w:val="clear" w:color="auto" w:fill="auto"/>
            <w:noWrap/>
            <w:vAlign w:val="center"/>
          </w:tcPr>
          <w:p w14:paraId="2D6D741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DB245D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291D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BFA7E1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3.5</w:t>
            </w:r>
          </w:p>
        </w:tc>
        <w:tc>
          <w:tcPr>
            <w:tcW w:w="346" w:type="pct"/>
            <w:shd w:val="clear" w:color="auto" w:fill="auto"/>
            <w:noWrap/>
            <w:vAlign w:val="center"/>
          </w:tcPr>
          <w:p w14:paraId="71B2B3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电源线</w:t>
            </w:r>
          </w:p>
        </w:tc>
        <w:tc>
          <w:tcPr>
            <w:tcW w:w="3489" w:type="pct"/>
            <w:shd w:val="clear" w:color="auto" w:fill="auto"/>
            <w:vAlign w:val="center"/>
          </w:tcPr>
          <w:p w14:paraId="6DA285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线缆类型（电源线）：RVV；导体类型：无氧铜；护套类型：PVC；线缆芯数：2芯</w:t>
            </w:r>
          </w:p>
        </w:tc>
        <w:tc>
          <w:tcPr>
            <w:tcW w:w="221" w:type="pct"/>
            <w:gridSpan w:val="2"/>
            <w:shd w:val="clear" w:color="auto" w:fill="auto"/>
            <w:noWrap/>
            <w:vAlign w:val="center"/>
          </w:tcPr>
          <w:p w14:paraId="2BFDC96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卷</w:t>
            </w:r>
          </w:p>
        </w:tc>
        <w:tc>
          <w:tcPr>
            <w:tcW w:w="428" w:type="pct"/>
            <w:gridSpan w:val="2"/>
            <w:shd w:val="clear" w:color="auto" w:fill="auto"/>
            <w:noWrap/>
            <w:vAlign w:val="center"/>
          </w:tcPr>
          <w:p w14:paraId="307DC0E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67A2D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438" w:hRule="atLeast"/>
        </w:trPr>
        <w:tc>
          <w:tcPr>
            <w:tcW w:w="508" w:type="pct"/>
            <w:shd w:val="clear" w:color="auto" w:fill="auto"/>
            <w:noWrap/>
            <w:vAlign w:val="center"/>
          </w:tcPr>
          <w:p w14:paraId="54CE492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3.6</w:t>
            </w:r>
          </w:p>
        </w:tc>
        <w:tc>
          <w:tcPr>
            <w:tcW w:w="346" w:type="pct"/>
            <w:shd w:val="clear" w:color="auto" w:fill="auto"/>
            <w:noWrap/>
            <w:vAlign w:val="center"/>
          </w:tcPr>
          <w:p w14:paraId="32CC84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网线</w:t>
            </w:r>
          </w:p>
        </w:tc>
        <w:tc>
          <w:tcPr>
            <w:tcW w:w="3489" w:type="pct"/>
            <w:shd w:val="clear" w:color="auto" w:fill="auto"/>
            <w:vAlign w:val="center"/>
          </w:tcPr>
          <w:p w14:paraId="7B48DCF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超5类网线，4对8芯双绞线</w:t>
            </w:r>
          </w:p>
        </w:tc>
        <w:tc>
          <w:tcPr>
            <w:tcW w:w="221" w:type="pct"/>
            <w:gridSpan w:val="2"/>
            <w:shd w:val="clear" w:color="auto" w:fill="auto"/>
            <w:noWrap/>
            <w:vAlign w:val="center"/>
          </w:tcPr>
          <w:p w14:paraId="2577FF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箱</w:t>
            </w:r>
          </w:p>
        </w:tc>
        <w:tc>
          <w:tcPr>
            <w:tcW w:w="428" w:type="pct"/>
            <w:gridSpan w:val="2"/>
            <w:shd w:val="clear" w:color="auto" w:fill="auto"/>
            <w:noWrap/>
            <w:vAlign w:val="center"/>
          </w:tcPr>
          <w:p w14:paraId="7CCFBFD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 </w:t>
            </w:r>
          </w:p>
        </w:tc>
      </w:tr>
      <w:tr w14:paraId="3116BA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17C2D6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3.7</w:t>
            </w:r>
          </w:p>
        </w:tc>
        <w:tc>
          <w:tcPr>
            <w:tcW w:w="346" w:type="pct"/>
            <w:shd w:val="clear" w:color="auto" w:fill="auto"/>
            <w:noWrap/>
            <w:vAlign w:val="center"/>
          </w:tcPr>
          <w:p w14:paraId="76E3F86F">
            <w:pPr>
              <w:widowControl/>
              <w:textAlignment w:val="center"/>
              <w:rPr>
                <w:rFonts w:ascii="宋体" w:hAnsi="宋体" w:cs="宋体"/>
                <w:color w:val="000000" w:themeColor="text1"/>
                <w:sz w:val="22"/>
                <w:szCs w:val="22"/>
                <w:highlight w:val="none"/>
              </w:rPr>
            </w:pPr>
            <w:r>
              <w:rPr>
                <w:rFonts w:hint="eastAsia" w:ascii="宋体" w:hAnsi="宋体" w:cs="宋体"/>
                <w:color w:val="000000" w:themeColor="text1"/>
                <w:sz w:val="22"/>
                <w:szCs w:val="22"/>
                <w:highlight w:val="none"/>
              </w:rPr>
              <w:t>PVC线管</w:t>
            </w:r>
          </w:p>
        </w:tc>
        <w:tc>
          <w:tcPr>
            <w:tcW w:w="3489" w:type="pct"/>
            <w:shd w:val="clear" w:color="auto" w:fill="auto"/>
            <w:vAlign w:val="center"/>
          </w:tcPr>
          <w:p w14:paraId="78A92A08">
            <w:pPr>
              <w:widowControl/>
              <w:textAlignment w:val="center"/>
              <w:rPr>
                <w:rFonts w:ascii="宋体" w:hAnsi="宋体" w:cs="宋体"/>
                <w:color w:val="000000" w:themeColor="text1"/>
                <w:sz w:val="22"/>
                <w:szCs w:val="22"/>
                <w:highlight w:val="none"/>
              </w:rPr>
            </w:pPr>
            <w:r>
              <w:rPr>
                <w:rFonts w:hint="eastAsia" w:ascii="宋体" w:hAnsi="宋体" w:cs="宋体"/>
                <w:color w:val="000000" w:themeColor="text1"/>
                <w:sz w:val="22"/>
                <w:szCs w:val="22"/>
                <w:highlight w:val="none"/>
                <w:lang w:val="en-US" w:eastAsia="zh-CN"/>
              </w:rPr>
              <w:t>直径</w:t>
            </w:r>
            <w:r>
              <w:rPr>
                <w:rFonts w:hint="eastAsia" w:ascii="宋体" w:hAnsi="宋体" w:cs="宋体"/>
                <w:color w:val="000000" w:themeColor="text1"/>
                <w:sz w:val="22"/>
                <w:szCs w:val="22"/>
                <w:highlight w:val="none"/>
              </w:rPr>
              <w:t>25.00</w:t>
            </w:r>
            <w:r>
              <w:rPr>
                <w:rFonts w:hint="eastAsia" w:ascii="宋体" w:hAnsi="宋体" w:cs="宋体"/>
                <w:color w:val="000000" w:themeColor="text1"/>
                <w:sz w:val="22"/>
                <w:szCs w:val="22"/>
                <w:highlight w:val="none"/>
                <w:lang w:val="en-US" w:eastAsia="zh-CN"/>
              </w:rPr>
              <w:t>毫米</w:t>
            </w:r>
            <w:r>
              <w:rPr>
                <w:rFonts w:hint="eastAsia" w:ascii="宋体" w:hAnsi="宋体" w:cs="宋体"/>
                <w:color w:val="000000" w:themeColor="text1"/>
                <w:sz w:val="22"/>
                <w:szCs w:val="22"/>
                <w:highlight w:val="none"/>
              </w:rPr>
              <w:t xml:space="preserve"> </w:t>
            </w:r>
          </w:p>
        </w:tc>
        <w:tc>
          <w:tcPr>
            <w:tcW w:w="221" w:type="pct"/>
            <w:gridSpan w:val="2"/>
            <w:shd w:val="clear" w:color="auto" w:fill="auto"/>
            <w:noWrap/>
            <w:vAlign w:val="center"/>
          </w:tcPr>
          <w:p w14:paraId="29DE9DB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米</w:t>
            </w:r>
          </w:p>
        </w:tc>
        <w:tc>
          <w:tcPr>
            <w:tcW w:w="428" w:type="pct"/>
            <w:gridSpan w:val="2"/>
            <w:shd w:val="clear" w:color="auto" w:fill="auto"/>
            <w:noWrap/>
            <w:vAlign w:val="center"/>
          </w:tcPr>
          <w:p w14:paraId="08EB2F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450 </w:t>
            </w:r>
          </w:p>
        </w:tc>
      </w:tr>
      <w:tr w14:paraId="40C8A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B8A05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3.8</w:t>
            </w:r>
          </w:p>
        </w:tc>
        <w:tc>
          <w:tcPr>
            <w:tcW w:w="346" w:type="pct"/>
            <w:shd w:val="clear" w:color="auto" w:fill="auto"/>
            <w:noWrap/>
            <w:vAlign w:val="center"/>
          </w:tcPr>
          <w:p w14:paraId="3A6F3E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辅材</w:t>
            </w:r>
          </w:p>
        </w:tc>
        <w:tc>
          <w:tcPr>
            <w:tcW w:w="3489" w:type="pct"/>
            <w:shd w:val="clear" w:color="auto" w:fill="auto"/>
            <w:vAlign w:val="center"/>
          </w:tcPr>
          <w:p w14:paraId="79CC80F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视频线、音频线、排插、扎带、水晶头、管线以及8口交换等</w:t>
            </w:r>
          </w:p>
        </w:tc>
        <w:tc>
          <w:tcPr>
            <w:tcW w:w="221" w:type="pct"/>
            <w:gridSpan w:val="2"/>
            <w:shd w:val="clear" w:color="auto" w:fill="auto"/>
            <w:noWrap/>
            <w:vAlign w:val="center"/>
          </w:tcPr>
          <w:p w14:paraId="37F1F0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项</w:t>
            </w:r>
          </w:p>
        </w:tc>
        <w:tc>
          <w:tcPr>
            <w:tcW w:w="428" w:type="pct"/>
            <w:gridSpan w:val="2"/>
            <w:shd w:val="clear" w:color="auto" w:fill="auto"/>
            <w:noWrap/>
            <w:vAlign w:val="center"/>
          </w:tcPr>
          <w:p w14:paraId="35EA142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E610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FBEA2C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3.9</w:t>
            </w:r>
          </w:p>
        </w:tc>
        <w:tc>
          <w:tcPr>
            <w:tcW w:w="346" w:type="pct"/>
            <w:shd w:val="clear" w:color="auto" w:fill="auto"/>
            <w:noWrap/>
            <w:vAlign w:val="center"/>
          </w:tcPr>
          <w:p w14:paraId="5C42F90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标识标牌</w:t>
            </w:r>
          </w:p>
        </w:tc>
        <w:tc>
          <w:tcPr>
            <w:tcW w:w="3489" w:type="pct"/>
            <w:shd w:val="clear" w:color="auto" w:fill="auto"/>
            <w:vAlign w:val="center"/>
          </w:tcPr>
          <w:p w14:paraId="57BEA08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标志字及标牌、制度牌，走廊内办案流程图，宣传栏，警示标识牌</w:t>
            </w:r>
          </w:p>
        </w:tc>
        <w:tc>
          <w:tcPr>
            <w:tcW w:w="221" w:type="pct"/>
            <w:gridSpan w:val="2"/>
            <w:shd w:val="clear" w:color="auto" w:fill="auto"/>
            <w:noWrap/>
            <w:vAlign w:val="center"/>
          </w:tcPr>
          <w:p w14:paraId="4EBDC4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3208E11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8B01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4BB031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3.10 </w:t>
            </w:r>
          </w:p>
        </w:tc>
        <w:tc>
          <w:tcPr>
            <w:tcW w:w="346" w:type="pct"/>
            <w:shd w:val="clear" w:color="auto" w:fill="auto"/>
            <w:noWrap/>
            <w:vAlign w:val="center"/>
          </w:tcPr>
          <w:p w14:paraId="1828B8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投影灯</w:t>
            </w:r>
          </w:p>
        </w:tc>
        <w:tc>
          <w:tcPr>
            <w:tcW w:w="3489" w:type="pct"/>
            <w:shd w:val="clear" w:color="auto" w:fill="auto"/>
            <w:vAlign w:val="center"/>
          </w:tcPr>
          <w:p w14:paraId="151067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显色指数≥85Ra，色温指数8000-8500K,使用寿命≥50000H,额定电压110-240V;支持遥控距离不低于20米。</w:t>
            </w:r>
          </w:p>
        </w:tc>
        <w:tc>
          <w:tcPr>
            <w:tcW w:w="221" w:type="pct"/>
            <w:gridSpan w:val="2"/>
            <w:shd w:val="clear" w:color="auto" w:fill="auto"/>
            <w:noWrap/>
            <w:vAlign w:val="center"/>
          </w:tcPr>
          <w:p w14:paraId="5242C8C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FE1EC0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8 </w:t>
            </w:r>
          </w:p>
        </w:tc>
      </w:tr>
      <w:tr w14:paraId="40E70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90" w:hRule="atLeast"/>
        </w:trPr>
        <w:tc>
          <w:tcPr>
            <w:tcW w:w="508" w:type="pct"/>
            <w:shd w:val="clear" w:color="auto" w:fill="auto"/>
            <w:noWrap/>
            <w:vAlign w:val="center"/>
          </w:tcPr>
          <w:p w14:paraId="4DC152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3.11</w:t>
            </w:r>
          </w:p>
        </w:tc>
        <w:tc>
          <w:tcPr>
            <w:tcW w:w="346" w:type="pct"/>
            <w:shd w:val="clear" w:color="auto" w:fill="auto"/>
            <w:noWrap/>
            <w:vAlign w:val="center"/>
          </w:tcPr>
          <w:p w14:paraId="5188B9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控制线</w:t>
            </w:r>
          </w:p>
        </w:tc>
        <w:tc>
          <w:tcPr>
            <w:tcW w:w="3489" w:type="pct"/>
            <w:shd w:val="clear" w:color="auto" w:fill="auto"/>
            <w:vAlign w:val="center"/>
          </w:tcPr>
          <w:p w14:paraId="3E77F87A">
            <w:pPr>
              <w:widowControl/>
              <w:textAlignment w:val="center"/>
              <w:rPr>
                <w:rFonts w:hint="default" w:ascii="宋体" w:hAnsi="宋体" w:eastAsia="宋体" w:cs="宋体"/>
                <w:color w:val="000000" w:themeColor="text1"/>
                <w:sz w:val="22"/>
                <w:szCs w:val="22"/>
                <w:lang w:val="en-US" w:eastAsia="zh-CN"/>
              </w:rPr>
            </w:pPr>
            <w:r>
              <w:rPr>
                <w:rFonts w:hint="eastAsia" w:ascii="宋体" w:hAnsi="宋体" w:cs="宋体"/>
                <w:color w:val="000000" w:themeColor="text1"/>
                <w:sz w:val="22"/>
                <w:szCs w:val="22"/>
              </w:rPr>
              <w:t>国标4*1.5</w:t>
            </w:r>
            <w:r>
              <w:rPr>
                <w:rFonts w:hint="eastAsia" w:ascii="宋体" w:hAnsi="宋体" w:cs="宋体"/>
                <w:color w:val="000000" w:themeColor="text1"/>
                <w:sz w:val="22"/>
                <w:szCs w:val="22"/>
                <w:lang w:val="en-US" w:eastAsia="zh-CN"/>
              </w:rPr>
              <w:t>平方毫米</w:t>
            </w:r>
          </w:p>
        </w:tc>
        <w:tc>
          <w:tcPr>
            <w:tcW w:w="221" w:type="pct"/>
            <w:gridSpan w:val="2"/>
            <w:shd w:val="clear" w:color="auto" w:fill="auto"/>
            <w:noWrap/>
            <w:vAlign w:val="center"/>
          </w:tcPr>
          <w:p w14:paraId="56724F6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卷</w:t>
            </w:r>
          </w:p>
        </w:tc>
        <w:tc>
          <w:tcPr>
            <w:tcW w:w="428" w:type="pct"/>
            <w:gridSpan w:val="2"/>
            <w:shd w:val="clear" w:color="auto" w:fill="auto"/>
            <w:noWrap/>
            <w:vAlign w:val="center"/>
          </w:tcPr>
          <w:p w14:paraId="5E17374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6E5C9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8F027C3">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（二）</w:t>
            </w:r>
          </w:p>
        </w:tc>
        <w:tc>
          <w:tcPr>
            <w:tcW w:w="4486" w:type="pct"/>
            <w:gridSpan w:val="6"/>
            <w:shd w:val="clear" w:color="auto" w:fill="auto"/>
            <w:noWrap/>
            <w:vAlign w:val="center"/>
          </w:tcPr>
          <w:p w14:paraId="070B37E8">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案件管理分中心信息化系统建设</w:t>
            </w:r>
          </w:p>
        </w:tc>
      </w:tr>
      <w:tr w14:paraId="3D7FD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13336F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c>
          <w:tcPr>
            <w:tcW w:w="4486" w:type="pct"/>
            <w:gridSpan w:val="6"/>
            <w:shd w:val="clear" w:color="auto" w:fill="auto"/>
            <w:noWrap/>
            <w:vAlign w:val="center"/>
          </w:tcPr>
          <w:p w14:paraId="3E52D829">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材料登记查询上传及卷宗保管室</w:t>
            </w:r>
          </w:p>
        </w:tc>
      </w:tr>
      <w:tr w14:paraId="0D84E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2CD2E0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 </w:t>
            </w:r>
          </w:p>
        </w:tc>
        <w:tc>
          <w:tcPr>
            <w:tcW w:w="346" w:type="pct"/>
            <w:shd w:val="clear" w:color="auto" w:fill="auto"/>
            <w:noWrap/>
            <w:vAlign w:val="center"/>
          </w:tcPr>
          <w:p w14:paraId="22957EB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2988A99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1A3EAD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E8794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0CDCE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02E9E7A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1.2 </w:t>
            </w:r>
          </w:p>
        </w:tc>
        <w:tc>
          <w:tcPr>
            <w:tcW w:w="346" w:type="pct"/>
            <w:shd w:val="clear" w:color="auto" w:fill="auto"/>
            <w:noWrap/>
            <w:vAlign w:val="center"/>
          </w:tcPr>
          <w:p w14:paraId="32CFE9C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高保真全向拾音器</w:t>
            </w:r>
          </w:p>
        </w:tc>
        <w:tc>
          <w:tcPr>
            <w:tcW w:w="3489" w:type="pct"/>
            <w:shd w:val="clear" w:color="auto" w:fill="auto"/>
            <w:vAlign w:val="center"/>
          </w:tcPr>
          <w:p w14:paraId="2EF421C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硬件规格：灵敏度 -41±1dB；动态范围 ≥104dB；过载声压 ≥114dB；信噪比 ≥85dB；传输距离 ≥1000米；拾音范围 R=5米（1kHz@60dB SPL SN≥30dB）；频率响应 150Hz～20KHz（1kHz@85dB SPL）；失真度 ≤1%（1kHz@85dB SPL）；采样率 44.1k（AD/DA处理器）；信号处理 数字音频处理器；音频算法 ANC降噪算法；输出阻抗 ≥600Ω（耳机驱动）；输出幅度 -6±2dB(1kHz@85B SPL)；输出导线 3芯软胶导线；工作电压 DC 9～15V；电源功耗 ≤1.0W @DC12V保护电路 雷击保护、电源极性错接保护；外壳材质 锌合金+网片 ；</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功能特性：1.高保真、低噪音、宽动态，全向360°收音；2.内置数字音频处理器，支持复杂的数字音频算法；3.内置 LED 工作指示灯，易于识别设备工作状态；4.内置防风棉，减少环境气流对拾音器产生的震动和风噪；5.坚固金属外壳、卡座分离安装方式，便于侧墙或者吸顶安装。</w:t>
            </w:r>
          </w:p>
        </w:tc>
        <w:tc>
          <w:tcPr>
            <w:tcW w:w="221" w:type="pct"/>
            <w:gridSpan w:val="2"/>
            <w:shd w:val="clear" w:color="auto" w:fill="auto"/>
            <w:noWrap/>
            <w:vAlign w:val="center"/>
          </w:tcPr>
          <w:p w14:paraId="360288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496F45E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E1BE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5CF65E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1.3 </w:t>
            </w:r>
          </w:p>
        </w:tc>
        <w:tc>
          <w:tcPr>
            <w:tcW w:w="346" w:type="pct"/>
            <w:shd w:val="clear" w:color="auto" w:fill="auto"/>
            <w:noWrap/>
            <w:vAlign w:val="center"/>
          </w:tcPr>
          <w:p w14:paraId="25928B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蓝光集中打印刻录一体机</w:t>
            </w:r>
          </w:p>
        </w:tc>
        <w:tc>
          <w:tcPr>
            <w:tcW w:w="3489" w:type="pct"/>
            <w:shd w:val="clear" w:color="auto" w:fill="auto"/>
            <w:vAlign w:val="center"/>
          </w:tcPr>
          <w:p w14:paraId="59ACC9E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1.全自动≥100片BD/DVD/CD蓝光光盘批量打印刻录,支持不同类型光盘自动混装；2.自助式前置≥50片光盘外置输出；3.集成≥2个BD-R/DVD±R/CD-R企业级蓝光光盘刻录机；4.采用全自动智能机械手取盘技术；5.高达≥4800 dpi彩色打印分辨率，照片级打印质量，≥1670万色；6.≥1个高容量CMY 彩色墨盒，可快速更换墨盒；7.彩色墨盒集成打印头，保证打印质量，终身无需更换单独的打印头；8.USB 3.0高速数据接口，实现BD/DVD/CD高速数据刻录；9.光盘打印及刻录/回读速度：≥8片BD/小时；≥24片DVD/小时；≥40片CD/小时</w:t>
            </w:r>
          </w:p>
        </w:tc>
        <w:tc>
          <w:tcPr>
            <w:tcW w:w="221" w:type="pct"/>
            <w:gridSpan w:val="2"/>
            <w:shd w:val="clear" w:color="auto" w:fill="auto"/>
            <w:noWrap/>
            <w:vAlign w:val="center"/>
          </w:tcPr>
          <w:p w14:paraId="0F3B3CB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61E0B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C45D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114D32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1.4 </w:t>
            </w:r>
          </w:p>
        </w:tc>
        <w:tc>
          <w:tcPr>
            <w:tcW w:w="346" w:type="pct"/>
            <w:shd w:val="clear" w:color="auto" w:fill="auto"/>
            <w:noWrap/>
            <w:vAlign w:val="center"/>
          </w:tcPr>
          <w:p w14:paraId="2E4974F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审讯刻录专用光盘</w:t>
            </w:r>
          </w:p>
        </w:tc>
        <w:tc>
          <w:tcPr>
            <w:tcW w:w="3489" w:type="pct"/>
            <w:shd w:val="clear" w:color="auto" w:fill="auto"/>
            <w:vAlign w:val="center"/>
          </w:tcPr>
          <w:p w14:paraId="0295D62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专业级高品质哑光可打印蓝光光盘，≥50GB,防划耐磨；≥50片桶装</w:t>
            </w:r>
          </w:p>
        </w:tc>
        <w:tc>
          <w:tcPr>
            <w:tcW w:w="221" w:type="pct"/>
            <w:gridSpan w:val="2"/>
            <w:shd w:val="clear" w:color="auto" w:fill="auto"/>
            <w:noWrap/>
            <w:vAlign w:val="center"/>
          </w:tcPr>
          <w:p w14:paraId="2F2EE5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535462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5 </w:t>
            </w:r>
          </w:p>
        </w:tc>
      </w:tr>
      <w:tr w14:paraId="3AC9B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1BEFA7E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1.5 </w:t>
            </w:r>
          </w:p>
        </w:tc>
        <w:tc>
          <w:tcPr>
            <w:tcW w:w="346" w:type="pct"/>
            <w:shd w:val="clear" w:color="auto" w:fill="auto"/>
            <w:noWrap/>
            <w:vAlign w:val="center"/>
          </w:tcPr>
          <w:p w14:paraId="693058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智能光盘管理柜</w:t>
            </w:r>
          </w:p>
        </w:tc>
        <w:tc>
          <w:tcPr>
            <w:tcW w:w="3489" w:type="pct"/>
            <w:shd w:val="clear" w:color="auto" w:fill="auto"/>
            <w:vAlign w:val="center"/>
          </w:tcPr>
          <w:p w14:paraId="38D8D1F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智能光盘管理柜，单柜盒存储容量大于810张,单盒双盒面存储容量不小于1620张，支持多柜级联，双LED灯珠；标识，存取光盘时闪烁指示盘仓位，内置光盘管理软件，支持光盘检索、光盘入柜、借出及归还管理等；防潮，防磁，防静电，防灰尘，防倾倒，防挤压</w:t>
            </w:r>
          </w:p>
        </w:tc>
        <w:tc>
          <w:tcPr>
            <w:tcW w:w="221" w:type="pct"/>
            <w:gridSpan w:val="2"/>
            <w:shd w:val="clear" w:color="auto" w:fill="auto"/>
            <w:noWrap/>
            <w:vAlign w:val="center"/>
          </w:tcPr>
          <w:p w14:paraId="0912112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7D564D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A967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44E60E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 </w:t>
            </w:r>
          </w:p>
        </w:tc>
        <w:tc>
          <w:tcPr>
            <w:tcW w:w="346" w:type="pct"/>
            <w:shd w:val="clear" w:color="auto" w:fill="auto"/>
            <w:noWrap/>
            <w:vAlign w:val="center"/>
          </w:tcPr>
          <w:p w14:paraId="16D635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智能人脸RFID卷宗主柜</w:t>
            </w:r>
          </w:p>
        </w:tc>
        <w:tc>
          <w:tcPr>
            <w:tcW w:w="3489" w:type="pct"/>
            <w:shd w:val="clear" w:color="auto" w:fill="auto"/>
            <w:vAlign w:val="center"/>
          </w:tcPr>
          <w:p w14:paraId="46D779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整机尺寸：1985*900*475mm（误差±5%）；箱体个数：≥10个；屏幕尺寸：≥17寸；锁体结构：机械电子锁；最大功率：≤30W</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身份识别：人脸；卷宗识别：RFID；通讯方式：以太网</w:t>
            </w:r>
          </w:p>
        </w:tc>
        <w:tc>
          <w:tcPr>
            <w:tcW w:w="221" w:type="pct"/>
            <w:gridSpan w:val="2"/>
            <w:shd w:val="clear" w:color="auto" w:fill="auto"/>
            <w:noWrap/>
            <w:vAlign w:val="center"/>
          </w:tcPr>
          <w:p w14:paraId="7374666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65563D0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ECBA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5A25947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1.7 </w:t>
            </w:r>
          </w:p>
        </w:tc>
        <w:tc>
          <w:tcPr>
            <w:tcW w:w="346" w:type="pct"/>
            <w:shd w:val="clear" w:color="auto" w:fill="auto"/>
            <w:noWrap/>
            <w:vAlign w:val="center"/>
          </w:tcPr>
          <w:p w14:paraId="105AE9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智能人脸RFID卷宗副柜</w:t>
            </w:r>
          </w:p>
        </w:tc>
        <w:tc>
          <w:tcPr>
            <w:tcW w:w="3489" w:type="pct"/>
            <w:shd w:val="clear" w:color="auto" w:fill="auto"/>
            <w:vAlign w:val="center"/>
          </w:tcPr>
          <w:p w14:paraId="352889D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整机尺寸：高1985*宽900*深475mm（误差±5%）；箱体空间：深450*高230*宽359（mm），误差±5%；箱体个数：≥12个</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供电电源：12VDC；最大功率：≤15W；工作温度：0℃~60℃；存储温度：-40℃~85℃</w:t>
            </w:r>
          </w:p>
        </w:tc>
        <w:tc>
          <w:tcPr>
            <w:tcW w:w="221" w:type="pct"/>
            <w:gridSpan w:val="2"/>
            <w:shd w:val="clear" w:color="auto" w:fill="auto"/>
            <w:noWrap/>
            <w:vAlign w:val="center"/>
          </w:tcPr>
          <w:p w14:paraId="2AC796F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5E7A393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62CB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253013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1.8 </w:t>
            </w:r>
          </w:p>
        </w:tc>
        <w:tc>
          <w:tcPr>
            <w:tcW w:w="346" w:type="pct"/>
            <w:shd w:val="clear" w:color="auto" w:fill="auto"/>
            <w:noWrap/>
            <w:vAlign w:val="center"/>
          </w:tcPr>
          <w:p w14:paraId="365FD0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电子标签发卡器</w:t>
            </w:r>
          </w:p>
        </w:tc>
        <w:tc>
          <w:tcPr>
            <w:tcW w:w="3489" w:type="pct"/>
            <w:shd w:val="clear" w:color="auto" w:fill="auto"/>
            <w:vAlign w:val="center"/>
          </w:tcPr>
          <w:p w14:paraId="7D3A41C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指示灯：LED电源指示、LED状态指示灯；工作频率：超高频（840~960MHz，多国频率标准可按需要定制）默认频率920~925MHz</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协议标准：EPCC1GEN2/ISO18000-6C；供电电源：5VDC，最大电流500mA；功耗：&lt;2.5W</w:t>
            </w:r>
          </w:p>
        </w:tc>
        <w:tc>
          <w:tcPr>
            <w:tcW w:w="221" w:type="pct"/>
            <w:gridSpan w:val="2"/>
            <w:shd w:val="clear" w:color="auto" w:fill="auto"/>
            <w:noWrap/>
            <w:vAlign w:val="center"/>
          </w:tcPr>
          <w:p w14:paraId="406D746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3B8710D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EE221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53EC1D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1.9 </w:t>
            </w:r>
          </w:p>
        </w:tc>
        <w:tc>
          <w:tcPr>
            <w:tcW w:w="346" w:type="pct"/>
            <w:shd w:val="clear" w:color="auto" w:fill="auto"/>
            <w:noWrap/>
            <w:vAlign w:val="center"/>
          </w:tcPr>
          <w:p w14:paraId="6537E49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RFID标签</w:t>
            </w:r>
          </w:p>
        </w:tc>
        <w:tc>
          <w:tcPr>
            <w:tcW w:w="3489" w:type="pct"/>
            <w:shd w:val="clear" w:color="auto" w:fill="auto"/>
            <w:vAlign w:val="center"/>
          </w:tcPr>
          <w:p w14:paraId="55B336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尺寸：50*50mm，每份卷宗贴一张,100张/卷，最小单位为1卷</w:t>
            </w:r>
          </w:p>
        </w:tc>
        <w:tc>
          <w:tcPr>
            <w:tcW w:w="221" w:type="pct"/>
            <w:gridSpan w:val="2"/>
            <w:shd w:val="clear" w:color="auto" w:fill="auto"/>
            <w:noWrap/>
            <w:vAlign w:val="center"/>
          </w:tcPr>
          <w:p w14:paraId="2AA2EF4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张</w:t>
            </w:r>
          </w:p>
        </w:tc>
        <w:tc>
          <w:tcPr>
            <w:tcW w:w="428" w:type="pct"/>
            <w:gridSpan w:val="2"/>
            <w:shd w:val="clear" w:color="auto" w:fill="auto"/>
            <w:noWrap/>
            <w:vAlign w:val="center"/>
          </w:tcPr>
          <w:p w14:paraId="3EC296C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30 </w:t>
            </w:r>
          </w:p>
        </w:tc>
      </w:tr>
      <w:tr w14:paraId="70185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6246AE4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1.10 </w:t>
            </w:r>
          </w:p>
        </w:tc>
        <w:tc>
          <w:tcPr>
            <w:tcW w:w="346" w:type="pct"/>
            <w:shd w:val="clear" w:color="auto" w:fill="auto"/>
            <w:noWrap/>
            <w:vAlign w:val="center"/>
          </w:tcPr>
          <w:p w14:paraId="11EA8E6E">
            <w:pPr>
              <w:widowControl/>
              <w:textAlignment w:val="center"/>
              <w:rPr>
                <w:rFonts w:hint="eastAsia" w:ascii="宋体" w:hAnsi="宋体" w:eastAsia="宋体" w:cs="宋体"/>
                <w:color w:val="000000" w:themeColor="text1"/>
                <w:sz w:val="22"/>
                <w:szCs w:val="22"/>
                <w:lang w:eastAsia="zh-CN"/>
              </w:rPr>
            </w:pPr>
            <w:r>
              <w:rPr>
                <w:rFonts w:hint="eastAsia" w:ascii="宋体" w:hAnsi="宋体" w:cs="宋体"/>
                <w:color w:val="000000" w:themeColor="text1"/>
                <w:sz w:val="22"/>
                <w:szCs w:val="22"/>
              </w:rPr>
              <w:t>执法办案终端机</w:t>
            </w:r>
          </w:p>
        </w:tc>
        <w:tc>
          <w:tcPr>
            <w:tcW w:w="3489" w:type="pct"/>
            <w:shd w:val="clear" w:color="auto" w:fill="auto"/>
            <w:vAlign w:val="center"/>
          </w:tcPr>
          <w:p w14:paraId="7E78F40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007218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13A01C0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BB8D9A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628A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50E59CB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1.11 </w:t>
            </w:r>
          </w:p>
        </w:tc>
        <w:tc>
          <w:tcPr>
            <w:tcW w:w="346" w:type="pct"/>
            <w:shd w:val="clear" w:color="auto" w:fill="auto"/>
            <w:noWrap/>
            <w:vAlign w:val="center"/>
          </w:tcPr>
          <w:p w14:paraId="61D02C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登记台</w:t>
            </w:r>
          </w:p>
        </w:tc>
        <w:tc>
          <w:tcPr>
            <w:tcW w:w="3489" w:type="pct"/>
            <w:shd w:val="clear" w:color="auto" w:fill="auto"/>
            <w:vAlign w:val="center"/>
          </w:tcPr>
          <w:p w14:paraId="6B24CE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1、基材：精选高密度板，板材厚度不小于2.5cm，厚度升级承重有力，桌子更加平稳，木纹纹理清晰，经防潮、防虫、防腐处理，抗弯力强，不易变形。2、产品经过新工艺多层覆合，无异味、0甲醛，通过各项检测，更环保；油漆：四道底漆，三道面漆，底漆采用环保油漆，面漆采用环保聚酯漆，色泽均匀、光滑耐用可长期保持表面效果</w:t>
            </w:r>
          </w:p>
        </w:tc>
        <w:tc>
          <w:tcPr>
            <w:tcW w:w="221" w:type="pct"/>
            <w:gridSpan w:val="2"/>
            <w:shd w:val="clear" w:color="auto" w:fill="auto"/>
            <w:noWrap/>
            <w:vAlign w:val="center"/>
          </w:tcPr>
          <w:p w14:paraId="5413A01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A43A17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9122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484E6C6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1.12 </w:t>
            </w:r>
          </w:p>
        </w:tc>
        <w:tc>
          <w:tcPr>
            <w:tcW w:w="346" w:type="pct"/>
            <w:shd w:val="clear" w:color="auto" w:fill="auto"/>
            <w:noWrap/>
            <w:vAlign w:val="center"/>
          </w:tcPr>
          <w:p w14:paraId="2D2657B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登记椅子</w:t>
            </w:r>
          </w:p>
        </w:tc>
        <w:tc>
          <w:tcPr>
            <w:tcW w:w="3489" w:type="pct"/>
            <w:shd w:val="clear" w:color="auto" w:fill="auto"/>
            <w:vAlign w:val="center"/>
          </w:tcPr>
          <w:p w14:paraId="47CF5FD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3E8BB37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09D404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F4E1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4E391C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1.13 </w:t>
            </w:r>
          </w:p>
        </w:tc>
        <w:tc>
          <w:tcPr>
            <w:tcW w:w="346" w:type="pct"/>
            <w:shd w:val="clear" w:color="auto" w:fill="auto"/>
            <w:noWrap/>
            <w:vAlign w:val="center"/>
          </w:tcPr>
          <w:p w14:paraId="2FE94C2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案卷管理平台</w:t>
            </w:r>
          </w:p>
        </w:tc>
        <w:tc>
          <w:tcPr>
            <w:tcW w:w="3489" w:type="pct"/>
            <w:shd w:val="clear" w:color="auto" w:fill="auto"/>
            <w:vAlign w:val="center"/>
          </w:tcPr>
          <w:p w14:paraId="64B82C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根据案件名称、案件编号、犯罪嫌疑人、关联嫌疑人、案件状态、受案日期、承办单位、案件类别等关键字使用组合或全文检索方式查询各类数据；2.支持县局/市局法制审核人员对各单位案件办理进行审核，对案件中存在的问题列出清单并限期整改，整改期限到期前2日进行提醒；3.支持串并案分析，可根据案件办人员、案件嫌疑人姓名、错号、案件发生地点等信息，查询出关联案件信息，对案件进行串并关联；4.支持对案件多发地点进行分析，可预定义案件常发地点关键词，查询统计出现地点关键词的案件并进行排名，也可根据地点关键字和案件受理时间段进行统计；5.支持对案件发生时段进行分析，可对刑事案件和行政案件分别按案件受理月份以及案件受理时间情况进行分析，给出直观图表，并支持增加案发地点关键字和受理时段等条件进行分析；6.支持管理人员对各种预警提醒的时间以及规则进行配置。支持新增和删除预警提醒，预警类型包括案件督办提醒、卷宗久放未办理、上交检察院提醒、借阅提醒、未贴标签提醒、离柜超期提醒、整改提醒等；7.支持对案件类别进行统计，支持对近期、近半年、今年等各个时期，各个不同单位的行政案件和刑事案件进行统计、环比分析等；8.支持对于单位民警的案件处理措施打处情况进行分析，支持按罚款、行政拘留、刑事拘留、取保候审、批准逮捕、移送起诉、监视居住、移送管辖处理措施进行统计；9.支持将系统当前的案件总数、刑事案件数、行政案件数、案件比例、案卷情况、打处情况、提醒情况、考评情况等用直观图标展示，同时每部分内容均支持查看各单位的详细信息列表；10.可视化首页支持将系统当前的案件总数、刑事案件数、行政案件数、案件比例、案卷情况、打处情况、提醒情况、考评情况等用直观图标展示，同时每部分内容均支持查看各单位的详细信息列表。</w:t>
            </w:r>
          </w:p>
        </w:tc>
        <w:tc>
          <w:tcPr>
            <w:tcW w:w="221" w:type="pct"/>
            <w:gridSpan w:val="2"/>
            <w:shd w:val="clear" w:color="auto" w:fill="auto"/>
            <w:noWrap/>
            <w:vAlign w:val="center"/>
          </w:tcPr>
          <w:p w14:paraId="6460BB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18D77BC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F8AC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4A7746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1.14 </w:t>
            </w:r>
          </w:p>
        </w:tc>
        <w:tc>
          <w:tcPr>
            <w:tcW w:w="346" w:type="pct"/>
            <w:shd w:val="clear" w:color="auto" w:fill="auto"/>
            <w:noWrap/>
            <w:vAlign w:val="center"/>
          </w:tcPr>
          <w:p w14:paraId="7A191C1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案卷管理平台服务器</w:t>
            </w:r>
          </w:p>
        </w:tc>
        <w:tc>
          <w:tcPr>
            <w:tcW w:w="3489" w:type="pct"/>
            <w:shd w:val="clear" w:color="auto" w:fill="auto"/>
            <w:vAlign w:val="center"/>
          </w:tcPr>
          <w:p w14:paraId="0F9EB4B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CPU：配置≥2颗核数≥12核，主频≥2.4GHz；内存：配置≥128G DDR5，≥16个内存插槽，最大支持扩展至2TB内存；硬盘：配置≥2块1.2T 10K 2.5寸 SAS硬盘，默认支持≥8个3.5寸/2.5寸硬盘，可选最大支持12个3.5寸/2.5寸硬盘，可选兼容≥4个NVMe硬盘阵列卡：配置SAS+HBA卡，支持RAID 0/1/10;PCIE扩展：支持≥7个PCIe扩展插槽（包括≥1个OCP 插槽），其中≥5个PCIe 5.0；网口：≥4个千兆电口； 支持选配10GbE、25GbE SFP+等多种网络接口；其他接口：≥1个RJ45管理接口，后置≥2个USB 3.0接口，前置≥2个USB2.0接口，≥1个VGA接口电源：标配550W（1+1）高效白金热插拔冗余电源</w:t>
            </w:r>
          </w:p>
        </w:tc>
        <w:tc>
          <w:tcPr>
            <w:tcW w:w="221" w:type="pct"/>
            <w:gridSpan w:val="2"/>
            <w:shd w:val="clear" w:color="auto" w:fill="auto"/>
            <w:noWrap/>
            <w:vAlign w:val="center"/>
          </w:tcPr>
          <w:p w14:paraId="42C8D6F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BB1540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00F7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noWrap/>
            <w:vAlign w:val="center"/>
          </w:tcPr>
          <w:p w14:paraId="3C48D09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1.15 </w:t>
            </w:r>
          </w:p>
        </w:tc>
        <w:tc>
          <w:tcPr>
            <w:tcW w:w="346" w:type="pct"/>
            <w:shd w:val="clear" w:color="auto" w:fill="auto"/>
            <w:noWrap/>
            <w:vAlign w:val="center"/>
          </w:tcPr>
          <w:p w14:paraId="5E7EB13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人脸门禁一体机</w:t>
            </w:r>
          </w:p>
        </w:tc>
        <w:tc>
          <w:tcPr>
            <w:tcW w:w="3489" w:type="pct"/>
            <w:shd w:val="clear" w:color="auto" w:fill="auto"/>
            <w:vAlign w:val="center"/>
          </w:tcPr>
          <w:p w14:paraId="7A1F47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屏幕参数：≥7英寸触摸显示屏，分辨率≥600*1024；2.摄像头参数：采用≥200万双目摄像头；3.认证方式：支持人脸、刷卡、密码等认证方式；4.人脸验证：采用深度学习算法，支持单人或多人识别功能；支持照片、视频防假；1:N人脸验证速度≤0.2s；5.存储容量：本地支持≥10000人脸库、≥50000张卡，≥15万条事件记录；6.通信方式及网络协议：有线网络；7.使用环境：≥IP65，室内外环境</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含终端电源、门控安全模块、门锁套件。</w:t>
            </w:r>
          </w:p>
        </w:tc>
        <w:tc>
          <w:tcPr>
            <w:tcW w:w="221" w:type="pct"/>
            <w:gridSpan w:val="2"/>
            <w:shd w:val="clear" w:color="auto" w:fill="auto"/>
            <w:noWrap/>
            <w:vAlign w:val="center"/>
          </w:tcPr>
          <w:p w14:paraId="5233A77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38ED45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F79C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4E23C7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1.16 </w:t>
            </w:r>
          </w:p>
        </w:tc>
        <w:tc>
          <w:tcPr>
            <w:tcW w:w="346" w:type="pct"/>
            <w:shd w:val="clear" w:color="auto" w:fill="auto"/>
            <w:noWrap/>
            <w:vAlign w:val="center"/>
          </w:tcPr>
          <w:p w14:paraId="28D71A8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5B091F1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6D2814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55A8A95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2BA1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6F7F9A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1.17 </w:t>
            </w:r>
          </w:p>
        </w:tc>
        <w:tc>
          <w:tcPr>
            <w:tcW w:w="346" w:type="pct"/>
            <w:shd w:val="clear" w:color="auto" w:fill="auto"/>
            <w:noWrap/>
            <w:vAlign w:val="center"/>
          </w:tcPr>
          <w:p w14:paraId="49D301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便携式恒温箱</w:t>
            </w:r>
          </w:p>
        </w:tc>
        <w:tc>
          <w:tcPr>
            <w:tcW w:w="3489" w:type="pct"/>
            <w:shd w:val="clear" w:color="auto" w:fill="auto"/>
            <w:vAlign w:val="center"/>
          </w:tcPr>
          <w:p w14:paraId="7F93D1C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符合办案区定制，10L以上恒温箱，可显示温度</w:t>
            </w:r>
          </w:p>
        </w:tc>
        <w:tc>
          <w:tcPr>
            <w:tcW w:w="221" w:type="pct"/>
            <w:gridSpan w:val="2"/>
            <w:shd w:val="clear" w:color="auto" w:fill="auto"/>
            <w:noWrap/>
            <w:vAlign w:val="center"/>
          </w:tcPr>
          <w:p w14:paraId="657B81F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3F9B61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FEA2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93098E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1.18 </w:t>
            </w:r>
          </w:p>
        </w:tc>
        <w:tc>
          <w:tcPr>
            <w:tcW w:w="346" w:type="pct"/>
            <w:shd w:val="clear" w:color="auto" w:fill="auto"/>
            <w:noWrap/>
            <w:vAlign w:val="center"/>
          </w:tcPr>
          <w:p w14:paraId="5DEAB0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高速扫描终端</w:t>
            </w:r>
          </w:p>
        </w:tc>
        <w:tc>
          <w:tcPr>
            <w:tcW w:w="3489" w:type="pct"/>
            <w:shd w:val="clear" w:color="auto" w:fill="auto"/>
            <w:vAlign w:val="center"/>
          </w:tcPr>
          <w:p w14:paraId="1BC235E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扫描速度：≥35ppm/70ipm；扫描范围：A4；接口：USB3.0</w:t>
            </w:r>
          </w:p>
        </w:tc>
        <w:tc>
          <w:tcPr>
            <w:tcW w:w="221" w:type="pct"/>
            <w:gridSpan w:val="2"/>
            <w:shd w:val="clear" w:color="auto" w:fill="auto"/>
            <w:noWrap/>
            <w:vAlign w:val="center"/>
          </w:tcPr>
          <w:p w14:paraId="67A40E8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761770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3B8BB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7EBC3CC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1.19 </w:t>
            </w:r>
          </w:p>
        </w:tc>
        <w:tc>
          <w:tcPr>
            <w:tcW w:w="346" w:type="pct"/>
            <w:shd w:val="clear" w:color="auto" w:fill="auto"/>
            <w:noWrap/>
            <w:vAlign w:val="center"/>
          </w:tcPr>
          <w:p w14:paraId="00FEF9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高拍仪</w:t>
            </w:r>
          </w:p>
        </w:tc>
        <w:tc>
          <w:tcPr>
            <w:tcW w:w="3489" w:type="pct"/>
            <w:shd w:val="clear" w:color="auto" w:fill="auto"/>
            <w:vAlign w:val="center"/>
          </w:tcPr>
          <w:p w14:paraId="49C42C2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摄像头：≥1000万像素，手动对焦；副摄像头：≥200万像素，支持自动对焦，支持水平、上下旋转，可灵活调整拍摄角度。产品高度：≤400mm，立杆高度可调整，以适应A3及以下的拍摄幅面；扫描类型：支持证件、票据、文档、书籍、图片、立体实物、人脸照片的数据采集存档和动态展示；扫描速度：≤1秒；感光元件：CMOS传感器；符合UVC标准；图片格式：JPG、TIF、PDF、BMP、TGA、PCX、PNG、RAS等，支持一键生成PDF文件。视频格式：MP4、AVI、WMV等。接口类型：USB2.0，支持外接电源接口。</w:t>
            </w:r>
          </w:p>
        </w:tc>
        <w:tc>
          <w:tcPr>
            <w:tcW w:w="221" w:type="pct"/>
            <w:gridSpan w:val="2"/>
            <w:shd w:val="clear" w:color="auto" w:fill="auto"/>
            <w:noWrap/>
            <w:vAlign w:val="center"/>
          </w:tcPr>
          <w:p w14:paraId="0132008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68C7327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EE5A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7750652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1.20 </w:t>
            </w:r>
          </w:p>
        </w:tc>
        <w:tc>
          <w:tcPr>
            <w:tcW w:w="346" w:type="pct"/>
            <w:shd w:val="clear" w:color="auto" w:fill="auto"/>
            <w:noWrap/>
            <w:vAlign w:val="center"/>
          </w:tcPr>
          <w:p w14:paraId="11CE22E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台账输出终端</w:t>
            </w:r>
          </w:p>
        </w:tc>
        <w:tc>
          <w:tcPr>
            <w:tcW w:w="3489" w:type="pct"/>
            <w:shd w:val="clear" w:color="auto" w:fill="auto"/>
            <w:vAlign w:val="center"/>
          </w:tcPr>
          <w:p w14:paraId="639B8197">
            <w:pPr>
              <w:widowControl/>
              <w:textAlignment w:val="center"/>
              <w:rPr>
                <w:rFonts w:hint="default" w:ascii="宋体" w:hAnsi="宋体" w:eastAsia="宋体" w:cs="宋体"/>
                <w:color w:val="000000" w:themeColor="text1"/>
                <w:sz w:val="22"/>
                <w:szCs w:val="22"/>
                <w:lang w:val="en-US" w:eastAsia="zh-CN"/>
              </w:rPr>
            </w:pPr>
            <w:r>
              <w:rPr>
                <w:rFonts w:hint="eastAsia" w:ascii="宋体" w:hAnsi="宋体" w:cs="宋体"/>
                <w:color w:val="000000" w:themeColor="text1"/>
                <w:sz w:val="22"/>
                <w:szCs w:val="22"/>
              </w:rPr>
              <w:t>黑白激光多功能一体机三合一打印复印扫描</w:t>
            </w:r>
            <w:r>
              <w:rPr>
                <w:rFonts w:hint="eastAsia" w:ascii="宋体" w:hAnsi="宋体" w:cs="宋体"/>
                <w:color w:val="000000" w:themeColor="text1"/>
                <w:sz w:val="22"/>
                <w:szCs w:val="22"/>
                <w:lang w:val="en-US" w:eastAsia="zh-CN"/>
              </w:rPr>
              <w:t xml:space="preserve"> 支持幅面A3</w:t>
            </w:r>
          </w:p>
        </w:tc>
        <w:tc>
          <w:tcPr>
            <w:tcW w:w="221" w:type="pct"/>
            <w:gridSpan w:val="2"/>
            <w:shd w:val="clear" w:color="auto" w:fill="auto"/>
            <w:noWrap/>
            <w:vAlign w:val="center"/>
          </w:tcPr>
          <w:p w14:paraId="756E39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89103B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CC4F9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3C4ABBF">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（三）</w:t>
            </w:r>
          </w:p>
        </w:tc>
        <w:tc>
          <w:tcPr>
            <w:tcW w:w="4486" w:type="pct"/>
            <w:gridSpan w:val="6"/>
            <w:shd w:val="clear" w:color="auto" w:fill="auto"/>
            <w:noWrap/>
            <w:vAlign w:val="center"/>
          </w:tcPr>
          <w:p w14:paraId="287C439A">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涉案财物管理分中心信息化系统建设</w:t>
            </w:r>
          </w:p>
        </w:tc>
      </w:tr>
      <w:tr w14:paraId="5BDCA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6E058E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c>
          <w:tcPr>
            <w:tcW w:w="4486" w:type="pct"/>
            <w:gridSpan w:val="6"/>
            <w:shd w:val="clear" w:color="auto" w:fill="auto"/>
            <w:noWrap/>
            <w:vAlign w:val="center"/>
          </w:tcPr>
          <w:p w14:paraId="5B32B89C">
            <w:pPr>
              <w:widowControl/>
              <w:jc w:val="center"/>
              <w:textAlignment w:val="center"/>
              <w:rPr>
                <w:rFonts w:ascii="宋体" w:hAnsi="宋体" w:cs="宋体"/>
                <w:color w:val="000000" w:themeColor="text1"/>
                <w:sz w:val="22"/>
                <w:szCs w:val="22"/>
              </w:rPr>
            </w:pPr>
            <w:r>
              <w:rPr>
                <w:rFonts w:hint="eastAsia" w:ascii="宋体" w:hAnsi="宋体" w:cs="宋体"/>
                <w:color w:val="000000" w:themeColor="text1"/>
                <w:sz w:val="22"/>
                <w:szCs w:val="22"/>
              </w:rPr>
              <w:t>涉案财物登记管理室</w:t>
            </w:r>
          </w:p>
        </w:tc>
      </w:tr>
      <w:tr w14:paraId="65C8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430" w:hRule="atLeast"/>
        </w:trPr>
        <w:tc>
          <w:tcPr>
            <w:tcW w:w="508" w:type="pct"/>
            <w:shd w:val="clear" w:color="auto" w:fill="auto"/>
            <w:noWrap/>
            <w:vAlign w:val="center"/>
          </w:tcPr>
          <w:p w14:paraId="4626B6B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 </w:t>
            </w:r>
          </w:p>
        </w:tc>
        <w:tc>
          <w:tcPr>
            <w:tcW w:w="346" w:type="pct"/>
            <w:shd w:val="clear" w:color="auto" w:fill="auto"/>
            <w:noWrap/>
            <w:vAlign w:val="center"/>
          </w:tcPr>
          <w:p w14:paraId="2F94CC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全景摄像机</w:t>
            </w:r>
          </w:p>
        </w:tc>
        <w:tc>
          <w:tcPr>
            <w:tcW w:w="3489" w:type="pct"/>
            <w:shd w:val="clear" w:color="auto" w:fill="auto"/>
            <w:vAlign w:val="center"/>
          </w:tcPr>
          <w:p w14:paraId="1A43121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1.半球型网络摄像机，具备≥600万像素，最高分辨率≥3200 × 1800 @25 fps，具有≥1/1.8英寸CMOS传感器，内置≥1颗GPU芯片，支持≥4倍电动变焦，自动聚焦、自动调节光圈功能，变焦过程不会完全虚焦，电动变焦范围不小于3-12mm；2.设备最低照度彩色≤0.003 Lux，黑白≤0.002 Lux，采用高效阵列红外灯，红外照射距离最远≥30 m，支持背光补偿，强光抑制，3D数字降噪，≥120 dB宽动态，透雾；3.设备支持人脸区域自动曝光功能，可根据人脸区域的光照变化自动调节曝光参数；支持对出现在监控场景内的两眼瞳距不小于32像素的人脸进行检验，并叠加目标提示框；4.设备支持对检测区域内不低于10个行人进行人脸检测、框选跟踪,、评分和抓拍，可筛选和抓拍最佳人脸图片存储及上报中心，抓拍数量及图片大小可设，可上传全景照；5.设备在同一静止场景相同图像质量下，采用H.265编码方式时，开启智能编码功能和不开启智能编码相比，码率节约≥90%；6.设备在网络直联环镜下,只输出主码流、分辨率设置为≥3200 × 1800、帧率设置为≥20fps、码率≥4Mbps时，网络协议为UDP、最短延时、智能分析关闭时、视频图像传输至客户端的延时时间&lt;300ms；7.设备在浏览器下，具有音频陡升检测、音频陡降检测、音频输入异常检测设置选项；8.支持当调整焦距使监视画面不清晰时，可通过客户端软件给出报警提示；9.设备可显示并抓拍监视画面中喜、怒、哀、乐四种表情的人脸，并可将抓拍图片上传服务器，上传时间≤2s；10.在浏览器下，具有最佳抓拍和快速抓拍两种人脸图片抓拍模式设置选项，在快速抓拍模式下，抓拍阀值、抓拍间隔和抓拍次数可设置；11.设备支持≥1路报警输入，≥1路报警输出，≥1路音频输入，≥1路音频输出，≥1个SD卡槽，≥1个DC12V电压输出接口，支持DC12V或POE供电。</w:t>
            </w:r>
          </w:p>
        </w:tc>
        <w:tc>
          <w:tcPr>
            <w:tcW w:w="221" w:type="pct"/>
            <w:gridSpan w:val="2"/>
            <w:shd w:val="clear" w:color="auto" w:fill="auto"/>
            <w:noWrap/>
            <w:vAlign w:val="center"/>
          </w:tcPr>
          <w:p w14:paraId="7EA258A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4696379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6E34C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350" w:hRule="atLeast"/>
        </w:trPr>
        <w:tc>
          <w:tcPr>
            <w:tcW w:w="508" w:type="pct"/>
            <w:shd w:val="clear" w:color="auto" w:fill="auto"/>
            <w:noWrap/>
            <w:vAlign w:val="center"/>
          </w:tcPr>
          <w:p w14:paraId="7F559E9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1.2 </w:t>
            </w:r>
          </w:p>
        </w:tc>
        <w:tc>
          <w:tcPr>
            <w:tcW w:w="346" w:type="pct"/>
            <w:shd w:val="clear" w:color="auto" w:fill="auto"/>
            <w:noWrap/>
            <w:vAlign w:val="center"/>
          </w:tcPr>
          <w:p w14:paraId="73F38E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涉案财物管理模块</w:t>
            </w:r>
          </w:p>
        </w:tc>
        <w:tc>
          <w:tcPr>
            <w:tcW w:w="3489" w:type="pct"/>
            <w:shd w:val="clear" w:color="auto" w:fill="auto"/>
            <w:vAlign w:val="center"/>
          </w:tcPr>
          <w:p w14:paraId="074C3F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支持对入库案物品的位置登记和修改，生成对应涉案物品（处理）入库记录；2.支持对案件的涉案物品出库功能，对于因办案需要临时出库的物品需特殊登记；3.支持对临时出库涉案财物回库的核实功能，提供原入库照片供民警核实查验；4.支持仓库内涉案财物的扫码盘点（条码）；支持仓库内涉案财物的手持机盘点（电子标签）；5.支持定制对各类文书、台账的生成、预览、下载、打印功能；6.支持定制各类文书表格，包括《入库登记表》、《出库登记表》，各类《处理登记表》等；7.具备报警功能，当涉案财物在未授权状态下被拿出时，系统会自动进行报警；8.支持对涉案财物的数据进行统计分析，包括各仓库、各区域、各货架、存储物箱存放的物品数量统计；9.支持对月入库、月出库涉案财物数量统计；支持对办案区各类数据的报告生成导出；支持通过图形化工具展示统计数据；10.支持对损毁，变质物品的处置需进行拍摄照片留档；以便追溯。</w:t>
            </w:r>
          </w:p>
        </w:tc>
        <w:tc>
          <w:tcPr>
            <w:tcW w:w="221" w:type="pct"/>
            <w:gridSpan w:val="2"/>
            <w:shd w:val="clear" w:color="auto" w:fill="auto"/>
            <w:noWrap/>
            <w:vAlign w:val="center"/>
          </w:tcPr>
          <w:p w14:paraId="15574A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61200F2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2C53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733E97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1.3 </w:t>
            </w:r>
          </w:p>
        </w:tc>
        <w:tc>
          <w:tcPr>
            <w:tcW w:w="346" w:type="pct"/>
            <w:shd w:val="clear" w:color="auto" w:fill="auto"/>
            <w:noWrap/>
            <w:vAlign w:val="center"/>
          </w:tcPr>
          <w:p w14:paraId="255F19E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物证管理工作台</w:t>
            </w:r>
          </w:p>
        </w:tc>
        <w:tc>
          <w:tcPr>
            <w:tcW w:w="3489" w:type="pct"/>
            <w:shd w:val="clear" w:color="auto" w:fill="auto"/>
            <w:vAlign w:val="center"/>
          </w:tcPr>
          <w:p w14:paraId="0403B89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1.高度集成电脑、高拍仪、RFID打印机、文档打印机、RFID读写器；2.实现物品登记、借用、归还、入库、出库的操作流程；</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3.实现出入库的图片留档；4.实现入库物品信息标签发放；5.实现所有可导出信息的纸质打印工作；6.实现物品进出库的标签快速群读，智能化出入库管理；7.尺寸：1230mm（长）*500mm（宽）*1104mm（高），误差±5%；8.操作电脑：≥4核内存≥4G，硬盘≥1T，显示屏≥21英寸；9.高拍仪：像素≥500万，拍摄范围A3，色彩≥24位，双USB2.0接口，自带LED光源；</w:t>
            </w:r>
            <w:r>
              <w:rPr>
                <w:rFonts w:hint="eastAsia" w:ascii="宋体" w:hAnsi="宋体" w:cs="宋体"/>
                <w:color w:val="000000" w:themeColor="text1"/>
                <w:sz w:val="22"/>
                <w:szCs w:val="22"/>
              </w:rPr>
              <w:br w:type="textWrapping"/>
            </w:r>
            <w:r>
              <w:rPr>
                <w:rFonts w:hint="eastAsia" w:ascii="宋体" w:hAnsi="宋体" w:cs="宋体"/>
                <w:color w:val="000000" w:themeColor="text1"/>
                <w:sz w:val="22"/>
                <w:szCs w:val="22"/>
              </w:rPr>
              <w:t>10.文档打印机：分辨率≥600dpi，打印速度≥22页/分钟（A4），激光打印，USB2.0接口；11.RFID条码打印机：分辨率≥300dpi，打印速度≥6 IPS，支持RFID读写，支持一维码、二维码打印，具有RS232串口、10/100M网口、USB2.0接口；12.RFID读写器：嵌入工作台中，支持RFID读写，读写区域≥35mm（长）*30mm（宽）。</w:t>
            </w:r>
          </w:p>
        </w:tc>
        <w:tc>
          <w:tcPr>
            <w:tcW w:w="221" w:type="pct"/>
            <w:gridSpan w:val="2"/>
            <w:shd w:val="clear" w:color="auto" w:fill="auto"/>
            <w:noWrap/>
            <w:vAlign w:val="center"/>
          </w:tcPr>
          <w:p w14:paraId="6C86476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D5FD49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650C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419556C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1.4 </w:t>
            </w:r>
          </w:p>
        </w:tc>
        <w:tc>
          <w:tcPr>
            <w:tcW w:w="346" w:type="pct"/>
            <w:shd w:val="clear" w:color="auto" w:fill="auto"/>
            <w:noWrap/>
            <w:vAlign w:val="center"/>
          </w:tcPr>
          <w:p w14:paraId="748C30F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RFID手持机</w:t>
            </w:r>
          </w:p>
        </w:tc>
        <w:tc>
          <w:tcPr>
            <w:tcW w:w="3489" w:type="pct"/>
            <w:shd w:val="clear" w:color="auto" w:fill="auto"/>
            <w:vAlign w:val="center"/>
          </w:tcPr>
          <w:p w14:paraId="07ACAB8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1.跌落：≥1.2米自然跌落；2.WIFI：支持IEEE 802.11b/g/n；3.显示屏：≥4"TFT IP可触液晶显示屏，加厚钢化玻璃≥1mm厚，支持≥10点触摸，支持双击唤醒；4.≥800万像素带自动对焦，并且具备补光功能；5.耳机：支持，3.5mm耳机，支持蓝牙耳机；6.电池容量≥3800mAh。手柄电池≥5000mAh；7.待机：待机电流＜10mA。</w:t>
            </w:r>
          </w:p>
        </w:tc>
        <w:tc>
          <w:tcPr>
            <w:tcW w:w="221" w:type="pct"/>
            <w:gridSpan w:val="2"/>
            <w:shd w:val="clear" w:color="auto" w:fill="auto"/>
            <w:noWrap/>
            <w:vAlign w:val="center"/>
          </w:tcPr>
          <w:p w14:paraId="7B4CCE6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只</w:t>
            </w:r>
          </w:p>
        </w:tc>
        <w:tc>
          <w:tcPr>
            <w:tcW w:w="428" w:type="pct"/>
            <w:gridSpan w:val="2"/>
            <w:shd w:val="clear" w:color="auto" w:fill="auto"/>
            <w:noWrap/>
            <w:vAlign w:val="center"/>
          </w:tcPr>
          <w:p w14:paraId="5EE2CBD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11050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8EF2FF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1.5 </w:t>
            </w:r>
          </w:p>
        </w:tc>
        <w:tc>
          <w:tcPr>
            <w:tcW w:w="346" w:type="pct"/>
            <w:shd w:val="clear" w:color="auto" w:fill="auto"/>
            <w:noWrap/>
            <w:vAlign w:val="center"/>
          </w:tcPr>
          <w:p w14:paraId="3CD68EF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RFID读写器</w:t>
            </w:r>
          </w:p>
        </w:tc>
        <w:tc>
          <w:tcPr>
            <w:tcW w:w="3489" w:type="pct"/>
            <w:shd w:val="clear" w:color="auto" w:fill="auto"/>
            <w:vAlign w:val="center"/>
          </w:tcPr>
          <w:p w14:paraId="74C94CF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电源输入：DC12V，1.5A；内存：≥128MB；Flash：≥16MB；湿度：10-85%，不结露；操作系统：Linux；开发接口：XML 或二进制流</w:t>
            </w:r>
          </w:p>
        </w:tc>
        <w:tc>
          <w:tcPr>
            <w:tcW w:w="221" w:type="pct"/>
            <w:gridSpan w:val="2"/>
            <w:shd w:val="clear" w:color="auto" w:fill="auto"/>
            <w:noWrap/>
            <w:vAlign w:val="center"/>
          </w:tcPr>
          <w:p w14:paraId="6191D6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FA4A7D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9132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DB55E9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1.6 </w:t>
            </w:r>
          </w:p>
        </w:tc>
        <w:tc>
          <w:tcPr>
            <w:tcW w:w="346" w:type="pct"/>
            <w:shd w:val="clear" w:color="auto" w:fill="auto"/>
            <w:noWrap/>
            <w:vAlign w:val="center"/>
          </w:tcPr>
          <w:p w14:paraId="3B2F895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声光报警器</w:t>
            </w:r>
          </w:p>
        </w:tc>
        <w:tc>
          <w:tcPr>
            <w:tcW w:w="3489" w:type="pct"/>
            <w:shd w:val="clear" w:color="auto" w:fill="auto"/>
            <w:vAlign w:val="center"/>
          </w:tcPr>
          <w:p w14:paraId="26E86FC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声光报警器；12VDC 压电警号；防火ABS阻燃外壳</w:t>
            </w:r>
          </w:p>
        </w:tc>
        <w:tc>
          <w:tcPr>
            <w:tcW w:w="221" w:type="pct"/>
            <w:gridSpan w:val="2"/>
            <w:shd w:val="clear" w:color="auto" w:fill="auto"/>
            <w:noWrap/>
            <w:vAlign w:val="center"/>
          </w:tcPr>
          <w:p w14:paraId="4FA96B4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DFD86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B1E9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39C6C94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1.7 </w:t>
            </w:r>
          </w:p>
        </w:tc>
        <w:tc>
          <w:tcPr>
            <w:tcW w:w="346" w:type="pct"/>
            <w:shd w:val="clear" w:color="auto" w:fill="auto"/>
            <w:noWrap/>
            <w:vAlign w:val="center"/>
          </w:tcPr>
          <w:p w14:paraId="6DEBF1F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普通材质RFID标签</w:t>
            </w:r>
          </w:p>
        </w:tc>
        <w:tc>
          <w:tcPr>
            <w:tcW w:w="3489" w:type="pct"/>
            <w:shd w:val="clear" w:color="auto" w:fill="auto"/>
            <w:vAlign w:val="center"/>
          </w:tcPr>
          <w:p w14:paraId="0F74674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工作频率：860-960 MHz；普通物品采用此类标签；100张/卷，最小单位为1卷</w:t>
            </w:r>
          </w:p>
        </w:tc>
        <w:tc>
          <w:tcPr>
            <w:tcW w:w="221" w:type="pct"/>
            <w:gridSpan w:val="2"/>
            <w:shd w:val="clear" w:color="auto" w:fill="auto"/>
            <w:noWrap/>
            <w:vAlign w:val="center"/>
          </w:tcPr>
          <w:p w14:paraId="5C73B83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1B3A9E1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 </w:t>
            </w:r>
          </w:p>
        </w:tc>
      </w:tr>
      <w:tr w14:paraId="32EE9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466A0A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1.8 </w:t>
            </w:r>
          </w:p>
        </w:tc>
        <w:tc>
          <w:tcPr>
            <w:tcW w:w="346" w:type="pct"/>
            <w:shd w:val="clear" w:color="auto" w:fill="auto"/>
            <w:noWrap/>
            <w:vAlign w:val="center"/>
          </w:tcPr>
          <w:p w14:paraId="7363A60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金属或液体类RFID标签</w:t>
            </w:r>
          </w:p>
        </w:tc>
        <w:tc>
          <w:tcPr>
            <w:tcW w:w="3489" w:type="pct"/>
            <w:shd w:val="clear" w:color="auto" w:fill="auto"/>
            <w:vAlign w:val="center"/>
          </w:tcPr>
          <w:p w14:paraId="7C8E960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工作频率：860-960 MHz；金属材质物品，或者是液体类物品，采用此类标签</w:t>
            </w:r>
          </w:p>
        </w:tc>
        <w:tc>
          <w:tcPr>
            <w:tcW w:w="221" w:type="pct"/>
            <w:gridSpan w:val="2"/>
            <w:shd w:val="clear" w:color="auto" w:fill="auto"/>
            <w:noWrap/>
            <w:vAlign w:val="center"/>
          </w:tcPr>
          <w:p w14:paraId="080EFFF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21CF63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100 </w:t>
            </w:r>
          </w:p>
        </w:tc>
      </w:tr>
      <w:tr w14:paraId="4C189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53DE9F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1.9 </w:t>
            </w:r>
          </w:p>
        </w:tc>
        <w:tc>
          <w:tcPr>
            <w:tcW w:w="346" w:type="pct"/>
            <w:shd w:val="clear" w:color="auto" w:fill="auto"/>
            <w:noWrap/>
            <w:vAlign w:val="center"/>
          </w:tcPr>
          <w:p w14:paraId="14F00D2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无黏贴位置类RFID标签</w:t>
            </w:r>
          </w:p>
        </w:tc>
        <w:tc>
          <w:tcPr>
            <w:tcW w:w="3489" w:type="pct"/>
            <w:shd w:val="clear" w:color="auto" w:fill="auto"/>
            <w:vAlign w:val="center"/>
          </w:tcPr>
          <w:p w14:paraId="627A0FA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工作频率：860-960 MHz；异型物品无标签粘贴位置的，采用此类标签</w:t>
            </w:r>
          </w:p>
        </w:tc>
        <w:tc>
          <w:tcPr>
            <w:tcW w:w="221" w:type="pct"/>
            <w:gridSpan w:val="2"/>
            <w:shd w:val="clear" w:color="auto" w:fill="auto"/>
            <w:noWrap/>
            <w:vAlign w:val="center"/>
          </w:tcPr>
          <w:p w14:paraId="6525AE1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4E41177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100 </w:t>
            </w:r>
          </w:p>
        </w:tc>
      </w:tr>
      <w:tr w14:paraId="40BFA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1E2E8E0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1.10 </w:t>
            </w:r>
          </w:p>
        </w:tc>
        <w:tc>
          <w:tcPr>
            <w:tcW w:w="346" w:type="pct"/>
            <w:shd w:val="clear" w:color="auto" w:fill="auto"/>
            <w:noWrap/>
            <w:vAlign w:val="center"/>
          </w:tcPr>
          <w:p w14:paraId="1A9A9D7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登记坐具</w:t>
            </w:r>
          </w:p>
        </w:tc>
        <w:tc>
          <w:tcPr>
            <w:tcW w:w="3489" w:type="pct"/>
            <w:shd w:val="clear" w:color="auto" w:fill="auto"/>
            <w:vAlign w:val="center"/>
          </w:tcPr>
          <w:p w14:paraId="346E9B7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定制，符合办案区要求:材质：优质头层黑色牛皮和环保皮饰面，手感柔软，纹理较细，光泽持久、不脱皮、不掉色。45密度高弹力海绵，软硬适中、表面有一层保护面,可防氧化,防碎，永不变形。实木扶手，实木油漆。</w:t>
            </w:r>
          </w:p>
        </w:tc>
        <w:tc>
          <w:tcPr>
            <w:tcW w:w="221" w:type="pct"/>
            <w:gridSpan w:val="2"/>
            <w:shd w:val="clear" w:color="auto" w:fill="auto"/>
            <w:noWrap/>
            <w:vAlign w:val="center"/>
          </w:tcPr>
          <w:p w14:paraId="7C37463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套</w:t>
            </w:r>
          </w:p>
        </w:tc>
        <w:tc>
          <w:tcPr>
            <w:tcW w:w="428" w:type="pct"/>
            <w:gridSpan w:val="2"/>
            <w:shd w:val="clear" w:color="auto" w:fill="auto"/>
            <w:noWrap/>
            <w:vAlign w:val="center"/>
          </w:tcPr>
          <w:p w14:paraId="730C2AA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66379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6ADC12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1.11 </w:t>
            </w:r>
          </w:p>
        </w:tc>
        <w:tc>
          <w:tcPr>
            <w:tcW w:w="346" w:type="pct"/>
            <w:shd w:val="clear" w:color="auto" w:fill="auto"/>
            <w:noWrap/>
            <w:vAlign w:val="center"/>
          </w:tcPr>
          <w:p w14:paraId="193158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23FDAAC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0B7CD5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70C22F9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7A52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08E915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c>
          <w:tcPr>
            <w:tcW w:w="3836" w:type="pct"/>
            <w:gridSpan w:val="2"/>
            <w:shd w:val="clear" w:color="auto" w:fill="auto"/>
            <w:noWrap/>
            <w:vAlign w:val="center"/>
          </w:tcPr>
          <w:p w14:paraId="668B4EA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特殊涉案财物保管室</w:t>
            </w:r>
          </w:p>
        </w:tc>
        <w:tc>
          <w:tcPr>
            <w:tcW w:w="221" w:type="pct"/>
            <w:gridSpan w:val="2"/>
            <w:shd w:val="clear" w:color="auto" w:fill="auto"/>
            <w:noWrap/>
            <w:vAlign w:val="center"/>
          </w:tcPr>
          <w:p w14:paraId="0B29857A">
            <w:pPr>
              <w:rPr>
                <w:rFonts w:ascii="宋体" w:hAnsi="宋体" w:cs="宋体"/>
                <w:color w:val="000000" w:themeColor="text1"/>
                <w:sz w:val="22"/>
                <w:szCs w:val="22"/>
              </w:rPr>
            </w:pPr>
          </w:p>
        </w:tc>
        <w:tc>
          <w:tcPr>
            <w:tcW w:w="428" w:type="pct"/>
            <w:gridSpan w:val="2"/>
            <w:shd w:val="clear" w:color="auto" w:fill="auto"/>
            <w:noWrap/>
            <w:vAlign w:val="center"/>
          </w:tcPr>
          <w:p w14:paraId="63B592F0">
            <w:pPr>
              <w:rPr>
                <w:rFonts w:ascii="宋体" w:hAnsi="宋体" w:cs="宋体"/>
                <w:color w:val="000000" w:themeColor="text1"/>
                <w:sz w:val="22"/>
                <w:szCs w:val="22"/>
              </w:rPr>
            </w:pPr>
          </w:p>
        </w:tc>
      </w:tr>
      <w:tr w14:paraId="76061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633C4DFF">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2.1</w:t>
            </w:r>
          </w:p>
        </w:tc>
        <w:tc>
          <w:tcPr>
            <w:tcW w:w="346" w:type="pct"/>
            <w:shd w:val="clear" w:color="auto" w:fill="auto"/>
            <w:noWrap/>
            <w:vAlign w:val="center"/>
          </w:tcPr>
          <w:p w14:paraId="12FB30D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物证柜主柜</w:t>
            </w:r>
          </w:p>
        </w:tc>
        <w:tc>
          <w:tcPr>
            <w:tcW w:w="3489" w:type="pct"/>
            <w:shd w:val="clear" w:color="auto" w:fill="auto"/>
            <w:vAlign w:val="center"/>
          </w:tcPr>
          <w:p w14:paraId="393D38C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门数：≥9门 ；屏幕：≥17寸液晶触摸屏；指纹仪：认假率：≤ 0.0001%；拒真率：≤ 0.01%；材料：符合SPCC冷轧碳钢板，厚度≥1.0mm；锁具：独立电控锁，机械应急锁；协议：TCP/IP协议、WebSocket协议、WebService协议；操控方式：通过网络通信接口进行控制；输入电源：交流AC220V；功率：≤30W；工作环境：工作温度：0℃～+60℃；工作湿度：10％～90％，无凝露；存储温度：--40℃～85℃</w:t>
            </w:r>
          </w:p>
        </w:tc>
        <w:tc>
          <w:tcPr>
            <w:tcW w:w="221" w:type="pct"/>
            <w:gridSpan w:val="2"/>
            <w:shd w:val="clear" w:color="auto" w:fill="auto"/>
            <w:noWrap/>
            <w:vAlign w:val="center"/>
          </w:tcPr>
          <w:p w14:paraId="52A9C87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44F0846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21C7E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540" w:hRule="atLeast"/>
        </w:trPr>
        <w:tc>
          <w:tcPr>
            <w:tcW w:w="508" w:type="pct"/>
            <w:shd w:val="clear" w:color="auto" w:fill="auto"/>
            <w:noWrap/>
            <w:vAlign w:val="center"/>
          </w:tcPr>
          <w:p w14:paraId="3E808C7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2.2</w:t>
            </w:r>
          </w:p>
        </w:tc>
        <w:tc>
          <w:tcPr>
            <w:tcW w:w="346" w:type="pct"/>
            <w:shd w:val="clear" w:color="auto" w:fill="auto"/>
            <w:noWrap/>
            <w:vAlign w:val="center"/>
          </w:tcPr>
          <w:p w14:paraId="057FFE3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物证柜副柜</w:t>
            </w:r>
          </w:p>
        </w:tc>
        <w:tc>
          <w:tcPr>
            <w:tcW w:w="3489" w:type="pct"/>
            <w:shd w:val="clear" w:color="auto" w:fill="auto"/>
            <w:vAlign w:val="center"/>
          </w:tcPr>
          <w:p w14:paraId="1FCED86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门数：≥10门 ；材料：符合SPCC冷轧碳钢板，厚度≥1.0mm；锁具：独立电控锁，机械应急锁；协议：TCP/IP协议、WebSocket协议、WebService协议；操控方式：通过网络通信接口进行控制；输入电源：交流AC220V；功率：≤15W；工作环境 工作温度：0℃～+60℃；工作湿度：10％～90％，无凝露；存储温度：--40℃～85℃；接  口：RS485</w:t>
            </w:r>
          </w:p>
        </w:tc>
        <w:tc>
          <w:tcPr>
            <w:tcW w:w="221" w:type="pct"/>
            <w:gridSpan w:val="2"/>
            <w:shd w:val="clear" w:color="auto" w:fill="auto"/>
            <w:noWrap/>
            <w:vAlign w:val="center"/>
          </w:tcPr>
          <w:p w14:paraId="076471E5">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77FFE52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2 </w:t>
            </w:r>
          </w:p>
        </w:tc>
      </w:tr>
      <w:tr w14:paraId="1F8DF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F2A20B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2.3</w:t>
            </w:r>
          </w:p>
        </w:tc>
        <w:tc>
          <w:tcPr>
            <w:tcW w:w="346" w:type="pct"/>
            <w:shd w:val="clear" w:color="auto" w:fill="auto"/>
            <w:noWrap/>
            <w:vAlign w:val="center"/>
          </w:tcPr>
          <w:p w14:paraId="73092C6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保鲜柜</w:t>
            </w:r>
          </w:p>
        </w:tc>
        <w:tc>
          <w:tcPr>
            <w:tcW w:w="3489" w:type="pct"/>
            <w:shd w:val="clear" w:color="auto" w:fill="auto"/>
            <w:vAlign w:val="center"/>
          </w:tcPr>
          <w:p w14:paraId="5D14DE7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lang w:val="en-US" w:eastAsia="zh-CN"/>
              </w:rPr>
              <w:t>纯</w:t>
            </w:r>
            <w:r>
              <w:rPr>
                <w:rFonts w:hint="eastAsia" w:ascii="宋体" w:hAnsi="宋体" w:cs="宋体"/>
                <w:color w:val="000000" w:themeColor="text1"/>
                <w:sz w:val="22"/>
                <w:szCs w:val="22"/>
              </w:rPr>
              <w:t>铜制冷360°万向轮；机身材质 ；201不锈钢 ；产品尺寸≥1200*700*18</w:t>
            </w:r>
            <w:r>
              <w:rPr>
                <w:rFonts w:hint="eastAsia" w:ascii="宋体" w:hAnsi="宋体" w:cs="宋体"/>
                <w:color w:val="000000" w:themeColor="text1"/>
                <w:sz w:val="22"/>
                <w:szCs w:val="22"/>
                <w:lang w:val="en-US" w:eastAsia="zh-CN"/>
              </w:rPr>
              <w:t>00</w:t>
            </w:r>
            <w:r>
              <w:rPr>
                <w:rFonts w:hint="eastAsia" w:ascii="宋体" w:hAnsi="宋体" w:cs="宋体"/>
                <w:color w:val="000000" w:themeColor="text1"/>
                <w:sz w:val="22"/>
                <w:szCs w:val="22"/>
              </w:rPr>
              <w:t>mm；制冷类型 温度范围 ；四门冷藏 0~10℃</w:t>
            </w:r>
          </w:p>
        </w:tc>
        <w:tc>
          <w:tcPr>
            <w:tcW w:w="221" w:type="pct"/>
            <w:gridSpan w:val="2"/>
            <w:shd w:val="clear" w:color="auto" w:fill="auto"/>
            <w:noWrap/>
            <w:vAlign w:val="center"/>
          </w:tcPr>
          <w:p w14:paraId="67C5DF4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48BBD3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47487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0346561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2.4</w:t>
            </w:r>
          </w:p>
        </w:tc>
        <w:tc>
          <w:tcPr>
            <w:tcW w:w="346" w:type="pct"/>
            <w:shd w:val="clear" w:color="auto" w:fill="auto"/>
            <w:noWrap/>
            <w:vAlign w:val="center"/>
          </w:tcPr>
          <w:p w14:paraId="43BBBAA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保险柜</w:t>
            </w:r>
          </w:p>
        </w:tc>
        <w:tc>
          <w:tcPr>
            <w:tcW w:w="3489" w:type="pct"/>
            <w:shd w:val="clear" w:color="auto" w:fill="auto"/>
            <w:vAlign w:val="center"/>
          </w:tcPr>
          <w:p w14:paraId="24A8080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八门保密柜颜色:灰白色锁具:电子密码锁；电子密码锁；≥高1850mm宽900mm深420mm</w:t>
            </w:r>
          </w:p>
        </w:tc>
        <w:tc>
          <w:tcPr>
            <w:tcW w:w="221" w:type="pct"/>
            <w:gridSpan w:val="2"/>
            <w:shd w:val="clear" w:color="auto" w:fill="auto"/>
            <w:noWrap/>
            <w:vAlign w:val="center"/>
          </w:tcPr>
          <w:p w14:paraId="68DBD06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6BDF75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3238A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1B038359">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2.5</w:t>
            </w:r>
          </w:p>
        </w:tc>
        <w:tc>
          <w:tcPr>
            <w:tcW w:w="346" w:type="pct"/>
            <w:shd w:val="clear" w:color="auto" w:fill="auto"/>
            <w:noWrap/>
            <w:vAlign w:val="center"/>
          </w:tcPr>
          <w:p w14:paraId="224FDB82">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冷藏柜</w:t>
            </w:r>
          </w:p>
        </w:tc>
        <w:tc>
          <w:tcPr>
            <w:tcW w:w="3489" w:type="pct"/>
            <w:shd w:val="clear" w:color="auto" w:fill="auto"/>
            <w:vAlign w:val="center"/>
          </w:tcPr>
          <w:p w14:paraId="416C6FD1">
            <w:pPr>
              <w:widowControl/>
              <w:textAlignment w:val="center"/>
              <w:rPr>
                <w:rFonts w:hint="eastAsia" w:ascii="宋体" w:hAnsi="宋体" w:eastAsia="宋体" w:cs="宋体"/>
                <w:color w:val="000000" w:themeColor="text1"/>
                <w:sz w:val="22"/>
                <w:szCs w:val="22"/>
                <w:lang w:val="en-US" w:eastAsia="zh-CN"/>
              </w:rPr>
            </w:pPr>
            <w:r>
              <w:rPr>
                <w:rFonts w:hint="eastAsia" w:ascii="宋体" w:hAnsi="宋体" w:cs="宋体"/>
                <w:color w:val="000000" w:themeColor="text1"/>
                <w:sz w:val="22"/>
                <w:szCs w:val="22"/>
              </w:rPr>
              <w:t>尺寸（mm）：≥1200*700*1885；容量：≥500L 以上；冷藏容积（L）：≥802；温区：单温区；控温方式：机械控温；制冷方式：直冷；开门方式：侧开门放置方式：立式</w:t>
            </w:r>
            <w:r>
              <w:rPr>
                <w:rFonts w:hint="eastAsia" w:ascii="宋体" w:hAnsi="宋体" w:cs="宋体"/>
                <w:color w:val="000000" w:themeColor="text1"/>
                <w:sz w:val="22"/>
                <w:szCs w:val="22"/>
                <w:lang w:val="en-US" w:eastAsia="zh-CN"/>
              </w:rPr>
              <w:t xml:space="preserve"> （提供3C认证资料）</w:t>
            </w:r>
          </w:p>
        </w:tc>
        <w:tc>
          <w:tcPr>
            <w:tcW w:w="221" w:type="pct"/>
            <w:gridSpan w:val="2"/>
            <w:shd w:val="clear" w:color="auto" w:fill="auto"/>
            <w:noWrap/>
            <w:vAlign w:val="center"/>
          </w:tcPr>
          <w:p w14:paraId="6C2D7B7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A39B29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4E7A3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2D11711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2.6</w:t>
            </w:r>
          </w:p>
        </w:tc>
        <w:tc>
          <w:tcPr>
            <w:tcW w:w="346" w:type="pct"/>
            <w:shd w:val="clear" w:color="auto" w:fill="auto"/>
            <w:noWrap/>
            <w:vAlign w:val="center"/>
          </w:tcPr>
          <w:p w14:paraId="0BACE0A3">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防磁柜</w:t>
            </w:r>
          </w:p>
        </w:tc>
        <w:tc>
          <w:tcPr>
            <w:tcW w:w="3489" w:type="pct"/>
            <w:shd w:val="clear" w:color="auto" w:fill="auto"/>
            <w:vAlign w:val="center"/>
          </w:tcPr>
          <w:p w14:paraId="05698EEB">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防磁信息安全柜：防磁/防潮/防火/防静电；规格:≥1520x700x500mm</w:t>
            </w:r>
          </w:p>
        </w:tc>
        <w:tc>
          <w:tcPr>
            <w:tcW w:w="221" w:type="pct"/>
            <w:gridSpan w:val="2"/>
            <w:shd w:val="clear" w:color="auto" w:fill="auto"/>
            <w:noWrap/>
            <w:vAlign w:val="center"/>
          </w:tcPr>
          <w:p w14:paraId="181F8617">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00FA26A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3BBB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240" w:hRule="atLeast"/>
        </w:trPr>
        <w:tc>
          <w:tcPr>
            <w:tcW w:w="508" w:type="pct"/>
            <w:shd w:val="clear" w:color="auto" w:fill="auto"/>
            <w:noWrap/>
            <w:vAlign w:val="center"/>
          </w:tcPr>
          <w:p w14:paraId="62D27146">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2.7</w:t>
            </w:r>
          </w:p>
        </w:tc>
        <w:tc>
          <w:tcPr>
            <w:tcW w:w="346" w:type="pct"/>
            <w:shd w:val="clear" w:color="auto" w:fill="auto"/>
            <w:noWrap/>
            <w:vAlign w:val="center"/>
          </w:tcPr>
          <w:p w14:paraId="7D2B3BF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冷冻柜</w:t>
            </w:r>
          </w:p>
        </w:tc>
        <w:tc>
          <w:tcPr>
            <w:tcW w:w="3489" w:type="pct"/>
            <w:shd w:val="clear" w:color="auto" w:fill="auto"/>
            <w:vAlign w:val="center"/>
          </w:tcPr>
          <w:p w14:paraId="4F856DE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工作条件：环境温度16~32℃，环境湿度：20~80%RH，电压：198~242V，频率：(50±1)Hz。2.样式：立式，上下双门。3.有效容积（L）：至少满足289(冷藏186L、冷冻103L)。4.外部尺寸（宽*深*高mm）：至少满足700*640*1845。5.内部尺寸（宽*深*高mm）：上室冷藏室至少满足600*510*710，下室冷冻室至少满足500*460*505。6.净重/毛重（KG）：≤146/160。7.箱体材料：结构钢板，防腐磷化、喷涂工艺。8.内胆材料：均为SUS304不锈钢板。9.保温材料：无CFC聚氨酯发泡。10.压缩机：采用高效压缩机。11.高精度微电脑温度控制系统，内置上、下室显示控制报警、环境温度、蒸发器温度等传感器。12.数码温度显示，上室冷藏室可通过设定使箱内温度保持在2℃～8℃范围内，下室冷冻室可通过设定使箱内温度保持在-10℃～-40℃范围内，显示精度0.1℃。13.双压缩机双系统，上冷藏室和下冷冻室可独立控制运行，其中一个出现故障不影响另外一个正常运行使用。14.冷藏强制风循环，箱内多个出风口，确保箱体内部温度均匀性保持在±2℃。15.搭载DC/DC电源管理模块，节能效率大幅提升。16.完善的声光报警功能：具有高温、低温、传感器故障、开门、断电报警等多种功能。开门持续1分钟，蜂鸣报警，门关闭报警消除。17.报警模式：声音蜂鸣。18.当上、下室显示控制/报警传感器发生故障时，压缩机以正常开停规律运行，确保物品存储安全。19.视窗防凝露：电加热+LOW-E，双重保障。20.冷藏发泡门体厚度≥67mm，冷冻门体厚度≥90mm，冷冻箱体发泡层厚度≥100mm。21.冷藏视窗玻璃电加热模式：自动加热模式、一直加热模式、关闭模式。22.标配USB数据导出接口，接入U盘可自动存储当月及上月数据，数据输出PDF格式（中英文格式可选），最大存储条数100000条，最大存储时限48</w:t>
            </w:r>
            <w:r>
              <w:rPr>
                <w:rFonts w:hint="eastAsia" w:ascii="宋体" w:hAnsi="宋体" w:cs="宋体"/>
                <w:color w:val="000000" w:themeColor="text1"/>
                <w:sz w:val="22"/>
                <w:szCs w:val="22"/>
                <w:lang w:val="en-US" w:eastAsia="zh-CN"/>
              </w:rPr>
              <w:t>个月</w:t>
            </w:r>
            <w:r>
              <w:rPr>
                <w:rFonts w:hint="eastAsia" w:ascii="宋体" w:hAnsi="宋体" w:cs="宋体"/>
                <w:color w:val="000000" w:themeColor="text1"/>
                <w:sz w:val="22"/>
                <w:szCs w:val="22"/>
              </w:rPr>
              <w:t>。U盘持续连接可自动持续存储温度数据。蓄电池可提供不少于24小时报警及为温度记录打印机、USB端口供电。23.上下间室独立外挂锁，防止随意开启，保证样本存储安全。24.带状LED照明系统。2.25、箱体标配两个测试孔，冷藏冷冻各一个</w:t>
            </w:r>
            <w:r>
              <w:rPr>
                <w:rFonts w:hint="eastAsia" w:ascii="宋体" w:hAnsi="宋体" w:cs="宋体"/>
                <w:color w:val="000000" w:themeColor="text1"/>
                <w:sz w:val="22"/>
                <w:szCs w:val="22"/>
                <w:lang w:val="en-US" w:eastAsia="zh-CN"/>
              </w:rPr>
              <w:t>.（提供3C认证资料）</w:t>
            </w:r>
          </w:p>
        </w:tc>
        <w:tc>
          <w:tcPr>
            <w:tcW w:w="221" w:type="pct"/>
            <w:gridSpan w:val="2"/>
            <w:shd w:val="clear" w:color="auto" w:fill="auto"/>
            <w:noWrap/>
            <w:vAlign w:val="center"/>
          </w:tcPr>
          <w:p w14:paraId="76A351EC">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1863B84A">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5291E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620" w:hRule="atLeast"/>
        </w:trPr>
        <w:tc>
          <w:tcPr>
            <w:tcW w:w="508" w:type="pct"/>
            <w:shd w:val="clear" w:color="auto" w:fill="auto"/>
            <w:noWrap/>
            <w:vAlign w:val="center"/>
          </w:tcPr>
          <w:p w14:paraId="1A21462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2.8</w:t>
            </w:r>
          </w:p>
        </w:tc>
        <w:tc>
          <w:tcPr>
            <w:tcW w:w="346" w:type="pct"/>
            <w:shd w:val="clear" w:color="auto" w:fill="auto"/>
            <w:noWrap/>
            <w:vAlign w:val="center"/>
          </w:tcPr>
          <w:p w14:paraId="3E3F6AF0">
            <w:pPr>
              <w:widowControl/>
              <w:textAlignment w:val="center"/>
              <w:rPr>
                <w:rFonts w:hint="default" w:ascii="宋体" w:hAnsi="宋体" w:eastAsia="宋体" w:cs="宋体"/>
                <w:color w:val="000000" w:themeColor="text1"/>
                <w:sz w:val="22"/>
                <w:szCs w:val="22"/>
                <w:lang w:val="en-US" w:eastAsia="zh-CN"/>
              </w:rPr>
            </w:pPr>
            <w:r>
              <w:rPr>
                <w:rFonts w:hint="eastAsia" w:ascii="宋体" w:hAnsi="宋体" w:cs="宋体"/>
                <w:color w:val="000000" w:themeColor="text1"/>
                <w:sz w:val="22"/>
                <w:szCs w:val="22"/>
                <w:lang w:val="en-US" w:eastAsia="zh-CN"/>
              </w:rPr>
              <w:t>嵌入式恒温箱</w:t>
            </w:r>
          </w:p>
        </w:tc>
        <w:tc>
          <w:tcPr>
            <w:tcW w:w="3489" w:type="pct"/>
            <w:shd w:val="clear" w:color="auto" w:fill="auto"/>
            <w:vAlign w:val="center"/>
          </w:tcPr>
          <w:p w14:paraId="3BE5014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产品结构为立式箱体。主体分为四部分：电气控制系统，制冷系统、制热系统、显示系统。2、箱体内部采用高密度聚氨酯整体发泡，具有重量轻、保温性能好等特点。3、适合高温高湿地区，外门防凝露技术的应用，85%湿度无凝露。4、智能电脑温度控制器，数码显示、控温精度高。具有高低温报警、温感器故障报警和安全锁功能，防止出现意外。5、精准温感探头，自动显示箱体内部温度，便于随时观察箱体内温度变化。6、采用新型风道设计，多孔入风使箱体内温度更均匀。温度偏差范围小。7、制冷系统与制热系统匹配合理，采用强制空气循环，确保箱体内整体恒温无死角。降温或制热速度快，设定的温度在短时间里，即可达到设置温度要求。8、使用三层高强度中空玻璃，中间层为真空处理，保温效果好，透明度高，便于随时观察箱体内部存放的物品。9、采用新型全封闭压缩机，运转平衡，噪音低，使用寿命长。10、此产品为嵌入式恒温箱，可将产品直接嵌入在壁橱或墙壁中，不占用多余空间。11、箱体采用优质钢板，内部搁架可随意调整，便于存放不同物品。箱体内部具备照明设施，方便夜间观察储存的物品。</w:t>
            </w:r>
          </w:p>
        </w:tc>
        <w:tc>
          <w:tcPr>
            <w:tcW w:w="221" w:type="pct"/>
            <w:gridSpan w:val="2"/>
            <w:shd w:val="clear" w:color="auto" w:fill="auto"/>
            <w:noWrap/>
            <w:vAlign w:val="center"/>
          </w:tcPr>
          <w:p w14:paraId="30802B3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个</w:t>
            </w:r>
          </w:p>
        </w:tc>
        <w:tc>
          <w:tcPr>
            <w:tcW w:w="428" w:type="pct"/>
            <w:gridSpan w:val="2"/>
            <w:shd w:val="clear" w:color="auto" w:fill="auto"/>
            <w:noWrap/>
            <w:vAlign w:val="center"/>
          </w:tcPr>
          <w:p w14:paraId="73617551">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72C17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noWrap/>
            <w:vAlign w:val="center"/>
          </w:tcPr>
          <w:p w14:paraId="2AA93870">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2.9</w:t>
            </w:r>
          </w:p>
        </w:tc>
        <w:tc>
          <w:tcPr>
            <w:tcW w:w="346" w:type="pct"/>
            <w:shd w:val="clear" w:color="auto" w:fill="auto"/>
            <w:noWrap/>
            <w:vAlign w:val="center"/>
          </w:tcPr>
          <w:p w14:paraId="0EE4658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报警设备</w:t>
            </w:r>
          </w:p>
        </w:tc>
        <w:tc>
          <w:tcPr>
            <w:tcW w:w="3489" w:type="pct"/>
            <w:shd w:val="clear" w:color="auto" w:fill="auto"/>
            <w:vAlign w:val="center"/>
          </w:tcPr>
          <w:p w14:paraId="5B18AF88">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1.单按键可视报警盒，支持≥200W像素摄像头，支持H.264/H.265视频编码格式，支持≥10米红外补光；2.高灵敏度全指向麦克风，支持智能噪声抑制和回声消除处理，音质更清晰；3.支持最高≥256G Micro SD存储卡；4.支持≥1个RJ45 10M/100M自适应以太网口；5.支持≥IP54防护等级；6.支持防拆报警/喧哗报警等功能；7.支持关键词语音报警功能，前端设备应具有≥2路麦克风阵列；8.支持一键报警，和管理中心双向语音对讲，中心呼叫前端报警盒；9.支持监听功能、广播功能；10.支持外接警灯警号、警灯警号可独立控制</w:t>
            </w:r>
          </w:p>
        </w:tc>
        <w:tc>
          <w:tcPr>
            <w:tcW w:w="221" w:type="pct"/>
            <w:gridSpan w:val="2"/>
            <w:shd w:val="clear" w:color="auto" w:fill="auto"/>
            <w:noWrap/>
            <w:vAlign w:val="center"/>
          </w:tcPr>
          <w:p w14:paraId="0A9C93BD">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台</w:t>
            </w:r>
          </w:p>
        </w:tc>
        <w:tc>
          <w:tcPr>
            <w:tcW w:w="428" w:type="pct"/>
            <w:gridSpan w:val="2"/>
            <w:shd w:val="clear" w:color="auto" w:fill="auto"/>
            <w:noWrap/>
            <w:vAlign w:val="center"/>
          </w:tcPr>
          <w:p w14:paraId="2C1B0984">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 xml:space="preserve">1 </w:t>
            </w:r>
          </w:p>
        </w:tc>
      </w:tr>
      <w:tr w14:paraId="03BF1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noWrap/>
            <w:vAlign w:val="center"/>
          </w:tcPr>
          <w:p w14:paraId="6174447D">
            <w:pPr>
              <w:widowControl/>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（四）</w:t>
            </w:r>
          </w:p>
        </w:tc>
        <w:tc>
          <w:tcPr>
            <w:tcW w:w="4486" w:type="pct"/>
            <w:gridSpan w:val="6"/>
            <w:shd w:val="clear" w:color="auto" w:fill="auto"/>
            <w:noWrap/>
            <w:vAlign w:val="center"/>
          </w:tcPr>
          <w:p w14:paraId="529EA5F1">
            <w:pPr>
              <w:widowControl/>
              <w:jc w:val="center"/>
              <w:textAlignment w:val="center"/>
              <w:rPr>
                <w:rFonts w:ascii="宋体" w:hAnsi="宋体" w:cs="宋体"/>
                <w:b/>
                <w:bCs/>
                <w:color w:val="000000" w:themeColor="text1"/>
                <w:sz w:val="22"/>
                <w:szCs w:val="22"/>
              </w:rPr>
            </w:pPr>
            <w:r>
              <w:rPr>
                <w:rFonts w:hint="eastAsia" w:ascii="宋体" w:hAnsi="宋体" w:cs="宋体"/>
                <w:b/>
                <w:bCs/>
                <w:color w:val="000000" w:themeColor="text1"/>
                <w:sz w:val="22"/>
                <w:szCs w:val="22"/>
              </w:rPr>
              <w:t>执法办案管理中心配套设施建设</w:t>
            </w:r>
          </w:p>
        </w:tc>
      </w:tr>
      <w:tr w14:paraId="1EE51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vAlign w:val="center"/>
          </w:tcPr>
          <w:p w14:paraId="31E8C0AD">
            <w:pPr>
              <w:widowControl/>
              <w:textAlignment w:val="center"/>
              <w:rPr>
                <w:rFonts w:ascii="宋体" w:hAnsi="宋体" w:cs="宋体"/>
                <w:color w:val="000000"/>
                <w:sz w:val="22"/>
                <w:szCs w:val="22"/>
              </w:rPr>
            </w:pPr>
            <w:r>
              <w:rPr>
                <w:rFonts w:hint="eastAsia" w:ascii="宋体" w:hAnsi="宋体" w:cs="宋体"/>
                <w:color w:val="000000"/>
                <w:sz w:val="22"/>
                <w:szCs w:val="22"/>
              </w:rPr>
              <w:t>1.1</w:t>
            </w:r>
          </w:p>
        </w:tc>
        <w:tc>
          <w:tcPr>
            <w:tcW w:w="346" w:type="pct"/>
            <w:shd w:val="clear" w:color="auto" w:fill="auto"/>
            <w:noWrap/>
            <w:vAlign w:val="center"/>
          </w:tcPr>
          <w:p w14:paraId="4C8634B9">
            <w:pPr>
              <w:widowControl/>
              <w:textAlignment w:val="center"/>
              <w:rPr>
                <w:rFonts w:ascii="宋体" w:hAnsi="宋体" w:cs="宋体"/>
                <w:color w:val="000000"/>
                <w:sz w:val="22"/>
                <w:szCs w:val="22"/>
              </w:rPr>
            </w:pPr>
            <w:r>
              <w:rPr>
                <w:rFonts w:hint="eastAsia" w:ascii="宋体" w:hAnsi="宋体" w:cs="宋体"/>
                <w:color w:val="000000"/>
                <w:sz w:val="22"/>
                <w:szCs w:val="22"/>
              </w:rPr>
              <w:t>智慧新风现场管理软件基础模块</w:t>
            </w:r>
          </w:p>
        </w:tc>
        <w:tc>
          <w:tcPr>
            <w:tcW w:w="3489" w:type="pct"/>
            <w:shd w:val="clear" w:color="auto" w:fill="auto"/>
            <w:vAlign w:val="center"/>
          </w:tcPr>
          <w:p w14:paraId="549BD692">
            <w:pPr>
              <w:widowControl/>
              <w:textAlignment w:val="center"/>
              <w:rPr>
                <w:rFonts w:ascii="宋体" w:hAnsi="宋体" w:cs="宋体"/>
                <w:color w:val="000000"/>
                <w:sz w:val="22"/>
                <w:szCs w:val="22"/>
              </w:rPr>
            </w:pPr>
            <w:r>
              <w:rPr>
                <w:rFonts w:hint="eastAsia" w:ascii="宋体" w:hAnsi="宋体" w:cs="宋体"/>
                <w:color w:val="000000"/>
                <w:sz w:val="22"/>
                <w:szCs w:val="22"/>
              </w:rPr>
              <w:t>1.智慧空间控制中心</w:t>
            </w:r>
            <w:r>
              <w:rPr>
                <w:rFonts w:hint="eastAsia" w:ascii="宋体" w:hAnsi="宋体" w:cs="宋体"/>
                <w:sz w:val="22"/>
                <w:szCs w:val="22"/>
              </w:rPr>
              <w:t>；支持集成后台，远程控制中心</w:t>
            </w:r>
            <w:r>
              <w:rPr>
                <w:rFonts w:hint="eastAsia" w:ascii="宋体" w:hAnsi="宋体" w:cs="宋体"/>
                <w:color w:val="000000"/>
                <w:sz w:val="22"/>
                <w:szCs w:val="22"/>
              </w:rPr>
              <w:t>；可PC端查看数据，远程控制系统开关；监控室显示软件功能：</w:t>
            </w:r>
          </w:p>
          <w:p w14:paraId="08008D2F">
            <w:pPr>
              <w:widowControl/>
              <w:textAlignment w:val="center"/>
              <w:rPr>
                <w:rFonts w:ascii="宋体" w:hAnsi="宋体" w:cs="宋体"/>
                <w:color w:val="000000"/>
                <w:sz w:val="22"/>
                <w:szCs w:val="22"/>
              </w:rPr>
            </w:pPr>
            <w:r>
              <w:rPr>
                <w:rFonts w:hint="eastAsia" w:ascii="宋体" w:hAnsi="宋体" w:cs="宋体"/>
                <w:color w:val="000000"/>
                <w:sz w:val="22"/>
                <w:szCs w:val="22"/>
              </w:rPr>
              <w:t>2.大屏监控显示实时数据</w:t>
            </w:r>
          </w:p>
          <w:p w14:paraId="6CEB0BE7">
            <w:pPr>
              <w:widowControl/>
              <w:textAlignment w:val="center"/>
              <w:rPr>
                <w:rFonts w:ascii="宋体" w:hAnsi="宋体" w:cs="宋体"/>
                <w:color w:val="000000"/>
                <w:sz w:val="22"/>
                <w:szCs w:val="22"/>
              </w:rPr>
            </w:pPr>
            <w:r>
              <w:rPr>
                <w:rFonts w:hint="eastAsia" w:ascii="宋体" w:hAnsi="宋体" w:cs="宋体"/>
                <w:color w:val="000000"/>
                <w:sz w:val="22"/>
                <w:szCs w:val="22"/>
              </w:rPr>
              <w:t>3.全系统数据同平台集成显示及控制</w:t>
            </w:r>
          </w:p>
          <w:p w14:paraId="5C4C5536">
            <w:pPr>
              <w:widowControl/>
              <w:textAlignment w:val="center"/>
              <w:rPr>
                <w:rFonts w:ascii="宋体" w:hAnsi="宋体" w:cs="宋体"/>
                <w:color w:val="000000"/>
                <w:sz w:val="22"/>
                <w:szCs w:val="22"/>
              </w:rPr>
            </w:pPr>
          </w:p>
        </w:tc>
        <w:tc>
          <w:tcPr>
            <w:tcW w:w="221" w:type="pct"/>
            <w:gridSpan w:val="2"/>
            <w:shd w:val="clear" w:color="auto" w:fill="auto"/>
            <w:noWrap/>
            <w:vAlign w:val="center"/>
          </w:tcPr>
          <w:p w14:paraId="5442E238">
            <w:pPr>
              <w:widowControl/>
              <w:textAlignment w:val="center"/>
              <w:rPr>
                <w:rFonts w:ascii="宋体" w:hAnsi="宋体" w:cs="宋体"/>
                <w:color w:val="000000"/>
                <w:sz w:val="22"/>
                <w:szCs w:val="22"/>
              </w:rPr>
            </w:pPr>
            <w:r>
              <w:rPr>
                <w:rFonts w:hint="eastAsia" w:ascii="宋体" w:hAnsi="宋体" w:cs="宋体"/>
                <w:color w:val="000000"/>
                <w:sz w:val="22"/>
                <w:szCs w:val="22"/>
              </w:rPr>
              <w:t>套</w:t>
            </w:r>
          </w:p>
        </w:tc>
        <w:tc>
          <w:tcPr>
            <w:tcW w:w="428" w:type="pct"/>
            <w:gridSpan w:val="2"/>
            <w:shd w:val="clear" w:color="auto" w:fill="auto"/>
            <w:noWrap/>
            <w:vAlign w:val="center"/>
          </w:tcPr>
          <w:p w14:paraId="4B25625C">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183DFA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810" w:hRule="atLeast"/>
        </w:trPr>
        <w:tc>
          <w:tcPr>
            <w:tcW w:w="508" w:type="pct"/>
            <w:shd w:val="clear" w:color="auto" w:fill="auto"/>
            <w:vAlign w:val="center"/>
          </w:tcPr>
          <w:p w14:paraId="1019A236">
            <w:pPr>
              <w:widowControl/>
              <w:textAlignment w:val="center"/>
              <w:rPr>
                <w:rFonts w:ascii="宋体" w:hAnsi="宋体" w:cs="宋体"/>
                <w:color w:val="000000"/>
                <w:sz w:val="22"/>
                <w:szCs w:val="22"/>
              </w:rPr>
            </w:pPr>
            <w:r>
              <w:rPr>
                <w:rFonts w:hint="eastAsia" w:ascii="宋体" w:hAnsi="宋体" w:cs="宋体"/>
                <w:color w:val="000000"/>
                <w:sz w:val="22"/>
                <w:szCs w:val="22"/>
              </w:rPr>
              <w:t>1.2</w:t>
            </w:r>
          </w:p>
        </w:tc>
        <w:tc>
          <w:tcPr>
            <w:tcW w:w="346" w:type="pct"/>
            <w:shd w:val="clear" w:color="auto" w:fill="auto"/>
            <w:noWrap/>
            <w:vAlign w:val="center"/>
          </w:tcPr>
          <w:p w14:paraId="3B9E19C2">
            <w:pPr>
              <w:widowControl/>
              <w:textAlignment w:val="center"/>
              <w:rPr>
                <w:rFonts w:ascii="宋体" w:hAnsi="宋体" w:cs="宋体"/>
                <w:color w:val="000000"/>
                <w:sz w:val="22"/>
                <w:szCs w:val="22"/>
              </w:rPr>
            </w:pPr>
            <w:r>
              <w:rPr>
                <w:rFonts w:hint="eastAsia" w:ascii="宋体" w:hAnsi="宋体" w:cs="宋体"/>
                <w:color w:val="000000"/>
                <w:sz w:val="22"/>
                <w:szCs w:val="22"/>
              </w:rPr>
              <w:t>智慧新风现场管理软件数据展示模块</w:t>
            </w:r>
          </w:p>
        </w:tc>
        <w:tc>
          <w:tcPr>
            <w:tcW w:w="3489" w:type="pct"/>
            <w:shd w:val="clear" w:color="auto" w:fill="auto"/>
            <w:vAlign w:val="center"/>
          </w:tcPr>
          <w:p w14:paraId="68D74093">
            <w:pPr>
              <w:widowControl/>
              <w:textAlignment w:val="center"/>
              <w:rPr>
                <w:rFonts w:ascii="宋体" w:hAnsi="宋体" w:cs="宋体"/>
                <w:color w:val="000000"/>
                <w:sz w:val="22"/>
                <w:szCs w:val="22"/>
              </w:rPr>
            </w:pPr>
            <w:r>
              <w:rPr>
                <w:rFonts w:hint="eastAsia" w:ascii="宋体" w:hAnsi="宋体" w:cs="宋体"/>
                <w:color w:val="000000"/>
                <w:sz w:val="22"/>
                <w:szCs w:val="22"/>
              </w:rPr>
              <w:t>1.支持根据平面图设计体现空间状态、环境数据，等数据实时显示；</w:t>
            </w:r>
          </w:p>
          <w:p w14:paraId="7F6C7042">
            <w:pPr>
              <w:widowControl/>
              <w:textAlignment w:val="center"/>
              <w:rPr>
                <w:rFonts w:ascii="宋体" w:hAnsi="宋体" w:cs="宋体"/>
                <w:color w:val="000000"/>
                <w:sz w:val="22"/>
                <w:szCs w:val="22"/>
              </w:rPr>
            </w:pPr>
            <w:r>
              <w:rPr>
                <w:rFonts w:hint="eastAsia" w:ascii="宋体" w:hAnsi="宋体" w:cs="宋体"/>
                <w:color w:val="000000"/>
                <w:sz w:val="22"/>
                <w:szCs w:val="22"/>
              </w:rPr>
              <w:t>2.接收传感器检测数据，人在状态，显示数据变化</w:t>
            </w:r>
          </w:p>
          <w:p w14:paraId="51095244">
            <w:pPr>
              <w:widowControl/>
              <w:textAlignment w:val="center"/>
              <w:rPr>
                <w:rFonts w:ascii="宋体" w:hAnsi="宋体" w:cs="宋体"/>
                <w:color w:val="000000"/>
                <w:sz w:val="22"/>
                <w:szCs w:val="22"/>
              </w:rPr>
            </w:pPr>
            <w:r>
              <w:rPr>
                <w:rFonts w:hint="eastAsia" w:ascii="宋体" w:hAnsi="宋体" w:cs="宋体"/>
                <w:color w:val="000000"/>
                <w:sz w:val="22"/>
                <w:szCs w:val="22"/>
              </w:rPr>
              <w:t>3.设备管理</w:t>
            </w:r>
          </w:p>
          <w:p w14:paraId="3FA4066E">
            <w:pPr>
              <w:widowControl/>
              <w:textAlignment w:val="center"/>
              <w:rPr>
                <w:rFonts w:ascii="宋体" w:hAnsi="宋体" w:cs="宋体"/>
                <w:color w:val="000000"/>
                <w:sz w:val="22"/>
                <w:szCs w:val="22"/>
              </w:rPr>
            </w:pPr>
            <w:r>
              <w:rPr>
                <w:rFonts w:hint="eastAsia" w:ascii="宋体" w:hAnsi="宋体" w:cs="宋体"/>
                <w:color w:val="000000"/>
                <w:sz w:val="22"/>
                <w:szCs w:val="22"/>
              </w:rPr>
              <w:t>4.设备报警阀值设备，电脑蜂鸣声提示</w:t>
            </w:r>
          </w:p>
          <w:p w14:paraId="3EE3F490">
            <w:pPr>
              <w:widowControl/>
              <w:textAlignment w:val="center"/>
              <w:rPr>
                <w:rFonts w:ascii="宋体" w:hAnsi="宋体" w:cs="宋体"/>
                <w:color w:val="000000"/>
                <w:sz w:val="22"/>
                <w:szCs w:val="22"/>
              </w:rPr>
            </w:pPr>
            <w:r>
              <w:rPr>
                <w:rFonts w:hint="eastAsia" w:ascii="宋体" w:hAnsi="宋体" w:cs="宋体"/>
                <w:color w:val="000000"/>
                <w:sz w:val="22"/>
                <w:szCs w:val="22"/>
              </w:rPr>
              <w:t>5.数据历史查询</w:t>
            </w:r>
          </w:p>
          <w:p w14:paraId="3FC2E127">
            <w:pPr>
              <w:widowControl/>
              <w:textAlignment w:val="center"/>
              <w:rPr>
                <w:rFonts w:ascii="宋体" w:hAnsi="宋体" w:cs="宋体"/>
                <w:color w:val="000000"/>
                <w:sz w:val="22"/>
                <w:szCs w:val="22"/>
              </w:rPr>
            </w:pPr>
            <w:r>
              <w:rPr>
                <w:rFonts w:hint="eastAsia" w:ascii="宋体" w:hAnsi="宋体" w:cs="宋体"/>
                <w:color w:val="000000"/>
                <w:sz w:val="22"/>
                <w:szCs w:val="22"/>
              </w:rPr>
              <w:t>6.屏幕按钮控制新风开启和关闭</w:t>
            </w:r>
          </w:p>
        </w:tc>
        <w:tc>
          <w:tcPr>
            <w:tcW w:w="221" w:type="pct"/>
            <w:gridSpan w:val="2"/>
            <w:shd w:val="clear" w:color="auto" w:fill="auto"/>
            <w:noWrap/>
            <w:vAlign w:val="center"/>
          </w:tcPr>
          <w:p w14:paraId="19BB76C1">
            <w:pPr>
              <w:widowControl/>
              <w:textAlignment w:val="center"/>
              <w:rPr>
                <w:rFonts w:ascii="宋体" w:hAnsi="宋体" w:cs="宋体"/>
                <w:color w:val="000000"/>
                <w:sz w:val="22"/>
                <w:szCs w:val="22"/>
              </w:rPr>
            </w:pPr>
            <w:r>
              <w:rPr>
                <w:rFonts w:hint="eastAsia" w:ascii="宋体" w:hAnsi="宋体" w:cs="宋体"/>
                <w:color w:val="000000"/>
                <w:sz w:val="22"/>
                <w:szCs w:val="22"/>
              </w:rPr>
              <w:t>套</w:t>
            </w:r>
          </w:p>
        </w:tc>
        <w:tc>
          <w:tcPr>
            <w:tcW w:w="428" w:type="pct"/>
            <w:gridSpan w:val="2"/>
            <w:shd w:val="clear" w:color="auto" w:fill="auto"/>
            <w:noWrap/>
            <w:vAlign w:val="center"/>
          </w:tcPr>
          <w:p w14:paraId="688D45C5">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0A540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32D6E93B">
            <w:pPr>
              <w:widowControl/>
              <w:textAlignment w:val="center"/>
              <w:rPr>
                <w:rFonts w:ascii="宋体" w:hAnsi="宋体" w:cs="宋体"/>
                <w:color w:val="000000"/>
                <w:sz w:val="22"/>
                <w:szCs w:val="22"/>
              </w:rPr>
            </w:pPr>
            <w:r>
              <w:rPr>
                <w:rFonts w:hint="eastAsia" w:ascii="宋体" w:hAnsi="宋体" w:cs="宋体"/>
                <w:color w:val="000000"/>
                <w:sz w:val="22"/>
                <w:szCs w:val="22"/>
              </w:rPr>
              <w:t>1.3</w:t>
            </w:r>
          </w:p>
        </w:tc>
        <w:tc>
          <w:tcPr>
            <w:tcW w:w="346" w:type="pct"/>
            <w:shd w:val="clear" w:color="auto" w:fill="auto"/>
            <w:noWrap/>
            <w:vAlign w:val="center"/>
          </w:tcPr>
          <w:p w14:paraId="7E599B16">
            <w:pPr>
              <w:widowControl/>
              <w:textAlignment w:val="center"/>
              <w:rPr>
                <w:rFonts w:ascii="宋体" w:hAnsi="宋体" w:cs="宋体"/>
                <w:color w:val="000000"/>
                <w:sz w:val="22"/>
                <w:szCs w:val="22"/>
              </w:rPr>
            </w:pPr>
            <w:r>
              <w:rPr>
                <w:rFonts w:hint="eastAsia" w:ascii="宋体" w:hAnsi="宋体" w:cs="宋体"/>
                <w:color w:val="000000"/>
                <w:sz w:val="22"/>
                <w:szCs w:val="22"/>
              </w:rPr>
              <w:t>控制PC</w:t>
            </w:r>
          </w:p>
        </w:tc>
        <w:tc>
          <w:tcPr>
            <w:tcW w:w="3489" w:type="pct"/>
            <w:shd w:val="clear" w:color="auto" w:fill="auto"/>
            <w:vAlign w:val="center"/>
          </w:tcPr>
          <w:p w14:paraId="4DBA775E">
            <w:pPr>
              <w:widowControl/>
              <w:textAlignment w:val="center"/>
              <w:rPr>
                <w:rFonts w:ascii="宋体" w:hAnsi="宋体" w:cs="宋体"/>
                <w:color w:val="000000" w:themeColor="text1"/>
                <w:sz w:val="22"/>
                <w:szCs w:val="22"/>
              </w:rPr>
            </w:pPr>
            <w:r>
              <w:rPr>
                <w:rFonts w:hint="eastAsia" w:ascii="宋体" w:hAnsi="宋体" w:cs="宋体"/>
                <w:color w:val="000000" w:themeColor="text1"/>
                <w:sz w:val="22"/>
                <w:szCs w:val="22"/>
              </w:rPr>
              <w:t>主机：CPU：C86或ARM架构处理器物理核数≥8核、主频 ≥2.4GHz、三级缓存容量是 ≥16MB缓存、内存：≥16GB；固态盘数量：≥1 个、固态存储容量：≥512GB、固态硬盘读取速度：≥3000MB/S；显示器：≥23.8英寸；显卡：独显或集成，支持VGA+HDMI视频输出显示；外设：标配键鼠一套；</w:t>
            </w:r>
          </w:p>
          <w:p w14:paraId="0E8D487F">
            <w:pPr>
              <w:widowControl/>
              <w:textAlignment w:val="center"/>
              <w:rPr>
                <w:rFonts w:ascii="宋体" w:hAnsi="宋体" w:cs="宋体"/>
                <w:color w:val="000000"/>
                <w:sz w:val="22"/>
                <w:szCs w:val="22"/>
              </w:rPr>
            </w:pPr>
            <w:r>
              <w:rPr>
                <w:rFonts w:hint="eastAsia" w:ascii="宋体" w:hAnsi="宋体" w:cs="宋体"/>
                <w:color w:val="000000" w:themeColor="text1"/>
                <w:sz w:val="22"/>
                <w:szCs w:val="22"/>
              </w:rPr>
              <w:t>操作系统及软件：预装正版国产操作系统；办公软件：国产办公软件；数据安全:支持一键备份和恢复的功能。</w:t>
            </w:r>
          </w:p>
        </w:tc>
        <w:tc>
          <w:tcPr>
            <w:tcW w:w="221" w:type="pct"/>
            <w:gridSpan w:val="2"/>
            <w:shd w:val="clear" w:color="auto" w:fill="auto"/>
            <w:noWrap/>
            <w:vAlign w:val="center"/>
          </w:tcPr>
          <w:p w14:paraId="51425861">
            <w:pPr>
              <w:widowControl/>
              <w:textAlignment w:val="center"/>
              <w:rPr>
                <w:rFonts w:ascii="宋体" w:hAnsi="宋体" w:cs="宋体"/>
                <w:color w:val="000000"/>
                <w:sz w:val="22"/>
                <w:szCs w:val="22"/>
              </w:rPr>
            </w:pPr>
            <w:r>
              <w:rPr>
                <w:rFonts w:hint="eastAsia" w:ascii="宋体" w:hAnsi="宋体" w:cs="宋体"/>
                <w:color w:val="000000"/>
                <w:sz w:val="22"/>
                <w:szCs w:val="22"/>
              </w:rPr>
              <w:t>台</w:t>
            </w:r>
          </w:p>
        </w:tc>
        <w:tc>
          <w:tcPr>
            <w:tcW w:w="428" w:type="pct"/>
            <w:gridSpan w:val="2"/>
            <w:shd w:val="clear" w:color="auto" w:fill="auto"/>
            <w:noWrap/>
            <w:vAlign w:val="center"/>
          </w:tcPr>
          <w:p w14:paraId="7F8CEE81">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0C2A72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2E8EA24D">
            <w:pPr>
              <w:widowControl/>
              <w:textAlignment w:val="center"/>
              <w:rPr>
                <w:rFonts w:ascii="宋体" w:hAnsi="宋体" w:cs="宋体"/>
                <w:color w:val="000000"/>
                <w:sz w:val="22"/>
                <w:szCs w:val="22"/>
              </w:rPr>
            </w:pPr>
            <w:r>
              <w:rPr>
                <w:rFonts w:hint="eastAsia" w:ascii="宋体" w:hAnsi="宋体" w:cs="宋体"/>
                <w:color w:val="000000"/>
                <w:sz w:val="22"/>
                <w:szCs w:val="22"/>
              </w:rPr>
              <w:t>1.4</w:t>
            </w:r>
          </w:p>
        </w:tc>
        <w:tc>
          <w:tcPr>
            <w:tcW w:w="346" w:type="pct"/>
            <w:shd w:val="clear" w:color="auto" w:fill="auto"/>
            <w:noWrap/>
            <w:vAlign w:val="center"/>
          </w:tcPr>
          <w:p w14:paraId="15B9537F">
            <w:pPr>
              <w:widowControl/>
              <w:textAlignment w:val="center"/>
              <w:rPr>
                <w:rFonts w:ascii="宋体" w:hAnsi="宋体" w:cs="宋体"/>
                <w:color w:val="000000"/>
                <w:sz w:val="22"/>
                <w:szCs w:val="22"/>
              </w:rPr>
            </w:pPr>
            <w:r>
              <w:rPr>
                <w:rFonts w:hint="eastAsia" w:ascii="宋体" w:hAnsi="宋体" w:cs="宋体"/>
                <w:color w:val="000000"/>
                <w:sz w:val="22"/>
                <w:szCs w:val="22"/>
              </w:rPr>
              <w:t>RS485毫米波人体存在检测设备</w:t>
            </w:r>
          </w:p>
        </w:tc>
        <w:tc>
          <w:tcPr>
            <w:tcW w:w="3489" w:type="pct"/>
            <w:shd w:val="clear" w:color="auto" w:fill="auto"/>
            <w:vAlign w:val="center"/>
          </w:tcPr>
          <w:p w14:paraId="09F79B25">
            <w:pPr>
              <w:widowControl/>
              <w:textAlignment w:val="center"/>
              <w:rPr>
                <w:rFonts w:ascii="宋体" w:hAnsi="宋体" w:cs="宋体"/>
                <w:color w:val="000000"/>
                <w:sz w:val="22"/>
                <w:szCs w:val="22"/>
              </w:rPr>
            </w:pPr>
            <w:r>
              <w:rPr>
                <w:rFonts w:hint="eastAsia" w:ascii="宋体" w:hAnsi="宋体" w:cs="宋体"/>
                <w:color w:val="000000"/>
                <w:sz w:val="22"/>
                <w:szCs w:val="22"/>
              </w:rPr>
              <w:t>1.设备供电DC12～24V/300mA</w:t>
            </w:r>
          </w:p>
          <w:p w14:paraId="658CD0FE">
            <w:pPr>
              <w:widowControl/>
              <w:textAlignment w:val="center"/>
              <w:rPr>
                <w:rFonts w:ascii="宋体" w:hAnsi="宋体" w:cs="宋体"/>
                <w:color w:val="000000"/>
                <w:sz w:val="22"/>
                <w:szCs w:val="22"/>
              </w:rPr>
            </w:pPr>
            <w:r>
              <w:rPr>
                <w:rFonts w:hint="eastAsia" w:ascii="宋体" w:hAnsi="宋体" w:cs="宋体"/>
                <w:color w:val="000000"/>
                <w:sz w:val="22"/>
                <w:szCs w:val="22"/>
              </w:rPr>
              <w:t>2.通讯方式：RS485（通讯增强隔离保护型）</w:t>
            </w:r>
          </w:p>
          <w:p w14:paraId="341779FF">
            <w:pPr>
              <w:widowControl/>
              <w:textAlignment w:val="center"/>
              <w:rPr>
                <w:rFonts w:ascii="宋体" w:hAnsi="宋体" w:cs="宋体"/>
                <w:color w:val="000000"/>
                <w:sz w:val="22"/>
                <w:szCs w:val="22"/>
              </w:rPr>
            </w:pPr>
            <w:r>
              <w:rPr>
                <w:rFonts w:hint="eastAsia" w:ascii="宋体" w:hAnsi="宋体" w:cs="宋体"/>
                <w:color w:val="000000"/>
                <w:sz w:val="22"/>
                <w:szCs w:val="22"/>
              </w:rPr>
              <w:t>3.屏幕：无</w:t>
            </w:r>
          </w:p>
          <w:p w14:paraId="250F980F">
            <w:pPr>
              <w:widowControl/>
              <w:textAlignment w:val="center"/>
              <w:rPr>
                <w:rFonts w:ascii="宋体" w:hAnsi="宋体" w:cs="宋体"/>
                <w:color w:val="000000"/>
                <w:sz w:val="22"/>
                <w:szCs w:val="22"/>
              </w:rPr>
            </w:pPr>
            <w:r>
              <w:rPr>
                <w:rFonts w:hint="eastAsia" w:ascii="宋体" w:hAnsi="宋体" w:cs="宋体"/>
                <w:color w:val="000000"/>
                <w:sz w:val="22"/>
                <w:szCs w:val="22"/>
              </w:rPr>
              <w:t>4.壳体：ABS，圆壳，86/壁挂/吸顶安装</w:t>
            </w:r>
          </w:p>
          <w:p w14:paraId="0119E4D5">
            <w:pPr>
              <w:widowControl/>
              <w:textAlignment w:val="center"/>
              <w:rPr>
                <w:rFonts w:ascii="宋体" w:hAnsi="宋体" w:cs="宋体"/>
                <w:color w:val="000000"/>
                <w:sz w:val="22"/>
                <w:szCs w:val="22"/>
              </w:rPr>
            </w:pPr>
            <w:r>
              <w:rPr>
                <w:rFonts w:hint="eastAsia" w:ascii="宋体" w:hAnsi="宋体" w:cs="宋体"/>
                <w:color w:val="000000"/>
                <w:sz w:val="22"/>
                <w:szCs w:val="22"/>
              </w:rPr>
              <w:t>5.探头类型：内置</w:t>
            </w:r>
          </w:p>
          <w:p w14:paraId="2DC2A7EF">
            <w:pPr>
              <w:widowControl/>
              <w:textAlignment w:val="center"/>
              <w:rPr>
                <w:rFonts w:ascii="宋体" w:hAnsi="宋体" w:cs="宋体"/>
                <w:color w:val="000000"/>
                <w:sz w:val="22"/>
                <w:szCs w:val="22"/>
              </w:rPr>
            </w:pPr>
            <w:r>
              <w:rPr>
                <w:rFonts w:hint="eastAsia" w:ascii="宋体" w:hAnsi="宋体" w:cs="宋体"/>
                <w:color w:val="000000"/>
                <w:sz w:val="22"/>
                <w:szCs w:val="22"/>
              </w:rPr>
              <w:t>6.电源接口：接线端子</w:t>
            </w:r>
          </w:p>
          <w:p w14:paraId="462F4B30">
            <w:pPr>
              <w:widowControl/>
              <w:textAlignment w:val="center"/>
              <w:rPr>
                <w:rFonts w:ascii="宋体" w:hAnsi="宋体" w:cs="宋体"/>
                <w:color w:val="000000"/>
                <w:sz w:val="22"/>
                <w:szCs w:val="22"/>
              </w:rPr>
            </w:pPr>
            <w:r>
              <w:rPr>
                <w:rFonts w:hint="eastAsia" w:ascii="宋体" w:hAnsi="宋体" w:cs="宋体"/>
                <w:color w:val="000000"/>
                <w:sz w:val="22"/>
                <w:szCs w:val="22"/>
              </w:rPr>
              <w:t>7.工作温度范围：-20℃～70℃</w:t>
            </w:r>
          </w:p>
          <w:p w14:paraId="3D15F526">
            <w:pPr>
              <w:widowControl/>
              <w:textAlignment w:val="center"/>
              <w:rPr>
                <w:rFonts w:ascii="宋体" w:hAnsi="宋体" w:cs="宋体"/>
                <w:color w:val="000000"/>
                <w:sz w:val="22"/>
                <w:szCs w:val="22"/>
              </w:rPr>
            </w:pPr>
            <w:r>
              <w:rPr>
                <w:rFonts w:hint="eastAsia" w:ascii="宋体" w:hAnsi="宋体" w:cs="宋体"/>
                <w:color w:val="000000"/>
                <w:sz w:val="22"/>
                <w:szCs w:val="22"/>
              </w:rPr>
              <w:t>检测参数：</w:t>
            </w:r>
          </w:p>
          <w:p w14:paraId="0F47726F">
            <w:pPr>
              <w:widowControl/>
              <w:textAlignment w:val="center"/>
              <w:rPr>
                <w:rFonts w:ascii="宋体" w:hAnsi="宋体" w:cs="宋体"/>
                <w:color w:val="000000"/>
                <w:sz w:val="22"/>
                <w:szCs w:val="22"/>
              </w:rPr>
            </w:pPr>
            <w:r>
              <w:rPr>
                <w:rFonts w:hint="eastAsia" w:ascii="宋体" w:hAnsi="宋体" w:cs="宋体"/>
                <w:color w:val="000000"/>
                <w:sz w:val="22"/>
                <w:szCs w:val="22"/>
              </w:rPr>
              <w:t>1.测量范围：0.2～8m可调（水平方向）</w:t>
            </w:r>
          </w:p>
          <w:p w14:paraId="5BB94A52">
            <w:pPr>
              <w:widowControl/>
              <w:textAlignment w:val="center"/>
              <w:rPr>
                <w:rFonts w:ascii="宋体" w:hAnsi="宋体" w:cs="宋体"/>
                <w:color w:val="000000"/>
                <w:sz w:val="22"/>
                <w:szCs w:val="22"/>
              </w:rPr>
            </w:pPr>
            <w:r>
              <w:rPr>
                <w:rFonts w:hint="eastAsia" w:ascii="宋体" w:hAnsi="宋体" w:cs="宋体"/>
                <w:color w:val="000000"/>
                <w:sz w:val="22"/>
                <w:szCs w:val="22"/>
              </w:rPr>
              <w:t>2.探测角度：±60度</w:t>
            </w:r>
          </w:p>
        </w:tc>
        <w:tc>
          <w:tcPr>
            <w:tcW w:w="221" w:type="pct"/>
            <w:gridSpan w:val="2"/>
            <w:shd w:val="clear" w:color="auto" w:fill="auto"/>
            <w:noWrap/>
            <w:vAlign w:val="center"/>
          </w:tcPr>
          <w:p w14:paraId="59B84B15">
            <w:pPr>
              <w:widowControl/>
              <w:textAlignment w:val="center"/>
              <w:rPr>
                <w:rFonts w:ascii="宋体" w:hAnsi="宋体" w:cs="宋体"/>
                <w:color w:val="000000"/>
                <w:sz w:val="22"/>
                <w:szCs w:val="22"/>
              </w:rPr>
            </w:pPr>
            <w:r>
              <w:rPr>
                <w:rFonts w:hint="eastAsia" w:ascii="宋体" w:hAnsi="宋体" w:cs="宋体"/>
                <w:color w:val="000000"/>
                <w:sz w:val="22"/>
                <w:szCs w:val="22"/>
              </w:rPr>
              <w:t>个</w:t>
            </w:r>
          </w:p>
        </w:tc>
        <w:tc>
          <w:tcPr>
            <w:tcW w:w="428" w:type="pct"/>
            <w:gridSpan w:val="2"/>
            <w:shd w:val="clear" w:color="auto" w:fill="auto"/>
            <w:noWrap/>
            <w:vAlign w:val="center"/>
          </w:tcPr>
          <w:p w14:paraId="58E954A7">
            <w:pPr>
              <w:widowControl/>
              <w:textAlignment w:val="center"/>
              <w:rPr>
                <w:rFonts w:ascii="宋体" w:hAnsi="宋体" w:cs="宋体"/>
                <w:color w:val="000000"/>
                <w:sz w:val="22"/>
                <w:szCs w:val="22"/>
              </w:rPr>
            </w:pPr>
            <w:r>
              <w:rPr>
                <w:rFonts w:hint="eastAsia" w:ascii="宋体" w:hAnsi="宋体" w:cs="宋体"/>
                <w:color w:val="000000"/>
                <w:sz w:val="22"/>
                <w:szCs w:val="22"/>
              </w:rPr>
              <w:t xml:space="preserve">40 </w:t>
            </w:r>
          </w:p>
        </w:tc>
      </w:tr>
      <w:tr w14:paraId="219873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942" w:hRule="atLeast"/>
        </w:trPr>
        <w:tc>
          <w:tcPr>
            <w:tcW w:w="508" w:type="pct"/>
            <w:shd w:val="clear" w:color="auto" w:fill="auto"/>
            <w:vAlign w:val="center"/>
          </w:tcPr>
          <w:p w14:paraId="79797AFD">
            <w:pPr>
              <w:widowControl/>
              <w:textAlignment w:val="center"/>
              <w:rPr>
                <w:rFonts w:ascii="宋体" w:hAnsi="宋体" w:cs="宋体"/>
                <w:color w:val="000000"/>
                <w:sz w:val="22"/>
                <w:szCs w:val="22"/>
              </w:rPr>
            </w:pPr>
            <w:r>
              <w:rPr>
                <w:rFonts w:hint="eastAsia" w:ascii="宋体" w:hAnsi="宋体" w:cs="宋体"/>
                <w:color w:val="000000"/>
                <w:sz w:val="22"/>
                <w:szCs w:val="22"/>
              </w:rPr>
              <w:t>1.5</w:t>
            </w:r>
          </w:p>
        </w:tc>
        <w:tc>
          <w:tcPr>
            <w:tcW w:w="346" w:type="pct"/>
            <w:shd w:val="clear" w:color="auto" w:fill="auto"/>
            <w:noWrap/>
            <w:vAlign w:val="center"/>
          </w:tcPr>
          <w:p w14:paraId="674002ED">
            <w:pPr>
              <w:widowControl/>
              <w:textAlignment w:val="center"/>
              <w:rPr>
                <w:rFonts w:ascii="宋体" w:hAnsi="宋体" w:cs="宋体"/>
                <w:color w:val="000000"/>
                <w:sz w:val="22"/>
                <w:szCs w:val="22"/>
              </w:rPr>
            </w:pPr>
            <w:r>
              <w:rPr>
                <w:rFonts w:hint="eastAsia" w:ascii="宋体" w:hAnsi="宋体" w:cs="宋体"/>
                <w:color w:val="000000"/>
                <w:sz w:val="22"/>
                <w:szCs w:val="22"/>
              </w:rPr>
              <w:t>智慧显示屏系统</w:t>
            </w:r>
          </w:p>
        </w:tc>
        <w:tc>
          <w:tcPr>
            <w:tcW w:w="3489" w:type="pct"/>
            <w:shd w:val="clear" w:color="auto" w:fill="auto"/>
            <w:vAlign w:val="center"/>
          </w:tcPr>
          <w:p w14:paraId="56DA538B">
            <w:pPr>
              <w:widowControl/>
              <w:textAlignment w:val="center"/>
              <w:rPr>
                <w:rFonts w:ascii="宋体" w:hAnsi="宋体" w:cs="宋体"/>
                <w:color w:val="000000"/>
                <w:sz w:val="22"/>
                <w:szCs w:val="22"/>
              </w:rPr>
            </w:pPr>
            <w:r>
              <w:rPr>
                <w:rFonts w:hint="eastAsia" w:ascii="宋体" w:hAnsi="宋体" w:cs="宋体"/>
                <w:color w:val="000000"/>
                <w:sz w:val="22"/>
                <w:szCs w:val="22"/>
              </w:rPr>
              <w:t>1.</w:t>
            </w:r>
            <w:r>
              <w:rPr>
                <w:rFonts w:ascii="宋体" w:hAnsi="宋体" w:cs="宋体"/>
                <w:color w:val="000000"/>
                <w:sz w:val="22"/>
                <w:szCs w:val="22"/>
              </w:rPr>
              <w:t>CPU：</w:t>
            </w:r>
            <w:r>
              <w:rPr>
                <w:rFonts w:hint="eastAsia" w:ascii="宋体" w:hAnsi="宋体" w:cs="宋体"/>
                <w:color w:val="000000" w:themeColor="text1"/>
                <w:sz w:val="22"/>
                <w:szCs w:val="22"/>
              </w:rPr>
              <w:t>≥</w:t>
            </w:r>
            <w:r>
              <w:rPr>
                <w:rFonts w:ascii="宋体" w:hAnsi="宋体" w:cs="宋体"/>
                <w:color w:val="000000"/>
                <w:sz w:val="22"/>
                <w:szCs w:val="22"/>
              </w:rPr>
              <w:t>4核</w:t>
            </w:r>
          </w:p>
          <w:p w14:paraId="5EED292F">
            <w:pPr>
              <w:widowControl/>
              <w:textAlignment w:val="center"/>
              <w:rPr>
                <w:rFonts w:ascii="宋体" w:hAnsi="宋体" w:cs="宋体"/>
                <w:color w:val="000000"/>
                <w:sz w:val="22"/>
                <w:szCs w:val="22"/>
              </w:rPr>
            </w:pPr>
            <w:r>
              <w:rPr>
                <w:rFonts w:hint="eastAsia" w:ascii="宋体" w:hAnsi="宋体" w:cs="宋体"/>
                <w:color w:val="000000"/>
                <w:sz w:val="22"/>
                <w:szCs w:val="22"/>
              </w:rPr>
              <w:t>2.</w:t>
            </w:r>
            <w:r>
              <w:rPr>
                <w:rFonts w:ascii="宋体" w:hAnsi="宋体" w:cs="宋体"/>
                <w:color w:val="000000"/>
                <w:sz w:val="22"/>
                <w:szCs w:val="22"/>
              </w:rPr>
              <w:t>内存：</w:t>
            </w:r>
            <w:r>
              <w:rPr>
                <w:rFonts w:hint="eastAsia" w:ascii="宋体" w:hAnsi="宋体" w:cs="宋体"/>
                <w:color w:val="000000" w:themeColor="text1"/>
                <w:sz w:val="22"/>
                <w:szCs w:val="22"/>
              </w:rPr>
              <w:t>≥</w:t>
            </w:r>
            <w:r>
              <w:rPr>
                <w:rFonts w:ascii="宋体" w:hAnsi="宋体" w:cs="宋体"/>
                <w:color w:val="000000"/>
                <w:sz w:val="22"/>
                <w:szCs w:val="22"/>
              </w:rPr>
              <w:t>1G+8G</w:t>
            </w:r>
          </w:p>
          <w:p w14:paraId="07C86E19">
            <w:pPr>
              <w:widowControl/>
              <w:textAlignment w:val="center"/>
              <w:rPr>
                <w:rFonts w:ascii="宋体" w:hAnsi="宋体" w:cs="宋体"/>
                <w:color w:val="000000"/>
                <w:sz w:val="22"/>
                <w:szCs w:val="22"/>
              </w:rPr>
            </w:pPr>
            <w:r>
              <w:rPr>
                <w:rFonts w:hint="eastAsia" w:ascii="宋体" w:hAnsi="宋体" w:cs="宋体"/>
                <w:color w:val="000000"/>
                <w:sz w:val="22"/>
                <w:szCs w:val="22"/>
              </w:rPr>
              <w:t>3</w:t>
            </w:r>
            <w:r>
              <w:rPr>
                <w:rFonts w:ascii="宋体" w:hAnsi="宋体" w:cs="宋体"/>
                <w:color w:val="000000"/>
                <w:sz w:val="22"/>
                <w:szCs w:val="22"/>
              </w:rPr>
              <w:t>.支持HDMI显示</w:t>
            </w:r>
          </w:p>
          <w:p w14:paraId="053D730E">
            <w:pPr>
              <w:widowControl/>
              <w:textAlignment w:val="center"/>
              <w:rPr>
                <w:rFonts w:ascii="宋体" w:hAnsi="宋体" w:cs="宋体"/>
                <w:color w:val="000000"/>
                <w:sz w:val="22"/>
                <w:szCs w:val="22"/>
              </w:rPr>
            </w:pPr>
            <w:r>
              <w:rPr>
                <w:rFonts w:hint="eastAsia" w:ascii="宋体" w:hAnsi="宋体" w:cs="宋体"/>
                <w:color w:val="000000"/>
                <w:sz w:val="22"/>
                <w:szCs w:val="22"/>
              </w:rPr>
              <w:t>4</w:t>
            </w:r>
            <w:r>
              <w:rPr>
                <w:rFonts w:ascii="宋体" w:hAnsi="宋体" w:cs="宋体"/>
                <w:color w:val="000000"/>
                <w:sz w:val="22"/>
                <w:szCs w:val="22"/>
              </w:rPr>
              <w:t>.支持串行通讯</w:t>
            </w:r>
          </w:p>
          <w:p w14:paraId="30B45784">
            <w:pPr>
              <w:widowControl/>
              <w:textAlignment w:val="center"/>
              <w:rPr>
                <w:rFonts w:ascii="宋体" w:hAnsi="宋体" w:cs="宋体"/>
                <w:color w:val="000000"/>
                <w:sz w:val="22"/>
                <w:szCs w:val="22"/>
              </w:rPr>
            </w:pPr>
            <w:r>
              <w:rPr>
                <w:rFonts w:hint="eastAsia" w:ascii="宋体" w:hAnsi="宋体" w:cs="宋体"/>
                <w:color w:val="000000"/>
                <w:sz w:val="22"/>
                <w:szCs w:val="22"/>
              </w:rPr>
              <w:t>5</w:t>
            </w:r>
            <w:r>
              <w:rPr>
                <w:rFonts w:ascii="宋体" w:hAnsi="宋体" w:cs="宋体"/>
                <w:color w:val="000000"/>
                <w:sz w:val="22"/>
                <w:szCs w:val="22"/>
              </w:rPr>
              <w:t>.屏幕尺寸：</w:t>
            </w:r>
            <w:r>
              <w:rPr>
                <w:rFonts w:hint="eastAsia" w:ascii="宋体" w:hAnsi="宋体" w:cs="宋体"/>
                <w:color w:val="000000" w:themeColor="text1"/>
                <w:sz w:val="22"/>
                <w:szCs w:val="22"/>
              </w:rPr>
              <w:t>≥</w:t>
            </w:r>
            <w:r>
              <w:rPr>
                <w:rFonts w:hint="eastAsia" w:ascii="宋体" w:hAnsi="宋体" w:cs="宋体"/>
                <w:color w:val="000000"/>
                <w:sz w:val="22"/>
                <w:szCs w:val="22"/>
              </w:rPr>
              <w:t>23.6，</w:t>
            </w:r>
            <w:r>
              <w:rPr>
                <w:rFonts w:ascii="宋体" w:hAnsi="宋体" w:cs="宋体"/>
                <w:color w:val="000000"/>
                <w:sz w:val="22"/>
                <w:szCs w:val="22"/>
              </w:rPr>
              <w:t>像素</w:t>
            </w:r>
            <w:r>
              <w:rPr>
                <w:rFonts w:hint="eastAsia" w:ascii="宋体" w:hAnsi="宋体" w:cs="宋体"/>
                <w:color w:val="000000"/>
                <w:sz w:val="22"/>
                <w:szCs w:val="22"/>
              </w:rPr>
              <w:t>：</w:t>
            </w:r>
            <w:r>
              <w:rPr>
                <w:rFonts w:hint="eastAsia" w:ascii="宋体" w:hAnsi="宋体" w:cs="宋体"/>
                <w:color w:val="000000" w:themeColor="text1"/>
                <w:sz w:val="22"/>
                <w:szCs w:val="22"/>
              </w:rPr>
              <w:t>≥</w:t>
            </w:r>
            <w:r>
              <w:rPr>
                <w:rFonts w:ascii="宋体" w:hAnsi="宋体" w:cs="宋体"/>
                <w:color w:val="000000"/>
                <w:sz w:val="22"/>
                <w:szCs w:val="22"/>
              </w:rPr>
              <w:t>1920x1080</w:t>
            </w:r>
          </w:p>
          <w:p w14:paraId="0C72BDBC">
            <w:pPr>
              <w:widowControl/>
              <w:textAlignment w:val="center"/>
              <w:rPr>
                <w:rFonts w:ascii="宋体" w:hAnsi="宋体" w:cs="宋体"/>
                <w:color w:val="000000"/>
                <w:sz w:val="22"/>
                <w:szCs w:val="22"/>
              </w:rPr>
            </w:pPr>
            <w:r>
              <w:rPr>
                <w:rFonts w:hint="eastAsia" w:ascii="宋体" w:hAnsi="宋体" w:cs="宋体"/>
                <w:color w:val="000000"/>
                <w:sz w:val="22"/>
                <w:szCs w:val="22"/>
              </w:rPr>
              <w:t>6.</w:t>
            </w:r>
            <w:r>
              <w:rPr>
                <w:rFonts w:ascii="宋体" w:hAnsi="宋体" w:cs="宋体"/>
                <w:color w:val="000000"/>
                <w:sz w:val="22"/>
                <w:szCs w:val="22"/>
              </w:rPr>
              <w:t>供电：220V，联网方式：以太网/WIFI</w:t>
            </w:r>
          </w:p>
        </w:tc>
        <w:tc>
          <w:tcPr>
            <w:tcW w:w="221" w:type="pct"/>
            <w:gridSpan w:val="2"/>
            <w:shd w:val="clear" w:color="auto" w:fill="auto"/>
            <w:noWrap/>
            <w:vAlign w:val="center"/>
          </w:tcPr>
          <w:p w14:paraId="1CDFCDCC">
            <w:pPr>
              <w:widowControl/>
              <w:textAlignment w:val="center"/>
              <w:rPr>
                <w:rFonts w:ascii="宋体" w:hAnsi="宋体" w:cs="宋体"/>
                <w:color w:val="000000"/>
                <w:sz w:val="22"/>
                <w:szCs w:val="22"/>
              </w:rPr>
            </w:pPr>
            <w:r>
              <w:rPr>
                <w:rFonts w:hint="eastAsia" w:ascii="宋体" w:hAnsi="宋体" w:cs="宋体"/>
                <w:color w:val="000000"/>
                <w:sz w:val="22"/>
                <w:szCs w:val="22"/>
              </w:rPr>
              <w:t>台</w:t>
            </w:r>
          </w:p>
        </w:tc>
        <w:tc>
          <w:tcPr>
            <w:tcW w:w="428" w:type="pct"/>
            <w:gridSpan w:val="2"/>
            <w:shd w:val="clear" w:color="auto" w:fill="auto"/>
            <w:noWrap/>
            <w:vAlign w:val="center"/>
          </w:tcPr>
          <w:p w14:paraId="75ACEF3A">
            <w:pPr>
              <w:widowControl/>
              <w:textAlignment w:val="center"/>
              <w:rPr>
                <w:rFonts w:ascii="宋体" w:hAnsi="宋体" w:cs="宋体"/>
                <w:color w:val="000000"/>
                <w:sz w:val="22"/>
                <w:szCs w:val="22"/>
              </w:rPr>
            </w:pPr>
            <w:r>
              <w:rPr>
                <w:rFonts w:hint="eastAsia" w:ascii="宋体" w:hAnsi="宋体" w:cs="宋体"/>
                <w:color w:val="000000"/>
                <w:sz w:val="22"/>
                <w:szCs w:val="22"/>
              </w:rPr>
              <w:t xml:space="preserve">5 </w:t>
            </w:r>
          </w:p>
        </w:tc>
      </w:tr>
      <w:tr w14:paraId="182C4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080" w:hRule="atLeast"/>
        </w:trPr>
        <w:tc>
          <w:tcPr>
            <w:tcW w:w="508" w:type="pct"/>
            <w:shd w:val="clear" w:color="auto" w:fill="auto"/>
            <w:vAlign w:val="center"/>
          </w:tcPr>
          <w:p w14:paraId="0FB4FF0C">
            <w:pPr>
              <w:widowControl/>
              <w:textAlignment w:val="center"/>
              <w:rPr>
                <w:rFonts w:ascii="宋体" w:hAnsi="宋体" w:cs="宋体"/>
                <w:color w:val="000000"/>
                <w:sz w:val="22"/>
                <w:szCs w:val="22"/>
              </w:rPr>
            </w:pPr>
            <w:r>
              <w:rPr>
                <w:rFonts w:hint="eastAsia" w:ascii="宋体" w:hAnsi="宋体" w:cs="宋体"/>
                <w:color w:val="000000"/>
                <w:sz w:val="22"/>
                <w:szCs w:val="22"/>
              </w:rPr>
              <w:t>1.6</w:t>
            </w:r>
          </w:p>
        </w:tc>
        <w:tc>
          <w:tcPr>
            <w:tcW w:w="346" w:type="pct"/>
            <w:shd w:val="clear" w:color="auto" w:fill="auto"/>
            <w:noWrap/>
            <w:vAlign w:val="center"/>
          </w:tcPr>
          <w:p w14:paraId="73EBBD9F">
            <w:pPr>
              <w:widowControl/>
              <w:textAlignment w:val="center"/>
              <w:rPr>
                <w:rFonts w:ascii="宋体" w:hAnsi="宋体" w:cs="宋体"/>
                <w:color w:val="000000"/>
                <w:sz w:val="22"/>
                <w:szCs w:val="22"/>
              </w:rPr>
            </w:pPr>
            <w:r>
              <w:rPr>
                <w:rFonts w:hint="eastAsia" w:ascii="宋体" w:hAnsi="宋体" w:cs="宋体"/>
                <w:color w:val="000000"/>
                <w:sz w:val="22"/>
                <w:szCs w:val="22"/>
              </w:rPr>
              <w:t>物联网新风净化系统</w:t>
            </w:r>
          </w:p>
        </w:tc>
        <w:tc>
          <w:tcPr>
            <w:tcW w:w="3489" w:type="pct"/>
            <w:shd w:val="clear" w:color="auto" w:fill="auto"/>
            <w:vAlign w:val="center"/>
          </w:tcPr>
          <w:p w14:paraId="6F25A505">
            <w:pPr>
              <w:widowControl/>
              <w:numPr>
                <w:ilvl w:val="0"/>
                <w:numId w:val="13"/>
              </w:numPr>
              <w:textAlignment w:val="center"/>
              <w:rPr>
                <w:rFonts w:ascii="宋体" w:hAnsi="宋体" w:cs="宋体"/>
                <w:color w:val="000000"/>
                <w:sz w:val="22"/>
                <w:szCs w:val="22"/>
              </w:rPr>
            </w:pPr>
            <w:r>
              <w:rPr>
                <w:rFonts w:hint="eastAsia" w:ascii="宋体" w:hAnsi="宋体" w:cs="宋体"/>
                <w:color w:val="000000"/>
                <w:sz w:val="22"/>
                <w:szCs w:val="22"/>
              </w:rPr>
              <w:t>高效能量回收全热交换管道风机；</w:t>
            </w:r>
            <w:r>
              <w:rPr>
                <w:rFonts w:hint="eastAsia" w:ascii="宋体" w:hAnsi="宋体" w:cs="宋体"/>
                <w:color w:val="000000"/>
                <w:sz w:val="22"/>
                <w:szCs w:val="22"/>
              </w:rPr>
              <w:br w:type="textWrapping"/>
            </w:r>
            <w:r>
              <w:rPr>
                <w:rFonts w:hint="eastAsia" w:ascii="宋体" w:hAnsi="宋体" w:cs="宋体"/>
                <w:color w:val="000000"/>
                <w:sz w:val="22"/>
                <w:szCs w:val="22"/>
              </w:rPr>
              <w:t>2.100-200</w:t>
            </w:r>
            <w:r>
              <w:rPr>
                <w:rFonts w:hint="eastAsia" w:ascii="宋体" w:hAnsi="宋体" w:cs="宋体"/>
                <w:color w:val="000000"/>
                <w:sz w:val="22"/>
                <w:szCs w:val="22"/>
                <w:lang w:val="en-US" w:eastAsia="zh-CN"/>
              </w:rPr>
              <w:t>mm</w:t>
            </w:r>
            <w:r>
              <w:rPr>
                <w:rFonts w:hint="eastAsia" w:ascii="宋体" w:hAnsi="宋体" w:cs="宋体"/>
                <w:color w:val="000000"/>
                <w:sz w:val="22"/>
                <w:szCs w:val="22"/>
              </w:rPr>
              <w:t>风管，DC电机，吊顶式安装；</w:t>
            </w:r>
            <w:r>
              <w:rPr>
                <w:rFonts w:hint="eastAsia" w:ascii="宋体" w:hAnsi="宋体" w:cs="宋体"/>
                <w:color w:val="000000"/>
                <w:sz w:val="22"/>
                <w:szCs w:val="22"/>
              </w:rPr>
              <w:br w:type="textWrapping"/>
            </w:r>
            <w:r>
              <w:rPr>
                <w:rFonts w:hint="eastAsia" w:ascii="宋体" w:hAnsi="宋体" w:cs="宋体"/>
                <w:color w:val="000000"/>
                <w:sz w:val="22"/>
                <w:szCs w:val="22"/>
              </w:rPr>
              <w:t>3.甲醛，TVOC，</w:t>
            </w:r>
            <w:r>
              <w:rPr>
                <w:rFonts w:hint="eastAsia" w:ascii="宋体" w:hAnsi="宋体" w:cs="宋体"/>
                <w:color w:val="000000"/>
                <w:sz w:val="22"/>
                <w:szCs w:val="22"/>
                <w:lang w:val="en-US" w:eastAsia="zh-CN"/>
              </w:rPr>
              <w:t>CO</w:t>
            </w:r>
            <w:r>
              <w:rPr>
                <w:rFonts w:hint="eastAsia" w:ascii="宋体" w:hAnsi="宋体" w:cs="宋体"/>
                <w:color w:val="000000"/>
                <w:sz w:val="18"/>
                <w:szCs w:val="18"/>
              </w:rPr>
              <w:t>2</w:t>
            </w:r>
            <w:r>
              <w:rPr>
                <w:rFonts w:hint="eastAsia" w:ascii="宋体" w:hAnsi="宋体" w:cs="宋体"/>
                <w:color w:val="000000"/>
                <w:sz w:val="22"/>
                <w:szCs w:val="22"/>
              </w:rPr>
              <w:t>等有害气体可被快速分解，初滤网结合HEPA以及蜂窝活性炭三重过滤；</w:t>
            </w:r>
            <w:r>
              <w:rPr>
                <w:rFonts w:hint="eastAsia" w:ascii="宋体" w:hAnsi="宋体" w:cs="宋体"/>
                <w:color w:val="000000"/>
                <w:sz w:val="22"/>
                <w:szCs w:val="22"/>
              </w:rPr>
              <w:br w:type="textWrapping"/>
            </w:r>
            <w:r>
              <w:rPr>
                <w:rFonts w:hint="eastAsia" w:ascii="宋体" w:hAnsi="宋体" w:cs="宋体"/>
                <w:color w:val="000000"/>
                <w:sz w:val="22"/>
                <w:szCs w:val="22"/>
              </w:rPr>
              <w:t>4.120Pa静压350M3风量；</w:t>
            </w:r>
            <w:r>
              <w:rPr>
                <w:rFonts w:hint="eastAsia" w:ascii="宋体" w:hAnsi="宋体" w:cs="宋体"/>
                <w:color w:val="000000"/>
                <w:sz w:val="22"/>
                <w:szCs w:val="22"/>
              </w:rPr>
              <w:br w:type="textWrapping"/>
            </w:r>
            <w:r>
              <w:rPr>
                <w:rFonts w:hint="eastAsia" w:ascii="宋体" w:hAnsi="宋体" w:cs="宋体"/>
                <w:color w:val="000000"/>
                <w:sz w:val="22"/>
                <w:szCs w:val="22"/>
              </w:rPr>
              <w:t>5.新风设备可以和本地气体传感器互联，当二氧化碳气体阈值超标时新风设备会自动开启。当净化值在标准范围内设备会自动关闭，也可手动控制；</w:t>
            </w:r>
            <w:r>
              <w:rPr>
                <w:rFonts w:hint="eastAsia" w:ascii="宋体" w:hAnsi="宋体" w:cs="宋体"/>
                <w:color w:val="000000"/>
                <w:sz w:val="22"/>
                <w:szCs w:val="22"/>
              </w:rPr>
              <w:br w:type="textWrapping"/>
            </w:r>
            <w:r>
              <w:rPr>
                <w:rFonts w:hint="eastAsia" w:ascii="宋体" w:hAnsi="宋体" w:cs="宋体"/>
                <w:color w:val="000000"/>
                <w:sz w:val="22"/>
                <w:szCs w:val="22"/>
              </w:rPr>
              <w:t>6.恒温控制,通过高效全热交换芯，高效能量回收，透风透气,暖风辅。</w:t>
            </w:r>
          </w:p>
          <w:p w14:paraId="76BDB182">
            <w:pPr>
              <w:widowControl/>
              <w:textAlignment w:val="center"/>
              <w:rPr>
                <w:rFonts w:ascii="宋体" w:hAnsi="宋体" w:cs="宋体"/>
                <w:color w:val="000000"/>
                <w:sz w:val="22"/>
                <w:szCs w:val="22"/>
              </w:rPr>
            </w:pPr>
            <w:r>
              <w:rPr>
                <w:rFonts w:hint="eastAsia" w:ascii="宋体" w:hAnsi="宋体" w:cs="宋体"/>
                <w:color w:val="000000"/>
                <w:sz w:val="22"/>
                <w:szCs w:val="22"/>
              </w:rPr>
              <w:t>7、</w:t>
            </w:r>
            <w:r>
              <w:rPr>
                <w:rFonts w:ascii="宋体" w:hAnsi="宋体" w:cs="宋体"/>
                <w:kern w:val="2"/>
                <w:sz w:val="21"/>
                <w:szCs w:val="21"/>
              </w:rPr>
              <w:t>提供节能产品认证</w:t>
            </w:r>
            <w:r>
              <w:rPr>
                <w:rFonts w:hint="eastAsia" w:ascii="宋体" w:hAnsi="宋体" w:cs="宋体"/>
                <w:kern w:val="2"/>
                <w:sz w:val="21"/>
                <w:szCs w:val="21"/>
              </w:rPr>
              <w:t>。</w:t>
            </w:r>
          </w:p>
        </w:tc>
        <w:tc>
          <w:tcPr>
            <w:tcW w:w="221" w:type="pct"/>
            <w:gridSpan w:val="2"/>
            <w:shd w:val="clear" w:color="auto" w:fill="auto"/>
            <w:noWrap/>
            <w:vAlign w:val="center"/>
          </w:tcPr>
          <w:p w14:paraId="060C4F57">
            <w:pPr>
              <w:widowControl/>
              <w:textAlignment w:val="center"/>
              <w:rPr>
                <w:rFonts w:ascii="宋体" w:hAnsi="宋体" w:cs="宋体"/>
                <w:color w:val="000000"/>
                <w:sz w:val="22"/>
                <w:szCs w:val="22"/>
              </w:rPr>
            </w:pPr>
            <w:r>
              <w:rPr>
                <w:rFonts w:hint="eastAsia" w:ascii="宋体" w:hAnsi="宋体" w:cs="宋体"/>
                <w:color w:val="000000"/>
                <w:sz w:val="22"/>
                <w:szCs w:val="22"/>
              </w:rPr>
              <w:t>台</w:t>
            </w:r>
          </w:p>
        </w:tc>
        <w:tc>
          <w:tcPr>
            <w:tcW w:w="428" w:type="pct"/>
            <w:gridSpan w:val="2"/>
            <w:shd w:val="clear" w:color="auto" w:fill="auto"/>
            <w:noWrap/>
            <w:vAlign w:val="center"/>
          </w:tcPr>
          <w:p w14:paraId="64B22BB5">
            <w:pPr>
              <w:widowControl/>
              <w:textAlignment w:val="center"/>
              <w:rPr>
                <w:rFonts w:ascii="宋体" w:hAnsi="宋体" w:cs="宋体"/>
                <w:color w:val="000000"/>
                <w:sz w:val="22"/>
                <w:szCs w:val="22"/>
              </w:rPr>
            </w:pPr>
            <w:r>
              <w:rPr>
                <w:rFonts w:hint="eastAsia" w:ascii="宋体" w:hAnsi="宋体" w:cs="宋体"/>
                <w:color w:val="000000"/>
                <w:sz w:val="22"/>
                <w:szCs w:val="22"/>
              </w:rPr>
              <w:t xml:space="preserve">20 </w:t>
            </w:r>
          </w:p>
        </w:tc>
      </w:tr>
      <w:tr w14:paraId="25911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1947" w:hRule="atLeast"/>
        </w:trPr>
        <w:tc>
          <w:tcPr>
            <w:tcW w:w="508" w:type="pct"/>
            <w:shd w:val="clear" w:color="auto" w:fill="auto"/>
            <w:vAlign w:val="center"/>
          </w:tcPr>
          <w:p w14:paraId="16B6C74D">
            <w:pPr>
              <w:widowControl/>
              <w:textAlignment w:val="center"/>
              <w:rPr>
                <w:rFonts w:ascii="宋体" w:hAnsi="宋体" w:cs="宋体"/>
                <w:color w:val="000000"/>
                <w:sz w:val="22"/>
                <w:szCs w:val="22"/>
              </w:rPr>
            </w:pPr>
            <w:r>
              <w:rPr>
                <w:rFonts w:hint="eastAsia" w:ascii="宋体" w:hAnsi="宋体" w:cs="宋体"/>
                <w:color w:val="000000"/>
                <w:sz w:val="22"/>
                <w:szCs w:val="22"/>
              </w:rPr>
              <w:t>1.7</w:t>
            </w:r>
          </w:p>
        </w:tc>
        <w:tc>
          <w:tcPr>
            <w:tcW w:w="346" w:type="pct"/>
            <w:shd w:val="clear" w:color="auto" w:fill="auto"/>
            <w:noWrap/>
            <w:vAlign w:val="center"/>
          </w:tcPr>
          <w:p w14:paraId="20BE5561">
            <w:pPr>
              <w:widowControl/>
              <w:textAlignment w:val="center"/>
              <w:rPr>
                <w:rFonts w:ascii="宋体" w:hAnsi="宋体" w:cs="宋体"/>
                <w:color w:val="000000"/>
                <w:sz w:val="22"/>
                <w:szCs w:val="22"/>
              </w:rPr>
            </w:pPr>
            <w:r>
              <w:rPr>
                <w:rFonts w:hint="eastAsia" w:ascii="宋体" w:hAnsi="宋体" w:cs="宋体"/>
                <w:color w:val="000000"/>
                <w:sz w:val="22"/>
                <w:szCs w:val="22"/>
              </w:rPr>
              <w:t>新风通信模块</w:t>
            </w:r>
          </w:p>
        </w:tc>
        <w:tc>
          <w:tcPr>
            <w:tcW w:w="3489" w:type="pct"/>
            <w:shd w:val="clear" w:color="auto" w:fill="auto"/>
            <w:vAlign w:val="center"/>
          </w:tcPr>
          <w:p w14:paraId="07646022">
            <w:pPr>
              <w:widowControl/>
              <w:textAlignment w:val="center"/>
              <w:rPr>
                <w:rFonts w:ascii="宋体" w:hAnsi="宋体" w:cs="宋体"/>
                <w:color w:val="000000"/>
                <w:sz w:val="22"/>
                <w:szCs w:val="22"/>
              </w:rPr>
            </w:pPr>
            <w:r>
              <w:rPr>
                <w:rFonts w:ascii="宋体" w:hAnsi="宋体" w:cs="宋体"/>
                <w:color w:val="000000"/>
                <w:sz w:val="22"/>
                <w:szCs w:val="22"/>
              </w:rPr>
              <w:t>1.设备供电DC12～24V/500mA</w:t>
            </w:r>
          </w:p>
          <w:p w14:paraId="600689E5">
            <w:pPr>
              <w:widowControl/>
              <w:textAlignment w:val="center"/>
              <w:rPr>
                <w:rFonts w:ascii="宋体" w:hAnsi="宋体" w:cs="宋体"/>
                <w:color w:val="000000"/>
                <w:sz w:val="22"/>
                <w:szCs w:val="22"/>
              </w:rPr>
            </w:pPr>
            <w:r>
              <w:rPr>
                <w:rFonts w:ascii="宋体" w:hAnsi="宋体" w:cs="宋体"/>
                <w:color w:val="000000"/>
                <w:sz w:val="22"/>
                <w:szCs w:val="22"/>
              </w:rPr>
              <w:t>2.通讯方式：RS485（通讯增强隔离保护型）</w:t>
            </w:r>
          </w:p>
          <w:p w14:paraId="27EEC693">
            <w:pPr>
              <w:widowControl/>
              <w:textAlignment w:val="center"/>
              <w:rPr>
                <w:rFonts w:ascii="宋体" w:hAnsi="宋体" w:cs="宋体"/>
                <w:color w:val="000000"/>
                <w:sz w:val="22"/>
                <w:szCs w:val="22"/>
              </w:rPr>
            </w:pPr>
            <w:r>
              <w:rPr>
                <w:rFonts w:ascii="宋体" w:hAnsi="宋体" w:cs="宋体"/>
                <w:color w:val="000000"/>
                <w:sz w:val="22"/>
                <w:szCs w:val="22"/>
              </w:rPr>
              <w:t>3.壳体：ABS</w:t>
            </w:r>
          </w:p>
          <w:p w14:paraId="0FA81B72">
            <w:pPr>
              <w:widowControl/>
              <w:textAlignment w:val="center"/>
              <w:rPr>
                <w:rFonts w:ascii="宋体" w:hAnsi="宋体" w:cs="宋体"/>
                <w:color w:val="000000"/>
                <w:sz w:val="22"/>
                <w:szCs w:val="22"/>
              </w:rPr>
            </w:pPr>
            <w:r>
              <w:rPr>
                <w:rFonts w:hint="eastAsia" w:ascii="宋体" w:hAnsi="宋体" w:cs="宋体"/>
                <w:color w:val="000000"/>
                <w:sz w:val="22"/>
                <w:szCs w:val="22"/>
              </w:rPr>
              <w:t>4</w:t>
            </w:r>
            <w:r>
              <w:rPr>
                <w:rFonts w:ascii="宋体" w:hAnsi="宋体" w:cs="宋体"/>
                <w:color w:val="000000"/>
                <w:sz w:val="22"/>
                <w:szCs w:val="22"/>
              </w:rPr>
              <w:t>.控制类型：继电器开关节点，承载AC220V/4A</w:t>
            </w:r>
          </w:p>
          <w:p w14:paraId="55FA251B">
            <w:pPr>
              <w:widowControl/>
              <w:textAlignment w:val="center"/>
              <w:rPr>
                <w:rFonts w:ascii="宋体" w:hAnsi="宋体" w:cs="宋体"/>
                <w:color w:val="000000"/>
                <w:sz w:val="22"/>
                <w:szCs w:val="22"/>
              </w:rPr>
            </w:pPr>
            <w:r>
              <w:rPr>
                <w:rFonts w:hint="eastAsia" w:ascii="宋体" w:hAnsi="宋体" w:cs="宋体"/>
                <w:color w:val="000000"/>
                <w:sz w:val="22"/>
                <w:szCs w:val="22"/>
              </w:rPr>
              <w:t>5</w:t>
            </w:r>
            <w:r>
              <w:rPr>
                <w:rFonts w:ascii="宋体" w:hAnsi="宋体" w:cs="宋体"/>
                <w:color w:val="000000"/>
                <w:sz w:val="22"/>
                <w:szCs w:val="22"/>
              </w:rPr>
              <w:t>.设备功能：和多参数传感器联动，实现闭环控制</w:t>
            </w:r>
          </w:p>
          <w:p w14:paraId="70F886C7">
            <w:pPr>
              <w:widowControl/>
              <w:textAlignment w:val="center"/>
              <w:rPr>
                <w:rFonts w:ascii="宋体" w:hAnsi="宋体" w:cs="宋体"/>
                <w:color w:val="000000"/>
                <w:sz w:val="22"/>
                <w:szCs w:val="22"/>
              </w:rPr>
            </w:pPr>
            <w:r>
              <w:rPr>
                <w:rFonts w:hint="eastAsia" w:ascii="宋体" w:hAnsi="宋体" w:cs="宋体"/>
                <w:color w:val="000000"/>
                <w:sz w:val="22"/>
                <w:szCs w:val="22"/>
              </w:rPr>
              <w:t>6</w:t>
            </w:r>
            <w:r>
              <w:rPr>
                <w:rFonts w:ascii="宋体" w:hAnsi="宋体" w:cs="宋体"/>
                <w:color w:val="000000"/>
                <w:sz w:val="22"/>
                <w:szCs w:val="22"/>
              </w:rPr>
              <w:t>.工作温度范围：-20℃～70℃</w:t>
            </w:r>
          </w:p>
        </w:tc>
        <w:tc>
          <w:tcPr>
            <w:tcW w:w="221" w:type="pct"/>
            <w:gridSpan w:val="2"/>
            <w:shd w:val="clear" w:color="auto" w:fill="auto"/>
            <w:noWrap/>
            <w:vAlign w:val="center"/>
          </w:tcPr>
          <w:p w14:paraId="60C282B5">
            <w:pPr>
              <w:widowControl/>
              <w:textAlignment w:val="center"/>
              <w:rPr>
                <w:rFonts w:ascii="宋体" w:hAnsi="宋体" w:cs="宋体"/>
                <w:color w:val="000000"/>
                <w:sz w:val="22"/>
                <w:szCs w:val="22"/>
              </w:rPr>
            </w:pPr>
            <w:r>
              <w:rPr>
                <w:rFonts w:hint="eastAsia" w:ascii="宋体" w:hAnsi="宋体" w:cs="宋体"/>
                <w:color w:val="000000"/>
                <w:sz w:val="22"/>
                <w:szCs w:val="22"/>
              </w:rPr>
              <w:t>个</w:t>
            </w:r>
          </w:p>
        </w:tc>
        <w:tc>
          <w:tcPr>
            <w:tcW w:w="428" w:type="pct"/>
            <w:gridSpan w:val="2"/>
            <w:shd w:val="clear" w:color="auto" w:fill="auto"/>
            <w:noWrap/>
            <w:vAlign w:val="center"/>
          </w:tcPr>
          <w:p w14:paraId="319807BA">
            <w:pPr>
              <w:widowControl/>
              <w:textAlignment w:val="center"/>
              <w:rPr>
                <w:rFonts w:ascii="宋体" w:hAnsi="宋体" w:cs="宋体"/>
                <w:color w:val="000000"/>
                <w:sz w:val="22"/>
                <w:szCs w:val="22"/>
              </w:rPr>
            </w:pPr>
            <w:r>
              <w:rPr>
                <w:rFonts w:hint="eastAsia" w:ascii="宋体" w:hAnsi="宋体" w:cs="宋体"/>
                <w:color w:val="000000"/>
                <w:sz w:val="22"/>
                <w:szCs w:val="22"/>
              </w:rPr>
              <w:t xml:space="preserve">20 </w:t>
            </w:r>
          </w:p>
        </w:tc>
      </w:tr>
      <w:tr w14:paraId="05BB1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099" w:hRule="atLeast"/>
        </w:trPr>
        <w:tc>
          <w:tcPr>
            <w:tcW w:w="508" w:type="pct"/>
            <w:shd w:val="clear" w:color="auto" w:fill="auto"/>
            <w:vAlign w:val="center"/>
          </w:tcPr>
          <w:p w14:paraId="5A49BBDE">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1.8 </w:t>
            </w:r>
          </w:p>
        </w:tc>
        <w:tc>
          <w:tcPr>
            <w:tcW w:w="346" w:type="pct"/>
            <w:shd w:val="clear" w:color="auto" w:fill="auto"/>
            <w:noWrap/>
            <w:vAlign w:val="center"/>
          </w:tcPr>
          <w:p w14:paraId="4636EDC2">
            <w:pPr>
              <w:widowControl/>
              <w:textAlignment w:val="center"/>
              <w:rPr>
                <w:rFonts w:ascii="宋体" w:hAnsi="宋体" w:cs="宋体"/>
                <w:color w:val="000000"/>
                <w:sz w:val="22"/>
                <w:szCs w:val="22"/>
              </w:rPr>
            </w:pPr>
            <w:r>
              <w:rPr>
                <w:rFonts w:hint="eastAsia" w:ascii="宋体" w:hAnsi="宋体" w:cs="宋体"/>
                <w:color w:val="000000"/>
                <w:sz w:val="22"/>
                <w:szCs w:val="22"/>
              </w:rPr>
              <w:t>多合一气体传感器</w:t>
            </w:r>
          </w:p>
        </w:tc>
        <w:tc>
          <w:tcPr>
            <w:tcW w:w="3489" w:type="pct"/>
            <w:shd w:val="clear" w:color="auto" w:fill="auto"/>
            <w:vAlign w:val="center"/>
          </w:tcPr>
          <w:p w14:paraId="2F27CC10">
            <w:pPr>
              <w:widowControl/>
              <w:textAlignment w:val="center"/>
              <w:rPr>
                <w:rFonts w:ascii="宋体" w:hAnsi="宋体" w:cs="宋体"/>
                <w:color w:val="000000"/>
                <w:sz w:val="22"/>
                <w:szCs w:val="22"/>
              </w:rPr>
            </w:pPr>
            <w:r>
              <w:rPr>
                <w:rFonts w:hint="eastAsia" w:ascii="宋体" w:hAnsi="宋体" w:cs="宋体"/>
                <w:color w:val="000000"/>
                <w:sz w:val="22"/>
                <w:szCs w:val="22"/>
              </w:rPr>
              <w:t>1.TVOC 传感器，激光粉尘传感器、红外二氧化碳传感器、温度、湿度传感器为一体的多合一传感器， 所有传感器均单独存在，所有数值均是测试所得，不是通过算法等效得出；</w:t>
            </w:r>
            <w:r>
              <w:rPr>
                <w:rFonts w:hint="eastAsia" w:ascii="宋体" w:hAnsi="宋体" w:cs="宋体"/>
                <w:color w:val="000000"/>
                <w:sz w:val="22"/>
                <w:szCs w:val="22"/>
              </w:rPr>
              <w:br w:type="textWrapping"/>
            </w:r>
            <w:r>
              <w:rPr>
                <w:rFonts w:hint="eastAsia" w:ascii="宋体" w:hAnsi="宋体" w:cs="宋体"/>
                <w:color w:val="000000"/>
                <w:sz w:val="22"/>
                <w:szCs w:val="22"/>
              </w:rPr>
              <w:t>2.CO2量程0~5000ppm，PM2.5量程0~1000ug/m3，温度量程-40～125℃，温度精度0.3℃(0~60℃)，湿度量程0~100%RH，湿度精度±2%RH(@25℃，20%~80%RH)；</w:t>
            </w:r>
            <w:r>
              <w:rPr>
                <w:rFonts w:hint="eastAsia" w:ascii="宋体" w:hAnsi="宋体" w:cs="宋体"/>
                <w:color w:val="000000"/>
                <w:sz w:val="22"/>
                <w:szCs w:val="22"/>
              </w:rPr>
              <w:br w:type="textWrapping"/>
            </w:r>
            <w:r>
              <w:rPr>
                <w:rFonts w:hint="eastAsia" w:ascii="宋体" w:hAnsi="宋体" w:cs="宋体"/>
                <w:color w:val="000000"/>
                <w:sz w:val="22"/>
                <w:szCs w:val="22"/>
              </w:rPr>
              <w:t>3.传感器具有高精度，高稳定性，较强的抗干扰能力；</w:t>
            </w:r>
            <w:r>
              <w:rPr>
                <w:rFonts w:hint="eastAsia" w:ascii="宋体" w:hAnsi="宋体" w:cs="宋体"/>
                <w:color w:val="000000"/>
                <w:sz w:val="22"/>
                <w:szCs w:val="22"/>
              </w:rPr>
              <w:br w:type="textWrapping"/>
            </w:r>
            <w:r>
              <w:rPr>
                <w:rFonts w:hint="eastAsia" w:ascii="宋体" w:hAnsi="宋体" w:cs="宋体"/>
                <w:color w:val="000000"/>
                <w:sz w:val="22"/>
                <w:szCs w:val="22"/>
              </w:rPr>
              <w:t>4.检测数据实时传输至物联网平台</w:t>
            </w:r>
            <w:r>
              <w:rPr>
                <w:rFonts w:hint="eastAsia" w:ascii="宋体" w:hAnsi="宋体" w:cs="宋体"/>
                <w:color w:val="000000"/>
                <w:sz w:val="22"/>
                <w:szCs w:val="22"/>
              </w:rPr>
              <w:br w:type="textWrapping"/>
            </w:r>
            <w:r>
              <w:rPr>
                <w:rFonts w:hint="eastAsia" w:ascii="宋体" w:hAnsi="宋体" w:cs="宋体"/>
                <w:color w:val="000000"/>
                <w:sz w:val="22"/>
                <w:szCs w:val="22"/>
              </w:rPr>
              <w:t>5.DC5V,1A供电；</w:t>
            </w:r>
          </w:p>
        </w:tc>
        <w:tc>
          <w:tcPr>
            <w:tcW w:w="221" w:type="pct"/>
            <w:gridSpan w:val="2"/>
            <w:shd w:val="clear" w:color="auto" w:fill="auto"/>
            <w:noWrap/>
            <w:vAlign w:val="center"/>
          </w:tcPr>
          <w:p w14:paraId="26EB5D0E">
            <w:pPr>
              <w:widowControl/>
              <w:textAlignment w:val="center"/>
              <w:rPr>
                <w:rFonts w:ascii="宋体" w:hAnsi="宋体" w:cs="宋体"/>
                <w:color w:val="000000"/>
                <w:sz w:val="22"/>
                <w:szCs w:val="22"/>
              </w:rPr>
            </w:pPr>
            <w:r>
              <w:rPr>
                <w:rFonts w:hint="eastAsia" w:ascii="宋体" w:hAnsi="宋体" w:cs="宋体"/>
                <w:color w:val="000000"/>
                <w:sz w:val="22"/>
                <w:szCs w:val="22"/>
              </w:rPr>
              <w:t>个</w:t>
            </w:r>
          </w:p>
        </w:tc>
        <w:tc>
          <w:tcPr>
            <w:tcW w:w="428" w:type="pct"/>
            <w:gridSpan w:val="2"/>
            <w:shd w:val="clear" w:color="auto" w:fill="auto"/>
            <w:noWrap/>
            <w:vAlign w:val="center"/>
          </w:tcPr>
          <w:p w14:paraId="54BBFA72">
            <w:pPr>
              <w:widowControl/>
              <w:textAlignment w:val="center"/>
              <w:rPr>
                <w:rFonts w:ascii="宋体" w:hAnsi="宋体" w:cs="宋体"/>
                <w:color w:val="000000"/>
                <w:sz w:val="22"/>
                <w:szCs w:val="22"/>
              </w:rPr>
            </w:pPr>
            <w:r>
              <w:rPr>
                <w:rFonts w:hint="eastAsia" w:ascii="宋体" w:hAnsi="宋体" w:cs="宋体"/>
                <w:color w:val="000000"/>
                <w:sz w:val="22"/>
                <w:szCs w:val="22"/>
              </w:rPr>
              <w:t xml:space="preserve">24 </w:t>
            </w:r>
          </w:p>
        </w:tc>
      </w:tr>
      <w:tr w14:paraId="338A4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397" w:hRule="atLeast"/>
        </w:trPr>
        <w:tc>
          <w:tcPr>
            <w:tcW w:w="508" w:type="pct"/>
            <w:shd w:val="clear" w:color="auto" w:fill="auto"/>
            <w:vAlign w:val="center"/>
          </w:tcPr>
          <w:p w14:paraId="2CF88BC2">
            <w:pPr>
              <w:widowControl/>
              <w:textAlignment w:val="center"/>
              <w:rPr>
                <w:rFonts w:ascii="宋体" w:hAnsi="宋体" w:cs="宋体"/>
                <w:color w:val="000000"/>
                <w:sz w:val="22"/>
                <w:szCs w:val="22"/>
              </w:rPr>
            </w:pPr>
            <w:r>
              <w:rPr>
                <w:rFonts w:hint="eastAsia" w:ascii="宋体" w:hAnsi="宋体" w:cs="宋体"/>
                <w:color w:val="000000"/>
                <w:sz w:val="22"/>
                <w:szCs w:val="22"/>
              </w:rPr>
              <w:t>1.9</w:t>
            </w:r>
          </w:p>
        </w:tc>
        <w:tc>
          <w:tcPr>
            <w:tcW w:w="346" w:type="pct"/>
            <w:shd w:val="clear" w:color="auto" w:fill="auto"/>
            <w:noWrap/>
            <w:vAlign w:val="center"/>
          </w:tcPr>
          <w:p w14:paraId="5DED56F8">
            <w:pPr>
              <w:widowControl/>
              <w:textAlignment w:val="center"/>
              <w:rPr>
                <w:rFonts w:ascii="宋体" w:hAnsi="宋体" w:cs="宋体"/>
                <w:color w:val="000000"/>
                <w:sz w:val="22"/>
                <w:szCs w:val="22"/>
              </w:rPr>
            </w:pPr>
            <w:r>
              <w:rPr>
                <w:rFonts w:hint="eastAsia" w:ascii="宋体" w:hAnsi="宋体" w:cs="宋体"/>
                <w:color w:val="000000"/>
                <w:sz w:val="22"/>
                <w:szCs w:val="22"/>
              </w:rPr>
              <w:t>配电柜</w:t>
            </w:r>
          </w:p>
        </w:tc>
        <w:tc>
          <w:tcPr>
            <w:tcW w:w="3489" w:type="pct"/>
            <w:shd w:val="clear" w:color="auto" w:fill="auto"/>
            <w:vAlign w:val="center"/>
          </w:tcPr>
          <w:p w14:paraId="6D98FCEA">
            <w:pPr>
              <w:widowControl/>
              <w:textAlignment w:val="center"/>
              <w:rPr>
                <w:rFonts w:ascii="宋体" w:hAnsi="宋体" w:cs="宋体"/>
                <w:color w:val="000000"/>
                <w:sz w:val="22"/>
                <w:szCs w:val="22"/>
              </w:rPr>
            </w:pPr>
            <w:r>
              <w:rPr>
                <w:rFonts w:hint="eastAsia" w:ascii="宋体" w:hAnsi="宋体" w:cs="宋体"/>
                <w:color w:val="000000"/>
                <w:sz w:val="22"/>
                <w:szCs w:val="22"/>
              </w:rPr>
              <w:t>1.不小于30KW并带漏电保护和智控功能；</w:t>
            </w:r>
            <w:r>
              <w:rPr>
                <w:rFonts w:hint="eastAsia" w:ascii="宋体" w:hAnsi="宋体" w:cs="宋体"/>
                <w:color w:val="000000"/>
                <w:sz w:val="22"/>
                <w:szCs w:val="22"/>
              </w:rPr>
              <w:br w:type="textWrapping"/>
            </w:r>
            <w:r>
              <w:rPr>
                <w:rFonts w:hint="eastAsia" w:ascii="宋体" w:hAnsi="宋体" w:cs="宋体"/>
                <w:color w:val="000000"/>
                <w:sz w:val="22"/>
                <w:szCs w:val="22"/>
              </w:rPr>
              <w:t>2.安全性：内部线材需采用4</w:t>
            </w:r>
            <w:r>
              <w:rPr>
                <w:rFonts w:hint="eastAsia" w:ascii="宋体" w:hAnsi="宋体" w:cs="宋体"/>
                <w:color w:val="000000"/>
                <w:sz w:val="22"/>
                <w:szCs w:val="22"/>
                <w:lang w:val="en-US" w:eastAsia="zh-CN"/>
              </w:rPr>
              <w:t>平方毫米</w:t>
            </w:r>
            <w:r>
              <w:rPr>
                <w:rFonts w:hint="eastAsia" w:ascii="宋体" w:hAnsi="宋体" w:cs="宋体"/>
                <w:color w:val="000000"/>
                <w:sz w:val="22"/>
                <w:szCs w:val="22"/>
              </w:rPr>
              <w:t>及以上国标纯铜导线；</w:t>
            </w:r>
            <w:r>
              <w:rPr>
                <w:rFonts w:hint="eastAsia" w:ascii="宋体" w:hAnsi="宋体" w:cs="宋体"/>
                <w:color w:val="000000"/>
                <w:sz w:val="22"/>
                <w:szCs w:val="22"/>
              </w:rPr>
              <w:br w:type="textWrapping"/>
            </w:r>
            <w:r>
              <w:rPr>
                <w:rFonts w:hint="eastAsia" w:ascii="宋体" w:hAnsi="宋体" w:cs="宋体"/>
                <w:color w:val="000000"/>
                <w:sz w:val="22"/>
                <w:szCs w:val="22"/>
              </w:rPr>
              <w:t>3.开关控制：需具备自动/手动控制设备供电的开启和关闭；</w:t>
            </w:r>
            <w:r>
              <w:rPr>
                <w:rFonts w:hint="eastAsia" w:ascii="宋体" w:hAnsi="宋体" w:cs="宋体"/>
                <w:color w:val="000000"/>
                <w:sz w:val="22"/>
                <w:szCs w:val="22"/>
              </w:rPr>
              <w:br w:type="textWrapping"/>
            </w:r>
            <w:r>
              <w:rPr>
                <w:rFonts w:hint="eastAsia" w:ascii="宋体" w:hAnsi="宋体" w:cs="宋体"/>
                <w:color w:val="000000"/>
                <w:sz w:val="22"/>
                <w:szCs w:val="22"/>
              </w:rPr>
              <w:t>4.输出控制，需支持多组输出回路，每组可独立控制，如照明输出、风机/空调输出分路、显示屏输出分路分开控制；</w:t>
            </w:r>
            <w:r>
              <w:rPr>
                <w:rFonts w:hint="eastAsia" w:ascii="宋体" w:hAnsi="宋体" w:cs="宋体"/>
                <w:color w:val="000000"/>
                <w:sz w:val="22"/>
                <w:szCs w:val="22"/>
              </w:rPr>
              <w:br w:type="textWrapping"/>
            </w:r>
            <w:r>
              <w:rPr>
                <w:rFonts w:hint="eastAsia" w:ascii="宋体" w:hAnsi="宋体" w:cs="宋体"/>
                <w:color w:val="000000"/>
                <w:sz w:val="22"/>
                <w:szCs w:val="22"/>
              </w:rPr>
              <w:t>5.上电保护功能：需具有延时启动、浪涌保护、防雷、过流、短路等保护功能；</w:t>
            </w:r>
            <w:r>
              <w:rPr>
                <w:rFonts w:hint="eastAsia" w:ascii="宋体" w:hAnsi="宋体" w:cs="宋体"/>
                <w:color w:val="000000"/>
                <w:sz w:val="22"/>
                <w:szCs w:val="22"/>
              </w:rPr>
              <w:br w:type="textWrapping"/>
            </w:r>
            <w:r>
              <w:rPr>
                <w:rFonts w:hint="eastAsia" w:ascii="宋体" w:hAnsi="宋体" w:cs="宋体"/>
                <w:color w:val="000000"/>
                <w:sz w:val="22"/>
                <w:szCs w:val="22"/>
              </w:rPr>
              <w:t xml:space="preserve">6.功能性检测：需具有电源状态指示、运行状态指示等功能； </w:t>
            </w:r>
            <w:r>
              <w:rPr>
                <w:rFonts w:hint="eastAsia" w:ascii="宋体" w:hAnsi="宋体" w:cs="宋体"/>
                <w:color w:val="000000"/>
                <w:sz w:val="22"/>
                <w:szCs w:val="22"/>
              </w:rPr>
              <w:br w:type="textWrapping"/>
            </w:r>
            <w:r>
              <w:rPr>
                <w:rFonts w:hint="eastAsia" w:ascii="宋体" w:hAnsi="宋体" w:cs="宋体"/>
                <w:color w:val="000000"/>
                <w:sz w:val="22"/>
                <w:szCs w:val="22"/>
              </w:rPr>
              <w:t>7.额定工作电压：380V/220V；</w:t>
            </w:r>
          </w:p>
        </w:tc>
        <w:tc>
          <w:tcPr>
            <w:tcW w:w="221" w:type="pct"/>
            <w:gridSpan w:val="2"/>
            <w:shd w:val="clear" w:color="auto" w:fill="auto"/>
            <w:noWrap/>
            <w:vAlign w:val="center"/>
          </w:tcPr>
          <w:p w14:paraId="30233D13">
            <w:pPr>
              <w:widowControl/>
              <w:textAlignment w:val="center"/>
              <w:rPr>
                <w:rFonts w:ascii="宋体" w:hAnsi="宋体" w:cs="宋体"/>
                <w:color w:val="000000"/>
                <w:sz w:val="22"/>
                <w:szCs w:val="22"/>
              </w:rPr>
            </w:pPr>
            <w:r>
              <w:rPr>
                <w:rFonts w:hint="eastAsia" w:ascii="宋体" w:hAnsi="宋体" w:cs="宋体"/>
                <w:color w:val="000000"/>
                <w:sz w:val="22"/>
                <w:szCs w:val="22"/>
              </w:rPr>
              <w:t>台</w:t>
            </w:r>
          </w:p>
        </w:tc>
        <w:tc>
          <w:tcPr>
            <w:tcW w:w="428" w:type="pct"/>
            <w:gridSpan w:val="2"/>
            <w:shd w:val="clear" w:color="auto" w:fill="auto"/>
            <w:noWrap/>
            <w:vAlign w:val="center"/>
          </w:tcPr>
          <w:p w14:paraId="4D8DCC34">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2BBBF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754" w:hRule="atLeast"/>
        </w:trPr>
        <w:tc>
          <w:tcPr>
            <w:tcW w:w="508" w:type="pct"/>
            <w:shd w:val="clear" w:color="auto" w:fill="auto"/>
            <w:vAlign w:val="center"/>
          </w:tcPr>
          <w:p w14:paraId="27153E4E">
            <w:pPr>
              <w:widowControl/>
              <w:textAlignment w:val="center"/>
              <w:rPr>
                <w:rFonts w:ascii="宋体" w:hAnsi="宋体" w:cs="宋体"/>
                <w:color w:val="000000"/>
                <w:sz w:val="22"/>
                <w:szCs w:val="22"/>
              </w:rPr>
            </w:pPr>
            <w:r>
              <w:rPr>
                <w:rFonts w:hint="eastAsia" w:ascii="宋体" w:hAnsi="宋体" w:cs="宋体"/>
                <w:color w:val="000000"/>
                <w:sz w:val="22"/>
                <w:szCs w:val="22"/>
              </w:rPr>
              <w:t>1.10</w:t>
            </w:r>
          </w:p>
        </w:tc>
        <w:tc>
          <w:tcPr>
            <w:tcW w:w="346" w:type="pct"/>
            <w:shd w:val="clear" w:color="auto" w:fill="auto"/>
            <w:noWrap/>
            <w:vAlign w:val="center"/>
          </w:tcPr>
          <w:p w14:paraId="2F6676FB">
            <w:pPr>
              <w:widowControl/>
              <w:textAlignment w:val="center"/>
              <w:rPr>
                <w:rFonts w:ascii="宋体" w:hAnsi="宋体" w:cs="宋体"/>
                <w:color w:val="000000"/>
                <w:sz w:val="22"/>
                <w:szCs w:val="22"/>
              </w:rPr>
            </w:pPr>
            <w:r>
              <w:rPr>
                <w:rFonts w:hint="eastAsia" w:ascii="宋体" w:hAnsi="宋体" w:cs="宋体"/>
                <w:color w:val="000000"/>
                <w:sz w:val="22"/>
                <w:szCs w:val="22"/>
              </w:rPr>
              <w:t>信号线缆</w:t>
            </w:r>
          </w:p>
        </w:tc>
        <w:tc>
          <w:tcPr>
            <w:tcW w:w="3489" w:type="pct"/>
            <w:shd w:val="clear" w:color="auto" w:fill="auto"/>
            <w:vAlign w:val="center"/>
          </w:tcPr>
          <w:p w14:paraId="57697C8D">
            <w:pPr>
              <w:widowControl/>
              <w:textAlignment w:val="center"/>
              <w:rPr>
                <w:rFonts w:ascii="宋体" w:hAnsi="宋体" w:cs="宋体"/>
                <w:color w:val="000000"/>
                <w:sz w:val="22"/>
                <w:szCs w:val="22"/>
              </w:rPr>
            </w:pPr>
            <w:r>
              <w:rPr>
                <w:rFonts w:hint="eastAsia" w:ascii="宋体" w:hAnsi="宋体" w:cs="宋体"/>
                <w:color w:val="000000"/>
                <w:sz w:val="22"/>
                <w:szCs w:val="22"/>
              </w:rPr>
              <w:t>GB/T5023-2008 国标、JB/T8734-2016 4芯*1.0平方</w:t>
            </w:r>
            <w:r>
              <w:rPr>
                <w:rFonts w:hint="eastAsia" w:ascii="宋体" w:hAnsi="宋体" w:cs="宋体"/>
                <w:color w:val="000000"/>
                <w:sz w:val="22"/>
                <w:szCs w:val="22"/>
                <w:lang w:val="en-US" w:eastAsia="zh-CN"/>
              </w:rPr>
              <w:t>毫米</w:t>
            </w:r>
            <w:r>
              <w:rPr>
                <w:rFonts w:hint="eastAsia" w:ascii="宋体" w:hAnsi="宋体" w:cs="宋体"/>
                <w:color w:val="000000"/>
                <w:sz w:val="22"/>
                <w:szCs w:val="22"/>
              </w:rPr>
              <w:t>；优质无氧铜丝，聚氯乙烯绝缘屏蔽聚氯乙烯护套；</w:t>
            </w:r>
          </w:p>
        </w:tc>
        <w:tc>
          <w:tcPr>
            <w:tcW w:w="221" w:type="pct"/>
            <w:gridSpan w:val="2"/>
            <w:shd w:val="clear" w:color="auto" w:fill="auto"/>
            <w:noWrap/>
            <w:vAlign w:val="center"/>
          </w:tcPr>
          <w:p w14:paraId="58A5C77C">
            <w:pPr>
              <w:widowControl/>
              <w:textAlignment w:val="center"/>
              <w:rPr>
                <w:rFonts w:ascii="宋体" w:hAnsi="宋体" w:cs="宋体"/>
                <w:color w:val="000000"/>
                <w:sz w:val="22"/>
                <w:szCs w:val="22"/>
              </w:rPr>
            </w:pPr>
            <w:r>
              <w:rPr>
                <w:rFonts w:hint="eastAsia" w:ascii="宋体" w:hAnsi="宋体" w:cs="宋体"/>
                <w:color w:val="000000"/>
                <w:sz w:val="22"/>
                <w:szCs w:val="22"/>
              </w:rPr>
              <w:t>卷</w:t>
            </w:r>
          </w:p>
        </w:tc>
        <w:tc>
          <w:tcPr>
            <w:tcW w:w="428" w:type="pct"/>
            <w:gridSpan w:val="2"/>
            <w:shd w:val="clear" w:color="auto" w:fill="auto"/>
            <w:noWrap/>
            <w:vAlign w:val="center"/>
          </w:tcPr>
          <w:p w14:paraId="3A8A8259">
            <w:pPr>
              <w:widowControl/>
              <w:textAlignment w:val="center"/>
              <w:rPr>
                <w:rFonts w:ascii="宋体" w:hAnsi="宋体" w:cs="宋体"/>
                <w:color w:val="000000"/>
                <w:sz w:val="22"/>
                <w:szCs w:val="22"/>
              </w:rPr>
            </w:pPr>
            <w:r>
              <w:rPr>
                <w:rFonts w:hint="eastAsia" w:ascii="宋体" w:hAnsi="宋体" w:cs="宋体"/>
                <w:color w:val="000000"/>
                <w:sz w:val="22"/>
                <w:szCs w:val="22"/>
              </w:rPr>
              <w:t xml:space="preserve">6 </w:t>
            </w:r>
          </w:p>
        </w:tc>
      </w:tr>
      <w:tr w14:paraId="0DBC8C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298E3A42">
            <w:pPr>
              <w:widowControl/>
              <w:textAlignment w:val="center"/>
              <w:rPr>
                <w:rFonts w:ascii="宋体" w:hAnsi="宋体" w:cs="宋体"/>
                <w:color w:val="000000"/>
                <w:sz w:val="22"/>
                <w:szCs w:val="22"/>
              </w:rPr>
            </w:pPr>
            <w:r>
              <w:rPr>
                <w:rFonts w:hint="eastAsia" w:ascii="宋体" w:hAnsi="宋体" w:cs="宋体"/>
                <w:color w:val="000000"/>
                <w:sz w:val="22"/>
                <w:szCs w:val="22"/>
              </w:rPr>
              <w:t>1.11</w:t>
            </w:r>
          </w:p>
        </w:tc>
        <w:tc>
          <w:tcPr>
            <w:tcW w:w="346" w:type="pct"/>
            <w:shd w:val="clear" w:color="auto" w:fill="auto"/>
            <w:noWrap/>
            <w:vAlign w:val="center"/>
          </w:tcPr>
          <w:p w14:paraId="540ED0F8">
            <w:pPr>
              <w:widowControl/>
              <w:textAlignment w:val="center"/>
              <w:rPr>
                <w:rFonts w:ascii="宋体" w:hAnsi="宋体" w:cs="宋体"/>
                <w:color w:val="000000"/>
                <w:sz w:val="22"/>
                <w:szCs w:val="22"/>
              </w:rPr>
            </w:pPr>
            <w:r>
              <w:rPr>
                <w:rFonts w:hint="eastAsia" w:ascii="宋体" w:hAnsi="宋体" w:cs="宋体"/>
                <w:color w:val="000000"/>
                <w:sz w:val="22"/>
                <w:szCs w:val="22"/>
              </w:rPr>
              <w:t>电源线</w:t>
            </w:r>
          </w:p>
        </w:tc>
        <w:tc>
          <w:tcPr>
            <w:tcW w:w="3489" w:type="pct"/>
            <w:shd w:val="clear" w:color="auto" w:fill="auto"/>
            <w:vAlign w:val="center"/>
          </w:tcPr>
          <w:p w14:paraId="1118FDB6">
            <w:pPr>
              <w:widowControl/>
              <w:textAlignment w:val="center"/>
              <w:rPr>
                <w:rFonts w:ascii="宋体" w:hAnsi="宋体" w:cs="宋体"/>
                <w:color w:val="000000"/>
                <w:sz w:val="22"/>
                <w:szCs w:val="22"/>
              </w:rPr>
            </w:pPr>
            <w:r>
              <w:rPr>
                <w:rFonts w:hint="eastAsia" w:ascii="宋体" w:hAnsi="宋体" w:cs="宋体"/>
                <w:color w:val="000000"/>
                <w:sz w:val="22"/>
                <w:szCs w:val="22"/>
              </w:rPr>
              <w:t>GB/T5023-2008 国标、JB/T8734-2016 3芯*1.5平方</w:t>
            </w:r>
            <w:r>
              <w:rPr>
                <w:rFonts w:hint="eastAsia" w:ascii="宋体" w:hAnsi="宋体" w:cs="宋体"/>
                <w:color w:val="000000"/>
                <w:sz w:val="22"/>
                <w:szCs w:val="22"/>
                <w:lang w:val="en-US" w:eastAsia="zh-CN"/>
              </w:rPr>
              <w:t>毫米</w:t>
            </w:r>
            <w:r>
              <w:rPr>
                <w:rFonts w:hint="eastAsia" w:ascii="宋体" w:hAnsi="宋体" w:cs="宋体"/>
                <w:color w:val="000000"/>
                <w:sz w:val="22"/>
                <w:szCs w:val="22"/>
              </w:rPr>
              <w:t>；优质无氧铜丝，聚氯乙烯绝缘，聚氯乙烯护套；</w:t>
            </w:r>
          </w:p>
        </w:tc>
        <w:tc>
          <w:tcPr>
            <w:tcW w:w="221" w:type="pct"/>
            <w:gridSpan w:val="2"/>
            <w:shd w:val="clear" w:color="auto" w:fill="auto"/>
            <w:noWrap/>
            <w:vAlign w:val="center"/>
          </w:tcPr>
          <w:p w14:paraId="462169FB">
            <w:pPr>
              <w:widowControl/>
              <w:textAlignment w:val="center"/>
              <w:rPr>
                <w:rFonts w:ascii="宋体" w:hAnsi="宋体" w:cs="宋体"/>
                <w:color w:val="000000"/>
                <w:sz w:val="22"/>
                <w:szCs w:val="22"/>
              </w:rPr>
            </w:pPr>
            <w:r>
              <w:rPr>
                <w:rFonts w:hint="eastAsia" w:ascii="宋体" w:hAnsi="宋体" w:cs="宋体"/>
                <w:color w:val="000000"/>
                <w:sz w:val="22"/>
                <w:szCs w:val="22"/>
              </w:rPr>
              <w:t>卷</w:t>
            </w:r>
          </w:p>
        </w:tc>
        <w:tc>
          <w:tcPr>
            <w:tcW w:w="428" w:type="pct"/>
            <w:gridSpan w:val="2"/>
            <w:shd w:val="clear" w:color="auto" w:fill="auto"/>
            <w:noWrap/>
            <w:vAlign w:val="center"/>
          </w:tcPr>
          <w:p w14:paraId="54B013E4">
            <w:pPr>
              <w:widowControl/>
              <w:textAlignment w:val="center"/>
              <w:rPr>
                <w:rFonts w:ascii="宋体" w:hAnsi="宋体" w:cs="宋体"/>
                <w:color w:val="000000"/>
                <w:sz w:val="22"/>
                <w:szCs w:val="22"/>
              </w:rPr>
            </w:pPr>
            <w:r>
              <w:rPr>
                <w:rFonts w:hint="eastAsia" w:ascii="宋体" w:hAnsi="宋体" w:cs="宋体"/>
                <w:color w:val="000000"/>
                <w:sz w:val="22"/>
                <w:szCs w:val="22"/>
              </w:rPr>
              <w:t xml:space="preserve">4 </w:t>
            </w:r>
          </w:p>
        </w:tc>
      </w:tr>
      <w:tr w14:paraId="5097D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59" w:hRule="atLeast"/>
        </w:trPr>
        <w:tc>
          <w:tcPr>
            <w:tcW w:w="508" w:type="pct"/>
            <w:shd w:val="clear" w:color="auto" w:fill="auto"/>
            <w:vAlign w:val="center"/>
          </w:tcPr>
          <w:p w14:paraId="61CCE6B9">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1.12 </w:t>
            </w:r>
          </w:p>
        </w:tc>
        <w:tc>
          <w:tcPr>
            <w:tcW w:w="346" w:type="pct"/>
            <w:shd w:val="clear" w:color="auto" w:fill="auto"/>
            <w:noWrap/>
            <w:vAlign w:val="center"/>
          </w:tcPr>
          <w:p w14:paraId="7F0EB92A">
            <w:pPr>
              <w:widowControl/>
              <w:textAlignment w:val="center"/>
              <w:rPr>
                <w:rFonts w:ascii="宋体" w:hAnsi="宋体" w:cs="宋体"/>
                <w:color w:val="000000"/>
                <w:sz w:val="22"/>
                <w:szCs w:val="22"/>
              </w:rPr>
            </w:pPr>
            <w:r>
              <w:rPr>
                <w:rFonts w:hint="eastAsia" w:ascii="宋体" w:hAnsi="宋体" w:cs="宋体"/>
                <w:color w:val="000000"/>
                <w:sz w:val="22"/>
                <w:szCs w:val="22"/>
              </w:rPr>
              <w:t>电源线</w:t>
            </w:r>
          </w:p>
        </w:tc>
        <w:tc>
          <w:tcPr>
            <w:tcW w:w="3489" w:type="pct"/>
            <w:shd w:val="clear" w:color="auto" w:fill="auto"/>
            <w:vAlign w:val="center"/>
          </w:tcPr>
          <w:p w14:paraId="2DD87174">
            <w:pPr>
              <w:widowControl/>
              <w:textAlignment w:val="center"/>
              <w:rPr>
                <w:rFonts w:ascii="宋体" w:hAnsi="宋体" w:cs="宋体"/>
                <w:color w:val="000000"/>
                <w:sz w:val="22"/>
                <w:szCs w:val="22"/>
              </w:rPr>
            </w:pPr>
            <w:r>
              <w:rPr>
                <w:rFonts w:hint="eastAsia" w:ascii="宋体" w:hAnsi="宋体" w:cs="宋体"/>
                <w:color w:val="000000"/>
                <w:sz w:val="22"/>
                <w:szCs w:val="22"/>
              </w:rPr>
              <w:t>GB/T12706-2008 国标，3芯*2.5平方</w:t>
            </w:r>
            <w:r>
              <w:rPr>
                <w:rFonts w:hint="eastAsia" w:ascii="宋体" w:hAnsi="宋体" w:cs="宋体"/>
                <w:color w:val="000000"/>
                <w:sz w:val="22"/>
                <w:szCs w:val="22"/>
                <w:lang w:val="en-US" w:eastAsia="zh-CN"/>
              </w:rPr>
              <w:t>毫米</w:t>
            </w:r>
            <w:r>
              <w:rPr>
                <w:rFonts w:hint="eastAsia" w:ascii="宋体" w:hAnsi="宋体" w:cs="宋体"/>
                <w:color w:val="000000"/>
                <w:sz w:val="22"/>
                <w:szCs w:val="22"/>
              </w:rPr>
              <w:t>；优质无氧铜，交联聚乙烯绝缘，聚氯乙烯护套；</w:t>
            </w:r>
          </w:p>
        </w:tc>
        <w:tc>
          <w:tcPr>
            <w:tcW w:w="221" w:type="pct"/>
            <w:gridSpan w:val="2"/>
            <w:shd w:val="clear" w:color="auto" w:fill="auto"/>
            <w:noWrap/>
            <w:vAlign w:val="center"/>
          </w:tcPr>
          <w:p w14:paraId="79B67E3B">
            <w:pPr>
              <w:widowControl/>
              <w:textAlignment w:val="center"/>
              <w:rPr>
                <w:rFonts w:ascii="宋体" w:hAnsi="宋体" w:cs="宋体"/>
                <w:color w:val="000000"/>
                <w:sz w:val="22"/>
                <w:szCs w:val="22"/>
              </w:rPr>
            </w:pPr>
            <w:r>
              <w:rPr>
                <w:rFonts w:hint="eastAsia" w:ascii="宋体" w:hAnsi="宋体" w:cs="宋体"/>
                <w:color w:val="000000"/>
                <w:sz w:val="22"/>
                <w:szCs w:val="22"/>
              </w:rPr>
              <w:t>卷</w:t>
            </w:r>
          </w:p>
        </w:tc>
        <w:tc>
          <w:tcPr>
            <w:tcW w:w="428" w:type="pct"/>
            <w:gridSpan w:val="2"/>
            <w:shd w:val="clear" w:color="auto" w:fill="auto"/>
            <w:noWrap/>
            <w:vAlign w:val="center"/>
          </w:tcPr>
          <w:p w14:paraId="1ED412A3">
            <w:pPr>
              <w:widowControl/>
              <w:textAlignment w:val="center"/>
              <w:rPr>
                <w:rFonts w:ascii="宋体" w:hAnsi="宋体" w:cs="宋体"/>
                <w:color w:val="000000"/>
                <w:sz w:val="22"/>
                <w:szCs w:val="22"/>
              </w:rPr>
            </w:pPr>
            <w:r>
              <w:rPr>
                <w:rFonts w:hint="eastAsia" w:ascii="宋体" w:hAnsi="宋体" w:cs="宋体"/>
                <w:color w:val="000000"/>
                <w:sz w:val="22"/>
                <w:szCs w:val="22"/>
              </w:rPr>
              <w:t xml:space="preserve">3 </w:t>
            </w:r>
          </w:p>
        </w:tc>
      </w:tr>
      <w:tr w14:paraId="44ABA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1892C557">
            <w:pPr>
              <w:widowControl/>
              <w:textAlignment w:val="center"/>
              <w:rPr>
                <w:rFonts w:ascii="宋体" w:hAnsi="宋体" w:cs="宋体"/>
                <w:color w:val="000000"/>
                <w:sz w:val="22"/>
                <w:szCs w:val="22"/>
              </w:rPr>
            </w:pPr>
            <w:r>
              <w:rPr>
                <w:rFonts w:hint="eastAsia" w:ascii="宋体" w:hAnsi="宋体" w:cs="宋体"/>
                <w:color w:val="000000"/>
                <w:sz w:val="22"/>
                <w:szCs w:val="22"/>
              </w:rPr>
              <w:t>1.13</w:t>
            </w:r>
          </w:p>
        </w:tc>
        <w:tc>
          <w:tcPr>
            <w:tcW w:w="346" w:type="pct"/>
            <w:shd w:val="clear" w:color="auto" w:fill="auto"/>
            <w:noWrap/>
            <w:vAlign w:val="center"/>
          </w:tcPr>
          <w:p w14:paraId="6D148482">
            <w:pPr>
              <w:widowControl/>
              <w:textAlignment w:val="center"/>
              <w:rPr>
                <w:rFonts w:ascii="宋体" w:hAnsi="宋体" w:cs="宋体"/>
                <w:color w:val="000000"/>
                <w:sz w:val="22"/>
                <w:szCs w:val="22"/>
              </w:rPr>
            </w:pPr>
            <w:r>
              <w:rPr>
                <w:rFonts w:hint="eastAsia" w:ascii="宋体" w:hAnsi="宋体" w:cs="宋体"/>
                <w:color w:val="000000"/>
                <w:sz w:val="22"/>
                <w:szCs w:val="22"/>
              </w:rPr>
              <w:t>六类网线</w:t>
            </w:r>
          </w:p>
        </w:tc>
        <w:tc>
          <w:tcPr>
            <w:tcW w:w="3489" w:type="pct"/>
            <w:shd w:val="clear" w:color="auto" w:fill="auto"/>
            <w:vAlign w:val="center"/>
          </w:tcPr>
          <w:p w14:paraId="42077CE3">
            <w:pPr>
              <w:widowControl/>
              <w:textAlignment w:val="center"/>
              <w:rPr>
                <w:rFonts w:ascii="宋体" w:hAnsi="宋体" w:cs="宋体"/>
                <w:color w:val="000000"/>
                <w:sz w:val="22"/>
                <w:szCs w:val="22"/>
              </w:rPr>
            </w:pPr>
            <w:r>
              <w:rPr>
                <w:rFonts w:hint="eastAsia" w:ascii="宋体" w:hAnsi="宋体" w:cs="宋体"/>
                <w:color w:val="000000"/>
                <w:sz w:val="22"/>
                <w:szCs w:val="22"/>
              </w:rPr>
              <w:t>支持千兆以太网信号传输；</w:t>
            </w:r>
            <w:r>
              <w:rPr>
                <w:rFonts w:hint="eastAsia" w:ascii="宋体" w:hAnsi="宋体" w:cs="宋体"/>
                <w:color w:val="000000"/>
                <w:sz w:val="22"/>
                <w:szCs w:val="22"/>
              </w:rPr>
              <w:br w:type="textWrapping"/>
            </w:r>
            <w:r>
              <w:rPr>
                <w:rFonts w:hint="eastAsia" w:ascii="宋体" w:hAnsi="宋体" w:cs="宋体"/>
                <w:color w:val="000000"/>
                <w:sz w:val="22"/>
                <w:szCs w:val="22"/>
              </w:rPr>
              <w:t>无氧铜芯，线径≥0.55mm，聚乙烯(PE)护套；</w:t>
            </w:r>
            <w:r>
              <w:rPr>
                <w:rFonts w:hint="eastAsia" w:ascii="宋体" w:hAnsi="宋体" w:cs="宋体"/>
                <w:color w:val="000000"/>
                <w:sz w:val="22"/>
                <w:szCs w:val="22"/>
              </w:rPr>
              <w:br w:type="textWrapping"/>
            </w:r>
            <w:r>
              <w:rPr>
                <w:rFonts w:hint="eastAsia" w:ascii="宋体" w:hAnsi="宋体" w:cs="宋体"/>
                <w:color w:val="000000"/>
                <w:sz w:val="22"/>
                <w:szCs w:val="22"/>
              </w:rPr>
              <w:t>均匀双绞结构，搭配十字骨架；</w:t>
            </w:r>
          </w:p>
        </w:tc>
        <w:tc>
          <w:tcPr>
            <w:tcW w:w="221" w:type="pct"/>
            <w:gridSpan w:val="2"/>
            <w:shd w:val="clear" w:color="auto" w:fill="auto"/>
            <w:noWrap/>
            <w:vAlign w:val="center"/>
          </w:tcPr>
          <w:p w14:paraId="3F3CFF87">
            <w:pPr>
              <w:widowControl/>
              <w:textAlignment w:val="center"/>
              <w:rPr>
                <w:rFonts w:ascii="宋体" w:hAnsi="宋体" w:cs="宋体"/>
                <w:color w:val="000000"/>
                <w:sz w:val="22"/>
                <w:szCs w:val="22"/>
              </w:rPr>
            </w:pPr>
            <w:r>
              <w:rPr>
                <w:rFonts w:hint="eastAsia" w:ascii="宋体" w:hAnsi="宋体" w:cs="宋体"/>
                <w:color w:val="000000"/>
                <w:sz w:val="22"/>
                <w:szCs w:val="22"/>
              </w:rPr>
              <w:t>箱</w:t>
            </w:r>
          </w:p>
        </w:tc>
        <w:tc>
          <w:tcPr>
            <w:tcW w:w="428" w:type="pct"/>
            <w:gridSpan w:val="2"/>
            <w:shd w:val="clear" w:color="auto" w:fill="auto"/>
            <w:noWrap/>
            <w:vAlign w:val="center"/>
          </w:tcPr>
          <w:p w14:paraId="1C332BD1">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0922A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680" w:hRule="atLeast"/>
        </w:trPr>
        <w:tc>
          <w:tcPr>
            <w:tcW w:w="508" w:type="pct"/>
            <w:shd w:val="clear" w:color="auto" w:fill="auto"/>
            <w:vAlign w:val="center"/>
          </w:tcPr>
          <w:p w14:paraId="0B617B2F">
            <w:pPr>
              <w:widowControl/>
              <w:textAlignment w:val="center"/>
              <w:rPr>
                <w:rFonts w:ascii="宋体" w:hAnsi="宋体" w:cs="宋体"/>
                <w:color w:val="000000"/>
                <w:sz w:val="22"/>
                <w:szCs w:val="22"/>
              </w:rPr>
            </w:pPr>
            <w:r>
              <w:rPr>
                <w:rFonts w:hint="eastAsia" w:ascii="宋体" w:hAnsi="宋体" w:cs="宋体"/>
                <w:color w:val="000000"/>
                <w:sz w:val="22"/>
                <w:szCs w:val="22"/>
              </w:rPr>
              <w:t>1.14</w:t>
            </w:r>
          </w:p>
        </w:tc>
        <w:tc>
          <w:tcPr>
            <w:tcW w:w="346" w:type="pct"/>
            <w:shd w:val="clear" w:color="auto" w:fill="auto"/>
            <w:noWrap/>
            <w:vAlign w:val="center"/>
          </w:tcPr>
          <w:p w14:paraId="6CB8C7F5">
            <w:pPr>
              <w:widowControl/>
              <w:textAlignment w:val="center"/>
              <w:rPr>
                <w:rFonts w:ascii="宋体" w:hAnsi="宋体" w:cs="宋体"/>
                <w:color w:val="000000"/>
                <w:sz w:val="22"/>
                <w:szCs w:val="22"/>
              </w:rPr>
            </w:pPr>
            <w:r>
              <w:rPr>
                <w:rFonts w:hint="eastAsia" w:ascii="宋体" w:hAnsi="宋体" w:cs="宋体"/>
                <w:color w:val="000000"/>
                <w:sz w:val="22"/>
                <w:szCs w:val="22"/>
              </w:rPr>
              <w:t>消音管</w:t>
            </w:r>
          </w:p>
        </w:tc>
        <w:tc>
          <w:tcPr>
            <w:tcW w:w="3489" w:type="pct"/>
            <w:shd w:val="clear" w:color="auto" w:fill="auto"/>
            <w:vAlign w:val="center"/>
          </w:tcPr>
          <w:p w14:paraId="024F7BFC">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PVC材质，φ=200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6B986013">
            <w:pPr>
              <w:widowControl/>
              <w:textAlignment w:val="center"/>
              <w:rPr>
                <w:rFonts w:ascii="宋体" w:hAnsi="宋体" w:cs="宋体"/>
                <w:color w:val="000000"/>
                <w:sz w:val="22"/>
                <w:szCs w:val="22"/>
              </w:rPr>
            </w:pPr>
            <w:r>
              <w:rPr>
                <w:rFonts w:hint="eastAsia" w:ascii="宋体" w:hAnsi="宋体" w:cs="宋体"/>
                <w:color w:val="000000"/>
                <w:sz w:val="22"/>
                <w:szCs w:val="22"/>
              </w:rPr>
              <w:t>个</w:t>
            </w:r>
          </w:p>
        </w:tc>
        <w:tc>
          <w:tcPr>
            <w:tcW w:w="428" w:type="pct"/>
            <w:gridSpan w:val="2"/>
            <w:shd w:val="clear" w:color="auto" w:fill="auto"/>
            <w:noWrap/>
            <w:vAlign w:val="center"/>
          </w:tcPr>
          <w:p w14:paraId="69CEFDB1">
            <w:pPr>
              <w:widowControl/>
              <w:textAlignment w:val="center"/>
              <w:rPr>
                <w:rFonts w:ascii="宋体" w:hAnsi="宋体" w:cs="宋体"/>
                <w:color w:val="000000"/>
                <w:sz w:val="22"/>
                <w:szCs w:val="22"/>
              </w:rPr>
            </w:pPr>
            <w:r>
              <w:rPr>
                <w:rFonts w:hint="eastAsia" w:ascii="宋体" w:hAnsi="宋体" w:cs="宋体"/>
                <w:color w:val="000000"/>
                <w:sz w:val="22"/>
                <w:szCs w:val="22"/>
              </w:rPr>
              <w:t xml:space="preserve">28 </w:t>
            </w:r>
          </w:p>
        </w:tc>
      </w:tr>
      <w:tr w14:paraId="7BD60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6AED6504">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1.15 </w:t>
            </w:r>
          </w:p>
        </w:tc>
        <w:tc>
          <w:tcPr>
            <w:tcW w:w="346" w:type="pct"/>
            <w:shd w:val="clear" w:color="auto" w:fill="auto"/>
            <w:noWrap/>
            <w:vAlign w:val="center"/>
          </w:tcPr>
          <w:p w14:paraId="3E5A69B7">
            <w:pPr>
              <w:widowControl/>
              <w:textAlignment w:val="center"/>
              <w:rPr>
                <w:rFonts w:ascii="宋体" w:hAnsi="宋体" w:cs="宋体"/>
                <w:color w:val="000000"/>
                <w:sz w:val="22"/>
                <w:szCs w:val="22"/>
              </w:rPr>
            </w:pPr>
            <w:r>
              <w:rPr>
                <w:rFonts w:hint="eastAsia" w:ascii="宋体" w:hAnsi="宋体" w:cs="宋体"/>
                <w:color w:val="000000"/>
                <w:sz w:val="22"/>
                <w:szCs w:val="22"/>
              </w:rPr>
              <w:t>分风箱</w:t>
            </w:r>
          </w:p>
        </w:tc>
        <w:tc>
          <w:tcPr>
            <w:tcW w:w="3489" w:type="pct"/>
            <w:shd w:val="clear" w:color="auto" w:fill="auto"/>
            <w:vAlign w:val="center"/>
          </w:tcPr>
          <w:p w14:paraId="23CCAAA3">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多点分支，风量可控，内置消音棉，可根据实际需要自由调节风管风量，镀锌铝加厚材质，接头处采用卡扣设计并带有密封条，φ=200-110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3B57E7B0">
            <w:pPr>
              <w:widowControl/>
              <w:textAlignment w:val="center"/>
              <w:rPr>
                <w:rFonts w:ascii="宋体" w:hAnsi="宋体" w:cs="宋体"/>
                <w:color w:val="000000"/>
                <w:sz w:val="22"/>
                <w:szCs w:val="22"/>
              </w:rPr>
            </w:pPr>
            <w:r>
              <w:rPr>
                <w:rFonts w:hint="eastAsia" w:ascii="宋体" w:hAnsi="宋体" w:cs="宋体"/>
                <w:color w:val="000000"/>
                <w:sz w:val="22"/>
                <w:szCs w:val="22"/>
              </w:rPr>
              <w:t>个</w:t>
            </w:r>
          </w:p>
        </w:tc>
        <w:tc>
          <w:tcPr>
            <w:tcW w:w="428" w:type="pct"/>
            <w:gridSpan w:val="2"/>
            <w:shd w:val="clear" w:color="auto" w:fill="auto"/>
            <w:noWrap/>
            <w:vAlign w:val="center"/>
          </w:tcPr>
          <w:p w14:paraId="577A5BAC">
            <w:pPr>
              <w:widowControl/>
              <w:textAlignment w:val="center"/>
              <w:rPr>
                <w:rFonts w:ascii="宋体" w:hAnsi="宋体" w:cs="宋体"/>
                <w:color w:val="000000"/>
                <w:sz w:val="22"/>
                <w:szCs w:val="22"/>
              </w:rPr>
            </w:pPr>
            <w:r>
              <w:rPr>
                <w:rFonts w:hint="eastAsia" w:ascii="宋体" w:hAnsi="宋体" w:cs="宋体"/>
                <w:color w:val="000000"/>
                <w:sz w:val="22"/>
                <w:szCs w:val="22"/>
              </w:rPr>
              <w:t xml:space="preserve">20 </w:t>
            </w:r>
          </w:p>
        </w:tc>
      </w:tr>
      <w:tr w14:paraId="0ED43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69932A6A">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1.16 </w:t>
            </w:r>
          </w:p>
        </w:tc>
        <w:tc>
          <w:tcPr>
            <w:tcW w:w="346" w:type="pct"/>
            <w:shd w:val="clear" w:color="auto" w:fill="auto"/>
            <w:noWrap/>
            <w:vAlign w:val="center"/>
          </w:tcPr>
          <w:p w14:paraId="1E433092">
            <w:pPr>
              <w:widowControl/>
              <w:textAlignment w:val="center"/>
              <w:rPr>
                <w:rFonts w:ascii="宋体" w:hAnsi="宋体" w:cs="宋体"/>
                <w:color w:val="000000"/>
                <w:sz w:val="22"/>
                <w:szCs w:val="22"/>
              </w:rPr>
            </w:pPr>
            <w:r>
              <w:rPr>
                <w:rFonts w:hint="eastAsia" w:ascii="宋体" w:hAnsi="宋体" w:cs="宋体"/>
                <w:color w:val="000000"/>
                <w:sz w:val="22"/>
                <w:szCs w:val="22"/>
              </w:rPr>
              <w:t>PE管道</w:t>
            </w:r>
          </w:p>
        </w:tc>
        <w:tc>
          <w:tcPr>
            <w:tcW w:w="3489" w:type="pct"/>
            <w:shd w:val="clear" w:color="auto" w:fill="auto"/>
            <w:vAlign w:val="center"/>
          </w:tcPr>
          <w:p w14:paraId="7A68649D">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新风系统专用PE管，φ=200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5F683F46">
            <w:pPr>
              <w:widowControl/>
              <w:textAlignment w:val="center"/>
              <w:rPr>
                <w:rFonts w:ascii="宋体" w:hAnsi="宋体" w:cs="宋体"/>
                <w:color w:val="000000"/>
                <w:sz w:val="22"/>
                <w:szCs w:val="22"/>
              </w:rPr>
            </w:pPr>
            <w:r>
              <w:rPr>
                <w:rFonts w:hint="eastAsia" w:ascii="宋体" w:hAnsi="宋体" w:cs="宋体"/>
                <w:color w:val="000000"/>
                <w:sz w:val="22"/>
                <w:szCs w:val="22"/>
              </w:rPr>
              <w:t>米</w:t>
            </w:r>
          </w:p>
        </w:tc>
        <w:tc>
          <w:tcPr>
            <w:tcW w:w="428" w:type="pct"/>
            <w:gridSpan w:val="2"/>
            <w:shd w:val="clear" w:color="auto" w:fill="auto"/>
            <w:noWrap/>
            <w:vAlign w:val="center"/>
          </w:tcPr>
          <w:p w14:paraId="055393A7">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130 </w:t>
            </w:r>
          </w:p>
        </w:tc>
      </w:tr>
      <w:tr w14:paraId="6A35F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0D444D06">
            <w:pPr>
              <w:widowControl/>
              <w:textAlignment w:val="center"/>
              <w:rPr>
                <w:rFonts w:ascii="宋体" w:hAnsi="宋体" w:cs="宋体"/>
                <w:color w:val="000000"/>
                <w:sz w:val="22"/>
                <w:szCs w:val="22"/>
              </w:rPr>
            </w:pPr>
            <w:r>
              <w:rPr>
                <w:rFonts w:hint="eastAsia" w:ascii="宋体" w:hAnsi="宋体" w:cs="宋体"/>
                <w:color w:val="000000"/>
                <w:sz w:val="22"/>
                <w:szCs w:val="22"/>
              </w:rPr>
              <w:t>1.17</w:t>
            </w:r>
          </w:p>
        </w:tc>
        <w:tc>
          <w:tcPr>
            <w:tcW w:w="346" w:type="pct"/>
            <w:shd w:val="clear" w:color="auto" w:fill="auto"/>
            <w:noWrap/>
            <w:vAlign w:val="center"/>
          </w:tcPr>
          <w:p w14:paraId="254E8B08">
            <w:pPr>
              <w:widowControl/>
              <w:textAlignment w:val="center"/>
              <w:rPr>
                <w:rFonts w:ascii="宋体" w:hAnsi="宋体" w:cs="宋体"/>
                <w:color w:val="000000"/>
                <w:sz w:val="22"/>
                <w:szCs w:val="22"/>
              </w:rPr>
            </w:pPr>
            <w:r>
              <w:rPr>
                <w:rFonts w:hint="eastAsia" w:ascii="宋体" w:hAnsi="宋体" w:cs="宋体"/>
                <w:color w:val="000000"/>
                <w:sz w:val="22"/>
                <w:szCs w:val="22"/>
              </w:rPr>
              <w:t>PE管道</w:t>
            </w:r>
          </w:p>
        </w:tc>
        <w:tc>
          <w:tcPr>
            <w:tcW w:w="3489" w:type="pct"/>
            <w:shd w:val="clear" w:color="auto" w:fill="auto"/>
            <w:vAlign w:val="center"/>
          </w:tcPr>
          <w:p w14:paraId="717A78A0">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新风系统专用PE管，φ=110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5671D116">
            <w:pPr>
              <w:widowControl/>
              <w:textAlignment w:val="center"/>
              <w:rPr>
                <w:rFonts w:ascii="宋体" w:hAnsi="宋体" w:cs="宋体"/>
                <w:color w:val="000000"/>
                <w:sz w:val="22"/>
                <w:szCs w:val="22"/>
              </w:rPr>
            </w:pPr>
            <w:r>
              <w:rPr>
                <w:rFonts w:hint="eastAsia" w:ascii="宋体" w:hAnsi="宋体" w:cs="宋体"/>
                <w:color w:val="000000"/>
                <w:sz w:val="22"/>
                <w:szCs w:val="22"/>
              </w:rPr>
              <w:t>米</w:t>
            </w:r>
          </w:p>
        </w:tc>
        <w:tc>
          <w:tcPr>
            <w:tcW w:w="428" w:type="pct"/>
            <w:gridSpan w:val="2"/>
            <w:shd w:val="clear" w:color="auto" w:fill="auto"/>
            <w:noWrap/>
            <w:vAlign w:val="center"/>
          </w:tcPr>
          <w:p w14:paraId="5834DEF6">
            <w:pPr>
              <w:widowControl/>
              <w:textAlignment w:val="center"/>
              <w:rPr>
                <w:rFonts w:ascii="宋体" w:hAnsi="宋体" w:cs="宋体"/>
                <w:color w:val="000000"/>
                <w:sz w:val="22"/>
                <w:szCs w:val="22"/>
              </w:rPr>
            </w:pPr>
            <w:r>
              <w:rPr>
                <w:rFonts w:hint="eastAsia" w:ascii="宋体" w:hAnsi="宋体" w:cs="宋体"/>
                <w:color w:val="000000"/>
                <w:sz w:val="22"/>
                <w:szCs w:val="22"/>
              </w:rPr>
              <w:t xml:space="preserve">700 </w:t>
            </w:r>
          </w:p>
        </w:tc>
      </w:tr>
      <w:tr w14:paraId="2B74D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3ECEB482">
            <w:pPr>
              <w:widowControl/>
              <w:textAlignment w:val="center"/>
              <w:rPr>
                <w:rFonts w:ascii="宋体" w:hAnsi="宋体" w:cs="宋体"/>
                <w:color w:val="000000"/>
                <w:sz w:val="22"/>
                <w:szCs w:val="22"/>
              </w:rPr>
            </w:pPr>
            <w:r>
              <w:rPr>
                <w:rFonts w:hint="eastAsia" w:ascii="宋体" w:hAnsi="宋体" w:cs="宋体"/>
                <w:color w:val="000000"/>
                <w:sz w:val="22"/>
                <w:szCs w:val="22"/>
              </w:rPr>
              <w:t>1.18</w:t>
            </w:r>
          </w:p>
        </w:tc>
        <w:tc>
          <w:tcPr>
            <w:tcW w:w="346" w:type="pct"/>
            <w:shd w:val="clear" w:color="auto" w:fill="auto"/>
            <w:noWrap/>
            <w:vAlign w:val="center"/>
          </w:tcPr>
          <w:p w14:paraId="0A8B57CE">
            <w:pPr>
              <w:widowControl/>
              <w:textAlignment w:val="center"/>
              <w:rPr>
                <w:rFonts w:ascii="宋体" w:hAnsi="宋体" w:cs="宋体"/>
                <w:color w:val="000000"/>
                <w:sz w:val="22"/>
                <w:szCs w:val="22"/>
              </w:rPr>
            </w:pPr>
            <w:r>
              <w:rPr>
                <w:rFonts w:hint="eastAsia" w:ascii="宋体" w:hAnsi="宋体" w:cs="宋体"/>
                <w:color w:val="000000"/>
                <w:sz w:val="22"/>
                <w:szCs w:val="22"/>
              </w:rPr>
              <w:t>PE管件</w:t>
            </w:r>
          </w:p>
        </w:tc>
        <w:tc>
          <w:tcPr>
            <w:tcW w:w="3489" w:type="pct"/>
            <w:shd w:val="clear" w:color="auto" w:fill="auto"/>
            <w:vAlign w:val="center"/>
          </w:tcPr>
          <w:p w14:paraId="49D87FD9">
            <w:pPr>
              <w:widowControl/>
              <w:textAlignment w:val="center"/>
              <w:rPr>
                <w:rFonts w:ascii="宋体" w:hAnsi="宋体" w:cs="宋体"/>
                <w:color w:val="000000"/>
                <w:sz w:val="22"/>
                <w:szCs w:val="22"/>
              </w:rPr>
            </w:pPr>
            <w:r>
              <w:rPr>
                <w:rFonts w:hint="eastAsia" w:ascii="宋体" w:hAnsi="宋体" w:cs="宋体"/>
                <w:color w:val="000000"/>
                <w:sz w:val="22"/>
                <w:szCs w:val="22"/>
              </w:rPr>
              <w:t>管道配套弯头、三通、变径</w:t>
            </w:r>
          </w:p>
        </w:tc>
        <w:tc>
          <w:tcPr>
            <w:tcW w:w="221" w:type="pct"/>
            <w:gridSpan w:val="2"/>
            <w:shd w:val="clear" w:color="auto" w:fill="auto"/>
            <w:noWrap/>
            <w:vAlign w:val="center"/>
          </w:tcPr>
          <w:p w14:paraId="62E56263">
            <w:pPr>
              <w:widowControl/>
              <w:textAlignment w:val="center"/>
              <w:rPr>
                <w:rFonts w:ascii="宋体" w:hAnsi="宋体" w:cs="宋体"/>
                <w:color w:val="000000"/>
                <w:sz w:val="22"/>
                <w:szCs w:val="22"/>
              </w:rPr>
            </w:pPr>
            <w:r>
              <w:rPr>
                <w:rFonts w:hint="eastAsia" w:ascii="宋体" w:hAnsi="宋体" w:cs="宋体"/>
                <w:color w:val="000000"/>
                <w:sz w:val="22"/>
                <w:szCs w:val="22"/>
              </w:rPr>
              <w:t>批</w:t>
            </w:r>
          </w:p>
        </w:tc>
        <w:tc>
          <w:tcPr>
            <w:tcW w:w="428" w:type="pct"/>
            <w:gridSpan w:val="2"/>
            <w:shd w:val="clear" w:color="auto" w:fill="auto"/>
            <w:noWrap/>
            <w:vAlign w:val="center"/>
          </w:tcPr>
          <w:p w14:paraId="559BCF1C">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34482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4E50A386">
            <w:pPr>
              <w:widowControl/>
              <w:textAlignment w:val="center"/>
              <w:rPr>
                <w:rFonts w:ascii="宋体" w:hAnsi="宋体" w:cs="宋体"/>
                <w:color w:val="000000"/>
                <w:sz w:val="22"/>
                <w:szCs w:val="22"/>
              </w:rPr>
            </w:pPr>
            <w:r>
              <w:rPr>
                <w:rFonts w:hint="eastAsia" w:ascii="宋体" w:hAnsi="宋体" w:cs="宋体"/>
                <w:color w:val="000000"/>
                <w:sz w:val="22"/>
                <w:szCs w:val="22"/>
              </w:rPr>
              <w:t>1.19</w:t>
            </w:r>
          </w:p>
        </w:tc>
        <w:tc>
          <w:tcPr>
            <w:tcW w:w="346" w:type="pct"/>
            <w:shd w:val="clear" w:color="auto" w:fill="auto"/>
            <w:noWrap/>
            <w:vAlign w:val="center"/>
          </w:tcPr>
          <w:p w14:paraId="78805BD9">
            <w:pPr>
              <w:widowControl/>
              <w:textAlignment w:val="center"/>
              <w:rPr>
                <w:rFonts w:ascii="宋体" w:hAnsi="宋体" w:cs="宋体"/>
                <w:color w:val="000000"/>
                <w:sz w:val="22"/>
                <w:szCs w:val="22"/>
              </w:rPr>
            </w:pPr>
            <w:r>
              <w:rPr>
                <w:rFonts w:hint="eastAsia" w:ascii="宋体" w:hAnsi="宋体" w:cs="宋体"/>
                <w:color w:val="000000"/>
                <w:sz w:val="22"/>
                <w:szCs w:val="22"/>
              </w:rPr>
              <w:t>末端软管</w:t>
            </w:r>
          </w:p>
        </w:tc>
        <w:tc>
          <w:tcPr>
            <w:tcW w:w="3489" w:type="pct"/>
            <w:shd w:val="clear" w:color="auto" w:fill="auto"/>
            <w:vAlign w:val="center"/>
          </w:tcPr>
          <w:p w14:paraId="034213F2">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新风系统专用软管，φ=110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7E074C37">
            <w:pPr>
              <w:widowControl/>
              <w:textAlignment w:val="center"/>
              <w:rPr>
                <w:rFonts w:ascii="宋体" w:hAnsi="宋体" w:cs="宋体"/>
                <w:color w:val="000000"/>
                <w:sz w:val="22"/>
                <w:szCs w:val="22"/>
              </w:rPr>
            </w:pPr>
            <w:r>
              <w:rPr>
                <w:rFonts w:hint="eastAsia" w:ascii="宋体" w:hAnsi="宋体" w:cs="宋体"/>
                <w:color w:val="000000"/>
                <w:sz w:val="22"/>
                <w:szCs w:val="22"/>
              </w:rPr>
              <w:t>套</w:t>
            </w:r>
          </w:p>
        </w:tc>
        <w:tc>
          <w:tcPr>
            <w:tcW w:w="428" w:type="pct"/>
            <w:gridSpan w:val="2"/>
            <w:shd w:val="clear" w:color="auto" w:fill="auto"/>
            <w:noWrap/>
            <w:vAlign w:val="center"/>
          </w:tcPr>
          <w:p w14:paraId="7A324550">
            <w:pPr>
              <w:widowControl/>
              <w:textAlignment w:val="center"/>
              <w:rPr>
                <w:rFonts w:ascii="宋体" w:hAnsi="宋体" w:cs="宋体"/>
                <w:color w:val="000000"/>
                <w:sz w:val="22"/>
                <w:szCs w:val="22"/>
              </w:rPr>
            </w:pPr>
            <w:r>
              <w:rPr>
                <w:rFonts w:hint="eastAsia" w:ascii="宋体" w:hAnsi="宋体" w:cs="宋体"/>
                <w:color w:val="000000"/>
                <w:sz w:val="22"/>
                <w:szCs w:val="22"/>
              </w:rPr>
              <w:t xml:space="preserve">80 </w:t>
            </w:r>
          </w:p>
        </w:tc>
      </w:tr>
      <w:tr w14:paraId="6E2D3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6A57B2CC">
            <w:pPr>
              <w:widowControl/>
              <w:textAlignment w:val="center"/>
              <w:rPr>
                <w:rFonts w:ascii="宋体" w:hAnsi="宋体" w:cs="宋体"/>
                <w:color w:val="000000"/>
                <w:sz w:val="22"/>
                <w:szCs w:val="22"/>
              </w:rPr>
            </w:pPr>
            <w:r>
              <w:rPr>
                <w:rFonts w:hint="eastAsia" w:ascii="宋体" w:hAnsi="宋体" w:cs="宋体"/>
                <w:color w:val="000000"/>
                <w:sz w:val="22"/>
                <w:szCs w:val="22"/>
              </w:rPr>
              <w:t>1.20</w:t>
            </w:r>
          </w:p>
        </w:tc>
        <w:tc>
          <w:tcPr>
            <w:tcW w:w="346" w:type="pct"/>
            <w:shd w:val="clear" w:color="auto" w:fill="auto"/>
            <w:noWrap/>
            <w:vAlign w:val="center"/>
          </w:tcPr>
          <w:p w14:paraId="2E32A439">
            <w:pPr>
              <w:widowControl/>
              <w:textAlignment w:val="center"/>
              <w:rPr>
                <w:rFonts w:ascii="宋体" w:hAnsi="宋体" w:cs="宋体"/>
                <w:color w:val="000000"/>
                <w:sz w:val="22"/>
                <w:szCs w:val="22"/>
              </w:rPr>
            </w:pPr>
            <w:r>
              <w:rPr>
                <w:rFonts w:hint="eastAsia" w:ascii="宋体" w:hAnsi="宋体" w:cs="宋体"/>
                <w:color w:val="000000"/>
                <w:sz w:val="22"/>
                <w:szCs w:val="22"/>
              </w:rPr>
              <w:t>风口</w:t>
            </w:r>
          </w:p>
        </w:tc>
        <w:tc>
          <w:tcPr>
            <w:tcW w:w="3489" w:type="pct"/>
            <w:shd w:val="clear" w:color="auto" w:fill="auto"/>
            <w:vAlign w:val="center"/>
          </w:tcPr>
          <w:p w14:paraId="479282FA">
            <w:pPr>
              <w:widowControl/>
              <w:textAlignment w:val="center"/>
              <w:rPr>
                <w:rFonts w:hint="eastAsia" w:ascii="宋体" w:hAnsi="宋体" w:eastAsia="宋体" w:cs="宋体"/>
                <w:color w:val="000000"/>
                <w:sz w:val="22"/>
                <w:szCs w:val="22"/>
                <w:lang w:val="en-US" w:eastAsia="zh-CN"/>
              </w:rPr>
            </w:pPr>
            <w:r>
              <w:rPr>
                <w:rFonts w:hint="eastAsia" w:ascii="宋体" w:hAnsi="宋体" w:cs="宋体"/>
                <w:color w:val="000000"/>
                <w:sz w:val="22"/>
                <w:szCs w:val="22"/>
              </w:rPr>
              <w:t>根据现场风口实际情况定制，φ=110</w:t>
            </w:r>
            <w:r>
              <w:rPr>
                <w:rFonts w:hint="eastAsia" w:ascii="宋体" w:hAnsi="宋体" w:cs="宋体"/>
                <w:color w:val="000000"/>
                <w:sz w:val="22"/>
                <w:szCs w:val="22"/>
                <w:lang w:val="en-US" w:eastAsia="zh-CN"/>
              </w:rPr>
              <w:t>毫米</w:t>
            </w:r>
          </w:p>
        </w:tc>
        <w:tc>
          <w:tcPr>
            <w:tcW w:w="221" w:type="pct"/>
            <w:gridSpan w:val="2"/>
            <w:shd w:val="clear" w:color="auto" w:fill="auto"/>
            <w:noWrap/>
            <w:vAlign w:val="center"/>
          </w:tcPr>
          <w:p w14:paraId="6CE063ED">
            <w:pPr>
              <w:widowControl/>
              <w:textAlignment w:val="center"/>
              <w:rPr>
                <w:rFonts w:ascii="宋体" w:hAnsi="宋体" w:cs="宋体"/>
                <w:color w:val="000000"/>
                <w:sz w:val="22"/>
                <w:szCs w:val="22"/>
              </w:rPr>
            </w:pPr>
            <w:r>
              <w:rPr>
                <w:rFonts w:hint="eastAsia" w:ascii="宋体" w:hAnsi="宋体" w:cs="宋体"/>
                <w:color w:val="000000"/>
                <w:sz w:val="22"/>
                <w:szCs w:val="22"/>
              </w:rPr>
              <w:t>套</w:t>
            </w:r>
          </w:p>
        </w:tc>
        <w:tc>
          <w:tcPr>
            <w:tcW w:w="428" w:type="pct"/>
            <w:gridSpan w:val="2"/>
            <w:shd w:val="clear" w:color="auto" w:fill="auto"/>
            <w:noWrap/>
            <w:vAlign w:val="center"/>
          </w:tcPr>
          <w:p w14:paraId="09DE7775">
            <w:pPr>
              <w:widowControl/>
              <w:textAlignment w:val="center"/>
              <w:rPr>
                <w:rFonts w:ascii="宋体" w:hAnsi="宋体" w:cs="宋体"/>
                <w:color w:val="000000"/>
                <w:sz w:val="22"/>
                <w:szCs w:val="22"/>
              </w:rPr>
            </w:pPr>
            <w:r>
              <w:rPr>
                <w:rFonts w:hint="eastAsia" w:ascii="宋体" w:hAnsi="宋体" w:cs="宋体"/>
                <w:color w:val="000000"/>
                <w:sz w:val="22"/>
                <w:szCs w:val="22"/>
              </w:rPr>
              <w:t xml:space="preserve">80 </w:t>
            </w:r>
          </w:p>
        </w:tc>
      </w:tr>
      <w:tr w14:paraId="35877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724A271E">
            <w:pPr>
              <w:widowControl/>
              <w:textAlignment w:val="center"/>
              <w:rPr>
                <w:rFonts w:ascii="宋体" w:hAnsi="宋体" w:cs="宋体"/>
                <w:color w:val="000000"/>
                <w:sz w:val="22"/>
                <w:szCs w:val="22"/>
              </w:rPr>
            </w:pPr>
            <w:r>
              <w:rPr>
                <w:rFonts w:hint="eastAsia" w:ascii="宋体" w:hAnsi="宋体" w:cs="宋体"/>
                <w:color w:val="000000"/>
                <w:sz w:val="22"/>
                <w:szCs w:val="22"/>
              </w:rPr>
              <w:t>1.21</w:t>
            </w:r>
          </w:p>
        </w:tc>
        <w:tc>
          <w:tcPr>
            <w:tcW w:w="346" w:type="pct"/>
            <w:shd w:val="clear" w:color="auto" w:fill="auto"/>
            <w:noWrap/>
            <w:vAlign w:val="center"/>
          </w:tcPr>
          <w:p w14:paraId="10C3CE68">
            <w:pPr>
              <w:widowControl/>
              <w:textAlignment w:val="center"/>
              <w:rPr>
                <w:rFonts w:ascii="宋体" w:hAnsi="宋体" w:cs="宋体"/>
                <w:color w:val="000000"/>
                <w:sz w:val="22"/>
                <w:szCs w:val="22"/>
              </w:rPr>
            </w:pPr>
            <w:r>
              <w:rPr>
                <w:rFonts w:hint="eastAsia" w:ascii="宋体" w:hAnsi="宋体" w:cs="宋体"/>
                <w:color w:val="000000"/>
                <w:sz w:val="22"/>
                <w:szCs w:val="22"/>
                <w:lang w:val="en-US" w:eastAsia="zh-CN"/>
              </w:rPr>
              <w:t>其他</w:t>
            </w:r>
            <w:r>
              <w:rPr>
                <w:rFonts w:hint="eastAsia" w:ascii="宋体" w:hAnsi="宋体" w:cs="宋体"/>
                <w:color w:val="000000"/>
                <w:sz w:val="22"/>
                <w:szCs w:val="22"/>
              </w:rPr>
              <w:t>辅材</w:t>
            </w:r>
          </w:p>
        </w:tc>
        <w:tc>
          <w:tcPr>
            <w:tcW w:w="3489" w:type="pct"/>
            <w:shd w:val="clear" w:color="auto" w:fill="auto"/>
            <w:vAlign w:val="center"/>
          </w:tcPr>
          <w:p w14:paraId="6D9E0C15">
            <w:pPr>
              <w:widowControl/>
              <w:textAlignment w:val="center"/>
              <w:rPr>
                <w:rFonts w:ascii="宋体" w:hAnsi="宋体" w:cs="宋体"/>
                <w:color w:val="000000"/>
                <w:sz w:val="22"/>
                <w:szCs w:val="22"/>
              </w:rPr>
            </w:pPr>
            <w:r>
              <w:rPr>
                <w:rFonts w:hint="eastAsia" w:ascii="宋体" w:hAnsi="宋体" w:cs="宋体"/>
                <w:color w:val="000000"/>
                <w:sz w:val="22"/>
                <w:szCs w:val="22"/>
              </w:rPr>
              <w:t>整套系统安装所需</w:t>
            </w:r>
            <w:r>
              <w:rPr>
                <w:rFonts w:hint="eastAsia" w:ascii="宋体" w:hAnsi="宋体" w:cs="宋体"/>
                <w:color w:val="000000"/>
                <w:sz w:val="22"/>
                <w:szCs w:val="22"/>
                <w:lang w:val="en-US" w:eastAsia="zh-CN"/>
              </w:rPr>
              <w:t>其他</w:t>
            </w:r>
            <w:r>
              <w:rPr>
                <w:rFonts w:hint="eastAsia" w:ascii="宋体" w:hAnsi="宋体" w:cs="宋体"/>
                <w:color w:val="000000"/>
                <w:sz w:val="22"/>
                <w:szCs w:val="22"/>
              </w:rPr>
              <w:t>辅材</w:t>
            </w:r>
          </w:p>
        </w:tc>
        <w:tc>
          <w:tcPr>
            <w:tcW w:w="221" w:type="pct"/>
            <w:gridSpan w:val="2"/>
            <w:shd w:val="clear" w:color="auto" w:fill="auto"/>
            <w:noWrap/>
            <w:vAlign w:val="center"/>
          </w:tcPr>
          <w:p w14:paraId="3E31B0A3">
            <w:pPr>
              <w:widowControl/>
              <w:textAlignment w:val="center"/>
              <w:rPr>
                <w:rFonts w:ascii="宋体" w:hAnsi="宋体" w:cs="宋体"/>
                <w:color w:val="000000"/>
                <w:sz w:val="22"/>
                <w:szCs w:val="22"/>
              </w:rPr>
            </w:pPr>
            <w:r>
              <w:rPr>
                <w:rFonts w:hint="eastAsia" w:ascii="宋体" w:hAnsi="宋体" w:cs="宋体"/>
                <w:color w:val="000000"/>
                <w:sz w:val="22"/>
                <w:szCs w:val="22"/>
              </w:rPr>
              <w:t>批</w:t>
            </w:r>
          </w:p>
        </w:tc>
        <w:tc>
          <w:tcPr>
            <w:tcW w:w="428" w:type="pct"/>
            <w:gridSpan w:val="2"/>
            <w:shd w:val="clear" w:color="auto" w:fill="auto"/>
            <w:noWrap/>
            <w:vAlign w:val="center"/>
          </w:tcPr>
          <w:p w14:paraId="46DA7670">
            <w:pPr>
              <w:widowControl/>
              <w:textAlignment w:val="center"/>
              <w:rPr>
                <w:rFonts w:ascii="宋体" w:hAnsi="宋体" w:cs="宋体"/>
                <w:color w:val="000000"/>
                <w:sz w:val="22"/>
                <w:szCs w:val="22"/>
              </w:rPr>
            </w:pPr>
            <w:r>
              <w:rPr>
                <w:rFonts w:hint="eastAsia" w:ascii="宋体" w:hAnsi="宋体" w:cs="宋体"/>
                <w:color w:val="000000"/>
                <w:sz w:val="22"/>
                <w:szCs w:val="22"/>
              </w:rPr>
              <w:t xml:space="preserve">1 </w:t>
            </w:r>
          </w:p>
        </w:tc>
      </w:tr>
      <w:tr w14:paraId="7A4F9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747C3383">
            <w:pPr>
              <w:widowControl/>
              <w:jc w:val="center"/>
              <w:textAlignment w:val="center"/>
              <w:rPr>
                <w:rFonts w:ascii="宋体" w:hAnsi="宋体" w:cs="宋体"/>
                <w:color w:val="000000"/>
                <w:sz w:val="22"/>
                <w:szCs w:val="22"/>
              </w:rPr>
            </w:pPr>
            <w:r>
              <w:rPr>
                <w:rFonts w:hint="eastAsia" w:ascii="宋体" w:hAnsi="宋体" w:cs="宋体"/>
                <w:b/>
                <w:bCs/>
                <w:color w:val="000000"/>
                <w:sz w:val="22"/>
                <w:szCs w:val="22"/>
              </w:rPr>
              <w:t>（五）</w:t>
            </w:r>
          </w:p>
        </w:tc>
        <w:tc>
          <w:tcPr>
            <w:tcW w:w="3836" w:type="pct"/>
            <w:gridSpan w:val="2"/>
            <w:shd w:val="clear" w:color="auto" w:fill="auto"/>
            <w:noWrap/>
            <w:vAlign w:val="center"/>
          </w:tcPr>
          <w:p w14:paraId="4A9411BF">
            <w:pPr>
              <w:widowControl/>
              <w:jc w:val="center"/>
              <w:textAlignment w:val="center"/>
              <w:rPr>
                <w:rFonts w:ascii="宋体" w:hAnsi="宋体" w:cs="宋体"/>
                <w:color w:val="000000"/>
                <w:sz w:val="22"/>
                <w:szCs w:val="22"/>
              </w:rPr>
            </w:pPr>
            <w:r>
              <w:rPr>
                <w:rFonts w:hint="eastAsia" w:ascii="宋体" w:hAnsi="宋体" w:cs="宋体"/>
                <w:b/>
                <w:bCs/>
                <w:color w:val="000000"/>
                <w:sz w:val="22"/>
                <w:szCs w:val="22"/>
              </w:rPr>
              <w:t>执法办案管理中心配套设施建设</w:t>
            </w:r>
          </w:p>
        </w:tc>
        <w:tc>
          <w:tcPr>
            <w:tcW w:w="221" w:type="pct"/>
            <w:gridSpan w:val="2"/>
            <w:shd w:val="clear" w:color="auto" w:fill="auto"/>
            <w:noWrap/>
            <w:vAlign w:val="center"/>
          </w:tcPr>
          <w:p w14:paraId="19C80E65">
            <w:pPr>
              <w:widowControl/>
              <w:textAlignment w:val="center"/>
              <w:rPr>
                <w:rFonts w:ascii="宋体" w:hAnsi="宋体" w:cs="宋体"/>
                <w:color w:val="000000"/>
                <w:sz w:val="22"/>
                <w:szCs w:val="22"/>
              </w:rPr>
            </w:pPr>
          </w:p>
        </w:tc>
        <w:tc>
          <w:tcPr>
            <w:tcW w:w="428" w:type="pct"/>
            <w:gridSpan w:val="2"/>
            <w:shd w:val="clear" w:color="auto" w:fill="auto"/>
            <w:noWrap/>
            <w:vAlign w:val="center"/>
          </w:tcPr>
          <w:p w14:paraId="49B4DD23">
            <w:pPr>
              <w:widowControl/>
              <w:textAlignment w:val="center"/>
              <w:rPr>
                <w:rFonts w:ascii="宋体" w:hAnsi="宋体" w:cs="宋体"/>
                <w:color w:val="000000"/>
                <w:sz w:val="22"/>
                <w:szCs w:val="22"/>
              </w:rPr>
            </w:pPr>
          </w:p>
        </w:tc>
      </w:tr>
      <w:tr w14:paraId="76E33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5" w:type="pct"/>
          <w:trHeight w:val="270" w:hRule="atLeast"/>
        </w:trPr>
        <w:tc>
          <w:tcPr>
            <w:tcW w:w="508" w:type="pct"/>
            <w:shd w:val="clear" w:color="auto" w:fill="auto"/>
            <w:vAlign w:val="center"/>
          </w:tcPr>
          <w:p w14:paraId="2A3E465F">
            <w:pPr>
              <w:widowControl/>
              <w:jc w:val="left"/>
              <w:textAlignment w:val="center"/>
              <w:rPr>
                <w:rFonts w:ascii="宋体" w:hAnsi="宋体" w:cs="宋体"/>
                <w:color w:val="000000"/>
                <w:sz w:val="22"/>
                <w:szCs w:val="22"/>
              </w:rPr>
            </w:pPr>
            <w:r>
              <w:rPr>
                <w:rFonts w:hint="eastAsia" w:ascii="宋体" w:hAnsi="宋体" w:cs="宋体"/>
                <w:color w:val="000000"/>
                <w:sz w:val="22"/>
                <w:szCs w:val="22"/>
              </w:rPr>
              <w:t>1.1</w:t>
            </w:r>
          </w:p>
        </w:tc>
        <w:tc>
          <w:tcPr>
            <w:tcW w:w="346" w:type="pct"/>
            <w:shd w:val="clear" w:color="auto" w:fill="auto"/>
            <w:noWrap/>
            <w:vAlign w:val="center"/>
          </w:tcPr>
          <w:p w14:paraId="08EAD616">
            <w:pPr>
              <w:widowControl/>
              <w:textAlignment w:val="center"/>
              <w:rPr>
                <w:rFonts w:ascii="宋体" w:hAnsi="宋体" w:cs="宋体"/>
                <w:color w:val="000000"/>
                <w:sz w:val="22"/>
                <w:szCs w:val="22"/>
              </w:rPr>
            </w:pPr>
            <w:r>
              <w:rPr>
                <w:rFonts w:hint="eastAsia" w:ascii="宋体" w:hAnsi="宋体" w:cs="宋体"/>
                <w:color w:val="000000"/>
                <w:sz w:val="22"/>
                <w:szCs w:val="22"/>
              </w:rPr>
              <w:t>系统集成</w:t>
            </w:r>
          </w:p>
        </w:tc>
        <w:tc>
          <w:tcPr>
            <w:tcW w:w="3489" w:type="pct"/>
            <w:shd w:val="clear" w:color="auto" w:fill="auto"/>
            <w:vAlign w:val="center"/>
          </w:tcPr>
          <w:p w14:paraId="40C889EB">
            <w:pPr>
              <w:widowControl/>
              <w:textAlignment w:val="center"/>
              <w:rPr>
                <w:rFonts w:ascii="宋体" w:hAnsi="宋体" w:cs="宋体"/>
                <w:color w:val="000000"/>
                <w:sz w:val="22"/>
                <w:szCs w:val="22"/>
              </w:rPr>
            </w:pPr>
            <w:r>
              <w:rPr>
                <w:rFonts w:hint="eastAsia" w:ascii="宋体" w:hAnsi="宋体" w:cs="宋体"/>
                <w:color w:val="000000"/>
                <w:sz w:val="22"/>
                <w:szCs w:val="22"/>
              </w:rPr>
              <w:t>系统集成</w:t>
            </w:r>
          </w:p>
        </w:tc>
        <w:tc>
          <w:tcPr>
            <w:tcW w:w="221" w:type="pct"/>
            <w:gridSpan w:val="2"/>
            <w:shd w:val="clear" w:color="auto" w:fill="auto"/>
            <w:noWrap/>
            <w:vAlign w:val="center"/>
          </w:tcPr>
          <w:p w14:paraId="4CD43231">
            <w:pPr>
              <w:widowControl/>
              <w:textAlignment w:val="center"/>
              <w:rPr>
                <w:rFonts w:ascii="宋体" w:hAnsi="宋体" w:cs="宋体"/>
                <w:color w:val="000000"/>
                <w:sz w:val="22"/>
                <w:szCs w:val="22"/>
              </w:rPr>
            </w:pPr>
            <w:r>
              <w:rPr>
                <w:rFonts w:hint="eastAsia" w:ascii="宋体" w:hAnsi="宋体" w:cs="宋体"/>
                <w:color w:val="000000"/>
                <w:sz w:val="22"/>
                <w:szCs w:val="22"/>
              </w:rPr>
              <w:t>套</w:t>
            </w:r>
          </w:p>
        </w:tc>
        <w:tc>
          <w:tcPr>
            <w:tcW w:w="428" w:type="pct"/>
            <w:gridSpan w:val="2"/>
            <w:shd w:val="clear" w:color="auto" w:fill="auto"/>
            <w:noWrap/>
            <w:vAlign w:val="center"/>
          </w:tcPr>
          <w:p w14:paraId="28980709">
            <w:pPr>
              <w:widowControl/>
              <w:textAlignment w:val="center"/>
              <w:rPr>
                <w:rFonts w:ascii="宋体" w:hAnsi="宋体" w:cs="宋体"/>
                <w:color w:val="000000"/>
                <w:sz w:val="22"/>
                <w:szCs w:val="22"/>
              </w:rPr>
            </w:pPr>
            <w:r>
              <w:rPr>
                <w:rFonts w:hint="eastAsia" w:ascii="宋体" w:hAnsi="宋体" w:cs="宋体"/>
                <w:color w:val="000000"/>
                <w:sz w:val="22"/>
                <w:szCs w:val="22"/>
              </w:rPr>
              <w:t>1</w:t>
            </w:r>
          </w:p>
        </w:tc>
      </w:tr>
    </w:tbl>
    <w:p w14:paraId="29120EC8">
      <w:pPr>
        <w:pStyle w:val="220"/>
        <w:rPr>
          <w:rFonts w:ascii="仿宋_GB2312" w:hAnsi="仿宋_GB2312" w:eastAsia="仿宋_GB2312" w:cs="仿宋_GB2312"/>
          <w:color w:val="000000"/>
          <w:sz w:val="32"/>
          <w:szCs w:val="32"/>
        </w:rPr>
      </w:pPr>
    </w:p>
    <w:p w14:paraId="039774F7">
      <w:pPr>
        <w:pStyle w:val="220"/>
        <w:rPr>
          <w:rFonts w:ascii="仿宋_GB2312" w:hAnsi="仿宋_GB2312" w:eastAsia="仿宋_GB2312" w:cs="仿宋_GB2312"/>
          <w:color w:val="000000"/>
          <w:sz w:val="32"/>
          <w:szCs w:val="32"/>
        </w:rPr>
      </w:pPr>
    </w:p>
    <w:p w14:paraId="6E79AB41">
      <w:pPr>
        <w:pStyle w:val="220"/>
        <w:numPr>
          <w:ilvl w:val="0"/>
          <w:numId w:val="14"/>
        </w:numPr>
        <w:rPr>
          <w:rFonts w:hAnsi="宋体" w:cs="宋体"/>
          <w:color w:val="000000"/>
          <w:sz w:val="24"/>
          <w:szCs w:val="24"/>
        </w:rPr>
      </w:pPr>
      <w:r>
        <w:rPr>
          <w:rFonts w:hint="eastAsia" w:hAnsi="宋体" w:cs="宋体"/>
          <w:b/>
          <w:bCs/>
          <w:color w:val="000000"/>
          <w:sz w:val="24"/>
          <w:szCs w:val="24"/>
        </w:rPr>
        <w:t>商务要求</w:t>
      </w:r>
      <w:r>
        <w:rPr>
          <w:rFonts w:hint="eastAsia" w:hAnsi="宋体" w:cs="宋体"/>
          <w:color w:val="000000"/>
          <w:sz w:val="24"/>
          <w:szCs w:val="24"/>
        </w:rPr>
        <w:t>（是指取得采购标的的时间、地点、财务和服务要求，包括交</w:t>
      </w:r>
    </w:p>
    <w:p w14:paraId="1C4E877A">
      <w:pPr>
        <w:pStyle w:val="220"/>
        <w:jc w:val="left"/>
        <w:rPr>
          <w:rFonts w:hAnsi="宋体" w:cs="宋体"/>
          <w:b/>
          <w:bCs/>
          <w:color w:val="000000"/>
          <w:sz w:val="24"/>
          <w:szCs w:val="24"/>
        </w:rPr>
      </w:pPr>
      <w:r>
        <w:rPr>
          <w:rFonts w:hint="eastAsia" w:hAnsi="宋体" w:cs="宋体"/>
          <w:color w:val="000000"/>
          <w:sz w:val="24"/>
          <w:szCs w:val="24"/>
        </w:rPr>
        <w:t>付（实施）的时间（期限）和地点（范围），付款条件（进度和方式），包装和运输，售后服务，保险等。）</w:t>
      </w:r>
    </w:p>
    <w:tbl>
      <w:tblPr>
        <w:tblStyle w:val="242"/>
        <w:tblW w:w="985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78"/>
        <w:gridCol w:w="2059"/>
        <w:gridCol w:w="7113"/>
      </w:tblGrid>
      <w:tr w14:paraId="53D19E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jc w:val="center"/>
        </w:trPr>
        <w:tc>
          <w:tcPr>
            <w:tcW w:w="678" w:type="dxa"/>
            <w:vAlign w:val="center"/>
          </w:tcPr>
          <w:p w14:paraId="66CE12A4">
            <w:pPr>
              <w:spacing w:line="300" w:lineRule="exact"/>
              <w:jc w:val="center"/>
              <w:rPr>
                <w:rFonts w:ascii="宋体" w:hAnsi="宋体" w:cs="宋体"/>
                <w:b/>
                <w:bCs/>
                <w:color w:val="000000"/>
                <w:sz w:val="22"/>
                <w:szCs w:val="22"/>
              </w:rPr>
            </w:pPr>
            <w:r>
              <w:rPr>
                <w:rFonts w:hint="eastAsia" w:ascii="宋体" w:hAnsi="宋体" w:cs="宋体"/>
                <w:b/>
                <w:bCs/>
                <w:color w:val="000000"/>
                <w:sz w:val="22"/>
                <w:szCs w:val="22"/>
              </w:rPr>
              <w:t>序号</w:t>
            </w:r>
          </w:p>
        </w:tc>
        <w:tc>
          <w:tcPr>
            <w:tcW w:w="2059" w:type="dxa"/>
            <w:vAlign w:val="center"/>
          </w:tcPr>
          <w:p w14:paraId="737E0169">
            <w:pPr>
              <w:spacing w:line="300" w:lineRule="exact"/>
              <w:jc w:val="center"/>
              <w:rPr>
                <w:rFonts w:ascii="宋体" w:hAnsi="宋体" w:cs="宋体"/>
                <w:b/>
                <w:bCs/>
                <w:color w:val="000000"/>
                <w:sz w:val="22"/>
                <w:szCs w:val="22"/>
              </w:rPr>
            </w:pPr>
            <w:r>
              <w:rPr>
                <w:rFonts w:hint="eastAsia" w:ascii="宋体" w:hAnsi="宋体" w:cs="宋体"/>
                <w:b/>
                <w:bCs/>
                <w:color w:val="000000"/>
                <w:sz w:val="22"/>
                <w:szCs w:val="22"/>
              </w:rPr>
              <w:t>商务要求</w:t>
            </w:r>
          </w:p>
        </w:tc>
        <w:tc>
          <w:tcPr>
            <w:tcW w:w="7113" w:type="dxa"/>
            <w:vAlign w:val="center"/>
          </w:tcPr>
          <w:p w14:paraId="12042950">
            <w:pPr>
              <w:spacing w:line="300" w:lineRule="exact"/>
              <w:jc w:val="center"/>
              <w:rPr>
                <w:rFonts w:ascii="宋体" w:hAnsi="宋体" w:cs="宋体"/>
                <w:b/>
                <w:bCs/>
                <w:color w:val="000000"/>
                <w:sz w:val="22"/>
                <w:szCs w:val="22"/>
              </w:rPr>
            </w:pPr>
            <w:r>
              <w:rPr>
                <w:rFonts w:hint="eastAsia" w:ascii="宋体" w:hAnsi="宋体" w:cs="宋体"/>
                <w:b/>
                <w:bCs/>
                <w:color w:val="000000"/>
                <w:sz w:val="22"/>
                <w:szCs w:val="22"/>
              </w:rPr>
              <w:t>全部商务要求明细</w:t>
            </w:r>
          </w:p>
        </w:tc>
      </w:tr>
      <w:tr w14:paraId="051FED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8" w:type="dxa"/>
            <w:vAlign w:val="center"/>
          </w:tcPr>
          <w:p w14:paraId="5335B5E2">
            <w:pPr>
              <w:spacing w:line="300" w:lineRule="exact"/>
              <w:jc w:val="center"/>
              <w:rPr>
                <w:rFonts w:ascii="宋体" w:hAnsi="宋体" w:cs="宋体"/>
                <w:color w:val="000000"/>
                <w:sz w:val="22"/>
                <w:szCs w:val="22"/>
              </w:rPr>
            </w:pPr>
            <w:r>
              <w:rPr>
                <w:rFonts w:hint="eastAsia" w:ascii="宋体" w:hAnsi="宋体" w:cs="宋体"/>
                <w:color w:val="000000"/>
                <w:sz w:val="22"/>
                <w:szCs w:val="22"/>
              </w:rPr>
              <w:t>1</w:t>
            </w:r>
          </w:p>
        </w:tc>
        <w:tc>
          <w:tcPr>
            <w:tcW w:w="2059" w:type="dxa"/>
            <w:vAlign w:val="center"/>
          </w:tcPr>
          <w:p w14:paraId="65DA08DC">
            <w:pPr>
              <w:spacing w:line="300" w:lineRule="exact"/>
              <w:jc w:val="center"/>
              <w:rPr>
                <w:rFonts w:ascii="宋体" w:hAnsi="宋体" w:cs="宋体"/>
                <w:color w:val="000000"/>
                <w:sz w:val="22"/>
                <w:szCs w:val="22"/>
              </w:rPr>
            </w:pPr>
            <w:r>
              <w:rPr>
                <w:rFonts w:hint="eastAsia" w:ascii="宋体" w:hAnsi="宋体" w:cs="宋体"/>
                <w:color w:val="000000"/>
                <w:sz w:val="22"/>
                <w:szCs w:val="22"/>
              </w:rPr>
              <w:t>交付（实施）的时间（期限）</w:t>
            </w:r>
          </w:p>
        </w:tc>
        <w:tc>
          <w:tcPr>
            <w:tcW w:w="7113" w:type="dxa"/>
            <w:vAlign w:val="center"/>
          </w:tcPr>
          <w:p w14:paraId="11B7B176">
            <w:pPr>
              <w:spacing w:line="300" w:lineRule="exact"/>
              <w:jc w:val="center"/>
              <w:rPr>
                <w:rFonts w:ascii="宋体" w:hAnsi="宋体" w:cs="宋体"/>
                <w:color w:val="000000"/>
                <w:sz w:val="22"/>
                <w:szCs w:val="22"/>
              </w:rPr>
            </w:pPr>
            <w:r>
              <w:rPr>
                <w:rFonts w:hint="eastAsia" w:ascii="宋体" w:hAnsi="宋体" w:cs="宋体"/>
                <w:b/>
                <w:bCs/>
                <w:color w:val="000000"/>
                <w:sz w:val="22"/>
                <w:szCs w:val="22"/>
              </w:rPr>
              <w:t>合同签订后90日历日内</w:t>
            </w:r>
          </w:p>
        </w:tc>
      </w:tr>
      <w:tr w14:paraId="40796C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8" w:type="dxa"/>
            <w:vAlign w:val="center"/>
          </w:tcPr>
          <w:p w14:paraId="7F64CA78">
            <w:pPr>
              <w:spacing w:line="300" w:lineRule="exact"/>
              <w:jc w:val="center"/>
              <w:rPr>
                <w:rFonts w:ascii="宋体" w:hAnsi="宋体" w:cs="宋体"/>
                <w:color w:val="000000"/>
                <w:sz w:val="22"/>
                <w:szCs w:val="22"/>
              </w:rPr>
            </w:pPr>
            <w:r>
              <w:rPr>
                <w:rFonts w:hint="eastAsia" w:ascii="宋体" w:hAnsi="宋体" w:cs="宋体"/>
                <w:color w:val="000000"/>
                <w:sz w:val="22"/>
                <w:szCs w:val="22"/>
              </w:rPr>
              <w:t>2</w:t>
            </w:r>
          </w:p>
        </w:tc>
        <w:tc>
          <w:tcPr>
            <w:tcW w:w="2059" w:type="dxa"/>
            <w:vAlign w:val="center"/>
          </w:tcPr>
          <w:p w14:paraId="48F505E9">
            <w:pPr>
              <w:spacing w:line="300" w:lineRule="exact"/>
              <w:jc w:val="center"/>
              <w:rPr>
                <w:rFonts w:ascii="宋体" w:hAnsi="宋体" w:cs="宋体"/>
                <w:color w:val="000000"/>
                <w:sz w:val="22"/>
                <w:szCs w:val="22"/>
              </w:rPr>
            </w:pPr>
            <w:r>
              <w:rPr>
                <w:rFonts w:hint="eastAsia" w:ascii="宋体" w:hAnsi="宋体" w:cs="宋体"/>
                <w:color w:val="000000"/>
                <w:sz w:val="22"/>
                <w:szCs w:val="22"/>
              </w:rPr>
              <w:t>交付（实施）的</w:t>
            </w:r>
          </w:p>
          <w:p w14:paraId="1EC8994B">
            <w:pPr>
              <w:spacing w:line="300" w:lineRule="exact"/>
              <w:jc w:val="center"/>
              <w:rPr>
                <w:rFonts w:ascii="宋体" w:hAnsi="宋体" w:cs="宋体"/>
                <w:color w:val="000000"/>
                <w:sz w:val="22"/>
                <w:szCs w:val="22"/>
              </w:rPr>
            </w:pPr>
            <w:r>
              <w:rPr>
                <w:rFonts w:hint="eastAsia" w:ascii="宋体" w:hAnsi="宋体" w:cs="宋体"/>
                <w:color w:val="000000"/>
                <w:sz w:val="22"/>
                <w:szCs w:val="22"/>
              </w:rPr>
              <w:t>地点（范围）</w:t>
            </w:r>
          </w:p>
        </w:tc>
        <w:tc>
          <w:tcPr>
            <w:tcW w:w="7113" w:type="dxa"/>
            <w:vAlign w:val="center"/>
          </w:tcPr>
          <w:p w14:paraId="6B4602E5">
            <w:pPr>
              <w:spacing w:line="300" w:lineRule="exact"/>
              <w:jc w:val="center"/>
              <w:rPr>
                <w:rFonts w:ascii="宋体" w:hAnsi="宋体" w:cs="宋体"/>
                <w:color w:val="000000"/>
                <w:sz w:val="22"/>
                <w:szCs w:val="22"/>
              </w:rPr>
            </w:pPr>
            <w:r>
              <w:rPr>
                <w:rFonts w:hint="eastAsia" w:ascii="宋体" w:hAnsi="宋体" w:cs="宋体"/>
                <w:color w:val="000000"/>
                <w:sz w:val="22"/>
                <w:szCs w:val="22"/>
              </w:rPr>
              <w:t>刚察县公安局</w:t>
            </w:r>
          </w:p>
        </w:tc>
      </w:tr>
      <w:tr w14:paraId="4C9AE6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8" w:type="dxa"/>
            <w:vAlign w:val="center"/>
          </w:tcPr>
          <w:p w14:paraId="3846616E">
            <w:pPr>
              <w:spacing w:line="300" w:lineRule="exact"/>
              <w:jc w:val="center"/>
              <w:rPr>
                <w:rFonts w:ascii="宋体" w:hAnsi="宋体" w:cs="宋体"/>
                <w:color w:val="000000"/>
                <w:sz w:val="22"/>
                <w:szCs w:val="22"/>
              </w:rPr>
            </w:pPr>
            <w:r>
              <w:rPr>
                <w:rFonts w:hint="eastAsia" w:ascii="宋体" w:hAnsi="宋体" w:cs="宋体"/>
                <w:color w:val="000000"/>
                <w:sz w:val="22"/>
                <w:szCs w:val="22"/>
              </w:rPr>
              <w:t>3</w:t>
            </w:r>
          </w:p>
        </w:tc>
        <w:tc>
          <w:tcPr>
            <w:tcW w:w="2059" w:type="dxa"/>
            <w:vAlign w:val="center"/>
          </w:tcPr>
          <w:p w14:paraId="4A95AFDC">
            <w:pPr>
              <w:spacing w:line="300" w:lineRule="exact"/>
              <w:jc w:val="center"/>
              <w:rPr>
                <w:rFonts w:ascii="宋体" w:hAnsi="宋体" w:cs="宋体"/>
                <w:color w:val="000000"/>
                <w:sz w:val="22"/>
                <w:szCs w:val="22"/>
              </w:rPr>
            </w:pPr>
            <w:r>
              <w:rPr>
                <w:rFonts w:hint="eastAsia" w:ascii="宋体" w:hAnsi="宋体" w:cs="宋体"/>
                <w:color w:val="000000"/>
                <w:sz w:val="22"/>
                <w:szCs w:val="22"/>
              </w:rPr>
              <w:t>付款条件</w:t>
            </w:r>
          </w:p>
          <w:p w14:paraId="7411E70E">
            <w:pPr>
              <w:spacing w:line="300" w:lineRule="exact"/>
              <w:jc w:val="center"/>
              <w:rPr>
                <w:rFonts w:ascii="宋体" w:hAnsi="宋体" w:cs="宋体"/>
                <w:color w:val="000000"/>
                <w:sz w:val="22"/>
                <w:szCs w:val="22"/>
              </w:rPr>
            </w:pPr>
            <w:r>
              <w:rPr>
                <w:rFonts w:hint="eastAsia" w:ascii="宋体" w:hAnsi="宋体" w:cs="宋体"/>
                <w:color w:val="000000"/>
                <w:sz w:val="22"/>
                <w:szCs w:val="22"/>
              </w:rPr>
              <w:t>（进度和方式）</w:t>
            </w:r>
          </w:p>
        </w:tc>
        <w:tc>
          <w:tcPr>
            <w:tcW w:w="7113" w:type="dxa"/>
            <w:vAlign w:val="center"/>
          </w:tcPr>
          <w:p w14:paraId="553C20F7">
            <w:pPr>
              <w:spacing w:line="300" w:lineRule="exact"/>
              <w:jc w:val="center"/>
              <w:rPr>
                <w:rFonts w:ascii="宋体" w:hAnsi="宋体" w:cs="宋体"/>
                <w:color w:val="000000"/>
                <w:sz w:val="22"/>
                <w:szCs w:val="22"/>
              </w:rPr>
            </w:pPr>
            <w:r>
              <w:rPr>
                <w:rFonts w:hint="eastAsia" w:ascii="宋体" w:hAnsi="宋体" w:cs="宋体"/>
                <w:color w:val="000000"/>
                <w:sz w:val="22"/>
                <w:szCs w:val="22"/>
              </w:rPr>
              <w:t>签订合同时约定</w:t>
            </w:r>
          </w:p>
        </w:tc>
      </w:tr>
      <w:tr w14:paraId="12C915C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8" w:type="dxa"/>
            <w:vAlign w:val="center"/>
          </w:tcPr>
          <w:p w14:paraId="27A8E9E3">
            <w:pPr>
              <w:spacing w:line="300" w:lineRule="exact"/>
              <w:jc w:val="center"/>
              <w:rPr>
                <w:rFonts w:ascii="宋体" w:hAnsi="宋体" w:cs="宋体"/>
                <w:color w:val="000000"/>
                <w:sz w:val="22"/>
                <w:szCs w:val="22"/>
              </w:rPr>
            </w:pPr>
            <w:r>
              <w:rPr>
                <w:rFonts w:hint="eastAsia" w:ascii="宋体" w:hAnsi="宋体" w:cs="宋体"/>
                <w:color w:val="000000"/>
                <w:sz w:val="22"/>
                <w:szCs w:val="22"/>
              </w:rPr>
              <w:t>4</w:t>
            </w:r>
          </w:p>
        </w:tc>
        <w:tc>
          <w:tcPr>
            <w:tcW w:w="2059" w:type="dxa"/>
            <w:vAlign w:val="center"/>
          </w:tcPr>
          <w:p w14:paraId="54AF0E8B">
            <w:pPr>
              <w:spacing w:line="300" w:lineRule="exact"/>
              <w:jc w:val="center"/>
              <w:rPr>
                <w:rFonts w:ascii="宋体" w:hAnsi="宋体" w:cs="宋体"/>
                <w:color w:val="000000"/>
                <w:sz w:val="22"/>
                <w:szCs w:val="22"/>
              </w:rPr>
            </w:pPr>
            <w:r>
              <w:rPr>
                <w:rFonts w:hint="eastAsia" w:ascii="宋体" w:hAnsi="宋体" w:cs="宋体"/>
                <w:color w:val="000000"/>
                <w:sz w:val="22"/>
                <w:szCs w:val="22"/>
              </w:rPr>
              <w:t>包装和运输</w:t>
            </w:r>
          </w:p>
        </w:tc>
        <w:tc>
          <w:tcPr>
            <w:tcW w:w="7113" w:type="dxa"/>
            <w:vAlign w:val="center"/>
          </w:tcPr>
          <w:p w14:paraId="2A3AF519">
            <w:pPr>
              <w:spacing w:line="300" w:lineRule="exact"/>
              <w:jc w:val="center"/>
              <w:rPr>
                <w:rFonts w:ascii="宋体" w:hAnsi="宋体" w:cs="宋体"/>
                <w:color w:val="000000"/>
                <w:sz w:val="22"/>
                <w:szCs w:val="22"/>
              </w:rPr>
            </w:pPr>
            <w:r>
              <w:rPr>
                <w:rFonts w:hint="eastAsia" w:ascii="宋体" w:hAnsi="宋体" w:cs="宋体"/>
                <w:color w:val="000000"/>
                <w:sz w:val="22"/>
                <w:szCs w:val="22"/>
              </w:rPr>
              <w:t>按照国家及行业相关标准执行</w:t>
            </w:r>
          </w:p>
        </w:tc>
      </w:tr>
      <w:tr w14:paraId="061D9F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02" w:hRule="atLeast"/>
          <w:jc w:val="center"/>
        </w:trPr>
        <w:tc>
          <w:tcPr>
            <w:tcW w:w="678" w:type="dxa"/>
            <w:vAlign w:val="center"/>
          </w:tcPr>
          <w:p w14:paraId="4003E591">
            <w:pPr>
              <w:spacing w:line="300" w:lineRule="exact"/>
              <w:jc w:val="center"/>
              <w:rPr>
                <w:rFonts w:ascii="宋体" w:hAnsi="宋体" w:cs="宋体"/>
                <w:color w:val="000000"/>
                <w:sz w:val="22"/>
                <w:szCs w:val="22"/>
              </w:rPr>
            </w:pPr>
            <w:r>
              <w:rPr>
                <w:rFonts w:hint="eastAsia" w:ascii="宋体" w:hAnsi="宋体" w:cs="宋体"/>
                <w:color w:val="000000"/>
                <w:sz w:val="22"/>
                <w:szCs w:val="22"/>
              </w:rPr>
              <w:t>5</w:t>
            </w:r>
          </w:p>
        </w:tc>
        <w:tc>
          <w:tcPr>
            <w:tcW w:w="2059" w:type="dxa"/>
            <w:vAlign w:val="center"/>
          </w:tcPr>
          <w:p w14:paraId="5B8AAFEB">
            <w:pPr>
              <w:spacing w:line="300" w:lineRule="exact"/>
              <w:jc w:val="center"/>
              <w:rPr>
                <w:rFonts w:ascii="宋体" w:hAnsi="宋体" w:cs="宋体"/>
                <w:color w:val="000000"/>
                <w:sz w:val="22"/>
                <w:szCs w:val="22"/>
              </w:rPr>
            </w:pPr>
            <w:r>
              <w:rPr>
                <w:rFonts w:hint="eastAsia" w:ascii="宋体" w:hAnsi="宋体" w:cs="宋体"/>
                <w:color w:val="000000"/>
                <w:sz w:val="22"/>
                <w:szCs w:val="22"/>
              </w:rPr>
              <w:t>售后服务</w:t>
            </w:r>
          </w:p>
        </w:tc>
        <w:tc>
          <w:tcPr>
            <w:tcW w:w="7113" w:type="dxa"/>
            <w:vAlign w:val="center"/>
          </w:tcPr>
          <w:p w14:paraId="51B4E877">
            <w:pPr>
              <w:spacing w:line="300" w:lineRule="exact"/>
              <w:jc w:val="center"/>
              <w:rPr>
                <w:rFonts w:ascii="宋体" w:hAnsi="宋体" w:cs="宋体"/>
                <w:color w:val="000000"/>
                <w:sz w:val="22"/>
                <w:szCs w:val="22"/>
              </w:rPr>
            </w:pPr>
            <w:r>
              <w:rPr>
                <w:rFonts w:hint="eastAsia" w:ascii="宋体" w:hAnsi="宋体" w:cs="宋体"/>
                <w:color w:val="000000"/>
                <w:sz w:val="22"/>
                <w:szCs w:val="22"/>
              </w:rPr>
              <w:t>质保期及免费服务期：5年</w:t>
            </w:r>
          </w:p>
        </w:tc>
      </w:tr>
      <w:tr w14:paraId="562055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678" w:type="dxa"/>
            <w:vAlign w:val="center"/>
          </w:tcPr>
          <w:p w14:paraId="59F5EF58">
            <w:pPr>
              <w:spacing w:line="300" w:lineRule="exact"/>
              <w:jc w:val="center"/>
              <w:rPr>
                <w:rFonts w:ascii="宋体" w:hAnsi="宋体" w:cs="宋体"/>
                <w:color w:val="000000"/>
                <w:sz w:val="22"/>
                <w:szCs w:val="22"/>
              </w:rPr>
            </w:pPr>
            <w:r>
              <w:rPr>
                <w:rFonts w:hint="eastAsia" w:ascii="宋体" w:hAnsi="宋体" w:cs="宋体"/>
                <w:color w:val="000000"/>
                <w:sz w:val="22"/>
                <w:szCs w:val="22"/>
              </w:rPr>
              <w:t>6</w:t>
            </w:r>
          </w:p>
        </w:tc>
        <w:tc>
          <w:tcPr>
            <w:tcW w:w="2059" w:type="dxa"/>
            <w:vAlign w:val="center"/>
          </w:tcPr>
          <w:p w14:paraId="2B3C8A52">
            <w:pPr>
              <w:spacing w:line="300" w:lineRule="exact"/>
              <w:jc w:val="center"/>
              <w:rPr>
                <w:rFonts w:ascii="宋体" w:hAnsi="宋体" w:cs="宋体"/>
                <w:color w:val="000000"/>
                <w:sz w:val="22"/>
                <w:szCs w:val="22"/>
              </w:rPr>
            </w:pPr>
            <w:r>
              <w:rPr>
                <w:rFonts w:hint="eastAsia" w:ascii="宋体" w:hAnsi="宋体" w:cs="宋体"/>
                <w:color w:val="000000"/>
                <w:sz w:val="22"/>
                <w:szCs w:val="22"/>
              </w:rPr>
              <w:t>保险</w:t>
            </w:r>
          </w:p>
        </w:tc>
        <w:tc>
          <w:tcPr>
            <w:tcW w:w="7113" w:type="dxa"/>
            <w:vAlign w:val="center"/>
          </w:tcPr>
          <w:p w14:paraId="792051E4">
            <w:pPr>
              <w:spacing w:line="300" w:lineRule="exact"/>
              <w:jc w:val="center"/>
              <w:rPr>
                <w:rFonts w:ascii="宋体" w:hAnsi="宋体" w:cs="宋体"/>
                <w:color w:val="000000"/>
                <w:sz w:val="22"/>
                <w:szCs w:val="22"/>
              </w:rPr>
            </w:pPr>
            <w:r>
              <w:rPr>
                <w:rFonts w:hint="eastAsia" w:ascii="宋体" w:hAnsi="宋体" w:cs="宋体"/>
                <w:color w:val="000000"/>
                <w:sz w:val="22"/>
                <w:szCs w:val="22"/>
              </w:rPr>
              <w:t>由乙方承担</w:t>
            </w:r>
          </w:p>
        </w:tc>
      </w:tr>
    </w:tbl>
    <w:p w14:paraId="5612B064">
      <w:pPr>
        <w:pStyle w:val="37"/>
        <w:rPr>
          <w:rFonts w:ascii="宋体" w:hAnsi="宋体" w:cs="宋体"/>
          <w:sz w:val="24"/>
          <w:szCs w:val="24"/>
        </w:rPr>
      </w:pPr>
    </w:p>
    <w:sectPr>
      <w:pgSz w:w="11906" w:h="16838" w:orient="landscape"/>
      <w:pgMar w:top="1440" w:right="1797" w:bottom="1440" w:left="1797" w:header="851" w:footer="992" w:gutter="0"/>
      <w:cols w:space="1701"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font>
  <w:font w:name="方正楷体_GBK">
    <w:altName w:val="微软雅黑"/>
    <w:panose1 w:val="00000000000000000000"/>
    <w:charset w:val="86"/>
    <w:family w:val="auto"/>
    <w:pitch w:val="default"/>
    <w:sig w:usb0="00000000" w:usb1="00000000" w:usb2="00000000" w:usb3="00000000" w:csb0="00040000" w:csb1="00000000"/>
  </w:font>
  <w:font w:name="华文行楷">
    <w:panose1 w:val="02010800040101010101"/>
    <w:charset w:val="86"/>
    <w:family w:val="auto"/>
    <w:pitch w:val="default"/>
    <w:sig w:usb0="00000001" w:usb1="080F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楷体_GB2312">
    <w:altName w:val="楷体"/>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904A4C">
    <w:r>
      <w:pict>
        <v:shape id="_x0000_s4097" o:spid="_x0000_s4097"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M6pebnPAAAABQEAAA8AAAAAAAAAAQAgAAAAIgAAAGRycy9kb3ducmV2LnhtbFBL&#10;AQIUABQAAAAIAIdO4kAT3AqMxgEAAKgDAAAOAAAAAAAAAAEAIAAAAB4BAABkcnMvZTJvRG9jLnht&#10;bFBLBQYAAAAABgAGAFkBAABWBQAAAAA=&#10;">
          <v:path/>
          <v:fill on="f" focussize="0,0"/>
          <v:stroke on="f" joinstyle="miter"/>
          <v:imagedata o:title=""/>
          <o:lock v:ext="edit"/>
          <v:textbox inset="0mm,0mm,0mm,0mm" style="mso-fit-shape-to-text:t;">
            <w:txbxContent>
              <w:p w14:paraId="0BAA8131">
                <w:pPr>
                  <w:pStyle w:val="37"/>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4</w:t>
                </w:r>
                <w:r>
                  <w:rPr>
                    <w:rFonts w:hint="eastAsia"/>
                  </w:rPr>
                  <w:fldChar w:fldCharType="end"/>
                </w:r>
                <w:r>
                  <w:rPr>
                    <w:rFonts w:hint="eastAsia"/>
                  </w:rPr>
                  <w:t xml:space="preserve"> 页 共 </w:t>
                </w:r>
                <w:r>
                  <w:fldChar w:fldCharType="begin"/>
                </w:r>
                <w:r>
                  <w:instrText xml:space="preserve"> NUMPAGES  \* MERGEFORMAT </w:instrText>
                </w:r>
                <w:r>
                  <w:fldChar w:fldCharType="separate"/>
                </w:r>
                <w:r>
                  <w:t>129</w:t>
                </w:r>
                <w:r>
                  <w:fldChar w:fldCharType="end"/>
                </w:r>
                <w:r>
                  <w:rPr>
                    <w:rFonts w:hint="eastAsia"/>
                  </w:rPr>
                  <w:t xml:space="preserve"> 页</w:t>
                </w:r>
              </w:p>
              <w:p w14:paraId="5EDBAF3D"/>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77FFF1">
    <w:pPr>
      <w:pStyle w:val="37"/>
      <w:framePr w:wrap="around" w:vAnchor="text" w:hAnchor="margin" w:xAlign="center" w:y="1"/>
      <w:rPr>
        <w:rStyle w:val="244"/>
      </w:rPr>
    </w:pPr>
    <w:r>
      <w:fldChar w:fldCharType="begin"/>
    </w:r>
    <w:r>
      <w:rPr>
        <w:rStyle w:val="244"/>
      </w:rPr>
      <w:instrText xml:space="preserve">PAGE  </w:instrText>
    </w:r>
    <w:r>
      <w:fldChar w:fldCharType="end"/>
    </w:r>
  </w:p>
  <w:p w14:paraId="09C572A0">
    <w:pPr>
      <w:pStyle w:val="37"/>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3BE95">
    <w:pPr>
      <w:pStyle w:val="226"/>
      <w:pBdr>
        <w:bottom w:val="none" w:color="000000"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A91A1"/>
    <w:multiLevelType w:val="singleLevel"/>
    <w:tmpl w:val="8F7A91A1"/>
    <w:lvl w:ilvl="0" w:tentative="0">
      <w:start w:val="1"/>
      <w:numFmt w:val="decimal"/>
      <w:lvlText w:val="%1."/>
      <w:lvlJc w:val="left"/>
      <w:pPr>
        <w:tabs>
          <w:tab w:val="left" w:pos="312"/>
        </w:tabs>
      </w:pPr>
    </w:lvl>
  </w:abstractNum>
  <w:abstractNum w:abstractNumId="1">
    <w:nsid w:val="B5E306ED"/>
    <w:multiLevelType w:val="multilevel"/>
    <w:tmpl w:val="B5E306ED"/>
    <w:lvl w:ilvl="0" w:tentative="0">
      <w:start w:val="1"/>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2">
    <w:nsid w:val="BF205925"/>
    <w:multiLevelType w:val="multilevel"/>
    <w:tmpl w:val="BF205925"/>
    <w:lvl w:ilvl="0" w:tentative="0">
      <w:start w:val="1"/>
      <w:numFmt w:val="decimal"/>
      <w:suff w:val="space"/>
      <w:lvlText w:val="(%1)"/>
      <w:lvlJc w:val="left"/>
      <w:pPr>
        <w:tabs>
          <w:tab w:val="left" w:pos="312"/>
        </w:tabs>
      </w:pPr>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3">
    <w:nsid w:val="C8879AEF"/>
    <w:multiLevelType w:val="multilevel"/>
    <w:tmpl w:val="C8879AEF"/>
    <w:lvl w:ilvl="0" w:tentative="0">
      <w:start w:val="2"/>
      <w:numFmt w:val="chineseCounting"/>
      <w:suff w:val="nothing"/>
      <w:lvlText w:val="（%1）"/>
      <w:lvlJc w:val="left"/>
      <w:rPr>
        <w:rFonts w:hint="eastAsia"/>
      </w:rPr>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4">
    <w:nsid w:val="0053208E"/>
    <w:multiLevelType w:val="multilevel"/>
    <w:tmpl w:val="0053208E"/>
    <w:lvl w:ilvl="0" w:tentative="0">
      <w:start w:val="1"/>
      <w:numFmt w:val="decimal"/>
      <w:suff w:val="space"/>
      <w:lvlText w:val="%1."/>
      <w:lvlJc w:val="left"/>
      <w:pPr>
        <w:ind w:left="432" w:hanging="432"/>
      </w:pPr>
    </w:lvl>
    <w:lvl w:ilvl="1" w:tentative="0">
      <w:start w:val="1"/>
      <w:numFmt w:val="decimal"/>
      <w:suff w:val="space"/>
      <w:lvlText w:val="%1.%2."/>
      <w:lvlJc w:val="left"/>
      <w:pPr>
        <w:ind w:left="575" w:hanging="575"/>
      </w:pPr>
      <w:rPr>
        <w:rFonts w:ascii="宋体" w:hAnsi="宋体" w:cs="宋体"/>
        <w:b/>
        <w:bCs/>
        <w:sz w:val="24"/>
        <w:szCs w:val="24"/>
      </w:rPr>
    </w:lvl>
    <w:lvl w:ilvl="2" w:tentative="0">
      <w:start w:val="1"/>
      <w:numFmt w:val="decimal"/>
      <w:pStyle w:val="303"/>
      <w:suff w:val="space"/>
      <w:lvlText w:val="%1.%2.%3."/>
      <w:lvlJc w:val="left"/>
      <w:pPr>
        <w:ind w:left="720" w:hanging="720"/>
      </w:pPr>
    </w:lvl>
    <w:lvl w:ilvl="3" w:tentative="0">
      <w:start w:val="1"/>
      <w:numFmt w:val="decimal"/>
      <w:suff w:val="space"/>
      <w:lvlText w:val="%1.%2.%3.%4."/>
      <w:lvlJc w:val="left"/>
      <w:pPr>
        <w:ind w:left="864" w:hanging="864"/>
      </w:pPr>
    </w:lvl>
    <w:lvl w:ilvl="4" w:tentative="0">
      <w:start w:val="1"/>
      <w:numFmt w:val="decimal"/>
      <w:suff w:val="space"/>
      <w:lvlText w:val="%1.%2.%3.%4.%5."/>
      <w:lvlJc w:val="left"/>
      <w:pPr>
        <w:ind w:left="1008" w:hanging="1008"/>
      </w:pPr>
    </w:lvl>
    <w:lvl w:ilvl="5" w:tentative="0">
      <w:start w:val="1"/>
      <w:numFmt w:val="decimal"/>
      <w:suff w:val="space"/>
      <w:lvlText w:val="%1.%2.%3.%4.%5.%6."/>
      <w:lvlJc w:val="left"/>
      <w:pPr>
        <w:ind w:left="1151" w:hanging="1151"/>
      </w:pPr>
    </w:lvl>
    <w:lvl w:ilvl="6" w:tentative="0">
      <w:start w:val="1"/>
      <w:numFmt w:val="decimal"/>
      <w:suff w:val="space"/>
      <w:lvlText w:val="%1.%2.%3.%4.%5.%6.%7."/>
      <w:lvlJc w:val="left"/>
      <w:pPr>
        <w:ind w:left="1296" w:hanging="1296"/>
      </w:pPr>
    </w:lvl>
    <w:lvl w:ilvl="7" w:tentative="0">
      <w:start w:val="1"/>
      <w:numFmt w:val="decimal"/>
      <w:suff w:val="space"/>
      <w:lvlText w:val="%1.%2.%3.%4.%5.%6.%7.%8."/>
      <w:lvlJc w:val="left"/>
      <w:pPr>
        <w:ind w:left="1440" w:hanging="1440"/>
      </w:pPr>
    </w:lvl>
    <w:lvl w:ilvl="8" w:tentative="0">
      <w:start w:val="1"/>
      <w:numFmt w:val="decimal"/>
      <w:suff w:val="space"/>
      <w:lvlText w:val="%1.%2.%3.%4.%5.%6.%7.%8.%9."/>
      <w:lvlJc w:val="left"/>
      <w:pPr>
        <w:ind w:left="1583" w:hanging="1583"/>
      </w:pPr>
    </w:lvl>
  </w:abstractNum>
  <w:abstractNum w:abstractNumId="5">
    <w:nsid w:val="0248C179"/>
    <w:multiLevelType w:val="multilevel"/>
    <w:tmpl w:val="0248C179"/>
    <w:lvl w:ilvl="0" w:tentative="0">
      <w:start w:val="1"/>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6">
    <w:nsid w:val="03D62ECE"/>
    <w:multiLevelType w:val="multilevel"/>
    <w:tmpl w:val="03D62ECE"/>
    <w:lvl w:ilvl="0" w:tentative="0">
      <w:start w:val="1"/>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7">
    <w:nsid w:val="106C897C"/>
    <w:multiLevelType w:val="multilevel"/>
    <w:tmpl w:val="106C897C"/>
    <w:lvl w:ilvl="0" w:tentative="0">
      <w:start w:val="5"/>
      <w:numFmt w:val="chineseCounting"/>
      <w:lvlText w:val="第%1部分"/>
      <w:lvlJc w:val="left"/>
      <w:rPr>
        <w:rFonts w:hint="eastAsia"/>
      </w:rPr>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8">
    <w:nsid w:val="25B654F3"/>
    <w:multiLevelType w:val="multilevel"/>
    <w:tmpl w:val="25B654F3"/>
    <w:lvl w:ilvl="0" w:tentative="0">
      <w:start w:val="4"/>
      <w:numFmt w:val="chineseCounting"/>
      <w:lvlText w:val="第%1部分"/>
      <w:lvlJc w:val="left"/>
      <w:rPr>
        <w:rFonts w:hint="eastAsia"/>
      </w:rPr>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9">
    <w:nsid w:val="2A8F537B"/>
    <w:multiLevelType w:val="multilevel"/>
    <w:tmpl w:val="2A8F537B"/>
    <w:lvl w:ilvl="0" w:tentative="0">
      <w:start w:val="2"/>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10">
    <w:nsid w:val="59ADCABA"/>
    <w:multiLevelType w:val="multilevel"/>
    <w:tmpl w:val="59ADCABA"/>
    <w:lvl w:ilvl="0" w:tentative="0">
      <w:start w:val="1"/>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11">
    <w:nsid w:val="5A241D34"/>
    <w:multiLevelType w:val="multilevel"/>
    <w:tmpl w:val="5A241D34"/>
    <w:lvl w:ilvl="0" w:tentative="0">
      <w:start w:val="5"/>
      <w:numFmt w:val="chineseCounting"/>
      <w:lvlText w:val="第%1部分"/>
      <w:lvlJc w:val="left"/>
      <w:rPr>
        <w:rFonts w:hint="eastAsia"/>
      </w:rPr>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12">
    <w:nsid w:val="72183CF9"/>
    <w:multiLevelType w:val="multilevel"/>
    <w:tmpl w:val="72183CF9"/>
    <w:lvl w:ilvl="0" w:tentative="0">
      <w:start w:val="1"/>
      <w:numFmt w:val="decimal"/>
      <w:suff w:val="nothing"/>
      <w:lvlText w:val="（%1）"/>
      <w:lvlJc w:val="left"/>
    </w:lvl>
    <w:lvl w:ilvl="1" w:tentative="0">
      <w:start w:val="1"/>
      <w:numFmt w:val="bullet"/>
      <w:suff w:val="space"/>
      <w:lvlText w:val="o"/>
      <w:lvlJc w:val="left"/>
      <w:pPr>
        <w:ind w:left="1440" w:hanging="360"/>
      </w:pPr>
      <w:rPr>
        <w:rFonts w:hint="default" w:ascii="Courier New" w:hAnsi="Courier New" w:eastAsia="Courier New" w:cs="Courier New"/>
      </w:rPr>
    </w:lvl>
    <w:lvl w:ilvl="2" w:tentative="0">
      <w:start w:val="1"/>
      <w:numFmt w:val="bullet"/>
      <w:suff w:val="space"/>
      <w:lvlText w:val="§"/>
      <w:lvlJc w:val="left"/>
      <w:pPr>
        <w:ind w:left="2160" w:hanging="360"/>
      </w:pPr>
      <w:rPr>
        <w:rFonts w:hint="default" w:ascii="Wingdings" w:hAnsi="Wingdings" w:eastAsia="Wingdings" w:cs="Wingdings"/>
      </w:rPr>
    </w:lvl>
    <w:lvl w:ilvl="3" w:tentative="0">
      <w:start w:val="1"/>
      <w:numFmt w:val="bullet"/>
      <w:suff w:val="space"/>
      <w:lvlText w:val="·"/>
      <w:lvlJc w:val="left"/>
      <w:pPr>
        <w:ind w:left="2880" w:hanging="360"/>
      </w:pPr>
      <w:rPr>
        <w:rFonts w:hint="default" w:ascii="Symbol" w:hAnsi="Symbol" w:eastAsia="Symbol" w:cs="Symbol"/>
      </w:rPr>
    </w:lvl>
    <w:lvl w:ilvl="4" w:tentative="0">
      <w:start w:val="1"/>
      <w:numFmt w:val="bullet"/>
      <w:suff w:val="space"/>
      <w:lvlText w:val="o"/>
      <w:lvlJc w:val="left"/>
      <w:pPr>
        <w:ind w:left="3600" w:hanging="360"/>
      </w:pPr>
      <w:rPr>
        <w:rFonts w:hint="default" w:ascii="Courier New" w:hAnsi="Courier New" w:eastAsia="Courier New" w:cs="Courier New"/>
      </w:rPr>
    </w:lvl>
    <w:lvl w:ilvl="5" w:tentative="0">
      <w:start w:val="1"/>
      <w:numFmt w:val="bullet"/>
      <w:suff w:val="space"/>
      <w:lvlText w:val="§"/>
      <w:lvlJc w:val="left"/>
      <w:pPr>
        <w:ind w:left="4320" w:hanging="360"/>
      </w:pPr>
      <w:rPr>
        <w:rFonts w:hint="default" w:ascii="Wingdings" w:hAnsi="Wingdings" w:eastAsia="Wingdings" w:cs="Wingdings"/>
      </w:rPr>
    </w:lvl>
    <w:lvl w:ilvl="6" w:tentative="0">
      <w:start w:val="1"/>
      <w:numFmt w:val="bullet"/>
      <w:suff w:val="space"/>
      <w:lvlText w:val="·"/>
      <w:lvlJc w:val="left"/>
      <w:pPr>
        <w:ind w:left="5040" w:hanging="360"/>
      </w:pPr>
      <w:rPr>
        <w:rFonts w:hint="default" w:ascii="Symbol" w:hAnsi="Symbol" w:eastAsia="Symbol" w:cs="Symbol"/>
      </w:rPr>
    </w:lvl>
    <w:lvl w:ilvl="7" w:tentative="0">
      <w:start w:val="1"/>
      <w:numFmt w:val="bullet"/>
      <w:suff w:val="space"/>
      <w:lvlText w:val="o"/>
      <w:lvlJc w:val="left"/>
      <w:pPr>
        <w:ind w:left="5760" w:hanging="360"/>
      </w:pPr>
      <w:rPr>
        <w:rFonts w:hint="default" w:ascii="Courier New" w:hAnsi="Courier New" w:eastAsia="Courier New" w:cs="Courier New"/>
      </w:rPr>
    </w:lvl>
    <w:lvl w:ilvl="8" w:tentative="0">
      <w:start w:val="1"/>
      <w:numFmt w:val="bullet"/>
      <w:suff w:val="space"/>
      <w:lvlText w:val="§"/>
      <w:lvlJc w:val="left"/>
      <w:pPr>
        <w:ind w:left="6480" w:hanging="360"/>
      </w:pPr>
      <w:rPr>
        <w:rFonts w:hint="default" w:ascii="Wingdings" w:hAnsi="Wingdings" w:eastAsia="Wingdings" w:cs="Wingdings"/>
      </w:rPr>
    </w:lvl>
  </w:abstractNum>
  <w:abstractNum w:abstractNumId="13">
    <w:nsid w:val="7D5B970C"/>
    <w:multiLevelType w:val="singleLevel"/>
    <w:tmpl w:val="7D5B970C"/>
    <w:lvl w:ilvl="0" w:tentative="0">
      <w:start w:val="1"/>
      <w:numFmt w:val="decimal"/>
      <w:lvlText w:val="%1."/>
      <w:lvlJc w:val="left"/>
      <w:pPr>
        <w:tabs>
          <w:tab w:val="left" w:pos="312"/>
        </w:tabs>
      </w:pPr>
    </w:lvl>
  </w:abstractNum>
  <w:num w:numId="1">
    <w:abstractNumId w:val="4"/>
  </w:num>
  <w:num w:numId="2">
    <w:abstractNumId w:val="10"/>
  </w:num>
  <w:num w:numId="3">
    <w:abstractNumId w:val="2"/>
  </w:num>
  <w:num w:numId="4">
    <w:abstractNumId w:val="1"/>
  </w:num>
  <w:num w:numId="5">
    <w:abstractNumId w:val="6"/>
  </w:num>
  <w:num w:numId="6">
    <w:abstractNumId w:val="8"/>
  </w:num>
  <w:num w:numId="7">
    <w:abstractNumId w:val="12"/>
  </w:num>
  <w:num w:numId="8">
    <w:abstractNumId w:val="5"/>
  </w:num>
  <w:num w:numId="9">
    <w:abstractNumId w:val="11"/>
  </w:num>
  <w:num w:numId="10">
    <w:abstractNumId w:val="9"/>
  </w:num>
  <w:num w:numId="11">
    <w:abstractNumId w:val="7"/>
  </w:num>
  <w:num w:numId="12">
    <w:abstractNumId w:val="0"/>
  </w:num>
  <w:num w:numId="13">
    <w:abstractNumId w:val="13"/>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hideSpellingErrors/>
  <w:documentProtection w:enforcement="0"/>
  <w:defaultTabStop w:val="420"/>
  <w:noPunctuationKerning w:val="1"/>
  <w:characterSpacingControl w:val="doNotCompress"/>
  <w:hdrShapeDefaults>
    <o:shapelayout v:ext="edit">
      <o:idmap v:ext="edit" data="3,4"/>
    </o:shapelayout>
  </w:hdrShapeDefaults>
  <w:compat>
    <w:balanceSingleByteDoubleByteWidth/>
    <w:doNotExpandShiftReturn/>
    <w:useFELayout/>
    <w:compatSetting w:name="compatibilityMode" w:uri="http://schemas.microsoft.com/office/word" w:val="12"/>
  </w:compat>
  <w:docVars>
    <w:docVar w:name="commondata" w:val="eyJoZGlkIjoiYWU0YjliYjEyYzRiMzU3NjRhYWJiZWU0NDlhZDg4MTQifQ=="/>
  </w:docVars>
  <w:rsids>
    <w:rsidRoot w:val="003842A4"/>
    <w:rsid w:val="003842A4"/>
    <w:rsid w:val="005169A7"/>
    <w:rsid w:val="00C44682"/>
    <w:rsid w:val="00E252F1"/>
    <w:rsid w:val="042B6234"/>
    <w:rsid w:val="05353DA0"/>
    <w:rsid w:val="07200661"/>
    <w:rsid w:val="08240EA8"/>
    <w:rsid w:val="08241800"/>
    <w:rsid w:val="085507C1"/>
    <w:rsid w:val="093B5E16"/>
    <w:rsid w:val="0A785749"/>
    <w:rsid w:val="0C14669F"/>
    <w:rsid w:val="0CD81BE1"/>
    <w:rsid w:val="0D58482D"/>
    <w:rsid w:val="0DB3608B"/>
    <w:rsid w:val="0DF225AF"/>
    <w:rsid w:val="0F0C6AAA"/>
    <w:rsid w:val="0F201BF3"/>
    <w:rsid w:val="0FC84439"/>
    <w:rsid w:val="0FE0329E"/>
    <w:rsid w:val="15171263"/>
    <w:rsid w:val="15CD6BAA"/>
    <w:rsid w:val="15F81323"/>
    <w:rsid w:val="16297009"/>
    <w:rsid w:val="17940DEC"/>
    <w:rsid w:val="188903ED"/>
    <w:rsid w:val="1B7A359F"/>
    <w:rsid w:val="1C2B7D43"/>
    <w:rsid w:val="1ED55F80"/>
    <w:rsid w:val="1EEF6B40"/>
    <w:rsid w:val="1F2E702D"/>
    <w:rsid w:val="225278E7"/>
    <w:rsid w:val="225D7ACD"/>
    <w:rsid w:val="228A0E2F"/>
    <w:rsid w:val="22CC4025"/>
    <w:rsid w:val="26510EA0"/>
    <w:rsid w:val="27710810"/>
    <w:rsid w:val="2AAC3D6A"/>
    <w:rsid w:val="2B442E71"/>
    <w:rsid w:val="2E084FEF"/>
    <w:rsid w:val="2EF02962"/>
    <w:rsid w:val="3148438F"/>
    <w:rsid w:val="31F15207"/>
    <w:rsid w:val="345D2848"/>
    <w:rsid w:val="3A173499"/>
    <w:rsid w:val="3BA10781"/>
    <w:rsid w:val="3C5F4C83"/>
    <w:rsid w:val="3D7070DF"/>
    <w:rsid w:val="3FE81FE6"/>
    <w:rsid w:val="3FFF2A05"/>
    <w:rsid w:val="42AD38DD"/>
    <w:rsid w:val="441A605F"/>
    <w:rsid w:val="44CB55AC"/>
    <w:rsid w:val="47B40579"/>
    <w:rsid w:val="488014DE"/>
    <w:rsid w:val="4B8244EA"/>
    <w:rsid w:val="4BC44B03"/>
    <w:rsid w:val="4DB50397"/>
    <w:rsid w:val="50D47A8A"/>
    <w:rsid w:val="579B3908"/>
    <w:rsid w:val="599B50F5"/>
    <w:rsid w:val="5A063596"/>
    <w:rsid w:val="5A744438"/>
    <w:rsid w:val="5A8C0EE1"/>
    <w:rsid w:val="5ADA7E9F"/>
    <w:rsid w:val="5BC3661E"/>
    <w:rsid w:val="5C3810C1"/>
    <w:rsid w:val="5CBA7F88"/>
    <w:rsid w:val="5CFD7F37"/>
    <w:rsid w:val="5D465377"/>
    <w:rsid w:val="5E4E141F"/>
    <w:rsid w:val="60854409"/>
    <w:rsid w:val="609B59DA"/>
    <w:rsid w:val="62E52C95"/>
    <w:rsid w:val="638210D3"/>
    <w:rsid w:val="63C10DB4"/>
    <w:rsid w:val="640C350D"/>
    <w:rsid w:val="65255A3A"/>
    <w:rsid w:val="68016A6B"/>
    <w:rsid w:val="6940006C"/>
    <w:rsid w:val="6C73716C"/>
    <w:rsid w:val="6C9834FC"/>
    <w:rsid w:val="6CBF3CCB"/>
    <w:rsid w:val="6F2319BD"/>
    <w:rsid w:val="6FE310AC"/>
    <w:rsid w:val="71097F7D"/>
    <w:rsid w:val="71696914"/>
    <w:rsid w:val="71B211A1"/>
    <w:rsid w:val="749C3342"/>
    <w:rsid w:val="7673474A"/>
    <w:rsid w:val="77822492"/>
    <w:rsid w:val="797D616D"/>
    <w:rsid w:val="7A735A72"/>
    <w:rsid w:val="7C327677"/>
    <w:rsid w:val="7F035D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qFormat="1" w:uiPriority="99" w:semiHidden="0" w:name="table of figures"/>
    <w:lsdException w:uiPriority="99" w:name="envelope address"/>
    <w:lsdException w:uiPriority="99" w:name="envelope return"/>
    <w:lsdException w:qFormat="1" w:uiPriority="99" w:semiHidden="0" w:name="footnote reference"/>
    <w:lsdException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z w:val="24"/>
      <w:szCs w:val="24"/>
      <w:lang w:val="en-US" w:eastAsia="zh-CN" w:bidi="ar-SA"/>
    </w:rPr>
  </w:style>
  <w:style w:type="paragraph" w:styleId="2">
    <w:name w:val="heading 1"/>
    <w:basedOn w:val="1"/>
    <w:next w:val="1"/>
    <w:link w:val="38"/>
    <w:qFormat/>
    <w:uiPriority w:val="9"/>
    <w:pPr>
      <w:keepNext/>
      <w:keepLines/>
      <w:spacing w:before="480" w:after="200"/>
      <w:outlineLvl w:val="0"/>
    </w:pPr>
    <w:rPr>
      <w:rFonts w:ascii="等线" w:hAnsi="等线" w:eastAsia="等线" w:cs="等线"/>
      <w:sz w:val="40"/>
      <w:szCs w:val="40"/>
    </w:rPr>
  </w:style>
  <w:style w:type="paragraph" w:styleId="3">
    <w:name w:val="heading 2"/>
    <w:basedOn w:val="1"/>
    <w:next w:val="1"/>
    <w:link w:val="39"/>
    <w:unhideWhenUsed/>
    <w:qFormat/>
    <w:uiPriority w:val="9"/>
    <w:pPr>
      <w:keepNext/>
      <w:keepLines/>
      <w:spacing w:before="360" w:after="200"/>
      <w:outlineLvl w:val="1"/>
    </w:pPr>
    <w:rPr>
      <w:rFonts w:ascii="等线" w:hAnsi="等线" w:eastAsia="等线" w:cs="等线"/>
      <w:sz w:val="34"/>
    </w:rPr>
  </w:style>
  <w:style w:type="paragraph" w:styleId="4">
    <w:name w:val="heading 3"/>
    <w:basedOn w:val="1"/>
    <w:next w:val="1"/>
    <w:link w:val="40"/>
    <w:unhideWhenUsed/>
    <w:qFormat/>
    <w:uiPriority w:val="9"/>
    <w:pPr>
      <w:keepNext/>
      <w:keepLines/>
      <w:spacing w:before="320" w:after="200"/>
      <w:outlineLvl w:val="2"/>
    </w:pPr>
    <w:rPr>
      <w:rFonts w:ascii="等线" w:hAnsi="等线" w:eastAsia="等线" w:cs="等线"/>
      <w:sz w:val="30"/>
      <w:szCs w:val="30"/>
    </w:rPr>
  </w:style>
  <w:style w:type="paragraph" w:styleId="5">
    <w:name w:val="heading 4"/>
    <w:basedOn w:val="1"/>
    <w:next w:val="1"/>
    <w:link w:val="41"/>
    <w:unhideWhenUsed/>
    <w:qFormat/>
    <w:uiPriority w:val="9"/>
    <w:pPr>
      <w:keepNext/>
      <w:keepLines/>
      <w:spacing w:before="320" w:after="200"/>
      <w:outlineLvl w:val="3"/>
    </w:pPr>
    <w:rPr>
      <w:rFonts w:ascii="等线" w:hAnsi="等线" w:eastAsia="等线" w:cs="等线"/>
      <w:b/>
      <w:bCs/>
      <w:sz w:val="26"/>
      <w:szCs w:val="26"/>
    </w:rPr>
  </w:style>
  <w:style w:type="paragraph" w:styleId="6">
    <w:name w:val="heading 5"/>
    <w:basedOn w:val="1"/>
    <w:next w:val="1"/>
    <w:link w:val="42"/>
    <w:unhideWhenUsed/>
    <w:qFormat/>
    <w:uiPriority w:val="9"/>
    <w:pPr>
      <w:keepNext/>
      <w:keepLines/>
      <w:spacing w:before="320" w:after="200"/>
      <w:outlineLvl w:val="4"/>
    </w:pPr>
    <w:rPr>
      <w:rFonts w:ascii="等线" w:hAnsi="等线" w:eastAsia="等线" w:cs="等线"/>
      <w:b/>
      <w:bCs/>
    </w:rPr>
  </w:style>
  <w:style w:type="paragraph" w:styleId="7">
    <w:name w:val="heading 6"/>
    <w:basedOn w:val="1"/>
    <w:next w:val="1"/>
    <w:link w:val="43"/>
    <w:unhideWhenUsed/>
    <w:qFormat/>
    <w:uiPriority w:val="9"/>
    <w:pPr>
      <w:keepNext/>
      <w:keepLines/>
      <w:spacing w:before="320" w:after="200"/>
      <w:outlineLvl w:val="5"/>
    </w:pPr>
    <w:rPr>
      <w:rFonts w:ascii="等线" w:hAnsi="等线" w:eastAsia="等线" w:cs="等线"/>
      <w:b/>
      <w:bCs/>
      <w:sz w:val="22"/>
      <w:szCs w:val="22"/>
    </w:rPr>
  </w:style>
  <w:style w:type="paragraph" w:styleId="8">
    <w:name w:val="heading 7"/>
    <w:basedOn w:val="1"/>
    <w:next w:val="1"/>
    <w:link w:val="44"/>
    <w:unhideWhenUsed/>
    <w:qFormat/>
    <w:uiPriority w:val="9"/>
    <w:pPr>
      <w:keepNext/>
      <w:keepLines/>
      <w:spacing w:before="320" w:after="200"/>
      <w:outlineLvl w:val="6"/>
    </w:pPr>
    <w:rPr>
      <w:rFonts w:ascii="等线" w:hAnsi="等线" w:eastAsia="等线" w:cs="等线"/>
      <w:b/>
      <w:bCs/>
      <w:i/>
      <w:iCs/>
      <w:sz w:val="22"/>
      <w:szCs w:val="22"/>
    </w:rPr>
  </w:style>
  <w:style w:type="paragraph" w:styleId="9">
    <w:name w:val="heading 8"/>
    <w:basedOn w:val="1"/>
    <w:next w:val="1"/>
    <w:link w:val="45"/>
    <w:unhideWhenUsed/>
    <w:qFormat/>
    <w:uiPriority w:val="9"/>
    <w:pPr>
      <w:keepNext/>
      <w:keepLines/>
      <w:spacing w:before="320" w:after="200"/>
      <w:outlineLvl w:val="7"/>
    </w:pPr>
    <w:rPr>
      <w:rFonts w:ascii="等线" w:hAnsi="等线" w:eastAsia="等线" w:cs="等线"/>
      <w:i/>
      <w:iCs/>
      <w:sz w:val="22"/>
      <w:szCs w:val="22"/>
    </w:rPr>
  </w:style>
  <w:style w:type="paragraph" w:styleId="10">
    <w:name w:val="heading 9"/>
    <w:basedOn w:val="1"/>
    <w:next w:val="1"/>
    <w:link w:val="46"/>
    <w:unhideWhenUsed/>
    <w:qFormat/>
    <w:uiPriority w:val="9"/>
    <w:pPr>
      <w:keepNext/>
      <w:keepLines/>
      <w:spacing w:before="320" w:after="200"/>
      <w:outlineLvl w:val="8"/>
    </w:pPr>
    <w:rPr>
      <w:rFonts w:ascii="等线" w:hAnsi="等线" w:eastAsia="等线" w:cs="等线"/>
      <w:i/>
      <w:iCs/>
      <w:sz w:val="21"/>
      <w:szCs w:val="21"/>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spacing w:after="57"/>
      <w:ind w:left="1701"/>
    </w:pPr>
  </w:style>
  <w:style w:type="paragraph" w:styleId="12">
    <w:name w:val="caption"/>
    <w:basedOn w:val="1"/>
    <w:next w:val="1"/>
    <w:semiHidden/>
    <w:unhideWhenUsed/>
    <w:qFormat/>
    <w:uiPriority w:val="35"/>
    <w:pPr>
      <w:spacing w:line="276" w:lineRule="auto"/>
    </w:pPr>
    <w:rPr>
      <w:b/>
      <w:bCs/>
      <w:color w:val="4F81BD" w:themeColor="accent1"/>
      <w:sz w:val="18"/>
      <w:szCs w:val="18"/>
    </w:rPr>
  </w:style>
  <w:style w:type="paragraph" w:styleId="13">
    <w:name w:val="Body Text"/>
    <w:basedOn w:val="1"/>
    <w:next w:val="14"/>
    <w:semiHidden/>
    <w:unhideWhenUsed/>
    <w:qFormat/>
    <w:uiPriority w:val="0"/>
    <w:pPr>
      <w:spacing w:after="120"/>
    </w:pPr>
    <w:rPr>
      <w:rFonts w:ascii="Calibri" w:hAnsi="Calibri"/>
    </w:rPr>
  </w:style>
  <w:style w:type="paragraph" w:styleId="14">
    <w:name w:val="Plain Text"/>
    <w:basedOn w:val="1"/>
    <w:next w:val="1"/>
    <w:qFormat/>
    <w:uiPriority w:val="0"/>
    <w:rPr>
      <w:rFonts w:ascii="宋体" w:hAnsi="Courier New"/>
      <w:szCs w:val="20"/>
    </w:rPr>
  </w:style>
  <w:style w:type="paragraph" w:styleId="15">
    <w:name w:val="toc 5"/>
    <w:basedOn w:val="1"/>
    <w:next w:val="1"/>
    <w:unhideWhenUsed/>
    <w:qFormat/>
    <w:uiPriority w:val="39"/>
    <w:pPr>
      <w:spacing w:after="57"/>
      <w:ind w:left="1134"/>
    </w:pPr>
  </w:style>
  <w:style w:type="paragraph" w:styleId="16">
    <w:name w:val="toc 3"/>
    <w:basedOn w:val="1"/>
    <w:next w:val="1"/>
    <w:unhideWhenUsed/>
    <w:qFormat/>
    <w:uiPriority w:val="39"/>
    <w:pPr>
      <w:spacing w:after="57"/>
      <w:ind w:left="567"/>
    </w:pPr>
  </w:style>
  <w:style w:type="paragraph" w:styleId="17">
    <w:name w:val="toc 8"/>
    <w:basedOn w:val="1"/>
    <w:next w:val="1"/>
    <w:unhideWhenUsed/>
    <w:qFormat/>
    <w:uiPriority w:val="39"/>
    <w:pPr>
      <w:spacing w:after="57"/>
      <w:ind w:left="1984"/>
    </w:pPr>
  </w:style>
  <w:style w:type="paragraph" w:styleId="18">
    <w:name w:val="endnote text"/>
    <w:basedOn w:val="1"/>
    <w:link w:val="184"/>
    <w:semiHidden/>
    <w:unhideWhenUsed/>
    <w:qFormat/>
    <w:uiPriority w:val="99"/>
    <w:rPr>
      <w:sz w:val="20"/>
    </w:rPr>
  </w:style>
  <w:style w:type="paragraph" w:styleId="19">
    <w:name w:val="footer"/>
    <w:basedOn w:val="1"/>
    <w:link w:val="57"/>
    <w:unhideWhenUsed/>
    <w:qFormat/>
    <w:uiPriority w:val="99"/>
    <w:pPr>
      <w:tabs>
        <w:tab w:val="center" w:pos="7143"/>
        <w:tab w:val="right" w:pos="14287"/>
      </w:tabs>
    </w:pPr>
  </w:style>
  <w:style w:type="paragraph" w:styleId="20">
    <w:name w:val="header"/>
    <w:basedOn w:val="1"/>
    <w:link w:val="55"/>
    <w:unhideWhenUsed/>
    <w:qFormat/>
    <w:uiPriority w:val="99"/>
    <w:pPr>
      <w:tabs>
        <w:tab w:val="center" w:pos="7143"/>
        <w:tab w:val="right" w:pos="14287"/>
      </w:tabs>
    </w:pPr>
  </w:style>
  <w:style w:type="paragraph" w:styleId="21">
    <w:name w:val="toc 1"/>
    <w:basedOn w:val="1"/>
    <w:next w:val="1"/>
    <w:unhideWhenUsed/>
    <w:qFormat/>
    <w:uiPriority w:val="39"/>
    <w:pPr>
      <w:spacing w:after="57"/>
    </w:pPr>
  </w:style>
  <w:style w:type="paragraph" w:styleId="22">
    <w:name w:val="toc 4"/>
    <w:basedOn w:val="1"/>
    <w:next w:val="1"/>
    <w:unhideWhenUsed/>
    <w:qFormat/>
    <w:uiPriority w:val="39"/>
    <w:pPr>
      <w:spacing w:after="57"/>
      <w:ind w:left="850"/>
    </w:pPr>
  </w:style>
  <w:style w:type="paragraph" w:styleId="23">
    <w:name w:val="Subtitle"/>
    <w:basedOn w:val="1"/>
    <w:next w:val="1"/>
    <w:link w:val="50"/>
    <w:qFormat/>
    <w:uiPriority w:val="11"/>
    <w:pPr>
      <w:spacing w:before="200" w:after="200"/>
    </w:pPr>
  </w:style>
  <w:style w:type="paragraph" w:styleId="24">
    <w:name w:val="footnote text"/>
    <w:basedOn w:val="1"/>
    <w:link w:val="183"/>
    <w:semiHidden/>
    <w:unhideWhenUsed/>
    <w:qFormat/>
    <w:uiPriority w:val="99"/>
    <w:pPr>
      <w:spacing w:after="40"/>
    </w:pPr>
    <w:rPr>
      <w:sz w:val="18"/>
    </w:rPr>
  </w:style>
  <w:style w:type="paragraph" w:styleId="25">
    <w:name w:val="toc 6"/>
    <w:basedOn w:val="1"/>
    <w:next w:val="1"/>
    <w:unhideWhenUsed/>
    <w:qFormat/>
    <w:uiPriority w:val="39"/>
    <w:pPr>
      <w:spacing w:after="57"/>
      <w:ind w:left="1417"/>
    </w:pPr>
  </w:style>
  <w:style w:type="paragraph" w:styleId="26">
    <w:name w:val="table of figures"/>
    <w:basedOn w:val="1"/>
    <w:next w:val="1"/>
    <w:unhideWhenUsed/>
    <w:qFormat/>
    <w:uiPriority w:val="99"/>
  </w:style>
  <w:style w:type="paragraph" w:styleId="27">
    <w:name w:val="toc 2"/>
    <w:basedOn w:val="1"/>
    <w:next w:val="1"/>
    <w:unhideWhenUsed/>
    <w:qFormat/>
    <w:uiPriority w:val="39"/>
    <w:pPr>
      <w:spacing w:after="57"/>
      <w:ind w:left="283"/>
    </w:pPr>
  </w:style>
  <w:style w:type="paragraph" w:styleId="28">
    <w:name w:val="toc 9"/>
    <w:basedOn w:val="1"/>
    <w:next w:val="1"/>
    <w:unhideWhenUsed/>
    <w:qFormat/>
    <w:uiPriority w:val="39"/>
    <w:pPr>
      <w:spacing w:after="57"/>
      <w:ind w:left="2268"/>
    </w:pPr>
  </w:style>
  <w:style w:type="paragraph" w:styleId="29">
    <w:name w:val="Normal (Web)"/>
    <w:basedOn w:val="1"/>
    <w:semiHidden/>
    <w:unhideWhenUsed/>
    <w:qFormat/>
    <w:uiPriority w:val="99"/>
  </w:style>
  <w:style w:type="paragraph" w:styleId="30">
    <w:name w:val="Title"/>
    <w:basedOn w:val="1"/>
    <w:next w:val="1"/>
    <w:link w:val="49"/>
    <w:qFormat/>
    <w:uiPriority w:val="10"/>
    <w:pPr>
      <w:spacing w:before="300" w:after="200"/>
      <w:contextualSpacing/>
    </w:pPr>
    <w:rPr>
      <w:sz w:val="48"/>
      <w:szCs w:val="48"/>
    </w:rPr>
  </w:style>
  <w:style w:type="table" w:styleId="32">
    <w:name w:val="Table Grid"/>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34">
    <w:name w:val="endnote reference"/>
    <w:semiHidden/>
    <w:unhideWhenUsed/>
    <w:qFormat/>
    <w:uiPriority w:val="99"/>
    <w:rPr>
      <w:vertAlign w:val="superscript"/>
    </w:rPr>
  </w:style>
  <w:style w:type="character" w:styleId="35">
    <w:name w:val="Hyperlink"/>
    <w:unhideWhenUsed/>
    <w:qFormat/>
    <w:uiPriority w:val="99"/>
    <w:rPr>
      <w:color w:val="0000FF" w:themeColor="hyperlink"/>
      <w:u w:val="single"/>
    </w:rPr>
  </w:style>
  <w:style w:type="character" w:styleId="36">
    <w:name w:val="footnote reference"/>
    <w:unhideWhenUsed/>
    <w:qFormat/>
    <w:uiPriority w:val="99"/>
    <w:rPr>
      <w:vertAlign w:val="superscript"/>
    </w:rPr>
  </w:style>
  <w:style w:type="paragraph" w:customStyle="1" w:styleId="37">
    <w:name w:val="页脚1"/>
    <w:basedOn w:val="1"/>
    <w:link w:val="197"/>
    <w:qFormat/>
    <w:uiPriority w:val="0"/>
    <w:pPr>
      <w:tabs>
        <w:tab w:val="center" w:pos="4153"/>
        <w:tab w:val="right" w:pos="8306"/>
      </w:tabs>
      <w:jc w:val="left"/>
    </w:pPr>
    <w:rPr>
      <w:sz w:val="18"/>
      <w:szCs w:val="18"/>
    </w:rPr>
  </w:style>
  <w:style w:type="character" w:customStyle="1" w:styleId="38">
    <w:name w:val="标题 1 Char1"/>
    <w:link w:val="2"/>
    <w:qFormat/>
    <w:uiPriority w:val="9"/>
    <w:rPr>
      <w:rFonts w:ascii="等线" w:hAnsi="等线" w:eastAsia="等线" w:cs="等线"/>
      <w:sz w:val="40"/>
      <w:szCs w:val="40"/>
    </w:rPr>
  </w:style>
  <w:style w:type="character" w:customStyle="1" w:styleId="39">
    <w:name w:val="标题 2 Char1"/>
    <w:link w:val="3"/>
    <w:qFormat/>
    <w:uiPriority w:val="9"/>
    <w:rPr>
      <w:rFonts w:ascii="等线" w:hAnsi="等线" w:eastAsia="等线" w:cs="等线"/>
      <w:sz w:val="34"/>
    </w:rPr>
  </w:style>
  <w:style w:type="character" w:customStyle="1" w:styleId="40">
    <w:name w:val="标题 3 Char1"/>
    <w:link w:val="4"/>
    <w:qFormat/>
    <w:uiPriority w:val="9"/>
    <w:rPr>
      <w:rFonts w:ascii="等线" w:hAnsi="等线" w:eastAsia="等线" w:cs="等线"/>
      <w:sz w:val="30"/>
      <w:szCs w:val="30"/>
    </w:rPr>
  </w:style>
  <w:style w:type="character" w:customStyle="1" w:styleId="41">
    <w:name w:val="标题 4 Char1"/>
    <w:link w:val="5"/>
    <w:qFormat/>
    <w:uiPriority w:val="9"/>
    <w:rPr>
      <w:rFonts w:ascii="等线" w:hAnsi="等线" w:eastAsia="等线" w:cs="等线"/>
      <w:b/>
      <w:bCs/>
      <w:sz w:val="26"/>
      <w:szCs w:val="26"/>
    </w:rPr>
  </w:style>
  <w:style w:type="character" w:customStyle="1" w:styleId="42">
    <w:name w:val="标题 5 Char1"/>
    <w:link w:val="6"/>
    <w:qFormat/>
    <w:uiPriority w:val="9"/>
    <w:rPr>
      <w:rFonts w:ascii="等线" w:hAnsi="等线" w:eastAsia="等线" w:cs="等线"/>
      <w:b/>
      <w:bCs/>
      <w:sz w:val="24"/>
      <w:szCs w:val="24"/>
    </w:rPr>
  </w:style>
  <w:style w:type="character" w:customStyle="1" w:styleId="43">
    <w:name w:val="标题 6 Char1"/>
    <w:link w:val="7"/>
    <w:qFormat/>
    <w:uiPriority w:val="9"/>
    <w:rPr>
      <w:rFonts w:ascii="等线" w:hAnsi="等线" w:eastAsia="等线" w:cs="等线"/>
      <w:b/>
      <w:bCs/>
      <w:sz w:val="22"/>
      <w:szCs w:val="22"/>
    </w:rPr>
  </w:style>
  <w:style w:type="character" w:customStyle="1" w:styleId="44">
    <w:name w:val="标题 7 Char1"/>
    <w:link w:val="8"/>
    <w:qFormat/>
    <w:uiPriority w:val="9"/>
    <w:rPr>
      <w:rFonts w:ascii="等线" w:hAnsi="等线" w:eastAsia="等线" w:cs="等线"/>
      <w:b/>
      <w:bCs/>
      <w:i/>
      <w:iCs/>
      <w:sz w:val="22"/>
      <w:szCs w:val="22"/>
    </w:rPr>
  </w:style>
  <w:style w:type="character" w:customStyle="1" w:styleId="45">
    <w:name w:val="标题 8 Char1"/>
    <w:link w:val="9"/>
    <w:qFormat/>
    <w:uiPriority w:val="9"/>
    <w:rPr>
      <w:rFonts w:ascii="等线" w:hAnsi="等线" w:eastAsia="等线" w:cs="等线"/>
      <w:i/>
      <w:iCs/>
      <w:sz w:val="22"/>
      <w:szCs w:val="22"/>
    </w:rPr>
  </w:style>
  <w:style w:type="character" w:customStyle="1" w:styleId="46">
    <w:name w:val="标题 9 Char1"/>
    <w:link w:val="10"/>
    <w:qFormat/>
    <w:uiPriority w:val="9"/>
    <w:rPr>
      <w:rFonts w:ascii="等线" w:hAnsi="等线" w:eastAsia="等线" w:cs="等线"/>
      <w:i/>
      <w:iCs/>
      <w:sz w:val="21"/>
      <w:szCs w:val="21"/>
    </w:rPr>
  </w:style>
  <w:style w:type="paragraph" w:styleId="47">
    <w:name w:val="List Paragraph"/>
    <w:basedOn w:val="1"/>
    <w:qFormat/>
    <w:uiPriority w:val="34"/>
    <w:pPr>
      <w:ind w:left="720"/>
      <w:contextualSpacing/>
    </w:pPr>
  </w:style>
  <w:style w:type="paragraph" w:styleId="48">
    <w:name w:val="No Spacing"/>
    <w:qFormat/>
    <w:uiPriority w:val="1"/>
    <w:rPr>
      <w:rFonts w:ascii="Times New Roman" w:hAnsi="Times New Roman" w:eastAsia="宋体" w:cs="Times New Roman"/>
      <w:lang w:val="en-US" w:eastAsia="zh-CN" w:bidi="ar-SA"/>
    </w:rPr>
  </w:style>
  <w:style w:type="character" w:customStyle="1" w:styleId="49">
    <w:name w:val="标题 Char2"/>
    <w:link w:val="30"/>
    <w:qFormat/>
    <w:uiPriority w:val="10"/>
    <w:rPr>
      <w:sz w:val="48"/>
      <w:szCs w:val="48"/>
    </w:rPr>
  </w:style>
  <w:style w:type="character" w:customStyle="1" w:styleId="50">
    <w:name w:val="副标题 Char2"/>
    <w:link w:val="23"/>
    <w:qFormat/>
    <w:uiPriority w:val="11"/>
    <w:rPr>
      <w:sz w:val="24"/>
      <w:szCs w:val="24"/>
    </w:rPr>
  </w:style>
  <w:style w:type="paragraph" w:styleId="51">
    <w:name w:val="Quote"/>
    <w:basedOn w:val="1"/>
    <w:next w:val="1"/>
    <w:link w:val="52"/>
    <w:qFormat/>
    <w:uiPriority w:val="29"/>
    <w:pPr>
      <w:ind w:left="720" w:right="720"/>
    </w:pPr>
    <w:rPr>
      <w:i/>
    </w:rPr>
  </w:style>
  <w:style w:type="character" w:customStyle="1" w:styleId="52">
    <w:name w:val="引用 Char"/>
    <w:link w:val="51"/>
    <w:qFormat/>
    <w:uiPriority w:val="29"/>
    <w:rPr>
      <w:i/>
    </w:rPr>
  </w:style>
  <w:style w:type="paragraph" w:styleId="53">
    <w:name w:val="Intense Quote"/>
    <w:basedOn w:val="1"/>
    <w:next w:val="1"/>
    <w:link w:val="54"/>
    <w:qFormat/>
    <w:uiPriority w:val="30"/>
    <w:pPr>
      <w:pBdr>
        <w:top w:val="single" w:color="FFFFFF" w:sz="4" w:space="5"/>
        <w:left w:val="single" w:color="FFFFFF" w:sz="4" w:space="10"/>
        <w:bottom w:val="single" w:color="FFFFFF" w:sz="4" w:space="5"/>
        <w:right w:val="single" w:color="FFFFFF" w:sz="4" w:space="10"/>
      </w:pBdr>
      <w:shd w:val="clear" w:color="auto" w:fill="F2F2F2"/>
      <w:ind w:left="720" w:right="720"/>
    </w:pPr>
    <w:rPr>
      <w:i/>
    </w:rPr>
  </w:style>
  <w:style w:type="character" w:customStyle="1" w:styleId="54">
    <w:name w:val="明显引用 Char"/>
    <w:link w:val="53"/>
    <w:qFormat/>
    <w:uiPriority w:val="30"/>
    <w:rPr>
      <w:i/>
    </w:rPr>
  </w:style>
  <w:style w:type="character" w:customStyle="1" w:styleId="55">
    <w:name w:val="页眉 Char1"/>
    <w:link w:val="20"/>
    <w:qFormat/>
    <w:uiPriority w:val="99"/>
  </w:style>
  <w:style w:type="character" w:customStyle="1" w:styleId="56">
    <w:name w:val="Footer Char"/>
    <w:link w:val="19"/>
    <w:qFormat/>
    <w:uiPriority w:val="99"/>
  </w:style>
  <w:style w:type="character" w:customStyle="1" w:styleId="57">
    <w:name w:val="页脚 Char1"/>
    <w:link w:val="19"/>
    <w:qFormat/>
    <w:uiPriority w:val="99"/>
  </w:style>
  <w:style w:type="table" w:customStyle="1" w:styleId="58">
    <w:name w:val="Table Grid Light"/>
    <w:qFormat/>
    <w:uiPriority w:val="59"/>
    <w:tblPr>
      <w:tblBorders>
        <w:top w:val="single" w:color="AEAEAE" w:themeColor="text1" w:themeTint="50" w:sz="4" w:space="0"/>
        <w:left w:val="single" w:color="AEAEAE" w:themeColor="text1" w:themeTint="50" w:sz="4" w:space="0"/>
        <w:bottom w:val="single" w:color="AEAEAE" w:themeColor="text1" w:themeTint="50" w:sz="4" w:space="0"/>
        <w:right w:val="single" w:color="AEAEAE" w:themeColor="text1" w:themeTint="50" w:sz="4" w:space="0"/>
        <w:insideH w:val="single" w:color="AEAEAE" w:themeColor="text1" w:themeTint="50" w:sz="4" w:space="0"/>
        <w:insideV w:val="single" w:color="AEAEAE" w:themeColor="text1" w:themeTint="50" w:sz="4" w:space="0"/>
      </w:tblBorders>
      <w:tblCellMar>
        <w:top w:w="0" w:type="dxa"/>
        <w:left w:w="108" w:type="dxa"/>
        <w:bottom w:w="0" w:type="dxa"/>
        <w:right w:w="108" w:type="dxa"/>
      </w:tblCellMar>
    </w:tblPr>
  </w:style>
  <w:style w:type="table" w:customStyle="1" w:styleId="59">
    <w:name w:val="Plain Table 1"/>
    <w:qFormat/>
    <w:uiPriority w:val="59"/>
    <w:tblPr>
      <w:tblBorders>
        <w:top w:val="single" w:color="AEAEAE" w:themeColor="text1" w:themeTint="50" w:sz="4" w:space="0"/>
        <w:left w:val="single" w:color="AEAEAE" w:themeColor="text1" w:themeTint="50" w:sz="4" w:space="0"/>
        <w:bottom w:val="single" w:color="AEAEAE" w:themeColor="text1" w:themeTint="50" w:sz="4" w:space="0"/>
        <w:right w:val="single" w:color="AEAEAE" w:themeColor="text1" w:themeTint="50" w:sz="4" w:space="0"/>
        <w:insideH w:val="single" w:color="AEAEAE" w:themeColor="text1" w:themeTint="50" w:sz="4" w:space="0"/>
        <w:insideV w:val="single" w:color="AEAEAE" w:themeColor="text1" w:themeTint="50" w:sz="4" w:space="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cPr>
        <w:shd w:val="clear" w:color="F1F1F1" w:themeColor="text1" w:themeTint="0D" w:fill="F1F1F1" w:themeFill="text1" w:themeFillTint="0D"/>
      </w:tcPr>
    </w:tblStylePr>
    <w:tblStylePr w:type="band1Horz">
      <w:tcPr>
        <w:shd w:val="clear" w:color="F1F1F1" w:themeColor="text1" w:themeTint="0D" w:fill="F1F1F1" w:themeFill="text1" w:themeFillTint="0D"/>
      </w:tcPr>
    </w:tblStylePr>
  </w:style>
  <w:style w:type="table" w:customStyle="1" w:styleId="60">
    <w:name w:val="Plain Table 2"/>
    <w:qFormat/>
    <w:uiPriority w:val="59"/>
    <w:tblPr>
      <w:tblBorders>
        <w:top w:val="single" w:color="000000" w:themeColor="text1" w:sz="4" w:space="0"/>
        <w:left w:val="none" w:color="000000" w:themeColor="text1" w:sz="4" w:space="0"/>
        <w:bottom w:val="single" w:color="000000" w:themeColor="text1" w:sz="4" w:space="0"/>
        <w:right w:val="none" w:color="000000" w:themeColor="text1" w:sz="4" w:space="0"/>
      </w:tblBorders>
      <w:tblCellMar>
        <w:top w:w="0" w:type="dxa"/>
        <w:left w:w="108" w:type="dxa"/>
        <w:bottom w:w="0" w:type="dxa"/>
        <w:right w:w="108" w:type="dxa"/>
      </w:tblCellMar>
    </w:tbl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band1Horz">
      <w:tcPr>
        <w:tcBorders>
          <w:top w:val="single" w:color="000000" w:themeColor="text1" w:sz="4" w:space="0"/>
          <w:bottom w:val="single" w:color="000000" w:themeColor="text1" w:sz="4" w:space="0"/>
        </w:tcBorders>
      </w:tcPr>
    </w:tblStylePr>
  </w:style>
  <w:style w:type="table" w:customStyle="1" w:styleId="61">
    <w:name w:val="Plain Table 3"/>
    <w:qFormat/>
    <w:uiPriority w:val="99"/>
    <w:tblPr>
      <w:tblCellMar>
        <w:top w:w="0" w:type="dxa"/>
        <w:left w:w="0" w:type="dxa"/>
        <w:bottom w:w="0" w:type="dxa"/>
        <w:right w:w="0" w:type="dxa"/>
      </w:tblCellMar>
    </w:tblPr>
    <w:tblStylePr w:type="firstRow">
      <w:rPr>
        <w:b/>
        <w:caps/>
        <w:color w:val="404040"/>
      </w:rPr>
      <w:tcPr>
        <w:tcBorders>
          <w:top w:val="nil"/>
          <w:left w:val="nil"/>
          <w:bottom w:val="single" w:color="404040" w:sz="4" w:space="0"/>
          <w:right w:val="nil"/>
        </w:tcBorders>
      </w:tcPr>
    </w:tblStylePr>
    <w:tblStylePr w:type="lastRow">
      <w:rPr>
        <w:b/>
        <w:caps/>
        <w:color w:val="404040"/>
      </w:rPr>
    </w:tblStylePr>
    <w:tblStylePr w:type="firstCol">
      <w:rPr>
        <w:b/>
        <w:caps/>
        <w:color w:val="404040"/>
      </w:rPr>
      <w:tcPr>
        <w:tcBorders>
          <w:top w:val="nil"/>
          <w:left w:val="nil"/>
          <w:bottom w:val="nil"/>
          <w:right w:val="single" w:color="404040" w:sz="4" w:space="0"/>
        </w:tcBorders>
      </w:tcPr>
    </w:tblStylePr>
    <w:tblStylePr w:type="lastCol">
      <w:rPr>
        <w:b/>
        <w:caps/>
        <w:color w:val="404040"/>
      </w:rPr>
    </w:tblStylePr>
    <w:tblStylePr w:type="band1Vert">
      <w:rPr>
        <w:rFonts w:ascii="Arial" w:hAnsi="Arial"/>
        <w:color w:val="404040"/>
        <w:sz w:val="22"/>
      </w:rPr>
      <w:tcPr>
        <w:shd w:val="clear" w:color="F1F1F1" w:themeColor="text1" w:themeTint="0D" w:fill="F1F1F1" w:themeFill="text1" w:themeFillTint="0D"/>
      </w:tcPr>
    </w:tblStylePr>
    <w:tblStylePr w:type="band1Horz">
      <w:rPr>
        <w:rFonts w:ascii="Arial" w:hAnsi="Arial"/>
        <w:color w:val="404040"/>
        <w:sz w:val="22"/>
      </w:rPr>
      <w:tcPr>
        <w:shd w:val="clear" w:color="F1F1F1" w:themeColor="text1" w:themeTint="0D" w:fill="F1F1F1" w:themeFill="text1" w:themeFillTint="0D"/>
      </w:tcPr>
    </w:tblStylePr>
  </w:style>
  <w:style w:type="table" w:customStyle="1" w:styleId="62">
    <w:name w:val="Plain Table 4"/>
    <w:qFormat/>
    <w:uiPriority w:val="99"/>
    <w:tblPr>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F1F1F1" w:themeColor="text1" w:themeTint="0D" w:fill="F1F1F1" w:themeFill="text1" w:themeFillTint="0D"/>
      </w:tcPr>
    </w:tblStylePr>
    <w:tblStylePr w:type="band1Horz">
      <w:rPr>
        <w:rFonts w:ascii="Arial" w:hAnsi="Arial"/>
        <w:color w:val="404040"/>
        <w:sz w:val="22"/>
      </w:rPr>
      <w:tcPr>
        <w:shd w:val="clear" w:color="F1F1F1" w:themeColor="text1" w:themeTint="0D" w:fill="F1F1F1" w:themeFill="text1" w:themeFillTint="0D"/>
      </w:tcPr>
    </w:tblStylePr>
  </w:style>
  <w:style w:type="table" w:customStyle="1" w:styleId="63">
    <w:name w:val="Plain Table 5"/>
    <w:qFormat/>
    <w:uiPriority w:val="99"/>
    <w:tblPr>
      <w:tblCellMar>
        <w:top w:w="0" w:type="dxa"/>
        <w:left w:w="0" w:type="dxa"/>
        <w:bottom w:w="0" w:type="dxa"/>
        <w:right w:w="0" w:type="dxa"/>
      </w:tblCellMar>
    </w:tblPr>
    <w:tblStylePr w:type="firstRow">
      <w:rPr>
        <w:i/>
        <w:color w:val="404040"/>
      </w:rPr>
      <w:tcPr>
        <w:tcBorders>
          <w:left w:val="nil"/>
          <w:bottom w:val="single" w:color="404040" w:sz="4" w:space="0"/>
          <w:right w:val="nil"/>
        </w:tcBorders>
        <w:shd w:val="clear" w:color="FFFFFF" w:fill="auto"/>
      </w:tcPr>
    </w:tblStylePr>
    <w:tblStylePr w:type="lastRow">
      <w:rPr>
        <w:i/>
        <w:color w:val="404040"/>
      </w:rPr>
      <w:tcPr>
        <w:tcBorders>
          <w:top w:val="single" w:color="404040" w:sz="4" w:space="0"/>
          <w:left w:val="nil"/>
          <w:right w:val="nil"/>
        </w:tcBorders>
        <w:shd w:val="clear" w:color="FFFFFF" w:fill="auto"/>
      </w:tcPr>
    </w:tblStylePr>
    <w:tblStylePr w:type="firstCol">
      <w:pPr>
        <w:jc w:val="right"/>
      </w:pPr>
      <w:rPr>
        <w:i/>
        <w:color w:val="404040"/>
      </w:rPr>
      <w:tcPr>
        <w:tcBorders>
          <w:right w:val="single" w:color="404040" w:sz="4" w:space="0"/>
        </w:tcBorders>
        <w:shd w:val="clear" w:color="FFFFFF" w:fill="auto"/>
      </w:tcPr>
    </w:tblStylePr>
    <w:tblStylePr w:type="lastCol">
      <w:rPr>
        <w:i/>
        <w:color w:val="404040"/>
      </w:rPr>
      <w:tcPr>
        <w:tcBorders>
          <w:left w:val="single" w:color="404040" w:sz="4" w:space="0"/>
        </w:tcBorders>
        <w:shd w:val="clear" w:color="FFFFFF" w:fill="auto"/>
      </w:tcPr>
    </w:tblStylePr>
    <w:tblStylePr w:type="band1Vert">
      <w:rPr>
        <w:rFonts w:ascii="Arial" w:hAnsi="Arial"/>
        <w:color w:val="404040"/>
        <w:sz w:val="22"/>
      </w:rPr>
      <w:tcPr>
        <w:shd w:val="clear" w:color="F1F1F1" w:themeColor="text1" w:themeTint="0D" w:fill="F1F1F1" w:themeFill="text1" w:themeFillTint="0D"/>
      </w:tcPr>
    </w:tblStylePr>
    <w:tblStylePr w:type="band1Horz">
      <w:rPr>
        <w:rFonts w:ascii="Arial" w:hAnsi="Arial"/>
        <w:color w:val="404040"/>
        <w:sz w:val="22"/>
      </w:rPr>
      <w:tcPr>
        <w:shd w:val="clear" w:color="F1F1F1" w:themeColor="text1" w:themeTint="0D" w:fill="F1F1F1" w:themeFill="text1" w:themeFillTint="0D"/>
      </w:tcPr>
    </w:tblStylePr>
  </w:style>
  <w:style w:type="table" w:customStyle="1" w:styleId="64">
    <w:name w:val="Grid Table 1 Light"/>
    <w:qFormat/>
    <w:uiPriority w:val="99"/>
    <w:tblPr>
      <w:tblBorders>
        <w:top w:val="single" w:color="979797" w:themeColor="text1" w:themeTint="67" w:sz="4" w:space="0"/>
        <w:left w:val="single" w:color="979797" w:themeColor="text1" w:themeTint="67" w:sz="4" w:space="0"/>
        <w:bottom w:val="single" w:color="979797" w:themeColor="text1" w:themeTint="67" w:sz="4" w:space="0"/>
        <w:right w:val="single" w:color="979797" w:themeColor="text1" w:themeTint="67" w:sz="4" w:space="0"/>
        <w:insideH w:val="single" w:color="979797" w:themeColor="text1" w:themeTint="67" w:sz="4" w:space="0"/>
        <w:insideV w:val="single" w:color="979797" w:themeColor="text1" w:themeTint="67" w:sz="4" w:space="0"/>
      </w:tblBorders>
      <w:tblCellMar>
        <w:top w:w="0" w:type="dxa"/>
        <w:left w:w="0" w:type="dxa"/>
        <w:bottom w:w="0" w:type="dxa"/>
        <w:right w:w="0" w:type="dxa"/>
      </w:tblCellMar>
    </w:tblPr>
    <w:tblStylePr w:type="firstRow">
      <w:rPr>
        <w:b/>
        <w:color w:val="404040"/>
      </w:rPr>
      <w:tcPr>
        <w:tcBorders>
          <w:bottom w:val="single" w:color="696969" w:themeColor="text1"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979797" w:themeColor="text1" w:themeTint="67" w:sz="4" w:space="0"/>
          <w:left w:val="single" w:color="979797" w:themeColor="text1" w:themeTint="67" w:sz="4" w:space="0"/>
          <w:bottom w:val="single" w:color="979797" w:themeColor="text1" w:themeTint="67" w:sz="4" w:space="0"/>
          <w:right w:val="single" w:color="979797" w:themeColor="text1" w:themeTint="67" w:sz="4" w:space="0"/>
        </w:tcBorders>
      </w:tcPr>
    </w:tblStylePr>
  </w:style>
  <w:style w:type="table" w:customStyle="1" w:styleId="65">
    <w:name w:val="Grid Table 1 Light - Accent 1"/>
    <w:qFormat/>
    <w:uiPriority w:val="99"/>
    <w:tblPr>
      <w:tblBorders>
        <w:top w:val="single" w:color="B7CCE4" w:themeColor="accent1" w:themeTint="67" w:sz="4" w:space="0"/>
        <w:left w:val="single" w:color="B7CCE4" w:themeColor="accent1" w:themeTint="67" w:sz="4" w:space="0"/>
        <w:bottom w:val="single" w:color="B7CCE4" w:themeColor="accent1" w:themeTint="67" w:sz="4" w:space="0"/>
        <w:right w:val="single" w:color="B7CCE4" w:themeColor="accent1" w:themeTint="67" w:sz="4" w:space="0"/>
        <w:insideH w:val="single" w:color="B7CCE4" w:themeColor="accent1" w:themeTint="67" w:sz="4" w:space="0"/>
        <w:insideV w:val="single" w:color="B7CCE4" w:themeColor="accent1" w:themeTint="67" w:sz="4" w:space="0"/>
      </w:tblBorders>
      <w:tblCellMar>
        <w:top w:w="0" w:type="dxa"/>
        <w:left w:w="0" w:type="dxa"/>
        <w:bottom w:w="0" w:type="dxa"/>
        <w:right w:w="0" w:type="dxa"/>
      </w:tblCellMar>
    </w:tblPr>
    <w:tblStylePr w:type="firstRow">
      <w:rPr>
        <w:b/>
        <w:color w:val="404040"/>
      </w:rPr>
      <w:tcPr>
        <w:tcBorders>
          <w:bottom w:val="single" w:color="98B5D8" w:themeColor="accent1"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B7CCE4" w:themeColor="accent1" w:themeTint="67" w:sz="4" w:space="0"/>
          <w:left w:val="single" w:color="B7CCE4" w:themeColor="accent1" w:themeTint="67" w:sz="4" w:space="0"/>
          <w:bottom w:val="single" w:color="B7CCE4" w:themeColor="accent1" w:themeTint="67" w:sz="4" w:space="0"/>
          <w:right w:val="single" w:color="B7CCE4" w:themeColor="accent1" w:themeTint="67" w:sz="4" w:space="0"/>
        </w:tcBorders>
      </w:tcPr>
    </w:tblStylePr>
  </w:style>
  <w:style w:type="table" w:customStyle="1" w:styleId="66">
    <w:name w:val="Grid Table 1 Light - Accent 2"/>
    <w:qFormat/>
    <w:uiPriority w:val="99"/>
    <w:tblPr>
      <w:tblBorders>
        <w:top w:val="single" w:color="E5B8B7" w:themeColor="accent2" w:themeTint="67" w:sz="4" w:space="0"/>
        <w:left w:val="single" w:color="E5B8B7" w:themeColor="accent2" w:themeTint="67" w:sz="4" w:space="0"/>
        <w:bottom w:val="single" w:color="E5B8B7" w:themeColor="accent2" w:themeTint="67" w:sz="4" w:space="0"/>
        <w:right w:val="single" w:color="E5B8B7" w:themeColor="accent2" w:themeTint="67" w:sz="4" w:space="0"/>
        <w:insideH w:val="single" w:color="E5B8B7" w:themeColor="accent2" w:themeTint="67" w:sz="4" w:space="0"/>
        <w:insideV w:val="single" w:color="E5B8B7" w:themeColor="accent2" w:themeTint="67" w:sz="4" w:space="0"/>
      </w:tblBorders>
      <w:tblCellMar>
        <w:top w:w="0" w:type="dxa"/>
        <w:left w:w="0" w:type="dxa"/>
        <w:bottom w:w="0" w:type="dxa"/>
        <w:right w:w="0" w:type="dxa"/>
      </w:tblCellMar>
    </w:tblPr>
    <w:tblStylePr w:type="firstRow">
      <w:rPr>
        <w:b/>
        <w:color w:val="404040"/>
      </w:rPr>
      <w:tcPr>
        <w:tcBorders>
          <w:bottom w:val="single" w:color="DA9896" w:themeColor="accent2"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E5B8B7" w:themeColor="accent2" w:themeTint="67" w:sz="4" w:space="0"/>
          <w:left w:val="single" w:color="E5B8B7" w:themeColor="accent2" w:themeTint="67" w:sz="4" w:space="0"/>
          <w:bottom w:val="single" w:color="E5B8B7" w:themeColor="accent2" w:themeTint="67" w:sz="4" w:space="0"/>
          <w:right w:val="single" w:color="E5B8B7" w:themeColor="accent2" w:themeTint="67" w:sz="4" w:space="0"/>
        </w:tcBorders>
      </w:tcPr>
    </w:tblStylePr>
  </w:style>
  <w:style w:type="table" w:customStyle="1" w:styleId="67">
    <w:name w:val="Grid Table 1 Light - Accent 3"/>
    <w:qFormat/>
    <w:uiPriority w:val="99"/>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b/>
        <w:color w:val="404040"/>
      </w:rPr>
      <w:tcPr>
        <w:tcBorders>
          <w:bottom w:val="single" w:color="C4D79E" w:themeColor="accent3"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style>
  <w:style w:type="table" w:customStyle="1" w:styleId="68">
    <w:name w:val="Grid Table 1 Light - Accent 4"/>
    <w:qFormat/>
    <w:uiPriority w:val="99"/>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b/>
        <w:color w:val="404040"/>
      </w:rPr>
      <w:tcPr>
        <w:tcBorders>
          <w:bottom w:val="single" w:color="B4A4C8" w:themeColor="accent4"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style>
  <w:style w:type="table" w:customStyle="1" w:styleId="69">
    <w:name w:val="Grid Table 1 Light - Accent 5"/>
    <w:qFormat/>
    <w:uiPriority w:val="99"/>
    <w:tblPr>
      <w:tblBorders>
        <w:top w:val="single" w:color="B6DDE7" w:themeColor="accent5" w:themeTint="67" w:sz="4" w:space="0"/>
        <w:left w:val="single" w:color="B6DDE7" w:themeColor="accent5" w:themeTint="67" w:sz="4" w:space="0"/>
        <w:bottom w:val="single" w:color="B6DDE7" w:themeColor="accent5" w:themeTint="67" w:sz="4" w:space="0"/>
        <w:right w:val="single" w:color="B6DDE7" w:themeColor="accent5" w:themeTint="67" w:sz="4" w:space="0"/>
        <w:insideH w:val="single" w:color="B6DDE7" w:themeColor="accent5" w:themeTint="67" w:sz="4" w:space="0"/>
        <w:insideV w:val="single" w:color="B6DDE7" w:themeColor="accent5" w:themeTint="67" w:sz="4" w:space="0"/>
      </w:tblBorders>
      <w:tblCellMar>
        <w:top w:w="0" w:type="dxa"/>
        <w:left w:w="0" w:type="dxa"/>
        <w:bottom w:w="0" w:type="dxa"/>
        <w:right w:w="0" w:type="dxa"/>
      </w:tblCellMar>
    </w:tblPr>
    <w:tblStylePr w:type="firstRow">
      <w:rPr>
        <w:b/>
        <w:color w:val="404040"/>
      </w:rPr>
      <w:tcPr>
        <w:tcBorders>
          <w:bottom w:val="single" w:color="95CEDD" w:themeColor="accent5"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B6DDE7" w:themeColor="accent5" w:themeTint="67" w:sz="4" w:space="0"/>
          <w:left w:val="single" w:color="B6DDE7" w:themeColor="accent5" w:themeTint="67" w:sz="4" w:space="0"/>
          <w:bottom w:val="single" w:color="B6DDE7" w:themeColor="accent5" w:themeTint="67" w:sz="4" w:space="0"/>
          <w:right w:val="single" w:color="B6DDE7" w:themeColor="accent5" w:themeTint="67" w:sz="4" w:space="0"/>
        </w:tcBorders>
      </w:tcPr>
    </w:tblStylePr>
  </w:style>
  <w:style w:type="table" w:customStyle="1" w:styleId="70">
    <w:name w:val="Grid Table 1 Light - Accent 6"/>
    <w:qFormat/>
    <w:uiPriority w:val="99"/>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b/>
        <w:color w:val="404040"/>
      </w:rPr>
      <w:tcPr>
        <w:tcBorders>
          <w:bottom w:val="single" w:color="FAC192" w:themeColor="accent6" w:themeTint="95" w:sz="12" w:space="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style>
  <w:style w:type="table" w:customStyle="1" w:styleId="71">
    <w:name w:val="Grid Table 2"/>
    <w:qFormat/>
    <w:uiPriority w:val="99"/>
    <w:tblPr>
      <w:tblBorders>
        <w:bottom w:val="single" w:color="696969" w:themeColor="text1" w:themeTint="95" w:sz="4" w:space="0"/>
        <w:insideH w:val="single" w:color="696969" w:themeColor="text1" w:themeTint="95" w:sz="4" w:space="0"/>
        <w:insideV w:val="single" w:color="696969" w:themeColor="text1" w:themeTint="95" w:sz="4" w:space="0"/>
      </w:tblBorders>
      <w:tblCellMar>
        <w:top w:w="0" w:type="dxa"/>
        <w:left w:w="0" w:type="dxa"/>
        <w:bottom w:w="0" w:type="dxa"/>
        <w:right w:w="0" w:type="dxa"/>
      </w:tblCellMar>
    </w:tblPr>
    <w:tblStylePr w:type="firstRow">
      <w:rPr>
        <w:b/>
        <w:color w:val="404040"/>
      </w:rPr>
      <w:tcPr>
        <w:tcBorders>
          <w:top w:val="nil"/>
          <w:left w:val="nil"/>
          <w:bottom w:val="single" w:color="696969" w:themeColor="text1" w:themeTint="95" w:sz="12" w:space="0"/>
          <w:right w:val="nil"/>
        </w:tcBorders>
        <w:shd w:val="clear" w:color="FFFFFF" w:fill="auto"/>
      </w:tcPr>
    </w:tblStylePr>
    <w:tblStylePr w:type="lastRow">
      <w:rPr>
        <w:b/>
        <w:color w:val="404040"/>
      </w:rPr>
      <w:tcPr>
        <w:tcBorders>
          <w:top w:val="single" w:color="696969" w:themeColor="text1" w:themeTint="95"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CACACA" w:themeColor="text1" w:themeTint="34" w:fill="CACACA" w:themeFill="text1" w:themeFillTint="34"/>
      </w:tcPr>
    </w:tblStylePr>
    <w:tblStylePr w:type="band1Horz">
      <w:rPr>
        <w:rFonts w:ascii="Arial" w:hAnsi="Arial"/>
        <w:color w:val="404040"/>
        <w:sz w:val="22"/>
      </w:rPr>
      <w:tcPr>
        <w:shd w:val="clear" w:color="CACACA" w:themeColor="text1" w:themeTint="34" w:fill="CACACA" w:themeFill="text1" w:themeFillTint="34"/>
      </w:tcPr>
    </w:tblStylePr>
  </w:style>
  <w:style w:type="table" w:customStyle="1" w:styleId="72">
    <w:name w:val="Grid Table 2 - Accent 1"/>
    <w:qFormat/>
    <w:uiPriority w:val="99"/>
    <w:tblPr>
      <w:tblBorders>
        <w:bottom w:val="single" w:color="5D8BC2" w:themeColor="accent1" w:themeTint="EA" w:sz="4" w:space="0"/>
        <w:insideH w:val="single" w:color="5D8BC2" w:themeColor="accent1" w:themeTint="EA" w:sz="4" w:space="0"/>
        <w:insideV w:val="single" w:color="5D8BC2" w:themeColor="accent1" w:themeTint="EA" w:sz="4" w:space="0"/>
      </w:tblBorders>
      <w:tblCellMar>
        <w:top w:w="0" w:type="dxa"/>
        <w:left w:w="0" w:type="dxa"/>
        <w:bottom w:w="0" w:type="dxa"/>
        <w:right w:w="0" w:type="dxa"/>
      </w:tblCellMar>
    </w:tblPr>
    <w:tblStylePr w:type="firstRow">
      <w:rPr>
        <w:b/>
        <w:color w:val="404040"/>
      </w:rPr>
      <w:tcPr>
        <w:tcBorders>
          <w:top w:val="nil"/>
          <w:left w:val="nil"/>
          <w:bottom w:val="single" w:color="5D8BC2" w:themeColor="accent1" w:themeTint="EA" w:sz="12" w:space="0"/>
          <w:right w:val="nil"/>
        </w:tcBorders>
        <w:shd w:val="clear" w:color="FFFFFF" w:fill="auto"/>
      </w:tcPr>
    </w:tblStylePr>
    <w:tblStylePr w:type="lastRow">
      <w:rPr>
        <w:b/>
        <w:color w:val="404040"/>
      </w:rPr>
      <w:tcPr>
        <w:tcBorders>
          <w:top w:val="single" w:color="5D8BC2" w:themeColor="accent1" w:themeTint="EA"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DBE5F1" w:themeColor="accent1" w:themeTint="34" w:fill="DBE5F1" w:themeFill="accent1" w:themeFillTint="34"/>
      </w:tcPr>
    </w:tblStylePr>
    <w:tblStylePr w:type="band1Horz">
      <w:rPr>
        <w:rFonts w:ascii="Arial" w:hAnsi="Arial"/>
        <w:color w:val="404040"/>
        <w:sz w:val="22"/>
      </w:rPr>
      <w:tcPr>
        <w:shd w:val="clear" w:color="DBE5F1" w:themeColor="accent1" w:themeTint="34" w:fill="DBE5F1" w:themeFill="accent1" w:themeFillTint="34"/>
      </w:tcPr>
    </w:tblStylePr>
  </w:style>
  <w:style w:type="table" w:customStyle="1" w:styleId="73">
    <w:name w:val="Grid Table 2 - Accent 2"/>
    <w:qFormat/>
    <w:uiPriority w:val="99"/>
    <w:tblPr>
      <w:tblBorders>
        <w:bottom w:val="single" w:color="D99795" w:themeColor="accent2" w:themeTint="97" w:sz="4" w:space="0"/>
        <w:insideH w:val="single" w:color="D99795" w:themeColor="accent2" w:themeTint="97" w:sz="4" w:space="0"/>
        <w:insideV w:val="single" w:color="D99795" w:themeColor="accent2" w:themeTint="97" w:sz="4" w:space="0"/>
      </w:tblBorders>
      <w:tblCellMar>
        <w:top w:w="0" w:type="dxa"/>
        <w:left w:w="0" w:type="dxa"/>
        <w:bottom w:w="0" w:type="dxa"/>
        <w:right w:w="0" w:type="dxa"/>
      </w:tblCellMar>
    </w:tblPr>
    <w:tblStylePr w:type="firstRow">
      <w:rPr>
        <w:b/>
        <w:color w:val="404040"/>
      </w:rPr>
      <w:tcPr>
        <w:tcBorders>
          <w:top w:val="nil"/>
          <w:left w:val="nil"/>
          <w:bottom w:val="single" w:color="D99795" w:themeColor="accent2" w:themeTint="97" w:sz="12" w:space="0"/>
          <w:right w:val="nil"/>
        </w:tcBorders>
        <w:shd w:val="clear" w:color="FFFFFF" w:fill="auto"/>
      </w:tcPr>
    </w:tblStylePr>
    <w:tblStylePr w:type="lastRow">
      <w:rPr>
        <w:b/>
        <w:color w:val="404040"/>
      </w:rPr>
      <w:tcPr>
        <w:tcBorders>
          <w:top w:val="single" w:color="D99795" w:themeColor="accent2" w:themeTint="97"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F2DCDC" w:themeColor="accent2" w:themeTint="32" w:fill="F2DCDC" w:themeFill="accent2" w:themeFillTint="32"/>
      </w:tcPr>
    </w:tblStylePr>
    <w:tblStylePr w:type="band1Horz">
      <w:rPr>
        <w:rFonts w:ascii="Arial" w:hAnsi="Arial"/>
        <w:color w:val="404040"/>
        <w:sz w:val="22"/>
      </w:rPr>
      <w:tcPr>
        <w:shd w:val="clear" w:color="F2DCDC" w:themeColor="accent2" w:themeTint="32" w:fill="F2DCDC" w:themeFill="accent2" w:themeFillTint="32"/>
      </w:tcPr>
    </w:tblStylePr>
  </w:style>
  <w:style w:type="table" w:customStyle="1" w:styleId="74">
    <w:name w:val="Grid Table 2 - Accent 3"/>
    <w:qFormat/>
    <w:uiPriority w:val="99"/>
    <w:tblPr>
      <w:tblBorders>
        <w:bottom w:val="single" w:color="9BBB59" w:themeColor="accent3" w:themeTint="FE" w:sz="4" w:space="0"/>
        <w:insideH w:val="single" w:color="9BBB59" w:themeColor="accent3" w:themeTint="FE" w:sz="4" w:space="0"/>
        <w:insideV w:val="single" w:color="9BBB59" w:themeColor="accent3" w:themeTint="FE" w:sz="4" w:space="0"/>
      </w:tblBorders>
      <w:tblCellMar>
        <w:top w:w="0" w:type="dxa"/>
        <w:left w:w="0" w:type="dxa"/>
        <w:bottom w:w="0" w:type="dxa"/>
        <w:right w:w="0" w:type="dxa"/>
      </w:tblCellMar>
    </w:tblPr>
    <w:tblStylePr w:type="firstRow">
      <w:rPr>
        <w:b/>
        <w:color w:val="404040"/>
      </w:rPr>
      <w:tcPr>
        <w:tcBorders>
          <w:top w:val="nil"/>
          <w:left w:val="nil"/>
          <w:bottom w:val="single" w:color="9BBB59" w:themeColor="accent3" w:themeTint="FE" w:sz="12" w:space="0"/>
          <w:right w:val="nil"/>
        </w:tcBorders>
        <w:shd w:val="clear" w:color="FFFFFF" w:fill="auto"/>
      </w:tcPr>
    </w:tblStylePr>
    <w:tblStylePr w:type="lastRow">
      <w:rPr>
        <w:b/>
        <w:color w:val="404040"/>
      </w:rPr>
      <w:tcPr>
        <w:tcBorders>
          <w:top w:val="single" w:color="9BBB59" w:themeColor="accent3" w:themeTint="FE"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EAF1DD" w:themeColor="accent3" w:themeTint="34" w:fill="EAF1DD" w:themeFill="accent3" w:themeFillTint="34"/>
      </w:tcPr>
    </w:tblStylePr>
    <w:tblStylePr w:type="band1Horz">
      <w:rPr>
        <w:rFonts w:ascii="Arial" w:hAnsi="Arial"/>
        <w:color w:val="404040"/>
        <w:sz w:val="22"/>
      </w:rPr>
      <w:tcPr>
        <w:shd w:val="clear" w:color="EAF1DD" w:themeColor="accent3" w:themeTint="34" w:fill="EAF1DD" w:themeFill="accent3" w:themeFillTint="34"/>
      </w:tcPr>
    </w:tblStylePr>
  </w:style>
  <w:style w:type="table" w:customStyle="1" w:styleId="75">
    <w:name w:val="Grid Table 2 - Accent 4"/>
    <w:qFormat/>
    <w:uiPriority w:val="99"/>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404040"/>
      </w:rPr>
      <w:tcPr>
        <w:tcBorders>
          <w:top w:val="nil"/>
          <w:left w:val="nil"/>
          <w:bottom w:val="single" w:color="B2A1C6" w:themeColor="accent4" w:themeTint="9A" w:sz="12" w:space="0"/>
          <w:right w:val="nil"/>
        </w:tcBorders>
        <w:shd w:val="clear" w:color="FFFFFF" w:fill="auto"/>
      </w:tcPr>
    </w:tblStylePr>
    <w:tblStylePr w:type="lastRow">
      <w:rPr>
        <w:b/>
        <w:color w:val="404040"/>
      </w:rPr>
      <w:tcPr>
        <w:tcBorders>
          <w:top w:val="single" w:color="B2A1C6" w:themeColor="accent4" w:themeTint="9A"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E5DFEC" w:themeColor="accent4" w:themeTint="34" w:fill="E5DFEC" w:themeFill="accent4" w:themeFillTint="34"/>
      </w:tcPr>
    </w:tblStylePr>
    <w:tblStylePr w:type="band1Horz">
      <w:rPr>
        <w:rFonts w:ascii="Arial" w:hAnsi="Arial"/>
        <w:color w:val="404040"/>
        <w:sz w:val="22"/>
      </w:rPr>
      <w:tcPr>
        <w:shd w:val="clear" w:color="E5DFEC" w:themeColor="accent4" w:themeTint="34" w:fill="E5DFEC" w:themeFill="accent4" w:themeFillTint="34"/>
      </w:tcPr>
    </w:tblStylePr>
  </w:style>
  <w:style w:type="table" w:customStyle="1" w:styleId="76">
    <w:name w:val="Grid Table 2 - Accent 5"/>
    <w:qFormat/>
    <w:uiPriority w:val="99"/>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404040"/>
      </w:rPr>
      <w:tcPr>
        <w:tcBorders>
          <w:top w:val="nil"/>
          <w:left w:val="nil"/>
          <w:bottom w:val="single" w:color="4BACC6" w:themeColor="accent5" w:sz="12" w:space="0"/>
          <w:right w:val="nil"/>
        </w:tcBorders>
        <w:shd w:val="clear" w:color="FFFFFF" w:fill="auto"/>
      </w:tcPr>
    </w:tblStylePr>
    <w:tblStylePr w:type="lastRow">
      <w:rPr>
        <w:b/>
        <w:color w:val="404040"/>
      </w:rPr>
      <w:tcPr>
        <w:tcBorders>
          <w:top w:val="single" w:color="4BACC6" w:themeColor="accent5"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DAEEF3" w:themeColor="accent5" w:themeTint="34" w:fill="DAEEF3" w:themeFill="accent5" w:themeFillTint="34"/>
      </w:tcPr>
    </w:tblStylePr>
    <w:tblStylePr w:type="band1Horz">
      <w:rPr>
        <w:rFonts w:ascii="Arial" w:hAnsi="Arial"/>
        <w:color w:val="404040"/>
        <w:sz w:val="22"/>
      </w:rPr>
      <w:tcPr>
        <w:shd w:val="clear" w:color="DAEEF3" w:themeColor="accent5" w:themeTint="34" w:fill="DAEEF3" w:themeFill="accent5" w:themeFillTint="34"/>
      </w:tcPr>
    </w:tblStylePr>
  </w:style>
  <w:style w:type="table" w:customStyle="1" w:styleId="77">
    <w:name w:val="Grid Table 2 - Accent 6"/>
    <w:qFormat/>
    <w:uiPriority w:val="99"/>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404040"/>
      </w:rPr>
      <w:tcPr>
        <w:tcBorders>
          <w:top w:val="nil"/>
          <w:left w:val="nil"/>
          <w:bottom w:val="single" w:color="F79646" w:themeColor="accent6" w:sz="12" w:space="0"/>
          <w:right w:val="nil"/>
        </w:tcBorders>
        <w:shd w:val="clear" w:color="FFFFFF" w:fill="auto"/>
      </w:tcPr>
    </w:tblStylePr>
    <w:tblStylePr w:type="lastRow">
      <w:rPr>
        <w:b/>
        <w:color w:val="404040"/>
      </w:rPr>
      <w:tcPr>
        <w:tcBorders>
          <w:top w:val="single" w:color="F79646" w:themeColor="accent6" w:sz="4" w:space="0"/>
          <w:left w:val="nil"/>
          <w:bottom w:val="nil"/>
          <w:right w:val="nil"/>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FDE9D9" w:themeColor="accent6" w:themeTint="34" w:fill="FDE9D9" w:themeFill="accent6" w:themeFillTint="34"/>
      </w:tcPr>
    </w:tblStylePr>
    <w:tblStylePr w:type="band1Horz">
      <w:rPr>
        <w:rFonts w:ascii="Arial" w:hAnsi="Arial"/>
        <w:color w:val="404040"/>
        <w:sz w:val="22"/>
      </w:rPr>
      <w:tcPr>
        <w:shd w:val="clear" w:color="FDE9D9" w:themeColor="accent6" w:themeTint="34" w:fill="FDE9D9" w:themeFill="accent6" w:themeFillTint="34"/>
      </w:tcPr>
    </w:tblStylePr>
  </w:style>
  <w:style w:type="table" w:customStyle="1" w:styleId="78">
    <w:name w:val="Grid Table 3"/>
    <w:qFormat/>
    <w:uiPriority w:val="99"/>
    <w:tblPr>
      <w:tblBorders>
        <w:bottom w:val="single" w:color="696969" w:themeColor="text1" w:themeTint="95" w:sz="4" w:space="0"/>
        <w:insideH w:val="single" w:color="696969" w:themeColor="text1" w:themeTint="95" w:sz="4" w:space="0"/>
        <w:insideV w:val="single" w:color="696969" w:themeColor="text1" w:themeTint="95"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CACACA" w:themeColor="text1" w:themeTint="34" w:fill="CACACA" w:themeFill="text1" w:themeFillTint="34"/>
      </w:tcPr>
    </w:tblStylePr>
    <w:tblStylePr w:type="band1Horz">
      <w:rPr>
        <w:rFonts w:ascii="Arial" w:hAnsi="Arial"/>
        <w:color w:val="404040"/>
        <w:sz w:val="22"/>
      </w:rPr>
      <w:tcPr>
        <w:shd w:val="clear" w:color="CACACA" w:themeColor="text1" w:themeTint="34" w:fill="CACACA" w:themeFill="text1" w:themeFillTint="34"/>
      </w:tcPr>
    </w:tblStylePr>
  </w:style>
  <w:style w:type="table" w:customStyle="1" w:styleId="79">
    <w:name w:val="Grid Table 3 - Accent 1"/>
    <w:qFormat/>
    <w:uiPriority w:val="99"/>
    <w:tblPr>
      <w:tblBorders>
        <w:bottom w:val="single" w:color="5D8BC2" w:themeColor="accent1" w:themeTint="EA" w:sz="4" w:space="0"/>
        <w:insideH w:val="single" w:color="5D8BC2" w:themeColor="accent1" w:themeTint="EA" w:sz="4" w:space="0"/>
        <w:insideV w:val="single" w:color="5D8BC2" w:themeColor="accent1" w:themeTint="EA"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DBE5F1" w:themeColor="accent1" w:themeTint="34" w:fill="DBE5F1" w:themeFill="accent1" w:themeFillTint="34"/>
      </w:tcPr>
    </w:tblStylePr>
    <w:tblStylePr w:type="band1Horz">
      <w:rPr>
        <w:rFonts w:ascii="Arial" w:hAnsi="Arial"/>
        <w:color w:val="404040"/>
        <w:sz w:val="22"/>
      </w:rPr>
      <w:tcPr>
        <w:shd w:val="clear" w:color="DBE5F1" w:themeColor="accent1" w:themeTint="34" w:fill="DBE5F1" w:themeFill="accent1" w:themeFillTint="34"/>
      </w:tcPr>
    </w:tblStylePr>
  </w:style>
  <w:style w:type="table" w:customStyle="1" w:styleId="80">
    <w:name w:val="Grid Table 3 - Accent 2"/>
    <w:qFormat/>
    <w:uiPriority w:val="99"/>
    <w:tblPr>
      <w:tblBorders>
        <w:bottom w:val="single" w:color="D99795" w:themeColor="accent2" w:themeTint="97" w:sz="4" w:space="0"/>
        <w:insideH w:val="single" w:color="D99795" w:themeColor="accent2" w:themeTint="97" w:sz="4" w:space="0"/>
        <w:insideV w:val="single" w:color="D99795" w:themeColor="accent2" w:themeTint="97"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F2DCDC" w:themeColor="accent2" w:themeTint="32" w:fill="F2DCDC" w:themeFill="accent2" w:themeFillTint="32"/>
      </w:tcPr>
    </w:tblStylePr>
    <w:tblStylePr w:type="band1Horz">
      <w:rPr>
        <w:rFonts w:ascii="Arial" w:hAnsi="Arial"/>
        <w:color w:val="404040"/>
        <w:sz w:val="22"/>
      </w:rPr>
      <w:tcPr>
        <w:shd w:val="clear" w:color="F2DCDC" w:themeColor="accent2" w:themeTint="32" w:fill="F2DCDC" w:themeFill="accent2" w:themeFillTint="32"/>
      </w:tcPr>
    </w:tblStylePr>
  </w:style>
  <w:style w:type="table" w:customStyle="1" w:styleId="81">
    <w:name w:val="Grid Table 3 - Accent 3"/>
    <w:qFormat/>
    <w:uiPriority w:val="99"/>
    <w:tblPr>
      <w:tblBorders>
        <w:bottom w:val="single" w:color="9BBB59" w:themeColor="accent3" w:themeTint="FE" w:sz="4" w:space="0"/>
        <w:insideH w:val="single" w:color="9BBB59" w:themeColor="accent3" w:themeTint="FE" w:sz="4" w:space="0"/>
        <w:insideV w:val="single" w:color="9BBB59" w:themeColor="accent3" w:themeTint="FE"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EAF1DD" w:themeColor="accent3" w:themeTint="34" w:fill="EAF1DD" w:themeFill="accent3" w:themeFillTint="34"/>
      </w:tcPr>
    </w:tblStylePr>
    <w:tblStylePr w:type="band1Horz">
      <w:rPr>
        <w:rFonts w:ascii="Arial" w:hAnsi="Arial"/>
        <w:color w:val="404040"/>
        <w:sz w:val="22"/>
      </w:rPr>
      <w:tcPr>
        <w:shd w:val="clear" w:color="EAF1DD" w:themeColor="accent3" w:themeTint="34" w:fill="EAF1DD" w:themeFill="accent3" w:themeFillTint="34"/>
      </w:tcPr>
    </w:tblStylePr>
  </w:style>
  <w:style w:type="table" w:customStyle="1" w:styleId="82">
    <w:name w:val="Grid Table 3 - Accent 4"/>
    <w:qFormat/>
    <w:uiPriority w:val="99"/>
    <w:tblPr>
      <w:tblBorders>
        <w:bottom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E5DFEC" w:themeColor="accent4" w:themeTint="34" w:fill="E5DFEC" w:themeFill="accent4" w:themeFillTint="34"/>
      </w:tcPr>
    </w:tblStylePr>
    <w:tblStylePr w:type="band1Horz">
      <w:rPr>
        <w:rFonts w:ascii="Arial" w:hAnsi="Arial"/>
        <w:color w:val="404040"/>
        <w:sz w:val="22"/>
      </w:rPr>
      <w:tcPr>
        <w:shd w:val="clear" w:color="E5DFEC" w:themeColor="accent4" w:themeTint="34" w:fill="E5DFEC" w:themeFill="accent4" w:themeFillTint="34"/>
      </w:tcPr>
    </w:tblStylePr>
  </w:style>
  <w:style w:type="table" w:customStyle="1" w:styleId="83">
    <w:name w:val="Grid Table 3 - Accent 5"/>
    <w:qFormat/>
    <w:uiPriority w:val="99"/>
    <w:tblPr>
      <w:tblBorders>
        <w:bottom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DAEEF3" w:themeColor="accent5" w:themeTint="34" w:fill="DAEEF3" w:themeFill="accent5" w:themeFillTint="34"/>
      </w:tcPr>
    </w:tblStylePr>
    <w:tblStylePr w:type="band1Horz">
      <w:rPr>
        <w:rFonts w:ascii="Arial" w:hAnsi="Arial"/>
        <w:color w:val="404040"/>
        <w:sz w:val="22"/>
      </w:rPr>
      <w:tcPr>
        <w:shd w:val="clear" w:color="DAEEF3" w:themeColor="accent5" w:themeTint="34" w:fill="DAEEF3" w:themeFill="accent5" w:themeFillTint="34"/>
      </w:tcPr>
    </w:tblStylePr>
  </w:style>
  <w:style w:type="table" w:customStyle="1" w:styleId="84">
    <w:name w:val="Grid Table 3 - Accent 6"/>
    <w:qFormat/>
    <w:uiPriority w:val="99"/>
    <w:tblPr>
      <w:tblBorders>
        <w:bottom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404040"/>
      </w:rPr>
      <w:tcPr>
        <w:tcBorders>
          <w:top w:val="nil"/>
          <w:left w:val="nil"/>
          <w:bottom w:val="nil"/>
          <w:right w:val="nil"/>
        </w:tcBorders>
        <w:shd w:val="clear" w:color="FFFFFF" w:fill="auto"/>
      </w:tcPr>
    </w:tblStylePr>
    <w:tblStylePr w:type="lastRow">
      <w:rPr>
        <w:b/>
        <w:color w:val="404040"/>
      </w:rPr>
      <w:tcPr>
        <w:tcBorders>
          <w:top w:val="nil"/>
          <w:left w:val="nil"/>
          <w:bottom w:val="nil"/>
          <w:right w:val="nil"/>
        </w:tcBorders>
        <w:shd w:val="clear" w:color="FFFFFF" w:fill="auto"/>
      </w:tcPr>
    </w:tblStylePr>
    <w:tblStylePr w:type="firstCol">
      <w:pPr>
        <w:jc w:val="right"/>
      </w:pPr>
      <w:rPr>
        <w:i/>
        <w:color w:val="404040"/>
      </w:rPr>
      <w:tcPr>
        <w:tcBorders>
          <w:top w:val="nil"/>
          <w:left w:val="nil"/>
          <w:bottom w:val="nil"/>
          <w:right w:val="nil"/>
        </w:tcBorders>
        <w:shd w:val="clear" w:color="FFFFFF" w:fill="auto"/>
      </w:tcPr>
    </w:tblStylePr>
    <w:tblStylePr w:type="lastCol">
      <w:rPr>
        <w:i/>
        <w:color w:val="404040"/>
      </w:rPr>
      <w:tcPr>
        <w:tcBorders>
          <w:top w:val="nil"/>
          <w:left w:val="nil"/>
          <w:bottom w:val="nil"/>
          <w:right w:val="nil"/>
        </w:tcBorders>
        <w:shd w:val="clear" w:color="FFFFFF" w:fill="auto"/>
      </w:tcPr>
    </w:tblStylePr>
    <w:tblStylePr w:type="band1Vert">
      <w:rPr>
        <w:rFonts w:ascii="Arial" w:hAnsi="Arial"/>
        <w:color w:val="404040"/>
        <w:sz w:val="22"/>
      </w:rPr>
      <w:tcPr>
        <w:shd w:val="clear" w:color="FDE9D9" w:themeColor="accent6" w:themeTint="34" w:fill="FDE9D9" w:themeFill="accent6" w:themeFillTint="34"/>
      </w:tcPr>
    </w:tblStylePr>
    <w:tblStylePr w:type="band1Horz">
      <w:rPr>
        <w:rFonts w:ascii="Arial" w:hAnsi="Arial"/>
        <w:color w:val="404040"/>
        <w:sz w:val="22"/>
      </w:rPr>
      <w:tcPr>
        <w:shd w:val="clear" w:color="FDE9D9" w:themeColor="accent6" w:themeTint="34" w:fill="FDE9D9" w:themeFill="accent6" w:themeFillTint="34"/>
      </w:tcPr>
    </w:tblStylePr>
  </w:style>
  <w:style w:type="table" w:customStyle="1" w:styleId="85">
    <w:name w:val="Grid Table 4"/>
    <w:qFormat/>
    <w:uiPriority w:val="59"/>
    <w:tblPr>
      <w:tblBorders>
        <w:top w:val="single" w:color="6E6E6E" w:themeColor="text1" w:themeTint="90" w:sz="4" w:space="0"/>
        <w:left w:val="single" w:color="6E6E6E" w:themeColor="text1" w:themeTint="90" w:sz="4" w:space="0"/>
        <w:bottom w:val="single" w:color="6E6E6E" w:themeColor="text1" w:themeTint="90" w:sz="4" w:space="0"/>
        <w:right w:val="single" w:color="6E6E6E" w:themeColor="text1" w:themeTint="90" w:sz="4" w:space="0"/>
        <w:insideH w:val="single" w:color="6E6E6E" w:themeColor="text1" w:themeTint="90" w:sz="4" w:space="0"/>
        <w:insideV w:val="single" w:color="6E6E6E" w:themeColor="text1"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000000" w:themeColor="text1" w:fill="000000" w:themeFill="text1"/>
      </w:tcPr>
    </w:tblStylePr>
    <w:tblStylePr w:type="lastRow">
      <w:rPr>
        <w:b/>
        <w:color w:val="404040"/>
      </w:rPr>
      <w:tcPr>
        <w:tcBorders>
          <w:top w:val="single" w:color="000000" w:themeColor="text1"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CACACA" w:themeColor="text1" w:themeTint="34" w:fill="CACACA" w:themeFill="text1" w:themeFillTint="34"/>
      </w:tcPr>
    </w:tblStylePr>
    <w:tblStylePr w:type="band1Horz">
      <w:rPr>
        <w:rFonts w:ascii="Arial" w:hAnsi="Arial"/>
        <w:color w:val="404040"/>
        <w:sz w:val="22"/>
      </w:rPr>
      <w:tcPr>
        <w:shd w:val="clear" w:color="CACACA" w:themeColor="text1" w:themeTint="34" w:fill="CACACA" w:themeFill="text1" w:themeFillTint="34"/>
      </w:tcPr>
    </w:tblStylePr>
  </w:style>
  <w:style w:type="table" w:customStyle="1" w:styleId="86">
    <w:name w:val="Grid Table 4 - Accent 1"/>
    <w:qFormat/>
    <w:uiPriority w:val="59"/>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insideV w:val="single" w:color="9BB7D9" w:themeColor="accent1"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5D8BC2" w:themeColor="accent1" w:themeTint="EA" w:sz="4" w:space="0"/>
          <w:left w:val="single" w:color="5D8BC2" w:themeColor="accent1" w:themeTint="EA" w:sz="4" w:space="0"/>
          <w:bottom w:val="single" w:color="5D8BC2" w:themeColor="accent1" w:themeTint="EA" w:sz="4" w:space="0"/>
          <w:right w:val="single" w:color="5D8BC2" w:themeColor="accent1" w:themeTint="EA" w:sz="4" w:space="0"/>
        </w:tcBorders>
        <w:shd w:val="clear" w:color="5D8BC2" w:themeColor="accent1" w:themeTint="EA" w:fill="5D8BC2" w:themeFill="accent1" w:themeFillTint="EA"/>
      </w:tcPr>
    </w:tblStylePr>
    <w:tblStylePr w:type="lastRow">
      <w:rPr>
        <w:b/>
        <w:color w:val="404040"/>
      </w:rPr>
      <w:tcPr>
        <w:tcBorders>
          <w:top w:val="single" w:color="5D8BC2" w:themeColor="accent1" w:themeTint="EA"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DCE6F2" w:themeColor="accent1" w:themeTint="32" w:fill="DCE6F2" w:themeFill="accent1" w:themeFillTint="32"/>
      </w:tcPr>
    </w:tblStylePr>
    <w:tblStylePr w:type="band1Horz">
      <w:rPr>
        <w:rFonts w:ascii="Arial" w:hAnsi="Arial"/>
        <w:color w:val="404040"/>
        <w:sz w:val="22"/>
      </w:rPr>
      <w:tcPr>
        <w:shd w:val="clear" w:color="DCE6F2" w:themeColor="accent1" w:themeTint="32" w:fill="DCE6F2" w:themeFill="accent1" w:themeFillTint="32"/>
      </w:tcPr>
    </w:tblStylePr>
  </w:style>
  <w:style w:type="table" w:customStyle="1" w:styleId="87">
    <w:name w:val="Grid Table 4 - Accent 2"/>
    <w:qFormat/>
    <w:uiPriority w:val="59"/>
    <w:tblPr>
      <w:tblBorders>
        <w:top w:val="single" w:color="DB9C9A" w:themeColor="accent2" w:themeTint="90" w:sz="4" w:space="0"/>
        <w:left w:val="single" w:color="DB9C9A" w:themeColor="accent2" w:themeTint="90" w:sz="4" w:space="0"/>
        <w:bottom w:val="single" w:color="DB9C9A" w:themeColor="accent2" w:themeTint="90" w:sz="4" w:space="0"/>
        <w:right w:val="single" w:color="DB9C9A" w:themeColor="accent2" w:themeTint="90" w:sz="4" w:space="0"/>
        <w:insideH w:val="single" w:color="DB9C9A" w:themeColor="accent2" w:themeTint="90" w:sz="4" w:space="0"/>
        <w:insideV w:val="single" w:color="DB9C9A" w:themeColor="accent2"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D99795" w:themeColor="accent2" w:themeTint="97" w:sz="4" w:space="0"/>
          <w:left w:val="single" w:color="D99795" w:themeColor="accent2" w:themeTint="97" w:sz="4" w:space="0"/>
          <w:bottom w:val="single" w:color="D99795" w:themeColor="accent2" w:themeTint="97" w:sz="4" w:space="0"/>
          <w:right w:val="single" w:color="D99795" w:themeColor="accent2" w:themeTint="97" w:sz="4" w:space="0"/>
        </w:tcBorders>
        <w:shd w:val="clear" w:color="D99795" w:themeColor="accent2" w:themeTint="97" w:fill="D99795" w:themeFill="accent2" w:themeFillTint="97"/>
      </w:tcPr>
    </w:tblStylePr>
    <w:tblStylePr w:type="lastRow">
      <w:rPr>
        <w:b/>
        <w:color w:val="404040"/>
      </w:rPr>
      <w:tcPr>
        <w:tcBorders>
          <w:top w:val="single" w:color="D99795" w:themeColor="accent2" w:themeTint="97"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F2DCDC" w:themeColor="accent2" w:themeTint="32" w:fill="F2DCDC" w:themeFill="accent2" w:themeFillTint="32"/>
      </w:tcPr>
    </w:tblStylePr>
    <w:tblStylePr w:type="band1Horz">
      <w:rPr>
        <w:rFonts w:ascii="Arial" w:hAnsi="Arial"/>
        <w:color w:val="404040"/>
        <w:sz w:val="22"/>
      </w:rPr>
      <w:tcPr>
        <w:shd w:val="clear" w:color="F2DCDC" w:themeColor="accent2" w:themeTint="32" w:fill="F2DCDC" w:themeFill="accent2" w:themeFillTint="32"/>
      </w:tcPr>
    </w:tblStylePr>
  </w:style>
  <w:style w:type="table" w:customStyle="1" w:styleId="88">
    <w:name w:val="Grid Table 4 - Accent 3"/>
    <w:qFormat/>
    <w:uiPriority w:val="59"/>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insideV w:val="single" w:color="C6D8A1" w:themeColor="accent3"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9BBB59" w:themeColor="accent3" w:themeTint="FE" w:sz="4" w:space="0"/>
          <w:left w:val="single" w:color="9BBB59" w:themeColor="accent3" w:themeTint="FE" w:sz="4" w:space="0"/>
          <w:bottom w:val="single" w:color="9BBB59" w:themeColor="accent3" w:themeTint="FE" w:sz="4" w:space="0"/>
          <w:right w:val="single" w:color="9BBB59" w:themeColor="accent3" w:themeTint="FE" w:sz="4" w:space="0"/>
        </w:tcBorders>
        <w:shd w:val="clear" w:color="9BBB59" w:themeColor="accent3" w:themeTint="FE" w:fill="9BBB59" w:themeFill="accent3" w:themeFillTint="FE"/>
      </w:tcPr>
    </w:tblStylePr>
    <w:tblStylePr w:type="lastRow">
      <w:rPr>
        <w:b/>
        <w:color w:val="404040"/>
      </w:rPr>
      <w:tcPr>
        <w:tcBorders>
          <w:top w:val="single" w:color="9BBB59" w:themeColor="accent3" w:themeTint="FE"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EAF1DD" w:themeColor="accent3" w:themeTint="34" w:fill="EAF1DD" w:themeFill="accent3" w:themeFillTint="34"/>
      </w:tcPr>
    </w:tblStylePr>
    <w:tblStylePr w:type="band1Horz">
      <w:rPr>
        <w:rFonts w:ascii="Arial" w:hAnsi="Arial"/>
        <w:color w:val="404040"/>
        <w:sz w:val="22"/>
      </w:rPr>
      <w:tcPr>
        <w:shd w:val="clear" w:color="EAF1DD" w:themeColor="accent3" w:themeTint="34" w:fill="EAF1DD" w:themeFill="accent3" w:themeFillTint="34"/>
      </w:tcPr>
    </w:tblStylePr>
  </w:style>
  <w:style w:type="table" w:customStyle="1" w:styleId="89">
    <w:name w:val="Grid Table 4 - Accent 4"/>
    <w:qFormat/>
    <w:uiPriority w:val="59"/>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insideV w:val="single" w:color="B7A7CA" w:themeColor="accent4"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cBorders>
        <w:shd w:val="clear" w:color="B2A1C6" w:themeColor="accent4" w:themeTint="9A" w:fill="B2A1C6" w:themeFill="accent4" w:themeFillTint="9A"/>
      </w:tcPr>
    </w:tblStylePr>
    <w:tblStylePr w:type="lastRow">
      <w:rPr>
        <w:b/>
        <w:color w:val="404040"/>
      </w:rPr>
      <w:tcPr>
        <w:tcBorders>
          <w:top w:val="single" w:color="B2A1C6" w:themeColor="accent4" w:themeTint="9A"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E5DFEC" w:themeColor="accent4" w:themeTint="34" w:fill="E5DFEC" w:themeFill="accent4" w:themeFillTint="34"/>
      </w:tcPr>
    </w:tblStylePr>
    <w:tblStylePr w:type="band1Horz">
      <w:rPr>
        <w:rFonts w:ascii="Arial" w:hAnsi="Arial"/>
        <w:color w:val="404040"/>
        <w:sz w:val="22"/>
      </w:rPr>
      <w:tcPr>
        <w:shd w:val="clear" w:color="E5DFEC" w:themeColor="accent4" w:themeTint="34" w:fill="E5DFEC" w:themeFill="accent4" w:themeFillTint="34"/>
      </w:tcPr>
    </w:tblStylePr>
  </w:style>
  <w:style w:type="table" w:customStyle="1" w:styleId="90">
    <w:name w:val="Grid Table 4 - Accent 5"/>
    <w:qFormat/>
    <w:uiPriority w:val="59"/>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4BACC6" w:themeColor="accent5" w:sz="4" w:space="0"/>
          <w:left w:val="single" w:color="4BACC6" w:themeColor="accent5" w:sz="4" w:space="0"/>
          <w:bottom w:val="single" w:color="4BACC6" w:themeColor="accent5" w:sz="4" w:space="0"/>
          <w:right w:val="single" w:color="4BACC6" w:themeColor="accent5" w:sz="4" w:space="0"/>
        </w:tcBorders>
        <w:shd w:val="clear" w:color="4BACC6" w:themeColor="accent5" w:fill="4BACC6" w:themeFill="accent5"/>
      </w:tcPr>
    </w:tblStylePr>
    <w:tblStylePr w:type="lastRow">
      <w:rPr>
        <w:b/>
        <w:color w:val="404040"/>
      </w:rPr>
      <w:tcPr>
        <w:tcBorders>
          <w:top w:val="single" w:color="4BACC6" w:themeColor="accent5"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DAEEF3" w:themeColor="accent5" w:themeTint="34" w:fill="DAEEF3" w:themeFill="accent5" w:themeFillTint="34"/>
      </w:tcPr>
    </w:tblStylePr>
    <w:tblStylePr w:type="band1Horz">
      <w:rPr>
        <w:rFonts w:ascii="Arial" w:hAnsi="Arial"/>
        <w:color w:val="404040"/>
        <w:sz w:val="22"/>
      </w:rPr>
      <w:tcPr>
        <w:shd w:val="clear" w:color="DAEEF3" w:themeColor="accent5" w:themeTint="34" w:fill="DAEEF3" w:themeFill="accent5" w:themeFillTint="34"/>
      </w:tcPr>
    </w:tblStylePr>
  </w:style>
  <w:style w:type="table" w:customStyle="1" w:styleId="91">
    <w:name w:val="Grid Table 4 - Accent 6"/>
    <w:qFormat/>
    <w:uiPriority w:val="59"/>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rFonts w:ascii="Arial" w:hAnsi="Arial"/>
        <w:b/>
        <w:color w:val="FFFFFF"/>
        <w:sz w:val="22"/>
      </w:rPr>
      <w:tcPr>
        <w:tcBorders>
          <w:top w:val="single" w:color="F79646" w:themeColor="accent6" w:sz="4" w:space="0"/>
          <w:left w:val="single" w:color="F79646" w:themeColor="accent6" w:sz="4" w:space="0"/>
          <w:bottom w:val="single" w:color="F79646" w:themeColor="accent6" w:sz="4" w:space="0"/>
          <w:right w:val="single" w:color="F79646" w:themeColor="accent6" w:sz="4" w:space="0"/>
        </w:tcBorders>
        <w:shd w:val="clear" w:color="F79646" w:themeColor="accent6" w:fill="F79646" w:themeFill="accent6"/>
      </w:tcPr>
    </w:tblStylePr>
    <w:tblStylePr w:type="lastRow">
      <w:rPr>
        <w:b/>
        <w:color w:val="404040"/>
      </w:rPr>
      <w:tcPr>
        <w:tcBorders>
          <w:top w:val="single" w:color="F79646" w:themeColor="accent6" w:sz="4" w:space="0"/>
        </w:tcBorders>
      </w:tcPr>
    </w:tblStylePr>
    <w:tblStylePr w:type="firstCol">
      <w:rPr>
        <w:b/>
        <w:color w:val="404040"/>
      </w:rPr>
    </w:tblStylePr>
    <w:tblStylePr w:type="lastCol">
      <w:rPr>
        <w:b/>
        <w:color w:val="404040"/>
      </w:rPr>
    </w:tblStylePr>
    <w:tblStylePr w:type="band1Vert">
      <w:rPr>
        <w:rFonts w:ascii="Arial" w:hAnsi="Arial"/>
        <w:color w:val="404040"/>
        <w:sz w:val="22"/>
      </w:rPr>
      <w:tcPr>
        <w:shd w:val="clear" w:color="FDE9D9" w:themeColor="accent6" w:themeTint="34" w:fill="FDE9D9" w:themeFill="accent6" w:themeFillTint="34"/>
      </w:tcPr>
    </w:tblStylePr>
    <w:tblStylePr w:type="band1Horz">
      <w:rPr>
        <w:rFonts w:ascii="Arial" w:hAnsi="Arial"/>
        <w:color w:val="404040"/>
        <w:sz w:val="22"/>
      </w:rPr>
      <w:tcPr>
        <w:shd w:val="clear" w:color="FDE9D9" w:themeColor="accent6" w:themeTint="34" w:fill="FDE9D9" w:themeFill="accent6" w:themeFillTint="34"/>
      </w:tcPr>
    </w:tblStylePr>
  </w:style>
  <w:style w:type="table" w:customStyle="1" w:styleId="92">
    <w:name w:val="Grid Table 5 Dark"/>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000000" w:themeColor="text1" w:fill="000000" w:themeFill="text1"/>
      </w:tcPr>
    </w:tblStylePr>
    <w:tblStylePr w:type="lastRow">
      <w:rPr>
        <w:rFonts w:ascii="Arial" w:hAnsi="Arial"/>
        <w:b/>
        <w:color w:val="FFFFFF"/>
        <w:sz w:val="22"/>
      </w:rPr>
      <w:tcPr>
        <w:tcBorders>
          <w:top w:val="single" w:color="FFFFFF" w:themeColor="light1" w:sz="4" w:space="0"/>
        </w:tcBorders>
        <w:shd w:val="clear" w:color="000000" w:themeColor="text1" w:fill="000000" w:themeFill="text1"/>
      </w:tcPr>
    </w:tblStylePr>
    <w:tblStylePr w:type="firstCol">
      <w:rPr>
        <w:rFonts w:ascii="Arial" w:hAnsi="Arial"/>
        <w:b/>
        <w:color w:val="FFFFFF"/>
        <w:sz w:val="22"/>
      </w:rPr>
      <w:tcPr>
        <w:shd w:val="clear" w:color="000000" w:themeColor="text1" w:fill="000000" w:themeFill="text1"/>
      </w:tcPr>
    </w:tblStylePr>
    <w:tblStylePr w:type="lastCol">
      <w:rPr>
        <w:rFonts w:ascii="Arial" w:hAnsi="Arial"/>
        <w:b/>
        <w:color w:val="FFFFFF"/>
        <w:sz w:val="22"/>
      </w:rPr>
      <w:tcPr>
        <w:shd w:val="clear" w:color="000000" w:themeColor="text1" w:fill="000000" w:themeFill="text1"/>
      </w:tcPr>
    </w:tblStylePr>
    <w:tblStylePr w:type="band1Vert">
      <w:tcPr>
        <w:shd w:val="clear" w:color="898989" w:themeColor="text1" w:themeTint="75" w:fill="898989" w:themeFill="text1" w:themeFillTint="75"/>
      </w:tcPr>
    </w:tblStylePr>
    <w:tblStylePr w:type="band1Horz">
      <w:tcPr>
        <w:shd w:val="clear" w:color="898989" w:themeColor="text1" w:themeTint="75" w:fill="898989" w:themeFill="text1" w:themeFillTint="75"/>
      </w:tcPr>
    </w:tblStylePr>
  </w:style>
  <w:style w:type="table" w:customStyle="1" w:styleId="93">
    <w:name w:val="Grid Table 5 Dark- Accent 1"/>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4F81BD" w:themeColor="accent1" w:fill="4F81BD" w:themeFill="accent1"/>
      </w:tcPr>
    </w:tblStylePr>
    <w:tblStylePr w:type="lastRow">
      <w:rPr>
        <w:rFonts w:ascii="Arial" w:hAnsi="Arial"/>
        <w:b/>
        <w:color w:val="FFFFFF"/>
        <w:sz w:val="22"/>
      </w:rPr>
      <w:tcPr>
        <w:tcBorders>
          <w:top w:val="single" w:color="FFFFFF" w:themeColor="light1" w:sz="4" w:space="0"/>
        </w:tcBorders>
        <w:shd w:val="clear" w:color="4F81BD" w:themeColor="accent1" w:fill="4F81BD" w:themeFill="accent1"/>
      </w:tcPr>
    </w:tblStylePr>
    <w:tblStylePr w:type="firstCol">
      <w:rPr>
        <w:rFonts w:ascii="Arial" w:hAnsi="Arial"/>
        <w:b/>
        <w:color w:val="FFFFFF"/>
        <w:sz w:val="22"/>
      </w:rPr>
      <w:tcPr>
        <w:shd w:val="clear" w:color="4F81BD" w:themeColor="accent1" w:fill="4F81BD" w:themeFill="accent1"/>
      </w:tcPr>
    </w:tblStylePr>
    <w:tblStylePr w:type="lastCol">
      <w:rPr>
        <w:rFonts w:ascii="Arial" w:hAnsi="Arial"/>
        <w:b/>
        <w:color w:val="FFFFFF"/>
        <w:sz w:val="22"/>
      </w:rPr>
      <w:tcPr>
        <w:shd w:val="clear" w:color="4F81BD" w:themeColor="accent1" w:fill="4F81BD" w:themeFill="accent1"/>
      </w:tcPr>
    </w:tblStylePr>
    <w:tblStylePr w:type="band1Vert">
      <w:tcPr>
        <w:shd w:val="clear" w:color="AEC5E0" w:themeColor="accent1" w:themeTint="75" w:fill="AEC5E0" w:themeFill="accent1" w:themeFillTint="75"/>
      </w:tcPr>
    </w:tblStylePr>
    <w:tblStylePr w:type="band1Horz">
      <w:tcPr>
        <w:shd w:val="clear" w:color="AEC5E0" w:themeColor="accent1" w:themeTint="75" w:fill="AEC5E0" w:themeFill="accent1" w:themeFillTint="75"/>
      </w:tcPr>
    </w:tblStylePr>
  </w:style>
  <w:style w:type="table" w:customStyle="1" w:styleId="94">
    <w:name w:val="Grid Table 5 Dark - Accent 2"/>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C0504D" w:themeColor="accent2" w:fill="C0504D" w:themeFill="accent2"/>
      </w:tcPr>
    </w:tblStylePr>
    <w:tblStylePr w:type="lastRow">
      <w:rPr>
        <w:rFonts w:ascii="Arial" w:hAnsi="Arial"/>
        <w:b/>
        <w:color w:val="FFFFFF"/>
        <w:sz w:val="22"/>
      </w:rPr>
      <w:tcPr>
        <w:tcBorders>
          <w:top w:val="single" w:color="FFFFFF" w:themeColor="light1" w:sz="4" w:space="0"/>
        </w:tcBorders>
        <w:shd w:val="clear" w:color="C0504D" w:themeColor="accent2" w:fill="C0504D" w:themeFill="accent2"/>
      </w:tcPr>
    </w:tblStylePr>
    <w:tblStylePr w:type="firstCol">
      <w:rPr>
        <w:rFonts w:ascii="Arial" w:hAnsi="Arial"/>
        <w:b/>
        <w:color w:val="FFFFFF"/>
        <w:sz w:val="22"/>
      </w:rPr>
      <w:tcPr>
        <w:shd w:val="clear" w:color="C0504D" w:themeColor="accent2" w:fill="C0504D" w:themeFill="accent2"/>
      </w:tcPr>
    </w:tblStylePr>
    <w:tblStylePr w:type="lastCol">
      <w:rPr>
        <w:rFonts w:ascii="Arial" w:hAnsi="Arial"/>
        <w:b/>
        <w:color w:val="FFFFFF"/>
        <w:sz w:val="22"/>
      </w:rPr>
      <w:tcPr>
        <w:shd w:val="clear" w:color="C0504D" w:themeColor="accent2" w:fill="C0504D" w:themeFill="accent2"/>
      </w:tcPr>
    </w:tblStylePr>
    <w:tblStylePr w:type="band1Vert">
      <w:tcPr>
        <w:shd w:val="clear" w:color="E2AEAD" w:themeColor="accent2" w:themeTint="75" w:fill="E2AEAD" w:themeFill="accent2" w:themeFillTint="75"/>
      </w:tcPr>
    </w:tblStylePr>
    <w:tblStylePr w:type="band1Horz">
      <w:tcPr>
        <w:shd w:val="clear" w:color="E2AEAD" w:themeColor="accent2" w:themeTint="75" w:fill="E2AEAD" w:themeFill="accent2" w:themeFillTint="75"/>
      </w:tcPr>
    </w:tblStylePr>
  </w:style>
  <w:style w:type="table" w:customStyle="1" w:styleId="95">
    <w:name w:val="Grid Table 5 Dark - Accent 3"/>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9BBB59" w:themeColor="accent3" w:fill="9BBB59" w:themeFill="accent3"/>
      </w:tcPr>
    </w:tblStylePr>
    <w:tblStylePr w:type="lastRow">
      <w:rPr>
        <w:rFonts w:ascii="Arial" w:hAnsi="Arial"/>
        <w:b/>
        <w:color w:val="FFFFFF"/>
        <w:sz w:val="22"/>
      </w:rPr>
      <w:tcPr>
        <w:tcBorders>
          <w:top w:val="single" w:color="FFFFFF" w:themeColor="light1" w:sz="4" w:space="0"/>
        </w:tcBorders>
        <w:shd w:val="clear" w:color="9BBB59" w:themeColor="accent3" w:fill="9BBB59" w:themeFill="accent3"/>
      </w:tcPr>
    </w:tblStylePr>
    <w:tblStylePr w:type="firstCol">
      <w:rPr>
        <w:rFonts w:ascii="Arial" w:hAnsi="Arial"/>
        <w:b/>
        <w:color w:val="FFFFFF"/>
        <w:sz w:val="22"/>
      </w:rPr>
      <w:tcPr>
        <w:shd w:val="clear" w:color="9BBB59" w:themeColor="accent3" w:fill="9BBB59" w:themeFill="accent3"/>
      </w:tcPr>
    </w:tblStylePr>
    <w:tblStylePr w:type="lastCol">
      <w:rPr>
        <w:rFonts w:ascii="Arial" w:hAnsi="Arial"/>
        <w:b/>
        <w:color w:val="FFFFFF"/>
        <w:sz w:val="22"/>
      </w:rPr>
      <w:tcPr>
        <w:shd w:val="clear" w:color="9BBB59" w:themeColor="accent3" w:fill="9BBB59" w:themeFill="accent3"/>
      </w:tcPr>
    </w:tblStylePr>
    <w:tblStylePr w:type="band1Vert">
      <w:tcPr>
        <w:shd w:val="clear" w:color="D1DFB2" w:themeColor="accent3" w:themeTint="75" w:fill="D1DFB2" w:themeFill="accent3" w:themeFillTint="75"/>
      </w:tcPr>
    </w:tblStylePr>
    <w:tblStylePr w:type="band1Horz">
      <w:tcPr>
        <w:shd w:val="clear" w:color="D1DFB2" w:themeColor="accent3" w:themeTint="75" w:fill="D1DFB2" w:themeFill="accent3" w:themeFillTint="75"/>
      </w:tcPr>
    </w:tblStylePr>
  </w:style>
  <w:style w:type="table" w:customStyle="1" w:styleId="96">
    <w:name w:val="Grid Table 5 Dark- Accent 4"/>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8064A2" w:themeColor="accent4" w:fill="8064A2" w:themeFill="accent4"/>
      </w:tcPr>
    </w:tblStylePr>
    <w:tblStylePr w:type="lastRow">
      <w:rPr>
        <w:rFonts w:ascii="Arial" w:hAnsi="Arial"/>
        <w:b/>
        <w:color w:val="FFFFFF"/>
        <w:sz w:val="22"/>
      </w:rPr>
      <w:tcPr>
        <w:tcBorders>
          <w:top w:val="single" w:color="FFFFFF" w:themeColor="light1" w:sz="4" w:space="0"/>
        </w:tcBorders>
        <w:shd w:val="clear" w:color="8064A2" w:themeColor="accent4" w:fill="8064A2" w:themeFill="accent4"/>
      </w:tcPr>
    </w:tblStylePr>
    <w:tblStylePr w:type="firstCol">
      <w:rPr>
        <w:rFonts w:ascii="Arial" w:hAnsi="Arial"/>
        <w:b/>
        <w:color w:val="FFFFFF"/>
        <w:sz w:val="22"/>
      </w:rPr>
      <w:tcPr>
        <w:shd w:val="clear" w:color="8064A2" w:themeColor="accent4" w:fill="8064A2" w:themeFill="accent4"/>
      </w:tcPr>
    </w:tblStylePr>
    <w:tblStylePr w:type="lastCol">
      <w:rPr>
        <w:rFonts w:ascii="Arial" w:hAnsi="Arial"/>
        <w:b/>
        <w:color w:val="FFFFFF"/>
        <w:sz w:val="22"/>
      </w:rPr>
      <w:tcPr>
        <w:shd w:val="clear" w:color="8064A2" w:themeColor="accent4" w:fill="8064A2" w:themeFill="accent4"/>
      </w:tcPr>
    </w:tblStylePr>
    <w:tblStylePr w:type="band1Vert">
      <w:tcPr>
        <w:shd w:val="clear" w:color="C4B7D4" w:themeColor="accent4" w:themeTint="75" w:fill="C4B7D4" w:themeFill="accent4" w:themeFillTint="75"/>
      </w:tcPr>
    </w:tblStylePr>
    <w:tblStylePr w:type="band1Horz">
      <w:tcPr>
        <w:shd w:val="clear" w:color="C4B7D4" w:themeColor="accent4" w:themeTint="75" w:fill="C4B7D4" w:themeFill="accent4" w:themeFillTint="75"/>
      </w:tcPr>
    </w:tblStylePr>
  </w:style>
  <w:style w:type="table" w:customStyle="1" w:styleId="97">
    <w:name w:val="Grid Table 5 Dark - Accent 5"/>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4BACC6" w:themeColor="accent5" w:fill="4BACC6" w:themeFill="accent5"/>
      </w:tcPr>
    </w:tblStylePr>
    <w:tblStylePr w:type="lastRow">
      <w:rPr>
        <w:rFonts w:ascii="Arial" w:hAnsi="Arial"/>
        <w:b/>
        <w:color w:val="FFFFFF"/>
        <w:sz w:val="22"/>
      </w:rPr>
      <w:tcPr>
        <w:tcBorders>
          <w:top w:val="single" w:color="FFFFFF" w:themeColor="light1" w:sz="4" w:space="0"/>
        </w:tcBorders>
        <w:shd w:val="clear" w:color="4BACC6" w:themeColor="accent5" w:fill="4BACC6" w:themeFill="accent5"/>
      </w:tcPr>
    </w:tblStylePr>
    <w:tblStylePr w:type="firstCol">
      <w:rPr>
        <w:rFonts w:ascii="Arial" w:hAnsi="Arial"/>
        <w:b/>
        <w:color w:val="FFFFFF"/>
        <w:sz w:val="22"/>
      </w:rPr>
      <w:tcPr>
        <w:shd w:val="clear" w:color="4BACC6" w:themeColor="accent5" w:fill="4BACC6" w:themeFill="accent5"/>
      </w:tcPr>
    </w:tblStylePr>
    <w:tblStylePr w:type="lastCol">
      <w:rPr>
        <w:rFonts w:ascii="Arial" w:hAnsi="Arial"/>
        <w:b/>
        <w:color w:val="FFFFFF"/>
        <w:sz w:val="22"/>
      </w:rPr>
      <w:tcPr>
        <w:shd w:val="clear" w:color="4BACC6" w:themeColor="accent5" w:fill="4BACC6" w:themeFill="accent5"/>
      </w:tcPr>
    </w:tblStylePr>
    <w:tblStylePr w:type="band1Vert">
      <w:tcPr>
        <w:shd w:val="clear" w:color="ACD8E4" w:themeColor="accent5" w:themeTint="75" w:fill="ACD8E4" w:themeFill="accent5" w:themeFillTint="75"/>
      </w:tcPr>
    </w:tblStylePr>
    <w:tblStylePr w:type="band1Horz">
      <w:tcPr>
        <w:shd w:val="clear" w:color="ACD8E4" w:themeColor="accent5" w:themeTint="75" w:fill="ACD8E4" w:themeFill="accent5" w:themeFillTint="75"/>
      </w:tcPr>
    </w:tblStylePr>
  </w:style>
  <w:style w:type="table" w:customStyle="1" w:styleId="98">
    <w:name w:val="Grid Table 5 Dark - Accent 6"/>
    <w:qFormat/>
    <w:uiPriority w:val="99"/>
    <w:tblPr>
      <w:tblBorders>
        <w:top w:val="single" w:color="FFFFFF" w:themeColor="light1" w:sz="4" w:space="0"/>
        <w:left w:val="single" w:color="FFFFFF" w:themeColor="light1" w:sz="4" w:space="0"/>
        <w:bottom w:val="single" w:color="FFFFFF" w:themeColor="light1" w:sz="4" w:space="0"/>
        <w:right w:val="single" w:color="FFFFFF" w:themeColor="light1" w:sz="4" w:space="0"/>
        <w:insideH w:val="single" w:color="FFFFFF" w:themeColor="light1" w:sz="4" w:space="0"/>
        <w:insideV w:val="single" w:color="FFFFFF" w:themeColor="light1" w:sz="4" w:space="0"/>
      </w:tblBorders>
      <w:tblCellMar>
        <w:top w:w="0" w:type="dxa"/>
        <w:left w:w="0" w:type="dxa"/>
        <w:bottom w:w="0" w:type="dxa"/>
        <w:right w:w="0" w:type="dxa"/>
      </w:tblCellMar>
    </w:tblPr>
    <w:tblStylePr w:type="firstRow">
      <w:rPr>
        <w:rFonts w:ascii="Arial" w:hAnsi="Arial"/>
        <w:b/>
        <w:color w:val="FFFFFF"/>
        <w:sz w:val="22"/>
      </w:rPr>
      <w:tcPr>
        <w:shd w:val="clear" w:color="F79646" w:themeColor="accent6" w:fill="F79646" w:themeFill="accent6"/>
      </w:tcPr>
    </w:tblStylePr>
    <w:tblStylePr w:type="lastRow">
      <w:rPr>
        <w:rFonts w:ascii="Arial" w:hAnsi="Arial"/>
        <w:b/>
        <w:color w:val="FFFFFF"/>
        <w:sz w:val="22"/>
      </w:rPr>
      <w:tcPr>
        <w:tcBorders>
          <w:top w:val="single" w:color="FFFFFF" w:themeColor="light1" w:sz="4" w:space="0"/>
        </w:tcBorders>
        <w:shd w:val="clear" w:color="F79646" w:themeColor="accent6" w:fill="F79646" w:themeFill="accent6"/>
      </w:tcPr>
    </w:tblStylePr>
    <w:tblStylePr w:type="firstCol">
      <w:rPr>
        <w:rFonts w:ascii="Arial" w:hAnsi="Arial"/>
        <w:b/>
        <w:color w:val="FFFFFF"/>
        <w:sz w:val="22"/>
      </w:rPr>
      <w:tcPr>
        <w:shd w:val="clear" w:color="F79646" w:themeColor="accent6" w:fill="F79646" w:themeFill="accent6"/>
      </w:tcPr>
    </w:tblStylePr>
    <w:tblStylePr w:type="lastCol">
      <w:rPr>
        <w:rFonts w:ascii="Arial" w:hAnsi="Arial"/>
        <w:b/>
        <w:color w:val="FFFFFF"/>
        <w:sz w:val="22"/>
      </w:rPr>
      <w:tcPr>
        <w:shd w:val="clear" w:color="F79646" w:themeColor="accent6" w:fill="F79646" w:themeFill="accent6"/>
      </w:tcPr>
    </w:tblStylePr>
    <w:tblStylePr w:type="band1Vert">
      <w:tcPr>
        <w:shd w:val="clear" w:color="FBCEAA" w:themeColor="accent6" w:themeTint="75" w:fill="FBCEAA" w:themeFill="accent6" w:themeFillTint="75"/>
      </w:tcPr>
    </w:tblStylePr>
    <w:tblStylePr w:type="band1Horz">
      <w:tcPr>
        <w:shd w:val="clear" w:color="FBCEAA" w:themeColor="accent6" w:themeTint="75" w:fill="FBCEAA" w:themeFill="accent6" w:themeFillTint="75"/>
      </w:tcPr>
    </w:tblStylePr>
  </w:style>
  <w:style w:type="table" w:customStyle="1" w:styleId="99">
    <w:name w:val="Grid Table 6 Colorful"/>
    <w:qFormat/>
    <w:uiPriority w:val="99"/>
    <w:tblPr>
      <w:tblBorders>
        <w:top w:val="single" w:color="7E7E7E" w:themeColor="text1" w:themeTint="80" w:sz="4" w:space="0"/>
        <w:left w:val="single" w:color="7E7E7E" w:themeColor="text1" w:themeTint="80" w:sz="4" w:space="0"/>
        <w:bottom w:val="single" w:color="7E7E7E" w:themeColor="text1" w:themeTint="80" w:sz="4" w:space="0"/>
        <w:right w:val="single" w:color="7E7E7E" w:themeColor="text1" w:themeTint="80" w:sz="4" w:space="0"/>
        <w:insideH w:val="single" w:color="7E7E7E" w:themeColor="text1" w:themeTint="80" w:sz="4" w:space="0"/>
        <w:insideV w:val="single" w:color="7E7E7E" w:themeColor="text1" w:themeTint="80" w:sz="4" w:space="0"/>
      </w:tblBorders>
      <w:tblCellMar>
        <w:top w:w="0" w:type="dxa"/>
        <w:left w:w="0" w:type="dxa"/>
        <w:bottom w:w="0" w:type="dxa"/>
        <w:right w:w="0" w:type="dxa"/>
      </w:tblCellMar>
    </w:tblPr>
    <w:tblStylePr w:type="firstRow">
      <w:rPr>
        <w:b/>
        <w:color w:val="7E7E7E" w:themeColor="text1" w:themeTint="80"/>
      </w:rPr>
      <w:tcPr>
        <w:tcBorders>
          <w:bottom w:val="single" w:color="7E7E7E" w:themeColor="text1" w:themeTint="80" w:sz="12" w:space="0"/>
        </w:tcBorders>
      </w:tcPr>
    </w:tblStylePr>
    <w:tblStylePr w:type="lastRow">
      <w:rPr>
        <w:b/>
        <w:color w:val="7E7E7E" w:themeColor="text1" w:themeTint="80"/>
      </w:rPr>
    </w:tblStylePr>
    <w:tblStylePr w:type="firstCol">
      <w:rPr>
        <w:b/>
        <w:color w:val="7E7E7E" w:themeColor="text1" w:themeTint="80"/>
      </w:rPr>
    </w:tblStylePr>
    <w:tblStylePr w:type="lastCol">
      <w:rPr>
        <w:b/>
        <w:color w:val="7E7E7E" w:themeColor="text1" w:themeTint="80"/>
      </w:rPr>
    </w:tblStylePr>
    <w:tblStylePr w:type="band1Vert">
      <w:tcPr>
        <w:shd w:val="clear" w:color="CACACA" w:themeColor="text1" w:themeTint="34" w:fill="CACACA" w:themeFill="text1" w:themeFillTint="34"/>
      </w:tcPr>
    </w:tblStylePr>
    <w:tblStylePr w:type="band1Horz">
      <w:rPr>
        <w:rFonts w:ascii="Arial" w:hAnsi="Arial"/>
        <w:color w:val="7E7E7E" w:themeColor="text1" w:themeTint="80"/>
        <w:sz w:val="22"/>
      </w:rPr>
      <w:tcPr>
        <w:shd w:val="clear" w:color="CACACA" w:themeColor="text1" w:themeTint="34" w:fill="CACACA" w:themeFill="text1" w:themeFillTint="34"/>
      </w:tcPr>
    </w:tblStylePr>
    <w:tblStylePr w:type="band2Horz">
      <w:rPr>
        <w:rFonts w:ascii="Arial" w:hAnsi="Arial"/>
        <w:color w:val="7E7E7E" w:themeColor="text1" w:themeTint="80"/>
        <w:sz w:val="22"/>
      </w:rPr>
    </w:tblStylePr>
  </w:style>
  <w:style w:type="table" w:customStyle="1" w:styleId="100">
    <w:name w:val="Grid Table 6 Colorful - Accent 1"/>
    <w:qFormat/>
    <w:uiPriority w:val="99"/>
    <w:tblPr>
      <w:tblBorders>
        <w:top w:val="single" w:color="A6BFDD" w:themeColor="accent1" w:themeTint="80" w:sz="4" w:space="0"/>
        <w:left w:val="single" w:color="A6BFDD" w:themeColor="accent1" w:themeTint="80" w:sz="4" w:space="0"/>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b/>
        <w:color w:val="A6BFDD" w:themeColor="accent1" w:themeTint="80"/>
      </w:rPr>
      <w:tcPr>
        <w:tcBorders>
          <w:bottom w:val="single" w:color="A6BFDD" w:themeColor="accent1" w:themeTint="80" w:sz="12" w:space="0"/>
        </w:tcBorders>
      </w:tcPr>
    </w:tblStylePr>
    <w:tblStylePr w:type="lastRow">
      <w:rPr>
        <w:b/>
        <w:color w:val="A6BFDD" w:themeColor="accent1" w:themeTint="80"/>
      </w:rPr>
    </w:tblStylePr>
    <w:tblStylePr w:type="firstCol">
      <w:rPr>
        <w:b/>
        <w:color w:val="A6BFDD" w:themeColor="accent1" w:themeTint="80"/>
      </w:rPr>
    </w:tblStylePr>
    <w:tblStylePr w:type="lastCol">
      <w:rPr>
        <w:b/>
        <w:color w:val="A6BFDD" w:themeColor="accent1" w:themeTint="80"/>
      </w:rPr>
    </w:tblStylePr>
    <w:tblStylePr w:type="band1Vert">
      <w:tcPr>
        <w:shd w:val="clear" w:color="DBE5F1" w:themeColor="accent1" w:themeTint="34" w:fill="DBE5F1" w:themeFill="accent1" w:themeFillTint="34"/>
      </w:tcPr>
    </w:tblStylePr>
    <w:tblStylePr w:type="band1Horz">
      <w:rPr>
        <w:rFonts w:ascii="Arial" w:hAnsi="Arial"/>
        <w:color w:val="A6BFDD" w:themeColor="accent1" w:themeTint="80"/>
        <w:sz w:val="22"/>
      </w:rPr>
      <w:tcPr>
        <w:shd w:val="clear" w:color="DBE5F1" w:themeColor="accent1" w:themeTint="34" w:fill="DBE5F1" w:themeFill="accent1" w:themeFillTint="34"/>
      </w:tcPr>
    </w:tblStylePr>
    <w:tblStylePr w:type="band2Horz">
      <w:rPr>
        <w:rFonts w:ascii="Arial" w:hAnsi="Arial"/>
        <w:color w:val="A6BFDD" w:themeColor="accent1" w:themeTint="80"/>
        <w:sz w:val="22"/>
      </w:rPr>
    </w:tblStylePr>
  </w:style>
  <w:style w:type="table" w:customStyle="1" w:styleId="101">
    <w:name w:val="Grid Table 6 Colorful - Accent 2"/>
    <w:qFormat/>
    <w:uiPriority w:val="99"/>
    <w:tblPr>
      <w:tblBorders>
        <w:top w:val="single" w:color="D99795" w:themeColor="accent2" w:themeTint="97" w:sz="4" w:space="0"/>
        <w:left w:val="single" w:color="D99795" w:themeColor="accent2" w:themeTint="97" w:sz="4" w:space="0"/>
        <w:bottom w:val="single" w:color="D99795" w:themeColor="accent2" w:themeTint="97" w:sz="4" w:space="0"/>
        <w:right w:val="single" w:color="D99795" w:themeColor="accent2" w:themeTint="97" w:sz="4" w:space="0"/>
        <w:insideH w:val="single" w:color="D99795" w:themeColor="accent2" w:themeTint="97" w:sz="4" w:space="0"/>
        <w:insideV w:val="single" w:color="D99795" w:themeColor="accent2" w:themeTint="97" w:sz="4" w:space="0"/>
      </w:tblBorders>
      <w:tblCellMar>
        <w:top w:w="0" w:type="dxa"/>
        <w:left w:w="0" w:type="dxa"/>
        <w:bottom w:w="0" w:type="dxa"/>
        <w:right w:w="0" w:type="dxa"/>
      </w:tblCellMar>
    </w:tblPr>
    <w:tblStylePr w:type="firstRow">
      <w:rPr>
        <w:b/>
        <w:color w:val="D99896" w:themeColor="accent2" w:themeTint="96"/>
      </w:rPr>
      <w:tcPr>
        <w:tcBorders>
          <w:bottom w:val="single" w:color="D99795" w:themeColor="accent2" w:themeTint="97" w:sz="12" w:space="0"/>
        </w:tcBorders>
      </w:tcPr>
    </w:tblStylePr>
    <w:tblStylePr w:type="lastRow">
      <w:rPr>
        <w:b/>
        <w:color w:val="D99896" w:themeColor="accent2" w:themeTint="96"/>
      </w:rPr>
    </w:tblStylePr>
    <w:tblStylePr w:type="firstCol">
      <w:rPr>
        <w:b/>
        <w:color w:val="D99896" w:themeColor="accent2" w:themeTint="96"/>
      </w:rPr>
    </w:tblStylePr>
    <w:tblStylePr w:type="lastCol">
      <w:rPr>
        <w:b/>
        <w:color w:val="D99896" w:themeColor="accent2" w:themeTint="96"/>
      </w:rPr>
    </w:tblStylePr>
    <w:tblStylePr w:type="band1Vert">
      <w:tcPr>
        <w:shd w:val="clear" w:color="F2DCDC" w:themeColor="accent2" w:themeTint="32" w:fill="F2DCDC" w:themeFill="accent2" w:themeFillTint="32"/>
      </w:tcPr>
    </w:tblStylePr>
    <w:tblStylePr w:type="band1Horz">
      <w:rPr>
        <w:rFonts w:ascii="Arial" w:hAnsi="Arial"/>
        <w:color w:val="D99896" w:themeColor="accent2" w:themeTint="96"/>
        <w:sz w:val="22"/>
      </w:rPr>
      <w:tcPr>
        <w:shd w:val="clear" w:color="F2DCDC" w:themeColor="accent2" w:themeTint="32" w:fill="F2DCDC" w:themeFill="accent2" w:themeFillTint="32"/>
      </w:tcPr>
    </w:tblStylePr>
    <w:tblStylePr w:type="band2Horz">
      <w:rPr>
        <w:rFonts w:ascii="Arial" w:hAnsi="Arial"/>
        <w:color w:val="D99896" w:themeColor="accent2" w:themeTint="96"/>
        <w:sz w:val="22"/>
      </w:rPr>
    </w:tblStylePr>
  </w:style>
  <w:style w:type="table" w:customStyle="1" w:styleId="102">
    <w:name w:val="Grid Table 6 Colorful - Accent 3"/>
    <w:qFormat/>
    <w:uiPriority w:val="99"/>
    <w:tblPr>
      <w:tblBorders>
        <w:top w:val="single" w:color="9BBB59" w:themeColor="accent3" w:themeTint="FE" w:sz="4" w:space="0"/>
        <w:left w:val="single" w:color="9BBB59" w:themeColor="accent3" w:themeTint="FE" w:sz="4" w:space="0"/>
        <w:bottom w:val="single" w:color="9BBB59" w:themeColor="accent3" w:themeTint="FE" w:sz="4" w:space="0"/>
        <w:right w:val="single" w:color="9BBB59" w:themeColor="accent3" w:themeTint="FE" w:sz="4" w:space="0"/>
        <w:insideH w:val="single" w:color="9BBB59" w:themeColor="accent3" w:themeTint="FE" w:sz="4" w:space="0"/>
        <w:insideV w:val="single" w:color="9BBB59" w:themeColor="accent3" w:themeTint="FE" w:sz="4" w:space="0"/>
      </w:tblBorders>
      <w:tblCellMar>
        <w:top w:w="0" w:type="dxa"/>
        <w:left w:w="0" w:type="dxa"/>
        <w:bottom w:w="0" w:type="dxa"/>
        <w:right w:w="0" w:type="dxa"/>
      </w:tblCellMar>
    </w:tblPr>
    <w:tblStylePr w:type="firstRow">
      <w:rPr>
        <w:b/>
        <w:color w:val="9BBB59" w:themeColor="accent3"/>
      </w:rPr>
      <w:tcPr>
        <w:tcBorders>
          <w:bottom w:val="single" w:color="9BBB59" w:themeColor="accent3" w:themeTint="FE" w:sz="12" w:space="0"/>
        </w:tcBorders>
      </w:tcPr>
    </w:tblStylePr>
    <w:tblStylePr w:type="lastRow">
      <w:rPr>
        <w:b/>
        <w:color w:val="9BBB59" w:themeColor="accent3"/>
      </w:rPr>
    </w:tblStylePr>
    <w:tblStylePr w:type="firstCol">
      <w:rPr>
        <w:b/>
        <w:color w:val="9BBB59" w:themeColor="accent3"/>
      </w:rPr>
    </w:tblStylePr>
    <w:tblStylePr w:type="lastCol">
      <w:rPr>
        <w:b/>
        <w:color w:val="9BBB59" w:themeColor="accent3"/>
      </w:rPr>
    </w:tblStylePr>
    <w:tblStylePr w:type="band1Vert">
      <w:tcPr>
        <w:shd w:val="clear" w:color="EAF1DD" w:themeColor="accent3" w:themeTint="34" w:fill="EAF1DD" w:themeFill="accent3" w:themeFillTint="34"/>
      </w:tcPr>
    </w:tblStylePr>
    <w:tblStylePr w:type="band1Horz">
      <w:rPr>
        <w:rFonts w:ascii="Arial" w:hAnsi="Arial"/>
        <w:color w:val="9BBB59" w:themeColor="accent3"/>
        <w:sz w:val="22"/>
      </w:rPr>
      <w:tcPr>
        <w:shd w:val="clear" w:color="EAF1DD" w:themeColor="accent3" w:themeTint="34" w:fill="EAF1DD" w:themeFill="accent3" w:themeFillTint="34"/>
      </w:tcPr>
    </w:tblStylePr>
    <w:tblStylePr w:type="band2Horz">
      <w:rPr>
        <w:rFonts w:ascii="Arial" w:hAnsi="Arial"/>
        <w:color w:val="9BBB59" w:themeColor="accent3"/>
        <w:sz w:val="22"/>
      </w:rPr>
    </w:tblStylePr>
  </w:style>
  <w:style w:type="table" w:customStyle="1" w:styleId="103">
    <w:name w:val="Grid Table 6 Colorful - Accent 4"/>
    <w:qFormat/>
    <w:uiPriority w:val="99"/>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b/>
        <w:color w:val="B2A1C7" w:themeColor="accent4" w:themeTint="99"/>
      </w:rPr>
      <w:tcPr>
        <w:tcBorders>
          <w:bottom w:val="single" w:color="B2A1C6" w:themeColor="accent4" w:themeTint="9A" w:sz="12" w:space="0"/>
        </w:tcBorders>
      </w:tcPr>
    </w:tblStylePr>
    <w:tblStylePr w:type="lastRow">
      <w:rPr>
        <w:b/>
        <w:color w:val="B2A1C7" w:themeColor="accent4" w:themeTint="99"/>
      </w:rPr>
    </w:tblStylePr>
    <w:tblStylePr w:type="firstCol">
      <w:rPr>
        <w:b/>
        <w:color w:val="B2A1C7" w:themeColor="accent4" w:themeTint="99"/>
      </w:rPr>
    </w:tblStylePr>
    <w:tblStylePr w:type="lastCol">
      <w:rPr>
        <w:b/>
        <w:color w:val="B2A1C7" w:themeColor="accent4" w:themeTint="99"/>
      </w:rPr>
    </w:tblStylePr>
    <w:tblStylePr w:type="band1Vert">
      <w:tcPr>
        <w:shd w:val="clear" w:color="E5DFEC" w:themeColor="accent4" w:themeTint="34" w:fill="E5DFEC" w:themeFill="accent4" w:themeFillTint="34"/>
      </w:tcPr>
    </w:tblStylePr>
    <w:tblStylePr w:type="band1Horz">
      <w:rPr>
        <w:rFonts w:ascii="Arial" w:hAnsi="Arial"/>
        <w:color w:val="B2A1C7" w:themeColor="accent4" w:themeTint="99"/>
        <w:sz w:val="22"/>
      </w:r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104">
    <w:name w:val="Grid Table 6 Colorful - Accent 5"/>
    <w:qFormat/>
    <w:uiPriority w:val="99"/>
    <w:tblPr>
      <w:tblBorders>
        <w:top w:val="single" w:color="4BACC6" w:themeColor="accent5" w:sz="4" w:space="0"/>
        <w:left w:val="single" w:color="4BACC6" w:themeColor="accent5" w:sz="4" w:space="0"/>
        <w:bottom w:val="single" w:color="4BACC6" w:themeColor="accent5" w:sz="4" w:space="0"/>
        <w:right w:val="single" w:color="4BACC6" w:themeColor="accent5" w:sz="4" w:space="0"/>
        <w:insideH w:val="single" w:color="4BACC6" w:themeColor="accent5" w:sz="4" w:space="0"/>
        <w:insideV w:val="single" w:color="4BACC6" w:themeColor="accent5" w:sz="4" w:space="0"/>
      </w:tblBorders>
      <w:tblCellMar>
        <w:top w:w="0" w:type="dxa"/>
        <w:left w:w="0" w:type="dxa"/>
        <w:bottom w:w="0" w:type="dxa"/>
        <w:right w:w="0" w:type="dxa"/>
      </w:tblCellMar>
    </w:tblPr>
    <w:tblStylePr w:type="firstRow">
      <w:rPr>
        <w:b/>
        <w:color w:val="266678" w:themeColor="accent5" w:themeShade="94"/>
      </w:rPr>
      <w:tcPr>
        <w:tcBorders>
          <w:bottom w:val="single" w:color="4BACC6" w:themeColor="accent5" w:sz="12" w:space="0"/>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cPr>
        <w:shd w:val="clear" w:color="DAEEF3" w:themeColor="accent5" w:themeTint="34" w:fill="DAEEF3" w:themeFill="accent5" w:themeFillTint="34"/>
      </w:tcPr>
    </w:tblStylePr>
    <w:tblStylePr w:type="band1Horz">
      <w:rPr>
        <w:rFonts w:ascii="Arial" w:hAnsi="Arial"/>
        <w:color w:val="266678" w:themeColor="accent5" w:themeShade="94"/>
        <w:sz w:val="22"/>
      </w:r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105">
    <w:name w:val="Grid Table 6 Colorful - Accent 6"/>
    <w:qFormat/>
    <w:uiPriority w:val="99"/>
    <w:tblPr>
      <w:tblBorders>
        <w:top w:val="single" w:color="F79646" w:themeColor="accent6" w:sz="4" w:space="0"/>
        <w:left w:val="single" w:color="F79646" w:themeColor="accent6" w:sz="4" w:space="0"/>
        <w:bottom w:val="single" w:color="F79646" w:themeColor="accent6" w:sz="4" w:space="0"/>
        <w:right w:val="single" w:color="F79646" w:themeColor="accent6" w:sz="4" w:space="0"/>
        <w:insideH w:val="single" w:color="F79646" w:themeColor="accent6" w:sz="4" w:space="0"/>
        <w:insideV w:val="single" w:color="F79646" w:themeColor="accent6" w:sz="4" w:space="0"/>
      </w:tblBorders>
      <w:tblCellMar>
        <w:top w:w="0" w:type="dxa"/>
        <w:left w:w="0" w:type="dxa"/>
        <w:bottom w:w="0" w:type="dxa"/>
        <w:right w:w="0" w:type="dxa"/>
      </w:tblCellMar>
    </w:tblPr>
    <w:tblStylePr w:type="firstRow">
      <w:rPr>
        <w:b/>
        <w:color w:val="266678" w:themeColor="accent5" w:themeShade="94"/>
      </w:rPr>
      <w:tcPr>
        <w:tcBorders>
          <w:bottom w:val="single" w:color="F79646" w:themeColor="accent6" w:sz="12" w:space="0"/>
        </w:tcBorders>
      </w:tcPr>
    </w:tblStylePr>
    <w:tblStylePr w:type="lastRow">
      <w:rPr>
        <w:b/>
        <w:color w:val="266678" w:themeColor="accent5" w:themeShade="94"/>
      </w:rPr>
    </w:tblStylePr>
    <w:tblStylePr w:type="firstCol">
      <w:rPr>
        <w:b/>
        <w:color w:val="266678" w:themeColor="accent5" w:themeShade="94"/>
      </w:rPr>
    </w:tblStylePr>
    <w:tblStylePr w:type="lastCol">
      <w:rPr>
        <w:b/>
        <w:color w:val="266678" w:themeColor="accent5" w:themeShade="94"/>
      </w:rPr>
    </w:tblStylePr>
    <w:tblStylePr w:type="band1Vert">
      <w:tcPr>
        <w:shd w:val="clear" w:color="FDE9D9" w:themeColor="accent6" w:themeTint="34" w:fill="FDE9D9" w:themeFill="accent6" w:themeFillTint="34"/>
      </w:tcPr>
    </w:tblStylePr>
    <w:tblStylePr w:type="band1Horz">
      <w:rPr>
        <w:rFonts w:ascii="Arial" w:hAnsi="Arial"/>
        <w:color w:val="266678" w:themeColor="accent5" w:themeShade="94"/>
        <w:sz w:val="22"/>
      </w:rPr>
      <w:tcPr>
        <w:shd w:val="clear" w:color="FDE9D9" w:themeColor="accent6" w:themeTint="34" w:fill="FDE9D9" w:themeFill="accent6" w:themeFillTint="34"/>
      </w:tcPr>
    </w:tblStylePr>
    <w:tblStylePr w:type="band2Horz">
      <w:rPr>
        <w:rFonts w:ascii="Arial" w:hAnsi="Arial"/>
        <w:color w:val="266678" w:themeColor="accent5" w:themeShade="94"/>
        <w:sz w:val="22"/>
      </w:rPr>
    </w:tblStylePr>
  </w:style>
  <w:style w:type="table" w:customStyle="1" w:styleId="106">
    <w:name w:val="Grid Table 7 Colorful"/>
    <w:qFormat/>
    <w:uiPriority w:val="99"/>
    <w:tblPr>
      <w:tblBorders>
        <w:bottom w:val="single" w:color="7E7E7E" w:themeColor="text1" w:themeTint="80" w:sz="4" w:space="0"/>
        <w:right w:val="single" w:color="7E7E7E" w:themeColor="text1" w:themeTint="80" w:sz="4" w:space="0"/>
        <w:insideH w:val="single" w:color="7E7E7E" w:themeColor="text1" w:themeTint="80" w:sz="4" w:space="0"/>
        <w:insideV w:val="single" w:color="7E7E7E" w:themeColor="text1" w:themeTint="80" w:sz="4" w:space="0"/>
      </w:tblBorders>
      <w:tblCellMar>
        <w:top w:w="0" w:type="dxa"/>
        <w:left w:w="0" w:type="dxa"/>
        <w:bottom w:w="0" w:type="dxa"/>
        <w:right w:w="0" w:type="dxa"/>
      </w:tblCellMar>
    </w:tblPr>
    <w:tblStylePr w:type="firstRow">
      <w:rPr>
        <w:rFonts w:ascii="Arial" w:hAnsi="Arial"/>
        <w:b/>
        <w:color w:val="7E7E7E" w:themeColor="text1" w:themeTint="80"/>
        <w:sz w:val="22"/>
      </w:rPr>
      <w:tcPr>
        <w:tcBorders>
          <w:top w:val="nil"/>
          <w:left w:val="nil"/>
          <w:bottom w:val="single" w:color="7E7E7E" w:themeColor="text1" w:themeTint="80" w:sz="4" w:space="0"/>
          <w:right w:val="nil"/>
        </w:tcBorders>
        <w:shd w:val="clear" w:color="FFFFFF" w:themeColor="light1" w:fill="FFFFFF" w:themeFill="light1"/>
      </w:tcPr>
    </w:tblStylePr>
    <w:tblStylePr w:type="lastRow">
      <w:rPr>
        <w:rFonts w:ascii="Arial" w:hAnsi="Arial"/>
        <w:b/>
        <w:color w:val="7E7E7E" w:themeColor="text1" w:themeTint="80"/>
        <w:sz w:val="22"/>
      </w:rPr>
      <w:tcPr>
        <w:tcBorders>
          <w:top w:val="single" w:color="7E7E7E" w:themeColor="text1" w:themeTint="80" w:sz="4" w:space="0"/>
          <w:left w:val="nil"/>
          <w:bottom w:val="nil"/>
          <w:right w:val="nil"/>
        </w:tcBorders>
        <w:shd w:val="clear" w:color="FFFFFF" w:themeColor="light1" w:fill="FFFFFF" w:themeFill="light1"/>
      </w:tcPr>
    </w:tblStylePr>
    <w:tblStylePr w:type="firstCol">
      <w:pPr>
        <w:jc w:val="right"/>
      </w:pPr>
      <w:rPr>
        <w:rFonts w:ascii="Arial" w:hAnsi="Arial"/>
        <w:i/>
        <w:color w:val="7E7E7E" w:themeColor="text1" w:themeTint="80"/>
        <w:sz w:val="22"/>
      </w:rPr>
      <w:tcPr>
        <w:tcBorders>
          <w:top w:val="nil"/>
          <w:left w:val="nil"/>
          <w:bottom w:val="nil"/>
          <w:right w:val="single" w:color="7E7E7E" w:themeColor="text1" w:themeTint="80" w:sz="4" w:space="0"/>
        </w:tcBorders>
        <w:shd w:val="clear" w:color="FFFFFF" w:fill="auto"/>
      </w:tcPr>
    </w:tblStylePr>
    <w:tblStylePr w:type="lastCol">
      <w:rPr>
        <w:rFonts w:ascii="Arial" w:hAnsi="Arial"/>
        <w:i/>
        <w:color w:val="7E7E7E" w:themeColor="text1" w:themeTint="80"/>
        <w:sz w:val="22"/>
      </w:rPr>
      <w:tcPr>
        <w:tcBorders>
          <w:top w:val="nil"/>
          <w:left w:val="single" w:color="7E7E7E" w:themeColor="text1" w:themeTint="80" w:sz="4" w:space="0"/>
          <w:bottom w:val="nil"/>
          <w:right w:val="nil"/>
        </w:tcBorders>
        <w:shd w:val="clear" w:color="FFFFFF" w:fill="auto"/>
      </w:tcPr>
    </w:tblStylePr>
    <w:tblStylePr w:type="band1Vert">
      <w:tcPr>
        <w:shd w:val="clear" w:color="F1F1F1" w:themeColor="text1" w:themeTint="0D" w:fill="F1F1F1" w:themeFill="text1" w:themeFillTint="0D"/>
      </w:tcPr>
    </w:tblStylePr>
    <w:tblStylePr w:type="band1Horz">
      <w:rPr>
        <w:rFonts w:ascii="Arial" w:hAnsi="Arial"/>
        <w:color w:val="7E7E7E" w:themeColor="text1" w:themeTint="80"/>
        <w:sz w:val="22"/>
      </w:rPr>
      <w:tcPr>
        <w:shd w:val="clear" w:color="F1F1F1" w:themeColor="text1" w:themeTint="0D" w:fill="F1F1F1" w:themeFill="text1" w:themeFillTint="0D"/>
      </w:tcPr>
    </w:tblStylePr>
    <w:tblStylePr w:type="band2Horz">
      <w:rPr>
        <w:rFonts w:ascii="Arial" w:hAnsi="Arial"/>
        <w:color w:val="7E7E7E" w:themeColor="text1" w:themeTint="80"/>
        <w:sz w:val="22"/>
      </w:rPr>
    </w:tblStylePr>
  </w:style>
  <w:style w:type="table" w:customStyle="1" w:styleId="107">
    <w:name w:val="Grid Table 7 Colorful - Accent 1"/>
    <w:qFormat/>
    <w:uiPriority w:val="99"/>
    <w:tblPr>
      <w:tblBorders>
        <w:bottom w:val="single" w:color="A6BFDD" w:themeColor="accent1" w:themeTint="80" w:sz="4" w:space="0"/>
        <w:right w:val="single" w:color="A6BFDD" w:themeColor="accent1" w:themeTint="80" w:sz="4" w:space="0"/>
        <w:insideH w:val="single" w:color="A6BFDD" w:themeColor="accent1" w:themeTint="80" w:sz="4" w:space="0"/>
        <w:insideV w:val="single" w:color="A6BFDD" w:themeColor="accent1" w:themeTint="80" w:sz="4" w:space="0"/>
      </w:tblBorders>
      <w:tblCellMar>
        <w:top w:w="0" w:type="dxa"/>
        <w:left w:w="0" w:type="dxa"/>
        <w:bottom w:w="0" w:type="dxa"/>
        <w:right w:w="0" w:type="dxa"/>
      </w:tblCellMar>
    </w:tblPr>
    <w:tblStylePr w:type="firstRow">
      <w:rPr>
        <w:rFonts w:ascii="Arial" w:hAnsi="Arial"/>
        <w:b/>
        <w:color w:val="A6BFDD" w:themeColor="accent1" w:themeTint="80"/>
        <w:sz w:val="22"/>
      </w:rPr>
      <w:tcPr>
        <w:tcBorders>
          <w:top w:val="nil"/>
          <w:left w:val="nil"/>
          <w:bottom w:val="single" w:color="A6BFDD" w:themeColor="accent1" w:themeTint="80" w:sz="4" w:space="0"/>
          <w:right w:val="nil"/>
        </w:tcBorders>
        <w:shd w:val="clear" w:color="FFFFFF" w:themeColor="light1" w:fill="FFFFFF" w:themeFill="light1"/>
      </w:tcPr>
    </w:tblStylePr>
    <w:tblStylePr w:type="lastRow">
      <w:rPr>
        <w:rFonts w:ascii="Arial" w:hAnsi="Arial"/>
        <w:b/>
        <w:color w:val="A6BFDD" w:themeColor="accent1" w:themeTint="80"/>
        <w:sz w:val="22"/>
      </w:rPr>
      <w:tcPr>
        <w:tcBorders>
          <w:top w:val="single" w:color="A6BFDD" w:themeColor="accent1" w:themeTint="80" w:sz="4" w:space="0"/>
          <w:left w:val="nil"/>
          <w:bottom w:val="nil"/>
          <w:right w:val="nil"/>
        </w:tcBorders>
        <w:shd w:val="clear" w:color="FFFFFF" w:themeColor="light1" w:fill="FFFFFF" w:themeFill="light1"/>
      </w:tcPr>
    </w:tblStylePr>
    <w:tblStylePr w:type="firstCol">
      <w:pPr>
        <w:jc w:val="right"/>
      </w:pPr>
      <w:rPr>
        <w:rFonts w:ascii="Arial" w:hAnsi="Arial"/>
        <w:i/>
        <w:color w:val="A6BFDD" w:themeColor="accent1" w:themeTint="80"/>
        <w:sz w:val="22"/>
      </w:rPr>
      <w:tcPr>
        <w:tcBorders>
          <w:top w:val="nil"/>
          <w:left w:val="nil"/>
          <w:bottom w:val="nil"/>
          <w:right w:val="single" w:color="A6BFDD" w:themeColor="accent1" w:themeTint="80" w:sz="4" w:space="0"/>
        </w:tcBorders>
        <w:shd w:val="clear" w:color="FFFFFF" w:fill="auto"/>
      </w:tcPr>
    </w:tblStylePr>
    <w:tblStylePr w:type="lastCol">
      <w:rPr>
        <w:rFonts w:ascii="Arial" w:hAnsi="Arial"/>
        <w:i/>
        <w:color w:val="A6BFDD" w:themeColor="accent1" w:themeTint="80"/>
        <w:sz w:val="22"/>
      </w:rPr>
      <w:tcPr>
        <w:tcBorders>
          <w:top w:val="nil"/>
          <w:left w:val="single" w:color="A6BFDD" w:themeColor="accent1" w:themeTint="80" w:sz="4" w:space="0"/>
          <w:bottom w:val="nil"/>
          <w:right w:val="nil"/>
        </w:tcBorders>
        <w:shd w:val="clear" w:color="FFFFFF" w:fill="auto"/>
      </w:tcPr>
    </w:tblStylePr>
    <w:tblStylePr w:type="band1Vert">
      <w:tcPr>
        <w:shd w:val="clear" w:color="DBE5F1" w:themeColor="accent1" w:themeTint="34" w:fill="DBE5F1" w:themeFill="accent1" w:themeFillTint="34"/>
      </w:tcPr>
    </w:tblStylePr>
    <w:tblStylePr w:type="band1Horz">
      <w:rPr>
        <w:rFonts w:ascii="Arial" w:hAnsi="Arial"/>
        <w:color w:val="A6BFDD" w:themeColor="accent1" w:themeTint="80"/>
        <w:sz w:val="22"/>
      </w:rPr>
      <w:tcPr>
        <w:shd w:val="clear" w:color="DBE5F1" w:themeColor="accent1" w:themeTint="34" w:fill="DBE5F1" w:themeFill="accent1" w:themeFillTint="34"/>
      </w:tcPr>
    </w:tblStylePr>
    <w:tblStylePr w:type="band2Horz">
      <w:rPr>
        <w:rFonts w:ascii="Arial" w:hAnsi="Arial"/>
        <w:color w:val="A6BFDD" w:themeColor="accent1" w:themeTint="80"/>
        <w:sz w:val="22"/>
      </w:rPr>
    </w:tblStylePr>
  </w:style>
  <w:style w:type="table" w:customStyle="1" w:styleId="108">
    <w:name w:val="Grid Table 7 Colorful - Accent 2"/>
    <w:qFormat/>
    <w:uiPriority w:val="99"/>
    <w:tblPr>
      <w:tblBorders>
        <w:bottom w:val="single" w:color="D99795" w:themeColor="accent2" w:themeTint="97" w:sz="4" w:space="0"/>
        <w:right w:val="single" w:color="D99795" w:themeColor="accent2" w:themeTint="97" w:sz="4" w:space="0"/>
        <w:insideH w:val="single" w:color="D99795" w:themeColor="accent2" w:themeTint="97" w:sz="4" w:space="0"/>
        <w:insideV w:val="single" w:color="D99795" w:themeColor="accent2" w:themeTint="97" w:sz="4" w:space="0"/>
      </w:tblBorders>
      <w:tblCellMar>
        <w:top w:w="0" w:type="dxa"/>
        <w:left w:w="0" w:type="dxa"/>
        <w:bottom w:w="0" w:type="dxa"/>
        <w:right w:w="0" w:type="dxa"/>
      </w:tblCellMar>
    </w:tblPr>
    <w:tblStylePr w:type="firstRow">
      <w:rPr>
        <w:rFonts w:ascii="Arial" w:hAnsi="Arial"/>
        <w:b/>
        <w:color w:val="D99896" w:themeColor="accent2" w:themeTint="96"/>
        <w:sz w:val="22"/>
      </w:rPr>
      <w:tcPr>
        <w:tcBorders>
          <w:top w:val="nil"/>
          <w:left w:val="nil"/>
          <w:bottom w:val="single" w:color="D99795" w:themeColor="accent2" w:themeTint="97" w:sz="4" w:space="0"/>
          <w:right w:val="nil"/>
        </w:tcBorders>
        <w:shd w:val="clear" w:color="FFFFFF" w:themeColor="light1" w:fill="FFFFFF" w:themeFill="light1"/>
      </w:tcPr>
    </w:tblStylePr>
    <w:tblStylePr w:type="lastRow">
      <w:rPr>
        <w:rFonts w:ascii="Arial" w:hAnsi="Arial"/>
        <w:b/>
        <w:color w:val="D99896" w:themeColor="accent2" w:themeTint="96"/>
        <w:sz w:val="22"/>
      </w:rPr>
      <w:tcPr>
        <w:tcBorders>
          <w:top w:val="single" w:color="D99795" w:themeColor="accent2" w:themeTint="97" w:sz="4" w:space="0"/>
          <w:left w:val="nil"/>
          <w:bottom w:val="nil"/>
          <w:right w:val="nil"/>
        </w:tcBorders>
        <w:shd w:val="clear" w:color="FFFFFF" w:themeColor="light1" w:fill="FFFFFF" w:themeFill="light1"/>
      </w:tcPr>
    </w:tblStylePr>
    <w:tblStylePr w:type="firstCol">
      <w:pPr>
        <w:jc w:val="right"/>
      </w:pPr>
      <w:rPr>
        <w:rFonts w:ascii="Arial" w:hAnsi="Arial"/>
        <w:i/>
        <w:color w:val="D99896" w:themeColor="accent2" w:themeTint="96"/>
        <w:sz w:val="22"/>
      </w:rPr>
      <w:tcPr>
        <w:tcBorders>
          <w:top w:val="nil"/>
          <w:left w:val="nil"/>
          <w:bottom w:val="nil"/>
          <w:right w:val="single" w:color="D99795" w:themeColor="accent2" w:themeTint="97" w:sz="4" w:space="0"/>
        </w:tcBorders>
        <w:shd w:val="clear" w:color="FFFFFF" w:fill="auto"/>
      </w:tcPr>
    </w:tblStylePr>
    <w:tblStylePr w:type="lastCol">
      <w:rPr>
        <w:rFonts w:ascii="Arial" w:hAnsi="Arial"/>
        <w:i/>
        <w:color w:val="D99896" w:themeColor="accent2" w:themeTint="96"/>
        <w:sz w:val="22"/>
      </w:rPr>
      <w:tcPr>
        <w:tcBorders>
          <w:top w:val="nil"/>
          <w:left w:val="single" w:color="D99795" w:themeColor="accent2" w:themeTint="97" w:sz="4" w:space="0"/>
          <w:bottom w:val="nil"/>
          <w:right w:val="nil"/>
        </w:tcBorders>
        <w:shd w:val="clear" w:color="FFFFFF" w:fill="auto"/>
      </w:tcPr>
    </w:tblStylePr>
    <w:tblStylePr w:type="band1Vert">
      <w:tcPr>
        <w:shd w:val="clear" w:color="F2DCDC" w:themeColor="accent2" w:themeTint="32" w:fill="F2DCDC" w:themeFill="accent2" w:themeFillTint="32"/>
      </w:tcPr>
    </w:tblStylePr>
    <w:tblStylePr w:type="band1Horz">
      <w:rPr>
        <w:rFonts w:ascii="Arial" w:hAnsi="Arial"/>
        <w:color w:val="D99896" w:themeColor="accent2" w:themeTint="96"/>
        <w:sz w:val="22"/>
      </w:rPr>
      <w:tcPr>
        <w:shd w:val="clear" w:color="F2DCDC" w:themeColor="accent2" w:themeTint="32" w:fill="F2DCDC" w:themeFill="accent2" w:themeFillTint="32"/>
      </w:tcPr>
    </w:tblStylePr>
    <w:tblStylePr w:type="band2Horz">
      <w:rPr>
        <w:rFonts w:ascii="Arial" w:hAnsi="Arial"/>
        <w:color w:val="D99896" w:themeColor="accent2" w:themeTint="96"/>
        <w:sz w:val="22"/>
      </w:rPr>
    </w:tblStylePr>
  </w:style>
  <w:style w:type="table" w:customStyle="1" w:styleId="109">
    <w:name w:val="Grid Table 7 Colorful - Accent 3"/>
    <w:qFormat/>
    <w:uiPriority w:val="99"/>
    <w:tblPr>
      <w:tblBorders>
        <w:bottom w:val="single" w:color="9BBB59" w:themeColor="accent3" w:themeTint="FE" w:sz="4" w:space="0"/>
        <w:right w:val="single" w:color="9BBB59" w:themeColor="accent3" w:themeTint="FE" w:sz="4" w:space="0"/>
        <w:insideH w:val="single" w:color="9BBB59" w:themeColor="accent3" w:themeTint="FE" w:sz="4" w:space="0"/>
        <w:insideV w:val="single" w:color="9BBB59" w:themeColor="accent3" w:themeTint="FE" w:sz="4" w:space="0"/>
      </w:tblBorders>
      <w:tblCellMar>
        <w:top w:w="0" w:type="dxa"/>
        <w:left w:w="0" w:type="dxa"/>
        <w:bottom w:w="0" w:type="dxa"/>
        <w:right w:w="0" w:type="dxa"/>
      </w:tblCellMar>
    </w:tblPr>
    <w:tblStylePr w:type="firstRow">
      <w:rPr>
        <w:rFonts w:ascii="Arial" w:hAnsi="Arial"/>
        <w:b/>
        <w:color w:val="9BBB59" w:themeColor="accent3"/>
        <w:sz w:val="22"/>
      </w:rPr>
      <w:tcPr>
        <w:tcBorders>
          <w:top w:val="nil"/>
          <w:left w:val="nil"/>
          <w:bottom w:val="single" w:color="9BBB59" w:themeColor="accent3" w:themeTint="FE" w:sz="4" w:space="0"/>
          <w:right w:val="nil"/>
        </w:tcBorders>
        <w:shd w:val="clear" w:color="FFFFFF" w:themeColor="light1" w:fill="FFFFFF" w:themeFill="light1"/>
      </w:tcPr>
    </w:tblStylePr>
    <w:tblStylePr w:type="lastRow">
      <w:rPr>
        <w:rFonts w:ascii="Arial" w:hAnsi="Arial"/>
        <w:b/>
        <w:color w:val="9BBB59" w:themeColor="accent3"/>
        <w:sz w:val="22"/>
      </w:rPr>
      <w:tcPr>
        <w:tcBorders>
          <w:top w:val="single" w:color="9BBB59" w:themeColor="accent3" w:themeTint="FE" w:sz="4" w:space="0"/>
          <w:left w:val="nil"/>
          <w:bottom w:val="nil"/>
          <w:right w:val="nil"/>
        </w:tcBorders>
        <w:shd w:val="clear" w:color="FFFFFF" w:themeColor="light1" w:fill="FFFFFF" w:themeFill="light1"/>
      </w:tcPr>
    </w:tblStylePr>
    <w:tblStylePr w:type="firstCol">
      <w:pPr>
        <w:jc w:val="right"/>
      </w:pPr>
      <w:rPr>
        <w:rFonts w:ascii="Arial" w:hAnsi="Arial"/>
        <w:i/>
        <w:color w:val="9BBB59" w:themeColor="accent3"/>
        <w:sz w:val="22"/>
      </w:rPr>
      <w:tcPr>
        <w:tcBorders>
          <w:top w:val="nil"/>
          <w:left w:val="nil"/>
          <w:bottom w:val="nil"/>
          <w:right w:val="single" w:color="9BBB59" w:themeColor="accent3" w:themeTint="FE" w:sz="4" w:space="0"/>
        </w:tcBorders>
        <w:shd w:val="clear" w:color="FFFFFF" w:fill="auto"/>
      </w:tcPr>
    </w:tblStylePr>
    <w:tblStylePr w:type="lastCol">
      <w:rPr>
        <w:rFonts w:ascii="Arial" w:hAnsi="Arial"/>
        <w:i/>
        <w:color w:val="9BBB59" w:themeColor="accent3"/>
        <w:sz w:val="22"/>
      </w:rPr>
      <w:tcPr>
        <w:tcBorders>
          <w:top w:val="nil"/>
          <w:left w:val="single" w:color="9BBB59" w:themeColor="accent3" w:themeTint="FE" w:sz="4" w:space="0"/>
          <w:bottom w:val="nil"/>
          <w:right w:val="nil"/>
        </w:tcBorders>
        <w:shd w:val="clear" w:color="FFFFFF" w:fill="auto"/>
      </w:tcPr>
    </w:tblStylePr>
    <w:tblStylePr w:type="band1Vert">
      <w:tcPr>
        <w:shd w:val="clear" w:color="EAF1DD" w:themeColor="accent3" w:themeTint="34" w:fill="EAF1DD" w:themeFill="accent3" w:themeFillTint="34"/>
      </w:tcPr>
    </w:tblStylePr>
    <w:tblStylePr w:type="band1Horz">
      <w:rPr>
        <w:rFonts w:ascii="Arial" w:hAnsi="Arial"/>
        <w:color w:val="9BBB59" w:themeColor="accent3"/>
        <w:sz w:val="22"/>
      </w:rPr>
      <w:tcPr>
        <w:shd w:val="clear" w:color="EAF1DD" w:themeColor="accent3" w:themeTint="34" w:fill="EAF1DD" w:themeFill="accent3" w:themeFillTint="34"/>
      </w:tcPr>
    </w:tblStylePr>
    <w:tblStylePr w:type="band2Horz">
      <w:rPr>
        <w:rFonts w:ascii="Arial" w:hAnsi="Arial"/>
        <w:color w:val="9BBB59" w:themeColor="accent3"/>
        <w:sz w:val="22"/>
      </w:rPr>
    </w:tblStylePr>
  </w:style>
  <w:style w:type="table" w:customStyle="1" w:styleId="110">
    <w:name w:val="Grid Table 7 Colorful - Accent 4"/>
    <w:qFormat/>
    <w:uiPriority w:val="99"/>
    <w:tblPr>
      <w:tblBorders>
        <w:bottom w:val="single" w:color="B2A1C6" w:themeColor="accent4" w:themeTint="9A" w:sz="4" w:space="0"/>
        <w:right w:val="single" w:color="B2A1C6" w:themeColor="accent4" w:themeTint="9A" w:sz="4" w:space="0"/>
        <w:insideH w:val="single" w:color="B2A1C6" w:themeColor="accent4" w:themeTint="9A" w:sz="4" w:space="0"/>
        <w:insideV w:val="single" w:color="B2A1C6" w:themeColor="accent4" w:themeTint="9A" w:sz="4" w:space="0"/>
      </w:tblBorders>
      <w:tblCellMar>
        <w:top w:w="0" w:type="dxa"/>
        <w:left w:w="0" w:type="dxa"/>
        <w:bottom w:w="0" w:type="dxa"/>
        <w:right w:w="0" w:type="dxa"/>
      </w:tblCellMar>
    </w:tblPr>
    <w:tblStylePr w:type="firstRow">
      <w:rPr>
        <w:rFonts w:ascii="Arial" w:hAnsi="Arial"/>
        <w:b/>
        <w:color w:val="B2A1C7" w:themeColor="accent4" w:themeTint="99"/>
        <w:sz w:val="22"/>
      </w:rPr>
      <w:tcPr>
        <w:tcBorders>
          <w:top w:val="nil"/>
          <w:left w:val="nil"/>
          <w:bottom w:val="single" w:color="B2A1C6" w:themeColor="accent4" w:themeTint="9A" w:sz="4" w:space="0"/>
          <w:right w:val="nil"/>
        </w:tcBorders>
        <w:shd w:val="clear" w:color="FFFFFF" w:themeColor="light1" w:fill="FFFFFF" w:themeFill="light1"/>
      </w:tcPr>
    </w:tblStylePr>
    <w:tblStylePr w:type="lastRow">
      <w:rPr>
        <w:rFonts w:ascii="Arial" w:hAnsi="Arial"/>
        <w:b/>
        <w:color w:val="B2A1C7" w:themeColor="accent4" w:themeTint="99"/>
        <w:sz w:val="22"/>
      </w:rPr>
      <w:tcPr>
        <w:tcBorders>
          <w:top w:val="single" w:color="B2A1C6" w:themeColor="accent4" w:themeTint="9A" w:sz="4" w:space="0"/>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cPr>
        <w:tcBorders>
          <w:top w:val="nil"/>
          <w:left w:val="nil"/>
          <w:bottom w:val="nil"/>
          <w:right w:val="single" w:color="B2A1C6" w:themeColor="accent4" w:themeTint="9A" w:sz="4" w:space="0"/>
        </w:tcBorders>
        <w:shd w:val="clear" w:color="FFFFFF" w:fill="auto"/>
      </w:tcPr>
    </w:tblStylePr>
    <w:tblStylePr w:type="lastCol">
      <w:rPr>
        <w:rFonts w:ascii="Arial" w:hAnsi="Arial"/>
        <w:i/>
        <w:color w:val="B2A1C7" w:themeColor="accent4" w:themeTint="99"/>
        <w:sz w:val="22"/>
      </w:rPr>
      <w:tcPr>
        <w:tcBorders>
          <w:top w:val="nil"/>
          <w:left w:val="single" w:color="B2A1C6" w:themeColor="accent4" w:themeTint="9A" w:sz="4" w:space="0"/>
          <w:bottom w:val="nil"/>
          <w:right w:val="nil"/>
        </w:tcBorders>
        <w:shd w:val="clear" w:color="FFFFFF" w:fill="auto"/>
      </w:tcPr>
    </w:tblStylePr>
    <w:tblStylePr w:type="band1Vert">
      <w:tcPr>
        <w:shd w:val="clear" w:color="E5DFEC" w:themeColor="accent4" w:themeTint="34" w:fill="E5DFEC" w:themeFill="accent4" w:themeFillTint="34"/>
      </w:tcPr>
    </w:tblStylePr>
    <w:tblStylePr w:type="band1Horz">
      <w:rPr>
        <w:rFonts w:ascii="Arial" w:hAnsi="Arial"/>
        <w:color w:val="B2A1C7" w:themeColor="accent4" w:themeTint="99"/>
        <w:sz w:val="22"/>
      </w:rPr>
      <w:tcPr>
        <w:shd w:val="clear" w:color="E5DFEC" w:themeColor="accent4" w:themeTint="34" w:fill="E5DFEC" w:themeFill="accent4" w:themeFillTint="34"/>
      </w:tcPr>
    </w:tblStylePr>
    <w:tblStylePr w:type="band2Horz">
      <w:rPr>
        <w:rFonts w:ascii="Arial" w:hAnsi="Arial"/>
        <w:color w:val="B2A1C7" w:themeColor="accent4" w:themeTint="99"/>
        <w:sz w:val="22"/>
      </w:rPr>
    </w:tblStylePr>
  </w:style>
  <w:style w:type="table" w:customStyle="1" w:styleId="111">
    <w:name w:val="Grid Table 7 Colorful - Accent 5"/>
    <w:qFormat/>
    <w:uiPriority w:val="99"/>
    <w:tblPr>
      <w:tblBorders>
        <w:bottom w:val="single" w:color="99D0DE" w:themeColor="accent5" w:themeTint="90" w:sz="4" w:space="0"/>
        <w:right w:val="single" w:color="99D0DE" w:themeColor="accent5" w:themeTint="90" w:sz="4" w:space="0"/>
        <w:insideH w:val="single" w:color="99D0DE" w:themeColor="accent5" w:themeTint="90" w:sz="4" w:space="0"/>
        <w:insideV w:val="single" w:color="99D0DE" w:themeColor="accent5" w:themeTint="90" w:sz="4" w:space="0"/>
      </w:tblBorders>
      <w:tblCellMar>
        <w:top w:w="0" w:type="dxa"/>
        <w:left w:w="0" w:type="dxa"/>
        <w:bottom w:w="0" w:type="dxa"/>
        <w:right w:w="0" w:type="dxa"/>
      </w:tblCellMar>
    </w:tblPr>
    <w:tblStylePr w:type="firstRow">
      <w:rPr>
        <w:rFonts w:ascii="Arial" w:hAnsi="Arial"/>
        <w:b/>
        <w:color w:val="266678" w:themeColor="accent5" w:themeShade="94"/>
        <w:sz w:val="22"/>
      </w:rPr>
      <w:tcPr>
        <w:tcBorders>
          <w:top w:val="nil"/>
          <w:left w:val="nil"/>
          <w:bottom w:val="single" w:color="99D0DE" w:themeColor="accent5" w:themeTint="90" w:sz="4" w:space="0"/>
          <w:right w:val="nil"/>
        </w:tcBorders>
        <w:shd w:val="clear" w:color="FFFFFF" w:themeColor="light1" w:fill="FFFFFF" w:themeFill="light1"/>
      </w:tcPr>
    </w:tblStylePr>
    <w:tblStylePr w:type="lastRow">
      <w:rPr>
        <w:rFonts w:ascii="Arial" w:hAnsi="Arial"/>
        <w:b/>
        <w:color w:val="266678" w:themeColor="accent5" w:themeShade="94"/>
        <w:sz w:val="22"/>
      </w:rPr>
      <w:tcPr>
        <w:tcBorders>
          <w:top w:val="single" w:color="99D0DE" w:themeColor="accent5" w:themeTint="90" w:sz="4" w:space="0"/>
          <w:left w:val="nil"/>
          <w:bottom w:val="nil"/>
          <w:right w:val="nil"/>
        </w:tcBorders>
        <w:shd w:val="clear" w:color="FFFFFF" w:themeColor="light1" w:fill="FFFFFF" w:themeFill="light1"/>
      </w:tcPr>
    </w:tblStylePr>
    <w:tblStylePr w:type="firstCol">
      <w:pPr>
        <w:jc w:val="right"/>
      </w:pPr>
      <w:rPr>
        <w:rFonts w:ascii="Arial" w:hAnsi="Arial"/>
        <w:i/>
        <w:color w:val="266678" w:themeColor="accent5" w:themeShade="94"/>
        <w:sz w:val="22"/>
      </w:rPr>
      <w:tcPr>
        <w:tcBorders>
          <w:top w:val="nil"/>
          <w:left w:val="nil"/>
          <w:bottom w:val="nil"/>
          <w:right w:val="single" w:color="99D0DE" w:themeColor="accent5" w:themeTint="90" w:sz="4" w:space="0"/>
        </w:tcBorders>
        <w:shd w:val="clear" w:color="FFFFFF" w:fill="auto"/>
      </w:tcPr>
    </w:tblStylePr>
    <w:tblStylePr w:type="lastCol">
      <w:rPr>
        <w:rFonts w:ascii="Arial" w:hAnsi="Arial"/>
        <w:i/>
        <w:color w:val="266678" w:themeColor="accent5" w:themeShade="94"/>
        <w:sz w:val="22"/>
      </w:rPr>
      <w:tcPr>
        <w:tcBorders>
          <w:top w:val="nil"/>
          <w:left w:val="single" w:color="99D0DE" w:themeColor="accent5" w:themeTint="90" w:sz="4" w:space="0"/>
          <w:bottom w:val="nil"/>
          <w:right w:val="nil"/>
        </w:tcBorders>
        <w:shd w:val="clear" w:color="FFFFFF" w:fill="auto"/>
      </w:tcPr>
    </w:tblStylePr>
    <w:tblStylePr w:type="band1Vert">
      <w:tcPr>
        <w:shd w:val="clear" w:color="DAEEF3" w:themeColor="accent5" w:themeTint="34" w:fill="DAEEF3" w:themeFill="accent5" w:themeFillTint="34"/>
      </w:tcPr>
    </w:tblStylePr>
    <w:tblStylePr w:type="band1Horz">
      <w:rPr>
        <w:rFonts w:ascii="Arial" w:hAnsi="Arial"/>
        <w:color w:val="266678" w:themeColor="accent5" w:themeShade="94"/>
        <w:sz w:val="22"/>
      </w:rPr>
      <w:tcPr>
        <w:shd w:val="clear" w:color="DAEEF3" w:themeColor="accent5" w:themeTint="34" w:fill="DAEEF3" w:themeFill="accent5" w:themeFillTint="34"/>
      </w:tcPr>
    </w:tblStylePr>
    <w:tblStylePr w:type="band2Horz">
      <w:rPr>
        <w:rFonts w:ascii="Arial" w:hAnsi="Arial"/>
        <w:color w:val="266678" w:themeColor="accent5" w:themeShade="94"/>
        <w:sz w:val="22"/>
      </w:rPr>
    </w:tblStylePr>
  </w:style>
  <w:style w:type="table" w:customStyle="1" w:styleId="112">
    <w:name w:val="Grid Table 7 Colorful - Accent 6"/>
    <w:qFormat/>
    <w:uiPriority w:val="99"/>
    <w:tblPr>
      <w:tblBorders>
        <w:bottom w:val="single" w:color="FAC396" w:themeColor="accent6" w:themeTint="90" w:sz="4" w:space="0"/>
        <w:right w:val="single" w:color="FAC396" w:themeColor="accent6" w:themeTint="90" w:sz="4" w:space="0"/>
        <w:insideH w:val="single" w:color="FAC396" w:themeColor="accent6" w:themeTint="90" w:sz="4" w:space="0"/>
        <w:insideV w:val="single" w:color="FAC396" w:themeColor="accent6" w:themeTint="90" w:sz="4" w:space="0"/>
      </w:tblBorders>
      <w:tblCellMar>
        <w:top w:w="0" w:type="dxa"/>
        <w:left w:w="0" w:type="dxa"/>
        <w:bottom w:w="0" w:type="dxa"/>
        <w:right w:w="0" w:type="dxa"/>
      </w:tblCellMar>
    </w:tblPr>
    <w:tblStylePr w:type="firstRow">
      <w:rPr>
        <w:rFonts w:ascii="Arial" w:hAnsi="Arial"/>
        <w:b/>
        <w:color w:val="B05307" w:themeColor="accent6" w:themeShade="94"/>
        <w:sz w:val="22"/>
      </w:rPr>
      <w:tcPr>
        <w:tcBorders>
          <w:top w:val="nil"/>
          <w:left w:val="nil"/>
          <w:bottom w:val="single" w:color="FAC396" w:themeColor="accent6" w:themeTint="90" w:sz="4" w:space="0"/>
          <w:right w:val="nil"/>
        </w:tcBorders>
        <w:shd w:val="clear" w:color="FFFFFF" w:themeColor="light1" w:fill="FFFFFF" w:themeFill="light1"/>
      </w:tcPr>
    </w:tblStylePr>
    <w:tblStylePr w:type="lastRow">
      <w:rPr>
        <w:rFonts w:ascii="Arial" w:hAnsi="Arial"/>
        <w:b/>
        <w:color w:val="B05307" w:themeColor="accent6" w:themeShade="94"/>
        <w:sz w:val="22"/>
      </w:rPr>
      <w:tcPr>
        <w:tcBorders>
          <w:top w:val="single" w:color="FAC396" w:themeColor="accent6" w:themeTint="90" w:sz="4" w:space="0"/>
          <w:left w:val="nil"/>
          <w:bottom w:val="nil"/>
          <w:right w:val="nil"/>
        </w:tcBorders>
        <w:shd w:val="clear" w:color="FFFFFF" w:themeColor="light1" w:fill="FFFFFF" w:themeFill="light1"/>
      </w:tcPr>
    </w:tblStylePr>
    <w:tblStylePr w:type="firstCol">
      <w:pPr>
        <w:jc w:val="right"/>
      </w:pPr>
      <w:rPr>
        <w:rFonts w:ascii="Arial" w:hAnsi="Arial"/>
        <w:i/>
        <w:color w:val="B05307" w:themeColor="accent6" w:themeShade="94"/>
        <w:sz w:val="22"/>
      </w:rPr>
      <w:tcPr>
        <w:tcBorders>
          <w:top w:val="nil"/>
          <w:left w:val="nil"/>
          <w:bottom w:val="nil"/>
          <w:right w:val="single" w:color="FAC396" w:themeColor="accent6" w:themeTint="90" w:sz="4" w:space="0"/>
        </w:tcBorders>
        <w:shd w:val="clear" w:color="FFFFFF" w:fill="auto"/>
      </w:tcPr>
    </w:tblStylePr>
    <w:tblStylePr w:type="lastCol">
      <w:rPr>
        <w:rFonts w:ascii="Arial" w:hAnsi="Arial"/>
        <w:i/>
        <w:color w:val="B05307" w:themeColor="accent6" w:themeShade="94"/>
        <w:sz w:val="22"/>
      </w:rPr>
      <w:tcPr>
        <w:tcBorders>
          <w:top w:val="nil"/>
          <w:left w:val="single" w:color="FAC396" w:themeColor="accent6" w:themeTint="90" w:sz="4" w:space="0"/>
          <w:bottom w:val="nil"/>
          <w:right w:val="nil"/>
        </w:tcBorders>
        <w:shd w:val="clear" w:color="FFFFFF" w:fill="auto"/>
      </w:tcPr>
    </w:tblStylePr>
    <w:tblStylePr w:type="band1Vert">
      <w:tcPr>
        <w:shd w:val="clear" w:color="FDE9D9" w:themeColor="accent6" w:themeTint="34" w:fill="FDE9D9" w:themeFill="accent6" w:themeFillTint="34"/>
      </w:tcPr>
    </w:tblStylePr>
    <w:tblStylePr w:type="band1Horz">
      <w:rPr>
        <w:rFonts w:ascii="Arial" w:hAnsi="Arial"/>
        <w:color w:val="B05307" w:themeColor="accent6" w:themeShade="94"/>
        <w:sz w:val="22"/>
      </w:rPr>
      <w:tcPr>
        <w:shd w:val="clear" w:color="FDE9D9" w:themeColor="accent6" w:themeTint="34" w:fill="FDE9D9" w:themeFill="accent6" w:themeFillTint="34"/>
      </w:tcPr>
    </w:tblStylePr>
    <w:tblStylePr w:type="band2Horz">
      <w:rPr>
        <w:rFonts w:ascii="Arial" w:hAnsi="Arial"/>
        <w:color w:val="B05307" w:themeColor="accent6" w:themeShade="94"/>
        <w:sz w:val="22"/>
      </w:rPr>
    </w:tblStylePr>
  </w:style>
  <w:style w:type="table" w:customStyle="1" w:styleId="113">
    <w:name w:val="List Table 1 Light"/>
    <w:qFormat/>
    <w:uiPriority w:val="99"/>
    <w:tblPr>
      <w:tblCellMar>
        <w:top w:w="0" w:type="dxa"/>
        <w:left w:w="0" w:type="dxa"/>
        <w:bottom w:w="0" w:type="dxa"/>
        <w:right w:w="0" w:type="dxa"/>
      </w:tblCellMar>
    </w:tblPr>
    <w:tblStylePr w:type="firstRow">
      <w:rPr>
        <w:b/>
        <w:color w:val="404040"/>
      </w:rPr>
      <w:tcPr>
        <w:tcBorders>
          <w:top w:val="nil"/>
          <w:left w:val="nil"/>
          <w:bottom w:val="single" w:color="000000" w:themeColor="text1" w:sz="4" w:space="0"/>
          <w:right w:val="nil"/>
        </w:tcBorders>
      </w:tcPr>
    </w:tblStylePr>
    <w:tblStylePr w:type="lastRow">
      <w:rPr>
        <w:b/>
        <w:color w:val="404040"/>
      </w:rPr>
      <w:tcPr>
        <w:tcBorders>
          <w:top w:val="single" w:color="000000" w:themeColor="text1" w:sz="4" w:space="0"/>
          <w:left w:val="nil"/>
          <w:bottom w:val="nil"/>
          <w:right w:val="nil"/>
        </w:tcBorders>
      </w:tcPr>
    </w:tblStylePr>
    <w:tblStylePr w:type="firstCol">
      <w:rPr>
        <w:b/>
        <w:color w:val="404040"/>
      </w:rPr>
    </w:tblStylePr>
    <w:tblStylePr w:type="lastCol">
      <w:rPr>
        <w:b/>
        <w:color w:val="404040"/>
      </w:rPr>
    </w:tblStylePr>
    <w:tblStylePr w:type="band1Vert">
      <w:tcPr>
        <w:shd w:val="clear" w:color="BEBEBE" w:themeColor="text1" w:themeTint="40" w:fill="BEBEBE" w:themeFill="text1" w:themeFillTint="40"/>
      </w:tcPr>
    </w:tblStylePr>
    <w:tblStylePr w:type="band1Horz">
      <w:tcPr>
        <w:shd w:val="clear" w:color="BEBEBE" w:themeColor="text1" w:themeTint="40" w:fill="BEBEBE" w:themeFill="text1" w:themeFillTint="40"/>
      </w:tcPr>
    </w:tblStylePr>
  </w:style>
  <w:style w:type="table" w:customStyle="1" w:styleId="114">
    <w:name w:val="List Table 1 Light - Accent 1"/>
    <w:qFormat/>
    <w:uiPriority w:val="99"/>
    <w:tblPr>
      <w:tblCellMar>
        <w:top w:w="0" w:type="dxa"/>
        <w:left w:w="0" w:type="dxa"/>
        <w:bottom w:w="0" w:type="dxa"/>
        <w:right w:w="0" w:type="dxa"/>
      </w:tblCellMar>
    </w:tblPr>
    <w:tblStylePr w:type="firstRow">
      <w:rPr>
        <w:b/>
        <w:color w:val="404040"/>
      </w:rPr>
      <w:tcPr>
        <w:tcBorders>
          <w:top w:val="nil"/>
          <w:left w:val="nil"/>
          <w:bottom w:val="single" w:color="4F81BD" w:themeColor="accent1" w:sz="4" w:space="0"/>
          <w:right w:val="nil"/>
        </w:tcBorders>
      </w:tcPr>
    </w:tblStylePr>
    <w:tblStylePr w:type="lastRow">
      <w:rPr>
        <w:b/>
        <w:color w:val="404040"/>
      </w:rPr>
      <w:tcPr>
        <w:tcBorders>
          <w:top w:val="single" w:color="4F81BD" w:themeColor="accent1" w:sz="4" w:space="0"/>
          <w:left w:val="nil"/>
          <w:bottom w:val="nil"/>
          <w:right w:val="nil"/>
        </w:tcBorders>
      </w:tcPr>
    </w:tblStylePr>
    <w:tblStylePr w:type="firstCol">
      <w:rPr>
        <w:b/>
        <w:color w:val="404040"/>
      </w:rPr>
    </w:tblStylePr>
    <w:tblStylePr w:type="lastCol">
      <w:rPr>
        <w:b/>
        <w:color w:val="404040"/>
      </w:rPr>
    </w:tblStylePr>
    <w:tblStylePr w:type="band1Vert">
      <w:tcPr>
        <w:shd w:val="clear" w:color="D2DFEE" w:themeColor="accent1" w:themeTint="40" w:fill="D2DFEE" w:themeFill="accent1" w:themeFillTint="40"/>
      </w:tcPr>
    </w:tblStylePr>
    <w:tblStylePr w:type="band1Horz">
      <w:tcPr>
        <w:shd w:val="clear" w:color="D2DFEE" w:themeColor="accent1" w:themeTint="40" w:fill="D2DFEE" w:themeFill="accent1" w:themeFillTint="40"/>
      </w:tcPr>
    </w:tblStylePr>
  </w:style>
  <w:style w:type="table" w:customStyle="1" w:styleId="115">
    <w:name w:val="List Table 1 Light - Accent 2"/>
    <w:qFormat/>
    <w:uiPriority w:val="99"/>
    <w:tblPr>
      <w:tblCellMar>
        <w:top w:w="0" w:type="dxa"/>
        <w:left w:w="0" w:type="dxa"/>
        <w:bottom w:w="0" w:type="dxa"/>
        <w:right w:w="0" w:type="dxa"/>
      </w:tblCellMar>
    </w:tblPr>
    <w:tblStylePr w:type="firstRow">
      <w:rPr>
        <w:b/>
        <w:color w:val="404040"/>
      </w:rPr>
      <w:tcPr>
        <w:tcBorders>
          <w:top w:val="nil"/>
          <w:left w:val="nil"/>
          <w:bottom w:val="single" w:color="C0504D" w:themeColor="accent2" w:sz="4" w:space="0"/>
          <w:right w:val="nil"/>
        </w:tcBorders>
      </w:tcPr>
    </w:tblStylePr>
    <w:tblStylePr w:type="lastRow">
      <w:rPr>
        <w:b/>
        <w:color w:val="404040"/>
      </w:rPr>
      <w:tcPr>
        <w:tcBorders>
          <w:top w:val="single" w:color="C0504D" w:themeColor="accent2" w:sz="4" w:space="0"/>
          <w:left w:val="nil"/>
          <w:bottom w:val="nil"/>
          <w:right w:val="nil"/>
        </w:tcBorders>
      </w:tcPr>
    </w:tblStylePr>
    <w:tblStylePr w:type="firstCol">
      <w:rPr>
        <w:b/>
        <w:color w:val="404040"/>
      </w:rPr>
    </w:tblStylePr>
    <w:tblStylePr w:type="lastCol">
      <w:rPr>
        <w:b/>
        <w:color w:val="404040"/>
      </w:rPr>
    </w:tblStylePr>
    <w:tblStylePr w:type="band1Vert">
      <w:tcPr>
        <w:shd w:val="clear" w:color="EFD3D2" w:themeColor="accent2" w:themeTint="40" w:fill="EFD3D2" w:themeFill="accent2" w:themeFillTint="40"/>
      </w:tcPr>
    </w:tblStylePr>
    <w:tblStylePr w:type="band1Horz">
      <w:tcPr>
        <w:shd w:val="clear" w:color="EFD3D2" w:themeColor="accent2" w:themeTint="40" w:fill="EFD3D2" w:themeFill="accent2" w:themeFillTint="40"/>
      </w:tcPr>
    </w:tblStylePr>
  </w:style>
  <w:style w:type="table" w:customStyle="1" w:styleId="116">
    <w:name w:val="List Table 1 Light - Accent 3"/>
    <w:qFormat/>
    <w:uiPriority w:val="99"/>
    <w:tblPr>
      <w:tblCellMar>
        <w:top w:w="0" w:type="dxa"/>
        <w:left w:w="0" w:type="dxa"/>
        <w:bottom w:w="0" w:type="dxa"/>
        <w:right w:w="0" w:type="dxa"/>
      </w:tblCellMar>
    </w:tblPr>
    <w:tblStylePr w:type="firstRow">
      <w:rPr>
        <w:b/>
        <w:color w:val="404040"/>
      </w:rPr>
      <w:tcPr>
        <w:tcBorders>
          <w:top w:val="nil"/>
          <w:left w:val="nil"/>
          <w:bottom w:val="single" w:color="9BBB59" w:themeColor="accent3" w:sz="4" w:space="0"/>
          <w:right w:val="nil"/>
        </w:tcBorders>
      </w:tcPr>
    </w:tblStylePr>
    <w:tblStylePr w:type="lastRow">
      <w:rPr>
        <w:b/>
        <w:color w:val="404040"/>
      </w:rPr>
      <w:tcPr>
        <w:tcBorders>
          <w:top w:val="single" w:color="9BBB59" w:themeColor="accent3" w:sz="4" w:space="0"/>
          <w:left w:val="nil"/>
          <w:bottom w:val="nil"/>
          <w:right w:val="nil"/>
        </w:tcBorders>
      </w:tcPr>
    </w:tblStylePr>
    <w:tblStylePr w:type="firstCol">
      <w:rPr>
        <w:b/>
        <w:color w:val="404040"/>
      </w:rPr>
    </w:tblStylePr>
    <w:tblStylePr w:type="lastCol">
      <w:rPr>
        <w:b/>
        <w:color w:val="404040"/>
      </w:rPr>
    </w:tblStylePr>
    <w:tblStylePr w:type="band1Vert">
      <w:tcPr>
        <w:shd w:val="clear" w:color="E5EDD5" w:themeColor="accent3" w:themeTint="40" w:fill="E5EDD5" w:themeFill="accent3" w:themeFillTint="40"/>
      </w:tcPr>
    </w:tblStylePr>
    <w:tblStylePr w:type="band1Horz">
      <w:tcPr>
        <w:shd w:val="clear" w:color="E5EDD5" w:themeColor="accent3" w:themeTint="40" w:fill="E5EDD5" w:themeFill="accent3" w:themeFillTint="40"/>
      </w:tcPr>
    </w:tblStylePr>
  </w:style>
  <w:style w:type="table" w:customStyle="1" w:styleId="117">
    <w:name w:val="List Table 1 Light - Accent 4"/>
    <w:qFormat/>
    <w:uiPriority w:val="99"/>
    <w:tblPr>
      <w:tblCellMar>
        <w:top w:w="0" w:type="dxa"/>
        <w:left w:w="0" w:type="dxa"/>
        <w:bottom w:w="0" w:type="dxa"/>
        <w:right w:w="0" w:type="dxa"/>
      </w:tblCellMar>
    </w:tblPr>
    <w:tblStylePr w:type="firstRow">
      <w:rPr>
        <w:b/>
        <w:color w:val="404040"/>
      </w:rPr>
      <w:tcPr>
        <w:tcBorders>
          <w:top w:val="nil"/>
          <w:left w:val="nil"/>
          <w:bottom w:val="single" w:color="8064A2" w:themeColor="accent4" w:sz="4" w:space="0"/>
          <w:right w:val="nil"/>
        </w:tcBorders>
      </w:tcPr>
    </w:tblStylePr>
    <w:tblStylePr w:type="lastRow">
      <w:rPr>
        <w:b/>
        <w:color w:val="404040"/>
      </w:rPr>
      <w:tcPr>
        <w:tcBorders>
          <w:top w:val="single" w:color="8064A2" w:themeColor="accent4" w:sz="4" w:space="0"/>
          <w:left w:val="nil"/>
          <w:bottom w:val="nil"/>
          <w:right w:val="nil"/>
        </w:tcBorders>
      </w:tcPr>
    </w:tblStylePr>
    <w:tblStylePr w:type="firstCol">
      <w:rPr>
        <w:b/>
        <w:color w:val="404040"/>
      </w:rPr>
    </w:tblStylePr>
    <w:tblStylePr w:type="lastCol">
      <w:rPr>
        <w:b/>
        <w:color w:val="404040"/>
      </w:rPr>
    </w:tblStylePr>
    <w:tblStylePr w:type="band1Vert">
      <w:tcPr>
        <w:shd w:val="clear" w:color="DFD8E7" w:themeColor="accent4" w:themeTint="40" w:fill="DFD8E7" w:themeFill="accent4" w:themeFillTint="40"/>
      </w:tcPr>
    </w:tblStylePr>
    <w:tblStylePr w:type="band1Horz">
      <w:tcPr>
        <w:shd w:val="clear" w:color="DFD8E7" w:themeColor="accent4" w:themeTint="40" w:fill="DFD8E7" w:themeFill="accent4" w:themeFillTint="40"/>
      </w:tcPr>
    </w:tblStylePr>
  </w:style>
  <w:style w:type="table" w:customStyle="1" w:styleId="118">
    <w:name w:val="List Table 1 Light - Accent 5"/>
    <w:qFormat/>
    <w:uiPriority w:val="99"/>
    <w:tblPr>
      <w:tblCellMar>
        <w:top w:w="0" w:type="dxa"/>
        <w:left w:w="0" w:type="dxa"/>
        <w:bottom w:w="0" w:type="dxa"/>
        <w:right w:w="0" w:type="dxa"/>
      </w:tblCellMar>
    </w:tblPr>
    <w:tblStylePr w:type="firstRow">
      <w:rPr>
        <w:b/>
        <w:color w:val="404040"/>
      </w:rPr>
      <w:tcPr>
        <w:tcBorders>
          <w:top w:val="nil"/>
          <w:left w:val="nil"/>
          <w:bottom w:val="single" w:color="4BACC6" w:themeColor="accent5" w:sz="4" w:space="0"/>
          <w:right w:val="nil"/>
        </w:tcBorders>
      </w:tcPr>
    </w:tblStylePr>
    <w:tblStylePr w:type="lastRow">
      <w:rPr>
        <w:b/>
        <w:color w:val="404040"/>
      </w:rPr>
      <w:tcPr>
        <w:tcBorders>
          <w:top w:val="single" w:color="4BACC6" w:themeColor="accent5" w:sz="4" w:space="0"/>
          <w:left w:val="nil"/>
          <w:bottom w:val="nil"/>
          <w:right w:val="nil"/>
        </w:tcBorders>
      </w:tcPr>
    </w:tblStylePr>
    <w:tblStylePr w:type="firstCol">
      <w:rPr>
        <w:b/>
        <w:color w:val="404040"/>
      </w:rPr>
    </w:tblStylePr>
    <w:tblStylePr w:type="lastCol">
      <w:rPr>
        <w:b/>
        <w:color w:val="404040"/>
      </w:rPr>
    </w:tblStylePr>
    <w:tblStylePr w:type="band1Vert">
      <w:tcPr>
        <w:shd w:val="clear" w:color="D1EAF0" w:themeColor="accent5" w:themeTint="40" w:fill="D1EAF0" w:themeFill="accent5" w:themeFillTint="40"/>
      </w:tcPr>
    </w:tblStylePr>
    <w:tblStylePr w:type="band1Horz">
      <w:tcPr>
        <w:shd w:val="clear" w:color="D1EAF0" w:themeColor="accent5" w:themeTint="40" w:fill="D1EAF0" w:themeFill="accent5" w:themeFillTint="40"/>
      </w:tcPr>
    </w:tblStylePr>
  </w:style>
  <w:style w:type="table" w:customStyle="1" w:styleId="119">
    <w:name w:val="List Table 1 Light - Accent 6"/>
    <w:qFormat/>
    <w:uiPriority w:val="99"/>
    <w:tblPr>
      <w:tblCellMar>
        <w:top w:w="0" w:type="dxa"/>
        <w:left w:w="0" w:type="dxa"/>
        <w:bottom w:w="0" w:type="dxa"/>
        <w:right w:w="0" w:type="dxa"/>
      </w:tblCellMar>
    </w:tblPr>
    <w:tblStylePr w:type="firstRow">
      <w:rPr>
        <w:b/>
        <w:color w:val="404040"/>
      </w:rPr>
      <w:tcPr>
        <w:tcBorders>
          <w:top w:val="nil"/>
          <w:left w:val="nil"/>
          <w:bottom w:val="single" w:color="F79646" w:themeColor="accent6" w:sz="4" w:space="0"/>
          <w:right w:val="nil"/>
        </w:tcBorders>
      </w:tcPr>
    </w:tblStylePr>
    <w:tblStylePr w:type="lastRow">
      <w:rPr>
        <w:b/>
        <w:color w:val="404040"/>
      </w:rPr>
      <w:tcPr>
        <w:tcBorders>
          <w:top w:val="single" w:color="F79646" w:themeColor="accent6" w:sz="4" w:space="0"/>
          <w:left w:val="nil"/>
          <w:bottom w:val="nil"/>
          <w:right w:val="nil"/>
        </w:tcBorders>
      </w:tcPr>
    </w:tblStylePr>
    <w:tblStylePr w:type="firstCol">
      <w:rPr>
        <w:b/>
        <w:color w:val="404040"/>
      </w:rPr>
    </w:tblStylePr>
    <w:tblStylePr w:type="lastCol">
      <w:rPr>
        <w:b/>
        <w:color w:val="404040"/>
      </w:rPr>
    </w:tblStylePr>
    <w:tblStylePr w:type="band1Vert">
      <w:tcPr>
        <w:shd w:val="clear" w:color="FCE4D0" w:themeColor="accent6" w:themeTint="40" w:fill="FCE4D0" w:themeFill="accent6" w:themeFillTint="40"/>
      </w:tcPr>
    </w:tblStylePr>
    <w:tblStylePr w:type="band1Horz">
      <w:tcPr>
        <w:shd w:val="clear" w:color="FCE4D0" w:themeColor="accent6" w:themeTint="40" w:fill="FCE4D0" w:themeFill="accent6" w:themeFillTint="40"/>
      </w:tcPr>
    </w:tblStylePr>
  </w:style>
  <w:style w:type="table" w:customStyle="1" w:styleId="120">
    <w:name w:val="List Table 2"/>
    <w:qFormat/>
    <w:uiPriority w:val="99"/>
    <w:tblPr>
      <w:tblBorders>
        <w:top w:val="single" w:color="6E6E6E" w:themeColor="text1" w:themeTint="90" w:sz="4" w:space="0"/>
        <w:bottom w:val="single" w:color="6E6E6E" w:themeColor="text1" w:themeTint="90" w:sz="4" w:space="0"/>
        <w:insideH w:val="single" w:color="6E6E6E" w:themeColor="text1"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6E6E6E" w:themeColor="text1" w:themeTint="90" w:sz="4" w:space="0"/>
          <w:left w:val="nil"/>
          <w:bottom w:val="single" w:color="6E6E6E" w:themeColor="text1" w:themeTint="90" w:sz="4" w:space="0"/>
          <w:right w:val="nil"/>
        </w:tcBorders>
      </w:tcPr>
    </w:tblStylePr>
    <w:tblStylePr w:type="lastRow">
      <w:rPr>
        <w:rFonts w:ascii="Arial" w:hAnsi="Arial"/>
        <w:b/>
        <w:color w:val="404040"/>
        <w:sz w:val="22"/>
      </w:rPr>
      <w:tcPr>
        <w:tcBorders>
          <w:top w:val="single" w:color="6E6E6E" w:themeColor="text1" w:themeTint="90" w:sz="4" w:space="0"/>
          <w:left w:val="nil"/>
          <w:bottom w:val="single" w:color="6E6E6E" w:themeColor="text1"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BEBEBE" w:themeColor="text1" w:themeTint="40" w:fill="BEBEBE" w:themeFill="text1" w:themeFillTint="40"/>
      </w:tcPr>
    </w:tblStylePr>
    <w:tblStylePr w:type="band1Horz">
      <w:rPr>
        <w:rFonts w:ascii="Arial" w:hAnsi="Arial"/>
        <w:color w:val="404040"/>
        <w:sz w:val="22"/>
      </w:rPr>
      <w:tcPr>
        <w:shd w:val="clear" w:color="BEBEBE" w:themeColor="text1" w:themeTint="40" w:fill="BEBEBE" w:themeFill="text1" w:themeFillTint="40"/>
      </w:tcPr>
    </w:tblStylePr>
  </w:style>
  <w:style w:type="table" w:customStyle="1" w:styleId="121">
    <w:name w:val="List Table 2 - Accent 1"/>
    <w:qFormat/>
    <w:uiPriority w:val="99"/>
    <w:tblPr>
      <w:tblBorders>
        <w:top w:val="single" w:color="9BB7D9" w:themeColor="accent1" w:themeTint="90" w:sz="4" w:space="0"/>
        <w:bottom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9BB7D9" w:themeColor="accent1" w:themeTint="90" w:sz="4" w:space="0"/>
          <w:left w:val="nil"/>
          <w:bottom w:val="single" w:color="9BB7D9" w:themeColor="accent1" w:themeTint="90" w:sz="4" w:space="0"/>
          <w:right w:val="nil"/>
        </w:tcBorders>
      </w:tcPr>
    </w:tblStylePr>
    <w:tblStylePr w:type="lastRow">
      <w:rPr>
        <w:rFonts w:ascii="Arial" w:hAnsi="Arial"/>
        <w:b/>
        <w:color w:val="404040"/>
        <w:sz w:val="22"/>
      </w:rPr>
      <w:tcPr>
        <w:tcBorders>
          <w:top w:val="single" w:color="9BB7D9" w:themeColor="accent1" w:themeTint="90" w:sz="4" w:space="0"/>
          <w:left w:val="nil"/>
          <w:bottom w:val="single" w:color="9BB7D9" w:themeColor="accent1"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D2DFEE" w:themeColor="accent1" w:themeTint="40" w:fill="D2DFEE" w:themeFill="accent1" w:themeFillTint="40"/>
      </w:tcPr>
    </w:tblStylePr>
    <w:tblStylePr w:type="band1Horz">
      <w:rPr>
        <w:rFonts w:ascii="Arial" w:hAnsi="Arial"/>
        <w:color w:val="404040"/>
        <w:sz w:val="22"/>
      </w:rPr>
      <w:tcPr>
        <w:shd w:val="clear" w:color="D2DFEE" w:themeColor="accent1" w:themeTint="40" w:fill="D2DFEE" w:themeFill="accent1" w:themeFillTint="40"/>
      </w:tcPr>
    </w:tblStylePr>
  </w:style>
  <w:style w:type="table" w:customStyle="1" w:styleId="122">
    <w:name w:val="List Table 2 - Accent 2"/>
    <w:qFormat/>
    <w:uiPriority w:val="99"/>
    <w:tblPr>
      <w:tblBorders>
        <w:top w:val="single" w:color="DB9C9A" w:themeColor="accent2" w:themeTint="90" w:sz="4" w:space="0"/>
        <w:bottom w:val="single" w:color="DB9C9A" w:themeColor="accent2" w:themeTint="90" w:sz="4" w:space="0"/>
        <w:insideH w:val="single" w:color="DB9C9A" w:themeColor="accent2"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DB9C9A" w:themeColor="accent2" w:themeTint="90" w:sz="4" w:space="0"/>
          <w:left w:val="nil"/>
          <w:bottom w:val="single" w:color="DB9C9A" w:themeColor="accent2" w:themeTint="90" w:sz="4" w:space="0"/>
          <w:right w:val="nil"/>
        </w:tcBorders>
      </w:tcPr>
    </w:tblStylePr>
    <w:tblStylePr w:type="lastRow">
      <w:rPr>
        <w:rFonts w:ascii="Arial" w:hAnsi="Arial"/>
        <w:b/>
        <w:color w:val="404040"/>
        <w:sz w:val="22"/>
      </w:rPr>
      <w:tcPr>
        <w:tcBorders>
          <w:top w:val="single" w:color="DB9C9A" w:themeColor="accent2" w:themeTint="90" w:sz="4" w:space="0"/>
          <w:left w:val="nil"/>
          <w:bottom w:val="single" w:color="DB9C9A" w:themeColor="accent2"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EFD3D2" w:themeColor="accent2" w:themeTint="40" w:fill="EFD3D2" w:themeFill="accent2" w:themeFillTint="40"/>
      </w:tcPr>
    </w:tblStylePr>
    <w:tblStylePr w:type="band1Horz">
      <w:rPr>
        <w:rFonts w:ascii="Arial" w:hAnsi="Arial"/>
        <w:color w:val="404040"/>
        <w:sz w:val="22"/>
      </w:rPr>
      <w:tcPr>
        <w:shd w:val="clear" w:color="EFD3D2" w:themeColor="accent2" w:themeTint="40" w:fill="EFD3D2" w:themeFill="accent2" w:themeFillTint="40"/>
      </w:tcPr>
    </w:tblStylePr>
  </w:style>
  <w:style w:type="table" w:customStyle="1" w:styleId="123">
    <w:name w:val="List Table 2 - Accent 3"/>
    <w:qFormat/>
    <w:uiPriority w:val="99"/>
    <w:tblPr>
      <w:tblBorders>
        <w:top w:val="single" w:color="C6D8A1" w:themeColor="accent3" w:themeTint="90" w:sz="4" w:space="0"/>
        <w:bottom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C6D8A1" w:themeColor="accent3" w:themeTint="90" w:sz="4" w:space="0"/>
          <w:left w:val="nil"/>
          <w:bottom w:val="single" w:color="C6D8A1" w:themeColor="accent3" w:themeTint="90" w:sz="4" w:space="0"/>
          <w:right w:val="nil"/>
        </w:tcBorders>
      </w:tcPr>
    </w:tblStylePr>
    <w:tblStylePr w:type="lastRow">
      <w:rPr>
        <w:rFonts w:ascii="Arial" w:hAnsi="Arial"/>
        <w:b/>
        <w:color w:val="404040"/>
        <w:sz w:val="22"/>
      </w:rPr>
      <w:tcPr>
        <w:tcBorders>
          <w:top w:val="single" w:color="C6D8A1" w:themeColor="accent3" w:themeTint="90" w:sz="4" w:space="0"/>
          <w:left w:val="nil"/>
          <w:bottom w:val="single" w:color="C6D8A1" w:themeColor="accent3"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E5EDD5" w:themeColor="accent3" w:themeTint="40" w:fill="E5EDD5" w:themeFill="accent3" w:themeFillTint="40"/>
      </w:tcPr>
    </w:tblStylePr>
    <w:tblStylePr w:type="band1Horz">
      <w:rPr>
        <w:rFonts w:ascii="Arial" w:hAnsi="Arial"/>
        <w:color w:val="404040"/>
        <w:sz w:val="22"/>
      </w:rPr>
      <w:tcPr>
        <w:shd w:val="clear" w:color="E5EDD5" w:themeColor="accent3" w:themeTint="40" w:fill="E5EDD5" w:themeFill="accent3" w:themeFillTint="40"/>
      </w:tcPr>
    </w:tblStylePr>
  </w:style>
  <w:style w:type="table" w:customStyle="1" w:styleId="124">
    <w:name w:val="List Table 2 - Accent 4"/>
    <w:qFormat/>
    <w:uiPriority w:val="99"/>
    <w:tblPr>
      <w:tblBorders>
        <w:top w:val="single" w:color="B7A7CA" w:themeColor="accent4" w:themeTint="90" w:sz="4" w:space="0"/>
        <w:bottom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B7A7CA" w:themeColor="accent4" w:themeTint="90" w:sz="4" w:space="0"/>
          <w:left w:val="nil"/>
          <w:bottom w:val="single" w:color="B7A7CA" w:themeColor="accent4" w:themeTint="90" w:sz="4" w:space="0"/>
          <w:right w:val="nil"/>
        </w:tcBorders>
      </w:tcPr>
    </w:tblStylePr>
    <w:tblStylePr w:type="lastRow">
      <w:rPr>
        <w:rFonts w:ascii="Arial" w:hAnsi="Arial"/>
        <w:b/>
        <w:color w:val="404040"/>
        <w:sz w:val="22"/>
      </w:rPr>
      <w:tcPr>
        <w:tcBorders>
          <w:top w:val="single" w:color="B7A7CA" w:themeColor="accent4" w:themeTint="90" w:sz="4" w:space="0"/>
          <w:left w:val="nil"/>
          <w:bottom w:val="single" w:color="B7A7CA" w:themeColor="accent4"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DFD8E7" w:themeColor="accent4" w:themeTint="40" w:fill="DFD8E7" w:themeFill="accent4" w:themeFillTint="40"/>
      </w:tcPr>
    </w:tblStylePr>
    <w:tblStylePr w:type="band1Horz">
      <w:rPr>
        <w:rFonts w:ascii="Arial" w:hAnsi="Arial"/>
        <w:color w:val="404040"/>
        <w:sz w:val="22"/>
      </w:rPr>
      <w:tcPr>
        <w:shd w:val="clear" w:color="DFD8E7" w:themeColor="accent4" w:themeTint="40" w:fill="DFD8E7" w:themeFill="accent4" w:themeFillTint="40"/>
      </w:tcPr>
    </w:tblStylePr>
  </w:style>
  <w:style w:type="table" w:customStyle="1" w:styleId="125">
    <w:name w:val="List Table 2 - Accent 5"/>
    <w:qFormat/>
    <w:uiPriority w:val="99"/>
    <w:tblPr>
      <w:tblBorders>
        <w:top w:val="single" w:color="99D0DE" w:themeColor="accent5" w:themeTint="90" w:sz="4" w:space="0"/>
        <w:bottom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99D0DE" w:themeColor="accent5" w:themeTint="90" w:sz="4" w:space="0"/>
          <w:left w:val="nil"/>
          <w:bottom w:val="single" w:color="99D0DE" w:themeColor="accent5" w:themeTint="90" w:sz="4" w:space="0"/>
          <w:right w:val="nil"/>
        </w:tcBorders>
      </w:tcPr>
    </w:tblStylePr>
    <w:tblStylePr w:type="lastRow">
      <w:rPr>
        <w:rFonts w:ascii="Arial" w:hAnsi="Arial"/>
        <w:b/>
        <w:color w:val="404040"/>
        <w:sz w:val="22"/>
      </w:rPr>
      <w:tcPr>
        <w:tcBorders>
          <w:top w:val="single" w:color="99D0DE" w:themeColor="accent5" w:themeTint="90" w:sz="4" w:space="0"/>
          <w:left w:val="nil"/>
          <w:bottom w:val="single" w:color="99D0DE" w:themeColor="accent5"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D1EAF0" w:themeColor="accent5" w:themeTint="40" w:fill="D1EAF0" w:themeFill="accent5" w:themeFillTint="40"/>
      </w:tcPr>
    </w:tblStylePr>
    <w:tblStylePr w:type="band1Horz">
      <w:rPr>
        <w:rFonts w:ascii="Arial" w:hAnsi="Arial"/>
        <w:color w:val="404040"/>
        <w:sz w:val="22"/>
      </w:rPr>
      <w:tcPr>
        <w:shd w:val="clear" w:color="D1EAF0" w:themeColor="accent5" w:themeTint="40" w:fill="D1EAF0" w:themeFill="accent5" w:themeFillTint="40"/>
      </w:tcPr>
    </w:tblStylePr>
  </w:style>
  <w:style w:type="table" w:customStyle="1" w:styleId="126">
    <w:name w:val="List Table 2 - Accent 6"/>
    <w:qFormat/>
    <w:uiPriority w:val="99"/>
    <w:tblPr>
      <w:tblBorders>
        <w:top w:val="single" w:color="FAC396" w:themeColor="accent6" w:themeTint="90" w:sz="4" w:space="0"/>
        <w:bottom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rFonts w:ascii="Arial" w:hAnsi="Arial"/>
        <w:b/>
        <w:color w:val="404040"/>
        <w:sz w:val="22"/>
      </w:rPr>
      <w:tcPr>
        <w:tcBorders>
          <w:top w:val="single" w:color="FAC396" w:themeColor="accent6" w:themeTint="90" w:sz="4" w:space="0"/>
          <w:left w:val="nil"/>
          <w:bottom w:val="single" w:color="FAC396" w:themeColor="accent6" w:themeTint="90" w:sz="4" w:space="0"/>
          <w:right w:val="nil"/>
        </w:tcBorders>
      </w:tcPr>
    </w:tblStylePr>
    <w:tblStylePr w:type="lastRow">
      <w:rPr>
        <w:rFonts w:ascii="Arial" w:hAnsi="Arial"/>
        <w:b/>
        <w:color w:val="404040"/>
        <w:sz w:val="22"/>
      </w:rPr>
      <w:tcPr>
        <w:tcBorders>
          <w:top w:val="single" w:color="FAC396" w:themeColor="accent6" w:themeTint="90" w:sz="4" w:space="0"/>
          <w:left w:val="nil"/>
          <w:bottom w:val="single" w:color="FAC396" w:themeColor="accent6" w:themeTint="90" w:sz="4" w:space="0"/>
          <w:right w:val="nil"/>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cPr>
        <w:shd w:val="clear" w:color="FCE4D0" w:themeColor="accent6" w:themeTint="40" w:fill="FCE4D0" w:themeFill="accent6" w:themeFillTint="40"/>
      </w:tcPr>
    </w:tblStylePr>
    <w:tblStylePr w:type="band1Horz">
      <w:rPr>
        <w:rFonts w:ascii="Arial" w:hAnsi="Arial"/>
        <w:color w:val="404040"/>
        <w:sz w:val="22"/>
      </w:rPr>
      <w:tcPr>
        <w:shd w:val="clear" w:color="FCE4D0" w:themeColor="accent6" w:themeTint="40" w:fill="FCE4D0" w:themeFill="accent6" w:themeFillTint="40"/>
      </w:tcPr>
    </w:tblStylePr>
  </w:style>
  <w:style w:type="table" w:customStyle="1" w:styleId="127">
    <w:name w:val="List Table 3"/>
    <w:qFormat/>
    <w:uiPriority w:val="99"/>
    <w:tblPr>
      <w:tblBorders>
        <w:top w:val="single" w:color="000000" w:themeColor="text1" w:sz="4" w:space="0"/>
        <w:left w:val="single" w:color="000000" w:themeColor="text1" w:sz="4" w:space="0"/>
        <w:bottom w:val="single" w:color="000000" w:themeColor="text1" w:sz="4" w:space="0"/>
        <w:right w:val="single" w:color="000000" w:themeColor="text1" w:sz="4" w:space="0"/>
      </w:tblBorders>
      <w:tblCellMar>
        <w:top w:w="0" w:type="dxa"/>
        <w:left w:w="0" w:type="dxa"/>
        <w:bottom w:w="0" w:type="dxa"/>
        <w:right w:w="0" w:type="dxa"/>
      </w:tblCellMar>
    </w:tblPr>
    <w:tblStylePr w:type="firstRow">
      <w:rPr>
        <w:rFonts w:ascii="Arial" w:hAnsi="Arial"/>
        <w:b/>
        <w:color w:val="FFFFFF"/>
        <w:sz w:val="22"/>
      </w:r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band1Horz">
      <w:rPr>
        <w:rFonts w:ascii="Arial" w:hAnsi="Arial"/>
        <w:color w:val="404040"/>
        <w:sz w:val="22"/>
      </w:rPr>
      <w:tcPr>
        <w:tcBorders>
          <w:top w:val="single" w:color="000000" w:themeColor="text1" w:sz="4" w:space="0"/>
          <w:bottom w:val="single" w:color="000000" w:themeColor="text1" w:sz="4" w:space="0"/>
        </w:tcBorders>
      </w:tcPr>
    </w:tblStylePr>
  </w:style>
  <w:style w:type="table" w:customStyle="1" w:styleId="128">
    <w:name w:val="List Table 3 - Accent 1"/>
    <w:qFormat/>
    <w:uiPriority w:val="99"/>
    <w:tblPr>
      <w:tblBorders>
        <w:top w:val="single" w:color="4F81BD" w:themeColor="accent1" w:sz="4" w:space="0"/>
        <w:left w:val="single" w:color="4F81BD" w:themeColor="accent1" w:sz="4" w:space="0"/>
        <w:bottom w:val="single" w:color="4F81BD" w:themeColor="accent1" w:sz="4" w:space="0"/>
        <w:right w:val="single" w:color="4F81BD" w:themeColor="accent1" w:sz="4" w:space="0"/>
      </w:tblBorders>
      <w:tblCellMar>
        <w:top w:w="0" w:type="dxa"/>
        <w:left w:w="0" w:type="dxa"/>
        <w:bottom w:w="0" w:type="dxa"/>
        <w:right w:w="0" w:type="dxa"/>
      </w:tblCellMar>
    </w:tblPr>
    <w:tblStylePr w:type="firstRow">
      <w:rPr>
        <w:rFonts w:ascii="Arial" w:hAnsi="Arial"/>
        <w:b/>
        <w:color w:val="FFFFFF"/>
        <w:sz w:val="22"/>
      </w:r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4F81BD" w:themeColor="accent1" w:sz="4" w:space="0"/>
          <w:right w:val="single" w:color="4F81BD" w:themeColor="accent1" w:sz="4" w:space="0"/>
        </w:tcBorders>
      </w:tcPr>
    </w:tblStylePr>
    <w:tblStylePr w:type="band1Horz">
      <w:rPr>
        <w:rFonts w:ascii="Arial" w:hAnsi="Arial"/>
        <w:color w:val="404040"/>
        <w:sz w:val="22"/>
      </w:rPr>
      <w:tcPr>
        <w:tcBorders>
          <w:top w:val="single" w:color="4F81BD" w:themeColor="accent1" w:sz="4" w:space="0"/>
          <w:bottom w:val="single" w:color="4F81BD" w:themeColor="accent1" w:sz="4" w:space="0"/>
        </w:tcBorders>
      </w:tcPr>
    </w:tblStylePr>
  </w:style>
  <w:style w:type="table" w:customStyle="1" w:styleId="129">
    <w:name w:val="List Table 3 - Accent 2"/>
    <w:qFormat/>
    <w:uiPriority w:val="99"/>
    <w:tblPr>
      <w:tblBorders>
        <w:top w:val="single" w:color="D99795" w:themeColor="accent2" w:themeTint="97" w:sz="4" w:space="0"/>
        <w:left w:val="single" w:color="D99795" w:themeColor="accent2" w:themeTint="97" w:sz="4" w:space="0"/>
        <w:bottom w:val="single" w:color="D99795" w:themeColor="accent2" w:themeTint="97" w:sz="4" w:space="0"/>
        <w:right w:val="single" w:color="D99795" w:themeColor="accent2" w:themeTint="97" w:sz="4" w:space="0"/>
      </w:tblBorders>
      <w:tblCellMar>
        <w:top w:w="0" w:type="dxa"/>
        <w:left w:w="0" w:type="dxa"/>
        <w:bottom w:w="0" w:type="dxa"/>
        <w:right w:w="0" w:type="dxa"/>
      </w:tblCellMar>
    </w:tblPr>
    <w:tblStylePr w:type="firstRow">
      <w:rPr>
        <w:rFonts w:ascii="Arial" w:hAnsi="Arial"/>
        <w:b/>
        <w:color w:val="FFFFFF"/>
        <w:sz w:val="22"/>
      </w:rPr>
      <w:tcPr>
        <w:shd w:val="clear" w:color="D99795" w:themeColor="accent2" w:themeTint="97" w:fill="D997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D99795" w:themeColor="accent2" w:themeTint="97" w:sz="4" w:space="0"/>
          <w:right w:val="single" w:color="D99795" w:themeColor="accent2" w:themeTint="97" w:sz="4" w:space="0"/>
        </w:tcBorders>
      </w:tcPr>
    </w:tblStylePr>
    <w:tblStylePr w:type="band1Horz">
      <w:rPr>
        <w:rFonts w:ascii="Arial" w:hAnsi="Arial"/>
        <w:color w:val="404040"/>
        <w:sz w:val="22"/>
      </w:rPr>
      <w:tcPr>
        <w:tcBorders>
          <w:top w:val="single" w:color="D99795" w:themeColor="accent2" w:themeTint="97" w:sz="4" w:space="0"/>
          <w:bottom w:val="single" w:color="D99795" w:themeColor="accent2" w:themeTint="97" w:sz="4" w:space="0"/>
        </w:tcBorders>
      </w:tcPr>
    </w:tblStylePr>
  </w:style>
  <w:style w:type="table" w:customStyle="1" w:styleId="130">
    <w:name w:val="List Table 3 - Accent 3"/>
    <w:qFormat/>
    <w:uiPriority w:val="99"/>
    <w:tblPr>
      <w:tblBorders>
        <w:top w:val="single" w:color="C3D69C" w:themeColor="accent3" w:themeTint="98" w:sz="4" w:space="0"/>
        <w:left w:val="single" w:color="C3D69C" w:themeColor="accent3" w:themeTint="98" w:sz="4" w:space="0"/>
        <w:bottom w:val="single" w:color="C3D69C" w:themeColor="accent3" w:themeTint="98" w:sz="4" w:space="0"/>
        <w:right w:val="single" w:color="C3D69C" w:themeColor="accent3" w:themeTint="98" w:sz="4" w:space="0"/>
      </w:tblBorders>
      <w:tblCellMar>
        <w:top w:w="0" w:type="dxa"/>
        <w:left w:w="0" w:type="dxa"/>
        <w:bottom w:w="0" w:type="dxa"/>
        <w:right w:w="0" w:type="dxa"/>
      </w:tblCellMar>
    </w:tblPr>
    <w:tblStylePr w:type="firstRow">
      <w:rPr>
        <w:rFonts w:ascii="Arial" w:hAnsi="Arial"/>
        <w:b/>
        <w:color w:val="FFFFFF"/>
        <w:sz w:val="22"/>
      </w:rPr>
      <w:tcPr>
        <w:shd w:val="clear" w:color="C3D69C" w:themeColor="accent3" w:themeTint="98" w:fill="C3D69C"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C3D69C" w:themeColor="accent3" w:themeTint="98" w:sz="4" w:space="0"/>
          <w:right w:val="single" w:color="C3D69C" w:themeColor="accent3" w:themeTint="98" w:sz="4" w:space="0"/>
        </w:tcBorders>
      </w:tcPr>
    </w:tblStylePr>
    <w:tblStylePr w:type="band1Horz">
      <w:rPr>
        <w:rFonts w:ascii="Arial" w:hAnsi="Arial"/>
        <w:color w:val="404040"/>
        <w:sz w:val="22"/>
      </w:rPr>
      <w:tcPr>
        <w:tcBorders>
          <w:top w:val="single" w:color="C3D69C" w:themeColor="accent3" w:themeTint="98" w:sz="4" w:space="0"/>
          <w:bottom w:val="single" w:color="C3D69C" w:themeColor="accent3" w:themeTint="98" w:sz="4" w:space="0"/>
        </w:tcBorders>
      </w:tcPr>
    </w:tblStylePr>
  </w:style>
  <w:style w:type="table" w:customStyle="1" w:styleId="131">
    <w:name w:val="List Table 3 - Accent 4"/>
    <w:qFormat/>
    <w:uiPriority w:val="99"/>
    <w:tblPr>
      <w:tblBorders>
        <w:top w:val="single" w:color="B2A1C6" w:themeColor="accent4" w:themeTint="9A" w:sz="4" w:space="0"/>
        <w:left w:val="single" w:color="B2A1C6" w:themeColor="accent4" w:themeTint="9A" w:sz="4" w:space="0"/>
        <w:bottom w:val="single" w:color="B2A1C6" w:themeColor="accent4" w:themeTint="9A" w:sz="4" w:space="0"/>
        <w:right w:val="single" w:color="B2A1C6" w:themeColor="accent4" w:themeTint="9A" w:sz="4" w:space="0"/>
      </w:tblBorders>
      <w:tblCellMar>
        <w:top w:w="0" w:type="dxa"/>
        <w:left w:w="0" w:type="dxa"/>
        <w:bottom w:w="0" w:type="dxa"/>
        <w:right w:w="0" w:type="dxa"/>
      </w:tblCellMar>
    </w:tblPr>
    <w:tblStylePr w:type="firstRow">
      <w:rPr>
        <w:rFonts w:ascii="Arial" w:hAnsi="Arial"/>
        <w:b/>
        <w:color w:val="FFFFFF"/>
        <w:sz w:val="22"/>
      </w:r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B2A1C6" w:themeColor="accent4" w:themeTint="9A" w:sz="4" w:space="0"/>
          <w:right w:val="single" w:color="B2A1C6" w:themeColor="accent4" w:themeTint="9A" w:sz="4" w:space="0"/>
        </w:tcBorders>
      </w:tcPr>
    </w:tblStylePr>
    <w:tblStylePr w:type="band1Horz">
      <w:rPr>
        <w:rFonts w:ascii="Arial" w:hAnsi="Arial"/>
        <w:color w:val="404040"/>
        <w:sz w:val="22"/>
      </w:rPr>
      <w:tcPr>
        <w:tcBorders>
          <w:top w:val="single" w:color="B2A1C6" w:themeColor="accent4" w:themeTint="9A" w:sz="4" w:space="0"/>
          <w:bottom w:val="single" w:color="B2A1C6" w:themeColor="accent4" w:themeTint="9A" w:sz="4" w:space="0"/>
        </w:tcBorders>
      </w:tcPr>
    </w:tblStylePr>
  </w:style>
  <w:style w:type="table" w:customStyle="1" w:styleId="132">
    <w:name w:val="List Table 3 - Accent 5"/>
    <w:qFormat/>
    <w:uiPriority w:val="99"/>
    <w:tblPr>
      <w:tblBorders>
        <w:top w:val="single" w:color="92CCDC" w:themeColor="accent5" w:themeTint="9A" w:sz="4" w:space="0"/>
        <w:left w:val="single" w:color="92CCDC" w:themeColor="accent5" w:themeTint="9A" w:sz="4" w:space="0"/>
        <w:bottom w:val="single" w:color="92CCDC" w:themeColor="accent5" w:themeTint="9A" w:sz="4" w:space="0"/>
        <w:right w:val="single" w:color="92CCDC" w:themeColor="accent5" w:themeTint="9A" w:sz="4" w:space="0"/>
      </w:tblBorders>
      <w:tblCellMar>
        <w:top w:w="0" w:type="dxa"/>
        <w:left w:w="0" w:type="dxa"/>
        <w:bottom w:w="0" w:type="dxa"/>
        <w:right w:w="0" w:type="dxa"/>
      </w:tblCellMar>
    </w:tblPr>
    <w:tblStylePr w:type="firstRow">
      <w:rPr>
        <w:rFonts w:ascii="Arial" w:hAnsi="Arial"/>
        <w:b/>
        <w:color w:val="FFFFFF"/>
        <w:sz w:val="22"/>
      </w:r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92CCDC" w:themeColor="accent5" w:themeTint="9A" w:sz="4" w:space="0"/>
          <w:right w:val="single" w:color="92CCDC" w:themeColor="accent5" w:themeTint="9A" w:sz="4" w:space="0"/>
        </w:tcBorders>
      </w:tcPr>
    </w:tblStylePr>
    <w:tblStylePr w:type="band1Horz">
      <w:rPr>
        <w:rFonts w:ascii="Arial" w:hAnsi="Arial"/>
        <w:color w:val="404040"/>
        <w:sz w:val="22"/>
      </w:rPr>
      <w:tcPr>
        <w:tcBorders>
          <w:top w:val="single" w:color="92CCDC" w:themeColor="accent5" w:themeTint="9A" w:sz="4" w:space="0"/>
          <w:bottom w:val="single" w:color="92CCDC" w:themeColor="accent5" w:themeTint="9A" w:sz="4" w:space="0"/>
        </w:tcBorders>
      </w:tcPr>
    </w:tblStylePr>
  </w:style>
  <w:style w:type="table" w:customStyle="1" w:styleId="133">
    <w:name w:val="List Table 3 - Accent 6"/>
    <w:qFormat/>
    <w:uiPriority w:val="99"/>
    <w:tblPr>
      <w:tblBorders>
        <w:top w:val="single" w:color="FAC090" w:themeColor="accent6" w:themeTint="98" w:sz="4" w:space="0"/>
        <w:left w:val="single" w:color="FAC090" w:themeColor="accent6" w:themeTint="98" w:sz="4" w:space="0"/>
        <w:bottom w:val="single" w:color="FAC090" w:themeColor="accent6" w:themeTint="98" w:sz="4" w:space="0"/>
        <w:right w:val="single" w:color="FAC090" w:themeColor="accent6" w:themeTint="98" w:sz="4" w:space="0"/>
      </w:tblBorders>
      <w:tblCellMar>
        <w:top w:w="0" w:type="dxa"/>
        <w:left w:w="0" w:type="dxa"/>
        <w:bottom w:w="0" w:type="dxa"/>
        <w:right w:w="0" w:type="dxa"/>
      </w:tblCellMar>
    </w:tblPr>
    <w:tblStylePr w:type="firstRow">
      <w:rPr>
        <w:rFonts w:ascii="Arial" w:hAnsi="Arial"/>
        <w:b/>
        <w:color w:val="FFFFFF"/>
        <w:sz w:val="22"/>
      </w:r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tcBorders>
          <w:left w:val="single" w:color="FAC090" w:themeColor="accent6" w:themeTint="98" w:sz="4" w:space="0"/>
          <w:right w:val="single" w:color="FAC090" w:themeColor="accent6" w:themeTint="98" w:sz="4" w:space="0"/>
        </w:tcBorders>
      </w:tcPr>
    </w:tblStylePr>
    <w:tblStylePr w:type="band1Horz">
      <w:rPr>
        <w:rFonts w:ascii="Arial" w:hAnsi="Arial"/>
        <w:color w:val="404040"/>
        <w:sz w:val="22"/>
      </w:rPr>
      <w:tcPr>
        <w:tcBorders>
          <w:top w:val="single" w:color="FAC090" w:themeColor="accent6" w:themeTint="98" w:sz="4" w:space="0"/>
          <w:bottom w:val="single" w:color="FAC090" w:themeColor="accent6" w:themeTint="98" w:sz="4" w:space="0"/>
        </w:tcBorders>
      </w:tcPr>
    </w:tblStylePr>
  </w:style>
  <w:style w:type="table" w:customStyle="1" w:styleId="134">
    <w:name w:val="List Table 4"/>
    <w:qFormat/>
    <w:uiPriority w:val="9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CellMar>
        <w:top w:w="0" w:type="dxa"/>
        <w:left w:w="0" w:type="dxa"/>
        <w:bottom w:w="0" w:type="dxa"/>
        <w:right w:w="0" w:type="dxa"/>
      </w:tblCellMar>
    </w:tblPr>
    <w:tblStylePr w:type="firstRow">
      <w:rPr>
        <w:rFonts w:ascii="Arial" w:hAnsi="Arial"/>
        <w:b/>
        <w:color w:val="FFFFFF"/>
        <w:sz w:val="22"/>
      </w:r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BEBEBE" w:themeColor="text1" w:themeTint="40" w:fill="BEBEBE" w:themeFill="text1" w:themeFillTint="40"/>
      </w:tcPr>
    </w:tblStylePr>
    <w:tblStylePr w:type="band1Horz">
      <w:rPr>
        <w:rFonts w:ascii="Arial" w:hAnsi="Arial"/>
        <w:color w:val="404040"/>
        <w:sz w:val="22"/>
      </w:rPr>
      <w:tcPr>
        <w:shd w:val="clear" w:color="BEBEBE" w:themeColor="text1" w:themeTint="40" w:fill="BEBEBE" w:themeFill="text1" w:themeFillTint="40"/>
      </w:tcPr>
    </w:tblStylePr>
  </w:style>
  <w:style w:type="table" w:customStyle="1" w:styleId="135">
    <w:name w:val="List Table 4 - Accent 1"/>
    <w:qFormat/>
    <w:uiPriority w:val="99"/>
    <w:tblPr>
      <w:tblBorders>
        <w:top w:val="single" w:color="9BB7D9" w:themeColor="accent1" w:themeTint="90" w:sz="4" w:space="0"/>
        <w:left w:val="single" w:color="9BB7D9" w:themeColor="accent1" w:themeTint="90" w:sz="4" w:space="0"/>
        <w:bottom w:val="single" w:color="9BB7D9" w:themeColor="accent1" w:themeTint="90" w:sz="4" w:space="0"/>
        <w:right w:val="single" w:color="9BB7D9" w:themeColor="accent1" w:themeTint="90" w:sz="4" w:space="0"/>
        <w:insideH w:val="single" w:color="9BB7D9" w:themeColor="accent1" w:themeTint="90" w:sz="4" w:space="0"/>
      </w:tblBorders>
      <w:tblCellMar>
        <w:top w:w="0" w:type="dxa"/>
        <w:left w:w="0" w:type="dxa"/>
        <w:bottom w:w="0" w:type="dxa"/>
        <w:right w:w="0" w:type="dxa"/>
      </w:tblCellMar>
    </w:tblPr>
    <w:tblStylePr w:type="firstRow">
      <w:rPr>
        <w:rFonts w:ascii="Arial" w:hAnsi="Arial"/>
        <w:b/>
        <w:color w:val="FFFFFF"/>
        <w:sz w:val="22"/>
      </w:r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D2DFEE" w:themeColor="accent1" w:themeTint="40" w:fill="D2DFEE" w:themeFill="accent1" w:themeFillTint="40"/>
      </w:tcPr>
    </w:tblStylePr>
    <w:tblStylePr w:type="band1Horz">
      <w:rPr>
        <w:rFonts w:ascii="Arial" w:hAnsi="Arial"/>
        <w:color w:val="404040"/>
        <w:sz w:val="22"/>
      </w:rPr>
      <w:tcPr>
        <w:shd w:val="clear" w:color="D2DFEE" w:themeColor="accent1" w:themeTint="40" w:fill="D2DFEE" w:themeFill="accent1" w:themeFillTint="40"/>
      </w:tcPr>
    </w:tblStylePr>
  </w:style>
  <w:style w:type="table" w:customStyle="1" w:styleId="136">
    <w:name w:val="List Table 4 - Accent 2"/>
    <w:qFormat/>
    <w:uiPriority w:val="99"/>
    <w:tblPr>
      <w:tblBorders>
        <w:top w:val="single" w:color="DB9C9A" w:themeColor="accent2" w:themeTint="90" w:sz="4" w:space="0"/>
        <w:left w:val="single" w:color="DB9C9A" w:themeColor="accent2" w:themeTint="90" w:sz="4" w:space="0"/>
        <w:bottom w:val="single" w:color="DB9C9A" w:themeColor="accent2" w:themeTint="90" w:sz="4" w:space="0"/>
        <w:right w:val="single" w:color="DB9C9A" w:themeColor="accent2" w:themeTint="90" w:sz="4" w:space="0"/>
        <w:insideH w:val="single" w:color="DB9C9A" w:themeColor="accent2" w:themeTint="90" w:sz="4" w:space="0"/>
      </w:tblBorders>
      <w:tblCellMar>
        <w:top w:w="0" w:type="dxa"/>
        <w:left w:w="0" w:type="dxa"/>
        <w:bottom w:w="0" w:type="dxa"/>
        <w:right w:w="0" w:type="dxa"/>
      </w:tblCellMar>
    </w:tblPr>
    <w:tblStylePr w:type="firstRow">
      <w:rPr>
        <w:rFonts w:ascii="Arial" w:hAnsi="Arial"/>
        <w:b/>
        <w:color w:val="FFFFFF"/>
        <w:sz w:val="22"/>
      </w:r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EFD3D2" w:themeColor="accent2" w:themeTint="40" w:fill="EFD3D2" w:themeFill="accent2" w:themeFillTint="40"/>
      </w:tcPr>
    </w:tblStylePr>
    <w:tblStylePr w:type="band1Horz">
      <w:rPr>
        <w:rFonts w:ascii="Arial" w:hAnsi="Arial"/>
        <w:color w:val="404040"/>
        <w:sz w:val="22"/>
      </w:rPr>
      <w:tcPr>
        <w:shd w:val="clear" w:color="EFD3D2" w:themeColor="accent2" w:themeTint="40" w:fill="EFD3D2" w:themeFill="accent2" w:themeFillTint="40"/>
      </w:tcPr>
    </w:tblStylePr>
  </w:style>
  <w:style w:type="table" w:customStyle="1" w:styleId="137">
    <w:name w:val="List Table 4 - Accent 3"/>
    <w:qFormat/>
    <w:uiPriority w:val="99"/>
    <w:tblPr>
      <w:tblBorders>
        <w:top w:val="single" w:color="C6D8A1" w:themeColor="accent3" w:themeTint="90" w:sz="4" w:space="0"/>
        <w:left w:val="single" w:color="C6D8A1" w:themeColor="accent3" w:themeTint="90" w:sz="4" w:space="0"/>
        <w:bottom w:val="single" w:color="C6D8A1" w:themeColor="accent3" w:themeTint="90" w:sz="4" w:space="0"/>
        <w:right w:val="single" w:color="C6D8A1" w:themeColor="accent3" w:themeTint="90" w:sz="4" w:space="0"/>
        <w:insideH w:val="single" w:color="C6D8A1" w:themeColor="accent3" w:themeTint="90" w:sz="4" w:space="0"/>
      </w:tblBorders>
      <w:tblCellMar>
        <w:top w:w="0" w:type="dxa"/>
        <w:left w:w="0" w:type="dxa"/>
        <w:bottom w:w="0" w:type="dxa"/>
        <w:right w:w="0" w:type="dxa"/>
      </w:tblCellMar>
    </w:tblPr>
    <w:tblStylePr w:type="firstRow">
      <w:rPr>
        <w:rFonts w:ascii="Arial" w:hAnsi="Arial"/>
        <w:b/>
        <w:color w:val="FFFFFF"/>
        <w:sz w:val="22"/>
      </w:r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E5EDD5" w:themeColor="accent3" w:themeTint="40" w:fill="E5EDD5" w:themeFill="accent3" w:themeFillTint="40"/>
      </w:tcPr>
    </w:tblStylePr>
    <w:tblStylePr w:type="band1Horz">
      <w:rPr>
        <w:rFonts w:ascii="Arial" w:hAnsi="Arial"/>
        <w:color w:val="404040"/>
        <w:sz w:val="22"/>
      </w:rPr>
      <w:tcPr>
        <w:shd w:val="clear" w:color="E5EDD5" w:themeColor="accent3" w:themeTint="40" w:fill="E5EDD5" w:themeFill="accent3" w:themeFillTint="40"/>
      </w:tcPr>
    </w:tblStylePr>
  </w:style>
  <w:style w:type="table" w:customStyle="1" w:styleId="138">
    <w:name w:val="List Table 4 - Accent 4"/>
    <w:qFormat/>
    <w:uiPriority w:val="99"/>
    <w:tblPr>
      <w:tblBorders>
        <w:top w:val="single" w:color="B7A7CA" w:themeColor="accent4" w:themeTint="90" w:sz="4" w:space="0"/>
        <w:left w:val="single" w:color="B7A7CA" w:themeColor="accent4" w:themeTint="90" w:sz="4" w:space="0"/>
        <w:bottom w:val="single" w:color="B7A7CA" w:themeColor="accent4" w:themeTint="90" w:sz="4" w:space="0"/>
        <w:right w:val="single" w:color="B7A7CA" w:themeColor="accent4" w:themeTint="90" w:sz="4" w:space="0"/>
        <w:insideH w:val="single" w:color="B7A7CA" w:themeColor="accent4" w:themeTint="90" w:sz="4" w:space="0"/>
      </w:tblBorders>
      <w:tblCellMar>
        <w:top w:w="0" w:type="dxa"/>
        <w:left w:w="0" w:type="dxa"/>
        <w:bottom w:w="0" w:type="dxa"/>
        <w:right w:w="0" w:type="dxa"/>
      </w:tblCellMar>
    </w:tblPr>
    <w:tblStylePr w:type="firstRow">
      <w:rPr>
        <w:rFonts w:ascii="Arial" w:hAnsi="Arial"/>
        <w:b/>
        <w:color w:val="FFFFFF"/>
        <w:sz w:val="22"/>
      </w:r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DFD8E7" w:themeColor="accent4" w:themeTint="40" w:fill="DFD8E7" w:themeFill="accent4" w:themeFillTint="40"/>
      </w:tcPr>
    </w:tblStylePr>
    <w:tblStylePr w:type="band1Horz">
      <w:rPr>
        <w:rFonts w:ascii="Arial" w:hAnsi="Arial"/>
        <w:color w:val="404040"/>
        <w:sz w:val="22"/>
      </w:rPr>
      <w:tcPr>
        <w:shd w:val="clear" w:color="DFD8E7" w:themeColor="accent4" w:themeTint="40" w:fill="DFD8E7" w:themeFill="accent4" w:themeFillTint="40"/>
      </w:tcPr>
    </w:tblStylePr>
  </w:style>
  <w:style w:type="table" w:customStyle="1" w:styleId="139">
    <w:name w:val="List Table 4 - Accent 5"/>
    <w:qFormat/>
    <w:uiPriority w:val="99"/>
    <w:tblPr>
      <w:tblBorders>
        <w:top w:val="single" w:color="99D0DE" w:themeColor="accent5" w:themeTint="90" w:sz="4" w:space="0"/>
        <w:left w:val="single" w:color="99D0DE" w:themeColor="accent5" w:themeTint="90" w:sz="4" w:space="0"/>
        <w:bottom w:val="single" w:color="99D0DE" w:themeColor="accent5" w:themeTint="90" w:sz="4" w:space="0"/>
        <w:right w:val="single" w:color="99D0DE" w:themeColor="accent5" w:themeTint="90" w:sz="4" w:space="0"/>
        <w:insideH w:val="single" w:color="99D0DE" w:themeColor="accent5" w:themeTint="90" w:sz="4" w:space="0"/>
      </w:tblBorders>
      <w:tblCellMar>
        <w:top w:w="0" w:type="dxa"/>
        <w:left w:w="0" w:type="dxa"/>
        <w:bottom w:w="0" w:type="dxa"/>
        <w:right w:w="0" w:type="dxa"/>
      </w:tblCellMar>
    </w:tblPr>
    <w:tblStylePr w:type="firstRow">
      <w:rPr>
        <w:rFonts w:ascii="Arial" w:hAnsi="Arial"/>
        <w:b/>
        <w:color w:val="FFFFFF"/>
        <w:sz w:val="22"/>
      </w:r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D1EAF0" w:themeColor="accent5" w:themeTint="40" w:fill="D1EAF0" w:themeFill="accent5" w:themeFillTint="40"/>
      </w:tcPr>
    </w:tblStylePr>
    <w:tblStylePr w:type="band1Horz">
      <w:rPr>
        <w:rFonts w:ascii="Arial" w:hAnsi="Arial"/>
        <w:color w:val="404040"/>
        <w:sz w:val="22"/>
      </w:rPr>
      <w:tcPr>
        <w:shd w:val="clear" w:color="D1EAF0" w:themeColor="accent5" w:themeTint="40" w:fill="D1EAF0" w:themeFill="accent5" w:themeFillTint="40"/>
      </w:tcPr>
    </w:tblStylePr>
  </w:style>
  <w:style w:type="table" w:customStyle="1" w:styleId="140">
    <w:name w:val="List Table 4 - Accent 6"/>
    <w:qFormat/>
    <w:uiPriority w:val="99"/>
    <w:tblPr>
      <w:tblBorders>
        <w:top w:val="single" w:color="FAC396" w:themeColor="accent6" w:themeTint="90" w:sz="4" w:space="0"/>
        <w:left w:val="single" w:color="FAC396" w:themeColor="accent6" w:themeTint="90" w:sz="4" w:space="0"/>
        <w:bottom w:val="single" w:color="FAC396" w:themeColor="accent6" w:themeTint="90" w:sz="4" w:space="0"/>
        <w:right w:val="single" w:color="FAC396" w:themeColor="accent6" w:themeTint="90" w:sz="4" w:space="0"/>
        <w:insideH w:val="single" w:color="FAC396" w:themeColor="accent6" w:themeTint="90" w:sz="4" w:space="0"/>
      </w:tblBorders>
      <w:tblCellMar>
        <w:top w:w="0" w:type="dxa"/>
        <w:left w:w="0" w:type="dxa"/>
        <w:bottom w:w="0" w:type="dxa"/>
        <w:right w:w="0" w:type="dxa"/>
      </w:tblCellMar>
    </w:tblPr>
    <w:tblStylePr w:type="firstRow">
      <w:rPr>
        <w:rFonts w:ascii="Arial" w:hAnsi="Arial"/>
        <w:b/>
        <w:color w:val="FFFFFF"/>
        <w:sz w:val="22"/>
      </w:r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cPr>
        <w:shd w:val="clear" w:color="FCE4D0" w:themeColor="accent6" w:themeTint="40" w:fill="FCE4D0" w:themeFill="accent6" w:themeFillTint="40"/>
      </w:tcPr>
    </w:tblStylePr>
    <w:tblStylePr w:type="band1Horz">
      <w:rPr>
        <w:rFonts w:ascii="Arial" w:hAnsi="Arial"/>
        <w:color w:val="404040"/>
        <w:sz w:val="22"/>
      </w:rPr>
      <w:tcPr>
        <w:shd w:val="clear" w:color="FCE4D0" w:themeColor="accent6" w:themeTint="40" w:fill="FCE4D0" w:themeFill="accent6" w:themeFillTint="40"/>
      </w:tcPr>
    </w:tblStylePr>
  </w:style>
  <w:style w:type="table" w:customStyle="1" w:styleId="141">
    <w:name w:val="List Table 5 Dark"/>
    <w:qFormat/>
    <w:uiPriority w:val="99"/>
    <w:tblPr>
      <w:tblBorders>
        <w:top w:val="single" w:color="7E7E7E" w:themeColor="text1" w:themeTint="80" w:sz="32" w:space="0"/>
        <w:left w:val="single" w:color="7E7E7E" w:themeColor="text1" w:themeTint="80" w:sz="32" w:space="0"/>
        <w:bottom w:val="single" w:color="7E7E7E" w:themeColor="text1" w:themeTint="80" w:sz="32" w:space="0"/>
        <w:right w:val="single" w:color="7E7E7E" w:themeColor="text1" w:themeTint="80"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7E7E7E" w:themeColor="text1" w:themeTint="80" w:sz="32" w:space="0"/>
          <w:bottom w:val="single" w:color="FFFFFF" w:themeColor="light1" w:sz="12" w:space="0"/>
        </w:tcBorders>
        <w:shd w:val="clear" w:color="7E7E7E" w:themeColor="text1" w:themeTint="80" w:fill="7E7E7E"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7E7E7E" w:themeColor="text1" w:themeTint="80" w:sz="32" w:space="0"/>
          <w:right w:val="single" w:color="FFFFFF" w:themeColor="light1" w:sz="4" w:space="0"/>
        </w:tcBorders>
      </w:tcPr>
    </w:tblStylePr>
    <w:tblStylePr w:type="lastCol">
      <w:tcPr>
        <w:tcBorders>
          <w:left w:val="single" w:color="FFFFFF" w:themeColor="light1" w:sz="4" w:space="0"/>
          <w:right w:val="single" w:color="7E7E7E" w:themeColor="text1" w:themeTint="80" w:sz="32" w:space="0"/>
        </w:tcBorders>
      </w:tcPr>
    </w:tblStylePr>
    <w:tblStylePr w:type="band1Vert">
      <w:tcPr>
        <w:tcBorders>
          <w:left w:val="single" w:color="FFFFFF" w:themeColor="light1" w:sz="4" w:space="0"/>
          <w:right w:val="single" w:color="FFFFFF" w:themeColor="light1" w:sz="4" w:space="0"/>
        </w:tcBorders>
        <w:shd w:val="clear" w:color="7E7E7E" w:themeColor="text1" w:themeTint="80" w:fill="7E7E7E" w:themeFill="text1" w:themeFillTint="80"/>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7E7E7E" w:themeColor="text1" w:themeTint="80" w:fill="7E7E7E" w:themeFill="text1" w:themeFillTint="80"/>
      </w:tcPr>
    </w:tblStylePr>
    <w:tblStylePr w:type="band2Horz">
      <w:tcPr>
        <w:tcBorders>
          <w:top w:val="single" w:color="FFFFFF" w:themeColor="light1" w:sz="4" w:space="0"/>
          <w:bottom w:val="single" w:color="FFFFFF" w:themeColor="light1" w:sz="4" w:space="0"/>
        </w:tcBorders>
        <w:shd w:val="clear" w:color="7E7E7E" w:themeColor="text1" w:themeTint="80" w:fill="7E7E7E" w:themeFill="text1" w:themeFillTint="80"/>
      </w:tcPr>
    </w:tblStylePr>
  </w:style>
  <w:style w:type="table" w:customStyle="1" w:styleId="142">
    <w:name w:val="List Table 5 Dark - Accent 1"/>
    <w:qFormat/>
    <w:uiPriority w:val="99"/>
    <w:tblPr>
      <w:tblBorders>
        <w:top w:val="single" w:color="4F81BD" w:themeColor="accent1" w:sz="32" w:space="0"/>
        <w:left w:val="single" w:color="4F81BD" w:themeColor="accent1" w:sz="32" w:space="0"/>
        <w:bottom w:val="single" w:color="4F81BD" w:themeColor="accent1" w:sz="32" w:space="0"/>
        <w:right w:val="single" w:color="4F81BD" w:themeColor="accent1"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4F81BD" w:themeColor="accent1" w:sz="32" w:space="0"/>
          <w:bottom w:val="single" w:color="FFFFFF" w:themeColor="light1" w:sz="12" w:space="0"/>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4F81BD" w:themeColor="accent1" w:sz="32" w:space="0"/>
          <w:right w:val="single" w:color="FFFFFF" w:themeColor="light1" w:sz="4" w:space="0"/>
        </w:tcBorders>
      </w:tcPr>
    </w:tblStylePr>
    <w:tblStylePr w:type="lastCol">
      <w:tcPr>
        <w:tcBorders>
          <w:left w:val="single" w:color="FFFFFF" w:themeColor="light1" w:sz="4" w:space="0"/>
          <w:right w:val="single" w:color="4F81BD" w:themeColor="accent1" w:sz="32" w:space="0"/>
        </w:tcBorders>
      </w:tcPr>
    </w:tblStylePr>
    <w:tblStylePr w:type="band1Vert">
      <w:tcPr>
        <w:tcBorders>
          <w:left w:val="single" w:color="FFFFFF" w:themeColor="light1" w:sz="4" w:space="0"/>
          <w:right w:val="single" w:color="FFFFFF" w:themeColor="light1" w:sz="4" w:space="0"/>
        </w:tcBorders>
        <w:shd w:val="clear" w:color="4F81BD" w:themeColor="accent1" w:fill="4F81BD" w:themeFill="accent1"/>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4F81BD" w:themeColor="accent1" w:fill="4F81BD" w:themeFill="accent1"/>
      </w:tcPr>
    </w:tblStylePr>
    <w:tblStylePr w:type="band2Horz">
      <w:tcPr>
        <w:tcBorders>
          <w:top w:val="single" w:color="FFFFFF" w:themeColor="light1" w:sz="4" w:space="0"/>
          <w:bottom w:val="single" w:color="FFFFFF" w:themeColor="light1" w:sz="4" w:space="0"/>
        </w:tcBorders>
        <w:shd w:val="clear" w:color="4F81BD" w:themeColor="accent1" w:fill="4F81BD" w:themeFill="accent1"/>
      </w:tcPr>
    </w:tblStylePr>
  </w:style>
  <w:style w:type="table" w:customStyle="1" w:styleId="143">
    <w:name w:val="List Table 5 Dark - Accent 2"/>
    <w:qFormat/>
    <w:uiPriority w:val="99"/>
    <w:tblPr>
      <w:tblBorders>
        <w:top w:val="single" w:color="D99795" w:themeColor="accent2" w:themeTint="97" w:sz="32" w:space="0"/>
        <w:left w:val="single" w:color="D99795" w:themeColor="accent2" w:themeTint="97" w:sz="32" w:space="0"/>
        <w:bottom w:val="single" w:color="D99795" w:themeColor="accent2" w:themeTint="97" w:sz="32" w:space="0"/>
        <w:right w:val="single" w:color="D99795" w:themeColor="accent2" w:themeTint="97"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D99795" w:themeColor="accent2" w:themeTint="97" w:sz="32" w:space="0"/>
          <w:bottom w:val="single" w:color="FFFFFF" w:themeColor="light1" w:sz="12" w:space="0"/>
        </w:tcBorders>
        <w:shd w:val="clear" w:color="D99795" w:themeColor="accent2" w:themeTint="97" w:fill="D997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D99795" w:themeColor="accent2" w:themeTint="97" w:sz="32" w:space="0"/>
          <w:right w:val="single" w:color="FFFFFF" w:themeColor="light1" w:sz="4" w:space="0"/>
        </w:tcBorders>
      </w:tcPr>
    </w:tblStylePr>
    <w:tblStylePr w:type="lastCol">
      <w:tcPr>
        <w:tcBorders>
          <w:left w:val="single" w:color="FFFFFF" w:themeColor="light1" w:sz="4" w:space="0"/>
          <w:right w:val="single" w:color="D99795" w:themeColor="accent2" w:themeTint="97" w:sz="32" w:space="0"/>
        </w:tcBorders>
      </w:tcPr>
    </w:tblStylePr>
    <w:tblStylePr w:type="band1Vert">
      <w:tcPr>
        <w:tcBorders>
          <w:left w:val="single" w:color="FFFFFF" w:themeColor="light1" w:sz="4" w:space="0"/>
          <w:right w:val="single" w:color="FFFFFF" w:themeColor="light1" w:sz="4" w:space="0"/>
        </w:tcBorders>
        <w:shd w:val="clear" w:color="D99795" w:themeColor="accent2" w:themeTint="97" w:fill="D99795" w:themeFill="accent2" w:themeFillTint="97"/>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D99795" w:themeColor="accent2" w:themeTint="97" w:fill="D99795" w:themeFill="accent2" w:themeFillTint="97"/>
      </w:tcPr>
    </w:tblStylePr>
    <w:tblStylePr w:type="band2Horz">
      <w:tcPr>
        <w:tcBorders>
          <w:top w:val="single" w:color="FFFFFF" w:themeColor="light1" w:sz="4" w:space="0"/>
          <w:bottom w:val="single" w:color="FFFFFF" w:themeColor="light1" w:sz="4" w:space="0"/>
        </w:tcBorders>
        <w:shd w:val="clear" w:color="D99795" w:themeColor="accent2" w:themeTint="97" w:fill="D99795" w:themeFill="accent2" w:themeFillTint="97"/>
      </w:tcPr>
    </w:tblStylePr>
  </w:style>
  <w:style w:type="table" w:customStyle="1" w:styleId="144">
    <w:name w:val="List Table 5 Dark - Accent 3"/>
    <w:qFormat/>
    <w:uiPriority w:val="99"/>
    <w:tblPr>
      <w:tblBorders>
        <w:top w:val="single" w:color="C3D69C" w:themeColor="accent3" w:themeTint="98" w:sz="32" w:space="0"/>
        <w:left w:val="single" w:color="C3D69C" w:themeColor="accent3" w:themeTint="98" w:sz="32" w:space="0"/>
        <w:bottom w:val="single" w:color="C3D69C" w:themeColor="accent3" w:themeTint="98" w:sz="32" w:space="0"/>
        <w:right w:val="single" w:color="C3D69C" w:themeColor="accent3" w:themeTint="98"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C3D69C" w:themeColor="accent3" w:themeTint="98" w:sz="32" w:space="0"/>
          <w:bottom w:val="single" w:color="FFFFFF" w:themeColor="light1" w:sz="12" w:space="0"/>
        </w:tcBorders>
        <w:shd w:val="clear" w:color="C3D69C" w:themeColor="accent3" w:themeTint="98" w:fill="C3D69C"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C3D69C" w:themeColor="accent3" w:themeTint="98" w:sz="32" w:space="0"/>
          <w:right w:val="single" w:color="FFFFFF" w:themeColor="light1" w:sz="4" w:space="0"/>
        </w:tcBorders>
      </w:tcPr>
    </w:tblStylePr>
    <w:tblStylePr w:type="lastCol">
      <w:tcPr>
        <w:tcBorders>
          <w:left w:val="single" w:color="FFFFFF" w:themeColor="light1" w:sz="4" w:space="0"/>
          <w:right w:val="single" w:color="C3D69C" w:themeColor="accent3" w:themeTint="98" w:sz="32" w:space="0"/>
        </w:tcBorders>
      </w:tcPr>
    </w:tblStylePr>
    <w:tblStylePr w:type="band1Vert">
      <w:tcPr>
        <w:tcBorders>
          <w:left w:val="single" w:color="FFFFFF" w:themeColor="light1" w:sz="4" w:space="0"/>
          <w:right w:val="single" w:color="FFFFFF" w:themeColor="light1" w:sz="4" w:space="0"/>
        </w:tcBorders>
        <w:shd w:val="clear" w:color="C3D69C" w:themeColor="accent3" w:themeTint="98" w:fill="C3D69C" w:themeFill="accent3" w:themeFillTint="98"/>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C3D69C" w:themeColor="accent3" w:themeTint="98" w:fill="C3D69C" w:themeFill="accent3" w:themeFillTint="98"/>
      </w:tcPr>
    </w:tblStylePr>
    <w:tblStylePr w:type="band2Horz">
      <w:tcPr>
        <w:tcBorders>
          <w:top w:val="single" w:color="FFFFFF" w:themeColor="light1" w:sz="4" w:space="0"/>
          <w:bottom w:val="single" w:color="FFFFFF" w:themeColor="light1" w:sz="4" w:space="0"/>
        </w:tcBorders>
        <w:shd w:val="clear" w:color="C3D69C" w:themeColor="accent3" w:themeTint="98" w:fill="C3D69C" w:themeFill="accent3" w:themeFillTint="98"/>
      </w:tcPr>
    </w:tblStylePr>
  </w:style>
  <w:style w:type="table" w:customStyle="1" w:styleId="145">
    <w:name w:val="List Table 5 Dark - Accent 4"/>
    <w:qFormat/>
    <w:uiPriority w:val="99"/>
    <w:tblPr>
      <w:tblBorders>
        <w:top w:val="single" w:color="B2A1C6" w:themeColor="accent4" w:themeTint="9A" w:sz="32" w:space="0"/>
        <w:left w:val="single" w:color="B2A1C6" w:themeColor="accent4" w:themeTint="9A" w:sz="32" w:space="0"/>
        <w:bottom w:val="single" w:color="B2A1C6" w:themeColor="accent4" w:themeTint="9A" w:sz="32" w:space="0"/>
        <w:right w:val="single" w:color="B2A1C6" w:themeColor="accent4" w:themeTint="9A"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B2A1C6" w:themeColor="accent4" w:themeTint="9A" w:sz="32" w:space="0"/>
          <w:bottom w:val="single" w:color="FFFFFF" w:themeColor="light1" w:sz="12" w:space="0"/>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B2A1C6" w:themeColor="accent4" w:themeTint="9A" w:sz="32" w:space="0"/>
          <w:right w:val="single" w:color="FFFFFF" w:themeColor="light1" w:sz="4" w:space="0"/>
        </w:tcBorders>
      </w:tcPr>
    </w:tblStylePr>
    <w:tblStylePr w:type="lastCol">
      <w:tcPr>
        <w:tcBorders>
          <w:left w:val="single" w:color="FFFFFF" w:themeColor="light1" w:sz="4" w:space="0"/>
          <w:right w:val="single" w:color="B2A1C6" w:themeColor="accent4" w:themeTint="9A" w:sz="32" w:space="0"/>
        </w:tcBorders>
      </w:tcPr>
    </w:tblStylePr>
    <w:tblStylePr w:type="band1Vert">
      <w:tcPr>
        <w:tcBorders>
          <w:left w:val="single" w:color="FFFFFF" w:themeColor="light1" w:sz="4" w:space="0"/>
          <w:right w:val="single" w:color="FFFFFF" w:themeColor="light1" w:sz="4" w:space="0"/>
        </w:tcBorders>
        <w:shd w:val="clear" w:color="B2A1C6" w:themeColor="accent4" w:themeTint="9A" w:fill="B2A1C6" w:themeFill="accent4" w:themeFillTint="9A"/>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B2A1C6" w:themeColor="accent4" w:themeTint="9A" w:fill="B2A1C6" w:themeFill="accent4" w:themeFillTint="9A"/>
      </w:tcPr>
    </w:tblStylePr>
    <w:tblStylePr w:type="band2Horz">
      <w:tcPr>
        <w:tcBorders>
          <w:top w:val="single" w:color="FFFFFF" w:themeColor="light1" w:sz="4" w:space="0"/>
          <w:bottom w:val="single" w:color="FFFFFF" w:themeColor="light1" w:sz="4" w:space="0"/>
        </w:tcBorders>
        <w:shd w:val="clear" w:color="B2A1C6" w:themeColor="accent4" w:themeTint="9A" w:fill="B2A1C6" w:themeFill="accent4" w:themeFillTint="9A"/>
      </w:tcPr>
    </w:tblStylePr>
  </w:style>
  <w:style w:type="table" w:customStyle="1" w:styleId="146">
    <w:name w:val="List Table 5 Dark - Accent 5"/>
    <w:qFormat/>
    <w:uiPriority w:val="99"/>
    <w:tblPr>
      <w:tblBorders>
        <w:top w:val="single" w:color="92CCDC" w:themeColor="accent5" w:themeTint="9A" w:sz="32" w:space="0"/>
        <w:left w:val="single" w:color="92CCDC" w:themeColor="accent5" w:themeTint="9A" w:sz="32" w:space="0"/>
        <w:bottom w:val="single" w:color="92CCDC" w:themeColor="accent5" w:themeTint="9A" w:sz="32" w:space="0"/>
        <w:right w:val="single" w:color="92CCDC" w:themeColor="accent5" w:themeTint="9A"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92CCDC" w:themeColor="accent5" w:themeTint="9A" w:sz="32" w:space="0"/>
          <w:bottom w:val="single" w:color="FFFFFF" w:themeColor="light1" w:sz="12" w:space="0"/>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92CCDC" w:themeColor="accent5" w:themeTint="9A" w:sz="32" w:space="0"/>
          <w:right w:val="single" w:color="FFFFFF" w:themeColor="light1" w:sz="4" w:space="0"/>
        </w:tcBorders>
      </w:tcPr>
    </w:tblStylePr>
    <w:tblStylePr w:type="lastCol">
      <w:tcPr>
        <w:tcBorders>
          <w:left w:val="single" w:color="FFFFFF" w:themeColor="light1" w:sz="4" w:space="0"/>
          <w:right w:val="single" w:color="92CCDC" w:themeColor="accent5" w:themeTint="9A" w:sz="32" w:space="0"/>
        </w:tcBorders>
      </w:tcPr>
    </w:tblStylePr>
    <w:tblStylePr w:type="band1Vert">
      <w:tcPr>
        <w:tcBorders>
          <w:left w:val="single" w:color="FFFFFF" w:themeColor="light1" w:sz="4" w:space="0"/>
          <w:right w:val="single" w:color="FFFFFF" w:themeColor="light1" w:sz="4" w:space="0"/>
        </w:tcBorders>
        <w:shd w:val="clear" w:color="92CCDC" w:themeColor="accent5" w:themeTint="9A" w:fill="92CCDC" w:themeFill="accent5" w:themeFillTint="9A"/>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92CCDC" w:themeColor="accent5" w:themeTint="9A" w:fill="92CCDC" w:themeFill="accent5" w:themeFillTint="9A"/>
      </w:tcPr>
    </w:tblStylePr>
    <w:tblStylePr w:type="band2Horz">
      <w:tcPr>
        <w:tcBorders>
          <w:top w:val="single" w:color="FFFFFF" w:themeColor="light1" w:sz="4" w:space="0"/>
          <w:bottom w:val="single" w:color="FFFFFF" w:themeColor="light1" w:sz="4" w:space="0"/>
        </w:tcBorders>
        <w:shd w:val="clear" w:color="92CCDC" w:themeColor="accent5" w:themeTint="9A" w:fill="92CCDC" w:themeFill="accent5" w:themeFillTint="9A"/>
      </w:tcPr>
    </w:tblStylePr>
  </w:style>
  <w:style w:type="table" w:customStyle="1" w:styleId="147">
    <w:name w:val="List Table 5 Dark - Accent 6"/>
    <w:qFormat/>
    <w:uiPriority w:val="99"/>
    <w:tblPr>
      <w:tblBorders>
        <w:top w:val="single" w:color="FAC090" w:themeColor="accent6" w:themeTint="98" w:sz="32" w:space="0"/>
        <w:left w:val="single" w:color="FAC090" w:themeColor="accent6" w:themeTint="98" w:sz="32" w:space="0"/>
        <w:bottom w:val="single" w:color="FAC090" w:themeColor="accent6" w:themeTint="98" w:sz="32" w:space="0"/>
        <w:right w:val="single" w:color="FAC090" w:themeColor="accent6" w:themeTint="98" w:sz="32" w:space="0"/>
      </w:tblBorders>
      <w:tblCellMar>
        <w:top w:w="0" w:type="dxa"/>
        <w:left w:w="0" w:type="dxa"/>
        <w:bottom w:w="0" w:type="dxa"/>
        <w:right w:w="0" w:type="dxa"/>
      </w:tblCellMar>
    </w:tblPr>
    <w:tblStylePr w:type="firstRow">
      <w:rPr>
        <w:rFonts w:ascii="Arial" w:hAnsi="Arial"/>
        <w:b/>
        <w:color w:val="FFFFFF" w:themeColor="light1"/>
        <w:sz w:val="22"/>
      </w:rPr>
      <w:tcPr>
        <w:tcBorders>
          <w:top w:val="single" w:color="FAC090" w:themeColor="accent6" w:themeTint="98" w:sz="32" w:space="0"/>
          <w:bottom w:val="single" w:color="FFFFFF" w:themeColor="light1" w:sz="12" w:space="0"/>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cPr>
        <w:tcBorders>
          <w:left w:val="single" w:color="FAC090" w:themeColor="accent6" w:themeTint="98" w:sz="32" w:space="0"/>
          <w:right w:val="single" w:color="FFFFFF" w:themeColor="light1" w:sz="4" w:space="0"/>
        </w:tcBorders>
      </w:tcPr>
    </w:tblStylePr>
    <w:tblStylePr w:type="lastCol">
      <w:tcPr>
        <w:tcBorders>
          <w:left w:val="single" w:color="FFFFFF" w:themeColor="light1" w:sz="4" w:space="0"/>
          <w:right w:val="single" w:color="FAC090" w:themeColor="accent6" w:themeTint="98" w:sz="32" w:space="0"/>
        </w:tcBorders>
      </w:tcPr>
    </w:tblStylePr>
    <w:tblStylePr w:type="band1Vert">
      <w:tcPr>
        <w:tcBorders>
          <w:left w:val="single" w:color="FFFFFF" w:themeColor="light1" w:sz="4" w:space="0"/>
          <w:right w:val="single" w:color="FFFFFF" w:themeColor="light1" w:sz="4" w:space="0"/>
        </w:tcBorders>
        <w:shd w:val="clear" w:color="FAC090" w:themeColor="accent6" w:themeTint="98" w:fill="FAC090" w:themeFill="accent6" w:themeFillTint="98"/>
      </w:tcPr>
    </w:tblStylePr>
    <w:tblStylePr w:type="band2Vert">
      <w:tcPr>
        <w:tcBorders>
          <w:left w:val="single" w:color="FFFFFF" w:themeColor="light1" w:sz="4" w:space="0"/>
          <w:right w:val="single" w:color="FFFFFF" w:themeColor="light1" w:sz="4" w:space="0"/>
        </w:tcBorders>
      </w:tcPr>
    </w:tblStylePr>
    <w:tblStylePr w:type="band1Horz">
      <w:tcPr>
        <w:tcBorders>
          <w:top w:val="single" w:color="FFFFFF" w:themeColor="light1" w:sz="4" w:space="0"/>
          <w:bottom w:val="single" w:color="FFFFFF" w:themeColor="light1" w:sz="4" w:space="0"/>
        </w:tcBorders>
        <w:shd w:val="clear" w:color="FAC090" w:themeColor="accent6" w:themeTint="98" w:fill="FAC090" w:themeFill="accent6" w:themeFillTint="98"/>
      </w:tcPr>
    </w:tblStylePr>
    <w:tblStylePr w:type="band2Horz">
      <w:tcPr>
        <w:tcBorders>
          <w:top w:val="single" w:color="FFFFFF" w:themeColor="light1" w:sz="4" w:space="0"/>
          <w:bottom w:val="single" w:color="FFFFFF" w:themeColor="light1" w:sz="4" w:space="0"/>
        </w:tcBorders>
        <w:shd w:val="clear" w:color="FAC090" w:themeColor="accent6" w:themeTint="98" w:fill="FAC090" w:themeFill="accent6" w:themeFillTint="98"/>
      </w:tcPr>
    </w:tblStylePr>
  </w:style>
  <w:style w:type="table" w:customStyle="1" w:styleId="148">
    <w:name w:val="List Table 6 Colorful"/>
    <w:qFormat/>
    <w:uiPriority w:val="99"/>
    <w:tblPr>
      <w:tblBorders>
        <w:top w:val="single" w:color="7E7E7E" w:themeColor="text1" w:themeTint="80" w:sz="4" w:space="0"/>
        <w:bottom w:val="single" w:color="7E7E7E" w:themeColor="text1" w:themeTint="80" w:sz="4" w:space="0"/>
      </w:tblBorders>
      <w:tblCellMar>
        <w:top w:w="0" w:type="dxa"/>
        <w:left w:w="0" w:type="dxa"/>
        <w:bottom w:w="0" w:type="dxa"/>
        <w:right w:w="0" w:type="dxa"/>
      </w:tblCellMar>
    </w:tblPr>
    <w:tblStylePr w:type="firstRow">
      <w:rPr>
        <w:b/>
        <w:color w:val="000000" w:themeColor="text1"/>
      </w:rPr>
      <w:tcPr>
        <w:tcBorders>
          <w:bottom w:val="single" w:color="7E7E7E" w:themeColor="text1" w:themeTint="80" w:sz="4" w:space="0"/>
        </w:tcBorders>
      </w:tcPr>
    </w:tblStylePr>
    <w:tblStylePr w:type="lastRow">
      <w:rPr>
        <w:b/>
        <w:color w:val="000000" w:themeColor="text1"/>
      </w:rPr>
      <w:tcPr>
        <w:tcBorders>
          <w:top w:val="single" w:color="7E7E7E" w:themeColor="text1" w:themeTint="80" w:sz="4" w:space="0"/>
        </w:tcBorders>
      </w:tcPr>
    </w:tblStylePr>
    <w:tblStylePr w:type="firstCol">
      <w:rPr>
        <w:b/>
        <w:color w:val="000000" w:themeColor="text1"/>
      </w:rPr>
    </w:tblStylePr>
    <w:tblStylePr w:type="lastCol">
      <w:rPr>
        <w:b/>
        <w:color w:val="000000" w:themeColor="text1"/>
      </w:rPr>
    </w:tblStylePr>
    <w:tblStylePr w:type="band1Vert">
      <w:tcPr>
        <w:shd w:val="clear" w:color="BEBEBE" w:themeColor="text1" w:themeTint="40" w:fill="BEBEBE" w:themeFill="text1" w:themeFillTint="40"/>
      </w:tcPr>
    </w:tblStylePr>
    <w:tblStylePr w:type="band1Horz">
      <w:rPr>
        <w:rFonts w:ascii="Arial" w:hAnsi="Arial"/>
        <w:color w:val="000000" w:themeColor="text1"/>
        <w:sz w:val="22"/>
      </w:rPr>
      <w:tcPr>
        <w:shd w:val="clear" w:color="BEBEBE" w:themeColor="text1" w:themeTint="40" w:fill="BEBEBE" w:themeFill="text1" w:themeFillTint="40"/>
      </w:tcPr>
    </w:tblStylePr>
    <w:tblStylePr w:type="band2Horz">
      <w:rPr>
        <w:rFonts w:ascii="Arial" w:hAnsi="Arial"/>
        <w:color w:val="000000" w:themeColor="text1"/>
        <w:sz w:val="22"/>
      </w:rPr>
    </w:tblStylePr>
  </w:style>
  <w:style w:type="table" w:customStyle="1" w:styleId="149">
    <w:name w:val="List Table 6 Colorful - Accent 1"/>
    <w:qFormat/>
    <w:uiPriority w:val="99"/>
    <w:tblPr>
      <w:tblBorders>
        <w:top w:val="single" w:color="4F81BD" w:themeColor="accent1" w:sz="4" w:space="0"/>
        <w:bottom w:val="single" w:color="4F81BD" w:themeColor="accent1" w:sz="4" w:space="0"/>
      </w:tblBorders>
      <w:tblCellMar>
        <w:top w:w="0" w:type="dxa"/>
        <w:left w:w="0" w:type="dxa"/>
        <w:bottom w:w="0" w:type="dxa"/>
        <w:right w:w="0" w:type="dxa"/>
      </w:tblCellMar>
    </w:tblPr>
    <w:tblStylePr w:type="firstRow">
      <w:rPr>
        <w:b/>
        <w:color w:val="2A4A71" w:themeColor="accent1" w:themeShade="94"/>
      </w:rPr>
      <w:tcPr>
        <w:tcBorders>
          <w:bottom w:val="single" w:color="4F81BD" w:themeColor="accent1" w:sz="4" w:space="0"/>
        </w:tcBorders>
      </w:tcPr>
    </w:tblStylePr>
    <w:tblStylePr w:type="lastRow">
      <w:rPr>
        <w:b/>
        <w:color w:val="2A4A71" w:themeColor="accent1" w:themeShade="94"/>
      </w:rPr>
      <w:tcPr>
        <w:tcBorders>
          <w:top w:val="single" w:color="4F81BD" w:themeColor="accent1" w:sz="4" w:space="0"/>
        </w:tcBorders>
      </w:tcPr>
    </w:tblStylePr>
    <w:tblStylePr w:type="firstCol">
      <w:rPr>
        <w:b/>
        <w:color w:val="2A4A71" w:themeColor="accent1" w:themeShade="94"/>
      </w:rPr>
    </w:tblStylePr>
    <w:tblStylePr w:type="lastCol">
      <w:rPr>
        <w:b/>
        <w:color w:val="2A4A71" w:themeColor="accent1" w:themeShade="94"/>
      </w:rPr>
    </w:tblStylePr>
    <w:tblStylePr w:type="band1Vert">
      <w:tcPr>
        <w:shd w:val="clear" w:color="D2DFEE" w:themeColor="accent1" w:themeTint="40" w:fill="D2DFEE" w:themeFill="accent1" w:themeFillTint="40"/>
      </w:tcPr>
    </w:tblStylePr>
    <w:tblStylePr w:type="band1Horz">
      <w:rPr>
        <w:rFonts w:ascii="Arial" w:hAnsi="Arial"/>
        <w:color w:val="2A4A71" w:themeColor="accent1" w:themeShade="94"/>
        <w:sz w:val="22"/>
      </w:rPr>
      <w:tcPr>
        <w:shd w:val="clear" w:color="D2DFEE" w:themeColor="accent1" w:themeTint="40" w:fill="D2DFEE" w:themeFill="accent1" w:themeFillTint="40"/>
      </w:tcPr>
    </w:tblStylePr>
    <w:tblStylePr w:type="band2Horz">
      <w:rPr>
        <w:rFonts w:ascii="Arial" w:hAnsi="Arial"/>
        <w:color w:val="2A4A71" w:themeColor="accent1" w:themeShade="94"/>
        <w:sz w:val="22"/>
      </w:rPr>
    </w:tblStylePr>
  </w:style>
  <w:style w:type="table" w:customStyle="1" w:styleId="150">
    <w:name w:val="List Table 6 Colorful - Accent 2"/>
    <w:qFormat/>
    <w:uiPriority w:val="99"/>
    <w:tblPr>
      <w:tblBorders>
        <w:top w:val="single" w:color="D99795" w:themeColor="accent2" w:themeTint="97" w:sz="4" w:space="0"/>
        <w:bottom w:val="single" w:color="D99795" w:themeColor="accent2" w:themeTint="97" w:sz="4" w:space="0"/>
      </w:tblBorders>
      <w:tblCellMar>
        <w:top w:w="0" w:type="dxa"/>
        <w:left w:w="0" w:type="dxa"/>
        <w:bottom w:w="0" w:type="dxa"/>
        <w:right w:w="0" w:type="dxa"/>
      </w:tblCellMar>
    </w:tblPr>
    <w:tblStylePr w:type="firstRow">
      <w:rPr>
        <w:b/>
        <w:color w:val="D99896" w:themeColor="accent2" w:themeTint="96"/>
      </w:rPr>
      <w:tcPr>
        <w:tcBorders>
          <w:bottom w:val="single" w:color="D99795" w:themeColor="accent2" w:themeTint="97" w:sz="4" w:space="0"/>
        </w:tcBorders>
      </w:tcPr>
    </w:tblStylePr>
    <w:tblStylePr w:type="lastRow">
      <w:rPr>
        <w:b/>
        <w:color w:val="D99896" w:themeColor="accent2" w:themeTint="96"/>
      </w:rPr>
      <w:tcPr>
        <w:tcBorders>
          <w:top w:val="single" w:color="D99795" w:themeColor="accent2" w:themeTint="97" w:sz="4" w:space="0"/>
        </w:tcBorders>
      </w:tcPr>
    </w:tblStylePr>
    <w:tblStylePr w:type="firstCol">
      <w:rPr>
        <w:b/>
        <w:color w:val="D99896" w:themeColor="accent2" w:themeTint="96"/>
      </w:rPr>
    </w:tblStylePr>
    <w:tblStylePr w:type="lastCol">
      <w:rPr>
        <w:b/>
        <w:color w:val="D99896" w:themeColor="accent2" w:themeTint="96"/>
      </w:rPr>
    </w:tblStylePr>
    <w:tblStylePr w:type="band1Vert">
      <w:tcPr>
        <w:shd w:val="clear" w:color="EFD3D2" w:themeColor="accent2" w:themeTint="40" w:fill="EFD3D2" w:themeFill="accent2" w:themeFillTint="40"/>
      </w:tcPr>
    </w:tblStylePr>
    <w:tblStylePr w:type="band1Horz">
      <w:rPr>
        <w:rFonts w:ascii="Arial" w:hAnsi="Arial"/>
        <w:color w:val="D99896" w:themeColor="accent2" w:themeTint="96"/>
        <w:sz w:val="22"/>
      </w:rPr>
      <w:tcPr>
        <w:shd w:val="clear" w:color="EFD3D2" w:themeColor="accent2" w:themeTint="40" w:fill="EFD3D2" w:themeFill="accent2" w:themeFillTint="40"/>
      </w:tcPr>
    </w:tblStylePr>
    <w:tblStylePr w:type="band2Horz">
      <w:rPr>
        <w:rFonts w:ascii="Arial" w:hAnsi="Arial"/>
        <w:color w:val="D99896" w:themeColor="accent2" w:themeTint="96"/>
        <w:sz w:val="22"/>
      </w:rPr>
    </w:tblStylePr>
  </w:style>
  <w:style w:type="table" w:customStyle="1" w:styleId="151">
    <w:name w:val="List Table 6 Colorful - Accent 3"/>
    <w:qFormat/>
    <w:uiPriority w:val="99"/>
    <w:tblPr>
      <w:tblBorders>
        <w:top w:val="single" w:color="C3D69C" w:themeColor="accent3" w:themeTint="98" w:sz="4" w:space="0"/>
        <w:bottom w:val="single" w:color="C3D69C" w:themeColor="accent3" w:themeTint="98" w:sz="4" w:space="0"/>
      </w:tblBorders>
      <w:tblCellMar>
        <w:top w:w="0" w:type="dxa"/>
        <w:left w:w="0" w:type="dxa"/>
        <w:bottom w:w="0" w:type="dxa"/>
        <w:right w:w="0" w:type="dxa"/>
      </w:tblCellMar>
    </w:tblPr>
    <w:tblStylePr w:type="firstRow">
      <w:rPr>
        <w:b/>
        <w:color w:val="C2D69B" w:themeColor="accent3" w:themeTint="99"/>
      </w:rPr>
      <w:tcPr>
        <w:tcBorders>
          <w:bottom w:val="single" w:color="C3D69C" w:themeColor="accent3" w:themeTint="98" w:sz="4" w:space="0"/>
        </w:tcBorders>
      </w:tcPr>
    </w:tblStylePr>
    <w:tblStylePr w:type="lastRow">
      <w:rPr>
        <w:b/>
        <w:color w:val="C2D69B" w:themeColor="accent3" w:themeTint="99"/>
      </w:rPr>
      <w:tcPr>
        <w:tcBorders>
          <w:top w:val="single" w:color="C3D69C" w:themeColor="accent3" w:themeTint="98" w:sz="4" w:space="0"/>
        </w:tcBorders>
      </w:tcPr>
    </w:tblStylePr>
    <w:tblStylePr w:type="firstCol">
      <w:rPr>
        <w:b/>
        <w:color w:val="C2D69B" w:themeColor="accent3" w:themeTint="99"/>
      </w:rPr>
    </w:tblStylePr>
    <w:tblStylePr w:type="lastCol">
      <w:rPr>
        <w:b/>
        <w:color w:val="C2D69B" w:themeColor="accent3" w:themeTint="99"/>
      </w:rPr>
    </w:tblStylePr>
    <w:tblStylePr w:type="band1Vert">
      <w:tcPr>
        <w:shd w:val="clear" w:color="E5EDD5" w:themeColor="accent3" w:themeTint="40" w:fill="E5EDD5" w:themeFill="accent3" w:themeFillTint="40"/>
      </w:tcPr>
    </w:tblStylePr>
    <w:tblStylePr w:type="band1Horz">
      <w:rPr>
        <w:rFonts w:ascii="Arial" w:hAnsi="Arial"/>
        <w:color w:val="C2D69B" w:themeColor="accent3" w:themeTint="99"/>
        <w:sz w:val="22"/>
      </w:rPr>
      <w:tcPr>
        <w:shd w:val="clear" w:color="E5EDD5" w:themeColor="accent3" w:themeTint="40" w:fill="E5EDD5" w:themeFill="accent3" w:themeFillTint="40"/>
      </w:tcPr>
    </w:tblStylePr>
    <w:tblStylePr w:type="band2Horz">
      <w:rPr>
        <w:rFonts w:ascii="Arial" w:hAnsi="Arial"/>
        <w:color w:val="C2D69B" w:themeColor="accent3" w:themeTint="99"/>
        <w:sz w:val="22"/>
      </w:rPr>
    </w:tblStylePr>
  </w:style>
  <w:style w:type="table" w:customStyle="1" w:styleId="152">
    <w:name w:val="List Table 6 Colorful - Accent 4"/>
    <w:qFormat/>
    <w:uiPriority w:val="99"/>
    <w:tblPr>
      <w:tblBorders>
        <w:top w:val="single" w:color="B2A1C6" w:themeColor="accent4" w:themeTint="9A" w:sz="4" w:space="0"/>
        <w:bottom w:val="single" w:color="B2A1C6" w:themeColor="accent4" w:themeTint="9A" w:sz="4" w:space="0"/>
      </w:tblBorders>
      <w:tblCellMar>
        <w:top w:w="0" w:type="dxa"/>
        <w:left w:w="0" w:type="dxa"/>
        <w:bottom w:w="0" w:type="dxa"/>
        <w:right w:w="0" w:type="dxa"/>
      </w:tblCellMar>
    </w:tblPr>
    <w:tblStylePr w:type="firstRow">
      <w:rPr>
        <w:b/>
        <w:color w:val="B2A1C7" w:themeColor="accent4" w:themeTint="99"/>
      </w:rPr>
      <w:tcPr>
        <w:tcBorders>
          <w:bottom w:val="single" w:color="B2A1C6" w:themeColor="accent4" w:themeTint="9A" w:sz="4" w:space="0"/>
        </w:tcBorders>
      </w:tcPr>
    </w:tblStylePr>
    <w:tblStylePr w:type="lastRow">
      <w:rPr>
        <w:b/>
        <w:color w:val="B2A1C7" w:themeColor="accent4" w:themeTint="99"/>
      </w:rPr>
      <w:tcPr>
        <w:tcBorders>
          <w:top w:val="single" w:color="B2A1C6" w:themeColor="accent4" w:themeTint="9A" w:sz="4" w:space="0"/>
        </w:tcBorders>
      </w:tcPr>
    </w:tblStylePr>
    <w:tblStylePr w:type="firstCol">
      <w:rPr>
        <w:b/>
        <w:color w:val="B2A1C7" w:themeColor="accent4" w:themeTint="99"/>
      </w:rPr>
    </w:tblStylePr>
    <w:tblStylePr w:type="lastCol">
      <w:rPr>
        <w:b/>
        <w:color w:val="B2A1C7" w:themeColor="accent4" w:themeTint="99"/>
      </w:rPr>
    </w:tblStylePr>
    <w:tblStylePr w:type="band1Vert">
      <w:tcPr>
        <w:shd w:val="clear" w:color="DFD8E7" w:themeColor="accent4" w:themeTint="40" w:fill="DFD8E7" w:themeFill="accent4" w:themeFillTint="40"/>
      </w:tcPr>
    </w:tblStylePr>
    <w:tblStylePr w:type="band1Horz">
      <w:rPr>
        <w:rFonts w:ascii="Arial" w:hAnsi="Arial"/>
        <w:color w:val="B2A1C7" w:themeColor="accent4" w:themeTint="99"/>
        <w:sz w:val="22"/>
      </w:r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153">
    <w:name w:val="List Table 6 Colorful - Accent 5"/>
    <w:qFormat/>
    <w:uiPriority w:val="99"/>
    <w:tblPr>
      <w:tblBorders>
        <w:top w:val="single" w:color="92CCDC" w:themeColor="accent5" w:themeTint="9A" w:sz="4" w:space="0"/>
        <w:bottom w:val="single" w:color="92CCDC" w:themeColor="accent5" w:themeTint="9A" w:sz="4" w:space="0"/>
      </w:tblBorders>
      <w:tblCellMar>
        <w:top w:w="0" w:type="dxa"/>
        <w:left w:w="0" w:type="dxa"/>
        <w:bottom w:w="0" w:type="dxa"/>
        <w:right w:w="0" w:type="dxa"/>
      </w:tblCellMar>
    </w:tblPr>
    <w:tblStylePr w:type="firstRow">
      <w:rPr>
        <w:b/>
        <w:color w:val="92CDDC" w:themeColor="accent5" w:themeTint="99"/>
      </w:rPr>
      <w:tcPr>
        <w:tcBorders>
          <w:bottom w:val="single" w:color="92CCDC" w:themeColor="accent5" w:themeTint="9A" w:sz="4" w:space="0"/>
        </w:tcBorders>
      </w:tcPr>
    </w:tblStylePr>
    <w:tblStylePr w:type="lastRow">
      <w:rPr>
        <w:b/>
        <w:color w:val="92CDDC" w:themeColor="accent5" w:themeTint="99"/>
      </w:rPr>
      <w:tcPr>
        <w:tcBorders>
          <w:top w:val="single" w:color="92CCDC" w:themeColor="accent5" w:themeTint="9A" w:sz="4" w:space="0"/>
        </w:tcBorders>
      </w:tcPr>
    </w:tblStylePr>
    <w:tblStylePr w:type="firstCol">
      <w:rPr>
        <w:b/>
        <w:color w:val="92CDDC" w:themeColor="accent5" w:themeTint="99"/>
      </w:rPr>
    </w:tblStylePr>
    <w:tblStylePr w:type="lastCol">
      <w:rPr>
        <w:b/>
        <w:color w:val="92CDDC" w:themeColor="accent5" w:themeTint="99"/>
      </w:rPr>
    </w:tblStylePr>
    <w:tblStylePr w:type="band1Vert">
      <w:tcPr>
        <w:shd w:val="clear" w:color="D1EAF0" w:themeColor="accent5" w:themeTint="40" w:fill="D1EAF0" w:themeFill="accent5" w:themeFillTint="40"/>
      </w:tcPr>
    </w:tblStylePr>
    <w:tblStylePr w:type="band1Horz">
      <w:rPr>
        <w:rFonts w:ascii="Arial" w:hAnsi="Arial"/>
        <w:color w:val="92CDDC" w:themeColor="accent5" w:themeTint="99"/>
        <w:sz w:val="22"/>
      </w:r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154">
    <w:name w:val="List Table 6 Colorful - Accent 6"/>
    <w:qFormat/>
    <w:uiPriority w:val="99"/>
    <w:tblPr>
      <w:tblBorders>
        <w:top w:val="single" w:color="FAC090" w:themeColor="accent6" w:themeTint="98" w:sz="4" w:space="0"/>
        <w:bottom w:val="single" w:color="FAC090" w:themeColor="accent6" w:themeTint="98" w:sz="4" w:space="0"/>
      </w:tblBorders>
      <w:tblCellMar>
        <w:top w:w="0" w:type="dxa"/>
        <w:left w:w="0" w:type="dxa"/>
        <w:bottom w:w="0" w:type="dxa"/>
        <w:right w:w="0" w:type="dxa"/>
      </w:tblCellMar>
    </w:tblPr>
    <w:tblStylePr w:type="firstRow">
      <w:rPr>
        <w:b/>
        <w:color w:val="FABF8F" w:themeColor="accent6" w:themeTint="99"/>
      </w:rPr>
      <w:tcPr>
        <w:tcBorders>
          <w:bottom w:val="single" w:color="FAC090" w:themeColor="accent6" w:themeTint="98" w:sz="4" w:space="0"/>
        </w:tcBorders>
      </w:tcPr>
    </w:tblStylePr>
    <w:tblStylePr w:type="lastRow">
      <w:rPr>
        <w:b/>
        <w:color w:val="FABF8F" w:themeColor="accent6" w:themeTint="99"/>
      </w:rPr>
      <w:tcPr>
        <w:tcBorders>
          <w:top w:val="single" w:color="FAC090" w:themeColor="accent6" w:themeTint="98" w:sz="4" w:space="0"/>
        </w:tcBorders>
      </w:tcPr>
    </w:tblStylePr>
    <w:tblStylePr w:type="firstCol">
      <w:rPr>
        <w:b/>
        <w:color w:val="FABF8F" w:themeColor="accent6" w:themeTint="99"/>
      </w:rPr>
    </w:tblStylePr>
    <w:tblStylePr w:type="lastCol">
      <w:rPr>
        <w:b/>
        <w:color w:val="FABF8F" w:themeColor="accent6" w:themeTint="99"/>
      </w:rPr>
    </w:tblStylePr>
    <w:tblStylePr w:type="band1Vert">
      <w:tcPr>
        <w:shd w:val="clear" w:color="FCE4D0" w:themeColor="accent6" w:themeTint="40" w:fill="FCE4D0" w:themeFill="accent6" w:themeFillTint="40"/>
      </w:tcPr>
    </w:tblStylePr>
    <w:tblStylePr w:type="band1Horz">
      <w:rPr>
        <w:rFonts w:ascii="Arial" w:hAnsi="Arial"/>
        <w:color w:val="FABF8F" w:themeColor="accent6" w:themeTint="99"/>
        <w:sz w:val="22"/>
      </w:rPr>
      <w:tcPr>
        <w:shd w:val="clear" w:color="FCE4D0" w:themeColor="accent6" w:themeTint="40" w:fill="FCE4D0" w:themeFill="accent6" w:themeFillTint="40"/>
      </w:tcPr>
    </w:tblStylePr>
    <w:tblStylePr w:type="band2Horz">
      <w:rPr>
        <w:rFonts w:ascii="Arial" w:hAnsi="Arial"/>
        <w:color w:val="FABF8F" w:themeColor="accent6" w:themeTint="99"/>
        <w:sz w:val="22"/>
      </w:rPr>
    </w:tblStylePr>
  </w:style>
  <w:style w:type="table" w:customStyle="1" w:styleId="155">
    <w:name w:val="List Table 7 Colorful"/>
    <w:qFormat/>
    <w:uiPriority w:val="99"/>
    <w:tblPr>
      <w:tblBorders>
        <w:right w:val="single" w:color="7E7E7E" w:themeColor="text1" w:themeTint="80" w:sz="4" w:space="0"/>
      </w:tblBorders>
      <w:tblCellMar>
        <w:top w:w="0" w:type="dxa"/>
        <w:left w:w="0" w:type="dxa"/>
        <w:bottom w:w="0" w:type="dxa"/>
        <w:right w:w="0" w:type="dxa"/>
      </w:tblCellMar>
    </w:tblPr>
    <w:tblStylePr w:type="firstRow">
      <w:rPr>
        <w:rFonts w:ascii="Arial" w:hAnsi="Arial"/>
        <w:i/>
        <w:color w:val="7E7E7E" w:themeColor="text1" w:themeTint="80"/>
        <w:sz w:val="22"/>
      </w:rPr>
      <w:tcPr>
        <w:tcBorders>
          <w:top w:val="nil"/>
          <w:left w:val="nil"/>
          <w:bottom w:val="single" w:color="7E7E7E" w:themeColor="text1" w:themeTint="80" w:sz="4" w:space="0"/>
          <w:right w:val="nil"/>
        </w:tcBorders>
        <w:shd w:val="clear" w:color="FFFFFF" w:themeColor="light1" w:fill="FFFFFF" w:themeFill="light1"/>
      </w:tcPr>
    </w:tblStylePr>
    <w:tblStylePr w:type="lastRow">
      <w:rPr>
        <w:rFonts w:ascii="Arial" w:hAnsi="Arial"/>
        <w:i/>
        <w:color w:val="7E7E7E" w:themeColor="text1" w:themeTint="80"/>
        <w:sz w:val="22"/>
      </w:rPr>
      <w:tcPr>
        <w:tcBorders>
          <w:top w:val="single" w:color="7E7E7E" w:themeColor="text1" w:themeTint="80" w:sz="4" w:space="0"/>
          <w:left w:val="nil"/>
          <w:bottom w:val="nil"/>
          <w:right w:val="nil"/>
        </w:tcBorders>
        <w:shd w:val="clear" w:color="FFFFFF" w:themeColor="light1" w:fill="FFFFFF" w:themeFill="light1"/>
      </w:tcPr>
    </w:tblStylePr>
    <w:tblStylePr w:type="firstCol">
      <w:pPr>
        <w:jc w:val="right"/>
      </w:pPr>
      <w:rPr>
        <w:rFonts w:ascii="Arial" w:hAnsi="Arial"/>
        <w:i/>
        <w:color w:val="7E7E7E" w:themeColor="text1" w:themeTint="80"/>
        <w:sz w:val="22"/>
      </w:rPr>
      <w:tcPr>
        <w:tcBorders>
          <w:top w:val="nil"/>
          <w:left w:val="nil"/>
          <w:bottom w:val="nil"/>
          <w:right w:val="single" w:color="7E7E7E" w:themeColor="text1" w:themeTint="80" w:sz="4" w:space="0"/>
        </w:tcBorders>
        <w:shd w:val="clear" w:color="FFFFFF" w:fill="auto"/>
      </w:tcPr>
    </w:tblStylePr>
    <w:tblStylePr w:type="lastCol">
      <w:rPr>
        <w:rFonts w:ascii="Arial" w:hAnsi="Arial"/>
        <w:i/>
        <w:color w:val="7E7E7E" w:themeColor="text1" w:themeTint="80"/>
        <w:sz w:val="22"/>
      </w:rPr>
      <w:tcPr>
        <w:tcBorders>
          <w:top w:val="nil"/>
          <w:left w:val="single" w:color="7E7E7E" w:themeColor="text1" w:themeTint="80" w:sz="4" w:space="0"/>
          <w:bottom w:val="nil"/>
          <w:right w:val="nil"/>
        </w:tcBorders>
        <w:shd w:val="clear" w:color="FFFFFF" w:fill="auto"/>
      </w:tcPr>
    </w:tblStylePr>
    <w:tblStylePr w:type="band1Vert">
      <w:tcPr>
        <w:shd w:val="clear" w:color="BEBEBE" w:themeColor="text1" w:themeTint="40" w:fill="BEBEBE" w:themeFill="text1" w:themeFillTint="40"/>
      </w:tcPr>
    </w:tblStylePr>
    <w:tblStylePr w:type="band1Horz">
      <w:rPr>
        <w:rFonts w:ascii="Arial" w:hAnsi="Arial"/>
        <w:color w:val="7E7E7E" w:themeColor="text1" w:themeTint="80"/>
        <w:sz w:val="22"/>
      </w:rPr>
      <w:tcPr>
        <w:shd w:val="clear" w:color="BEBEBE" w:themeColor="text1" w:themeTint="40" w:fill="BEBEBE" w:themeFill="text1" w:themeFillTint="40"/>
      </w:tcPr>
    </w:tblStylePr>
    <w:tblStylePr w:type="band2Horz">
      <w:rPr>
        <w:rFonts w:ascii="Arial" w:hAnsi="Arial"/>
        <w:color w:val="7E7E7E" w:themeColor="text1" w:themeTint="80"/>
        <w:sz w:val="22"/>
      </w:rPr>
    </w:tblStylePr>
  </w:style>
  <w:style w:type="table" w:customStyle="1" w:styleId="156">
    <w:name w:val="List Table 7 Colorful - Accent 1"/>
    <w:qFormat/>
    <w:uiPriority w:val="99"/>
    <w:tblPr>
      <w:tblBorders>
        <w:right w:val="single" w:color="4F81BD" w:themeColor="accent1" w:sz="4" w:space="0"/>
      </w:tblBorders>
      <w:tblCellMar>
        <w:top w:w="0" w:type="dxa"/>
        <w:left w:w="0" w:type="dxa"/>
        <w:bottom w:w="0" w:type="dxa"/>
        <w:right w:w="0" w:type="dxa"/>
      </w:tblCellMar>
    </w:tblPr>
    <w:tblStylePr w:type="firstRow">
      <w:rPr>
        <w:rFonts w:ascii="Arial" w:hAnsi="Arial"/>
        <w:i/>
        <w:color w:val="2A4A71" w:themeColor="accent1" w:themeShade="94"/>
        <w:sz w:val="22"/>
      </w:rPr>
      <w:tcPr>
        <w:tcBorders>
          <w:top w:val="nil"/>
          <w:left w:val="nil"/>
          <w:bottom w:val="single" w:color="4F81BD" w:themeColor="accent1" w:sz="4" w:space="0"/>
          <w:right w:val="nil"/>
        </w:tcBorders>
        <w:shd w:val="clear" w:color="FFFFFF" w:themeColor="light1" w:fill="FFFFFF" w:themeFill="light1"/>
      </w:tcPr>
    </w:tblStylePr>
    <w:tblStylePr w:type="lastRow">
      <w:rPr>
        <w:rFonts w:ascii="Arial" w:hAnsi="Arial"/>
        <w:i/>
        <w:color w:val="2A4A71" w:themeColor="accent1" w:themeShade="94"/>
        <w:sz w:val="22"/>
      </w:rPr>
      <w:tcPr>
        <w:tcBorders>
          <w:top w:val="single" w:color="4F81BD" w:themeColor="accent1" w:sz="4" w:space="0"/>
          <w:left w:val="nil"/>
          <w:bottom w:val="nil"/>
          <w:right w:val="nil"/>
        </w:tcBorders>
        <w:shd w:val="clear" w:color="FFFFFF" w:themeColor="light1" w:fill="FFFFFF" w:themeFill="light1"/>
      </w:tcPr>
    </w:tblStylePr>
    <w:tblStylePr w:type="firstCol">
      <w:pPr>
        <w:jc w:val="right"/>
      </w:pPr>
      <w:rPr>
        <w:rFonts w:ascii="Arial" w:hAnsi="Arial"/>
        <w:i/>
        <w:color w:val="2A4A71" w:themeColor="accent1" w:themeShade="94"/>
        <w:sz w:val="22"/>
      </w:rPr>
      <w:tcPr>
        <w:tcBorders>
          <w:top w:val="nil"/>
          <w:left w:val="nil"/>
          <w:bottom w:val="nil"/>
          <w:right w:val="single" w:color="4F81BD" w:themeColor="accent1" w:sz="4" w:space="0"/>
        </w:tcBorders>
        <w:shd w:val="clear" w:color="FFFFFF" w:fill="auto"/>
      </w:tcPr>
    </w:tblStylePr>
    <w:tblStylePr w:type="lastCol">
      <w:rPr>
        <w:rFonts w:ascii="Arial" w:hAnsi="Arial"/>
        <w:i/>
        <w:color w:val="2A4A71" w:themeColor="accent1" w:themeShade="94"/>
        <w:sz w:val="22"/>
      </w:rPr>
      <w:tcPr>
        <w:tcBorders>
          <w:top w:val="nil"/>
          <w:left w:val="single" w:color="4F81BD" w:themeColor="accent1" w:sz="4" w:space="0"/>
          <w:bottom w:val="nil"/>
          <w:right w:val="nil"/>
        </w:tcBorders>
        <w:shd w:val="clear" w:color="FFFFFF" w:fill="auto"/>
      </w:tcPr>
    </w:tblStylePr>
    <w:tblStylePr w:type="band1Vert">
      <w:tcPr>
        <w:shd w:val="clear" w:color="D2DFEE" w:themeColor="accent1" w:themeTint="40" w:fill="D2DFEE" w:themeFill="accent1" w:themeFillTint="40"/>
      </w:tcPr>
    </w:tblStylePr>
    <w:tblStylePr w:type="band1Horz">
      <w:rPr>
        <w:rFonts w:ascii="Arial" w:hAnsi="Arial"/>
        <w:color w:val="2A4A71" w:themeColor="accent1" w:themeShade="94"/>
        <w:sz w:val="22"/>
      </w:rPr>
      <w:tcPr>
        <w:shd w:val="clear" w:color="D2DFEE" w:themeColor="accent1" w:themeTint="40" w:fill="D2DFEE" w:themeFill="accent1" w:themeFillTint="40"/>
      </w:tcPr>
    </w:tblStylePr>
    <w:tblStylePr w:type="band2Horz">
      <w:rPr>
        <w:rFonts w:ascii="Arial" w:hAnsi="Arial"/>
        <w:color w:val="2A4A71" w:themeColor="accent1" w:themeShade="94"/>
        <w:sz w:val="22"/>
      </w:rPr>
    </w:tblStylePr>
  </w:style>
  <w:style w:type="table" w:customStyle="1" w:styleId="157">
    <w:name w:val="List Table 7 Colorful - Accent 2"/>
    <w:qFormat/>
    <w:uiPriority w:val="99"/>
    <w:tblPr>
      <w:tblBorders>
        <w:right w:val="single" w:color="D99795" w:themeColor="accent2" w:themeTint="97" w:sz="4" w:space="0"/>
      </w:tblBorders>
      <w:tblCellMar>
        <w:top w:w="0" w:type="dxa"/>
        <w:left w:w="0" w:type="dxa"/>
        <w:bottom w:w="0" w:type="dxa"/>
        <w:right w:w="0" w:type="dxa"/>
      </w:tblCellMar>
    </w:tblPr>
    <w:tblStylePr w:type="firstRow">
      <w:rPr>
        <w:rFonts w:ascii="Arial" w:hAnsi="Arial"/>
        <w:i/>
        <w:color w:val="D99896" w:themeColor="accent2" w:themeTint="96"/>
        <w:sz w:val="22"/>
      </w:rPr>
      <w:tcPr>
        <w:tcBorders>
          <w:top w:val="nil"/>
          <w:left w:val="nil"/>
          <w:bottom w:val="single" w:color="D99795" w:themeColor="accent2" w:themeTint="97" w:sz="4" w:space="0"/>
          <w:right w:val="nil"/>
        </w:tcBorders>
        <w:shd w:val="clear" w:color="FFFFFF" w:themeColor="light1" w:fill="FFFFFF" w:themeFill="light1"/>
      </w:tcPr>
    </w:tblStylePr>
    <w:tblStylePr w:type="lastRow">
      <w:rPr>
        <w:rFonts w:ascii="Arial" w:hAnsi="Arial"/>
        <w:i/>
        <w:color w:val="D99896" w:themeColor="accent2" w:themeTint="96"/>
        <w:sz w:val="22"/>
      </w:rPr>
      <w:tcPr>
        <w:tcBorders>
          <w:top w:val="single" w:color="D99795" w:themeColor="accent2" w:themeTint="97" w:sz="4" w:space="0"/>
          <w:left w:val="nil"/>
          <w:bottom w:val="nil"/>
          <w:right w:val="nil"/>
        </w:tcBorders>
        <w:shd w:val="clear" w:color="FFFFFF" w:themeColor="light1" w:fill="FFFFFF" w:themeFill="light1"/>
      </w:tcPr>
    </w:tblStylePr>
    <w:tblStylePr w:type="firstCol">
      <w:pPr>
        <w:jc w:val="right"/>
      </w:pPr>
      <w:rPr>
        <w:rFonts w:ascii="Arial" w:hAnsi="Arial"/>
        <w:i/>
        <w:color w:val="D99896" w:themeColor="accent2" w:themeTint="96"/>
        <w:sz w:val="22"/>
      </w:rPr>
      <w:tcPr>
        <w:tcBorders>
          <w:top w:val="nil"/>
          <w:left w:val="nil"/>
          <w:bottom w:val="nil"/>
          <w:right w:val="single" w:color="D99795" w:themeColor="accent2" w:themeTint="97" w:sz="4" w:space="0"/>
        </w:tcBorders>
        <w:shd w:val="clear" w:color="FFFFFF" w:fill="auto"/>
      </w:tcPr>
    </w:tblStylePr>
    <w:tblStylePr w:type="lastCol">
      <w:rPr>
        <w:rFonts w:ascii="Arial" w:hAnsi="Arial"/>
        <w:i/>
        <w:color w:val="D99896" w:themeColor="accent2" w:themeTint="96"/>
        <w:sz w:val="22"/>
      </w:rPr>
      <w:tcPr>
        <w:tcBorders>
          <w:top w:val="nil"/>
          <w:left w:val="single" w:color="D99795" w:themeColor="accent2" w:themeTint="97" w:sz="4" w:space="0"/>
          <w:bottom w:val="nil"/>
          <w:right w:val="nil"/>
        </w:tcBorders>
        <w:shd w:val="clear" w:color="FFFFFF" w:fill="auto"/>
      </w:tcPr>
    </w:tblStylePr>
    <w:tblStylePr w:type="band1Vert">
      <w:tcPr>
        <w:shd w:val="clear" w:color="EFD3D2" w:themeColor="accent2" w:themeTint="40" w:fill="EFD3D2" w:themeFill="accent2" w:themeFillTint="40"/>
      </w:tcPr>
    </w:tblStylePr>
    <w:tblStylePr w:type="band1Horz">
      <w:rPr>
        <w:rFonts w:ascii="Arial" w:hAnsi="Arial"/>
        <w:color w:val="D99896" w:themeColor="accent2" w:themeTint="96"/>
        <w:sz w:val="22"/>
      </w:rPr>
      <w:tcPr>
        <w:shd w:val="clear" w:color="EFD3D2" w:themeColor="accent2" w:themeTint="40" w:fill="EFD3D2" w:themeFill="accent2" w:themeFillTint="40"/>
      </w:tcPr>
    </w:tblStylePr>
    <w:tblStylePr w:type="band2Horz">
      <w:rPr>
        <w:rFonts w:ascii="Arial" w:hAnsi="Arial"/>
        <w:color w:val="D99896" w:themeColor="accent2" w:themeTint="96"/>
        <w:sz w:val="22"/>
      </w:rPr>
    </w:tblStylePr>
  </w:style>
  <w:style w:type="table" w:customStyle="1" w:styleId="158">
    <w:name w:val="List Table 7 Colorful - Accent 3"/>
    <w:qFormat/>
    <w:uiPriority w:val="99"/>
    <w:tblPr>
      <w:tblBorders>
        <w:right w:val="single" w:color="C3D69C" w:themeColor="accent3" w:themeTint="98" w:sz="4" w:space="0"/>
      </w:tblBorders>
      <w:tblCellMar>
        <w:top w:w="0" w:type="dxa"/>
        <w:left w:w="0" w:type="dxa"/>
        <w:bottom w:w="0" w:type="dxa"/>
        <w:right w:w="0" w:type="dxa"/>
      </w:tblCellMar>
    </w:tblPr>
    <w:tblStylePr w:type="firstRow">
      <w:rPr>
        <w:rFonts w:ascii="Arial" w:hAnsi="Arial"/>
        <w:i/>
        <w:color w:val="C2D69B" w:themeColor="accent3" w:themeTint="99"/>
        <w:sz w:val="22"/>
      </w:rPr>
      <w:tcPr>
        <w:tcBorders>
          <w:top w:val="nil"/>
          <w:left w:val="nil"/>
          <w:bottom w:val="single" w:color="C3D69C" w:themeColor="accent3" w:themeTint="98" w:sz="4" w:space="0"/>
          <w:right w:val="nil"/>
        </w:tcBorders>
        <w:shd w:val="clear" w:color="FFFFFF" w:themeColor="light1" w:fill="FFFFFF" w:themeFill="light1"/>
      </w:tcPr>
    </w:tblStylePr>
    <w:tblStylePr w:type="lastRow">
      <w:rPr>
        <w:rFonts w:ascii="Arial" w:hAnsi="Arial"/>
        <w:i/>
        <w:color w:val="C2D69B" w:themeColor="accent3" w:themeTint="99"/>
        <w:sz w:val="22"/>
      </w:rPr>
      <w:tcPr>
        <w:tcBorders>
          <w:top w:val="single" w:color="C3D69C" w:themeColor="accent3" w:themeTint="98" w:sz="4" w:space="0"/>
          <w:left w:val="nil"/>
          <w:bottom w:val="nil"/>
          <w:right w:val="nil"/>
        </w:tcBorders>
        <w:shd w:val="clear" w:color="FFFFFF" w:themeColor="light1" w:fill="FFFFFF" w:themeFill="light1"/>
      </w:tcPr>
    </w:tblStylePr>
    <w:tblStylePr w:type="firstCol">
      <w:pPr>
        <w:jc w:val="right"/>
      </w:pPr>
      <w:rPr>
        <w:rFonts w:ascii="Arial" w:hAnsi="Arial"/>
        <w:i/>
        <w:color w:val="C2D69B" w:themeColor="accent3" w:themeTint="99"/>
        <w:sz w:val="22"/>
      </w:rPr>
      <w:tcPr>
        <w:tcBorders>
          <w:top w:val="nil"/>
          <w:left w:val="nil"/>
          <w:bottom w:val="nil"/>
          <w:right w:val="single" w:color="C3D69C" w:themeColor="accent3" w:themeTint="98" w:sz="4" w:space="0"/>
        </w:tcBorders>
        <w:shd w:val="clear" w:color="FFFFFF" w:fill="auto"/>
      </w:tcPr>
    </w:tblStylePr>
    <w:tblStylePr w:type="lastCol">
      <w:rPr>
        <w:rFonts w:ascii="Arial" w:hAnsi="Arial"/>
        <w:i/>
        <w:color w:val="C2D69B" w:themeColor="accent3" w:themeTint="99"/>
        <w:sz w:val="22"/>
      </w:rPr>
      <w:tcPr>
        <w:tcBorders>
          <w:top w:val="nil"/>
          <w:left w:val="single" w:color="C3D69C" w:themeColor="accent3" w:themeTint="98" w:sz="4" w:space="0"/>
          <w:bottom w:val="nil"/>
          <w:right w:val="nil"/>
        </w:tcBorders>
        <w:shd w:val="clear" w:color="FFFFFF" w:fill="auto"/>
      </w:tcPr>
    </w:tblStylePr>
    <w:tblStylePr w:type="band1Vert">
      <w:tcPr>
        <w:shd w:val="clear" w:color="E5EDD5" w:themeColor="accent3" w:themeTint="40" w:fill="E5EDD5" w:themeFill="accent3" w:themeFillTint="40"/>
      </w:tcPr>
    </w:tblStylePr>
    <w:tblStylePr w:type="band1Horz">
      <w:rPr>
        <w:rFonts w:ascii="Arial" w:hAnsi="Arial"/>
        <w:color w:val="C2D69B" w:themeColor="accent3" w:themeTint="99"/>
        <w:sz w:val="22"/>
      </w:rPr>
      <w:tcPr>
        <w:shd w:val="clear" w:color="E5EDD5" w:themeColor="accent3" w:themeTint="40" w:fill="E5EDD5" w:themeFill="accent3" w:themeFillTint="40"/>
      </w:tcPr>
    </w:tblStylePr>
    <w:tblStylePr w:type="band2Horz">
      <w:rPr>
        <w:rFonts w:ascii="Arial" w:hAnsi="Arial"/>
        <w:color w:val="C2D69B" w:themeColor="accent3" w:themeTint="99"/>
        <w:sz w:val="22"/>
      </w:rPr>
    </w:tblStylePr>
  </w:style>
  <w:style w:type="table" w:customStyle="1" w:styleId="159">
    <w:name w:val="List Table 7 Colorful - Accent 4"/>
    <w:qFormat/>
    <w:uiPriority w:val="99"/>
    <w:tblPr>
      <w:tblBorders>
        <w:right w:val="single" w:color="B2A1C6" w:themeColor="accent4" w:themeTint="9A" w:sz="4" w:space="0"/>
      </w:tblBorders>
      <w:tblCellMar>
        <w:top w:w="0" w:type="dxa"/>
        <w:left w:w="0" w:type="dxa"/>
        <w:bottom w:w="0" w:type="dxa"/>
        <w:right w:w="0" w:type="dxa"/>
      </w:tblCellMar>
    </w:tblPr>
    <w:tblStylePr w:type="firstRow">
      <w:rPr>
        <w:rFonts w:ascii="Arial" w:hAnsi="Arial"/>
        <w:i/>
        <w:color w:val="B2A1C7" w:themeColor="accent4" w:themeTint="99"/>
        <w:sz w:val="22"/>
      </w:rPr>
      <w:tcPr>
        <w:tcBorders>
          <w:top w:val="nil"/>
          <w:left w:val="nil"/>
          <w:bottom w:val="single" w:color="B2A1C6" w:themeColor="accent4" w:themeTint="9A" w:sz="4" w:space="0"/>
          <w:right w:val="nil"/>
        </w:tcBorders>
        <w:shd w:val="clear" w:color="FFFFFF" w:themeColor="light1" w:fill="FFFFFF" w:themeFill="light1"/>
      </w:tcPr>
    </w:tblStylePr>
    <w:tblStylePr w:type="lastRow">
      <w:rPr>
        <w:rFonts w:ascii="Arial" w:hAnsi="Arial"/>
        <w:i/>
        <w:color w:val="B2A1C7" w:themeColor="accent4" w:themeTint="99"/>
        <w:sz w:val="22"/>
      </w:rPr>
      <w:tcPr>
        <w:tcBorders>
          <w:top w:val="single" w:color="B2A1C6" w:themeColor="accent4" w:themeTint="9A" w:sz="4" w:space="0"/>
          <w:left w:val="nil"/>
          <w:bottom w:val="nil"/>
          <w:right w:val="nil"/>
        </w:tcBorders>
        <w:shd w:val="clear" w:color="FFFFFF" w:themeColor="light1" w:fill="FFFFFF" w:themeFill="light1"/>
      </w:tcPr>
    </w:tblStylePr>
    <w:tblStylePr w:type="firstCol">
      <w:pPr>
        <w:jc w:val="right"/>
      </w:pPr>
      <w:rPr>
        <w:rFonts w:ascii="Arial" w:hAnsi="Arial"/>
        <w:i/>
        <w:color w:val="B2A1C7" w:themeColor="accent4" w:themeTint="99"/>
        <w:sz w:val="22"/>
      </w:rPr>
      <w:tcPr>
        <w:tcBorders>
          <w:top w:val="nil"/>
          <w:left w:val="nil"/>
          <w:bottom w:val="nil"/>
          <w:right w:val="single" w:color="B2A1C6" w:themeColor="accent4" w:themeTint="9A" w:sz="4" w:space="0"/>
        </w:tcBorders>
        <w:shd w:val="clear" w:color="FFFFFF" w:fill="auto"/>
      </w:tcPr>
    </w:tblStylePr>
    <w:tblStylePr w:type="lastCol">
      <w:rPr>
        <w:rFonts w:ascii="Arial" w:hAnsi="Arial"/>
        <w:i/>
        <w:color w:val="B2A1C7" w:themeColor="accent4" w:themeTint="99"/>
        <w:sz w:val="22"/>
      </w:rPr>
      <w:tcPr>
        <w:tcBorders>
          <w:top w:val="nil"/>
          <w:left w:val="single" w:color="B2A1C6" w:themeColor="accent4" w:themeTint="9A" w:sz="4" w:space="0"/>
          <w:bottom w:val="nil"/>
          <w:right w:val="nil"/>
        </w:tcBorders>
        <w:shd w:val="clear" w:color="FFFFFF" w:fill="auto"/>
      </w:tcPr>
    </w:tblStylePr>
    <w:tblStylePr w:type="band1Vert">
      <w:tcPr>
        <w:shd w:val="clear" w:color="DFD8E7" w:themeColor="accent4" w:themeTint="40" w:fill="DFD8E7" w:themeFill="accent4" w:themeFillTint="40"/>
      </w:tcPr>
    </w:tblStylePr>
    <w:tblStylePr w:type="band1Horz">
      <w:rPr>
        <w:rFonts w:ascii="Arial" w:hAnsi="Arial"/>
        <w:color w:val="B2A1C7" w:themeColor="accent4" w:themeTint="99"/>
        <w:sz w:val="22"/>
      </w:rPr>
      <w:tcPr>
        <w:shd w:val="clear" w:color="DFD8E7" w:themeColor="accent4" w:themeTint="40" w:fill="DFD8E7" w:themeFill="accent4" w:themeFillTint="40"/>
      </w:tcPr>
    </w:tblStylePr>
    <w:tblStylePr w:type="band2Horz">
      <w:rPr>
        <w:rFonts w:ascii="Arial" w:hAnsi="Arial"/>
        <w:color w:val="B2A1C7" w:themeColor="accent4" w:themeTint="99"/>
        <w:sz w:val="22"/>
      </w:rPr>
    </w:tblStylePr>
  </w:style>
  <w:style w:type="table" w:customStyle="1" w:styleId="160">
    <w:name w:val="List Table 7 Colorful - Accent 5"/>
    <w:qFormat/>
    <w:uiPriority w:val="99"/>
    <w:tblPr>
      <w:tblBorders>
        <w:right w:val="single" w:color="92CCDC" w:themeColor="accent5" w:themeTint="9A" w:sz="4" w:space="0"/>
      </w:tblBorders>
      <w:tblCellMar>
        <w:top w:w="0" w:type="dxa"/>
        <w:left w:w="0" w:type="dxa"/>
        <w:bottom w:w="0" w:type="dxa"/>
        <w:right w:w="0" w:type="dxa"/>
      </w:tblCellMar>
    </w:tblPr>
    <w:tblStylePr w:type="firstRow">
      <w:rPr>
        <w:rFonts w:ascii="Arial" w:hAnsi="Arial"/>
        <w:i/>
        <w:color w:val="92CDDC" w:themeColor="accent5" w:themeTint="99"/>
        <w:sz w:val="22"/>
      </w:rPr>
      <w:tcPr>
        <w:tcBorders>
          <w:top w:val="nil"/>
          <w:left w:val="nil"/>
          <w:bottom w:val="single" w:color="92CCDC" w:themeColor="accent5" w:themeTint="9A" w:sz="4" w:space="0"/>
          <w:right w:val="nil"/>
        </w:tcBorders>
        <w:shd w:val="clear" w:color="FFFFFF" w:themeColor="light1" w:fill="FFFFFF" w:themeFill="light1"/>
      </w:tcPr>
    </w:tblStylePr>
    <w:tblStylePr w:type="lastRow">
      <w:rPr>
        <w:rFonts w:ascii="Arial" w:hAnsi="Arial"/>
        <w:i/>
        <w:color w:val="92CDDC" w:themeColor="accent5" w:themeTint="99"/>
        <w:sz w:val="22"/>
      </w:rPr>
      <w:tcPr>
        <w:tcBorders>
          <w:top w:val="single" w:color="92CCDC" w:themeColor="accent5" w:themeTint="9A" w:sz="4" w:space="0"/>
          <w:left w:val="nil"/>
          <w:bottom w:val="nil"/>
          <w:right w:val="nil"/>
        </w:tcBorders>
        <w:shd w:val="clear" w:color="FFFFFF" w:themeColor="light1" w:fill="FFFFFF" w:themeFill="light1"/>
      </w:tcPr>
    </w:tblStylePr>
    <w:tblStylePr w:type="firstCol">
      <w:pPr>
        <w:jc w:val="right"/>
      </w:pPr>
      <w:rPr>
        <w:rFonts w:ascii="Arial" w:hAnsi="Arial"/>
        <w:i/>
        <w:color w:val="92CDDC" w:themeColor="accent5" w:themeTint="99"/>
        <w:sz w:val="22"/>
      </w:rPr>
      <w:tcPr>
        <w:tcBorders>
          <w:top w:val="nil"/>
          <w:left w:val="nil"/>
          <w:bottom w:val="nil"/>
          <w:right w:val="single" w:color="92CCDC" w:themeColor="accent5" w:themeTint="9A" w:sz="4" w:space="0"/>
        </w:tcBorders>
        <w:shd w:val="clear" w:color="FFFFFF" w:fill="auto"/>
      </w:tcPr>
    </w:tblStylePr>
    <w:tblStylePr w:type="lastCol">
      <w:rPr>
        <w:rFonts w:ascii="Arial" w:hAnsi="Arial"/>
        <w:i/>
        <w:color w:val="92CDDC" w:themeColor="accent5" w:themeTint="99"/>
        <w:sz w:val="22"/>
      </w:rPr>
      <w:tcPr>
        <w:tcBorders>
          <w:top w:val="nil"/>
          <w:left w:val="single" w:color="92CCDC" w:themeColor="accent5" w:themeTint="9A" w:sz="4" w:space="0"/>
          <w:bottom w:val="nil"/>
          <w:right w:val="nil"/>
        </w:tcBorders>
        <w:shd w:val="clear" w:color="FFFFFF" w:fill="auto"/>
      </w:tcPr>
    </w:tblStylePr>
    <w:tblStylePr w:type="band1Vert">
      <w:tcPr>
        <w:shd w:val="clear" w:color="D1EAF0" w:themeColor="accent5" w:themeTint="40" w:fill="D1EAF0" w:themeFill="accent5" w:themeFillTint="40"/>
      </w:tcPr>
    </w:tblStylePr>
    <w:tblStylePr w:type="band1Horz">
      <w:rPr>
        <w:rFonts w:ascii="Arial" w:hAnsi="Arial"/>
        <w:color w:val="92CDDC" w:themeColor="accent5" w:themeTint="99"/>
        <w:sz w:val="22"/>
      </w:rPr>
      <w:tcPr>
        <w:shd w:val="clear" w:color="D1EAF0" w:themeColor="accent5" w:themeTint="40" w:fill="D1EAF0" w:themeFill="accent5" w:themeFillTint="40"/>
      </w:tcPr>
    </w:tblStylePr>
    <w:tblStylePr w:type="band2Horz">
      <w:rPr>
        <w:rFonts w:ascii="Arial" w:hAnsi="Arial"/>
        <w:color w:val="92CDDC" w:themeColor="accent5" w:themeTint="99"/>
        <w:sz w:val="22"/>
      </w:rPr>
    </w:tblStylePr>
  </w:style>
  <w:style w:type="table" w:customStyle="1" w:styleId="161">
    <w:name w:val="List Table 7 Colorful - Accent 6"/>
    <w:qFormat/>
    <w:uiPriority w:val="99"/>
    <w:tblPr>
      <w:tblBorders>
        <w:right w:val="single" w:color="FAC090" w:themeColor="accent6" w:themeTint="98" w:sz="4" w:space="0"/>
      </w:tblBorders>
      <w:tblCellMar>
        <w:top w:w="0" w:type="dxa"/>
        <w:left w:w="0" w:type="dxa"/>
        <w:bottom w:w="0" w:type="dxa"/>
        <w:right w:w="0" w:type="dxa"/>
      </w:tblCellMar>
    </w:tblPr>
    <w:tblStylePr w:type="firstRow">
      <w:rPr>
        <w:rFonts w:ascii="Arial" w:hAnsi="Arial"/>
        <w:i/>
        <w:color w:val="FABF8F" w:themeColor="accent6" w:themeTint="99"/>
        <w:sz w:val="22"/>
      </w:rPr>
      <w:tcPr>
        <w:tcBorders>
          <w:top w:val="nil"/>
          <w:left w:val="nil"/>
          <w:bottom w:val="single" w:color="FAC090" w:themeColor="accent6" w:themeTint="98" w:sz="4" w:space="0"/>
          <w:right w:val="nil"/>
        </w:tcBorders>
        <w:shd w:val="clear" w:color="FFFFFF" w:themeColor="light1" w:fill="FFFFFF" w:themeFill="light1"/>
      </w:tcPr>
    </w:tblStylePr>
    <w:tblStylePr w:type="lastRow">
      <w:rPr>
        <w:rFonts w:ascii="Arial" w:hAnsi="Arial"/>
        <w:i/>
        <w:color w:val="FABF8F" w:themeColor="accent6" w:themeTint="99"/>
        <w:sz w:val="22"/>
      </w:rPr>
      <w:tcPr>
        <w:tcBorders>
          <w:top w:val="single" w:color="FAC090" w:themeColor="accent6" w:themeTint="98" w:sz="4" w:space="0"/>
          <w:left w:val="nil"/>
          <w:bottom w:val="nil"/>
          <w:right w:val="nil"/>
        </w:tcBorders>
        <w:shd w:val="clear" w:color="FFFFFF" w:themeColor="light1" w:fill="FFFFFF" w:themeFill="light1"/>
      </w:tcPr>
    </w:tblStylePr>
    <w:tblStylePr w:type="firstCol">
      <w:pPr>
        <w:jc w:val="right"/>
      </w:pPr>
      <w:rPr>
        <w:rFonts w:ascii="Arial" w:hAnsi="Arial"/>
        <w:i/>
        <w:color w:val="FABF8F" w:themeColor="accent6" w:themeTint="99"/>
        <w:sz w:val="22"/>
      </w:rPr>
      <w:tcPr>
        <w:tcBorders>
          <w:top w:val="nil"/>
          <w:left w:val="nil"/>
          <w:bottom w:val="nil"/>
          <w:right w:val="single" w:color="FAC090" w:themeColor="accent6" w:themeTint="98" w:sz="4" w:space="0"/>
        </w:tcBorders>
        <w:shd w:val="clear" w:color="FFFFFF" w:fill="auto"/>
      </w:tcPr>
    </w:tblStylePr>
    <w:tblStylePr w:type="lastCol">
      <w:rPr>
        <w:rFonts w:ascii="Arial" w:hAnsi="Arial"/>
        <w:i/>
        <w:color w:val="FABF8F" w:themeColor="accent6" w:themeTint="99"/>
        <w:sz w:val="22"/>
      </w:rPr>
      <w:tcPr>
        <w:tcBorders>
          <w:top w:val="nil"/>
          <w:left w:val="single" w:color="FAC090" w:themeColor="accent6" w:themeTint="98" w:sz="4" w:space="0"/>
          <w:bottom w:val="nil"/>
          <w:right w:val="nil"/>
        </w:tcBorders>
        <w:shd w:val="clear" w:color="FFFFFF" w:fill="auto"/>
      </w:tcPr>
    </w:tblStylePr>
    <w:tblStylePr w:type="band1Vert">
      <w:tcPr>
        <w:shd w:val="clear" w:color="FCE4D0" w:themeColor="accent6" w:themeTint="40" w:fill="FCE4D0" w:themeFill="accent6" w:themeFillTint="40"/>
      </w:tcPr>
    </w:tblStylePr>
    <w:tblStylePr w:type="band1Horz">
      <w:rPr>
        <w:rFonts w:ascii="Arial" w:hAnsi="Arial"/>
        <w:color w:val="FABF8F" w:themeColor="accent6" w:themeTint="99"/>
        <w:sz w:val="22"/>
      </w:rPr>
      <w:tcPr>
        <w:shd w:val="clear" w:color="FCE4D0" w:themeColor="accent6" w:themeTint="40" w:fill="FCE4D0" w:themeFill="accent6" w:themeFillTint="40"/>
      </w:tcPr>
    </w:tblStylePr>
    <w:tblStylePr w:type="band2Horz">
      <w:rPr>
        <w:rFonts w:ascii="Arial" w:hAnsi="Arial"/>
        <w:color w:val="FABF8F" w:themeColor="accent6" w:themeTint="99"/>
        <w:sz w:val="22"/>
      </w:rPr>
    </w:tblStylePr>
  </w:style>
  <w:style w:type="table" w:customStyle="1" w:styleId="162">
    <w:name w:val="Lined - Accent"/>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7E7E7E" w:themeColor="text1" w:themeTint="80" w:fill="7E7E7E" w:themeFill="text1" w:themeFillTint="80"/>
      </w:tcPr>
    </w:tblStylePr>
    <w:tblStylePr w:type="lastRow">
      <w:rPr>
        <w:rFonts w:ascii="Arial" w:hAnsi="Arial"/>
        <w:color w:val="F2F2F2"/>
        <w:sz w:val="22"/>
      </w:rPr>
      <w:tcPr>
        <w:shd w:val="clear" w:color="7E7E7E" w:themeColor="text1" w:themeTint="80" w:fill="7E7E7E" w:themeFill="text1" w:themeFillTint="80"/>
      </w:tcPr>
    </w:tblStylePr>
    <w:tblStylePr w:type="firstCol">
      <w:rPr>
        <w:rFonts w:ascii="Arial" w:hAnsi="Arial"/>
        <w:color w:val="F2F2F2"/>
        <w:sz w:val="22"/>
      </w:rPr>
      <w:tcPr>
        <w:shd w:val="clear" w:color="7E7E7E" w:themeColor="text1" w:themeTint="80" w:fill="7E7E7E" w:themeFill="text1" w:themeFillTint="80"/>
      </w:tcPr>
    </w:tblStylePr>
    <w:tblStylePr w:type="lastCol">
      <w:rPr>
        <w:rFonts w:ascii="Arial" w:hAnsi="Arial"/>
        <w:color w:val="F2F2F2"/>
        <w:sz w:val="22"/>
      </w:rPr>
      <w:tcPr>
        <w:shd w:val="clear" w:color="7E7E7E" w:themeColor="text1" w:themeTint="80" w:fill="7E7E7E" w:themeFill="text1" w:themeFillTint="80"/>
      </w:tcPr>
    </w:tblStylePr>
    <w:tblStylePr w:type="band1Vert">
      <w:rPr>
        <w:rFonts w:ascii="Arial" w:hAnsi="Arial"/>
        <w:color w:val="404040"/>
        <w:sz w:val="22"/>
      </w:rPr>
    </w:tblStylePr>
    <w:tblStylePr w:type="band2Vert">
      <w:rPr>
        <w:rFonts w:ascii="Arial" w:hAnsi="Arial"/>
        <w:color w:val="404040"/>
        <w:sz w:val="22"/>
      </w:rPr>
      <w:tcPr>
        <w:shd w:val="clear" w:color="F1F1F1" w:themeColor="text1" w:themeTint="0D" w:fill="F1F1F1" w:themeFill="text1" w:themeFillTint="0D"/>
      </w:tcPr>
    </w:tblStylePr>
    <w:tblStylePr w:type="band1Horz">
      <w:rPr>
        <w:rFonts w:ascii="Arial" w:hAnsi="Arial"/>
        <w:color w:val="404040"/>
        <w:sz w:val="22"/>
      </w:rPr>
    </w:tblStylePr>
    <w:tblStylePr w:type="band2Horz">
      <w:rPr>
        <w:rFonts w:ascii="Arial" w:hAnsi="Arial"/>
        <w:color w:val="404040"/>
        <w:sz w:val="22"/>
      </w:rPr>
      <w:tcPr>
        <w:shd w:val="clear" w:color="F1F1F1" w:themeColor="text1" w:themeTint="0D" w:fill="F1F1F1" w:themeFill="text1" w:themeFillTint="0D"/>
      </w:tcPr>
    </w:tblStylePr>
  </w:style>
  <w:style w:type="table" w:customStyle="1" w:styleId="163">
    <w:name w:val="Lined - Accent 1"/>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5D8BC2" w:themeColor="accent1" w:themeTint="EA" w:fill="5D8BC2" w:themeFill="accent1" w:themeFillTint="EA"/>
      </w:tcPr>
    </w:tblStylePr>
    <w:tblStylePr w:type="lastRow">
      <w:rPr>
        <w:rFonts w:ascii="Arial" w:hAnsi="Arial"/>
        <w:color w:val="F2F2F2"/>
        <w:sz w:val="22"/>
      </w:rPr>
      <w:tcPr>
        <w:shd w:val="clear" w:color="5D8BC2" w:themeColor="accent1" w:themeTint="EA" w:fill="5D8BC2" w:themeFill="accent1" w:themeFillTint="EA"/>
      </w:tcPr>
    </w:tblStylePr>
    <w:tblStylePr w:type="firstCol">
      <w:rPr>
        <w:rFonts w:ascii="Arial" w:hAnsi="Arial"/>
        <w:color w:val="F2F2F2"/>
        <w:sz w:val="22"/>
      </w:rPr>
      <w:tcPr>
        <w:shd w:val="clear" w:color="5D8BC2" w:themeColor="accent1" w:themeTint="EA" w:fill="5D8BC2" w:themeFill="accent1" w:themeFillTint="EA"/>
      </w:tcPr>
    </w:tblStylePr>
    <w:tblStylePr w:type="lastCol">
      <w:rPr>
        <w:rFonts w:ascii="Arial" w:hAnsi="Arial"/>
        <w:color w:val="F2F2F2"/>
        <w:sz w:val="22"/>
      </w:rPr>
      <w:tcPr>
        <w:shd w:val="clear" w:color="5D8BC2" w:themeColor="accent1" w:themeTint="EA" w:fill="5D8BC2" w:themeFill="accent1" w:themeFillTint="EA"/>
      </w:tcPr>
    </w:tblStylePr>
    <w:tblStylePr w:type="band1Vert">
      <w:rPr>
        <w:rFonts w:ascii="Arial" w:hAnsi="Arial"/>
        <w:color w:val="404040"/>
        <w:sz w:val="22"/>
      </w:rPr>
    </w:tblStylePr>
    <w:tblStylePr w:type="band2Vert">
      <w:rPr>
        <w:rFonts w:ascii="Arial" w:hAnsi="Arial"/>
        <w:color w:val="404040"/>
        <w:sz w:val="22"/>
      </w:r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style>
  <w:style w:type="table" w:customStyle="1" w:styleId="164">
    <w:name w:val="Lined - Accent 2"/>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D99795" w:themeColor="accent2" w:themeTint="97" w:fill="D99795" w:themeFill="accent2" w:themeFillTint="97"/>
      </w:tcPr>
    </w:tblStylePr>
    <w:tblStylePr w:type="lastRow">
      <w:rPr>
        <w:rFonts w:ascii="Arial" w:hAnsi="Arial"/>
        <w:color w:val="F2F2F2"/>
        <w:sz w:val="22"/>
      </w:rPr>
      <w:tcPr>
        <w:shd w:val="clear" w:color="D99795" w:themeColor="accent2" w:themeTint="97" w:fill="D99795" w:themeFill="accent2" w:themeFillTint="97"/>
      </w:tcPr>
    </w:tblStylePr>
    <w:tblStylePr w:type="firstCol">
      <w:rPr>
        <w:rFonts w:ascii="Arial" w:hAnsi="Arial"/>
        <w:color w:val="F2F2F2"/>
        <w:sz w:val="22"/>
      </w:rPr>
      <w:tcPr>
        <w:shd w:val="clear" w:color="D99795" w:themeColor="accent2" w:themeTint="97" w:fill="D99795" w:themeFill="accent2" w:themeFillTint="97"/>
      </w:tcPr>
    </w:tblStylePr>
    <w:tblStylePr w:type="lastCol">
      <w:rPr>
        <w:rFonts w:ascii="Arial" w:hAnsi="Arial"/>
        <w:color w:val="F2F2F2"/>
        <w:sz w:val="22"/>
      </w:rPr>
      <w:tcPr>
        <w:shd w:val="clear" w:color="D99795" w:themeColor="accent2" w:themeTint="97" w:fill="D99795" w:themeFill="accent2" w:themeFillTint="97"/>
      </w:tcPr>
    </w:tblStylePr>
    <w:tblStylePr w:type="band1Vert">
      <w:rPr>
        <w:rFonts w:ascii="Arial" w:hAnsi="Arial"/>
        <w:color w:val="404040"/>
        <w:sz w:val="22"/>
      </w:rPr>
    </w:tblStylePr>
    <w:tblStylePr w:type="band2Vert">
      <w:rPr>
        <w:rFonts w:ascii="Arial" w:hAnsi="Arial"/>
        <w:color w:val="404040"/>
        <w:sz w:val="22"/>
      </w:r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style>
  <w:style w:type="table" w:customStyle="1" w:styleId="165">
    <w:name w:val="Lined - Accent 3"/>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9BBB59" w:themeColor="accent3" w:themeTint="FE" w:fill="9BBB59" w:themeFill="accent3" w:themeFillTint="FE"/>
      </w:tcPr>
    </w:tblStylePr>
    <w:tblStylePr w:type="lastRow">
      <w:rPr>
        <w:rFonts w:ascii="Arial" w:hAnsi="Arial"/>
        <w:color w:val="F2F2F2"/>
        <w:sz w:val="22"/>
      </w:rPr>
      <w:tcPr>
        <w:shd w:val="clear" w:color="9BBB59" w:themeColor="accent3" w:themeTint="FE" w:fill="9BBB59" w:themeFill="accent3" w:themeFillTint="FE"/>
      </w:tcPr>
    </w:tblStylePr>
    <w:tblStylePr w:type="firstCol">
      <w:rPr>
        <w:rFonts w:ascii="Arial" w:hAnsi="Arial"/>
        <w:color w:val="F2F2F2"/>
        <w:sz w:val="22"/>
      </w:rPr>
      <w:tcPr>
        <w:shd w:val="clear" w:color="9BBB59" w:themeColor="accent3" w:themeTint="FE" w:fill="9BBB59" w:themeFill="accent3" w:themeFillTint="FE"/>
      </w:tcPr>
    </w:tblStylePr>
    <w:tblStylePr w:type="lastCol">
      <w:rPr>
        <w:rFonts w:ascii="Arial" w:hAnsi="Arial"/>
        <w:color w:val="F2F2F2"/>
        <w:sz w:val="22"/>
      </w:rPr>
      <w:tcPr>
        <w:shd w:val="clear" w:color="9BBB59" w:themeColor="accent3" w:themeTint="FE" w:fill="9BBB59" w:themeFill="accent3" w:themeFillTint="FE"/>
      </w:tcPr>
    </w:tblStylePr>
    <w:tblStylePr w:type="band1Vert">
      <w:rPr>
        <w:rFonts w:ascii="Arial" w:hAnsi="Arial"/>
        <w:color w:val="404040"/>
        <w:sz w:val="22"/>
      </w:rPr>
    </w:tblStylePr>
    <w:tblStylePr w:type="band2Vert">
      <w:rPr>
        <w:rFonts w:ascii="Arial" w:hAnsi="Arial"/>
        <w:color w:val="404040"/>
        <w:sz w:val="22"/>
      </w:rPr>
      <w:tcPr>
        <w:shd w:val="clear" w:color="EAF1DD" w:themeColor="accent3" w:themeTint="34" w:fill="EAF1DD" w:themeFill="accent3" w:themeFillTint="34"/>
      </w:tcPr>
    </w:tblStylePr>
    <w:tblStylePr w:type="band1Horz">
      <w:rPr>
        <w:rFonts w:ascii="Arial" w:hAnsi="Arial"/>
        <w:color w:val="404040"/>
        <w:sz w:val="22"/>
      </w:rPr>
    </w:tblStylePr>
    <w:tblStylePr w:type="band2Horz">
      <w:rPr>
        <w:rFonts w:ascii="Arial" w:hAnsi="Arial"/>
        <w:color w:val="404040"/>
        <w:sz w:val="22"/>
      </w:rPr>
      <w:tcPr>
        <w:shd w:val="clear" w:color="EAF1DD" w:themeColor="accent3" w:themeTint="34" w:fill="EAF1DD" w:themeFill="accent3" w:themeFillTint="34"/>
      </w:tcPr>
    </w:tblStylePr>
  </w:style>
  <w:style w:type="table" w:customStyle="1" w:styleId="166">
    <w:name w:val="Lined - Accent 4"/>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tblStylePr w:type="firstCol">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style>
  <w:style w:type="table" w:customStyle="1" w:styleId="167">
    <w:name w:val="Lined - Accent 5"/>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tblStylePr w:type="firstCol">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style>
  <w:style w:type="table" w:customStyle="1" w:styleId="168">
    <w:name w:val="Lined - Accent 6"/>
    <w:qFormat/>
    <w:uiPriority w:val="99"/>
    <w:rPr>
      <w:color w:val="404040"/>
    </w:rPr>
    <w:tblPr>
      <w:tblCellMar>
        <w:top w:w="0" w:type="dxa"/>
        <w:left w:w="0" w:type="dxa"/>
        <w:bottom w:w="0" w:type="dxa"/>
        <w:right w:w="0" w:type="dxa"/>
      </w:tblCellMar>
    </w:tblPr>
    <w:tblStylePr w:type="firstRow">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tblStylePr w:type="firstCol">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cPr>
        <w:shd w:val="clear" w:color="FDE9D9" w:themeColor="accent6" w:themeTint="34" w:fill="FDE9D9" w:themeFill="accent6" w:themeFillTint="34"/>
      </w:tcPr>
    </w:tblStylePr>
    <w:tblStylePr w:type="band1Horz">
      <w:rPr>
        <w:rFonts w:ascii="Arial" w:hAnsi="Arial"/>
        <w:color w:val="404040"/>
        <w:sz w:val="22"/>
      </w:rPr>
    </w:tblStylePr>
    <w:tblStylePr w:type="band2Horz">
      <w:rPr>
        <w:rFonts w:ascii="Arial" w:hAnsi="Arial"/>
        <w:color w:val="404040"/>
        <w:sz w:val="22"/>
      </w:rPr>
      <w:tcPr>
        <w:shd w:val="clear" w:color="FDE9D9" w:themeColor="accent6" w:themeTint="34" w:fill="FDE9D9" w:themeFill="accent6" w:themeFillTint="34"/>
      </w:tcPr>
    </w:tblStylePr>
  </w:style>
  <w:style w:type="table" w:customStyle="1" w:styleId="169">
    <w:name w:val="Bordered &amp; Lined - Accent"/>
    <w:qFormat/>
    <w:uiPriority w:val="99"/>
    <w:rPr>
      <w:color w:val="404040"/>
    </w:rPr>
    <w:tblPr>
      <w:tblBorders>
        <w:top w:val="single" w:color="585858" w:themeColor="text1" w:themeTint="A6" w:sz="4" w:space="0"/>
        <w:left w:val="single" w:color="585858" w:themeColor="text1" w:themeTint="A6" w:sz="4" w:space="0"/>
        <w:bottom w:val="single" w:color="585858" w:themeColor="text1" w:themeTint="A6" w:sz="4" w:space="0"/>
        <w:right w:val="single" w:color="585858" w:themeColor="text1" w:themeTint="A6" w:sz="4" w:space="0"/>
        <w:insideH w:val="single" w:color="585858" w:themeColor="text1" w:themeTint="A6" w:sz="4" w:space="0"/>
        <w:insideV w:val="single" w:color="585858" w:themeColor="text1" w:themeTint="A6" w:sz="4" w:space="0"/>
      </w:tblBorders>
      <w:tblCellMar>
        <w:top w:w="0" w:type="dxa"/>
        <w:left w:w="0" w:type="dxa"/>
        <w:bottom w:w="0" w:type="dxa"/>
        <w:right w:w="0" w:type="dxa"/>
      </w:tblCellMar>
    </w:tblPr>
    <w:tblStylePr w:type="firstRow">
      <w:rPr>
        <w:rFonts w:ascii="Arial" w:hAnsi="Arial"/>
        <w:color w:val="F2F2F2"/>
        <w:sz w:val="22"/>
      </w:rPr>
      <w:tcPr>
        <w:shd w:val="clear" w:color="7E7E7E" w:themeColor="text1" w:themeTint="80" w:fill="7E7E7E" w:themeFill="text1" w:themeFillTint="80"/>
      </w:tcPr>
    </w:tblStylePr>
    <w:tblStylePr w:type="lastRow">
      <w:rPr>
        <w:rFonts w:ascii="Arial" w:hAnsi="Arial"/>
        <w:color w:val="F2F2F2"/>
        <w:sz w:val="22"/>
      </w:rPr>
      <w:tcPr>
        <w:shd w:val="clear" w:color="7E7E7E" w:themeColor="text1" w:themeTint="80" w:fill="7E7E7E" w:themeFill="text1" w:themeFillTint="80"/>
      </w:tcPr>
    </w:tblStylePr>
    <w:tblStylePr w:type="firstCol">
      <w:rPr>
        <w:rFonts w:ascii="Arial" w:hAnsi="Arial"/>
        <w:color w:val="F2F2F2"/>
        <w:sz w:val="22"/>
      </w:rPr>
      <w:tcPr>
        <w:shd w:val="clear" w:color="7E7E7E" w:themeColor="text1" w:themeTint="80" w:fill="7E7E7E" w:themeFill="text1" w:themeFillTint="80"/>
      </w:tcPr>
    </w:tblStylePr>
    <w:tblStylePr w:type="lastCol">
      <w:rPr>
        <w:rFonts w:ascii="Arial" w:hAnsi="Arial"/>
        <w:color w:val="F2F2F2"/>
        <w:sz w:val="22"/>
      </w:rPr>
      <w:tcPr>
        <w:shd w:val="clear" w:color="7E7E7E" w:themeColor="text1" w:themeTint="80" w:fill="7E7E7E" w:themeFill="text1" w:themeFillTint="80"/>
      </w:tcPr>
    </w:tblStylePr>
    <w:tblStylePr w:type="band1Vert">
      <w:rPr>
        <w:rFonts w:ascii="Arial" w:hAnsi="Arial"/>
        <w:color w:val="404040"/>
        <w:sz w:val="22"/>
      </w:rPr>
    </w:tblStylePr>
    <w:tblStylePr w:type="band2Vert">
      <w:rPr>
        <w:rFonts w:ascii="Arial" w:hAnsi="Arial"/>
        <w:color w:val="404040"/>
        <w:sz w:val="22"/>
      </w:rPr>
      <w:tcPr>
        <w:shd w:val="clear" w:color="F1F1F1" w:themeColor="text1" w:themeTint="0D" w:fill="F1F1F1" w:themeFill="text1" w:themeFillTint="0D"/>
      </w:tcPr>
    </w:tblStylePr>
    <w:tblStylePr w:type="band1Horz">
      <w:rPr>
        <w:rFonts w:ascii="Arial" w:hAnsi="Arial"/>
        <w:color w:val="404040"/>
        <w:sz w:val="22"/>
      </w:rPr>
    </w:tblStylePr>
    <w:tblStylePr w:type="band2Horz">
      <w:rPr>
        <w:rFonts w:ascii="Arial" w:hAnsi="Arial"/>
        <w:color w:val="404040"/>
        <w:sz w:val="22"/>
      </w:rPr>
      <w:tcPr>
        <w:shd w:val="clear" w:color="F1F1F1" w:themeColor="text1" w:themeTint="0D" w:fill="F1F1F1" w:themeFill="text1" w:themeFillTint="0D"/>
      </w:tcPr>
    </w:tblStylePr>
  </w:style>
  <w:style w:type="table" w:customStyle="1" w:styleId="170">
    <w:name w:val="Bordered &amp; Lined - Accent 1"/>
    <w:qFormat/>
    <w:uiPriority w:val="99"/>
    <w:rPr>
      <w:color w:val="404040"/>
    </w:rPr>
    <w:tblPr>
      <w:tblBorders>
        <w:top w:val="single" w:color="2A4B71" w:themeColor="accent1" w:themeShade="95" w:sz="4" w:space="0"/>
        <w:left w:val="single" w:color="2A4B71" w:themeColor="accent1" w:themeShade="95" w:sz="4" w:space="0"/>
        <w:bottom w:val="single" w:color="2A4B71" w:themeColor="accent1" w:themeShade="95" w:sz="4" w:space="0"/>
        <w:right w:val="single" w:color="2A4B71" w:themeColor="accent1" w:themeShade="95" w:sz="4" w:space="0"/>
        <w:insideH w:val="single" w:color="2A4B71" w:themeColor="accent1" w:themeShade="95" w:sz="4" w:space="0"/>
        <w:insideV w:val="single" w:color="2A4B71" w:themeColor="accent1" w:themeShade="95" w:sz="4" w:space="0"/>
      </w:tblBorders>
      <w:tblCellMar>
        <w:top w:w="0" w:type="dxa"/>
        <w:left w:w="0" w:type="dxa"/>
        <w:bottom w:w="0" w:type="dxa"/>
        <w:right w:w="0" w:type="dxa"/>
      </w:tblCellMar>
    </w:tblPr>
    <w:tblStylePr w:type="firstRow">
      <w:rPr>
        <w:rFonts w:ascii="Arial" w:hAnsi="Arial"/>
        <w:color w:val="F2F2F2"/>
        <w:sz w:val="22"/>
      </w:rPr>
      <w:tcPr>
        <w:shd w:val="clear" w:color="5D8BC2" w:themeColor="accent1" w:themeTint="EA" w:fill="5D8BC2" w:themeFill="accent1" w:themeFillTint="EA"/>
      </w:tcPr>
    </w:tblStylePr>
    <w:tblStylePr w:type="lastRow">
      <w:rPr>
        <w:rFonts w:ascii="Arial" w:hAnsi="Arial"/>
        <w:color w:val="F2F2F2"/>
        <w:sz w:val="22"/>
      </w:rPr>
      <w:tcPr>
        <w:shd w:val="clear" w:color="5D8BC2" w:themeColor="accent1" w:themeTint="EA" w:fill="5D8BC2" w:themeFill="accent1" w:themeFillTint="EA"/>
      </w:tcPr>
    </w:tblStylePr>
    <w:tblStylePr w:type="firstCol">
      <w:rPr>
        <w:rFonts w:ascii="Arial" w:hAnsi="Arial"/>
        <w:color w:val="F2F2F2"/>
        <w:sz w:val="22"/>
      </w:rPr>
      <w:tcPr>
        <w:shd w:val="clear" w:color="5D8BC2" w:themeColor="accent1" w:themeTint="EA" w:fill="5D8BC2" w:themeFill="accent1" w:themeFillTint="EA"/>
      </w:tcPr>
    </w:tblStylePr>
    <w:tblStylePr w:type="lastCol">
      <w:rPr>
        <w:rFonts w:ascii="Arial" w:hAnsi="Arial"/>
        <w:color w:val="F2F2F2"/>
        <w:sz w:val="22"/>
      </w:rPr>
      <w:tcPr>
        <w:shd w:val="clear" w:color="5D8BC2" w:themeColor="accent1" w:themeTint="EA" w:fill="5D8BC2" w:themeFill="accent1" w:themeFillTint="EA"/>
      </w:tcPr>
    </w:tblStylePr>
    <w:tblStylePr w:type="band1Vert">
      <w:rPr>
        <w:rFonts w:ascii="Arial" w:hAnsi="Arial"/>
        <w:color w:val="404040"/>
        <w:sz w:val="22"/>
      </w:rPr>
    </w:tblStylePr>
    <w:tblStylePr w:type="band2Vert">
      <w:rPr>
        <w:rFonts w:ascii="Arial" w:hAnsi="Arial"/>
        <w:color w:val="404040"/>
        <w:sz w:val="22"/>
      </w:r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cPr>
        <w:shd w:val="clear" w:color="C7D7EA" w:themeColor="accent1" w:themeTint="50" w:fill="C7D7EA" w:themeFill="accent1" w:themeFillTint="50"/>
      </w:tcPr>
    </w:tblStylePr>
  </w:style>
  <w:style w:type="table" w:customStyle="1" w:styleId="171">
    <w:name w:val="Bordered &amp; Lined - Accent 2"/>
    <w:qFormat/>
    <w:uiPriority w:val="99"/>
    <w:rPr>
      <w:color w:val="404040"/>
    </w:rPr>
    <w:tblPr>
      <w:tblBorders>
        <w:top w:val="single" w:color="742B29" w:themeColor="accent2" w:themeShade="95" w:sz="4" w:space="0"/>
        <w:left w:val="single" w:color="742B29" w:themeColor="accent2" w:themeShade="95" w:sz="4" w:space="0"/>
        <w:bottom w:val="single" w:color="742B29" w:themeColor="accent2" w:themeShade="95" w:sz="4" w:space="0"/>
        <w:right w:val="single" w:color="742B29" w:themeColor="accent2" w:themeShade="95" w:sz="4" w:space="0"/>
        <w:insideH w:val="single" w:color="742B29" w:themeColor="accent2" w:themeShade="95" w:sz="4" w:space="0"/>
        <w:insideV w:val="single" w:color="742B29" w:themeColor="accent2" w:themeShade="95" w:sz="4" w:space="0"/>
      </w:tblBorders>
      <w:tblCellMar>
        <w:top w:w="0" w:type="dxa"/>
        <w:left w:w="0" w:type="dxa"/>
        <w:bottom w:w="0" w:type="dxa"/>
        <w:right w:w="0" w:type="dxa"/>
      </w:tblCellMar>
    </w:tblPr>
    <w:tblStylePr w:type="firstRow">
      <w:rPr>
        <w:rFonts w:ascii="Arial" w:hAnsi="Arial"/>
        <w:color w:val="F2F2F2"/>
        <w:sz w:val="22"/>
      </w:rPr>
      <w:tcPr>
        <w:shd w:val="clear" w:color="D99795" w:themeColor="accent2" w:themeTint="97" w:fill="D99795" w:themeFill="accent2" w:themeFillTint="97"/>
      </w:tcPr>
    </w:tblStylePr>
    <w:tblStylePr w:type="lastRow">
      <w:rPr>
        <w:rFonts w:ascii="Arial" w:hAnsi="Arial"/>
        <w:color w:val="F2F2F2"/>
        <w:sz w:val="22"/>
      </w:rPr>
      <w:tcPr>
        <w:shd w:val="clear" w:color="D99795" w:themeColor="accent2" w:themeTint="97" w:fill="D99795" w:themeFill="accent2" w:themeFillTint="97"/>
      </w:tcPr>
    </w:tblStylePr>
    <w:tblStylePr w:type="firstCol">
      <w:rPr>
        <w:rFonts w:ascii="Arial" w:hAnsi="Arial"/>
        <w:color w:val="F2F2F2"/>
        <w:sz w:val="22"/>
      </w:rPr>
      <w:tcPr>
        <w:shd w:val="clear" w:color="D99795" w:themeColor="accent2" w:themeTint="97" w:fill="D99795" w:themeFill="accent2" w:themeFillTint="97"/>
      </w:tcPr>
    </w:tblStylePr>
    <w:tblStylePr w:type="lastCol">
      <w:rPr>
        <w:rFonts w:ascii="Arial" w:hAnsi="Arial"/>
        <w:color w:val="F2F2F2"/>
        <w:sz w:val="22"/>
      </w:rPr>
      <w:tcPr>
        <w:shd w:val="clear" w:color="D99795" w:themeColor="accent2" w:themeTint="97" w:fill="D99795" w:themeFill="accent2" w:themeFillTint="97"/>
      </w:tcPr>
    </w:tblStylePr>
    <w:tblStylePr w:type="band1Vert">
      <w:rPr>
        <w:rFonts w:ascii="Arial" w:hAnsi="Arial"/>
        <w:color w:val="404040"/>
        <w:sz w:val="22"/>
      </w:rPr>
    </w:tblStylePr>
    <w:tblStylePr w:type="band2Vert">
      <w:rPr>
        <w:rFonts w:ascii="Arial" w:hAnsi="Arial"/>
        <w:color w:val="404040"/>
        <w:sz w:val="22"/>
      </w:r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cPr>
        <w:shd w:val="clear" w:color="F2DCDC" w:themeColor="accent2" w:themeTint="32" w:fill="F2DCDC" w:themeFill="accent2" w:themeFillTint="32"/>
      </w:tcPr>
    </w:tblStylePr>
  </w:style>
  <w:style w:type="table" w:customStyle="1" w:styleId="172">
    <w:name w:val="Bordered &amp; Lined - Accent 3"/>
    <w:qFormat/>
    <w:uiPriority w:val="99"/>
    <w:rPr>
      <w:color w:val="404040"/>
    </w:rPr>
    <w:tblPr>
      <w:tblBorders>
        <w:top w:val="single" w:color="5C722E" w:themeColor="accent3" w:themeShade="95" w:sz="4" w:space="0"/>
        <w:left w:val="single" w:color="5C722E" w:themeColor="accent3" w:themeShade="95" w:sz="4" w:space="0"/>
        <w:bottom w:val="single" w:color="5C722E" w:themeColor="accent3" w:themeShade="95" w:sz="4" w:space="0"/>
        <w:right w:val="single" w:color="5C722E" w:themeColor="accent3" w:themeShade="95" w:sz="4" w:space="0"/>
        <w:insideH w:val="single" w:color="5C722E" w:themeColor="accent3" w:themeShade="95" w:sz="4" w:space="0"/>
        <w:insideV w:val="single" w:color="5C722E" w:themeColor="accent3" w:themeShade="95" w:sz="4" w:space="0"/>
      </w:tblBorders>
      <w:tblCellMar>
        <w:top w:w="0" w:type="dxa"/>
        <w:left w:w="0" w:type="dxa"/>
        <w:bottom w:w="0" w:type="dxa"/>
        <w:right w:w="0" w:type="dxa"/>
      </w:tblCellMar>
    </w:tblPr>
    <w:tblStylePr w:type="firstRow">
      <w:rPr>
        <w:rFonts w:ascii="Arial" w:hAnsi="Arial"/>
        <w:color w:val="F2F2F2"/>
        <w:sz w:val="22"/>
      </w:rPr>
      <w:tcPr>
        <w:shd w:val="clear" w:color="9BBB59" w:themeColor="accent3" w:themeTint="FE" w:fill="9BBB59" w:themeFill="accent3" w:themeFillTint="FE"/>
      </w:tcPr>
    </w:tblStylePr>
    <w:tblStylePr w:type="lastRow">
      <w:rPr>
        <w:rFonts w:ascii="Arial" w:hAnsi="Arial"/>
        <w:color w:val="F2F2F2"/>
        <w:sz w:val="22"/>
      </w:rPr>
      <w:tcPr>
        <w:shd w:val="clear" w:color="9BBB59" w:themeColor="accent3" w:themeTint="FE" w:fill="9BBB59" w:themeFill="accent3" w:themeFillTint="FE"/>
      </w:tcPr>
    </w:tblStylePr>
    <w:tblStylePr w:type="firstCol">
      <w:rPr>
        <w:rFonts w:ascii="Arial" w:hAnsi="Arial"/>
        <w:color w:val="F2F2F2"/>
        <w:sz w:val="22"/>
      </w:rPr>
      <w:tcPr>
        <w:shd w:val="clear" w:color="9BBB59" w:themeColor="accent3" w:themeTint="FE" w:fill="9BBB59" w:themeFill="accent3" w:themeFillTint="FE"/>
      </w:tcPr>
    </w:tblStylePr>
    <w:tblStylePr w:type="lastCol">
      <w:rPr>
        <w:rFonts w:ascii="Arial" w:hAnsi="Arial"/>
        <w:color w:val="F2F2F2"/>
        <w:sz w:val="22"/>
      </w:rPr>
      <w:tcPr>
        <w:shd w:val="clear" w:color="9BBB59" w:themeColor="accent3" w:themeTint="FE" w:fill="9BBB59" w:themeFill="accent3" w:themeFillTint="FE"/>
      </w:tcPr>
    </w:tblStylePr>
    <w:tblStylePr w:type="band1Vert">
      <w:rPr>
        <w:rFonts w:ascii="Arial" w:hAnsi="Arial"/>
        <w:color w:val="404040"/>
        <w:sz w:val="22"/>
      </w:rPr>
    </w:tblStylePr>
    <w:tblStylePr w:type="band2Vert">
      <w:rPr>
        <w:rFonts w:ascii="Arial" w:hAnsi="Arial"/>
        <w:color w:val="404040"/>
        <w:sz w:val="22"/>
      </w:rPr>
      <w:tcPr>
        <w:shd w:val="clear" w:color="EAF1DD" w:themeColor="accent3" w:themeTint="34" w:fill="EAF1DD" w:themeFill="accent3" w:themeFillTint="34"/>
      </w:tcPr>
    </w:tblStylePr>
    <w:tblStylePr w:type="band1Horz">
      <w:rPr>
        <w:rFonts w:ascii="Arial" w:hAnsi="Arial"/>
        <w:color w:val="404040"/>
        <w:sz w:val="22"/>
      </w:rPr>
    </w:tblStylePr>
    <w:tblStylePr w:type="band2Horz">
      <w:rPr>
        <w:rFonts w:ascii="Arial" w:hAnsi="Arial"/>
        <w:color w:val="404040"/>
        <w:sz w:val="22"/>
      </w:rPr>
      <w:tcPr>
        <w:shd w:val="clear" w:color="EAF1DD" w:themeColor="accent3" w:themeTint="34" w:fill="EAF1DD" w:themeFill="accent3" w:themeFillTint="34"/>
      </w:tcPr>
    </w:tblStylePr>
  </w:style>
  <w:style w:type="table" w:customStyle="1" w:styleId="173">
    <w:name w:val="Bordered &amp; Lined - Accent 4"/>
    <w:qFormat/>
    <w:uiPriority w:val="99"/>
    <w:rPr>
      <w:color w:val="404040"/>
    </w:rPr>
    <w:tblPr>
      <w:tblBorders>
        <w:top w:val="single" w:color="4A395F" w:themeColor="accent4" w:themeShade="95" w:sz="4" w:space="0"/>
        <w:left w:val="single" w:color="4A395F" w:themeColor="accent4" w:themeShade="95" w:sz="4" w:space="0"/>
        <w:bottom w:val="single" w:color="4A395F" w:themeColor="accent4" w:themeShade="95" w:sz="4" w:space="0"/>
        <w:right w:val="single" w:color="4A395F" w:themeColor="accent4" w:themeShade="95" w:sz="4" w:space="0"/>
        <w:insideH w:val="single" w:color="4A395F" w:themeColor="accent4" w:themeShade="95" w:sz="4" w:space="0"/>
        <w:insideV w:val="single" w:color="4A395F" w:themeColor="accent4" w:themeShade="95" w:sz="4" w:space="0"/>
      </w:tblBorders>
      <w:tblCellMar>
        <w:top w:w="0" w:type="dxa"/>
        <w:left w:w="0" w:type="dxa"/>
        <w:bottom w:w="0" w:type="dxa"/>
        <w:right w:w="0" w:type="dxa"/>
      </w:tblCellMar>
    </w:tblPr>
    <w:tblStylePr w:type="firstRow">
      <w:rPr>
        <w:rFonts w:ascii="Arial" w:hAnsi="Arial"/>
        <w:color w:val="F2F2F2"/>
        <w:sz w:val="22"/>
      </w:rPr>
      <w:tcPr>
        <w:shd w:val="clear" w:color="B2A1C6" w:themeColor="accent4" w:themeTint="9A" w:fill="B2A1C6" w:themeFill="accent4" w:themeFillTint="9A"/>
      </w:tcPr>
    </w:tblStylePr>
    <w:tblStylePr w:type="lastRow">
      <w:rPr>
        <w:rFonts w:ascii="Arial" w:hAnsi="Arial"/>
        <w:color w:val="F2F2F2"/>
        <w:sz w:val="22"/>
      </w:rPr>
      <w:tcPr>
        <w:shd w:val="clear" w:color="B2A1C6" w:themeColor="accent4" w:themeTint="9A" w:fill="B2A1C6" w:themeFill="accent4" w:themeFillTint="9A"/>
      </w:tcPr>
    </w:tblStylePr>
    <w:tblStylePr w:type="firstCol">
      <w:rPr>
        <w:rFonts w:ascii="Arial" w:hAnsi="Arial"/>
        <w:color w:val="F2F2F2"/>
        <w:sz w:val="22"/>
      </w:rPr>
      <w:tcPr>
        <w:shd w:val="clear" w:color="B2A1C6" w:themeColor="accent4" w:themeTint="9A" w:fill="B2A1C6" w:themeFill="accent4" w:themeFillTint="9A"/>
      </w:tcPr>
    </w:tblStylePr>
    <w:tblStylePr w:type="lastCol">
      <w:rPr>
        <w:rFonts w:ascii="Arial" w:hAnsi="Arial"/>
        <w:color w:val="F2F2F2"/>
        <w:sz w:val="22"/>
      </w:r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cPr>
        <w:shd w:val="clear" w:color="E5DFEC" w:themeColor="accent4" w:themeTint="34" w:fill="E5DFEC" w:themeFill="accent4" w:themeFillTint="34"/>
      </w:tcPr>
    </w:tblStylePr>
  </w:style>
  <w:style w:type="table" w:customStyle="1" w:styleId="174">
    <w:name w:val="Bordered &amp; Lined - Accent 5"/>
    <w:qFormat/>
    <w:uiPriority w:val="99"/>
    <w:rPr>
      <w:color w:val="404040"/>
    </w:rPr>
    <w:tblPr>
      <w:tblBorders>
        <w:top w:val="single" w:color="266779" w:themeColor="accent5" w:themeShade="95" w:sz="4" w:space="0"/>
        <w:left w:val="single" w:color="266779" w:themeColor="accent5" w:themeShade="95" w:sz="4" w:space="0"/>
        <w:bottom w:val="single" w:color="266779" w:themeColor="accent5" w:themeShade="95" w:sz="4" w:space="0"/>
        <w:right w:val="single" w:color="266779" w:themeColor="accent5" w:themeShade="95" w:sz="4" w:space="0"/>
        <w:insideH w:val="single" w:color="266779" w:themeColor="accent5" w:themeShade="95" w:sz="4" w:space="0"/>
        <w:insideV w:val="single" w:color="266779" w:themeColor="accent5" w:themeShade="95" w:sz="4" w:space="0"/>
      </w:tblBorders>
      <w:tblCellMar>
        <w:top w:w="0" w:type="dxa"/>
        <w:left w:w="0" w:type="dxa"/>
        <w:bottom w:w="0" w:type="dxa"/>
        <w:right w:w="0" w:type="dxa"/>
      </w:tblCellMar>
    </w:tblPr>
    <w:tblStylePr w:type="firstRow">
      <w:rPr>
        <w:rFonts w:ascii="Arial" w:hAnsi="Arial"/>
        <w:color w:val="F2F2F2"/>
        <w:sz w:val="22"/>
      </w:rPr>
      <w:tcPr>
        <w:shd w:val="clear" w:color="4BACC6" w:themeColor="accent5" w:fill="4BACC6" w:themeFill="accent5"/>
      </w:tcPr>
    </w:tblStylePr>
    <w:tblStylePr w:type="lastRow">
      <w:rPr>
        <w:rFonts w:ascii="Arial" w:hAnsi="Arial"/>
        <w:color w:val="F2F2F2"/>
        <w:sz w:val="22"/>
      </w:rPr>
      <w:tcPr>
        <w:shd w:val="clear" w:color="4BACC6" w:themeColor="accent5" w:fill="4BACC6" w:themeFill="accent5"/>
      </w:tcPr>
    </w:tblStylePr>
    <w:tblStylePr w:type="firstCol">
      <w:rPr>
        <w:rFonts w:ascii="Arial" w:hAnsi="Arial"/>
        <w:color w:val="F2F2F2"/>
        <w:sz w:val="22"/>
      </w:rPr>
      <w:tcPr>
        <w:shd w:val="clear" w:color="4BACC6" w:themeColor="accent5" w:fill="4BACC6" w:themeFill="accent5"/>
      </w:tcPr>
    </w:tblStylePr>
    <w:tblStylePr w:type="lastCol">
      <w:rPr>
        <w:rFonts w:ascii="Arial" w:hAnsi="Arial"/>
        <w:color w:val="F2F2F2"/>
        <w:sz w:val="22"/>
      </w:r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cPr>
        <w:shd w:val="clear" w:color="DAEEF3" w:themeColor="accent5" w:themeTint="34" w:fill="DAEEF3" w:themeFill="accent5" w:themeFillTint="34"/>
      </w:tcPr>
    </w:tblStylePr>
  </w:style>
  <w:style w:type="table" w:customStyle="1" w:styleId="175">
    <w:name w:val="Bordered &amp; Lined - Accent 6"/>
    <w:qFormat/>
    <w:uiPriority w:val="99"/>
    <w:rPr>
      <w:color w:val="404040"/>
    </w:rPr>
    <w:tblPr>
      <w:tblBorders>
        <w:top w:val="single" w:color="B15407" w:themeColor="accent6" w:themeShade="95" w:sz="4" w:space="0"/>
        <w:left w:val="single" w:color="B15407" w:themeColor="accent6" w:themeShade="95" w:sz="4" w:space="0"/>
        <w:bottom w:val="single" w:color="B15407" w:themeColor="accent6" w:themeShade="95" w:sz="4" w:space="0"/>
        <w:right w:val="single" w:color="B15407" w:themeColor="accent6" w:themeShade="95" w:sz="4" w:space="0"/>
        <w:insideH w:val="single" w:color="B15407" w:themeColor="accent6" w:themeShade="95" w:sz="4" w:space="0"/>
        <w:insideV w:val="single" w:color="B15407" w:themeColor="accent6" w:themeShade="95" w:sz="4" w:space="0"/>
      </w:tblBorders>
      <w:tblCellMar>
        <w:top w:w="0" w:type="dxa"/>
        <w:left w:w="0" w:type="dxa"/>
        <w:bottom w:w="0" w:type="dxa"/>
        <w:right w:w="0" w:type="dxa"/>
      </w:tblCellMar>
    </w:tblPr>
    <w:tblStylePr w:type="firstRow">
      <w:rPr>
        <w:rFonts w:ascii="Arial" w:hAnsi="Arial"/>
        <w:color w:val="F2F2F2"/>
        <w:sz w:val="22"/>
      </w:rPr>
      <w:tcPr>
        <w:shd w:val="clear" w:color="F79646" w:themeColor="accent6" w:fill="F79646" w:themeFill="accent6"/>
      </w:tcPr>
    </w:tblStylePr>
    <w:tblStylePr w:type="lastRow">
      <w:rPr>
        <w:rFonts w:ascii="Arial" w:hAnsi="Arial"/>
        <w:color w:val="F2F2F2"/>
        <w:sz w:val="22"/>
      </w:rPr>
      <w:tcPr>
        <w:shd w:val="clear" w:color="F79646" w:themeColor="accent6" w:fill="F79646" w:themeFill="accent6"/>
      </w:tcPr>
    </w:tblStylePr>
    <w:tblStylePr w:type="firstCol">
      <w:rPr>
        <w:rFonts w:ascii="Arial" w:hAnsi="Arial"/>
        <w:color w:val="F2F2F2"/>
        <w:sz w:val="22"/>
      </w:rPr>
      <w:tcPr>
        <w:shd w:val="clear" w:color="F79646" w:themeColor="accent6" w:fill="F79646" w:themeFill="accent6"/>
      </w:tcPr>
    </w:tblStylePr>
    <w:tblStylePr w:type="lastCol">
      <w:rPr>
        <w:rFonts w:ascii="Arial" w:hAnsi="Arial"/>
        <w:color w:val="F2F2F2"/>
        <w:sz w:val="22"/>
      </w:r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cPr>
        <w:shd w:val="clear" w:color="FDE9D9" w:themeColor="accent6" w:themeTint="34" w:fill="FDE9D9" w:themeFill="accent6" w:themeFillTint="34"/>
      </w:tcPr>
    </w:tblStylePr>
    <w:tblStylePr w:type="band1Horz">
      <w:rPr>
        <w:rFonts w:ascii="Arial" w:hAnsi="Arial"/>
        <w:color w:val="404040"/>
        <w:sz w:val="22"/>
      </w:rPr>
    </w:tblStylePr>
    <w:tblStylePr w:type="band2Horz">
      <w:rPr>
        <w:rFonts w:ascii="Arial" w:hAnsi="Arial"/>
        <w:color w:val="404040"/>
        <w:sz w:val="22"/>
      </w:rPr>
      <w:tcPr>
        <w:shd w:val="clear" w:color="FDE9D9" w:themeColor="accent6" w:themeTint="34" w:fill="FDE9D9" w:themeFill="accent6" w:themeFillTint="34"/>
      </w:tcPr>
    </w:tblStylePr>
  </w:style>
  <w:style w:type="table" w:customStyle="1" w:styleId="176">
    <w:name w:val="Bordered"/>
    <w:qFormat/>
    <w:uiPriority w:val="99"/>
    <w:tblPr>
      <w:tblBorders>
        <w:top w:val="single" w:color="D8D8D8" w:themeColor="text1" w:themeTint="26" w:sz="4" w:space="0"/>
        <w:left w:val="single" w:color="D8D8D8" w:themeColor="text1" w:themeTint="26" w:sz="4" w:space="0"/>
        <w:bottom w:val="single" w:color="D8D8D8" w:themeColor="text1" w:themeTint="26" w:sz="4" w:space="0"/>
        <w:right w:val="single" w:color="D8D8D8" w:themeColor="text1" w:themeTint="26" w:sz="4" w:space="0"/>
        <w:insideH w:val="single" w:color="D8D8D8" w:themeColor="text1" w:themeTint="26" w:sz="4" w:space="0"/>
        <w:insideV w:val="single" w:color="D8D8D8" w:themeColor="text1" w:themeTint="26" w:sz="4" w:space="0"/>
      </w:tblBorders>
      <w:tblCellMar>
        <w:top w:w="0" w:type="dxa"/>
        <w:left w:w="0" w:type="dxa"/>
        <w:bottom w:w="0" w:type="dxa"/>
        <w:right w:w="0" w:type="dxa"/>
      </w:tblCellMar>
    </w:tblPr>
    <w:tblStylePr w:type="firstRow">
      <w:rPr>
        <w:rFonts w:ascii="Arial" w:hAnsi="Arial"/>
        <w:color w:val="404040"/>
        <w:sz w:val="22"/>
      </w:rPr>
      <w:tcPr>
        <w:tcBorders>
          <w:bottom w:val="single" w:color="7E7E7E" w:themeColor="text1" w:themeTint="80" w:sz="12" w:space="0"/>
        </w:tcBorders>
      </w:tcPr>
    </w:tblStylePr>
    <w:tblStylePr w:type="lastRow">
      <w:rPr>
        <w:rFonts w:ascii="Arial" w:hAnsi="Arial"/>
        <w:color w:val="404040"/>
        <w:sz w:val="22"/>
      </w:rPr>
      <w:tcPr>
        <w:tcBorders>
          <w:top w:val="single" w:color="7E7E7E" w:themeColor="text1" w:themeTint="80"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7E7E7E" w:themeColor="text1" w:themeTint="80" w:sz="12" w:space="0"/>
        </w:tcBorders>
      </w:tcPr>
    </w:tblStylePr>
    <w:tblStylePr w:type="band1Horz">
      <w:rPr>
        <w:rFonts w:ascii="Arial" w:hAnsi="Arial"/>
        <w:color w:val="404040"/>
        <w:sz w:val="22"/>
      </w:rPr>
      <w:tcPr>
        <w:tcBorders>
          <w:top w:val="single" w:color="D8D8D8" w:themeColor="text1" w:themeTint="26" w:sz="4" w:space="0"/>
          <w:left w:val="single" w:color="D8D8D8" w:themeColor="text1" w:themeTint="26" w:sz="4" w:space="0"/>
          <w:bottom w:val="single" w:color="D8D8D8" w:themeColor="text1" w:themeTint="26" w:sz="4" w:space="0"/>
          <w:right w:val="single" w:color="D8D8D8" w:themeColor="text1" w:themeTint="26" w:sz="4" w:space="0"/>
        </w:tcBorders>
      </w:tcPr>
    </w:tblStylePr>
  </w:style>
  <w:style w:type="table" w:customStyle="1" w:styleId="177">
    <w:name w:val="Bordered - Accent 1"/>
    <w:qFormat/>
    <w:uiPriority w:val="99"/>
    <w:tblPr>
      <w:tblBorders>
        <w:top w:val="single" w:color="B7CCE4" w:themeColor="accent1" w:themeTint="67" w:sz="4" w:space="0"/>
        <w:left w:val="single" w:color="B7CCE4" w:themeColor="accent1" w:themeTint="67" w:sz="4" w:space="0"/>
        <w:bottom w:val="single" w:color="B7CCE4" w:themeColor="accent1" w:themeTint="67" w:sz="4" w:space="0"/>
        <w:right w:val="single" w:color="B7CCE4" w:themeColor="accent1" w:themeTint="67" w:sz="4" w:space="0"/>
        <w:insideH w:val="single" w:color="B7CCE4" w:themeColor="accent1" w:themeTint="67" w:sz="4" w:space="0"/>
        <w:insideV w:val="single" w:color="B7CCE4" w:themeColor="accent1"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4F81BD" w:themeColor="accent1" w:sz="12" w:space="0"/>
        </w:tcBorders>
      </w:tcPr>
    </w:tblStylePr>
    <w:tblStylePr w:type="lastRow">
      <w:rPr>
        <w:rFonts w:ascii="Arial" w:hAnsi="Arial"/>
        <w:color w:val="404040"/>
        <w:sz w:val="22"/>
      </w:rPr>
      <w:tcPr>
        <w:tcBorders>
          <w:top w:val="single" w:color="4F81BD" w:themeColor="accent1"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4F81BD" w:themeColor="accent1" w:sz="12" w:space="0"/>
        </w:tcBorders>
      </w:tcPr>
    </w:tblStylePr>
    <w:tblStylePr w:type="band1Horz">
      <w:rPr>
        <w:rFonts w:ascii="Arial" w:hAnsi="Arial"/>
        <w:color w:val="404040"/>
        <w:sz w:val="22"/>
      </w:rPr>
      <w:tcPr>
        <w:tcBorders>
          <w:top w:val="single" w:color="B7CCE4" w:themeColor="accent1" w:themeTint="67" w:sz="4" w:space="0"/>
          <w:left w:val="single" w:color="B7CCE4" w:themeColor="accent1" w:themeTint="67" w:sz="4" w:space="0"/>
          <w:bottom w:val="single" w:color="B7CCE4" w:themeColor="accent1" w:themeTint="67" w:sz="4" w:space="0"/>
          <w:right w:val="single" w:color="B7CCE4" w:themeColor="accent1" w:themeTint="67" w:sz="4" w:space="0"/>
        </w:tcBorders>
      </w:tcPr>
    </w:tblStylePr>
  </w:style>
  <w:style w:type="table" w:customStyle="1" w:styleId="178">
    <w:name w:val="Bordered - Accent 2"/>
    <w:qFormat/>
    <w:uiPriority w:val="99"/>
    <w:tblPr>
      <w:tblBorders>
        <w:top w:val="single" w:color="E5B8B7" w:themeColor="accent2" w:themeTint="67" w:sz="4" w:space="0"/>
        <w:left w:val="single" w:color="E5B8B7" w:themeColor="accent2" w:themeTint="67" w:sz="4" w:space="0"/>
        <w:bottom w:val="single" w:color="E5B8B7" w:themeColor="accent2" w:themeTint="67" w:sz="4" w:space="0"/>
        <w:right w:val="single" w:color="E5B8B7" w:themeColor="accent2" w:themeTint="67" w:sz="4" w:space="0"/>
        <w:insideH w:val="single" w:color="E5B8B7" w:themeColor="accent2" w:themeTint="67" w:sz="4" w:space="0"/>
        <w:insideV w:val="single" w:color="E5B8B7" w:themeColor="accent2"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D99795" w:themeColor="accent2" w:themeTint="97" w:sz="12" w:space="0"/>
        </w:tcBorders>
      </w:tcPr>
    </w:tblStylePr>
    <w:tblStylePr w:type="lastRow">
      <w:rPr>
        <w:rFonts w:ascii="Arial" w:hAnsi="Arial"/>
        <w:color w:val="404040"/>
        <w:sz w:val="22"/>
      </w:rPr>
      <w:tcPr>
        <w:tcBorders>
          <w:top w:val="single" w:color="D99795" w:themeColor="accent2" w:themeTint="97"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D99795" w:themeColor="accent2" w:themeTint="97" w:sz="12" w:space="0"/>
        </w:tcBorders>
      </w:tcPr>
    </w:tblStylePr>
    <w:tblStylePr w:type="band1Horz">
      <w:rPr>
        <w:rFonts w:ascii="Arial" w:hAnsi="Arial"/>
        <w:color w:val="404040"/>
        <w:sz w:val="22"/>
      </w:rPr>
      <w:tcPr>
        <w:tcBorders>
          <w:top w:val="single" w:color="E5B8B7" w:themeColor="accent2" w:themeTint="67" w:sz="4" w:space="0"/>
          <w:left w:val="single" w:color="E5B8B7" w:themeColor="accent2" w:themeTint="67" w:sz="4" w:space="0"/>
          <w:bottom w:val="single" w:color="E5B8B7" w:themeColor="accent2" w:themeTint="67" w:sz="4" w:space="0"/>
          <w:right w:val="single" w:color="E5B8B7" w:themeColor="accent2" w:themeTint="67" w:sz="4" w:space="0"/>
        </w:tcBorders>
      </w:tcPr>
    </w:tblStylePr>
  </w:style>
  <w:style w:type="table" w:customStyle="1" w:styleId="179">
    <w:name w:val="Bordered - Accent 3"/>
    <w:qFormat/>
    <w:uiPriority w:val="99"/>
    <w:tblPr>
      <w:tbl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insideH w:val="single" w:color="D6E3BB" w:themeColor="accent3" w:themeTint="67" w:sz="4" w:space="0"/>
        <w:insideV w:val="single" w:color="D6E3BB" w:themeColor="accent3"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C3D69C" w:themeColor="accent3" w:themeTint="98" w:sz="12" w:space="0"/>
        </w:tcBorders>
      </w:tcPr>
    </w:tblStylePr>
    <w:tblStylePr w:type="lastRow">
      <w:rPr>
        <w:rFonts w:ascii="Arial" w:hAnsi="Arial"/>
        <w:color w:val="404040"/>
        <w:sz w:val="22"/>
      </w:rPr>
      <w:tcPr>
        <w:tcBorders>
          <w:top w:val="single" w:color="C3D69C" w:themeColor="accent3" w:themeTint="98"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C3D69C" w:themeColor="accent3" w:themeTint="98" w:sz="12" w:space="0"/>
        </w:tcBorders>
      </w:tcPr>
    </w:tblStylePr>
    <w:tblStylePr w:type="band1Horz">
      <w:rPr>
        <w:rFonts w:ascii="Arial" w:hAnsi="Arial"/>
        <w:color w:val="404040"/>
        <w:sz w:val="22"/>
      </w:rPr>
      <w:tcPr>
        <w:tcBorders>
          <w:top w:val="single" w:color="D6E3BB" w:themeColor="accent3" w:themeTint="67" w:sz="4" w:space="0"/>
          <w:left w:val="single" w:color="D6E3BB" w:themeColor="accent3" w:themeTint="67" w:sz="4" w:space="0"/>
          <w:bottom w:val="single" w:color="D6E3BB" w:themeColor="accent3" w:themeTint="67" w:sz="4" w:space="0"/>
          <w:right w:val="single" w:color="D6E3BB" w:themeColor="accent3" w:themeTint="67" w:sz="4" w:space="0"/>
        </w:tcBorders>
      </w:tcPr>
    </w:tblStylePr>
  </w:style>
  <w:style w:type="table" w:customStyle="1" w:styleId="180">
    <w:name w:val="Bordered - Accent 4"/>
    <w:qFormat/>
    <w:uiPriority w:val="99"/>
    <w:tblPr>
      <w:tbl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insideH w:val="single" w:color="CBC0D9" w:themeColor="accent4" w:themeTint="67" w:sz="4" w:space="0"/>
        <w:insideV w:val="single" w:color="CBC0D9" w:themeColor="accent4"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B2A1C6" w:themeColor="accent4" w:themeTint="9A" w:sz="12" w:space="0"/>
        </w:tcBorders>
      </w:tcPr>
    </w:tblStylePr>
    <w:tblStylePr w:type="lastRow">
      <w:rPr>
        <w:rFonts w:ascii="Arial" w:hAnsi="Arial"/>
        <w:color w:val="404040"/>
        <w:sz w:val="22"/>
      </w:rPr>
      <w:tcPr>
        <w:tcBorders>
          <w:top w:val="single" w:color="B2A1C6" w:themeColor="accent4" w:themeTint="9A"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B2A1C6" w:themeColor="accent4" w:themeTint="9A" w:sz="12" w:space="0"/>
        </w:tcBorders>
      </w:tcPr>
    </w:tblStylePr>
    <w:tblStylePr w:type="band1Horz">
      <w:rPr>
        <w:rFonts w:ascii="Arial" w:hAnsi="Arial"/>
        <w:color w:val="404040"/>
        <w:sz w:val="22"/>
      </w:rPr>
      <w:tcPr>
        <w:tcBorders>
          <w:top w:val="single" w:color="CBC0D9" w:themeColor="accent4" w:themeTint="67" w:sz="4" w:space="0"/>
          <w:left w:val="single" w:color="CBC0D9" w:themeColor="accent4" w:themeTint="67" w:sz="4" w:space="0"/>
          <w:bottom w:val="single" w:color="CBC0D9" w:themeColor="accent4" w:themeTint="67" w:sz="4" w:space="0"/>
          <w:right w:val="single" w:color="CBC0D9" w:themeColor="accent4" w:themeTint="67" w:sz="4" w:space="0"/>
        </w:tcBorders>
      </w:tcPr>
    </w:tblStylePr>
  </w:style>
  <w:style w:type="table" w:customStyle="1" w:styleId="181">
    <w:name w:val="Bordered - Accent 5"/>
    <w:qFormat/>
    <w:uiPriority w:val="99"/>
    <w:tblPr>
      <w:tblBorders>
        <w:top w:val="single" w:color="B6DDE7" w:themeColor="accent5" w:themeTint="67" w:sz="4" w:space="0"/>
        <w:left w:val="single" w:color="B6DDE7" w:themeColor="accent5" w:themeTint="67" w:sz="4" w:space="0"/>
        <w:bottom w:val="single" w:color="B6DDE7" w:themeColor="accent5" w:themeTint="67" w:sz="4" w:space="0"/>
        <w:right w:val="single" w:color="B6DDE7" w:themeColor="accent5" w:themeTint="67" w:sz="4" w:space="0"/>
        <w:insideH w:val="single" w:color="B6DDE7" w:themeColor="accent5" w:themeTint="67" w:sz="4" w:space="0"/>
        <w:insideV w:val="single" w:color="B6DDE7" w:themeColor="accent5"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92CCDC" w:themeColor="accent5" w:themeTint="9A" w:sz="12" w:space="0"/>
        </w:tcBorders>
      </w:tcPr>
    </w:tblStylePr>
    <w:tblStylePr w:type="lastRow">
      <w:rPr>
        <w:rFonts w:ascii="Arial" w:hAnsi="Arial"/>
        <w:color w:val="404040"/>
        <w:sz w:val="22"/>
      </w:rPr>
      <w:tcPr>
        <w:tcBorders>
          <w:top w:val="single" w:color="92CCDC" w:themeColor="accent5" w:themeTint="9A"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92CCDC" w:themeColor="accent5" w:themeTint="9A" w:sz="12" w:space="0"/>
        </w:tcBorders>
      </w:tcPr>
    </w:tblStylePr>
    <w:tblStylePr w:type="band1Horz">
      <w:rPr>
        <w:rFonts w:ascii="Arial" w:hAnsi="Arial"/>
        <w:color w:val="404040"/>
        <w:sz w:val="22"/>
      </w:rPr>
      <w:tcPr>
        <w:tcBorders>
          <w:top w:val="single" w:color="B6DDE7" w:themeColor="accent5" w:themeTint="67" w:sz="4" w:space="0"/>
          <w:left w:val="single" w:color="B6DDE7" w:themeColor="accent5" w:themeTint="67" w:sz="4" w:space="0"/>
          <w:bottom w:val="single" w:color="B6DDE7" w:themeColor="accent5" w:themeTint="67" w:sz="4" w:space="0"/>
          <w:right w:val="single" w:color="B6DDE7" w:themeColor="accent5" w:themeTint="67" w:sz="4" w:space="0"/>
        </w:tcBorders>
      </w:tcPr>
    </w:tblStylePr>
  </w:style>
  <w:style w:type="table" w:customStyle="1" w:styleId="182">
    <w:name w:val="Bordered - Accent 6"/>
    <w:qFormat/>
    <w:uiPriority w:val="99"/>
    <w:tblPr>
      <w:tbl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insideH w:val="single" w:color="FBD4B4" w:themeColor="accent6" w:themeTint="67" w:sz="4" w:space="0"/>
        <w:insideV w:val="single" w:color="FBD4B4" w:themeColor="accent6" w:themeTint="67" w:sz="4" w:space="0"/>
      </w:tblBorders>
      <w:tblCellMar>
        <w:top w:w="0" w:type="dxa"/>
        <w:left w:w="0" w:type="dxa"/>
        <w:bottom w:w="0" w:type="dxa"/>
        <w:right w:w="0" w:type="dxa"/>
      </w:tblCellMar>
    </w:tblPr>
    <w:tblStylePr w:type="firstRow">
      <w:rPr>
        <w:rFonts w:ascii="Arial" w:hAnsi="Arial"/>
        <w:color w:val="404040"/>
        <w:sz w:val="22"/>
      </w:rPr>
      <w:tcPr>
        <w:tcBorders>
          <w:bottom w:val="single" w:color="FAC090" w:themeColor="accent6" w:themeTint="98" w:sz="12" w:space="0"/>
        </w:tcBorders>
      </w:tcPr>
    </w:tblStylePr>
    <w:tblStylePr w:type="lastRow">
      <w:rPr>
        <w:rFonts w:ascii="Arial" w:hAnsi="Arial"/>
        <w:color w:val="404040"/>
        <w:sz w:val="22"/>
      </w:rPr>
      <w:tcPr>
        <w:tcBorders>
          <w:top w:val="single" w:color="FAC090" w:themeColor="accent6" w:themeTint="98" w:sz="12" w:space="0"/>
        </w:tcBorders>
      </w:tcPr>
    </w:tblStylePr>
    <w:tblStylePr w:type="firstCol">
      <w:rPr>
        <w:rFonts w:ascii="Arial" w:hAnsi="Arial"/>
        <w:color w:val="404040"/>
        <w:sz w:val="22"/>
      </w:rPr>
    </w:tblStylePr>
    <w:tblStylePr w:type="lastCol">
      <w:rPr>
        <w:rFonts w:ascii="Arial" w:hAnsi="Arial"/>
        <w:color w:val="404040"/>
        <w:sz w:val="22"/>
      </w:rPr>
      <w:tcPr>
        <w:tcBorders>
          <w:left w:val="single" w:color="FAC090" w:themeColor="accent6" w:themeTint="98" w:sz="12" w:space="0"/>
        </w:tcBorders>
      </w:tcPr>
    </w:tblStylePr>
    <w:tblStylePr w:type="band1Horz">
      <w:rPr>
        <w:rFonts w:ascii="Arial" w:hAnsi="Arial"/>
        <w:color w:val="404040"/>
        <w:sz w:val="22"/>
      </w:rPr>
      <w:tcPr>
        <w:tcBorders>
          <w:top w:val="single" w:color="FBD4B4" w:themeColor="accent6" w:themeTint="67" w:sz="4" w:space="0"/>
          <w:left w:val="single" w:color="FBD4B4" w:themeColor="accent6" w:themeTint="67" w:sz="4" w:space="0"/>
          <w:bottom w:val="single" w:color="FBD4B4" w:themeColor="accent6" w:themeTint="67" w:sz="4" w:space="0"/>
          <w:right w:val="single" w:color="FBD4B4" w:themeColor="accent6" w:themeTint="67" w:sz="4" w:space="0"/>
        </w:tcBorders>
      </w:tcPr>
    </w:tblStylePr>
  </w:style>
  <w:style w:type="character" w:customStyle="1" w:styleId="183">
    <w:name w:val="脚注文本 Char"/>
    <w:link w:val="24"/>
    <w:qFormat/>
    <w:uiPriority w:val="99"/>
    <w:rPr>
      <w:sz w:val="18"/>
    </w:rPr>
  </w:style>
  <w:style w:type="character" w:customStyle="1" w:styleId="184">
    <w:name w:val="尾注文本 Char"/>
    <w:link w:val="18"/>
    <w:qFormat/>
    <w:uiPriority w:val="99"/>
    <w:rPr>
      <w:sz w:val="20"/>
    </w:rPr>
  </w:style>
  <w:style w:type="paragraph" w:customStyle="1" w:styleId="185">
    <w:name w:val="TOC 标题1"/>
    <w:unhideWhenUsed/>
    <w:qFormat/>
    <w:uiPriority w:val="39"/>
    <w:rPr>
      <w:rFonts w:ascii="Times New Roman" w:hAnsi="Times New Roman" w:eastAsia="宋体" w:cs="Times New Roman"/>
      <w:lang w:val="en-US" w:eastAsia="zh-CN" w:bidi="ar-SA"/>
    </w:rPr>
  </w:style>
  <w:style w:type="paragraph" w:customStyle="1" w:styleId="186">
    <w:name w:val="标题 11"/>
    <w:basedOn w:val="1"/>
    <w:next w:val="1"/>
    <w:link w:val="198"/>
    <w:qFormat/>
    <w:uiPriority w:val="0"/>
    <w:pPr>
      <w:keepNext/>
      <w:keepLines/>
      <w:spacing w:before="340" w:after="330" w:line="576" w:lineRule="auto"/>
      <w:outlineLvl w:val="0"/>
    </w:pPr>
    <w:rPr>
      <w:b/>
      <w:bCs/>
      <w:sz w:val="30"/>
      <w:szCs w:val="44"/>
    </w:rPr>
  </w:style>
  <w:style w:type="paragraph" w:customStyle="1" w:styleId="187">
    <w:name w:val="标题 21"/>
    <w:basedOn w:val="1"/>
    <w:next w:val="1"/>
    <w:link w:val="199"/>
    <w:qFormat/>
    <w:uiPriority w:val="0"/>
    <w:pPr>
      <w:keepNext/>
      <w:keepLines/>
      <w:spacing w:before="260" w:after="260" w:line="415" w:lineRule="auto"/>
      <w:outlineLvl w:val="1"/>
    </w:pPr>
    <w:rPr>
      <w:rFonts w:ascii="Cambria" w:hAnsi="Cambria"/>
      <w:b/>
      <w:bCs/>
      <w:sz w:val="32"/>
      <w:szCs w:val="32"/>
    </w:rPr>
  </w:style>
  <w:style w:type="paragraph" w:customStyle="1" w:styleId="188">
    <w:name w:val="标题 31"/>
    <w:basedOn w:val="1"/>
    <w:next w:val="1"/>
    <w:link w:val="200"/>
    <w:qFormat/>
    <w:uiPriority w:val="0"/>
    <w:pPr>
      <w:keepNext/>
      <w:keepLines/>
      <w:spacing w:before="260" w:after="260" w:line="416" w:lineRule="auto"/>
      <w:outlineLvl w:val="2"/>
    </w:pPr>
    <w:rPr>
      <w:b/>
      <w:bCs/>
      <w:sz w:val="32"/>
      <w:szCs w:val="32"/>
    </w:rPr>
  </w:style>
  <w:style w:type="paragraph" w:customStyle="1" w:styleId="189">
    <w:name w:val="标题 41"/>
    <w:basedOn w:val="1"/>
    <w:next w:val="1"/>
    <w:link w:val="201"/>
    <w:qFormat/>
    <w:uiPriority w:val="0"/>
    <w:pPr>
      <w:keepNext/>
      <w:keepLines/>
      <w:spacing w:before="240" w:after="240" w:line="376" w:lineRule="auto"/>
      <w:ind w:left="1588" w:hanging="1588"/>
      <w:outlineLvl w:val="3"/>
    </w:pPr>
    <w:rPr>
      <w:bCs/>
      <w:sz w:val="28"/>
      <w:szCs w:val="28"/>
    </w:rPr>
  </w:style>
  <w:style w:type="paragraph" w:customStyle="1" w:styleId="190">
    <w:name w:val="标题 51"/>
    <w:basedOn w:val="1"/>
    <w:next w:val="1"/>
    <w:link w:val="202"/>
    <w:qFormat/>
    <w:uiPriority w:val="0"/>
    <w:pPr>
      <w:keepNext/>
      <w:keepLines/>
      <w:spacing w:before="280" w:after="290" w:line="376" w:lineRule="auto"/>
      <w:ind w:left="1985" w:hanging="1985"/>
      <w:outlineLvl w:val="4"/>
    </w:pPr>
    <w:rPr>
      <w:rFonts w:ascii="Calibri" w:hAnsi="Calibri"/>
      <w:b/>
      <w:bCs/>
      <w:sz w:val="28"/>
      <w:szCs w:val="28"/>
    </w:rPr>
  </w:style>
  <w:style w:type="paragraph" w:customStyle="1" w:styleId="191">
    <w:name w:val="标题 61"/>
    <w:basedOn w:val="1"/>
    <w:next w:val="1"/>
    <w:link w:val="203"/>
    <w:qFormat/>
    <w:uiPriority w:val="0"/>
    <w:pPr>
      <w:keepNext/>
      <w:keepLines/>
      <w:tabs>
        <w:tab w:val="left" w:pos="0"/>
      </w:tabs>
      <w:spacing w:before="240" w:after="64" w:line="319" w:lineRule="auto"/>
      <w:outlineLvl w:val="5"/>
    </w:pPr>
    <w:rPr>
      <w:rFonts w:ascii="Arial" w:hAnsi="Arial"/>
      <w:b/>
      <w:bCs/>
      <w:lang w:val="zh-CN"/>
    </w:rPr>
  </w:style>
  <w:style w:type="paragraph" w:customStyle="1" w:styleId="192">
    <w:name w:val="标题 71"/>
    <w:basedOn w:val="1"/>
    <w:next w:val="1"/>
    <w:link w:val="204"/>
    <w:qFormat/>
    <w:uiPriority w:val="0"/>
    <w:pPr>
      <w:keepNext/>
      <w:keepLines/>
      <w:tabs>
        <w:tab w:val="left" w:pos="0"/>
      </w:tabs>
      <w:spacing w:before="240" w:after="64" w:line="319" w:lineRule="auto"/>
      <w:outlineLvl w:val="6"/>
    </w:pPr>
    <w:rPr>
      <w:b/>
      <w:bCs/>
    </w:rPr>
  </w:style>
  <w:style w:type="paragraph" w:customStyle="1" w:styleId="193">
    <w:name w:val="标题 81"/>
    <w:basedOn w:val="1"/>
    <w:next w:val="1"/>
    <w:link w:val="205"/>
    <w:qFormat/>
    <w:uiPriority w:val="0"/>
    <w:pPr>
      <w:keepNext/>
      <w:keepLines/>
      <w:tabs>
        <w:tab w:val="left" w:pos="0"/>
      </w:tabs>
      <w:spacing w:before="240" w:after="64" w:line="319" w:lineRule="auto"/>
      <w:outlineLvl w:val="7"/>
    </w:pPr>
    <w:rPr>
      <w:rFonts w:ascii="Arial" w:hAnsi="Arial" w:eastAsia="黑体"/>
    </w:rPr>
  </w:style>
  <w:style w:type="paragraph" w:customStyle="1" w:styleId="194">
    <w:name w:val="标题 91"/>
    <w:basedOn w:val="1"/>
    <w:next w:val="1"/>
    <w:link w:val="206"/>
    <w:qFormat/>
    <w:uiPriority w:val="0"/>
    <w:pPr>
      <w:keepNext/>
      <w:keepLines/>
      <w:tabs>
        <w:tab w:val="left" w:pos="0"/>
      </w:tabs>
      <w:spacing w:before="240" w:after="64" w:line="319" w:lineRule="auto"/>
      <w:outlineLvl w:val="8"/>
    </w:pPr>
    <w:rPr>
      <w:rFonts w:ascii="Arial" w:hAnsi="Arial" w:eastAsia="黑体"/>
      <w:szCs w:val="21"/>
    </w:rPr>
  </w:style>
  <w:style w:type="character" w:customStyle="1" w:styleId="195">
    <w:name w:val="默认段落字体1"/>
    <w:qFormat/>
    <w:uiPriority w:val="0"/>
    <w:rPr>
      <w:rFonts w:ascii="Times New Roman" w:hAnsi="Times New Roman" w:eastAsia="宋体" w:cs="Times New Roman"/>
    </w:rPr>
  </w:style>
  <w:style w:type="table" w:customStyle="1" w:styleId="196">
    <w:name w:val="普通表格1"/>
    <w:qFormat/>
    <w:uiPriority w:val="0"/>
    <w:tblPr>
      <w:tblCellMar>
        <w:top w:w="0" w:type="dxa"/>
        <w:left w:w="0" w:type="dxa"/>
        <w:bottom w:w="0" w:type="dxa"/>
        <w:right w:w="0" w:type="dxa"/>
      </w:tblCellMar>
    </w:tblPr>
  </w:style>
  <w:style w:type="character" w:customStyle="1" w:styleId="197">
    <w:name w:val="页脚 Char"/>
    <w:link w:val="37"/>
    <w:qFormat/>
    <w:uiPriority w:val="0"/>
    <w:rPr>
      <w:rFonts w:ascii="Times New Roman" w:hAnsi="Times New Roman" w:eastAsia="宋体" w:cs="Times New Roman"/>
      <w:sz w:val="18"/>
      <w:szCs w:val="18"/>
    </w:rPr>
  </w:style>
  <w:style w:type="character" w:customStyle="1" w:styleId="198">
    <w:name w:val="标题 1 Char"/>
    <w:link w:val="186"/>
    <w:qFormat/>
    <w:uiPriority w:val="0"/>
    <w:rPr>
      <w:rFonts w:ascii="Times New Roman" w:hAnsi="Times New Roman" w:eastAsia="宋体" w:cs="Times New Roman"/>
      <w:b/>
      <w:bCs/>
      <w:sz w:val="30"/>
      <w:szCs w:val="44"/>
    </w:rPr>
  </w:style>
  <w:style w:type="character" w:customStyle="1" w:styleId="199">
    <w:name w:val="标题 2 Char"/>
    <w:link w:val="187"/>
    <w:qFormat/>
    <w:uiPriority w:val="0"/>
    <w:rPr>
      <w:rFonts w:ascii="Cambria" w:hAnsi="Cambria" w:eastAsia="宋体" w:cs="Times New Roman"/>
      <w:b/>
      <w:bCs/>
      <w:sz w:val="32"/>
      <w:szCs w:val="32"/>
    </w:rPr>
  </w:style>
  <w:style w:type="character" w:customStyle="1" w:styleId="200">
    <w:name w:val="标题 3 Char"/>
    <w:link w:val="188"/>
    <w:qFormat/>
    <w:uiPriority w:val="0"/>
    <w:rPr>
      <w:rFonts w:ascii="Times New Roman" w:hAnsi="Times New Roman" w:eastAsia="宋体" w:cs="Times New Roman"/>
      <w:b/>
      <w:bCs/>
      <w:sz w:val="32"/>
      <w:szCs w:val="32"/>
    </w:rPr>
  </w:style>
  <w:style w:type="character" w:customStyle="1" w:styleId="201">
    <w:name w:val="标题 4 Char"/>
    <w:link w:val="189"/>
    <w:qFormat/>
    <w:uiPriority w:val="0"/>
    <w:rPr>
      <w:rFonts w:ascii="Times New Roman" w:hAnsi="Times New Roman" w:eastAsia="宋体" w:cs="Times New Roman"/>
      <w:bCs/>
      <w:sz w:val="28"/>
      <w:szCs w:val="28"/>
    </w:rPr>
  </w:style>
  <w:style w:type="character" w:customStyle="1" w:styleId="202">
    <w:name w:val="标题 5 Char"/>
    <w:link w:val="190"/>
    <w:qFormat/>
    <w:uiPriority w:val="0"/>
    <w:rPr>
      <w:rFonts w:ascii="Calibri" w:hAnsi="Calibri" w:eastAsia="宋体" w:cs="Times New Roman"/>
      <w:b/>
      <w:bCs/>
      <w:sz w:val="28"/>
      <w:szCs w:val="28"/>
    </w:rPr>
  </w:style>
  <w:style w:type="character" w:customStyle="1" w:styleId="203">
    <w:name w:val="标题 6 Char"/>
    <w:link w:val="191"/>
    <w:qFormat/>
    <w:uiPriority w:val="0"/>
    <w:rPr>
      <w:rFonts w:ascii="Arial" w:hAnsi="Arial" w:eastAsia="宋体" w:cs="Times New Roman"/>
      <w:b/>
      <w:bCs/>
      <w:sz w:val="24"/>
      <w:szCs w:val="24"/>
      <w:lang w:val="zh-CN"/>
    </w:rPr>
  </w:style>
  <w:style w:type="character" w:customStyle="1" w:styleId="204">
    <w:name w:val="标题 7 Char"/>
    <w:link w:val="192"/>
    <w:qFormat/>
    <w:uiPriority w:val="0"/>
    <w:rPr>
      <w:rFonts w:ascii="Times New Roman" w:hAnsi="Times New Roman" w:eastAsia="宋体" w:cs="Times New Roman"/>
      <w:b/>
      <w:bCs/>
      <w:sz w:val="24"/>
      <w:szCs w:val="24"/>
    </w:rPr>
  </w:style>
  <w:style w:type="character" w:customStyle="1" w:styleId="205">
    <w:name w:val="标题 8 Char"/>
    <w:link w:val="193"/>
    <w:qFormat/>
    <w:uiPriority w:val="0"/>
    <w:rPr>
      <w:rFonts w:ascii="Arial" w:hAnsi="Arial" w:eastAsia="黑体" w:cs="Times New Roman"/>
      <w:sz w:val="24"/>
      <w:szCs w:val="24"/>
    </w:rPr>
  </w:style>
  <w:style w:type="character" w:customStyle="1" w:styleId="206">
    <w:name w:val="标题 9 Char"/>
    <w:link w:val="194"/>
    <w:qFormat/>
    <w:uiPriority w:val="0"/>
    <w:rPr>
      <w:rFonts w:ascii="Arial" w:hAnsi="Arial" w:eastAsia="黑体" w:cs="Times New Roman"/>
      <w:sz w:val="24"/>
      <w:szCs w:val="21"/>
    </w:rPr>
  </w:style>
  <w:style w:type="paragraph" w:customStyle="1" w:styleId="207">
    <w:name w:val="正文缩进1"/>
    <w:basedOn w:val="1"/>
    <w:qFormat/>
    <w:uiPriority w:val="0"/>
    <w:pPr>
      <w:ind w:firstLine="420"/>
    </w:pPr>
    <w:rPr>
      <w:szCs w:val="20"/>
    </w:rPr>
  </w:style>
  <w:style w:type="paragraph" w:customStyle="1" w:styleId="208">
    <w:name w:val="文档结构图1"/>
    <w:basedOn w:val="1"/>
    <w:qFormat/>
    <w:uiPriority w:val="0"/>
    <w:pPr>
      <w:shd w:val="clear" w:color="auto" w:fill="000080"/>
    </w:pPr>
  </w:style>
  <w:style w:type="paragraph" w:customStyle="1" w:styleId="209">
    <w:name w:val="批注文字1"/>
    <w:basedOn w:val="1"/>
    <w:link w:val="210"/>
    <w:qFormat/>
    <w:uiPriority w:val="0"/>
    <w:pPr>
      <w:jc w:val="left"/>
    </w:pPr>
  </w:style>
  <w:style w:type="character" w:customStyle="1" w:styleId="210">
    <w:name w:val="批注文字 Char"/>
    <w:link w:val="209"/>
    <w:qFormat/>
    <w:uiPriority w:val="0"/>
    <w:rPr>
      <w:rFonts w:ascii="Times New Roman" w:hAnsi="Times New Roman" w:eastAsia="宋体" w:cs="Times New Roman"/>
      <w:sz w:val="24"/>
      <w:szCs w:val="24"/>
    </w:rPr>
  </w:style>
  <w:style w:type="paragraph" w:customStyle="1" w:styleId="211">
    <w:name w:val="正文文本1"/>
    <w:basedOn w:val="1"/>
    <w:next w:val="212"/>
    <w:link w:val="215"/>
    <w:qFormat/>
    <w:uiPriority w:val="0"/>
    <w:pPr>
      <w:spacing w:after="120"/>
    </w:pPr>
  </w:style>
  <w:style w:type="paragraph" w:customStyle="1" w:styleId="212">
    <w:name w:val="一级条标题"/>
    <w:basedOn w:val="213"/>
    <w:next w:val="214"/>
    <w:qFormat/>
    <w:uiPriority w:val="0"/>
    <w:pPr>
      <w:spacing w:line="240" w:lineRule="auto"/>
      <w:ind w:left="420"/>
      <w:outlineLvl w:val="2"/>
    </w:pPr>
  </w:style>
  <w:style w:type="paragraph" w:customStyle="1" w:styleId="213">
    <w:name w:val="章标题"/>
    <w:next w:val="1"/>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214">
    <w:name w:val="段"/>
    <w:next w:val="1"/>
    <w:qFormat/>
    <w:uiPriority w:val="0"/>
    <w:pPr>
      <w:ind w:firstLine="200"/>
      <w:jc w:val="both"/>
    </w:pPr>
    <w:rPr>
      <w:rFonts w:ascii="宋体" w:hAnsi="Times New Roman" w:eastAsia="宋体" w:cs="Times New Roman"/>
      <w:sz w:val="21"/>
      <w:szCs w:val="22"/>
      <w:lang w:val="en-US" w:eastAsia="zh-CN" w:bidi="ar-SA"/>
    </w:rPr>
  </w:style>
  <w:style w:type="character" w:customStyle="1" w:styleId="215">
    <w:name w:val="正文文本 Char"/>
    <w:link w:val="211"/>
    <w:qFormat/>
    <w:uiPriority w:val="0"/>
    <w:rPr>
      <w:rFonts w:ascii="Times New Roman" w:hAnsi="Times New Roman" w:eastAsia="宋体" w:cs="Times New Roman"/>
      <w:sz w:val="24"/>
      <w:szCs w:val="24"/>
    </w:rPr>
  </w:style>
  <w:style w:type="paragraph" w:customStyle="1" w:styleId="216">
    <w:name w:val="正文文本缩进1"/>
    <w:basedOn w:val="1"/>
    <w:next w:val="217"/>
    <w:link w:val="218"/>
    <w:qFormat/>
    <w:uiPriority w:val="0"/>
    <w:pPr>
      <w:spacing w:after="120"/>
      <w:ind w:left="420"/>
    </w:pPr>
    <w:rPr>
      <w:sz w:val="21"/>
    </w:rPr>
  </w:style>
  <w:style w:type="paragraph" w:customStyle="1" w:styleId="217">
    <w:name w:val="寄信人地址1"/>
    <w:basedOn w:val="1"/>
    <w:qFormat/>
    <w:uiPriority w:val="0"/>
    <w:rPr>
      <w:rFonts w:ascii="Arial" w:hAnsi="Arial"/>
    </w:rPr>
  </w:style>
  <w:style w:type="character" w:customStyle="1" w:styleId="218">
    <w:name w:val="正文文本缩进 Char"/>
    <w:link w:val="216"/>
    <w:qFormat/>
    <w:uiPriority w:val="0"/>
    <w:rPr>
      <w:rFonts w:ascii="Times New Roman" w:hAnsi="Times New Roman" w:eastAsia="宋体" w:cs="Times New Roman"/>
      <w:sz w:val="21"/>
      <w:szCs w:val="24"/>
    </w:rPr>
  </w:style>
  <w:style w:type="paragraph" w:customStyle="1" w:styleId="219">
    <w:name w:val="目录 31"/>
    <w:basedOn w:val="1"/>
    <w:next w:val="1"/>
    <w:qFormat/>
    <w:uiPriority w:val="0"/>
    <w:pPr>
      <w:ind w:left="840"/>
    </w:pPr>
  </w:style>
  <w:style w:type="paragraph" w:customStyle="1" w:styleId="220">
    <w:name w:val="纯文本11"/>
    <w:basedOn w:val="1"/>
    <w:link w:val="221"/>
    <w:qFormat/>
    <w:uiPriority w:val="0"/>
    <w:rPr>
      <w:rFonts w:ascii="宋体" w:hAnsi="Courier New"/>
      <w:sz w:val="21"/>
      <w:szCs w:val="21"/>
    </w:rPr>
  </w:style>
  <w:style w:type="character" w:customStyle="1" w:styleId="221">
    <w:name w:val="纯文本 Char"/>
    <w:link w:val="220"/>
    <w:qFormat/>
    <w:uiPriority w:val="0"/>
    <w:rPr>
      <w:rFonts w:ascii="宋体" w:hAnsi="Courier New" w:eastAsia="宋体" w:cs="Courier New"/>
      <w:sz w:val="21"/>
      <w:szCs w:val="21"/>
    </w:rPr>
  </w:style>
  <w:style w:type="paragraph" w:customStyle="1" w:styleId="222">
    <w:name w:val="日期1"/>
    <w:basedOn w:val="1"/>
    <w:next w:val="1"/>
    <w:link w:val="223"/>
    <w:qFormat/>
    <w:uiPriority w:val="0"/>
    <w:pPr>
      <w:ind w:left="100"/>
    </w:pPr>
    <w:rPr>
      <w:rFonts w:eastAsia="仿宋_GB2312"/>
      <w:sz w:val="32"/>
    </w:rPr>
  </w:style>
  <w:style w:type="character" w:customStyle="1" w:styleId="223">
    <w:name w:val="日期 Char"/>
    <w:link w:val="222"/>
    <w:qFormat/>
    <w:uiPriority w:val="0"/>
    <w:rPr>
      <w:rFonts w:ascii="Times New Roman" w:hAnsi="Times New Roman" w:eastAsia="仿宋_GB2312" w:cs="Times New Roman"/>
      <w:sz w:val="32"/>
      <w:szCs w:val="24"/>
    </w:rPr>
  </w:style>
  <w:style w:type="paragraph" w:customStyle="1" w:styleId="224">
    <w:name w:val="批注框文本1"/>
    <w:basedOn w:val="1"/>
    <w:link w:val="225"/>
    <w:qFormat/>
    <w:uiPriority w:val="0"/>
    <w:rPr>
      <w:sz w:val="18"/>
      <w:szCs w:val="18"/>
    </w:rPr>
  </w:style>
  <w:style w:type="character" w:customStyle="1" w:styleId="225">
    <w:name w:val="批注框文本 Char"/>
    <w:link w:val="224"/>
    <w:qFormat/>
    <w:uiPriority w:val="0"/>
    <w:rPr>
      <w:rFonts w:ascii="Times New Roman" w:hAnsi="Times New Roman" w:eastAsia="宋体" w:cs="Times New Roman"/>
      <w:sz w:val="18"/>
      <w:szCs w:val="18"/>
    </w:rPr>
  </w:style>
  <w:style w:type="paragraph" w:customStyle="1" w:styleId="226">
    <w:name w:val="页眉1"/>
    <w:basedOn w:val="1"/>
    <w:link w:val="227"/>
    <w:qFormat/>
    <w:uiPriority w:val="0"/>
    <w:pPr>
      <w:pBdr>
        <w:bottom w:val="single" w:color="000000" w:sz="6" w:space="1"/>
      </w:pBdr>
      <w:tabs>
        <w:tab w:val="center" w:pos="4153"/>
        <w:tab w:val="right" w:pos="8306"/>
      </w:tabs>
      <w:jc w:val="center"/>
    </w:pPr>
    <w:rPr>
      <w:sz w:val="18"/>
      <w:szCs w:val="18"/>
    </w:rPr>
  </w:style>
  <w:style w:type="character" w:customStyle="1" w:styleId="227">
    <w:name w:val="页眉 Char"/>
    <w:link w:val="226"/>
    <w:qFormat/>
    <w:uiPriority w:val="0"/>
    <w:rPr>
      <w:rFonts w:ascii="Times New Roman" w:hAnsi="Times New Roman" w:eastAsia="宋体" w:cs="Times New Roman"/>
      <w:sz w:val="18"/>
      <w:szCs w:val="18"/>
    </w:rPr>
  </w:style>
  <w:style w:type="paragraph" w:customStyle="1" w:styleId="228">
    <w:name w:val="目录 11"/>
    <w:basedOn w:val="1"/>
    <w:next w:val="1"/>
    <w:qFormat/>
    <w:uiPriority w:val="0"/>
    <w:pPr>
      <w:spacing w:before="120" w:after="120" w:line="400" w:lineRule="exact"/>
      <w:ind w:firstLine="200"/>
      <w:jc w:val="left"/>
    </w:pPr>
    <w:rPr>
      <w:rFonts w:ascii="Calibri" w:hAnsi="Calibri"/>
      <w:b/>
      <w:bCs/>
      <w:caps/>
      <w:szCs w:val="20"/>
    </w:rPr>
  </w:style>
  <w:style w:type="paragraph" w:customStyle="1" w:styleId="229">
    <w:name w:val="副标题1"/>
    <w:basedOn w:val="1"/>
    <w:next w:val="1"/>
    <w:link w:val="230"/>
    <w:qFormat/>
    <w:uiPriority w:val="0"/>
    <w:pPr>
      <w:spacing w:before="240" w:after="60" w:line="312" w:lineRule="auto"/>
      <w:jc w:val="center"/>
      <w:outlineLvl w:val="1"/>
    </w:pPr>
    <w:rPr>
      <w:rFonts w:ascii="Cambria" w:hAnsi="Cambria"/>
      <w:b/>
      <w:bCs/>
      <w:sz w:val="32"/>
      <w:szCs w:val="32"/>
    </w:rPr>
  </w:style>
  <w:style w:type="character" w:customStyle="1" w:styleId="230">
    <w:name w:val="副标题 Char"/>
    <w:link w:val="229"/>
    <w:qFormat/>
    <w:uiPriority w:val="0"/>
    <w:rPr>
      <w:rFonts w:ascii="Cambria" w:hAnsi="Cambria" w:eastAsia="宋体" w:cs="Times New Roman"/>
      <w:b/>
      <w:bCs/>
      <w:sz w:val="32"/>
      <w:szCs w:val="32"/>
    </w:rPr>
  </w:style>
  <w:style w:type="paragraph" w:customStyle="1" w:styleId="231">
    <w:name w:val="目录 21"/>
    <w:basedOn w:val="1"/>
    <w:next w:val="1"/>
    <w:qFormat/>
    <w:uiPriority w:val="0"/>
    <w:pPr>
      <w:tabs>
        <w:tab w:val="left" w:pos="840"/>
        <w:tab w:val="right" w:leader="dot" w:pos="8296"/>
      </w:tabs>
      <w:ind w:left="640"/>
      <w:jc w:val="left"/>
    </w:pPr>
    <w:rPr>
      <w:rFonts w:ascii="仿宋_GB2312" w:eastAsia="仿宋_GB2312"/>
      <w:sz w:val="32"/>
      <w:szCs w:val="32"/>
    </w:rPr>
  </w:style>
  <w:style w:type="paragraph" w:customStyle="1" w:styleId="232">
    <w:name w:val="正文文本 21"/>
    <w:basedOn w:val="1"/>
    <w:link w:val="233"/>
    <w:qFormat/>
    <w:uiPriority w:val="0"/>
    <w:pPr>
      <w:spacing w:line="480" w:lineRule="atLeast"/>
    </w:pPr>
    <w:rPr>
      <w:rFonts w:ascii="宋体" w:hAnsi="宋体"/>
      <w:sz w:val="28"/>
      <w:szCs w:val="22"/>
    </w:rPr>
  </w:style>
  <w:style w:type="character" w:customStyle="1" w:styleId="233">
    <w:name w:val="正文文本 2 Char1"/>
    <w:link w:val="232"/>
    <w:qFormat/>
    <w:uiPriority w:val="0"/>
    <w:rPr>
      <w:rFonts w:ascii="宋体" w:hAnsi="宋体" w:eastAsia="宋体" w:cs="Times New Roman"/>
      <w:sz w:val="28"/>
      <w:szCs w:val="22"/>
    </w:rPr>
  </w:style>
  <w:style w:type="paragraph" w:customStyle="1" w:styleId="234">
    <w:name w:val="普通(网站)1"/>
    <w:basedOn w:val="1"/>
    <w:next w:val="1"/>
    <w:qFormat/>
    <w:uiPriority w:val="0"/>
    <w:pPr>
      <w:spacing w:before="100" w:beforeAutospacing="1" w:after="100" w:afterAutospacing="1"/>
      <w:jc w:val="left"/>
    </w:pPr>
  </w:style>
  <w:style w:type="paragraph" w:customStyle="1" w:styleId="235">
    <w:name w:val="标题1"/>
    <w:basedOn w:val="1"/>
    <w:next w:val="1"/>
    <w:link w:val="236"/>
    <w:qFormat/>
    <w:uiPriority w:val="0"/>
    <w:pPr>
      <w:spacing w:before="240" w:after="60"/>
      <w:jc w:val="center"/>
      <w:outlineLvl w:val="0"/>
    </w:pPr>
    <w:rPr>
      <w:rFonts w:ascii="Cambria" w:hAnsi="Cambria"/>
      <w:b/>
      <w:bCs/>
      <w:sz w:val="36"/>
      <w:szCs w:val="32"/>
    </w:rPr>
  </w:style>
  <w:style w:type="character" w:customStyle="1" w:styleId="236">
    <w:name w:val="标题 Char"/>
    <w:link w:val="235"/>
    <w:qFormat/>
    <w:uiPriority w:val="0"/>
    <w:rPr>
      <w:rFonts w:ascii="Cambria" w:hAnsi="Cambria" w:eastAsia="宋体" w:cs="Times New Roman"/>
      <w:b/>
      <w:bCs/>
      <w:sz w:val="36"/>
      <w:szCs w:val="32"/>
    </w:rPr>
  </w:style>
  <w:style w:type="paragraph" w:customStyle="1" w:styleId="237">
    <w:name w:val="批注主题1"/>
    <w:basedOn w:val="209"/>
    <w:next w:val="209"/>
    <w:link w:val="238"/>
    <w:qFormat/>
    <w:uiPriority w:val="0"/>
    <w:rPr>
      <w:rFonts w:ascii="Calibri" w:hAnsi="Calibri"/>
      <w:b/>
      <w:bCs/>
      <w:sz w:val="21"/>
      <w:szCs w:val="22"/>
    </w:rPr>
  </w:style>
  <w:style w:type="character" w:customStyle="1" w:styleId="238">
    <w:name w:val="批注主题 Char"/>
    <w:link w:val="237"/>
    <w:qFormat/>
    <w:uiPriority w:val="0"/>
    <w:rPr>
      <w:rFonts w:ascii="Calibri" w:hAnsi="Calibri" w:eastAsia="宋体" w:cs="Times New Roman"/>
      <w:b/>
      <w:bCs/>
      <w:sz w:val="21"/>
      <w:szCs w:val="22"/>
    </w:rPr>
  </w:style>
  <w:style w:type="paragraph" w:customStyle="1" w:styleId="239">
    <w:name w:val="正文首行缩进1"/>
    <w:basedOn w:val="211"/>
    <w:next w:val="1"/>
    <w:qFormat/>
    <w:uiPriority w:val="0"/>
    <w:pPr>
      <w:ind w:firstLine="420"/>
    </w:pPr>
  </w:style>
  <w:style w:type="paragraph" w:customStyle="1" w:styleId="240">
    <w:name w:val="正文首行缩进 21"/>
    <w:basedOn w:val="216"/>
    <w:next w:val="241"/>
    <w:qFormat/>
    <w:uiPriority w:val="0"/>
  </w:style>
  <w:style w:type="paragraph" w:customStyle="1" w:styleId="241">
    <w:name w:val="正文1"/>
    <w:basedOn w:val="1"/>
    <w:next w:val="1"/>
    <w:qFormat/>
    <w:uiPriority w:val="0"/>
    <w:pPr>
      <w:spacing w:after="120" w:line="276" w:lineRule="auto"/>
      <w:ind w:left="141" w:firstLine="424"/>
    </w:pPr>
    <w:rPr>
      <w:rFonts w:ascii="微软雅黑" w:hAnsi="宋体" w:eastAsia="微软雅黑"/>
    </w:rPr>
  </w:style>
  <w:style w:type="table" w:customStyle="1" w:styleId="242">
    <w:name w:val="网格型1"/>
    <w:basedOn w:val="196"/>
    <w:qFormat/>
    <w:uiPriority w:val="0"/>
    <w:tblPr>
      <w:tblCellMar>
        <w:top w:w="0" w:type="dxa"/>
        <w:left w:w="0" w:type="dxa"/>
        <w:bottom w:w="0" w:type="dxa"/>
        <w:right w:w="0" w:type="dxa"/>
      </w:tblCellMar>
    </w:tblPr>
  </w:style>
  <w:style w:type="character" w:customStyle="1" w:styleId="243">
    <w:name w:val="要点1"/>
    <w:qFormat/>
    <w:uiPriority w:val="0"/>
    <w:rPr>
      <w:rFonts w:ascii="Times New Roman" w:hAnsi="Times New Roman" w:eastAsia="宋体" w:cs="Times New Roman"/>
      <w:b/>
      <w:bCs/>
    </w:rPr>
  </w:style>
  <w:style w:type="character" w:customStyle="1" w:styleId="244">
    <w:name w:val="页码1"/>
    <w:qFormat/>
    <w:uiPriority w:val="0"/>
    <w:rPr>
      <w:rFonts w:ascii="Times New Roman" w:hAnsi="Times New Roman" w:eastAsia="宋体" w:cs="Times New Roman"/>
    </w:rPr>
  </w:style>
  <w:style w:type="character" w:customStyle="1" w:styleId="245">
    <w:name w:val="已访问的超链接1"/>
    <w:qFormat/>
    <w:uiPriority w:val="0"/>
    <w:rPr>
      <w:rFonts w:ascii="Times New Roman" w:hAnsi="Times New Roman" w:eastAsia="宋体" w:cs="Times New Roman"/>
      <w:color w:val="000000"/>
      <w:u w:val="none"/>
    </w:rPr>
  </w:style>
  <w:style w:type="character" w:customStyle="1" w:styleId="246">
    <w:name w:val="强调1"/>
    <w:qFormat/>
    <w:uiPriority w:val="0"/>
    <w:rPr>
      <w:rFonts w:ascii="Times New Roman" w:hAnsi="Times New Roman" w:eastAsia="宋体" w:cs="Times New Roman"/>
    </w:rPr>
  </w:style>
  <w:style w:type="character" w:customStyle="1" w:styleId="247">
    <w:name w:val="超链接1"/>
    <w:qFormat/>
    <w:uiPriority w:val="0"/>
    <w:rPr>
      <w:rFonts w:ascii="Times New Roman" w:hAnsi="Times New Roman" w:eastAsia="宋体" w:cs="Times New Roman"/>
      <w:color w:val="000000"/>
      <w:u w:val="none"/>
    </w:rPr>
  </w:style>
  <w:style w:type="character" w:customStyle="1" w:styleId="248">
    <w:name w:val="批注引用1"/>
    <w:qFormat/>
    <w:uiPriority w:val="0"/>
    <w:rPr>
      <w:rFonts w:ascii="Times New Roman" w:hAnsi="Times New Roman" w:eastAsia="宋体" w:cs="Times New Roman"/>
      <w:sz w:val="21"/>
      <w:szCs w:val="21"/>
    </w:rPr>
  </w:style>
  <w:style w:type="paragraph" w:customStyle="1" w:styleId="249">
    <w:name w:val="Default"/>
    <w:qFormat/>
    <w:uiPriority w:val="0"/>
    <w:pPr>
      <w:widowControl w:val="0"/>
    </w:pPr>
    <w:rPr>
      <w:rFonts w:ascii="Tahoma" w:hAnsi="Tahoma" w:eastAsia="宋体" w:cs="Tahoma"/>
      <w:color w:val="000000"/>
      <w:sz w:val="24"/>
      <w:szCs w:val="24"/>
      <w:lang w:val="en-US" w:eastAsia="zh-CN" w:bidi="ar-SA"/>
    </w:rPr>
  </w:style>
  <w:style w:type="paragraph" w:customStyle="1" w:styleId="250">
    <w:name w:val="表格文字"/>
    <w:basedOn w:val="1"/>
    <w:qFormat/>
    <w:uiPriority w:val="0"/>
    <w:pPr>
      <w:spacing w:before="25" w:after="25"/>
    </w:pPr>
    <w:rPr>
      <w:bCs/>
      <w:spacing w:val="10"/>
    </w:rPr>
  </w:style>
  <w:style w:type="character" w:customStyle="1" w:styleId="251">
    <w:name w:val="font01"/>
    <w:qFormat/>
    <w:uiPriority w:val="0"/>
    <w:rPr>
      <w:rFonts w:hint="eastAsia" w:ascii="宋体" w:hAnsi="宋体" w:eastAsia="宋体" w:cs="宋体"/>
      <w:color w:val="000000"/>
      <w:sz w:val="15"/>
      <w:szCs w:val="15"/>
      <w:u w:val="none"/>
    </w:rPr>
  </w:style>
  <w:style w:type="character" w:customStyle="1" w:styleId="252">
    <w:name w:val="font61"/>
    <w:qFormat/>
    <w:uiPriority w:val="0"/>
    <w:rPr>
      <w:rFonts w:ascii="Times New Roman" w:hAnsi="Times New Roman" w:eastAsia="宋体" w:cs="Times New Roman"/>
      <w:color w:val="000000"/>
      <w:sz w:val="22"/>
      <w:szCs w:val="22"/>
      <w:u w:val="none"/>
    </w:rPr>
  </w:style>
  <w:style w:type="paragraph" w:customStyle="1" w:styleId="253">
    <w:name w:val="my正文"/>
    <w:basedOn w:val="1"/>
    <w:link w:val="254"/>
    <w:qFormat/>
    <w:uiPriority w:val="0"/>
    <w:pPr>
      <w:spacing w:line="360" w:lineRule="auto"/>
      <w:ind w:firstLine="480"/>
    </w:pPr>
  </w:style>
  <w:style w:type="character" w:customStyle="1" w:styleId="254">
    <w:name w:val="my正文 Char"/>
    <w:link w:val="253"/>
    <w:qFormat/>
    <w:uiPriority w:val="0"/>
    <w:rPr>
      <w:rFonts w:ascii="Times New Roman" w:hAnsi="Times New Roman" w:eastAsia="宋体" w:cs="Times New Roman"/>
      <w:sz w:val="24"/>
      <w:szCs w:val="24"/>
    </w:rPr>
  </w:style>
  <w:style w:type="character" w:customStyle="1" w:styleId="255">
    <w:name w:val="more"/>
    <w:qFormat/>
    <w:uiPriority w:val="0"/>
    <w:rPr>
      <w:rFonts w:ascii="Times New Roman" w:hAnsi="Times New Roman" w:eastAsia="宋体" w:cs="Times New Roman"/>
      <w:color w:val="666666"/>
      <w:sz w:val="18"/>
      <w:szCs w:val="18"/>
    </w:rPr>
  </w:style>
  <w:style w:type="paragraph" w:customStyle="1" w:styleId="256">
    <w:name w:val="A2"/>
    <w:basedOn w:val="187"/>
    <w:next w:val="1"/>
    <w:link w:val="257"/>
    <w:qFormat/>
    <w:uiPriority w:val="0"/>
    <w:pPr>
      <w:spacing w:before="0" w:after="0" w:line="240" w:lineRule="auto"/>
      <w:ind w:left="737" w:hanging="737"/>
    </w:pPr>
    <w:rPr>
      <w:rFonts w:eastAsia="等线"/>
      <w:sz w:val="22"/>
    </w:rPr>
  </w:style>
  <w:style w:type="character" w:customStyle="1" w:styleId="257">
    <w:name w:val="A2 字符"/>
    <w:link w:val="256"/>
    <w:qFormat/>
    <w:uiPriority w:val="0"/>
    <w:rPr>
      <w:rFonts w:ascii="Cambria" w:hAnsi="Cambria" w:eastAsia="等线" w:cs="Times New Roman"/>
      <w:b/>
      <w:bCs/>
      <w:sz w:val="22"/>
      <w:szCs w:val="32"/>
    </w:rPr>
  </w:style>
  <w:style w:type="character" w:customStyle="1" w:styleId="258">
    <w:name w:val="font11"/>
    <w:qFormat/>
    <w:uiPriority w:val="0"/>
    <w:rPr>
      <w:rFonts w:hint="eastAsia" w:ascii="宋体" w:hAnsi="宋体" w:eastAsia="宋体" w:cs="宋体"/>
      <w:color w:val="000000"/>
      <w:sz w:val="15"/>
      <w:szCs w:val="15"/>
      <w:u w:val="none"/>
    </w:rPr>
  </w:style>
  <w:style w:type="character" w:customStyle="1" w:styleId="259">
    <w:name w:val="正文文本 2 Char"/>
    <w:qFormat/>
    <w:uiPriority w:val="0"/>
    <w:rPr>
      <w:rFonts w:ascii="Times New Roman" w:hAnsi="Times New Roman" w:eastAsia="宋体" w:cs="Times New Roman"/>
      <w:sz w:val="24"/>
      <w:szCs w:val="24"/>
    </w:rPr>
  </w:style>
  <w:style w:type="paragraph" w:customStyle="1" w:styleId="260">
    <w:name w:val="A33"/>
    <w:basedOn w:val="1"/>
    <w:link w:val="261"/>
    <w:qFormat/>
    <w:uiPriority w:val="0"/>
    <w:pPr>
      <w:keepNext/>
      <w:keepLines/>
      <w:outlineLvl w:val="2"/>
    </w:pPr>
    <w:rPr>
      <w:rFonts w:ascii="等线" w:hAnsi="等线" w:eastAsia="等线"/>
      <w:b/>
      <w:bCs/>
      <w:sz w:val="22"/>
      <w:szCs w:val="28"/>
    </w:rPr>
  </w:style>
  <w:style w:type="character" w:customStyle="1" w:styleId="261">
    <w:name w:val="A33 字符"/>
    <w:link w:val="260"/>
    <w:qFormat/>
    <w:uiPriority w:val="0"/>
    <w:rPr>
      <w:rFonts w:ascii="等线" w:hAnsi="等线" w:eastAsia="等线" w:cs="Times New Roman"/>
      <w:b/>
      <w:bCs/>
      <w:sz w:val="22"/>
      <w:szCs w:val="28"/>
    </w:rPr>
  </w:style>
  <w:style w:type="character" w:customStyle="1" w:styleId="262">
    <w:name w:val="font71"/>
    <w:qFormat/>
    <w:uiPriority w:val="0"/>
    <w:rPr>
      <w:rFonts w:ascii="仿宋_GB2312" w:hAnsi="Times New Roman" w:eastAsia="仿宋_GB2312" w:cs="仿宋_GB2312"/>
      <w:color w:val="000000"/>
      <w:sz w:val="22"/>
      <w:szCs w:val="22"/>
      <w:u w:val="none"/>
    </w:rPr>
  </w:style>
  <w:style w:type="character" w:customStyle="1" w:styleId="263">
    <w:name w:val="bg02"/>
    <w:qFormat/>
    <w:uiPriority w:val="0"/>
    <w:rPr>
      <w:rFonts w:ascii="Times New Roman" w:hAnsi="Times New Roman" w:eastAsia="宋体" w:cs="Times New Roman"/>
    </w:rPr>
  </w:style>
  <w:style w:type="paragraph" w:customStyle="1" w:styleId="264">
    <w:name w:val="A_Figure"/>
    <w:basedOn w:val="1"/>
    <w:next w:val="1"/>
    <w:link w:val="265"/>
    <w:qFormat/>
    <w:uiPriority w:val="0"/>
    <w:pPr>
      <w:widowControl/>
      <w:jc w:val="center"/>
    </w:pPr>
    <w:rPr>
      <w:rFonts w:eastAsia="等线"/>
      <w:b/>
      <w:sz w:val="20"/>
      <w:szCs w:val="20"/>
    </w:rPr>
  </w:style>
  <w:style w:type="character" w:customStyle="1" w:styleId="265">
    <w:name w:val="A_Figure 字符"/>
    <w:link w:val="264"/>
    <w:qFormat/>
    <w:uiPriority w:val="0"/>
    <w:rPr>
      <w:rFonts w:ascii="Times New Roman" w:hAnsi="Times New Roman" w:eastAsia="等线" w:cs="Times New Roman"/>
      <w:b/>
    </w:rPr>
  </w:style>
  <w:style w:type="character" w:customStyle="1" w:styleId="266">
    <w:name w:val="bg01"/>
    <w:qFormat/>
    <w:uiPriority w:val="0"/>
    <w:rPr>
      <w:rFonts w:ascii="Times New Roman" w:hAnsi="Times New Roman" w:eastAsia="宋体" w:cs="Times New Roman"/>
    </w:rPr>
  </w:style>
  <w:style w:type="character" w:customStyle="1" w:styleId="267">
    <w:name w:val="font91"/>
    <w:qFormat/>
    <w:uiPriority w:val="0"/>
    <w:rPr>
      <w:rFonts w:ascii="Times New Roman" w:hAnsi="Times New Roman" w:eastAsia="宋体" w:cs="Times New Roman"/>
      <w:color w:val="000000"/>
      <w:sz w:val="22"/>
      <w:szCs w:val="22"/>
      <w:u w:val="none"/>
    </w:rPr>
  </w:style>
  <w:style w:type="character" w:customStyle="1" w:styleId="268">
    <w:name w:val="font112"/>
    <w:qFormat/>
    <w:uiPriority w:val="0"/>
    <w:rPr>
      <w:rFonts w:ascii="仿宋_GB2312" w:hAnsi="Times New Roman" w:eastAsia="仿宋_GB2312" w:cs="仿宋_GB2312"/>
      <w:color w:val="000000"/>
      <w:sz w:val="24"/>
      <w:szCs w:val="24"/>
      <w:u w:val="none"/>
    </w:rPr>
  </w:style>
  <w:style w:type="character" w:customStyle="1" w:styleId="269">
    <w:name w:val="副标题 Char1"/>
    <w:qFormat/>
    <w:uiPriority w:val="0"/>
    <w:rPr>
      <w:rFonts w:ascii="Cambria" w:hAnsi="Cambria" w:eastAsia="宋体" w:cs="Times New Roman"/>
      <w:b/>
      <w:bCs/>
      <w:sz w:val="32"/>
      <w:szCs w:val="32"/>
    </w:rPr>
  </w:style>
  <w:style w:type="character" w:customStyle="1" w:styleId="270">
    <w:name w:val="font81"/>
    <w:qFormat/>
    <w:uiPriority w:val="0"/>
    <w:rPr>
      <w:rFonts w:ascii="Times New Roman" w:hAnsi="Times New Roman" w:eastAsia="宋体" w:cs="Times New Roman"/>
      <w:color w:val="000000"/>
      <w:sz w:val="24"/>
      <w:szCs w:val="24"/>
      <w:u w:val="none"/>
    </w:rPr>
  </w:style>
  <w:style w:type="character" w:customStyle="1" w:styleId="271">
    <w:name w:val="tabg"/>
    <w:qFormat/>
    <w:uiPriority w:val="0"/>
    <w:rPr>
      <w:rFonts w:ascii="微软雅黑" w:hAnsi="微软雅黑" w:eastAsia="微软雅黑" w:cs="微软雅黑"/>
      <w:color w:val="FFFFFF"/>
      <w:sz w:val="27"/>
      <w:szCs w:val="27"/>
    </w:rPr>
  </w:style>
  <w:style w:type="character" w:customStyle="1" w:styleId="272">
    <w:name w:val="font31"/>
    <w:qFormat/>
    <w:uiPriority w:val="0"/>
    <w:rPr>
      <w:rFonts w:hint="eastAsia" w:ascii="微软雅黑" w:hAnsi="微软雅黑" w:eastAsia="微软雅黑" w:cs="微软雅黑"/>
      <w:color w:val="000000"/>
      <w:sz w:val="22"/>
      <w:szCs w:val="22"/>
      <w:u w:val="none"/>
    </w:rPr>
  </w:style>
  <w:style w:type="character" w:customStyle="1" w:styleId="273">
    <w:name w:val="font51"/>
    <w:qFormat/>
    <w:uiPriority w:val="0"/>
    <w:rPr>
      <w:rFonts w:ascii="仿宋_GB2312" w:hAnsi="Times New Roman" w:eastAsia="仿宋_GB2312" w:cs="仿宋_GB2312"/>
      <w:color w:val="000000"/>
      <w:sz w:val="22"/>
      <w:szCs w:val="22"/>
      <w:u w:val="none"/>
    </w:rPr>
  </w:style>
  <w:style w:type="paragraph" w:customStyle="1" w:styleId="274">
    <w:name w:val="A1"/>
    <w:basedOn w:val="186"/>
    <w:link w:val="275"/>
    <w:qFormat/>
    <w:uiPriority w:val="0"/>
    <w:pPr>
      <w:spacing w:before="0" w:after="0" w:line="240" w:lineRule="auto"/>
      <w:ind w:left="737" w:hanging="737"/>
    </w:pPr>
    <w:rPr>
      <w:rFonts w:ascii="等线" w:hAnsi="等线" w:eastAsia="等线"/>
      <w:sz w:val="24"/>
      <w:szCs w:val="21"/>
    </w:rPr>
  </w:style>
  <w:style w:type="character" w:customStyle="1" w:styleId="275">
    <w:name w:val="A1 字符"/>
    <w:link w:val="274"/>
    <w:qFormat/>
    <w:uiPriority w:val="0"/>
    <w:rPr>
      <w:rFonts w:ascii="等线" w:hAnsi="等线" w:eastAsia="等线" w:cs="Times New Roman"/>
      <w:b/>
      <w:bCs/>
      <w:sz w:val="24"/>
      <w:szCs w:val="21"/>
    </w:rPr>
  </w:style>
  <w:style w:type="character" w:customStyle="1" w:styleId="276">
    <w:name w:val="point_normal"/>
    <w:qFormat/>
    <w:uiPriority w:val="0"/>
    <w:rPr>
      <w:rFonts w:ascii="Times New Roman" w:hAnsi="Times New Roman" w:eastAsia="宋体" w:cs="Times New Roman"/>
    </w:rPr>
  </w:style>
  <w:style w:type="paragraph" w:customStyle="1" w:styleId="277">
    <w:name w:val="文档正文"/>
    <w:basedOn w:val="1"/>
    <w:link w:val="278"/>
    <w:qFormat/>
    <w:uiPriority w:val="0"/>
    <w:pPr>
      <w:widowControl/>
      <w:spacing w:before="60" w:after="60" w:line="360" w:lineRule="auto"/>
      <w:ind w:firstLine="482"/>
    </w:pPr>
    <w:rPr>
      <w:szCs w:val="20"/>
    </w:rPr>
  </w:style>
  <w:style w:type="character" w:customStyle="1" w:styleId="278">
    <w:name w:val="文档正文 Char"/>
    <w:link w:val="277"/>
    <w:qFormat/>
    <w:uiPriority w:val="0"/>
    <w:rPr>
      <w:rFonts w:ascii="Times New Roman" w:hAnsi="Times New Roman" w:eastAsia="宋体" w:cs="Times New Roman"/>
      <w:sz w:val="24"/>
    </w:rPr>
  </w:style>
  <w:style w:type="character" w:customStyle="1" w:styleId="279">
    <w:name w:val="标题 Char1"/>
    <w:qFormat/>
    <w:uiPriority w:val="0"/>
    <w:rPr>
      <w:rFonts w:ascii="Cambria" w:hAnsi="Cambria" w:eastAsia="宋体" w:cs="Times New Roman"/>
      <w:b/>
      <w:bCs/>
      <w:sz w:val="32"/>
      <w:szCs w:val="32"/>
    </w:rPr>
  </w:style>
  <w:style w:type="paragraph" w:customStyle="1" w:styleId="280">
    <w:name w:val="正文 New New New New New New New New New New New New New New New New New New New New New New New New New New New New New New New New New New New New New New New New New New New New New New New New New New New New New New New New New New New New New New Ne"/>
    <w:qFormat/>
    <w:uiPriority w:val="0"/>
    <w:pPr>
      <w:widowControl w:val="0"/>
      <w:jc w:val="both"/>
    </w:pPr>
    <w:rPr>
      <w:rFonts w:ascii="宋体" w:hAnsi="宋体" w:eastAsia="宋体" w:cs="Times New Roman"/>
      <w:sz w:val="21"/>
      <w:szCs w:val="24"/>
      <w:lang w:val="en-US" w:eastAsia="zh-CN" w:bidi="ar-SA"/>
    </w:rPr>
  </w:style>
  <w:style w:type="paragraph" w:customStyle="1" w:styleId="281">
    <w:name w:val="所-2级"/>
    <w:basedOn w:val="1"/>
    <w:qFormat/>
    <w:uiPriority w:val="0"/>
    <w:pPr>
      <w:keepNext/>
      <w:keepLines/>
      <w:spacing w:after="160" w:line="360" w:lineRule="auto"/>
      <w:outlineLvl w:val="1"/>
    </w:pPr>
    <w:rPr>
      <w:b/>
      <w:bCs/>
      <w:sz w:val="32"/>
      <w:szCs w:val="32"/>
    </w:rPr>
  </w:style>
  <w:style w:type="paragraph" w:customStyle="1" w:styleId="282">
    <w:name w:val="列出段落1"/>
    <w:basedOn w:val="1"/>
    <w:qFormat/>
    <w:uiPriority w:val="0"/>
    <w:pPr>
      <w:ind w:firstLine="420"/>
    </w:pPr>
    <w:rPr>
      <w:rFonts w:ascii="Calibri" w:hAnsi="Calibri"/>
    </w:rPr>
  </w:style>
  <w:style w:type="paragraph" w:customStyle="1" w:styleId="283">
    <w:name w:val="p16"/>
    <w:basedOn w:val="1"/>
    <w:qFormat/>
    <w:uiPriority w:val="0"/>
    <w:pPr>
      <w:widowControl/>
      <w:ind w:firstLine="420"/>
    </w:pPr>
    <w:rPr>
      <w:szCs w:val="20"/>
    </w:rPr>
  </w:style>
  <w:style w:type="paragraph" w:customStyle="1" w:styleId="284">
    <w:name w:val="正文2"/>
    <w:basedOn w:val="1"/>
    <w:qFormat/>
    <w:uiPriority w:val="0"/>
    <w:pPr>
      <w:spacing w:line="318" w:lineRule="atLeast"/>
      <w:ind w:left="369" w:firstLine="369"/>
    </w:pPr>
    <w:rPr>
      <w:rFonts w:ascii="宋体"/>
      <w:sz w:val="21"/>
      <w:szCs w:val="20"/>
    </w:rPr>
  </w:style>
  <w:style w:type="paragraph" w:customStyle="1" w:styleId="285">
    <w:name w:val="_Style 1"/>
    <w:basedOn w:val="1"/>
    <w:qFormat/>
    <w:uiPriority w:val="0"/>
    <w:pPr>
      <w:ind w:firstLine="200"/>
    </w:pPr>
    <w:rPr>
      <w:szCs w:val="20"/>
    </w:rPr>
  </w:style>
  <w:style w:type="paragraph" w:customStyle="1" w:styleId="286">
    <w:name w:val="样式2"/>
    <w:basedOn w:val="1"/>
    <w:qFormat/>
    <w:uiPriority w:val="0"/>
    <w:rPr>
      <w:rFonts w:eastAsia="华文中宋"/>
      <w:sz w:val="44"/>
    </w:rPr>
  </w:style>
  <w:style w:type="paragraph" w:customStyle="1" w:styleId="287">
    <w:name w:val="样式1"/>
    <w:basedOn w:val="1"/>
    <w:qFormat/>
    <w:uiPriority w:val="0"/>
    <w:rPr>
      <w:rFonts w:eastAsia="仿宋_GB2312"/>
      <w:sz w:val="32"/>
    </w:rPr>
  </w:style>
  <w:style w:type="paragraph" w:customStyle="1" w:styleId="288">
    <w:name w:val="Char"/>
    <w:basedOn w:val="1"/>
    <w:qFormat/>
    <w:uiPriority w:val="0"/>
    <w:rPr>
      <w:szCs w:val="21"/>
    </w:rPr>
  </w:style>
  <w:style w:type="paragraph" w:customStyle="1" w:styleId="289">
    <w:name w:val="TOC 标题11"/>
    <w:basedOn w:val="186"/>
    <w:next w:val="1"/>
    <w:qFormat/>
    <w:uiPriority w:val="0"/>
    <w:pPr>
      <w:widowControl/>
      <w:spacing w:before="480" w:after="0" w:line="276" w:lineRule="auto"/>
      <w:jc w:val="left"/>
      <w:outlineLvl w:val="9"/>
    </w:pPr>
    <w:rPr>
      <w:rFonts w:ascii="Cambria" w:hAnsi="Cambria"/>
      <w:color w:val="365F91"/>
      <w:sz w:val="28"/>
      <w:szCs w:val="28"/>
    </w:rPr>
  </w:style>
  <w:style w:type="paragraph" w:customStyle="1" w:styleId="290">
    <w:name w:val="11"/>
    <w:basedOn w:val="1"/>
    <w:qFormat/>
    <w:uiPriority w:val="0"/>
    <w:pPr>
      <w:widowControl/>
      <w:spacing w:line="360" w:lineRule="auto"/>
      <w:ind w:firstLine="420"/>
      <w:jc w:val="left"/>
    </w:pPr>
    <w:rPr>
      <w:rFonts w:ascii="Arial" w:hAnsi="Arial" w:cs="宋体"/>
      <w:color w:val="000000"/>
      <w:sz w:val="21"/>
      <w:szCs w:val="20"/>
    </w:rPr>
  </w:style>
  <w:style w:type="paragraph" w:customStyle="1" w:styleId="291">
    <w:name w:val="_Style 31"/>
    <w:basedOn w:val="208"/>
    <w:qFormat/>
    <w:uiPriority w:val="0"/>
    <w:rPr>
      <w:szCs w:val="20"/>
      <w:shd w:val="clear" w:color="auto" w:fill="000080"/>
    </w:rPr>
  </w:style>
  <w:style w:type="paragraph" w:customStyle="1" w:styleId="292">
    <w:name w:val="正文 New"/>
    <w:qFormat/>
    <w:uiPriority w:val="0"/>
    <w:pPr>
      <w:widowControl w:val="0"/>
      <w:jc w:val="both"/>
    </w:pPr>
    <w:rPr>
      <w:rFonts w:ascii="宋体" w:hAnsi="宋体" w:eastAsia="宋体" w:cs="Times New Roman"/>
      <w:sz w:val="21"/>
      <w:szCs w:val="24"/>
      <w:lang w:val="en-US" w:eastAsia="zh-CN" w:bidi="ar-SA"/>
    </w:rPr>
  </w:style>
  <w:style w:type="paragraph" w:customStyle="1" w:styleId="293">
    <w:name w:val="样式3"/>
    <w:basedOn w:val="286"/>
    <w:qFormat/>
    <w:uiPriority w:val="0"/>
    <w:pPr>
      <w:jc w:val="center"/>
    </w:pPr>
    <w:rPr>
      <w:rFonts w:eastAsia="宋体"/>
    </w:rPr>
  </w:style>
  <w:style w:type="paragraph" w:customStyle="1" w:styleId="294">
    <w:name w:val="表身（左）"/>
    <w:qFormat/>
    <w:uiPriority w:val="0"/>
    <w:pPr>
      <w:spacing w:line="300" w:lineRule="auto"/>
    </w:pPr>
    <w:rPr>
      <w:rFonts w:ascii="Times New Roman" w:hAnsi="Times New Roman" w:eastAsia="宋体" w:cs="Times New Roman"/>
      <w:sz w:val="16"/>
      <w:lang w:val="en-US" w:eastAsia="zh-CN" w:bidi="ar-SA"/>
    </w:rPr>
  </w:style>
  <w:style w:type="paragraph" w:customStyle="1" w:styleId="295">
    <w:name w:val="所-4级"/>
    <w:basedOn w:val="1"/>
    <w:qFormat/>
    <w:uiPriority w:val="0"/>
    <w:pPr>
      <w:spacing w:line="360" w:lineRule="auto"/>
      <w:outlineLvl w:val="3"/>
    </w:pPr>
    <w:rPr>
      <w:b/>
      <w:bCs/>
      <w:szCs w:val="20"/>
    </w:rPr>
  </w:style>
  <w:style w:type="paragraph" w:customStyle="1" w:styleId="296">
    <w:name w:val="列出段落11"/>
    <w:basedOn w:val="1"/>
    <w:qFormat/>
    <w:uiPriority w:val="0"/>
    <w:pPr>
      <w:ind w:firstLine="420"/>
    </w:pPr>
    <w:rPr>
      <w:rFonts w:ascii="Calibri" w:hAnsi="Calibri"/>
      <w:sz w:val="21"/>
      <w:szCs w:val="22"/>
    </w:rPr>
  </w:style>
  <w:style w:type="paragraph" w:customStyle="1" w:styleId="297">
    <w:name w:val="_Style 2"/>
    <w:qFormat/>
    <w:uiPriority w:val="0"/>
    <w:pPr>
      <w:widowControl w:val="0"/>
      <w:ind w:firstLine="200"/>
      <w:jc w:val="both"/>
    </w:pPr>
    <w:rPr>
      <w:rFonts w:ascii="Times New Roman" w:hAnsi="Times New Roman" w:eastAsia="宋体" w:cs="Times New Roman"/>
      <w:sz w:val="24"/>
      <w:szCs w:val="24"/>
      <w:lang w:val="en-US" w:eastAsia="zh-CN" w:bidi="ar-SA"/>
    </w:rPr>
  </w:style>
  <w:style w:type="paragraph" w:customStyle="1" w:styleId="298">
    <w:name w:val="所-1级"/>
    <w:basedOn w:val="1"/>
    <w:qFormat/>
    <w:uiPriority w:val="0"/>
    <w:pPr>
      <w:keepNext/>
      <w:keepLines/>
      <w:pageBreakBefore/>
      <w:spacing w:after="160" w:line="360" w:lineRule="auto"/>
      <w:jc w:val="center"/>
      <w:outlineLvl w:val="0"/>
    </w:pPr>
    <w:rPr>
      <w:rFonts w:eastAsia="黑体"/>
      <w:b/>
      <w:bCs/>
      <w:sz w:val="44"/>
      <w:szCs w:val="44"/>
    </w:rPr>
  </w:style>
  <w:style w:type="character" w:customStyle="1" w:styleId="299">
    <w:name w:val="NormalCharacter1"/>
    <w:qFormat/>
    <w:uiPriority w:val="0"/>
    <w:rPr>
      <w:rFonts w:ascii="Times New Roman" w:hAnsi="Times New Roman" w:eastAsia="宋体" w:cs="Times New Roman"/>
    </w:rPr>
  </w:style>
  <w:style w:type="character" w:customStyle="1" w:styleId="300">
    <w:name w:val="正文文本缩进 Char1"/>
    <w:qFormat/>
    <w:uiPriority w:val="0"/>
    <w:rPr>
      <w:rFonts w:ascii="Times New Roman" w:hAnsi="Times New Roman" w:eastAsia="宋体" w:cs="Times New Roman"/>
      <w:sz w:val="21"/>
      <w:szCs w:val="24"/>
    </w:rPr>
  </w:style>
  <w:style w:type="paragraph" w:customStyle="1" w:styleId="301">
    <w:name w:val="无间隔1"/>
    <w:qFormat/>
    <w:uiPriority w:val="0"/>
    <w:pPr>
      <w:widowControl w:val="0"/>
      <w:ind w:firstLine="200"/>
      <w:jc w:val="both"/>
    </w:pPr>
    <w:rPr>
      <w:rFonts w:ascii="Times New Roman" w:hAnsi="Times New Roman" w:eastAsia="宋体" w:cs="Times New Roman"/>
      <w:sz w:val="24"/>
      <w:szCs w:val="24"/>
      <w:lang w:val="en-US" w:eastAsia="zh-CN" w:bidi="ar-SA"/>
    </w:rPr>
  </w:style>
  <w:style w:type="character" w:customStyle="1" w:styleId="302">
    <w:name w:val="标题 3（绿盟科技） Char"/>
    <w:link w:val="303"/>
    <w:qFormat/>
    <w:uiPriority w:val="0"/>
    <w:rPr>
      <w:rFonts w:ascii="Times New Roman" w:hAnsi="Times New Roman" w:eastAsia="宋体" w:cs="Times New Roman"/>
      <w:sz w:val="24"/>
      <w:szCs w:val="24"/>
    </w:rPr>
  </w:style>
  <w:style w:type="paragraph" w:customStyle="1" w:styleId="303">
    <w:name w:val="标题 3（绿盟科技）"/>
    <w:basedOn w:val="1"/>
    <w:link w:val="302"/>
    <w:qFormat/>
    <w:uiPriority w:val="0"/>
    <w:pPr>
      <w:numPr>
        <w:ilvl w:val="2"/>
        <w:numId w:val="1"/>
      </w:numPr>
      <w:spacing w:line="360" w:lineRule="auto"/>
      <w:ind w:firstLine="0"/>
    </w:pPr>
  </w:style>
  <w:style w:type="paragraph" w:customStyle="1" w:styleId="304">
    <w:name w:val="列表段落1"/>
    <w:basedOn w:val="1"/>
    <w:qFormat/>
    <w:uiPriority w:val="0"/>
    <w:pPr>
      <w:ind w:firstLine="420"/>
    </w:pPr>
    <w:rPr>
      <w:rFonts w:ascii="Calibri" w:hAnsi="Calibri"/>
      <w:sz w:val="21"/>
      <w:szCs w:val="22"/>
    </w:rPr>
  </w:style>
  <w:style w:type="paragraph" w:customStyle="1" w:styleId="305">
    <w:name w:val="!正文"/>
    <w:basedOn w:val="1"/>
    <w:qFormat/>
    <w:uiPriority w:val="0"/>
    <w:pPr>
      <w:spacing w:line="360" w:lineRule="auto"/>
      <w:ind w:firstLine="200"/>
      <w:jc w:val="left"/>
    </w:pPr>
    <w:rPr>
      <w:rFonts w:ascii="Calibri" w:hAnsi="Calibri" w:cs="宋体"/>
      <w:color w:val="000000"/>
    </w:rPr>
  </w:style>
  <w:style w:type="paragraph" w:customStyle="1" w:styleId="306">
    <w:name w:val="纯文本1"/>
    <w:basedOn w:val="1"/>
    <w:qFormat/>
    <w:uiPriority w:val="0"/>
    <w:rPr>
      <w:rFonts w:ascii="宋体" w:hAnsi="Courier New"/>
      <w:szCs w:val="20"/>
    </w:rPr>
  </w:style>
  <w:style w:type="character" w:customStyle="1" w:styleId="307">
    <w:name w:val="font41"/>
    <w:basedOn w:val="33"/>
    <w:qFormat/>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黑体"/>
        <a:cs typeface="Arial"/>
      </a:majorFont>
      <a:minorFont>
        <a:latin typeface="Arial"/>
        <a:ea typeface="宋体"/>
        <a:cs typeface="Arial"/>
      </a:minorFont>
    </a:fontScheme>
    <a:fmtScheme name="">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Company>
  <Pages>129</Pages>
  <Words>18073</Words>
  <Characters>18741</Characters>
  <Lines>929</Lines>
  <Paragraphs>261</Paragraphs>
  <TotalTime>33</TotalTime>
  <ScaleCrop>false</ScaleCrop>
  <LinksUpToDate>false</LinksUpToDate>
  <CharactersWithSpaces>19587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2023-11-02T04:55:00Z</dcterms:created>
  <dc:creator>太子</dc:creator>
  <cp:lastModifiedBy>缠绕</cp:lastModifiedBy>
  <cp:lastPrinted>2025-03-04T07:57:00Z</cp:lastPrinted>
  <dcterms:modified xsi:type="dcterms:W3CDTF">2025-03-26T08:13:32Z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9FE3E0C76F4A431A9C654CEC3A92C4DA_13</vt:lpwstr>
  </property>
  <property fmtid="{D5CDD505-2E9C-101B-9397-08002B2CF9AE}" pid="4" name="KSOTemplateDocerSaveRecord">
    <vt:lpwstr>eyJoZGlkIjoiYWU0YjliYjEyYzRiMzU3NjRhYWJiZWU0NDlhZDg4MTQiLCJ1c2VySWQiOiI0MDg0MzgyMjAifQ==</vt:lpwstr>
  </property>
</Properties>
</file>