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D44CE9">
      <w:pPr>
        <w:pStyle w:val="2"/>
        <w:bidi w:val="0"/>
        <w:jc w:val="center"/>
        <w:rPr>
          <w:rFonts w:hint="eastAsia"/>
          <w:sz w:val="36"/>
          <w:szCs w:val="28"/>
          <w:lang w:val="en-US" w:eastAsia="zh-CN"/>
        </w:rPr>
      </w:pPr>
      <w:r>
        <w:rPr>
          <w:rFonts w:hint="eastAsia"/>
          <w:sz w:val="36"/>
          <w:szCs w:val="28"/>
          <w:lang w:val="en-US" w:eastAsia="zh-CN"/>
        </w:rPr>
        <w:t>共和县恰卜恰镇公租房智能门锁安装项目</w:t>
      </w:r>
    </w:p>
    <w:p w14:paraId="7564224F">
      <w:pPr>
        <w:pStyle w:val="2"/>
        <w:bidi w:val="0"/>
        <w:jc w:val="center"/>
        <w:rPr>
          <w:rStyle w:val="7"/>
          <w:rFonts w:hint="eastAsia" w:ascii="微软雅黑" w:hAnsi="微软雅黑" w:eastAsia="微软雅黑" w:cs="微软雅黑"/>
          <w:b/>
          <w:i w:val="0"/>
          <w:iCs w:val="0"/>
          <w:caps w:val="0"/>
          <w:color w:val="000000"/>
          <w:spacing w:val="0"/>
          <w:sz w:val="27"/>
          <w:szCs w:val="27"/>
        </w:rPr>
      </w:pPr>
      <w:r>
        <w:rPr>
          <w:rFonts w:hint="eastAsia"/>
          <w:sz w:val="36"/>
          <w:szCs w:val="28"/>
          <w:lang w:val="en-US" w:eastAsia="zh-CN"/>
        </w:rPr>
        <w:t>更正公告</w:t>
      </w:r>
    </w:p>
    <w:p w14:paraId="2C51033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一、</w:t>
      </w:r>
      <w:r>
        <w:rPr>
          <w:rFonts w:hint="eastAsia" w:ascii="宋体" w:hAnsi="宋体" w:eastAsia="宋体" w:cs="宋体"/>
          <w:sz w:val="24"/>
          <w:szCs w:val="24"/>
        </w:rPr>
        <w:t>项目基本情况                </w:t>
      </w:r>
    </w:p>
    <w:p w14:paraId="657A691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原公告的采购项目编号：</w:t>
      </w:r>
      <w:r>
        <w:rPr>
          <w:rFonts w:hint="eastAsia" w:ascii="宋体" w:hAnsi="宋体" w:cs="宋体"/>
          <w:sz w:val="24"/>
          <w:szCs w:val="24"/>
          <w:lang w:eastAsia="zh-CN"/>
        </w:rPr>
        <w:t>青海泰昌公招（货物）2025-026号</w:t>
      </w:r>
      <w:r>
        <w:rPr>
          <w:rFonts w:hint="eastAsia" w:ascii="宋体" w:hAnsi="宋体" w:eastAsia="宋体" w:cs="宋体"/>
          <w:sz w:val="24"/>
          <w:szCs w:val="24"/>
        </w:rPr>
        <w:t xml:space="preserve">       </w:t>
      </w:r>
    </w:p>
    <w:p w14:paraId="4B2908E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原公告的采购项目名称：</w:t>
      </w:r>
      <w:r>
        <w:rPr>
          <w:rFonts w:hint="eastAsia" w:ascii="宋体" w:hAnsi="宋体" w:cs="宋体"/>
          <w:sz w:val="24"/>
          <w:szCs w:val="24"/>
          <w:lang w:eastAsia="zh-CN"/>
        </w:rPr>
        <w:t>共和县恰卜恰镇公租房智能门锁安装项目</w:t>
      </w:r>
      <w:r>
        <w:rPr>
          <w:rFonts w:hint="eastAsia" w:ascii="宋体" w:hAnsi="宋体" w:eastAsia="宋体" w:cs="宋体"/>
          <w:sz w:val="24"/>
          <w:szCs w:val="24"/>
        </w:rPr>
        <w:t>  </w:t>
      </w:r>
    </w:p>
    <w:p w14:paraId="1FE16CB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首次公告日期：202</w:t>
      </w:r>
      <w:r>
        <w:rPr>
          <w:rFonts w:hint="eastAsia" w:ascii="宋体" w:hAnsi="宋体" w:cs="宋体"/>
          <w:sz w:val="24"/>
          <w:szCs w:val="24"/>
          <w:lang w:val="en-US" w:eastAsia="zh-CN"/>
        </w:rPr>
        <w:t>5</w:t>
      </w:r>
      <w:r>
        <w:rPr>
          <w:rFonts w:hint="eastAsia" w:ascii="宋体" w:hAnsi="宋体" w:eastAsia="宋体" w:cs="宋体"/>
          <w:sz w:val="24"/>
          <w:szCs w:val="24"/>
        </w:rPr>
        <w:t>年</w:t>
      </w:r>
      <w:r>
        <w:rPr>
          <w:rFonts w:hint="eastAsia" w:ascii="宋体" w:hAnsi="宋体" w:cs="宋体"/>
          <w:sz w:val="24"/>
          <w:szCs w:val="24"/>
          <w:lang w:val="en-US" w:eastAsia="zh-CN"/>
        </w:rPr>
        <w:t>03</w:t>
      </w:r>
      <w:r>
        <w:rPr>
          <w:rFonts w:hint="eastAsia" w:ascii="宋体" w:hAnsi="宋体" w:eastAsia="宋体" w:cs="宋体"/>
          <w:sz w:val="24"/>
          <w:szCs w:val="24"/>
        </w:rPr>
        <w:t>月</w:t>
      </w:r>
      <w:r>
        <w:rPr>
          <w:rFonts w:hint="eastAsia" w:ascii="宋体" w:hAnsi="宋体" w:cs="宋体"/>
          <w:sz w:val="24"/>
          <w:szCs w:val="24"/>
          <w:lang w:val="en-US" w:eastAsia="zh-CN"/>
        </w:rPr>
        <w:t>21</w:t>
      </w:r>
      <w:r>
        <w:rPr>
          <w:rFonts w:hint="eastAsia" w:ascii="宋体" w:hAnsi="宋体" w:eastAsia="宋体" w:cs="宋体"/>
          <w:sz w:val="24"/>
          <w:szCs w:val="24"/>
        </w:rPr>
        <w:t>日                    </w:t>
      </w:r>
    </w:p>
    <w:p w14:paraId="382EEE7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二、更正信息                </w:t>
      </w:r>
    </w:p>
    <w:p w14:paraId="32884D5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更正事项：磋商文件                    </w:t>
      </w:r>
    </w:p>
    <w:p w14:paraId="71EA86A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更正内容：                    </w:t>
      </w:r>
    </w:p>
    <w:tbl>
      <w:tblPr>
        <w:tblStyle w:val="5"/>
        <w:tblW w:w="554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5" w:type="dxa"/>
          <w:left w:w="15" w:type="dxa"/>
          <w:bottom w:w="15" w:type="dxa"/>
          <w:right w:w="15" w:type="dxa"/>
        </w:tblCellMar>
      </w:tblPr>
      <w:tblGrid>
        <w:gridCol w:w="3177"/>
        <w:gridCol w:w="3180"/>
        <w:gridCol w:w="3182"/>
      </w:tblGrid>
      <w:tr w14:paraId="26E94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67" w:hRule="atLeast"/>
        </w:trPr>
        <w:tc>
          <w:tcPr>
            <w:tcW w:w="1665" w:type="pct"/>
            <w:noWrap w:val="0"/>
            <w:tcMar>
              <w:top w:w="75" w:type="dxa"/>
              <w:left w:w="150" w:type="dxa"/>
              <w:bottom w:w="75" w:type="dxa"/>
              <w:right w:w="150" w:type="dxa"/>
            </w:tcMar>
            <w:vAlign w:val="center"/>
          </w:tcPr>
          <w:p w14:paraId="384AB82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center"/>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更正项</w:t>
            </w:r>
          </w:p>
        </w:tc>
        <w:tc>
          <w:tcPr>
            <w:tcW w:w="1666" w:type="pct"/>
            <w:noWrap w:val="0"/>
            <w:tcMar>
              <w:top w:w="75" w:type="dxa"/>
              <w:left w:w="150" w:type="dxa"/>
              <w:bottom w:w="75" w:type="dxa"/>
              <w:right w:w="150" w:type="dxa"/>
            </w:tcMar>
            <w:vAlign w:val="center"/>
          </w:tcPr>
          <w:p w14:paraId="182DA91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center"/>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更正前内容</w:t>
            </w:r>
          </w:p>
        </w:tc>
        <w:tc>
          <w:tcPr>
            <w:tcW w:w="1667" w:type="pct"/>
            <w:noWrap w:val="0"/>
            <w:tcMar>
              <w:top w:w="75" w:type="dxa"/>
              <w:left w:w="150" w:type="dxa"/>
              <w:bottom w:w="75" w:type="dxa"/>
              <w:right w:w="150" w:type="dxa"/>
            </w:tcMar>
            <w:vAlign w:val="center"/>
          </w:tcPr>
          <w:p w14:paraId="6AFC1FC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center"/>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更正后内容</w:t>
            </w:r>
          </w:p>
        </w:tc>
      </w:tr>
      <w:tr w14:paraId="597B5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522" w:hRule="atLeast"/>
        </w:trPr>
        <w:tc>
          <w:tcPr>
            <w:tcW w:w="1665" w:type="pct"/>
            <w:noWrap w:val="0"/>
            <w:tcMar>
              <w:top w:w="75" w:type="dxa"/>
              <w:left w:w="150" w:type="dxa"/>
              <w:bottom w:w="75" w:type="dxa"/>
              <w:right w:w="150" w:type="dxa"/>
            </w:tcMar>
            <w:vAlign w:val="center"/>
          </w:tcPr>
          <w:p w14:paraId="284C53F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采购需求及技术参数</w:t>
            </w:r>
          </w:p>
        </w:tc>
        <w:tc>
          <w:tcPr>
            <w:tcW w:w="1666" w:type="pct"/>
            <w:noWrap w:val="0"/>
            <w:tcMar>
              <w:top w:w="75" w:type="dxa"/>
              <w:left w:w="150" w:type="dxa"/>
              <w:bottom w:w="75" w:type="dxa"/>
              <w:right w:w="150" w:type="dxa"/>
            </w:tcMar>
            <w:vAlign w:val="center"/>
          </w:tcPr>
          <w:p w14:paraId="42BDBB7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详见《</w:t>
            </w:r>
            <w:r>
              <w:rPr>
                <w:rFonts w:hint="eastAsia" w:ascii="宋体" w:hAnsi="宋体" w:cs="宋体"/>
                <w:sz w:val="24"/>
                <w:szCs w:val="24"/>
                <w:lang w:val="en-US" w:eastAsia="zh-CN"/>
              </w:rPr>
              <w:t>公开招标文件</w:t>
            </w:r>
            <w:r>
              <w:rPr>
                <w:rFonts w:hint="eastAsia" w:ascii="宋体" w:hAnsi="宋体" w:eastAsia="宋体" w:cs="宋体"/>
                <w:sz w:val="24"/>
                <w:szCs w:val="24"/>
                <w:lang w:val="en-US" w:eastAsia="zh-CN"/>
              </w:rPr>
              <w:t>》</w:t>
            </w:r>
          </w:p>
        </w:tc>
        <w:tc>
          <w:tcPr>
            <w:tcW w:w="1667" w:type="pct"/>
            <w:noWrap w:val="0"/>
            <w:tcMar>
              <w:top w:w="75" w:type="dxa"/>
              <w:left w:w="150" w:type="dxa"/>
              <w:bottom w:w="75" w:type="dxa"/>
              <w:right w:w="150" w:type="dxa"/>
            </w:tcMar>
            <w:vAlign w:val="center"/>
          </w:tcPr>
          <w:p w14:paraId="53C6053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宋体" w:hAnsi="宋体" w:eastAsia="宋体" w:cs="宋体"/>
                <w:sz w:val="24"/>
                <w:szCs w:val="24"/>
                <w:lang w:val="en-US"/>
              </w:rPr>
            </w:pPr>
            <w:r>
              <w:rPr>
                <w:rFonts w:hint="eastAsia" w:ascii="宋体" w:hAnsi="宋体" w:eastAsia="宋体" w:cs="宋体"/>
                <w:sz w:val="24"/>
                <w:szCs w:val="24"/>
                <w:lang w:val="en-US" w:eastAsia="zh-CN"/>
              </w:rPr>
              <w:t>详见</w:t>
            </w:r>
            <w:r>
              <w:rPr>
                <w:rFonts w:hint="eastAsia" w:ascii="宋体" w:hAnsi="宋体" w:cs="宋体"/>
                <w:sz w:val="24"/>
                <w:szCs w:val="24"/>
                <w:lang w:val="en-US" w:eastAsia="zh-CN"/>
              </w:rPr>
              <w:t>更正公告“附件一”</w:t>
            </w:r>
          </w:p>
        </w:tc>
      </w:tr>
    </w:tbl>
    <w:p w14:paraId="19410456">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cs="宋体"/>
          <w:sz w:val="24"/>
          <w:szCs w:val="24"/>
          <w:lang w:val="en-US" w:eastAsia="zh-CN"/>
        </w:rPr>
      </w:pPr>
      <w:r>
        <w:rPr>
          <w:rFonts w:hint="eastAsia" w:ascii="宋体" w:hAnsi="宋体" w:eastAsia="宋体" w:cs="宋体"/>
          <w:sz w:val="24"/>
          <w:szCs w:val="24"/>
          <w:lang w:val="en-US" w:eastAsia="zh-CN"/>
        </w:rPr>
        <w:t xml:space="preserve">  </w:t>
      </w:r>
      <w:r>
        <w:rPr>
          <w:rFonts w:hint="eastAsia" w:ascii="宋体" w:hAnsi="宋体" w:cs="宋体"/>
          <w:sz w:val="24"/>
          <w:szCs w:val="24"/>
          <w:lang w:val="en-US" w:eastAsia="zh-CN"/>
        </w:rPr>
        <w:t>其他内容不变！</w:t>
      </w:r>
    </w:p>
    <w:p w14:paraId="54562F0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更正日期：202</w:t>
      </w:r>
      <w:r>
        <w:rPr>
          <w:rFonts w:hint="eastAsia" w:ascii="宋体" w:hAnsi="宋体" w:cs="宋体"/>
          <w:sz w:val="24"/>
          <w:szCs w:val="24"/>
          <w:lang w:val="en-US" w:eastAsia="zh-CN"/>
        </w:rPr>
        <w:t>5</w:t>
      </w:r>
      <w:r>
        <w:rPr>
          <w:rFonts w:hint="eastAsia" w:ascii="宋体" w:hAnsi="宋体" w:eastAsia="宋体" w:cs="宋体"/>
          <w:sz w:val="24"/>
          <w:szCs w:val="24"/>
        </w:rPr>
        <w:t>年</w:t>
      </w:r>
      <w:r>
        <w:rPr>
          <w:rFonts w:hint="eastAsia" w:ascii="宋体" w:hAnsi="宋体" w:cs="宋体"/>
          <w:sz w:val="24"/>
          <w:szCs w:val="24"/>
          <w:lang w:val="en-US" w:eastAsia="zh-CN"/>
        </w:rPr>
        <w:t>03</w:t>
      </w:r>
      <w:r>
        <w:rPr>
          <w:rFonts w:hint="eastAsia" w:ascii="宋体" w:hAnsi="宋体" w:eastAsia="宋体" w:cs="宋体"/>
          <w:sz w:val="24"/>
          <w:szCs w:val="24"/>
        </w:rPr>
        <w:t>月</w:t>
      </w:r>
      <w:r>
        <w:rPr>
          <w:rFonts w:hint="eastAsia" w:ascii="宋体" w:hAnsi="宋体" w:cs="宋体"/>
          <w:sz w:val="24"/>
          <w:szCs w:val="24"/>
          <w:lang w:val="en-US" w:eastAsia="zh-CN"/>
        </w:rPr>
        <w:t>26</w:t>
      </w:r>
      <w:r>
        <w:rPr>
          <w:rFonts w:hint="eastAsia" w:ascii="宋体" w:hAnsi="宋体" w:eastAsia="宋体" w:cs="宋体"/>
          <w:sz w:val="24"/>
          <w:szCs w:val="24"/>
        </w:rPr>
        <w:t>日　　　                    </w:t>
      </w:r>
    </w:p>
    <w:p w14:paraId="7618634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三、其他补充事宜                </w:t>
      </w:r>
    </w:p>
    <w:p w14:paraId="7CADF49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本项目更正公告在《中国采购与招标网》、《青海省政府采购网》、《青海省电子招标投标公共服务平台》发布                </w:t>
      </w:r>
    </w:p>
    <w:p w14:paraId="271C9C3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四、对本次公告提出询问，请按以下方式联系。　　　            </w:t>
      </w:r>
    </w:p>
    <w:p w14:paraId="1EB3935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1.采购人信息                        </w:t>
      </w:r>
    </w:p>
    <w:p w14:paraId="1996B13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采购人：共和县住房和城乡建设局</w:t>
      </w:r>
    </w:p>
    <w:p w14:paraId="3470E1C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联系人:乔老师</w:t>
      </w:r>
    </w:p>
    <w:p w14:paraId="4E19C83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联系电话：0974-8519070</w:t>
      </w:r>
    </w:p>
    <w:p w14:paraId="1DAD9CE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联系地址：青海省海南州共和县                     </w:t>
      </w:r>
    </w:p>
    <w:p w14:paraId="044D3D1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2.采购代理机构信息 </w:t>
      </w:r>
    </w:p>
    <w:p w14:paraId="3357EF4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名    称：青海泰昌工程项目管理有限公司                </w:t>
      </w:r>
    </w:p>
    <w:p w14:paraId="4E51F47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地    址：青海省西宁市城北区柴达木路西悦城 10908        </w:t>
      </w:r>
    </w:p>
    <w:p w14:paraId="7767A21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联系方式：0971-3588845</w:t>
      </w:r>
    </w:p>
    <w:p w14:paraId="1BC9C7E8">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项目联系方式</w:t>
      </w:r>
    </w:p>
    <w:p w14:paraId="4C25CB9B">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720" w:firstLineChars="300"/>
        <w:jc w:val="left"/>
        <w:textAlignment w:val="auto"/>
        <w:rPr>
          <w:rFonts w:hint="eastAsia" w:ascii="宋体" w:hAnsi="宋体" w:eastAsia="宋体" w:cs="宋体"/>
          <w:sz w:val="24"/>
          <w:szCs w:val="24"/>
        </w:rPr>
      </w:pPr>
      <w:r>
        <w:rPr>
          <w:rFonts w:hint="eastAsia" w:ascii="宋体" w:hAnsi="宋体" w:eastAsia="宋体" w:cs="宋体"/>
          <w:sz w:val="24"/>
          <w:szCs w:val="24"/>
        </w:rPr>
        <w:t>项目联系人：张女士  </w:t>
      </w:r>
    </w:p>
    <w:p w14:paraId="51ADD58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电 话：0971-3588845</w:t>
      </w:r>
    </w:p>
    <w:p w14:paraId="3ED4413F"/>
    <w:p w14:paraId="0068F514">
      <w:pPr>
        <w:rPr>
          <w:rFonts w:hint="eastAsia"/>
          <w:lang w:val="en-US" w:eastAsia="zh-CN"/>
        </w:rPr>
        <w:sectPr>
          <w:type w:val="continuous"/>
          <w:pgSz w:w="11906" w:h="16838"/>
          <w:pgMar w:top="1440" w:right="1800" w:bottom="1440" w:left="1800" w:header="851" w:footer="992" w:gutter="0"/>
          <w:cols w:space="0" w:num="1"/>
          <w:rtlGutter w:val="0"/>
          <w:docGrid w:type="lines" w:linePitch="312" w:charSpace="0"/>
        </w:sectPr>
      </w:pPr>
      <w:r>
        <w:rPr>
          <w:rFonts w:hint="eastAsia"/>
          <w:lang w:val="en-US" w:eastAsia="zh-CN"/>
        </w:rPr>
        <w:t>后附：附件一</w:t>
      </w:r>
    </w:p>
    <w:p w14:paraId="63099D2A">
      <w:pPr>
        <w:autoSpaceDE w:val="0"/>
        <w:autoSpaceDN w:val="0"/>
        <w:adjustRightInd w:val="0"/>
        <w:spacing w:line="410" w:lineRule="exact"/>
        <w:ind w:firstLine="480"/>
        <w:jc w:val="left"/>
        <w:rPr>
          <w:rFonts w:hint="eastAsia" w:ascii="宋体" w:hAnsi="宋体" w:cs="宋体"/>
          <w:b/>
          <w:bCs/>
          <w:color w:val="000000"/>
          <w:sz w:val="32"/>
          <w:szCs w:val="32"/>
          <w:lang w:val="en-US" w:eastAsia="zh-CN"/>
        </w:rPr>
      </w:pPr>
      <w:r>
        <w:rPr>
          <w:rFonts w:hint="eastAsia" w:ascii="宋体" w:hAnsi="宋体" w:cs="宋体"/>
          <w:b/>
          <w:bCs/>
          <w:color w:val="000000"/>
          <w:sz w:val="32"/>
          <w:szCs w:val="32"/>
          <w:lang w:val="en-US" w:eastAsia="zh-CN"/>
        </w:rPr>
        <w:t>附件一：</w:t>
      </w:r>
    </w:p>
    <w:p w14:paraId="37CE2BE5">
      <w:pPr>
        <w:autoSpaceDE w:val="0"/>
        <w:autoSpaceDN w:val="0"/>
        <w:adjustRightInd w:val="0"/>
        <w:spacing w:line="410" w:lineRule="exact"/>
        <w:ind w:firstLine="480"/>
        <w:jc w:val="center"/>
        <w:rPr>
          <w:rFonts w:hint="eastAsia" w:ascii="宋体" w:hAnsi="宋体" w:cs="宋体"/>
          <w:b/>
          <w:bCs/>
          <w:color w:val="000000"/>
          <w:sz w:val="32"/>
          <w:szCs w:val="32"/>
          <w:lang w:val="zh-CN"/>
        </w:rPr>
      </w:pPr>
      <w:r>
        <w:rPr>
          <w:rFonts w:hint="eastAsia" w:ascii="宋体" w:hAnsi="宋体" w:cs="宋体"/>
          <w:b/>
          <w:bCs/>
          <w:color w:val="000000"/>
          <w:sz w:val="32"/>
          <w:szCs w:val="32"/>
          <w:lang w:val="zh-CN"/>
        </w:rPr>
        <w:t>采购需求及技术参数</w:t>
      </w:r>
    </w:p>
    <w:p w14:paraId="39FB475D">
      <w:pPr>
        <w:pStyle w:val="3"/>
        <w:rPr>
          <w:lang w:val="zh-CN"/>
        </w:rPr>
      </w:pPr>
    </w:p>
    <w:tbl>
      <w:tblPr>
        <w:tblStyle w:val="5"/>
        <w:tblW w:w="906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45"/>
        <w:gridCol w:w="1219"/>
        <w:gridCol w:w="5654"/>
        <w:gridCol w:w="750"/>
        <w:gridCol w:w="699"/>
      </w:tblGrid>
      <w:tr w14:paraId="18EA4E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4" w:hRule="atLeast"/>
        </w:trPr>
        <w:tc>
          <w:tcPr>
            <w:tcW w:w="745" w:type="dxa"/>
            <w:tcBorders>
              <w:top w:val="single" w:color="000000" w:sz="4" w:space="0"/>
              <w:left w:val="single" w:color="000000" w:sz="4" w:space="0"/>
              <w:bottom w:val="single" w:color="000000" w:sz="4" w:space="0"/>
              <w:right w:val="single" w:color="000000" w:sz="4" w:space="0"/>
            </w:tcBorders>
            <w:noWrap/>
            <w:vAlign w:val="center"/>
          </w:tcPr>
          <w:p w14:paraId="3CF75DB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219" w:type="dxa"/>
            <w:tcBorders>
              <w:top w:val="single" w:color="000000" w:sz="4" w:space="0"/>
              <w:left w:val="single" w:color="000000" w:sz="4" w:space="0"/>
              <w:bottom w:val="single" w:color="000000" w:sz="4" w:space="0"/>
              <w:right w:val="single" w:color="000000" w:sz="4" w:space="0"/>
            </w:tcBorders>
            <w:noWrap/>
            <w:vAlign w:val="center"/>
          </w:tcPr>
          <w:p w14:paraId="1D1216E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产品名称</w:t>
            </w:r>
          </w:p>
        </w:tc>
        <w:tc>
          <w:tcPr>
            <w:tcW w:w="5654" w:type="dxa"/>
            <w:tcBorders>
              <w:top w:val="single" w:color="000000" w:sz="4" w:space="0"/>
              <w:left w:val="single" w:color="000000" w:sz="4" w:space="0"/>
              <w:bottom w:val="single" w:color="000000" w:sz="4" w:space="0"/>
              <w:right w:val="single" w:color="000000" w:sz="4" w:space="0"/>
            </w:tcBorders>
            <w:noWrap/>
            <w:vAlign w:val="center"/>
          </w:tcPr>
          <w:p w14:paraId="5D87B987">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规格、技术参数</w:t>
            </w:r>
          </w:p>
        </w:tc>
        <w:tc>
          <w:tcPr>
            <w:tcW w:w="750" w:type="dxa"/>
            <w:tcBorders>
              <w:top w:val="single" w:color="000000" w:sz="4" w:space="0"/>
              <w:left w:val="single" w:color="000000" w:sz="4" w:space="0"/>
              <w:bottom w:val="single" w:color="000000" w:sz="4" w:space="0"/>
              <w:right w:val="single" w:color="000000" w:sz="4" w:space="0"/>
            </w:tcBorders>
            <w:noWrap/>
            <w:vAlign w:val="center"/>
          </w:tcPr>
          <w:p w14:paraId="1E6E22B7">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数量</w:t>
            </w:r>
          </w:p>
        </w:tc>
        <w:tc>
          <w:tcPr>
            <w:tcW w:w="699" w:type="dxa"/>
            <w:tcBorders>
              <w:top w:val="single" w:color="000000" w:sz="4" w:space="0"/>
              <w:left w:val="single" w:color="000000" w:sz="4" w:space="0"/>
              <w:bottom w:val="single" w:color="000000" w:sz="4" w:space="0"/>
              <w:right w:val="single" w:color="000000" w:sz="4" w:space="0"/>
            </w:tcBorders>
            <w:noWrap/>
            <w:vAlign w:val="center"/>
          </w:tcPr>
          <w:p w14:paraId="07600ED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单位</w:t>
            </w:r>
          </w:p>
        </w:tc>
      </w:tr>
      <w:tr w14:paraId="3B386C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2" w:hRule="atLeast"/>
        </w:trPr>
        <w:tc>
          <w:tcPr>
            <w:tcW w:w="745" w:type="dxa"/>
            <w:tcBorders>
              <w:top w:val="single" w:color="000000" w:sz="4" w:space="0"/>
              <w:left w:val="single" w:color="000000" w:sz="4" w:space="0"/>
              <w:bottom w:val="single" w:color="000000" w:sz="4" w:space="0"/>
              <w:right w:val="single" w:color="000000" w:sz="4" w:space="0"/>
            </w:tcBorders>
            <w:noWrap/>
            <w:vAlign w:val="center"/>
          </w:tcPr>
          <w:p w14:paraId="53E0D438">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219" w:type="dxa"/>
            <w:tcBorders>
              <w:top w:val="single" w:color="000000" w:sz="4" w:space="0"/>
              <w:left w:val="single" w:color="000000" w:sz="4" w:space="0"/>
              <w:bottom w:val="single" w:color="000000" w:sz="4" w:space="0"/>
              <w:right w:val="single" w:color="000000" w:sz="4" w:space="0"/>
            </w:tcBorders>
            <w:noWrap/>
            <w:vAlign w:val="center"/>
          </w:tcPr>
          <w:p w14:paraId="7DCDBCA7">
            <w:pPr>
              <w:keepNext w:val="0"/>
              <w:keepLines w:val="0"/>
              <w:widowControl/>
              <w:suppressLineNumbers w:val="0"/>
              <w:ind w:left="0" w:leftChars="0" w:firstLine="0" w:firstLineChars="0"/>
              <w:jc w:val="center"/>
              <w:rPr>
                <w:rFonts w:hint="eastAsia" w:ascii="宋体" w:hAnsi="宋体" w:eastAsia="宋体" w:cs="宋体"/>
                <w:i w:val="0"/>
                <w:iCs w:val="0"/>
                <w:color w:val="000000"/>
                <w:sz w:val="24"/>
                <w:szCs w:val="24"/>
                <w:u w:val="none"/>
              </w:rPr>
            </w:pPr>
            <w:r>
              <w:rPr>
                <w:rFonts w:hint="eastAsia" w:ascii="宋体" w:hAnsi="宋体" w:eastAsia="宋体" w:cs="宋体"/>
                <w:color w:val="000000"/>
                <w:kern w:val="0"/>
                <w:sz w:val="24"/>
                <w:szCs w:val="24"/>
                <w:lang w:val="en-US" w:eastAsia="zh-CN" w:bidi="ar"/>
              </w:rPr>
              <w:t>智能门锁安装</w:t>
            </w:r>
          </w:p>
        </w:tc>
        <w:tc>
          <w:tcPr>
            <w:tcW w:w="5654" w:type="dxa"/>
            <w:tcBorders>
              <w:top w:val="single" w:color="000000" w:sz="4" w:space="0"/>
              <w:left w:val="single" w:color="000000" w:sz="4" w:space="0"/>
              <w:bottom w:val="single" w:color="000000" w:sz="4" w:space="0"/>
              <w:right w:val="single" w:color="000000" w:sz="4" w:space="0"/>
            </w:tcBorders>
            <w:noWrap w:val="0"/>
            <w:vAlign w:val="top"/>
          </w:tcPr>
          <w:p w14:paraId="16491A69">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外观尺寸：</w:t>
            </w:r>
            <w:r>
              <w:rPr>
                <w:rFonts w:hint="eastAsia" w:ascii="宋体" w:hAnsi="宋体" w:eastAsia="宋体" w:cs="宋体"/>
                <w:i w:val="0"/>
                <w:iCs w:val="0"/>
                <w:color w:val="000000"/>
                <w:sz w:val="24"/>
                <w:szCs w:val="24"/>
                <w:u w:val="none"/>
              </w:rPr>
              <w:tab/>
            </w:r>
          </w:p>
          <w:p w14:paraId="6FA41877">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长度:≥370-420mm;</w:t>
            </w:r>
          </w:p>
          <w:p w14:paraId="4EBE97C6">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 xml:space="preserve">宽度:≥70-80mm </w:t>
            </w:r>
          </w:p>
          <w:p w14:paraId="38192D22">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厚度:≥22-28mm</w:t>
            </w:r>
          </w:p>
          <w:p w14:paraId="1F236887">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锁壳材质</w:t>
            </w:r>
            <w:r>
              <w:rPr>
                <w:rFonts w:hint="eastAsia" w:ascii="宋体" w:hAnsi="宋体" w:eastAsia="宋体" w:cs="宋体"/>
                <w:i w:val="0"/>
                <w:iCs w:val="0"/>
                <w:color w:val="000000"/>
                <w:sz w:val="24"/>
                <w:szCs w:val="24"/>
                <w:u w:val="none"/>
              </w:rPr>
              <w:tab/>
            </w:r>
            <w:r>
              <w:rPr>
                <w:rFonts w:hint="eastAsia" w:ascii="宋体" w:hAnsi="宋体" w:eastAsia="宋体" w:cs="宋体"/>
                <w:i w:val="0"/>
                <w:iCs w:val="0"/>
                <w:color w:val="000000"/>
                <w:sz w:val="24"/>
                <w:szCs w:val="24"/>
                <w:u w:val="none"/>
              </w:rPr>
              <w:t>：铝合金压铸</w:t>
            </w:r>
          </w:p>
          <w:p w14:paraId="5D992E80">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锁体、锁舌材质：不锈钢铜舌多功能锁体，真天地勾</w:t>
            </w:r>
          </w:p>
          <w:p w14:paraId="34AA8389">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锁芯：国标C级及以上锁芯</w:t>
            </w:r>
          </w:p>
          <w:p w14:paraId="052F024E">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门厚适配：</w:t>
            </w:r>
            <w:r>
              <w:rPr>
                <w:rFonts w:hint="eastAsia" w:ascii="宋体" w:hAnsi="宋体" w:eastAsia="宋体" w:cs="宋体"/>
                <w:i w:val="0"/>
                <w:iCs w:val="0"/>
                <w:color w:val="000000"/>
                <w:sz w:val="24"/>
                <w:szCs w:val="24"/>
                <w:u w:val="none"/>
              </w:rPr>
              <w:tab/>
            </w:r>
            <w:r>
              <w:rPr>
                <w:rFonts w:hint="eastAsia" w:ascii="宋体" w:hAnsi="宋体" w:eastAsia="宋体" w:cs="宋体"/>
                <w:i w:val="0"/>
                <w:iCs w:val="0"/>
                <w:color w:val="000000"/>
                <w:sz w:val="24"/>
                <w:szCs w:val="24"/>
                <w:u w:val="none"/>
              </w:rPr>
              <w:t>同时适配防盗门、铁门、木门</w:t>
            </w:r>
          </w:p>
          <w:p w14:paraId="051E1369">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锁体类型：</w:t>
            </w:r>
            <w:r>
              <w:rPr>
                <w:rFonts w:hint="eastAsia" w:ascii="宋体" w:hAnsi="宋体" w:eastAsia="宋体" w:cs="宋体"/>
                <w:i w:val="0"/>
                <w:iCs w:val="0"/>
                <w:color w:val="000000"/>
                <w:sz w:val="24"/>
                <w:szCs w:val="24"/>
                <w:u w:val="none"/>
              </w:rPr>
              <w:tab/>
            </w:r>
            <w:r>
              <w:rPr>
                <w:rFonts w:hint="eastAsia" w:ascii="宋体" w:hAnsi="宋体" w:eastAsia="宋体" w:cs="宋体"/>
                <w:i w:val="0"/>
                <w:iCs w:val="0"/>
                <w:color w:val="000000"/>
                <w:sz w:val="24"/>
                <w:szCs w:val="24"/>
                <w:u w:val="none"/>
              </w:rPr>
              <w:t>6068 及以上标准通用锁体</w:t>
            </w:r>
          </w:p>
          <w:p w14:paraId="7783C755">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电池仓盖：</w:t>
            </w:r>
            <w:r>
              <w:rPr>
                <w:rFonts w:hint="eastAsia" w:ascii="宋体" w:hAnsi="宋体" w:eastAsia="宋体" w:cs="宋体"/>
                <w:i w:val="0"/>
                <w:iCs w:val="0"/>
                <w:color w:val="000000"/>
                <w:sz w:val="24"/>
                <w:szCs w:val="24"/>
                <w:u w:val="none"/>
              </w:rPr>
              <w:tab/>
            </w:r>
            <w:r>
              <w:rPr>
                <w:rFonts w:hint="eastAsia" w:ascii="宋体" w:hAnsi="宋体" w:eastAsia="宋体" w:cs="宋体"/>
                <w:i w:val="0"/>
                <w:iCs w:val="0"/>
                <w:color w:val="000000"/>
                <w:sz w:val="24"/>
                <w:szCs w:val="24"/>
                <w:u w:val="none"/>
              </w:rPr>
              <w:t>手动打开</w:t>
            </w:r>
          </w:p>
          <w:p w14:paraId="7B6629DB">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指示灯</w:t>
            </w:r>
            <w:r>
              <w:rPr>
                <w:rFonts w:hint="eastAsia" w:ascii="宋体" w:hAnsi="宋体" w:eastAsia="宋体" w:cs="宋体"/>
                <w:i w:val="0"/>
                <w:iCs w:val="0"/>
                <w:color w:val="000000"/>
                <w:sz w:val="24"/>
                <w:szCs w:val="24"/>
                <w:u w:val="none"/>
              </w:rPr>
              <w:tab/>
            </w:r>
            <w:r>
              <w:rPr>
                <w:rFonts w:hint="eastAsia" w:ascii="宋体" w:hAnsi="宋体" w:eastAsia="宋体" w:cs="宋体"/>
                <w:i w:val="0"/>
                <w:iCs w:val="0"/>
                <w:color w:val="000000"/>
                <w:sz w:val="24"/>
                <w:szCs w:val="24"/>
                <w:u w:val="none"/>
              </w:rPr>
              <w:t>：面板按键led背光灯</w:t>
            </w:r>
          </w:p>
          <w:p w14:paraId="2ECD64C5">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通信方式：</w:t>
            </w:r>
            <w:r>
              <w:rPr>
                <w:rFonts w:hint="eastAsia" w:ascii="宋体" w:hAnsi="宋体" w:eastAsia="宋体" w:cs="宋体"/>
                <w:i w:val="0"/>
                <w:iCs w:val="0"/>
                <w:color w:val="000000"/>
                <w:sz w:val="24"/>
                <w:szCs w:val="24"/>
                <w:u w:val="none"/>
              </w:rPr>
              <w:tab/>
            </w:r>
            <w:r>
              <w:rPr>
                <w:rFonts w:hint="eastAsia" w:ascii="宋体" w:hAnsi="宋体" w:eastAsia="宋体" w:cs="宋体"/>
                <w:i w:val="0"/>
                <w:iCs w:val="0"/>
                <w:color w:val="000000"/>
                <w:sz w:val="24"/>
                <w:szCs w:val="24"/>
                <w:u w:val="none"/>
              </w:rPr>
              <w:t>蓝牙、CAT.1(4G)模块，要求支持全网通,内置蓝牙模块</w:t>
            </w:r>
          </w:p>
          <w:p w14:paraId="3FF93759">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环境适应指标：</w:t>
            </w:r>
          </w:p>
          <w:p w14:paraId="10E58EAF">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 xml:space="preserve">工作温度:-20℃～60℃ </w:t>
            </w:r>
          </w:p>
          <w:p w14:paraId="32910B61">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相对湿度:10%～90%</w:t>
            </w:r>
          </w:p>
          <w:p w14:paraId="12D24585">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物联网卡：3年物联网卡通信</w:t>
            </w:r>
          </w:p>
          <w:p w14:paraId="189730DC">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开锁方式：</w:t>
            </w:r>
            <w:r>
              <w:rPr>
                <w:rFonts w:hint="eastAsia" w:ascii="宋体" w:hAnsi="宋体" w:eastAsia="宋体" w:cs="宋体"/>
                <w:i w:val="0"/>
                <w:iCs w:val="0"/>
                <w:color w:val="000000"/>
                <w:sz w:val="24"/>
                <w:szCs w:val="24"/>
                <w:u w:val="none"/>
              </w:rPr>
              <w:tab/>
            </w:r>
            <w:r>
              <w:rPr>
                <w:rFonts w:hint="eastAsia" w:ascii="宋体" w:hAnsi="宋体" w:eastAsia="宋体" w:cs="宋体"/>
                <w:i w:val="0"/>
                <w:iCs w:val="0"/>
                <w:color w:val="000000"/>
                <w:sz w:val="24"/>
                <w:szCs w:val="24"/>
                <w:u w:val="none"/>
              </w:rPr>
              <w:t>3D双目人脸解锁、（支持机械备用钥匙开锁、远程管理员开锁、密码开锁方式）</w:t>
            </w:r>
          </w:p>
          <w:p w14:paraId="04BFEF65">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电量报警:电池电压≦4.8V;(本地语音报警、通知平台)</w:t>
            </w:r>
          </w:p>
          <w:p w14:paraId="5E439661">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试错报警:连续输入 5 次错误:(本地语音报警、通知平台)</w:t>
            </w:r>
          </w:p>
          <w:p w14:paraId="33182C9C">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暴力拆解报警:撬动面板、外力施压、拆解螺丝(本地语音报警、通知平台)</w:t>
            </w:r>
          </w:p>
          <w:p w14:paraId="11FA265A">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应急供电</w:t>
            </w:r>
            <w:r>
              <w:rPr>
                <w:rFonts w:hint="eastAsia" w:ascii="宋体" w:hAnsi="宋体" w:eastAsia="宋体" w:cs="宋体"/>
                <w:i w:val="0"/>
                <w:iCs w:val="0"/>
                <w:color w:val="000000"/>
                <w:sz w:val="24"/>
                <w:szCs w:val="24"/>
                <w:u w:val="none"/>
              </w:rPr>
              <w:tab/>
            </w:r>
            <w:r>
              <w:rPr>
                <w:rFonts w:hint="eastAsia" w:ascii="宋体" w:hAnsi="宋体" w:eastAsia="宋体" w:cs="宋体"/>
                <w:i w:val="0"/>
                <w:iCs w:val="0"/>
                <w:color w:val="000000"/>
                <w:sz w:val="24"/>
                <w:szCs w:val="24"/>
                <w:u w:val="none"/>
              </w:rPr>
              <w:t>：支持 USB 供电口紧急供电，并且通过 USB 供电口可以在不影响设备本地存储信息及信息安全的情况下对门锁设备进行硬件重启，确保断电情况下设备能够正常工作。</w:t>
            </w:r>
          </w:p>
          <w:p w14:paraId="77F76E94">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支持开门记录查询，此处记录承租人开门、记录周期为1年</w:t>
            </w:r>
          </w:p>
          <w:p w14:paraId="1F9ECB1B">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语音提示：开门、报警语音提示、欠费提醒功能</w:t>
            </w:r>
          </w:p>
          <w:p w14:paraId="444AA19C">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自动校时：具备自动校时功能，误差小于等于5秒</w:t>
            </w:r>
          </w:p>
          <w:p w14:paraId="6DF06752">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防电磁干：扰设计</w:t>
            </w:r>
            <w:r>
              <w:rPr>
                <w:rFonts w:hint="eastAsia" w:ascii="宋体" w:hAnsi="宋体" w:eastAsia="宋体" w:cs="宋体"/>
                <w:i w:val="0"/>
                <w:iCs w:val="0"/>
                <w:color w:val="000000"/>
                <w:sz w:val="24"/>
                <w:szCs w:val="24"/>
                <w:u w:val="none"/>
              </w:rPr>
              <w:tab/>
            </w:r>
            <w:r>
              <w:rPr>
                <w:rFonts w:hint="eastAsia" w:ascii="宋体" w:hAnsi="宋体" w:eastAsia="宋体" w:cs="宋体"/>
                <w:i w:val="0"/>
                <w:iCs w:val="0"/>
                <w:color w:val="000000"/>
                <w:sz w:val="24"/>
                <w:szCs w:val="24"/>
                <w:u w:val="none"/>
              </w:rPr>
              <w:t>防小黑盒破解开锁</w:t>
            </w:r>
          </w:p>
          <w:p w14:paraId="5E2BB754">
            <w:pPr>
              <w:keepNext w:val="0"/>
              <w:keepLines w:val="0"/>
              <w:widowControl/>
              <w:numPr>
                <w:ilvl w:val="0"/>
                <w:numId w:val="0"/>
              </w:numPr>
              <w:suppressLineNumbers w:val="0"/>
              <w:ind w:left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安全机制：锁端支持多重安全加密AES-256/RNG/RSA/SHA/HMAC/Flash加密，支持超级SIM卡识别</w:t>
            </w:r>
          </w:p>
        </w:tc>
        <w:tc>
          <w:tcPr>
            <w:tcW w:w="750" w:type="dxa"/>
            <w:tcBorders>
              <w:top w:val="single" w:color="000000" w:sz="4" w:space="0"/>
              <w:left w:val="single" w:color="000000" w:sz="4" w:space="0"/>
              <w:bottom w:val="single" w:color="000000" w:sz="4" w:space="0"/>
              <w:right w:val="single" w:color="000000" w:sz="4" w:space="0"/>
            </w:tcBorders>
            <w:noWrap/>
            <w:vAlign w:val="center"/>
          </w:tcPr>
          <w:p w14:paraId="320A769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color w:val="auto"/>
                <w:sz w:val="24"/>
                <w:szCs w:val="24"/>
                <w:highlight w:val="none"/>
                <w:lang w:val="en-US" w:eastAsia="zh-CN"/>
              </w:rPr>
              <w:t>4326</w:t>
            </w:r>
          </w:p>
        </w:tc>
        <w:tc>
          <w:tcPr>
            <w:tcW w:w="699" w:type="dxa"/>
            <w:tcBorders>
              <w:top w:val="single" w:color="000000" w:sz="4" w:space="0"/>
              <w:left w:val="single" w:color="000000" w:sz="4" w:space="0"/>
              <w:bottom w:val="single" w:color="000000" w:sz="4" w:space="0"/>
              <w:right w:val="single" w:color="000000" w:sz="4" w:space="0"/>
            </w:tcBorders>
            <w:noWrap/>
            <w:vAlign w:val="center"/>
          </w:tcPr>
          <w:p w14:paraId="0D222EC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r>
      <w:tr w14:paraId="7ADB64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4" w:hRule="atLeast"/>
        </w:trPr>
        <w:tc>
          <w:tcPr>
            <w:tcW w:w="745" w:type="dxa"/>
            <w:tcBorders>
              <w:top w:val="single" w:color="000000" w:sz="4" w:space="0"/>
              <w:left w:val="single" w:color="000000" w:sz="4" w:space="0"/>
              <w:bottom w:val="single" w:color="000000" w:sz="4" w:space="0"/>
              <w:right w:val="single" w:color="000000" w:sz="4" w:space="0"/>
            </w:tcBorders>
            <w:noWrap/>
            <w:vAlign w:val="center"/>
          </w:tcPr>
          <w:p w14:paraId="3E225E3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219" w:type="dxa"/>
            <w:tcBorders>
              <w:top w:val="single" w:color="000000" w:sz="4" w:space="0"/>
              <w:left w:val="single" w:color="000000" w:sz="4" w:space="0"/>
              <w:bottom w:val="single" w:color="000000" w:sz="4" w:space="0"/>
              <w:right w:val="single" w:color="000000" w:sz="4" w:space="0"/>
            </w:tcBorders>
            <w:noWrap/>
            <w:vAlign w:val="center"/>
          </w:tcPr>
          <w:p w14:paraId="4C73D167">
            <w:pPr>
              <w:keepNext w:val="0"/>
              <w:keepLines w:val="0"/>
              <w:widowControl/>
              <w:suppressLineNumbers w:val="0"/>
              <w:ind w:left="0" w:leftChars="0" w:firstLine="0" w:firstLineChars="0"/>
              <w:jc w:val="center"/>
              <w:rPr>
                <w:rFonts w:hint="eastAsia" w:ascii="宋体" w:hAnsi="宋体" w:eastAsia="宋体" w:cs="宋体"/>
                <w:i w:val="0"/>
                <w:iCs w:val="0"/>
                <w:color w:val="000000"/>
                <w:sz w:val="24"/>
                <w:szCs w:val="24"/>
                <w:u w:val="none"/>
              </w:rPr>
            </w:pPr>
            <w:r>
              <w:rPr>
                <w:rFonts w:hint="eastAsia" w:ascii="宋体" w:hAnsi="宋体" w:eastAsia="宋体" w:cs="宋体"/>
                <w:color w:val="000000"/>
                <w:kern w:val="0"/>
                <w:sz w:val="24"/>
                <w:szCs w:val="24"/>
                <w:lang w:val="en-US" w:eastAsia="zh-CN" w:bidi="ar"/>
              </w:rPr>
              <w:t>管理平台</w:t>
            </w:r>
          </w:p>
        </w:tc>
        <w:tc>
          <w:tcPr>
            <w:tcW w:w="5654" w:type="dxa"/>
            <w:tcBorders>
              <w:top w:val="single" w:color="000000" w:sz="4" w:space="0"/>
              <w:left w:val="single" w:color="000000" w:sz="4" w:space="0"/>
              <w:bottom w:val="single" w:color="000000" w:sz="4" w:space="0"/>
              <w:right w:val="single" w:color="000000" w:sz="4" w:space="0"/>
            </w:tcBorders>
            <w:noWrap w:val="0"/>
            <w:vAlign w:val="top"/>
          </w:tcPr>
          <w:p w14:paraId="57ABCBF3">
            <w:pPr>
              <w:keepNext w:val="0"/>
              <w:keepLines w:val="0"/>
              <w:widowControl/>
              <w:suppressLineNumbers w:val="0"/>
              <w:ind w:left="0" w:leftChars="0" w:firstLine="0" w:firstLineChars="0"/>
              <w:jc w:val="both"/>
              <w:rPr>
                <w:rFonts w:hint="eastAsia" w:ascii="宋体" w:hAnsi="宋体" w:cs="宋体"/>
                <w:i w:val="0"/>
                <w:iCs w:val="0"/>
                <w:color w:val="000000"/>
                <w:sz w:val="24"/>
                <w:szCs w:val="24"/>
                <w:u w:val="none"/>
                <w:lang w:eastAsia="zh-CN"/>
              </w:rPr>
            </w:pPr>
            <w:r>
              <w:rPr>
                <w:rFonts w:hint="eastAsia" w:ascii="宋体" w:hAnsi="宋体" w:eastAsia="宋体" w:cs="宋体"/>
                <w:i w:val="0"/>
                <w:iCs w:val="0"/>
                <w:color w:val="000000"/>
                <w:sz w:val="24"/>
                <w:szCs w:val="24"/>
                <w:u w:val="none"/>
              </w:rPr>
              <w:t>管理平台：</w:t>
            </w:r>
            <w:r>
              <w:rPr>
                <w:rFonts w:hint="eastAsia" w:ascii="宋体" w:hAnsi="宋体" w:eastAsia="宋体" w:cs="宋体"/>
                <w:i w:val="0"/>
                <w:iCs w:val="0"/>
                <w:color w:val="000000"/>
                <w:sz w:val="24"/>
                <w:szCs w:val="24"/>
                <w:u w:val="none"/>
              </w:rPr>
              <w:tab/>
            </w:r>
            <w:r>
              <w:rPr>
                <w:rFonts w:hint="eastAsia" w:ascii="宋体" w:hAnsi="宋体" w:eastAsia="宋体" w:cs="宋体"/>
                <w:i w:val="0"/>
                <w:iCs w:val="0"/>
                <w:color w:val="000000"/>
                <w:sz w:val="24"/>
                <w:szCs w:val="24"/>
                <w:u w:val="none"/>
              </w:rPr>
              <w:t>管理平台必须和硬件提供商为同一公司，方便后续功能的扩展开发。不接受硬件和平台为不同公司的投标</w:t>
            </w:r>
            <w:bookmarkStart w:id="0" w:name="_GoBack"/>
            <w:bookmarkEnd w:id="0"/>
            <w:r>
              <w:rPr>
                <w:rFonts w:hint="eastAsia" w:ascii="宋体" w:hAnsi="宋体" w:cs="宋体"/>
                <w:i w:val="0"/>
                <w:iCs w:val="0"/>
                <w:color w:val="000000"/>
                <w:sz w:val="24"/>
                <w:szCs w:val="24"/>
                <w:u w:val="none"/>
                <w:lang w:eastAsia="zh-CN"/>
              </w:rPr>
              <w:t>。</w:t>
            </w:r>
          </w:p>
          <w:p w14:paraId="50D1A0A4">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平台功能需满足以下条件:</w:t>
            </w:r>
          </w:p>
          <w:p w14:paraId="239C472D">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分级管理：区域管理、楼宇管理、系统配置；</w:t>
            </w:r>
          </w:p>
          <w:p w14:paraId="1C05F6C8">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房间管理：可设置批量分类、批量更改，降低工作量，操作便捷；</w:t>
            </w:r>
          </w:p>
          <w:p w14:paraId="53FB2AC8">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角色设置：负责人、管理员、保安等；</w:t>
            </w:r>
          </w:p>
          <w:p w14:paraId="6C0C6EB4">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人员信息支持批量导入，批量授权；</w:t>
            </w:r>
          </w:p>
          <w:p w14:paraId="4AA65936">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设备批量绑定；</w:t>
            </w:r>
          </w:p>
          <w:p w14:paraId="153E4EAA">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支持账号同时登录，可创建多个管理子账号根据需要分配不同权限；</w:t>
            </w:r>
          </w:p>
          <w:p w14:paraId="55B75050">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支持功能模块自定义设置；</w:t>
            </w:r>
          </w:p>
          <w:p w14:paraId="0DB8C178">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支持云云对接，具有标准的API接口协议；</w:t>
            </w:r>
          </w:p>
          <w:p w14:paraId="150040DF">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控制密码开门是否停用(通过接入的系统控制)</w:t>
            </w:r>
          </w:p>
          <w:p w14:paraId="07F27638">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其他要求</w:t>
            </w:r>
            <w:r>
              <w:rPr>
                <w:rFonts w:hint="eastAsia" w:ascii="宋体" w:hAnsi="宋体" w:eastAsia="宋体" w:cs="宋体"/>
                <w:i w:val="0"/>
                <w:iCs w:val="0"/>
                <w:color w:val="000000"/>
                <w:sz w:val="24"/>
                <w:szCs w:val="24"/>
                <w:u w:val="none"/>
              </w:rPr>
              <w:tab/>
            </w:r>
            <w:r>
              <w:rPr>
                <w:rFonts w:hint="eastAsia" w:ascii="宋体" w:hAnsi="宋体" w:eastAsia="宋体" w:cs="宋体"/>
                <w:i w:val="0"/>
                <w:iCs w:val="0"/>
                <w:color w:val="000000"/>
                <w:sz w:val="24"/>
                <w:szCs w:val="24"/>
                <w:u w:val="none"/>
              </w:rPr>
              <w:t>：</w:t>
            </w:r>
          </w:p>
          <w:p w14:paraId="76F91041">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ab/>
            </w:r>
            <w:r>
              <w:rPr>
                <w:rFonts w:hint="eastAsia" w:ascii="宋体" w:hAnsi="宋体" w:eastAsia="宋体" w:cs="宋体"/>
                <w:i w:val="0"/>
                <w:iCs w:val="0"/>
                <w:color w:val="000000"/>
                <w:sz w:val="24"/>
                <w:szCs w:val="24"/>
                <w:u w:val="none"/>
              </w:rPr>
              <w:t xml:space="preserve">缴费提醒功能  </w:t>
            </w:r>
          </w:p>
          <w:p w14:paraId="0992C345">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ab/>
            </w:r>
            <w:r>
              <w:rPr>
                <w:rFonts w:hint="eastAsia" w:ascii="宋体" w:hAnsi="宋体" w:eastAsia="宋体" w:cs="宋体"/>
                <w:i w:val="0"/>
                <w:iCs w:val="0"/>
                <w:color w:val="000000"/>
                <w:sz w:val="24"/>
                <w:szCs w:val="24"/>
                <w:u w:val="none"/>
              </w:rPr>
              <w:t xml:space="preserve">防转租功能  </w:t>
            </w:r>
          </w:p>
          <w:p w14:paraId="46AC665F">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近场身份确认技术</w:t>
            </w:r>
          </w:p>
          <w:p w14:paraId="09E90F39">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疑似转租转借房源分析</w:t>
            </w:r>
          </w:p>
          <w:p w14:paraId="143332ED">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疑似转租对象关联分析</w:t>
            </w:r>
          </w:p>
          <w:p w14:paraId="09BF8DBE">
            <w:pPr>
              <w:keepNext w:val="0"/>
              <w:keepLines w:val="0"/>
              <w:widowControl/>
              <w:suppressLineNumbers w:val="0"/>
              <w:ind w:left="0" w:leftChars="0" w:firstLine="0" w:firstLineChars="0"/>
              <w:jc w:val="left"/>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端支持多重安全加密AES-256/RNG/RSA/SHA/HMAC/Flash加密</w:t>
            </w:r>
          </w:p>
          <w:p w14:paraId="37F48FD5">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通讯方式：BLE+4G cat1及以上通讯</w:t>
            </w:r>
          </w:p>
          <w:p w14:paraId="04179FA3">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超级SIM卡：支持运营商超级SIM卡开门；</w:t>
            </w:r>
          </w:p>
          <w:p w14:paraId="14F146C9">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超级加密卡：支持运营商防复制加密卡开门；</w:t>
            </w:r>
          </w:p>
          <w:p w14:paraId="35485D1D">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开门方式：超级SIM卡开锁、人脸开锁、密码/临时密码开锁、虚位密码、卡片/加密卡片开锁、身份证开锁、APP远程开锁、蓝牙开锁、机械钥匙开锁；</w:t>
            </w:r>
          </w:p>
          <w:p w14:paraId="74F20BED">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人脸握开：把手人脸一握开，半导体人脸传感技术；</w:t>
            </w:r>
          </w:p>
          <w:p w14:paraId="34AA6F13">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 xml:space="preserve">防撬报警：产品具有防撬报警功能，报警信息可实时上传到手机应用端； </w:t>
            </w:r>
          </w:p>
          <w:p w14:paraId="16DF33A4">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胁迫报警：家庭成员遭遇胁迫后，通过胁迫权限开门，家庭成员可及时收到胁迫报警；</w:t>
            </w:r>
          </w:p>
          <w:p w14:paraId="399204D9">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密码/人脸防错报警：密码/人脸禁试锁定，同类操作连续输错5次，锁定180秒。</w:t>
            </w:r>
          </w:p>
          <w:p w14:paraId="72335955">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信息推送：通过手机端应用软件实现开门信息及报警信息推送；</w:t>
            </w:r>
          </w:p>
          <w:p w14:paraId="47B32835">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权限管理：支持手机应用软件实现用户信息编辑以及卡、密码、人脸管理</w:t>
            </w:r>
          </w:p>
          <w:p w14:paraId="679096E4">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存储容量：≥100枚人脸、≥100组密码、≥100张卡片；</w:t>
            </w:r>
          </w:p>
          <w:p w14:paraId="5264999A">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旋转换向：无拆卸换向；</w:t>
            </w:r>
          </w:p>
          <w:p w14:paraId="01A4FA53">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锁体寿命：≥10万次；</w:t>
            </w:r>
          </w:p>
          <w:p w14:paraId="753EA65D">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 xml:space="preserve">电池寿命：开锁≥12个月,每天≥10次开锁； </w:t>
            </w:r>
          </w:p>
          <w:p w14:paraId="416FDCBA">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锁芯等级：C级防盗锁芯，真插芯；</w:t>
            </w:r>
            <w:r>
              <w:rPr>
                <w:rFonts w:hint="eastAsia" w:ascii="宋体" w:hAnsi="宋体" w:eastAsia="宋体" w:cs="宋体"/>
                <w:i w:val="0"/>
                <w:iCs w:val="0"/>
                <w:color w:val="000000"/>
                <w:sz w:val="24"/>
                <w:szCs w:val="24"/>
                <w:u w:val="none"/>
              </w:rPr>
              <w:tab/>
            </w:r>
          </w:p>
          <w:p w14:paraId="671FA9F1">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应急电源：支持外接充电宝，MircoUSB5V门外直供；</w:t>
            </w:r>
          </w:p>
          <w:p w14:paraId="1CA4DDE0">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OTA升级：在线OTA远程升级；</w:t>
            </w:r>
          </w:p>
          <w:p w14:paraId="2352EB7C">
            <w:pPr>
              <w:keepNext w:val="0"/>
              <w:keepLines w:val="0"/>
              <w:widowControl/>
              <w:suppressLineNumbers w:val="0"/>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室外重启：人在室外通过外接电源方式可对门锁进行物理重启，确保门锁在任何异常情况下快速恢复正常使用</w:t>
            </w:r>
          </w:p>
        </w:tc>
        <w:tc>
          <w:tcPr>
            <w:tcW w:w="750" w:type="dxa"/>
            <w:tcBorders>
              <w:top w:val="single" w:color="000000" w:sz="4" w:space="0"/>
              <w:left w:val="single" w:color="000000" w:sz="4" w:space="0"/>
              <w:bottom w:val="single" w:color="000000" w:sz="4" w:space="0"/>
              <w:right w:val="single" w:color="000000" w:sz="4" w:space="0"/>
            </w:tcBorders>
            <w:noWrap/>
            <w:vAlign w:val="center"/>
          </w:tcPr>
          <w:p w14:paraId="101A2EBB">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699" w:type="dxa"/>
            <w:tcBorders>
              <w:top w:val="single" w:color="000000" w:sz="4" w:space="0"/>
              <w:left w:val="single" w:color="000000" w:sz="4" w:space="0"/>
              <w:bottom w:val="single" w:color="000000" w:sz="4" w:space="0"/>
              <w:right w:val="single" w:color="000000" w:sz="4" w:space="0"/>
            </w:tcBorders>
            <w:noWrap/>
            <w:vAlign w:val="center"/>
          </w:tcPr>
          <w:p w14:paraId="168ABFE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r>
    </w:tbl>
    <w:p w14:paraId="031496E8"/>
    <w:p w14:paraId="2A4491CD">
      <w:pPr>
        <w:rPr>
          <w:rFonts w:hint="default"/>
          <w:lang w:val="en-US" w:eastAsia="zh-CN"/>
        </w:rPr>
      </w:pPr>
    </w:p>
    <w:sectPr>
      <w:pgSz w:w="11906" w:h="16838"/>
      <w:pgMar w:top="1440" w:right="1800" w:bottom="1440"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swiss"/>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3B0123F"/>
    <w:multiLevelType w:val="singleLevel"/>
    <w:tmpl w:val="13B0123F"/>
    <w:lvl w:ilvl="0" w:tentative="0">
      <w:start w:val="3"/>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1"/>
  <w:displayVerticalDrawingGridEvery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81F1773"/>
    <w:rsid w:val="2BC654CF"/>
    <w:rsid w:val="481F1773"/>
    <w:rsid w:val="48DD19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Body Text"/>
    <w:basedOn w:val="1"/>
    <w:next w:val="4"/>
    <w:uiPriority w:val="0"/>
    <w:pPr>
      <w:spacing w:after="120" w:line="240" w:lineRule="auto"/>
      <w:ind w:firstLine="0" w:firstLineChars="0"/>
    </w:pPr>
    <w:rPr>
      <w:rFonts w:ascii="Times New Roman" w:hAnsi="Times New Roman"/>
      <w:kern w:val="2"/>
      <w:szCs w:val="24"/>
    </w:rPr>
  </w:style>
  <w:style w:type="paragraph" w:styleId="4">
    <w:name w:val="Plain Text"/>
    <w:basedOn w:val="1"/>
    <w:qFormat/>
    <w:uiPriority w:val="0"/>
    <w:rPr>
      <w:rFonts w:ascii="宋体" w:hAnsi="Courier New"/>
      <w:szCs w:val="20"/>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1668</Words>
  <Characters>1883</Characters>
  <Lines>0</Lines>
  <Paragraphs>0</Paragraphs>
  <TotalTime>0</TotalTime>
  <ScaleCrop>false</ScaleCrop>
  <LinksUpToDate>false</LinksUpToDate>
  <CharactersWithSpaces>2169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2025-03-26T06:29:00Z</dcterms:created>
  <dc:creator>admin</dc:creator>
  <cp:lastModifiedBy>admin</cp:lastModifiedBy>
  <dcterms:modified xsi:type="dcterms:W3CDTF">2025-03-26T06:36:45Z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9B0481E3684F40069DBABDE612D76896_11</vt:lpwstr>
  </property>
  <property fmtid="{D5CDD505-2E9C-101B-9397-08002B2CF9AE}" pid="4" name="KSOTemplateDocerSaveRecord">
    <vt:lpwstr>eyJoZGlkIjoiNjY4NWZhZTYwNjI1ZjE4NjFmOGU5NTQ1YzQxZTA2NDEiLCJ1c2VySWQiOiIyMzc3NDg0OTMifQ==</vt:lpwstr>
  </property>
</Properties>
</file>