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0D0C6C0">
      <w:pPr>
        <w:pStyle w:val="13"/>
      </w:pPr>
    </w:p>
    <w:p w14:paraId="4465A56B">
      <w:pPr>
        <w:pStyle w:val="13"/>
      </w:pPr>
    </w:p>
    <w:p w14:paraId="0A87C268">
      <w:pPr>
        <w:pStyle w:val="13"/>
      </w:pPr>
    </w:p>
    <w:p w14:paraId="1539BCAB">
      <w:pPr>
        <w:widowControl/>
        <w:spacing w:before="120" w:after="120"/>
        <w:ind w:firstLine="0" w:firstLineChars="0"/>
        <w:jc w:val="center"/>
        <w:rPr>
          <w:rFonts w:hint="eastAsia" w:ascii="仿宋_GB2312" w:hAnsi="仿宋_GB2312" w:eastAsia="仿宋_GB2312" w:cs="仿宋_GB2312"/>
          <w:b/>
          <w:bCs/>
          <w:sz w:val="56"/>
          <w:szCs w:val="56"/>
        </w:rPr>
      </w:pPr>
      <w:r>
        <w:rPr>
          <w:rFonts w:hint="eastAsia" w:ascii="仿宋_GB2312" w:hAnsi="仿宋_GB2312" w:eastAsia="仿宋_GB2312" w:cs="仿宋_GB2312"/>
          <w:b/>
          <w:bCs/>
          <w:sz w:val="56"/>
          <w:szCs w:val="56"/>
        </w:rPr>
        <w:t>青海省传染病监测预警与应急指挥能力提升（基础支撑系统）项目</w:t>
      </w:r>
    </w:p>
    <w:p w14:paraId="4FDC98A4">
      <w:pPr>
        <w:widowControl/>
        <w:spacing w:before="120" w:after="120"/>
        <w:ind w:firstLine="0" w:firstLineChars="0"/>
        <w:jc w:val="center"/>
        <w:rPr>
          <w:rFonts w:hint="eastAsia" w:ascii="仿宋_GB2312" w:hAnsi="仿宋_GB2312" w:eastAsia="仿宋_GB2312" w:cs="仿宋_GB2312"/>
          <w:b/>
          <w:bCs/>
          <w:sz w:val="56"/>
          <w:szCs w:val="56"/>
        </w:rPr>
      </w:pPr>
      <w:r>
        <w:rPr>
          <w:rFonts w:hint="eastAsia" w:ascii="仿宋_GB2312" w:hAnsi="仿宋_GB2312" w:eastAsia="仿宋_GB2312" w:cs="仿宋_GB2312"/>
          <w:b/>
          <w:bCs/>
          <w:sz w:val="56"/>
          <w:szCs w:val="56"/>
        </w:rPr>
        <w:t>（</w:t>
      </w:r>
      <w:r>
        <w:rPr>
          <w:rFonts w:hint="eastAsia" w:ascii="仿宋_GB2312" w:hAnsi="仿宋_GB2312" w:eastAsia="仿宋_GB2312" w:cs="仿宋_GB2312"/>
          <w:b/>
          <w:bCs/>
          <w:sz w:val="56"/>
          <w:szCs w:val="56"/>
          <w:lang w:val="en-US" w:eastAsia="zh-CN"/>
        </w:rPr>
        <w:t>协同办公、综合运维管理系统</w:t>
      </w:r>
      <w:r>
        <w:rPr>
          <w:rFonts w:hint="eastAsia" w:ascii="仿宋_GB2312" w:hAnsi="仿宋_GB2312" w:eastAsia="仿宋_GB2312" w:cs="仿宋_GB2312"/>
          <w:b/>
          <w:bCs/>
          <w:sz w:val="56"/>
          <w:szCs w:val="56"/>
        </w:rPr>
        <w:t>）</w:t>
      </w:r>
    </w:p>
    <w:p w14:paraId="63079807">
      <w:pPr>
        <w:widowControl/>
        <w:spacing w:before="120" w:after="120"/>
        <w:ind w:firstLine="0" w:firstLineChars="0"/>
        <w:jc w:val="center"/>
        <w:rPr>
          <w:rFonts w:hint="eastAsia" w:ascii="仿宋_GB2312" w:hAnsi="仿宋_GB2312" w:eastAsia="仿宋_GB2312" w:cs="仿宋_GB2312"/>
          <w:b/>
          <w:bCs/>
          <w:sz w:val="56"/>
          <w:szCs w:val="56"/>
        </w:rPr>
      </w:pPr>
      <w:r>
        <w:rPr>
          <w:rFonts w:hint="eastAsia" w:ascii="仿宋_GB2312" w:hAnsi="仿宋_GB2312" w:eastAsia="仿宋_GB2312" w:cs="仿宋_GB2312"/>
          <w:b/>
          <w:bCs/>
          <w:sz w:val="56"/>
          <w:szCs w:val="56"/>
        </w:rPr>
        <w:t>需求参数</w:t>
      </w:r>
    </w:p>
    <w:p w14:paraId="35602F51">
      <w:pPr>
        <w:pStyle w:val="13"/>
      </w:pPr>
    </w:p>
    <w:p w14:paraId="0C858D07">
      <w:pPr>
        <w:widowControl/>
        <w:spacing w:before="120" w:after="120"/>
        <w:ind w:firstLine="0" w:firstLineChars="0"/>
        <w:jc w:val="center"/>
        <w:rPr>
          <w:rFonts w:hint="eastAsia" w:ascii="仿宋_GB2312" w:hAnsi="仿宋_GB2312" w:eastAsia="仿宋_GB2312" w:cs="仿宋_GB2312"/>
          <w:b/>
          <w:bCs/>
          <w:sz w:val="32"/>
          <w:szCs w:val="32"/>
        </w:rPr>
      </w:pPr>
    </w:p>
    <w:p w14:paraId="6ED99BC1">
      <w:pPr>
        <w:widowControl/>
        <w:spacing w:before="120" w:after="120"/>
        <w:ind w:firstLine="0" w:firstLineChars="0"/>
        <w:jc w:val="center"/>
        <w:rPr>
          <w:rFonts w:hint="eastAsia" w:ascii="仿宋_GB2312" w:hAnsi="仿宋_GB2312" w:eastAsia="仿宋_GB2312" w:cs="仿宋_GB2312"/>
          <w:b/>
          <w:bCs/>
          <w:sz w:val="32"/>
          <w:szCs w:val="32"/>
        </w:rPr>
      </w:pPr>
    </w:p>
    <w:p w14:paraId="077D25FD">
      <w:pPr>
        <w:widowControl/>
        <w:spacing w:before="120" w:after="120"/>
        <w:ind w:firstLine="0" w:firstLineChars="0"/>
        <w:jc w:val="center"/>
        <w:rPr>
          <w:rFonts w:hint="eastAsia" w:ascii="仿宋_GB2312" w:hAnsi="仿宋_GB2312" w:eastAsia="仿宋_GB2312" w:cs="仿宋_GB2312"/>
          <w:b/>
          <w:bCs/>
          <w:sz w:val="32"/>
          <w:szCs w:val="32"/>
        </w:rPr>
      </w:pPr>
    </w:p>
    <w:p w14:paraId="5E7FB33C">
      <w:pPr>
        <w:widowControl/>
        <w:spacing w:before="120" w:after="120"/>
        <w:ind w:firstLine="0" w:firstLineChars="0"/>
        <w:jc w:val="center"/>
        <w:rPr>
          <w:rFonts w:hint="eastAsia" w:ascii="仿宋_GB2312" w:hAnsi="仿宋_GB2312" w:eastAsia="仿宋_GB2312" w:cs="仿宋_GB2312"/>
          <w:b/>
          <w:bCs/>
          <w:sz w:val="32"/>
          <w:szCs w:val="32"/>
        </w:rPr>
      </w:pPr>
    </w:p>
    <w:p w14:paraId="35FE89AC">
      <w:pPr>
        <w:widowControl/>
        <w:spacing w:before="120" w:after="120"/>
        <w:ind w:firstLine="0" w:firstLineChars="0"/>
        <w:jc w:val="center"/>
        <w:rPr>
          <w:rFonts w:hint="eastAsia" w:ascii="仿宋_GB2312" w:hAnsi="仿宋_GB2312" w:eastAsia="仿宋_GB2312" w:cs="仿宋_GB2312"/>
          <w:b/>
          <w:bCs/>
          <w:sz w:val="32"/>
          <w:szCs w:val="32"/>
        </w:rPr>
      </w:pPr>
    </w:p>
    <w:p w14:paraId="3AA95548">
      <w:pPr>
        <w:widowControl/>
        <w:spacing w:before="120" w:after="120"/>
        <w:ind w:firstLine="0" w:firstLineChars="0"/>
        <w:jc w:val="center"/>
        <w:rPr>
          <w:rFonts w:hint="eastAsia" w:ascii="仿宋_GB2312" w:hAnsi="仿宋_GB2312" w:eastAsia="仿宋_GB2312" w:cs="仿宋_GB2312"/>
          <w:b/>
          <w:bCs/>
          <w:sz w:val="32"/>
          <w:szCs w:val="32"/>
        </w:rPr>
      </w:pPr>
    </w:p>
    <w:p w14:paraId="33EF08F8">
      <w:pPr>
        <w:widowControl/>
        <w:spacing w:before="120" w:after="120"/>
        <w:ind w:firstLine="0" w:firstLineChars="0"/>
        <w:jc w:val="center"/>
        <w:rPr>
          <w:rFonts w:hint="eastAsia" w:ascii="仿宋_GB2312" w:hAnsi="仿宋_GB2312" w:eastAsia="仿宋_GB2312" w:cs="仿宋_GB2312"/>
          <w:b/>
          <w:bCs/>
          <w:sz w:val="32"/>
          <w:szCs w:val="32"/>
        </w:rPr>
      </w:pPr>
    </w:p>
    <w:p w14:paraId="1CE54AF2">
      <w:pPr>
        <w:widowControl/>
        <w:spacing w:before="120" w:after="120"/>
        <w:ind w:firstLine="0" w:firstLineChars="0"/>
        <w:jc w:val="center"/>
        <w:rPr>
          <w:rFonts w:hint="eastAsia" w:ascii="仿宋_GB2312" w:hAnsi="仿宋_GB2312" w:eastAsia="仿宋_GB2312" w:cs="仿宋_GB2312"/>
          <w:b/>
          <w:bCs/>
          <w:sz w:val="32"/>
          <w:szCs w:val="32"/>
        </w:rPr>
      </w:pPr>
    </w:p>
    <w:p w14:paraId="239E39D0">
      <w:pPr>
        <w:widowControl/>
        <w:spacing w:before="120" w:after="120"/>
        <w:ind w:firstLine="0" w:firstLineChars="0"/>
        <w:jc w:val="center"/>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编制日期：2024年</w:t>
      </w:r>
      <w:r>
        <w:rPr>
          <w:rFonts w:hint="eastAsia" w:ascii="仿宋_GB2312" w:hAnsi="仿宋_GB2312" w:eastAsia="仿宋_GB2312" w:cs="仿宋_GB2312"/>
          <w:b/>
          <w:bCs/>
          <w:sz w:val="32"/>
          <w:szCs w:val="32"/>
          <w:lang w:val="en-US" w:eastAsia="zh-CN"/>
        </w:rPr>
        <w:t>10</w:t>
      </w:r>
      <w:r>
        <w:rPr>
          <w:rFonts w:hint="eastAsia" w:ascii="仿宋_GB2312" w:hAnsi="仿宋_GB2312" w:eastAsia="仿宋_GB2312" w:cs="仿宋_GB2312"/>
          <w:b/>
          <w:bCs/>
          <w:sz w:val="32"/>
          <w:szCs w:val="32"/>
        </w:rPr>
        <w:t>月</w:t>
      </w:r>
    </w:p>
    <w:p w14:paraId="0B099212">
      <w:pPr>
        <w:widowControl/>
        <w:spacing w:line="240" w:lineRule="auto"/>
        <w:ind w:firstLine="0" w:firstLineChars="0"/>
        <w:jc w:val="left"/>
        <w:rPr>
          <w:rFonts w:hint="eastAsia" w:ascii="仿宋_GB2312" w:hAnsi="仿宋_GB2312" w:eastAsia="仿宋_GB2312" w:cs="仿宋_GB2312"/>
          <w:sz w:val="21"/>
        </w:rPr>
      </w:pPr>
      <w:r>
        <w:rPr>
          <w:rFonts w:hint="eastAsia" w:ascii="仿宋_GB2312" w:hAnsi="仿宋_GB2312" w:eastAsia="仿宋_GB2312" w:cs="仿宋_GB2312"/>
        </w:rPr>
        <w:br w:type="page"/>
      </w:r>
    </w:p>
    <w:sdt>
      <w:sdtPr>
        <w:rPr>
          <w:rFonts w:hint="eastAsia" w:ascii="仿宋_GB2312" w:hAnsi="仿宋_GB2312" w:eastAsia="仿宋_GB2312" w:cs="仿宋_GB2312"/>
          <w:sz w:val="36"/>
          <w:szCs w:val="36"/>
        </w:rPr>
        <w:id w:val="147458555"/>
        <w15:color w:val="DBDBDB"/>
        <w:docPartObj>
          <w:docPartGallery w:val="Table of Contents"/>
          <w:docPartUnique/>
        </w:docPartObj>
      </w:sdtPr>
      <w:sdtEndPr>
        <w:rPr>
          <w:rFonts w:hint="eastAsia" w:ascii="仿宋_GB2312" w:hAnsi="仿宋_GB2312" w:eastAsia="仿宋_GB2312" w:cs="仿宋_GB2312"/>
          <w:sz w:val="28"/>
          <w:szCs w:val="22"/>
        </w:rPr>
      </w:sdtEndPr>
      <w:sdtContent>
        <w:p w14:paraId="353AF732">
          <w:pPr>
            <w:spacing w:line="240" w:lineRule="auto"/>
            <w:ind w:firstLine="0" w:firstLineChars="0"/>
            <w:jc w:val="center"/>
            <w:rPr>
              <w:rFonts w:hint="eastAsia" w:ascii="仿宋_GB2312" w:hAnsi="仿宋_GB2312" w:eastAsia="仿宋_GB2312" w:cs="仿宋_GB2312"/>
              <w:b/>
              <w:bCs/>
              <w:sz w:val="36"/>
              <w:szCs w:val="36"/>
            </w:rPr>
          </w:pPr>
          <w:r>
            <w:rPr>
              <w:rFonts w:hint="eastAsia" w:ascii="仿宋_GB2312" w:hAnsi="仿宋_GB2312" w:eastAsia="仿宋_GB2312" w:cs="仿宋_GB2312"/>
              <w:b/>
              <w:bCs/>
              <w:sz w:val="36"/>
              <w:szCs w:val="36"/>
            </w:rPr>
            <w:t>目录</w:t>
          </w:r>
        </w:p>
        <w:p w14:paraId="4D830C6C">
          <w:pPr>
            <w:pStyle w:val="23"/>
            <w:tabs>
              <w:tab w:val="right" w:leader="dot" w:pos="9332"/>
            </w:tabs>
          </w:pPr>
          <w:r>
            <w:rPr>
              <w:rFonts w:cs="仿宋"/>
              <w:b w:val="0"/>
              <w:bCs w:val="0"/>
              <w:caps w:val="0"/>
              <w:kern w:val="0"/>
            </w:rPr>
            <w:fldChar w:fldCharType="begin"/>
          </w:r>
          <w:r>
            <w:rPr>
              <w:rFonts w:cs="仿宋"/>
              <w:b w:val="0"/>
              <w:bCs w:val="0"/>
              <w:caps w:val="0"/>
              <w:kern w:val="0"/>
            </w:rPr>
            <w:instrText xml:space="preserve"> </w:instrText>
          </w:r>
          <w:r>
            <w:rPr>
              <w:rFonts w:hint="eastAsia" w:cs="仿宋"/>
              <w:b w:val="0"/>
              <w:bCs w:val="0"/>
              <w:caps w:val="0"/>
              <w:kern w:val="0"/>
            </w:rPr>
            <w:instrText xml:space="preserve">TOC \o "1-3" \h \z \u</w:instrText>
          </w:r>
          <w:r>
            <w:rPr>
              <w:rFonts w:cs="仿宋"/>
              <w:b w:val="0"/>
              <w:bCs w:val="0"/>
              <w:caps w:val="0"/>
              <w:kern w:val="0"/>
            </w:rPr>
            <w:instrText xml:space="preserve"> </w:instrText>
          </w:r>
          <w:r>
            <w:rPr>
              <w:rFonts w:cs="仿宋"/>
              <w:b w:val="0"/>
              <w:bCs w:val="0"/>
              <w:caps w:val="0"/>
              <w:kern w:val="0"/>
            </w:rPr>
            <w:fldChar w:fldCharType="separate"/>
          </w:r>
          <w:r>
            <w:rPr>
              <w:rFonts w:cs="仿宋"/>
              <w:bCs w:val="0"/>
              <w:caps w:val="0"/>
              <w:kern w:val="0"/>
            </w:rPr>
            <w:fldChar w:fldCharType="begin"/>
          </w:r>
          <w:r>
            <w:rPr>
              <w:rFonts w:cs="仿宋"/>
              <w:bCs w:val="0"/>
              <w:caps w:val="0"/>
              <w:kern w:val="0"/>
            </w:rPr>
            <w:instrText xml:space="preserve"> HYPERLINK \l _Toc28568 </w:instrText>
          </w:r>
          <w:r>
            <w:rPr>
              <w:rFonts w:cs="仿宋"/>
              <w:bCs w:val="0"/>
              <w:caps w:val="0"/>
              <w:kern w:val="0"/>
            </w:rPr>
            <w:fldChar w:fldCharType="separate"/>
          </w:r>
          <w:r>
            <w:rPr>
              <w:rFonts w:hint="eastAsia"/>
            </w:rPr>
            <w:t>第一章 项目概述</w:t>
          </w:r>
          <w:r>
            <w:tab/>
          </w:r>
          <w:r>
            <w:fldChar w:fldCharType="begin"/>
          </w:r>
          <w:r>
            <w:instrText xml:space="preserve"> PAGEREF _Toc28568 \h </w:instrText>
          </w:r>
          <w:r>
            <w:fldChar w:fldCharType="separate"/>
          </w:r>
          <w:r>
            <w:t>1</w:t>
          </w:r>
          <w:r>
            <w:fldChar w:fldCharType="end"/>
          </w:r>
          <w:r>
            <w:rPr>
              <w:rFonts w:cs="仿宋"/>
              <w:bCs w:val="0"/>
              <w:caps w:val="0"/>
              <w:kern w:val="0"/>
            </w:rPr>
            <w:fldChar w:fldCharType="end"/>
          </w:r>
        </w:p>
        <w:p w14:paraId="3E318D66">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_Toc13121 </w:instrText>
          </w:r>
          <w:r>
            <w:rPr>
              <w:rFonts w:cs="仿宋"/>
              <w:bCs/>
              <w:caps/>
              <w:kern w:val="0"/>
              <w:szCs w:val="20"/>
            </w:rPr>
            <w:fldChar w:fldCharType="separate"/>
          </w:r>
          <w:r>
            <w:rPr>
              <w:rFonts w:hint="eastAsia"/>
            </w:rPr>
            <w:t>1.1 项目预算</w:t>
          </w:r>
          <w:r>
            <w:tab/>
          </w:r>
          <w:r>
            <w:fldChar w:fldCharType="begin"/>
          </w:r>
          <w:r>
            <w:instrText xml:space="preserve"> PAGEREF _Toc13121 \h </w:instrText>
          </w:r>
          <w:r>
            <w:fldChar w:fldCharType="separate"/>
          </w:r>
          <w:r>
            <w:t>1</w:t>
          </w:r>
          <w:r>
            <w:fldChar w:fldCharType="end"/>
          </w:r>
          <w:r>
            <w:rPr>
              <w:rFonts w:cs="仿宋"/>
              <w:bCs/>
              <w:caps/>
              <w:kern w:val="0"/>
              <w:szCs w:val="20"/>
            </w:rPr>
            <w:fldChar w:fldCharType="end"/>
          </w:r>
        </w:p>
        <w:p w14:paraId="093FFF67">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_Toc21958 </w:instrText>
          </w:r>
          <w:r>
            <w:rPr>
              <w:rFonts w:cs="仿宋"/>
              <w:bCs/>
              <w:caps/>
              <w:kern w:val="0"/>
              <w:szCs w:val="20"/>
            </w:rPr>
            <w:fldChar w:fldCharType="separate"/>
          </w:r>
          <w:r>
            <w:rPr>
              <w:rFonts w:hint="eastAsia"/>
            </w:rPr>
            <w:t>1.2 建设背景</w:t>
          </w:r>
          <w:r>
            <w:tab/>
          </w:r>
          <w:r>
            <w:fldChar w:fldCharType="begin"/>
          </w:r>
          <w:r>
            <w:instrText xml:space="preserve"> PAGEREF _Toc21958 \h </w:instrText>
          </w:r>
          <w:r>
            <w:fldChar w:fldCharType="separate"/>
          </w:r>
          <w:r>
            <w:t>1</w:t>
          </w:r>
          <w:r>
            <w:fldChar w:fldCharType="end"/>
          </w:r>
          <w:r>
            <w:rPr>
              <w:rFonts w:cs="仿宋"/>
              <w:bCs/>
              <w:caps/>
              <w:kern w:val="0"/>
              <w:szCs w:val="20"/>
            </w:rPr>
            <w:fldChar w:fldCharType="end"/>
          </w:r>
        </w:p>
        <w:p w14:paraId="172EA1A6">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_Toc13671 </w:instrText>
          </w:r>
          <w:r>
            <w:rPr>
              <w:rFonts w:cs="仿宋"/>
              <w:bCs/>
              <w:caps/>
              <w:kern w:val="0"/>
              <w:szCs w:val="20"/>
            </w:rPr>
            <w:fldChar w:fldCharType="separate"/>
          </w:r>
          <w:r>
            <w:rPr>
              <w:rFonts w:hint="eastAsia"/>
            </w:rPr>
            <w:t>1.3 建设目标</w:t>
          </w:r>
          <w:r>
            <w:tab/>
          </w:r>
          <w:r>
            <w:fldChar w:fldCharType="begin"/>
          </w:r>
          <w:r>
            <w:instrText xml:space="preserve"> PAGEREF _Toc13671 \h </w:instrText>
          </w:r>
          <w:r>
            <w:fldChar w:fldCharType="separate"/>
          </w:r>
          <w:r>
            <w:t>2</w:t>
          </w:r>
          <w:r>
            <w:fldChar w:fldCharType="end"/>
          </w:r>
          <w:r>
            <w:rPr>
              <w:rFonts w:cs="仿宋"/>
              <w:bCs/>
              <w:caps/>
              <w:kern w:val="0"/>
              <w:szCs w:val="20"/>
            </w:rPr>
            <w:fldChar w:fldCharType="end"/>
          </w:r>
        </w:p>
        <w:p w14:paraId="429EC16E">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_Toc20965 </w:instrText>
          </w:r>
          <w:r>
            <w:rPr>
              <w:rFonts w:cs="仿宋"/>
              <w:bCs/>
              <w:caps/>
              <w:kern w:val="0"/>
              <w:szCs w:val="20"/>
            </w:rPr>
            <w:fldChar w:fldCharType="separate"/>
          </w:r>
          <w:r>
            <w:rPr>
              <w:rFonts w:hint="eastAsia"/>
            </w:rPr>
            <w:t>1.4 建设规模</w:t>
          </w:r>
          <w:r>
            <w:tab/>
          </w:r>
          <w:r>
            <w:fldChar w:fldCharType="begin"/>
          </w:r>
          <w:r>
            <w:instrText xml:space="preserve"> PAGEREF _Toc20965 \h </w:instrText>
          </w:r>
          <w:r>
            <w:fldChar w:fldCharType="separate"/>
          </w:r>
          <w:r>
            <w:t>2</w:t>
          </w:r>
          <w:r>
            <w:fldChar w:fldCharType="end"/>
          </w:r>
          <w:r>
            <w:rPr>
              <w:rFonts w:cs="仿宋"/>
              <w:bCs/>
              <w:caps/>
              <w:kern w:val="0"/>
              <w:szCs w:val="20"/>
            </w:rPr>
            <w:fldChar w:fldCharType="end"/>
          </w:r>
        </w:p>
        <w:p w14:paraId="3CADFCDA">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_Toc22392 </w:instrText>
          </w:r>
          <w:r>
            <w:rPr>
              <w:rFonts w:cs="仿宋"/>
              <w:bCs/>
              <w:caps/>
              <w:kern w:val="0"/>
              <w:szCs w:val="20"/>
            </w:rPr>
            <w:fldChar w:fldCharType="separate"/>
          </w:r>
          <w:r>
            <w:rPr>
              <w:rFonts w:hint="eastAsia"/>
            </w:rPr>
            <w:t>1.5 建设内容</w:t>
          </w:r>
          <w:r>
            <w:tab/>
          </w:r>
          <w:r>
            <w:fldChar w:fldCharType="begin"/>
          </w:r>
          <w:r>
            <w:instrText xml:space="preserve"> PAGEREF _Toc22392 \h </w:instrText>
          </w:r>
          <w:r>
            <w:fldChar w:fldCharType="separate"/>
          </w:r>
          <w:r>
            <w:t>2</w:t>
          </w:r>
          <w:r>
            <w:fldChar w:fldCharType="end"/>
          </w:r>
          <w:r>
            <w:rPr>
              <w:rFonts w:cs="仿宋"/>
              <w:bCs/>
              <w:caps/>
              <w:kern w:val="0"/>
              <w:szCs w:val="20"/>
            </w:rPr>
            <w:fldChar w:fldCharType="end"/>
          </w:r>
        </w:p>
        <w:p w14:paraId="68BFD1C0">
          <w:pPr>
            <w:pStyle w:val="23"/>
            <w:tabs>
              <w:tab w:val="right" w:leader="dot" w:pos="9332"/>
            </w:tabs>
          </w:pPr>
          <w:r>
            <w:rPr>
              <w:rFonts w:cs="仿宋"/>
              <w:bCs/>
              <w:caps/>
              <w:kern w:val="0"/>
              <w:szCs w:val="20"/>
            </w:rPr>
            <w:fldChar w:fldCharType="begin"/>
          </w:r>
          <w:r>
            <w:rPr>
              <w:rFonts w:cs="仿宋"/>
              <w:bCs/>
              <w:caps/>
              <w:kern w:val="0"/>
              <w:szCs w:val="20"/>
            </w:rPr>
            <w:instrText xml:space="preserve"> HYPERLINK \l _Toc19979 </w:instrText>
          </w:r>
          <w:r>
            <w:rPr>
              <w:rFonts w:cs="仿宋"/>
              <w:bCs/>
              <w:caps/>
              <w:kern w:val="0"/>
              <w:szCs w:val="20"/>
            </w:rPr>
            <w:fldChar w:fldCharType="separate"/>
          </w:r>
          <w:r>
            <w:rPr>
              <w:rFonts w:hint="eastAsia"/>
            </w:rPr>
            <w:t>第二章 技术要求</w:t>
          </w:r>
          <w:r>
            <w:tab/>
          </w:r>
          <w:r>
            <w:fldChar w:fldCharType="begin"/>
          </w:r>
          <w:r>
            <w:instrText xml:space="preserve"> PAGEREF _Toc19979 \h </w:instrText>
          </w:r>
          <w:r>
            <w:fldChar w:fldCharType="separate"/>
          </w:r>
          <w:r>
            <w:t>3</w:t>
          </w:r>
          <w:r>
            <w:fldChar w:fldCharType="end"/>
          </w:r>
          <w:r>
            <w:rPr>
              <w:rFonts w:cs="仿宋"/>
              <w:bCs/>
              <w:caps/>
              <w:kern w:val="0"/>
              <w:szCs w:val="20"/>
            </w:rPr>
            <w:fldChar w:fldCharType="end"/>
          </w:r>
        </w:p>
        <w:p w14:paraId="37F7FFBD">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_Toc19225 </w:instrText>
          </w:r>
          <w:r>
            <w:rPr>
              <w:rFonts w:cs="仿宋"/>
              <w:bCs/>
              <w:caps/>
              <w:kern w:val="0"/>
              <w:szCs w:val="20"/>
            </w:rPr>
            <w:fldChar w:fldCharType="separate"/>
          </w:r>
          <w:r>
            <w:rPr>
              <w:rFonts w:hint="eastAsia"/>
            </w:rPr>
            <w:t xml:space="preserve">2.1 </w:t>
          </w:r>
          <w:r>
            <w:rPr>
              <w:rFonts w:hint="eastAsia"/>
              <w:lang w:val="en-US" w:eastAsia="zh-CN"/>
            </w:rPr>
            <w:t>协同办公系统</w:t>
          </w:r>
          <w:r>
            <w:tab/>
          </w:r>
          <w:r>
            <w:fldChar w:fldCharType="begin"/>
          </w:r>
          <w:r>
            <w:instrText xml:space="preserve"> PAGEREF _Toc19225 \h </w:instrText>
          </w:r>
          <w:r>
            <w:fldChar w:fldCharType="separate"/>
          </w:r>
          <w:r>
            <w:t>3</w:t>
          </w:r>
          <w:r>
            <w:fldChar w:fldCharType="end"/>
          </w:r>
          <w:r>
            <w:rPr>
              <w:rFonts w:cs="仿宋"/>
              <w:bCs/>
              <w:caps/>
              <w:kern w:val="0"/>
              <w:szCs w:val="20"/>
            </w:rPr>
            <w:fldChar w:fldCharType="end"/>
          </w:r>
        </w:p>
        <w:p w14:paraId="6D695C32">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_Toc3468 </w:instrText>
          </w:r>
          <w:r>
            <w:rPr>
              <w:rFonts w:cs="仿宋"/>
              <w:bCs/>
              <w:caps/>
              <w:kern w:val="0"/>
              <w:szCs w:val="20"/>
            </w:rPr>
            <w:fldChar w:fldCharType="separate"/>
          </w:r>
          <w:r>
            <w:rPr>
              <w:rFonts w:hint="eastAsia"/>
              <w:lang w:val="en-US" w:eastAsia="zh-CN"/>
            </w:rPr>
            <w:t>2.1.1 办公管理</w:t>
          </w:r>
          <w:r>
            <w:tab/>
          </w:r>
          <w:r>
            <w:fldChar w:fldCharType="begin"/>
          </w:r>
          <w:r>
            <w:instrText xml:space="preserve"> PAGEREF _Toc3468 \h </w:instrText>
          </w:r>
          <w:r>
            <w:fldChar w:fldCharType="separate"/>
          </w:r>
          <w:r>
            <w:t>3</w:t>
          </w:r>
          <w:r>
            <w:fldChar w:fldCharType="end"/>
          </w:r>
          <w:r>
            <w:rPr>
              <w:rFonts w:cs="仿宋"/>
              <w:bCs/>
              <w:caps/>
              <w:kern w:val="0"/>
              <w:szCs w:val="20"/>
            </w:rPr>
            <w:fldChar w:fldCharType="end"/>
          </w:r>
        </w:p>
        <w:p w14:paraId="767692AB">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_Toc17805 </w:instrText>
          </w:r>
          <w:r>
            <w:rPr>
              <w:rFonts w:cs="仿宋"/>
              <w:bCs/>
              <w:caps/>
              <w:kern w:val="0"/>
              <w:szCs w:val="20"/>
            </w:rPr>
            <w:fldChar w:fldCharType="separate"/>
          </w:r>
          <w:r>
            <w:rPr>
              <w:rFonts w:hint="eastAsia"/>
              <w:lang w:val="en-US" w:eastAsia="zh-CN"/>
            </w:rPr>
            <w:t>2.1.2 疾控人员管理</w:t>
          </w:r>
          <w:r>
            <w:tab/>
          </w:r>
          <w:r>
            <w:fldChar w:fldCharType="begin"/>
          </w:r>
          <w:r>
            <w:instrText xml:space="preserve"> PAGEREF _Toc17805 \h </w:instrText>
          </w:r>
          <w:r>
            <w:fldChar w:fldCharType="separate"/>
          </w:r>
          <w:r>
            <w:t>8</w:t>
          </w:r>
          <w:r>
            <w:fldChar w:fldCharType="end"/>
          </w:r>
          <w:r>
            <w:rPr>
              <w:rFonts w:cs="仿宋"/>
              <w:bCs/>
              <w:caps/>
              <w:kern w:val="0"/>
              <w:szCs w:val="20"/>
            </w:rPr>
            <w:fldChar w:fldCharType="end"/>
          </w:r>
        </w:p>
        <w:p w14:paraId="00491789">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_Toc23281 </w:instrText>
          </w:r>
          <w:r>
            <w:rPr>
              <w:rFonts w:cs="仿宋"/>
              <w:bCs/>
              <w:caps/>
              <w:kern w:val="0"/>
              <w:szCs w:val="20"/>
            </w:rPr>
            <w:fldChar w:fldCharType="separate"/>
          </w:r>
          <w:r>
            <w:rPr>
              <w:rFonts w:hint="eastAsia"/>
              <w:lang w:val="en-US" w:eastAsia="zh-CN"/>
            </w:rPr>
            <w:t>2.1.3 工作任务管理</w:t>
          </w:r>
          <w:r>
            <w:tab/>
          </w:r>
          <w:r>
            <w:fldChar w:fldCharType="begin"/>
          </w:r>
          <w:r>
            <w:instrText xml:space="preserve"> PAGEREF _Toc23281 \h </w:instrText>
          </w:r>
          <w:r>
            <w:fldChar w:fldCharType="separate"/>
          </w:r>
          <w:r>
            <w:t>11</w:t>
          </w:r>
          <w:r>
            <w:fldChar w:fldCharType="end"/>
          </w:r>
          <w:r>
            <w:rPr>
              <w:rFonts w:cs="仿宋"/>
              <w:bCs/>
              <w:caps/>
              <w:kern w:val="0"/>
              <w:szCs w:val="20"/>
            </w:rPr>
            <w:fldChar w:fldCharType="end"/>
          </w:r>
        </w:p>
        <w:p w14:paraId="77840250">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_Toc28732 </w:instrText>
          </w:r>
          <w:r>
            <w:rPr>
              <w:rFonts w:cs="仿宋"/>
              <w:bCs/>
              <w:caps/>
              <w:kern w:val="0"/>
              <w:szCs w:val="20"/>
            </w:rPr>
            <w:fldChar w:fldCharType="separate"/>
          </w:r>
          <w:r>
            <w:rPr>
              <w:rFonts w:hint="eastAsia"/>
              <w:lang w:val="en-US" w:eastAsia="zh-CN"/>
            </w:rPr>
            <w:t>2.1.4 科研管理</w:t>
          </w:r>
          <w:r>
            <w:tab/>
          </w:r>
          <w:r>
            <w:fldChar w:fldCharType="begin"/>
          </w:r>
          <w:r>
            <w:instrText xml:space="preserve"> PAGEREF _Toc28732 \h </w:instrText>
          </w:r>
          <w:r>
            <w:fldChar w:fldCharType="separate"/>
          </w:r>
          <w:r>
            <w:t>12</w:t>
          </w:r>
          <w:r>
            <w:fldChar w:fldCharType="end"/>
          </w:r>
          <w:r>
            <w:rPr>
              <w:rFonts w:cs="仿宋"/>
              <w:bCs/>
              <w:caps/>
              <w:kern w:val="0"/>
              <w:szCs w:val="20"/>
            </w:rPr>
            <w:fldChar w:fldCharType="end"/>
          </w:r>
        </w:p>
        <w:p w14:paraId="498FB5FA">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_Toc18145 </w:instrText>
          </w:r>
          <w:r>
            <w:rPr>
              <w:rFonts w:cs="仿宋"/>
              <w:bCs/>
              <w:caps/>
              <w:kern w:val="0"/>
              <w:szCs w:val="20"/>
            </w:rPr>
            <w:fldChar w:fldCharType="separate"/>
          </w:r>
          <w:r>
            <w:rPr>
              <w:rFonts w:hint="eastAsia"/>
              <w:lang w:val="en-US" w:eastAsia="zh-CN"/>
            </w:rPr>
            <w:t>2.1.5 培训管理</w:t>
          </w:r>
          <w:r>
            <w:tab/>
          </w:r>
          <w:r>
            <w:fldChar w:fldCharType="begin"/>
          </w:r>
          <w:r>
            <w:instrText xml:space="preserve"> PAGEREF _Toc18145 \h </w:instrText>
          </w:r>
          <w:r>
            <w:fldChar w:fldCharType="separate"/>
          </w:r>
          <w:r>
            <w:t>17</w:t>
          </w:r>
          <w:r>
            <w:fldChar w:fldCharType="end"/>
          </w:r>
          <w:r>
            <w:rPr>
              <w:rFonts w:cs="仿宋"/>
              <w:bCs/>
              <w:caps/>
              <w:kern w:val="0"/>
              <w:szCs w:val="20"/>
            </w:rPr>
            <w:fldChar w:fldCharType="end"/>
          </w:r>
        </w:p>
        <w:p w14:paraId="3F865D28">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_Toc31380 </w:instrText>
          </w:r>
          <w:r>
            <w:rPr>
              <w:rFonts w:cs="仿宋"/>
              <w:bCs/>
              <w:caps/>
              <w:kern w:val="0"/>
              <w:szCs w:val="20"/>
            </w:rPr>
            <w:fldChar w:fldCharType="separate"/>
          </w:r>
          <w:r>
            <w:rPr>
              <w:rFonts w:hint="eastAsia"/>
              <w:lang w:val="en-US" w:eastAsia="zh-CN"/>
            </w:rPr>
            <w:t>2.1.6 继续教育管理</w:t>
          </w:r>
          <w:r>
            <w:tab/>
          </w:r>
          <w:r>
            <w:fldChar w:fldCharType="begin"/>
          </w:r>
          <w:r>
            <w:instrText xml:space="preserve"> PAGEREF _Toc31380 \h </w:instrText>
          </w:r>
          <w:r>
            <w:fldChar w:fldCharType="separate"/>
          </w:r>
          <w:r>
            <w:t>18</w:t>
          </w:r>
          <w:r>
            <w:fldChar w:fldCharType="end"/>
          </w:r>
          <w:r>
            <w:rPr>
              <w:rFonts w:cs="仿宋"/>
              <w:bCs/>
              <w:caps/>
              <w:kern w:val="0"/>
              <w:szCs w:val="20"/>
            </w:rPr>
            <w:fldChar w:fldCharType="end"/>
          </w:r>
        </w:p>
        <w:p w14:paraId="50FDA972">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_Toc1798 </w:instrText>
          </w:r>
          <w:r>
            <w:rPr>
              <w:rFonts w:cs="仿宋"/>
              <w:bCs/>
              <w:caps/>
              <w:kern w:val="0"/>
              <w:szCs w:val="20"/>
            </w:rPr>
            <w:fldChar w:fldCharType="separate"/>
          </w:r>
          <w:r>
            <w:rPr>
              <w:rFonts w:hint="eastAsia"/>
              <w:lang w:val="en-US" w:eastAsia="zh-CN"/>
            </w:rPr>
            <w:t>2.1.7 固定资产管理</w:t>
          </w:r>
          <w:r>
            <w:tab/>
          </w:r>
          <w:r>
            <w:fldChar w:fldCharType="begin"/>
          </w:r>
          <w:r>
            <w:instrText xml:space="preserve"> PAGEREF _Toc1798 \h </w:instrText>
          </w:r>
          <w:r>
            <w:fldChar w:fldCharType="separate"/>
          </w:r>
          <w:r>
            <w:t>19</w:t>
          </w:r>
          <w:r>
            <w:fldChar w:fldCharType="end"/>
          </w:r>
          <w:r>
            <w:rPr>
              <w:rFonts w:cs="仿宋"/>
              <w:bCs/>
              <w:caps/>
              <w:kern w:val="0"/>
              <w:szCs w:val="20"/>
            </w:rPr>
            <w:fldChar w:fldCharType="end"/>
          </w:r>
        </w:p>
        <w:p w14:paraId="5DBEB252">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_Toc16312 </w:instrText>
          </w:r>
          <w:r>
            <w:rPr>
              <w:rFonts w:cs="仿宋"/>
              <w:bCs/>
              <w:caps/>
              <w:kern w:val="0"/>
              <w:szCs w:val="20"/>
            </w:rPr>
            <w:fldChar w:fldCharType="separate"/>
          </w:r>
          <w:r>
            <w:rPr>
              <w:rFonts w:hint="eastAsia"/>
              <w:lang w:val="en-US" w:eastAsia="zh-CN"/>
            </w:rPr>
            <w:t>2.1.8 图书室管理</w:t>
          </w:r>
          <w:r>
            <w:tab/>
          </w:r>
          <w:r>
            <w:fldChar w:fldCharType="begin"/>
          </w:r>
          <w:r>
            <w:instrText xml:space="preserve"> PAGEREF _Toc16312 \h </w:instrText>
          </w:r>
          <w:r>
            <w:fldChar w:fldCharType="separate"/>
          </w:r>
          <w:r>
            <w:t>20</w:t>
          </w:r>
          <w:r>
            <w:fldChar w:fldCharType="end"/>
          </w:r>
          <w:r>
            <w:rPr>
              <w:rFonts w:cs="仿宋"/>
              <w:bCs/>
              <w:caps/>
              <w:kern w:val="0"/>
              <w:szCs w:val="20"/>
            </w:rPr>
            <w:fldChar w:fldCharType="end"/>
          </w:r>
        </w:p>
        <w:p w14:paraId="68FC7190">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_Toc15740 </w:instrText>
          </w:r>
          <w:r>
            <w:rPr>
              <w:rFonts w:cs="仿宋"/>
              <w:bCs/>
              <w:caps/>
              <w:kern w:val="0"/>
              <w:szCs w:val="20"/>
            </w:rPr>
            <w:fldChar w:fldCharType="separate"/>
          </w:r>
          <w:r>
            <w:rPr>
              <w:rFonts w:hint="eastAsia"/>
              <w:lang w:val="en-US" w:eastAsia="zh-CN"/>
            </w:rPr>
            <w:t>2.1.9 系统管理</w:t>
          </w:r>
          <w:r>
            <w:tab/>
          </w:r>
          <w:r>
            <w:fldChar w:fldCharType="begin"/>
          </w:r>
          <w:r>
            <w:instrText xml:space="preserve"> PAGEREF _Toc15740 \h </w:instrText>
          </w:r>
          <w:r>
            <w:fldChar w:fldCharType="separate"/>
          </w:r>
          <w:r>
            <w:t>22</w:t>
          </w:r>
          <w:r>
            <w:fldChar w:fldCharType="end"/>
          </w:r>
          <w:r>
            <w:rPr>
              <w:rFonts w:cs="仿宋"/>
              <w:bCs/>
              <w:caps/>
              <w:kern w:val="0"/>
              <w:szCs w:val="20"/>
            </w:rPr>
            <w:fldChar w:fldCharType="end"/>
          </w:r>
        </w:p>
        <w:p w14:paraId="53332F13">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_Toc18134 </w:instrText>
          </w:r>
          <w:r>
            <w:rPr>
              <w:rFonts w:cs="仿宋"/>
              <w:bCs/>
              <w:caps/>
              <w:kern w:val="0"/>
              <w:szCs w:val="20"/>
            </w:rPr>
            <w:fldChar w:fldCharType="separate"/>
          </w:r>
          <w:r>
            <w:rPr>
              <w:rFonts w:hint="eastAsia"/>
              <w:lang w:val="en-US" w:eastAsia="zh-CN"/>
            </w:rPr>
            <w:t>2.2 综合运维管理系统</w:t>
          </w:r>
          <w:r>
            <w:tab/>
          </w:r>
          <w:r>
            <w:fldChar w:fldCharType="begin"/>
          </w:r>
          <w:r>
            <w:instrText xml:space="preserve"> PAGEREF _Toc18134 \h </w:instrText>
          </w:r>
          <w:r>
            <w:fldChar w:fldCharType="separate"/>
          </w:r>
          <w:r>
            <w:t>22</w:t>
          </w:r>
          <w:r>
            <w:fldChar w:fldCharType="end"/>
          </w:r>
          <w:r>
            <w:rPr>
              <w:rFonts w:cs="仿宋"/>
              <w:bCs/>
              <w:caps/>
              <w:kern w:val="0"/>
              <w:szCs w:val="20"/>
            </w:rPr>
            <w:fldChar w:fldCharType="end"/>
          </w:r>
        </w:p>
        <w:p w14:paraId="1EBFCF22">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_Toc29767 </w:instrText>
          </w:r>
          <w:r>
            <w:rPr>
              <w:rFonts w:cs="仿宋"/>
              <w:bCs/>
              <w:caps/>
              <w:kern w:val="0"/>
              <w:szCs w:val="20"/>
            </w:rPr>
            <w:fldChar w:fldCharType="separate"/>
          </w:r>
          <w:r>
            <w:rPr>
              <w:rFonts w:hint="eastAsia"/>
              <w:lang w:val="en-US" w:eastAsia="zh-CN"/>
            </w:rPr>
            <w:t>2.2.1 运维监控中心</w:t>
          </w:r>
          <w:r>
            <w:tab/>
          </w:r>
          <w:r>
            <w:fldChar w:fldCharType="begin"/>
          </w:r>
          <w:r>
            <w:instrText xml:space="preserve"> PAGEREF _Toc29767 \h </w:instrText>
          </w:r>
          <w:r>
            <w:fldChar w:fldCharType="separate"/>
          </w:r>
          <w:r>
            <w:t>22</w:t>
          </w:r>
          <w:r>
            <w:fldChar w:fldCharType="end"/>
          </w:r>
          <w:r>
            <w:rPr>
              <w:rFonts w:cs="仿宋"/>
              <w:bCs/>
              <w:caps/>
              <w:kern w:val="0"/>
              <w:szCs w:val="20"/>
            </w:rPr>
            <w:fldChar w:fldCharType="end"/>
          </w:r>
        </w:p>
        <w:p w14:paraId="04828612">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_Toc23335 </w:instrText>
          </w:r>
          <w:r>
            <w:rPr>
              <w:rFonts w:cs="仿宋"/>
              <w:bCs/>
              <w:caps/>
              <w:kern w:val="0"/>
              <w:szCs w:val="20"/>
            </w:rPr>
            <w:fldChar w:fldCharType="separate"/>
          </w:r>
          <w:r>
            <w:rPr>
              <w:rFonts w:hint="eastAsia"/>
              <w:lang w:val="en-US" w:eastAsia="zh-CN"/>
            </w:rPr>
            <w:t>2.2.2 运维预防中心</w:t>
          </w:r>
          <w:r>
            <w:tab/>
          </w:r>
          <w:r>
            <w:fldChar w:fldCharType="begin"/>
          </w:r>
          <w:r>
            <w:instrText xml:space="preserve"> PAGEREF _Toc23335 \h </w:instrText>
          </w:r>
          <w:r>
            <w:fldChar w:fldCharType="separate"/>
          </w:r>
          <w:r>
            <w:t>25</w:t>
          </w:r>
          <w:r>
            <w:fldChar w:fldCharType="end"/>
          </w:r>
          <w:r>
            <w:rPr>
              <w:rFonts w:cs="仿宋"/>
              <w:bCs/>
              <w:caps/>
              <w:kern w:val="0"/>
              <w:szCs w:val="20"/>
            </w:rPr>
            <w:fldChar w:fldCharType="end"/>
          </w:r>
        </w:p>
        <w:p w14:paraId="1F78F38A">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_Toc13791 </w:instrText>
          </w:r>
          <w:r>
            <w:rPr>
              <w:rFonts w:cs="仿宋"/>
              <w:bCs/>
              <w:caps/>
              <w:kern w:val="0"/>
              <w:szCs w:val="20"/>
            </w:rPr>
            <w:fldChar w:fldCharType="separate"/>
          </w:r>
          <w:r>
            <w:rPr>
              <w:rFonts w:hint="eastAsia"/>
              <w:lang w:val="en-US" w:eastAsia="zh-CN"/>
            </w:rPr>
            <w:t>2.2.3 运维帮助中心</w:t>
          </w:r>
          <w:r>
            <w:tab/>
          </w:r>
          <w:r>
            <w:fldChar w:fldCharType="begin"/>
          </w:r>
          <w:r>
            <w:instrText xml:space="preserve"> PAGEREF _Toc13791 \h </w:instrText>
          </w:r>
          <w:r>
            <w:fldChar w:fldCharType="separate"/>
          </w:r>
          <w:r>
            <w:t>26</w:t>
          </w:r>
          <w:r>
            <w:fldChar w:fldCharType="end"/>
          </w:r>
          <w:r>
            <w:rPr>
              <w:rFonts w:cs="仿宋"/>
              <w:bCs/>
              <w:caps/>
              <w:kern w:val="0"/>
              <w:szCs w:val="20"/>
            </w:rPr>
            <w:fldChar w:fldCharType="end"/>
          </w:r>
        </w:p>
        <w:p w14:paraId="724CEE11">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_Toc8412 </w:instrText>
          </w:r>
          <w:r>
            <w:rPr>
              <w:rFonts w:cs="仿宋"/>
              <w:bCs/>
              <w:caps/>
              <w:kern w:val="0"/>
              <w:szCs w:val="20"/>
            </w:rPr>
            <w:fldChar w:fldCharType="separate"/>
          </w:r>
          <w:r>
            <w:rPr>
              <w:rFonts w:hint="eastAsia"/>
              <w:lang w:val="en-US" w:eastAsia="zh-CN"/>
            </w:rPr>
            <w:t>2.2.4 运维能力中心</w:t>
          </w:r>
          <w:r>
            <w:tab/>
          </w:r>
          <w:r>
            <w:fldChar w:fldCharType="begin"/>
          </w:r>
          <w:r>
            <w:instrText xml:space="preserve"> PAGEREF _Toc8412 \h </w:instrText>
          </w:r>
          <w:r>
            <w:fldChar w:fldCharType="separate"/>
          </w:r>
          <w:r>
            <w:t>27</w:t>
          </w:r>
          <w:r>
            <w:fldChar w:fldCharType="end"/>
          </w:r>
          <w:r>
            <w:rPr>
              <w:rFonts w:cs="仿宋"/>
              <w:bCs/>
              <w:caps/>
              <w:kern w:val="0"/>
              <w:szCs w:val="20"/>
            </w:rPr>
            <w:fldChar w:fldCharType="end"/>
          </w:r>
        </w:p>
        <w:p w14:paraId="71F1E23C">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_Toc13027 </w:instrText>
          </w:r>
          <w:r>
            <w:rPr>
              <w:rFonts w:cs="仿宋"/>
              <w:bCs/>
              <w:caps/>
              <w:kern w:val="0"/>
              <w:szCs w:val="20"/>
            </w:rPr>
            <w:fldChar w:fldCharType="separate"/>
          </w:r>
          <w:r>
            <w:rPr>
              <w:rFonts w:hint="eastAsia"/>
              <w:lang w:val="en-US" w:eastAsia="zh-CN"/>
            </w:rPr>
            <w:t>2.2.5 运维处理中心</w:t>
          </w:r>
          <w:r>
            <w:tab/>
          </w:r>
          <w:r>
            <w:fldChar w:fldCharType="begin"/>
          </w:r>
          <w:r>
            <w:instrText xml:space="preserve"> PAGEREF _Toc13027 \h </w:instrText>
          </w:r>
          <w:r>
            <w:fldChar w:fldCharType="separate"/>
          </w:r>
          <w:r>
            <w:t>29</w:t>
          </w:r>
          <w:r>
            <w:fldChar w:fldCharType="end"/>
          </w:r>
          <w:r>
            <w:rPr>
              <w:rFonts w:cs="仿宋"/>
              <w:bCs/>
              <w:caps/>
              <w:kern w:val="0"/>
              <w:szCs w:val="20"/>
            </w:rPr>
            <w:fldChar w:fldCharType="end"/>
          </w:r>
        </w:p>
        <w:p w14:paraId="5FF4D434">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_Toc30345 </w:instrText>
          </w:r>
          <w:r>
            <w:rPr>
              <w:rFonts w:cs="仿宋"/>
              <w:bCs/>
              <w:caps/>
              <w:kern w:val="0"/>
              <w:szCs w:val="20"/>
            </w:rPr>
            <w:fldChar w:fldCharType="separate"/>
          </w:r>
          <w:r>
            <w:rPr>
              <w:rFonts w:hint="eastAsia"/>
              <w:lang w:val="en-US" w:eastAsia="zh-CN"/>
            </w:rPr>
            <w:t>2.2.6 运维工单中心</w:t>
          </w:r>
          <w:r>
            <w:tab/>
          </w:r>
          <w:r>
            <w:fldChar w:fldCharType="begin"/>
          </w:r>
          <w:r>
            <w:instrText xml:space="preserve"> PAGEREF _Toc30345 \h </w:instrText>
          </w:r>
          <w:r>
            <w:fldChar w:fldCharType="separate"/>
          </w:r>
          <w:r>
            <w:t>30</w:t>
          </w:r>
          <w:r>
            <w:fldChar w:fldCharType="end"/>
          </w:r>
          <w:r>
            <w:rPr>
              <w:rFonts w:cs="仿宋"/>
              <w:bCs/>
              <w:caps/>
              <w:kern w:val="0"/>
              <w:szCs w:val="20"/>
            </w:rPr>
            <w:fldChar w:fldCharType="end"/>
          </w:r>
        </w:p>
        <w:p w14:paraId="7FFE4CD2">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_Toc9818 </w:instrText>
          </w:r>
          <w:r>
            <w:rPr>
              <w:rFonts w:cs="仿宋"/>
              <w:bCs/>
              <w:caps/>
              <w:kern w:val="0"/>
              <w:szCs w:val="20"/>
            </w:rPr>
            <w:fldChar w:fldCharType="separate"/>
          </w:r>
          <w:r>
            <w:rPr>
              <w:rFonts w:hint="eastAsia"/>
              <w:lang w:val="en-US" w:eastAsia="zh-CN"/>
            </w:rPr>
            <w:t>2.2.7 运维对象和事件管理</w:t>
          </w:r>
          <w:r>
            <w:tab/>
          </w:r>
          <w:r>
            <w:fldChar w:fldCharType="begin"/>
          </w:r>
          <w:r>
            <w:instrText xml:space="preserve"> PAGEREF _Toc9818 \h </w:instrText>
          </w:r>
          <w:r>
            <w:fldChar w:fldCharType="separate"/>
          </w:r>
          <w:r>
            <w:t>32</w:t>
          </w:r>
          <w:r>
            <w:fldChar w:fldCharType="end"/>
          </w:r>
          <w:r>
            <w:rPr>
              <w:rFonts w:cs="仿宋"/>
              <w:bCs/>
              <w:caps/>
              <w:kern w:val="0"/>
              <w:szCs w:val="20"/>
            </w:rPr>
            <w:fldChar w:fldCharType="end"/>
          </w:r>
        </w:p>
        <w:p w14:paraId="5AA847C8">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_Toc11978 </w:instrText>
          </w:r>
          <w:r>
            <w:rPr>
              <w:rFonts w:cs="仿宋"/>
              <w:bCs/>
              <w:caps/>
              <w:kern w:val="0"/>
              <w:szCs w:val="20"/>
            </w:rPr>
            <w:fldChar w:fldCharType="separate"/>
          </w:r>
          <w:r>
            <w:rPr>
              <w:rFonts w:hint="eastAsia"/>
              <w:lang w:val="en-US" w:eastAsia="zh-CN"/>
            </w:rPr>
            <w:t>2.2.8 配置管理</w:t>
          </w:r>
          <w:r>
            <w:tab/>
          </w:r>
          <w:r>
            <w:fldChar w:fldCharType="begin"/>
          </w:r>
          <w:r>
            <w:instrText xml:space="preserve"> PAGEREF _Toc11978 \h </w:instrText>
          </w:r>
          <w:r>
            <w:fldChar w:fldCharType="separate"/>
          </w:r>
          <w:r>
            <w:t>33</w:t>
          </w:r>
          <w:r>
            <w:fldChar w:fldCharType="end"/>
          </w:r>
          <w:r>
            <w:rPr>
              <w:rFonts w:cs="仿宋"/>
              <w:bCs/>
              <w:caps/>
              <w:kern w:val="0"/>
              <w:szCs w:val="20"/>
            </w:rPr>
            <w:fldChar w:fldCharType="end"/>
          </w:r>
        </w:p>
        <w:p w14:paraId="30A6175F">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_Toc30017 </w:instrText>
          </w:r>
          <w:r>
            <w:rPr>
              <w:rFonts w:cs="仿宋"/>
              <w:bCs/>
              <w:caps/>
              <w:kern w:val="0"/>
              <w:szCs w:val="20"/>
            </w:rPr>
            <w:fldChar w:fldCharType="separate"/>
          </w:r>
          <w:r>
            <w:rPr>
              <w:rFonts w:hint="eastAsia"/>
            </w:rPr>
            <w:t>2.3 系统性能指标要求</w:t>
          </w:r>
          <w:r>
            <w:tab/>
          </w:r>
          <w:r>
            <w:fldChar w:fldCharType="begin"/>
          </w:r>
          <w:r>
            <w:instrText xml:space="preserve"> PAGEREF _Toc30017 \h </w:instrText>
          </w:r>
          <w:r>
            <w:fldChar w:fldCharType="separate"/>
          </w:r>
          <w:r>
            <w:t>35</w:t>
          </w:r>
          <w:r>
            <w:fldChar w:fldCharType="end"/>
          </w:r>
          <w:r>
            <w:rPr>
              <w:rFonts w:cs="仿宋"/>
              <w:bCs/>
              <w:caps/>
              <w:kern w:val="0"/>
              <w:szCs w:val="20"/>
            </w:rPr>
            <w:fldChar w:fldCharType="end"/>
          </w:r>
        </w:p>
        <w:p w14:paraId="75B09378">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_Toc19513 </w:instrText>
          </w:r>
          <w:r>
            <w:rPr>
              <w:rFonts w:cs="仿宋"/>
              <w:bCs/>
              <w:caps/>
              <w:kern w:val="0"/>
              <w:szCs w:val="20"/>
            </w:rPr>
            <w:fldChar w:fldCharType="separate"/>
          </w:r>
          <w:r>
            <w:rPr>
              <w:rFonts w:hint="eastAsia"/>
            </w:rPr>
            <w:t>2.3.1 总体性能指标</w:t>
          </w:r>
          <w:r>
            <w:tab/>
          </w:r>
          <w:r>
            <w:fldChar w:fldCharType="begin"/>
          </w:r>
          <w:r>
            <w:instrText xml:space="preserve"> PAGEREF _Toc19513 \h </w:instrText>
          </w:r>
          <w:r>
            <w:fldChar w:fldCharType="separate"/>
          </w:r>
          <w:r>
            <w:t>35</w:t>
          </w:r>
          <w:r>
            <w:fldChar w:fldCharType="end"/>
          </w:r>
          <w:r>
            <w:rPr>
              <w:rFonts w:cs="仿宋"/>
              <w:bCs/>
              <w:caps/>
              <w:kern w:val="0"/>
              <w:szCs w:val="20"/>
            </w:rPr>
            <w:fldChar w:fldCharType="end"/>
          </w:r>
        </w:p>
        <w:p w14:paraId="729F79C5">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_Toc11052 </w:instrText>
          </w:r>
          <w:r>
            <w:rPr>
              <w:rFonts w:cs="仿宋"/>
              <w:bCs/>
              <w:caps/>
              <w:kern w:val="0"/>
              <w:szCs w:val="20"/>
            </w:rPr>
            <w:fldChar w:fldCharType="separate"/>
          </w:r>
          <w:r>
            <w:rPr>
              <w:rFonts w:hint="eastAsia"/>
            </w:rPr>
            <w:t>2.3.2 健壮性</w:t>
          </w:r>
          <w:r>
            <w:tab/>
          </w:r>
          <w:r>
            <w:fldChar w:fldCharType="begin"/>
          </w:r>
          <w:r>
            <w:instrText xml:space="preserve"> PAGEREF _Toc11052 \h </w:instrText>
          </w:r>
          <w:r>
            <w:fldChar w:fldCharType="separate"/>
          </w:r>
          <w:r>
            <w:t>36</w:t>
          </w:r>
          <w:r>
            <w:fldChar w:fldCharType="end"/>
          </w:r>
          <w:r>
            <w:rPr>
              <w:rFonts w:cs="仿宋"/>
              <w:bCs/>
              <w:caps/>
              <w:kern w:val="0"/>
              <w:szCs w:val="20"/>
            </w:rPr>
            <w:fldChar w:fldCharType="end"/>
          </w:r>
        </w:p>
        <w:p w14:paraId="4E27C015">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_Toc31215 </w:instrText>
          </w:r>
          <w:r>
            <w:rPr>
              <w:rFonts w:cs="仿宋"/>
              <w:bCs/>
              <w:caps/>
              <w:kern w:val="0"/>
              <w:szCs w:val="20"/>
            </w:rPr>
            <w:fldChar w:fldCharType="separate"/>
          </w:r>
          <w:r>
            <w:rPr>
              <w:rFonts w:hint="eastAsia"/>
            </w:rPr>
            <w:t>2.3.3 易用性</w:t>
          </w:r>
          <w:r>
            <w:tab/>
          </w:r>
          <w:r>
            <w:fldChar w:fldCharType="begin"/>
          </w:r>
          <w:r>
            <w:instrText xml:space="preserve"> PAGEREF _Toc31215 \h </w:instrText>
          </w:r>
          <w:r>
            <w:fldChar w:fldCharType="separate"/>
          </w:r>
          <w:r>
            <w:t>36</w:t>
          </w:r>
          <w:r>
            <w:fldChar w:fldCharType="end"/>
          </w:r>
          <w:r>
            <w:rPr>
              <w:rFonts w:cs="仿宋"/>
              <w:bCs/>
              <w:caps/>
              <w:kern w:val="0"/>
              <w:szCs w:val="20"/>
            </w:rPr>
            <w:fldChar w:fldCharType="end"/>
          </w:r>
        </w:p>
        <w:p w14:paraId="4F79BA28">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_Toc17731 </w:instrText>
          </w:r>
          <w:r>
            <w:rPr>
              <w:rFonts w:cs="仿宋"/>
              <w:bCs/>
              <w:caps/>
              <w:kern w:val="0"/>
              <w:szCs w:val="20"/>
            </w:rPr>
            <w:fldChar w:fldCharType="separate"/>
          </w:r>
          <w:r>
            <w:rPr>
              <w:rFonts w:hint="eastAsia"/>
            </w:rPr>
            <w:t>2.3.4 安全性</w:t>
          </w:r>
          <w:r>
            <w:tab/>
          </w:r>
          <w:r>
            <w:fldChar w:fldCharType="begin"/>
          </w:r>
          <w:r>
            <w:instrText xml:space="preserve"> PAGEREF _Toc17731 \h </w:instrText>
          </w:r>
          <w:r>
            <w:fldChar w:fldCharType="separate"/>
          </w:r>
          <w:r>
            <w:t>36</w:t>
          </w:r>
          <w:r>
            <w:fldChar w:fldCharType="end"/>
          </w:r>
          <w:r>
            <w:rPr>
              <w:rFonts w:cs="仿宋"/>
              <w:bCs/>
              <w:caps/>
              <w:kern w:val="0"/>
              <w:szCs w:val="20"/>
            </w:rPr>
            <w:fldChar w:fldCharType="end"/>
          </w:r>
        </w:p>
        <w:p w14:paraId="7522DF9D">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_Toc3360 </w:instrText>
          </w:r>
          <w:r>
            <w:rPr>
              <w:rFonts w:cs="仿宋"/>
              <w:bCs/>
              <w:caps/>
              <w:kern w:val="0"/>
              <w:szCs w:val="20"/>
            </w:rPr>
            <w:fldChar w:fldCharType="separate"/>
          </w:r>
          <w:r>
            <w:rPr>
              <w:rFonts w:hint="eastAsia"/>
            </w:rPr>
            <w:t>2.3.5 可扩展性</w:t>
          </w:r>
          <w:r>
            <w:tab/>
          </w:r>
          <w:r>
            <w:fldChar w:fldCharType="begin"/>
          </w:r>
          <w:r>
            <w:instrText xml:space="preserve"> PAGEREF _Toc3360 \h </w:instrText>
          </w:r>
          <w:r>
            <w:fldChar w:fldCharType="separate"/>
          </w:r>
          <w:r>
            <w:t>37</w:t>
          </w:r>
          <w:r>
            <w:fldChar w:fldCharType="end"/>
          </w:r>
          <w:r>
            <w:rPr>
              <w:rFonts w:cs="仿宋"/>
              <w:bCs/>
              <w:caps/>
              <w:kern w:val="0"/>
              <w:szCs w:val="20"/>
            </w:rPr>
            <w:fldChar w:fldCharType="end"/>
          </w:r>
        </w:p>
        <w:p w14:paraId="15A804E0">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_Toc1515 </w:instrText>
          </w:r>
          <w:r>
            <w:rPr>
              <w:rFonts w:cs="仿宋"/>
              <w:bCs/>
              <w:caps/>
              <w:kern w:val="0"/>
              <w:szCs w:val="20"/>
            </w:rPr>
            <w:fldChar w:fldCharType="separate"/>
          </w:r>
          <w:r>
            <w:rPr>
              <w:rFonts w:hint="eastAsia"/>
            </w:rPr>
            <w:t>2.3.6 兼容性</w:t>
          </w:r>
          <w:r>
            <w:tab/>
          </w:r>
          <w:r>
            <w:fldChar w:fldCharType="begin"/>
          </w:r>
          <w:r>
            <w:instrText xml:space="preserve"> PAGEREF _Toc1515 \h </w:instrText>
          </w:r>
          <w:r>
            <w:fldChar w:fldCharType="separate"/>
          </w:r>
          <w:r>
            <w:t>37</w:t>
          </w:r>
          <w:r>
            <w:fldChar w:fldCharType="end"/>
          </w:r>
          <w:r>
            <w:rPr>
              <w:rFonts w:cs="仿宋"/>
              <w:bCs/>
              <w:caps/>
              <w:kern w:val="0"/>
              <w:szCs w:val="20"/>
            </w:rPr>
            <w:fldChar w:fldCharType="end"/>
          </w:r>
        </w:p>
        <w:p w14:paraId="79C40C04">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_Toc153 </w:instrText>
          </w:r>
          <w:r>
            <w:rPr>
              <w:rFonts w:cs="仿宋"/>
              <w:bCs/>
              <w:caps/>
              <w:kern w:val="0"/>
              <w:szCs w:val="20"/>
            </w:rPr>
            <w:fldChar w:fldCharType="separate"/>
          </w:r>
          <w:r>
            <w:rPr>
              <w:rFonts w:hint="eastAsia"/>
            </w:rPr>
            <w:t>2.3.7 可移植性</w:t>
          </w:r>
          <w:r>
            <w:tab/>
          </w:r>
          <w:r>
            <w:fldChar w:fldCharType="begin"/>
          </w:r>
          <w:r>
            <w:instrText xml:space="preserve"> PAGEREF _Toc153 \h </w:instrText>
          </w:r>
          <w:r>
            <w:fldChar w:fldCharType="separate"/>
          </w:r>
          <w:r>
            <w:t>37</w:t>
          </w:r>
          <w:r>
            <w:fldChar w:fldCharType="end"/>
          </w:r>
          <w:r>
            <w:rPr>
              <w:rFonts w:cs="仿宋"/>
              <w:bCs/>
              <w:caps/>
              <w:kern w:val="0"/>
              <w:szCs w:val="20"/>
            </w:rPr>
            <w:fldChar w:fldCharType="end"/>
          </w:r>
        </w:p>
        <w:p w14:paraId="4BB099B8">
          <w:pPr>
            <w:pStyle w:val="18"/>
            <w:tabs>
              <w:tab w:val="right" w:leader="dot" w:pos="9332"/>
            </w:tabs>
          </w:pPr>
          <w:r>
            <w:rPr>
              <w:rFonts w:cs="仿宋"/>
              <w:bCs/>
              <w:caps/>
              <w:kern w:val="0"/>
              <w:szCs w:val="20"/>
            </w:rPr>
            <w:fldChar w:fldCharType="begin"/>
          </w:r>
          <w:r>
            <w:rPr>
              <w:rFonts w:cs="仿宋"/>
              <w:bCs/>
              <w:caps/>
              <w:kern w:val="0"/>
              <w:szCs w:val="20"/>
            </w:rPr>
            <w:instrText xml:space="preserve"> HYPERLINK \l _Toc7885 </w:instrText>
          </w:r>
          <w:r>
            <w:rPr>
              <w:rFonts w:cs="仿宋"/>
              <w:bCs/>
              <w:caps/>
              <w:kern w:val="0"/>
              <w:szCs w:val="20"/>
            </w:rPr>
            <w:fldChar w:fldCharType="separate"/>
          </w:r>
          <w:r>
            <w:rPr>
              <w:rFonts w:hint="eastAsia"/>
            </w:rPr>
            <w:t>2.3.8 系统性能需求</w:t>
          </w:r>
          <w:r>
            <w:tab/>
          </w:r>
          <w:r>
            <w:fldChar w:fldCharType="begin"/>
          </w:r>
          <w:r>
            <w:instrText xml:space="preserve"> PAGEREF _Toc7885 \h </w:instrText>
          </w:r>
          <w:r>
            <w:fldChar w:fldCharType="separate"/>
          </w:r>
          <w:r>
            <w:t>38</w:t>
          </w:r>
          <w:r>
            <w:fldChar w:fldCharType="end"/>
          </w:r>
          <w:r>
            <w:rPr>
              <w:rFonts w:cs="仿宋"/>
              <w:bCs/>
              <w:caps/>
              <w:kern w:val="0"/>
              <w:szCs w:val="20"/>
            </w:rPr>
            <w:fldChar w:fldCharType="end"/>
          </w:r>
        </w:p>
        <w:p w14:paraId="30B15C66">
          <w:pPr>
            <w:pStyle w:val="23"/>
            <w:tabs>
              <w:tab w:val="right" w:leader="dot" w:pos="9332"/>
            </w:tabs>
          </w:pPr>
          <w:r>
            <w:rPr>
              <w:rFonts w:cs="仿宋"/>
              <w:bCs/>
              <w:caps/>
              <w:kern w:val="0"/>
              <w:szCs w:val="20"/>
            </w:rPr>
            <w:fldChar w:fldCharType="begin"/>
          </w:r>
          <w:r>
            <w:rPr>
              <w:rFonts w:cs="仿宋"/>
              <w:bCs/>
              <w:caps/>
              <w:kern w:val="0"/>
              <w:szCs w:val="20"/>
            </w:rPr>
            <w:instrText xml:space="preserve"> HYPERLINK \l _Toc8488 </w:instrText>
          </w:r>
          <w:r>
            <w:rPr>
              <w:rFonts w:cs="仿宋"/>
              <w:bCs/>
              <w:caps/>
              <w:kern w:val="0"/>
              <w:szCs w:val="20"/>
            </w:rPr>
            <w:fldChar w:fldCharType="separate"/>
          </w:r>
          <w:r>
            <w:rPr>
              <w:rFonts w:hint="eastAsia"/>
            </w:rPr>
            <w:t>第三章 商务要求</w:t>
          </w:r>
          <w:r>
            <w:tab/>
          </w:r>
          <w:r>
            <w:fldChar w:fldCharType="begin"/>
          </w:r>
          <w:r>
            <w:instrText xml:space="preserve"> PAGEREF _Toc8488 \h </w:instrText>
          </w:r>
          <w:r>
            <w:fldChar w:fldCharType="separate"/>
          </w:r>
          <w:r>
            <w:t>39</w:t>
          </w:r>
          <w:r>
            <w:fldChar w:fldCharType="end"/>
          </w:r>
          <w:r>
            <w:rPr>
              <w:rFonts w:cs="仿宋"/>
              <w:bCs/>
              <w:caps/>
              <w:kern w:val="0"/>
              <w:szCs w:val="20"/>
            </w:rPr>
            <w:fldChar w:fldCharType="end"/>
          </w:r>
        </w:p>
        <w:p w14:paraId="4900A571">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_Toc11302 </w:instrText>
          </w:r>
          <w:r>
            <w:rPr>
              <w:rFonts w:cs="仿宋"/>
              <w:bCs/>
              <w:caps/>
              <w:kern w:val="0"/>
              <w:szCs w:val="20"/>
            </w:rPr>
            <w:fldChar w:fldCharType="separate"/>
          </w:r>
          <w:r>
            <w:rPr>
              <w:rFonts w:hint="eastAsia"/>
            </w:rPr>
            <w:t>3.1 安全防护体系建设要求</w:t>
          </w:r>
          <w:r>
            <w:tab/>
          </w:r>
          <w:r>
            <w:fldChar w:fldCharType="begin"/>
          </w:r>
          <w:r>
            <w:instrText xml:space="preserve"> PAGEREF _Toc11302 \h </w:instrText>
          </w:r>
          <w:r>
            <w:fldChar w:fldCharType="separate"/>
          </w:r>
          <w:r>
            <w:t>39</w:t>
          </w:r>
          <w:r>
            <w:fldChar w:fldCharType="end"/>
          </w:r>
          <w:r>
            <w:rPr>
              <w:rFonts w:cs="仿宋"/>
              <w:bCs/>
              <w:caps/>
              <w:kern w:val="0"/>
              <w:szCs w:val="20"/>
            </w:rPr>
            <w:fldChar w:fldCharType="end"/>
          </w:r>
        </w:p>
        <w:p w14:paraId="186F1520">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_Toc6702 </w:instrText>
          </w:r>
          <w:r>
            <w:rPr>
              <w:rFonts w:cs="仿宋"/>
              <w:bCs/>
              <w:caps/>
              <w:kern w:val="0"/>
              <w:szCs w:val="20"/>
            </w:rPr>
            <w:fldChar w:fldCharType="separate"/>
          </w:r>
          <w:r>
            <w:rPr>
              <w:rFonts w:hint="eastAsia"/>
            </w:rPr>
            <w:t>3.2 密码应用建设要求</w:t>
          </w:r>
          <w:r>
            <w:tab/>
          </w:r>
          <w:r>
            <w:fldChar w:fldCharType="begin"/>
          </w:r>
          <w:r>
            <w:instrText xml:space="preserve"> PAGEREF _Toc6702 \h </w:instrText>
          </w:r>
          <w:r>
            <w:fldChar w:fldCharType="separate"/>
          </w:r>
          <w:r>
            <w:t>39</w:t>
          </w:r>
          <w:r>
            <w:fldChar w:fldCharType="end"/>
          </w:r>
          <w:r>
            <w:rPr>
              <w:rFonts w:cs="仿宋"/>
              <w:bCs/>
              <w:caps/>
              <w:kern w:val="0"/>
              <w:szCs w:val="20"/>
            </w:rPr>
            <w:fldChar w:fldCharType="end"/>
          </w:r>
        </w:p>
        <w:p w14:paraId="2FB010ED">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_Toc4993 </w:instrText>
          </w:r>
          <w:r>
            <w:rPr>
              <w:rFonts w:cs="仿宋"/>
              <w:bCs/>
              <w:caps/>
              <w:kern w:val="0"/>
              <w:szCs w:val="20"/>
            </w:rPr>
            <w:fldChar w:fldCharType="separate"/>
          </w:r>
          <w:r>
            <w:rPr>
              <w:rFonts w:hint="eastAsia"/>
            </w:rPr>
            <w:t>3.3 知识产权交付要求</w:t>
          </w:r>
          <w:r>
            <w:tab/>
          </w:r>
          <w:r>
            <w:fldChar w:fldCharType="begin"/>
          </w:r>
          <w:r>
            <w:instrText xml:space="preserve"> PAGEREF _Toc4993 \h </w:instrText>
          </w:r>
          <w:r>
            <w:fldChar w:fldCharType="separate"/>
          </w:r>
          <w:r>
            <w:t>39</w:t>
          </w:r>
          <w:r>
            <w:fldChar w:fldCharType="end"/>
          </w:r>
          <w:r>
            <w:rPr>
              <w:rFonts w:cs="仿宋"/>
              <w:bCs/>
              <w:caps/>
              <w:kern w:val="0"/>
              <w:szCs w:val="20"/>
            </w:rPr>
            <w:fldChar w:fldCharType="end"/>
          </w:r>
        </w:p>
        <w:p w14:paraId="6A696C2C">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_Toc19443 </w:instrText>
          </w:r>
          <w:r>
            <w:rPr>
              <w:rFonts w:cs="仿宋"/>
              <w:bCs/>
              <w:caps/>
              <w:kern w:val="0"/>
              <w:szCs w:val="20"/>
            </w:rPr>
            <w:fldChar w:fldCharType="separate"/>
          </w:r>
          <w:r>
            <w:rPr>
              <w:rFonts w:hint="eastAsia"/>
            </w:rPr>
            <w:t>3.4 项目质量管理要求</w:t>
          </w:r>
          <w:r>
            <w:tab/>
          </w:r>
          <w:r>
            <w:fldChar w:fldCharType="begin"/>
          </w:r>
          <w:r>
            <w:instrText xml:space="preserve"> PAGEREF _Toc19443 \h </w:instrText>
          </w:r>
          <w:r>
            <w:fldChar w:fldCharType="separate"/>
          </w:r>
          <w:r>
            <w:t>39</w:t>
          </w:r>
          <w:r>
            <w:fldChar w:fldCharType="end"/>
          </w:r>
          <w:r>
            <w:rPr>
              <w:rFonts w:cs="仿宋"/>
              <w:bCs/>
              <w:caps/>
              <w:kern w:val="0"/>
              <w:szCs w:val="20"/>
            </w:rPr>
            <w:fldChar w:fldCharType="end"/>
          </w:r>
        </w:p>
        <w:p w14:paraId="7D3A0BB3">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_Toc10568 </w:instrText>
          </w:r>
          <w:r>
            <w:rPr>
              <w:rFonts w:cs="仿宋"/>
              <w:bCs/>
              <w:caps/>
              <w:kern w:val="0"/>
              <w:szCs w:val="20"/>
            </w:rPr>
            <w:fldChar w:fldCharType="separate"/>
          </w:r>
          <w:r>
            <w:rPr>
              <w:rFonts w:hint="eastAsia"/>
            </w:rPr>
            <w:t>3.5 项目验收要求</w:t>
          </w:r>
          <w:r>
            <w:tab/>
          </w:r>
          <w:r>
            <w:fldChar w:fldCharType="begin"/>
          </w:r>
          <w:r>
            <w:instrText xml:space="preserve"> PAGEREF _Toc10568 \h </w:instrText>
          </w:r>
          <w:r>
            <w:fldChar w:fldCharType="separate"/>
          </w:r>
          <w:r>
            <w:t>40</w:t>
          </w:r>
          <w:r>
            <w:fldChar w:fldCharType="end"/>
          </w:r>
          <w:r>
            <w:rPr>
              <w:rFonts w:cs="仿宋"/>
              <w:bCs/>
              <w:caps/>
              <w:kern w:val="0"/>
              <w:szCs w:val="20"/>
            </w:rPr>
            <w:fldChar w:fldCharType="end"/>
          </w:r>
        </w:p>
        <w:p w14:paraId="66028150">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_Toc24952 </w:instrText>
          </w:r>
          <w:r>
            <w:rPr>
              <w:rFonts w:cs="仿宋"/>
              <w:bCs/>
              <w:caps/>
              <w:kern w:val="0"/>
              <w:szCs w:val="20"/>
            </w:rPr>
            <w:fldChar w:fldCharType="separate"/>
          </w:r>
          <w:r>
            <w:rPr>
              <w:rFonts w:hint="eastAsia"/>
            </w:rPr>
            <w:t>3.6 保修和售后服务要求</w:t>
          </w:r>
          <w:r>
            <w:tab/>
          </w:r>
          <w:r>
            <w:fldChar w:fldCharType="begin"/>
          </w:r>
          <w:r>
            <w:instrText xml:space="preserve"> PAGEREF _Toc24952 \h </w:instrText>
          </w:r>
          <w:r>
            <w:fldChar w:fldCharType="separate"/>
          </w:r>
          <w:r>
            <w:t>41</w:t>
          </w:r>
          <w:r>
            <w:fldChar w:fldCharType="end"/>
          </w:r>
          <w:r>
            <w:rPr>
              <w:rFonts w:cs="仿宋"/>
              <w:bCs/>
              <w:caps/>
              <w:kern w:val="0"/>
              <w:szCs w:val="20"/>
            </w:rPr>
            <w:fldChar w:fldCharType="end"/>
          </w:r>
        </w:p>
        <w:p w14:paraId="7403C13F">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_Toc23501 </w:instrText>
          </w:r>
          <w:r>
            <w:rPr>
              <w:rFonts w:cs="仿宋"/>
              <w:bCs/>
              <w:caps/>
              <w:kern w:val="0"/>
              <w:szCs w:val="20"/>
            </w:rPr>
            <w:fldChar w:fldCharType="separate"/>
          </w:r>
          <w:r>
            <w:rPr>
              <w:rFonts w:hint="eastAsia"/>
            </w:rPr>
            <w:t>3.7 人员培训要求</w:t>
          </w:r>
          <w:r>
            <w:tab/>
          </w:r>
          <w:r>
            <w:fldChar w:fldCharType="begin"/>
          </w:r>
          <w:r>
            <w:instrText xml:space="preserve"> PAGEREF _Toc23501 \h </w:instrText>
          </w:r>
          <w:r>
            <w:fldChar w:fldCharType="separate"/>
          </w:r>
          <w:r>
            <w:t>42</w:t>
          </w:r>
          <w:r>
            <w:fldChar w:fldCharType="end"/>
          </w:r>
          <w:r>
            <w:rPr>
              <w:rFonts w:cs="仿宋"/>
              <w:bCs/>
              <w:caps/>
              <w:kern w:val="0"/>
              <w:szCs w:val="20"/>
            </w:rPr>
            <w:fldChar w:fldCharType="end"/>
          </w:r>
        </w:p>
        <w:p w14:paraId="4A55C408">
          <w:pPr>
            <w:pStyle w:val="26"/>
            <w:tabs>
              <w:tab w:val="right" w:leader="dot" w:pos="9332"/>
            </w:tabs>
          </w:pPr>
          <w:r>
            <w:rPr>
              <w:rFonts w:cs="仿宋"/>
              <w:bCs/>
              <w:caps/>
              <w:kern w:val="0"/>
              <w:szCs w:val="20"/>
            </w:rPr>
            <w:fldChar w:fldCharType="begin"/>
          </w:r>
          <w:r>
            <w:rPr>
              <w:rFonts w:cs="仿宋"/>
              <w:bCs/>
              <w:caps/>
              <w:kern w:val="0"/>
              <w:szCs w:val="20"/>
            </w:rPr>
            <w:instrText xml:space="preserve"> HYPERLINK \l _Toc2510 </w:instrText>
          </w:r>
          <w:r>
            <w:rPr>
              <w:rFonts w:cs="仿宋"/>
              <w:bCs/>
              <w:caps/>
              <w:kern w:val="0"/>
              <w:szCs w:val="20"/>
            </w:rPr>
            <w:fldChar w:fldCharType="separate"/>
          </w:r>
          <w:r>
            <w:rPr>
              <w:rFonts w:hint="eastAsia"/>
            </w:rPr>
            <w:t>3.8 项目建设进度要求</w:t>
          </w:r>
          <w:r>
            <w:tab/>
          </w:r>
          <w:r>
            <w:fldChar w:fldCharType="begin"/>
          </w:r>
          <w:r>
            <w:instrText xml:space="preserve"> PAGEREF _Toc2510 \h </w:instrText>
          </w:r>
          <w:r>
            <w:fldChar w:fldCharType="separate"/>
          </w:r>
          <w:r>
            <w:t>43</w:t>
          </w:r>
          <w:r>
            <w:fldChar w:fldCharType="end"/>
          </w:r>
          <w:r>
            <w:rPr>
              <w:rFonts w:cs="仿宋"/>
              <w:bCs/>
              <w:caps/>
              <w:kern w:val="0"/>
              <w:szCs w:val="20"/>
            </w:rPr>
            <w:fldChar w:fldCharType="end"/>
          </w:r>
        </w:p>
        <w:p w14:paraId="64B7AE4B">
          <w:pPr>
            <w:ind w:firstLine="0" w:firstLineChars="0"/>
            <w:rPr>
              <w:rFonts w:hint="eastAsia" w:ascii="仿宋_GB2312" w:hAnsi="仿宋_GB2312" w:eastAsia="仿宋_GB2312" w:cs="仿宋_GB2312"/>
            </w:rPr>
          </w:pPr>
          <w:r>
            <w:rPr>
              <w:rFonts w:cs="仿宋"/>
              <w:bCs/>
              <w:caps/>
              <w:kern w:val="0"/>
              <w:szCs w:val="20"/>
            </w:rPr>
            <w:fldChar w:fldCharType="end"/>
          </w:r>
        </w:p>
      </w:sdtContent>
    </w:sdt>
    <w:p w14:paraId="0DAFDB99">
      <w:pPr>
        <w:pStyle w:val="3"/>
        <w:ind w:left="431" w:hanging="142"/>
        <w:sectPr>
          <w:headerReference r:id="rId7" w:type="first"/>
          <w:footerReference r:id="rId10" w:type="first"/>
          <w:headerReference r:id="rId5" w:type="default"/>
          <w:footerReference r:id="rId8" w:type="default"/>
          <w:headerReference r:id="rId6" w:type="even"/>
          <w:footerReference r:id="rId9" w:type="even"/>
          <w:pgSz w:w="11906" w:h="16838"/>
          <w:pgMar w:top="1440" w:right="1287" w:bottom="1440" w:left="1287" w:header="737" w:footer="992" w:gutter="0"/>
          <w:pgNumType w:fmt="upperRoman" w:start="1"/>
          <w:cols w:space="425" w:num="1"/>
          <w:titlePg/>
          <w:docGrid w:linePitch="381" w:charSpace="0"/>
        </w:sectPr>
      </w:pPr>
    </w:p>
    <w:p w14:paraId="0949A6C3">
      <w:pPr>
        <w:pStyle w:val="3"/>
        <w:ind w:left="431" w:hanging="142"/>
      </w:pPr>
      <w:bookmarkStart w:id="0" w:name="_Toc28568"/>
      <w:r>
        <w:rPr>
          <w:rFonts w:hint="eastAsia"/>
        </w:rPr>
        <w:t>项目概述</w:t>
      </w:r>
      <w:bookmarkEnd w:id="0"/>
    </w:p>
    <w:p w14:paraId="6FC8448B">
      <w:pPr>
        <w:pStyle w:val="4"/>
      </w:pPr>
      <w:bookmarkStart w:id="1" w:name="_Toc13121"/>
      <w:r>
        <w:rPr>
          <w:rFonts w:hint="eastAsia"/>
        </w:rPr>
        <w:t>项目预算</w:t>
      </w:r>
      <w:bookmarkEnd w:id="1"/>
    </w:p>
    <w:p w14:paraId="1898C3F7">
      <w:pPr>
        <w:ind w:firstLine="560"/>
        <w:rPr>
          <w:rFonts w:hint="eastAsia" w:ascii="仿宋_GB2312" w:hAnsi="仿宋_GB2312" w:eastAsia="仿宋_GB2312" w:cs="仿宋_GB2312"/>
          <w:color w:val="auto"/>
        </w:rPr>
      </w:pPr>
      <w:r>
        <w:rPr>
          <w:rFonts w:hint="eastAsia" w:ascii="仿宋_GB2312" w:hAnsi="仿宋_GB2312" w:eastAsia="仿宋_GB2312" w:cs="仿宋_GB2312"/>
          <w:color w:val="auto"/>
        </w:rPr>
        <w:t>项目预算：</w:t>
      </w:r>
      <w:r>
        <w:rPr>
          <w:rFonts w:hint="eastAsia" w:ascii="仿宋_GB2312" w:hAnsi="仿宋_GB2312" w:eastAsia="仿宋_GB2312" w:cs="仿宋_GB2312"/>
          <w:color w:val="auto"/>
          <w:lang w:val="en-US" w:eastAsia="zh-CN"/>
        </w:rPr>
        <w:t>387.17</w:t>
      </w:r>
      <w:r>
        <w:rPr>
          <w:rFonts w:hint="eastAsia" w:ascii="仿宋_GB2312" w:hAnsi="仿宋_GB2312" w:eastAsia="仿宋_GB2312" w:cs="仿宋_GB2312"/>
          <w:color w:val="auto"/>
        </w:rPr>
        <w:t>万元，最高限价：</w:t>
      </w:r>
      <w:r>
        <w:rPr>
          <w:rFonts w:hint="eastAsia" w:ascii="仿宋_GB2312" w:hAnsi="仿宋_GB2312" w:eastAsia="仿宋_GB2312" w:cs="仿宋_GB2312"/>
          <w:color w:val="auto"/>
          <w:lang w:val="en-US" w:eastAsia="zh-CN"/>
        </w:rPr>
        <w:t>387.17</w:t>
      </w:r>
      <w:r>
        <w:rPr>
          <w:rFonts w:hint="eastAsia" w:ascii="仿宋_GB2312" w:hAnsi="仿宋_GB2312" w:eastAsia="仿宋_GB2312" w:cs="仿宋_GB2312"/>
          <w:color w:val="auto"/>
        </w:rPr>
        <w:t>万元。</w:t>
      </w:r>
    </w:p>
    <w:p w14:paraId="357555D7">
      <w:pPr>
        <w:pStyle w:val="4"/>
      </w:pPr>
      <w:bookmarkStart w:id="2" w:name="_Toc21958"/>
      <w:r>
        <w:rPr>
          <w:rFonts w:hint="eastAsia"/>
        </w:rPr>
        <w:t>建设背景</w:t>
      </w:r>
      <w:bookmarkEnd w:id="2"/>
    </w:p>
    <w:p w14:paraId="716AFBEF">
      <w:pPr>
        <w:ind w:firstLine="560"/>
        <w:rPr>
          <w:rFonts w:hint="eastAsia" w:ascii="仿宋_GB2312" w:hAnsi="仿宋_GB2312" w:eastAsia="仿宋_GB2312" w:cs="仿宋_GB2312"/>
          <w:szCs w:val="24"/>
        </w:rPr>
      </w:pPr>
      <w:r>
        <w:rPr>
          <w:rFonts w:hint="eastAsia" w:ascii="仿宋_GB2312" w:hAnsi="仿宋_GB2312" w:eastAsia="仿宋_GB2312" w:cs="仿宋_GB2312"/>
          <w:szCs w:val="24"/>
        </w:rPr>
        <w:t>2023年1月，</w:t>
      </w:r>
      <w:r>
        <w:rPr>
          <w:rFonts w:hint="eastAsia" w:ascii="仿宋_GB2312" w:hAnsi="仿宋_GB2312" w:eastAsia="仿宋_GB2312" w:cs="仿宋_GB2312"/>
        </w:rPr>
        <w:t>国家疾控局综合司印发《加快建设完善省统筹区域传染病监测预警与应急指挥信息平台实施方案》（国疾控综规财函〔2023〕18号），</w:t>
      </w:r>
      <w:r>
        <w:rPr>
          <w:rFonts w:hint="eastAsia" w:ascii="仿宋_GB2312" w:hAnsi="仿宋_GB2312" w:eastAsia="仿宋_GB2312" w:cs="仿宋_GB2312"/>
          <w:szCs w:val="24"/>
        </w:rPr>
        <w:t>要求整合现有传染病监测和应急相关信息系统，建立“全国一网统管、平台两级建设，数据统一采集、业务分级应用”的一体化省统筹区域平台。</w:t>
      </w:r>
    </w:p>
    <w:p w14:paraId="05B999EA">
      <w:pPr>
        <w:ind w:firstLine="560"/>
        <w:rPr>
          <w:rFonts w:hint="eastAsia" w:ascii="仿宋_GB2312" w:hAnsi="仿宋_GB2312" w:eastAsia="仿宋_GB2312" w:cs="仿宋_GB2312"/>
          <w:szCs w:val="24"/>
        </w:rPr>
      </w:pPr>
      <w:r>
        <w:rPr>
          <w:rFonts w:hint="eastAsia" w:ascii="仿宋_GB2312" w:hAnsi="仿宋_GB2312" w:eastAsia="仿宋_GB2312" w:cs="仿宋_GB2312"/>
          <w:szCs w:val="24"/>
        </w:rPr>
        <w:t>2023年9月，国家疾控局综合司印发《关于印发监测预警与应急指挥能力提升项目工作任务清单的函》（国疾控综规财函〔2023〕244号），对省统筹区域传染病监测预警与应急指挥信息平台项目建设工作任务清单进行明确，并要求成立项目工作专班组负责推进项目建设。</w:t>
      </w:r>
    </w:p>
    <w:p w14:paraId="3F95CC54">
      <w:pPr>
        <w:ind w:firstLine="560"/>
        <w:rPr>
          <w:rFonts w:hint="eastAsia" w:ascii="仿宋_GB2312" w:hAnsi="仿宋_GB2312" w:eastAsia="仿宋_GB2312" w:cs="仿宋_GB2312"/>
          <w:szCs w:val="24"/>
        </w:rPr>
      </w:pPr>
      <w:r>
        <w:rPr>
          <w:rFonts w:hint="eastAsia" w:ascii="仿宋_GB2312" w:hAnsi="仿宋_GB2312" w:eastAsia="仿宋_GB2312" w:cs="仿宋_GB2312"/>
          <w:szCs w:val="24"/>
        </w:rPr>
        <w:t>2023年12月，基于本省实际情况，青海省疾病预防控制局联合青海省卫生健康委于联合制定印发《青海省加快建设完善省统筹区域传染病监测预警与应急指挥信息平台实施方案》（青疾控〔2023〕6号），组织开展项目建设工作。</w:t>
      </w:r>
    </w:p>
    <w:p w14:paraId="2AE7118F">
      <w:pPr>
        <w:ind w:firstLine="560"/>
        <w:rPr>
          <w:rFonts w:hint="eastAsia" w:ascii="仿宋_GB2312" w:hAnsi="仿宋_GB2312" w:eastAsia="仿宋_GB2312" w:cs="仿宋_GB2312"/>
          <w:szCs w:val="24"/>
        </w:rPr>
      </w:pPr>
      <w:r>
        <w:rPr>
          <w:rFonts w:hint="eastAsia" w:ascii="仿宋_GB2312" w:hAnsi="仿宋_GB2312" w:eastAsia="仿宋_GB2312" w:cs="仿宋_GB2312"/>
          <w:szCs w:val="24"/>
        </w:rPr>
        <w:t>本项目作为《青海省传染病监测预警与应急指挥能力提升（业务应用系统）项目》的基础支撑能力补充，其建设背景与主体项目高度一致。两个项目均是根据国家疾控局下发的实施方案文件（国疾控综规财函〔2023〕18号）以及青海省疾控局的统一部署和指导下，致力开展省级统筹区域传染病监测预警与应急指挥信息平台的建设。通过项目的实施，将进一步提升青海省在传染病防控领域的信息化水平，增强应对突发公共卫生事件的能力，确保人民群众的生命安全和身体健康。</w:t>
      </w:r>
    </w:p>
    <w:p w14:paraId="70CC9438">
      <w:pPr>
        <w:pStyle w:val="4"/>
      </w:pPr>
      <w:bookmarkStart w:id="3" w:name="_Toc13671"/>
      <w:r>
        <w:rPr>
          <w:rFonts w:hint="eastAsia"/>
        </w:rPr>
        <w:t>建设目标</w:t>
      </w:r>
      <w:bookmarkEnd w:id="3"/>
    </w:p>
    <w:p w14:paraId="2523D69E">
      <w:pPr>
        <w:ind w:firstLine="560"/>
        <w:rPr>
          <w:rFonts w:hint="eastAsia" w:ascii="仿宋_GB2312" w:hAnsi="仿宋_GB2312" w:eastAsia="仿宋_GB2312" w:cs="仿宋_GB2312"/>
        </w:rPr>
      </w:pPr>
      <w:r>
        <w:rPr>
          <w:rFonts w:hint="eastAsia" w:ascii="仿宋_GB2312" w:hAnsi="仿宋_GB2312" w:eastAsia="仿宋_GB2312" w:cs="仿宋_GB2312"/>
        </w:rPr>
        <w:t>基于青海省现有疾控体系，建设青海省传染病监测预警与应急指挥能力提升基础支撑系统，通过协同办公系统、综合运维管理系统建设，全面支撑和保障青海省传染病监测预警与应急指挥能力提升业务应用系统建设，提升青海省传染病监测预警与应急指挥业务信息化水平，提高工作效率和决策能力，为人民群众提供更加优质、高效、便捷的医疗卫生服务。</w:t>
      </w:r>
    </w:p>
    <w:p w14:paraId="6AED217F">
      <w:pPr>
        <w:pStyle w:val="4"/>
      </w:pPr>
      <w:bookmarkStart w:id="4" w:name="_Toc20965"/>
      <w:r>
        <w:rPr>
          <w:rFonts w:hint="eastAsia"/>
        </w:rPr>
        <w:t>建设规模</w:t>
      </w:r>
      <w:bookmarkEnd w:id="4"/>
    </w:p>
    <w:p w14:paraId="262AE486">
      <w:pPr>
        <w:ind w:firstLine="560"/>
        <w:rPr>
          <w:rFonts w:hint="eastAsia" w:ascii="仿宋_GB2312" w:hAnsi="仿宋_GB2312" w:eastAsia="仿宋_GB2312" w:cs="仿宋_GB2312"/>
          <w:sz w:val="24"/>
          <w:szCs w:val="24"/>
        </w:rPr>
      </w:pPr>
      <w:bookmarkStart w:id="5" w:name="_Toc26084"/>
      <w:bookmarkStart w:id="6" w:name="_Toc2864"/>
      <w:r>
        <w:rPr>
          <w:rFonts w:hint="eastAsia" w:ascii="仿宋_GB2312" w:hAnsi="仿宋_GB2312" w:eastAsia="仿宋_GB2312" w:cs="仿宋_GB2312"/>
          <w:sz w:val="24"/>
          <w:szCs w:val="24"/>
        </w:rPr>
        <w:t>本项目依托青海省电子政务外网、省政务云平台和青海省卫生信息专网</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建设覆盖省、市（州）、县（区）三级疾病预防控制局、54家疾病预防控制中心。青海省传染病监测预警与应急指挥能力提升（业务应用系统、基础支撑系统）整体建成后，信息系统网络安全等级保护达到等保三级安全防护要求。</w:t>
      </w:r>
    </w:p>
    <w:bookmarkEnd w:id="5"/>
    <w:bookmarkEnd w:id="6"/>
    <w:p w14:paraId="568DA4FF">
      <w:pPr>
        <w:pStyle w:val="4"/>
      </w:pPr>
      <w:bookmarkStart w:id="7" w:name="_Toc22392"/>
      <w:r>
        <w:rPr>
          <w:rFonts w:hint="eastAsia"/>
        </w:rPr>
        <w:t>建设内容</w:t>
      </w:r>
      <w:bookmarkEnd w:id="7"/>
    </w:p>
    <w:p w14:paraId="7D98553D">
      <w:pPr>
        <w:ind w:firstLine="560"/>
        <w:rPr>
          <w:rFonts w:hint="eastAsia" w:ascii="仿宋_GB2312" w:hAnsi="仿宋_GB2312" w:eastAsia="仿宋_GB2312" w:cs="仿宋_GB2312"/>
          <w:color w:val="auto"/>
        </w:rPr>
      </w:pPr>
      <w:r>
        <w:rPr>
          <w:rFonts w:hint="eastAsia" w:ascii="仿宋_GB2312" w:hAnsi="仿宋_GB2312" w:eastAsia="仿宋_GB2312" w:cs="仿宋_GB2312"/>
          <w:color w:val="auto"/>
        </w:rPr>
        <w:t>建设基础支撑系统，包括协同办公系统、综合运维管理系统。</w:t>
      </w:r>
    </w:p>
    <w:p w14:paraId="5D13CE13">
      <w:pPr>
        <w:ind w:firstLine="560"/>
        <w:rPr>
          <w:rFonts w:hint="eastAsia" w:ascii="仿宋_GB2312" w:hAnsi="仿宋_GB2312" w:eastAsia="仿宋_GB2312" w:cs="仿宋_GB2312"/>
          <w:color w:val="auto"/>
        </w:rPr>
      </w:pPr>
      <w:r>
        <w:rPr>
          <w:rFonts w:hint="eastAsia" w:ascii="仿宋_GB2312" w:hAnsi="仿宋_GB2312" w:eastAsia="仿宋_GB2312" w:cs="仿宋_GB2312"/>
          <w:color w:val="auto"/>
        </w:rPr>
        <w:t>具体建设清单如下：</w:t>
      </w:r>
    </w:p>
    <w:tbl>
      <w:tblPr>
        <w:tblStyle w:val="31"/>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7"/>
        <w:gridCol w:w="1862"/>
        <w:gridCol w:w="5861"/>
        <w:gridCol w:w="1047"/>
      </w:tblGrid>
      <w:tr w14:paraId="60FFF5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02" w:type="pct"/>
            <w:vMerge w:val="restart"/>
            <w:shd w:val="clear" w:color="auto" w:fill="E7E6E6" w:themeFill="background2"/>
            <w:vAlign w:val="center"/>
          </w:tcPr>
          <w:p w14:paraId="0099C517">
            <w:pPr>
              <w:spacing w:line="240" w:lineRule="auto"/>
              <w:ind w:firstLine="0" w:firstLineChars="0"/>
              <w:rPr>
                <w:b/>
                <w:bCs/>
                <w:sz w:val="24"/>
                <w:szCs w:val="24"/>
              </w:rPr>
            </w:pPr>
            <w:r>
              <w:rPr>
                <w:rFonts w:hint="eastAsia" w:ascii="仿宋_GB2312" w:hAnsi="仿宋_GB2312" w:eastAsia="仿宋_GB2312" w:cs="仿宋_GB2312"/>
                <w:b/>
                <w:bCs/>
                <w:sz w:val="24"/>
                <w:szCs w:val="24"/>
              </w:rPr>
              <w:t>序号</w:t>
            </w:r>
          </w:p>
        </w:tc>
        <w:tc>
          <w:tcPr>
            <w:tcW w:w="976" w:type="pct"/>
            <w:vMerge w:val="restart"/>
            <w:shd w:val="clear" w:color="auto" w:fill="E7E6E6" w:themeFill="background2"/>
            <w:vAlign w:val="center"/>
          </w:tcPr>
          <w:p w14:paraId="262AC3DF">
            <w:pPr>
              <w:spacing w:line="240" w:lineRule="auto"/>
              <w:ind w:firstLine="0" w:firstLineChars="0"/>
              <w:rPr>
                <w:b/>
                <w:bCs/>
                <w:sz w:val="24"/>
                <w:szCs w:val="24"/>
              </w:rPr>
            </w:pPr>
            <w:r>
              <w:rPr>
                <w:rFonts w:hint="eastAsia" w:ascii="仿宋_GB2312" w:hAnsi="仿宋_GB2312" w:eastAsia="仿宋_GB2312" w:cs="仿宋_GB2312"/>
                <w:b/>
                <w:bCs/>
                <w:sz w:val="24"/>
                <w:szCs w:val="24"/>
              </w:rPr>
              <w:t>名称</w:t>
            </w:r>
          </w:p>
        </w:tc>
        <w:tc>
          <w:tcPr>
            <w:tcW w:w="3073" w:type="pct"/>
            <w:vMerge w:val="restart"/>
            <w:shd w:val="clear" w:color="auto" w:fill="E7E6E6" w:themeFill="background2"/>
            <w:vAlign w:val="center"/>
          </w:tcPr>
          <w:p w14:paraId="51A9048C">
            <w:pPr>
              <w:spacing w:line="240" w:lineRule="auto"/>
              <w:ind w:firstLine="0" w:firstLineChars="0"/>
              <w:rPr>
                <w:b/>
                <w:bCs/>
                <w:sz w:val="24"/>
                <w:szCs w:val="24"/>
              </w:rPr>
            </w:pPr>
            <w:r>
              <w:rPr>
                <w:rFonts w:hint="eastAsia" w:ascii="仿宋_GB2312" w:hAnsi="仿宋_GB2312" w:eastAsia="仿宋_GB2312" w:cs="仿宋_GB2312"/>
                <w:b/>
                <w:bCs/>
                <w:sz w:val="24"/>
                <w:szCs w:val="24"/>
              </w:rPr>
              <w:t>功能</w:t>
            </w:r>
          </w:p>
        </w:tc>
        <w:tc>
          <w:tcPr>
            <w:tcW w:w="0" w:type="auto"/>
            <w:vMerge w:val="restart"/>
            <w:shd w:val="clear" w:color="auto" w:fill="E7E6E6" w:themeFill="background2"/>
            <w:vAlign w:val="center"/>
          </w:tcPr>
          <w:p w14:paraId="5C205F96">
            <w:pPr>
              <w:spacing w:line="240" w:lineRule="auto"/>
              <w:ind w:firstLine="0" w:firstLineChars="0"/>
              <w:jc w:val="center"/>
              <w:rPr>
                <w:b/>
                <w:bCs/>
                <w:sz w:val="24"/>
                <w:szCs w:val="24"/>
              </w:rPr>
            </w:pPr>
            <w:r>
              <w:rPr>
                <w:rFonts w:hint="eastAsia" w:ascii="仿宋_GB2312" w:hAnsi="仿宋_GB2312" w:eastAsia="仿宋_GB2312" w:cs="仿宋_GB2312"/>
                <w:b/>
                <w:bCs/>
                <w:sz w:val="24"/>
                <w:szCs w:val="24"/>
              </w:rPr>
              <w:t>数量（套）</w:t>
            </w:r>
          </w:p>
        </w:tc>
      </w:tr>
      <w:tr w14:paraId="54810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402" w:type="pct"/>
            <w:vMerge w:val="continue"/>
            <w:shd w:val="clear" w:color="auto" w:fill="E7E6E6" w:themeFill="background2"/>
            <w:vAlign w:val="center"/>
          </w:tcPr>
          <w:p w14:paraId="566F95F3">
            <w:pPr>
              <w:spacing w:line="240" w:lineRule="auto"/>
              <w:ind w:firstLine="0" w:firstLineChars="0"/>
              <w:rPr>
                <w:sz w:val="24"/>
                <w:szCs w:val="24"/>
              </w:rPr>
            </w:pPr>
          </w:p>
        </w:tc>
        <w:tc>
          <w:tcPr>
            <w:tcW w:w="976" w:type="pct"/>
            <w:vMerge w:val="continue"/>
            <w:shd w:val="clear" w:color="auto" w:fill="E7E6E6" w:themeFill="background2"/>
            <w:vAlign w:val="center"/>
          </w:tcPr>
          <w:p w14:paraId="11D869FD">
            <w:pPr>
              <w:spacing w:line="240" w:lineRule="auto"/>
              <w:ind w:firstLine="0" w:firstLineChars="0"/>
              <w:rPr>
                <w:sz w:val="24"/>
                <w:szCs w:val="24"/>
              </w:rPr>
            </w:pPr>
          </w:p>
        </w:tc>
        <w:tc>
          <w:tcPr>
            <w:tcW w:w="3073" w:type="pct"/>
            <w:vMerge w:val="continue"/>
            <w:shd w:val="clear" w:color="auto" w:fill="E7E6E6" w:themeFill="background2"/>
            <w:vAlign w:val="center"/>
          </w:tcPr>
          <w:p w14:paraId="3666D92A">
            <w:pPr>
              <w:spacing w:line="240" w:lineRule="auto"/>
              <w:ind w:firstLine="0" w:firstLineChars="0"/>
              <w:rPr>
                <w:sz w:val="24"/>
                <w:szCs w:val="24"/>
              </w:rPr>
            </w:pPr>
          </w:p>
        </w:tc>
        <w:tc>
          <w:tcPr>
            <w:tcW w:w="0" w:type="auto"/>
            <w:vMerge w:val="continue"/>
            <w:shd w:val="clear" w:color="auto" w:fill="E7E6E6" w:themeFill="background2"/>
            <w:vAlign w:val="center"/>
          </w:tcPr>
          <w:p w14:paraId="22A5FA53">
            <w:pPr>
              <w:spacing w:line="240" w:lineRule="auto"/>
              <w:ind w:firstLine="0" w:firstLineChars="0"/>
              <w:jc w:val="center"/>
              <w:rPr>
                <w:sz w:val="24"/>
                <w:szCs w:val="24"/>
              </w:rPr>
            </w:pPr>
          </w:p>
        </w:tc>
      </w:tr>
      <w:tr w14:paraId="23BE6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2" w:type="pct"/>
            <w:shd w:val="clear" w:color="auto" w:fill="auto"/>
            <w:noWrap/>
            <w:vAlign w:val="center"/>
          </w:tcPr>
          <w:p w14:paraId="74449D2C">
            <w:pPr>
              <w:numPr>
                <w:ilvl w:val="0"/>
                <w:numId w:val="7"/>
              </w:numPr>
              <w:spacing w:line="240" w:lineRule="auto"/>
              <w:ind w:firstLineChars="0"/>
              <w:rPr>
                <w:sz w:val="24"/>
                <w:szCs w:val="24"/>
              </w:rPr>
            </w:pPr>
          </w:p>
        </w:tc>
        <w:tc>
          <w:tcPr>
            <w:tcW w:w="976" w:type="pct"/>
            <w:shd w:val="clear" w:color="auto" w:fill="auto"/>
            <w:vAlign w:val="center"/>
          </w:tcPr>
          <w:p w14:paraId="074E96B3">
            <w:pPr>
              <w:spacing w:line="240" w:lineRule="auto"/>
              <w:ind w:firstLine="0" w:firstLineChars="0"/>
              <w:rPr>
                <w:sz w:val="24"/>
                <w:szCs w:val="24"/>
              </w:rPr>
            </w:pPr>
            <w:r>
              <w:rPr>
                <w:rFonts w:hint="eastAsia" w:ascii="仿宋_GB2312" w:hAnsi="仿宋_GB2312" w:eastAsia="仿宋_GB2312" w:cs="仿宋_GB2312"/>
                <w:sz w:val="24"/>
                <w:szCs w:val="24"/>
              </w:rPr>
              <w:t>协同办公系统</w:t>
            </w:r>
          </w:p>
        </w:tc>
        <w:tc>
          <w:tcPr>
            <w:tcW w:w="3073" w:type="pct"/>
            <w:shd w:val="clear" w:color="auto" w:fill="auto"/>
            <w:vAlign w:val="center"/>
          </w:tcPr>
          <w:p w14:paraId="6CF8124A">
            <w:pPr>
              <w:spacing w:line="240" w:lineRule="auto"/>
              <w:ind w:firstLine="0" w:firstLineChars="0"/>
              <w:rPr>
                <w:sz w:val="24"/>
                <w:szCs w:val="24"/>
              </w:rPr>
            </w:pPr>
            <w:r>
              <w:rPr>
                <w:rFonts w:hint="eastAsia" w:ascii="仿宋_GB2312" w:hAnsi="仿宋_GB2312" w:eastAsia="仿宋_GB2312" w:cs="仿宋_GB2312"/>
                <w:sz w:val="24"/>
                <w:szCs w:val="24"/>
              </w:rPr>
              <w:t>采用“统一底座+协同应用”的架构，可灵活插拔自有应用与外部应用，具有较强的应用对接与扩展能力，通过统一认证中心、门户管理、组织管理、应用管理、权限管理等实现信息化统一入口的能力，并实现流程审批、公文管理、工作待办、邮件收发、会议管理、通讯录、疾控人员管理、科研管理、培训管理、继续教育、固定资产管理、图书管理等协同办公应用。</w:t>
            </w:r>
          </w:p>
        </w:tc>
        <w:tc>
          <w:tcPr>
            <w:tcW w:w="0" w:type="auto"/>
            <w:shd w:val="clear" w:color="auto" w:fill="auto"/>
            <w:noWrap/>
            <w:vAlign w:val="center"/>
          </w:tcPr>
          <w:p w14:paraId="03E282BE">
            <w:pPr>
              <w:spacing w:line="240" w:lineRule="auto"/>
              <w:ind w:firstLine="0" w:firstLineChars="0"/>
              <w:jc w:val="center"/>
              <w:rPr>
                <w:sz w:val="24"/>
                <w:szCs w:val="24"/>
              </w:rPr>
            </w:pPr>
            <w:r>
              <w:rPr>
                <w:rFonts w:hint="eastAsia" w:ascii="仿宋_GB2312" w:hAnsi="仿宋_GB2312" w:eastAsia="仿宋_GB2312" w:cs="仿宋_GB2312"/>
                <w:sz w:val="24"/>
                <w:szCs w:val="24"/>
              </w:rPr>
              <w:t>1</w:t>
            </w:r>
          </w:p>
        </w:tc>
      </w:tr>
      <w:tr w14:paraId="413D2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2" w:type="pct"/>
            <w:shd w:val="clear" w:color="auto" w:fill="auto"/>
            <w:noWrap/>
            <w:vAlign w:val="center"/>
          </w:tcPr>
          <w:p w14:paraId="5BBC7F2B">
            <w:pPr>
              <w:numPr>
                <w:ilvl w:val="0"/>
                <w:numId w:val="7"/>
              </w:numPr>
              <w:spacing w:line="240" w:lineRule="auto"/>
              <w:ind w:firstLineChars="0"/>
              <w:rPr>
                <w:sz w:val="24"/>
                <w:szCs w:val="24"/>
              </w:rPr>
            </w:pPr>
          </w:p>
        </w:tc>
        <w:tc>
          <w:tcPr>
            <w:tcW w:w="976" w:type="pct"/>
            <w:shd w:val="clear" w:color="auto" w:fill="auto"/>
            <w:vAlign w:val="center"/>
          </w:tcPr>
          <w:p w14:paraId="696782B0">
            <w:pPr>
              <w:spacing w:line="240" w:lineRule="auto"/>
              <w:ind w:firstLine="0" w:firstLineChars="0"/>
              <w:rPr>
                <w:sz w:val="24"/>
                <w:szCs w:val="24"/>
              </w:rPr>
            </w:pPr>
            <w:r>
              <w:rPr>
                <w:rFonts w:hint="eastAsia" w:ascii="仿宋_GB2312" w:hAnsi="仿宋_GB2312" w:eastAsia="仿宋_GB2312" w:cs="仿宋_GB2312"/>
                <w:sz w:val="24"/>
                <w:szCs w:val="24"/>
              </w:rPr>
              <w:t>综合运维管理系统</w:t>
            </w:r>
          </w:p>
        </w:tc>
        <w:tc>
          <w:tcPr>
            <w:tcW w:w="3073" w:type="pct"/>
            <w:shd w:val="clear" w:color="auto" w:fill="auto"/>
            <w:vAlign w:val="center"/>
          </w:tcPr>
          <w:p w14:paraId="412C0D59">
            <w:pPr>
              <w:spacing w:line="240" w:lineRule="auto"/>
              <w:ind w:firstLine="0" w:firstLineChars="0"/>
              <w:rPr>
                <w:sz w:val="24"/>
                <w:szCs w:val="24"/>
              </w:rPr>
            </w:pPr>
            <w:r>
              <w:rPr>
                <w:rFonts w:hint="eastAsia" w:ascii="仿宋_GB2312" w:hAnsi="仿宋_GB2312" w:eastAsia="仿宋_GB2312" w:cs="仿宋_GB2312"/>
                <w:sz w:val="24"/>
                <w:szCs w:val="24"/>
              </w:rPr>
              <w:t>具备实时监控能力，可以对业务子系统的运行状态、性能数据进行全面收集和分析，确保系统的稳定运行。通过智能化的预警机制，系统能够及时发现潜在问题，为运维人员提供准确的故障信息和处理建议，大幅缩短故障恢复时间。提供便捷的故障排查工具，支持服务监控、日志分析等功能，帮助运维人员快速定位问题根源，提高故障处理效率。</w:t>
            </w:r>
          </w:p>
        </w:tc>
        <w:tc>
          <w:tcPr>
            <w:tcW w:w="0" w:type="auto"/>
            <w:shd w:val="clear" w:color="auto" w:fill="auto"/>
            <w:noWrap/>
            <w:vAlign w:val="center"/>
          </w:tcPr>
          <w:p w14:paraId="7AE513FF">
            <w:pPr>
              <w:spacing w:line="240" w:lineRule="auto"/>
              <w:ind w:firstLine="0" w:firstLineChars="0"/>
              <w:jc w:val="center"/>
              <w:rPr>
                <w:sz w:val="24"/>
                <w:szCs w:val="24"/>
              </w:rPr>
            </w:pPr>
            <w:r>
              <w:rPr>
                <w:rFonts w:hint="eastAsia" w:ascii="仿宋_GB2312" w:hAnsi="仿宋_GB2312" w:eastAsia="仿宋_GB2312" w:cs="仿宋_GB2312"/>
                <w:sz w:val="24"/>
                <w:szCs w:val="24"/>
              </w:rPr>
              <w:t>1</w:t>
            </w:r>
          </w:p>
        </w:tc>
      </w:tr>
    </w:tbl>
    <w:p w14:paraId="5554164B">
      <w:pPr>
        <w:pStyle w:val="3"/>
      </w:pPr>
      <w:bookmarkStart w:id="8" w:name="_Toc19979"/>
      <w:r>
        <w:rPr>
          <w:rFonts w:hint="eastAsia"/>
        </w:rPr>
        <w:t>技术要求</w:t>
      </w:r>
      <w:bookmarkEnd w:id="8"/>
    </w:p>
    <w:p w14:paraId="04FF897B">
      <w:pPr>
        <w:pStyle w:val="4"/>
      </w:pPr>
      <w:bookmarkStart w:id="9" w:name="_Toc19225"/>
      <w:r>
        <w:rPr>
          <w:rFonts w:hint="eastAsia"/>
          <w:lang w:val="en-US" w:eastAsia="zh-CN"/>
        </w:rPr>
        <w:t>协同办公系统</w:t>
      </w:r>
      <w:bookmarkEnd w:id="9"/>
    </w:p>
    <w:p w14:paraId="77866FB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协同办公系统依据国家疾控局综合司关于印发《加快建设完善省统筹区域传染病监测预警与应急指挥信息平台实施方案》的通知（国疾控综规财函〔2023〕18号）要求建设，以支撑应急指挥和应急作业为核心，向疾控机构提供信息化、自动化的协同办公能力，系统主要需满足用户在工作中的协同办公、沟通交流、信息共享和科研培训等方面的业务需求，支持移动服务应用。</w:t>
      </w:r>
    </w:p>
    <w:p w14:paraId="160B9DE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协同办公系统功能需包括公文管理、公文交换传输、审批事项、内部邮件、电子公告、会议管理、即时通讯、疾控人员管理、工作任务管理、科研管理、培训管理、继续教育管理、固定资产管理、图书室管理、系统管理。</w:t>
      </w:r>
    </w:p>
    <w:p w14:paraId="56B51CC3">
      <w:pPr>
        <w:pStyle w:val="5"/>
        <w:bidi w:val="0"/>
        <w:rPr>
          <w:rFonts w:hint="eastAsia"/>
          <w:lang w:val="en-US" w:eastAsia="zh-CN"/>
        </w:rPr>
      </w:pPr>
      <w:bookmarkStart w:id="10" w:name="_Toc3468"/>
      <w:r>
        <w:rPr>
          <w:rFonts w:hint="eastAsia"/>
          <w:lang w:val="en-US" w:eastAsia="zh-CN"/>
        </w:rPr>
        <w:t>办公管理</w:t>
      </w:r>
      <w:bookmarkEnd w:id="10"/>
    </w:p>
    <w:p w14:paraId="5CBDF6C4">
      <w:pPr>
        <w:pStyle w:val="6"/>
        <w:bidi w:val="0"/>
        <w:rPr>
          <w:rFonts w:hint="eastAsia"/>
          <w:lang w:val="en-US" w:eastAsia="zh-CN"/>
        </w:rPr>
      </w:pPr>
      <w:r>
        <w:rPr>
          <w:rFonts w:hint="eastAsia"/>
          <w:lang w:val="en-US" w:eastAsia="zh-CN"/>
        </w:rPr>
        <w:t>公文管理</w:t>
      </w:r>
    </w:p>
    <w:p w14:paraId="046521D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公文管理以工作流平台为基础，在实现公文管理的同时，成为整个系统的核心。需提供完备的电子公文管理功能，包括：文号管理、公文表单管理、公文流程管理、红头模板管理、公文文种设置、发文管理、收文管理、签批管理、电子签章、归档管理、督查管理等，实现收发文管理及文件送审签等办理过程的自动化。</w:t>
      </w:r>
    </w:p>
    <w:p w14:paraId="32A64750">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文号管理</w:t>
      </w:r>
    </w:p>
    <w:p w14:paraId="09E1AC4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系统需支持对公文文号的生成、分配及使用进行管理，包括文号生成与分配、文号查询检索、文号使用记录、文号状态跟踪。</w:t>
      </w:r>
    </w:p>
    <w:p w14:paraId="115A9DFF">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公文表单管理</w:t>
      </w:r>
    </w:p>
    <w:p w14:paraId="305DC4B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系统需支持根据用户实际需求定制公文表单。</w:t>
      </w:r>
    </w:p>
    <w:p w14:paraId="29617DB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在公文表单填写完成后，需支持对表单中的数据进行检查和验证。</w:t>
      </w:r>
    </w:p>
    <w:p w14:paraId="28744E8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系统需支持多种查询方式进行公文表单查询检索。</w:t>
      </w:r>
    </w:p>
    <w:p w14:paraId="058532FA">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公文流程管理</w:t>
      </w:r>
    </w:p>
    <w:p w14:paraId="3F88DB7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系统需支持对公文审批流程自定义配置，支持对审批节点进行管理。</w:t>
      </w:r>
    </w:p>
    <w:p w14:paraId="2CB2A17F">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红头模板管理</w:t>
      </w:r>
    </w:p>
    <w:p w14:paraId="44919D2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系统需支持对红头文件模板进行配置维护，支持对红头文件模板进行版本控制。</w:t>
      </w:r>
    </w:p>
    <w:p w14:paraId="1A2452DD">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公文文种设置</w:t>
      </w:r>
    </w:p>
    <w:p w14:paraId="58B7B67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系统需支持对公文文种进行配置管理，支持对公文文种模板进行管理。</w:t>
      </w:r>
    </w:p>
    <w:p w14:paraId="7FA7A4F3">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发文管理</w:t>
      </w:r>
    </w:p>
    <w:p w14:paraId="1BCCD29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文件起草管理；支持文件进行审核管理，支持自定义配置审核流程；支持对审核存在问题的文件进行修订，支持文件修订编辑及审核流程重新提交；支持对审核完成的文件进行发布，支持授权发布；支持对文件的状态进行跟踪管理，包括起草中、审批中、审批完成、已发布等关键节点。</w:t>
      </w:r>
    </w:p>
    <w:p w14:paraId="4B4E0B32">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收文管理</w:t>
      </w:r>
    </w:p>
    <w:p w14:paraId="0B85850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系统需支持对已接收到的文件进行登记，支持对接收的文件进行分类管理，支持对已接收的文件进行线上流转管理，支持对登记的文件进行线上查看，支持按照文件要求对文件处理过程及结果信息进行登记反馈。</w:t>
      </w:r>
    </w:p>
    <w:p w14:paraId="5A8F501A">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签批管理</w:t>
      </w:r>
    </w:p>
    <w:p w14:paraId="02DFEE1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系统需支持对文件的签批流程进行管理，支持对文件的签批意见进行管理。</w:t>
      </w:r>
    </w:p>
    <w:p w14:paraId="341A2628">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电子签章</w:t>
      </w:r>
    </w:p>
    <w:p w14:paraId="56DA972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系统需支持利用数字技术实现电子形式的签名和盖章，支持对电子签章生成、验证、存储进行管理；支持在公文发布过程中对电子签章进行调用管理。</w:t>
      </w:r>
    </w:p>
    <w:p w14:paraId="77AF475E">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归档管理</w:t>
      </w:r>
    </w:p>
    <w:p w14:paraId="360D590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系统需支持对已完成处理的文件进行归档管理，支持对文件进行整理、分类、存储和检索；支持对归档文件的详情进行查看。</w:t>
      </w:r>
    </w:p>
    <w:p w14:paraId="04A3C998">
      <w:pPr>
        <w:numPr>
          <w:ilvl w:val="0"/>
          <w:numId w:val="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督查管理</w:t>
      </w:r>
    </w:p>
    <w:p w14:paraId="7384E96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系统需支持对文件的处理过程进行督查和检查，提供对参与文件处理人员的工作进行评价。支持对文件督查检查评价结果进行登记管理。</w:t>
      </w:r>
    </w:p>
    <w:p w14:paraId="19CC5B9E">
      <w:pPr>
        <w:pStyle w:val="6"/>
        <w:bidi w:val="0"/>
        <w:rPr>
          <w:rFonts w:hint="eastAsia"/>
          <w:lang w:val="en-US" w:eastAsia="zh-CN"/>
        </w:rPr>
      </w:pPr>
      <w:r>
        <w:rPr>
          <w:rFonts w:hint="eastAsia"/>
          <w:lang w:val="en-US" w:eastAsia="zh-CN"/>
        </w:rPr>
        <w:t>公文交换传输</w:t>
      </w:r>
    </w:p>
    <w:p w14:paraId="54319C2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公文交换传输需实现内部传阅、外部分发功能，支持公文传阅权限设置，同时自动通过消息推送提醒各单位收文人员进行文件的签收，可跟踪查看分发查看签收情况及未签收人员一键催签、签收超期定时消息提醒。</w:t>
      </w:r>
    </w:p>
    <w:p w14:paraId="5DD8616B">
      <w:pPr>
        <w:pStyle w:val="6"/>
        <w:bidi w:val="0"/>
        <w:rPr>
          <w:rFonts w:hint="eastAsia"/>
          <w:lang w:val="en-US" w:eastAsia="zh-CN"/>
        </w:rPr>
      </w:pPr>
      <w:r>
        <w:rPr>
          <w:rFonts w:hint="eastAsia"/>
          <w:lang w:val="en-US" w:eastAsia="zh-CN"/>
        </w:rPr>
        <w:t>审批事项</w:t>
      </w:r>
    </w:p>
    <w:p w14:paraId="30AEF7B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审批事项需根据审批需要，设定不同的审批类别，定制流程和表单，包括出差、请假、报销、用章、物品领用、采购等流程审批。提供审批督办、审批查询及汇总统计功能，各事项定制简单灵活、易于使用、易于修改。审批支持简捷的文字编辑、信息流转、回复、意见加载，以及附件加载。</w:t>
      </w:r>
    </w:p>
    <w:p w14:paraId="616A6154">
      <w:pPr>
        <w:numPr>
          <w:ilvl w:val="0"/>
          <w:numId w:val="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审批流程管理</w:t>
      </w:r>
    </w:p>
    <w:p w14:paraId="42A3A5F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系统需支持对审批流程进行设置，支持审批流程自定义创建、编辑等操作。</w:t>
      </w:r>
    </w:p>
    <w:p w14:paraId="58C91AF9">
      <w:pPr>
        <w:numPr>
          <w:ilvl w:val="0"/>
          <w:numId w:val="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申请提交</w:t>
      </w:r>
    </w:p>
    <w:p w14:paraId="5CF475B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系统需支持对出差、请假、报销、用章、物品领用、采购等流程提起线上申请，支持申请的记录创建、编辑、删除等操作。支持在申请提交后进行审批流程追踪查看，以及申请撤回作废等操作。</w:t>
      </w:r>
    </w:p>
    <w:p w14:paraId="77589536">
      <w:pPr>
        <w:numPr>
          <w:ilvl w:val="0"/>
          <w:numId w:val="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审批管理</w:t>
      </w:r>
    </w:p>
    <w:p w14:paraId="75439A2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系统需支持对内部提交的出差、请假、报销、用章、物品领用、采购等流程进行审批，审批流程可自动流转，支持退回、转交、意见咨询、审批通过等操作。</w:t>
      </w:r>
    </w:p>
    <w:p w14:paraId="6FBDD09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系统需支持用户对已审批完成和未审批的内容进行分类查询，支持多维条件查询，支持以列表形式进行审批信息展示。</w:t>
      </w:r>
    </w:p>
    <w:p w14:paraId="54C153D1">
      <w:pPr>
        <w:numPr>
          <w:ilvl w:val="0"/>
          <w:numId w:val="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审批统计</w:t>
      </w:r>
    </w:p>
    <w:p w14:paraId="718C3F8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系统需支持线上发起的审批流程进行内容统计分析、时效统计分析，支持通过多维条件进行查询及结果导出。</w:t>
      </w:r>
    </w:p>
    <w:p w14:paraId="348C3AF7">
      <w:pPr>
        <w:pStyle w:val="6"/>
        <w:bidi w:val="0"/>
        <w:rPr>
          <w:rFonts w:hint="eastAsia"/>
          <w:lang w:val="en-US" w:eastAsia="zh-CN"/>
        </w:rPr>
      </w:pPr>
      <w:r>
        <w:rPr>
          <w:rFonts w:hint="eastAsia"/>
          <w:lang w:val="en-US" w:eastAsia="zh-CN"/>
        </w:rPr>
        <w:t>内部邮件</w:t>
      </w:r>
    </w:p>
    <w:p w14:paraId="52DB1AA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系统需提供内部邮件功能，包括收件箱、发件箱、垃圾箱、草稿箱等的管理。</w:t>
      </w:r>
    </w:p>
    <w:p w14:paraId="1179299A">
      <w:pPr>
        <w:numPr>
          <w:ilvl w:val="0"/>
          <w:numId w:val="1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收件箱</w:t>
      </w:r>
    </w:p>
    <w:p w14:paraId="2C76F8C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系统需支持对收件进行在线阅览、查询、排序、邮件回复、重要邮件标记等功能。</w:t>
      </w:r>
    </w:p>
    <w:p w14:paraId="4CBB8FE3">
      <w:pPr>
        <w:numPr>
          <w:ilvl w:val="0"/>
          <w:numId w:val="1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发件箱</w:t>
      </w:r>
    </w:p>
    <w:p w14:paraId="2371815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系统需支持邮件发送管理功能，支持发件查询、邮件自定义排序，支持邮件撤回、删除等操作。</w:t>
      </w:r>
    </w:p>
    <w:p w14:paraId="23079C3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系统需支持对发送的邮件在线阅览、检索查询，支持邮件自定义排序。</w:t>
      </w:r>
    </w:p>
    <w:p w14:paraId="39CE213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系统需支持对重要的邮件进行标星，根据邮件标记信息进行邮件查询。</w:t>
      </w:r>
    </w:p>
    <w:p w14:paraId="6880058D">
      <w:pPr>
        <w:numPr>
          <w:ilvl w:val="0"/>
          <w:numId w:val="1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垃圾箱</w:t>
      </w:r>
    </w:p>
    <w:p w14:paraId="133D3A6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系统需支持在垃圾箱中对已删除邮件进行查询、预览、彻底删除操作。</w:t>
      </w:r>
    </w:p>
    <w:p w14:paraId="2DA7C4FD">
      <w:pPr>
        <w:numPr>
          <w:ilvl w:val="0"/>
          <w:numId w:val="1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草稿箱</w:t>
      </w:r>
    </w:p>
    <w:p w14:paraId="209CA2F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系统需支持暂存未编辑完成的邮件为草稿，需支持草稿的查询、预览、继续编辑以及删除等操作。</w:t>
      </w:r>
    </w:p>
    <w:p w14:paraId="188774E0">
      <w:pPr>
        <w:pStyle w:val="6"/>
        <w:bidi w:val="0"/>
        <w:rPr>
          <w:rFonts w:hint="eastAsia"/>
          <w:lang w:val="en-US" w:eastAsia="zh-CN"/>
        </w:rPr>
      </w:pPr>
      <w:r>
        <w:rPr>
          <w:rFonts w:hint="eastAsia"/>
          <w:lang w:val="en-US" w:eastAsia="zh-CN"/>
        </w:rPr>
        <w:t>电子公告</w:t>
      </w:r>
    </w:p>
    <w:p w14:paraId="0250C72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系统需提供电子公告的发布、接收管理功能。</w:t>
      </w:r>
    </w:p>
    <w:p w14:paraId="1540EB02">
      <w:pPr>
        <w:numPr>
          <w:ilvl w:val="0"/>
          <w:numId w:val="1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公告发布</w:t>
      </w:r>
    </w:p>
    <w:p w14:paraId="625AF84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机构内部的电子公告维护、发布，可方便地发布公共信息、通知、通报、简报、新闻、规章制度等。支持对公告发布权限进行管理，支持公告接收部门或人员的自由选择。支持与疾控中心微信公众号、网站信息同步发布。</w:t>
      </w:r>
    </w:p>
    <w:p w14:paraId="0FEADE9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系统需支持以列表形式进行公告信息展示，支持通过多维条件进行查询，支持公告详情以及附件信息在线预览。</w:t>
      </w:r>
    </w:p>
    <w:p w14:paraId="28B6FBED">
      <w:pPr>
        <w:numPr>
          <w:ilvl w:val="0"/>
          <w:numId w:val="1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公告接收</w:t>
      </w:r>
    </w:p>
    <w:p w14:paraId="64DE3F1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系统需支持公告接收提醒、用户查询浏览已接收到的公告信息；支持对已接收的公告信息进行分类归档，支持对已归档公告进行预览查看，支持通过多维条件进行查询。</w:t>
      </w:r>
    </w:p>
    <w:p w14:paraId="6771526F">
      <w:pPr>
        <w:pStyle w:val="6"/>
        <w:bidi w:val="0"/>
        <w:rPr>
          <w:rFonts w:hint="eastAsia"/>
          <w:lang w:val="en-US" w:eastAsia="zh-CN"/>
        </w:rPr>
      </w:pPr>
      <w:r>
        <w:rPr>
          <w:rFonts w:hint="eastAsia"/>
          <w:lang w:val="en-US" w:eastAsia="zh-CN"/>
        </w:rPr>
        <w:t>会议管理</w:t>
      </w:r>
    </w:p>
    <w:p w14:paraId="0C0A309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系统需提供会议的申请、审批、通知、查询管理功能。</w:t>
      </w:r>
    </w:p>
    <w:p w14:paraId="261CEC37">
      <w:pPr>
        <w:numPr>
          <w:ilvl w:val="0"/>
          <w:numId w:val="12"/>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会议申请</w:t>
      </w:r>
    </w:p>
    <w:p w14:paraId="77E4BBB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系统需支持会议流程的发起申请，支持申请新增、编辑、删除、暂存等操作；支持对创建会议流程申请进行提交；支持对已提交的会议流程申请进行撤回，撤回后可以重新对申请内容进行编辑。</w:t>
      </w:r>
    </w:p>
    <w:p w14:paraId="7F9BE60A">
      <w:pPr>
        <w:numPr>
          <w:ilvl w:val="0"/>
          <w:numId w:val="12"/>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会议审批</w:t>
      </w:r>
    </w:p>
    <w:p w14:paraId="3791C61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系统需支持对会议审批流程进行自定义配置；支持对提交的会议流程进行审批。</w:t>
      </w:r>
    </w:p>
    <w:p w14:paraId="6DA988C8">
      <w:pPr>
        <w:numPr>
          <w:ilvl w:val="0"/>
          <w:numId w:val="12"/>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会议通知</w:t>
      </w:r>
    </w:p>
    <w:p w14:paraId="6D52293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系统需支持会议审批通过后，系统自动向参会人员发送会议通知消息；参会人员接收参会通知后，系统支持自动进行会议接收回执反馈。</w:t>
      </w:r>
    </w:p>
    <w:p w14:paraId="69506E50">
      <w:pPr>
        <w:numPr>
          <w:ilvl w:val="0"/>
          <w:numId w:val="12"/>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会议查询</w:t>
      </w:r>
    </w:p>
    <w:p w14:paraId="67DAD8A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系统需支持对会议信息以列表形式展示，支持进行自定义检索查询；支持对会议详细内容进行查看展示，支持会议详情及附件内容在线预览。</w:t>
      </w:r>
    </w:p>
    <w:p w14:paraId="2FAA9656">
      <w:pPr>
        <w:pStyle w:val="6"/>
        <w:bidi w:val="0"/>
        <w:rPr>
          <w:rFonts w:hint="eastAsia"/>
          <w:lang w:val="en-US" w:eastAsia="zh-CN"/>
        </w:rPr>
      </w:pPr>
      <w:r>
        <w:rPr>
          <w:rFonts w:hint="eastAsia"/>
          <w:lang w:val="en-US" w:eastAsia="zh-CN"/>
        </w:rPr>
        <w:t>即时通讯</w:t>
      </w:r>
    </w:p>
    <w:p w14:paraId="512341A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即时通信功能，支持多种部署模式，更好适应各种复杂环境。集成各种应用消息集成待办项即时提醒和即时处理，提供即时通信功能和丰富的API接口，提供功能全面，高性能，高稳定成熟的即时通信系统（支持集成多人视频会商功能），并实现优质的个性化定制服务。</w:t>
      </w:r>
    </w:p>
    <w:p w14:paraId="1C4C6752">
      <w:pPr>
        <w:numPr>
          <w:ilvl w:val="0"/>
          <w:numId w:val="13"/>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单群聊对话</w:t>
      </w:r>
    </w:p>
    <w:p w14:paraId="01DA829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系统需支持一对一对话及群聊对话，支持在沟通过程中发送文字、图片等多种类型消息，支持接收消息提醒以及聊天记录的在线查询。</w:t>
      </w:r>
    </w:p>
    <w:p w14:paraId="20CB7EF7">
      <w:pPr>
        <w:numPr>
          <w:ilvl w:val="0"/>
          <w:numId w:val="13"/>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群组管理</w:t>
      </w:r>
    </w:p>
    <w:p w14:paraId="10ECFDC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聊天群组创建，创建群组时可搜索添加群成员，支持对群组名称进行维护。支持群组管理人员对群成员进行管理，支持群成员添加以及删除。支持对群成员权限进行管理，支持群管理员添加、删除以及转移，支持对群内文件、公告等信息权限管理。</w:t>
      </w:r>
    </w:p>
    <w:p w14:paraId="5460A827">
      <w:pPr>
        <w:numPr>
          <w:ilvl w:val="0"/>
          <w:numId w:val="13"/>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文件管理</w:t>
      </w:r>
    </w:p>
    <w:p w14:paraId="5DA68B6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系统需支持线上文件传输，用户可在聊天过程中上传和接收文件，文件类型包括文档、图片等。系统需支持对线上文件传输的文件进行管理，支持文件下载、转发，以及在线预览。</w:t>
      </w:r>
    </w:p>
    <w:p w14:paraId="11BD78F6">
      <w:pPr>
        <w:pStyle w:val="5"/>
        <w:bidi w:val="0"/>
        <w:rPr>
          <w:rFonts w:hint="eastAsia"/>
          <w:lang w:val="en-US" w:eastAsia="zh-CN"/>
        </w:rPr>
      </w:pPr>
      <w:bookmarkStart w:id="11" w:name="_Toc17805"/>
      <w:r>
        <w:rPr>
          <w:rFonts w:hint="eastAsia"/>
          <w:lang w:val="en-US" w:eastAsia="zh-CN"/>
        </w:rPr>
        <w:t>疾控人员管理</w:t>
      </w:r>
      <w:bookmarkEnd w:id="11"/>
    </w:p>
    <w:p w14:paraId="4565E40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疾控人员管理需实现青海省疾控体系人员的信息化管理，并且针对人才梯队建设，人员考勤等提供应用服务。</w:t>
      </w:r>
    </w:p>
    <w:p w14:paraId="3EEB38D3">
      <w:pPr>
        <w:pStyle w:val="6"/>
        <w:bidi w:val="0"/>
        <w:rPr>
          <w:rFonts w:hint="eastAsia"/>
          <w:lang w:val="en-US" w:eastAsia="zh-CN"/>
        </w:rPr>
      </w:pPr>
      <w:r>
        <w:rPr>
          <w:rFonts w:hint="eastAsia"/>
          <w:lang w:val="en-US" w:eastAsia="zh-CN"/>
        </w:rPr>
        <w:t>人员信息管理</w:t>
      </w:r>
    </w:p>
    <w:p w14:paraId="0D22FA7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对疾控人员进行信息数据管理，进行组织机构的建立，人员基础信息、家庭成员情况、年度健康体检、党员信息、因公出国、违规违法、年度考核、获得荣誉、参加技能竞赛、驻村帮扶、基层挂职、社会兼职、兼任研究生导师、实习带教等数据展示，各科室相关信息的数据汇总，实现省，市县疾控体系干系人统一管理，为个人信息等提供数据支持，同时为应急业务开展建立联系网络。</w:t>
      </w:r>
    </w:p>
    <w:p w14:paraId="27DB7C7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系统需支持用户对人员信息进行填报管理，支持信息新增、编辑、删除等业务操作；支持上级用户对已填报的人员信息进行审核，支持审核意见在线反馈，支持审核通过及驳回修改等操作。</w:t>
      </w:r>
    </w:p>
    <w:p w14:paraId="379ECF7E">
      <w:pPr>
        <w:pStyle w:val="6"/>
        <w:bidi w:val="0"/>
        <w:rPr>
          <w:rFonts w:hint="eastAsia"/>
          <w:lang w:val="en-US" w:eastAsia="zh-CN"/>
        </w:rPr>
      </w:pPr>
      <w:r>
        <w:rPr>
          <w:rFonts w:hint="eastAsia"/>
          <w:lang w:val="en-US" w:eastAsia="zh-CN"/>
        </w:rPr>
        <w:t>人才信息管理</w:t>
      </w:r>
    </w:p>
    <w:p w14:paraId="7006B38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对疾控人员人才体系进行系统性管理，主要包含个人岗位情况、职称情况、科研课题情况、成果及科研奖项情况、专利申报情况，标准申报情况、三新项目情况、论著及论文发表情况、师资及带教情况（包含硕士导师、公卫医师规培、FETP项目导师、实习生带教老师等）、外出参会情况（包含学术会议、交流发言等）、继续教育情况；培训进修情况；下乡督导情况、人才称号情况、社会组织（学协会、专委会等）任职情况等。</w:t>
      </w:r>
    </w:p>
    <w:p w14:paraId="30ADC20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系统需支持信息个人填报、上级审核功能。</w:t>
      </w:r>
    </w:p>
    <w:p w14:paraId="72CF4A6E">
      <w:pPr>
        <w:pStyle w:val="6"/>
        <w:bidi w:val="0"/>
        <w:rPr>
          <w:rFonts w:hint="eastAsia"/>
          <w:lang w:val="en-US" w:eastAsia="zh-CN"/>
        </w:rPr>
      </w:pPr>
      <w:r>
        <w:rPr>
          <w:rFonts w:hint="eastAsia"/>
          <w:lang w:val="en-US" w:eastAsia="zh-CN"/>
        </w:rPr>
        <w:t>考勤管理</w:t>
      </w:r>
    </w:p>
    <w:p w14:paraId="5F51B38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系统需支持对疾控人员的请假信息相关数据管理，可以对某人、某科室、某机构的人员请假考勤数据进行统计汇总和相关需求的数据展示。</w:t>
      </w:r>
    </w:p>
    <w:p w14:paraId="2A5071EB">
      <w:pPr>
        <w:numPr>
          <w:ilvl w:val="0"/>
          <w:numId w:val="14"/>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考勤信息管理</w:t>
      </w:r>
    </w:p>
    <w:p w14:paraId="666D4F4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系统需支持对考勤信息进行管理，提供自动化考勤管理功能，支持对考勤对象的出勤等信息进行记录管理。</w:t>
      </w:r>
    </w:p>
    <w:p w14:paraId="24569095">
      <w:pPr>
        <w:numPr>
          <w:ilvl w:val="0"/>
          <w:numId w:val="14"/>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假勤信息申请</w:t>
      </w:r>
    </w:p>
    <w:p w14:paraId="6103ECC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系统需支持对考勤对象从系统内发起事假、病假及年休假等假勤申请，支持录入请假类型、请假时间、请假原因等信息。</w:t>
      </w:r>
    </w:p>
    <w:p w14:paraId="2022DD1E">
      <w:pPr>
        <w:numPr>
          <w:ilvl w:val="0"/>
          <w:numId w:val="14"/>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假勤信息审核</w:t>
      </w:r>
    </w:p>
    <w:p w14:paraId="50419B7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系统需支持对考勤对象提交的事假、病假及年休假等假勤信息进行审核，支持审核通过或退回，支持审核信息转发。</w:t>
      </w:r>
    </w:p>
    <w:p w14:paraId="49BDAAFA">
      <w:pPr>
        <w:numPr>
          <w:ilvl w:val="0"/>
          <w:numId w:val="14"/>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考勤信息统计</w:t>
      </w:r>
    </w:p>
    <w:p w14:paraId="793199C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系统需支持对考勤对象的考勤信息进行统计分析，支持统计分析结果的汇总，支持通过多维条件进行结果查询及导出。</w:t>
      </w:r>
    </w:p>
    <w:p w14:paraId="0659EEFA">
      <w:pPr>
        <w:pStyle w:val="6"/>
        <w:bidi w:val="0"/>
        <w:rPr>
          <w:rFonts w:hint="eastAsia"/>
          <w:lang w:val="en-US" w:eastAsia="zh-CN"/>
        </w:rPr>
      </w:pPr>
      <w:r>
        <w:rPr>
          <w:rFonts w:hint="eastAsia"/>
          <w:lang w:val="en-US" w:eastAsia="zh-CN"/>
        </w:rPr>
        <w:t>通讯录</w:t>
      </w:r>
    </w:p>
    <w:p w14:paraId="03F3FE3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系统需提供机构科室人员通讯录模块，实现机构平台通讯录统一信息管理，支持移动端设备通讯录模块快速调阅。</w:t>
      </w:r>
    </w:p>
    <w:p w14:paraId="36AB3AB6">
      <w:pPr>
        <w:numPr>
          <w:ilvl w:val="0"/>
          <w:numId w:val="15"/>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系统需支持对部门、科室人员通讯信息进行维护管理，包括人员基础信息、联系方式、所属部门等信息，支持人员信息的新增、编辑、删除等操作。</w:t>
      </w:r>
    </w:p>
    <w:p w14:paraId="3CB850E7">
      <w:pPr>
        <w:numPr>
          <w:ilvl w:val="0"/>
          <w:numId w:val="15"/>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系统需支持对人员通讯信息进行整合，并以通讯录形式进行展示，支持通过姓名、部门、联系电话等条件进行查询。</w:t>
      </w:r>
    </w:p>
    <w:p w14:paraId="289C1496">
      <w:pPr>
        <w:pStyle w:val="6"/>
        <w:bidi w:val="0"/>
        <w:rPr>
          <w:rFonts w:hint="eastAsia"/>
          <w:lang w:val="en-US" w:eastAsia="zh-CN"/>
        </w:rPr>
      </w:pPr>
      <w:r>
        <w:rPr>
          <w:rFonts w:hint="eastAsia"/>
          <w:lang w:val="en-US" w:eastAsia="zh-CN"/>
        </w:rPr>
        <w:t>工资管理</w:t>
      </w:r>
    </w:p>
    <w:p w14:paraId="7B0763A9">
      <w:pPr>
        <w:numPr>
          <w:ilvl w:val="0"/>
          <w:numId w:val="16"/>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工资条维护</w:t>
      </w:r>
    </w:p>
    <w:p w14:paraId="62C54D3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系统需支持对个人工资信息进行维护管理，包括工资条的新建、编辑、删除等操作。</w:t>
      </w:r>
    </w:p>
    <w:p w14:paraId="6BA59B16">
      <w:pPr>
        <w:numPr>
          <w:ilvl w:val="0"/>
          <w:numId w:val="16"/>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工资条详情</w:t>
      </w:r>
    </w:p>
    <w:p w14:paraId="0B99330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系统需支持用户查看工资条详细信息，内容包括基本工资、奖金、津贴、补贴、个人所得税、社保扣除等信息，支持工资条信息确认。</w:t>
      </w:r>
    </w:p>
    <w:p w14:paraId="1084C2F8">
      <w:pPr>
        <w:pStyle w:val="6"/>
        <w:bidi w:val="0"/>
        <w:rPr>
          <w:rFonts w:hint="eastAsia"/>
          <w:lang w:val="en-US" w:eastAsia="zh-CN"/>
        </w:rPr>
      </w:pPr>
      <w:r>
        <w:rPr>
          <w:rFonts w:hint="eastAsia"/>
          <w:lang w:val="en-US" w:eastAsia="zh-CN"/>
        </w:rPr>
        <w:t>应急人员管理</w:t>
      </w:r>
    </w:p>
    <w:p w14:paraId="58173299">
      <w:pPr>
        <w:rPr>
          <w:rFonts w:hint="eastAsia" w:ascii="仿宋_GB2312" w:hAnsi="仿宋_GB2312" w:eastAsia="仿宋_GB2312" w:cs="仿宋_GB2312"/>
          <w:color w:val="auto"/>
          <w:lang w:val="en-US" w:eastAsia="zh-CN"/>
        </w:rPr>
      </w:pPr>
      <w:r>
        <w:rPr>
          <w:rFonts w:hint="eastAsia" w:ascii="仿宋_GB2312" w:hAnsi="仿宋_GB2312" w:eastAsia="仿宋_GB2312" w:cs="仿宋_GB2312"/>
          <w:lang w:val="en-US" w:eastAsia="zh-CN"/>
        </w:rPr>
        <w:t>需提供应急人员的维护、列表展示、多维条件查询、详情查看功能，实现针对应急队伍的人员管理。人员队伍包含疾病预防控制中心相关人员和医疗相关人员的</w:t>
      </w:r>
      <w:r>
        <w:rPr>
          <w:rFonts w:hint="eastAsia" w:ascii="仿宋_GB2312" w:hAnsi="仿宋_GB2312" w:eastAsia="仿宋_GB2312" w:cs="仿宋_GB2312"/>
          <w:color w:val="auto"/>
          <w:lang w:val="en-US" w:eastAsia="zh-CN"/>
        </w:rPr>
        <w:t>应急队员。应急队伍按照相关责任分为流调队伍，消杀队伍，实验室检测队伍等，每个队伍包含若干相关专业化人员，进行具体的突发事件的处理，同时应急人员管理信息与卫生应急资源保障综合管理信息系统协同共享。</w:t>
      </w:r>
    </w:p>
    <w:p w14:paraId="5F6F0321">
      <w:pPr>
        <w:pStyle w:val="6"/>
        <w:bidi w:val="0"/>
        <w:rPr>
          <w:rFonts w:hint="eastAsia"/>
          <w:lang w:val="en-US" w:eastAsia="zh-CN"/>
        </w:rPr>
      </w:pPr>
      <w:r>
        <w:rPr>
          <w:rFonts w:hint="eastAsia"/>
          <w:lang w:val="en-US" w:eastAsia="zh-CN"/>
        </w:rPr>
        <w:t>荣誉表彰记录</w:t>
      </w:r>
    </w:p>
    <w:p w14:paraId="65D5416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系统需分别提供对机构荣誉、部门荣誉、个人荣誉的记录汇总管理功能，支持对相关荣誉信息进行新建、编辑、删除。</w:t>
      </w:r>
    </w:p>
    <w:p w14:paraId="142B868E">
      <w:pPr>
        <w:pStyle w:val="5"/>
        <w:bidi w:val="0"/>
        <w:rPr>
          <w:rFonts w:hint="eastAsia"/>
          <w:lang w:val="en-US" w:eastAsia="zh-CN"/>
        </w:rPr>
      </w:pPr>
      <w:bookmarkStart w:id="12" w:name="_Toc23281"/>
      <w:r>
        <w:rPr>
          <w:rFonts w:hint="eastAsia"/>
          <w:lang w:val="en-US" w:eastAsia="zh-CN"/>
        </w:rPr>
        <w:t>工作任务管理</w:t>
      </w:r>
      <w:bookmarkEnd w:id="12"/>
    </w:p>
    <w:p w14:paraId="7E8F7CE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工作任务管理需实现对日常任务的发起、接收、执行等进行信息化流程管理。</w:t>
      </w:r>
    </w:p>
    <w:p w14:paraId="57B7D631">
      <w:pPr>
        <w:pStyle w:val="6"/>
        <w:bidi w:val="0"/>
        <w:rPr>
          <w:rFonts w:hint="eastAsia"/>
          <w:lang w:val="en-US" w:eastAsia="zh-CN"/>
        </w:rPr>
      </w:pPr>
      <w:r>
        <w:rPr>
          <w:rFonts w:hint="eastAsia"/>
          <w:lang w:val="en-US" w:eastAsia="zh-CN"/>
        </w:rPr>
        <w:t>工作任务安排</w:t>
      </w:r>
    </w:p>
    <w:p w14:paraId="14D7D8A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系统需支持工作任务的创建发起，内容包括任务主题、任务内容、任务执行部门或人员，支持任务新建、编辑、删除已执行对象选择等操作。</w:t>
      </w:r>
    </w:p>
    <w:p w14:paraId="4BA17B2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系统需支持对已创建的工作任务信息以列表形式进行展示，支持对任务详情及执行反馈情况进行检索查询。</w:t>
      </w:r>
    </w:p>
    <w:p w14:paraId="6E6870BD">
      <w:pPr>
        <w:pStyle w:val="6"/>
        <w:bidi w:val="0"/>
        <w:rPr>
          <w:rFonts w:hint="eastAsia"/>
          <w:lang w:val="en-US" w:eastAsia="zh-CN"/>
        </w:rPr>
      </w:pPr>
      <w:r>
        <w:rPr>
          <w:rFonts w:hint="eastAsia"/>
          <w:lang w:val="en-US" w:eastAsia="zh-CN"/>
        </w:rPr>
        <w:t>工作任务接收转发</w:t>
      </w:r>
    </w:p>
    <w:p w14:paraId="22266C8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系统需支持对分配给本部门或本人的工作任务进行接收并自动推送回执消息。</w:t>
      </w:r>
    </w:p>
    <w:p w14:paraId="1B04CF2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系统需支持对分配的工作任务进行转发，用户可选择转发的部门以及人员，转发后可向转发对象发送任务提醒消息。</w:t>
      </w:r>
    </w:p>
    <w:p w14:paraId="192EE179">
      <w:pPr>
        <w:pStyle w:val="6"/>
        <w:bidi w:val="0"/>
        <w:rPr>
          <w:rFonts w:hint="eastAsia"/>
          <w:lang w:val="en-US" w:eastAsia="zh-CN"/>
        </w:rPr>
      </w:pPr>
      <w:r>
        <w:rPr>
          <w:rFonts w:hint="eastAsia"/>
          <w:lang w:val="en-US" w:eastAsia="zh-CN"/>
        </w:rPr>
        <w:t>工作任务督办提醒</w:t>
      </w:r>
    </w:p>
    <w:p w14:paraId="6E41865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系统需支持对已创建的工作任务的执行情况跟踪，支持任务接收与执行的一键督办。</w:t>
      </w:r>
    </w:p>
    <w:p w14:paraId="11AB04A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系统需支持在任务创建选择执行对象后，对已推送的工作任务进行任务提醒消息。</w:t>
      </w:r>
    </w:p>
    <w:p w14:paraId="72025165">
      <w:pPr>
        <w:pStyle w:val="6"/>
        <w:bidi w:val="0"/>
        <w:rPr>
          <w:rFonts w:hint="eastAsia"/>
          <w:lang w:val="en-US" w:eastAsia="zh-CN"/>
        </w:rPr>
      </w:pPr>
      <w:r>
        <w:rPr>
          <w:rFonts w:hint="eastAsia"/>
          <w:lang w:val="en-US" w:eastAsia="zh-CN"/>
        </w:rPr>
        <w:t>执行结果反馈</w:t>
      </w:r>
    </w:p>
    <w:p w14:paraId="0E958B8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系统需支持对已接收工作任务的执行结果进行反馈录入；支持对任务执行结果进行查询、查看。</w:t>
      </w:r>
    </w:p>
    <w:p w14:paraId="5EE48DF6">
      <w:pPr>
        <w:pStyle w:val="6"/>
        <w:bidi w:val="0"/>
        <w:rPr>
          <w:rFonts w:hint="eastAsia"/>
          <w:lang w:val="en-US" w:eastAsia="zh-CN"/>
        </w:rPr>
      </w:pPr>
      <w:r>
        <w:rPr>
          <w:rFonts w:hint="eastAsia"/>
          <w:lang w:val="en-US" w:eastAsia="zh-CN"/>
        </w:rPr>
        <w:t>工作任务日志记录</w:t>
      </w:r>
    </w:p>
    <w:p w14:paraId="2FFACD5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系统需支持对工作任务发起、接收、执行、反馈等关键性节点信息，时间轴记录关键性节点信息；支持对工作任务日志详情进行查看。</w:t>
      </w:r>
    </w:p>
    <w:p w14:paraId="6F545DA9">
      <w:pPr>
        <w:pStyle w:val="6"/>
        <w:bidi w:val="0"/>
        <w:rPr>
          <w:rFonts w:hint="eastAsia"/>
          <w:lang w:val="en-US" w:eastAsia="zh-CN"/>
        </w:rPr>
      </w:pPr>
      <w:r>
        <w:rPr>
          <w:rFonts w:hint="eastAsia"/>
          <w:lang w:val="en-US" w:eastAsia="zh-CN"/>
        </w:rPr>
        <w:t>工作任务结果评价</w:t>
      </w:r>
    </w:p>
    <w:p w14:paraId="1A2079B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系统需支持由工作任务主管人员对任务的执行结果进行评价，可自定义配置任务结果评价标准。</w:t>
      </w:r>
    </w:p>
    <w:p w14:paraId="585549C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系统需支持对已评价完成的工作任务结果信息进行查看，支持评价信息与任务信息的关联。</w:t>
      </w:r>
    </w:p>
    <w:p w14:paraId="12873CCB">
      <w:pPr>
        <w:pStyle w:val="6"/>
        <w:bidi w:val="0"/>
        <w:rPr>
          <w:rFonts w:hint="eastAsia"/>
          <w:lang w:val="en-US" w:eastAsia="zh-CN"/>
        </w:rPr>
      </w:pPr>
      <w:r>
        <w:rPr>
          <w:rFonts w:hint="eastAsia"/>
          <w:lang w:val="en-US" w:eastAsia="zh-CN"/>
        </w:rPr>
        <w:t>工作任务综合查询</w:t>
      </w:r>
    </w:p>
    <w:p w14:paraId="6E0A735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工作任务的安排、接收、执行及结果评价的流程进行追踪管理，支持以列表形式展示工作任务基本信息及节点进度信息。需支持对工作任务详情进行查询管理，支持通过多维条件进行查询，支持查看工作任务安排、接收转发、结果反馈及评价信息详情。</w:t>
      </w:r>
    </w:p>
    <w:p w14:paraId="19DC98ED">
      <w:pPr>
        <w:pStyle w:val="5"/>
        <w:bidi w:val="0"/>
        <w:rPr>
          <w:rFonts w:hint="eastAsia"/>
          <w:lang w:val="en-US" w:eastAsia="zh-CN"/>
        </w:rPr>
      </w:pPr>
      <w:bookmarkStart w:id="13" w:name="_Toc28732"/>
      <w:r>
        <w:rPr>
          <w:rFonts w:hint="eastAsia"/>
          <w:lang w:val="en-US" w:eastAsia="zh-CN"/>
        </w:rPr>
        <w:t>科研管理</w:t>
      </w:r>
      <w:bookmarkEnd w:id="13"/>
    </w:p>
    <w:p w14:paraId="65EFB4C7">
      <w:pPr>
        <w:pStyle w:val="6"/>
        <w:bidi w:val="0"/>
        <w:rPr>
          <w:rFonts w:hint="eastAsia"/>
          <w:lang w:val="en-US" w:eastAsia="zh-CN"/>
        </w:rPr>
      </w:pPr>
      <w:r>
        <w:rPr>
          <w:rFonts w:hint="eastAsia"/>
          <w:lang w:val="en-US" w:eastAsia="zh-CN"/>
        </w:rPr>
        <w:t>科研项目管理</w:t>
      </w:r>
    </w:p>
    <w:p w14:paraId="4693624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系统需支持对科研项目管理，包括申报批次管理、项目总览、项目申报、科室审核、项目初审、抽取专家、专家评审、项目推荐、项目立项、项目特殊管理、横向项目管理、项目延期管理、项目变更管理。</w:t>
      </w:r>
    </w:p>
    <w:p w14:paraId="36F14D41">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申报批次管理</w:t>
      </w:r>
    </w:p>
    <w:p w14:paraId="7F004C6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系统需支持对项目申报批次的维护和发布操作，申报批次信息维护完成发布之后，各科室部门人员便可以进行项目的申报操作。</w:t>
      </w:r>
    </w:p>
    <w:p w14:paraId="1D404BF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在申报人员填写项目申报信息时，系统需支持自动加载显示维护的默认信息，自动限制相关的限额信息填写，对不符合申报条件的人员可给出具体的提示，限制其进行项目申报。</w:t>
      </w:r>
    </w:p>
    <w:p w14:paraId="519DC9DF">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项目总览</w:t>
      </w:r>
    </w:p>
    <w:p w14:paraId="5B8D78E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系统需支持对项目信息的多条件组合查询检索、查看，查询结果支持表格的导出。</w:t>
      </w:r>
    </w:p>
    <w:p w14:paraId="6E5FC9DA">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项目申报</w:t>
      </w:r>
    </w:p>
    <w:p w14:paraId="2DAC6D4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系统需支持在线填写提交项目申报信息，需支持项目的撤回、删除、申报书导出。</w:t>
      </w:r>
    </w:p>
    <w:p w14:paraId="49CA92E3">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科室审核</w:t>
      </w:r>
    </w:p>
    <w:p w14:paraId="7DE88A0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系统需支持科室负责人对本科室申报的项目进行查看、审核操作。支持审核通过/不通过、审核意见填写操作，审核不通过的项目可自动退回至项目申报人员处，可以进行编辑重新提交。</w:t>
      </w:r>
    </w:p>
    <w:p w14:paraId="510C41DA">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项目初审</w:t>
      </w:r>
    </w:p>
    <w:p w14:paraId="271AE91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系统需支持科研管理部门的人员对科室审核通过的项目进行查看、审核操作。支持审核通过/不通过、审核意见填写操作，审核不通过的项目可自动退回至项目申报人员处，可以进行编辑重新提交。</w:t>
      </w:r>
    </w:p>
    <w:p w14:paraId="26F19DA5">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抽取专家</w:t>
      </w:r>
    </w:p>
    <w:p w14:paraId="1ED9FC5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对初审通过进入专家评审流程的所有项目，系统需支持对项目评审专家的分配操作，支持直接指定和随机抽取两种方式，可以单个项目分配也可以多个项目批量分配。支持给已经分配的评审专家推送消息提醒。</w:t>
      </w:r>
    </w:p>
    <w:p w14:paraId="1F416871">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专家评审</w:t>
      </w:r>
    </w:p>
    <w:p w14:paraId="2016CC8C">
      <w:pPr>
        <w:rPr>
          <w:rFonts w:hint="eastAsia" w:ascii="仿宋_GB2312" w:hAnsi="仿宋_GB2312" w:eastAsia="仿宋_GB2312" w:cs="仿宋_GB2312"/>
          <w:highlight w:val="none"/>
          <w:lang w:val="en-US" w:eastAsia="zh-CN"/>
        </w:rPr>
      </w:pPr>
      <w:r>
        <w:rPr>
          <w:rFonts w:hint="eastAsia" w:ascii="仿宋_GB2312" w:hAnsi="仿宋_GB2312" w:eastAsia="仿宋_GB2312" w:cs="仿宋_GB2312"/>
          <w:lang w:val="en-US" w:eastAsia="zh-CN"/>
        </w:rPr>
        <w:t>评审专家对分配到</w:t>
      </w:r>
      <w:r>
        <w:rPr>
          <w:rFonts w:hint="eastAsia" w:ascii="仿宋_GB2312" w:hAnsi="仿宋_GB2312" w:eastAsia="仿宋_GB2312" w:cs="仿宋_GB2312"/>
          <w:highlight w:val="none"/>
          <w:lang w:val="en-US" w:eastAsia="zh-CN"/>
        </w:rPr>
        <w:t>需要自己评审的项目，可在线查看、评审操作。系统需支持对评审专家隐藏能表明项目申报负责人员身份的信息，规避“人情评审”的干扰因素。</w:t>
      </w:r>
    </w:p>
    <w:p w14:paraId="21F6ADDC">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项目推荐</w:t>
      </w:r>
    </w:p>
    <w:p w14:paraId="74F623A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系统需支持科研管理部门人员查看所有项目的专家评审意见信息，并汇总专家评审信息，依据专家的评审意见进行最终的项目推荐提交操作。</w:t>
      </w:r>
    </w:p>
    <w:p w14:paraId="67E9BF8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系统需支持按照类别、得分等条件进行分组排序，汇总结果支持表格的导出。</w:t>
      </w:r>
    </w:p>
    <w:p w14:paraId="2990FF83">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项目立项</w:t>
      </w:r>
    </w:p>
    <w:p w14:paraId="2123934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系统需支持科研管理部门人员对最终确认立项的项目进行立项登记操作，不予立项的项目将归档至项目信息库中进行管理。</w:t>
      </w:r>
    </w:p>
    <w:p w14:paraId="65F486C0">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项目特殊管理</w:t>
      </w:r>
    </w:p>
    <w:p w14:paraId="64C1277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系统需支持对申报的项目进行编辑、删除操作，不受项目状态的限制。</w:t>
      </w:r>
    </w:p>
    <w:p w14:paraId="7C4F424C">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横向项目管理</w:t>
      </w:r>
    </w:p>
    <w:p w14:paraId="1F4D956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系统需支持横向项目管理，包括项目申报管理、项目合同的登记、项目文档上传，横向项目经费的管理。</w:t>
      </w:r>
    </w:p>
    <w:p w14:paraId="0FECF718">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项目延期管理</w:t>
      </w:r>
    </w:p>
    <w:p w14:paraId="3FAA0AD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系统需支持用户通过系统提交项目延期申请，审核完成后打印项目延期申请单。</w:t>
      </w:r>
    </w:p>
    <w:p w14:paraId="46147AF2">
      <w:pPr>
        <w:numPr>
          <w:ilvl w:val="0"/>
          <w:numId w:val="1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项目变更管理</w:t>
      </w:r>
    </w:p>
    <w:p w14:paraId="1A9260A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系统需支持项目立项后通过系统提交项目变更申请，允许修改的内容包括（基本资料、成员信息、项目预算），提交完成的变更申请需进行审核。</w:t>
      </w:r>
    </w:p>
    <w:p w14:paraId="6424474C">
      <w:pPr>
        <w:pStyle w:val="6"/>
        <w:bidi w:val="0"/>
        <w:rPr>
          <w:rFonts w:hint="eastAsia"/>
          <w:lang w:val="en-US" w:eastAsia="zh-CN"/>
        </w:rPr>
      </w:pPr>
      <w:r>
        <w:rPr>
          <w:rFonts w:hint="eastAsia"/>
          <w:lang w:val="en-US" w:eastAsia="zh-CN"/>
        </w:rPr>
        <w:t>项目过程管理</w:t>
      </w:r>
    </w:p>
    <w:p w14:paraId="0631D47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系统需支持对项目过程进行管理，包括任务书签署、任务书审核、中期汇总、中期汇报审核、项目验收申请、项目验收审核、进度详情查看、任务分配、进度登记、进度报告等功能。</w:t>
      </w:r>
    </w:p>
    <w:p w14:paraId="2EB3CA16">
      <w:pPr>
        <w:pStyle w:val="6"/>
        <w:bidi w:val="0"/>
        <w:rPr>
          <w:rFonts w:hint="eastAsia"/>
          <w:lang w:val="en-US" w:eastAsia="zh-CN"/>
        </w:rPr>
      </w:pPr>
      <w:r>
        <w:rPr>
          <w:rFonts w:hint="eastAsia"/>
          <w:lang w:val="en-US" w:eastAsia="zh-CN"/>
        </w:rPr>
        <w:t>科研成果管理</w:t>
      </w:r>
    </w:p>
    <w:p w14:paraId="4A2AC8C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包括论文、著作、著作权、专利、获奖、学术期刊任职、技术标准、科技成果等的科研成果进行管理，包括成果登记、科室审核、成果审核、成果评价管理、论文介绍信管理、应用证明管理、成果统计、成果综合查询功能。</w:t>
      </w:r>
    </w:p>
    <w:p w14:paraId="5844419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成果评价可分为个人评价、团队评价、科室评价三种方式，通过制定评价标准，依据立项项目得分、论文得分、获奖得分、专著得分、专利得分，最终得出总分。</w:t>
      </w:r>
    </w:p>
    <w:p w14:paraId="7D5C2D3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成果统计需提供包括成果综合统计、科室成果统计、成果论文统计、成果著作统计、成果著作权统计、成果专利统计、成果获奖统计、成果任职统计等不同维度的统计分析功能，支持查看明细、查看图表、导出。</w:t>
      </w:r>
    </w:p>
    <w:p w14:paraId="3143DA8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成果综合查询需提供所有类型成果（论文、著作、著作权、专利、获奖、任职）综合信息查询，包括成果登记信息、审核信息，相关附件等。</w:t>
      </w:r>
    </w:p>
    <w:p w14:paraId="4553ECDC">
      <w:pPr>
        <w:pStyle w:val="6"/>
        <w:bidi w:val="0"/>
        <w:rPr>
          <w:rFonts w:hint="eastAsia"/>
          <w:lang w:val="en-US" w:eastAsia="zh-CN"/>
        </w:rPr>
      </w:pPr>
      <w:r>
        <w:rPr>
          <w:rFonts w:hint="eastAsia"/>
          <w:lang w:val="en-US" w:eastAsia="zh-CN"/>
        </w:rPr>
        <w:t>科研奖励管理</w:t>
      </w:r>
    </w:p>
    <w:p w14:paraId="46D87C1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系统需支持对科研的奖励申报、奖励初审、专家抽取、材料上传、材料审核、申报初审、确认发放、奖金统计功能。</w:t>
      </w:r>
    </w:p>
    <w:p w14:paraId="3CD628F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可以进行奖励的申报，支持多种申报类型（论文、著作、著作权、专利、获奖、学术期刊任职、新技术业务开展、继续教育项目举办、重点学科建设）。申报信息填写完成后可提交、可撤回。</w:t>
      </w:r>
    </w:p>
    <w:p w14:paraId="7ECDAF9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奖金统计需支持多种申报类型（论文、著作、著作权、专利、获奖、学术期刊任职、新技术业务开展、继续教育项目举办、重点学科建设）的奖励统计，可按照年度、科室查看奖金汇总统计表。</w:t>
      </w:r>
    </w:p>
    <w:p w14:paraId="7C041C6C">
      <w:pPr>
        <w:pStyle w:val="6"/>
        <w:bidi w:val="0"/>
        <w:rPr>
          <w:rFonts w:hint="eastAsia"/>
          <w:lang w:val="en-US" w:eastAsia="zh-CN"/>
        </w:rPr>
      </w:pPr>
      <w:r>
        <w:rPr>
          <w:rFonts w:hint="eastAsia"/>
          <w:lang w:val="en-US" w:eastAsia="zh-CN"/>
        </w:rPr>
        <w:t>标准申报管理</w:t>
      </w:r>
    </w:p>
    <w:p w14:paraId="6B23E55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系统需支持标准申报管理，包括标准登记申请、标准审批管理、标准评审管理、标准结果评价、标准宣贯等。</w:t>
      </w:r>
    </w:p>
    <w:p w14:paraId="64268555">
      <w:pPr>
        <w:pStyle w:val="6"/>
        <w:bidi w:val="0"/>
        <w:rPr>
          <w:rFonts w:hint="eastAsia"/>
          <w:lang w:val="en-US" w:eastAsia="zh-CN"/>
        </w:rPr>
      </w:pPr>
      <w:r>
        <w:rPr>
          <w:rFonts w:hint="eastAsia"/>
          <w:lang w:val="en-US" w:eastAsia="zh-CN"/>
        </w:rPr>
        <w:t>专利申报管理</w:t>
      </w:r>
    </w:p>
    <w:p w14:paraId="49BA1D6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系统需支持专利申报管理，包括专利登记申请、专利审批管理、专利评审管理、专利结果评价等。</w:t>
      </w:r>
    </w:p>
    <w:p w14:paraId="72751254">
      <w:pPr>
        <w:pStyle w:val="6"/>
        <w:bidi w:val="0"/>
        <w:rPr>
          <w:rFonts w:hint="eastAsia"/>
          <w:lang w:val="en-US" w:eastAsia="zh-CN"/>
        </w:rPr>
      </w:pPr>
      <w:r>
        <w:rPr>
          <w:rFonts w:hint="eastAsia"/>
          <w:lang w:val="en-US" w:eastAsia="zh-CN"/>
        </w:rPr>
        <w:t>论著及论文发表管理</w:t>
      </w:r>
    </w:p>
    <w:p w14:paraId="0E4DC6A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系统需支持论著及论文发表管理，包括论文审核、论文投稿管理、报销、备案登记、结果评价等全流程管理。</w:t>
      </w:r>
    </w:p>
    <w:p w14:paraId="0F6950DB">
      <w:pPr>
        <w:pStyle w:val="6"/>
        <w:bidi w:val="0"/>
        <w:rPr>
          <w:rFonts w:hint="eastAsia"/>
          <w:lang w:val="en-US" w:eastAsia="zh-CN"/>
        </w:rPr>
      </w:pPr>
      <w:r>
        <w:rPr>
          <w:rFonts w:hint="eastAsia"/>
          <w:lang w:val="en-US" w:eastAsia="zh-CN"/>
        </w:rPr>
        <w:t>科研伦理管理</w:t>
      </w:r>
    </w:p>
    <w:p w14:paraId="016341A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系统需支持科研伦理管理，包括伦理审查申请、伦理审核、指定专家、委员会审核、生成批件。</w:t>
      </w:r>
    </w:p>
    <w:p w14:paraId="0962AFCB">
      <w:pPr>
        <w:pStyle w:val="6"/>
        <w:bidi w:val="0"/>
        <w:rPr>
          <w:rFonts w:hint="eastAsia"/>
          <w:lang w:val="en-US" w:eastAsia="zh-CN"/>
        </w:rPr>
      </w:pPr>
      <w:r>
        <w:rPr>
          <w:rFonts w:hint="eastAsia"/>
          <w:lang w:val="en-US" w:eastAsia="zh-CN"/>
        </w:rPr>
        <w:t>科研经费管理</w:t>
      </w:r>
    </w:p>
    <w:p w14:paraId="1A3CBAF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研经费管理，包括经费入账管理、经费到账管理、经费预算申请、经费预算调整、经费支出申请、经费支出登记、经费支出明细、经费审批管理、经费虚分管理、经费报销管理、经费借款管理、经费延后使用管理、经费综合查询。</w:t>
      </w:r>
    </w:p>
    <w:p w14:paraId="2EAE0637">
      <w:pPr>
        <w:pStyle w:val="6"/>
        <w:bidi w:val="0"/>
        <w:rPr>
          <w:rFonts w:hint="eastAsia"/>
          <w:lang w:val="en-US" w:eastAsia="zh-CN"/>
        </w:rPr>
      </w:pPr>
      <w:r>
        <w:rPr>
          <w:rFonts w:hint="eastAsia"/>
          <w:lang w:val="en-US" w:eastAsia="zh-CN"/>
        </w:rPr>
        <w:t>科研绩效管理</w:t>
      </w:r>
    </w:p>
    <w:p w14:paraId="26E9A8D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系统需支持科研绩效管理，包括评价标准管理、研究团队管理、评价管理、个人评价展示。</w:t>
      </w:r>
    </w:p>
    <w:p w14:paraId="2B56E76A">
      <w:pPr>
        <w:pStyle w:val="6"/>
        <w:bidi w:val="0"/>
        <w:rPr>
          <w:rFonts w:hint="eastAsia"/>
          <w:lang w:val="en-US" w:eastAsia="zh-CN"/>
        </w:rPr>
      </w:pPr>
      <w:r>
        <w:rPr>
          <w:rFonts w:hint="eastAsia"/>
          <w:lang w:val="en-US" w:eastAsia="zh-CN"/>
        </w:rPr>
        <w:t>科研数据统计</w:t>
      </w:r>
    </w:p>
    <w:p w14:paraId="679D872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系统需支持科研数据统计，包括项目综合统计、人员项目统计、科室项目统计、项目经费统计、项目经费报销统计、项目经费支出统计、人员经费使用统计、科室经费使用统计、项目进度统计、项目进度统计。</w:t>
      </w:r>
    </w:p>
    <w:p w14:paraId="23C05086">
      <w:pPr>
        <w:pStyle w:val="6"/>
        <w:bidi w:val="0"/>
        <w:rPr>
          <w:rFonts w:hint="eastAsia"/>
          <w:lang w:val="en-US" w:eastAsia="zh-CN"/>
        </w:rPr>
      </w:pPr>
      <w:r>
        <w:rPr>
          <w:rFonts w:hint="eastAsia"/>
          <w:lang w:val="en-US" w:eastAsia="zh-CN"/>
        </w:rPr>
        <w:t>科研管理综合查询</w:t>
      </w:r>
    </w:p>
    <w:p w14:paraId="7631144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系统需支持科研管理综合查询，包括科研管理日志记录、科研节点追踪、科研管理详情的展示、多维条件查询、查看。</w:t>
      </w:r>
    </w:p>
    <w:p w14:paraId="32CF94AC">
      <w:pPr>
        <w:pStyle w:val="5"/>
        <w:bidi w:val="0"/>
        <w:rPr>
          <w:rFonts w:hint="eastAsia"/>
          <w:lang w:val="en-US" w:eastAsia="zh-CN"/>
        </w:rPr>
      </w:pPr>
      <w:bookmarkStart w:id="14" w:name="_Toc18145"/>
      <w:r>
        <w:rPr>
          <w:rFonts w:hint="eastAsia"/>
          <w:lang w:val="en-US" w:eastAsia="zh-CN"/>
        </w:rPr>
        <w:t>培训管理</w:t>
      </w:r>
      <w:bookmarkEnd w:id="14"/>
    </w:p>
    <w:p w14:paraId="1264B0A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培训管理需包括基层培训管理、单位内部培训管理、外出参会进修管理、专项培训管理等。</w:t>
      </w:r>
    </w:p>
    <w:p w14:paraId="1078DD5F">
      <w:pPr>
        <w:pStyle w:val="6"/>
        <w:bidi w:val="0"/>
        <w:rPr>
          <w:rFonts w:hint="eastAsia"/>
          <w:lang w:val="en-US" w:eastAsia="zh-CN"/>
        </w:rPr>
      </w:pPr>
      <w:r>
        <w:rPr>
          <w:rFonts w:hint="eastAsia"/>
          <w:lang w:val="en-US" w:eastAsia="zh-CN"/>
        </w:rPr>
        <w:t>基层培训管理</w:t>
      </w:r>
    </w:p>
    <w:p w14:paraId="7AD117F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基层培训管理需提供包括培训班计划申报、上级审核、培训班计划表发布、举办过程管理、举办后落实情况管理等功能。</w:t>
      </w:r>
    </w:p>
    <w:p w14:paraId="179C074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其中培训班计划申报内容包括培训项目、责任部门、拟培训时间、拟培训天数、计划培训经费（万元）、培训对象、计划培训人数等，可进行培训计划申报的新增、修改、删除、撤回等操作；培训班计划落实情况管理包括是否完成（未完成说明原因）、培训班名称、培训方式（线上/线下）、培训时间、培训天数、培训地点（明确至宾馆）、培训对象、实际培训人数、实际培训经费（元）、经费来源、培训评估方式、是否学分等。</w:t>
      </w:r>
    </w:p>
    <w:p w14:paraId="04360CDB">
      <w:pPr>
        <w:pStyle w:val="6"/>
        <w:bidi w:val="0"/>
        <w:rPr>
          <w:rFonts w:hint="eastAsia"/>
          <w:lang w:val="en-US" w:eastAsia="zh-CN"/>
        </w:rPr>
      </w:pPr>
      <w:r>
        <w:rPr>
          <w:rFonts w:hint="eastAsia"/>
          <w:lang w:val="en-US" w:eastAsia="zh-CN"/>
        </w:rPr>
        <w:t>单位内部培训管理</w:t>
      </w:r>
    </w:p>
    <w:p w14:paraId="39E152B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单位内部培训管理需支持中心各所、各部门组织对本单位人员开展的各项培训备案登记管理。</w:t>
      </w:r>
    </w:p>
    <w:p w14:paraId="04AFDAD5">
      <w:pPr>
        <w:pStyle w:val="6"/>
        <w:bidi w:val="0"/>
        <w:rPr>
          <w:rFonts w:hint="eastAsia"/>
          <w:lang w:val="en-US" w:eastAsia="zh-CN"/>
        </w:rPr>
      </w:pPr>
      <w:r>
        <w:rPr>
          <w:rFonts w:hint="eastAsia"/>
          <w:lang w:val="en-US" w:eastAsia="zh-CN"/>
        </w:rPr>
        <w:t>外出参会进修管理</w:t>
      </w:r>
    </w:p>
    <w:p w14:paraId="26E90CD9">
      <w:pPr>
        <w:numPr>
          <w:ilvl w:val="0"/>
          <w:numId w:val="1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外出参会培训</w:t>
      </w:r>
    </w:p>
    <w:p w14:paraId="0E766DD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外出参会培训包括中心人员参加的国家级、省级组织的各类专业培训情况备案登记管理（包含会议名称、会议内容、会议时间、会议地点、是否发言、是否有课件、报销情况等）。</w:t>
      </w:r>
    </w:p>
    <w:p w14:paraId="6F1A439A">
      <w:pPr>
        <w:numPr>
          <w:ilvl w:val="0"/>
          <w:numId w:val="1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进修</w:t>
      </w:r>
    </w:p>
    <w:p w14:paraId="7EC0D69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基层到省疾控中心进修管理包括进修登记、过程管理、证书发放等内容。</w:t>
      </w:r>
    </w:p>
    <w:p w14:paraId="3C62C36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省疾控中心人员外出进修管理指中国疾控中心等单位组织的计划内进修和各所（部门）业务需求进修，具体包括进修申请、上级审核、结束后备案登记等全过程管理。</w:t>
      </w:r>
    </w:p>
    <w:p w14:paraId="2EE486F4">
      <w:pPr>
        <w:pStyle w:val="6"/>
        <w:bidi w:val="0"/>
        <w:rPr>
          <w:rFonts w:hint="eastAsia"/>
          <w:lang w:val="en-US" w:eastAsia="zh-CN"/>
        </w:rPr>
      </w:pPr>
      <w:r>
        <w:rPr>
          <w:rFonts w:hint="eastAsia"/>
          <w:lang w:val="en-US" w:eastAsia="zh-CN"/>
        </w:rPr>
        <w:t>专项培训管理</w:t>
      </w:r>
    </w:p>
    <w:p w14:paraId="341E7DC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专项培训管理需实现对单位开展的国家级、省级专项人才培训项目，如现场流行病学培训项目（FETP）、公卫医师规范化培训等进行管理。其中现场流行病学培训项目通过学员招录、培训管理、结业考核等模块管理，实现国家级（CFETP）、中级、省级骨干人才现场流行病学培训项目的全过程管理；公卫医师规范化培训实现基地管理、师资管理、学员管理、考核管理、资金管理等全过程管理。</w:t>
      </w:r>
    </w:p>
    <w:p w14:paraId="6DA14C7D">
      <w:pPr>
        <w:pStyle w:val="5"/>
        <w:bidi w:val="0"/>
        <w:rPr>
          <w:rFonts w:hint="eastAsia"/>
          <w:lang w:val="en-US" w:eastAsia="zh-CN"/>
        </w:rPr>
      </w:pPr>
      <w:bookmarkStart w:id="15" w:name="_Toc31380"/>
      <w:r>
        <w:rPr>
          <w:rFonts w:hint="eastAsia"/>
          <w:lang w:val="en-US" w:eastAsia="zh-CN"/>
        </w:rPr>
        <w:t>继续教育管理</w:t>
      </w:r>
      <w:bookmarkEnd w:id="15"/>
    </w:p>
    <w:p w14:paraId="1F63A18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继续教育管理需包括继续医学教育管理、公需科目管理、其他继续教育管理。</w:t>
      </w:r>
    </w:p>
    <w:p w14:paraId="529F08B7">
      <w:pPr>
        <w:pStyle w:val="6"/>
        <w:bidi w:val="0"/>
        <w:rPr>
          <w:rFonts w:hint="eastAsia"/>
          <w:lang w:val="en-US" w:eastAsia="zh-CN"/>
        </w:rPr>
      </w:pPr>
      <w:r>
        <w:rPr>
          <w:rFonts w:hint="eastAsia"/>
          <w:lang w:val="en-US" w:eastAsia="zh-CN"/>
        </w:rPr>
        <w:t>继续医学教育管理</w:t>
      </w:r>
    </w:p>
    <w:p w14:paraId="17FF31D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继续医学教育管理需包括继续医学教育项目管理及个人学分管理。</w:t>
      </w:r>
    </w:p>
    <w:p w14:paraId="5CC32E3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继续医学教育项目管理需实现对单位继续医学教育项目申报（国家级、省级Ⅰ类、省级Ⅱ类）、项目举办前备案登记、项目举办过程管理、项目举办后反馈。</w:t>
      </w:r>
    </w:p>
    <w:p w14:paraId="24EB07AC">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个人学分管理包括录入、审核、上报、年度审验等内容的全过程管理。实现与全省继续医学教育系统的信息互通、数据对接。</w:t>
      </w:r>
    </w:p>
    <w:p w14:paraId="6AB153D0">
      <w:pPr>
        <w:pStyle w:val="6"/>
        <w:bidi w:val="0"/>
        <w:rPr>
          <w:rFonts w:hint="eastAsia"/>
          <w:color w:val="auto"/>
          <w:lang w:val="en-US" w:eastAsia="zh-CN"/>
        </w:rPr>
      </w:pPr>
      <w:r>
        <w:rPr>
          <w:rFonts w:hint="eastAsia"/>
          <w:color w:val="auto"/>
          <w:lang w:val="en-US" w:eastAsia="zh-CN"/>
        </w:rPr>
        <w:t>公需科目管理</w:t>
      </w:r>
    </w:p>
    <w:p w14:paraId="55490695">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公需科目管理需通过与青海干部网络学院平台对接，实现人员信息管理、在线学习、年度审验等数据同步。</w:t>
      </w:r>
    </w:p>
    <w:p w14:paraId="342B72B9">
      <w:pPr>
        <w:pStyle w:val="6"/>
        <w:bidi w:val="0"/>
        <w:rPr>
          <w:rFonts w:hint="eastAsia"/>
          <w:color w:val="auto"/>
          <w:lang w:val="en-US" w:eastAsia="zh-CN"/>
        </w:rPr>
      </w:pPr>
      <w:r>
        <w:rPr>
          <w:rFonts w:hint="eastAsia"/>
          <w:color w:val="auto"/>
          <w:lang w:val="en-US" w:eastAsia="zh-CN"/>
        </w:rPr>
        <w:t>其他继续教育管理</w:t>
      </w:r>
    </w:p>
    <w:p w14:paraId="6E071A17">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其他继续教育管理需通过与专项学习平台对接，实现人员在线学习、年度审验上报等数据同步。</w:t>
      </w:r>
    </w:p>
    <w:p w14:paraId="12D631ED">
      <w:pPr>
        <w:pStyle w:val="5"/>
        <w:bidi w:val="0"/>
        <w:rPr>
          <w:rFonts w:hint="eastAsia"/>
          <w:color w:val="auto"/>
          <w:lang w:val="en-US" w:eastAsia="zh-CN"/>
        </w:rPr>
      </w:pPr>
      <w:bookmarkStart w:id="16" w:name="_Toc1798"/>
      <w:r>
        <w:rPr>
          <w:rFonts w:hint="eastAsia"/>
          <w:color w:val="auto"/>
          <w:lang w:val="en-US" w:eastAsia="zh-CN"/>
        </w:rPr>
        <w:t>固定资产管理</w:t>
      </w:r>
      <w:bookmarkEnd w:id="16"/>
    </w:p>
    <w:p w14:paraId="633A38FF">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固定资产管理需包括固定资产的购置、验收及入库、资产卡片、资产变动、资产维修、资产计量、资产处置等环节管理。支持与卫生应急物资保障综合管理信息系统内应急物资信息的关联同步。</w:t>
      </w:r>
    </w:p>
    <w:p w14:paraId="743AED81">
      <w:pPr>
        <w:pStyle w:val="6"/>
        <w:bidi w:val="0"/>
        <w:rPr>
          <w:rFonts w:hint="eastAsia"/>
          <w:lang w:val="en-US" w:eastAsia="zh-CN"/>
        </w:rPr>
      </w:pPr>
      <w:r>
        <w:rPr>
          <w:rFonts w:hint="eastAsia"/>
          <w:lang w:val="en-US" w:eastAsia="zh-CN"/>
        </w:rPr>
        <w:t>资产购置</w:t>
      </w:r>
    </w:p>
    <w:p w14:paraId="7A13B08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资产购置管理需以全面预算为依据，对设备从预算填报、合同签订、采购订单、采购到货、采购入库、发票结算等环节进行规范化的管理和监控。设备科可根据各科室采购申请汇总形成采购计划，同时确定是否需要“招标采购”，以及“招标方式”“采购类型”。设备完成招标采购后，与供应商签订采购合同。</w:t>
      </w:r>
    </w:p>
    <w:p w14:paraId="540C18AC">
      <w:pPr>
        <w:pStyle w:val="6"/>
        <w:bidi w:val="0"/>
        <w:rPr>
          <w:rFonts w:hint="eastAsia"/>
          <w:lang w:val="en-US" w:eastAsia="zh-CN"/>
        </w:rPr>
      </w:pPr>
      <w:r>
        <w:rPr>
          <w:rFonts w:hint="eastAsia"/>
          <w:lang w:val="en-US" w:eastAsia="zh-CN"/>
        </w:rPr>
        <w:t>资产验收及入库</w:t>
      </w:r>
    </w:p>
    <w:p w14:paraId="4587280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资产验收及入库管理需实现业务科室、办公室等科室对设备的到货验收、性能验收、质保验收，各类验收情况均可在系统中记录留痕，支持不合格设备的退货处理，验收合格后进行入库操作。</w:t>
      </w:r>
    </w:p>
    <w:p w14:paraId="1CD7D1E2">
      <w:pPr>
        <w:pStyle w:val="6"/>
        <w:bidi w:val="0"/>
        <w:rPr>
          <w:rFonts w:hint="eastAsia"/>
          <w:lang w:val="en-US" w:eastAsia="zh-CN"/>
        </w:rPr>
      </w:pPr>
      <w:r>
        <w:rPr>
          <w:rFonts w:hint="eastAsia"/>
          <w:lang w:val="en-US" w:eastAsia="zh-CN"/>
        </w:rPr>
        <w:t>资产卡片</w:t>
      </w:r>
    </w:p>
    <w:p w14:paraId="2B94BBA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实现固定资产、无形资产、递延资产的管理，完成原始卡片录入、新增资产卡片录入、资产变动记录、资产评估、资产减值、计提折旧、资产减少、资产拆分、资产合并、资产调拨、资产盘点、账表查询功能。</w:t>
      </w:r>
    </w:p>
    <w:p w14:paraId="7836199F">
      <w:pPr>
        <w:pStyle w:val="6"/>
        <w:bidi w:val="0"/>
        <w:rPr>
          <w:rFonts w:hint="eastAsia"/>
          <w:lang w:val="en-US" w:eastAsia="zh-CN"/>
        </w:rPr>
      </w:pPr>
      <w:r>
        <w:rPr>
          <w:rFonts w:hint="eastAsia"/>
          <w:lang w:val="en-US" w:eastAsia="zh-CN"/>
        </w:rPr>
        <w:t>资产变动</w:t>
      </w:r>
    </w:p>
    <w:p w14:paraId="048B2FB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系统需实现资产变动管理，包括使用设备零部件变动、科室变动、原值变动、保管人变动、资金来源变动等，设备变动支持发起科室发起变动申请，相关科室批准，并将变动情况反写回资产卡片的相关页签。</w:t>
      </w:r>
    </w:p>
    <w:p w14:paraId="3D7B6A1B">
      <w:pPr>
        <w:pStyle w:val="6"/>
        <w:bidi w:val="0"/>
        <w:rPr>
          <w:rFonts w:hint="eastAsia"/>
          <w:lang w:val="en-US" w:eastAsia="zh-CN"/>
        </w:rPr>
      </w:pPr>
      <w:r>
        <w:rPr>
          <w:rFonts w:hint="eastAsia"/>
          <w:lang w:val="en-US" w:eastAsia="zh-CN"/>
        </w:rPr>
        <w:t>资产维修</w:t>
      </w:r>
    </w:p>
    <w:p w14:paraId="285635E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系统需支持维修申请提交，维修人员核实后可生成系统中的工单，并在工单上记录设备维修的相关情况。</w:t>
      </w:r>
    </w:p>
    <w:p w14:paraId="6BBD86A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系统需支持通过设置好的维修计划、维修合同等单据生成工单，维修人员根据工单按期进行维修维护。</w:t>
      </w:r>
    </w:p>
    <w:p w14:paraId="5206CAA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系统需支持对设备的维修次数、维修支出及维修人员的响应速度进行报表统计分析。</w:t>
      </w:r>
    </w:p>
    <w:p w14:paraId="567B9B8A">
      <w:pPr>
        <w:pStyle w:val="6"/>
        <w:bidi w:val="0"/>
        <w:rPr>
          <w:rFonts w:hint="eastAsia"/>
          <w:lang w:val="en-US" w:eastAsia="zh-CN"/>
        </w:rPr>
      </w:pPr>
      <w:r>
        <w:rPr>
          <w:rFonts w:hint="eastAsia"/>
          <w:lang w:val="en-US" w:eastAsia="zh-CN"/>
        </w:rPr>
        <w:t>资产计量</w:t>
      </w:r>
    </w:p>
    <w:p w14:paraId="7E07F9A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资产计量管理需实现包括对设备计量计划、计量记录管理、计量合格标志、计量清单及检测记录查询等进行设置。系统需支持通过系统进行相应计量计划的提醒。</w:t>
      </w:r>
    </w:p>
    <w:p w14:paraId="1F6844C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系统需支持对设备每次的计量情况进行记录，后期可按科室、设备名称等提供相关报表查询，如设备的计量清单、定期检测明细记录等。</w:t>
      </w:r>
    </w:p>
    <w:p w14:paraId="6EDAD0A4">
      <w:pPr>
        <w:pStyle w:val="6"/>
        <w:bidi w:val="0"/>
        <w:rPr>
          <w:rFonts w:hint="eastAsia"/>
          <w:lang w:val="en-US" w:eastAsia="zh-CN"/>
        </w:rPr>
      </w:pPr>
      <w:r>
        <w:rPr>
          <w:rFonts w:hint="eastAsia"/>
          <w:lang w:val="en-US" w:eastAsia="zh-CN"/>
        </w:rPr>
        <w:t>资产报废及清理</w:t>
      </w:r>
    </w:p>
    <w:p w14:paraId="722BBD7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系统需支持对于达到报废状态的资产，由业务科室在系统中申请，相关部门批复后进行设备报废登记及资产下账处理。</w:t>
      </w:r>
    </w:p>
    <w:p w14:paraId="2EC68921">
      <w:pPr>
        <w:pStyle w:val="5"/>
        <w:bidi w:val="0"/>
        <w:rPr>
          <w:rFonts w:hint="eastAsia"/>
          <w:lang w:val="en-US" w:eastAsia="zh-CN"/>
        </w:rPr>
      </w:pPr>
      <w:bookmarkStart w:id="17" w:name="_Toc16312"/>
      <w:r>
        <w:rPr>
          <w:rFonts w:hint="eastAsia"/>
          <w:lang w:val="en-US" w:eastAsia="zh-CN"/>
        </w:rPr>
        <w:t>图书室管理</w:t>
      </w:r>
      <w:bookmarkEnd w:id="17"/>
    </w:p>
    <w:p w14:paraId="5E1E691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图书室管理需支持图书室信息维护、书架管理、书刊采编、书刊流通、读者管理、设备对接、统计分析功能。</w:t>
      </w:r>
    </w:p>
    <w:p w14:paraId="508AE202">
      <w:pPr>
        <w:pStyle w:val="6"/>
        <w:bidi w:val="0"/>
        <w:rPr>
          <w:rFonts w:hint="eastAsia"/>
          <w:lang w:val="en-US" w:eastAsia="zh-CN"/>
        </w:rPr>
      </w:pPr>
      <w:r>
        <w:rPr>
          <w:rFonts w:hint="eastAsia"/>
          <w:lang w:val="en-US" w:eastAsia="zh-CN"/>
        </w:rPr>
        <w:t>图书室信息维护</w:t>
      </w:r>
    </w:p>
    <w:p w14:paraId="008E08F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图书室信息维护功能需支持图书室列表、图书室新增、图书室编辑、图书室删除、图书室启用、图书室删除等功能，启用后的图书室才能添加书架信息。</w:t>
      </w:r>
    </w:p>
    <w:p w14:paraId="3379E593">
      <w:pPr>
        <w:pStyle w:val="6"/>
        <w:bidi w:val="0"/>
        <w:rPr>
          <w:rFonts w:hint="eastAsia"/>
          <w:lang w:val="en-US" w:eastAsia="zh-CN"/>
        </w:rPr>
      </w:pPr>
      <w:r>
        <w:rPr>
          <w:rFonts w:hint="eastAsia"/>
          <w:lang w:val="en-US" w:eastAsia="zh-CN"/>
        </w:rPr>
        <w:t>书架管理</w:t>
      </w:r>
    </w:p>
    <w:p w14:paraId="3B7A263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书架管理需实现书架列表、书架新增、书架编辑、书架删除、书架启用、书架删除等操作。</w:t>
      </w:r>
    </w:p>
    <w:p w14:paraId="167A89F3">
      <w:pPr>
        <w:pStyle w:val="6"/>
        <w:bidi w:val="0"/>
        <w:rPr>
          <w:rFonts w:hint="eastAsia"/>
          <w:lang w:val="en-US" w:eastAsia="zh-CN"/>
        </w:rPr>
      </w:pPr>
      <w:r>
        <w:rPr>
          <w:rFonts w:hint="eastAsia"/>
          <w:lang w:val="en-US" w:eastAsia="zh-CN"/>
        </w:rPr>
        <w:t>书刊采编</w:t>
      </w:r>
    </w:p>
    <w:p w14:paraId="5C20694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书刊采编需实现图书编目、批次管理、期刊编目、期刊合订、期刊征订、分类辅导、馆藏地转移、书标打印功能。</w:t>
      </w:r>
    </w:p>
    <w:p w14:paraId="4EA3204B">
      <w:pPr>
        <w:pStyle w:val="6"/>
        <w:bidi w:val="0"/>
        <w:rPr>
          <w:rFonts w:hint="eastAsia"/>
          <w:lang w:val="en-US" w:eastAsia="zh-CN"/>
        </w:rPr>
      </w:pPr>
      <w:r>
        <w:rPr>
          <w:rFonts w:hint="eastAsia"/>
          <w:lang w:val="en-US" w:eastAsia="zh-CN"/>
        </w:rPr>
        <w:t>书刊流通</w:t>
      </w:r>
    </w:p>
    <w:p w14:paraId="3E2B63A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书刊流通需实现书刊查询、图书借还管理、超期管理、图书剔旧功能。</w:t>
      </w:r>
    </w:p>
    <w:p w14:paraId="1B00B5A1">
      <w:pPr>
        <w:pStyle w:val="6"/>
        <w:bidi w:val="0"/>
        <w:rPr>
          <w:rFonts w:hint="eastAsia"/>
          <w:lang w:val="en-US" w:eastAsia="zh-CN"/>
        </w:rPr>
      </w:pPr>
      <w:r>
        <w:rPr>
          <w:rFonts w:hint="eastAsia"/>
          <w:lang w:val="en-US" w:eastAsia="zh-CN"/>
        </w:rPr>
        <w:t>读者管理</w:t>
      </w:r>
    </w:p>
    <w:p w14:paraId="6848674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读者管理需支持读者查询及读者权限设置，支持在图书流通过程中，读者使用身份证进行身份信息识别。</w:t>
      </w:r>
    </w:p>
    <w:p w14:paraId="0366155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需支持对读者信息进行查询、新增、编辑、删除、批量导入、批量导出，支持重置读者密码、修改读者状态和权限。</w:t>
      </w:r>
    </w:p>
    <w:p w14:paraId="2DE5853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需支持通过权限名称和是否启用查询读者权限，可新增、删除、编辑权限。</w:t>
      </w:r>
    </w:p>
    <w:p w14:paraId="0DE12DF1">
      <w:pPr>
        <w:pStyle w:val="6"/>
        <w:bidi w:val="0"/>
        <w:rPr>
          <w:rFonts w:hint="eastAsia"/>
          <w:lang w:val="en-US" w:eastAsia="zh-CN"/>
        </w:rPr>
      </w:pPr>
      <w:r>
        <w:rPr>
          <w:rFonts w:hint="eastAsia"/>
          <w:lang w:val="en-US" w:eastAsia="zh-CN"/>
        </w:rPr>
        <w:t>设备对接</w:t>
      </w:r>
    </w:p>
    <w:p w14:paraId="22FCBDB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系统需支持与自主借还设备对接，实现图书自主借还。</w:t>
      </w:r>
    </w:p>
    <w:p w14:paraId="01E4F969">
      <w:pPr>
        <w:pStyle w:val="6"/>
        <w:bidi w:val="0"/>
        <w:rPr>
          <w:rFonts w:hint="eastAsia"/>
          <w:lang w:val="en-US" w:eastAsia="zh-CN"/>
        </w:rPr>
      </w:pPr>
      <w:r>
        <w:rPr>
          <w:rFonts w:hint="eastAsia"/>
          <w:lang w:val="en-US" w:eastAsia="zh-CN"/>
        </w:rPr>
        <w:t>图书室统计分析</w:t>
      </w:r>
    </w:p>
    <w:p w14:paraId="03148DB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系统需支持读者借阅排行、书刊借阅排行、流量数据统计、图书分类统计等大数据统计与分析。</w:t>
      </w:r>
    </w:p>
    <w:p w14:paraId="1A9CF43A">
      <w:pPr>
        <w:pStyle w:val="5"/>
        <w:bidi w:val="0"/>
        <w:rPr>
          <w:rFonts w:hint="eastAsia"/>
          <w:lang w:val="en-US" w:eastAsia="zh-CN"/>
        </w:rPr>
      </w:pPr>
      <w:bookmarkStart w:id="18" w:name="_Toc15740"/>
      <w:r>
        <w:rPr>
          <w:rFonts w:hint="eastAsia"/>
          <w:lang w:val="en-US" w:eastAsia="zh-CN"/>
        </w:rPr>
        <w:t>系统管理</w:t>
      </w:r>
      <w:bookmarkEnd w:id="18"/>
    </w:p>
    <w:p w14:paraId="7706A3AD">
      <w:pPr>
        <w:pStyle w:val="6"/>
        <w:bidi w:val="0"/>
        <w:rPr>
          <w:rFonts w:hint="eastAsia"/>
          <w:lang w:val="en-US" w:eastAsia="zh-CN"/>
        </w:rPr>
      </w:pPr>
      <w:r>
        <w:rPr>
          <w:rFonts w:hint="eastAsia"/>
          <w:lang w:val="en-US" w:eastAsia="zh-CN"/>
        </w:rPr>
        <w:t>协同办公组织机构管理</w:t>
      </w:r>
    </w:p>
    <w:p w14:paraId="5AE41C0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系统需支持协同办公组织机构信息进行管理维护，可通过层级划分实现权限范围信息获取，支持机构的新增、修改和删除。</w:t>
      </w:r>
    </w:p>
    <w:p w14:paraId="27594C12">
      <w:pPr>
        <w:pStyle w:val="6"/>
        <w:bidi w:val="0"/>
        <w:rPr>
          <w:rFonts w:hint="eastAsia"/>
          <w:lang w:val="en-US" w:eastAsia="zh-CN"/>
        </w:rPr>
      </w:pPr>
      <w:r>
        <w:rPr>
          <w:rFonts w:hint="eastAsia"/>
          <w:lang w:val="en-US" w:eastAsia="zh-CN"/>
        </w:rPr>
        <w:t>协同办公用户管理</w:t>
      </w:r>
    </w:p>
    <w:p w14:paraId="72D3762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系统需支持对协同办公用户信息进行管理，包括用户的新增、修改、删除、锁定等操作，已有用户支持以列表形式查询展示。</w:t>
      </w:r>
    </w:p>
    <w:p w14:paraId="71E865A1">
      <w:pPr>
        <w:pStyle w:val="6"/>
        <w:bidi w:val="0"/>
        <w:rPr>
          <w:rFonts w:hint="eastAsia"/>
          <w:lang w:val="en-US" w:eastAsia="zh-CN"/>
        </w:rPr>
      </w:pPr>
      <w:r>
        <w:rPr>
          <w:rFonts w:hint="eastAsia"/>
          <w:lang w:val="en-US" w:eastAsia="zh-CN"/>
        </w:rPr>
        <w:t>协同办公角色管理</w:t>
      </w:r>
    </w:p>
    <w:p w14:paraId="5E96F36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系统需支持对协同办公用户角色进行管理，包括角色信息新增、修改、删除以及角色权限的分配、撤回等操作。</w:t>
      </w:r>
    </w:p>
    <w:p w14:paraId="6368D2FA">
      <w:pPr>
        <w:pStyle w:val="4"/>
        <w:bidi w:val="0"/>
        <w:rPr>
          <w:rFonts w:hint="default"/>
          <w:lang w:val="en-US" w:eastAsia="zh-CN"/>
        </w:rPr>
      </w:pPr>
      <w:bookmarkStart w:id="19" w:name="_Toc18134"/>
      <w:r>
        <w:rPr>
          <w:rFonts w:hint="eastAsia"/>
          <w:lang w:val="en-US" w:eastAsia="zh-CN"/>
        </w:rPr>
        <w:t>综合运维管理系统</w:t>
      </w:r>
      <w:bookmarkEnd w:id="19"/>
    </w:p>
    <w:p w14:paraId="05317FC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综合运维管理系统需具备实时监控能力，可以对各业务系统的运行状态、性能数据进行全面收集和分析，确保系统的稳定运行。通过智能化的预警机制，系统能够及时发现潜在问题，为运维人员提供准确的故障信息和处理建议，大幅缩短故障恢复时间。通过便捷的故障排查工具，支持服务监控、日志分析功能，帮助运维人员快速定位问题根源，提高故障处理效率。</w:t>
      </w:r>
    </w:p>
    <w:p w14:paraId="528A6DAB">
      <w:pPr>
        <w:pStyle w:val="5"/>
        <w:bidi w:val="0"/>
        <w:rPr>
          <w:rFonts w:hint="eastAsia"/>
          <w:lang w:val="en-US" w:eastAsia="zh-CN"/>
        </w:rPr>
      </w:pPr>
      <w:bookmarkStart w:id="20" w:name="_Toc29767"/>
      <w:r>
        <w:rPr>
          <w:rFonts w:hint="eastAsia"/>
          <w:lang w:val="en-US" w:eastAsia="zh-CN"/>
        </w:rPr>
        <w:t>运维监控中心</w:t>
      </w:r>
      <w:bookmarkEnd w:id="20"/>
    </w:p>
    <w:p w14:paraId="42A1D96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运维监控中心需支持对硬件、软件和网络设备进行实时监控，以预防、检测和解决可能出现的问题，主要功能需包括应用服务监测、数据资源监测、传输任务监测。</w:t>
      </w:r>
    </w:p>
    <w:p w14:paraId="1DEF7602">
      <w:pPr>
        <w:pStyle w:val="6"/>
        <w:bidi w:val="0"/>
        <w:rPr>
          <w:rFonts w:hint="eastAsia"/>
          <w:lang w:val="en-US" w:eastAsia="zh-CN"/>
        </w:rPr>
      </w:pPr>
      <w:r>
        <w:rPr>
          <w:rFonts w:hint="eastAsia"/>
          <w:lang w:val="en-US" w:eastAsia="zh-CN"/>
        </w:rPr>
        <w:t>应用服务监测</w:t>
      </w:r>
    </w:p>
    <w:p w14:paraId="010CF83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应用服务监测需支持应用服务可用性监测、应用服务层业务监测、应用服务性能监测、应用服务层流量与负载均衡监测、应用服务层故障告警、应用服务层日志分析、响应时间监测、错误和异常监测、资源使用情况监测、事务处理监测、数据资源交换和调用情况监测。</w:t>
      </w:r>
    </w:p>
    <w:p w14:paraId="5814D5F9">
      <w:pPr>
        <w:numPr>
          <w:ilvl w:val="0"/>
          <w:numId w:val="1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应用服务可用性监测</w:t>
      </w:r>
    </w:p>
    <w:p w14:paraId="105FAE13">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系统需支持监测登录页面、关键服务接口、内部应用的响应时间和连通性。支持展示系统的实时运行状态，包括但不限于服务响应时间、状态码等。通过点击或拖拽，用户可以自由选择展示哪些监控指标，调整时间范围，放大查看细节，或对比不同时间段的数据。</w:t>
      </w:r>
    </w:p>
    <w:p w14:paraId="6546E838">
      <w:pPr>
        <w:numPr>
          <w:ilvl w:val="0"/>
          <w:numId w:val="19"/>
        </w:numPr>
        <w:ind w:left="0" w:leftChars="0" w:firstLine="56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应用服务层业务监测</w:t>
      </w:r>
    </w:p>
    <w:p w14:paraId="241667A4">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系统需支持对关键业务流程进行端到端监控，支持展示系统的业务运行数据，包括监测业务相关的关键性能指标(KPI)，如用户登录成功率、办理成功率等。</w:t>
      </w:r>
    </w:p>
    <w:p w14:paraId="41C2CE19">
      <w:pPr>
        <w:numPr>
          <w:ilvl w:val="0"/>
          <w:numId w:val="19"/>
        </w:numPr>
        <w:ind w:left="0" w:leftChars="0" w:firstLine="56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应用服务性能监测</w:t>
      </w:r>
    </w:p>
    <w:p w14:paraId="2E3CC656">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系统需支持展示系统的实时运行性能状态，包括但不限于监控服务器资源利用率（CPU、内存、磁盘空间、网络流量）、数据库性能指标、API调用响应时间等。通过点击或拖拽，用户可以自由选择展示哪些监控指标，调整时间范围，放大查看细节，或对比不同时间段的数据。</w:t>
      </w:r>
    </w:p>
    <w:p w14:paraId="662D8349">
      <w:pPr>
        <w:numPr>
          <w:ilvl w:val="0"/>
          <w:numId w:val="19"/>
        </w:numPr>
        <w:ind w:left="0" w:leftChars="0" w:firstLine="560" w:firstLineChars="200"/>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应用服务层流量与负载均衡监测</w:t>
      </w:r>
    </w:p>
    <w:p w14:paraId="499615B5">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系统需支持展示系统的实时运行流量与负载状态，包括但不限于各节点访问流量、应用的流量、负载均衡状态等。通过点击或拖拽，用户可以自由选择展示哪些监控指标，调整时间范围，放大查看细节，或对比不同时间段的数据。</w:t>
      </w:r>
    </w:p>
    <w:p w14:paraId="747A5A0F">
      <w:pPr>
        <w:numPr>
          <w:ilvl w:val="0"/>
          <w:numId w:val="1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应用服务层故障告警</w:t>
      </w:r>
    </w:p>
    <w:p w14:paraId="0452F55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系统需支持设置阈值和告警策略，一旦发现系统出现异常如超时、错误率上升等情况，根据预设的阈值和策略，立即触发告警，通过统一消息子系统等方式及时通知运维人员。</w:t>
      </w:r>
    </w:p>
    <w:p w14:paraId="21665B37">
      <w:pPr>
        <w:numPr>
          <w:ilvl w:val="0"/>
          <w:numId w:val="1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应用服务层日志分析</w:t>
      </w:r>
    </w:p>
    <w:p w14:paraId="28BEA7C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系统需支持收集和分析系统的操作日志、访问日志及错误日志，需支持日志搜索、过滤、解析。</w:t>
      </w:r>
    </w:p>
    <w:p w14:paraId="25172271">
      <w:pPr>
        <w:numPr>
          <w:ilvl w:val="0"/>
          <w:numId w:val="1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响应时间监测</w:t>
      </w:r>
    </w:p>
    <w:p w14:paraId="06350FA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系统需支持实时响应时间、响应时间趋势分析展示，支持响应时间超过预设阈值，则触发告警。</w:t>
      </w:r>
    </w:p>
    <w:p w14:paraId="09A6B8DF">
      <w:pPr>
        <w:numPr>
          <w:ilvl w:val="0"/>
          <w:numId w:val="1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错误和异常监测</w:t>
      </w:r>
    </w:p>
    <w:p w14:paraId="111BC36C">
      <w:pPr>
        <w:bidi w:val="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系统需支持错误日志查看、错误分类统计、错误详情查看、错误和异常监测告警。</w:t>
      </w:r>
    </w:p>
    <w:p w14:paraId="7824A39E">
      <w:pPr>
        <w:numPr>
          <w:ilvl w:val="0"/>
          <w:numId w:val="1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资源使用情况监测</w:t>
      </w:r>
    </w:p>
    <w:p w14:paraId="1A056838">
      <w:pPr>
        <w:bidi w:val="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系统需支持实时资源使用、资源使用趋势情况统计展示，支持资源告警。</w:t>
      </w:r>
    </w:p>
    <w:p w14:paraId="02D778FE">
      <w:pPr>
        <w:numPr>
          <w:ilvl w:val="0"/>
          <w:numId w:val="1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事务处理监测</w:t>
      </w:r>
    </w:p>
    <w:p w14:paraId="37C5148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系统需支持基于业务应用系统的埋点日志实现事务处理时间统计分析，支持事务跟踪告警。</w:t>
      </w:r>
    </w:p>
    <w:p w14:paraId="3F737E7D">
      <w:pPr>
        <w:numPr>
          <w:ilvl w:val="0"/>
          <w:numId w:val="1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数据资源交换和调用情况监测</w:t>
      </w:r>
    </w:p>
    <w:p w14:paraId="10B03C3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系统需支持基于业务应用系统的埋点日志实现数据流量监控、调用次数统计、调用详情查看。</w:t>
      </w:r>
    </w:p>
    <w:p w14:paraId="10AC2889">
      <w:pPr>
        <w:pStyle w:val="6"/>
        <w:bidi w:val="0"/>
        <w:rPr>
          <w:rFonts w:hint="eastAsia"/>
          <w:lang w:val="en-US" w:eastAsia="zh-CN"/>
        </w:rPr>
      </w:pPr>
      <w:r>
        <w:rPr>
          <w:rFonts w:hint="eastAsia"/>
          <w:lang w:val="en-US" w:eastAsia="zh-CN"/>
        </w:rPr>
        <w:t>数据资源监测</w:t>
      </w:r>
    </w:p>
    <w:p w14:paraId="3E4A383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数据资源支撑层监测需提供数据资源概览、数据存储监测、数据生命周期监测、数据访问监测、数据资源性能监测、日志分析等功能。</w:t>
      </w:r>
    </w:p>
    <w:p w14:paraId="52F9B2D9">
      <w:pPr>
        <w:numPr>
          <w:ilvl w:val="0"/>
          <w:numId w:val="2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数据资源概览</w:t>
      </w:r>
    </w:p>
    <w:p w14:paraId="17E8A6D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系统需支持资源分布图、容量使用情况、活跃度统计展示。</w:t>
      </w:r>
    </w:p>
    <w:p w14:paraId="135418FA">
      <w:pPr>
        <w:numPr>
          <w:ilvl w:val="0"/>
          <w:numId w:val="2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数据存储监测</w:t>
      </w:r>
    </w:p>
    <w:p w14:paraId="4D401C3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系统需支持存储使用趋势、热点数据识别、存储健康状态监测展示。</w:t>
      </w:r>
    </w:p>
    <w:p w14:paraId="1A6CE56A">
      <w:pPr>
        <w:numPr>
          <w:ilvl w:val="0"/>
          <w:numId w:val="2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数据生命周期监测</w:t>
      </w:r>
    </w:p>
    <w:p w14:paraId="03ECC9E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系统需支持基于业务应用系统的埋点日志实现数据老化监控、自动清理提醒。</w:t>
      </w:r>
    </w:p>
    <w:p w14:paraId="5E28C775">
      <w:pPr>
        <w:numPr>
          <w:ilvl w:val="0"/>
          <w:numId w:val="2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数据访问监测</w:t>
      </w:r>
    </w:p>
    <w:p w14:paraId="735E8ED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系统需支持基于业务应用系统的埋点日志实现访问频次统计、访问来源分析、性能瓶颈识别。</w:t>
      </w:r>
    </w:p>
    <w:p w14:paraId="4C695E15">
      <w:pPr>
        <w:numPr>
          <w:ilvl w:val="0"/>
          <w:numId w:val="2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数据资源性能监测</w:t>
      </w:r>
    </w:p>
    <w:p w14:paraId="697EB49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系统需支持读写性能指标监控、查询效率分析、资源争用情况分析。</w:t>
      </w:r>
    </w:p>
    <w:p w14:paraId="553FB034">
      <w:pPr>
        <w:numPr>
          <w:ilvl w:val="0"/>
          <w:numId w:val="2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日志分析</w:t>
      </w:r>
    </w:p>
    <w:p w14:paraId="2E00258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系统需支持日志搜索与过滤、异常日志标记。</w:t>
      </w:r>
    </w:p>
    <w:p w14:paraId="4593D7C6">
      <w:pPr>
        <w:pStyle w:val="6"/>
        <w:bidi w:val="0"/>
        <w:rPr>
          <w:rFonts w:hint="eastAsia"/>
          <w:lang w:val="en-US" w:eastAsia="zh-CN"/>
        </w:rPr>
      </w:pPr>
      <w:r>
        <w:rPr>
          <w:rFonts w:hint="eastAsia"/>
          <w:lang w:val="en-US" w:eastAsia="zh-CN"/>
        </w:rPr>
        <w:t>数据传输监测</w:t>
      </w:r>
    </w:p>
    <w:p w14:paraId="4E4296D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系统需提供数据传输概览、传输性能监测、传输历史记录、节点状态监测、数据传输安全监测功能，实现数据传输的状态监测分析。</w:t>
      </w:r>
    </w:p>
    <w:p w14:paraId="64FB6D4D">
      <w:pPr>
        <w:pStyle w:val="5"/>
        <w:bidi w:val="0"/>
        <w:rPr>
          <w:rFonts w:hint="eastAsia"/>
          <w:lang w:val="en-US" w:eastAsia="zh-CN"/>
        </w:rPr>
      </w:pPr>
      <w:bookmarkStart w:id="21" w:name="_Toc23335"/>
      <w:r>
        <w:rPr>
          <w:rFonts w:hint="eastAsia"/>
          <w:lang w:val="en-US" w:eastAsia="zh-CN"/>
        </w:rPr>
        <w:t>运维预防中心</w:t>
      </w:r>
      <w:bookmarkEnd w:id="21"/>
    </w:p>
    <w:p w14:paraId="30F2FF5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运维预防中心需提供自动/手工巡检管理、巡检问题管理、巡检分析报告管理、巡检报告管理、巡检规则策略管理、预案及演练管理等功能。</w:t>
      </w:r>
    </w:p>
    <w:p w14:paraId="10164D4C">
      <w:pPr>
        <w:pStyle w:val="6"/>
        <w:bidi w:val="0"/>
        <w:rPr>
          <w:rFonts w:hint="eastAsia"/>
          <w:lang w:val="en-US" w:eastAsia="zh-CN"/>
        </w:rPr>
      </w:pPr>
      <w:r>
        <w:rPr>
          <w:rFonts w:hint="eastAsia"/>
          <w:lang w:val="en-US" w:eastAsia="zh-CN"/>
        </w:rPr>
        <w:t>自动、手工巡检管理</w:t>
      </w:r>
    </w:p>
    <w:p w14:paraId="52F7098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系统需支持自动巡检任务配置、自动执行巡检、巡检结果展示、手动执行巡检结果录入、异常告警。</w:t>
      </w:r>
    </w:p>
    <w:p w14:paraId="6CB268B4">
      <w:pPr>
        <w:pStyle w:val="6"/>
        <w:bidi w:val="0"/>
        <w:rPr>
          <w:rFonts w:hint="eastAsia"/>
          <w:lang w:val="en-US" w:eastAsia="zh-CN"/>
        </w:rPr>
      </w:pPr>
      <w:r>
        <w:rPr>
          <w:rFonts w:hint="eastAsia"/>
          <w:lang w:val="en-US" w:eastAsia="zh-CN"/>
        </w:rPr>
        <w:t>巡检问题管理</w:t>
      </w:r>
    </w:p>
    <w:p w14:paraId="38DDD7F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巡检问题管理功能需支持问题录入与编辑、问题列表展示、问题处理、问题状态更新、问题统计与分析、问题关联与追踪。</w:t>
      </w:r>
    </w:p>
    <w:p w14:paraId="0855FE64">
      <w:pPr>
        <w:pStyle w:val="6"/>
        <w:bidi w:val="0"/>
        <w:rPr>
          <w:rFonts w:hint="eastAsia"/>
          <w:lang w:val="en-US" w:eastAsia="zh-CN"/>
        </w:rPr>
      </w:pPr>
      <w:r>
        <w:rPr>
          <w:rFonts w:hint="eastAsia"/>
          <w:lang w:val="en-US" w:eastAsia="zh-CN"/>
        </w:rPr>
        <w:t>巡检分析报告管理</w:t>
      </w:r>
    </w:p>
    <w:p w14:paraId="22FD622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巡检分析报告管理需支持报告概览、问题分类与统计、趋势分析、关联分析、对比分析功能。</w:t>
      </w:r>
    </w:p>
    <w:p w14:paraId="0712733D">
      <w:pPr>
        <w:pStyle w:val="6"/>
        <w:bidi w:val="0"/>
        <w:rPr>
          <w:rFonts w:hint="eastAsia"/>
          <w:lang w:val="en-US" w:eastAsia="zh-CN"/>
        </w:rPr>
      </w:pPr>
      <w:r>
        <w:rPr>
          <w:rFonts w:hint="eastAsia"/>
          <w:lang w:val="en-US" w:eastAsia="zh-CN"/>
        </w:rPr>
        <w:t>巡检报告管理</w:t>
      </w:r>
    </w:p>
    <w:p w14:paraId="7383AEF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巡检报告管理需支持巡检报告生成、报告预览、报告下载、报告查询、详细问题查看、报告历史记录功能。</w:t>
      </w:r>
    </w:p>
    <w:p w14:paraId="50D3BD39">
      <w:pPr>
        <w:pStyle w:val="6"/>
        <w:bidi w:val="0"/>
        <w:rPr>
          <w:rFonts w:hint="eastAsia"/>
          <w:lang w:val="en-US" w:eastAsia="zh-CN"/>
        </w:rPr>
      </w:pPr>
      <w:r>
        <w:rPr>
          <w:rFonts w:hint="eastAsia"/>
          <w:lang w:val="en-US" w:eastAsia="zh-CN"/>
        </w:rPr>
        <w:t>巡检规则策略管理</w:t>
      </w:r>
    </w:p>
    <w:p w14:paraId="4CFD653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巡检规则策略管理需支持规则创建与编辑、规则模板管理、规则库管理、策略配置。</w:t>
      </w:r>
    </w:p>
    <w:p w14:paraId="7DE0F2F7">
      <w:pPr>
        <w:pStyle w:val="6"/>
        <w:bidi w:val="0"/>
        <w:rPr>
          <w:rFonts w:hint="eastAsia"/>
          <w:lang w:val="en-US" w:eastAsia="zh-CN"/>
        </w:rPr>
      </w:pPr>
      <w:r>
        <w:rPr>
          <w:rFonts w:hint="eastAsia"/>
          <w:lang w:val="en-US" w:eastAsia="zh-CN"/>
        </w:rPr>
        <w:t>运维预案及演练管理</w:t>
      </w:r>
    </w:p>
    <w:p w14:paraId="3A7706C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运维预案及演练管理需支持运维预案管理、运维演练计划管理、运维演练执行管理。</w:t>
      </w:r>
    </w:p>
    <w:p w14:paraId="228E8A2F">
      <w:pPr>
        <w:pStyle w:val="5"/>
        <w:bidi w:val="0"/>
        <w:rPr>
          <w:rFonts w:hint="eastAsia"/>
          <w:lang w:val="en-US" w:eastAsia="zh-CN"/>
        </w:rPr>
      </w:pPr>
      <w:bookmarkStart w:id="22" w:name="_Toc13791"/>
      <w:r>
        <w:rPr>
          <w:rFonts w:hint="eastAsia"/>
          <w:lang w:val="en-US" w:eastAsia="zh-CN"/>
        </w:rPr>
        <w:t>运维帮助中心</w:t>
      </w:r>
      <w:bookmarkEnd w:id="22"/>
    </w:p>
    <w:p w14:paraId="725DA92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运维帮助中心需支持运维知识管理和互动交流。</w:t>
      </w:r>
    </w:p>
    <w:p w14:paraId="23D76469">
      <w:pPr>
        <w:pStyle w:val="6"/>
        <w:bidi w:val="0"/>
        <w:rPr>
          <w:rFonts w:hint="eastAsia"/>
          <w:lang w:val="en-US" w:eastAsia="zh-CN"/>
        </w:rPr>
      </w:pPr>
      <w:r>
        <w:rPr>
          <w:rFonts w:hint="eastAsia"/>
          <w:lang w:val="en-US" w:eastAsia="zh-CN"/>
        </w:rPr>
        <w:t>运维知识管理</w:t>
      </w:r>
    </w:p>
    <w:p w14:paraId="13160FC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知识库搜索、知识分类与展示、知识内容查看、知识新增与编辑等功能，方便将各类云、网络安全相关的知识资料、文档、常见问题、解决方案等进行集中存储，并通过分类、标签、关键词等方式进行组织，确保用户可以快速、准确地找到所需信息。</w:t>
      </w:r>
    </w:p>
    <w:p w14:paraId="4F018916">
      <w:pPr>
        <w:pStyle w:val="6"/>
        <w:bidi w:val="0"/>
        <w:rPr>
          <w:rFonts w:hint="eastAsia"/>
          <w:lang w:val="en-US" w:eastAsia="zh-CN"/>
        </w:rPr>
      </w:pPr>
      <w:r>
        <w:rPr>
          <w:rFonts w:hint="eastAsia"/>
          <w:lang w:val="en-US" w:eastAsia="zh-CN"/>
        </w:rPr>
        <w:t>互动交流</w:t>
      </w:r>
    </w:p>
    <w:p w14:paraId="67148DB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系统需提供经验分享与案例学习、反馈与建议收集功能。</w:t>
      </w:r>
    </w:p>
    <w:p w14:paraId="51D5BA10">
      <w:pPr>
        <w:pStyle w:val="5"/>
        <w:bidi w:val="0"/>
        <w:rPr>
          <w:rFonts w:hint="eastAsia"/>
          <w:lang w:val="en-US" w:eastAsia="zh-CN"/>
        </w:rPr>
      </w:pPr>
      <w:bookmarkStart w:id="23" w:name="_Toc8412"/>
      <w:r>
        <w:rPr>
          <w:rFonts w:hint="eastAsia"/>
          <w:lang w:val="en-US" w:eastAsia="zh-CN"/>
        </w:rPr>
        <w:t>运维能力中心</w:t>
      </w:r>
      <w:bookmarkEnd w:id="23"/>
    </w:p>
    <w:p w14:paraId="79494DB2">
      <w:pPr>
        <w:pStyle w:val="6"/>
        <w:bidi w:val="0"/>
        <w:rPr>
          <w:rFonts w:hint="eastAsia"/>
          <w:lang w:val="en-US" w:eastAsia="zh-CN"/>
        </w:rPr>
      </w:pPr>
      <w:r>
        <w:rPr>
          <w:rFonts w:hint="eastAsia"/>
          <w:lang w:val="en-US" w:eastAsia="zh-CN"/>
        </w:rPr>
        <w:t>作业管理</w:t>
      </w:r>
    </w:p>
    <w:p w14:paraId="5708D16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系统需提供作业管理功能，支持脚本执行、文件分发、定时任务等一系列基础运维场景，支持通过流程调度将零碎的单个任务组装成一个自动化作业流程，实现运维操作的标准化。</w:t>
      </w:r>
    </w:p>
    <w:p w14:paraId="76D9302B">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首页</w:t>
      </w:r>
    </w:p>
    <w:p w14:paraId="0B07154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首页需支持业务主机数统计、常用作业数统计、近30天任务数统计、定时任务数统计、历史任务执行情况统计、任务执行时长统计、最近任务执行记录统计。</w:t>
      </w:r>
    </w:p>
    <w:p w14:paraId="76445AF4">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作业执行</w:t>
      </w:r>
    </w:p>
    <w:p w14:paraId="5F5B35F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系统需支持对脚本作业的执行操作，支持快速脚本执行、快速分发文件、快速执行SQL脚本、常用作业执行、新建作业和定时作业。</w:t>
      </w:r>
    </w:p>
    <w:p w14:paraId="2353E1E1">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快速脚本执行</w:t>
      </w:r>
    </w:p>
    <w:p w14:paraId="7D9549D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系统需提供快速执行脚本功能。</w:t>
      </w:r>
    </w:p>
    <w:p w14:paraId="64C8D1B7">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快速分发文件</w:t>
      </w:r>
    </w:p>
    <w:p w14:paraId="6E03281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系统需支持快速分发文件。</w:t>
      </w:r>
    </w:p>
    <w:p w14:paraId="1565815F">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常用作业执行</w:t>
      </w:r>
    </w:p>
    <w:p w14:paraId="288994B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系统需支持常用作业执行功能，支持对每一条常用作业进行定时启动、立即执行、编辑和删除，支持对数据进行多条件查询和查询条件重置操作。</w:t>
      </w:r>
    </w:p>
    <w:p w14:paraId="22087570">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脚本管理</w:t>
      </w:r>
    </w:p>
    <w:p w14:paraId="79DC549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系统需支持脚本的统一管理，支持脚本的执行、编辑、删除和查询。</w:t>
      </w:r>
    </w:p>
    <w:p w14:paraId="7F0575A5">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SQL管理</w:t>
      </w:r>
    </w:p>
    <w:p w14:paraId="4D5E208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系统需支持SQL脚本的统一管理，支持新建脚本、脚本执行、编辑、删除和查询等操作。</w:t>
      </w:r>
    </w:p>
    <w:p w14:paraId="40EAA2B4">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执行历史</w:t>
      </w:r>
    </w:p>
    <w:p w14:paraId="6F5D9A0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系统需支持所有通过作业平台页面或API调用的方式发起的脚本执行、文件分发、作业和定时任务操作信息执行历史记录，支持任务重做和日志回溯。</w:t>
      </w:r>
    </w:p>
    <w:p w14:paraId="44D674A7">
      <w:pPr>
        <w:numPr>
          <w:ilvl w:val="0"/>
          <w:numId w:val="2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个人设置</w:t>
      </w:r>
    </w:p>
    <w:p w14:paraId="5DECB3A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系统需支持个人默认业务和服务器账号的设置、执行作业的安全管理以及作业迁移的管理。</w:t>
      </w:r>
    </w:p>
    <w:p w14:paraId="7CAFB3A4">
      <w:pPr>
        <w:pStyle w:val="6"/>
        <w:bidi w:val="0"/>
        <w:rPr>
          <w:rFonts w:hint="eastAsia"/>
          <w:lang w:val="en-US" w:eastAsia="zh-CN"/>
        </w:rPr>
      </w:pPr>
      <w:r>
        <w:rPr>
          <w:rFonts w:hint="eastAsia"/>
          <w:lang w:val="en-US" w:eastAsia="zh-CN"/>
        </w:rPr>
        <w:t>运维流程编排</w:t>
      </w:r>
    </w:p>
    <w:p w14:paraId="4EE3209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系统需支持运维调度编排功能，支持通过运维作业模板实现任务流程的编排和执行，支持将在多系统间切换的工作模式整合到一个流程中，实现一键自动化调度。</w:t>
      </w:r>
    </w:p>
    <w:p w14:paraId="386CDE2B">
      <w:pPr>
        <w:numPr>
          <w:ilvl w:val="0"/>
          <w:numId w:val="22"/>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项目流程</w:t>
      </w:r>
    </w:p>
    <w:p w14:paraId="2B02F98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系统需支持当前业务下的流程列表展示、高级搜索、新建流程、新建任务、编辑流程、预览流程、克隆流程、导入、收藏、批量化、删除等操作。</w:t>
      </w:r>
    </w:p>
    <w:p w14:paraId="1E1FCA50">
      <w:pPr>
        <w:numPr>
          <w:ilvl w:val="0"/>
          <w:numId w:val="22"/>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任务管理</w:t>
      </w:r>
    </w:p>
    <w:p w14:paraId="63018B3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系统需支持任务记录列表展示、高级搜索、新建、查看、编辑等操作。</w:t>
      </w:r>
    </w:p>
    <w:p w14:paraId="2EA3A130">
      <w:pPr>
        <w:numPr>
          <w:ilvl w:val="0"/>
          <w:numId w:val="22"/>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公共流程</w:t>
      </w:r>
    </w:p>
    <w:p w14:paraId="00DCC4B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系统需支持对已有的公共流程进行列表展示、新建、克隆、执行历史、收藏、编辑和删除操作。</w:t>
      </w:r>
    </w:p>
    <w:p w14:paraId="4A7CAFB8">
      <w:pPr>
        <w:numPr>
          <w:ilvl w:val="0"/>
          <w:numId w:val="22"/>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审计中心</w:t>
      </w:r>
    </w:p>
    <w:p w14:paraId="02D4B73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系统需支持所有任务审计总览，支持对已有的审计数据按列表展示，支持查看数据详情，支持高级检索。</w:t>
      </w:r>
    </w:p>
    <w:p w14:paraId="28517550">
      <w:pPr>
        <w:pStyle w:val="6"/>
        <w:bidi w:val="0"/>
        <w:rPr>
          <w:rFonts w:hint="eastAsia"/>
          <w:lang w:val="en-US" w:eastAsia="zh-CN"/>
        </w:rPr>
      </w:pPr>
      <w:r>
        <w:rPr>
          <w:rFonts w:hint="eastAsia"/>
          <w:lang w:val="en-US" w:eastAsia="zh-CN"/>
        </w:rPr>
        <w:t>告警管理</w:t>
      </w:r>
    </w:p>
    <w:p w14:paraId="7E102E0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告警管理需支持通过监控服务层、应用层、支撑层、数据资源层、数据传输层、基础设施层各项数据指标，如网络流量、系统日志、安全事件等，通过与指标实例进行结合，根据指标异常判断标准值分析采集过程中的安全事件和异常行为。一旦发现指标异常行为数据，根据设置的告警规则生成相应的告警信息，并结合告警通知策略将告警信息通过各类渠道推送给相关人员，方便安全管理人员进行查看和处理。</w:t>
      </w:r>
    </w:p>
    <w:p w14:paraId="4BD8A66C">
      <w:pPr>
        <w:numPr>
          <w:ilvl w:val="0"/>
          <w:numId w:val="23"/>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告警生成规则管理</w:t>
      </w:r>
    </w:p>
    <w:p w14:paraId="766143D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系统需支持告警规则新增、停用，通过关联告警指标、表达式实现告警规则的快速配置。</w:t>
      </w:r>
    </w:p>
    <w:p w14:paraId="3A2B7F0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系统需支持自定义告警规则，包括规则的条件、触发机制、告警方式等。</w:t>
      </w:r>
    </w:p>
    <w:p w14:paraId="7948DDF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系统需支持通过与监控指标监控的关系配置，按照指标要求决定安全事件会触发告警级别。</w:t>
      </w:r>
    </w:p>
    <w:p w14:paraId="75FDF1AE">
      <w:pPr>
        <w:numPr>
          <w:ilvl w:val="0"/>
          <w:numId w:val="23"/>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告警通知规则管理</w:t>
      </w:r>
    </w:p>
    <w:p w14:paraId="05D2C84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系统需支持针对特定告警规则，自定义告警渠道和告警通知组，实现告警的分类、分渠道、分业务通告。</w:t>
      </w:r>
    </w:p>
    <w:p w14:paraId="7A1F986E">
      <w:pPr>
        <w:numPr>
          <w:ilvl w:val="0"/>
          <w:numId w:val="23"/>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告警中心</w:t>
      </w:r>
    </w:p>
    <w:p w14:paraId="027B54A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系统需支持各类告警信息的分类聚合展示，并针对常见告警信息，提供处理意见。</w:t>
      </w:r>
    </w:p>
    <w:p w14:paraId="6798511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系统需支持通过对当前告警关联的资产、客户、业务链路等信息进行动态分析，使得运维人员能够快速定位故障，并快速处理。</w:t>
      </w:r>
    </w:p>
    <w:p w14:paraId="38F4AAD1">
      <w:pPr>
        <w:pStyle w:val="5"/>
        <w:bidi w:val="0"/>
        <w:rPr>
          <w:rFonts w:hint="eastAsia"/>
          <w:lang w:val="en-US" w:eastAsia="zh-CN"/>
        </w:rPr>
      </w:pPr>
      <w:bookmarkStart w:id="24" w:name="_Toc13027"/>
      <w:r>
        <w:rPr>
          <w:rFonts w:hint="eastAsia"/>
          <w:lang w:val="en-US" w:eastAsia="zh-CN"/>
        </w:rPr>
        <w:t>运维处理中心</w:t>
      </w:r>
      <w:bookmarkEnd w:id="24"/>
    </w:p>
    <w:p w14:paraId="56FFBE7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运维处理中心主要用于对运维处理过程进行监管，包括事件管理和结果管理功能。</w:t>
      </w:r>
    </w:p>
    <w:p w14:paraId="71AD9CA5">
      <w:pPr>
        <w:pStyle w:val="6"/>
        <w:bidi w:val="0"/>
        <w:rPr>
          <w:rFonts w:hint="eastAsia"/>
          <w:lang w:val="en-US" w:eastAsia="zh-CN"/>
        </w:rPr>
      </w:pPr>
      <w:r>
        <w:rPr>
          <w:rFonts w:hint="eastAsia"/>
          <w:lang w:val="en-US" w:eastAsia="zh-CN"/>
        </w:rPr>
        <w:t>事件管理</w:t>
      </w:r>
    </w:p>
    <w:p w14:paraId="74F2F90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事件管理功能需支持事件列表显示、事件详情查看、事件分类与过滤、事件处理操作（如确认、分配、解决、忽略等）、处理记录查看、事件触发工单、事件转工单自动化、工单与事件关联视图、事件与工单的状态同步、影响分析与统计功能。</w:t>
      </w:r>
    </w:p>
    <w:p w14:paraId="3281C6B1">
      <w:pPr>
        <w:pStyle w:val="6"/>
        <w:bidi w:val="0"/>
        <w:rPr>
          <w:rFonts w:hint="eastAsia"/>
          <w:lang w:val="en-US" w:eastAsia="zh-CN"/>
        </w:rPr>
      </w:pPr>
      <w:r>
        <w:rPr>
          <w:rFonts w:hint="eastAsia"/>
          <w:lang w:val="en-US" w:eastAsia="zh-CN"/>
        </w:rPr>
        <w:t>结果管理</w:t>
      </w:r>
    </w:p>
    <w:p w14:paraId="74BFC5C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结果管理需支持对运维工作的执行结果进行统计分析和展示，包括事件处理时长、工单完成率等指标，支持通过图表、报表等不同形式展示统计结果。</w:t>
      </w:r>
    </w:p>
    <w:p w14:paraId="0A0391D2">
      <w:pPr>
        <w:pStyle w:val="5"/>
        <w:bidi w:val="0"/>
        <w:rPr>
          <w:rFonts w:hint="eastAsia"/>
          <w:lang w:val="en-US" w:eastAsia="zh-CN"/>
        </w:rPr>
      </w:pPr>
      <w:bookmarkStart w:id="25" w:name="_Toc30345"/>
      <w:r>
        <w:rPr>
          <w:rFonts w:hint="eastAsia"/>
          <w:lang w:val="en-US" w:eastAsia="zh-CN"/>
        </w:rPr>
        <w:t>运维工单中心</w:t>
      </w:r>
      <w:bookmarkEnd w:id="25"/>
    </w:p>
    <w:p w14:paraId="72908A2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运维工单中心可实现高效运行运维处置，形成处置闭环。</w:t>
      </w:r>
    </w:p>
    <w:p w14:paraId="6F0AA991">
      <w:pPr>
        <w:pStyle w:val="6"/>
        <w:bidi w:val="0"/>
        <w:rPr>
          <w:rFonts w:hint="eastAsia"/>
          <w:lang w:val="en-US" w:eastAsia="zh-CN"/>
        </w:rPr>
      </w:pPr>
      <w:r>
        <w:rPr>
          <w:rFonts w:hint="eastAsia"/>
          <w:lang w:val="en-US" w:eastAsia="zh-CN"/>
        </w:rPr>
        <w:t>工单管理视图</w:t>
      </w:r>
    </w:p>
    <w:p w14:paraId="070BFD6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工单管理视图需提供工单总览、工单列表功能。</w:t>
      </w:r>
    </w:p>
    <w:p w14:paraId="5390F9EE">
      <w:pPr>
        <w:numPr>
          <w:ilvl w:val="0"/>
          <w:numId w:val="24"/>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工单总览</w:t>
      </w:r>
    </w:p>
    <w:p w14:paraId="648BDD0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系统需提供总览视角下的工单查看列表，同时支持各个业务场景切换视角下的工单查看列表。</w:t>
      </w:r>
    </w:p>
    <w:p w14:paraId="09652712">
      <w:pPr>
        <w:numPr>
          <w:ilvl w:val="0"/>
          <w:numId w:val="24"/>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工单列表</w:t>
      </w:r>
    </w:p>
    <w:p w14:paraId="577DD4D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列表需支持按全部工单、待处理的工单、已处理的工单、我发起的工单等维度进行展示。支持按多种条件进行搜索和筛选。支持用户查看自己发起的工单状态，包括撤回和评价功能，以及系统自动生成的其他工单列表，如待响应、关注、抄送和挂起工单，以满足不同用户角色的需求。</w:t>
      </w:r>
    </w:p>
    <w:p w14:paraId="7873A5F7">
      <w:pPr>
        <w:pStyle w:val="6"/>
        <w:bidi w:val="0"/>
        <w:rPr>
          <w:rFonts w:hint="eastAsia"/>
          <w:lang w:val="en-US" w:eastAsia="zh-CN"/>
        </w:rPr>
      </w:pPr>
      <w:r>
        <w:rPr>
          <w:rFonts w:hint="eastAsia"/>
          <w:lang w:val="en-US" w:eastAsia="zh-CN"/>
        </w:rPr>
        <w:t>工单处理流程</w:t>
      </w:r>
    </w:p>
    <w:p w14:paraId="702AC66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工单处理流程需支持工单提交、工单处理。</w:t>
      </w:r>
    </w:p>
    <w:p w14:paraId="073E13B4">
      <w:pPr>
        <w:numPr>
          <w:ilvl w:val="0"/>
          <w:numId w:val="25"/>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工单提交</w:t>
      </w:r>
    </w:p>
    <w:p w14:paraId="11233D0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系统需支持工单的在线创建与提交、附件上传、分类与优先级设置、实时反馈与确认、与其他系统的集成、预定义工单提交。</w:t>
      </w:r>
    </w:p>
    <w:p w14:paraId="3BFA8B8B">
      <w:pPr>
        <w:numPr>
          <w:ilvl w:val="0"/>
          <w:numId w:val="25"/>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工单处理</w:t>
      </w:r>
    </w:p>
    <w:p w14:paraId="0A77AEE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系统需支持工单发起者发起工单、撤回工单、评价工单操作；系统需支持工单处理者指派工单、处理工单、退回工单操作；系统需支持管理员转派工单、删除工单操作。</w:t>
      </w:r>
    </w:p>
    <w:p w14:paraId="227F0DAE">
      <w:pPr>
        <w:pStyle w:val="6"/>
        <w:bidi w:val="0"/>
        <w:rPr>
          <w:rFonts w:hint="eastAsia"/>
          <w:lang w:val="en-US" w:eastAsia="zh-CN"/>
        </w:rPr>
      </w:pPr>
      <w:r>
        <w:rPr>
          <w:rFonts w:hint="eastAsia"/>
          <w:lang w:val="en-US" w:eastAsia="zh-CN"/>
        </w:rPr>
        <w:t>工单配置</w:t>
      </w:r>
    </w:p>
    <w:p w14:paraId="045B22B2">
      <w:pPr>
        <w:numPr>
          <w:ilvl w:val="0"/>
          <w:numId w:val="26"/>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配置管理</w:t>
      </w:r>
    </w:p>
    <w:p w14:paraId="6460FC0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工单配置管理需支持对工单进行分级分类配置，包括父级分类、分类名称、关联表单、关联流程定义。</w:t>
      </w:r>
    </w:p>
    <w:p w14:paraId="30C006D5">
      <w:pPr>
        <w:numPr>
          <w:ilvl w:val="0"/>
          <w:numId w:val="26"/>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场景管理</w:t>
      </w:r>
    </w:p>
    <w:p w14:paraId="6BFCFF5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场景管理需支持创建、编辑、删除和查询业务场景，支持场景列表展示，支持用户配置场景与菜单之间的关联关系。</w:t>
      </w:r>
    </w:p>
    <w:p w14:paraId="0AFBC8F3">
      <w:pPr>
        <w:numPr>
          <w:ilvl w:val="0"/>
          <w:numId w:val="26"/>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工单标签</w:t>
      </w:r>
    </w:p>
    <w:p w14:paraId="5E24BB71">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系统需支持设置工单标签，满足精细化运营管理需求。</w:t>
      </w:r>
    </w:p>
    <w:p w14:paraId="0DB49CA6">
      <w:pPr>
        <w:pStyle w:val="6"/>
        <w:bidi w:val="0"/>
        <w:rPr>
          <w:rFonts w:hint="eastAsia"/>
          <w:lang w:val="en-US" w:eastAsia="zh-CN"/>
        </w:rPr>
      </w:pPr>
      <w:r>
        <w:rPr>
          <w:rFonts w:hint="eastAsia"/>
          <w:lang w:val="en-US" w:eastAsia="zh-CN"/>
        </w:rPr>
        <w:t>工单消息</w:t>
      </w:r>
    </w:p>
    <w:p w14:paraId="40608AB2">
      <w:pPr>
        <w:numPr>
          <w:ilvl w:val="0"/>
          <w:numId w:val="2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消息管理</w:t>
      </w:r>
    </w:p>
    <w:p w14:paraId="0AB9795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工单处理完成进入待评价时向工单发起者推送评价提醒；支持按照业务需求配置消息推送时间、消息推送对象，定时向指定用户组账号推送信息；支持汇聚工单中心、培训中心的消息通知，对接消息通知，提供统一的消息通知服务。</w:t>
      </w:r>
    </w:p>
    <w:p w14:paraId="10963928">
      <w:pPr>
        <w:numPr>
          <w:ilvl w:val="0"/>
          <w:numId w:val="27"/>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工单组件</w:t>
      </w:r>
    </w:p>
    <w:p w14:paraId="6882A3D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工单组件需提供SDK和API接口，使其他系统能够快速、便捷地集成工单系统。</w:t>
      </w:r>
    </w:p>
    <w:p w14:paraId="2EE8DB7B">
      <w:pPr>
        <w:pStyle w:val="6"/>
        <w:bidi w:val="0"/>
        <w:rPr>
          <w:rFonts w:hint="eastAsia"/>
          <w:lang w:val="en-US" w:eastAsia="zh-CN"/>
        </w:rPr>
      </w:pPr>
      <w:r>
        <w:rPr>
          <w:rFonts w:hint="eastAsia"/>
          <w:lang w:val="en-US" w:eastAsia="zh-CN"/>
        </w:rPr>
        <w:t>工单定制</w:t>
      </w:r>
    </w:p>
    <w:p w14:paraId="20BBB415">
      <w:pPr>
        <w:numPr>
          <w:ilvl w:val="0"/>
          <w:numId w:val="2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工单模板定制</w:t>
      </w:r>
    </w:p>
    <w:p w14:paraId="0B7C9A0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系统需支持工单模板创建与编辑、字段类型与属性设置、默认值与自动填充、模板分类与归档、模板预览与测试、自定义布局与样式。</w:t>
      </w:r>
    </w:p>
    <w:p w14:paraId="7A50DB52">
      <w:pPr>
        <w:numPr>
          <w:ilvl w:val="0"/>
          <w:numId w:val="28"/>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工单流程定制</w:t>
      </w:r>
    </w:p>
    <w:p w14:paraId="45317C5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工单流程定制需支持流程设计定制、状态转换定制、审批流程设置、超时与提醒设置、自动化任务触发。</w:t>
      </w:r>
    </w:p>
    <w:p w14:paraId="2BC488D9">
      <w:pPr>
        <w:pStyle w:val="5"/>
        <w:bidi w:val="0"/>
        <w:rPr>
          <w:rFonts w:hint="eastAsia"/>
          <w:lang w:val="en-US" w:eastAsia="zh-CN"/>
        </w:rPr>
      </w:pPr>
      <w:bookmarkStart w:id="26" w:name="_Toc9818"/>
      <w:r>
        <w:rPr>
          <w:rFonts w:hint="eastAsia"/>
          <w:lang w:val="en-US" w:eastAsia="zh-CN"/>
        </w:rPr>
        <w:t>运维对象和事件管理</w:t>
      </w:r>
      <w:bookmarkEnd w:id="26"/>
    </w:p>
    <w:p w14:paraId="46298125">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运维对象和事件管理包括运维对象管理、运维对象定级、事件定级、事件SLA。</w:t>
      </w:r>
    </w:p>
    <w:p w14:paraId="65C7BB77">
      <w:pPr>
        <w:pStyle w:val="6"/>
        <w:bidi w:val="0"/>
        <w:rPr>
          <w:rFonts w:hint="eastAsia"/>
          <w:lang w:val="en-US" w:eastAsia="zh-CN"/>
        </w:rPr>
      </w:pPr>
      <w:r>
        <w:rPr>
          <w:rFonts w:hint="eastAsia"/>
          <w:lang w:val="en-US" w:eastAsia="zh-CN"/>
        </w:rPr>
        <w:t>运维对象管理</w:t>
      </w:r>
    </w:p>
    <w:p w14:paraId="6AD781A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运维对象管理涉及对运维对象的定义、分类、关系管理以及监控和维护等多个方面。</w:t>
      </w:r>
    </w:p>
    <w:p w14:paraId="0114CF1F">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系统需支持手动或自动录入运维对象的基本信息，并支持信息的实时更新。</w:t>
      </w:r>
    </w:p>
    <w:p w14:paraId="6D99B9E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系统需支持对运维对象进行分类与标签设置。</w:t>
      </w:r>
    </w:p>
    <w:p w14:paraId="7A144D8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系统需支持运维对象关系管理。</w:t>
      </w:r>
    </w:p>
    <w:p w14:paraId="766EE3F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系统需支持记录运维对象的配置变更、修改等操作。</w:t>
      </w:r>
    </w:p>
    <w:p w14:paraId="113DA99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系统需支持检索配置平台已有资源。</w:t>
      </w:r>
    </w:p>
    <w:p w14:paraId="3A69389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系统需支持资源拓扑管理。</w:t>
      </w:r>
    </w:p>
    <w:p w14:paraId="265C396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系统需支持对资源目录、业务、主机资源池等的管理。</w:t>
      </w:r>
    </w:p>
    <w:p w14:paraId="3E24E6C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系统需提供运营分析功能，包括常用指标总览、主机统计、实例统计。</w:t>
      </w:r>
    </w:p>
    <w:p w14:paraId="57B0DC8B">
      <w:pPr>
        <w:pStyle w:val="6"/>
        <w:bidi w:val="0"/>
        <w:rPr>
          <w:rFonts w:hint="eastAsia"/>
          <w:lang w:val="en-US" w:eastAsia="zh-CN"/>
        </w:rPr>
      </w:pPr>
      <w:r>
        <w:rPr>
          <w:rFonts w:hint="eastAsia"/>
          <w:lang w:val="en-US" w:eastAsia="zh-CN"/>
        </w:rPr>
        <w:t>运维对象定级</w:t>
      </w:r>
    </w:p>
    <w:p w14:paraId="26BBC49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系统需支持运维对象的定级标准与规则设置、自定义评分体系、自动评估与手动调整、定级结果展示、定级结果查询与筛选、定级审核与审批流程、定级变更记录、定级的告警策略、定级报表与可视化。</w:t>
      </w:r>
    </w:p>
    <w:p w14:paraId="0BAA2FF6">
      <w:pPr>
        <w:pStyle w:val="6"/>
        <w:bidi w:val="0"/>
        <w:rPr>
          <w:rFonts w:hint="eastAsia"/>
          <w:lang w:val="en-US" w:eastAsia="zh-CN"/>
        </w:rPr>
      </w:pPr>
      <w:r>
        <w:rPr>
          <w:rFonts w:hint="eastAsia"/>
          <w:lang w:val="en-US" w:eastAsia="zh-CN"/>
        </w:rPr>
        <w:t>事件定级</w:t>
      </w:r>
    </w:p>
    <w:p w14:paraId="4BA86D30">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事件列表展示（包括状态、优先级等），支持通过表单或下拉菜单填写影响范围、系统重要性、预计解决时间等定级标准，支持允许管理员配置自动定级规则，通过设定条件逻辑（如特定时间段内的告警次数、特定系统的故障等），系统根据这些规则自动对事件进行分类和优先级排序。</w:t>
      </w:r>
    </w:p>
    <w:p w14:paraId="1A0E21B8">
      <w:pPr>
        <w:pStyle w:val="6"/>
        <w:bidi w:val="0"/>
        <w:rPr>
          <w:rFonts w:hint="eastAsia"/>
          <w:lang w:val="en-US" w:eastAsia="zh-CN"/>
        </w:rPr>
      </w:pPr>
      <w:r>
        <w:rPr>
          <w:rFonts w:hint="eastAsia"/>
          <w:lang w:val="en-US" w:eastAsia="zh-CN"/>
        </w:rPr>
        <w:t>事件SLA</w:t>
      </w:r>
    </w:p>
    <w:p w14:paraId="1ACB0D6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在事件管理中，SLA具体描述了对于不同级别的事件，服务提供商应如何响应、解决和恢复服务。系统需支持SLA政策配置、事件SLA自动关联、SLA进度追踪、SLA预警提醒、SLA统计分析。其中SLA统计分析需支持SLA违规记录与报告、SLA达成率统计、SLA自定义报告生成。</w:t>
      </w:r>
    </w:p>
    <w:p w14:paraId="060513E3">
      <w:pPr>
        <w:pStyle w:val="5"/>
        <w:bidi w:val="0"/>
        <w:rPr>
          <w:rFonts w:hint="eastAsia"/>
          <w:lang w:val="en-US" w:eastAsia="zh-CN"/>
        </w:rPr>
      </w:pPr>
      <w:bookmarkStart w:id="27" w:name="_Toc11978"/>
      <w:r>
        <w:rPr>
          <w:rFonts w:hint="eastAsia"/>
          <w:lang w:val="en-US" w:eastAsia="zh-CN"/>
        </w:rPr>
        <w:t>配置管理</w:t>
      </w:r>
      <w:bookmarkEnd w:id="27"/>
    </w:p>
    <w:p w14:paraId="0235A83B">
      <w:pP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配置管理需支持对运维人员组织权限、数据字典、安全认证、仪表盘管理。</w:t>
      </w:r>
    </w:p>
    <w:p w14:paraId="2F5BAB17">
      <w:pPr>
        <w:pStyle w:val="6"/>
        <w:bidi w:val="0"/>
        <w:rPr>
          <w:rFonts w:hint="eastAsia"/>
          <w:lang w:val="en-US" w:eastAsia="zh-CN"/>
        </w:rPr>
      </w:pPr>
      <w:r>
        <w:rPr>
          <w:rFonts w:hint="eastAsia"/>
          <w:lang w:val="en-US" w:eastAsia="zh-CN"/>
        </w:rPr>
        <w:t>运维人员组织权限</w:t>
      </w:r>
    </w:p>
    <w:p w14:paraId="6A1120B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系统需支持对用户、系统、角色、权限进行管理，并支持对各单位、各系统设置责任人，以便出现问题后第一时间通知对应责任人。</w:t>
      </w:r>
    </w:p>
    <w:p w14:paraId="74FA474C">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系统需支持建立运维人员信息库，并提供增删改查接口。设计调度算法，根据运维对象的定级和需求自动分配运维人员。</w:t>
      </w:r>
    </w:p>
    <w:p w14:paraId="597BEFFB">
      <w:pPr>
        <w:numPr>
          <w:ilvl w:val="0"/>
          <w:numId w:val="2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运维用户管理</w:t>
      </w:r>
    </w:p>
    <w:p w14:paraId="6B70142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系统需支持系统用户录入，并为用户设置账号和密码、手机号、邮箱等信息，同时管理员能修改用户状态，保证系统安全性。</w:t>
      </w:r>
    </w:p>
    <w:p w14:paraId="57B18A5F">
      <w:pPr>
        <w:numPr>
          <w:ilvl w:val="0"/>
          <w:numId w:val="2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运维用户组管理</w:t>
      </w:r>
    </w:p>
    <w:p w14:paraId="60A4356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系统需支持为系统用户设置组织，能支持多级组织，方便各级单位针对系统设置用户组，便于后续管理。</w:t>
      </w:r>
    </w:p>
    <w:p w14:paraId="094F4DD8">
      <w:pPr>
        <w:numPr>
          <w:ilvl w:val="0"/>
          <w:numId w:val="2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运维责任人管理</w:t>
      </w:r>
    </w:p>
    <w:p w14:paraId="56A7558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系统需支持设置消息通知、告警处理的责任人，支持责任人的修改管理。</w:t>
      </w:r>
    </w:p>
    <w:p w14:paraId="54E1E967">
      <w:pPr>
        <w:numPr>
          <w:ilvl w:val="0"/>
          <w:numId w:val="2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运维用户角色管理</w:t>
      </w:r>
    </w:p>
    <w:p w14:paraId="76C71252">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系统需支持为用户分配角色后方便统一授权管理，一个用户支持多个角色配置。</w:t>
      </w:r>
    </w:p>
    <w:p w14:paraId="42291C34">
      <w:pPr>
        <w:numPr>
          <w:ilvl w:val="0"/>
          <w:numId w:val="2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运维用户权限管理</w:t>
      </w:r>
    </w:p>
    <w:p w14:paraId="4A248B13">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系统需支持为用户或者角色赋予菜单相应的权限，不同的权限能够修改、查看的数据不同，保证系统安全性。</w:t>
      </w:r>
    </w:p>
    <w:p w14:paraId="6269C456">
      <w:pPr>
        <w:numPr>
          <w:ilvl w:val="0"/>
          <w:numId w:val="2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运维用户菜单管理</w:t>
      </w:r>
    </w:p>
    <w:p w14:paraId="27F9C39B">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系统需支持添加多级菜单，为不同的用户群体定制化菜单。</w:t>
      </w:r>
    </w:p>
    <w:p w14:paraId="28DD17C9">
      <w:pPr>
        <w:numPr>
          <w:ilvl w:val="0"/>
          <w:numId w:val="29"/>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日志查询</w:t>
      </w:r>
    </w:p>
    <w:p w14:paraId="132FD6BA">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系统需支持查询用户登录、登出、修改密码等系统操作，方便对用户行为进行审计和复核。</w:t>
      </w:r>
    </w:p>
    <w:p w14:paraId="6888FC1A">
      <w:pPr>
        <w:pStyle w:val="6"/>
        <w:bidi w:val="0"/>
        <w:rPr>
          <w:rFonts w:hint="eastAsia"/>
          <w:lang w:val="en-US" w:eastAsia="zh-CN"/>
        </w:rPr>
      </w:pPr>
      <w:r>
        <w:rPr>
          <w:rFonts w:hint="eastAsia"/>
          <w:lang w:val="en-US" w:eastAsia="zh-CN"/>
        </w:rPr>
        <w:t>数据字典</w:t>
      </w:r>
    </w:p>
    <w:p w14:paraId="73B079F9">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数据字典主要是管理用户自定义数据字典并能对字典枚举类型进行定义。</w:t>
      </w:r>
    </w:p>
    <w:p w14:paraId="7AAAB5A8">
      <w:pPr>
        <w:numPr>
          <w:ilvl w:val="0"/>
          <w:numId w:val="3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规则配置</w:t>
      </w:r>
    </w:p>
    <w:p w14:paraId="76CA83A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系统需支持对各种评估规则进行有效管理和配置，并且能对评估规则和指标关系进行配置管理。评估规则的实现支持分为三种方式：方法调用、定制化实现、自定义配置。</w:t>
      </w:r>
    </w:p>
    <w:p w14:paraId="3DF4B18C">
      <w:pPr>
        <w:numPr>
          <w:ilvl w:val="0"/>
          <w:numId w:val="3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指标阈值规则</w:t>
      </w:r>
    </w:p>
    <w:p w14:paraId="718F37AD">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系统需支持在评估规则管理中新建指标阈值规则，例如磁盘使用率大于80%评估为D，大于60%小于80%评估为C，大于40%小于60%评估为B，小于40%评估为A，并支持对规则进行修改、删除。</w:t>
      </w:r>
    </w:p>
    <w:p w14:paraId="2F5BFD6B">
      <w:pPr>
        <w:numPr>
          <w:ilvl w:val="0"/>
          <w:numId w:val="3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指标复合规则</w:t>
      </w:r>
    </w:p>
    <w:p w14:paraId="7AEFE1D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系统需支持新建评估指标复合规则，例如计算溯源准确的威胁数占威胁总数的百分比，支持对规则进行修改、删除。</w:t>
      </w:r>
    </w:p>
    <w:p w14:paraId="2CCD06ED">
      <w:pPr>
        <w:numPr>
          <w:ilvl w:val="0"/>
          <w:numId w:val="30"/>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规则与指标关系配置</w:t>
      </w:r>
    </w:p>
    <w:p w14:paraId="12818DA6">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系统需支持对配置的规则与需要使用该规则进行计算评估的指标进行配置管理。</w:t>
      </w:r>
    </w:p>
    <w:p w14:paraId="23E7F4DF">
      <w:pPr>
        <w:pStyle w:val="6"/>
        <w:bidi w:val="0"/>
        <w:rPr>
          <w:rFonts w:hint="eastAsia"/>
          <w:lang w:val="en-US" w:eastAsia="zh-CN"/>
        </w:rPr>
      </w:pPr>
      <w:r>
        <w:rPr>
          <w:rFonts w:hint="eastAsia"/>
          <w:lang w:val="en-US" w:eastAsia="zh-CN"/>
        </w:rPr>
        <w:t>安全认证</w:t>
      </w:r>
    </w:p>
    <w:p w14:paraId="36A0F48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系统需支持统一身份认证、认证管理、多因素认证等安全认证功能。</w:t>
      </w:r>
    </w:p>
    <w:p w14:paraId="12DCBBBB">
      <w:pPr>
        <w:pStyle w:val="6"/>
        <w:bidi w:val="0"/>
        <w:rPr>
          <w:rFonts w:hint="eastAsia"/>
          <w:lang w:val="en-US" w:eastAsia="zh-CN"/>
        </w:rPr>
      </w:pPr>
      <w:r>
        <w:rPr>
          <w:rFonts w:hint="eastAsia"/>
          <w:lang w:val="en-US" w:eastAsia="zh-CN"/>
        </w:rPr>
        <w:t>仪表盘管理</w:t>
      </w:r>
    </w:p>
    <w:p w14:paraId="6C1383FE">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系统需支持通过统一可视化系统对接实现，以图表、图形、数字等形式呈现关键指标和其他重要数据，使得管理者能够快速、直观地了解系统的运行状态。系统需支持自定义面板、数据源配置、视图权限配置。</w:t>
      </w:r>
    </w:p>
    <w:p w14:paraId="43370208">
      <w:pPr>
        <w:numPr>
          <w:ilvl w:val="0"/>
          <w:numId w:val="3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自定义面板</w:t>
      </w:r>
    </w:p>
    <w:p w14:paraId="011F5334">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用户定义系统层面、个人层面的仪表数据面板。支持用户新增、修改、删除、复制、导入、导出仪表板。仪表板支持用户拖拽布局。仪表板支持文本、数据、表格、饼图、雷达图、柱形图、折线图、面积图、仪表盘、堆叠图、散点图、热力图等常用呈现组件</w:t>
      </w:r>
    </w:p>
    <w:p w14:paraId="1EEE8E7D">
      <w:pPr>
        <w:numPr>
          <w:ilvl w:val="0"/>
          <w:numId w:val="3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数据源配置</w:t>
      </w:r>
    </w:p>
    <w:p w14:paraId="78A514C7">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系统需支持用户基于选择的呈现组件和对应的数据源，通过配置快速地呈现数据。</w:t>
      </w:r>
    </w:p>
    <w:p w14:paraId="6960BED0">
      <w:pPr>
        <w:numPr>
          <w:ilvl w:val="0"/>
          <w:numId w:val="31"/>
        </w:numPr>
        <w:ind w:left="0" w:leftChars="0" w:firstLine="560" w:firstLineChars="20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视图权限配置</w:t>
      </w:r>
    </w:p>
    <w:p w14:paraId="49767728">
      <w:pPr>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系统层面的仪表板需支持授权到用户、角色、组织架构，具备授权的用户可查看对应的系统层面仪表板。</w:t>
      </w:r>
    </w:p>
    <w:p w14:paraId="6A6D45D4">
      <w:pPr>
        <w:pStyle w:val="4"/>
      </w:pPr>
      <w:bookmarkStart w:id="28" w:name="_Toc30017"/>
      <w:r>
        <w:rPr>
          <w:rFonts w:hint="eastAsia"/>
        </w:rPr>
        <w:t>系统性能指标要求</w:t>
      </w:r>
      <w:bookmarkEnd w:id="28"/>
    </w:p>
    <w:p w14:paraId="7D1CCF3F">
      <w:pPr>
        <w:pStyle w:val="5"/>
      </w:pPr>
      <w:bookmarkStart w:id="29" w:name="_Toc109679517"/>
      <w:bookmarkStart w:id="30" w:name="_Toc107474388"/>
      <w:bookmarkStart w:id="31" w:name="_Toc136519933"/>
      <w:bookmarkStart w:id="32" w:name="_Toc19513"/>
      <w:bookmarkStart w:id="33" w:name="_Toc124174430"/>
      <w:bookmarkStart w:id="34" w:name="_Toc31281"/>
      <w:r>
        <w:rPr>
          <w:rFonts w:hint="eastAsia"/>
        </w:rPr>
        <w:t>总体性能指标</w:t>
      </w:r>
      <w:bookmarkEnd w:id="29"/>
      <w:bookmarkEnd w:id="30"/>
      <w:bookmarkEnd w:id="31"/>
      <w:bookmarkEnd w:id="32"/>
      <w:bookmarkEnd w:id="33"/>
      <w:bookmarkEnd w:id="34"/>
    </w:p>
    <w:p w14:paraId="5547A00B">
      <w:pPr>
        <w:ind w:firstLine="560"/>
        <w:rPr>
          <w:rFonts w:hint="eastAsia" w:ascii="仿宋_GB2312" w:hAnsi="仿宋_GB2312" w:eastAsia="仿宋_GB2312" w:cs="仿宋_GB2312"/>
        </w:rPr>
      </w:pPr>
      <w:r>
        <w:rPr>
          <w:rFonts w:hint="eastAsia" w:ascii="仿宋_GB2312" w:hAnsi="仿宋_GB2312" w:eastAsia="仿宋_GB2312" w:cs="仿宋_GB2312"/>
        </w:rPr>
        <w:t>系统总体性能要稳定高效实用、数据更新及时方便、数据调用快捷准确、操作维护简便、数据组织合理、可扩展性和兼容性好。</w:t>
      </w:r>
    </w:p>
    <w:p w14:paraId="37D39F16">
      <w:pPr>
        <w:pStyle w:val="5"/>
      </w:pPr>
      <w:bookmarkStart w:id="35" w:name="_Toc10609"/>
      <w:bookmarkStart w:id="36" w:name="_Toc11052"/>
      <w:r>
        <w:rPr>
          <w:rFonts w:hint="eastAsia"/>
        </w:rPr>
        <w:t>健壮性</w:t>
      </w:r>
      <w:bookmarkEnd w:id="35"/>
      <w:bookmarkEnd w:id="36"/>
    </w:p>
    <w:p w14:paraId="79363350">
      <w:pPr>
        <w:ind w:firstLine="560"/>
        <w:rPr>
          <w:rFonts w:hint="eastAsia" w:ascii="仿宋_GB2312" w:hAnsi="仿宋_GB2312" w:eastAsia="仿宋_GB2312" w:cs="仿宋_GB2312"/>
        </w:rPr>
      </w:pPr>
      <w:r>
        <w:rPr>
          <w:rFonts w:hint="eastAsia" w:ascii="仿宋_GB2312" w:hAnsi="仿宋_GB2312" w:eastAsia="仿宋_GB2312" w:cs="仿宋_GB2312"/>
        </w:rPr>
        <w:t>（1）应用系统必须支持连续7×24小时不间断地工作，基础支撑系统软件中的任一构件更新、加载时，在不更新与上下构件接口的前提下，不影响应用系统运转和服务。</w:t>
      </w:r>
    </w:p>
    <w:p w14:paraId="79082655">
      <w:pPr>
        <w:ind w:firstLine="560"/>
        <w:rPr>
          <w:rFonts w:hint="eastAsia" w:ascii="仿宋_GB2312" w:hAnsi="仿宋_GB2312" w:eastAsia="仿宋_GB2312" w:cs="仿宋_GB2312"/>
        </w:rPr>
      </w:pPr>
      <w:r>
        <w:rPr>
          <w:rFonts w:hint="eastAsia" w:ascii="仿宋_GB2312" w:hAnsi="仿宋_GB2312" w:eastAsia="仿宋_GB2312" w:cs="仿宋_GB2312"/>
        </w:rPr>
        <w:t>（2）系统须采用增量备份和全备份相结合的方式定期备份重要数据。</w:t>
      </w:r>
    </w:p>
    <w:p w14:paraId="5567D262">
      <w:pPr>
        <w:ind w:firstLine="560"/>
        <w:rPr>
          <w:rFonts w:hint="eastAsia" w:ascii="仿宋_GB2312" w:hAnsi="仿宋_GB2312" w:eastAsia="仿宋_GB2312" w:cs="仿宋_GB2312"/>
        </w:rPr>
      </w:pPr>
      <w:r>
        <w:rPr>
          <w:rFonts w:hint="eastAsia" w:ascii="仿宋_GB2312" w:hAnsi="仿宋_GB2312" w:eastAsia="仿宋_GB2312" w:cs="仿宋_GB2312"/>
        </w:rPr>
        <w:t>（3）应用系统须支持负载均衡能力，应支持一键部署。</w:t>
      </w:r>
    </w:p>
    <w:p w14:paraId="0CE07CB9">
      <w:pPr>
        <w:ind w:firstLine="560"/>
        <w:rPr>
          <w:rFonts w:hint="eastAsia" w:ascii="仿宋_GB2312" w:hAnsi="仿宋_GB2312" w:eastAsia="仿宋_GB2312" w:cs="仿宋_GB2312"/>
        </w:rPr>
      </w:pPr>
      <w:r>
        <w:rPr>
          <w:rFonts w:hint="eastAsia" w:ascii="仿宋_GB2312" w:hAnsi="仿宋_GB2312" w:eastAsia="仿宋_GB2312" w:cs="仿宋_GB2312"/>
        </w:rPr>
        <w:t>（4）应用系统运行时，任一构件发生故障或数据库发生异常，系统不能崩溃。</w:t>
      </w:r>
    </w:p>
    <w:p w14:paraId="1B1D790F">
      <w:pPr>
        <w:pStyle w:val="5"/>
      </w:pPr>
      <w:bookmarkStart w:id="37" w:name="_Toc9805"/>
      <w:bookmarkStart w:id="38" w:name="_Toc31215"/>
      <w:r>
        <w:rPr>
          <w:rFonts w:hint="eastAsia"/>
        </w:rPr>
        <w:t>易用性</w:t>
      </w:r>
      <w:bookmarkEnd w:id="37"/>
      <w:bookmarkEnd w:id="38"/>
    </w:p>
    <w:p w14:paraId="7E7CFEF5">
      <w:pPr>
        <w:ind w:firstLine="560"/>
        <w:rPr>
          <w:rFonts w:hint="eastAsia" w:ascii="仿宋_GB2312" w:hAnsi="仿宋_GB2312" w:eastAsia="仿宋_GB2312" w:cs="仿宋_GB2312"/>
        </w:rPr>
      </w:pPr>
      <w:r>
        <w:rPr>
          <w:rFonts w:hint="eastAsia" w:ascii="仿宋_GB2312" w:hAnsi="仿宋_GB2312" w:eastAsia="仿宋_GB2312" w:cs="仿宋_GB2312"/>
        </w:rPr>
        <w:t>（1）对于业务熟练并且熟悉电脑操作的普通用户，应该通过初级培训之后，即可熟练掌握应用系统基本功能的操作技能。</w:t>
      </w:r>
    </w:p>
    <w:p w14:paraId="56EE37CD">
      <w:pPr>
        <w:ind w:firstLine="560"/>
        <w:rPr>
          <w:rFonts w:hint="eastAsia" w:ascii="仿宋_GB2312" w:hAnsi="仿宋_GB2312" w:eastAsia="仿宋_GB2312" w:cs="仿宋_GB2312"/>
        </w:rPr>
      </w:pPr>
      <w:r>
        <w:rPr>
          <w:rFonts w:hint="eastAsia" w:ascii="仿宋_GB2312" w:hAnsi="仿宋_GB2312" w:eastAsia="仿宋_GB2312" w:cs="仿宋_GB2312"/>
        </w:rPr>
        <w:t>（2）对于系统管理员，应该可以通过不超过累计两周的培训，即可熟练掌握应用系统管理相关功能的操作技能。</w:t>
      </w:r>
    </w:p>
    <w:p w14:paraId="6E30E4C1">
      <w:pPr>
        <w:ind w:firstLine="560"/>
        <w:rPr>
          <w:rFonts w:hint="eastAsia" w:ascii="仿宋_GB2312" w:hAnsi="仿宋_GB2312" w:eastAsia="仿宋_GB2312" w:cs="仿宋_GB2312"/>
        </w:rPr>
      </w:pPr>
      <w:r>
        <w:rPr>
          <w:rFonts w:hint="eastAsia" w:ascii="仿宋_GB2312" w:hAnsi="仿宋_GB2312" w:eastAsia="仿宋_GB2312" w:cs="仿宋_GB2312"/>
        </w:rPr>
        <w:t>（3）应用系统必须支持同时打开多个管理窗口以对不同任务进行并行的操作。</w:t>
      </w:r>
    </w:p>
    <w:p w14:paraId="1576737E">
      <w:pPr>
        <w:ind w:firstLine="560"/>
        <w:rPr>
          <w:rFonts w:hint="eastAsia" w:ascii="仿宋_GB2312" w:hAnsi="仿宋_GB2312" w:eastAsia="仿宋_GB2312" w:cs="仿宋_GB2312"/>
        </w:rPr>
      </w:pPr>
      <w:r>
        <w:rPr>
          <w:rFonts w:hint="eastAsia" w:ascii="仿宋_GB2312" w:hAnsi="仿宋_GB2312" w:eastAsia="仿宋_GB2312" w:cs="仿宋_GB2312"/>
        </w:rPr>
        <w:t>（4）应用系统的界面设计应简单，功能布局清晰、直观。</w:t>
      </w:r>
    </w:p>
    <w:p w14:paraId="7C39616A">
      <w:pPr>
        <w:pStyle w:val="5"/>
      </w:pPr>
      <w:bookmarkStart w:id="39" w:name="_Toc5388"/>
      <w:bookmarkStart w:id="40" w:name="_Toc17731"/>
      <w:r>
        <w:rPr>
          <w:rFonts w:hint="eastAsia"/>
        </w:rPr>
        <w:t>安全性</w:t>
      </w:r>
      <w:bookmarkEnd w:id="39"/>
      <w:bookmarkEnd w:id="40"/>
    </w:p>
    <w:p w14:paraId="3A1FEAD1">
      <w:pPr>
        <w:ind w:firstLine="560"/>
        <w:rPr>
          <w:rFonts w:hint="eastAsia" w:ascii="仿宋_GB2312" w:hAnsi="仿宋_GB2312" w:eastAsia="仿宋_GB2312" w:cs="仿宋_GB2312"/>
        </w:rPr>
      </w:pPr>
      <w:r>
        <w:rPr>
          <w:rFonts w:hint="eastAsia" w:ascii="仿宋_GB2312" w:hAnsi="仿宋_GB2312" w:eastAsia="仿宋_GB2312" w:cs="仿宋_GB2312"/>
        </w:rPr>
        <w:t>（1）应当对关键服务器主机设备提供冗余设计，防止单点故障造成网络服务中断。</w:t>
      </w:r>
    </w:p>
    <w:p w14:paraId="1AD4E32B">
      <w:pPr>
        <w:ind w:firstLine="560"/>
        <w:rPr>
          <w:rFonts w:hint="eastAsia" w:ascii="仿宋_GB2312" w:hAnsi="仿宋_GB2312" w:eastAsia="仿宋_GB2312" w:cs="仿宋_GB2312"/>
        </w:rPr>
      </w:pPr>
      <w:r>
        <w:rPr>
          <w:rFonts w:hint="eastAsia" w:ascii="仿宋_GB2312" w:hAnsi="仿宋_GB2312" w:eastAsia="仿宋_GB2312" w:cs="仿宋_GB2312"/>
        </w:rPr>
        <w:t>（2）应当建立主机弱点分析机制，发现和弥补系统软件中存在的不当配置和安全漏洞，及时进行自我完善。</w:t>
      </w:r>
    </w:p>
    <w:p w14:paraId="38626F0C">
      <w:pPr>
        <w:ind w:firstLine="560"/>
        <w:rPr>
          <w:rFonts w:hint="eastAsia" w:ascii="仿宋_GB2312" w:hAnsi="仿宋_GB2312" w:eastAsia="仿宋_GB2312" w:cs="仿宋_GB2312"/>
        </w:rPr>
      </w:pPr>
      <w:r>
        <w:rPr>
          <w:rFonts w:hint="eastAsia" w:ascii="仿宋_GB2312" w:hAnsi="仿宋_GB2312" w:eastAsia="仿宋_GB2312" w:cs="仿宋_GB2312"/>
        </w:rPr>
        <w:t>（3）应当建立主机系统软件版本维护机制，及时升级系统版本和补丁程序版本，保持系统软件的最新状态。</w:t>
      </w:r>
    </w:p>
    <w:p w14:paraId="3DF7E133">
      <w:pPr>
        <w:ind w:firstLine="560"/>
        <w:rPr>
          <w:rFonts w:hint="eastAsia" w:ascii="仿宋_GB2312" w:hAnsi="仿宋_GB2312" w:eastAsia="仿宋_GB2312" w:cs="仿宋_GB2312"/>
        </w:rPr>
      </w:pPr>
      <w:r>
        <w:rPr>
          <w:rFonts w:hint="eastAsia" w:ascii="仿宋_GB2312" w:hAnsi="仿宋_GB2312" w:eastAsia="仿宋_GB2312" w:cs="仿宋_GB2312"/>
        </w:rPr>
        <w:t>（4）应当建立主机系统软件备份和恢复机制，在灾难事件发生之后，能够快速实现系统恢复。</w:t>
      </w:r>
    </w:p>
    <w:p w14:paraId="681EF168">
      <w:pPr>
        <w:ind w:firstLine="560"/>
        <w:rPr>
          <w:rFonts w:hint="eastAsia" w:ascii="仿宋_GB2312" w:hAnsi="仿宋_GB2312" w:eastAsia="仿宋_GB2312" w:cs="仿宋_GB2312"/>
        </w:rPr>
      </w:pPr>
      <w:r>
        <w:rPr>
          <w:rFonts w:hint="eastAsia" w:ascii="仿宋_GB2312" w:hAnsi="仿宋_GB2312" w:eastAsia="仿宋_GB2312" w:cs="仿宋_GB2312"/>
        </w:rPr>
        <w:t>（5）应当建立主机入侵监测机制，发现主机系统中的异常操作行为，以及对主机发起的攻击行为，并及时向管理员报警。</w:t>
      </w:r>
    </w:p>
    <w:p w14:paraId="6094D2DA">
      <w:pPr>
        <w:ind w:firstLine="560"/>
        <w:rPr>
          <w:rFonts w:hint="eastAsia" w:ascii="仿宋_GB2312" w:hAnsi="仿宋_GB2312" w:eastAsia="仿宋_GB2312" w:cs="仿宋_GB2312"/>
        </w:rPr>
      </w:pPr>
      <w:r>
        <w:rPr>
          <w:rFonts w:hint="eastAsia" w:ascii="仿宋_GB2312" w:hAnsi="仿宋_GB2312" w:eastAsia="仿宋_GB2312" w:cs="仿宋_GB2312"/>
        </w:rPr>
        <w:t>（6）应当指定专门的部门和人员，负责主机系统的管理维护。</w:t>
      </w:r>
    </w:p>
    <w:p w14:paraId="4BAEB430">
      <w:pPr>
        <w:ind w:firstLine="560"/>
        <w:rPr>
          <w:rFonts w:hint="eastAsia" w:ascii="仿宋_GB2312" w:hAnsi="仿宋_GB2312" w:eastAsia="仿宋_GB2312" w:cs="仿宋_GB2312"/>
        </w:rPr>
      </w:pPr>
      <w:r>
        <w:rPr>
          <w:rFonts w:hint="eastAsia" w:ascii="仿宋_GB2312" w:hAnsi="仿宋_GB2312" w:eastAsia="仿宋_GB2312" w:cs="仿宋_GB2312"/>
        </w:rPr>
        <w:t>（7）应当建立主机系统管理规范，包括系统软件版本管理、主机弱点分析、主机审计日志检查和分析，以及系统软件的备份和恢复等内容。</w:t>
      </w:r>
    </w:p>
    <w:p w14:paraId="43E812D8">
      <w:pPr>
        <w:ind w:firstLine="560"/>
        <w:rPr>
          <w:rFonts w:hint="eastAsia" w:ascii="仿宋_GB2312" w:hAnsi="仿宋_GB2312" w:eastAsia="仿宋_GB2312" w:cs="仿宋_GB2312"/>
        </w:rPr>
      </w:pPr>
      <w:r>
        <w:rPr>
          <w:rFonts w:hint="eastAsia" w:ascii="仿宋_GB2312" w:hAnsi="仿宋_GB2312" w:eastAsia="仿宋_GB2312" w:cs="仿宋_GB2312"/>
        </w:rPr>
        <w:t>（8）管理机构应当定期对各项系统安全管理制度的有效性和实施状况进行检查，发现问题，进行改进。</w:t>
      </w:r>
    </w:p>
    <w:p w14:paraId="3927BB1E">
      <w:pPr>
        <w:pStyle w:val="5"/>
      </w:pPr>
      <w:bookmarkStart w:id="41" w:name="_Toc3360"/>
      <w:bookmarkStart w:id="42" w:name="_Toc9694"/>
      <w:r>
        <w:rPr>
          <w:rFonts w:hint="eastAsia"/>
        </w:rPr>
        <w:t>可扩展性</w:t>
      </w:r>
      <w:bookmarkEnd w:id="41"/>
      <w:bookmarkEnd w:id="42"/>
    </w:p>
    <w:p w14:paraId="16546D8B">
      <w:pPr>
        <w:ind w:firstLine="560"/>
        <w:rPr>
          <w:rFonts w:hint="eastAsia" w:ascii="仿宋_GB2312" w:hAnsi="仿宋_GB2312" w:eastAsia="仿宋_GB2312" w:cs="仿宋_GB2312"/>
        </w:rPr>
      </w:pPr>
      <w:r>
        <w:rPr>
          <w:rFonts w:hint="eastAsia" w:ascii="仿宋_GB2312" w:hAnsi="仿宋_GB2312" w:eastAsia="仿宋_GB2312" w:cs="仿宋_GB2312"/>
        </w:rPr>
        <w:t>（1）系统可以通过运行更多的实例或者采用分布式处理来支持更多的用户。可以通过线性的增加实例个数或者分布式处理点来处理更多的数据量，能更好地在不增加响应时间的前提下支持更多的业务处理。</w:t>
      </w:r>
    </w:p>
    <w:p w14:paraId="3A09BA66">
      <w:pPr>
        <w:ind w:firstLine="560"/>
        <w:rPr>
          <w:rFonts w:hint="eastAsia" w:ascii="仿宋_GB2312" w:hAnsi="仿宋_GB2312" w:eastAsia="仿宋_GB2312" w:cs="仿宋_GB2312"/>
        </w:rPr>
      </w:pPr>
      <w:r>
        <w:rPr>
          <w:rFonts w:hint="eastAsia" w:ascii="仿宋_GB2312" w:hAnsi="仿宋_GB2312" w:eastAsia="仿宋_GB2312" w:cs="仿宋_GB2312"/>
        </w:rPr>
        <w:t>（2）通过纵向扩展（增加单节点的处理资源，如CPU和内存）和横向扩展（增加处理节点）扩展处理性能。</w:t>
      </w:r>
    </w:p>
    <w:p w14:paraId="2240ABAE">
      <w:pPr>
        <w:pStyle w:val="5"/>
      </w:pPr>
      <w:bookmarkStart w:id="43" w:name="_Toc8258"/>
      <w:bookmarkStart w:id="44" w:name="_Toc1515"/>
      <w:r>
        <w:rPr>
          <w:rFonts w:hint="eastAsia"/>
        </w:rPr>
        <w:t>兼容性</w:t>
      </w:r>
      <w:bookmarkEnd w:id="43"/>
      <w:bookmarkEnd w:id="44"/>
    </w:p>
    <w:p w14:paraId="2606F6C6">
      <w:pPr>
        <w:ind w:firstLine="560"/>
        <w:rPr>
          <w:rFonts w:hint="eastAsia" w:ascii="仿宋_GB2312" w:hAnsi="仿宋_GB2312" w:eastAsia="仿宋_GB2312" w:cs="仿宋_GB2312"/>
        </w:rPr>
      </w:pPr>
      <w:r>
        <w:rPr>
          <w:rFonts w:hint="eastAsia" w:ascii="仿宋_GB2312" w:hAnsi="仿宋_GB2312" w:eastAsia="仿宋_GB2312" w:cs="仿宋_GB2312"/>
        </w:rPr>
        <w:t>（1）应用程序能够在国产操作系统部署。</w:t>
      </w:r>
    </w:p>
    <w:p w14:paraId="7435C51F">
      <w:pPr>
        <w:ind w:firstLine="560"/>
        <w:rPr>
          <w:rFonts w:hint="eastAsia" w:ascii="仿宋_GB2312" w:hAnsi="仿宋_GB2312" w:eastAsia="仿宋_GB2312" w:cs="仿宋_GB2312"/>
        </w:rPr>
      </w:pPr>
      <w:r>
        <w:rPr>
          <w:rFonts w:hint="eastAsia" w:ascii="仿宋_GB2312" w:hAnsi="仿宋_GB2312" w:eastAsia="仿宋_GB2312" w:cs="仿宋_GB2312"/>
        </w:rPr>
        <w:t>（2）应用系统界面设计可以兼容多种浏览器，如Chrome、Firefox、Edge及国产化浏览器等。</w:t>
      </w:r>
    </w:p>
    <w:p w14:paraId="4DD82322">
      <w:pPr>
        <w:ind w:firstLine="560"/>
        <w:rPr>
          <w:rFonts w:hint="eastAsia" w:ascii="仿宋_GB2312" w:hAnsi="仿宋_GB2312" w:eastAsia="仿宋_GB2312" w:cs="仿宋_GB2312"/>
        </w:rPr>
      </w:pPr>
      <w:r>
        <w:rPr>
          <w:rFonts w:hint="eastAsia" w:ascii="仿宋_GB2312" w:hAnsi="仿宋_GB2312" w:eastAsia="仿宋_GB2312" w:cs="仿宋_GB2312"/>
        </w:rPr>
        <w:t>（3）应用程序要求能与国产数据库、中间件等进行适配。</w:t>
      </w:r>
    </w:p>
    <w:p w14:paraId="77C8A657">
      <w:pPr>
        <w:pStyle w:val="5"/>
      </w:pPr>
      <w:bookmarkStart w:id="45" w:name="_Toc153"/>
      <w:bookmarkStart w:id="46" w:name="_Toc3388"/>
      <w:r>
        <w:rPr>
          <w:rFonts w:hint="eastAsia"/>
        </w:rPr>
        <w:t>可移植性</w:t>
      </w:r>
      <w:bookmarkEnd w:id="45"/>
      <w:bookmarkEnd w:id="46"/>
    </w:p>
    <w:p w14:paraId="67A25363">
      <w:pPr>
        <w:ind w:firstLine="560"/>
        <w:rPr>
          <w:rFonts w:hint="eastAsia" w:ascii="仿宋_GB2312" w:hAnsi="仿宋_GB2312" w:eastAsia="仿宋_GB2312" w:cs="仿宋_GB2312"/>
        </w:rPr>
      </w:pPr>
      <w:r>
        <w:rPr>
          <w:rFonts w:hint="eastAsia" w:ascii="仿宋_GB2312" w:hAnsi="仿宋_GB2312" w:eastAsia="仿宋_GB2312" w:cs="仿宋_GB2312"/>
        </w:rPr>
        <w:t>（1）应用系统应该不需改动或尽可能少地改动就可以在不同的主流UNIX（IBM、HP、SUN）及Linux平台下方便地移植。</w:t>
      </w:r>
    </w:p>
    <w:p w14:paraId="5965D980">
      <w:pPr>
        <w:ind w:firstLine="560"/>
        <w:rPr>
          <w:rFonts w:hint="eastAsia" w:ascii="仿宋_GB2312" w:hAnsi="仿宋_GB2312" w:eastAsia="仿宋_GB2312" w:cs="仿宋_GB2312"/>
        </w:rPr>
      </w:pPr>
      <w:r>
        <w:rPr>
          <w:rFonts w:hint="eastAsia" w:ascii="仿宋_GB2312" w:hAnsi="仿宋_GB2312" w:eastAsia="仿宋_GB2312" w:cs="仿宋_GB2312"/>
        </w:rPr>
        <w:t>（2）应用系统必须对于存储设备、备份设备及各种网络设备具有完全无关性。</w:t>
      </w:r>
    </w:p>
    <w:p w14:paraId="3355E9DA">
      <w:pPr>
        <w:ind w:firstLine="560"/>
        <w:rPr>
          <w:rFonts w:hint="eastAsia" w:ascii="仿宋_GB2312" w:hAnsi="仿宋_GB2312" w:eastAsia="仿宋_GB2312" w:cs="仿宋_GB2312"/>
        </w:rPr>
      </w:pPr>
      <w:r>
        <w:rPr>
          <w:rFonts w:hint="eastAsia" w:ascii="仿宋_GB2312" w:hAnsi="仿宋_GB2312" w:eastAsia="仿宋_GB2312" w:cs="仿宋_GB2312"/>
        </w:rPr>
        <w:t>（3）应用系统必须支持在不同主流数据库平台（如MySQL及国产数据库）的移植。移植时不允许修改业务逻辑构件，应该尽可能少地修改直接操作数据库的信息服务构件。</w:t>
      </w:r>
    </w:p>
    <w:p w14:paraId="01F92EAF">
      <w:pPr>
        <w:pStyle w:val="5"/>
      </w:pPr>
      <w:bookmarkStart w:id="47" w:name="_Toc124174431"/>
      <w:bookmarkStart w:id="48" w:name="_Toc18896"/>
      <w:bookmarkStart w:id="49" w:name="_Toc109679518"/>
      <w:bookmarkStart w:id="50" w:name="_Toc107474389"/>
      <w:bookmarkStart w:id="51" w:name="_Toc7885"/>
      <w:bookmarkStart w:id="52" w:name="_Toc136519934"/>
      <w:r>
        <w:rPr>
          <w:rFonts w:hint="eastAsia"/>
        </w:rPr>
        <w:t>系统性能需求</w:t>
      </w:r>
      <w:bookmarkEnd w:id="47"/>
      <w:bookmarkEnd w:id="48"/>
      <w:bookmarkEnd w:id="49"/>
      <w:bookmarkEnd w:id="50"/>
      <w:bookmarkEnd w:id="51"/>
      <w:bookmarkEnd w:id="52"/>
    </w:p>
    <w:p w14:paraId="4F80A4EC">
      <w:pPr>
        <w:ind w:firstLine="560"/>
        <w:rPr>
          <w:rFonts w:hint="eastAsia" w:ascii="仿宋_GB2312" w:hAnsi="仿宋_GB2312" w:eastAsia="仿宋_GB2312" w:cs="仿宋_GB2312"/>
        </w:rPr>
      </w:pPr>
      <w:r>
        <w:rPr>
          <w:rFonts w:hint="eastAsia" w:ascii="仿宋_GB2312" w:hAnsi="仿宋_GB2312" w:eastAsia="仿宋_GB2312" w:cs="仿宋_GB2312"/>
        </w:rPr>
        <w:t>（1）单应用系统启动加载时间不得超过20秒；</w:t>
      </w:r>
    </w:p>
    <w:p w14:paraId="1543D82B">
      <w:pPr>
        <w:ind w:firstLine="560"/>
        <w:rPr>
          <w:rFonts w:hint="eastAsia" w:ascii="仿宋_GB2312" w:hAnsi="仿宋_GB2312" w:eastAsia="仿宋_GB2312" w:cs="仿宋_GB2312"/>
        </w:rPr>
      </w:pPr>
      <w:r>
        <w:rPr>
          <w:rFonts w:hint="eastAsia" w:ascii="仿宋_GB2312" w:hAnsi="仿宋_GB2312" w:eastAsia="仿宋_GB2312" w:cs="仿宋_GB2312"/>
        </w:rPr>
        <w:t>（2）一般性的数据增加、修改、删除等操作，平均响应时间≤2秒，最长响应时间≤5秒；</w:t>
      </w:r>
    </w:p>
    <w:p w14:paraId="66C89959">
      <w:pPr>
        <w:ind w:firstLine="560"/>
        <w:rPr>
          <w:rFonts w:hint="eastAsia" w:ascii="仿宋_GB2312" w:hAnsi="仿宋_GB2312" w:eastAsia="仿宋_GB2312" w:cs="仿宋_GB2312"/>
        </w:rPr>
      </w:pPr>
      <w:r>
        <w:rPr>
          <w:rFonts w:hint="eastAsia" w:ascii="仿宋_GB2312" w:hAnsi="仿宋_GB2312" w:eastAsia="仿宋_GB2312" w:cs="仿宋_GB2312"/>
        </w:rPr>
        <w:t>（3）批量数据操作响应时间≤10秒；</w:t>
      </w:r>
    </w:p>
    <w:p w14:paraId="38AFE039">
      <w:pPr>
        <w:ind w:firstLine="560"/>
        <w:rPr>
          <w:rFonts w:hint="eastAsia" w:ascii="仿宋_GB2312" w:hAnsi="仿宋_GB2312" w:eastAsia="仿宋_GB2312" w:cs="仿宋_GB2312"/>
        </w:rPr>
      </w:pPr>
      <w:r>
        <w:rPr>
          <w:rFonts w:hint="eastAsia" w:ascii="仿宋_GB2312" w:hAnsi="仿宋_GB2312" w:eastAsia="仿宋_GB2312" w:cs="仿宋_GB2312"/>
        </w:rPr>
        <w:t>（4）一般业务操作的简单查询和统计，平均响应时间≤2秒，最长响应时间≤5秒；</w:t>
      </w:r>
    </w:p>
    <w:p w14:paraId="4E39ABF8">
      <w:pPr>
        <w:ind w:firstLine="560"/>
        <w:rPr>
          <w:rFonts w:hint="eastAsia" w:ascii="仿宋_GB2312" w:hAnsi="仿宋_GB2312" w:eastAsia="仿宋_GB2312" w:cs="仿宋_GB2312"/>
        </w:rPr>
      </w:pPr>
      <w:r>
        <w:rPr>
          <w:rFonts w:hint="eastAsia" w:ascii="仿宋_GB2312" w:hAnsi="仿宋_GB2312" w:eastAsia="仿宋_GB2312" w:cs="仿宋_GB2312"/>
        </w:rPr>
        <w:t>（5）大数据量查询、统计与复杂的统计汇总，响应时间≤15秒；</w:t>
      </w:r>
    </w:p>
    <w:p w14:paraId="15872AF4">
      <w:pPr>
        <w:ind w:firstLine="560"/>
        <w:rPr>
          <w:rFonts w:hint="eastAsia" w:ascii="仿宋_GB2312" w:hAnsi="仿宋_GB2312" w:eastAsia="仿宋_GB2312" w:cs="仿宋_GB2312"/>
        </w:rPr>
      </w:pPr>
      <w:r>
        <w:rPr>
          <w:rFonts w:hint="eastAsia" w:ascii="仿宋_GB2312" w:hAnsi="仿宋_GB2312" w:eastAsia="仿宋_GB2312" w:cs="仿宋_GB2312"/>
        </w:rPr>
        <w:t>（6）常用报表生成时间≤10秒，大数据量报表响应时间≤30秒；</w:t>
      </w:r>
    </w:p>
    <w:p w14:paraId="7D878EA8">
      <w:pPr>
        <w:ind w:firstLine="560"/>
        <w:rPr>
          <w:rFonts w:hint="eastAsia" w:ascii="仿宋_GB2312" w:hAnsi="仿宋_GB2312" w:eastAsia="仿宋_GB2312" w:cs="仿宋_GB2312"/>
        </w:rPr>
      </w:pPr>
      <w:r>
        <w:rPr>
          <w:rFonts w:hint="eastAsia" w:ascii="仿宋_GB2312" w:hAnsi="仿宋_GB2312" w:eastAsia="仿宋_GB2312" w:cs="仿宋_GB2312"/>
        </w:rPr>
        <w:t>（7）处理能力不能低于10次/秒。</w:t>
      </w:r>
    </w:p>
    <w:p w14:paraId="77E77188">
      <w:pPr>
        <w:pStyle w:val="3"/>
      </w:pPr>
      <w:bookmarkStart w:id="53" w:name="_Toc8488"/>
      <w:r>
        <w:rPr>
          <w:rFonts w:hint="eastAsia"/>
        </w:rPr>
        <w:t>商务要求</w:t>
      </w:r>
      <w:bookmarkEnd w:id="53"/>
    </w:p>
    <w:p w14:paraId="4964208E">
      <w:pPr>
        <w:pStyle w:val="4"/>
        <w:rPr>
          <w:color w:val="auto"/>
        </w:rPr>
      </w:pPr>
      <w:bookmarkStart w:id="54" w:name="_Toc11302"/>
      <w:r>
        <w:rPr>
          <w:rFonts w:hint="eastAsia"/>
          <w:color w:val="auto"/>
        </w:rPr>
        <w:t>安全防护体系建设要求</w:t>
      </w:r>
      <w:bookmarkEnd w:id="54"/>
    </w:p>
    <w:p w14:paraId="7535A6C8">
      <w:pPr>
        <w:ind w:firstLine="560"/>
        <w:rPr>
          <w:rFonts w:hint="eastAsia" w:ascii="仿宋_GB2312" w:hAnsi="仿宋_GB2312" w:eastAsia="仿宋_GB2312" w:cs="仿宋_GB2312"/>
          <w:color w:val="auto"/>
        </w:rPr>
      </w:pPr>
      <w:r>
        <w:rPr>
          <w:rFonts w:hint="eastAsia" w:ascii="仿宋_GB2312" w:hAnsi="仿宋_GB2312" w:eastAsia="仿宋_GB2312" w:cs="仿宋_GB2312"/>
          <w:color w:val="auto"/>
        </w:rPr>
        <w:t>本项目所需的计算资源、存储资源、备份资源、网络资源和安全防护资源均由青海省电子政务云提供。平台建设需符合网络安全第三级等级保护要求，有效保护数据安全和个人隐私。</w:t>
      </w:r>
    </w:p>
    <w:p w14:paraId="416110B3">
      <w:pPr>
        <w:ind w:firstLine="560"/>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具体</w:t>
      </w:r>
      <w:r>
        <w:rPr>
          <w:rFonts w:hint="eastAsia" w:ascii="仿宋_GB2312" w:hAnsi="仿宋_GB2312" w:eastAsia="仿宋_GB2312" w:cs="仿宋_GB2312"/>
          <w:color w:val="auto"/>
        </w:rPr>
        <w:t>《青海省传染病监测预警与应急指挥能力提升（业务应用系统、基础支撑系统）项目》安全系统建设由《青海省传染病监测预警与应急指挥能力提升（基础支撑系统）项目》</w:t>
      </w:r>
      <w:r>
        <w:rPr>
          <w:rFonts w:hint="eastAsia" w:ascii="仿宋_GB2312" w:hAnsi="仿宋_GB2312" w:eastAsia="仿宋_GB2312" w:cs="仿宋_GB2312"/>
          <w:color w:val="auto"/>
          <w:lang w:val="en-US" w:eastAsia="zh-CN"/>
        </w:rPr>
        <w:t>中数据备份及系统安全</w:t>
      </w:r>
      <w:r>
        <w:rPr>
          <w:rFonts w:hint="eastAsia" w:ascii="仿宋_GB2312" w:hAnsi="仿宋_GB2312" w:eastAsia="仿宋_GB2312" w:cs="仿宋_GB2312"/>
          <w:color w:val="auto"/>
        </w:rPr>
        <w:t>负责</w:t>
      </w:r>
      <w:r>
        <w:rPr>
          <w:rFonts w:hint="eastAsia" w:ascii="仿宋_GB2312" w:hAnsi="仿宋_GB2312" w:eastAsia="仿宋_GB2312" w:cs="仿宋_GB2312"/>
          <w:color w:val="auto"/>
          <w:lang w:val="en-US" w:eastAsia="zh-CN"/>
        </w:rPr>
        <w:t>承建商</w:t>
      </w:r>
      <w:r>
        <w:rPr>
          <w:rFonts w:hint="eastAsia" w:ascii="仿宋_GB2312" w:hAnsi="仿宋_GB2312" w:eastAsia="仿宋_GB2312" w:cs="仿宋_GB2312"/>
          <w:color w:val="auto"/>
        </w:rPr>
        <w:t>建设。</w:t>
      </w:r>
    </w:p>
    <w:p w14:paraId="63E52F60">
      <w:pPr>
        <w:pStyle w:val="4"/>
        <w:rPr>
          <w:color w:val="auto"/>
        </w:rPr>
      </w:pPr>
      <w:bookmarkStart w:id="55" w:name="_Toc6702"/>
      <w:r>
        <w:rPr>
          <w:rFonts w:hint="eastAsia"/>
          <w:color w:val="auto"/>
        </w:rPr>
        <w:t>密码应用建设要求</w:t>
      </w:r>
      <w:bookmarkEnd w:id="55"/>
    </w:p>
    <w:p w14:paraId="3391343A">
      <w:pPr>
        <w:ind w:firstLine="560"/>
        <w:rPr>
          <w:rFonts w:hint="eastAsia" w:ascii="仿宋_GB2312" w:hAnsi="仿宋_GB2312" w:eastAsia="仿宋_GB2312" w:cs="仿宋_GB2312"/>
          <w:color w:val="auto"/>
          <w:lang w:eastAsia="zh-Hans"/>
        </w:rPr>
      </w:pPr>
      <w:r>
        <w:rPr>
          <w:rFonts w:hint="eastAsia" w:ascii="仿宋_GB2312" w:hAnsi="仿宋_GB2312" w:eastAsia="仿宋_GB2312" w:cs="仿宋_GB2312"/>
          <w:color w:val="auto"/>
          <w:lang w:eastAsia="zh-Hans"/>
        </w:rPr>
        <w:t>本项目须建设合规、正确、有效</w:t>
      </w:r>
      <w:r>
        <w:rPr>
          <w:rFonts w:hint="eastAsia" w:ascii="仿宋_GB2312" w:hAnsi="仿宋_GB2312" w:eastAsia="仿宋_GB2312" w:cs="仿宋_GB2312"/>
          <w:color w:val="auto"/>
        </w:rPr>
        <w:t>地</w:t>
      </w:r>
      <w:r>
        <w:rPr>
          <w:rFonts w:hint="eastAsia" w:ascii="仿宋_GB2312" w:hAnsi="仿宋_GB2312" w:eastAsia="仿宋_GB2312" w:cs="仿宋_GB2312"/>
          <w:color w:val="auto"/>
          <w:lang w:eastAsia="zh-Hans"/>
        </w:rPr>
        <w:t>应用系统密码应用，并与系统整体网络安全等级保护相结合，满足三级指标要求，并为通过密码应用安全性评估奠定基础。</w:t>
      </w:r>
    </w:p>
    <w:p w14:paraId="2191B8CA">
      <w:pPr>
        <w:ind w:firstLine="560"/>
        <w:rPr>
          <w:rFonts w:hint="eastAsia" w:ascii="仿宋_GB2312" w:hAnsi="仿宋_GB2312" w:eastAsia="仿宋_GB2312" w:cs="仿宋_GB2312"/>
          <w:color w:val="auto"/>
          <w:lang w:eastAsia="zh-Hans"/>
        </w:rPr>
      </w:pPr>
      <w:r>
        <w:rPr>
          <w:rFonts w:hint="eastAsia" w:ascii="仿宋_GB2312" w:hAnsi="仿宋_GB2312" w:eastAsia="仿宋_GB2312" w:cs="仿宋_GB2312"/>
          <w:color w:val="auto"/>
          <w:lang w:val="en-US" w:eastAsia="zh-CN"/>
        </w:rPr>
        <w:t>具体</w:t>
      </w:r>
      <w:r>
        <w:rPr>
          <w:rFonts w:hint="eastAsia" w:ascii="仿宋_GB2312" w:hAnsi="仿宋_GB2312" w:eastAsia="仿宋_GB2312" w:cs="仿宋_GB2312"/>
          <w:color w:val="auto"/>
          <w:lang w:eastAsia="zh-Hans"/>
        </w:rPr>
        <w:t>密码应用建设由《青海省传染病监测预警与应急指挥能力提升（基础支撑系统）项目》</w:t>
      </w:r>
      <w:r>
        <w:rPr>
          <w:rFonts w:hint="eastAsia" w:ascii="仿宋_GB2312" w:hAnsi="仿宋_GB2312" w:eastAsia="仿宋_GB2312" w:cs="仿宋_GB2312"/>
          <w:color w:val="auto"/>
          <w:lang w:val="en-US" w:eastAsia="zh-CN"/>
        </w:rPr>
        <w:t>中密码应用承建单位</w:t>
      </w:r>
      <w:r>
        <w:rPr>
          <w:rFonts w:hint="eastAsia" w:ascii="仿宋_GB2312" w:hAnsi="仿宋_GB2312" w:eastAsia="仿宋_GB2312" w:cs="仿宋_GB2312"/>
          <w:color w:val="auto"/>
          <w:lang w:eastAsia="zh-Hans"/>
        </w:rPr>
        <w:t>负责建设。</w:t>
      </w:r>
    </w:p>
    <w:p w14:paraId="40B083A2">
      <w:pPr>
        <w:pStyle w:val="4"/>
        <w:rPr>
          <w:color w:val="auto"/>
        </w:rPr>
      </w:pPr>
      <w:bookmarkStart w:id="56" w:name="_Toc4993"/>
      <w:r>
        <w:rPr>
          <w:rFonts w:hint="eastAsia"/>
          <w:color w:val="auto"/>
        </w:rPr>
        <w:t>知识产权交付要求</w:t>
      </w:r>
      <w:bookmarkEnd w:id="56"/>
    </w:p>
    <w:p w14:paraId="4EB6C34E">
      <w:pPr>
        <w:ind w:firstLine="560"/>
        <w:rPr>
          <w:rFonts w:hint="eastAsia" w:ascii="仿宋_GB2312" w:hAnsi="仿宋_GB2312" w:eastAsia="仿宋_GB2312" w:cs="仿宋_GB2312"/>
        </w:rPr>
      </w:pPr>
      <w:r>
        <w:rPr>
          <w:rFonts w:hint="eastAsia" w:ascii="仿宋_GB2312" w:hAnsi="仿宋_GB2312" w:eastAsia="仿宋_GB2312" w:cs="仿宋_GB2312"/>
          <w:color w:val="auto"/>
        </w:rPr>
        <w:t>在合同签订前双方原有的产品、代码的知识产权仍然归各自所有，不因合同的履行发生任何转移。本次项目开发软件应用产品的知识产权（著作权/专利权）归属于建设方所有。未经建设方同意，开发方对本次项目开发的软件应用产品进行任何后续开发、改进、许可、销售、转移、分销</w:t>
      </w:r>
      <w:r>
        <w:rPr>
          <w:rFonts w:hint="eastAsia" w:ascii="仿宋_GB2312" w:hAnsi="仿宋_GB2312" w:eastAsia="仿宋_GB2312" w:cs="仿宋_GB2312"/>
        </w:rPr>
        <w:t>、外包、商业利用或提供其他服务等权利。</w:t>
      </w:r>
    </w:p>
    <w:p w14:paraId="7A36A873">
      <w:pPr>
        <w:pStyle w:val="4"/>
      </w:pPr>
      <w:bookmarkStart w:id="57" w:name="_Toc19443"/>
      <w:r>
        <w:rPr>
          <w:rFonts w:hint="eastAsia"/>
        </w:rPr>
        <w:t>项目质量管理要求</w:t>
      </w:r>
      <w:bookmarkEnd w:id="57"/>
    </w:p>
    <w:p w14:paraId="19718DDA">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项目质量管理需遵循严格的标准，确保所有交付物符合国家电子政务规定并保持准确性、一致性及前瞻性。所有文档和提交物必须规范，且引用来源需明确。在业务分析与系统规划中，应结合创新与实用，通过定期审计和强化测试措施来执行质量保证，同时，质量控制要侧重于监测结果与质量标准的一致性，并针对偏差制定纠正措施，以确保最终成果达到项目建设预期。</w:t>
      </w:r>
    </w:p>
    <w:p w14:paraId="338375D2">
      <w:pPr>
        <w:pStyle w:val="4"/>
      </w:pPr>
      <w:bookmarkStart w:id="58" w:name="_Toc10568"/>
      <w:r>
        <w:rPr>
          <w:rFonts w:hint="eastAsia"/>
        </w:rPr>
        <w:t>项目验收要求</w:t>
      </w:r>
      <w:bookmarkEnd w:id="58"/>
    </w:p>
    <w:p w14:paraId="586850BD">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参照《国家政务信息化项目建设管理办法》、《青海省省级政务信息化项目建设管理办法》和《国家电子政务工程建设项目验收工作大纲》的相关规定开展验收工作。项目分阶段进行验收，验收分初步验收和项目最终验收。承建单位根据建设要求，完成相关验收工作。</w:t>
      </w:r>
    </w:p>
    <w:p w14:paraId="4E002D5A">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根据项目建设分批分阶段实施交付的原则和履约风险控制等情况，本项目采用分节点验收方式，中标人根据建设内容分服务模块进行实施交付，各服务模块功能上线达到运行条件后，中标人可向采购人申请进度确认，采购人根据中标人提交的进度确认申请及相关资料5个工作日内组织完成进度确认。采购人有权对中标人履行合同的交付进度进行监督，并对合同交付进度进行确认，对已履约部分承担相应的付款义务。</w:t>
      </w:r>
    </w:p>
    <w:p w14:paraId="72E8E3B2">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各项服务功能完成供货、调试、安装后，中标人可向采购人申请提出项目验收申请，采购人在收到验收申请10个工作日内组织项目验收工作。</w:t>
      </w:r>
    </w:p>
    <w:p w14:paraId="34EE3DEC">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1.项目初验</w:t>
      </w:r>
    </w:p>
    <w:p w14:paraId="7C572DC0">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在合同约定的时间内，验收小组根据合同约定的要求，项目建设方对承建方交付的产品进行检查确认，确认合同项目的完成程度以及合格与否，核实承建方按照合同约定的要求完成工作，确保产品的质量与合同约定一致。</w:t>
      </w:r>
    </w:p>
    <w:p w14:paraId="207A5C6A">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2.项目终验</w:t>
      </w:r>
    </w:p>
    <w:p w14:paraId="7D20C1BB">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系统上线稳定运行后，在具备项目验收条件后承建单位向项目建设单位提出项目终验申请，由项目建设单位组织验收小组进行项目终验。项目终验主要是完成软硬件系统的运行情况。</w:t>
      </w:r>
      <w:bookmarkStart w:id="59" w:name="_Toc0"/>
    </w:p>
    <w:p w14:paraId="5EBB957C">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3.成果交付</w:t>
      </w:r>
      <w:bookmarkEnd w:id="59"/>
    </w:p>
    <w:p w14:paraId="5D628DDD">
      <w:pPr>
        <w:widowControl/>
        <w:ind w:firstLine="560"/>
        <w:rPr>
          <w:rFonts w:hint="eastAsia" w:ascii="仿宋_GB2312" w:hAnsi="仿宋_GB2312" w:eastAsia="仿宋_GB2312" w:cs="仿宋_GB2312"/>
          <w:color w:val="000000"/>
          <w:szCs w:val="28"/>
          <w:lang w:bidi="ar"/>
        </w:rPr>
      </w:pPr>
      <w:r>
        <w:rPr>
          <w:rFonts w:hint="eastAsia" w:ascii="仿宋_GB2312" w:hAnsi="仿宋_GB2312" w:eastAsia="仿宋_GB2312" w:cs="仿宋_GB2312"/>
          <w:color w:val="000000"/>
          <w:szCs w:val="28"/>
          <w:lang w:bidi="ar"/>
        </w:rPr>
        <w:t>在竣工验收时实施单位应将所有验收资料装订成册交付给项目建设方，其中包括（不限于以下内容）：</w:t>
      </w:r>
    </w:p>
    <w:p w14:paraId="3B433BE8">
      <w:pPr>
        <w:widowControl/>
        <w:ind w:firstLine="560"/>
        <w:rPr>
          <w:rFonts w:hint="eastAsia" w:ascii="仿宋_GB2312" w:hAnsi="仿宋_GB2312" w:eastAsia="仿宋_GB2312" w:cs="仿宋_GB2312"/>
        </w:rPr>
      </w:pPr>
      <w:r>
        <w:rPr>
          <w:rFonts w:hint="eastAsia" w:ascii="仿宋_GB2312" w:hAnsi="仿宋_GB2312" w:eastAsia="仿宋_GB2312" w:cs="仿宋_GB2312"/>
        </w:rPr>
        <w:t>（1）商务验收文档部分：</w:t>
      </w:r>
    </w:p>
    <w:p w14:paraId="60EEBC48">
      <w:pPr>
        <w:widowControl/>
        <w:ind w:firstLine="560"/>
        <w:rPr>
          <w:rFonts w:hint="eastAsia" w:ascii="仿宋_GB2312" w:hAnsi="仿宋_GB2312" w:eastAsia="仿宋_GB2312" w:cs="仿宋_GB2312"/>
        </w:rPr>
      </w:pPr>
      <w:r>
        <w:rPr>
          <w:rFonts w:hint="eastAsia" w:ascii="仿宋_GB2312" w:hAnsi="仿宋_GB2312" w:eastAsia="仿宋_GB2312" w:cs="仿宋_GB2312"/>
        </w:rPr>
        <w:t>1)</w:t>
      </w:r>
      <w:r>
        <w:rPr>
          <w:rFonts w:hint="eastAsia" w:ascii="仿宋_GB2312" w:hAnsi="仿宋_GB2312" w:eastAsia="仿宋_GB2312" w:cs="仿宋_GB2312"/>
        </w:rPr>
        <w:tab/>
      </w:r>
      <w:r>
        <w:rPr>
          <w:rFonts w:hint="eastAsia" w:ascii="仿宋_GB2312" w:hAnsi="仿宋_GB2312" w:eastAsia="仿宋_GB2312" w:cs="仿宋_GB2312"/>
        </w:rPr>
        <w:t>验收报告；</w:t>
      </w:r>
    </w:p>
    <w:p w14:paraId="74393A85">
      <w:pPr>
        <w:widowControl/>
        <w:ind w:firstLine="560"/>
        <w:rPr>
          <w:rFonts w:hint="eastAsia" w:ascii="仿宋_GB2312" w:hAnsi="仿宋_GB2312" w:eastAsia="仿宋_GB2312" w:cs="仿宋_GB2312"/>
        </w:rPr>
      </w:pPr>
      <w:r>
        <w:rPr>
          <w:rFonts w:hint="eastAsia" w:ascii="仿宋_GB2312" w:hAnsi="仿宋_GB2312" w:eastAsia="仿宋_GB2312" w:cs="仿宋_GB2312"/>
        </w:rPr>
        <w:t>2)</w:t>
      </w:r>
      <w:r>
        <w:rPr>
          <w:rFonts w:hint="eastAsia" w:ascii="仿宋_GB2312" w:hAnsi="仿宋_GB2312" w:eastAsia="仿宋_GB2312" w:cs="仿宋_GB2312"/>
        </w:rPr>
        <w:tab/>
      </w:r>
      <w:r>
        <w:rPr>
          <w:rFonts w:hint="eastAsia" w:ascii="仿宋_GB2312" w:hAnsi="仿宋_GB2312" w:eastAsia="仿宋_GB2312" w:cs="仿宋_GB2312"/>
        </w:rPr>
        <w:t>决算书；</w:t>
      </w:r>
    </w:p>
    <w:p w14:paraId="5130C873">
      <w:pPr>
        <w:widowControl/>
        <w:ind w:firstLine="560"/>
        <w:rPr>
          <w:rFonts w:hint="eastAsia" w:ascii="仿宋_GB2312" w:hAnsi="仿宋_GB2312" w:eastAsia="仿宋_GB2312" w:cs="仿宋_GB2312"/>
        </w:rPr>
      </w:pPr>
      <w:r>
        <w:rPr>
          <w:rFonts w:hint="eastAsia" w:ascii="仿宋_GB2312" w:hAnsi="仿宋_GB2312" w:eastAsia="仿宋_GB2312" w:cs="仿宋_GB2312"/>
        </w:rPr>
        <w:t>3)</w:t>
      </w:r>
      <w:r>
        <w:rPr>
          <w:rFonts w:hint="eastAsia" w:ascii="仿宋_GB2312" w:hAnsi="仿宋_GB2312" w:eastAsia="仿宋_GB2312" w:cs="仿宋_GB2312"/>
        </w:rPr>
        <w:tab/>
      </w:r>
      <w:r>
        <w:rPr>
          <w:rFonts w:hint="eastAsia" w:ascii="仿宋_GB2312" w:hAnsi="仿宋_GB2312" w:eastAsia="仿宋_GB2312" w:cs="仿宋_GB2312"/>
        </w:rPr>
        <w:t>用户使用报告；</w:t>
      </w:r>
    </w:p>
    <w:p w14:paraId="67F20CD1">
      <w:pPr>
        <w:widowControl/>
        <w:ind w:firstLine="560"/>
        <w:rPr>
          <w:rFonts w:hint="eastAsia" w:ascii="仿宋_GB2312" w:hAnsi="仿宋_GB2312" w:eastAsia="仿宋_GB2312" w:cs="仿宋_GB2312"/>
        </w:rPr>
      </w:pPr>
      <w:r>
        <w:rPr>
          <w:rFonts w:hint="eastAsia" w:ascii="仿宋_GB2312" w:hAnsi="仿宋_GB2312" w:eastAsia="仿宋_GB2312" w:cs="仿宋_GB2312"/>
        </w:rPr>
        <w:t>4)</w:t>
      </w:r>
      <w:r>
        <w:rPr>
          <w:rFonts w:hint="eastAsia" w:ascii="仿宋_GB2312" w:hAnsi="仿宋_GB2312" w:eastAsia="仿宋_GB2312" w:cs="仿宋_GB2312"/>
        </w:rPr>
        <w:tab/>
      </w:r>
      <w:r>
        <w:rPr>
          <w:rFonts w:hint="eastAsia" w:ascii="仿宋_GB2312" w:hAnsi="仿宋_GB2312" w:eastAsia="仿宋_GB2312" w:cs="仿宋_GB2312"/>
        </w:rPr>
        <w:t>培训（培训通知，用户签到表等相关材料）。</w:t>
      </w:r>
    </w:p>
    <w:p w14:paraId="03F1E34F">
      <w:pPr>
        <w:widowControl/>
        <w:ind w:firstLine="560"/>
        <w:rPr>
          <w:rFonts w:hint="eastAsia" w:ascii="仿宋_GB2312" w:hAnsi="仿宋_GB2312" w:eastAsia="仿宋_GB2312" w:cs="仿宋_GB2312"/>
        </w:rPr>
      </w:pPr>
      <w:r>
        <w:rPr>
          <w:rFonts w:hint="eastAsia" w:ascii="仿宋_GB2312" w:hAnsi="仿宋_GB2312" w:eastAsia="仿宋_GB2312" w:cs="仿宋_GB2312"/>
        </w:rPr>
        <w:t>（2）技术验收文档部分：</w:t>
      </w:r>
    </w:p>
    <w:p w14:paraId="1F4C1883">
      <w:pPr>
        <w:widowControl/>
        <w:ind w:firstLine="560"/>
        <w:rPr>
          <w:rFonts w:hint="eastAsia" w:ascii="仿宋_GB2312" w:hAnsi="仿宋_GB2312" w:eastAsia="仿宋_GB2312" w:cs="仿宋_GB2312"/>
        </w:rPr>
      </w:pPr>
      <w:r>
        <w:rPr>
          <w:rFonts w:hint="eastAsia" w:ascii="仿宋_GB2312" w:hAnsi="仿宋_GB2312" w:eastAsia="仿宋_GB2312" w:cs="仿宋_GB2312"/>
        </w:rPr>
        <w:t>1)</w:t>
      </w:r>
      <w:r>
        <w:rPr>
          <w:rFonts w:hint="eastAsia" w:ascii="仿宋_GB2312" w:hAnsi="仿宋_GB2312" w:eastAsia="仿宋_GB2312" w:cs="仿宋_GB2312"/>
        </w:rPr>
        <w:tab/>
      </w:r>
      <w:r>
        <w:rPr>
          <w:rFonts w:hint="eastAsia" w:ascii="仿宋_GB2312" w:hAnsi="仿宋_GB2312" w:eastAsia="仿宋_GB2312" w:cs="仿宋_GB2312"/>
        </w:rPr>
        <w:t>系统需求分析；</w:t>
      </w:r>
    </w:p>
    <w:p w14:paraId="2ADC55E3">
      <w:pPr>
        <w:widowControl/>
        <w:ind w:firstLine="560"/>
        <w:rPr>
          <w:rFonts w:hint="eastAsia" w:ascii="仿宋_GB2312" w:hAnsi="仿宋_GB2312" w:eastAsia="仿宋_GB2312" w:cs="仿宋_GB2312"/>
        </w:rPr>
      </w:pPr>
      <w:r>
        <w:rPr>
          <w:rFonts w:hint="eastAsia" w:ascii="仿宋_GB2312" w:hAnsi="仿宋_GB2312" w:eastAsia="仿宋_GB2312" w:cs="仿宋_GB2312"/>
        </w:rPr>
        <w:t>2)</w:t>
      </w:r>
      <w:r>
        <w:rPr>
          <w:rFonts w:hint="eastAsia" w:ascii="仿宋_GB2312" w:hAnsi="仿宋_GB2312" w:eastAsia="仿宋_GB2312" w:cs="仿宋_GB2312"/>
        </w:rPr>
        <w:tab/>
      </w:r>
      <w:r>
        <w:rPr>
          <w:rFonts w:hint="eastAsia" w:ascii="仿宋_GB2312" w:hAnsi="仿宋_GB2312" w:eastAsia="仿宋_GB2312" w:cs="仿宋_GB2312"/>
        </w:rPr>
        <w:t>系统详细设计说明书；</w:t>
      </w:r>
    </w:p>
    <w:p w14:paraId="5AF63808">
      <w:pPr>
        <w:widowControl/>
        <w:ind w:firstLine="560"/>
        <w:rPr>
          <w:rFonts w:hint="eastAsia" w:ascii="仿宋_GB2312" w:hAnsi="仿宋_GB2312" w:eastAsia="仿宋_GB2312" w:cs="仿宋_GB2312"/>
        </w:rPr>
      </w:pPr>
      <w:r>
        <w:rPr>
          <w:rFonts w:hint="eastAsia" w:ascii="仿宋_GB2312" w:hAnsi="仿宋_GB2312" w:eastAsia="仿宋_GB2312" w:cs="仿宋_GB2312"/>
        </w:rPr>
        <w:t>3)</w:t>
      </w:r>
      <w:r>
        <w:rPr>
          <w:rFonts w:hint="eastAsia" w:ascii="仿宋_GB2312" w:hAnsi="仿宋_GB2312" w:eastAsia="仿宋_GB2312" w:cs="仿宋_GB2312"/>
        </w:rPr>
        <w:tab/>
      </w:r>
      <w:r>
        <w:rPr>
          <w:rFonts w:hint="eastAsia" w:ascii="仿宋_GB2312" w:hAnsi="仿宋_GB2312" w:eastAsia="仿宋_GB2312" w:cs="仿宋_GB2312"/>
        </w:rPr>
        <w:t>系统技术说明书（含系统集成及部署手册、系统功能说明书、系统技术维护手册等）；</w:t>
      </w:r>
    </w:p>
    <w:p w14:paraId="46F537B9">
      <w:pPr>
        <w:widowControl/>
        <w:ind w:firstLine="560"/>
        <w:rPr>
          <w:rFonts w:hint="eastAsia" w:ascii="仿宋_GB2312" w:hAnsi="仿宋_GB2312" w:eastAsia="仿宋_GB2312" w:cs="仿宋_GB2312"/>
        </w:rPr>
      </w:pPr>
      <w:r>
        <w:rPr>
          <w:rFonts w:hint="eastAsia" w:ascii="仿宋_GB2312" w:hAnsi="仿宋_GB2312" w:eastAsia="仿宋_GB2312" w:cs="仿宋_GB2312"/>
        </w:rPr>
        <w:t>4)</w:t>
      </w:r>
      <w:r>
        <w:rPr>
          <w:rFonts w:hint="eastAsia" w:ascii="仿宋_GB2312" w:hAnsi="仿宋_GB2312" w:eastAsia="仿宋_GB2312" w:cs="仿宋_GB2312"/>
        </w:rPr>
        <w:tab/>
      </w:r>
      <w:r>
        <w:rPr>
          <w:rFonts w:hint="eastAsia" w:ascii="仿宋_GB2312" w:hAnsi="仿宋_GB2312" w:eastAsia="仿宋_GB2312" w:cs="仿宋_GB2312"/>
        </w:rPr>
        <w:t>监理报告；</w:t>
      </w:r>
    </w:p>
    <w:p w14:paraId="07D799EF">
      <w:pPr>
        <w:widowControl/>
        <w:ind w:firstLine="560"/>
        <w:rPr>
          <w:rFonts w:hint="eastAsia" w:ascii="仿宋_GB2312" w:hAnsi="仿宋_GB2312" w:eastAsia="仿宋_GB2312" w:cs="仿宋_GB2312"/>
        </w:rPr>
      </w:pPr>
      <w:r>
        <w:rPr>
          <w:rFonts w:hint="eastAsia" w:ascii="仿宋_GB2312" w:hAnsi="仿宋_GB2312" w:eastAsia="仿宋_GB2312" w:cs="仿宋_GB2312"/>
        </w:rPr>
        <w:t>5)</w:t>
      </w:r>
      <w:r>
        <w:rPr>
          <w:rFonts w:hint="eastAsia" w:ascii="仿宋_GB2312" w:hAnsi="仿宋_GB2312" w:eastAsia="仿宋_GB2312" w:cs="仿宋_GB2312"/>
        </w:rPr>
        <w:tab/>
      </w:r>
      <w:r>
        <w:rPr>
          <w:rFonts w:hint="eastAsia" w:ascii="仿宋_GB2312" w:hAnsi="仿宋_GB2312" w:eastAsia="仿宋_GB2312" w:cs="仿宋_GB2312"/>
        </w:rPr>
        <w:t>功能模块和上线运行测试报告；</w:t>
      </w:r>
    </w:p>
    <w:p w14:paraId="25CD2FCE">
      <w:pPr>
        <w:widowControl/>
        <w:ind w:firstLine="560"/>
        <w:rPr>
          <w:rFonts w:hint="eastAsia" w:ascii="仿宋_GB2312" w:hAnsi="仿宋_GB2312" w:eastAsia="仿宋_GB2312" w:cs="仿宋_GB2312"/>
        </w:rPr>
      </w:pPr>
      <w:r>
        <w:rPr>
          <w:rFonts w:hint="eastAsia" w:ascii="仿宋_GB2312" w:hAnsi="仿宋_GB2312" w:eastAsia="仿宋_GB2312" w:cs="仿宋_GB2312"/>
        </w:rPr>
        <w:t>6)</w:t>
      </w:r>
      <w:r>
        <w:rPr>
          <w:rFonts w:hint="eastAsia" w:ascii="仿宋_GB2312" w:hAnsi="仿宋_GB2312" w:eastAsia="仿宋_GB2312" w:cs="仿宋_GB2312"/>
        </w:rPr>
        <w:tab/>
      </w:r>
      <w:r>
        <w:rPr>
          <w:rFonts w:hint="eastAsia" w:ascii="仿宋_GB2312" w:hAnsi="仿宋_GB2312" w:eastAsia="仿宋_GB2312" w:cs="仿宋_GB2312"/>
        </w:rPr>
        <w:t>第三方系统测试报告（功能、性能和安全）；</w:t>
      </w:r>
    </w:p>
    <w:p w14:paraId="1A2E6841">
      <w:pPr>
        <w:widowControl/>
        <w:ind w:firstLine="560"/>
        <w:rPr>
          <w:rFonts w:hint="eastAsia" w:ascii="仿宋_GB2312" w:hAnsi="仿宋_GB2312" w:eastAsia="仿宋_GB2312" w:cs="仿宋_GB2312"/>
        </w:rPr>
      </w:pPr>
      <w:r>
        <w:rPr>
          <w:rFonts w:hint="eastAsia" w:ascii="仿宋_GB2312" w:hAnsi="仿宋_GB2312" w:eastAsia="仿宋_GB2312" w:cs="仿宋_GB2312"/>
        </w:rPr>
        <w:t>7)</w:t>
      </w:r>
      <w:r>
        <w:rPr>
          <w:rFonts w:hint="eastAsia" w:ascii="仿宋_GB2312" w:hAnsi="仿宋_GB2312" w:eastAsia="仿宋_GB2312" w:cs="仿宋_GB2312"/>
        </w:rPr>
        <w:tab/>
      </w:r>
      <w:r>
        <w:rPr>
          <w:rFonts w:hint="eastAsia" w:ascii="仿宋_GB2312" w:hAnsi="仿宋_GB2312" w:eastAsia="仿宋_GB2312" w:cs="仿宋_GB2312"/>
        </w:rPr>
        <w:t>操作使用手册；</w:t>
      </w:r>
    </w:p>
    <w:p w14:paraId="3D4EC412">
      <w:pPr>
        <w:widowControl/>
        <w:ind w:firstLine="560"/>
        <w:rPr>
          <w:rFonts w:hint="eastAsia" w:ascii="仿宋_GB2312" w:hAnsi="仿宋_GB2312" w:eastAsia="仿宋_GB2312" w:cs="仿宋_GB2312"/>
        </w:rPr>
      </w:pPr>
      <w:r>
        <w:rPr>
          <w:rFonts w:hint="eastAsia" w:ascii="仿宋_GB2312" w:hAnsi="仿宋_GB2312" w:eastAsia="仿宋_GB2312" w:cs="仿宋_GB2312"/>
        </w:rPr>
        <w:t>8)</w:t>
      </w:r>
      <w:r>
        <w:rPr>
          <w:rFonts w:hint="eastAsia" w:ascii="仿宋_GB2312" w:hAnsi="仿宋_GB2312" w:eastAsia="仿宋_GB2312" w:cs="仿宋_GB2312"/>
        </w:rPr>
        <w:tab/>
      </w:r>
      <w:r>
        <w:rPr>
          <w:rFonts w:hint="eastAsia" w:ascii="仿宋_GB2312" w:hAnsi="仿宋_GB2312" w:eastAsia="仿宋_GB2312" w:cs="仿宋_GB2312"/>
        </w:rPr>
        <w:t>基础软件产品清单及参数配置等。</w:t>
      </w:r>
    </w:p>
    <w:p w14:paraId="7545C65F">
      <w:pPr>
        <w:widowControl/>
        <w:ind w:firstLine="560"/>
        <w:rPr>
          <w:rFonts w:hint="eastAsia" w:ascii="仿宋_GB2312" w:hAnsi="仿宋_GB2312" w:eastAsia="仿宋_GB2312" w:cs="仿宋_GB2312"/>
        </w:rPr>
      </w:pPr>
      <w:r>
        <w:rPr>
          <w:rFonts w:hint="eastAsia" w:ascii="仿宋_GB2312" w:hAnsi="仿宋_GB2312" w:eastAsia="仿宋_GB2312" w:cs="仿宋_GB2312"/>
        </w:rPr>
        <w:t>（3）服务要求文档部分：</w:t>
      </w:r>
    </w:p>
    <w:p w14:paraId="0A678A80">
      <w:pPr>
        <w:widowControl/>
        <w:ind w:firstLine="560"/>
        <w:rPr>
          <w:rFonts w:hint="eastAsia" w:ascii="仿宋_GB2312" w:hAnsi="仿宋_GB2312" w:eastAsia="仿宋_GB2312" w:cs="仿宋_GB2312"/>
        </w:rPr>
      </w:pPr>
      <w:r>
        <w:rPr>
          <w:rFonts w:hint="eastAsia" w:ascii="仿宋_GB2312" w:hAnsi="仿宋_GB2312" w:eastAsia="仿宋_GB2312" w:cs="仿宋_GB2312"/>
        </w:rPr>
        <w:t>1)</w:t>
      </w:r>
      <w:r>
        <w:rPr>
          <w:rFonts w:hint="eastAsia" w:ascii="仿宋_GB2312" w:hAnsi="仿宋_GB2312" w:eastAsia="仿宋_GB2312" w:cs="仿宋_GB2312"/>
        </w:rPr>
        <w:tab/>
      </w:r>
      <w:r>
        <w:rPr>
          <w:rFonts w:hint="eastAsia" w:ascii="仿宋_GB2312" w:hAnsi="仿宋_GB2312" w:eastAsia="仿宋_GB2312" w:cs="仿宋_GB2312"/>
        </w:rPr>
        <w:t>运维服务方案；</w:t>
      </w:r>
    </w:p>
    <w:p w14:paraId="177CC5CB">
      <w:pPr>
        <w:widowControl/>
        <w:ind w:firstLine="560"/>
        <w:rPr>
          <w:rFonts w:hint="eastAsia" w:ascii="仿宋_GB2312" w:hAnsi="仿宋_GB2312" w:eastAsia="仿宋_GB2312" w:cs="仿宋_GB2312"/>
        </w:rPr>
      </w:pPr>
      <w:r>
        <w:rPr>
          <w:rFonts w:hint="eastAsia" w:ascii="仿宋_GB2312" w:hAnsi="仿宋_GB2312" w:eastAsia="仿宋_GB2312" w:cs="仿宋_GB2312"/>
        </w:rPr>
        <w:t>2)</w:t>
      </w:r>
      <w:r>
        <w:rPr>
          <w:rFonts w:hint="eastAsia" w:ascii="仿宋_GB2312" w:hAnsi="仿宋_GB2312" w:eastAsia="仿宋_GB2312" w:cs="仿宋_GB2312"/>
        </w:rPr>
        <w:tab/>
      </w:r>
      <w:r>
        <w:rPr>
          <w:rFonts w:hint="eastAsia" w:ascii="仿宋_GB2312" w:hAnsi="仿宋_GB2312" w:eastAsia="仿宋_GB2312" w:cs="仿宋_GB2312"/>
        </w:rPr>
        <w:t>应急维护预案。</w:t>
      </w:r>
    </w:p>
    <w:p w14:paraId="28BCCAAC">
      <w:pPr>
        <w:pStyle w:val="4"/>
      </w:pPr>
      <w:bookmarkStart w:id="60" w:name="_Toc24952"/>
      <w:r>
        <w:rPr>
          <w:rFonts w:hint="eastAsia"/>
        </w:rPr>
        <w:t>保修和售后服务要求</w:t>
      </w:r>
      <w:bookmarkEnd w:id="60"/>
    </w:p>
    <w:p w14:paraId="46B40208">
      <w:pPr>
        <w:ind w:firstLine="560"/>
        <w:rPr>
          <w:rFonts w:hint="eastAsia" w:ascii="仿宋_GB2312" w:hAnsi="仿宋_GB2312" w:eastAsia="仿宋_GB2312" w:cs="仿宋_GB2312"/>
          <w:strike w:val="0"/>
          <w:dstrike w:val="0"/>
          <w:color w:val="auto"/>
        </w:rPr>
      </w:pPr>
      <w:r>
        <w:rPr>
          <w:rFonts w:hint="eastAsia" w:ascii="仿宋_GB2312" w:hAnsi="仿宋_GB2312" w:eastAsia="仿宋_GB2312" w:cs="仿宋_GB2312"/>
          <w:strike w:val="0"/>
          <w:dstrike w:val="0"/>
          <w:color w:val="auto"/>
        </w:rPr>
        <w:t>在项目三年免费质保期内，提供免费的软件升级服务，确保系统始终保持最新状态。同时，提供必要的软件维护服务，解决软件使用过程中出现的问题。</w:t>
      </w:r>
    </w:p>
    <w:p w14:paraId="03EC4B06">
      <w:pPr>
        <w:ind w:firstLine="560"/>
        <w:rPr>
          <w:rFonts w:hint="eastAsia" w:ascii="仿宋_GB2312" w:hAnsi="仿宋_GB2312" w:eastAsia="仿宋_GB2312" w:cs="仿宋_GB2312"/>
        </w:rPr>
      </w:pPr>
      <w:r>
        <w:rPr>
          <w:rFonts w:hint="eastAsia" w:ascii="仿宋_GB2312" w:hAnsi="仿宋_GB2312" w:eastAsia="仿宋_GB2312" w:cs="仿宋_GB2312"/>
        </w:rPr>
        <w:t>本项目售后服务遵循SLA服务标准，通过了解项目建设方需求，跟踪客户发展，通过售后服务来完善系统满意度，通过技术创新快速地满足项目建设方变化的需求，才能为项目建设方提供满意的售后服务。</w:t>
      </w:r>
    </w:p>
    <w:p w14:paraId="3BBAAB0E">
      <w:pPr>
        <w:ind w:firstLine="560"/>
        <w:rPr>
          <w:rFonts w:hint="eastAsia" w:ascii="仿宋_GB2312" w:hAnsi="仿宋_GB2312" w:eastAsia="仿宋_GB2312" w:cs="仿宋_GB2312"/>
        </w:rPr>
      </w:pPr>
      <w:r>
        <w:rPr>
          <w:rFonts w:hint="eastAsia" w:ascii="仿宋_GB2312" w:hAnsi="仿宋_GB2312" w:eastAsia="仿宋_GB2312" w:cs="仿宋_GB2312"/>
        </w:rPr>
        <w:t>1、响应时间标准</w:t>
      </w:r>
      <w:r>
        <w:rPr>
          <w:rFonts w:hint="eastAsia" w:ascii="仿宋_GB2312" w:hAnsi="仿宋_GB2312" w:eastAsia="仿宋_GB2312" w:cs="仿宋_GB2312"/>
          <w:lang w:eastAsia="zh-CN"/>
        </w:rPr>
        <w:t>：</w:t>
      </w:r>
    </w:p>
    <w:p w14:paraId="1C4A8D1D">
      <w:pPr>
        <w:ind w:firstLine="560"/>
        <w:rPr>
          <w:rFonts w:hint="eastAsia" w:ascii="仿宋_GB2312" w:hAnsi="仿宋_GB2312" w:eastAsia="仿宋_GB2312" w:cs="仿宋_GB2312"/>
        </w:rPr>
      </w:pPr>
      <w:r>
        <w:rPr>
          <w:rFonts w:hint="eastAsia" w:ascii="仿宋_GB2312" w:hAnsi="仿宋_GB2312" w:eastAsia="仿宋_GB2312" w:cs="仿宋_GB2312"/>
        </w:rPr>
        <w:t>本项目提供“7×24”小时运维支撑服务。</w:t>
      </w:r>
    </w:p>
    <w:p w14:paraId="47C748AF">
      <w:pPr>
        <w:ind w:firstLine="560"/>
        <w:rPr>
          <w:rFonts w:hint="eastAsia" w:ascii="仿宋_GB2312" w:hAnsi="仿宋_GB2312" w:eastAsia="仿宋_GB2312" w:cs="仿宋_GB2312"/>
        </w:rPr>
      </w:pPr>
      <w:r>
        <w:rPr>
          <w:rFonts w:hint="eastAsia" w:ascii="仿宋_GB2312" w:hAnsi="仿宋_GB2312" w:eastAsia="仿宋_GB2312" w:cs="仿宋_GB2312"/>
        </w:rPr>
        <w:t>2、故障恢复时间标准：</w:t>
      </w:r>
    </w:p>
    <w:p w14:paraId="0DE69E7E">
      <w:pPr>
        <w:ind w:firstLine="560"/>
        <w:rPr>
          <w:rFonts w:hint="eastAsia" w:ascii="仿宋_GB2312" w:hAnsi="仿宋_GB2312" w:eastAsia="仿宋_GB2312" w:cs="仿宋_GB2312"/>
        </w:rPr>
      </w:pPr>
      <w:r>
        <w:rPr>
          <w:rFonts w:hint="eastAsia" w:ascii="仿宋_GB2312" w:hAnsi="仿宋_GB2312" w:eastAsia="仿宋_GB2312" w:cs="仿宋_GB2312"/>
        </w:rPr>
        <w:t>（1）运行过程中如果出现硬件故障和可快速恢复的软硬件故障：</w:t>
      </w:r>
    </w:p>
    <w:p w14:paraId="0631754E">
      <w:pPr>
        <w:ind w:firstLine="560"/>
        <w:rPr>
          <w:rFonts w:hint="eastAsia" w:ascii="仿宋_GB2312" w:hAnsi="仿宋_GB2312" w:eastAsia="仿宋_GB2312" w:cs="仿宋_GB2312"/>
        </w:rPr>
      </w:pPr>
      <w:r>
        <w:rPr>
          <w:rFonts w:hint="eastAsia" w:ascii="仿宋_GB2312" w:hAnsi="仿宋_GB2312" w:eastAsia="仿宋_GB2312" w:cs="仿宋_GB2312"/>
        </w:rPr>
        <w:t>一级故障恢复小于1小时，一级故障解决小于2小时。</w:t>
      </w:r>
    </w:p>
    <w:p w14:paraId="6CF7A5AE">
      <w:pPr>
        <w:ind w:firstLine="560"/>
        <w:rPr>
          <w:rFonts w:hint="eastAsia" w:ascii="仿宋_GB2312" w:hAnsi="仿宋_GB2312" w:eastAsia="仿宋_GB2312" w:cs="仿宋_GB2312"/>
        </w:rPr>
      </w:pPr>
      <w:r>
        <w:rPr>
          <w:rFonts w:hint="eastAsia" w:ascii="仿宋_GB2312" w:hAnsi="仿宋_GB2312" w:eastAsia="仿宋_GB2312" w:cs="仿宋_GB2312"/>
        </w:rPr>
        <w:t>二级故障恢复小于2小时，二级故障解决小于4小时。</w:t>
      </w:r>
    </w:p>
    <w:p w14:paraId="6A2FDE10">
      <w:pPr>
        <w:ind w:firstLine="560"/>
        <w:rPr>
          <w:rFonts w:hint="eastAsia" w:ascii="仿宋_GB2312" w:hAnsi="仿宋_GB2312" w:eastAsia="仿宋_GB2312" w:cs="仿宋_GB2312"/>
        </w:rPr>
      </w:pPr>
      <w:r>
        <w:rPr>
          <w:rFonts w:hint="eastAsia" w:ascii="仿宋_GB2312" w:hAnsi="仿宋_GB2312" w:eastAsia="仿宋_GB2312" w:cs="仿宋_GB2312"/>
        </w:rPr>
        <w:t>（2）非设备故障或一般性故障：</w:t>
      </w:r>
    </w:p>
    <w:p w14:paraId="658D7912">
      <w:pPr>
        <w:ind w:firstLine="560"/>
        <w:rPr>
          <w:rFonts w:hint="eastAsia" w:ascii="仿宋_GB2312" w:hAnsi="仿宋_GB2312" w:eastAsia="仿宋_GB2312" w:cs="仿宋_GB2312"/>
        </w:rPr>
      </w:pPr>
      <w:r>
        <w:rPr>
          <w:rFonts w:hint="eastAsia" w:ascii="仿宋_GB2312" w:hAnsi="仿宋_GB2312" w:eastAsia="仿宋_GB2312" w:cs="仿宋_GB2312"/>
        </w:rPr>
        <w:t>这类故障通常可通过驻场人员现场或电话技术咨询远程解决，恢复时间应在1小时内。</w:t>
      </w:r>
    </w:p>
    <w:p w14:paraId="15BBB34C">
      <w:pPr>
        <w:ind w:firstLine="560"/>
        <w:rPr>
          <w:rFonts w:hint="eastAsia" w:ascii="仿宋_GB2312" w:hAnsi="仿宋_GB2312" w:eastAsia="仿宋_GB2312" w:cs="仿宋_GB2312"/>
        </w:rPr>
      </w:pPr>
      <w:r>
        <w:rPr>
          <w:rFonts w:hint="eastAsia" w:ascii="仿宋_GB2312" w:hAnsi="仿宋_GB2312" w:eastAsia="仿宋_GB2312" w:cs="仿宋_GB2312"/>
        </w:rPr>
        <w:t>（3）系统故障或影响紧急应用需求的故障：</w:t>
      </w:r>
    </w:p>
    <w:p w14:paraId="6E06F9AF">
      <w:pPr>
        <w:ind w:firstLine="560"/>
        <w:rPr>
          <w:rFonts w:hint="eastAsia" w:ascii="仿宋_GB2312" w:hAnsi="仿宋_GB2312" w:eastAsia="仿宋_GB2312" w:cs="仿宋_GB2312"/>
        </w:rPr>
      </w:pPr>
      <w:r>
        <w:rPr>
          <w:rFonts w:hint="eastAsia" w:ascii="仿宋_GB2312" w:hAnsi="仿宋_GB2312" w:eastAsia="仿宋_GB2312" w:cs="仿宋_GB2312"/>
        </w:rPr>
        <w:t>在1小时内派出专业技术人员或技术专家到达现场，并确保8小时内恢复系统正常运行。</w:t>
      </w:r>
    </w:p>
    <w:p w14:paraId="7D752E10">
      <w:pPr>
        <w:ind w:firstLine="560"/>
        <w:rPr>
          <w:rFonts w:hint="eastAsia" w:ascii="仿宋_GB2312" w:hAnsi="仿宋_GB2312" w:eastAsia="仿宋_GB2312" w:cs="仿宋_GB2312"/>
        </w:rPr>
      </w:pPr>
      <w:r>
        <w:rPr>
          <w:rFonts w:hint="eastAsia" w:ascii="仿宋_GB2312" w:hAnsi="仿宋_GB2312" w:eastAsia="仿宋_GB2312" w:cs="仿宋_GB2312"/>
        </w:rPr>
        <w:t>（4）严重系统故障或无法通过更换设备解决的故障：</w:t>
      </w:r>
    </w:p>
    <w:p w14:paraId="43D6E98E">
      <w:pPr>
        <w:ind w:firstLine="560"/>
        <w:rPr>
          <w:rFonts w:hint="eastAsia" w:ascii="仿宋_GB2312" w:hAnsi="仿宋_GB2312" w:eastAsia="仿宋_GB2312" w:cs="仿宋_GB2312"/>
        </w:rPr>
      </w:pPr>
      <w:r>
        <w:rPr>
          <w:rFonts w:hint="eastAsia" w:ascii="仿宋_GB2312" w:hAnsi="仿宋_GB2312" w:eastAsia="仿宋_GB2312" w:cs="仿宋_GB2312"/>
        </w:rPr>
        <w:t>应在2小时内派出专业技术人员、技术专家、研发人员等现场调查及解决，确保24小时内恢复系统正常运行。</w:t>
      </w:r>
    </w:p>
    <w:p w14:paraId="5B80033D">
      <w:pPr>
        <w:ind w:firstLine="560"/>
        <w:rPr>
          <w:rFonts w:hint="eastAsia" w:ascii="仿宋_GB2312" w:hAnsi="仿宋_GB2312" w:eastAsia="仿宋_GB2312" w:cs="仿宋_GB2312"/>
        </w:rPr>
      </w:pPr>
      <w:r>
        <w:rPr>
          <w:rFonts w:hint="eastAsia" w:ascii="仿宋_GB2312" w:hAnsi="仿宋_GB2312" w:eastAsia="仿宋_GB2312" w:cs="仿宋_GB2312"/>
        </w:rPr>
        <w:t>3、服务质量标准：</w:t>
      </w:r>
    </w:p>
    <w:p w14:paraId="668C84B0">
      <w:pPr>
        <w:ind w:firstLine="560"/>
        <w:rPr>
          <w:rFonts w:hint="eastAsia" w:ascii="仿宋_GB2312" w:hAnsi="仿宋_GB2312" w:eastAsia="仿宋_GB2312" w:cs="仿宋_GB2312"/>
        </w:rPr>
      </w:pPr>
      <w:r>
        <w:rPr>
          <w:rFonts w:hint="eastAsia" w:ascii="仿宋_GB2312" w:hAnsi="仿宋_GB2312" w:eastAsia="仿宋_GB2312" w:cs="仿宋_GB2312"/>
        </w:rPr>
        <w:t>组建有专业资质的技术团队支撑本项目运维服务，免费维护期内提供专职人员长期驻场运维服务，保障平台各业务应用系统的稳定运行。</w:t>
      </w:r>
    </w:p>
    <w:p w14:paraId="0C9E68F4">
      <w:pPr>
        <w:pStyle w:val="4"/>
      </w:pPr>
      <w:bookmarkStart w:id="61" w:name="_Toc23501"/>
      <w:r>
        <w:rPr>
          <w:rFonts w:hint="eastAsia"/>
        </w:rPr>
        <w:t>人员培训要求</w:t>
      </w:r>
      <w:bookmarkEnd w:id="61"/>
    </w:p>
    <w:p w14:paraId="342D1782">
      <w:pPr>
        <w:ind w:firstLine="560"/>
        <w:rPr>
          <w:rFonts w:hint="eastAsia" w:ascii="仿宋_GB2312" w:hAnsi="仿宋_GB2312" w:eastAsia="仿宋_GB2312" w:cs="仿宋_GB2312"/>
        </w:rPr>
      </w:pPr>
      <w:r>
        <w:rPr>
          <w:rFonts w:hint="eastAsia" w:ascii="仿宋_GB2312" w:hAnsi="仿宋_GB2312" w:eastAsia="仿宋_GB2312" w:cs="仿宋_GB2312"/>
        </w:rPr>
        <w:t>为保证业务人员有效掌握信息系统的业务功能及规范操作，在项目中将开展基础支撑系统软件操作、系统管理维护等内容培训。</w:t>
      </w:r>
    </w:p>
    <w:p w14:paraId="6DAA47D4">
      <w:pPr>
        <w:ind w:firstLine="560"/>
        <w:rPr>
          <w:rFonts w:hint="eastAsia" w:ascii="仿宋_GB2312" w:hAnsi="仿宋_GB2312" w:eastAsia="仿宋_GB2312" w:cs="仿宋_GB2312"/>
        </w:rPr>
      </w:pPr>
      <w:r>
        <w:rPr>
          <w:rFonts w:hint="eastAsia" w:ascii="仿宋_GB2312" w:hAnsi="仿宋_GB2312" w:eastAsia="仿宋_GB2312" w:cs="仿宋_GB2312"/>
        </w:rPr>
        <w:t>项目培训的主要内容侧重于对项目建设相关基础支撑系统的使用、基本维护、常见问题及解决办法等内容的培训。</w:t>
      </w:r>
    </w:p>
    <w:p w14:paraId="25F9AEA8">
      <w:pPr>
        <w:ind w:firstLine="560"/>
        <w:rPr>
          <w:rFonts w:hint="eastAsia" w:ascii="仿宋_GB2312" w:hAnsi="仿宋_GB2312" w:eastAsia="仿宋_GB2312" w:cs="仿宋_GB2312"/>
        </w:rPr>
      </w:pPr>
      <w:r>
        <w:rPr>
          <w:rFonts w:hint="eastAsia" w:ascii="仿宋_GB2312" w:hAnsi="仿宋_GB2312" w:eastAsia="仿宋_GB2312" w:cs="仿宋_GB2312"/>
        </w:rPr>
        <w:t>培训计划和内容可根据项目建设单位的要求进行相应的调整，对不同的人员增加相应的培训内容，并对参加培训的人数不限制。</w:t>
      </w:r>
    </w:p>
    <w:p w14:paraId="3D3639A7">
      <w:pPr>
        <w:ind w:firstLine="560"/>
        <w:rPr>
          <w:rFonts w:hint="eastAsia" w:ascii="仿宋_GB2312" w:hAnsi="仿宋_GB2312" w:eastAsia="仿宋_GB2312" w:cs="仿宋_GB2312"/>
        </w:rPr>
      </w:pPr>
      <w:r>
        <w:rPr>
          <w:rFonts w:hint="eastAsia" w:ascii="仿宋_GB2312" w:hAnsi="仿宋_GB2312" w:eastAsia="仿宋_GB2312" w:cs="仿宋_GB2312"/>
        </w:rPr>
        <w:t>培训对象主要包括参与项目建设各单位的管理人员、业务人员、系统操作人员、系统管理人员等。根据不同的培训对象承建方制定相应的培训内容，为各项目建设单位</w:t>
      </w:r>
      <w:r>
        <w:rPr>
          <w:rFonts w:hint="eastAsia" w:ascii="仿宋_GB2312" w:hAnsi="仿宋_GB2312" w:eastAsia="仿宋_GB2312" w:cs="仿宋_GB2312"/>
          <w:lang w:eastAsia="zh-Hans"/>
        </w:rPr>
        <w:t>的各参与</w:t>
      </w:r>
      <w:r>
        <w:rPr>
          <w:rFonts w:hint="eastAsia" w:ascii="仿宋_GB2312" w:hAnsi="仿宋_GB2312" w:eastAsia="仿宋_GB2312" w:cs="仿宋_GB2312"/>
        </w:rPr>
        <w:t>人员提供优质的培训服务。</w:t>
      </w:r>
    </w:p>
    <w:p w14:paraId="78CD4261">
      <w:pPr>
        <w:ind w:firstLine="560"/>
        <w:rPr>
          <w:rFonts w:hint="eastAsia" w:ascii="仿宋_GB2312" w:hAnsi="仿宋_GB2312" w:eastAsia="仿宋_GB2312" w:cs="仿宋_GB2312"/>
        </w:rPr>
      </w:pPr>
      <w:r>
        <w:rPr>
          <w:rFonts w:hint="eastAsia" w:ascii="仿宋_GB2312" w:hAnsi="仿宋_GB2312" w:eastAsia="仿宋_GB2312" w:cs="仿宋_GB2312"/>
        </w:rPr>
        <w:t>培训地点根据项目进展实际情况共同确定，根据每次培训人数，由建设方提供适合的培训场地。</w:t>
      </w:r>
    </w:p>
    <w:p w14:paraId="29604E5B">
      <w:pPr>
        <w:ind w:firstLine="560"/>
        <w:rPr>
          <w:rFonts w:hint="eastAsia" w:ascii="仿宋_GB2312" w:hAnsi="仿宋_GB2312" w:eastAsia="仿宋_GB2312" w:cs="仿宋_GB2312"/>
        </w:rPr>
      </w:pPr>
      <w:r>
        <w:rPr>
          <w:rFonts w:hint="eastAsia" w:ascii="仿宋_GB2312" w:hAnsi="仿宋_GB2312" w:eastAsia="仿宋_GB2312" w:cs="仿宋_GB2312"/>
        </w:rPr>
        <w:t>培训费用包括场地费、培训设备租用费、培训教材印制费，根据每次培训人数和场地，由承建方提供。</w:t>
      </w:r>
    </w:p>
    <w:p w14:paraId="2516FE67">
      <w:pPr>
        <w:pStyle w:val="4"/>
      </w:pPr>
      <w:bookmarkStart w:id="62" w:name="_Toc150110197"/>
      <w:bookmarkStart w:id="63" w:name="_Toc152319210"/>
      <w:bookmarkStart w:id="64" w:name="_Toc150109967"/>
      <w:bookmarkStart w:id="65" w:name="_Toc2510"/>
      <w:r>
        <w:rPr>
          <w:rFonts w:hint="eastAsia"/>
        </w:rPr>
        <w:t>项目建设</w:t>
      </w:r>
      <w:bookmarkEnd w:id="62"/>
      <w:bookmarkEnd w:id="63"/>
      <w:bookmarkEnd w:id="64"/>
      <w:r>
        <w:rPr>
          <w:rFonts w:hint="eastAsia"/>
        </w:rPr>
        <w:t>进度要求</w:t>
      </w:r>
      <w:bookmarkEnd w:id="65"/>
    </w:p>
    <w:p w14:paraId="4348EE37">
      <w:pPr>
        <w:ind w:firstLine="560"/>
        <w:rPr>
          <w:highlight w:val="none"/>
        </w:rPr>
      </w:pPr>
      <w:r>
        <w:rPr>
          <w:rFonts w:hint="eastAsia"/>
          <w:highlight w:val="none"/>
        </w:rPr>
        <w:t>项目建设期为自合同签订日期起至2025年12月，须完成项目实施、项目验收等过程。</w:t>
      </w:r>
    </w:p>
    <w:p w14:paraId="6F108A7B">
      <w:pPr>
        <w:ind w:firstLine="560"/>
        <w:rPr>
          <w:rFonts w:hint="eastAsia" w:ascii="仿宋_GB2312" w:hAnsi="仿宋_GB2312" w:eastAsia="仿宋_GB2312" w:cs="仿宋_GB2312"/>
          <w:color w:val="auto"/>
        </w:rPr>
      </w:pPr>
      <w:bookmarkStart w:id="66" w:name="_GoBack"/>
      <w:bookmarkEnd w:id="66"/>
    </w:p>
    <w:sectPr>
      <w:headerReference r:id="rId11" w:type="default"/>
      <w:pgSz w:w="11906" w:h="16838"/>
      <w:pgMar w:top="1440" w:right="1287" w:bottom="1440" w:left="1287" w:header="624" w:footer="992" w:gutter="0"/>
      <w:pgNumType w:start="1"/>
      <w:cols w:space="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1" w:fontKey="{443236A9-9801-469E-863F-09C9E093972D}"/>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embedRegular r:id="rId2" w:fontKey="{772A1960-1CC1-4ADB-965F-CF520365CAF8}"/>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EE97">
    <w:pPr>
      <w:tabs>
        <w:tab w:val="center" w:pos="8334"/>
      </w:tabs>
      <w:ind w:firstLine="0" w:firstLineChars="0"/>
      <w:jc w:val="center"/>
      <w:rPr>
        <w:sz w:val="24"/>
        <w:szCs w:val="24"/>
      </w:rPr>
    </w:pPr>
    <w:r>
      <w:rPr>
        <w:sz w:val="24"/>
        <w:szCs w:val="24"/>
      </w:rPr>
      <w:fldChar w:fldCharType="begin"/>
    </w:r>
    <w:r>
      <w:rPr>
        <w:sz w:val="24"/>
        <w:szCs w:val="24"/>
      </w:rPr>
      <w:instrText xml:space="preserve">PAGE   \* MERGEFORMAT</w:instrText>
    </w:r>
    <w:r>
      <w:rPr>
        <w:sz w:val="24"/>
        <w:szCs w:val="24"/>
      </w:rPr>
      <w:fldChar w:fldCharType="separate"/>
    </w:r>
    <w:r>
      <w:rPr>
        <w:sz w:val="24"/>
        <w:szCs w:val="24"/>
        <w:lang w:val="zh-CN"/>
      </w:rPr>
      <w:t>1</w:t>
    </w:r>
    <w:r>
      <w:rPr>
        <w:sz w:val="24"/>
        <w:szCs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21DBEA">
    <w:pPr>
      <w:pStyle w:val="2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2E333">
    <w:pPr>
      <w:pStyle w:val="21"/>
      <w:ind w:firstLine="0" w:firstLineChars="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31733">
    <w:pPr>
      <w:pStyle w:val="22"/>
      <w:pBdr>
        <w:bottom w:val="none" w:color="auto" w:sz="0" w:space="1"/>
      </w:pBdr>
      <w:ind w:firstLine="0" w:firstLineChars="0"/>
      <w:jc w:val="both"/>
      <w:rPr>
        <w:rFonts w:eastAsia="仿宋_GB231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DD2722">
    <w:pPr>
      <w:pStyle w:val="22"/>
      <w:ind w:firstLine="48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9B36C2">
    <w:pPr>
      <w:ind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2AB52">
    <w:pPr>
      <w:pStyle w:val="22"/>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254049"/>
    <w:multiLevelType w:val="singleLevel"/>
    <w:tmpl w:val="85254049"/>
    <w:lvl w:ilvl="0" w:tentative="0">
      <w:start w:val="1"/>
      <w:numFmt w:val="decimal"/>
      <w:suff w:val="nothing"/>
      <w:lvlText w:val="%1．"/>
      <w:lvlJc w:val="left"/>
      <w:pPr>
        <w:ind w:left="0" w:firstLine="400"/>
      </w:pPr>
      <w:rPr>
        <w:rFonts w:hint="default"/>
      </w:rPr>
    </w:lvl>
  </w:abstractNum>
  <w:abstractNum w:abstractNumId="1">
    <w:nsid w:val="852A3A20"/>
    <w:multiLevelType w:val="multilevel"/>
    <w:tmpl w:val="852A3A20"/>
    <w:lvl w:ilvl="0" w:tentative="0">
      <w:start w:val="1"/>
      <w:numFmt w:val="decimal"/>
      <w:pStyle w:val="60"/>
      <w:lvlText w:val="%1."/>
      <w:lvlJc w:val="left"/>
      <w:pPr>
        <w:ind w:left="425" w:hanging="425"/>
      </w:pPr>
      <w:rPr>
        <w:rFonts w:hint="default"/>
      </w:rPr>
    </w:lvl>
    <w:lvl w:ilvl="1" w:tentative="0">
      <w:start w:val="1"/>
      <w:numFmt w:val="decimal"/>
      <w:lvlText w:val="%2."/>
      <w:lvlJc w:val="left"/>
      <w:pPr>
        <w:ind w:left="850" w:hanging="453"/>
      </w:pPr>
      <w:rPr>
        <w:rFonts w:hint="default"/>
      </w:rPr>
    </w:lvl>
    <w:lvl w:ilvl="2" w:tentative="0">
      <w:start w:val="1"/>
      <w:numFmt w:val="decimal"/>
      <w:lvlText w:val="%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2">
    <w:nsid w:val="999AE288"/>
    <w:multiLevelType w:val="singleLevel"/>
    <w:tmpl w:val="999AE288"/>
    <w:lvl w:ilvl="0" w:tentative="0">
      <w:start w:val="1"/>
      <w:numFmt w:val="decimal"/>
      <w:suff w:val="nothing"/>
      <w:lvlText w:val="%1．"/>
      <w:lvlJc w:val="left"/>
      <w:pPr>
        <w:ind w:left="0" w:firstLine="400"/>
      </w:pPr>
      <w:rPr>
        <w:rFonts w:hint="default"/>
      </w:rPr>
    </w:lvl>
  </w:abstractNum>
  <w:abstractNum w:abstractNumId="3">
    <w:nsid w:val="A8AD1275"/>
    <w:multiLevelType w:val="singleLevel"/>
    <w:tmpl w:val="A8AD1275"/>
    <w:lvl w:ilvl="0" w:tentative="0">
      <w:start w:val="1"/>
      <w:numFmt w:val="decimal"/>
      <w:pStyle w:val="47"/>
      <w:lvlText w:val="图%1 "/>
      <w:lvlJc w:val="left"/>
      <w:pPr>
        <w:tabs>
          <w:tab w:val="left" w:pos="420"/>
        </w:tabs>
        <w:ind w:left="425" w:hanging="425"/>
      </w:pPr>
      <w:rPr>
        <w:rFonts w:hint="default" w:ascii="Times New Roman" w:hAnsi="Times New Roman" w:eastAsia="黑体" w:cs="Times New Roman"/>
        <w:sz w:val="28"/>
        <w:szCs w:val="28"/>
      </w:rPr>
    </w:lvl>
  </w:abstractNum>
  <w:abstractNum w:abstractNumId="4">
    <w:nsid w:val="ADAE6920"/>
    <w:multiLevelType w:val="singleLevel"/>
    <w:tmpl w:val="ADAE6920"/>
    <w:lvl w:ilvl="0" w:tentative="0">
      <w:start w:val="1"/>
      <w:numFmt w:val="decimal"/>
      <w:suff w:val="nothing"/>
      <w:lvlText w:val="%1．"/>
      <w:lvlJc w:val="left"/>
      <w:pPr>
        <w:ind w:left="0" w:firstLine="400"/>
      </w:pPr>
      <w:rPr>
        <w:rFonts w:hint="default"/>
      </w:rPr>
    </w:lvl>
  </w:abstractNum>
  <w:abstractNum w:abstractNumId="5">
    <w:nsid w:val="B3138ED5"/>
    <w:multiLevelType w:val="multilevel"/>
    <w:tmpl w:val="B3138ED5"/>
    <w:lvl w:ilvl="0" w:tentative="0">
      <w:start w:val="1"/>
      <w:numFmt w:val="decimal"/>
      <w:lvlText w:val="%1."/>
      <w:lvlJc w:val="left"/>
      <w:pPr>
        <w:ind w:left="425" w:hanging="425"/>
      </w:pPr>
      <w:rPr>
        <w:rFonts w:hint="default"/>
      </w:rPr>
    </w:lvl>
    <w:lvl w:ilvl="1" w:tentative="0">
      <w:start w:val="1"/>
      <w:numFmt w:val="decimal"/>
      <w:pStyle w:val="58"/>
      <w:isLgl/>
      <w:lvlText w:val="%2."/>
      <w:lvlJc w:val="left"/>
      <w:pPr>
        <w:ind w:left="850" w:hanging="453"/>
      </w:pPr>
      <w:rPr>
        <w:rFonts w:hint="default"/>
      </w:rPr>
    </w:lvl>
    <w:lvl w:ilvl="2" w:tentative="0">
      <w:start w:val="1"/>
      <w:numFmt w:val="decimal"/>
      <w:pStyle w:val="59"/>
      <w:isLgl/>
      <w:lvlText w:val="%2.%3."/>
      <w:lvlJc w:val="left"/>
      <w:pPr>
        <w:ind w:left="1508" w:hanging="708"/>
      </w:pPr>
      <w:rPr>
        <w:rFonts w:hint="default"/>
      </w:rPr>
    </w:lvl>
    <w:lvl w:ilvl="3" w:tentative="0">
      <w:start w:val="1"/>
      <w:numFmt w:val="decimal"/>
      <w:lvlText w:val="%1.%2.%3.%4."/>
      <w:lvlJc w:val="left"/>
      <w:pPr>
        <w:ind w:left="2053" w:hanging="853"/>
      </w:pPr>
      <w:rPr>
        <w:rFonts w:hint="default"/>
      </w:rPr>
    </w:lvl>
    <w:lvl w:ilvl="4" w:tentative="0">
      <w:start w:val="1"/>
      <w:numFmt w:val="decimal"/>
      <w:lvlText w:val="%1.%2.%3.%4.%5."/>
      <w:lvlJc w:val="left"/>
      <w:pPr>
        <w:ind w:left="2495" w:hanging="895"/>
      </w:pPr>
      <w:rPr>
        <w:rFonts w:hint="default"/>
      </w:rPr>
    </w:lvl>
    <w:lvl w:ilvl="5" w:tentative="0">
      <w:start w:val="1"/>
      <w:numFmt w:val="decimal"/>
      <w:lvlText w:val="%1.%2.%3.%4.%5.%6."/>
      <w:lvlJc w:val="left"/>
      <w:pPr>
        <w:ind w:left="3136" w:hanging="1136"/>
      </w:pPr>
      <w:rPr>
        <w:rFonts w:hint="default"/>
      </w:rPr>
    </w:lvl>
    <w:lvl w:ilvl="6" w:tentative="0">
      <w:start w:val="1"/>
      <w:numFmt w:val="decimal"/>
      <w:lvlText w:val="%1.%2.%3.%4.%5.%6.%7."/>
      <w:lvlJc w:val="left"/>
      <w:pPr>
        <w:ind w:left="3673" w:hanging="1273"/>
      </w:pPr>
      <w:rPr>
        <w:rFonts w:hint="default"/>
      </w:rPr>
    </w:lvl>
    <w:lvl w:ilvl="7" w:tentative="0">
      <w:start w:val="1"/>
      <w:numFmt w:val="decimal"/>
      <w:lvlText w:val="%1.%2.%3.%4.%5.%6.%7.%8."/>
      <w:lvlJc w:val="left"/>
      <w:pPr>
        <w:ind w:left="4218" w:hanging="1418"/>
      </w:pPr>
      <w:rPr>
        <w:rFonts w:hint="default"/>
      </w:rPr>
    </w:lvl>
    <w:lvl w:ilvl="8" w:tentative="0">
      <w:start w:val="1"/>
      <w:numFmt w:val="decimal"/>
      <w:lvlText w:val="%1.%2.%3.%4.%5.%6.%7.%8.%9."/>
      <w:lvlJc w:val="left"/>
      <w:pPr>
        <w:ind w:left="4648" w:hanging="1448"/>
      </w:pPr>
      <w:rPr>
        <w:rFonts w:hint="default"/>
      </w:rPr>
    </w:lvl>
  </w:abstractNum>
  <w:abstractNum w:abstractNumId="6">
    <w:nsid w:val="BBE4CD2F"/>
    <w:multiLevelType w:val="singleLevel"/>
    <w:tmpl w:val="BBE4CD2F"/>
    <w:lvl w:ilvl="0" w:tentative="0">
      <w:start w:val="1"/>
      <w:numFmt w:val="decimal"/>
      <w:suff w:val="nothing"/>
      <w:lvlText w:val="%1．"/>
      <w:lvlJc w:val="left"/>
      <w:pPr>
        <w:ind w:left="0" w:firstLine="400"/>
      </w:pPr>
      <w:rPr>
        <w:rFonts w:hint="default"/>
      </w:rPr>
    </w:lvl>
  </w:abstractNum>
  <w:abstractNum w:abstractNumId="7">
    <w:nsid w:val="C68733D2"/>
    <w:multiLevelType w:val="singleLevel"/>
    <w:tmpl w:val="C68733D2"/>
    <w:lvl w:ilvl="0" w:tentative="0">
      <w:start w:val="1"/>
      <w:numFmt w:val="decimal"/>
      <w:suff w:val="nothing"/>
      <w:lvlText w:val="%1．"/>
      <w:lvlJc w:val="left"/>
      <w:pPr>
        <w:ind w:left="0" w:firstLine="400"/>
      </w:pPr>
      <w:rPr>
        <w:rFonts w:hint="default"/>
      </w:rPr>
    </w:lvl>
  </w:abstractNum>
  <w:abstractNum w:abstractNumId="8">
    <w:nsid w:val="C9F57C13"/>
    <w:multiLevelType w:val="singleLevel"/>
    <w:tmpl w:val="C9F57C13"/>
    <w:lvl w:ilvl="0" w:tentative="0">
      <w:start w:val="1"/>
      <w:numFmt w:val="decimal"/>
      <w:pStyle w:val="45"/>
      <w:suff w:val="nothing"/>
      <w:lvlText w:val="表%1 "/>
      <w:lvlJc w:val="left"/>
      <w:pPr>
        <w:tabs>
          <w:tab w:val="left" w:pos="0"/>
        </w:tabs>
        <w:ind w:left="0" w:firstLine="403"/>
      </w:pPr>
      <w:rPr>
        <w:rFonts w:hint="default" w:ascii="Times New Roman" w:hAnsi="Times New Roman" w:eastAsia="黑体" w:cs="Times New Roman"/>
        <w:sz w:val="28"/>
        <w:szCs w:val="28"/>
        <w:lang w:val="en-US"/>
      </w:rPr>
    </w:lvl>
  </w:abstractNum>
  <w:abstractNum w:abstractNumId="9">
    <w:nsid w:val="D6EA277F"/>
    <w:multiLevelType w:val="multilevel"/>
    <w:tmpl w:val="D6EA277F"/>
    <w:lvl w:ilvl="0" w:tentative="0">
      <w:start w:val="1"/>
      <w:numFmt w:val="chineseCountingThousand"/>
      <w:pStyle w:val="3"/>
      <w:suff w:val="nothing"/>
      <w:lvlText w:val="第%1章 "/>
      <w:lvlJc w:val="left"/>
      <w:pPr>
        <w:ind w:left="432" w:hanging="144"/>
      </w:pPr>
      <w:rPr>
        <w:rFonts w:hint="eastAsia"/>
      </w:rPr>
    </w:lvl>
    <w:lvl w:ilvl="1" w:tentative="0">
      <w:start w:val="1"/>
      <w:numFmt w:val="decimal"/>
      <w:pStyle w:val="4"/>
      <w:isLgl/>
      <w:lvlText w:val="%1.%2"/>
      <w:lvlJc w:val="left"/>
      <w:pPr>
        <w:ind w:left="575" w:hanging="575"/>
      </w:pPr>
      <w:rPr>
        <w:rFonts w:hint="eastAsia"/>
      </w:rPr>
    </w:lvl>
    <w:lvl w:ilvl="2" w:tentative="0">
      <w:start w:val="1"/>
      <w:numFmt w:val="decimal"/>
      <w:pStyle w:val="5"/>
      <w:isLgl/>
      <w:lvlText w:val="%1.%2.%3 "/>
      <w:lvlJc w:val="left"/>
      <w:pPr>
        <w:ind w:left="720" w:hanging="720"/>
      </w:pPr>
      <w:rPr>
        <w:rFonts w:hint="eastAsia"/>
      </w:rPr>
    </w:lvl>
    <w:lvl w:ilvl="3" w:tentative="0">
      <w:start w:val="1"/>
      <w:numFmt w:val="decimal"/>
      <w:pStyle w:val="6"/>
      <w:isLgl/>
      <w:lvlText w:val="%1.%2.%3.%4"/>
      <w:lvlJc w:val="left"/>
      <w:pPr>
        <w:ind w:left="864" w:hanging="864"/>
      </w:pPr>
      <w:rPr>
        <w:rFonts w:hint="eastAsia"/>
      </w:rPr>
    </w:lvl>
    <w:lvl w:ilvl="4" w:tentative="0">
      <w:start w:val="1"/>
      <w:numFmt w:val="decimal"/>
      <w:pStyle w:val="7"/>
      <w:isLgl/>
      <w:lvlText w:val="%1.%2.%3.%4.%5"/>
      <w:lvlJc w:val="left"/>
      <w:pPr>
        <w:ind w:left="1008" w:hanging="1008"/>
      </w:pPr>
      <w:rPr>
        <w:rFonts w:hint="eastAsia"/>
      </w:rPr>
    </w:lvl>
    <w:lvl w:ilvl="5" w:tentative="0">
      <w:start w:val="1"/>
      <w:numFmt w:val="decimal"/>
      <w:pStyle w:val="8"/>
      <w:isLgl/>
      <w:lvlText w:val="%1.%2.%3.%4.%5.%6"/>
      <w:lvlJc w:val="left"/>
      <w:pPr>
        <w:ind w:left="1151" w:hanging="1151"/>
      </w:pPr>
      <w:rPr>
        <w:rFonts w:hint="eastAsia"/>
      </w:rPr>
    </w:lvl>
    <w:lvl w:ilvl="6" w:tentative="0">
      <w:start w:val="1"/>
      <w:numFmt w:val="decimal"/>
      <w:pStyle w:val="9"/>
      <w:isLgl/>
      <w:lvlText w:val="%1.%2.%3.%4.%5.%6.%7"/>
      <w:lvlJc w:val="left"/>
      <w:pPr>
        <w:ind w:left="1296" w:hanging="1296"/>
      </w:pPr>
      <w:rPr>
        <w:rFonts w:hint="eastAsia"/>
      </w:rPr>
    </w:lvl>
    <w:lvl w:ilvl="7" w:tentative="0">
      <w:start w:val="1"/>
      <w:numFmt w:val="decimal"/>
      <w:pStyle w:val="10"/>
      <w:isLgl/>
      <w:lvlText w:val="表%1.%2.%3-%8"/>
      <w:lvlJc w:val="left"/>
      <w:pPr>
        <w:ind w:left="1440" w:hanging="1440"/>
      </w:pPr>
      <w:rPr>
        <w:rFonts w:hint="default" w:ascii="Times New Roman" w:hAnsi="Times New Roman" w:eastAsia="宋体" w:cs="Times New Roman"/>
        <w:b/>
        <w:bCs/>
      </w:rPr>
    </w:lvl>
    <w:lvl w:ilvl="8" w:tentative="0">
      <w:start w:val="1"/>
      <w:numFmt w:val="decimal"/>
      <w:lvlRestart w:val="4"/>
      <w:pStyle w:val="11"/>
      <w:isLgl/>
      <w:lvlText w:val="图%1.%2.%3-%9"/>
      <w:lvlJc w:val="left"/>
      <w:pPr>
        <w:ind w:left="0" w:firstLine="0"/>
      </w:pPr>
      <w:rPr>
        <w:rFonts w:hint="default" w:ascii="Times New Roman" w:hAnsi="Times New Roman" w:eastAsia="宋体" w:cs="Times New Roman"/>
      </w:rPr>
    </w:lvl>
  </w:abstractNum>
  <w:abstractNum w:abstractNumId="10">
    <w:nsid w:val="D742874D"/>
    <w:multiLevelType w:val="singleLevel"/>
    <w:tmpl w:val="D742874D"/>
    <w:lvl w:ilvl="0" w:tentative="0">
      <w:start w:val="1"/>
      <w:numFmt w:val="decimal"/>
      <w:suff w:val="nothing"/>
      <w:lvlText w:val="%1．"/>
      <w:lvlJc w:val="left"/>
      <w:pPr>
        <w:ind w:left="0" w:firstLine="400"/>
      </w:pPr>
      <w:rPr>
        <w:rFonts w:hint="default"/>
      </w:rPr>
    </w:lvl>
  </w:abstractNum>
  <w:abstractNum w:abstractNumId="11">
    <w:nsid w:val="DCA9111B"/>
    <w:multiLevelType w:val="singleLevel"/>
    <w:tmpl w:val="DCA9111B"/>
    <w:lvl w:ilvl="0" w:tentative="0">
      <w:start w:val="1"/>
      <w:numFmt w:val="decimal"/>
      <w:suff w:val="nothing"/>
      <w:lvlText w:val="%1．"/>
      <w:lvlJc w:val="left"/>
      <w:pPr>
        <w:ind w:left="0" w:firstLine="400"/>
      </w:pPr>
      <w:rPr>
        <w:rFonts w:hint="default"/>
      </w:rPr>
    </w:lvl>
  </w:abstractNum>
  <w:abstractNum w:abstractNumId="12">
    <w:nsid w:val="E595CF0F"/>
    <w:multiLevelType w:val="singleLevel"/>
    <w:tmpl w:val="E595CF0F"/>
    <w:lvl w:ilvl="0" w:tentative="0">
      <w:start w:val="1"/>
      <w:numFmt w:val="decimal"/>
      <w:suff w:val="nothing"/>
      <w:lvlText w:val="%1．"/>
      <w:lvlJc w:val="left"/>
      <w:pPr>
        <w:ind w:left="0" w:firstLine="400"/>
      </w:pPr>
      <w:rPr>
        <w:rFonts w:hint="default"/>
      </w:rPr>
    </w:lvl>
  </w:abstractNum>
  <w:abstractNum w:abstractNumId="13">
    <w:nsid w:val="E64C65F9"/>
    <w:multiLevelType w:val="singleLevel"/>
    <w:tmpl w:val="E64C65F9"/>
    <w:lvl w:ilvl="0" w:tentative="0">
      <w:start w:val="1"/>
      <w:numFmt w:val="decimal"/>
      <w:suff w:val="nothing"/>
      <w:lvlText w:val="%1．"/>
      <w:lvlJc w:val="left"/>
      <w:pPr>
        <w:ind w:left="0" w:firstLine="400"/>
      </w:pPr>
      <w:rPr>
        <w:rFonts w:hint="default"/>
      </w:rPr>
    </w:lvl>
  </w:abstractNum>
  <w:abstractNum w:abstractNumId="14">
    <w:nsid w:val="F692947D"/>
    <w:multiLevelType w:val="singleLevel"/>
    <w:tmpl w:val="F692947D"/>
    <w:lvl w:ilvl="0" w:tentative="0">
      <w:start w:val="1"/>
      <w:numFmt w:val="decimal"/>
      <w:suff w:val="nothing"/>
      <w:lvlText w:val="%1．"/>
      <w:lvlJc w:val="left"/>
      <w:pPr>
        <w:ind w:left="0" w:firstLine="400"/>
      </w:pPr>
      <w:rPr>
        <w:rFonts w:hint="default"/>
      </w:rPr>
    </w:lvl>
  </w:abstractNum>
  <w:abstractNum w:abstractNumId="15">
    <w:nsid w:val="0CDB5F64"/>
    <w:multiLevelType w:val="singleLevel"/>
    <w:tmpl w:val="0CDB5F64"/>
    <w:lvl w:ilvl="0" w:tentative="0">
      <w:start w:val="1"/>
      <w:numFmt w:val="decimal"/>
      <w:suff w:val="nothing"/>
      <w:lvlText w:val="%1．"/>
      <w:lvlJc w:val="left"/>
      <w:pPr>
        <w:ind w:left="0" w:firstLine="400"/>
      </w:pPr>
      <w:rPr>
        <w:rFonts w:hint="default"/>
      </w:rPr>
    </w:lvl>
  </w:abstractNum>
  <w:abstractNum w:abstractNumId="16">
    <w:nsid w:val="118976CC"/>
    <w:multiLevelType w:val="multilevel"/>
    <w:tmpl w:val="118976CC"/>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1F871628"/>
    <w:multiLevelType w:val="singleLevel"/>
    <w:tmpl w:val="1F871628"/>
    <w:lvl w:ilvl="0" w:tentative="0">
      <w:start w:val="1"/>
      <w:numFmt w:val="decimal"/>
      <w:suff w:val="nothing"/>
      <w:lvlText w:val="%1．"/>
      <w:lvlJc w:val="left"/>
      <w:pPr>
        <w:ind w:left="0" w:firstLine="400"/>
      </w:pPr>
      <w:rPr>
        <w:rFonts w:hint="default"/>
      </w:rPr>
    </w:lvl>
  </w:abstractNum>
  <w:abstractNum w:abstractNumId="18">
    <w:nsid w:val="235ADE78"/>
    <w:multiLevelType w:val="singleLevel"/>
    <w:tmpl w:val="235ADE78"/>
    <w:lvl w:ilvl="0" w:tentative="0">
      <w:start w:val="1"/>
      <w:numFmt w:val="decimal"/>
      <w:suff w:val="nothing"/>
      <w:lvlText w:val="%1．"/>
      <w:lvlJc w:val="left"/>
      <w:pPr>
        <w:ind w:left="0" w:firstLine="400"/>
      </w:pPr>
      <w:rPr>
        <w:rFonts w:hint="default"/>
      </w:rPr>
    </w:lvl>
  </w:abstractNum>
  <w:abstractNum w:abstractNumId="19">
    <w:nsid w:val="3A64D83D"/>
    <w:multiLevelType w:val="singleLevel"/>
    <w:tmpl w:val="3A64D83D"/>
    <w:lvl w:ilvl="0" w:tentative="0">
      <w:start w:val="1"/>
      <w:numFmt w:val="decimal"/>
      <w:suff w:val="nothing"/>
      <w:lvlText w:val="%1．"/>
      <w:lvlJc w:val="left"/>
      <w:pPr>
        <w:ind w:left="0" w:firstLine="400"/>
      </w:pPr>
      <w:rPr>
        <w:rFonts w:hint="default"/>
      </w:rPr>
    </w:lvl>
  </w:abstractNum>
  <w:abstractNum w:abstractNumId="20">
    <w:nsid w:val="5267A27D"/>
    <w:multiLevelType w:val="singleLevel"/>
    <w:tmpl w:val="5267A27D"/>
    <w:lvl w:ilvl="0" w:tentative="0">
      <w:start w:val="1"/>
      <w:numFmt w:val="decimal"/>
      <w:suff w:val="nothing"/>
      <w:lvlText w:val="%1．"/>
      <w:lvlJc w:val="left"/>
      <w:pPr>
        <w:ind w:left="0" w:firstLine="400"/>
      </w:pPr>
      <w:rPr>
        <w:rFonts w:hint="default"/>
      </w:rPr>
    </w:lvl>
  </w:abstractNum>
  <w:abstractNum w:abstractNumId="21">
    <w:nsid w:val="57AF19AF"/>
    <w:multiLevelType w:val="singleLevel"/>
    <w:tmpl w:val="57AF19AF"/>
    <w:lvl w:ilvl="0" w:tentative="0">
      <w:start w:val="1"/>
      <w:numFmt w:val="decimal"/>
      <w:suff w:val="nothing"/>
      <w:lvlText w:val="%1．"/>
      <w:lvlJc w:val="left"/>
      <w:pPr>
        <w:ind w:left="0" w:firstLine="400"/>
      </w:pPr>
      <w:rPr>
        <w:rFonts w:hint="default"/>
      </w:rPr>
    </w:lvl>
  </w:abstractNum>
  <w:abstractNum w:abstractNumId="22">
    <w:nsid w:val="5CA5609C"/>
    <w:multiLevelType w:val="singleLevel"/>
    <w:tmpl w:val="5CA5609C"/>
    <w:lvl w:ilvl="0" w:tentative="0">
      <w:start w:val="1"/>
      <w:numFmt w:val="decimal"/>
      <w:pStyle w:val="51"/>
      <w:lvlText w:val="（%1）"/>
      <w:lvlJc w:val="left"/>
      <w:pPr>
        <w:ind w:left="420" w:hanging="420"/>
      </w:pPr>
      <w:rPr>
        <w:rFonts w:hint="default"/>
      </w:rPr>
    </w:lvl>
  </w:abstractNum>
  <w:abstractNum w:abstractNumId="23">
    <w:nsid w:val="6367A399"/>
    <w:multiLevelType w:val="singleLevel"/>
    <w:tmpl w:val="6367A399"/>
    <w:lvl w:ilvl="0" w:tentative="0">
      <w:start w:val="1"/>
      <w:numFmt w:val="decimal"/>
      <w:suff w:val="nothing"/>
      <w:lvlText w:val="%1．"/>
      <w:lvlJc w:val="left"/>
      <w:pPr>
        <w:ind w:left="0" w:firstLine="400"/>
      </w:pPr>
      <w:rPr>
        <w:rFonts w:hint="default"/>
      </w:rPr>
    </w:lvl>
  </w:abstractNum>
  <w:abstractNum w:abstractNumId="24">
    <w:nsid w:val="664CE167"/>
    <w:multiLevelType w:val="singleLevel"/>
    <w:tmpl w:val="664CE167"/>
    <w:lvl w:ilvl="0" w:tentative="0">
      <w:start w:val="1"/>
      <w:numFmt w:val="decimal"/>
      <w:suff w:val="nothing"/>
      <w:lvlText w:val="%1．"/>
      <w:lvlJc w:val="left"/>
      <w:pPr>
        <w:ind w:left="0" w:firstLine="400"/>
      </w:pPr>
      <w:rPr>
        <w:rFonts w:hint="default"/>
      </w:rPr>
    </w:lvl>
  </w:abstractNum>
  <w:abstractNum w:abstractNumId="25">
    <w:nsid w:val="7334FF57"/>
    <w:multiLevelType w:val="singleLevel"/>
    <w:tmpl w:val="7334FF57"/>
    <w:lvl w:ilvl="0" w:tentative="0">
      <w:start w:val="1"/>
      <w:numFmt w:val="decimal"/>
      <w:suff w:val="nothing"/>
      <w:lvlText w:val="%1．"/>
      <w:lvlJc w:val="left"/>
      <w:pPr>
        <w:ind w:left="0" w:firstLine="400"/>
      </w:pPr>
      <w:rPr>
        <w:rFonts w:hint="default"/>
      </w:rPr>
    </w:lvl>
  </w:abstractNum>
  <w:abstractNum w:abstractNumId="26">
    <w:nsid w:val="74647E82"/>
    <w:multiLevelType w:val="singleLevel"/>
    <w:tmpl w:val="74647E82"/>
    <w:lvl w:ilvl="0" w:tentative="0">
      <w:start w:val="1"/>
      <w:numFmt w:val="decimal"/>
      <w:suff w:val="nothing"/>
      <w:lvlText w:val="%1．"/>
      <w:lvlJc w:val="left"/>
      <w:pPr>
        <w:ind w:left="0" w:firstLine="400"/>
      </w:pPr>
      <w:rPr>
        <w:rFonts w:hint="default"/>
      </w:rPr>
    </w:lvl>
  </w:abstractNum>
  <w:abstractNum w:abstractNumId="27">
    <w:nsid w:val="7821B69C"/>
    <w:multiLevelType w:val="singleLevel"/>
    <w:tmpl w:val="7821B69C"/>
    <w:lvl w:ilvl="0" w:tentative="0">
      <w:start w:val="1"/>
      <w:numFmt w:val="decimal"/>
      <w:suff w:val="nothing"/>
      <w:lvlText w:val="%1．"/>
      <w:lvlJc w:val="left"/>
      <w:pPr>
        <w:ind w:left="0" w:firstLine="400"/>
      </w:pPr>
      <w:rPr>
        <w:rFonts w:hint="default"/>
      </w:rPr>
    </w:lvl>
  </w:abstractNum>
  <w:abstractNum w:abstractNumId="28">
    <w:nsid w:val="7A51E352"/>
    <w:multiLevelType w:val="singleLevel"/>
    <w:tmpl w:val="7A51E352"/>
    <w:lvl w:ilvl="0" w:tentative="0">
      <w:start w:val="1"/>
      <w:numFmt w:val="decimal"/>
      <w:suff w:val="nothing"/>
      <w:lvlText w:val="%1．"/>
      <w:lvlJc w:val="left"/>
      <w:pPr>
        <w:ind w:left="0" w:firstLine="400"/>
      </w:pPr>
      <w:rPr>
        <w:rFonts w:hint="default"/>
      </w:rPr>
    </w:lvl>
  </w:abstractNum>
  <w:abstractNum w:abstractNumId="29">
    <w:nsid w:val="7E646B4E"/>
    <w:multiLevelType w:val="singleLevel"/>
    <w:tmpl w:val="7E646B4E"/>
    <w:lvl w:ilvl="0" w:tentative="0">
      <w:start w:val="1"/>
      <w:numFmt w:val="decimal"/>
      <w:suff w:val="nothing"/>
      <w:lvlText w:val="%1．"/>
      <w:lvlJc w:val="left"/>
      <w:pPr>
        <w:ind w:left="0" w:firstLine="400"/>
      </w:pPr>
      <w:rPr>
        <w:rFonts w:hint="default"/>
      </w:rPr>
    </w:lvl>
  </w:abstractNum>
  <w:abstractNum w:abstractNumId="30">
    <w:nsid w:val="7EFB56BA"/>
    <w:multiLevelType w:val="singleLevel"/>
    <w:tmpl w:val="7EFB56BA"/>
    <w:lvl w:ilvl="0" w:tentative="0">
      <w:start w:val="1"/>
      <w:numFmt w:val="decimal"/>
      <w:suff w:val="nothing"/>
      <w:lvlText w:val="%1．"/>
      <w:lvlJc w:val="left"/>
      <w:pPr>
        <w:ind w:left="0" w:firstLine="400"/>
      </w:pPr>
      <w:rPr>
        <w:rFonts w:hint="default"/>
      </w:rPr>
    </w:lvl>
  </w:abstractNum>
  <w:num w:numId="1">
    <w:abstractNumId w:val="9"/>
  </w:num>
  <w:num w:numId="2">
    <w:abstractNumId w:val="8"/>
  </w:num>
  <w:num w:numId="3">
    <w:abstractNumId w:val="3"/>
  </w:num>
  <w:num w:numId="4">
    <w:abstractNumId w:val="22"/>
  </w:num>
  <w:num w:numId="5">
    <w:abstractNumId w:val="5"/>
  </w:num>
  <w:num w:numId="6">
    <w:abstractNumId w:val="1"/>
  </w:num>
  <w:num w:numId="7">
    <w:abstractNumId w:val="16"/>
  </w:num>
  <w:num w:numId="8">
    <w:abstractNumId w:val="0"/>
  </w:num>
  <w:num w:numId="9">
    <w:abstractNumId w:val="23"/>
  </w:num>
  <w:num w:numId="10">
    <w:abstractNumId w:val="21"/>
  </w:num>
  <w:num w:numId="11">
    <w:abstractNumId w:val="15"/>
  </w:num>
  <w:num w:numId="12">
    <w:abstractNumId w:val="25"/>
  </w:num>
  <w:num w:numId="13">
    <w:abstractNumId w:val="29"/>
  </w:num>
  <w:num w:numId="14">
    <w:abstractNumId w:val="20"/>
  </w:num>
  <w:num w:numId="15">
    <w:abstractNumId w:val="26"/>
  </w:num>
  <w:num w:numId="16">
    <w:abstractNumId w:val="19"/>
  </w:num>
  <w:num w:numId="17">
    <w:abstractNumId w:val="24"/>
  </w:num>
  <w:num w:numId="18">
    <w:abstractNumId w:val="13"/>
  </w:num>
  <w:num w:numId="19">
    <w:abstractNumId w:val="10"/>
  </w:num>
  <w:num w:numId="20">
    <w:abstractNumId w:val="30"/>
  </w:num>
  <w:num w:numId="21">
    <w:abstractNumId w:val="12"/>
  </w:num>
  <w:num w:numId="22">
    <w:abstractNumId w:val="4"/>
  </w:num>
  <w:num w:numId="23">
    <w:abstractNumId w:val="18"/>
  </w:num>
  <w:num w:numId="24">
    <w:abstractNumId w:val="27"/>
  </w:num>
  <w:num w:numId="25">
    <w:abstractNumId w:val="2"/>
  </w:num>
  <w:num w:numId="26">
    <w:abstractNumId w:val="11"/>
  </w:num>
  <w:num w:numId="27">
    <w:abstractNumId w:val="14"/>
  </w:num>
  <w:num w:numId="28">
    <w:abstractNumId w:val="17"/>
  </w:num>
  <w:num w:numId="29">
    <w:abstractNumId w:val="28"/>
  </w:num>
  <w:num w:numId="30">
    <w:abstractNumId w:val="6"/>
  </w:num>
  <w:num w:numId="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112"/>
  <w:drawingGridHorizontalSpacing w:val="280"/>
  <w:drawingGridVerticalSpacing w:val="-794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QwMzkyMmFjZjBkZmJjNWI0MTUxZGJmZmE0MjliOTMifQ=="/>
    <w:docVar w:name="KSO_WPS_MARK_KEY" w:val="200b8334-1323-4a44-b2a1-554bd47e1d73"/>
  </w:docVars>
  <w:rsids>
    <w:rsidRoot w:val="00DB532E"/>
    <w:rsid w:val="00000C3A"/>
    <w:rsid w:val="00003D5B"/>
    <w:rsid w:val="000071AF"/>
    <w:rsid w:val="00007370"/>
    <w:rsid w:val="00010E18"/>
    <w:rsid w:val="00014608"/>
    <w:rsid w:val="00024AC9"/>
    <w:rsid w:val="00024D1D"/>
    <w:rsid w:val="00026A31"/>
    <w:rsid w:val="00027E4A"/>
    <w:rsid w:val="00032CD1"/>
    <w:rsid w:val="00034F4E"/>
    <w:rsid w:val="00035766"/>
    <w:rsid w:val="0003691F"/>
    <w:rsid w:val="0003786E"/>
    <w:rsid w:val="00040E0B"/>
    <w:rsid w:val="000431A2"/>
    <w:rsid w:val="000439F3"/>
    <w:rsid w:val="000442DA"/>
    <w:rsid w:val="00044B1E"/>
    <w:rsid w:val="00044D1C"/>
    <w:rsid w:val="00046A3E"/>
    <w:rsid w:val="00056B48"/>
    <w:rsid w:val="000572A7"/>
    <w:rsid w:val="000574F8"/>
    <w:rsid w:val="000674DE"/>
    <w:rsid w:val="000708DC"/>
    <w:rsid w:val="00071E5B"/>
    <w:rsid w:val="000741AB"/>
    <w:rsid w:val="00082DB2"/>
    <w:rsid w:val="00082FFA"/>
    <w:rsid w:val="0008414D"/>
    <w:rsid w:val="00086CF6"/>
    <w:rsid w:val="00090AB8"/>
    <w:rsid w:val="00090C79"/>
    <w:rsid w:val="0009769D"/>
    <w:rsid w:val="000A039B"/>
    <w:rsid w:val="000A43D4"/>
    <w:rsid w:val="000A55D7"/>
    <w:rsid w:val="000B1751"/>
    <w:rsid w:val="000B3297"/>
    <w:rsid w:val="000B5E42"/>
    <w:rsid w:val="000B7207"/>
    <w:rsid w:val="000B7AD0"/>
    <w:rsid w:val="000C2DA5"/>
    <w:rsid w:val="000C49C1"/>
    <w:rsid w:val="000C5E54"/>
    <w:rsid w:val="000C60D2"/>
    <w:rsid w:val="000C6BBE"/>
    <w:rsid w:val="000D00E6"/>
    <w:rsid w:val="000D1316"/>
    <w:rsid w:val="000D5B8F"/>
    <w:rsid w:val="000D62C9"/>
    <w:rsid w:val="000E075A"/>
    <w:rsid w:val="000E09D3"/>
    <w:rsid w:val="000E21F2"/>
    <w:rsid w:val="000E3A3D"/>
    <w:rsid w:val="000E4F58"/>
    <w:rsid w:val="000E73F6"/>
    <w:rsid w:val="000F599D"/>
    <w:rsid w:val="000F5D2A"/>
    <w:rsid w:val="001004A2"/>
    <w:rsid w:val="00101C81"/>
    <w:rsid w:val="0010672D"/>
    <w:rsid w:val="0011272F"/>
    <w:rsid w:val="00114AB8"/>
    <w:rsid w:val="00116985"/>
    <w:rsid w:val="0011747D"/>
    <w:rsid w:val="00120883"/>
    <w:rsid w:val="001231D4"/>
    <w:rsid w:val="00132DF9"/>
    <w:rsid w:val="00133271"/>
    <w:rsid w:val="0013784B"/>
    <w:rsid w:val="00140691"/>
    <w:rsid w:val="0014239F"/>
    <w:rsid w:val="00146228"/>
    <w:rsid w:val="00146EDD"/>
    <w:rsid w:val="00147013"/>
    <w:rsid w:val="001476B3"/>
    <w:rsid w:val="00152F6E"/>
    <w:rsid w:val="00157EC8"/>
    <w:rsid w:val="00163921"/>
    <w:rsid w:val="00164717"/>
    <w:rsid w:val="001669D4"/>
    <w:rsid w:val="0016756E"/>
    <w:rsid w:val="0016792F"/>
    <w:rsid w:val="00167EFB"/>
    <w:rsid w:val="00167F63"/>
    <w:rsid w:val="00177138"/>
    <w:rsid w:val="00180E43"/>
    <w:rsid w:val="00183619"/>
    <w:rsid w:val="00185277"/>
    <w:rsid w:val="00185B67"/>
    <w:rsid w:val="001900D5"/>
    <w:rsid w:val="00190AE1"/>
    <w:rsid w:val="00192B6F"/>
    <w:rsid w:val="00194341"/>
    <w:rsid w:val="001A6507"/>
    <w:rsid w:val="001A65A6"/>
    <w:rsid w:val="001B3EE6"/>
    <w:rsid w:val="001B5D95"/>
    <w:rsid w:val="001B751F"/>
    <w:rsid w:val="001B7C22"/>
    <w:rsid w:val="001C3536"/>
    <w:rsid w:val="001C464C"/>
    <w:rsid w:val="001C54F7"/>
    <w:rsid w:val="001C612F"/>
    <w:rsid w:val="001D02B2"/>
    <w:rsid w:val="001D1CF3"/>
    <w:rsid w:val="001D4BAA"/>
    <w:rsid w:val="001D52F1"/>
    <w:rsid w:val="001D5B8E"/>
    <w:rsid w:val="001D6315"/>
    <w:rsid w:val="001E4E34"/>
    <w:rsid w:val="001E688B"/>
    <w:rsid w:val="001E75DB"/>
    <w:rsid w:val="001F3160"/>
    <w:rsid w:val="001F4C37"/>
    <w:rsid w:val="001F6490"/>
    <w:rsid w:val="00201B6A"/>
    <w:rsid w:val="00202EE8"/>
    <w:rsid w:val="002137CD"/>
    <w:rsid w:val="00217E9E"/>
    <w:rsid w:val="00221F60"/>
    <w:rsid w:val="00223418"/>
    <w:rsid w:val="002237DD"/>
    <w:rsid w:val="00230240"/>
    <w:rsid w:val="00230C04"/>
    <w:rsid w:val="00232421"/>
    <w:rsid w:val="002325D5"/>
    <w:rsid w:val="0023451A"/>
    <w:rsid w:val="00241608"/>
    <w:rsid w:val="002417E9"/>
    <w:rsid w:val="00244E17"/>
    <w:rsid w:val="00253775"/>
    <w:rsid w:val="00257E09"/>
    <w:rsid w:val="002621D9"/>
    <w:rsid w:val="002658D8"/>
    <w:rsid w:val="0026722F"/>
    <w:rsid w:val="002711A0"/>
    <w:rsid w:val="00274E3F"/>
    <w:rsid w:val="00277082"/>
    <w:rsid w:val="00277B9B"/>
    <w:rsid w:val="00280736"/>
    <w:rsid w:val="00283B87"/>
    <w:rsid w:val="00283FB2"/>
    <w:rsid w:val="00287B34"/>
    <w:rsid w:val="00292E2C"/>
    <w:rsid w:val="0029323E"/>
    <w:rsid w:val="00293995"/>
    <w:rsid w:val="00295F53"/>
    <w:rsid w:val="002A48FD"/>
    <w:rsid w:val="002A74EA"/>
    <w:rsid w:val="002B0986"/>
    <w:rsid w:val="002B455F"/>
    <w:rsid w:val="002B6A29"/>
    <w:rsid w:val="002C5D79"/>
    <w:rsid w:val="002D2861"/>
    <w:rsid w:val="002D2E96"/>
    <w:rsid w:val="002D4792"/>
    <w:rsid w:val="002D5585"/>
    <w:rsid w:val="002E384C"/>
    <w:rsid w:val="002E4C79"/>
    <w:rsid w:val="002F0956"/>
    <w:rsid w:val="002F4D56"/>
    <w:rsid w:val="00301C14"/>
    <w:rsid w:val="0030203C"/>
    <w:rsid w:val="00303214"/>
    <w:rsid w:val="003044AE"/>
    <w:rsid w:val="00307290"/>
    <w:rsid w:val="003073D2"/>
    <w:rsid w:val="00307E5A"/>
    <w:rsid w:val="0031232A"/>
    <w:rsid w:val="0031253A"/>
    <w:rsid w:val="00314647"/>
    <w:rsid w:val="003149F6"/>
    <w:rsid w:val="0031532E"/>
    <w:rsid w:val="00317D0C"/>
    <w:rsid w:val="003236B0"/>
    <w:rsid w:val="003247AF"/>
    <w:rsid w:val="00326604"/>
    <w:rsid w:val="00326E4F"/>
    <w:rsid w:val="0032799F"/>
    <w:rsid w:val="00330375"/>
    <w:rsid w:val="00331F9B"/>
    <w:rsid w:val="00333B02"/>
    <w:rsid w:val="003356E3"/>
    <w:rsid w:val="0033772B"/>
    <w:rsid w:val="00337BF5"/>
    <w:rsid w:val="00351550"/>
    <w:rsid w:val="00354F9B"/>
    <w:rsid w:val="00355030"/>
    <w:rsid w:val="00357CE0"/>
    <w:rsid w:val="00362CE6"/>
    <w:rsid w:val="00367019"/>
    <w:rsid w:val="0037286F"/>
    <w:rsid w:val="003732B4"/>
    <w:rsid w:val="00380A4D"/>
    <w:rsid w:val="003822DE"/>
    <w:rsid w:val="00387434"/>
    <w:rsid w:val="0039123C"/>
    <w:rsid w:val="003923DE"/>
    <w:rsid w:val="00392729"/>
    <w:rsid w:val="003A0225"/>
    <w:rsid w:val="003A0CE5"/>
    <w:rsid w:val="003A49E7"/>
    <w:rsid w:val="003A513F"/>
    <w:rsid w:val="003A6E61"/>
    <w:rsid w:val="003B3840"/>
    <w:rsid w:val="003B3B87"/>
    <w:rsid w:val="003B4C1F"/>
    <w:rsid w:val="003B52DE"/>
    <w:rsid w:val="003B679D"/>
    <w:rsid w:val="003B7419"/>
    <w:rsid w:val="003C32AE"/>
    <w:rsid w:val="003C4C03"/>
    <w:rsid w:val="003C4DC2"/>
    <w:rsid w:val="003C5313"/>
    <w:rsid w:val="003C6414"/>
    <w:rsid w:val="003C6952"/>
    <w:rsid w:val="003C7BC2"/>
    <w:rsid w:val="003C7CB7"/>
    <w:rsid w:val="003D21F7"/>
    <w:rsid w:val="003D25F6"/>
    <w:rsid w:val="003D3B4A"/>
    <w:rsid w:val="003D473A"/>
    <w:rsid w:val="003D53A7"/>
    <w:rsid w:val="003D59D6"/>
    <w:rsid w:val="003D6255"/>
    <w:rsid w:val="003E19AB"/>
    <w:rsid w:val="003E679F"/>
    <w:rsid w:val="003E794B"/>
    <w:rsid w:val="003F0B90"/>
    <w:rsid w:val="003F6C57"/>
    <w:rsid w:val="00411A8B"/>
    <w:rsid w:val="00411E2B"/>
    <w:rsid w:val="004130B4"/>
    <w:rsid w:val="004132F5"/>
    <w:rsid w:val="00415420"/>
    <w:rsid w:val="00423483"/>
    <w:rsid w:val="004239A7"/>
    <w:rsid w:val="0042413B"/>
    <w:rsid w:val="00424573"/>
    <w:rsid w:val="00431147"/>
    <w:rsid w:val="0043736E"/>
    <w:rsid w:val="00437397"/>
    <w:rsid w:val="00437636"/>
    <w:rsid w:val="00437D45"/>
    <w:rsid w:val="00441B91"/>
    <w:rsid w:val="00444E7F"/>
    <w:rsid w:val="0044591B"/>
    <w:rsid w:val="00460479"/>
    <w:rsid w:val="00461BDF"/>
    <w:rsid w:val="00462360"/>
    <w:rsid w:val="0046570A"/>
    <w:rsid w:val="004657D6"/>
    <w:rsid w:val="00466502"/>
    <w:rsid w:val="00471570"/>
    <w:rsid w:val="00471E0E"/>
    <w:rsid w:val="00471FA8"/>
    <w:rsid w:val="004744FB"/>
    <w:rsid w:val="0047480B"/>
    <w:rsid w:val="004806A2"/>
    <w:rsid w:val="00481283"/>
    <w:rsid w:val="004861F5"/>
    <w:rsid w:val="004862C5"/>
    <w:rsid w:val="0049171A"/>
    <w:rsid w:val="004948B7"/>
    <w:rsid w:val="00497720"/>
    <w:rsid w:val="004A18CE"/>
    <w:rsid w:val="004A2D9A"/>
    <w:rsid w:val="004A45A9"/>
    <w:rsid w:val="004A475E"/>
    <w:rsid w:val="004A4D26"/>
    <w:rsid w:val="004A5D3F"/>
    <w:rsid w:val="004A65B3"/>
    <w:rsid w:val="004A67A4"/>
    <w:rsid w:val="004B6898"/>
    <w:rsid w:val="004B6BEC"/>
    <w:rsid w:val="004B73BB"/>
    <w:rsid w:val="004C282F"/>
    <w:rsid w:val="004C772B"/>
    <w:rsid w:val="004C7F4F"/>
    <w:rsid w:val="004D05D1"/>
    <w:rsid w:val="004D189F"/>
    <w:rsid w:val="004D1A96"/>
    <w:rsid w:val="004D2ECA"/>
    <w:rsid w:val="004D73CC"/>
    <w:rsid w:val="004E56B9"/>
    <w:rsid w:val="004F0D2B"/>
    <w:rsid w:val="004F32DD"/>
    <w:rsid w:val="004F442D"/>
    <w:rsid w:val="0050018C"/>
    <w:rsid w:val="00502266"/>
    <w:rsid w:val="005026E5"/>
    <w:rsid w:val="005040AC"/>
    <w:rsid w:val="00505329"/>
    <w:rsid w:val="005062A8"/>
    <w:rsid w:val="00511E5D"/>
    <w:rsid w:val="00512250"/>
    <w:rsid w:val="00513398"/>
    <w:rsid w:val="00513843"/>
    <w:rsid w:val="00514A3D"/>
    <w:rsid w:val="00514E09"/>
    <w:rsid w:val="005154D3"/>
    <w:rsid w:val="00515A6D"/>
    <w:rsid w:val="00524EEB"/>
    <w:rsid w:val="00526117"/>
    <w:rsid w:val="005264FD"/>
    <w:rsid w:val="005319FB"/>
    <w:rsid w:val="00532FDD"/>
    <w:rsid w:val="005337CD"/>
    <w:rsid w:val="005341B0"/>
    <w:rsid w:val="00534E73"/>
    <w:rsid w:val="00535B49"/>
    <w:rsid w:val="00535C54"/>
    <w:rsid w:val="00540EB6"/>
    <w:rsid w:val="00542886"/>
    <w:rsid w:val="00546B26"/>
    <w:rsid w:val="00551965"/>
    <w:rsid w:val="0055286F"/>
    <w:rsid w:val="0055487F"/>
    <w:rsid w:val="00555A57"/>
    <w:rsid w:val="00560B9F"/>
    <w:rsid w:val="005619CB"/>
    <w:rsid w:val="00563BEE"/>
    <w:rsid w:val="00571608"/>
    <w:rsid w:val="005757F3"/>
    <w:rsid w:val="00586030"/>
    <w:rsid w:val="00586F09"/>
    <w:rsid w:val="00587B2C"/>
    <w:rsid w:val="00590FBA"/>
    <w:rsid w:val="00593411"/>
    <w:rsid w:val="00593D4D"/>
    <w:rsid w:val="005A1A2E"/>
    <w:rsid w:val="005A2041"/>
    <w:rsid w:val="005A2717"/>
    <w:rsid w:val="005A3F27"/>
    <w:rsid w:val="005A55A1"/>
    <w:rsid w:val="005A5877"/>
    <w:rsid w:val="005A5F8F"/>
    <w:rsid w:val="005B01ED"/>
    <w:rsid w:val="005B3372"/>
    <w:rsid w:val="005B6DC4"/>
    <w:rsid w:val="005C5356"/>
    <w:rsid w:val="005D1031"/>
    <w:rsid w:val="005D71C9"/>
    <w:rsid w:val="005E1CAA"/>
    <w:rsid w:val="005E259E"/>
    <w:rsid w:val="005F2A6B"/>
    <w:rsid w:val="005F7530"/>
    <w:rsid w:val="00602FFB"/>
    <w:rsid w:val="00603046"/>
    <w:rsid w:val="006057F4"/>
    <w:rsid w:val="00606A51"/>
    <w:rsid w:val="00614334"/>
    <w:rsid w:val="00614877"/>
    <w:rsid w:val="006148DB"/>
    <w:rsid w:val="006159CF"/>
    <w:rsid w:val="00616599"/>
    <w:rsid w:val="00616F1A"/>
    <w:rsid w:val="00620872"/>
    <w:rsid w:val="00624E19"/>
    <w:rsid w:val="006317BD"/>
    <w:rsid w:val="0063749E"/>
    <w:rsid w:val="006415A2"/>
    <w:rsid w:val="00644FE5"/>
    <w:rsid w:val="00650DC9"/>
    <w:rsid w:val="006516AA"/>
    <w:rsid w:val="0065455D"/>
    <w:rsid w:val="0065505C"/>
    <w:rsid w:val="006564DE"/>
    <w:rsid w:val="00663210"/>
    <w:rsid w:val="00663F9A"/>
    <w:rsid w:val="006641F0"/>
    <w:rsid w:val="00665D86"/>
    <w:rsid w:val="00674271"/>
    <w:rsid w:val="006749F1"/>
    <w:rsid w:val="0068084D"/>
    <w:rsid w:val="006808D7"/>
    <w:rsid w:val="00680F41"/>
    <w:rsid w:val="0068330B"/>
    <w:rsid w:val="00683D2C"/>
    <w:rsid w:val="00684370"/>
    <w:rsid w:val="0068660D"/>
    <w:rsid w:val="00690F4F"/>
    <w:rsid w:val="006950E9"/>
    <w:rsid w:val="00695B50"/>
    <w:rsid w:val="006A0AEE"/>
    <w:rsid w:val="006A61E2"/>
    <w:rsid w:val="006A6565"/>
    <w:rsid w:val="006B1F18"/>
    <w:rsid w:val="006B2A54"/>
    <w:rsid w:val="006B71E7"/>
    <w:rsid w:val="006C1420"/>
    <w:rsid w:val="006C2675"/>
    <w:rsid w:val="006C39E2"/>
    <w:rsid w:val="006C3A4A"/>
    <w:rsid w:val="006C3AAE"/>
    <w:rsid w:val="006C5091"/>
    <w:rsid w:val="006E035A"/>
    <w:rsid w:val="006E2168"/>
    <w:rsid w:val="006E4ACF"/>
    <w:rsid w:val="006E575E"/>
    <w:rsid w:val="006E6968"/>
    <w:rsid w:val="006E7495"/>
    <w:rsid w:val="006F1AB3"/>
    <w:rsid w:val="006F3F3D"/>
    <w:rsid w:val="006F65DC"/>
    <w:rsid w:val="006F697B"/>
    <w:rsid w:val="0070096A"/>
    <w:rsid w:val="00704A64"/>
    <w:rsid w:val="00707B4F"/>
    <w:rsid w:val="00711F04"/>
    <w:rsid w:val="00721652"/>
    <w:rsid w:val="00722771"/>
    <w:rsid w:val="00723A42"/>
    <w:rsid w:val="00724A6F"/>
    <w:rsid w:val="0072531E"/>
    <w:rsid w:val="00726445"/>
    <w:rsid w:val="00726724"/>
    <w:rsid w:val="00726F95"/>
    <w:rsid w:val="007276A8"/>
    <w:rsid w:val="00732C7F"/>
    <w:rsid w:val="00733CF8"/>
    <w:rsid w:val="00736322"/>
    <w:rsid w:val="00741452"/>
    <w:rsid w:val="00743779"/>
    <w:rsid w:val="00744E82"/>
    <w:rsid w:val="0074582F"/>
    <w:rsid w:val="00747C68"/>
    <w:rsid w:val="0075098B"/>
    <w:rsid w:val="00750B90"/>
    <w:rsid w:val="00750BB6"/>
    <w:rsid w:val="00753D13"/>
    <w:rsid w:val="0075652F"/>
    <w:rsid w:val="007648FA"/>
    <w:rsid w:val="007676CF"/>
    <w:rsid w:val="007710BC"/>
    <w:rsid w:val="00776498"/>
    <w:rsid w:val="00777C35"/>
    <w:rsid w:val="00780EDF"/>
    <w:rsid w:val="00784674"/>
    <w:rsid w:val="00786A14"/>
    <w:rsid w:val="00791885"/>
    <w:rsid w:val="00797287"/>
    <w:rsid w:val="007A0857"/>
    <w:rsid w:val="007A5FF0"/>
    <w:rsid w:val="007B01F1"/>
    <w:rsid w:val="007B0464"/>
    <w:rsid w:val="007B1997"/>
    <w:rsid w:val="007B3528"/>
    <w:rsid w:val="007B53A1"/>
    <w:rsid w:val="007B5F3A"/>
    <w:rsid w:val="007B5FFE"/>
    <w:rsid w:val="007C18ED"/>
    <w:rsid w:val="007C1DCC"/>
    <w:rsid w:val="007D124F"/>
    <w:rsid w:val="007E152C"/>
    <w:rsid w:val="007E249D"/>
    <w:rsid w:val="007E3D76"/>
    <w:rsid w:val="007E4C66"/>
    <w:rsid w:val="007E4F3C"/>
    <w:rsid w:val="007E6EC1"/>
    <w:rsid w:val="007E77B0"/>
    <w:rsid w:val="007E798F"/>
    <w:rsid w:val="007E7C83"/>
    <w:rsid w:val="007F04D9"/>
    <w:rsid w:val="007F0D00"/>
    <w:rsid w:val="007F5ECF"/>
    <w:rsid w:val="007F5F55"/>
    <w:rsid w:val="00801CBB"/>
    <w:rsid w:val="00803A7C"/>
    <w:rsid w:val="0080526C"/>
    <w:rsid w:val="00807C4E"/>
    <w:rsid w:val="008132D6"/>
    <w:rsid w:val="00813F25"/>
    <w:rsid w:val="008147F2"/>
    <w:rsid w:val="00814FBD"/>
    <w:rsid w:val="00815C59"/>
    <w:rsid w:val="00825958"/>
    <w:rsid w:val="00827C73"/>
    <w:rsid w:val="00831A92"/>
    <w:rsid w:val="00832C75"/>
    <w:rsid w:val="00841331"/>
    <w:rsid w:val="00841E7D"/>
    <w:rsid w:val="008455AB"/>
    <w:rsid w:val="00846C7A"/>
    <w:rsid w:val="00847AE5"/>
    <w:rsid w:val="00851933"/>
    <w:rsid w:val="00852838"/>
    <w:rsid w:val="008534E8"/>
    <w:rsid w:val="0085458B"/>
    <w:rsid w:val="00855436"/>
    <w:rsid w:val="00857219"/>
    <w:rsid w:val="0086081E"/>
    <w:rsid w:val="00860EB1"/>
    <w:rsid w:val="008612DD"/>
    <w:rsid w:val="00862695"/>
    <w:rsid w:val="008633AE"/>
    <w:rsid w:val="008645D3"/>
    <w:rsid w:val="0086560D"/>
    <w:rsid w:val="00865F2B"/>
    <w:rsid w:val="00871F8E"/>
    <w:rsid w:val="00874AAE"/>
    <w:rsid w:val="008750AA"/>
    <w:rsid w:val="008778C7"/>
    <w:rsid w:val="00884F31"/>
    <w:rsid w:val="008854A5"/>
    <w:rsid w:val="008873DE"/>
    <w:rsid w:val="00893138"/>
    <w:rsid w:val="00894379"/>
    <w:rsid w:val="00896B15"/>
    <w:rsid w:val="008A0A05"/>
    <w:rsid w:val="008A3659"/>
    <w:rsid w:val="008B25A5"/>
    <w:rsid w:val="008B64A5"/>
    <w:rsid w:val="008B6B6A"/>
    <w:rsid w:val="008B7B2C"/>
    <w:rsid w:val="008C4818"/>
    <w:rsid w:val="008C54CB"/>
    <w:rsid w:val="008C71CB"/>
    <w:rsid w:val="008D0DBE"/>
    <w:rsid w:val="008D4030"/>
    <w:rsid w:val="008D4291"/>
    <w:rsid w:val="008D5AE9"/>
    <w:rsid w:val="008D629F"/>
    <w:rsid w:val="008E3AEA"/>
    <w:rsid w:val="008E46D7"/>
    <w:rsid w:val="008E682B"/>
    <w:rsid w:val="008E7F76"/>
    <w:rsid w:val="008F30B4"/>
    <w:rsid w:val="009058C8"/>
    <w:rsid w:val="00910543"/>
    <w:rsid w:val="00915F25"/>
    <w:rsid w:val="009200EB"/>
    <w:rsid w:val="009201F9"/>
    <w:rsid w:val="00920EC1"/>
    <w:rsid w:val="009230AC"/>
    <w:rsid w:val="009239F6"/>
    <w:rsid w:val="00923E82"/>
    <w:rsid w:val="00924466"/>
    <w:rsid w:val="00925A06"/>
    <w:rsid w:val="009327A5"/>
    <w:rsid w:val="00934580"/>
    <w:rsid w:val="009357AF"/>
    <w:rsid w:val="0093788B"/>
    <w:rsid w:val="00940AB5"/>
    <w:rsid w:val="00941893"/>
    <w:rsid w:val="00941CA2"/>
    <w:rsid w:val="0094212C"/>
    <w:rsid w:val="00944918"/>
    <w:rsid w:val="00946894"/>
    <w:rsid w:val="00950676"/>
    <w:rsid w:val="00950A03"/>
    <w:rsid w:val="00950F69"/>
    <w:rsid w:val="00955E5B"/>
    <w:rsid w:val="00957091"/>
    <w:rsid w:val="009579A7"/>
    <w:rsid w:val="0096353F"/>
    <w:rsid w:val="00965389"/>
    <w:rsid w:val="00967A4D"/>
    <w:rsid w:val="009827EF"/>
    <w:rsid w:val="009848E9"/>
    <w:rsid w:val="00987EB1"/>
    <w:rsid w:val="009909CA"/>
    <w:rsid w:val="009913A5"/>
    <w:rsid w:val="00991569"/>
    <w:rsid w:val="009938A8"/>
    <w:rsid w:val="0099629A"/>
    <w:rsid w:val="009971C0"/>
    <w:rsid w:val="009B124B"/>
    <w:rsid w:val="009B1E5D"/>
    <w:rsid w:val="009B4EF8"/>
    <w:rsid w:val="009C0441"/>
    <w:rsid w:val="009C67FB"/>
    <w:rsid w:val="009D6D3E"/>
    <w:rsid w:val="009E0946"/>
    <w:rsid w:val="009E4050"/>
    <w:rsid w:val="009E7765"/>
    <w:rsid w:val="009F1287"/>
    <w:rsid w:val="009F30FF"/>
    <w:rsid w:val="009F3E56"/>
    <w:rsid w:val="00A01A56"/>
    <w:rsid w:val="00A05161"/>
    <w:rsid w:val="00A0688B"/>
    <w:rsid w:val="00A07578"/>
    <w:rsid w:val="00A106B2"/>
    <w:rsid w:val="00A10F88"/>
    <w:rsid w:val="00A116F4"/>
    <w:rsid w:val="00A128FC"/>
    <w:rsid w:val="00A14E0C"/>
    <w:rsid w:val="00A23F9D"/>
    <w:rsid w:val="00A26A8A"/>
    <w:rsid w:val="00A27871"/>
    <w:rsid w:val="00A32EEC"/>
    <w:rsid w:val="00A34AC9"/>
    <w:rsid w:val="00A3690F"/>
    <w:rsid w:val="00A36C90"/>
    <w:rsid w:val="00A44F2F"/>
    <w:rsid w:val="00A5070F"/>
    <w:rsid w:val="00A56E04"/>
    <w:rsid w:val="00A571B7"/>
    <w:rsid w:val="00A62250"/>
    <w:rsid w:val="00A63175"/>
    <w:rsid w:val="00A64782"/>
    <w:rsid w:val="00A64CC8"/>
    <w:rsid w:val="00A65A1B"/>
    <w:rsid w:val="00A66CB8"/>
    <w:rsid w:val="00A67E1F"/>
    <w:rsid w:val="00A71959"/>
    <w:rsid w:val="00A72452"/>
    <w:rsid w:val="00A72642"/>
    <w:rsid w:val="00A775F2"/>
    <w:rsid w:val="00A92E0F"/>
    <w:rsid w:val="00A94576"/>
    <w:rsid w:val="00A94E6F"/>
    <w:rsid w:val="00AA342B"/>
    <w:rsid w:val="00AA5438"/>
    <w:rsid w:val="00AA7BD9"/>
    <w:rsid w:val="00AB13C1"/>
    <w:rsid w:val="00AB4364"/>
    <w:rsid w:val="00AB4C7E"/>
    <w:rsid w:val="00AC26B0"/>
    <w:rsid w:val="00AC26C9"/>
    <w:rsid w:val="00AC3062"/>
    <w:rsid w:val="00AC576E"/>
    <w:rsid w:val="00AC5933"/>
    <w:rsid w:val="00AD1D04"/>
    <w:rsid w:val="00AD42EE"/>
    <w:rsid w:val="00AD4D90"/>
    <w:rsid w:val="00AD65AE"/>
    <w:rsid w:val="00AD79A2"/>
    <w:rsid w:val="00AE1EBC"/>
    <w:rsid w:val="00AE2559"/>
    <w:rsid w:val="00AE3071"/>
    <w:rsid w:val="00AE391C"/>
    <w:rsid w:val="00AE5205"/>
    <w:rsid w:val="00AE5A84"/>
    <w:rsid w:val="00AE62EA"/>
    <w:rsid w:val="00AE6FE3"/>
    <w:rsid w:val="00AF4016"/>
    <w:rsid w:val="00B03B4D"/>
    <w:rsid w:val="00B051F6"/>
    <w:rsid w:val="00B068D2"/>
    <w:rsid w:val="00B11415"/>
    <w:rsid w:val="00B126E9"/>
    <w:rsid w:val="00B20C9D"/>
    <w:rsid w:val="00B236E7"/>
    <w:rsid w:val="00B25378"/>
    <w:rsid w:val="00B26AA1"/>
    <w:rsid w:val="00B2728C"/>
    <w:rsid w:val="00B31218"/>
    <w:rsid w:val="00B320F6"/>
    <w:rsid w:val="00B37F26"/>
    <w:rsid w:val="00B46B39"/>
    <w:rsid w:val="00B47301"/>
    <w:rsid w:val="00B56767"/>
    <w:rsid w:val="00B62AD6"/>
    <w:rsid w:val="00B6355B"/>
    <w:rsid w:val="00B64314"/>
    <w:rsid w:val="00B64478"/>
    <w:rsid w:val="00B759F4"/>
    <w:rsid w:val="00B80CF3"/>
    <w:rsid w:val="00B8244F"/>
    <w:rsid w:val="00B93011"/>
    <w:rsid w:val="00B93F07"/>
    <w:rsid w:val="00B956B6"/>
    <w:rsid w:val="00BA1FE9"/>
    <w:rsid w:val="00BA5D6C"/>
    <w:rsid w:val="00BA6286"/>
    <w:rsid w:val="00BA662E"/>
    <w:rsid w:val="00BB0600"/>
    <w:rsid w:val="00BB2F09"/>
    <w:rsid w:val="00BB3AB5"/>
    <w:rsid w:val="00BC3BF3"/>
    <w:rsid w:val="00BC4152"/>
    <w:rsid w:val="00BC5138"/>
    <w:rsid w:val="00BC64EA"/>
    <w:rsid w:val="00BC6B64"/>
    <w:rsid w:val="00BD69D1"/>
    <w:rsid w:val="00BD722D"/>
    <w:rsid w:val="00BE1054"/>
    <w:rsid w:val="00BE19BE"/>
    <w:rsid w:val="00BE5E1A"/>
    <w:rsid w:val="00BE7900"/>
    <w:rsid w:val="00BF0209"/>
    <w:rsid w:val="00BF1C11"/>
    <w:rsid w:val="00BF255D"/>
    <w:rsid w:val="00BF332D"/>
    <w:rsid w:val="00BF4728"/>
    <w:rsid w:val="00C01B3A"/>
    <w:rsid w:val="00C04604"/>
    <w:rsid w:val="00C04B0F"/>
    <w:rsid w:val="00C071E6"/>
    <w:rsid w:val="00C07426"/>
    <w:rsid w:val="00C107C5"/>
    <w:rsid w:val="00C12DE3"/>
    <w:rsid w:val="00C172E9"/>
    <w:rsid w:val="00C20D4D"/>
    <w:rsid w:val="00C22E27"/>
    <w:rsid w:val="00C25D30"/>
    <w:rsid w:val="00C27C2D"/>
    <w:rsid w:val="00C27C3A"/>
    <w:rsid w:val="00C34544"/>
    <w:rsid w:val="00C35F6E"/>
    <w:rsid w:val="00C3619C"/>
    <w:rsid w:val="00C40F94"/>
    <w:rsid w:val="00C47CE7"/>
    <w:rsid w:val="00C537B4"/>
    <w:rsid w:val="00C57404"/>
    <w:rsid w:val="00C605EA"/>
    <w:rsid w:val="00C6157B"/>
    <w:rsid w:val="00C61A0A"/>
    <w:rsid w:val="00C61B38"/>
    <w:rsid w:val="00C6478C"/>
    <w:rsid w:val="00C666F9"/>
    <w:rsid w:val="00C66ABC"/>
    <w:rsid w:val="00C77F2F"/>
    <w:rsid w:val="00C80193"/>
    <w:rsid w:val="00C84172"/>
    <w:rsid w:val="00C9071F"/>
    <w:rsid w:val="00CA208D"/>
    <w:rsid w:val="00CA2A33"/>
    <w:rsid w:val="00CA4836"/>
    <w:rsid w:val="00CA5DDD"/>
    <w:rsid w:val="00CA6268"/>
    <w:rsid w:val="00CB0B2B"/>
    <w:rsid w:val="00CB2712"/>
    <w:rsid w:val="00CB4826"/>
    <w:rsid w:val="00CC2BA5"/>
    <w:rsid w:val="00CC4DC9"/>
    <w:rsid w:val="00CC62E8"/>
    <w:rsid w:val="00CD1241"/>
    <w:rsid w:val="00CD4172"/>
    <w:rsid w:val="00CD54D2"/>
    <w:rsid w:val="00CD72D9"/>
    <w:rsid w:val="00CE214F"/>
    <w:rsid w:val="00CE3330"/>
    <w:rsid w:val="00CE3D13"/>
    <w:rsid w:val="00CE4C5D"/>
    <w:rsid w:val="00D02007"/>
    <w:rsid w:val="00D05956"/>
    <w:rsid w:val="00D06A46"/>
    <w:rsid w:val="00D10A2C"/>
    <w:rsid w:val="00D13ECD"/>
    <w:rsid w:val="00D31748"/>
    <w:rsid w:val="00D35B1E"/>
    <w:rsid w:val="00D368DB"/>
    <w:rsid w:val="00D36940"/>
    <w:rsid w:val="00D369BB"/>
    <w:rsid w:val="00D37243"/>
    <w:rsid w:val="00D40235"/>
    <w:rsid w:val="00D427D5"/>
    <w:rsid w:val="00D44D4A"/>
    <w:rsid w:val="00D45BE6"/>
    <w:rsid w:val="00D47B6E"/>
    <w:rsid w:val="00D47BE6"/>
    <w:rsid w:val="00D53DB1"/>
    <w:rsid w:val="00D54BB9"/>
    <w:rsid w:val="00D55BA6"/>
    <w:rsid w:val="00D56519"/>
    <w:rsid w:val="00D63495"/>
    <w:rsid w:val="00D64914"/>
    <w:rsid w:val="00D65A38"/>
    <w:rsid w:val="00D70551"/>
    <w:rsid w:val="00D705B5"/>
    <w:rsid w:val="00D70FEE"/>
    <w:rsid w:val="00D71E46"/>
    <w:rsid w:val="00D72D2F"/>
    <w:rsid w:val="00D83BB2"/>
    <w:rsid w:val="00D845E4"/>
    <w:rsid w:val="00D85F77"/>
    <w:rsid w:val="00D8702C"/>
    <w:rsid w:val="00D92271"/>
    <w:rsid w:val="00D93121"/>
    <w:rsid w:val="00D97849"/>
    <w:rsid w:val="00DA3097"/>
    <w:rsid w:val="00DA3DA9"/>
    <w:rsid w:val="00DA5273"/>
    <w:rsid w:val="00DA55E3"/>
    <w:rsid w:val="00DA6AE5"/>
    <w:rsid w:val="00DA79FF"/>
    <w:rsid w:val="00DB23EB"/>
    <w:rsid w:val="00DB3673"/>
    <w:rsid w:val="00DB4DEF"/>
    <w:rsid w:val="00DB532E"/>
    <w:rsid w:val="00DC05FC"/>
    <w:rsid w:val="00DC306F"/>
    <w:rsid w:val="00DC3A4B"/>
    <w:rsid w:val="00DC410A"/>
    <w:rsid w:val="00DC4A6F"/>
    <w:rsid w:val="00DC5988"/>
    <w:rsid w:val="00DC722C"/>
    <w:rsid w:val="00DC744C"/>
    <w:rsid w:val="00DD0141"/>
    <w:rsid w:val="00DD1B8E"/>
    <w:rsid w:val="00DD2886"/>
    <w:rsid w:val="00DD7388"/>
    <w:rsid w:val="00DD7943"/>
    <w:rsid w:val="00DE1EB3"/>
    <w:rsid w:val="00DE338E"/>
    <w:rsid w:val="00DE3CD2"/>
    <w:rsid w:val="00DE7B77"/>
    <w:rsid w:val="00DF0854"/>
    <w:rsid w:val="00DF1687"/>
    <w:rsid w:val="00DF22C9"/>
    <w:rsid w:val="00DF4162"/>
    <w:rsid w:val="00DF6C34"/>
    <w:rsid w:val="00DF6EC3"/>
    <w:rsid w:val="00E008D5"/>
    <w:rsid w:val="00E065A9"/>
    <w:rsid w:val="00E07B1A"/>
    <w:rsid w:val="00E1150B"/>
    <w:rsid w:val="00E12909"/>
    <w:rsid w:val="00E13062"/>
    <w:rsid w:val="00E148DC"/>
    <w:rsid w:val="00E2133C"/>
    <w:rsid w:val="00E213CA"/>
    <w:rsid w:val="00E21741"/>
    <w:rsid w:val="00E241C8"/>
    <w:rsid w:val="00E3127E"/>
    <w:rsid w:val="00E32DE5"/>
    <w:rsid w:val="00E4045C"/>
    <w:rsid w:val="00E47DF1"/>
    <w:rsid w:val="00E502C6"/>
    <w:rsid w:val="00E51582"/>
    <w:rsid w:val="00E516A0"/>
    <w:rsid w:val="00E522D4"/>
    <w:rsid w:val="00E5263D"/>
    <w:rsid w:val="00E544C9"/>
    <w:rsid w:val="00E546AC"/>
    <w:rsid w:val="00E55CE0"/>
    <w:rsid w:val="00E612AC"/>
    <w:rsid w:val="00E61BF1"/>
    <w:rsid w:val="00E627FF"/>
    <w:rsid w:val="00E70711"/>
    <w:rsid w:val="00E7540A"/>
    <w:rsid w:val="00E7584A"/>
    <w:rsid w:val="00E75A8C"/>
    <w:rsid w:val="00E8063E"/>
    <w:rsid w:val="00E819D1"/>
    <w:rsid w:val="00E84C23"/>
    <w:rsid w:val="00E87E79"/>
    <w:rsid w:val="00E91CA2"/>
    <w:rsid w:val="00E956F5"/>
    <w:rsid w:val="00EB064D"/>
    <w:rsid w:val="00EB111C"/>
    <w:rsid w:val="00EB5AC7"/>
    <w:rsid w:val="00EC2162"/>
    <w:rsid w:val="00EC27A3"/>
    <w:rsid w:val="00EC2F3E"/>
    <w:rsid w:val="00EC3DA3"/>
    <w:rsid w:val="00EC4A5D"/>
    <w:rsid w:val="00EC4CB6"/>
    <w:rsid w:val="00EC58D2"/>
    <w:rsid w:val="00ED140A"/>
    <w:rsid w:val="00ED15F3"/>
    <w:rsid w:val="00ED4785"/>
    <w:rsid w:val="00ED5B3F"/>
    <w:rsid w:val="00ED78BE"/>
    <w:rsid w:val="00EE2535"/>
    <w:rsid w:val="00EF147B"/>
    <w:rsid w:val="00EF16E6"/>
    <w:rsid w:val="00EF3A97"/>
    <w:rsid w:val="00EF58AB"/>
    <w:rsid w:val="00EF7056"/>
    <w:rsid w:val="00EF7506"/>
    <w:rsid w:val="00F039E4"/>
    <w:rsid w:val="00F03A4C"/>
    <w:rsid w:val="00F05AB9"/>
    <w:rsid w:val="00F069FA"/>
    <w:rsid w:val="00F07C5B"/>
    <w:rsid w:val="00F12EDB"/>
    <w:rsid w:val="00F13153"/>
    <w:rsid w:val="00F16CE7"/>
    <w:rsid w:val="00F276B5"/>
    <w:rsid w:val="00F30464"/>
    <w:rsid w:val="00F30C72"/>
    <w:rsid w:val="00F31D97"/>
    <w:rsid w:val="00F32FF1"/>
    <w:rsid w:val="00F33845"/>
    <w:rsid w:val="00F33D56"/>
    <w:rsid w:val="00F350C0"/>
    <w:rsid w:val="00F46D15"/>
    <w:rsid w:val="00F477B2"/>
    <w:rsid w:val="00F51D00"/>
    <w:rsid w:val="00F54495"/>
    <w:rsid w:val="00F57402"/>
    <w:rsid w:val="00F609D3"/>
    <w:rsid w:val="00F75FC3"/>
    <w:rsid w:val="00F8123F"/>
    <w:rsid w:val="00F8204D"/>
    <w:rsid w:val="00F8294A"/>
    <w:rsid w:val="00F92D87"/>
    <w:rsid w:val="00F93DBB"/>
    <w:rsid w:val="00F97AF6"/>
    <w:rsid w:val="00FA557C"/>
    <w:rsid w:val="00FA6250"/>
    <w:rsid w:val="00FA750B"/>
    <w:rsid w:val="00FA7BEE"/>
    <w:rsid w:val="00FC3789"/>
    <w:rsid w:val="00FC4FD8"/>
    <w:rsid w:val="00FD017E"/>
    <w:rsid w:val="00FD6A75"/>
    <w:rsid w:val="00FE0009"/>
    <w:rsid w:val="00FE2770"/>
    <w:rsid w:val="00FE2A3B"/>
    <w:rsid w:val="00FE2EAC"/>
    <w:rsid w:val="00FE3526"/>
    <w:rsid w:val="00FE66C3"/>
    <w:rsid w:val="00FF482A"/>
    <w:rsid w:val="011F2DD6"/>
    <w:rsid w:val="013868B5"/>
    <w:rsid w:val="013C444B"/>
    <w:rsid w:val="01503F44"/>
    <w:rsid w:val="015531C0"/>
    <w:rsid w:val="01710AFF"/>
    <w:rsid w:val="01755DED"/>
    <w:rsid w:val="01990CA7"/>
    <w:rsid w:val="01A0313A"/>
    <w:rsid w:val="01A4698D"/>
    <w:rsid w:val="01CE040B"/>
    <w:rsid w:val="01FD609D"/>
    <w:rsid w:val="01FE5971"/>
    <w:rsid w:val="02006D2B"/>
    <w:rsid w:val="0200793B"/>
    <w:rsid w:val="02110FD2"/>
    <w:rsid w:val="02162668"/>
    <w:rsid w:val="021D229B"/>
    <w:rsid w:val="02247ACE"/>
    <w:rsid w:val="022C0730"/>
    <w:rsid w:val="02337D11"/>
    <w:rsid w:val="02380F32"/>
    <w:rsid w:val="023A109F"/>
    <w:rsid w:val="02555ED9"/>
    <w:rsid w:val="02676D89"/>
    <w:rsid w:val="026C37C7"/>
    <w:rsid w:val="02781BC8"/>
    <w:rsid w:val="02785724"/>
    <w:rsid w:val="027F304F"/>
    <w:rsid w:val="028702C8"/>
    <w:rsid w:val="028E1C45"/>
    <w:rsid w:val="02900BFE"/>
    <w:rsid w:val="029E4CDF"/>
    <w:rsid w:val="02A01AC6"/>
    <w:rsid w:val="02B315C3"/>
    <w:rsid w:val="02F77AC9"/>
    <w:rsid w:val="02FB5070"/>
    <w:rsid w:val="02FE196D"/>
    <w:rsid w:val="03167C38"/>
    <w:rsid w:val="031E47C7"/>
    <w:rsid w:val="03256022"/>
    <w:rsid w:val="0333780B"/>
    <w:rsid w:val="037979A5"/>
    <w:rsid w:val="038B1A6B"/>
    <w:rsid w:val="03960557"/>
    <w:rsid w:val="03993BA4"/>
    <w:rsid w:val="039E5945"/>
    <w:rsid w:val="03A1664E"/>
    <w:rsid w:val="03A772E8"/>
    <w:rsid w:val="03B22EB7"/>
    <w:rsid w:val="03BB23AC"/>
    <w:rsid w:val="03CC21CB"/>
    <w:rsid w:val="03DD6186"/>
    <w:rsid w:val="03E07F7C"/>
    <w:rsid w:val="03E17998"/>
    <w:rsid w:val="04070D0D"/>
    <w:rsid w:val="04082AD7"/>
    <w:rsid w:val="041D47D5"/>
    <w:rsid w:val="042F4508"/>
    <w:rsid w:val="044236A8"/>
    <w:rsid w:val="045F39CB"/>
    <w:rsid w:val="046C12B8"/>
    <w:rsid w:val="04730898"/>
    <w:rsid w:val="04770389"/>
    <w:rsid w:val="047A7A0F"/>
    <w:rsid w:val="047D389E"/>
    <w:rsid w:val="048552F8"/>
    <w:rsid w:val="048A15DB"/>
    <w:rsid w:val="048C6E1E"/>
    <w:rsid w:val="04932CE9"/>
    <w:rsid w:val="04A80B0D"/>
    <w:rsid w:val="04AD3DAA"/>
    <w:rsid w:val="04B86553"/>
    <w:rsid w:val="04E90B5B"/>
    <w:rsid w:val="04FF037E"/>
    <w:rsid w:val="053F077B"/>
    <w:rsid w:val="056336EE"/>
    <w:rsid w:val="05687A28"/>
    <w:rsid w:val="05704DD8"/>
    <w:rsid w:val="057448C8"/>
    <w:rsid w:val="058C1C12"/>
    <w:rsid w:val="05937169"/>
    <w:rsid w:val="059D4B3F"/>
    <w:rsid w:val="059E36F3"/>
    <w:rsid w:val="05B607CF"/>
    <w:rsid w:val="05BA296C"/>
    <w:rsid w:val="05CB0B9C"/>
    <w:rsid w:val="05E64B43"/>
    <w:rsid w:val="05F56927"/>
    <w:rsid w:val="05F652DD"/>
    <w:rsid w:val="06451DC1"/>
    <w:rsid w:val="064B5389"/>
    <w:rsid w:val="064F3580"/>
    <w:rsid w:val="065B729B"/>
    <w:rsid w:val="0666117F"/>
    <w:rsid w:val="069236FE"/>
    <w:rsid w:val="06952D48"/>
    <w:rsid w:val="069F6002"/>
    <w:rsid w:val="06B16DA1"/>
    <w:rsid w:val="06D01FD2"/>
    <w:rsid w:val="06D0675F"/>
    <w:rsid w:val="06E50CF6"/>
    <w:rsid w:val="06EB0BBA"/>
    <w:rsid w:val="07097292"/>
    <w:rsid w:val="07133C6D"/>
    <w:rsid w:val="071943F6"/>
    <w:rsid w:val="071F09A6"/>
    <w:rsid w:val="072043AE"/>
    <w:rsid w:val="074D3623"/>
    <w:rsid w:val="076A5F83"/>
    <w:rsid w:val="0777244E"/>
    <w:rsid w:val="077D5D8E"/>
    <w:rsid w:val="07866B35"/>
    <w:rsid w:val="07893F2F"/>
    <w:rsid w:val="078C162D"/>
    <w:rsid w:val="078F7797"/>
    <w:rsid w:val="07A362E8"/>
    <w:rsid w:val="07AB0349"/>
    <w:rsid w:val="07B323BB"/>
    <w:rsid w:val="07B61D37"/>
    <w:rsid w:val="07C405FB"/>
    <w:rsid w:val="07D433FC"/>
    <w:rsid w:val="07D47BD7"/>
    <w:rsid w:val="07E501AD"/>
    <w:rsid w:val="07E86EA8"/>
    <w:rsid w:val="081952B3"/>
    <w:rsid w:val="0822060B"/>
    <w:rsid w:val="08362309"/>
    <w:rsid w:val="08404F36"/>
    <w:rsid w:val="084E1401"/>
    <w:rsid w:val="084E152F"/>
    <w:rsid w:val="085F340F"/>
    <w:rsid w:val="086A1FB2"/>
    <w:rsid w:val="08882924"/>
    <w:rsid w:val="088A61B1"/>
    <w:rsid w:val="088A7782"/>
    <w:rsid w:val="089039D3"/>
    <w:rsid w:val="089C6273"/>
    <w:rsid w:val="08B60D54"/>
    <w:rsid w:val="08DA0517"/>
    <w:rsid w:val="08DC4C5E"/>
    <w:rsid w:val="08E7715F"/>
    <w:rsid w:val="090306E4"/>
    <w:rsid w:val="0910609B"/>
    <w:rsid w:val="091647BE"/>
    <w:rsid w:val="0919694C"/>
    <w:rsid w:val="091F10A5"/>
    <w:rsid w:val="092A6A06"/>
    <w:rsid w:val="09331A07"/>
    <w:rsid w:val="093A3733"/>
    <w:rsid w:val="0941208F"/>
    <w:rsid w:val="095571CE"/>
    <w:rsid w:val="09563B8E"/>
    <w:rsid w:val="095F50ED"/>
    <w:rsid w:val="096243C9"/>
    <w:rsid w:val="09750C0F"/>
    <w:rsid w:val="09785247"/>
    <w:rsid w:val="09931095"/>
    <w:rsid w:val="09A514F4"/>
    <w:rsid w:val="09B039F5"/>
    <w:rsid w:val="09B5199D"/>
    <w:rsid w:val="09C3197A"/>
    <w:rsid w:val="09C83435"/>
    <w:rsid w:val="09DB4F16"/>
    <w:rsid w:val="09F05987"/>
    <w:rsid w:val="09F47B7D"/>
    <w:rsid w:val="0A065E81"/>
    <w:rsid w:val="0A103E73"/>
    <w:rsid w:val="0A232419"/>
    <w:rsid w:val="0A2C39C3"/>
    <w:rsid w:val="0A404B34"/>
    <w:rsid w:val="0A4A209B"/>
    <w:rsid w:val="0A6C0264"/>
    <w:rsid w:val="0A84735B"/>
    <w:rsid w:val="0A892BC4"/>
    <w:rsid w:val="0A8C7FBE"/>
    <w:rsid w:val="0A9C40B6"/>
    <w:rsid w:val="0AA54001"/>
    <w:rsid w:val="0AAA5460"/>
    <w:rsid w:val="0AB176BD"/>
    <w:rsid w:val="0AB84136"/>
    <w:rsid w:val="0AB870E9"/>
    <w:rsid w:val="0AC52BB9"/>
    <w:rsid w:val="0AC91212"/>
    <w:rsid w:val="0AD321E4"/>
    <w:rsid w:val="0ADC26A8"/>
    <w:rsid w:val="0ADE3880"/>
    <w:rsid w:val="0AF85654"/>
    <w:rsid w:val="0B091065"/>
    <w:rsid w:val="0B161F7E"/>
    <w:rsid w:val="0B21108D"/>
    <w:rsid w:val="0B212AA0"/>
    <w:rsid w:val="0B253CB7"/>
    <w:rsid w:val="0B2F24B0"/>
    <w:rsid w:val="0B3B060A"/>
    <w:rsid w:val="0B5B220B"/>
    <w:rsid w:val="0B664CB3"/>
    <w:rsid w:val="0B666A61"/>
    <w:rsid w:val="0B73117E"/>
    <w:rsid w:val="0B756CA4"/>
    <w:rsid w:val="0B831D40"/>
    <w:rsid w:val="0B835865"/>
    <w:rsid w:val="0B9A2BAF"/>
    <w:rsid w:val="0B9A495D"/>
    <w:rsid w:val="0BA36360"/>
    <w:rsid w:val="0BAE0408"/>
    <w:rsid w:val="0BBE1812"/>
    <w:rsid w:val="0BC3447D"/>
    <w:rsid w:val="0BD06743"/>
    <w:rsid w:val="0BD35D98"/>
    <w:rsid w:val="0BF325E1"/>
    <w:rsid w:val="0BF873AE"/>
    <w:rsid w:val="0C0C411C"/>
    <w:rsid w:val="0C0F70F9"/>
    <w:rsid w:val="0C1D705A"/>
    <w:rsid w:val="0C1E0D7D"/>
    <w:rsid w:val="0C2406E3"/>
    <w:rsid w:val="0C300D32"/>
    <w:rsid w:val="0C3149A2"/>
    <w:rsid w:val="0C364685"/>
    <w:rsid w:val="0C41302A"/>
    <w:rsid w:val="0C460641"/>
    <w:rsid w:val="0C474AE5"/>
    <w:rsid w:val="0C4A0131"/>
    <w:rsid w:val="0C503E37"/>
    <w:rsid w:val="0C776A4C"/>
    <w:rsid w:val="0C795A8B"/>
    <w:rsid w:val="0C870742"/>
    <w:rsid w:val="0C8F1FE8"/>
    <w:rsid w:val="0C9250E1"/>
    <w:rsid w:val="0C943AA2"/>
    <w:rsid w:val="0CD45C4C"/>
    <w:rsid w:val="0CE40585"/>
    <w:rsid w:val="0CE75980"/>
    <w:rsid w:val="0CFB767D"/>
    <w:rsid w:val="0CFD3275"/>
    <w:rsid w:val="0D0B5BB8"/>
    <w:rsid w:val="0D1C0336"/>
    <w:rsid w:val="0D345D19"/>
    <w:rsid w:val="0D477956"/>
    <w:rsid w:val="0D4B6053"/>
    <w:rsid w:val="0D5044CB"/>
    <w:rsid w:val="0D6001C1"/>
    <w:rsid w:val="0D691F49"/>
    <w:rsid w:val="0D800B52"/>
    <w:rsid w:val="0D8238FA"/>
    <w:rsid w:val="0D892B34"/>
    <w:rsid w:val="0D9C1AB2"/>
    <w:rsid w:val="0DA7084F"/>
    <w:rsid w:val="0DB461AA"/>
    <w:rsid w:val="0DB8556E"/>
    <w:rsid w:val="0DB90656"/>
    <w:rsid w:val="0DC932D7"/>
    <w:rsid w:val="0DCC1A70"/>
    <w:rsid w:val="0DD04666"/>
    <w:rsid w:val="0DDB1DC9"/>
    <w:rsid w:val="0DF50570"/>
    <w:rsid w:val="0DFB4C09"/>
    <w:rsid w:val="0E0B29BB"/>
    <w:rsid w:val="0E0D58BA"/>
    <w:rsid w:val="0E1B024A"/>
    <w:rsid w:val="0E2E3F19"/>
    <w:rsid w:val="0E2E7001"/>
    <w:rsid w:val="0E3177FA"/>
    <w:rsid w:val="0E3270CE"/>
    <w:rsid w:val="0E3544C7"/>
    <w:rsid w:val="0E377358"/>
    <w:rsid w:val="0E481778"/>
    <w:rsid w:val="0E4A676B"/>
    <w:rsid w:val="0E5057A7"/>
    <w:rsid w:val="0E5B2EBF"/>
    <w:rsid w:val="0E7F6CEE"/>
    <w:rsid w:val="0EB279AC"/>
    <w:rsid w:val="0EB66121"/>
    <w:rsid w:val="0EC85EC3"/>
    <w:rsid w:val="0EEA7DD0"/>
    <w:rsid w:val="0EF40828"/>
    <w:rsid w:val="0EFA4B68"/>
    <w:rsid w:val="0F0B51A1"/>
    <w:rsid w:val="0F135152"/>
    <w:rsid w:val="0F1A1821"/>
    <w:rsid w:val="0F205179"/>
    <w:rsid w:val="0F2F4DC0"/>
    <w:rsid w:val="0F3B6457"/>
    <w:rsid w:val="0F3F1AA3"/>
    <w:rsid w:val="0F4D75A3"/>
    <w:rsid w:val="0F4E7F38"/>
    <w:rsid w:val="0F560ED9"/>
    <w:rsid w:val="0F6401FA"/>
    <w:rsid w:val="0F692FC4"/>
    <w:rsid w:val="0F7F44C0"/>
    <w:rsid w:val="0F825E34"/>
    <w:rsid w:val="0F947632"/>
    <w:rsid w:val="0FA47B58"/>
    <w:rsid w:val="0FA60D25"/>
    <w:rsid w:val="0FAE52BC"/>
    <w:rsid w:val="0FB344FC"/>
    <w:rsid w:val="0FB444F6"/>
    <w:rsid w:val="0FBD4427"/>
    <w:rsid w:val="0FC401FA"/>
    <w:rsid w:val="0FD0094D"/>
    <w:rsid w:val="0FDE750E"/>
    <w:rsid w:val="0FEC5B1E"/>
    <w:rsid w:val="0FF91A67"/>
    <w:rsid w:val="0FFE195E"/>
    <w:rsid w:val="1008126D"/>
    <w:rsid w:val="100B2C7F"/>
    <w:rsid w:val="10260EB5"/>
    <w:rsid w:val="102B2522"/>
    <w:rsid w:val="102D2BCB"/>
    <w:rsid w:val="103E09D6"/>
    <w:rsid w:val="103F286F"/>
    <w:rsid w:val="1053332C"/>
    <w:rsid w:val="10857989"/>
    <w:rsid w:val="1088747A"/>
    <w:rsid w:val="10894F20"/>
    <w:rsid w:val="108F6A5A"/>
    <w:rsid w:val="10A122E9"/>
    <w:rsid w:val="10AA1620"/>
    <w:rsid w:val="10AC760C"/>
    <w:rsid w:val="10C3255D"/>
    <w:rsid w:val="10CD30DE"/>
    <w:rsid w:val="10D26947"/>
    <w:rsid w:val="10DA08EB"/>
    <w:rsid w:val="110B543B"/>
    <w:rsid w:val="110C1E59"/>
    <w:rsid w:val="11112864"/>
    <w:rsid w:val="111E5F47"/>
    <w:rsid w:val="112402E6"/>
    <w:rsid w:val="11292063"/>
    <w:rsid w:val="113D64B6"/>
    <w:rsid w:val="113D6A6C"/>
    <w:rsid w:val="114F21D0"/>
    <w:rsid w:val="116263B8"/>
    <w:rsid w:val="11963E18"/>
    <w:rsid w:val="11A227BD"/>
    <w:rsid w:val="11A71B81"/>
    <w:rsid w:val="11B36778"/>
    <w:rsid w:val="11B5604C"/>
    <w:rsid w:val="11BD56A9"/>
    <w:rsid w:val="11C664AC"/>
    <w:rsid w:val="11CD4A0F"/>
    <w:rsid w:val="11D87F8D"/>
    <w:rsid w:val="11FE21B2"/>
    <w:rsid w:val="122640A4"/>
    <w:rsid w:val="122D5B11"/>
    <w:rsid w:val="12337A46"/>
    <w:rsid w:val="12370AE5"/>
    <w:rsid w:val="12425176"/>
    <w:rsid w:val="125A5D47"/>
    <w:rsid w:val="12635BF0"/>
    <w:rsid w:val="126A06A7"/>
    <w:rsid w:val="126A4E8C"/>
    <w:rsid w:val="126E3B9D"/>
    <w:rsid w:val="127C55CD"/>
    <w:rsid w:val="127C6B6A"/>
    <w:rsid w:val="128A74D9"/>
    <w:rsid w:val="128F2D41"/>
    <w:rsid w:val="12A32349"/>
    <w:rsid w:val="12AA1929"/>
    <w:rsid w:val="12B72298"/>
    <w:rsid w:val="12BB58E4"/>
    <w:rsid w:val="12CA5B28"/>
    <w:rsid w:val="12CD386A"/>
    <w:rsid w:val="12D90460"/>
    <w:rsid w:val="12EA58F4"/>
    <w:rsid w:val="12ED5F30"/>
    <w:rsid w:val="12ED7A68"/>
    <w:rsid w:val="12F777AE"/>
    <w:rsid w:val="12F9640D"/>
    <w:rsid w:val="13077D7E"/>
    <w:rsid w:val="131B6383"/>
    <w:rsid w:val="13272F7A"/>
    <w:rsid w:val="134C478E"/>
    <w:rsid w:val="13545D39"/>
    <w:rsid w:val="13631AD8"/>
    <w:rsid w:val="13642735"/>
    <w:rsid w:val="1374247B"/>
    <w:rsid w:val="137F1841"/>
    <w:rsid w:val="138008DC"/>
    <w:rsid w:val="138A175B"/>
    <w:rsid w:val="138E124B"/>
    <w:rsid w:val="13972CA8"/>
    <w:rsid w:val="13A04ADA"/>
    <w:rsid w:val="13AB3BAB"/>
    <w:rsid w:val="13AC16D1"/>
    <w:rsid w:val="140E5EE8"/>
    <w:rsid w:val="1415600D"/>
    <w:rsid w:val="14184B2A"/>
    <w:rsid w:val="142B6A9A"/>
    <w:rsid w:val="143001DE"/>
    <w:rsid w:val="143C0CA7"/>
    <w:rsid w:val="143D5AD8"/>
    <w:rsid w:val="143E5C51"/>
    <w:rsid w:val="14667A34"/>
    <w:rsid w:val="146B158C"/>
    <w:rsid w:val="146B50E8"/>
    <w:rsid w:val="146E6986"/>
    <w:rsid w:val="147848D7"/>
    <w:rsid w:val="147E16A4"/>
    <w:rsid w:val="14991DAB"/>
    <w:rsid w:val="14A30D26"/>
    <w:rsid w:val="14AA1ABA"/>
    <w:rsid w:val="14B35F82"/>
    <w:rsid w:val="14B74989"/>
    <w:rsid w:val="14CB202B"/>
    <w:rsid w:val="14D03DE9"/>
    <w:rsid w:val="14E46EF8"/>
    <w:rsid w:val="14EA0E4C"/>
    <w:rsid w:val="15086DDB"/>
    <w:rsid w:val="150A4901"/>
    <w:rsid w:val="15121A08"/>
    <w:rsid w:val="151E03AD"/>
    <w:rsid w:val="152C0D1B"/>
    <w:rsid w:val="1542519E"/>
    <w:rsid w:val="154A22E5"/>
    <w:rsid w:val="15552CF0"/>
    <w:rsid w:val="15714862"/>
    <w:rsid w:val="15785D0F"/>
    <w:rsid w:val="157955E3"/>
    <w:rsid w:val="158245D7"/>
    <w:rsid w:val="1585042C"/>
    <w:rsid w:val="15882E62"/>
    <w:rsid w:val="158C3568"/>
    <w:rsid w:val="15C22365"/>
    <w:rsid w:val="15E72E94"/>
    <w:rsid w:val="163360DA"/>
    <w:rsid w:val="16414353"/>
    <w:rsid w:val="164755A2"/>
    <w:rsid w:val="164B344A"/>
    <w:rsid w:val="16500A3A"/>
    <w:rsid w:val="1668431B"/>
    <w:rsid w:val="1697487D"/>
    <w:rsid w:val="16A9678F"/>
    <w:rsid w:val="16BB7BCC"/>
    <w:rsid w:val="16E01DBD"/>
    <w:rsid w:val="16E6314C"/>
    <w:rsid w:val="16E66D61"/>
    <w:rsid w:val="16EB42BE"/>
    <w:rsid w:val="16F13FCB"/>
    <w:rsid w:val="16F94C2D"/>
    <w:rsid w:val="170759DD"/>
    <w:rsid w:val="170F5B9F"/>
    <w:rsid w:val="17311BD5"/>
    <w:rsid w:val="173159F1"/>
    <w:rsid w:val="173D7210"/>
    <w:rsid w:val="174D6D27"/>
    <w:rsid w:val="174E2466"/>
    <w:rsid w:val="174E3C1C"/>
    <w:rsid w:val="17682C55"/>
    <w:rsid w:val="177F74FC"/>
    <w:rsid w:val="17852965"/>
    <w:rsid w:val="1790223E"/>
    <w:rsid w:val="179D1CCA"/>
    <w:rsid w:val="17A76437"/>
    <w:rsid w:val="17AF1881"/>
    <w:rsid w:val="17B33A29"/>
    <w:rsid w:val="17B5412B"/>
    <w:rsid w:val="17B60D70"/>
    <w:rsid w:val="17E21B65"/>
    <w:rsid w:val="18065628"/>
    <w:rsid w:val="18075128"/>
    <w:rsid w:val="18133ACD"/>
    <w:rsid w:val="1819698A"/>
    <w:rsid w:val="182902E6"/>
    <w:rsid w:val="18506ACF"/>
    <w:rsid w:val="185145F5"/>
    <w:rsid w:val="18573883"/>
    <w:rsid w:val="1867206B"/>
    <w:rsid w:val="188F44B4"/>
    <w:rsid w:val="18920E1C"/>
    <w:rsid w:val="18A01545"/>
    <w:rsid w:val="18B03A11"/>
    <w:rsid w:val="18BA663E"/>
    <w:rsid w:val="18BF258B"/>
    <w:rsid w:val="18C4126B"/>
    <w:rsid w:val="18D019BE"/>
    <w:rsid w:val="18DE057F"/>
    <w:rsid w:val="18DE72C6"/>
    <w:rsid w:val="18E1369B"/>
    <w:rsid w:val="18E2347F"/>
    <w:rsid w:val="18E611E1"/>
    <w:rsid w:val="18F03E0E"/>
    <w:rsid w:val="190E0AC6"/>
    <w:rsid w:val="1942407F"/>
    <w:rsid w:val="194914B7"/>
    <w:rsid w:val="195501B3"/>
    <w:rsid w:val="195B1BCF"/>
    <w:rsid w:val="19614D0C"/>
    <w:rsid w:val="196769A5"/>
    <w:rsid w:val="196A3824"/>
    <w:rsid w:val="19732E7D"/>
    <w:rsid w:val="19813EB5"/>
    <w:rsid w:val="198527A8"/>
    <w:rsid w:val="19962DBC"/>
    <w:rsid w:val="19AA3FA8"/>
    <w:rsid w:val="19C12E1A"/>
    <w:rsid w:val="19C332D1"/>
    <w:rsid w:val="19CF1B3F"/>
    <w:rsid w:val="19DD6644"/>
    <w:rsid w:val="19EC6CCB"/>
    <w:rsid w:val="1A045DC3"/>
    <w:rsid w:val="1A166FB2"/>
    <w:rsid w:val="1A2024D1"/>
    <w:rsid w:val="1A25399D"/>
    <w:rsid w:val="1A2A15A2"/>
    <w:rsid w:val="1A473F02"/>
    <w:rsid w:val="1A4E703E"/>
    <w:rsid w:val="1A613D17"/>
    <w:rsid w:val="1A622AE9"/>
    <w:rsid w:val="1A6E0D68"/>
    <w:rsid w:val="1A8011C2"/>
    <w:rsid w:val="1A8E7D82"/>
    <w:rsid w:val="1A902426"/>
    <w:rsid w:val="1A911621"/>
    <w:rsid w:val="1AC36030"/>
    <w:rsid w:val="1AC64AAC"/>
    <w:rsid w:val="1ACB4B33"/>
    <w:rsid w:val="1ACE10B5"/>
    <w:rsid w:val="1AD70B7A"/>
    <w:rsid w:val="1AE61AF1"/>
    <w:rsid w:val="1AE67CD7"/>
    <w:rsid w:val="1AE90046"/>
    <w:rsid w:val="1AF01F3B"/>
    <w:rsid w:val="1AF46921"/>
    <w:rsid w:val="1AFC1190"/>
    <w:rsid w:val="1AFC6D92"/>
    <w:rsid w:val="1AFF10CF"/>
    <w:rsid w:val="1B154000"/>
    <w:rsid w:val="1B2304CB"/>
    <w:rsid w:val="1B3C158C"/>
    <w:rsid w:val="1B3C1FFE"/>
    <w:rsid w:val="1B4F0630"/>
    <w:rsid w:val="1B5E426A"/>
    <w:rsid w:val="1B6536E1"/>
    <w:rsid w:val="1B662AAD"/>
    <w:rsid w:val="1B6B0FE4"/>
    <w:rsid w:val="1B7D7315"/>
    <w:rsid w:val="1B8A22F8"/>
    <w:rsid w:val="1B8F790E"/>
    <w:rsid w:val="1B9D49AC"/>
    <w:rsid w:val="1BA02E57"/>
    <w:rsid w:val="1BA17641"/>
    <w:rsid w:val="1BA214CE"/>
    <w:rsid w:val="1BA35EA2"/>
    <w:rsid w:val="1BAA299A"/>
    <w:rsid w:val="1BAD2F4F"/>
    <w:rsid w:val="1BC05D1A"/>
    <w:rsid w:val="1BFC2ACA"/>
    <w:rsid w:val="1C0102E9"/>
    <w:rsid w:val="1C025FE1"/>
    <w:rsid w:val="1C075EFD"/>
    <w:rsid w:val="1C093B64"/>
    <w:rsid w:val="1C0C5403"/>
    <w:rsid w:val="1C0F7029"/>
    <w:rsid w:val="1C294ACB"/>
    <w:rsid w:val="1C3E5C9A"/>
    <w:rsid w:val="1C406787"/>
    <w:rsid w:val="1C4F6411"/>
    <w:rsid w:val="1C6946B9"/>
    <w:rsid w:val="1C8E14CC"/>
    <w:rsid w:val="1C971E02"/>
    <w:rsid w:val="1CB97548"/>
    <w:rsid w:val="1CC57360"/>
    <w:rsid w:val="1CD31A7D"/>
    <w:rsid w:val="1CD35F20"/>
    <w:rsid w:val="1CD64A86"/>
    <w:rsid w:val="1CE831E9"/>
    <w:rsid w:val="1CEC2380"/>
    <w:rsid w:val="1CF462A1"/>
    <w:rsid w:val="1CF536DC"/>
    <w:rsid w:val="1D035DDA"/>
    <w:rsid w:val="1D077CDA"/>
    <w:rsid w:val="1D084B83"/>
    <w:rsid w:val="1D133CC8"/>
    <w:rsid w:val="1D1A6FF8"/>
    <w:rsid w:val="1D1E1B46"/>
    <w:rsid w:val="1D2B3667"/>
    <w:rsid w:val="1D3249F5"/>
    <w:rsid w:val="1D370F3D"/>
    <w:rsid w:val="1D3744D3"/>
    <w:rsid w:val="1D5801D4"/>
    <w:rsid w:val="1D772D50"/>
    <w:rsid w:val="1D7F1C04"/>
    <w:rsid w:val="1D81597C"/>
    <w:rsid w:val="1D840FC9"/>
    <w:rsid w:val="1DC51D0D"/>
    <w:rsid w:val="1DCB4E4A"/>
    <w:rsid w:val="1DD14043"/>
    <w:rsid w:val="1DE502B6"/>
    <w:rsid w:val="1DE657E0"/>
    <w:rsid w:val="1DE74E96"/>
    <w:rsid w:val="1E05210A"/>
    <w:rsid w:val="1E0F11DA"/>
    <w:rsid w:val="1E122A78"/>
    <w:rsid w:val="1E1265D5"/>
    <w:rsid w:val="1E195BB5"/>
    <w:rsid w:val="1E25455A"/>
    <w:rsid w:val="1E2D4D8F"/>
    <w:rsid w:val="1E390005"/>
    <w:rsid w:val="1E3D5D61"/>
    <w:rsid w:val="1E440EB9"/>
    <w:rsid w:val="1E445F8C"/>
    <w:rsid w:val="1E4F5A7B"/>
    <w:rsid w:val="1E5076AE"/>
    <w:rsid w:val="1E51534F"/>
    <w:rsid w:val="1E650DFA"/>
    <w:rsid w:val="1E681E89"/>
    <w:rsid w:val="1E6B2AC5"/>
    <w:rsid w:val="1E854FF8"/>
    <w:rsid w:val="1E8E773B"/>
    <w:rsid w:val="1E965458"/>
    <w:rsid w:val="1E9A4F48"/>
    <w:rsid w:val="1EA645AD"/>
    <w:rsid w:val="1EB62B0B"/>
    <w:rsid w:val="1EBA4383"/>
    <w:rsid w:val="1EC2624D"/>
    <w:rsid w:val="1EC41FC5"/>
    <w:rsid w:val="1EC57543"/>
    <w:rsid w:val="1ECA5653"/>
    <w:rsid w:val="1ED03ED3"/>
    <w:rsid w:val="1ED70B6A"/>
    <w:rsid w:val="1EFD54D7"/>
    <w:rsid w:val="1F3507CD"/>
    <w:rsid w:val="1F3D1A49"/>
    <w:rsid w:val="1F473ED1"/>
    <w:rsid w:val="1F632DD7"/>
    <w:rsid w:val="1F6915AC"/>
    <w:rsid w:val="1F6B41EE"/>
    <w:rsid w:val="1F802196"/>
    <w:rsid w:val="1F881F27"/>
    <w:rsid w:val="1F9D25A9"/>
    <w:rsid w:val="1F9F20EA"/>
    <w:rsid w:val="1FA02D67"/>
    <w:rsid w:val="1FB042F7"/>
    <w:rsid w:val="1FB2109B"/>
    <w:rsid w:val="1FC11EA9"/>
    <w:rsid w:val="1FDE5CEA"/>
    <w:rsid w:val="1FE23506"/>
    <w:rsid w:val="1FE65F6B"/>
    <w:rsid w:val="1FF71F26"/>
    <w:rsid w:val="1FF95DD4"/>
    <w:rsid w:val="1FFB1882"/>
    <w:rsid w:val="2000702C"/>
    <w:rsid w:val="20156089"/>
    <w:rsid w:val="201900EE"/>
    <w:rsid w:val="20256A93"/>
    <w:rsid w:val="20256AFF"/>
    <w:rsid w:val="20325F7E"/>
    <w:rsid w:val="204233B6"/>
    <w:rsid w:val="205B0707"/>
    <w:rsid w:val="205E1FA5"/>
    <w:rsid w:val="206B2267"/>
    <w:rsid w:val="206C021E"/>
    <w:rsid w:val="207D6DA5"/>
    <w:rsid w:val="208A213E"/>
    <w:rsid w:val="208B38E1"/>
    <w:rsid w:val="209D0D1F"/>
    <w:rsid w:val="20AD7F17"/>
    <w:rsid w:val="20B63B8F"/>
    <w:rsid w:val="20D34741"/>
    <w:rsid w:val="20D8337C"/>
    <w:rsid w:val="20F621DE"/>
    <w:rsid w:val="21020AAE"/>
    <w:rsid w:val="21026DD4"/>
    <w:rsid w:val="21073D95"/>
    <w:rsid w:val="211A53BC"/>
    <w:rsid w:val="211B015A"/>
    <w:rsid w:val="212154AC"/>
    <w:rsid w:val="21373D64"/>
    <w:rsid w:val="213B0D78"/>
    <w:rsid w:val="214735EB"/>
    <w:rsid w:val="216253B1"/>
    <w:rsid w:val="216E446A"/>
    <w:rsid w:val="21764EE8"/>
    <w:rsid w:val="21787EF4"/>
    <w:rsid w:val="217B5F81"/>
    <w:rsid w:val="218A3047"/>
    <w:rsid w:val="21A25EC1"/>
    <w:rsid w:val="21BC2A39"/>
    <w:rsid w:val="21BE0F4D"/>
    <w:rsid w:val="21E60859"/>
    <w:rsid w:val="21E87CBD"/>
    <w:rsid w:val="21EB65E0"/>
    <w:rsid w:val="223C00C4"/>
    <w:rsid w:val="225E3C41"/>
    <w:rsid w:val="22637002"/>
    <w:rsid w:val="226579B0"/>
    <w:rsid w:val="226E2973"/>
    <w:rsid w:val="22765384"/>
    <w:rsid w:val="2292311D"/>
    <w:rsid w:val="22A64820"/>
    <w:rsid w:val="22A92B11"/>
    <w:rsid w:val="22AA7723"/>
    <w:rsid w:val="22DD18A7"/>
    <w:rsid w:val="22DE333F"/>
    <w:rsid w:val="22E450FE"/>
    <w:rsid w:val="22E47EC9"/>
    <w:rsid w:val="22EC5646"/>
    <w:rsid w:val="22FB7F7F"/>
    <w:rsid w:val="23147F1E"/>
    <w:rsid w:val="23207FBB"/>
    <w:rsid w:val="23237E31"/>
    <w:rsid w:val="232C470B"/>
    <w:rsid w:val="2340309A"/>
    <w:rsid w:val="234C07DB"/>
    <w:rsid w:val="2369313B"/>
    <w:rsid w:val="236938D6"/>
    <w:rsid w:val="23AE6D9F"/>
    <w:rsid w:val="23DC390D"/>
    <w:rsid w:val="2402576D"/>
    <w:rsid w:val="240864B0"/>
    <w:rsid w:val="240A5875"/>
    <w:rsid w:val="241F4627"/>
    <w:rsid w:val="242475A0"/>
    <w:rsid w:val="242B24C4"/>
    <w:rsid w:val="243472A5"/>
    <w:rsid w:val="24482545"/>
    <w:rsid w:val="24636858"/>
    <w:rsid w:val="247C2A62"/>
    <w:rsid w:val="247D0116"/>
    <w:rsid w:val="24831FDA"/>
    <w:rsid w:val="24847FFD"/>
    <w:rsid w:val="24855D52"/>
    <w:rsid w:val="24920859"/>
    <w:rsid w:val="249401A8"/>
    <w:rsid w:val="24975A86"/>
    <w:rsid w:val="24CC3981"/>
    <w:rsid w:val="24EF5F09"/>
    <w:rsid w:val="24FB7DC2"/>
    <w:rsid w:val="250826D0"/>
    <w:rsid w:val="25092E5E"/>
    <w:rsid w:val="250D7AF6"/>
    <w:rsid w:val="2512765D"/>
    <w:rsid w:val="25431B86"/>
    <w:rsid w:val="25471C1B"/>
    <w:rsid w:val="25477BE6"/>
    <w:rsid w:val="254A0D4A"/>
    <w:rsid w:val="255319AC"/>
    <w:rsid w:val="25565941"/>
    <w:rsid w:val="2557403D"/>
    <w:rsid w:val="256A4F48"/>
    <w:rsid w:val="256C2A6E"/>
    <w:rsid w:val="25716F0D"/>
    <w:rsid w:val="25777D5C"/>
    <w:rsid w:val="258E50DA"/>
    <w:rsid w:val="259A3A7F"/>
    <w:rsid w:val="25AB23F1"/>
    <w:rsid w:val="25D257EB"/>
    <w:rsid w:val="25EB1622"/>
    <w:rsid w:val="25EF207E"/>
    <w:rsid w:val="260B14E8"/>
    <w:rsid w:val="262B67C0"/>
    <w:rsid w:val="262E41DD"/>
    <w:rsid w:val="263062EB"/>
    <w:rsid w:val="26327394"/>
    <w:rsid w:val="2633147D"/>
    <w:rsid w:val="26376EA2"/>
    <w:rsid w:val="265450DB"/>
    <w:rsid w:val="26555BFF"/>
    <w:rsid w:val="266578C6"/>
    <w:rsid w:val="26A77C5D"/>
    <w:rsid w:val="26B92B8B"/>
    <w:rsid w:val="26BE379D"/>
    <w:rsid w:val="26D11723"/>
    <w:rsid w:val="26D703BB"/>
    <w:rsid w:val="26D741E1"/>
    <w:rsid w:val="26E8081A"/>
    <w:rsid w:val="26F10478"/>
    <w:rsid w:val="26FB2E83"/>
    <w:rsid w:val="26FE3B7A"/>
    <w:rsid w:val="27076DAC"/>
    <w:rsid w:val="27083DF0"/>
    <w:rsid w:val="27190A70"/>
    <w:rsid w:val="27194E78"/>
    <w:rsid w:val="271A040B"/>
    <w:rsid w:val="27321183"/>
    <w:rsid w:val="274A6DDF"/>
    <w:rsid w:val="27557845"/>
    <w:rsid w:val="277160A9"/>
    <w:rsid w:val="278A3680"/>
    <w:rsid w:val="27932003"/>
    <w:rsid w:val="27C624E9"/>
    <w:rsid w:val="27C748D4"/>
    <w:rsid w:val="27CB29AE"/>
    <w:rsid w:val="27D03E6B"/>
    <w:rsid w:val="27D82163"/>
    <w:rsid w:val="27DF3C4E"/>
    <w:rsid w:val="27F31F4E"/>
    <w:rsid w:val="28107F17"/>
    <w:rsid w:val="281318C7"/>
    <w:rsid w:val="281A0EA7"/>
    <w:rsid w:val="28243AD4"/>
    <w:rsid w:val="28305FD5"/>
    <w:rsid w:val="28397580"/>
    <w:rsid w:val="28506677"/>
    <w:rsid w:val="285846C4"/>
    <w:rsid w:val="285B45BC"/>
    <w:rsid w:val="28661CA0"/>
    <w:rsid w:val="286A598B"/>
    <w:rsid w:val="288307FB"/>
    <w:rsid w:val="288D1679"/>
    <w:rsid w:val="28920A3E"/>
    <w:rsid w:val="2895052E"/>
    <w:rsid w:val="28B36FA6"/>
    <w:rsid w:val="28C0307E"/>
    <w:rsid w:val="28C85EFE"/>
    <w:rsid w:val="28CA642A"/>
    <w:rsid w:val="28CC03F4"/>
    <w:rsid w:val="28CD0E97"/>
    <w:rsid w:val="28DB49EF"/>
    <w:rsid w:val="28F65471"/>
    <w:rsid w:val="28F74D45"/>
    <w:rsid w:val="28F90ABD"/>
    <w:rsid w:val="28F96D0F"/>
    <w:rsid w:val="29003BF9"/>
    <w:rsid w:val="29254E47"/>
    <w:rsid w:val="29602BB5"/>
    <w:rsid w:val="2967011C"/>
    <w:rsid w:val="296B3E9B"/>
    <w:rsid w:val="29862CCB"/>
    <w:rsid w:val="298F31CF"/>
    <w:rsid w:val="299C304B"/>
    <w:rsid w:val="29B36EBE"/>
    <w:rsid w:val="29F562A9"/>
    <w:rsid w:val="29F64FFC"/>
    <w:rsid w:val="29FB557C"/>
    <w:rsid w:val="2A205AC8"/>
    <w:rsid w:val="2A4B1135"/>
    <w:rsid w:val="2A4E4E38"/>
    <w:rsid w:val="2A776100"/>
    <w:rsid w:val="2AA42CAA"/>
    <w:rsid w:val="2AA84549"/>
    <w:rsid w:val="2AC15F66"/>
    <w:rsid w:val="2ACD3FAF"/>
    <w:rsid w:val="2AD24599"/>
    <w:rsid w:val="2ADE2D88"/>
    <w:rsid w:val="2AE874C5"/>
    <w:rsid w:val="2AF26F65"/>
    <w:rsid w:val="2B110340"/>
    <w:rsid w:val="2B2021EC"/>
    <w:rsid w:val="2B2636BF"/>
    <w:rsid w:val="2B28338B"/>
    <w:rsid w:val="2B3A2F36"/>
    <w:rsid w:val="2B4C5DFD"/>
    <w:rsid w:val="2B591CE7"/>
    <w:rsid w:val="2B5D17D7"/>
    <w:rsid w:val="2B7E174D"/>
    <w:rsid w:val="2B801021"/>
    <w:rsid w:val="2B934EDB"/>
    <w:rsid w:val="2B94088C"/>
    <w:rsid w:val="2B966A97"/>
    <w:rsid w:val="2B9776C5"/>
    <w:rsid w:val="2BAD0DF3"/>
    <w:rsid w:val="2BB271E6"/>
    <w:rsid w:val="2BBB02AC"/>
    <w:rsid w:val="2BCC070B"/>
    <w:rsid w:val="2BCE488A"/>
    <w:rsid w:val="2BEA0B91"/>
    <w:rsid w:val="2C017B9E"/>
    <w:rsid w:val="2C077C6A"/>
    <w:rsid w:val="2C1300E8"/>
    <w:rsid w:val="2C2E7989"/>
    <w:rsid w:val="2C2F5DB9"/>
    <w:rsid w:val="2C407400"/>
    <w:rsid w:val="2C4B7881"/>
    <w:rsid w:val="2C5E419E"/>
    <w:rsid w:val="2C5F2809"/>
    <w:rsid w:val="2C6646BB"/>
    <w:rsid w:val="2C83526D"/>
    <w:rsid w:val="2C862667"/>
    <w:rsid w:val="2C8B760D"/>
    <w:rsid w:val="2C8D1C48"/>
    <w:rsid w:val="2C923702"/>
    <w:rsid w:val="2C98683F"/>
    <w:rsid w:val="2CA23219"/>
    <w:rsid w:val="2CCC7F63"/>
    <w:rsid w:val="2CD24E07"/>
    <w:rsid w:val="2CF93C6C"/>
    <w:rsid w:val="2CFC74BB"/>
    <w:rsid w:val="2CFE2B46"/>
    <w:rsid w:val="2D01296F"/>
    <w:rsid w:val="2D0363AE"/>
    <w:rsid w:val="2D045102"/>
    <w:rsid w:val="2D0A4754"/>
    <w:rsid w:val="2D191146"/>
    <w:rsid w:val="2D2D2ACF"/>
    <w:rsid w:val="2D314CC9"/>
    <w:rsid w:val="2D3622E0"/>
    <w:rsid w:val="2D4C117B"/>
    <w:rsid w:val="2D4D4851"/>
    <w:rsid w:val="2D506BF3"/>
    <w:rsid w:val="2D5538AF"/>
    <w:rsid w:val="2D5C786C"/>
    <w:rsid w:val="2D621C05"/>
    <w:rsid w:val="2D6675F5"/>
    <w:rsid w:val="2D834DF9"/>
    <w:rsid w:val="2D864A27"/>
    <w:rsid w:val="2D88240F"/>
    <w:rsid w:val="2D903FCE"/>
    <w:rsid w:val="2D947006"/>
    <w:rsid w:val="2D974544"/>
    <w:rsid w:val="2DAF28E5"/>
    <w:rsid w:val="2DC13A6D"/>
    <w:rsid w:val="2DC518B5"/>
    <w:rsid w:val="2DC92C05"/>
    <w:rsid w:val="2DCC108B"/>
    <w:rsid w:val="2DE24215"/>
    <w:rsid w:val="2DE737A5"/>
    <w:rsid w:val="2DEB68B1"/>
    <w:rsid w:val="2E1E2153"/>
    <w:rsid w:val="2E220AB6"/>
    <w:rsid w:val="2E220D32"/>
    <w:rsid w:val="2E277E7A"/>
    <w:rsid w:val="2E2A6AE8"/>
    <w:rsid w:val="2E2E3A7B"/>
    <w:rsid w:val="2E3C2DB1"/>
    <w:rsid w:val="2E4F0F7F"/>
    <w:rsid w:val="2E5776C7"/>
    <w:rsid w:val="2E5944AB"/>
    <w:rsid w:val="2E5F5866"/>
    <w:rsid w:val="2E5F7614"/>
    <w:rsid w:val="2E623B55"/>
    <w:rsid w:val="2E637093"/>
    <w:rsid w:val="2E797CD3"/>
    <w:rsid w:val="2E851326"/>
    <w:rsid w:val="2E853A20"/>
    <w:rsid w:val="2E8928E3"/>
    <w:rsid w:val="2E935510"/>
    <w:rsid w:val="2EA119DB"/>
    <w:rsid w:val="2EA27501"/>
    <w:rsid w:val="2EAB0AAB"/>
    <w:rsid w:val="2EAC37A0"/>
    <w:rsid w:val="2EB0510A"/>
    <w:rsid w:val="2EB060C2"/>
    <w:rsid w:val="2EC1207D"/>
    <w:rsid w:val="2EDD678B"/>
    <w:rsid w:val="2EE61AE3"/>
    <w:rsid w:val="2EFE6086"/>
    <w:rsid w:val="2EFF4953"/>
    <w:rsid w:val="2F0361F1"/>
    <w:rsid w:val="2F1523C9"/>
    <w:rsid w:val="2F2148C9"/>
    <w:rsid w:val="2F231590"/>
    <w:rsid w:val="2F2315EF"/>
    <w:rsid w:val="2F246EB1"/>
    <w:rsid w:val="2F2F5238"/>
    <w:rsid w:val="2F37233F"/>
    <w:rsid w:val="2F3A210B"/>
    <w:rsid w:val="2F3F11F4"/>
    <w:rsid w:val="2F4405B8"/>
    <w:rsid w:val="2F4B5060"/>
    <w:rsid w:val="2F4F1437"/>
    <w:rsid w:val="2F6336D3"/>
    <w:rsid w:val="2F6A44C2"/>
    <w:rsid w:val="2F6B1FE9"/>
    <w:rsid w:val="2F70066C"/>
    <w:rsid w:val="2F7377FA"/>
    <w:rsid w:val="2F7E6162"/>
    <w:rsid w:val="2F85468E"/>
    <w:rsid w:val="2F860BD0"/>
    <w:rsid w:val="2F90494F"/>
    <w:rsid w:val="2FA86D99"/>
    <w:rsid w:val="2FAD0853"/>
    <w:rsid w:val="2FB43990"/>
    <w:rsid w:val="2FC64701"/>
    <w:rsid w:val="2FCA6D0F"/>
    <w:rsid w:val="2FD63906"/>
    <w:rsid w:val="2FD91648"/>
    <w:rsid w:val="2FDF6EB3"/>
    <w:rsid w:val="2FF12D9C"/>
    <w:rsid w:val="300342AF"/>
    <w:rsid w:val="301F484D"/>
    <w:rsid w:val="30240B15"/>
    <w:rsid w:val="302567CF"/>
    <w:rsid w:val="30403475"/>
    <w:rsid w:val="30466889"/>
    <w:rsid w:val="304765B2"/>
    <w:rsid w:val="304C1E1A"/>
    <w:rsid w:val="30534F57"/>
    <w:rsid w:val="30822B64"/>
    <w:rsid w:val="3089231B"/>
    <w:rsid w:val="30915A7F"/>
    <w:rsid w:val="309C68FD"/>
    <w:rsid w:val="309E755A"/>
    <w:rsid w:val="30A9101A"/>
    <w:rsid w:val="30AB4F67"/>
    <w:rsid w:val="30CA30C1"/>
    <w:rsid w:val="30EA6E81"/>
    <w:rsid w:val="30F71D86"/>
    <w:rsid w:val="30FC048D"/>
    <w:rsid w:val="311B7C4E"/>
    <w:rsid w:val="312863E3"/>
    <w:rsid w:val="312B7098"/>
    <w:rsid w:val="312C3C9C"/>
    <w:rsid w:val="313B4368"/>
    <w:rsid w:val="31500379"/>
    <w:rsid w:val="315216B2"/>
    <w:rsid w:val="3163566D"/>
    <w:rsid w:val="316865F6"/>
    <w:rsid w:val="316B62D0"/>
    <w:rsid w:val="317F54BC"/>
    <w:rsid w:val="31880C30"/>
    <w:rsid w:val="3198380B"/>
    <w:rsid w:val="319E7375"/>
    <w:rsid w:val="31A812D2"/>
    <w:rsid w:val="31A963CB"/>
    <w:rsid w:val="31AC0DC2"/>
    <w:rsid w:val="31BA3134"/>
    <w:rsid w:val="31BF7469"/>
    <w:rsid w:val="31DE3900"/>
    <w:rsid w:val="31DE6AA2"/>
    <w:rsid w:val="32075FF9"/>
    <w:rsid w:val="32244DDB"/>
    <w:rsid w:val="32253A82"/>
    <w:rsid w:val="322D0D99"/>
    <w:rsid w:val="323112C7"/>
    <w:rsid w:val="323963CE"/>
    <w:rsid w:val="32786EF6"/>
    <w:rsid w:val="327B0795"/>
    <w:rsid w:val="327F64D7"/>
    <w:rsid w:val="32877139"/>
    <w:rsid w:val="329F26D5"/>
    <w:rsid w:val="32C91500"/>
    <w:rsid w:val="32DC1589"/>
    <w:rsid w:val="32F16AE1"/>
    <w:rsid w:val="32F4242E"/>
    <w:rsid w:val="331D1894"/>
    <w:rsid w:val="334C0F77"/>
    <w:rsid w:val="335C05C6"/>
    <w:rsid w:val="33753436"/>
    <w:rsid w:val="337946EF"/>
    <w:rsid w:val="337A1FBE"/>
    <w:rsid w:val="3384789B"/>
    <w:rsid w:val="338B4A07"/>
    <w:rsid w:val="33947D60"/>
    <w:rsid w:val="339C6C14"/>
    <w:rsid w:val="33A527F3"/>
    <w:rsid w:val="33B65C2E"/>
    <w:rsid w:val="33BB21F4"/>
    <w:rsid w:val="33CF2B46"/>
    <w:rsid w:val="33DD4601"/>
    <w:rsid w:val="33DE6EEC"/>
    <w:rsid w:val="33F33F92"/>
    <w:rsid w:val="33F97BC3"/>
    <w:rsid w:val="340A6D73"/>
    <w:rsid w:val="340F388A"/>
    <w:rsid w:val="34180991"/>
    <w:rsid w:val="342D24EF"/>
    <w:rsid w:val="34467D95"/>
    <w:rsid w:val="344E2B43"/>
    <w:rsid w:val="346F650A"/>
    <w:rsid w:val="348831EB"/>
    <w:rsid w:val="34B25826"/>
    <w:rsid w:val="34C208FD"/>
    <w:rsid w:val="34C71A6F"/>
    <w:rsid w:val="34D05F9C"/>
    <w:rsid w:val="34DA5971"/>
    <w:rsid w:val="34DF14AF"/>
    <w:rsid w:val="34FA1E45"/>
    <w:rsid w:val="35040F15"/>
    <w:rsid w:val="35044A71"/>
    <w:rsid w:val="351729F7"/>
    <w:rsid w:val="351858EE"/>
    <w:rsid w:val="353C4DCD"/>
    <w:rsid w:val="35633E8E"/>
    <w:rsid w:val="35682F5B"/>
    <w:rsid w:val="357A7D25"/>
    <w:rsid w:val="35B74AD7"/>
    <w:rsid w:val="35BD28FF"/>
    <w:rsid w:val="35C015BF"/>
    <w:rsid w:val="35C90E59"/>
    <w:rsid w:val="35D24B6F"/>
    <w:rsid w:val="35FA7C22"/>
    <w:rsid w:val="360A2ABE"/>
    <w:rsid w:val="36145188"/>
    <w:rsid w:val="362178A5"/>
    <w:rsid w:val="36387FA3"/>
    <w:rsid w:val="3652180C"/>
    <w:rsid w:val="36547242"/>
    <w:rsid w:val="366B2178"/>
    <w:rsid w:val="367D6D0B"/>
    <w:rsid w:val="368F480F"/>
    <w:rsid w:val="369D435B"/>
    <w:rsid w:val="36A52284"/>
    <w:rsid w:val="36AC53C0"/>
    <w:rsid w:val="36AF1700"/>
    <w:rsid w:val="36B27C44"/>
    <w:rsid w:val="36C24BE4"/>
    <w:rsid w:val="36C30281"/>
    <w:rsid w:val="36D510B4"/>
    <w:rsid w:val="36D766E6"/>
    <w:rsid w:val="36DB5CA6"/>
    <w:rsid w:val="36DD7799"/>
    <w:rsid w:val="36E42DAC"/>
    <w:rsid w:val="36F31241"/>
    <w:rsid w:val="3700606C"/>
    <w:rsid w:val="37076A9B"/>
    <w:rsid w:val="370F76FD"/>
    <w:rsid w:val="371A1117"/>
    <w:rsid w:val="37225683"/>
    <w:rsid w:val="372B09DB"/>
    <w:rsid w:val="3731559A"/>
    <w:rsid w:val="374B4BD9"/>
    <w:rsid w:val="374E6478"/>
    <w:rsid w:val="377657B0"/>
    <w:rsid w:val="37777A09"/>
    <w:rsid w:val="37951ED6"/>
    <w:rsid w:val="37983B97"/>
    <w:rsid w:val="37B00EE0"/>
    <w:rsid w:val="37EB01D8"/>
    <w:rsid w:val="37EB2F17"/>
    <w:rsid w:val="37F9134B"/>
    <w:rsid w:val="3801798E"/>
    <w:rsid w:val="3818066F"/>
    <w:rsid w:val="381C20D2"/>
    <w:rsid w:val="38325C12"/>
    <w:rsid w:val="38366B33"/>
    <w:rsid w:val="384358B1"/>
    <w:rsid w:val="385400A6"/>
    <w:rsid w:val="38635F53"/>
    <w:rsid w:val="3867684A"/>
    <w:rsid w:val="386F7324"/>
    <w:rsid w:val="38700E7B"/>
    <w:rsid w:val="38AF2F46"/>
    <w:rsid w:val="38B92017"/>
    <w:rsid w:val="38BA6A68"/>
    <w:rsid w:val="38C91F95"/>
    <w:rsid w:val="38CE5AC2"/>
    <w:rsid w:val="38D00EDD"/>
    <w:rsid w:val="38D0375F"/>
    <w:rsid w:val="38DC3EDC"/>
    <w:rsid w:val="38E00D59"/>
    <w:rsid w:val="38EC5F48"/>
    <w:rsid w:val="38F8669B"/>
    <w:rsid w:val="39242017"/>
    <w:rsid w:val="39245417"/>
    <w:rsid w:val="39390772"/>
    <w:rsid w:val="394945C9"/>
    <w:rsid w:val="394B5183"/>
    <w:rsid w:val="396629C7"/>
    <w:rsid w:val="39790F1F"/>
    <w:rsid w:val="397C693A"/>
    <w:rsid w:val="398E6FFF"/>
    <w:rsid w:val="39960BFB"/>
    <w:rsid w:val="39A22AAB"/>
    <w:rsid w:val="39A40CE2"/>
    <w:rsid w:val="39E3734B"/>
    <w:rsid w:val="39ED01CA"/>
    <w:rsid w:val="39F06DAC"/>
    <w:rsid w:val="39F41558"/>
    <w:rsid w:val="3A0B50E0"/>
    <w:rsid w:val="3A0D2D29"/>
    <w:rsid w:val="3A175247"/>
    <w:rsid w:val="3A200C16"/>
    <w:rsid w:val="3A3A2CE3"/>
    <w:rsid w:val="3A3F654C"/>
    <w:rsid w:val="3A3F7904"/>
    <w:rsid w:val="3A4122C4"/>
    <w:rsid w:val="3A604C36"/>
    <w:rsid w:val="3A63179C"/>
    <w:rsid w:val="3A647FE4"/>
    <w:rsid w:val="3A726CD1"/>
    <w:rsid w:val="3A7B3F01"/>
    <w:rsid w:val="3A814FD1"/>
    <w:rsid w:val="3AAD7959"/>
    <w:rsid w:val="3AB064B6"/>
    <w:rsid w:val="3AC70A1B"/>
    <w:rsid w:val="3AC72EB2"/>
    <w:rsid w:val="3AC802EF"/>
    <w:rsid w:val="3ACA050B"/>
    <w:rsid w:val="3ADB2718"/>
    <w:rsid w:val="3B073F58"/>
    <w:rsid w:val="3B0A7E2C"/>
    <w:rsid w:val="3B11613A"/>
    <w:rsid w:val="3B1654FE"/>
    <w:rsid w:val="3B1B2B15"/>
    <w:rsid w:val="3B4007CD"/>
    <w:rsid w:val="3B443E1A"/>
    <w:rsid w:val="3B4A5AA6"/>
    <w:rsid w:val="3B576FDB"/>
    <w:rsid w:val="3B5E47EE"/>
    <w:rsid w:val="3B634203"/>
    <w:rsid w:val="3B6F1E98"/>
    <w:rsid w:val="3B72794D"/>
    <w:rsid w:val="3B732951"/>
    <w:rsid w:val="3B761AA6"/>
    <w:rsid w:val="3B7A4784"/>
    <w:rsid w:val="3B8E3833"/>
    <w:rsid w:val="3B9279A1"/>
    <w:rsid w:val="3BA50630"/>
    <w:rsid w:val="3BAF716B"/>
    <w:rsid w:val="3BBF5B96"/>
    <w:rsid w:val="3BC67D41"/>
    <w:rsid w:val="3BD60FF2"/>
    <w:rsid w:val="3BE0333C"/>
    <w:rsid w:val="3BE31A2A"/>
    <w:rsid w:val="3BE91E1C"/>
    <w:rsid w:val="3BF770DE"/>
    <w:rsid w:val="3C0B04A7"/>
    <w:rsid w:val="3C0D7542"/>
    <w:rsid w:val="3C101F4E"/>
    <w:rsid w:val="3C1F5009"/>
    <w:rsid w:val="3C2105FF"/>
    <w:rsid w:val="3C3A346E"/>
    <w:rsid w:val="3C430DA9"/>
    <w:rsid w:val="3C461E13"/>
    <w:rsid w:val="3C501BC3"/>
    <w:rsid w:val="3C6D73A0"/>
    <w:rsid w:val="3C7358E6"/>
    <w:rsid w:val="3C88242C"/>
    <w:rsid w:val="3C8D359E"/>
    <w:rsid w:val="3C926E07"/>
    <w:rsid w:val="3CAF79B9"/>
    <w:rsid w:val="3CB55910"/>
    <w:rsid w:val="3CB94393"/>
    <w:rsid w:val="3CCA616B"/>
    <w:rsid w:val="3CD13A58"/>
    <w:rsid w:val="3CD13DD3"/>
    <w:rsid w:val="3CD502DC"/>
    <w:rsid w:val="3CDC066E"/>
    <w:rsid w:val="3CE468F1"/>
    <w:rsid w:val="3CF74EBC"/>
    <w:rsid w:val="3D1F493A"/>
    <w:rsid w:val="3D233F03"/>
    <w:rsid w:val="3D3375A3"/>
    <w:rsid w:val="3D412BB2"/>
    <w:rsid w:val="3D454654"/>
    <w:rsid w:val="3D4F6A99"/>
    <w:rsid w:val="3D570175"/>
    <w:rsid w:val="3D580050"/>
    <w:rsid w:val="3D5962F3"/>
    <w:rsid w:val="3D5E4F3B"/>
    <w:rsid w:val="3D600CB3"/>
    <w:rsid w:val="3D6469F5"/>
    <w:rsid w:val="3D6F0EF6"/>
    <w:rsid w:val="3D750DCA"/>
    <w:rsid w:val="3D7D7AB7"/>
    <w:rsid w:val="3DAC3EF8"/>
    <w:rsid w:val="3DAE07DD"/>
    <w:rsid w:val="3DAE7DB5"/>
    <w:rsid w:val="3DB17760"/>
    <w:rsid w:val="3DC52CE3"/>
    <w:rsid w:val="3DCE0312"/>
    <w:rsid w:val="3DE03013"/>
    <w:rsid w:val="3DE67060"/>
    <w:rsid w:val="3DE74E57"/>
    <w:rsid w:val="3DFB7766"/>
    <w:rsid w:val="3E0B0C1F"/>
    <w:rsid w:val="3E1325B2"/>
    <w:rsid w:val="3E1A3557"/>
    <w:rsid w:val="3E1C2E2C"/>
    <w:rsid w:val="3E1F0B6E"/>
    <w:rsid w:val="3E2B7513"/>
    <w:rsid w:val="3E307C49"/>
    <w:rsid w:val="3E481508"/>
    <w:rsid w:val="3E611186"/>
    <w:rsid w:val="3E642A25"/>
    <w:rsid w:val="3E686566"/>
    <w:rsid w:val="3E75253C"/>
    <w:rsid w:val="3E930B85"/>
    <w:rsid w:val="3E95514B"/>
    <w:rsid w:val="3E9C21BE"/>
    <w:rsid w:val="3EAB3E4B"/>
    <w:rsid w:val="3EB006DA"/>
    <w:rsid w:val="3ED01E68"/>
    <w:rsid w:val="3ED1748C"/>
    <w:rsid w:val="3ED74155"/>
    <w:rsid w:val="3EE06324"/>
    <w:rsid w:val="3EE85404"/>
    <w:rsid w:val="3EED2A1A"/>
    <w:rsid w:val="3EEF5BD7"/>
    <w:rsid w:val="3EEF6792"/>
    <w:rsid w:val="3EFF37F3"/>
    <w:rsid w:val="3F033FEC"/>
    <w:rsid w:val="3F2413A7"/>
    <w:rsid w:val="3F2E1930"/>
    <w:rsid w:val="3F3153D4"/>
    <w:rsid w:val="3F4A240A"/>
    <w:rsid w:val="3F5D194E"/>
    <w:rsid w:val="3F650802"/>
    <w:rsid w:val="3F772C09"/>
    <w:rsid w:val="3F7B6278"/>
    <w:rsid w:val="3F89533D"/>
    <w:rsid w:val="3F9D7F9C"/>
    <w:rsid w:val="3FB063C1"/>
    <w:rsid w:val="3FC419CD"/>
    <w:rsid w:val="3FD6201D"/>
    <w:rsid w:val="3FD75394"/>
    <w:rsid w:val="3FE61E82"/>
    <w:rsid w:val="3FE77469"/>
    <w:rsid w:val="3FFC1167"/>
    <w:rsid w:val="40186E05"/>
    <w:rsid w:val="402204A1"/>
    <w:rsid w:val="4035614E"/>
    <w:rsid w:val="40387CC5"/>
    <w:rsid w:val="40512B35"/>
    <w:rsid w:val="405D772B"/>
    <w:rsid w:val="40934D9A"/>
    <w:rsid w:val="40AA0BC3"/>
    <w:rsid w:val="40B51316"/>
    <w:rsid w:val="40CF6BF4"/>
    <w:rsid w:val="40D15630"/>
    <w:rsid w:val="40F66015"/>
    <w:rsid w:val="40FA6AEF"/>
    <w:rsid w:val="40FD2E2B"/>
    <w:rsid w:val="411101E5"/>
    <w:rsid w:val="411E335F"/>
    <w:rsid w:val="4128109A"/>
    <w:rsid w:val="41401527"/>
    <w:rsid w:val="414C4560"/>
    <w:rsid w:val="41524DB6"/>
    <w:rsid w:val="415D5EAF"/>
    <w:rsid w:val="416A0B28"/>
    <w:rsid w:val="41735459"/>
    <w:rsid w:val="418169D1"/>
    <w:rsid w:val="41AD79C4"/>
    <w:rsid w:val="41AE46E3"/>
    <w:rsid w:val="41CE252B"/>
    <w:rsid w:val="41CF2062"/>
    <w:rsid w:val="41D8350E"/>
    <w:rsid w:val="41E41EB2"/>
    <w:rsid w:val="41F50956"/>
    <w:rsid w:val="4214428D"/>
    <w:rsid w:val="421E3488"/>
    <w:rsid w:val="422624CB"/>
    <w:rsid w:val="422C394C"/>
    <w:rsid w:val="42312C1E"/>
    <w:rsid w:val="424730E0"/>
    <w:rsid w:val="42764AD5"/>
    <w:rsid w:val="427C677E"/>
    <w:rsid w:val="42975177"/>
    <w:rsid w:val="42AD0D70"/>
    <w:rsid w:val="42C13FA2"/>
    <w:rsid w:val="42CD24C2"/>
    <w:rsid w:val="42F06635"/>
    <w:rsid w:val="42F97BDF"/>
    <w:rsid w:val="4300244D"/>
    <w:rsid w:val="43030D4F"/>
    <w:rsid w:val="43087E22"/>
    <w:rsid w:val="430A3B9B"/>
    <w:rsid w:val="432804C5"/>
    <w:rsid w:val="432B5421"/>
    <w:rsid w:val="432B58BF"/>
    <w:rsid w:val="4339622E"/>
    <w:rsid w:val="434444D3"/>
    <w:rsid w:val="435721C2"/>
    <w:rsid w:val="435968D0"/>
    <w:rsid w:val="43675BC8"/>
    <w:rsid w:val="438E53E8"/>
    <w:rsid w:val="43A63FA4"/>
    <w:rsid w:val="43A85162"/>
    <w:rsid w:val="43B22430"/>
    <w:rsid w:val="43BB119C"/>
    <w:rsid w:val="43C875B2"/>
    <w:rsid w:val="43CF6B92"/>
    <w:rsid w:val="43D85A47"/>
    <w:rsid w:val="43F5039A"/>
    <w:rsid w:val="440305EA"/>
    <w:rsid w:val="44111BB5"/>
    <w:rsid w:val="44161B37"/>
    <w:rsid w:val="44184C2E"/>
    <w:rsid w:val="44207C48"/>
    <w:rsid w:val="442B201A"/>
    <w:rsid w:val="444218DD"/>
    <w:rsid w:val="44760DBC"/>
    <w:rsid w:val="448B0AD9"/>
    <w:rsid w:val="448E6850"/>
    <w:rsid w:val="44A441BF"/>
    <w:rsid w:val="44AE681A"/>
    <w:rsid w:val="44BF32E7"/>
    <w:rsid w:val="44BF7BD2"/>
    <w:rsid w:val="44C85ABB"/>
    <w:rsid w:val="44DC3855"/>
    <w:rsid w:val="44E126D9"/>
    <w:rsid w:val="44FB41D0"/>
    <w:rsid w:val="451A6441"/>
    <w:rsid w:val="452A328D"/>
    <w:rsid w:val="453F38A4"/>
    <w:rsid w:val="454F7617"/>
    <w:rsid w:val="455011D0"/>
    <w:rsid w:val="4550160D"/>
    <w:rsid w:val="455530C7"/>
    <w:rsid w:val="45660E30"/>
    <w:rsid w:val="456B28EB"/>
    <w:rsid w:val="456D57A7"/>
    <w:rsid w:val="456E7018"/>
    <w:rsid w:val="45787C94"/>
    <w:rsid w:val="45941F3D"/>
    <w:rsid w:val="45943BEF"/>
    <w:rsid w:val="459C05D3"/>
    <w:rsid w:val="45A04342"/>
    <w:rsid w:val="45AC718B"/>
    <w:rsid w:val="45B61DB8"/>
    <w:rsid w:val="45C83899"/>
    <w:rsid w:val="45CB4227"/>
    <w:rsid w:val="45CC3389"/>
    <w:rsid w:val="45CE5353"/>
    <w:rsid w:val="45D41291"/>
    <w:rsid w:val="45EC4A68"/>
    <w:rsid w:val="45F60406"/>
    <w:rsid w:val="460E6E79"/>
    <w:rsid w:val="46116FEE"/>
    <w:rsid w:val="462A6302"/>
    <w:rsid w:val="462C3E28"/>
    <w:rsid w:val="464253F9"/>
    <w:rsid w:val="46601D24"/>
    <w:rsid w:val="46673EC5"/>
    <w:rsid w:val="467557CF"/>
    <w:rsid w:val="468200F0"/>
    <w:rsid w:val="46830038"/>
    <w:rsid w:val="468477C0"/>
    <w:rsid w:val="46892DBA"/>
    <w:rsid w:val="4692531C"/>
    <w:rsid w:val="4694086F"/>
    <w:rsid w:val="469D3D52"/>
    <w:rsid w:val="46A77C72"/>
    <w:rsid w:val="46AA0B06"/>
    <w:rsid w:val="46B506E4"/>
    <w:rsid w:val="46FE1D24"/>
    <w:rsid w:val="46FE2974"/>
    <w:rsid w:val="470E45E7"/>
    <w:rsid w:val="471E7589"/>
    <w:rsid w:val="47527C17"/>
    <w:rsid w:val="475F3D89"/>
    <w:rsid w:val="47633879"/>
    <w:rsid w:val="478041A7"/>
    <w:rsid w:val="478F0B12"/>
    <w:rsid w:val="479E3B5A"/>
    <w:rsid w:val="47A82FE8"/>
    <w:rsid w:val="47CA51EA"/>
    <w:rsid w:val="47CB7671"/>
    <w:rsid w:val="4805359A"/>
    <w:rsid w:val="4806426D"/>
    <w:rsid w:val="480F4D91"/>
    <w:rsid w:val="4823125B"/>
    <w:rsid w:val="482C010F"/>
    <w:rsid w:val="4841219E"/>
    <w:rsid w:val="484204F5"/>
    <w:rsid w:val="484D0B6A"/>
    <w:rsid w:val="484F3DFE"/>
    <w:rsid w:val="484F419D"/>
    <w:rsid w:val="48532E0E"/>
    <w:rsid w:val="485633DE"/>
    <w:rsid w:val="485E74EE"/>
    <w:rsid w:val="486D3CA3"/>
    <w:rsid w:val="48967C7F"/>
    <w:rsid w:val="48BA396D"/>
    <w:rsid w:val="48E420CB"/>
    <w:rsid w:val="48F13107"/>
    <w:rsid w:val="48F67833"/>
    <w:rsid w:val="48FB2148"/>
    <w:rsid w:val="48FF1B43"/>
    <w:rsid w:val="48FF75D2"/>
    <w:rsid w:val="49214DD5"/>
    <w:rsid w:val="49363969"/>
    <w:rsid w:val="49406FDC"/>
    <w:rsid w:val="49437E06"/>
    <w:rsid w:val="49473D16"/>
    <w:rsid w:val="49591105"/>
    <w:rsid w:val="496833C9"/>
    <w:rsid w:val="49695393"/>
    <w:rsid w:val="497A134E"/>
    <w:rsid w:val="497E1DB7"/>
    <w:rsid w:val="49843F7B"/>
    <w:rsid w:val="49964434"/>
    <w:rsid w:val="49BA2000"/>
    <w:rsid w:val="49CA5E32"/>
    <w:rsid w:val="49F92B01"/>
    <w:rsid w:val="49F92CEB"/>
    <w:rsid w:val="49FB248F"/>
    <w:rsid w:val="4A067FB9"/>
    <w:rsid w:val="4A2064A3"/>
    <w:rsid w:val="4A2512BA"/>
    <w:rsid w:val="4A314103"/>
    <w:rsid w:val="4A325221"/>
    <w:rsid w:val="4A3E5794"/>
    <w:rsid w:val="4A3E6AC2"/>
    <w:rsid w:val="4A4A6F73"/>
    <w:rsid w:val="4A597197"/>
    <w:rsid w:val="4A5975F5"/>
    <w:rsid w:val="4A6E403E"/>
    <w:rsid w:val="4A6F35EA"/>
    <w:rsid w:val="4A742241"/>
    <w:rsid w:val="4A7D10F6"/>
    <w:rsid w:val="4AA2290B"/>
    <w:rsid w:val="4AAB041E"/>
    <w:rsid w:val="4AC72371"/>
    <w:rsid w:val="4AE02AE7"/>
    <w:rsid w:val="4AF15640"/>
    <w:rsid w:val="4AF55130"/>
    <w:rsid w:val="4B02784D"/>
    <w:rsid w:val="4B052E99"/>
    <w:rsid w:val="4B195EBB"/>
    <w:rsid w:val="4B1E0C59"/>
    <w:rsid w:val="4B244232"/>
    <w:rsid w:val="4B255B8A"/>
    <w:rsid w:val="4B3725A3"/>
    <w:rsid w:val="4B3C2D5F"/>
    <w:rsid w:val="4B3D6AD7"/>
    <w:rsid w:val="4B4B6AFE"/>
    <w:rsid w:val="4B6C45DD"/>
    <w:rsid w:val="4B767530"/>
    <w:rsid w:val="4B7A4652"/>
    <w:rsid w:val="4B7C2636"/>
    <w:rsid w:val="4B963850"/>
    <w:rsid w:val="4BAB4256"/>
    <w:rsid w:val="4BC8769F"/>
    <w:rsid w:val="4BCC206E"/>
    <w:rsid w:val="4BEA27BB"/>
    <w:rsid w:val="4BF54CBC"/>
    <w:rsid w:val="4BFE6267"/>
    <w:rsid w:val="4C1B2975"/>
    <w:rsid w:val="4C1C049B"/>
    <w:rsid w:val="4C1D1E6F"/>
    <w:rsid w:val="4C2578FB"/>
    <w:rsid w:val="4C2E559D"/>
    <w:rsid w:val="4C373527"/>
    <w:rsid w:val="4C4A4673"/>
    <w:rsid w:val="4C573548"/>
    <w:rsid w:val="4C5D55DE"/>
    <w:rsid w:val="4C7B78B7"/>
    <w:rsid w:val="4C7D74B7"/>
    <w:rsid w:val="4C7E1155"/>
    <w:rsid w:val="4C8359C8"/>
    <w:rsid w:val="4C973BD3"/>
    <w:rsid w:val="4CDC3C81"/>
    <w:rsid w:val="4CE4720A"/>
    <w:rsid w:val="4CFA4C80"/>
    <w:rsid w:val="4D004956"/>
    <w:rsid w:val="4D0402F1"/>
    <w:rsid w:val="4D080CAF"/>
    <w:rsid w:val="4D245859"/>
    <w:rsid w:val="4D2D2F2D"/>
    <w:rsid w:val="4D6640C3"/>
    <w:rsid w:val="4D7943FA"/>
    <w:rsid w:val="4D7E765F"/>
    <w:rsid w:val="4D814A59"/>
    <w:rsid w:val="4D8A2682"/>
    <w:rsid w:val="4DBE5F8C"/>
    <w:rsid w:val="4DC42B98"/>
    <w:rsid w:val="4E1368CA"/>
    <w:rsid w:val="4E154828"/>
    <w:rsid w:val="4E1634CF"/>
    <w:rsid w:val="4E306565"/>
    <w:rsid w:val="4E37780E"/>
    <w:rsid w:val="4E476C29"/>
    <w:rsid w:val="4E5D39A1"/>
    <w:rsid w:val="4E5E4D9B"/>
    <w:rsid w:val="4E612ADD"/>
    <w:rsid w:val="4E72485E"/>
    <w:rsid w:val="4E736479"/>
    <w:rsid w:val="4E7562FD"/>
    <w:rsid w:val="4E797E26"/>
    <w:rsid w:val="4EA57843"/>
    <w:rsid w:val="4EAF1A9A"/>
    <w:rsid w:val="4EBD41B7"/>
    <w:rsid w:val="4EC72940"/>
    <w:rsid w:val="4ED25EEE"/>
    <w:rsid w:val="4EF10FF7"/>
    <w:rsid w:val="4EF950C0"/>
    <w:rsid w:val="4F012FB2"/>
    <w:rsid w:val="4F027E1C"/>
    <w:rsid w:val="4F0566F3"/>
    <w:rsid w:val="4F133DD7"/>
    <w:rsid w:val="4F156CD8"/>
    <w:rsid w:val="4F231322"/>
    <w:rsid w:val="4F3124AF"/>
    <w:rsid w:val="4F5D32A4"/>
    <w:rsid w:val="4F5E61EC"/>
    <w:rsid w:val="4F665714"/>
    <w:rsid w:val="4F672853"/>
    <w:rsid w:val="4F7A20A8"/>
    <w:rsid w:val="4F9F2115"/>
    <w:rsid w:val="4FA26F09"/>
    <w:rsid w:val="4FAB1999"/>
    <w:rsid w:val="4FC97C86"/>
    <w:rsid w:val="4FDA48F5"/>
    <w:rsid w:val="50054BAE"/>
    <w:rsid w:val="50151DD1"/>
    <w:rsid w:val="5033554C"/>
    <w:rsid w:val="50337634"/>
    <w:rsid w:val="503F5447"/>
    <w:rsid w:val="50401B1C"/>
    <w:rsid w:val="50446212"/>
    <w:rsid w:val="505A5A36"/>
    <w:rsid w:val="50624A5B"/>
    <w:rsid w:val="506643DA"/>
    <w:rsid w:val="508D7BB9"/>
    <w:rsid w:val="509C579B"/>
    <w:rsid w:val="509C7DFC"/>
    <w:rsid w:val="509D6FA2"/>
    <w:rsid w:val="50AB0AB4"/>
    <w:rsid w:val="50B43398"/>
    <w:rsid w:val="50BD51E9"/>
    <w:rsid w:val="50C00E87"/>
    <w:rsid w:val="50C40BA3"/>
    <w:rsid w:val="50C6128B"/>
    <w:rsid w:val="50D165C7"/>
    <w:rsid w:val="50D850A3"/>
    <w:rsid w:val="50E61077"/>
    <w:rsid w:val="50EC48E0"/>
    <w:rsid w:val="50F47CDE"/>
    <w:rsid w:val="50F9524E"/>
    <w:rsid w:val="50FF51B3"/>
    <w:rsid w:val="510936E3"/>
    <w:rsid w:val="510E332A"/>
    <w:rsid w:val="51197000"/>
    <w:rsid w:val="511A232D"/>
    <w:rsid w:val="51375708"/>
    <w:rsid w:val="513A3CD7"/>
    <w:rsid w:val="514F4E6E"/>
    <w:rsid w:val="515225E4"/>
    <w:rsid w:val="515605B8"/>
    <w:rsid w:val="516871DC"/>
    <w:rsid w:val="516E081B"/>
    <w:rsid w:val="516E7518"/>
    <w:rsid w:val="518402CD"/>
    <w:rsid w:val="51856AE2"/>
    <w:rsid w:val="518D5531"/>
    <w:rsid w:val="51907961"/>
    <w:rsid w:val="519B0C71"/>
    <w:rsid w:val="51A561F2"/>
    <w:rsid w:val="51AA7C8C"/>
    <w:rsid w:val="51B82A14"/>
    <w:rsid w:val="51D04201"/>
    <w:rsid w:val="51D35A9F"/>
    <w:rsid w:val="51E27A91"/>
    <w:rsid w:val="51EB4B97"/>
    <w:rsid w:val="5201085F"/>
    <w:rsid w:val="521311B0"/>
    <w:rsid w:val="522462FB"/>
    <w:rsid w:val="522B0B93"/>
    <w:rsid w:val="522D3CF8"/>
    <w:rsid w:val="52320A18"/>
    <w:rsid w:val="5244074B"/>
    <w:rsid w:val="52575E4D"/>
    <w:rsid w:val="52786838"/>
    <w:rsid w:val="52880638"/>
    <w:rsid w:val="529D4C64"/>
    <w:rsid w:val="52B15E89"/>
    <w:rsid w:val="52B21364"/>
    <w:rsid w:val="52B21B59"/>
    <w:rsid w:val="52B753C1"/>
    <w:rsid w:val="52B95FC1"/>
    <w:rsid w:val="52C64751"/>
    <w:rsid w:val="52DF70F8"/>
    <w:rsid w:val="52E55A8A"/>
    <w:rsid w:val="52F44E77"/>
    <w:rsid w:val="531656EA"/>
    <w:rsid w:val="531719BC"/>
    <w:rsid w:val="536F261B"/>
    <w:rsid w:val="53803A05"/>
    <w:rsid w:val="53875794"/>
    <w:rsid w:val="5391040E"/>
    <w:rsid w:val="539F2640"/>
    <w:rsid w:val="53A90C63"/>
    <w:rsid w:val="53B35B89"/>
    <w:rsid w:val="53B67B2A"/>
    <w:rsid w:val="53C5766A"/>
    <w:rsid w:val="53C74678"/>
    <w:rsid w:val="53D0673A"/>
    <w:rsid w:val="53DC50DF"/>
    <w:rsid w:val="53E550F5"/>
    <w:rsid w:val="53EC109A"/>
    <w:rsid w:val="53ED7B5B"/>
    <w:rsid w:val="5401402B"/>
    <w:rsid w:val="54017848"/>
    <w:rsid w:val="54185AF9"/>
    <w:rsid w:val="541B6964"/>
    <w:rsid w:val="541D1254"/>
    <w:rsid w:val="54210D44"/>
    <w:rsid w:val="5435426D"/>
    <w:rsid w:val="543547EF"/>
    <w:rsid w:val="543F527C"/>
    <w:rsid w:val="54420CBA"/>
    <w:rsid w:val="544557B3"/>
    <w:rsid w:val="54473871"/>
    <w:rsid w:val="54621F43"/>
    <w:rsid w:val="5468184D"/>
    <w:rsid w:val="546C5F85"/>
    <w:rsid w:val="546E385E"/>
    <w:rsid w:val="54814E0E"/>
    <w:rsid w:val="549E65BC"/>
    <w:rsid w:val="54B94547"/>
    <w:rsid w:val="54BF62D5"/>
    <w:rsid w:val="54C16083"/>
    <w:rsid w:val="54C377EF"/>
    <w:rsid w:val="54DB0766"/>
    <w:rsid w:val="54E104D3"/>
    <w:rsid w:val="54EB4A80"/>
    <w:rsid w:val="54F55D2D"/>
    <w:rsid w:val="54FC53ED"/>
    <w:rsid w:val="551A763D"/>
    <w:rsid w:val="55264138"/>
    <w:rsid w:val="553700F3"/>
    <w:rsid w:val="554C0042"/>
    <w:rsid w:val="555962BC"/>
    <w:rsid w:val="555E7D76"/>
    <w:rsid w:val="5563713A"/>
    <w:rsid w:val="55894DF3"/>
    <w:rsid w:val="559D4CD8"/>
    <w:rsid w:val="55B47328"/>
    <w:rsid w:val="55BD2CEE"/>
    <w:rsid w:val="55C844F0"/>
    <w:rsid w:val="55E056FF"/>
    <w:rsid w:val="55F14746"/>
    <w:rsid w:val="55FA7A9F"/>
    <w:rsid w:val="5604091D"/>
    <w:rsid w:val="56071FAF"/>
    <w:rsid w:val="56080C06"/>
    <w:rsid w:val="561647A5"/>
    <w:rsid w:val="564A2CAA"/>
    <w:rsid w:val="56584DF0"/>
    <w:rsid w:val="56682C5A"/>
    <w:rsid w:val="567C6706"/>
    <w:rsid w:val="56911971"/>
    <w:rsid w:val="569A0FA7"/>
    <w:rsid w:val="569C1125"/>
    <w:rsid w:val="56A47944"/>
    <w:rsid w:val="56B22127"/>
    <w:rsid w:val="56C8194B"/>
    <w:rsid w:val="56C96CC9"/>
    <w:rsid w:val="56DA167E"/>
    <w:rsid w:val="56E373B5"/>
    <w:rsid w:val="56F24FD3"/>
    <w:rsid w:val="57016C0B"/>
    <w:rsid w:val="571522DC"/>
    <w:rsid w:val="572319FE"/>
    <w:rsid w:val="5728063B"/>
    <w:rsid w:val="57566F57"/>
    <w:rsid w:val="575B631B"/>
    <w:rsid w:val="575D3B56"/>
    <w:rsid w:val="57631674"/>
    <w:rsid w:val="57707849"/>
    <w:rsid w:val="57833AC4"/>
    <w:rsid w:val="57866BEF"/>
    <w:rsid w:val="57917F8F"/>
    <w:rsid w:val="57961A49"/>
    <w:rsid w:val="57B343A9"/>
    <w:rsid w:val="57BC13C4"/>
    <w:rsid w:val="57C12201"/>
    <w:rsid w:val="57D367F9"/>
    <w:rsid w:val="57DB451E"/>
    <w:rsid w:val="57DE0CFA"/>
    <w:rsid w:val="57FB5AE6"/>
    <w:rsid w:val="581F4CA4"/>
    <w:rsid w:val="58377789"/>
    <w:rsid w:val="583F058A"/>
    <w:rsid w:val="58501BF8"/>
    <w:rsid w:val="585472DB"/>
    <w:rsid w:val="586E02D0"/>
    <w:rsid w:val="587753D7"/>
    <w:rsid w:val="5883406E"/>
    <w:rsid w:val="589770C7"/>
    <w:rsid w:val="5898359F"/>
    <w:rsid w:val="58AD5748"/>
    <w:rsid w:val="58B3137F"/>
    <w:rsid w:val="58D27D41"/>
    <w:rsid w:val="58E57A6F"/>
    <w:rsid w:val="58E834B5"/>
    <w:rsid w:val="58EB36CF"/>
    <w:rsid w:val="58F762E3"/>
    <w:rsid w:val="59143F5E"/>
    <w:rsid w:val="591470C9"/>
    <w:rsid w:val="591F0784"/>
    <w:rsid w:val="59246BE1"/>
    <w:rsid w:val="592D018B"/>
    <w:rsid w:val="593D3381"/>
    <w:rsid w:val="5942670B"/>
    <w:rsid w:val="5943350B"/>
    <w:rsid w:val="594C3F4A"/>
    <w:rsid w:val="59676FC8"/>
    <w:rsid w:val="59695C2D"/>
    <w:rsid w:val="59702AE1"/>
    <w:rsid w:val="59861649"/>
    <w:rsid w:val="598853C1"/>
    <w:rsid w:val="59A044B9"/>
    <w:rsid w:val="59A24AFE"/>
    <w:rsid w:val="59AE351E"/>
    <w:rsid w:val="59B61F2F"/>
    <w:rsid w:val="59BB12F3"/>
    <w:rsid w:val="59C02DAD"/>
    <w:rsid w:val="59C074E2"/>
    <w:rsid w:val="59C4289D"/>
    <w:rsid w:val="59C74CF1"/>
    <w:rsid w:val="59C86E4B"/>
    <w:rsid w:val="59E77370"/>
    <w:rsid w:val="59EB3D45"/>
    <w:rsid w:val="59EC0F35"/>
    <w:rsid w:val="59EC76FE"/>
    <w:rsid w:val="59EE791A"/>
    <w:rsid w:val="59F12F67"/>
    <w:rsid w:val="5A026F22"/>
    <w:rsid w:val="5A0709DC"/>
    <w:rsid w:val="5A1A5DB1"/>
    <w:rsid w:val="5A1E1882"/>
    <w:rsid w:val="5A2A7FBE"/>
    <w:rsid w:val="5A3C1E2C"/>
    <w:rsid w:val="5A3F01AB"/>
    <w:rsid w:val="5A5359CF"/>
    <w:rsid w:val="5A6251EC"/>
    <w:rsid w:val="5A643739"/>
    <w:rsid w:val="5A6951F3"/>
    <w:rsid w:val="5A7711DE"/>
    <w:rsid w:val="5A783688"/>
    <w:rsid w:val="5A7E5F3C"/>
    <w:rsid w:val="5A9B1124"/>
    <w:rsid w:val="5AAB75B9"/>
    <w:rsid w:val="5AAC3332"/>
    <w:rsid w:val="5AAE2C06"/>
    <w:rsid w:val="5ABC4FF4"/>
    <w:rsid w:val="5AC24903"/>
    <w:rsid w:val="5AC32B55"/>
    <w:rsid w:val="5AD22D98"/>
    <w:rsid w:val="5AD41467"/>
    <w:rsid w:val="5AD76600"/>
    <w:rsid w:val="5AF26F96"/>
    <w:rsid w:val="5AFE1DDF"/>
    <w:rsid w:val="5B160B72"/>
    <w:rsid w:val="5B1C04B7"/>
    <w:rsid w:val="5B1D00E1"/>
    <w:rsid w:val="5B24111A"/>
    <w:rsid w:val="5B4E677D"/>
    <w:rsid w:val="5B62120F"/>
    <w:rsid w:val="5B6841F9"/>
    <w:rsid w:val="5B6A2FD1"/>
    <w:rsid w:val="5B6A7973"/>
    <w:rsid w:val="5B726329"/>
    <w:rsid w:val="5B774AB6"/>
    <w:rsid w:val="5B7B51DE"/>
    <w:rsid w:val="5B7E082A"/>
    <w:rsid w:val="5B835E40"/>
    <w:rsid w:val="5B9875AC"/>
    <w:rsid w:val="5B9C6F02"/>
    <w:rsid w:val="5BC4220D"/>
    <w:rsid w:val="5BD32F24"/>
    <w:rsid w:val="5BFA12EE"/>
    <w:rsid w:val="5BFB1656"/>
    <w:rsid w:val="5BFE5E0F"/>
    <w:rsid w:val="5C2C0286"/>
    <w:rsid w:val="5C2E43FA"/>
    <w:rsid w:val="5C327BFC"/>
    <w:rsid w:val="5C34119C"/>
    <w:rsid w:val="5C37469A"/>
    <w:rsid w:val="5C394740"/>
    <w:rsid w:val="5C3B2BBF"/>
    <w:rsid w:val="5C3F445D"/>
    <w:rsid w:val="5C456702"/>
    <w:rsid w:val="5C4F3B6C"/>
    <w:rsid w:val="5C6A0DAE"/>
    <w:rsid w:val="5C6D5B67"/>
    <w:rsid w:val="5C7D6D34"/>
    <w:rsid w:val="5C8C3DE7"/>
    <w:rsid w:val="5C943DF3"/>
    <w:rsid w:val="5C9E0AF8"/>
    <w:rsid w:val="5C9F216C"/>
    <w:rsid w:val="5CC30DA7"/>
    <w:rsid w:val="5CC64626"/>
    <w:rsid w:val="5CC96ACD"/>
    <w:rsid w:val="5CDC1CAC"/>
    <w:rsid w:val="5CED210B"/>
    <w:rsid w:val="5CED3EB9"/>
    <w:rsid w:val="5CFA657E"/>
    <w:rsid w:val="5D071583"/>
    <w:rsid w:val="5D221689"/>
    <w:rsid w:val="5D2822F6"/>
    <w:rsid w:val="5D333896"/>
    <w:rsid w:val="5D3718A9"/>
    <w:rsid w:val="5D402B1C"/>
    <w:rsid w:val="5D423667"/>
    <w:rsid w:val="5D4F7559"/>
    <w:rsid w:val="5D6B326F"/>
    <w:rsid w:val="5D6C63B9"/>
    <w:rsid w:val="5D8026EA"/>
    <w:rsid w:val="5D86017C"/>
    <w:rsid w:val="5D9407D9"/>
    <w:rsid w:val="5D9F12A3"/>
    <w:rsid w:val="5DA33FE7"/>
    <w:rsid w:val="5DA77EE3"/>
    <w:rsid w:val="5DB13973"/>
    <w:rsid w:val="5DB669A1"/>
    <w:rsid w:val="5DD961EC"/>
    <w:rsid w:val="5DDC5CDC"/>
    <w:rsid w:val="5DFB2606"/>
    <w:rsid w:val="5E0E193B"/>
    <w:rsid w:val="5E1F6458"/>
    <w:rsid w:val="5E25666F"/>
    <w:rsid w:val="5E260B13"/>
    <w:rsid w:val="5E3D49CC"/>
    <w:rsid w:val="5E4C550E"/>
    <w:rsid w:val="5E6446C6"/>
    <w:rsid w:val="5E6E102A"/>
    <w:rsid w:val="5E7D74BF"/>
    <w:rsid w:val="5E9769E5"/>
    <w:rsid w:val="5E9860A7"/>
    <w:rsid w:val="5E9B16F3"/>
    <w:rsid w:val="5E9D190F"/>
    <w:rsid w:val="5EAB0B6E"/>
    <w:rsid w:val="5EAC0A97"/>
    <w:rsid w:val="5EC606E3"/>
    <w:rsid w:val="5ED864A3"/>
    <w:rsid w:val="5EE90678"/>
    <w:rsid w:val="5EF17565"/>
    <w:rsid w:val="5EFF39EF"/>
    <w:rsid w:val="5F081BC6"/>
    <w:rsid w:val="5F105C3D"/>
    <w:rsid w:val="5F1C46C4"/>
    <w:rsid w:val="5F2037D8"/>
    <w:rsid w:val="5F2711D9"/>
    <w:rsid w:val="5F27742B"/>
    <w:rsid w:val="5F313E05"/>
    <w:rsid w:val="5F3E0C8C"/>
    <w:rsid w:val="5F473629"/>
    <w:rsid w:val="5F5A76F2"/>
    <w:rsid w:val="5F5B1734"/>
    <w:rsid w:val="5F5C479A"/>
    <w:rsid w:val="5F6D59EA"/>
    <w:rsid w:val="5F7743F5"/>
    <w:rsid w:val="5F830B05"/>
    <w:rsid w:val="5F8A1E93"/>
    <w:rsid w:val="5F9C46E5"/>
    <w:rsid w:val="5F9E2488"/>
    <w:rsid w:val="5FA17C08"/>
    <w:rsid w:val="5FC829BC"/>
    <w:rsid w:val="5FCD65AB"/>
    <w:rsid w:val="5FDC3864"/>
    <w:rsid w:val="5FED2422"/>
    <w:rsid w:val="5FF67529"/>
    <w:rsid w:val="5FFE1F39"/>
    <w:rsid w:val="5FFF5CB2"/>
    <w:rsid w:val="6008725C"/>
    <w:rsid w:val="602433DE"/>
    <w:rsid w:val="602A0F80"/>
    <w:rsid w:val="603D50C0"/>
    <w:rsid w:val="603E2C7E"/>
    <w:rsid w:val="60710B88"/>
    <w:rsid w:val="60732927"/>
    <w:rsid w:val="608210E3"/>
    <w:rsid w:val="60AE00AB"/>
    <w:rsid w:val="60C07275"/>
    <w:rsid w:val="60D2613B"/>
    <w:rsid w:val="60E23609"/>
    <w:rsid w:val="60EB6ABA"/>
    <w:rsid w:val="60EC2394"/>
    <w:rsid w:val="60FB0B6F"/>
    <w:rsid w:val="61015E43"/>
    <w:rsid w:val="611D254E"/>
    <w:rsid w:val="61271964"/>
    <w:rsid w:val="612917AA"/>
    <w:rsid w:val="613242CE"/>
    <w:rsid w:val="61371BA7"/>
    <w:rsid w:val="613E652C"/>
    <w:rsid w:val="617526CF"/>
    <w:rsid w:val="619D39D4"/>
    <w:rsid w:val="61A5531E"/>
    <w:rsid w:val="61B87A5A"/>
    <w:rsid w:val="61BB23AC"/>
    <w:rsid w:val="61E810F3"/>
    <w:rsid w:val="61EE3471"/>
    <w:rsid w:val="62035B0E"/>
    <w:rsid w:val="62074A10"/>
    <w:rsid w:val="620B4DE2"/>
    <w:rsid w:val="621C6FEF"/>
    <w:rsid w:val="62235432"/>
    <w:rsid w:val="62342A7A"/>
    <w:rsid w:val="623F6839"/>
    <w:rsid w:val="624E5AC5"/>
    <w:rsid w:val="62571DD5"/>
    <w:rsid w:val="626C4C7D"/>
    <w:rsid w:val="628030DA"/>
    <w:rsid w:val="6288551E"/>
    <w:rsid w:val="628A0EB6"/>
    <w:rsid w:val="628A4DFB"/>
    <w:rsid w:val="628F46C5"/>
    <w:rsid w:val="6299063F"/>
    <w:rsid w:val="62B17737"/>
    <w:rsid w:val="62B2525D"/>
    <w:rsid w:val="62B611F1"/>
    <w:rsid w:val="62CF5E0F"/>
    <w:rsid w:val="62D710BE"/>
    <w:rsid w:val="62D96DD1"/>
    <w:rsid w:val="63051D26"/>
    <w:rsid w:val="63057A83"/>
    <w:rsid w:val="63116428"/>
    <w:rsid w:val="632C0F39"/>
    <w:rsid w:val="63371C84"/>
    <w:rsid w:val="633D2BD8"/>
    <w:rsid w:val="63512CC8"/>
    <w:rsid w:val="6367429A"/>
    <w:rsid w:val="636D5D54"/>
    <w:rsid w:val="637D5D56"/>
    <w:rsid w:val="63AD6150"/>
    <w:rsid w:val="63C70076"/>
    <w:rsid w:val="63DD2B95"/>
    <w:rsid w:val="63F414AF"/>
    <w:rsid w:val="640F6E0B"/>
    <w:rsid w:val="64136542"/>
    <w:rsid w:val="64176A67"/>
    <w:rsid w:val="641A4311"/>
    <w:rsid w:val="64421CFE"/>
    <w:rsid w:val="6460694A"/>
    <w:rsid w:val="64610CE9"/>
    <w:rsid w:val="6469719C"/>
    <w:rsid w:val="64740A1C"/>
    <w:rsid w:val="649E1F3D"/>
    <w:rsid w:val="64A90689"/>
    <w:rsid w:val="64AE1E08"/>
    <w:rsid w:val="64D767EA"/>
    <w:rsid w:val="64E13A05"/>
    <w:rsid w:val="64FA0D8B"/>
    <w:rsid w:val="64FF6124"/>
    <w:rsid w:val="650662C4"/>
    <w:rsid w:val="650A1380"/>
    <w:rsid w:val="651B2C8F"/>
    <w:rsid w:val="651D10B4"/>
    <w:rsid w:val="65426D6C"/>
    <w:rsid w:val="65571DFF"/>
    <w:rsid w:val="657B38D7"/>
    <w:rsid w:val="65864EAB"/>
    <w:rsid w:val="658D448B"/>
    <w:rsid w:val="658F680F"/>
    <w:rsid w:val="659D0447"/>
    <w:rsid w:val="65A417D5"/>
    <w:rsid w:val="65A84167"/>
    <w:rsid w:val="65BA3EB5"/>
    <w:rsid w:val="65BF03BD"/>
    <w:rsid w:val="65EA09FF"/>
    <w:rsid w:val="65ED7BE4"/>
    <w:rsid w:val="65F6315A"/>
    <w:rsid w:val="660D4FD5"/>
    <w:rsid w:val="660E1AB3"/>
    <w:rsid w:val="662326FA"/>
    <w:rsid w:val="662B683E"/>
    <w:rsid w:val="667016B7"/>
    <w:rsid w:val="668540F9"/>
    <w:rsid w:val="669B4986"/>
    <w:rsid w:val="66A00268"/>
    <w:rsid w:val="66A53FA4"/>
    <w:rsid w:val="66AA2E1B"/>
    <w:rsid w:val="66B31BF8"/>
    <w:rsid w:val="66BC66AA"/>
    <w:rsid w:val="66CC2D91"/>
    <w:rsid w:val="66CD4CCB"/>
    <w:rsid w:val="66D45FBF"/>
    <w:rsid w:val="66D8244D"/>
    <w:rsid w:val="66FA524D"/>
    <w:rsid w:val="671A71BF"/>
    <w:rsid w:val="673F705E"/>
    <w:rsid w:val="67462DEA"/>
    <w:rsid w:val="67582877"/>
    <w:rsid w:val="67654F94"/>
    <w:rsid w:val="67694A84"/>
    <w:rsid w:val="6773145F"/>
    <w:rsid w:val="67762CFD"/>
    <w:rsid w:val="67851192"/>
    <w:rsid w:val="67956036"/>
    <w:rsid w:val="67B57CC9"/>
    <w:rsid w:val="67CB02D7"/>
    <w:rsid w:val="67CD2D6F"/>
    <w:rsid w:val="67D619EE"/>
    <w:rsid w:val="67FE01D8"/>
    <w:rsid w:val="680F2164"/>
    <w:rsid w:val="681A4A6C"/>
    <w:rsid w:val="681F3395"/>
    <w:rsid w:val="684E77D6"/>
    <w:rsid w:val="68595133"/>
    <w:rsid w:val="687410FE"/>
    <w:rsid w:val="68790CF7"/>
    <w:rsid w:val="688E308E"/>
    <w:rsid w:val="68AA5354"/>
    <w:rsid w:val="68AC0892"/>
    <w:rsid w:val="68AD4E71"/>
    <w:rsid w:val="68B63CF9"/>
    <w:rsid w:val="68B77D38"/>
    <w:rsid w:val="68C439AC"/>
    <w:rsid w:val="68D5282E"/>
    <w:rsid w:val="68D642C2"/>
    <w:rsid w:val="68DC1286"/>
    <w:rsid w:val="68E9333F"/>
    <w:rsid w:val="68EA5751"/>
    <w:rsid w:val="68FC201F"/>
    <w:rsid w:val="69112CDD"/>
    <w:rsid w:val="691E189E"/>
    <w:rsid w:val="6926276F"/>
    <w:rsid w:val="692769A5"/>
    <w:rsid w:val="692D700B"/>
    <w:rsid w:val="69342E70"/>
    <w:rsid w:val="694110E9"/>
    <w:rsid w:val="69431305"/>
    <w:rsid w:val="695C605A"/>
    <w:rsid w:val="6968284F"/>
    <w:rsid w:val="69794D27"/>
    <w:rsid w:val="69796AD5"/>
    <w:rsid w:val="69A91CB9"/>
    <w:rsid w:val="69BB6034"/>
    <w:rsid w:val="69DB32EB"/>
    <w:rsid w:val="69E76134"/>
    <w:rsid w:val="69EC54F9"/>
    <w:rsid w:val="69F262A5"/>
    <w:rsid w:val="69F30635"/>
    <w:rsid w:val="6A042842"/>
    <w:rsid w:val="6A2007AB"/>
    <w:rsid w:val="6A246A40"/>
    <w:rsid w:val="6A2E12F4"/>
    <w:rsid w:val="6A7E6FD2"/>
    <w:rsid w:val="6A7F2D1A"/>
    <w:rsid w:val="6A986264"/>
    <w:rsid w:val="6AA638F9"/>
    <w:rsid w:val="6AA6673F"/>
    <w:rsid w:val="6AAF6C52"/>
    <w:rsid w:val="6ABE71A8"/>
    <w:rsid w:val="6AC326FD"/>
    <w:rsid w:val="6AC40100"/>
    <w:rsid w:val="6AD541DF"/>
    <w:rsid w:val="6B030D4C"/>
    <w:rsid w:val="6B0F76F1"/>
    <w:rsid w:val="6B511AB7"/>
    <w:rsid w:val="6B712159"/>
    <w:rsid w:val="6B760805"/>
    <w:rsid w:val="6B7D28AC"/>
    <w:rsid w:val="6B87197D"/>
    <w:rsid w:val="6BA75B7B"/>
    <w:rsid w:val="6BBA58AE"/>
    <w:rsid w:val="6BC71D79"/>
    <w:rsid w:val="6BC95AF1"/>
    <w:rsid w:val="6BCF23CF"/>
    <w:rsid w:val="6BDB3E94"/>
    <w:rsid w:val="6BE02E3B"/>
    <w:rsid w:val="6BE24E05"/>
    <w:rsid w:val="6BF71835"/>
    <w:rsid w:val="6BFC005A"/>
    <w:rsid w:val="6C04710A"/>
    <w:rsid w:val="6C10630F"/>
    <w:rsid w:val="6C1257B3"/>
    <w:rsid w:val="6C1B3794"/>
    <w:rsid w:val="6C2216A6"/>
    <w:rsid w:val="6C417D7E"/>
    <w:rsid w:val="6C4433CA"/>
    <w:rsid w:val="6C445178"/>
    <w:rsid w:val="6C47087E"/>
    <w:rsid w:val="6C4D6722"/>
    <w:rsid w:val="6C4E472C"/>
    <w:rsid w:val="6C5D26DE"/>
    <w:rsid w:val="6C6345F2"/>
    <w:rsid w:val="6C705F6D"/>
    <w:rsid w:val="6C7A3B4E"/>
    <w:rsid w:val="6C896CE8"/>
    <w:rsid w:val="6C8B724B"/>
    <w:rsid w:val="6C911875"/>
    <w:rsid w:val="6C937EAD"/>
    <w:rsid w:val="6C973849"/>
    <w:rsid w:val="6CB17718"/>
    <w:rsid w:val="6CBA7B30"/>
    <w:rsid w:val="6CBF21AD"/>
    <w:rsid w:val="6CC54FFC"/>
    <w:rsid w:val="6CCE0EE6"/>
    <w:rsid w:val="6CD02EB0"/>
    <w:rsid w:val="6CDC4AA9"/>
    <w:rsid w:val="6CDC7AA6"/>
    <w:rsid w:val="6CE3610E"/>
    <w:rsid w:val="6CF938AA"/>
    <w:rsid w:val="6D1A08EA"/>
    <w:rsid w:val="6D1C60F5"/>
    <w:rsid w:val="6D1D6C3D"/>
    <w:rsid w:val="6D21195D"/>
    <w:rsid w:val="6D376864"/>
    <w:rsid w:val="6D3854CB"/>
    <w:rsid w:val="6D4325F6"/>
    <w:rsid w:val="6D52763B"/>
    <w:rsid w:val="6D5C531B"/>
    <w:rsid w:val="6D6C2BD8"/>
    <w:rsid w:val="6D705F3A"/>
    <w:rsid w:val="6D7D2BB9"/>
    <w:rsid w:val="6D8334B6"/>
    <w:rsid w:val="6D8642DA"/>
    <w:rsid w:val="6D88378A"/>
    <w:rsid w:val="6D886F5C"/>
    <w:rsid w:val="6D8D0607"/>
    <w:rsid w:val="6D952BF3"/>
    <w:rsid w:val="6D971619"/>
    <w:rsid w:val="6DB6259F"/>
    <w:rsid w:val="6DD62748"/>
    <w:rsid w:val="6DD93FE6"/>
    <w:rsid w:val="6E181CA5"/>
    <w:rsid w:val="6E3B25AB"/>
    <w:rsid w:val="6E3C5672"/>
    <w:rsid w:val="6E445C92"/>
    <w:rsid w:val="6E4C47B8"/>
    <w:rsid w:val="6E582C2F"/>
    <w:rsid w:val="6E661D1D"/>
    <w:rsid w:val="6E7D0E15"/>
    <w:rsid w:val="6E8403F6"/>
    <w:rsid w:val="6E867086"/>
    <w:rsid w:val="6EA42846"/>
    <w:rsid w:val="6EB56801"/>
    <w:rsid w:val="6EC10D02"/>
    <w:rsid w:val="6ECB2FBC"/>
    <w:rsid w:val="6ED0363B"/>
    <w:rsid w:val="6EDD18B4"/>
    <w:rsid w:val="6EDD3662"/>
    <w:rsid w:val="6EF07839"/>
    <w:rsid w:val="6F0137F4"/>
    <w:rsid w:val="6F072179"/>
    <w:rsid w:val="6F0D3F47"/>
    <w:rsid w:val="6F162869"/>
    <w:rsid w:val="6F1C062E"/>
    <w:rsid w:val="6F2F0361"/>
    <w:rsid w:val="6F342B49"/>
    <w:rsid w:val="6F4778FA"/>
    <w:rsid w:val="6F4A25F7"/>
    <w:rsid w:val="6F5266C2"/>
    <w:rsid w:val="6F545913"/>
    <w:rsid w:val="6F6A3147"/>
    <w:rsid w:val="6F6B5112"/>
    <w:rsid w:val="6F7021A4"/>
    <w:rsid w:val="6F743FC6"/>
    <w:rsid w:val="6F7842B5"/>
    <w:rsid w:val="6F7915DC"/>
    <w:rsid w:val="6F7945FE"/>
    <w:rsid w:val="6FAD1286"/>
    <w:rsid w:val="6FAF4FFE"/>
    <w:rsid w:val="6FBB39A3"/>
    <w:rsid w:val="6FD85974"/>
    <w:rsid w:val="6FDE58E3"/>
    <w:rsid w:val="6FE53D05"/>
    <w:rsid w:val="6FE65D8A"/>
    <w:rsid w:val="6FEA4288"/>
    <w:rsid w:val="7001603B"/>
    <w:rsid w:val="702568DA"/>
    <w:rsid w:val="703B3765"/>
    <w:rsid w:val="703F2826"/>
    <w:rsid w:val="706114DA"/>
    <w:rsid w:val="70850996"/>
    <w:rsid w:val="70926DFA"/>
    <w:rsid w:val="709D754D"/>
    <w:rsid w:val="70AF6840"/>
    <w:rsid w:val="70B160A6"/>
    <w:rsid w:val="70DF7B65"/>
    <w:rsid w:val="70E930EE"/>
    <w:rsid w:val="70F50BC3"/>
    <w:rsid w:val="71114204"/>
    <w:rsid w:val="71233EF6"/>
    <w:rsid w:val="713903D9"/>
    <w:rsid w:val="71503AEC"/>
    <w:rsid w:val="71701911"/>
    <w:rsid w:val="717C3606"/>
    <w:rsid w:val="717F55E2"/>
    <w:rsid w:val="719426FE"/>
    <w:rsid w:val="71A639F6"/>
    <w:rsid w:val="71AD7C63"/>
    <w:rsid w:val="71BD3015"/>
    <w:rsid w:val="71CD79BE"/>
    <w:rsid w:val="71E12468"/>
    <w:rsid w:val="71E573FD"/>
    <w:rsid w:val="71F238C8"/>
    <w:rsid w:val="71F27219"/>
    <w:rsid w:val="71FB277D"/>
    <w:rsid w:val="71FE3535"/>
    <w:rsid w:val="720C498A"/>
    <w:rsid w:val="721101F2"/>
    <w:rsid w:val="72114159"/>
    <w:rsid w:val="723D29FF"/>
    <w:rsid w:val="7249798C"/>
    <w:rsid w:val="7250633A"/>
    <w:rsid w:val="725325B9"/>
    <w:rsid w:val="72534367"/>
    <w:rsid w:val="72560325"/>
    <w:rsid w:val="72621E1D"/>
    <w:rsid w:val="726417BC"/>
    <w:rsid w:val="72730565"/>
    <w:rsid w:val="7278587A"/>
    <w:rsid w:val="72926CC5"/>
    <w:rsid w:val="729527A6"/>
    <w:rsid w:val="72AB41A3"/>
    <w:rsid w:val="72B2345F"/>
    <w:rsid w:val="72E9602E"/>
    <w:rsid w:val="72F2770D"/>
    <w:rsid w:val="72F378F8"/>
    <w:rsid w:val="72FC71B7"/>
    <w:rsid w:val="73337CF4"/>
    <w:rsid w:val="73386A9C"/>
    <w:rsid w:val="733B7F01"/>
    <w:rsid w:val="734D7008"/>
    <w:rsid w:val="73567F3F"/>
    <w:rsid w:val="73647B24"/>
    <w:rsid w:val="7366631C"/>
    <w:rsid w:val="736B446B"/>
    <w:rsid w:val="736B748E"/>
    <w:rsid w:val="736C3AB2"/>
    <w:rsid w:val="738C0A61"/>
    <w:rsid w:val="73A11102"/>
    <w:rsid w:val="73A66718"/>
    <w:rsid w:val="73C13552"/>
    <w:rsid w:val="73CA763E"/>
    <w:rsid w:val="73E57241"/>
    <w:rsid w:val="73F562B7"/>
    <w:rsid w:val="73F628F2"/>
    <w:rsid w:val="74063EB0"/>
    <w:rsid w:val="741208D9"/>
    <w:rsid w:val="741E2752"/>
    <w:rsid w:val="74372F8A"/>
    <w:rsid w:val="746A3BEA"/>
    <w:rsid w:val="746F2FAE"/>
    <w:rsid w:val="746F7452"/>
    <w:rsid w:val="74806F69"/>
    <w:rsid w:val="74822CE1"/>
    <w:rsid w:val="749374E7"/>
    <w:rsid w:val="74A97ED9"/>
    <w:rsid w:val="74F449F1"/>
    <w:rsid w:val="74FA4F6E"/>
    <w:rsid w:val="74FD57FA"/>
    <w:rsid w:val="7516167C"/>
    <w:rsid w:val="75175B20"/>
    <w:rsid w:val="75284254"/>
    <w:rsid w:val="75387844"/>
    <w:rsid w:val="75392A04"/>
    <w:rsid w:val="75504B8E"/>
    <w:rsid w:val="755C72B9"/>
    <w:rsid w:val="75616258"/>
    <w:rsid w:val="75671ED7"/>
    <w:rsid w:val="756E770A"/>
    <w:rsid w:val="75802C86"/>
    <w:rsid w:val="75930567"/>
    <w:rsid w:val="75941C40"/>
    <w:rsid w:val="75A94C18"/>
    <w:rsid w:val="75AA6219"/>
    <w:rsid w:val="75AE293F"/>
    <w:rsid w:val="75B658E9"/>
    <w:rsid w:val="75BE1A0D"/>
    <w:rsid w:val="75BF3AC1"/>
    <w:rsid w:val="75DE139E"/>
    <w:rsid w:val="75DE44C7"/>
    <w:rsid w:val="75EB0D5A"/>
    <w:rsid w:val="75F068BC"/>
    <w:rsid w:val="75FE6CDF"/>
    <w:rsid w:val="76156E25"/>
    <w:rsid w:val="7633600E"/>
    <w:rsid w:val="763D65C0"/>
    <w:rsid w:val="763E77BB"/>
    <w:rsid w:val="764A3CD3"/>
    <w:rsid w:val="765972B7"/>
    <w:rsid w:val="76687A59"/>
    <w:rsid w:val="766D176F"/>
    <w:rsid w:val="766F54E7"/>
    <w:rsid w:val="768947FB"/>
    <w:rsid w:val="769B008A"/>
    <w:rsid w:val="76A21419"/>
    <w:rsid w:val="76D54F6D"/>
    <w:rsid w:val="76D761F1"/>
    <w:rsid w:val="76E60F22"/>
    <w:rsid w:val="76E648CE"/>
    <w:rsid w:val="76EB5852"/>
    <w:rsid w:val="76F616DA"/>
    <w:rsid w:val="76F934D3"/>
    <w:rsid w:val="76FA74A7"/>
    <w:rsid w:val="76FB321F"/>
    <w:rsid w:val="770357B0"/>
    <w:rsid w:val="770E6AAE"/>
    <w:rsid w:val="7716368F"/>
    <w:rsid w:val="7729101E"/>
    <w:rsid w:val="77332487"/>
    <w:rsid w:val="77393EC6"/>
    <w:rsid w:val="77471FC0"/>
    <w:rsid w:val="775972A4"/>
    <w:rsid w:val="777D3C34"/>
    <w:rsid w:val="779B5634"/>
    <w:rsid w:val="77A45665"/>
    <w:rsid w:val="77E12415"/>
    <w:rsid w:val="77F55EC0"/>
    <w:rsid w:val="77F63F97"/>
    <w:rsid w:val="77FD31EB"/>
    <w:rsid w:val="78066947"/>
    <w:rsid w:val="78117B56"/>
    <w:rsid w:val="782347DB"/>
    <w:rsid w:val="78355747"/>
    <w:rsid w:val="783F4502"/>
    <w:rsid w:val="784A7FBA"/>
    <w:rsid w:val="785717E6"/>
    <w:rsid w:val="785B5D23"/>
    <w:rsid w:val="78656AF6"/>
    <w:rsid w:val="78743289"/>
    <w:rsid w:val="7875195C"/>
    <w:rsid w:val="78774B27"/>
    <w:rsid w:val="787D038F"/>
    <w:rsid w:val="78801C2E"/>
    <w:rsid w:val="788039DC"/>
    <w:rsid w:val="788621C1"/>
    <w:rsid w:val="78980FD3"/>
    <w:rsid w:val="78B20672"/>
    <w:rsid w:val="78B8118C"/>
    <w:rsid w:val="78D87374"/>
    <w:rsid w:val="78E16960"/>
    <w:rsid w:val="78F67B51"/>
    <w:rsid w:val="78F9116A"/>
    <w:rsid w:val="79022643"/>
    <w:rsid w:val="790E0FE8"/>
    <w:rsid w:val="79112886"/>
    <w:rsid w:val="7912266A"/>
    <w:rsid w:val="79270822"/>
    <w:rsid w:val="792F7A36"/>
    <w:rsid w:val="79440EAD"/>
    <w:rsid w:val="795779A3"/>
    <w:rsid w:val="79637BA5"/>
    <w:rsid w:val="79780B57"/>
    <w:rsid w:val="798B44E4"/>
    <w:rsid w:val="79921A5A"/>
    <w:rsid w:val="79982FA7"/>
    <w:rsid w:val="79A656C4"/>
    <w:rsid w:val="79A67B25"/>
    <w:rsid w:val="79AE33FF"/>
    <w:rsid w:val="79C478F8"/>
    <w:rsid w:val="79C626C5"/>
    <w:rsid w:val="79D15216"/>
    <w:rsid w:val="7A020420"/>
    <w:rsid w:val="7A0D5743"/>
    <w:rsid w:val="7A11270B"/>
    <w:rsid w:val="7A170370"/>
    <w:rsid w:val="7A1D7C7E"/>
    <w:rsid w:val="7A301431"/>
    <w:rsid w:val="7A401675"/>
    <w:rsid w:val="7A5C5D83"/>
    <w:rsid w:val="7A971FF4"/>
    <w:rsid w:val="7AA634A2"/>
    <w:rsid w:val="7AC73B44"/>
    <w:rsid w:val="7AD16771"/>
    <w:rsid w:val="7AD26045"/>
    <w:rsid w:val="7AD32730"/>
    <w:rsid w:val="7AF1345E"/>
    <w:rsid w:val="7AF45996"/>
    <w:rsid w:val="7AF8357A"/>
    <w:rsid w:val="7B110BEF"/>
    <w:rsid w:val="7B114DBF"/>
    <w:rsid w:val="7B1D3764"/>
    <w:rsid w:val="7B3E48AE"/>
    <w:rsid w:val="7B446F42"/>
    <w:rsid w:val="7B485AB9"/>
    <w:rsid w:val="7B500173"/>
    <w:rsid w:val="7B5D2CE8"/>
    <w:rsid w:val="7B65538C"/>
    <w:rsid w:val="7B6E0BA2"/>
    <w:rsid w:val="7B7A3503"/>
    <w:rsid w:val="7B882549"/>
    <w:rsid w:val="7B907A76"/>
    <w:rsid w:val="7BA06E4E"/>
    <w:rsid w:val="7BAE67BE"/>
    <w:rsid w:val="7BB35E76"/>
    <w:rsid w:val="7BBC11CF"/>
    <w:rsid w:val="7BC97448"/>
    <w:rsid w:val="7BD302C6"/>
    <w:rsid w:val="7BD86E40"/>
    <w:rsid w:val="7BDB63FB"/>
    <w:rsid w:val="7BDF086B"/>
    <w:rsid w:val="7BF00E78"/>
    <w:rsid w:val="7BF42D23"/>
    <w:rsid w:val="7BFA3AA5"/>
    <w:rsid w:val="7C01500C"/>
    <w:rsid w:val="7C176CAE"/>
    <w:rsid w:val="7C1C1C6D"/>
    <w:rsid w:val="7C2B1EB0"/>
    <w:rsid w:val="7C2D3366"/>
    <w:rsid w:val="7C4057A0"/>
    <w:rsid w:val="7C632026"/>
    <w:rsid w:val="7C772668"/>
    <w:rsid w:val="7C7970C0"/>
    <w:rsid w:val="7C8F4DBF"/>
    <w:rsid w:val="7CAF2532"/>
    <w:rsid w:val="7CB34FAC"/>
    <w:rsid w:val="7CB93960"/>
    <w:rsid w:val="7CE56503"/>
    <w:rsid w:val="7CFE4690"/>
    <w:rsid w:val="7D053C26"/>
    <w:rsid w:val="7D126BCC"/>
    <w:rsid w:val="7D1F3A99"/>
    <w:rsid w:val="7D1F6674"/>
    <w:rsid w:val="7D254B52"/>
    <w:rsid w:val="7D2B1AD4"/>
    <w:rsid w:val="7D2F3A6C"/>
    <w:rsid w:val="7D486CEB"/>
    <w:rsid w:val="7D494CE4"/>
    <w:rsid w:val="7D4C20DE"/>
    <w:rsid w:val="7D4D5E56"/>
    <w:rsid w:val="7D576EB5"/>
    <w:rsid w:val="7D6C175B"/>
    <w:rsid w:val="7D7358BD"/>
    <w:rsid w:val="7D960302"/>
    <w:rsid w:val="7D9F1E43"/>
    <w:rsid w:val="7DA204B4"/>
    <w:rsid w:val="7DAC4F63"/>
    <w:rsid w:val="7DAC5273"/>
    <w:rsid w:val="7DAE503C"/>
    <w:rsid w:val="7DB44983"/>
    <w:rsid w:val="7DBB54B6"/>
    <w:rsid w:val="7DBF5DD1"/>
    <w:rsid w:val="7DC75C09"/>
    <w:rsid w:val="7DDD367E"/>
    <w:rsid w:val="7DDD60D6"/>
    <w:rsid w:val="7DE14B95"/>
    <w:rsid w:val="7DF27D2C"/>
    <w:rsid w:val="7DF85F10"/>
    <w:rsid w:val="7DFC0E94"/>
    <w:rsid w:val="7E0155BF"/>
    <w:rsid w:val="7E0724A9"/>
    <w:rsid w:val="7E292420"/>
    <w:rsid w:val="7E3C05ED"/>
    <w:rsid w:val="7E5C27F5"/>
    <w:rsid w:val="7E6A6555"/>
    <w:rsid w:val="7E7062A0"/>
    <w:rsid w:val="7E791376"/>
    <w:rsid w:val="7E7A0ECD"/>
    <w:rsid w:val="7E7A606B"/>
    <w:rsid w:val="7E7F4735"/>
    <w:rsid w:val="7E8407F5"/>
    <w:rsid w:val="7E872768"/>
    <w:rsid w:val="7E910B9D"/>
    <w:rsid w:val="7E963B37"/>
    <w:rsid w:val="7EA23B31"/>
    <w:rsid w:val="7EAA7A04"/>
    <w:rsid w:val="7EB048EF"/>
    <w:rsid w:val="7EBD04ED"/>
    <w:rsid w:val="7ED24865"/>
    <w:rsid w:val="7ED56104"/>
    <w:rsid w:val="7EF24F07"/>
    <w:rsid w:val="7EF70770"/>
    <w:rsid w:val="7EF96296"/>
    <w:rsid w:val="7F091DB7"/>
    <w:rsid w:val="7F0D1E4F"/>
    <w:rsid w:val="7F10538E"/>
    <w:rsid w:val="7F150A55"/>
    <w:rsid w:val="7F2C0419"/>
    <w:rsid w:val="7F54171E"/>
    <w:rsid w:val="7F606315"/>
    <w:rsid w:val="7F7A07E2"/>
    <w:rsid w:val="7F8C0926"/>
    <w:rsid w:val="7F967F89"/>
    <w:rsid w:val="7FCA378E"/>
    <w:rsid w:val="7FCC301A"/>
    <w:rsid w:val="7FE42AA2"/>
    <w:rsid w:val="7FF54CAF"/>
    <w:rsid w:val="7FF60A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iPriority="0" w:semiHidden="0" w:name="heading 8"/>
    <w:lsdException w:qFormat="1" w:unhideWhenUsed="0" w:uiPriority="0" w:semiHidden="0" w:name="heading 9"/>
    <w:lsdException w:qFormat="1" w:uiPriority="0" w:name="index 1"/>
    <w:lsdException w:qFormat="1" w:uiPriority="0" w:name="index 2"/>
    <w:lsdException w:qFormat="1" w:uiPriority="0" w:name="index 3"/>
    <w:lsdException w:qFormat="1" w:uiPriority="0" w:name="index 4"/>
    <w:lsdException w:qFormat="1" w:uiPriority="0" w:name="index 5"/>
    <w:lsdException w:qFormat="1" w:uiPriority="0" w:name="index 6"/>
    <w:lsdException w:qFormat="1" w:uiPriority="0" w:name="index 7"/>
    <w:lsdException w:qFormat="1" w:uiPriority="0"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nhideWhenUsed="0"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仿宋" w:hAnsi="仿宋" w:eastAsia="仿宋" w:cstheme="minorBidi"/>
      <w:kern w:val="2"/>
      <w:sz w:val="28"/>
      <w:szCs w:val="22"/>
      <w:lang w:val="en-US" w:eastAsia="zh-CN" w:bidi="ar-SA"/>
    </w:rPr>
  </w:style>
  <w:style w:type="paragraph" w:styleId="3">
    <w:name w:val="heading 1"/>
    <w:basedOn w:val="1"/>
    <w:next w:val="1"/>
    <w:link w:val="68"/>
    <w:qFormat/>
    <w:uiPriority w:val="0"/>
    <w:pPr>
      <w:keepNext/>
      <w:keepLines/>
      <w:pageBreakBefore/>
      <w:numPr>
        <w:ilvl w:val="0"/>
        <w:numId w:val="1"/>
      </w:numPr>
      <w:tabs>
        <w:tab w:val="left" w:pos="0"/>
        <w:tab w:val="left" w:pos="480"/>
      </w:tabs>
      <w:adjustRightInd w:val="0"/>
      <w:snapToGrid w:val="0"/>
      <w:spacing w:before="120" w:after="120"/>
      <w:ind w:left="0" w:firstLine="0" w:firstLineChars="0"/>
      <w:jc w:val="center"/>
      <w:outlineLvl w:val="0"/>
    </w:pPr>
    <w:rPr>
      <w:rFonts w:ascii="Times New Roman" w:hAnsi="Times New Roman" w:eastAsia="黑体" w:cs="Times New Roman"/>
      <w:bCs/>
      <w:kern w:val="44"/>
      <w:szCs w:val="28"/>
    </w:rPr>
  </w:style>
  <w:style w:type="paragraph" w:styleId="4">
    <w:name w:val="heading 2"/>
    <w:basedOn w:val="1"/>
    <w:next w:val="1"/>
    <w:link w:val="38"/>
    <w:autoRedefine/>
    <w:qFormat/>
    <w:uiPriority w:val="0"/>
    <w:pPr>
      <w:keepNext/>
      <w:keepLines/>
      <w:numPr>
        <w:ilvl w:val="1"/>
        <w:numId w:val="1"/>
      </w:numPr>
      <w:tabs>
        <w:tab w:val="left" w:pos="0"/>
        <w:tab w:val="left" w:pos="480"/>
      </w:tabs>
      <w:spacing w:before="120" w:after="120"/>
      <w:ind w:left="573" w:hanging="573" w:firstLineChars="0"/>
      <w:jc w:val="left"/>
      <w:outlineLvl w:val="1"/>
    </w:pPr>
    <w:rPr>
      <w:rFonts w:ascii="Times New Roman" w:hAnsi="Times New Roman" w:eastAsia="黑体" w:cs="Times New Roman"/>
      <w:bCs/>
      <w:kern w:val="44"/>
      <w:szCs w:val="28"/>
    </w:rPr>
  </w:style>
  <w:style w:type="paragraph" w:styleId="5">
    <w:name w:val="heading 3"/>
    <w:basedOn w:val="1"/>
    <w:next w:val="1"/>
    <w:link w:val="39"/>
    <w:autoRedefine/>
    <w:qFormat/>
    <w:uiPriority w:val="0"/>
    <w:pPr>
      <w:keepNext/>
      <w:keepLines/>
      <w:widowControl/>
      <w:numPr>
        <w:ilvl w:val="2"/>
        <w:numId w:val="1"/>
      </w:numPr>
      <w:tabs>
        <w:tab w:val="left" w:pos="0"/>
        <w:tab w:val="left" w:pos="672"/>
      </w:tabs>
      <w:spacing w:before="120" w:after="120"/>
      <w:ind w:left="0" w:firstLine="0" w:firstLineChars="0"/>
      <w:jc w:val="left"/>
      <w:outlineLvl w:val="2"/>
    </w:pPr>
    <w:rPr>
      <w:rFonts w:ascii="Times New Roman" w:hAnsi="Times New Roman" w:eastAsia="黑体" w:cs="Times New Roman"/>
      <w:kern w:val="44"/>
      <w:szCs w:val="28"/>
    </w:rPr>
  </w:style>
  <w:style w:type="paragraph" w:styleId="6">
    <w:name w:val="heading 4"/>
    <w:basedOn w:val="1"/>
    <w:next w:val="1"/>
    <w:link w:val="40"/>
    <w:qFormat/>
    <w:uiPriority w:val="0"/>
    <w:pPr>
      <w:keepNext/>
      <w:keepLines/>
      <w:widowControl/>
      <w:numPr>
        <w:ilvl w:val="3"/>
        <w:numId w:val="1"/>
      </w:numPr>
      <w:tabs>
        <w:tab w:val="left" w:pos="0"/>
        <w:tab w:val="left" w:pos="912"/>
        <w:tab w:val="left" w:pos="1080"/>
      </w:tabs>
      <w:spacing w:before="120" w:after="120"/>
      <w:ind w:left="0" w:firstLine="0" w:firstLineChars="0"/>
      <w:jc w:val="left"/>
      <w:outlineLvl w:val="3"/>
    </w:pPr>
    <w:rPr>
      <w:rFonts w:ascii="Times New Roman" w:hAnsi="Times New Roman" w:eastAsia="黑体" w:cs="Times New Roman"/>
      <w:bCs/>
      <w:kern w:val="44"/>
      <w:szCs w:val="28"/>
    </w:rPr>
  </w:style>
  <w:style w:type="paragraph" w:styleId="7">
    <w:name w:val="heading 5"/>
    <w:basedOn w:val="1"/>
    <w:next w:val="1"/>
    <w:link w:val="48"/>
    <w:autoRedefine/>
    <w:qFormat/>
    <w:uiPriority w:val="0"/>
    <w:pPr>
      <w:keepNext/>
      <w:keepLines/>
      <w:widowControl/>
      <w:numPr>
        <w:ilvl w:val="4"/>
        <w:numId w:val="1"/>
      </w:numPr>
      <w:tabs>
        <w:tab w:val="left" w:pos="0"/>
        <w:tab w:val="left" w:pos="912"/>
        <w:tab w:val="left" w:pos="1080"/>
      </w:tabs>
      <w:spacing w:before="120" w:after="120"/>
      <w:ind w:left="1009" w:hanging="1009" w:firstLineChars="0"/>
      <w:jc w:val="left"/>
      <w:outlineLvl w:val="4"/>
    </w:pPr>
    <w:rPr>
      <w:rFonts w:ascii="Times New Roman" w:hAnsi="Times New Roman" w:eastAsia="黑体" w:cs="Times New Roman"/>
      <w:bCs/>
      <w:kern w:val="44"/>
      <w:szCs w:val="28"/>
    </w:rPr>
  </w:style>
  <w:style w:type="paragraph" w:styleId="8">
    <w:name w:val="heading 6"/>
    <w:basedOn w:val="1"/>
    <w:next w:val="1"/>
    <w:link w:val="49"/>
    <w:autoRedefine/>
    <w:qFormat/>
    <w:uiPriority w:val="0"/>
    <w:pPr>
      <w:keepNext/>
      <w:keepLines/>
      <w:widowControl/>
      <w:numPr>
        <w:ilvl w:val="5"/>
        <w:numId w:val="1"/>
      </w:numPr>
      <w:spacing w:before="120" w:after="120"/>
      <w:ind w:left="0" w:firstLine="0" w:firstLineChars="0"/>
      <w:jc w:val="left"/>
      <w:outlineLvl w:val="5"/>
    </w:pPr>
    <w:rPr>
      <w:rFonts w:ascii="Times New Roman" w:hAnsi="Times New Roman" w:eastAsia="黑体" w:cs="Times New Roman"/>
      <w:bCs/>
      <w:kern w:val="44"/>
      <w:szCs w:val="28"/>
    </w:rPr>
  </w:style>
  <w:style w:type="paragraph" w:styleId="9">
    <w:name w:val="heading 7"/>
    <w:basedOn w:val="1"/>
    <w:next w:val="1"/>
    <w:link w:val="44"/>
    <w:autoRedefine/>
    <w:qFormat/>
    <w:uiPriority w:val="0"/>
    <w:pPr>
      <w:keepNext/>
      <w:keepLines/>
      <w:widowControl/>
      <w:numPr>
        <w:ilvl w:val="6"/>
        <w:numId w:val="1"/>
      </w:numPr>
      <w:spacing w:before="120" w:after="120"/>
      <w:ind w:left="1298" w:hanging="1298" w:firstLineChars="0"/>
      <w:jc w:val="left"/>
      <w:outlineLvl w:val="6"/>
    </w:pPr>
    <w:rPr>
      <w:rFonts w:ascii="Times New Roman" w:hAnsi="Times New Roman" w:eastAsia="黑体" w:cs="Times New Roman"/>
      <w:bCs/>
      <w:kern w:val="44"/>
      <w:szCs w:val="28"/>
    </w:rPr>
  </w:style>
  <w:style w:type="paragraph" w:styleId="10">
    <w:name w:val="heading 8"/>
    <w:basedOn w:val="1"/>
    <w:next w:val="1"/>
    <w:link w:val="42"/>
    <w:autoRedefine/>
    <w:unhideWhenUsed/>
    <w:qFormat/>
    <w:uiPriority w:val="0"/>
    <w:pPr>
      <w:keepNext/>
      <w:keepLines/>
      <w:numPr>
        <w:ilvl w:val="7"/>
        <w:numId w:val="1"/>
      </w:numPr>
      <w:tabs>
        <w:tab w:val="left" w:pos="0"/>
        <w:tab w:val="left" w:pos="210"/>
      </w:tabs>
      <w:ind w:left="0" w:firstLine="0" w:firstLineChars="0"/>
      <w:jc w:val="center"/>
      <w:outlineLvl w:val="7"/>
    </w:pPr>
    <w:rPr>
      <w:rFonts w:ascii="Times New Roman" w:hAnsi="Times New Roman" w:eastAsia="黑体" w:cs="Times New Roman"/>
      <w:szCs w:val="24"/>
    </w:rPr>
  </w:style>
  <w:style w:type="paragraph" w:styleId="11">
    <w:name w:val="heading 9"/>
    <w:basedOn w:val="1"/>
    <w:next w:val="1"/>
    <w:link w:val="43"/>
    <w:autoRedefine/>
    <w:qFormat/>
    <w:uiPriority w:val="0"/>
    <w:pPr>
      <w:keepLines/>
      <w:widowControl/>
      <w:numPr>
        <w:ilvl w:val="8"/>
        <w:numId w:val="1"/>
      </w:numPr>
      <w:tabs>
        <w:tab w:val="left" w:pos="0"/>
        <w:tab w:val="left" w:pos="105"/>
      </w:tabs>
      <w:ind w:firstLineChars="0"/>
      <w:jc w:val="center"/>
      <w:outlineLvl w:val="8"/>
    </w:pPr>
    <w:rPr>
      <w:rFonts w:ascii="Times New Roman" w:hAnsi="Times New Roman" w:eastAsia="宋体" w:cs="Times New Roman"/>
      <w:b/>
      <w:szCs w:val="24"/>
    </w:rPr>
  </w:style>
  <w:style w:type="character" w:default="1" w:styleId="33">
    <w:name w:val="Default Paragraph Font"/>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customStyle="1" w:styleId="2">
    <w:name w:val="UserStyle_0"/>
    <w:basedOn w:val="1"/>
    <w:next w:val="1"/>
    <w:qFormat/>
    <w:uiPriority w:val="0"/>
    <w:pPr>
      <w:widowControl/>
      <w:spacing w:beforeAutospacing="1"/>
      <w:ind w:firstLine="420"/>
      <w:textAlignment w:val="baseline"/>
    </w:pPr>
  </w:style>
  <w:style w:type="paragraph" w:styleId="12">
    <w:name w:val="toc 7"/>
    <w:basedOn w:val="1"/>
    <w:next w:val="1"/>
    <w:autoRedefine/>
    <w:unhideWhenUsed/>
    <w:qFormat/>
    <w:uiPriority w:val="39"/>
    <w:pPr>
      <w:ind w:left="1680"/>
      <w:jc w:val="left"/>
    </w:pPr>
    <w:rPr>
      <w:rFonts w:asciiTheme="minorHAnsi" w:eastAsiaTheme="minorHAnsi"/>
      <w:sz w:val="18"/>
      <w:szCs w:val="18"/>
    </w:rPr>
  </w:style>
  <w:style w:type="paragraph" w:styleId="13">
    <w:name w:val="Normal Indent"/>
    <w:basedOn w:val="1"/>
    <w:autoRedefine/>
    <w:qFormat/>
    <w:uiPriority w:val="0"/>
    <w:pPr>
      <w:ind w:firstLine="420"/>
    </w:pPr>
    <w:rPr>
      <w:rFonts w:asciiTheme="minorHAnsi" w:hAnsiTheme="minorHAnsi"/>
      <w:sz w:val="21"/>
    </w:rPr>
  </w:style>
  <w:style w:type="paragraph" w:styleId="14">
    <w:name w:val="annotation text"/>
    <w:basedOn w:val="1"/>
    <w:link w:val="65"/>
    <w:autoRedefine/>
    <w:qFormat/>
    <w:uiPriority w:val="0"/>
  </w:style>
  <w:style w:type="paragraph" w:styleId="15">
    <w:name w:val="Body Text"/>
    <w:basedOn w:val="1"/>
    <w:next w:val="1"/>
    <w:autoRedefine/>
    <w:qFormat/>
    <w:uiPriority w:val="1"/>
    <w:pPr>
      <w:spacing w:before="55"/>
      <w:ind w:left="122"/>
      <w:jc w:val="left"/>
    </w:pPr>
    <w:rPr>
      <w:kern w:val="0"/>
      <w:lang w:eastAsia="en-US"/>
    </w:rPr>
  </w:style>
  <w:style w:type="paragraph" w:styleId="16">
    <w:name w:val="Body Text Indent"/>
    <w:basedOn w:val="1"/>
    <w:next w:val="1"/>
    <w:autoRedefine/>
    <w:unhideWhenUsed/>
    <w:qFormat/>
    <w:uiPriority w:val="99"/>
    <w:pPr>
      <w:spacing w:after="120"/>
      <w:ind w:left="420" w:leftChars="200"/>
    </w:pPr>
  </w:style>
  <w:style w:type="paragraph" w:styleId="17">
    <w:name w:val="toc 5"/>
    <w:basedOn w:val="1"/>
    <w:next w:val="1"/>
    <w:autoRedefine/>
    <w:unhideWhenUsed/>
    <w:qFormat/>
    <w:uiPriority w:val="39"/>
    <w:pPr>
      <w:ind w:left="1120"/>
      <w:jc w:val="left"/>
    </w:pPr>
    <w:rPr>
      <w:rFonts w:asciiTheme="minorHAnsi" w:eastAsiaTheme="minorHAnsi"/>
      <w:sz w:val="18"/>
      <w:szCs w:val="18"/>
    </w:rPr>
  </w:style>
  <w:style w:type="paragraph" w:styleId="18">
    <w:name w:val="toc 3"/>
    <w:basedOn w:val="1"/>
    <w:next w:val="1"/>
    <w:autoRedefine/>
    <w:unhideWhenUsed/>
    <w:qFormat/>
    <w:uiPriority w:val="39"/>
    <w:pPr>
      <w:ind w:left="560"/>
      <w:jc w:val="left"/>
    </w:pPr>
    <w:rPr>
      <w:rFonts w:eastAsia="仿宋_GB2312" w:asciiTheme="minorHAnsi"/>
      <w:i/>
      <w:iCs/>
      <w:sz w:val="20"/>
      <w:szCs w:val="20"/>
    </w:rPr>
  </w:style>
  <w:style w:type="paragraph" w:styleId="19">
    <w:name w:val="Plain Text"/>
    <w:basedOn w:val="1"/>
    <w:next w:val="1"/>
    <w:autoRedefine/>
    <w:qFormat/>
    <w:uiPriority w:val="0"/>
    <w:pPr>
      <w:spacing w:line="240" w:lineRule="auto"/>
    </w:pPr>
    <w:rPr>
      <w:rFonts w:ascii="宋体" w:hAnsi="Courier New" w:cs="Times New Roman"/>
      <w:sz w:val="21"/>
      <w:szCs w:val="20"/>
    </w:rPr>
  </w:style>
  <w:style w:type="paragraph" w:styleId="20">
    <w:name w:val="toc 8"/>
    <w:basedOn w:val="1"/>
    <w:next w:val="1"/>
    <w:autoRedefine/>
    <w:unhideWhenUsed/>
    <w:qFormat/>
    <w:uiPriority w:val="39"/>
    <w:pPr>
      <w:ind w:left="1960"/>
      <w:jc w:val="left"/>
    </w:pPr>
    <w:rPr>
      <w:rFonts w:asciiTheme="minorHAnsi" w:eastAsiaTheme="minorHAnsi"/>
      <w:sz w:val="18"/>
      <w:szCs w:val="18"/>
    </w:rPr>
  </w:style>
  <w:style w:type="paragraph" w:styleId="21">
    <w:name w:val="footer"/>
    <w:basedOn w:val="1"/>
    <w:autoRedefine/>
    <w:unhideWhenUsed/>
    <w:qFormat/>
    <w:uiPriority w:val="99"/>
    <w:pPr>
      <w:tabs>
        <w:tab w:val="center" w:pos="4153"/>
        <w:tab w:val="right" w:pos="8306"/>
      </w:tabs>
      <w:snapToGrid w:val="0"/>
      <w:jc w:val="left"/>
    </w:pPr>
    <w:rPr>
      <w:sz w:val="18"/>
      <w:szCs w:val="18"/>
    </w:rPr>
  </w:style>
  <w:style w:type="paragraph" w:styleId="22">
    <w:name w:val="header"/>
    <w:basedOn w:val="1"/>
    <w:autoRedefine/>
    <w:unhideWhenUsed/>
    <w:qFormat/>
    <w:uiPriority w:val="99"/>
    <w:pPr>
      <w:pBdr>
        <w:bottom w:val="single" w:color="auto" w:sz="6" w:space="1"/>
      </w:pBdr>
      <w:tabs>
        <w:tab w:val="center" w:pos="4153"/>
        <w:tab w:val="right" w:pos="8306"/>
      </w:tabs>
      <w:snapToGrid w:val="0"/>
      <w:jc w:val="center"/>
    </w:pPr>
    <w:rPr>
      <w:rFonts w:ascii="Times New Roman" w:hAnsi="Times New Roman"/>
      <w:sz w:val="24"/>
      <w:szCs w:val="18"/>
    </w:rPr>
  </w:style>
  <w:style w:type="paragraph" w:styleId="23">
    <w:name w:val="toc 1"/>
    <w:basedOn w:val="1"/>
    <w:next w:val="1"/>
    <w:autoRedefine/>
    <w:unhideWhenUsed/>
    <w:qFormat/>
    <w:uiPriority w:val="39"/>
    <w:pPr>
      <w:spacing w:before="120" w:after="120"/>
      <w:jc w:val="left"/>
    </w:pPr>
    <w:rPr>
      <w:rFonts w:eastAsia="仿宋_GB2312" w:asciiTheme="minorHAnsi"/>
      <w:b/>
      <w:bCs/>
      <w:caps/>
      <w:sz w:val="20"/>
      <w:szCs w:val="20"/>
    </w:rPr>
  </w:style>
  <w:style w:type="paragraph" w:styleId="24">
    <w:name w:val="toc 4"/>
    <w:basedOn w:val="1"/>
    <w:next w:val="1"/>
    <w:autoRedefine/>
    <w:unhideWhenUsed/>
    <w:qFormat/>
    <w:uiPriority w:val="39"/>
    <w:pPr>
      <w:ind w:left="840"/>
      <w:jc w:val="left"/>
    </w:pPr>
    <w:rPr>
      <w:rFonts w:asciiTheme="minorHAnsi" w:eastAsiaTheme="minorHAnsi"/>
      <w:sz w:val="18"/>
      <w:szCs w:val="18"/>
    </w:rPr>
  </w:style>
  <w:style w:type="paragraph" w:styleId="25">
    <w:name w:val="toc 6"/>
    <w:basedOn w:val="1"/>
    <w:next w:val="1"/>
    <w:autoRedefine/>
    <w:unhideWhenUsed/>
    <w:qFormat/>
    <w:uiPriority w:val="39"/>
    <w:pPr>
      <w:ind w:left="1400"/>
      <w:jc w:val="left"/>
    </w:pPr>
    <w:rPr>
      <w:rFonts w:asciiTheme="minorHAnsi" w:eastAsiaTheme="minorHAnsi"/>
      <w:sz w:val="18"/>
      <w:szCs w:val="18"/>
    </w:rPr>
  </w:style>
  <w:style w:type="paragraph" w:styleId="26">
    <w:name w:val="toc 2"/>
    <w:basedOn w:val="1"/>
    <w:next w:val="1"/>
    <w:autoRedefine/>
    <w:unhideWhenUsed/>
    <w:qFormat/>
    <w:uiPriority w:val="39"/>
    <w:pPr>
      <w:ind w:left="280"/>
      <w:jc w:val="left"/>
    </w:pPr>
    <w:rPr>
      <w:rFonts w:eastAsia="仿宋_GB2312" w:asciiTheme="minorHAnsi"/>
      <w:smallCaps/>
      <w:sz w:val="20"/>
      <w:szCs w:val="20"/>
    </w:rPr>
  </w:style>
  <w:style w:type="paragraph" w:styleId="27">
    <w:name w:val="toc 9"/>
    <w:basedOn w:val="1"/>
    <w:next w:val="1"/>
    <w:autoRedefine/>
    <w:unhideWhenUsed/>
    <w:qFormat/>
    <w:uiPriority w:val="39"/>
    <w:pPr>
      <w:ind w:left="2240"/>
      <w:jc w:val="left"/>
    </w:pPr>
    <w:rPr>
      <w:rFonts w:asciiTheme="minorHAnsi" w:eastAsiaTheme="minorHAnsi"/>
      <w:sz w:val="18"/>
      <w:szCs w:val="18"/>
    </w:rPr>
  </w:style>
  <w:style w:type="paragraph" w:styleId="28">
    <w:name w:val="Normal (Web)"/>
    <w:basedOn w:val="1"/>
    <w:autoRedefine/>
    <w:qFormat/>
    <w:uiPriority w:val="0"/>
    <w:pPr>
      <w:spacing w:beforeAutospacing="1" w:afterAutospacing="1"/>
      <w:jc w:val="left"/>
    </w:pPr>
    <w:rPr>
      <w:rFonts w:cs="Times New Roman"/>
      <w:kern w:val="0"/>
      <w:sz w:val="24"/>
    </w:rPr>
  </w:style>
  <w:style w:type="paragraph" w:styleId="29">
    <w:name w:val="annotation subject"/>
    <w:basedOn w:val="14"/>
    <w:next w:val="14"/>
    <w:link w:val="66"/>
    <w:semiHidden/>
    <w:unhideWhenUsed/>
    <w:qFormat/>
    <w:uiPriority w:val="99"/>
    <w:pPr>
      <w:jc w:val="left"/>
    </w:pPr>
    <w:rPr>
      <w:b/>
      <w:bCs/>
    </w:rPr>
  </w:style>
  <w:style w:type="paragraph" w:styleId="30">
    <w:name w:val="Body Text First Indent 2"/>
    <w:basedOn w:val="16"/>
    <w:next w:val="16"/>
    <w:autoRedefine/>
    <w:unhideWhenUsed/>
    <w:qFormat/>
    <w:uiPriority w:val="99"/>
    <w:pPr>
      <w:spacing w:after="0"/>
      <w:ind w:left="0" w:leftChars="0"/>
    </w:pPr>
  </w:style>
  <w:style w:type="table" w:styleId="32">
    <w:name w:val="Table Grid"/>
    <w:basedOn w:val="3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basedOn w:val="33"/>
    <w:qFormat/>
    <w:uiPriority w:val="0"/>
    <w:rPr>
      <w:b/>
    </w:rPr>
  </w:style>
  <w:style w:type="character" w:styleId="35">
    <w:name w:val="Emphasis"/>
    <w:basedOn w:val="33"/>
    <w:qFormat/>
    <w:uiPriority w:val="20"/>
    <w:rPr>
      <w:i/>
    </w:rPr>
  </w:style>
  <w:style w:type="character" w:styleId="36">
    <w:name w:val="Hyperlink"/>
    <w:basedOn w:val="33"/>
    <w:unhideWhenUsed/>
    <w:qFormat/>
    <w:uiPriority w:val="99"/>
    <w:rPr>
      <w:color w:val="0563C1" w:themeColor="hyperlink"/>
      <w:u w:val="single"/>
      <w14:textFill>
        <w14:solidFill>
          <w14:schemeClr w14:val="hlink"/>
        </w14:solidFill>
      </w14:textFill>
    </w:rPr>
  </w:style>
  <w:style w:type="character" w:styleId="37">
    <w:name w:val="annotation reference"/>
    <w:basedOn w:val="33"/>
    <w:semiHidden/>
    <w:unhideWhenUsed/>
    <w:qFormat/>
    <w:uiPriority w:val="99"/>
    <w:rPr>
      <w:sz w:val="21"/>
      <w:szCs w:val="21"/>
    </w:rPr>
  </w:style>
  <w:style w:type="character" w:customStyle="1" w:styleId="38">
    <w:name w:val="标题 2 字符"/>
    <w:link w:val="4"/>
    <w:autoRedefine/>
    <w:qFormat/>
    <w:uiPriority w:val="0"/>
    <w:rPr>
      <w:rFonts w:eastAsia="黑体"/>
      <w:bCs/>
      <w:kern w:val="44"/>
      <w:sz w:val="28"/>
      <w:szCs w:val="28"/>
    </w:rPr>
  </w:style>
  <w:style w:type="character" w:customStyle="1" w:styleId="39">
    <w:name w:val="标题 3 字符"/>
    <w:link w:val="5"/>
    <w:autoRedefine/>
    <w:qFormat/>
    <w:uiPriority w:val="0"/>
    <w:rPr>
      <w:rFonts w:eastAsia="黑体"/>
      <w:kern w:val="44"/>
      <w:sz w:val="28"/>
      <w:szCs w:val="28"/>
    </w:rPr>
  </w:style>
  <w:style w:type="character" w:customStyle="1" w:styleId="40">
    <w:name w:val="标题 4 字符"/>
    <w:basedOn w:val="33"/>
    <w:link w:val="6"/>
    <w:autoRedefine/>
    <w:qFormat/>
    <w:uiPriority w:val="0"/>
    <w:rPr>
      <w:rFonts w:eastAsia="黑体"/>
      <w:bCs/>
      <w:kern w:val="44"/>
      <w:sz w:val="28"/>
      <w:szCs w:val="28"/>
    </w:rPr>
  </w:style>
  <w:style w:type="character" w:customStyle="1" w:styleId="41">
    <w:name w:val="标题 1 字符"/>
    <w:basedOn w:val="33"/>
    <w:link w:val="3"/>
    <w:autoRedefine/>
    <w:qFormat/>
    <w:uiPriority w:val="0"/>
    <w:rPr>
      <w:rFonts w:eastAsia="黑体"/>
      <w:bCs/>
      <w:kern w:val="44"/>
      <w:sz w:val="28"/>
      <w:szCs w:val="28"/>
    </w:rPr>
  </w:style>
  <w:style w:type="character" w:customStyle="1" w:styleId="42">
    <w:name w:val="标题 8 字符"/>
    <w:basedOn w:val="33"/>
    <w:link w:val="10"/>
    <w:autoRedefine/>
    <w:qFormat/>
    <w:uiPriority w:val="0"/>
    <w:rPr>
      <w:rFonts w:eastAsia="黑体"/>
      <w:kern w:val="2"/>
      <w:sz w:val="28"/>
      <w:szCs w:val="24"/>
    </w:rPr>
  </w:style>
  <w:style w:type="character" w:customStyle="1" w:styleId="43">
    <w:name w:val="标题 9 字符"/>
    <w:basedOn w:val="33"/>
    <w:link w:val="11"/>
    <w:autoRedefine/>
    <w:qFormat/>
    <w:uiPriority w:val="0"/>
    <w:rPr>
      <w:b/>
      <w:kern w:val="2"/>
      <w:sz w:val="28"/>
      <w:szCs w:val="24"/>
    </w:rPr>
  </w:style>
  <w:style w:type="character" w:customStyle="1" w:styleId="44">
    <w:name w:val="标题 7 字符"/>
    <w:basedOn w:val="33"/>
    <w:link w:val="9"/>
    <w:autoRedefine/>
    <w:qFormat/>
    <w:uiPriority w:val="0"/>
    <w:rPr>
      <w:rFonts w:eastAsia="黑体"/>
      <w:bCs/>
      <w:kern w:val="44"/>
      <w:sz w:val="28"/>
      <w:szCs w:val="28"/>
    </w:rPr>
  </w:style>
  <w:style w:type="paragraph" w:customStyle="1" w:styleId="45">
    <w:name w:val="表格编号"/>
    <w:basedOn w:val="1"/>
    <w:next w:val="1"/>
    <w:autoRedefine/>
    <w:qFormat/>
    <w:uiPriority w:val="0"/>
    <w:pPr>
      <w:numPr>
        <w:ilvl w:val="0"/>
        <w:numId w:val="2"/>
      </w:numPr>
      <w:ind w:firstLine="0" w:firstLineChars="0"/>
      <w:jc w:val="center"/>
    </w:pPr>
    <w:rPr>
      <w:rFonts w:hint="eastAsia" w:ascii="Times New Roman" w:hAnsi="Times New Roman" w:eastAsia="黑体"/>
    </w:rPr>
  </w:style>
  <w:style w:type="paragraph" w:customStyle="1" w:styleId="46">
    <w:name w:val="表格样式"/>
    <w:basedOn w:val="1"/>
    <w:qFormat/>
    <w:uiPriority w:val="0"/>
    <w:pPr>
      <w:spacing w:line="240" w:lineRule="auto"/>
      <w:ind w:firstLine="0" w:firstLineChars="0"/>
      <w:jc w:val="center"/>
      <w:textAlignment w:val="center"/>
    </w:pPr>
    <w:rPr>
      <w:rFonts w:ascii="Times New Roman" w:hAnsi="Times New Roman"/>
      <w:sz w:val="24"/>
      <w:szCs w:val="24"/>
    </w:rPr>
  </w:style>
  <w:style w:type="paragraph" w:customStyle="1" w:styleId="47">
    <w:name w:val="图片编号"/>
    <w:basedOn w:val="1"/>
    <w:next w:val="1"/>
    <w:autoRedefine/>
    <w:qFormat/>
    <w:uiPriority w:val="0"/>
    <w:pPr>
      <w:numPr>
        <w:ilvl w:val="0"/>
        <w:numId w:val="3"/>
      </w:numPr>
      <w:ind w:firstLine="0"/>
      <w:jc w:val="center"/>
    </w:pPr>
    <w:rPr>
      <w:rFonts w:eastAsia="黑体"/>
    </w:rPr>
  </w:style>
  <w:style w:type="character" w:customStyle="1" w:styleId="48">
    <w:name w:val="标题 5 字符"/>
    <w:basedOn w:val="33"/>
    <w:link w:val="7"/>
    <w:autoRedefine/>
    <w:qFormat/>
    <w:uiPriority w:val="0"/>
    <w:rPr>
      <w:rFonts w:eastAsia="黑体"/>
      <w:bCs/>
      <w:kern w:val="44"/>
      <w:sz w:val="28"/>
      <w:szCs w:val="28"/>
    </w:rPr>
  </w:style>
  <w:style w:type="character" w:customStyle="1" w:styleId="49">
    <w:name w:val="标题 6 字符"/>
    <w:basedOn w:val="33"/>
    <w:link w:val="8"/>
    <w:autoRedefine/>
    <w:qFormat/>
    <w:uiPriority w:val="0"/>
    <w:rPr>
      <w:rFonts w:eastAsia="黑体"/>
      <w:bCs/>
      <w:kern w:val="44"/>
      <w:sz w:val="28"/>
      <w:szCs w:val="28"/>
    </w:rPr>
  </w:style>
  <w:style w:type="paragraph" w:customStyle="1" w:styleId="50">
    <w:name w:val="封面上部"/>
    <w:basedOn w:val="1"/>
    <w:autoRedefine/>
    <w:qFormat/>
    <w:uiPriority w:val="0"/>
    <w:pPr>
      <w:tabs>
        <w:tab w:val="left" w:pos="8280"/>
      </w:tabs>
      <w:adjustRightInd w:val="0"/>
      <w:ind w:right="26" w:firstLine="0" w:firstLineChars="0"/>
      <w:jc w:val="center"/>
      <w:outlineLvl w:val="0"/>
    </w:pPr>
    <w:rPr>
      <w:rFonts w:ascii="Arial" w:eastAsia="黑体"/>
      <w:color w:val="000000"/>
      <w:kern w:val="0"/>
      <w:sz w:val="32"/>
      <w:szCs w:val="20"/>
    </w:rPr>
  </w:style>
  <w:style w:type="paragraph" w:customStyle="1" w:styleId="51">
    <w:name w:val="01正文"/>
    <w:basedOn w:val="1"/>
    <w:autoRedefine/>
    <w:qFormat/>
    <w:uiPriority w:val="0"/>
    <w:pPr>
      <w:numPr>
        <w:ilvl w:val="0"/>
        <w:numId w:val="4"/>
      </w:numPr>
      <w:ind w:right="280" w:rightChars="100" w:firstLine="0" w:firstLineChars="0"/>
    </w:pPr>
    <w:rPr>
      <w:rFonts w:hint="eastAsia"/>
    </w:rPr>
  </w:style>
  <w:style w:type="paragraph" w:customStyle="1" w:styleId="52">
    <w:name w:val="封面中部"/>
    <w:basedOn w:val="1"/>
    <w:autoRedefine/>
    <w:qFormat/>
    <w:uiPriority w:val="0"/>
    <w:pPr>
      <w:adjustRightInd w:val="0"/>
      <w:ind w:right="26" w:firstLine="0" w:firstLineChars="0"/>
      <w:outlineLvl w:val="0"/>
    </w:pPr>
    <w:rPr>
      <w:rFonts w:ascii="Arial"/>
      <w:color w:val="000000"/>
      <w:kern w:val="0"/>
      <w:sz w:val="32"/>
      <w:szCs w:val="20"/>
    </w:rPr>
  </w:style>
  <w:style w:type="paragraph" w:customStyle="1" w:styleId="53">
    <w:name w:val="图片"/>
    <w:basedOn w:val="1"/>
    <w:autoRedefine/>
    <w:qFormat/>
    <w:uiPriority w:val="0"/>
    <w:pPr>
      <w:ind w:firstLine="0" w:firstLineChars="0"/>
      <w:jc w:val="center"/>
    </w:pPr>
  </w:style>
  <w:style w:type="paragraph" w:customStyle="1" w:styleId="54">
    <w:name w:val="文件标题"/>
    <w:basedOn w:val="1"/>
    <w:autoRedefine/>
    <w:qFormat/>
    <w:uiPriority w:val="0"/>
    <w:pPr>
      <w:ind w:firstLine="0" w:firstLineChars="0"/>
      <w:jc w:val="center"/>
    </w:pPr>
    <w:rPr>
      <w:rFonts w:hint="eastAsia"/>
      <w:b/>
      <w:bCs/>
      <w:szCs w:val="28"/>
    </w:rPr>
  </w:style>
  <w:style w:type="table" w:customStyle="1" w:styleId="55">
    <w:name w:val="Table Normal"/>
    <w:autoRedefine/>
    <w:semiHidden/>
    <w:unhideWhenUsed/>
    <w:qFormat/>
    <w:uiPriority w:val="0"/>
    <w:tblPr>
      <w:tblCellMar>
        <w:top w:w="0" w:type="dxa"/>
        <w:left w:w="0" w:type="dxa"/>
        <w:bottom w:w="0" w:type="dxa"/>
        <w:right w:w="0" w:type="dxa"/>
      </w:tblCellMar>
    </w:tblPr>
  </w:style>
  <w:style w:type="character" w:customStyle="1" w:styleId="56">
    <w:name w:val="font31"/>
    <w:basedOn w:val="33"/>
    <w:autoRedefine/>
    <w:qFormat/>
    <w:uiPriority w:val="0"/>
    <w:rPr>
      <w:rFonts w:hint="eastAsia" w:ascii="宋体" w:hAnsi="宋体" w:eastAsia="宋体" w:cs="宋体"/>
      <w:color w:val="000000"/>
      <w:sz w:val="24"/>
      <w:szCs w:val="24"/>
      <w:u w:val="none"/>
    </w:rPr>
  </w:style>
  <w:style w:type="paragraph" w:customStyle="1" w:styleId="57">
    <w:name w:val="！正文"/>
    <w:basedOn w:val="1"/>
    <w:autoRedefine/>
    <w:qFormat/>
    <w:uiPriority w:val="0"/>
    <w:pPr>
      <w:ind w:right="210" w:rightChars="100"/>
    </w:pPr>
    <w:rPr>
      <w:rFonts w:ascii="宋体" w:hAnsi="宋体"/>
    </w:rPr>
  </w:style>
  <w:style w:type="paragraph" w:customStyle="1" w:styleId="58">
    <w:name w:val="附表编号1"/>
    <w:basedOn w:val="1"/>
    <w:next w:val="1"/>
    <w:autoRedefine/>
    <w:qFormat/>
    <w:uiPriority w:val="0"/>
    <w:pPr>
      <w:keepNext/>
      <w:keepLines/>
      <w:numPr>
        <w:ilvl w:val="1"/>
        <w:numId w:val="5"/>
      </w:numPr>
      <w:spacing w:before="120" w:after="120"/>
      <w:ind w:left="0" w:firstLine="0" w:firstLineChars="0"/>
      <w:jc w:val="left"/>
      <w:outlineLvl w:val="1"/>
    </w:pPr>
    <w:rPr>
      <w:rFonts w:hint="eastAsia" w:ascii="Times New Roman" w:hAnsi="Times New Roman" w:eastAsia="黑体" w:cs="Times New Roman"/>
      <w:bCs/>
      <w:kern w:val="44"/>
      <w:szCs w:val="28"/>
    </w:rPr>
  </w:style>
  <w:style w:type="paragraph" w:customStyle="1" w:styleId="59">
    <w:name w:val="附表编号2"/>
    <w:basedOn w:val="1"/>
    <w:next w:val="1"/>
    <w:autoRedefine/>
    <w:qFormat/>
    <w:uiPriority w:val="0"/>
    <w:pPr>
      <w:keepNext/>
      <w:keepLines/>
      <w:widowControl/>
      <w:numPr>
        <w:ilvl w:val="2"/>
        <w:numId w:val="5"/>
      </w:numPr>
      <w:tabs>
        <w:tab w:val="left" w:pos="0"/>
        <w:tab w:val="left" w:pos="672"/>
      </w:tabs>
      <w:spacing w:before="120" w:after="120"/>
      <w:ind w:left="0" w:firstLine="0" w:firstLineChars="0"/>
      <w:jc w:val="left"/>
      <w:outlineLvl w:val="2"/>
    </w:pPr>
    <w:rPr>
      <w:rFonts w:hint="eastAsia" w:ascii="Times New Roman" w:hAnsi="Times New Roman" w:eastAsia="黑体" w:cs="Times New Roman"/>
      <w:kern w:val="44"/>
      <w:szCs w:val="28"/>
    </w:rPr>
  </w:style>
  <w:style w:type="paragraph" w:customStyle="1" w:styleId="60">
    <w:name w:val="附表"/>
    <w:basedOn w:val="1"/>
    <w:autoRedefine/>
    <w:qFormat/>
    <w:uiPriority w:val="0"/>
    <w:pPr>
      <w:numPr>
        <w:ilvl w:val="0"/>
        <w:numId w:val="6"/>
      </w:numPr>
      <w:ind w:firstLine="0" w:firstLineChars="0"/>
    </w:pPr>
  </w:style>
  <w:style w:type="character" w:customStyle="1" w:styleId="61">
    <w:name w:val="font21"/>
    <w:basedOn w:val="33"/>
    <w:qFormat/>
    <w:uiPriority w:val="0"/>
    <w:rPr>
      <w:rFonts w:hint="eastAsia" w:ascii="仿宋" w:hAnsi="仿宋" w:eastAsia="仿宋" w:cs="仿宋"/>
      <w:b/>
      <w:bCs/>
      <w:color w:val="000000"/>
      <w:sz w:val="24"/>
      <w:szCs w:val="24"/>
      <w:u w:val="none"/>
    </w:rPr>
  </w:style>
  <w:style w:type="paragraph" w:customStyle="1" w:styleId="62">
    <w:name w:val="my正文"/>
    <w:basedOn w:val="1"/>
    <w:autoRedefine/>
    <w:qFormat/>
    <w:uiPriority w:val="0"/>
    <w:pPr>
      <w:ind w:firstLine="480"/>
    </w:pPr>
    <w:rPr>
      <w:rFonts w:ascii="Times New Roman" w:hAnsi="Times New Roman"/>
      <w:kern w:val="0"/>
    </w:rPr>
  </w:style>
  <w:style w:type="paragraph" w:styleId="63">
    <w:name w:val="List Paragraph"/>
    <w:basedOn w:val="1"/>
    <w:qFormat/>
    <w:uiPriority w:val="34"/>
    <w:pPr>
      <w:ind w:firstLine="420"/>
    </w:pPr>
  </w:style>
  <w:style w:type="character" w:customStyle="1" w:styleId="64">
    <w:name w:val="Unresolved Mention"/>
    <w:basedOn w:val="33"/>
    <w:semiHidden/>
    <w:unhideWhenUsed/>
    <w:qFormat/>
    <w:uiPriority w:val="99"/>
    <w:rPr>
      <w:color w:val="605E5C"/>
      <w:shd w:val="clear" w:color="auto" w:fill="E1DFDD"/>
    </w:rPr>
  </w:style>
  <w:style w:type="character" w:customStyle="1" w:styleId="65">
    <w:name w:val="批注文字 字符"/>
    <w:basedOn w:val="33"/>
    <w:link w:val="14"/>
    <w:qFormat/>
    <w:uiPriority w:val="0"/>
    <w:rPr>
      <w:rFonts w:ascii="仿宋" w:hAnsi="仿宋" w:eastAsia="仿宋" w:cstheme="minorBidi"/>
      <w:kern w:val="2"/>
      <w:sz w:val="28"/>
      <w:szCs w:val="22"/>
    </w:rPr>
  </w:style>
  <w:style w:type="character" w:customStyle="1" w:styleId="66">
    <w:name w:val="批注主题 字符"/>
    <w:basedOn w:val="65"/>
    <w:link w:val="29"/>
    <w:semiHidden/>
    <w:qFormat/>
    <w:uiPriority w:val="99"/>
    <w:rPr>
      <w:rFonts w:ascii="仿宋" w:hAnsi="仿宋" w:eastAsia="仿宋" w:cstheme="minorBidi"/>
      <w:b/>
      <w:bCs/>
      <w:kern w:val="2"/>
      <w:sz w:val="28"/>
      <w:szCs w:val="22"/>
    </w:rPr>
  </w:style>
  <w:style w:type="character" w:customStyle="1" w:styleId="67">
    <w:name w:val="Book Title"/>
    <w:basedOn w:val="33"/>
    <w:qFormat/>
    <w:uiPriority w:val="33"/>
    <w:rPr>
      <w:b/>
      <w:bCs/>
      <w:i/>
      <w:iCs/>
      <w:spacing w:val="5"/>
    </w:rPr>
  </w:style>
  <w:style w:type="character" w:customStyle="1" w:styleId="68">
    <w:name w:val="标题 1 Char"/>
    <w:basedOn w:val="33"/>
    <w:link w:val="3"/>
    <w:qFormat/>
    <w:uiPriority w:val="9"/>
    <w:rPr>
      <w:rFonts w:ascii="黑体" w:hAnsi="黑体" w:eastAsia="黑体" w:cstheme="minorBidi"/>
      <w:bCs/>
      <w:kern w:val="44"/>
      <w:sz w:val="30"/>
      <w:szCs w:val="36"/>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numbering" Target="numbering.xml"/><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663B87-AAAD-441F-B353-382A76C9D380}">
  <ds:schemaRefs/>
</ds:datastoreItem>
</file>

<file path=docProps/app.xml><?xml version="1.0" encoding="utf-8"?>
<Properties xmlns="http://schemas.openxmlformats.org/officeDocument/2006/extended-properties" xmlns:vt="http://schemas.openxmlformats.org/officeDocument/2006/docPropsVTypes">
  <Template>Normal.dotm</Template>
  <Pages>46</Pages>
  <Words>13839</Words>
  <Characters>14079</Characters>
  <Lines>104</Lines>
  <Paragraphs>29</Paragraphs>
  <TotalTime>0</TotalTime>
  <ScaleCrop>false</ScaleCrop>
  <LinksUpToDate>false</LinksUpToDate>
  <CharactersWithSpaces>14167</CharactersWithSpaces>
  <Application>WPS Office_12.1.0.20305_F1E327BC-269C-435d-A152-05C5408002CA</Application>
  <DocSecurity>1</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2024-08-01T01:56:00Z</dcterms:created>
  <dc:creator>Administrator</dc:creator>
  <cp:lastModifiedBy>Administrator</cp:lastModifiedBy>
  <dcterms:modified xsi:type="dcterms:W3CDTF">2025-03-28T07:14:06Z</dcterms:modified>
  <cp:revision>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345AC9BC65DC44DD953B512205D202C5_13</vt:lpwstr>
  </property>
  <property fmtid="{D5CDD505-2E9C-101B-9397-08002B2CF9AE}" pid="4" name="KSOTemplateDocerSaveRecord">
    <vt:lpwstr>eyJoZGlkIjoiNDliY2ZkYzE3MGVhN2E3YTMyMzU0ZTM1MjJhMzMwNWIiLCJ1c2VySWQiOiIxMDAyODUxNzE0In0=</vt:lpwstr>
  </property>
</Properties>
</file>