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0BA82">
      <w:pPr>
        <w:pStyle w:val="5"/>
        <w:numPr>
          <w:ilvl w:val="0"/>
          <w:numId w:val="1"/>
        </w:numPr>
        <w:spacing w:before="0" w:after="0" w:line="560" w:lineRule="exact"/>
        <w:outlineLvl w:val="1"/>
        <w:rPr>
          <w:rFonts w:ascii="宋体" w:hAnsi="宋体" w:cs="宋体"/>
          <w:sz w:val="28"/>
          <w:szCs w:val="28"/>
          <w:lang w:val="zh-CN"/>
        </w:rPr>
      </w:pPr>
      <w:bookmarkStart w:id="0" w:name="_Toc2701"/>
      <w:bookmarkStart w:id="1" w:name="_Toc29771"/>
      <w:r>
        <w:rPr>
          <w:rFonts w:hint="eastAsia" w:ascii="宋体" w:hAnsi="宋体" w:cs="宋体"/>
          <w:sz w:val="28"/>
          <w:szCs w:val="28"/>
          <w:lang w:val="zh-CN"/>
        </w:rPr>
        <w:t>服务内容及要求</w:t>
      </w:r>
      <w:bookmarkEnd w:id="0"/>
      <w:bookmarkEnd w:id="1"/>
    </w:p>
    <w:p w14:paraId="7357976A">
      <w:pPr>
        <w:pStyle w:val="10"/>
        <w:outlineLvl w:val="1"/>
      </w:pPr>
      <w:r>
        <w:rPr>
          <w:rFonts w:hint="eastAsia"/>
        </w:rPr>
        <w:t>1、服务要求</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4"/>
        <w:gridCol w:w="1108"/>
        <w:gridCol w:w="5584"/>
        <w:gridCol w:w="618"/>
        <w:gridCol w:w="598"/>
      </w:tblGrid>
      <w:tr w14:paraId="2CC57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2213710E">
            <w:pPr>
              <w:pStyle w:val="10"/>
              <w:ind w:firstLine="0" w:firstLineChars="0"/>
              <w:rPr>
                <w:szCs w:val="21"/>
              </w:rPr>
            </w:pPr>
            <w:r>
              <w:rPr>
                <w:rFonts w:hint="eastAsia"/>
                <w:szCs w:val="21"/>
              </w:rPr>
              <w:t>序号</w:t>
            </w:r>
          </w:p>
        </w:tc>
        <w:tc>
          <w:tcPr>
            <w:tcW w:w="1108" w:type="dxa"/>
          </w:tcPr>
          <w:p w14:paraId="5EE4FA4E">
            <w:pPr>
              <w:pStyle w:val="10"/>
              <w:ind w:firstLine="0" w:firstLineChars="0"/>
              <w:rPr>
                <w:szCs w:val="21"/>
              </w:rPr>
            </w:pPr>
            <w:r>
              <w:rPr>
                <w:rFonts w:hint="eastAsia"/>
                <w:szCs w:val="21"/>
              </w:rPr>
              <w:t>服务名称</w:t>
            </w:r>
          </w:p>
        </w:tc>
        <w:tc>
          <w:tcPr>
            <w:tcW w:w="5584" w:type="dxa"/>
          </w:tcPr>
          <w:p w14:paraId="11636279">
            <w:pPr>
              <w:pStyle w:val="10"/>
              <w:ind w:firstLine="0" w:firstLineChars="0"/>
              <w:rPr>
                <w:szCs w:val="21"/>
              </w:rPr>
            </w:pPr>
            <w:r>
              <w:rPr>
                <w:rFonts w:hint="eastAsia"/>
                <w:szCs w:val="21"/>
              </w:rPr>
              <w:t>内容描述</w:t>
            </w:r>
          </w:p>
        </w:tc>
        <w:tc>
          <w:tcPr>
            <w:tcW w:w="618" w:type="dxa"/>
          </w:tcPr>
          <w:p w14:paraId="52FEEEC3">
            <w:pPr>
              <w:pStyle w:val="10"/>
              <w:ind w:firstLine="0" w:firstLineChars="0"/>
              <w:rPr>
                <w:szCs w:val="21"/>
              </w:rPr>
            </w:pPr>
            <w:r>
              <w:rPr>
                <w:rFonts w:hint="eastAsia"/>
                <w:szCs w:val="21"/>
              </w:rPr>
              <w:t>数量</w:t>
            </w:r>
          </w:p>
        </w:tc>
        <w:tc>
          <w:tcPr>
            <w:tcW w:w="598" w:type="dxa"/>
          </w:tcPr>
          <w:p w14:paraId="781D2504">
            <w:pPr>
              <w:pStyle w:val="10"/>
              <w:ind w:firstLine="0" w:firstLineChars="0"/>
              <w:rPr>
                <w:szCs w:val="21"/>
              </w:rPr>
            </w:pPr>
            <w:r>
              <w:rPr>
                <w:rFonts w:hint="eastAsia"/>
                <w:szCs w:val="21"/>
              </w:rPr>
              <w:t>单位</w:t>
            </w:r>
          </w:p>
        </w:tc>
      </w:tr>
      <w:tr w14:paraId="35F06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shd w:val="clear" w:color="auto" w:fill="auto"/>
            <w:vAlign w:val="top"/>
          </w:tcPr>
          <w:p w14:paraId="17A60D93">
            <w:pPr>
              <w:pStyle w:val="10"/>
              <w:ind w:firstLine="0" w:firstLineChars="0"/>
              <w:rPr>
                <w:rFonts w:hint="eastAsia" w:ascii="Calibri" w:hAnsi="Calibri" w:eastAsia="宋体" w:cs="Times New Roman"/>
                <w:kern w:val="2"/>
                <w:sz w:val="21"/>
                <w:szCs w:val="21"/>
                <w:lang w:val="en-US" w:eastAsia="zh-CN" w:bidi="ar-SA"/>
              </w:rPr>
            </w:pPr>
            <w:r>
              <w:rPr>
                <w:rFonts w:hint="eastAsia"/>
                <w:szCs w:val="21"/>
              </w:rPr>
              <w:t>1</w:t>
            </w:r>
          </w:p>
        </w:tc>
        <w:tc>
          <w:tcPr>
            <w:tcW w:w="1108" w:type="dxa"/>
          </w:tcPr>
          <w:p w14:paraId="401B6361">
            <w:pPr>
              <w:pStyle w:val="10"/>
              <w:ind w:firstLine="0" w:firstLineChars="0"/>
              <w:jc w:val="left"/>
              <w:rPr>
                <w:rFonts w:hint="eastAsia" w:eastAsia="宋体"/>
                <w:szCs w:val="21"/>
                <w:lang w:val="en-US" w:eastAsia="zh-CN"/>
              </w:rPr>
            </w:pPr>
            <w:r>
              <w:rPr>
                <w:rFonts w:hint="eastAsia"/>
                <w:szCs w:val="21"/>
              </w:rPr>
              <w:t>采购</w:t>
            </w:r>
            <w:r>
              <w:rPr>
                <w:rFonts w:hint="eastAsia"/>
                <w:szCs w:val="21"/>
                <w:lang w:val="en-US" w:eastAsia="zh-CN"/>
              </w:rPr>
              <w:t>要求</w:t>
            </w:r>
          </w:p>
        </w:tc>
        <w:tc>
          <w:tcPr>
            <w:tcW w:w="5584" w:type="dxa"/>
          </w:tcPr>
          <w:p w14:paraId="72FF9D7A">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投标人入围国家密码局发布的商用密码检测机构（商用密码应用安全性评估业务）目录（国家密码管理局公告（第49号））。（提供国家密码局官网查询截图）</w:t>
            </w:r>
          </w:p>
          <w:p w14:paraId="21DA8B93">
            <w:pPr>
              <w:pStyle w:val="10"/>
              <w:ind w:firstLine="0" w:firstLineChars="0"/>
              <w:rPr>
                <w:szCs w:val="21"/>
              </w:rPr>
            </w:pPr>
          </w:p>
        </w:tc>
        <w:tc>
          <w:tcPr>
            <w:tcW w:w="618" w:type="dxa"/>
          </w:tcPr>
          <w:p w14:paraId="394F281D">
            <w:pPr>
              <w:pStyle w:val="10"/>
              <w:ind w:firstLine="0" w:firstLineChars="0"/>
              <w:rPr>
                <w:rFonts w:hint="eastAsia" w:eastAsia="宋体"/>
                <w:szCs w:val="21"/>
                <w:lang w:val="en-US" w:eastAsia="zh-CN"/>
              </w:rPr>
            </w:pPr>
            <w:r>
              <w:rPr>
                <w:rFonts w:hint="eastAsia"/>
                <w:szCs w:val="21"/>
                <w:lang w:val="en-US" w:eastAsia="zh-CN"/>
              </w:rPr>
              <w:t>1</w:t>
            </w:r>
          </w:p>
        </w:tc>
        <w:tc>
          <w:tcPr>
            <w:tcW w:w="598" w:type="dxa"/>
          </w:tcPr>
          <w:p w14:paraId="441A72F7">
            <w:pPr>
              <w:pStyle w:val="10"/>
              <w:ind w:firstLine="0" w:firstLineChars="0"/>
              <w:rPr>
                <w:rFonts w:hint="eastAsia" w:eastAsia="宋体"/>
                <w:szCs w:val="21"/>
                <w:lang w:val="en-US" w:eastAsia="zh-CN"/>
              </w:rPr>
            </w:pPr>
            <w:r>
              <w:rPr>
                <w:rFonts w:hint="eastAsia"/>
                <w:szCs w:val="21"/>
                <w:lang w:val="en-US" w:eastAsia="zh-CN"/>
              </w:rPr>
              <w:t>项</w:t>
            </w:r>
          </w:p>
        </w:tc>
      </w:tr>
      <w:tr w14:paraId="432D4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shd w:val="clear" w:color="auto" w:fill="auto"/>
            <w:vAlign w:val="top"/>
          </w:tcPr>
          <w:p w14:paraId="2D92E406">
            <w:pPr>
              <w:pStyle w:val="10"/>
              <w:ind w:firstLine="0" w:firstLineChars="0"/>
              <w:rPr>
                <w:rFonts w:hint="eastAsia" w:ascii="Calibri" w:hAnsi="Calibri" w:eastAsia="宋体" w:cs="Times New Roman"/>
                <w:kern w:val="2"/>
                <w:sz w:val="21"/>
                <w:szCs w:val="21"/>
                <w:lang w:val="en-US" w:eastAsia="zh-CN" w:bidi="ar-SA"/>
              </w:rPr>
            </w:pPr>
            <w:r>
              <w:rPr>
                <w:rFonts w:hint="eastAsia"/>
                <w:szCs w:val="21"/>
              </w:rPr>
              <w:t>2</w:t>
            </w:r>
          </w:p>
        </w:tc>
        <w:tc>
          <w:tcPr>
            <w:tcW w:w="1108" w:type="dxa"/>
          </w:tcPr>
          <w:p w14:paraId="77428182">
            <w:pPr>
              <w:pStyle w:val="10"/>
              <w:ind w:firstLine="0" w:firstLineChars="0"/>
              <w:rPr>
                <w:szCs w:val="21"/>
              </w:rPr>
            </w:pPr>
            <w:r>
              <w:rPr>
                <w:rFonts w:hint="eastAsia"/>
                <w:szCs w:val="21"/>
                <w:lang w:val="en-US" w:eastAsia="zh-CN"/>
              </w:rPr>
              <w:t>密评</w:t>
            </w:r>
            <w:r>
              <w:rPr>
                <w:rFonts w:hint="eastAsia"/>
                <w:szCs w:val="21"/>
              </w:rPr>
              <w:t>要求</w:t>
            </w:r>
          </w:p>
        </w:tc>
        <w:tc>
          <w:tcPr>
            <w:tcW w:w="5584" w:type="dxa"/>
          </w:tcPr>
          <w:p w14:paraId="2F4EB824">
            <w:pPr>
              <w:spacing w:line="360" w:lineRule="auto"/>
              <w:ind w:firstLine="210" w:firstLineChars="100"/>
              <w:rPr>
                <w:rFonts w:hint="eastAsia" w:ascii="宋体" w:hAnsi="宋体" w:cs="宋体"/>
                <w:szCs w:val="21"/>
                <w:shd w:val="clear" w:color="auto" w:fill="FFFFFF"/>
              </w:rPr>
            </w:pPr>
            <w:bookmarkStart w:id="2" w:name="EB1d5ad217fe0b41c89f15f7ba2a5bfdb0"/>
            <w:r>
              <w:rPr>
                <w:rFonts w:hint="eastAsia" w:ascii="Calibri" w:hAnsi="Calibri" w:eastAsia="宋体" w:cs="Times New Roman"/>
                <w:kern w:val="2"/>
                <w:sz w:val="21"/>
                <w:szCs w:val="21"/>
                <w:lang w:val="en-US" w:eastAsia="zh-CN" w:bidi="ar-SA"/>
              </w:rPr>
              <w:t>为做好重要信息系统网络安全的工作，现对</w:t>
            </w:r>
            <w:r>
              <w:rPr>
                <w:rFonts w:hint="eastAsia" w:ascii="Calibri" w:hAnsi="Calibri" w:eastAsia="宋体" w:cs="Times New Roman"/>
                <w:kern w:val="2"/>
                <w:sz w:val="21"/>
                <w:szCs w:val="21"/>
                <w:lang w:val="zh-CN" w:eastAsia="zh-CN" w:bidi="ar-SA"/>
              </w:rPr>
              <w:t>青海省疾病预防控制中心</w:t>
            </w:r>
            <w:r>
              <w:rPr>
                <w:rFonts w:hint="eastAsia" w:ascii="Calibri" w:hAnsi="Calibri" w:eastAsia="宋体" w:cs="Times New Roman"/>
                <w:kern w:val="2"/>
                <w:sz w:val="21"/>
                <w:szCs w:val="21"/>
                <w:lang w:val="en-US" w:eastAsia="zh-CN" w:bidi="ar-SA"/>
              </w:rPr>
              <w:t>相关系统进行商用密码应用安全性评估，</w:t>
            </w:r>
            <w:bookmarkEnd w:id="2"/>
            <w:r>
              <w:rPr>
                <w:rFonts w:hint="eastAsia" w:ascii="Calibri" w:hAnsi="Calibri" w:eastAsia="宋体" w:cs="Times New Roman"/>
                <w:kern w:val="2"/>
                <w:sz w:val="21"/>
                <w:szCs w:val="21"/>
                <w:lang w:val="en-US" w:eastAsia="zh-CN" w:bidi="ar-SA"/>
              </w:rPr>
              <w:t>依据GB/T39786-2021《信息安全技术信息系统密码应用基本要求》通过对采购人指定的信息系统从物理和环境安全、网络和通信安全、设备和计算安全、应用和数据安全、管理制度、人员管理、建设运行、应急处置等安全层面测评，给出信息系统在密码应用状况与其相应要求之间的差距，并给出整改建议，合同期内完成项目商用密码应用安全性评估工作。</w:t>
            </w:r>
          </w:p>
          <w:p w14:paraId="11E913AD">
            <w:pPr>
              <w:pStyle w:val="10"/>
              <w:ind w:firstLine="0" w:firstLineChars="0"/>
              <w:rPr>
                <w:szCs w:val="21"/>
              </w:rPr>
            </w:pPr>
          </w:p>
        </w:tc>
        <w:tc>
          <w:tcPr>
            <w:tcW w:w="618" w:type="dxa"/>
          </w:tcPr>
          <w:p w14:paraId="2B5BDCFA">
            <w:pPr>
              <w:pStyle w:val="10"/>
              <w:ind w:firstLine="0" w:firstLineChars="0"/>
              <w:rPr>
                <w:szCs w:val="21"/>
              </w:rPr>
            </w:pPr>
            <w:r>
              <w:rPr>
                <w:rFonts w:hint="eastAsia"/>
                <w:szCs w:val="21"/>
              </w:rPr>
              <w:t>1</w:t>
            </w:r>
          </w:p>
        </w:tc>
        <w:tc>
          <w:tcPr>
            <w:tcW w:w="598" w:type="dxa"/>
          </w:tcPr>
          <w:p w14:paraId="613F095E">
            <w:pPr>
              <w:pStyle w:val="10"/>
              <w:ind w:firstLine="0" w:firstLineChars="0"/>
              <w:rPr>
                <w:szCs w:val="21"/>
              </w:rPr>
            </w:pPr>
            <w:r>
              <w:rPr>
                <w:rFonts w:hint="eastAsia"/>
                <w:szCs w:val="21"/>
              </w:rPr>
              <w:t>项</w:t>
            </w:r>
          </w:p>
        </w:tc>
      </w:tr>
      <w:tr w14:paraId="5ADAD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shd w:val="clear" w:color="auto" w:fill="auto"/>
            <w:vAlign w:val="top"/>
          </w:tcPr>
          <w:p w14:paraId="1D9F523A">
            <w:pPr>
              <w:pStyle w:val="10"/>
              <w:ind w:firstLine="0" w:firstLineChars="0"/>
              <w:rPr>
                <w:rFonts w:hint="eastAsia" w:ascii="Calibri" w:hAnsi="Calibri" w:eastAsia="宋体" w:cs="Times New Roman"/>
                <w:kern w:val="2"/>
                <w:sz w:val="21"/>
                <w:szCs w:val="21"/>
                <w:lang w:val="en-US" w:eastAsia="zh-CN" w:bidi="ar-SA"/>
              </w:rPr>
            </w:pPr>
            <w:r>
              <w:rPr>
                <w:rFonts w:hint="eastAsia"/>
                <w:szCs w:val="21"/>
              </w:rPr>
              <w:t>3</w:t>
            </w:r>
          </w:p>
        </w:tc>
        <w:tc>
          <w:tcPr>
            <w:tcW w:w="1108" w:type="dxa"/>
          </w:tcPr>
          <w:p w14:paraId="29512144">
            <w:pPr>
              <w:pStyle w:val="10"/>
              <w:ind w:firstLine="0" w:firstLineChars="0"/>
              <w:rPr>
                <w:rFonts w:hint="default"/>
                <w:szCs w:val="21"/>
                <w:lang w:val="en-US" w:eastAsia="zh-CN"/>
              </w:rPr>
            </w:pPr>
            <w:r>
              <w:rPr>
                <w:rFonts w:hint="eastAsia"/>
                <w:szCs w:val="21"/>
                <w:lang w:val="en-US" w:eastAsia="zh-CN"/>
              </w:rPr>
              <w:t>测评依据</w:t>
            </w:r>
          </w:p>
        </w:tc>
        <w:tc>
          <w:tcPr>
            <w:tcW w:w="5584" w:type="dxa"/>
          </w:tcPr>
          <w:p w14:paraId="0CB9B5A8">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《信息安全技术 信息系统密码应用基本要求》（GB/T 39786-2021）</w:t>
            </w:r>
          </w:p>
          <w:p w14:paraId="4B7AB8F6">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《信息安全技术 信息系统密码应用测评要求》（GB/T 43206-2023）</w:t>
            </w:r>
          </w:p>
          <w:p w14:paraId="3E16816B">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《信息系统密码应用测评过程指南》（GM/T 0116-2021）</w:t>
            </w:r>
          </w:p>
          <w:p w14:paraId="006FCDBA">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信息系统密码应用高风险判定指引（2021）</w:t>
            </w:r>
          </w:p>
          <w:p w14:paraId="5C34029B">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商用密码应用安全性评估量化评估规则（2023版）</w:t>
            </w:r>
          </w:p>
          <w:p w14:paraId="5254CA54">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等标准和密评指导性文件规范有序开展评估工作。</w:t>
            </w:r>
          </w:p>
          <w:p w14:paraId="395C14E6">
            <w:pPr>
              <w:pStyle w:val="10"/>
              <w:ind w:firstLine="0" w:firstLineChars="0"/>
              <w:rPr>
                <w:szCs w:val="21"/>
              </w:rPr>
            </w:pPr>
          </w:p>
        </w:tc>
        <w:tc>
          <w:tcPr>
            <w:tcW w:w="618" w:type="dxa"/>
          </w:tcPr>
          <w:p w14:paraId="55DA19F9">
            <w:pPr>
              <w:pStyle w:val="10"/>
              <w:ind w:firstLine="0" w:firstLineChars="0"/>
              <w:rPr>
                <w:rFonts w:hint="eastAsia"/>
                <w:szCs w:val="21"/>
              </w:rPr>
            </w:pPr>
          </w:p>
        </w:tc>
        <w:tc>
          <w:tcPr>
            <w:tcW w:w="598" w:type="dxa"/>
          </w:tcPr>
          <w:p w14:paraId="60D13B2E">
            <w:pPr>
              <w:pStyle w:val="10"/>
              <w:ind w:firstLine="0" w:firstLineChars="0"/>
              <w:rPr>
                <w:rFonts w:hint="eastAsia"/>
                <w:szCs w:val="21"/>
              </w:rPr>
            </w:pPr>
          </w:p>
        </w:tc>
      </w:tr>
      <w:tr w14:paraId="11CBF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shd w:val="clear" w:color="auto" w:fill="auto"/>
            <w:vAlign w:val="top"/>
          </w:tcPr>
          <w:p w14:paraId="3B9E857C">
            <w:pPr>
              <w:pStyle w:val="10"/>
              <w:ind w:firstLine="0" w:firstLineChars="0"/>
              <w:rPr>
                <w:rFonts w:hint="eastAsia" w:ascii="Calibri" w:hAnsi="Calibri" w:eastAsia="宋体" w:cs="Times New Roman"/>
                <w:kern w:val="2"/>
                <w:sz w:val="21"/>
                <w:szCs w:val="21"/>
                <w:lang w:val="en-US" w:eastAsia="zh-CN" w:bidi="ar-SA"/>
              </w:rPr>
            </w:pPr>
            <w:r>
              <w:rPr>
                <w:rFonts w:hint="eastAsia"/>
                <w:szCs w:val="21"/>
                <w:lang w:val="en-US" w:eastAsia="zh-CN"/>
              </w:rPr>
              <w:t>4</w:t>
            </w:r>
          </w:p>
        </w:tc>
        <w:tc>
          <w:tcPr>
            <w:tcW w:w="1108" w:type="dxa"/>
          </w:tcPr>
          <w:p w14:paraId="4B73C787">
            <w:pPr>
              <w:pStyle w:val="10"/>
              <w:ind w:firstLine="0" w:firstLineChars="0"/>
              <w:rPr>
                <w:rFonts w:hint="default" w:eastAsia="宋体"/>
                <w:szCs w:val="21"/>
                <w:lang w:val="en-US" w:eastAsia="zh-CN"/>
              </w:rPr>
            </w:pPr>
            <w:r>
              <w:rPr>
                <w:rFonts w:hint="eastAsia"/>
                <w:szCs w:val="21"/>
                <w:lang w:val="en-US" w:eastAsia="zh-CN"/>
              </w:rPr>
              <w:t>测评范围</w:t>
            </w:r>
          </w:p>
        </w:tc>
        <w:tc>
          <w:tcPr>
            <w:tcW w:w="5584" w:type="dxa"/>
          </w:tcPr>
          <w:p w14:paraId="2CA72A80">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测评内容应包括安全技术和安全管理两大类，其中安全技术类应包括对物理和环境安全、网络和通信安全、设备和计算安全、应用和数据安全四个方面的测评，安全管理测评应包括对管理制度、人员管理、建设运行、应急处置四个方面的测评。</w:t>
            </w:r>
          </w:p>
          <w:p w14:paraId="27B30B16">
            <w:pPr>
              <w:pStyle w:val="10"/>
              <w:ind w:firstLine="0" w:firstLineChars="0"/>
              <w:rPr>
                <w:szCs w:val="21"/>
              </w:rPr>
            </w:pPr>
          </w:p>
        </w:tc>
        <w:tc>
          <w:tcPr>
            <w:tcW w:w="618" w:type="dxa"/>
          </w:tcPr>
          <w:p w14:paraId="738E5FF0">
            <w:pPr>
              <w:pStyle w:val="10"/>
              <w:ind w:firstLine="0" w:firstLineChars="0"/>
              <w:rPr>
                <w:szCs w:val="21"/>
              </w:rPr>
            </w:pPr>
            <w:r>
              <w:rPr>
                <w:rFonts w:hint="eastAsia"/>
                <w:szCs w:val="21"/>
              </w:rPr>
              <w:t>1</w:t>
            </w:r>
          </w:p>
        </w:tc>
        <w:tc>
          <w:tcPr>
            <w:tcW w:w="598" w:type="dxa"/>
          </w:tcPr>
          <w:p w14:paraId="0FA9B34D">
            <w:pPr>
              <w:pStyle w:val="10"/>
              <w:ind w:firstLine="0" w:firstLineChars="0"/>
              <w:rPr>
                <w:szCs w:val="21"/>
              </w:rPr>
            </w:pPr>
            <w:r>
              <w:rPr>
                <w:rFonts w:hint="eastAsia"/>
                <w:szCs w:val="21"/>
              </w:rPr>
              <w:t>项</w:t>
            </w:r>
          </w:p>
        </w:tc>
      </w:tr>
      <w:tr w14:paraId="353CC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shd w:val="clear" w:color="auto" w:fill="auto"/>
            <w:vAlign w:val="top"/>
          </w:tcPr>
          <w:p w14:paraId="59DA47B7">
            <w:pPr>
              <w:pStyle w:val="10"/>
              <w:ind w:firstLine="0" w:firstLineChars="0"/>
              <w:rPr>
                <w:rFonts w:hint="default" w:ascii="Calibri" w:hAnsi="Calibri" w:eastAsia="宋体" w:cs="Times New Roman"/>
                <w:kern w:val="2"/>
                <w:sz w:val="21"/>
                <w:szCs w:val="21"/>
                <w:lang w:val="en-US" w:eastAsia="zh-CN" w:bidi="ar-SA"/>
              </w:rPr>
            </w:pPr>
            <w:r>
              <w:rPr>
                <w:rFonts w:hint="eastAsia" w:cs="Times New Roman"/>
                <w:kern w:val="2"/>
                <w:sz w:val="21"/>
                <w:szCs w:val="21"/>
                <w:lang w:val="en-US" w:eastAsia="zh-CN" w:bidi="ar-SA"/>
              </w:rPr>
              <w:t>5</w:t>
            </w:r>
          </w:p>
        </w:tc>
        <w:tc>
          <w:tcPr>
            <w:tcW w:w="1108" w:type="dxa"/>
          </w:tcPr>
          <w:p w14:paraId="2A6654D3">
            <w:pPr>
              <w:spacing w:line="360" w:lineRule="auto"/>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测评方法</w:t>
            </w:r>
          </w:p>
          <w:p w14:paraId="10214F01">
            <w:pPr>
              <w:pStyle w:val="10"/>
              <w:ind w:firstLine="0" w:firstLineChars="0"/>
              <w:rPr>
                <w:szCs w:val="21"/>
              </w:rPr>
            </w:pPr>
          </w:p>
        </w:tc>
        <w:tc>
          <w:tcPr>
            <w:tcW w:w="5584" w:type="dxa"/>
          </w:tcPr>
          <w:p w14:paraId="04D2ECEE">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访谈：通过与被测单位的相关人员进行交谈和问询，了解被测信息系统技术和管理方面的一些基本信息，并对一些测评内容进行确认；</w:t>
            </w:r>
          </w:p>
          <w:p w14:paraId="2AD8196A">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文档审查：审核被测单位提交的有关信息系统安全的各个方面的文档，如：被测系统总体描述文件，被测系统密码总体描述文件，安全管理制度文件，密钥管理制度，各种密码安全规章制度及相关过程管理记录、配置管理文档，被测单位的信息化建设与发展状况以及联络方式；密码应用方案及评审意见，安全保护等级定级报告，系统验收报告，安全需求分析报告，安全总体方案，自查或上次评估报告等等。通过对这些文档的审核与分析确认测评的相关内容是否达到安全保护等级的要求；</w:t>
            </w:r>
          </w:p>
          <w:p w14:paraId="3F53BEC4">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实地查看：现场查看测评对象所处的环境、外观等情况；</w:t>
            </w:r>
          </w:p>
          <w:p w14:paraId="0ACA3515">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配置检查：查看测评对象的相关配置；</w:t>
            </w:r>
          </w:p>
          <w:p w14:paraId="0A630BDF">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工具测试：根据被测信息系统的实际情况，密评人员使用适合的技术工具对其进行测试。</w:t>
            </w:r>
          </w:p>
          <w:p w14:paraId="08C20FFD">
            <w:pPr>
              <w:pStyle w:val="10"/>
              <w:ind w:firstLine="0" w:firstLineChars="0"/>
              <w:rPr>
                <w:szCs w:val="21"/>
              </w:rPr>
            </w:pPr>
          </w:p>
        </w:tc>
        <w:tc>
          <w:tcPr>
            <w:tcW w:w="618" w:type="dxa"/>
          </w:tcPr>
          <w:p w14:paraId="74B54B87">
            <w:pPr>
              <w:pStyle w:val="10"/>
              <w:ind w:firstLine="0" w:firstLineChars="0"/>
              <w:rPr>
                <w:szCs w:val="21"/>
              </w:rPr>
            </w:pPr>
            <w:r>
              <w:rPr>
                <w:rFonts w:hint="eastAsia"/>
                <w:szCs w:val="21"/>
              </w:rPr>
              <w:t>1</w:t>
            </w:r>
          </w:p>
        </w:tc>
        <w:tc>
          <w:tcPr>
            <w:tcW w:w="598" w:type="dxa"/>
          </w:tcPr>
          <w:p w14:paraId="2D1FAFCE">
            <w:pPr>
              <w:pStyle w:val="10"/>
              <w:ind w:firstLine="0" w:firstLineChars="0"/>
              <w:rPr>
                <w:szCs w:val="21"/>
              </w:rPr>
            </w:pPr>
            <w:r>
              <w:rPr>
                <w:rFonts w:hint="eastAsia"/>
                <w:szCs w:val="21"/>
              </w:rPr>
              <w:t>项</w:t>
            </w:r>
          </w:p>
        </w:tc>
      </w:tr>
      <w:tr w14:paraId="0081C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0" w:hRule="atLeast"/>
        </w:trPr>
        <w:tc>
          <w:tcPr>
            <w:tcW w:w="614" w:type="dxa"/>
            <w:shd w:val="clear" w:color="auto" w:fill="auto"/>
            <w:vAlign w:val="top"/>
          </w:tcPr>
          <w:p w14:paraId="7764DE2E">
            <w:pPr>
              <w:pStyle w:val="10"/>
              <w:ind w:firstLine="0" w:firstLineChars="0"/>
              <w:rPr>
                <w:rFonts w:hint="default" w:ascii="Calibri" w:hAnsi="Calibri" w:eastAsia="宋体" w:cs="Times New Roman"/>
                <w:kern w:val="2"/>
                <w:sz w:val="21"/>
                <w:szCs w:val="21"/>
                <w:lang w:val="en-US" w:eastAsia="zh-CN" w:bidi="ar-SA"/>
              </w:rPr>
            </w:pPr>
            <w:r>
              <w:rPr>
                <w:rFonts w:hint="eastAsia" w:cs="Times New Roman"/>
                <w:kern w:val="2"/>
                <w:sz w:val="21"/>
                <w:szCs w:val="21"/>
                <w:lang w:val="en-US" w:eastAsia="zh-CN" w:bidi="ar-SA"/>
              </w:rPr>
              <w:t>6</w:t>
            </w:r>
          </w:p>
        </w:tc>
        <w:tc>
          <w:tcPr>
            <w:tcW w:w="1108" w:type="dxa"/>
          </w:tcPr>
          <w:p w14:paraId="73AC8990">
            <w:pPr>
              <w:pStyle w:val="10"/>
              <w:ind w:firstLine="0" w:firstLineChars="0"/>
              <w:rPr>
                <w:rFonts w:hint="default" w:eastAsia="宋体"/>
                <w:szCs w:val="21"/>
                <w:lang w:val="en-US" w:eastAsia="zh-CN"/>
              </w:rPr>
            </w:pPr>
            <w:r>
              <w:rPr>
                <w:rFonts w:hint="eastAsia"/>
                <w:szCs w:val="21"/>
                <w:lang w:val="en-US" w:eastAsia="zh-CN"/>
              </w:rPr>
              <w:t>项目实施要求</w:t>
            </w:r>
          </w:p>
        </w:tc>
        <w:tc>
          <w:tcPr>
            <w:tcW w:w="5584" w:type="dxa"/>
          </w:tcPr>
          <w:p w14:paraId="2090C650">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1、为了保证本次测评项目的实施质量和工期，本项目采用项目经理负责制、供应商安排具备一定信息安全技术能力、项目管理能力与等级测评工作经验的人员担任项目经理。</w:t>
            </w:r>
          </w:p>
          <w:p w14:paraId="6D14B517">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2、项目进场实施前，供应商必须与采购人签订项目保密协议。现场实施过程中测评人员必须接受甲方管理。</w:t>
            </w:r>
          </w:p>
          <w:p w14:paraId="4E741EE1">
            <w:pPr>
              <w:spacing w:line="360" w:lineRule="auto"/>
              <w:ind w:firstLine="210" w:firstLineChars="1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3、供应商制定合理的时间计划安排。（项目工期：50个工作日）</w:t>
            </w:r>
          </w:p>
          <w:p w14:paraId="65DFB275">
            <w:pPr>
              <w:spacing w:line="360" w:lineRule="auto"/>
              <w:ind w:firstLine="210" w:firstLineChars="100"/>
              <w:rPr>
                <w:szCs w:val="21"/>
              </w:rPr>
            </w:pPr>
            <w:r>
              <w:rPr>
                <w:rFonts w:hint="eastAsia" w:ascii="Calibri" w:hAnsi="Calibri" w:eastAsia="宋体" w:cs="Times New Roman"/>
                <w:kern w:val="2"/>
                <w:sz w:val="21"/>
                <w:szCs w:val="21"/>
                <w:lang w:val="en-US" w:eastAsia="zh-CN" w:bidi="ar-SA"/>
              </w:rPr>
              <w:t>4、本次项目实施过程主要分为准备阶段、方案编制阶段、现场测评阶段、分析与报告编制四个主要项目阶段</w:t>
            </w:r>
            <w:bookmarkStart w:id="3" w:name="_GoBack"/>
            <w:bookmarkEnd w:id="3"/>
            <w:r>
              <w:rPr>
                <w:rFonts w:hint="eastAsia" w:ascii="Calibri" w:hAnsi="Calibri" w:eastAsia="宋体" w:cs="Times New Roman"/>
                <w:kern w:val="2"/>
                <w:sz w:val="21"/>
                <w:szCs w:val="21"/>
                <w:lang w:val="en-US" w:eastAsia="zh-CN" w:bidi="ar-SA"/>
              </w:rPr>
              <w:t>，供应商在方案中明确各阶段双方的主要工作，各阶段双方须相互配合协调的内容。</w:t>
            </w:r>
          </w:p>
        </w:tc>
        <w:tc>
          <w:tcPr>
            <w:tcW w:w="618" w:type="dxa"/>
          </w:tcPr>
          <w:p w14:paraId="5065E577">
            <w:pPr>
              <w:pStyle w:val="10"/>
              <w:ind w:firstLine="0" w:firstLineChars="0"/>
              <w:rPr>
                <w:szCs w:val="21"/>
              </w:rPr>
            </w:pPr>
            <w:r>
              <w:rPr>
                <w:rFonts w:hint="eastAsia"/>
                <w:szCs w:val="21"/>
              </w:rPr>
              <w:t>1</w:t>
            </w:r>
          </w:p>
        </w:tc>
        <w:tc>
          <w:tcPr>
            <w:tcW w:w="598" w:type="dxa"/>
          </w:tcPr>
          <w:p w14:paraId="59ED8335">
            <w:pPr>
              <w:pStyle w:val="10"/>
              <w:ind w:firstLine="0" w:firstLineChars="0"/>
              <w:rPr>
                <w:szCs w:val="21"/>
              </w:rPr>
            </w:pPr>
            <w:r>
              <w:rPr>
                <w:rFonts w:hint="eastAsia"/>
                <w:szCs w:val="21"/>
              </w:rPr>
              <w:t>项</w:t>
            </w:r>
          </w:p>
        </w:tc>
      </w:tr>
      <w:tr w14:paraId="58941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4" w:type="dxa"/>
          </w:tcPr>
          <w:p w14:paraId="6ED234F6">
            <w:pPr>
              <w:pStyle w:val="10"/>
              <w:ind w:firstLine="0" w:firstLineChars="0"/>
              <w:rPr>
                <w:rFonts w:hint="default" w:eastAsia="宋体"/>
                <w:szCs w:val="21"/>
                <w:lang w:val="en-US" w:eastAsia="zh-CN"/>
              </w:rPr>
            </w:pPr>
            <w:r>
              <w:rPr>
                <w:rFonts w:hint="eastAsia"/>
                <w:szCs w:val="21"/>
                <w:lang w:val="en-US" w:eastAsia="zh-CN"/>
              </w:rPr>
              <w:t>7</w:t>
            </w:r>
          </w:p>
        </w:tc>
        <w:tc>
          <w:tcPr>
            <w:tcW w:w="1108" w:type="dxa"/>
            <w:shd w:val="clear" w:color="auto" w:fill="auto"/>
            <w:vAlign w:val="top"/>
          </w:tcPr>
          <w:p w14:paraId="26B9929B">
            <w:pPr>
              <w:pStyle w:val="10"/>
              <w:ind w:firstLine="0" w:firstLineChars="0"/>
              <w:rPr>
                <w:rFonts w:hint="eastAsia" w:ascii="Calibri" w:hAnsi="Calibri" w:eastAsia="宋体" w:cs="Times New Roman"/>
                <w:kern w:val="2"/>
                <w:sz w:val="21"/>
                <w:szCs w:val="21"/>
                <w:lang w:val="en-US" w:eastAsia="zh-CN" w:bidi="ar-SA"/>
              </w:rPr>
            </w:pPr>
            <w:r>
              <w:rPr>
                <w:szCs w:val="21"/>
              </w:rPr>
              <w:t>验收</w:t>
            </w:r>
            <w:r>
              <w:rPr>
                <w:rFonts w:hint="eastAsia"/>
                <w:szCs w:val="21"/>
                <w:lang w:val="en-US" w:eastAsia="zh-CN"/>
              </w:rPr>
              <w:t>要求</w:t>
            </w:r>
          </w:p>
        </w:tc>
        <w:tc>
          <w:tcPr>
            <w:tcW w:w="5584" w:type="dxa"/>
            <w:shd w:val="clear" w:color="auto" w:fill="auto"/>
            <w:vAlign w:val="top"/>
          </w:tcPr>
          <w:p w14:paraId="29C65CCF">
            <w:pPr>
              <w:pStyle w:val="10"/>
              <w:ind w:firstLine="0" w:firstLineChars="0"/>
              <w:rPr>
                <w:rFonts w:ascii="Calibri" w:hAnsi="Calibri" w:eastAsia="宋体" w:cs="Times New Roman"/>
                <w:kern w:val="2"/>
                <w:sz w:val="21"/>
                <w:szCs w:val="21"/>
                <w:lang w:val="en-US" w:eastAsia="zh-CN" w:bidi="ar-SA"/>
              </w:rPr>
            </w:pPr>
            <w:r>
              <w:rPr>
                <w:rFonts w:hint="eastAsia" w:ascii="宋体" w:hAnsi="宋体" w:cs="宋体"/>
                <w:szCs w:val="21"/>
                <w:shd w:val="clear" w:color="auto" w:fill="FFFFFF"/>
              </w:rPr>
              <w:t>在规定期限内测评服务完成，出具相应的安全评估报告（每个系统贰份）</w:t>
            </w:r>
          </w:p>
        </w:tc>
        <w:tc>
          <w:tcPr>
            <w:tcW w:w="618" w:type="dxa"/>
            <w:shd w:val="clear" w:color="auto" w:fill="auto"/>
            <w:vAlign w:val="top"/>
          </w:tcPr>
          <w:p w14:paraId="165806EC">
            <w:pPr>
              <w:pStyle w:val="10"/>
              <w:ind w:firstLine="0" w:firstLineChars="0"/>
              <w:rPr>
                <w:rFonts w:hint="eastAsia" w:ascii="Calibri" w:hAnsi="Calibri" w:eastAsia="宋体" w:cs="Times New Roman"/>
                <w:kern w:val="2"/>
                <w:sz w:val="21"/>
                <w:szCs w:val="21"/>
                <w:lang w:val="en-US" w:eastAsia="zh-CN" w:bidi="ar-SA"/>
              </w:rPr>
            </w:pPr>
            <w:r>
              <w:rPr>
                <w:rFonts w:hint="eastAsia"/>
                <w:szCs w:val="21"/>
              </w:rPr>
              <w:t>1</w:t>
            </w:r>
          </w:p>
        </w:tc>
        <w:tc>
          <w:tcPr>
            <w:tcW w:w="598" w:type="dxa"/>
            <w:shd w:val="clear" w:color="auto" w:fill="auto"/>
            <w:vAlign w:val="top"/>
          </w:tcPr>
          <w:p w14:paraId="10309B52">
            <w:pPr>
              <w:pStyle w:val="10"/>
              <w:ind w:firstLine="0" w:firstLineChars="0"/>
              <w:rPr>
                <w:rFonts w:hint="eastAsia" w:ascii="Calibri" w:hAnsi="Calibri" w:eastAsia="宋体" w:cs="Times New Roman"/>
                <w:kern w:val="2"/>
                <w:sz w:val="21"/>
                <w:szCs w:val="21"/>
                <w:lang w:val="en-US" w:eastAsia="zh-CN" w:bidi="ar-SA"/>
              </w:rPr>
            </w:pPr>
            <w:r>
              <w:rPr>
                <w:rFonts w:hint="eastAsia"/>
                <w:szCs w:val="21"/>
              </w:rPr>
              <w:t>项</w:t>
            </w:r>
          </w:p>
        </w:tc>
      </w:tr>
    </w:tbl>
    <w:p w14:paraId="73B43EB8">
      <w:pPr>
        <w:pStyle w:val="2"/>
        <w:rPr>
          <w:rFonts w:hint="eastAsia" w:hAnsi="宋体" w:cs="宋体"/>
          <w:b/>
          <w:bCs/>
          <w:sz w:val="24"/>
          <w:szCs w:val="24"/>
          <w:shd w:val="clear" w:color="auto" w:fill="FFFFFF"/>
        </w:rPr>
      </w:pPr>
    </w:p>
    <w:p w14:paraId="116193D1"/>
    <w:sectPr>
      <w:footerReference r:id="rId3" w:type="default"/>
      <w:footerReference r:id="rId4" w:type="even"/>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B4702">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C1A02E">
                          <w:pPr>
                            <w:pStyle w:val="3"/>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wps:txbx>
                    <wps:bodyPr vert="horz" wrap="none" lIns="0" tIns="0" rIns="0" bIns="0" anchor="t" anchorCtr="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OqXm5zwAAAAUBAAAPAAAAAAAAAAEAIAAAACIA&#10;AABkcnMvZG93bnJldi54bWxQSwECFAAUAAAACACHTuJA1Qb5wdkBAAC1AwAADgAAAAAAAAABACAA&#10;AAAeAQAAZHJzL2Uyb0RvYy54bWxQSwUGAAAAAAYABgBZAQAAaQUAAAAA&#10;">
              <v:fill on="f" focussize="0,0"/>
              <v:stroke on="f"/>
              <v:imagedata o:title=""/>
              <o:lock v:ext="edit" aspectratio="f"/>
              <v:textbox inset="0mm,0mm,0mm,0mm" style="mso-fit-shape-to-text:t;">
                <w:txbxContent>
                  <w:p w14:paraId="50C1A02E">
                    <w:pPr>
                      <w:pStyle w:val="3"/>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0E6B1">
    <w:pPr>
      <w:pStyle w:val="3"/>
      <w:framePr w:wrap="around" w:vAnchor="text" w:hAnchor="margin" w:xAlign="center" w:y="1"/>
      <w:rPr>
        <w:rStyle w:val="9"/>
      </w:rPr>
    </w:pPr>
    <w:r>
      <w:fldChar w:fldCharType="begin"/>
    </w:r>
    <w:r>
      <w:rPr>
        <w:rStyle w:val="9"/>
      </w:rPr>
      <w:instrText xml:space="preserve">PAGE  </w:instrText>
    </w:r>
    <w:r>
      <w:fldChar w:fldCharType="end"/>
    </w:r>
  </w:p>
  <w:p w14:paraId="2B4E96B3">
    <w:pPr>
      <w:pStyle w:val="3"/>
      <w:ind w:right="360" w:firstLine="360"/>
    </w:pPr>
  </w:p>
  <w:p w14:paraId="18F2DFED"/>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48269C"/>
    <w:multiLevelType w:val="singleLevel"/>
    <w:tmpl w:val="AE48269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525025"/>
    <w:rsid w:val="19702731"/>
    <w:rsid w:val="2C287AF3"/>
    <w:rsid w:val="3E34332D"/>
    <w:rsid w:val="4D8409ED"/>
    <w:rsid w:val="4F525025"/>
    <w:rsid w:val="78D057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4"/>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99"/>
    <w:rPr>
      <w:rFonts w:ascii="宋体" w:hAnsi="Courier New"/>
      <w:sz w:val="21"/>
      <w:szCs w:val="21"/>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next w:val="1"/>
    <w:qFormat/>
    <w:uiPriority w:val="0"/>
    <w:pPr>
      <w:spacing w:before="240" w:after="60"/>
      <w:jc w:val="center"/>
      <w:outlineLvl w:val="0"/>
    </w:pPr>
    <w:rPr>
      <w:rFonts w:ascii="Cambria" w:hAnsi="Cambria"/>
      <w:b/>
      <w:bCs/>
      <w:sz w:val="36"/>
      <w:szCs w:val="32"/>
    </w:rPr>
  </w:style>
  <w:style w:type="paragraph" w:styleId="6">
    <w:name w:val="Body Text First Indent"/>
    <w:basedOn w:val="1"/>
    <w:qFormat/>
    <w:uiPriority w:val="0"/>
    <w:pPr>
      <w:ind w:firstLine="420" w:firstLineChars="100"/>
    </w:pPr>
    <w:rPr>
      <w:sz w:val="21"/>
    </w:rPr>
  </w:style>
  <w:style w:type="character" w:styleId="9">
    <w:name w:val="page number"/>
    <w:qFormat/>
    <w:uiPriority w:val="0"/>
  </w:style>
  <w:style w:type="paragraph" w:styleId="10">
    <w:name w:val="List Paragraph"/>
    <w:basedOn w:val="1"/>
    <w:autoRedefine/>
    <w:qFormat/>
    <w:uiPriority w:val="34"/>
    <w:pPr>
      <w:ind w:firstLine="420" w:firstLineChars="200"/>
    </w:pPr>
    <w:rPr>
      <w:rFonts w:ascii="Calibri" w:hAnsi="Calibri"/>
      <w:sz w:val="21"/>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1888</Words>
  <Characters>1986</Characters>
  <Lines>0</Lines>
  <Paragraphs>0</Paragraphs>
  <TotalTime>3</TotalTime>
  <ScaleCrop>false</ScaleCrop>
  <LinksUpToDate>false</LinksUpToDate>
  <CharactersWithSpaces>1999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2025-02-14T02:55:00Z</dcterms:created>
  <dc:creator>徐鹏</dc:creator>
  <cp:lastModifiedBy>Administrator</cp:lastModifiedBy>
  <dcterms:modified xsi:type="dcterms:W3CDTF">2025-03-18T09:49:28Z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D958604506E8489BAA6FC18A2B0120C6_13</vt:lpwstr>
  </property>
  <property fmtid="{D5CDD505-2E9C-101B-9397-08002B2CF9AE}" pid="4" name="KSOTemplateDocerSaveRecord">
    <vt:lpwstr>eyJoZGlkIjoiY2U5YWRkYzcxNTY3ODIzYTAxMGVhOGVhOGYxODk0ZDQiLCJ1c2VySWQiOiIzMTc2ODYzMzgifQ==</vt:lpwstr>
  </property>
</Properties>
</file>