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4E0A16">
      <w:pPr>
        <w:pStyle w:val="12"/>
      </w:pPr>
    </w:p>
    <w:p w14:paraId="2EE5DD90">
      <w:pPr>
        <w:pStyle w:val="12"/>
      </w:pPr>
    </w:p>
    <w:p w14:paraId="4371A28C">
      <w:pPr>
        <w:pStyle w:val="12"/>
      </w:pPr>
    </w:p>
    <w:p w14:paraId="7975A867">
      <w:pPr>
        <w:widowControl/>
        <w:spacing w:before="120" w:after="120"/>
        <w:ind w:firstLine="0" w:firstLineChars="0"/>
        <w:jc w:val="center"/>
        <w:rPr>
          <w:rFonts w:cs="仿宋"/>
          <w:b/>
          <w:bCs/>
          <w:sz w:val="56"/>
          <w:szCs w:val="56"/>
        </w:rPr>
      </w:pPr>
      <w:r>
        <w:rPr>
          <w:rFonts w:hint="eastAsia" w:cs="仿宋"/>
          <w:b/>
          <w:bCs/>
          <w:sz w:val="56"/>
          <w:szCs w:val="56"/>
        </w:rPr>
        <w:t>青海省传染病监测预警与应急指挥能</w:t>
      </w:r>
    </w:p>
    <w:p w14:paraId="31CA6590">
      <w:pPr>
        <w:widowControl/>
        <w:spacing w:before="120" w:after="120"/>
        <w:ind w:firstLine="0" w:firstLineChars="0"/>
        <w:jc w:val="center"/>
        <w:rPr>
          <w:rFonts w:cs="仿宋"/>
          <w:b/>
          <w:bCs/>
          <w:sz w:val="56"/>
          <w:szCs w:val="56"/>
        </w:rPr>
      </w:pPr>
      <w:r>
        <w:rPr>
          <w:rFonts w:hint="eastAsia" w:cs="仿宋"/>
          <w:b/>
          <w:bCs/>
          <w:sz w:val="56"/>
          <w:szCs w:val="56"/>
        </w:rPr>
        <w:t>力提升（基础支撑系统）项目</w:t>
      </w:r>
    </w:p>
    <w:p w14:paraId="3CA71FC0">
      <w:pPr>
        <w:widowControl/>
        <w:spacing w:before="120" w:after="120"/>
        <w:ind w:firstLine="0" w:firstLineChars="0"/>
        <w:jc w:val="center"/>
        <w:rPr>
          <w:rFonts w:cs="仿宋"/>
          <w:b/>
          <w:bCs/>
          <w:sz w:val="56"/>
          <w:szCs w:val="56"/>
        </w:rPr>
      </w:pPr>
      <w:r>
        <w:rPr>
          <w:rFonts w:hint="eastAsia" w:cs="仿宋"/>
          <w:b/>
          <w:bCs/>
          <w:sz w:val="56"/>
          <w:szCs w:val="56"/>
        </w:rPr>
        <w:t>包二</w:t>
      </w:r>
    </w:p>
    <w:p w14:paraId="7279EBCD">
      <w:pPr>
        <w:widowControl/>
        <w:spacing w:before="120" w:after="120"/>
        <w:ind w:firstLine="0" w:firstLineChars="0"/>
        <w:jc w:val="center"/>
        <w:rPr>
          <w:rFonts w:ascii="方正小标宋_GBK" w:hAnsi="Times New Roman" w:eastAsia="方正小标宋_GBK" w:cs="Times New Roman"/>
          <w:b/>
          <w:bCs/>
          <w:sz w:val="56"/>
          <w:szCs w:val="56"/>
        </w:rPr>
      </w:pPr>
      <w:r>
        <w:rPr>
          <w:rFonts w:hint="eastAsia" w:cs="仿宋"/>
          <w:b/>
          <w:bCs/>
          <w:sz w:val="56"/>
          <w:szCs w:val="56"/>
        </w:rPr>
        <w:t>需求参数</w:t>
      </w:r>
    </w:p>
    <w:p w14:paraId="4A581C9F">
      <w:pPr>
        <w:pStyle w:val="12"/>
      </w:pPr>
    </w:p>
    <w:p w14:paraId="314ED10F">
      <w:pPr>
        <w:widowControl/>
        <w:spacing w:before="120" w:after="120"/>
        <w:ind w:firstLine="0" w:firstLineChars="0"/>
        <w:jc w:val="center"/>
        <w:rPr>
          <w:rFonts w:cs="仿宋"/>
          <w:b/>
          <w:bCs/>
          <w:sz w:val="32"/>
          <w:szCs w:val="32"/>
        </w:rPr>
      </w:pPr>
    </w:p>
    <w:p w14:paraId="37B7095C">
      <w:pPr>
        <w:widowControl/>
        <w:spacing w:before="120" w:after="120"/>
        <w:ind w:firstLine="0" w:firstLineChars="0"/>
        <w:jc w:val="center"/>
        <w:rPr>
          <w:rFonts w:cs="仿宋"/>
          <w:b/>
          <w:bCs/>
          <w:sz w:val="32"/>
          <w:szCs w:val="32"/>
        </w:rPr>
      </w:pPr>
    </w:p>
    <w:p w14:paraId="03EEF142">
      <w:pPr>
        <w:widowControl/>
        <w:spacing w:before="120" w:after="120"/>
        <w:ind w:firstLine="0" w:firstLineChars="0"/>
        <w:jc w:val="center"/>
        <w:rPr>
          <w:rFonts w:cs="仿宋"/>
          <w:b/>
          <w:bCs/>
          <w:sz w:val="32"/>
          <w:szCs w:val="32"/>
        </w:rPr>
      </w:pPr>
    </w:p>
    <w:p w14:paraId="00AA147F">
      <w:pPr>
        <w:widowControl/>
        <w:spacing w:before="120" w:after="120"/>
        <w:ind w:firstLine="0" w:firstLineChars="0"/>
        <w:jc w:val="center"/>
        <w:rPr>
          <w:rFonts w:cs="仿宋"/>
          <w:b/>
          <w:bCs/>
          <w:sz w:val="32"/>
          <w:szCs w:val="32"/>
        </w:rPr>
      </w:pPr>
    </w:p>
    <w:p w14:paraId="17E1035D">
      <w:pPr>
        <w:widowControl/>
        <w:spacing w:before="120" w:after="120"/>
        <w:ind w:firstLine="0" w:firstLineChars="0"/>
        <w:jc w:val="center"/>
        <w:rPr>
          <w:rFonts w:cs="仿宋"/>
          <w:b/>
          <w:bCs/>
          <w:sz w:val="32"/>
          <w:szCs w:val="32"/>
        </w:rPr>
      </w:pPr>
    </w:p>
    <w:p w14:paraId="2E4AB53E">
      <w:pPr>
        <w:widowControl/>
        <w:spacing w:before="120" w:after="120"/>
        <w:ind w:firstLine="0" w:firstLineChars="0"/>
        <w:jc w:val="center"/>
        <w:rPr>
          <w:rFonts w:cs="仿宋"/>
          <w:b/>
          <w:bCs/>
          <w:sz w:val="32"/>
          <w:szCs w:val="32"/>
        </w:rPr>
      </w:pPr>
    </w:p>
    <w:p w14:paraId="0317E22F">
      <w:pPr>
        <w:widowControl/>
        <w:spacing w:before="120" w:after="120"/>
        <w:ind w:firstLine="0" w:firstLineChars="0"/>
        <w:jc w:val="center"/>
        <w:rPr>
          <w:rFonts w:cs="仿宋"/>
          <w:b/>
          <w:bCs/>
          <w:sz w:val="32"/>
          <w:szCs w:val="32"/>
        </w:rPr>
      </w:pPr>
    </w:p>
    <w:p w14:paraId="464CC7F4">
      <w:pPr>
        <w:widowControl/>
        <w:spacing w:before="120" w:after="120"/>
        <w:ind w:firstLine="0" w:firstLineChars="0"/>
        <w:jc w:val="center"/>
        <w:rPr>
          <w:rFonts w:cs="仿宋"/>
          <w:b/>
          <w:bCs/>
          <w:sz w:val="32"/>
          <w:szCs w:val="32"/>
        </w:rPr>
      </w:pPr>
    </w:p>
    <w:p w14:paraId="0A9FB78C">
      <w:pPr>
        <w:widowControl/>
        <w:spacing w:before="120" w:after="120"/>
        <w:ind w:firstLine="0" w:firstLineChars="0"/>
        <w:jc w:val="center"/>
        <w:rPr>
          <w:rFonts w:ascii="方正小标宋_GBK" w:hAnsi="Times New Roman" w:eastAsia="方正小标宋_GBK" w:cs="Times New Roman"/>
          <w:b/>
          <w:bCs/>
          <w:sz w:val="32"/>
          <w:szCs w:val="32"/>
        </w:rPr>
      </w:pPr>
      <w:r>
        <w:rPr>
          <w:rFonts w:hint="eastAsia" w:cs="仿宋"/>
          <w:b/>
          <w:bCs/>
          <w:sz w:val="32"/>
          <w:szCs w:val="32"/>
        </w:rPr>
        <w:t>编制日期：2024年10月</w:t>
      </w:r>
    </w:p>
    <w:p w14:paraId="2C5124C4">
      <w:pPr>
        <w:widowControl/>
        <w:spacing w:line="240" w:lineRule="auto"/>
        <w:ind w:firstLine="0" w:firstLineChars="0"/>
        <w:jc w:val="left"/>
        <w:rPr>
          <w:rFonts w:asciiTheme="minorHAnsi" w:hAnsiTheme="minorHAnsi"/>
          <w:sz w:val="21"/>
        </w:rPr>
      </w:pPr>
      <w:r>
        <w:br w:type="page"/>
      </w:r>
    </w:p>
    <w:p w14:paraId="3FFC41CE">
      <w:pPr>
        <w:ind w:firstLine="560"/>
        <w:jc w:val="center"/>
      </w:pPr>
      <w:r>
        <w:rPr>
          <w:rFonts w:hint="eastAsia"/>
        </w:rPr>
        <w:t>目录</w:t>
      </w:r>
    </w:p>
    <w:p w14:paraId="4B754411">
      <w:pPr>
        <w:pStyle w:val="23"/>
        <w:tabs>
          <w:tab w:val="right" w:leader="dot" w:pos="9332"/>
        </w:tabs>
        <w:ind w:firstLine="400"/>
      </w:pPr>
      <w:r>
        <w:fldChar w:fldCharType="begin"/>
      </w:r>
      <w:r>
        <w:instrText xml:space="preserve"> </w:instrText>
      </w:r>
      <w:r>
        <w:rPr>
          <w:rFonts w:hint="eastAsia"/>
        </w:rPr>
        <w:instrText xml:space="preserve">TOC \o "1-3" \h \z \u</w:instrText>
      </w:r>
      <w:r>
        <w:instrText xml:space="preserve"> </w:instrText>
      </w:r>
      <w:r>
        <w:fldChar w:fldCharType="separate"/>
      </w:r>
      <w:r>
        <w:fldChar w:fldCharType="begin"/>
      </w:r>
      <w:r>
        <w:instrText xml:space="preserve"> HYPERLINK \l "_Toc27860" </w:instrText>
      </w:r>
      <w:r>
        <w:fldChar w:fldCharType="separate"/>
      </w:r>
      <w:r>
        <w:rPr>
          <w:rFonts w:hint="eastAsia"/>
        </w:rPr>
        <w:t>第一章 项目概述</w:t>
      </w:r>
      <w:r>
        <w:tab/>
      </w:r>
      <w:r>
        <w:fldChar w:fldCharType="begin"/>
      </w:r>
      <w:r>
        <w:instrText xml:space="preserve"> PAGEREF _Toc27860 \h </w:instrText>
      </w:r>
      <w:r>
        <w:fldChar w:fldCharType="separate"/>
      </w:r>
      <w:r>
        <w:t>4</w:t>
      </w:r>
      <w:r>
        <w:fldChar w:fldCharType="end"/>
      </w:r>
      <w:r>
        <w:fldChar w:fldCharType="end"/>
      </w:r>
    </w:p>
    <w:p w14:paraId="6CC11DE9">
      <w:pPr>
        <w:pStyle w:val="26"/>
        <w:tabs>
          <w:tab w:val="right" w:leader="dot" w:pos="9332"/>
        </w:tabs>
        <w:ind w:firstLine="400"/>
      </w:pPr>
      <w:r>
        <w:fldChar w:fldCharType="begin"/>
      </w:r>
      <w:r>
        <w:instrText xml:space="preserve"> HYPERLINK \l "_Toc13046" </w:instrText>
      </w:r>
      <w:r>
        <w:fldChar w:fldCharType="separate"/>
      </w:r>
      <w:r>
        <w:rPr>
          <w:rFonts w:hint="eastAsia"/>
        </w:rPr>
        <w:t>1.1 项目预算</w:t>
      </w:r>
      <w:r>
        <w:tab/>
      </w:r>
      <w:r>
        <w:fldChar w:fldCharType="begin"/>
      </w:r>
      <w:r>
        <w:instrText xml:space="preserve"> PAGEREF _Toc13046 \h </w:instrText>
      </w:r>
      <w:r>
        <w:fldChar w:fldCharType="separate"/>
      </w:r>
      <w:r>
        <w:t>4</w:t>
      </w:r>
      <w:r>
        <w:fldChar w:fldCharType="end"/>
      </w:r>
      <w:r>
        <w:fldChar w:fldCharType="end"/>
      </w:r>
    </w:p>
    <w:p w14:paraId="47A55666">
      <w:pPr>
        <w:pStyle w:val="26"/>
        <w:tabs>
          <w:tab w:val="right" w:leader="dot" w:pos="9332"/>
        </w:tabs>
        <w:ind w:firstLine="400"/>
      </w:pPr>
      <w:r>
        <w:fldChar w:fldCharType="begin"/>
      </w:r>
      <w:r>
        <w:instrText xml:space="preserve"> HYPERLINK \l "_Toc28274" </w:instrText>
      </w:r>
      <w:r>
        <w:fldChar w:fldCharType="separate"/>
      </w:r>
      <w:r>
        <w:rPr>
          <w:rFonts w:hint="eastAsia"/>
        </w:rPr>
        <w:t>1.2 建设背景</w:t>
      </w:r>
      <w:r>
        <w:tab/>
      </w:r>
      <w:r>
        <w:fldChar w:fldCharType="begin"/>
      </w:r>
      <w:r>
        <w:instrText xml:space="preserve"> PAGEREF _Toc28274 \h </w:instrText>
      </w:r>
      <w:r>
        <w:fldChar w:fldCharType="separate"/>
      </w:r>
      <w:r>
        <w:t>4</w:t>
      </w:r>
      <w:r>
        <w:fldChar w:fldCharType="end"/>
      </w:r>
      <w:r>
        <w:fldChar w:fldCharType="end"/>
      </w:r>
    </w:p>
    <w:p w14:paraId="2CF0707B">
      <w:pPr>
        <w:pStyle w:val="26"/>
        <w:tabs>
          <w:tab w:val="right" w:leader="dot" w:pos="9332"/>
        </w:tabs>
        <w:ind w:firstLine="400"/>
      </w:pPr>
      <w:r>
        <w:fldChar w:fldCharType="begin"/>
      </w:r>
      <w:r>
        <w:instrText xml:space="preserve"> HYPERLINK \l "_Toc10758" </w:instrText>
      </w:r>
      <w:r>
        <w:fldChar w:fldCharType="separate"/>
      </w:r>
      <w:r>
        <w:rPr>
          <w:rFonts w:hint="eastAsia"/>
        </w:rPr>
        <w:t>1.3 建设目标</w:t>
      </w:r>
      <w:r>
        <w:tab/>
      </w:r>
      <w:r>
        <w:fldChar w:fldCharType="begin"/>
      </w:r>
      <w:r>
        <w:instrText xml:space="preserve"> PAGEREF _Toc10758 \h </w:instrText>
      </w:r>
      <w:r>
        <w:fldChar w:fldCharType="separate"/>
      </w:r>
      <w:r>
        <w:t>6</w:t>
      </w:r>
      <w:r>
        <w:fldChar w:fldCharType="end"/>
      </w:r>
      <w:r>
        <w:fldChar w:fldCharType="end"/>
      </w:r>
    </w:p>
    <w:p w14:paraId="1F17E7F7">
      <w:pPr>
        <w:pStyle w:val="26"/>
        <w:tabs>
          <w:tab w:val="right" w:leader="dot" w:pos="9332"/>
        </w:tabs>
        <w:ind w:firstLine="400"/>
      </w:pPr>
      <w:r>
        <w:fldChar w:fldCharType="begin"/>
      </w:r>
      <w:r>
        <w:instrText xml:space="preserve"> HYPERLINK \l "_Toc9759" </w:instrText>
      </w:r>
      <w:r>
        <w:fldChar w:fldCharType="separate"/>
      </w:r>
      <w:r>
        <w:rPr>
          <w:rFonts w:hint="eastAsia"/>
        </w:rPr>
        <w:t>1.4 建设规模</w:t>
      </w:r>
      <w:r>
        <w:tab/>
      </w:r>
      <w:r>
        <w:fldChar w:fldCharType="begin"/>
      </w:r>
      <w:r>
        <w:instrText xml:space="preserve"> PAGEREF _Toc9759 \h </w:instrText>
      </w:r>
      <w:r>
        <w:fldChar w:fldCharType="separate"/>
      </w:r>
      <w:r>
        <w:t>6</w:t>
      </w:r>
      <w:r>
        <w:fldChar w:fldCharType="end"/>
      </w:r>
      <w:r>
        <w:fldChar w:fldCharType="end"/>
      </w:r>
    </w:p>
    <w:p w14:paraId="732ABAEE">
      <w:pPr>
        <w:pStyle w:val="26"/>
        <w:tabs>
          <w:tab w:val="right" w:leader="dot" w:pos="9332"/>
        </w:tabs>
        <w:ind w:firstLine="400"/>
      </w:pPr>
      <w:r>
        <w:fldChar w:fldCharType="begin"/>
      </w:r>
      <w:r>
        <w:instrText xml:space="preserve"> HYPERLINK \l "_Toc31370" </w:instrText>
      </w:r>
      <w:r>
        <w:fldChar w:fldCharType="separate"/>
      </w:r>
      <w:r>
        <w:rPr>
          <w:rFonts w:hint="eastAsia"/>
        </w:rPr>
        <w:t>1.5 建设内容</w:t>
      </w:r>
      <w:r>
        <w:tab/>
      </w:r>
      <w:r>
        <w:fldChar w:fldCharType="begin"/>
      </w:r>
      <w:r>
        <w:instrText xml:space="preserve"> PAGEREF _Toc31370 \h </w:instrText>
      </w:r>
      <w:r>
        <w:fldChar w:fldCharType="separate"/>
      </w:r>
      <w:r>
        <w:t>6</w:t>
      </w:r>
      <w:r>
        <w:fldChar w:fldCharType="end"/>
      </w:r>
      <w:r>
        <w:fldChar w:fldCharType="end"/>
      </w:r>
    </w:p>
    <w:p w14:paraId="4952323F">
      <w:pPr>
        <w:pStyle w:val="23"/>
        <w:tabs>
          <w:tab w:val="right" w:leader="dot" w:pos="9332"/>
        </w:tabs>
        <w:ind w:firstLine="400"/>
      </w:pPr>
      <w:r>
        <w:fldChar w:fldCharType="begin"/>
      </w:r>
      <w:r>
        <w:instrText xml:space="preserve"> HYPERLINK \l "_Toc25495" </w:instrText>
      </w:r>
      <w:r>
        <w:fldChar w:fldCharType="separate"/>
      </w:r>
      <w:r>
        <w:rPr>
          <w:rFonts w:hint="eastAsia"/>
        </w:rPr>
        <w:t>第二章 技术要求</w:t>
      </w:r>
      <w:r>
        <w:tab/>
      </w:r>
      <w:r>
        <w:fldChar w:fldCharType="begin"/>
      </w:r>
      <w:r>
        <w:instrText xml:space="preserve"> PAGEREF _Toc25495 \h </w:instrText>
      </w:r>
      <w:r>
        <w:fldChar w:fldCharType="separate"/>
      </w:r>
      <w:r>
        <w:t>8</w:t>
      </w:r>
      <w:r>
        <w:fldChar w:fldCharType="end"/>
      </w:r>
      <w:r>
        <w:fldChar w:fldCharType="end"/>
      </w:r>
    </w:p>
    <w:p w14:paraId="715E8967">
      <w:pPr>
        <w:pStyle w:val="26"/>
        <w:tabs>
          <w:tab w:val="right" w:leader="dot" w:pos="9332"/>
        </w:tabs>
        <w:ind w:firstLine="400"/>
      </w:pPr>
      <w:r>
        <w:fldChar w:fldCharType="begin"/>
      </w:r>
      <w:r>
        <w:instrText xml:space="preserve"> HYPERLINK \l "_Toc29744" </w:instrText>
      </w:r>
      <w:r>
        <w:fldChar w:fldCharType="separate"/>
      </w:r>
      <w:r>
        <w:rPr>
          <w:rFonts w:hint="eastAsia"/>
        </w:rPr>
        <w:t>2.1 总体技术要求</w:t>
      </w:r>
      <w:r>
        <w:tab/>
      </w:r>
      <w:r>
        <w:fldChar w:fldCharType="begin"/>
      </w:r>
      <w:r>
        <w:instrText xml:space="preserve"> PAGEREF _Toc29744 \h </w:instrText>
      </w:r>
      <w:r>
        <w:fldChar w:fldCharType="separate"/>
      </w:r>
      <w:r>
        <w:t>8</w:t>
      </w:r>
      <w:r>
        <w:fldChar w:fldCharType="end"/>
      </w:r>
      <w:r>
        <w:fldChar w:fldCharType="end"/>
      </w:r>
    </w:p>
    <w:p w14:paraId="52CA318C">
      <w:pPr>
        <w:pStyle w:val="17"/>
        <w:tabs>
          <w:tab w:val="right" w:leader="dot" w:pos="9332"/>
        </w:tabs>
        <w:ind w:firstLine="400"/>
      </w:pPr>
      <w:r>
        <w:fldChar w:fldCharType="begin"/>
      </w:r>
      <w:r>
        <w:instrText xml:space="preserve"> HYPERLINK \l "_Toc8981" </w:instrText>
      </w:r>
      <w:r>
        <w:fldChar w:fldCharType="separate"/>
      </w:r>
      <w:r>
        <w:rPr>
          <w:rFonts w:hint="eastAsia"/>
        </w:rPr>
        <w:t>2.1.1 总体技术路线要求</w:t>
      </w:r>
      <w:r>
        <w:tab/>
      </w:r>
      <w:r>
        <w:fldChar w:fldCharType="begin"/>
      </w:r>
      <w:r>
        <w:instrText xml:space="preserve"> PAGEREF _Toc8981 \h </w:instrText>
      </w:r>
      <w:r>
        <w:fldChar w:fldCharType="separate"/>
      </w:r>
      <w:r>
        <w:t>8</w:t>
      </w:r>
      <w:r>
        <w:fldChar w:fldCharType="end"/>
      </w:r>
      <w:r>
        <w:fldChar w:fldCharType="end"/>
      </w:r>
    </w:p>
    <w:p w14:paraId="31DBAEE3">
      <w:pPr>
        <w:pStyle w:val="17"/>
        <w:tabs>
          <w:tab w:val="right" w:leader="dot" w:pos="9332"/>
        </w:tabs>
        <w:ind w:firstLine="400"/>
      </w:pPr>
      <w:r>
        <w:fldChar w:fldCharType="begin"/>
      </w:r>
      <w:r>
        <w:instrText xml:space="preserve"> HYPERLINK \l "_Toc26761" </w:instrText>
      </w:r>
      <w:r>
        <w:fldChar w:fldCharType="separate"/>
      </w:r>
      <w:r>
        <w:rPr>
          <w:rFonts w:hint="eastAsia"/>
        </w:rPr>
        <w:t>2.1.2 总体安全要求</w:t>
      </w:r>
      <w:r>
        <w:tab/>
      </w:r>
      <w:r>
        <w:fldChar w:fldCharType="begin"/>
      </w:r>
      <w:r>
        <w:instrText xml:space="preserve"> PAGEREF _Toc26761 \h </w:instrText>
      </w:r>
      <w:r>
        <w:fldChar w:fldCharType="separate"/>
      </w:r>
      <w:r>
        <w:t>8</w:t>
      </w:r>
      <w:r>
        <w:fldChar w:fldCharType="end"/>
      </w:r>
      <w:r>
        <w:fldChar w:fldCharType="end"/>
      </w:r>
    </w:p>
    <w:p w14:paraId="53D10AF0">
      <w:pPr>
        <w:pStyle w:val="17"/>
        <w:tabs>
          <w:tab w:val="right" w:leader="dot" w:pos="9332"/>
        </w:tabs>
        <w:ind w:firstLine="400"/>
      </w:pPr>
      <w:r>
        <w:fldChar w:fldCharType="begin"/>
      </w:r>
      <w:r>
        <w:instrText xml:space="preserve"> HYPERLINK \l "_Toc1333" </w:instrText>
      </w:r>
      <w:r>
        <w:fldChar w:fldCharType="separate"/>
      </w:r>
      <w:r>
        <w:rPr>
          <w:rFonts w:hint="eastAsia"/>
        </w:rPr>
        <w:t>2.1.3 总体兼容先要求</w:t>
      </w:r>
      <w:r>
        <w:tab/>
      </w:r>
      <w:r>
        <w:fldChar w:fldCharType="begin"/>
      </w:r>
      <w:r>
        <w:instrText xml:space="preserve"> PAGEREF _Toc1333 \h </w:instrText>
      </w:r>
      <w:r>
        <w:fldChar w:fldCharType="separate"/>
      </w:r>
      <w:r>
        <w:t>8</w:t>
      </w:r>
      <w:r>
        <w:fldChar w:fldCharType="end"/>
      </w:r>
      <w:r>
        <w:fldChar w:fldCharType="end"/>
      </w:r>
    </w:p>
    <w:p w14:paraId="159D762D">
      <w:pPr>
        <w:pStyle w:val="26"/>
        <w:tabs>
          <w:tab w:val="right" w:leader="dot" w:pos="9332"/>
        </w:tabs>
        <w:ind w:firstLine="400"/>
      </w:pPr>
      <w:r>
        <w:fldChar w:fldCharType="begin"/>
      </w:r>
      <w:r>
        <w:instrText xml:space="preserve"> HYPERLINK \l "_Toc32196" </w:instrText>
      </w:r>
      <w:r>
        <w:fldChar w:fldCharType="separate"/>
      </w:r>
      <w:r>
        <w:rPr>
          <w:rFonts w:hint="eastAsia"/>
        </w:rPr>
        <w:t xml:space="preserve">2.2 </w:t>
      </w:r>
      <w:r>
        <w:rPr>
          <w:rFonts w:ascii="黑体" w:hAnsi="黑体" w:cs="黑体"/>
          <w:spacing w:val="-2"/>
        </w:rPr>
        <w:t>青海省免疫规划信息管理系统升级完善</w:t>
      </w:r>
      <w:r>
        <w:tab/>
      </w:r>
      <w:r>
        <w:fldChar w:fldCharType="begin"/>
      </w:r>
      <w:r>
        <w:instrText xml:space="preserve"> PAGEREF _Toc32196 \h </w:instrText>
      </w:r>
      <w:r>
        <w:fldChar w:fldCharType="separate"/>
      </w:r>
      <w:r>
        <w:t>9</w:t>
      </w:r>
      <w:r>
        <w:fldChar w:fldCharType="end"/>
      </w:r>
      <w:r>
        <w:fldChar w:fldCharType="end"/>
      </w:r>
    </w:p>
    <w:p w14:paraId="54CB5FC8">
      <w:pPr>
        <w:pStyle w:val="17"/>
        <w:tabs>
          <w:tab w:val="right" w:leader="dot" w:pos="9332"/>
        </w:tabs>
        <w:ind w:firstLine="400"/>
      </w:pPr>
      <w:r>
        <w:fldChar w:fldCharType="begin"/>
      </w:r>
      <w:r>
        <w:instrText xml:space="preserve"> HYPERLINK \l "_Toc10064" </w:instrText>
      </w:r>
      <w:r>
        <w:fldChar w:fldCharType="separate"/>
      </w:r>
      <w:r>
        <w:rPr>
          <w:rFonts w:hint="eastAsia"/>
        </w:rPr>
        <w:t xml:space="preserve">2.2.1 </w:t>
      </w:r>
      <w:r>
        <w:rPr>
          <w:rFonts w:ascii="黑体" w:hAnsi="黑体" w:cs="黑体"/>
          <w:spacing w:val="-4"/>
        </w:rPr>
        <w:t>工作督导模块</w:t>
      </w:r>
      <w:r>
        <w:tab/>
      </w:r>
      <w:r>
        <w:fldChar w:fldCharType="begin"/>
      </w:r>
      <w:r>
        <w:instrText xml:space="preserve"> PAGEREF _Toc10064 \h </w:instrText>
      </w:r>
      <w:r>
        <w:fldChar w:fldCharType="separate"/>
      </w:r>
      <w:r>
        <w:t>10</w:t>
      </w:r>
      <w:r>
        <w:fldChar w:fldCharType="end"/>
      </w:r>
      <w:r>
        <w:fldChar w:fldCharType="end"/>
      </w:r>
    </w:p>
    <w:p w14:paraId="192667C8">
      <w:pPr>
        <w:pStyle w:val="17"/>
        <w:tabs>
          <w:tab w:val="right" w:leader="dot" w:pos="9332"/>
        </w:tabs>
        <w:ind w:firstLine="400"/>
      </w:pPr>
      <w:r>
        <w:fldChar w:fldCharType="begin"/>
      </w:r>
      <w:r>
        <w:instrText xml:space="preserve"> HYPERLINK \l "_Toc13367" </w:instrText>
      </w:r>
      <w:r>
        <w:fldChar w:fldCharType="separate"/>
      </w:r>
      <w:r>
        <w:rPr>
          <w:rFonts w:hint="eastAsia"/>
        </w:rPr>
        <w:t xml:space="preserve">2.2.2 </w:t>
      </w:r>
      <w:r>
        <w:rPr>
          <w:rFonts w:ascii="黑体" w:hAnsi="黑体" w:cs="黑体"/>
          <w:spacing w:val="-2"/>
        </w:rPr>
        <w:t>预防接种单位分级管理</w:t>
      </w:r>
      <w:r>
        <w:tab/>
      </w:r>
      <w:r>
        <w:fldChar w:fldCharType="begin"/>
      </w:r>
      <w:r>
        <w:instrText xml:space="preserve"> PAGEREF _Toc13367 \h </w:instrText>
      </w:r>
      <w:r>
        <w:fldChar w:fldCharType="separate"/>
      </w:r>
      <w:r>
        <w:t>10</w:t>
      </w:r>
      <w:r>
        <w:fldChar w:fldCharType="end"/>
      </w:r>
      <w:r>
        <w:fldChar w:fldCharType="end"/>
      </w:r>
    </w:p>
    <w:p w14:paraId="71681B40">
      <w:pPr>
        <w:pStyle w:val="17"/>
        <w:tabs>
          <w:tab w:val="right" w:leader="dot" w:pos="9332"/>
        </w:tabs>
        <w:ind w:firstLine="400"/>
      </w:pPr>
      <w:r>
        <w:fldChar w:fldCharType="begin"/>
      </w:r>
      <w:r>
        <w:instrText xml:space="preserve"> HYPERLINK \l "_Toc26448" </w:instrText>
      </w:r>
      <w:r>
        <w:fldChar w:fldCharType="separate"/>
      </w:r>
      <w:r>
        <w:rPr>
          <w:rFonts w:hint="eastAsia"/>
        </w:rPr>
        <w:t xml:space="preserve">2.2.3 </w:t>
      </w:r>
      <w:r>
        <w:rPr>
          <w:rFonts w:ascii="黑体" w:hAnsi="黑体" w:cs="黑体"/>
          <w:spacing w:val="-1"/>
        </w:rPr>
        <w:t>免规系统使用单位及人力资源管理信息整合</w:t>
      </w:r>
      <w:r>
        <w:tab/>
      </w:r>
      <w:r>
        <w:fldChar w:fldCharType="begin"/>
      </w:r>
      <w:r>
        <w:instrText xml:space="preserve"> PAGEREF _Toc26448 \h </w:instrText>
      </w:r>
      <w:r>
        <w:fldChar w:fldCharType="separate"/>
      </w:r>
      <w:r>
        <w:t>11</w:t>
      </w:r>
      <w:r>
        <w:fldChar w:fldCharType="end"/>
      </w:r>
      <w:r>
        <w:fldChar w:fldCharType="end"/>
      </w:r>
    </w:p>
    <w:p w14:paraId="41EA5DE9">
      <w:pPr>
        <w:pStyle w:val="26"/>
        <w:tabs>
          <w:tab w:val="right" w:leader="dot" w:pos="9332"/>
        </w:tabs>
        <w:ind w:firstLine="400"/>
      </w:pPr>
      <w:r>
        <w:fldChar w:fldCharType="begin"/>
      </w:r>
      <w:r>
        <w:instrText xml:space="preserve"> HYPERLINK \l "_Toc7495" </w:instrText>
      </w:r>
      <w:r>
        <w:fldChar w:fldCharType="separate"/>
      </w:r>
      <w:r>
        <w:rPr>
          <w:rFonts w:hint="eastAsia"/>
          <w:lang w:eastAsia="zh-Hans"/>
        </w:rPr>
        <w:t xml:space="preserve">2.3 </w:t>
      </w:r>
      <w:r>
        <w:rPr>
          <w:rFonts w:ascii="黑体" w:hAnsi="黑体" w:cs="黑体"/>
          <w:spacing w:val="-3"/>
        </w:rPr>
        <w:t>电子接种证管理系统</w:t>
      </w:r>
      <w:r>
        <w:tab/>
      </w:r>
      <w:r>
        <w:fldChar w:fldCharType="begin"/>
      </w:r>
      <w:r>
        <w:instrText xml:space="preserve"> PAGEREF _Toc7495 \h </w:instrText>
      </w:r>
      <w:r>
        <w:fldChar w:fldCharType="separate"/>
      </w:r>
      <w:r>
        <w:t>22</w:t>
      </w:r>
      <w:r>
        <w:fldChar w:fldCharType="end"/>
      </w:r>
      <w:r>
        <w:fldChar w:fldCharType="end"/>
      </w:r>
    </w:p>
    <w:p w14:paraId="572190A1">
      <w:pPr>
        <w:pStyle w:val="17"/>
        <w:tabs>
          <w:tab w:val="right" w:leader="dot" w:pos="9332"/>
        </w:tabs>
        <w:ind w:firstLine="400"/>
      </w:pPr>
      <w:r>
        <w:fldChar w:fldCharType="begin"/>
      </w:r>
      <w:r>
        <w:instrText xml:space="preserve"> HYPERLINK \l "_Toc14222" </w:instrText>
      </w:r>
      <w:r>
        <w:fldChar w:fldCharType="separate"/>
      </w:r>
      <w:r>
        <w:rPr>
          <w:rFonts w:hint="eastAsia"/>
        </w:rPr>
        <w:t xml:space="preserve">2.3.1 </w:t>
      </w:r>
      <w:r>
        <w:rPr>
          <w:rFonts w:ascii="黑体" w:hAnsi="黑体" w:cs="黑体"/>
          <w:spacing w:val="-4"/>
        </w:rPr>
        <w:t>公众用户注册</w:t>
      </w:r>
      <w:r>
        <w:tab/>
      </w:r>
      <w:r>
        <w:fldChar w:fldCharType="begin"/>
      </w:r>
      <w:r>
        <w:instrText xml:space="preserve"> PAGEREF _Toc14222 \h </w:instrText>
      </w:r>
      <w:r>
        <w:fldChar w:fldCharType="separate"/>
      </w:r>
      <w:r>
        <w:t>23</w:t>
      </w:r>
      <w:r>
        <w:fldChar w:fldCharType="end"/>
      </w:r>
      <w:r>
        <w:fldChar w:fldCharType="end"/>
      </w:r>
    </w:p>
    <w:p w14:paraId="3DB65A4A">
      <w:pPr>
        <w:pStyle w:val="17"/>
        <w:tabs>
          <w:tab w:val="right" w:leader="dot" w:pos="9332"/>
        </w:tabs>
        <w:ind w:firstLine="400"/>
      </w:pPr>
      <w:r>
        <w:fldChar w:fldCharType="begin"/>
      </w:r>
      <w:r>
        <w:instrText xml:space="preserve"> HYPERLINK \l "_Toc30312" </w:instrText>
      </w:r>
      <w:r>
        <w:fldChar w:fldCharType="separate"/>
      </w:r>
      <w:r>
        <w:rPr>
          <w:rFonts w:hint="eastAsia" w:ascii="黑体" w:hAnsi="黑体" w:cs="黑体"/>
          <w:spacing w:val="-3"/>
        </w:rPr>
        <w:t xml:space="preserve">2.3.2 </w:t>
      </w:r>
      <w:r>
        <w:rPr>
          <w:rFonts w:ascii="黑体" w:hAnsi="黑体" w:cs="黑体"/>
          <w:spacing w:val="-3"/>
        </w:rPr>
        <w:t>电子接种证管理</w:t>
      </w:r>
      <w:r>
        <w:tab/>
      </w:r>
      <w:r>
        <w:fldChar w:fldCharType="begin"/>
      </w:r>
      <w:r>
        <w:instrText xml:space="preserve"> PAGEREF _Toc30312 \h </w:instrText>
      </w:r>
      <w:r>
        <w:fldChar w:fldCharType="separate"/>
      </w:r>
      <w:r>
        <w:t>27</w:t>
      </w:r>
      <w:r>
        <w:fldChar w:fldCharType="end"/>
      </w:r>
      <w:r>
        <w:fldChar w:fldCharType="end"/>
      </w:r>
    </w:p>
    <w:p w14:paraId="17B28EA5">
      <w:pPr>
        <w:pStyle w:val="17"/>
        <w:tabs>
          <w:tab w:val="right" w:leader="dot" w:pos="9332"/>
        </w:tabs>
        <w:ind w:firstLine="400"/>
      </w:pPr>
      <w:r>
        <w:fldChar w:fldCharType="begin"/>
      </w:r>
      <w:r>
        <w:instrText xml:space="preserve"> HYPERLINK \l "_Toc2618" </w:instrText>
      </w:r>
      <w:r>
        <w:fldChar w:fldCharType="separate"/>
      </w:r>
      <w:r>
        <w:rPr>
          <w:rFonts w:hint="eastAsia" w:ascii="黑体" w:hAnsi="黑体" w:cs="黑体"/>
          <w:spacing w:val="-3"/>
        </w:rPr>
        <w:t xml:space="preserve">2.3.3 </w:t>
      </w:r>
      <w:r>
        <w:rPr>
          <w:rFonts w:ascii="黑体" w:hAnsi="黑体" w:cs="黑体"/>
          <w:spacing w:val="-3"/>
        </w:rPr>
        <w:t>实名认证</w:t>
      </w:r>
      <w:r>
        <w:tab/>
      </w:r>
      <w:r>
        <w:fldChar w:fldCharType="begin"/>
      </w:r>
      <w:r>
        <w:instrText xml:space="preserve"> PAGEREF _Toc2618 \h </w:instrText>
      </w:r>
      <w:r>
        <w:fldChar w:fldCharType="separate"/>
      </w:r>
      <w:r>
        <w:t>30</w:t>
      </w:r>
      <w:r>
        <w:fldChar w:fldCharType="end"/>
      </w:r>
      <w:r>
        <w:fldChar w:fldCharType="end"/>
      </w:r>
    </w:p>
    <w:p w14:paraId="3817078A">
      <w:pPr>
        <w:pStyle w:val="17"/>
        <w:tabs>
          <w:tab w:val="right" w:leader="dot" w:pos="9332"/>
        </w:tabs>
        <w:ind w:firstLine="400"/>
      </w:pPr>
      <w:r>
        <w:fldChar w:fldCharType="begin"/>
      </w:r>
      <w:r>
        <w:instrText xml:space="preserve"> HYPERLINK \l "_Toc12625" </w:instrText>
      </w:r>
      <w:r>
        <w:fldChar w:fldCharType="separate"/>
      </w:r>
      <w:r>
        <w:rPr>
          <w:rFonts w:hint="eastAsia" w:ascii="黑体" w:hAnsi="黑体" w:cs="黑体"/>
          <w:spacing w:val="-3"/>
        </w:rPr>
        <w:t xml:space="preserve">2.3.4 </w:t>
      </w:r>
      <w:r>
        <w:rPr>
          <w:rFonts w:ascii="黑体" w:hAnsi="黑体" w:cs="黑体"/>
          <w:spacing w:val="-3"/>
        </w:rPr>
        <w:t>信息绑定</w:t>
      </w:r>
      <w:r>
        <w:tab/>
      </w:r>
      <w:r>
        <w:fldChar w:fldCharType="begin"/>
      </w:r>
      <w:r>
        <w:instrText xml:space="preserve"> PAGEREF _Toc12625 \h </w:instrText>
      </w:r>
      <w:r>
        <w:fldChar w:fldCharType="separate"/>
      </w:r>
      <w:r>
        <w:t>33</w:t>
      </w:r>
      <w:r>
        <w:fldChar w:fldCharType="end"/>
      </w:r>
      <w:r>
        <w:fldChar w:fldCharType="end"/>
      </w:r>
    </w:p>
    <w:p w14:paraId="66890A6E">
      <w:pPr>
        <w:pStyle w:val="17"/>
        <w:tabs>
          <w:tab w:val="right" w:leader="dot" w:pos="9332"/>
        </w:tabs>
        <w:ind w:firstLine="400"/>
      </w:pPr>
      <w:r>
        <w:fldChar w:fldCharType="begin"/>
      </w:r>
      <w:r>
        <w:instrText xml:space="preserve"> HYPERLINK \l "_Toc22871" </w:instrText>
      </w:r>
      <w:r>
        <w:fldChar w:fldCharType="separate"/>
      </w:r>
      <w:r>
        <w:rPr>
          <w:rFonts w:hint="eastAsia" w:ascii="黑体" w:hAnsi="黑体" w:cs="黑体"/>
          <w:spacing w:val="-3"/>
        </w:rPr>
        <w:t xml:space="preserve">2.3.5 </w:t>
      </w:r>
      <w:r>
        <w:rPr>
          <w:rFonts w:ascii="黑体" w:hAnsi="黑体" w:cs="黑体"/>
          <w:spacing w:val="-3"/>
        </w:rPr>
        <w:t>电子接种证展示</w:t>
      </w:r>
      <w:r>
        <w:tab/>
      </w:r>
      <w:r>
        <w:fldChar w:fldCharType="begin"/>
      </w:r>
      <w:r>
        <w:instrText xml:space="preserve"> PAGEREF _Toc22871 \h </w:instrText>
      </w:r>
      <w:r>
        <w:fldChar w:fldCharType="separate"/>
      </w:r>
      <w:r>
        <w:t>33</w:t>
      </w:r>
      <w:r>
        <w:fldChar w:fldCharType="end"/>
      </w:r>
      <w:r>
        <w:fldChar w:fldCharType="end"/>
      </w:r>
    </w:p>
    <w:p w14:paraId="3261FAE0">
      <w:pPr>
        <w:pStyle w:val="17"/>
        <w:tabs>
          <w:tab w:val="right" w:leader="dot" w:pos="9332"/>
        </w:tabs>
        <w:ind w:firstLine="400"/>
      </w:pPr>
      <w:r>
        <w:fldChar w:fldCharType="begin"/>
      </w:r>
      <w:r>
        <w:instrText xml:space="preserve"> HYPERLINK \l "_Toc31381" </w:instrText>
      </w:r>
      <w:r>
        <w:fldChar w:fldCharType="separate"/>
      </w:r>
      <w:r>
        <w:rPr>
          <w:rFonts w:hint="eastAsia"/>
        </w:rPr>
        <w:t xml:space="preserve">2.3.6 </w:t>
      </w:r>
      <w:r>
        <w:rPr>
          <w:rFonts w:ascii="黑体" w:hAnsi="黑体" w:cs="黑体"/>
          <w:spacing w:val="-3"/>
        </w:rPr>
        <w:t>电子接种证导出</w:t>
      </w:r>
      <w:r>
        <w:tab/>
      </w:r>
      <w:r>
        <w:fldChar w:fldCharType="begin"/>
      </w:r>
      <w:r>
        <w:instrText xml:space="preserve"> PAGEREF _Toc31381 \h </w:instrText>
      </w:r>
      <w:r>
        <w:fldChar w:fldCharType="separate"/>
      </w:r>
      <w:r>
        <w:t>33</w:t>
      </w:r>
      <w:r>
        <w:fldChar w:fldCharType="end"/>
      </w:r>
      <w:r>
        <w:fldChar w:fldCharType="end"/>
      </w:r>
    </w:p>
    <w:p w14:paraId="73E21FD7">
      <w:pPr>
        <w:pStyle w:val="17"/>
        <w:tabs>
          <w:tab w:val="right" w:leader="dot" w:pos="9332"/>
        </w:tabs>
        <w:ind w:firstLine="400"/>
      </w:pPr>
      <w:r>
        <w:fldChar w:fldCharType="begin"/>
      </w:r>
      <w:r>
        <w:instrText xml:space="preserve"> HYPERLINK \l "_Toc14169" </w:instrText>
      </w:r>
      <w:r>
        <w:fldChar w:fldCharType="separate"/>
      </w:r>
      <w:r>
        <w:rPr>
          <w:rFonts w:hint="eastAsia" w:ascii="黑体" w:hAnsi="黑体" w:cs="黑体"/>
          <w:spacing w:val="-3"/>
        </w:rPr>
        <w:t xml:space="preserve">2.3.7 </w:t>
      </w:r>
      <w:r>
        <w:rPr>
          <w:rFonts w:ascii="黑体" w:hAnsi="黑体" w:cs="黑体"/>
          <w:spacing w:val="-3"/>
        </w:rPr>
        <w:t>与青海省电子证照系统对接</w:t>
      </w:r>
      <w:r>
        <w:tab/>
      </w:r>
      <w:r>
        <w:fldChar w:fldCharType="begin"/>
      </w:r>
      <w:r>
        <w:instrText xml:space="preserve"> PAGEREF _Toc14169 \h </w:instrText>
      </w:r>
      <w:r>
        <w:fldChar w:fldCharType="separate"/>
      </w:r>
      <w:r>
        <w:t>33</w:t>
      </w:r>
      <w:r>
        <w:fldChar w:fldCharType="end"/>
      </w:r>
      <w:r>
        <w:fldChar w:fldCharType="end"/>
      </w:r>
    </w:p>
    <w:p w14:paraId="44EC6B59">
      <w:pPr>
        <w:pStyle w:val="17"/>
        <w:tabs>
          <w:tab w:val="right" w:leader="dot" w:pos="9332"/>
        </w:tabs>
        <w:ind w:firstLine="400"/>
      </w:pPr>
      <w:r>
        <w:fldChar w:fldCharType="begin"/>
      </w:r>
      <w:r>
        <w:instrText xml:space="preserve"> HYPERLINK \l "_Toc6721" </w:instrText>
      </w:r>
      <w:r>
        <w:fldChar w:fldCharType="separate"/>
      </w:r>
      <w:r>
        <w:rPr>
          <w:rFonts w:hint="eastAsia" w:ascii="黑体" w:hAnsi="黑体" w:cs="黑体"/>
          <w:spacing w:val="-3"/>
        </w:rPr>
        <w:t xml:space="preserve">2.3.8 </w:t>
      </w:r>
      <w:r>
        <w:rPr>
          <w:rFonts w:ascii="黑体" w:hAnsi="黑体" w:cs="黑体"/>
          <w:spacing w:val="-3"/>
        </w:rPr>
        <w:t>电子印章管理</w:t>
      </w:r>
      <w:r>
        <w:tab/>
      </w:r>
      <w:r>
        <w:fldChar w:fldCharType="begin"/>
      </w:r>
      <w:r>
        <w:instrText xml:space="preserve"> PAGEREF _Toc6721 \h </w:instrText>
      </w:r>
      <w:r>
        <w:fldChar w:fldCharType="separate"/>
      </w:r>
      <w:r>
        <w:t>35</w:t>
      </w:r>
      <w:r>
        <w:fldChar w:fldCharType="end"/>
      </w:r>
      <w:r>
        <w:fldChar w:fldCharType="end"/>
      </w:r>
    </w:p>
    <w:p w14:paraId="3CDF1311">
      <w:pPr>
        <w:pStyle w:val="17"/>
        <w:tabs>
          <w:tab w:val="right" w:leader="dot" w:pos="9332"/>
        </w:tabs>
        <w:ind w:firstLine="400"/>
      </w:pPr>
      <w:r>
        <w:fldChar w:fldCharType="begin"/>
      </w:r>
      <w:r>
        <w:instrText xml:space="preserve"> HYPERLINK \l "_Toc30176" </w:instrText>
      </w:r>
      <w:r>
        <w:fldChar w:fldCharType="separate"/>
      </w:r>
      <w:r>
        <w:rPr>
          <w:rFonts w:hint="eastAsia" w:ascii="黑体" w:hAnsi="黑体" w:cs="黑体"/>
          <w:spacing w:val="-3"/>
        </w:rPr>
        <w:t xml:space="preserve">2.3.9 </w:t>
      </w:r>
      <w:r>
        <w:rPr>
          <w:rFonts w:ascii="黑体" w:hAnsi="黑体" w:cs="黑体"/>
          <w:spacing w:val="-3"/>
        </w:rPr>
        <w:t>公众入托入学查验</w:t>
      </w:r>
      <w:r>
        <w:tab/>
      </w:r>
      <w:r>
        <w:fldChar w:fldCharType="begin"/>
      </w:r>
      <w:r>
        <w:instrText xml:space="preserve"> PAGEREF _Toc30176 \h </w:instrText>
      </w:r>
      <w:r>
        <w:fldChar w:fldCharType="separate"/>
      </w:r>
      <w:r>
        <w:t>35</w:t>
      </w:r>
      <w:r>
        <w:fldChar w:fldCharType="end"/>
      </w:r>
      <w:r>
        <w:fldChar w:fldCharType="end"/>
      </w:r>
    </w:p>
    <w:p w14:paraId="54EB55EE">
      <w:pPr>
        <w:pStyle w:val="17"/>
        <w:tabs>
          <w:tab w:val="right" w:leader="dot" w:pos="9332"/>
        </w:tabs>
        <w:ind w:firstLine="400"/>
      </w:pPr>
      <w:r>
        <w:fldChar w:fldCharType="begin"/>
      </w:r>
      <w:r>
        <w:instrText xml:space="preserve"> HYPERLINK \l "_Toc9775" </w:instrText>
      </w:r>
      <w:r>
        <w:fldChar w:fldCharType="separate"/>
      </w:r>
      <w:r>
        <w:rPr>
          <w:rFonts w:hint="eastAsia" w:ascii="黑体" w:hAnsi="黑体" w:cs="黑体"/>
          <w:spacing w:val="-3"/>
        </w:rPr>
        <w:t xml:space="preserve">2.3.10 </w:t>
      </w:r>
      <w:r>
        <w:rPr>
          <w:rFonts w:ascii="黑体" w:hAnsi="黑体" w:cs="黑体"/>
          <w:spacing w:val="-3"/>
        </w:rPr>
        <w:t>机构管理</w:t>
      </w:r>
      <w:r>
        <w:tab/>
      </w:r>
      <w:r>
        <w:fldChar w:fldCharType="begin"/>
      </w:r>
      <w:r>
        <w:instrText xml:space="preserve"> PAGEREF _Toc9775 \h </w:instrText>
      </w:r>
      <w:r>
        <w:fldChar w:fldCharType="separate"/>
      </w:r>
      <w:r>
        <w:t>36</w:t>
      </w:r>
      <w:r>
        <w:fldChar w:fldCharType="end"/>
      </w:r>
      <w:r>
        <w:fldChar w:fldCharType="end"/>
      </w:r>
    </w:p>
    <w:p w14:paraId="634C74BC">
      <w:pPr>
        <w:pStyle w:val="17"/>
        <w:tabs>
          <w:tab w:val="right" w:leader="dot" w:pos="9332"/>
        </w:tabs>
        <w:ind w:firstLine="400"/>
      </w:pPr>
      <w:r>
        <w:fldChar w:fldCharType="begin"/>
      </w:r>
      <w:r>
        <w:instrText xml:space="preserve"> HYPERLINK \l "_Toc6954" </w:instrText>
      </w:r>
      <w:r>
        <w:fldChar w:fldCharType="separate"/>
      </w:r>
      <w:r>
        <w:rPr>
          <w:rFonts w:hint="eastAsia" w:ascii="黑体" w:hAnsi="黑体" w:cs="黑体"/>
          <w:spacing w:val="-3"/>
        </w:rPr>
        <w:t xml:space="preserve">2.3.11 </w:t>
      </w:r>
      <w:r>
        <w:rPr>
          <w:rFonts w:ascii="黑体" w:hAnsi="黑体" w:cs="黑体"/>
          <w:spacing w:val="-3"/>
        </w:rPr>
        <w:t>系统设置</w:t>
      </w:r>
      <w:r>
        <w:tab/>
      </w:r>
      <w:r>
        <w:fldChar w:fldCharType="begin"/>
      </w:r>
      <w:r>
        <w:instrText xml:space="preserve"> PAGEREF _Toc6954 \h </w:instrText>
      </w:r>
      <w:r>
        <w:fldChar w:fldCharType="separate"/>
      </w:r>
      <w:r>
        <w:t>37</w:t>
      </w:r>
      <w:r>
        <w:fldChar w:fldCharType="end"/>
      </w:r>
      <w:r>
        <w:fldChar w:fldCharType="end"/>
      </w:r>
    </w:p>
    <w:p w14:paraId="07273202">
      <w:pPr>
        <w:pStyle w:val="17"/>
        <w:tabs>
          <w:tab w:val="right" w:leader="dot" w:pos="9332"/>
        </w:tabs>
        <w:ind w:firstLine="400"/>
      </w:pPr>
      <w:r>
        <w:fldChar w:fldCharType="begin"/>
      </w:r>
      <w:r>
        <w:instrText xml:space="preserve"> HYPERLINK \l "_Toc31791" </w:instrText>
      </w:r>
      <w:r>
        <w:fldChar w:fldCharType="separate"/>
      </w:r>
      <w:r>
        <w:rPr>
          <w:rFonts w:hint="eastAsia" w:ascii="黑体" w:hAnsi="黑体" w:cs="黑体"/>
          <w:spacing w:val="-3"/>
        </w:rPr>
        <w:t xml:space="preserve">2.3.12 </w:t>
      </w:r>
      <w:r>
        <w:rPr>
          <w:rFonts w:ascii="黑体" w:hAnsi="黑体" w:cs="黑体"/>
          <w:spacing w:val="-3"/>
        </w:rPr>
        <w:t>电子接种证统计分析</w:t>
      </w:r>
      <w:r>
        <w:tab/>
      </w:r>
      <w:r>
        <w:fldChar w:fldCharType="begin"/>
      </w:r>
      <w:r>
        <w:instrText xml:space="preserve"> PAGEREF _Toc31791 \h </w:instrText>
      </w:r>
      <w:r>
        <w:fldChar w:fldCharType="separate"/>
      </w:r>
      <w:r>
        <w:t>37</w:t>
      </w:r>
      <w:r>
        <w:fldChar w:fldCharType="end"/>
      </w:r>
      <w:r>
        <w:fldChar w:fldCharType="end"/>
      </w:r>
    </w:p>
    <w:p w14:paraId="05B624D0">
      <w:pPr>
        <w:pStyle w:val="26"/>
        <w:tabs>
          <w:tab w:val="right" w:leader="dot" w:pos="9332"/>
        </w:tabs>
        <w:ind w:firstLine="400"/>
      </w:pPr>
      <w:r>
        <w:fldChar w:fldCharType="begin"/>
      </w:r>
      <w:r>
        <w:instrText xml:space="preserve"> HYPERLINK \l "_Toc25648" </w:instrText>
      </w:r>
      <w:r>
        <w:fldChar w:fldCharType="separate"/>
      </w:r>
      <w:r>
        <w:rPr>
          <w:rFonts w:hint="eastAsia"/>
        </w:rPr>
        <w:t>2.4 系统性能指标要求</w:t>
      </w:r>
      <w:r>
        <w:tab/>
      </w:r>
      <w:r>
        <w:fldChar w:fldCharType="begin"/>
      </w:r>
      <w:r>
        <w:instrText xml:space="preserve"> PAGEREF _Toc25648 \h </w:instrText>
      </w:r>
      <w:r>
        <w:fldChar w:fldCharType="separate"/>
      </w:r>
      <w:r>
        <w:t>39</w:t>
      </w:r>
      <w:r>
        <w:fldChar w:fldCharType="end"/>
      </w:r>
      <w:r>
        <w:fldChar w:fldCharType="end"/>
      </w:r>
    </w:p>
    <w:p w14:paraId="37AEE7E0">
      <w:pPr>
        <w:pStyle w:val="17"/>
        <w:tabs>
          <w:tab w:val="right" w:leader="dot" w:pos="9332"/>
        </w:tabs>
        <w:ind w:firstLine="400"/>
      </w:pPr>
      <w:r>
        <w:fldChar w:fldCharType="begin"/>
      </w:r>
      <w:r>
        <w:instrText xml:space="preserve"> HYPERLINK \l "_Toc27187" </w:instrText>
      </w:r>
      <w:r>
        <w:fldChar w:fldCharType="separate"/>
      </w:r>
      <w:r>
        <w:rPr>
          <w:rFonts w:hint="eastAsia"/>
        </w:rPr>
        <w:t>2.4.1 总体性能指标</w:t>
      </w:r>
      <w:r>
        <w:tab/>
      </w:r>
      <w:r>
        <w:fldChar w:fldCharType="begin"/>
      </w:r>
      <w:r>
        <w:instrText xml:space="preserve"> PAGEREF _Toc27187 \h </w:instrText>
      </w:r>
      <w:r>
        <w:fldChar w:fldCharType="separate"/>
      </w:r>
      <w:r>
        <w:t>39</w:t>
      </w:r>
      <w:r>
        <w:fldChar w:fldCharType="end"/>
      </w:r>
      <w:r>
        <w:fldChar w:fldCharType="end"/>
      </w:r>
    </w:p>
    <w:p w14:paraId="4C024B93">
      <w:pPr>
        <w:pStyle w:val="17"/>
        <w:tabs>
          <w:tab w:val="right" w:leader="dot" w:pos="9332"/>
        </w:tabs>
        <w:ind w:firstLine="400"/>
      </w:pPr>
      <w:r>
        <w:fldChar w:fldCharType="begin"/>
      </w:r>
      <w:r>
        <w:instrText xml:space="preserve"> HYPERLINK \l "_Toc16518" </w:instrText>
      </w:r>
      <w:r>
        <w:fldChar w:fldCharType="separate"/>
      </w:r>
      <w:r>
        <w:rPr>
          <w:rFonts w:hint="eastAsia"/>
        </w:rPr>
        <w:t>2.4.2 健壮性</w:t>
      </w:r>
      <w:r>
        <w:tab/>
      </w:r>
      <w:r>
        <w:fldChar w:fldCharType="begin"/>
      </w:r>
      <w:r>
        <w:instrText xml:space="preserve"> PAGEREF _Toc16518 \h </w:instrText>
      </w:r>
      <w:r>
        <w:fldChar w:fldCharType="separate"/>
      </w:r>
      <w:r>
        <w:t>39</w:t>
      </w:r>
      <w:r>
        <w:fldChar w:fldCharType="end"/>
      </w:r>
      <w:r>
        <w:fldChar w:fldCharType="end"/>
      </w:r>
    </w:p>
    <w:p w14:paraId="0F1A2005">
      <w:pPr>
        <w:pStyle w:val="17"/>
        <w:tabs>
          <w:tab w:val="right" w:leader="dot" w:pos="9332"/>
        </w:tabs>
        <w:ind w:firstLine="400"/>
      </w:pPr>
      <w:r>
        <w:fldChar w:fldCharType="begin"/>
      </w:r>
      <w:r>
        <w:instrText xml:space="preserve"> HYPERLINK \l "_Toc23842" </w:instrText>
      </w:r>
      <w:r>
        <w:fldChar w:fldCharType="separate"/>
      </w:r>
      <w:r>
        <w:rPr>
          <w:rFonts w:hint="eastAsia"/>
        </w:rPr>
        <w:t>2.4.3 易用性</w:t>
      </w:r>
      <w:r>
        <w:tab/>
      </w:r>
      <w:r>
        <w:fldChar w:fldCharType="begin"/>
      </w:r>
      <w:r>
        <w:instrText xml:space="preserve"> PAGEREF _Toc23842 \h </w:instrText>
      </w:r>
      <w:r>
        <w:fldChar w:fldCharType="separate"/>
      </w:r>
      <w:r>
        <w:t>39</w:t>
      </w:r>
      <w:r>
        <w:fldChar w:fldCharType="end"/>
      </w:r>
      <w:r>
        <w:fldChar w:fldCharType="end"/>
      </w:r>
    </w:p>
    <w:p w14:paraId="784B1C95">
      <w:pPr>
        <w:pStyle w:val="17"/>
        <w:tabs>
          <w:tab w:val="right" w:leader="dot" w:pos="9332"/>
        </w:tabs>
        <w:ind w:firstLine="400"/>
      </w:pPr>
      <w:r>
        <w:fldChar w:fldCharType="begin"/>
      </w:r>
      <w:r>
        <w:instrText xml:space="preserve"> HYPERLINK \l "_Toc24193" </w:instrText>
      </w:r>
      <w:r>
        <w:fldChar w:fldCharType="separate"/>
      </w:r>
      <w:r>
        <w:rPr>
          <w:rFonts w:hint="eastAsia"/>
        </w:rPr>
        <w:t>2.4.4 安全性</w:t>
      </w:r>
      <w:r>
        <w:tab/>
      </w:r>
      <w:r>
        <w:fldChar w:fldCharType="begin"/>
      </w:r>
      <w:r>
        <w:instrText xml:space="preserve"> PAGEREF _Toc24193 \h </w:instrText>
      </w:r>
      <w:r>
        <w:fldChar w:fldCharType="separate"/>
      </w:r>
      <w:r>
        <w:t>39</w:t>
      </w:r>
      <w:r>
        <w:fldChar w:fldCharType="end"/>
      </w:r>
      <w:r>
        <w:fldChar w:fldCharType="end"/>
      </w:r>
    </w:p>
    <w:p w14:paraId="749465E1">
      <w:pPr>
        <w:pStyle w:val="17"/>
        <w:tabs>
          <w:tab w:val="right" w:leader="dot" w:pos="9332"/>
        </w:tabs>
        <w:ind w:firstLine="400"/>
      </w:pPr>
      <w:r>
        <w:fldChar w:fldCharType="begin"/>
      </w:r>
      <w:r>
        <w:instrText xml:space="preserve"> HYPERLINK \l "_Toc29439" </w:instrText>
      </w:r>
      <w:r>
        <w:fldChar w:fldCharType="separate"/>
      </w:r>
      <w:r>
        <w:rPr>
          <w:rFonts w:hint="eastAsia"/>
        </w:rPr>
        <w:t>2.4.5 可扩展性</w:t>
      </w:r>
      <w:r>
        <w:tab/>
      </w:r>
      <w:r>
        <w:fldChar w:fldCharType="begin"/>
      </w:r>
      <w:r>
        <w:instrText xml:space="preserve"> PAGEREF _Toc29439 \h </w:instrText>
      </w:r>
      <w:r>
        <w:fldChar w:fldCharType="separate"/>
      </w:r>
      <w:r>
        <w:t>40</w:t>
      </w:r>
      <w:r>
        <w:fldChar w:fldCharType="end"/>
      </w:r>
      <w:r>
        <w:fldChar w:fldCharType="end"/>
      </w:r>
    </w:p>
    <w:p w14:paraId="7C155C59">
      <w:pPr>
        <w:pStyle w:val="17"/>
        <w:tabs>
          <w:tab w:val="right" w:leader="dot" w:pos="9332"/>
        </w:tabs>
        <w:ind w:firstLine="400"/>
      </w:pPr>
      <w:r>
        <w:fldChar w:fldCharType="begin"/>
      </w:r>
      <w:r>
        <w:instrText xml:space="preserve"> HYPERLINK \l "_Toc20773" </w:instrText>
      </w:r>
      <w:r>
        <w:fldChar w:fldCharType="separate"/>
      </w:r>
      <w:r>
        <w:rPr>
          <w:rFonts w:hint="eastAsia"/>
        </w:rPr>
        <w:t>2.4.6 兼容性</w:t>
      </w:r>
      <w:r>
        <w:tab/>
      </w:r>
      <w:r>
        <w:fldChar w:fldCharType="begin"/>
      </w:r>
      <w:r>
        <w:instrText xml:space="preserve"> PAGEREF _Toc20773 \h </w:instrText>
      </w:r>
      <w:r>
        <w:fldChar w:fldCharType="separate"/>
      </w:r>
      <w:r>
        <w:t>40</w:t>
      </w:r>
      <w:r>
        <w:fldChar w:fldCharType="end"/>
      </w:r>
      <w:r>
        <w:fldChar w:fldCharType="end"/>
      </w:r>
    </w:p>
    <w:p w14:paraId="5A84CD06">
      <w:pPr>
        <w:pStyle w:val="17"/>
        <w:tabs>
          <w:tab w:val="right" w:leader="dot" w:pos="9332"/>
        </w:tabs>
        <w:ind w:firstLine="400"/>
      </w:pPr>
      <w:r>
        <w:fldChar w:fldCharType="begin"/>
      </w:r>
      <w:r>
        <w:instrText xml:space="preserve"> HYPERLINK \l "_Toc29571" </w:instrText>
      </w:r>
      <w:r>
        <w:fldChar w:fldCharType="separate"/>
      </w:r>
      <w:r>
        <w:rPr>
          <w:rFonts w:hint="eastAsia"/>
        </w:rPr>
        <w:t>2.4.7 可移植性</w:t>
      </w:r>
      <w:r>
        <w:tab/>
      </w:r>
      <w:r>
        <w:fldChar w:fldCharType="begin"/>
      </w:r>
      <w:r>
        <w:instrText xml:space="preserve"> PAGEREF _Toc29571 \h </w:instrText>
      </w:r>
      <w:r>
        <w:fldChar w:fldCharType="separate"/>
      </w:r>
      <w:r>
        <w:t>41</w:t>
      </w:r>
      <w:r>
        <w:fldChar w:fldCharType="end"/>
      </w:r>
      <w:r>
        <w:fldChar w:fldCharType="end"/>
      </w:r>
    </w:p>
    <w:p w14:paraId="33BA4169">
      <w:pPr>
        <w:pStyle w:val="17"/>
        <w:tabs>
          <w:tab w:val="right" w:leader="dot" w:pos="9332"/>
        </w:tabs>
        <w:ind w:firstLine="400"/>
      </w:pPr>
      <w:r>
        <w:fldChar w:fldCharType="begin"/>
      </w:r>
      <w:r>
        <w:instrText xml:space="preserve"> HYPERLINK \l "_Toc26345" </w:instrText>
      </w:r>
      <w:r>
        <w:fldChar w:fldCharType="separate"/>
      </w:r>
      <w:r>
        <w:rPr>
          <w:rFonts w:hint="eastAsia"/>
        </w:rPr>
        <w:t>2.4.8 系统性能需求</w:t>
      </w:r>
      <w:r>
        <w:tab/>
      </w:r>
      <w:r>
        <w:fldChar w:fldCharType="begin"/>
      </w:r>
      <w:r>
        <w:instrText xml:space="preserve"> PAGEREF _Toc26345 \h </w:instrText>
      </w:r>
      <w:r>
        <w:fldChar w:fldCharType="separate"/>
      </w:r>
      <w:r>
        <w:t>41</w:t>
      </w:r>
      <w:r>
        <w:fldChar w:fldCharType="end"/>
      </w:r>
      <w:r>
        <w:fldChar w:fldCharType="end"/>
      </w:r>
    </w:p>
    <w:p w14:paraId="0B6C3802">
      <w:pPr>
        <w:pStyle w:val="23"/>
        <w:tabs>
          <w:tab w:val="right" w:leader="dot" w:pos="9332"/>
        </w:tabs>
        <w:ind w:firstLine="400"/>
      </w:pPr>
      <w:r>
        <w:fldChar w:fldCharType="begin"/>
      </w:r>
      <w:r>
        <w:instrText xml:space="preserve"> HYPERLINK \l "_Toc2660" </w:instrText>
      </w:r>
      <w:r>
        <w:fldChar w:fldCharType="separate"/>
      </w:r>
      <w:r>
        <w:rPr>
          <w:rFonts w:hint="eastAsia"/>
        </w:rPr>
        <w:t>第三章 商务要求</w:t>
      </w:r>
      <w:r>
        <w:tab/>
      </w:r>
      <w:r>
        <w:fldChar w:fldCharType="begin"/>
      </w:r>
      <w:r>
        <w:instrText xml:space="preserve"> PAGEREF _Toc2660 \h </w:instrText>
      </w:r>
      <w:r>
        <w:fldChar w:fldCharType="separate"/>
      </w:r>
      <w:r>
        <w:t>42</w:t>
      </w:r>
      <w:r>
        <w:fldChar w:fldCharType="end"/>
      </w:r>
      <w:r>
        <w:fldChar w:fldCharType="end"/>
      </w:r>
    </w:p>
    <w:p w14:paraId="51AD568E">
      <w:pPr>
        <w:pStyle w:val="26"/>
        <w:tabs>
          <w:tab w:val="right" w:leader="dot" w:pos="9332"/>
        </w:tabs>
        <w:ind w:firstLine="400"/>
      </w:pPr>
      <w:r>
        <w:fldChar w:fldCharType="begin"/>
      </w:r>
      <w:r>
        <w:instrText xml:space="preserve"> HYPERLINK \l "_Toc16224" </w:instrText>
      </w:r>
      <w:r>
        <w:fldChar w:fldCharType="separate"/>
      </w:r>
      <w:r>
        <w:rPr>
          <w:rFonts w:hint="eastAsia"/>
        </w:rPr>
        <w:t>3.1 安全防护体系建设要求</w:t>
      </w:r>
      <w:r>
        <w:tab/>
      </w:r>
      <w:r>
        <w:fldChar w:fldCharType="begin"/>
      </w:r>
      <w:r>
        <w:instrText xml:space="preserve"> PAGEREF _Toc16224 \h </w:instrText>
      </w:r>
      <w:r>
        <w:fldChar w:fldCharType="separate"/>
      </w:r>
      <w:r>
        <w:t>42</w:t>
      </w:r>
      <w:r>
        <w:fldChar w:fldCharType="end"/>
      </w:r>
      <w:r>
        <w:fldChar w:fldCharType="end"/>
      </w:r>
    </w:p>
    <w:p w14:paraId="01DE5769">
      <w:pPr>
        <w:pStyle w:val="26"/>
        <w:tabs>
          <w:tab w:val="right" w:leader="dot" w:pos="9332"/>
        </w:tabs>
        <w:ind w:firstLine="400"/>
      </w:pPr>
      <w:r>
        <w:fldChar w:fldCharType="begin"/>
      </w:r>
      <w:r>
        <w:instrText xml:space="preserve"> HYPERLINK \l "_Toc14546" </w:instrText>
      </w:r>
      <w:r>
        <w:fldChar w:fldCharType="separate"/>
      </w:r>
      <w:r>
        <w:rPr>
          <w:rFonts w:hint="eastAsia"/>
        </w:rPr>
        <w:t>3.2 密码应用建设要求</w:t>
      </w:r>
      <w:r>
        <w:tab/>
      </w:r>
      <w:r>
        <w:fldChar w:fldCharType="begin"/>
      </w:r>
      <w:r>
        <w:instrText xml:space="preserve"> PAGEREF _Toc14546 \h </w:instrText>
      </w:r>
      <w:r>
        <w:fldChar w:fldCharType="separate"/>
      </w:r>
      <w:r>
        <w:t>42</w:t>
      </w:r>
      <w:r>
        <w:fldChar w:fldCharType="end"/>
      </w:r>
      <w:r>
        <w:fldChar w:fldCharType="end"/>
      </w:r>
    </w:p>
    <w:p w14:paraId="49CC181B">
      <w:pPr>
        <w:pStyle w:val="26"/>
        <w:tabs>
          <w:tab w:val="right" w:leader="dot" w:pos="9332"/>
        </w:tabs>
        <w:ind w:firstLine="400"/>
      </w:pPr>
      <w:r>
        <w:fldChar w:fldCharType="begin"/>
      </w:r>
      <w:r>
        <w:instrText xml:space="preserve"> HYPERLINK \l "_Toc24377" </w:instrText>
      </w:r>
      <w:r>
        <w:fldChar w:fldCharType="separate"/>
      </w:r>
      <w:r>
        <w:rPr>
          <w:rFonts w:hint="eastAsia"/>
        </w:rPr>
        <w:t>3.3 知识产权交付要求</w:t>
      </w:r>
      <w:r>
        <w:tab/>
      </w:r>
      <w:r>
        <w:fldChar w:fldCharType="begin"/>
      </w:r>
      <w:r>
        <w:instrText xml:space="preserve"> PAGEREF _Toc24377 \h </w:instrText>
      </w:r>
      <w:r>
        <w:fldChar w:fldCharType="separate"/>
      </w:r>
      <w:r>
        <w:t>42</w:t>
      </w:r>
      <w:r>
        <w:fldChar w:fldCharType="end"/>
      </w:r>
      <w:r>
        <w:fldChar w:fldCharType="end"/>
      </w:r>
    </w:p>
    <w:p w14:paraId="35C5B028">
      <w:pPr>
        <w:pStyle w:val="26"/>
        <w:tabs>
          <w:tab w:val="right" w:leader="dot" w:pos="9332"/>
        </w:tabs>
        <w:ind w:firstLine="400"/>
      </w:pPr>
      <w:r>
        <w:fldChar w:fldCharType="begin"/>
      </w:r>
      <w:r>
        <w:instrText xml:space="preserve"> HYPERLINK \l "_Toc24572" </w:instrText>
      </w:r>
      <w:r>
        <w:fldChar w:fldCharType="separate"/>
      </w:r>
      <w:r>
        <w:rPr>
          <w:rFonts w:hint="eastAsia"/>
        </w:rPr>
        <w:t>3.4 项目质量管理要求</w:t>
      </w:r>
      <w:r>
        <w:tab/>
      </w:r>
      <w:r>
        <w:fldChar w:fldCharType="begin"/>
      </w:r>
      <w:r>
        <w:instrText xml:space="preserve"> PAGEREF _Toc24572 \h </w:instrText>
      </w:r>
      <w:r>
        <w:fldChar w:fldCharType="separate"/>
      </w:r>
      <w:r>
        <w:t>42</w:t>
      </w:r>
      <w:r>
        <w:fldChar w:fldCharType="end"/>
      </w:r>
      <w:r>
        <w:fldChar w:fldCharType="end"/>
      </w:r>
    </w:p>
    <w:p w14:paraId="7C03D208">
      <w:pPr>
        <w:pStyle w:val="26"/>
        <w:tabs>
          <w:tab w:val="right" w:leader="dot" w:pos="9332"/>
        </w:tabs>
        <w:ind w:firstLine="400"/>
      </w:pPr>
      <w:r>
        <w:fldChar w:fldCharType="begin"/>
      </w:r>
      <w:r>
        <w:instrText xml:space="preserve"> HYPERLINK \l "_Toc15675" </w:instrText>
      </w:r>
      <w:r>
        <w:fldChar w:fldCharType="separate"/>
      </w:r>
      <w:r>
        <w:rPr>
          <w:rFonts w:hint="eastAsia"/>
        </w:rPr>
        <w:t>3.5 项目验收要求</w:t>
      </w:r>
      <w:r>
        <w:tab/>
      </w:r>
      <w:r>
        <w:fldChar w:fldCharType="begin"/>
      </w:r>
      <w:r>
        <w:instrText xml:space="preserve"> PAGEREF _Toc15675 \h </w:instrText>
      </w:r>
      <w:r>
        <w:fldChar w:fldCharType="separate"/>
      </w:r>
      <w:r>
        <w:t>43</w:t>
      </w:r>
      <w:r>
        <w:fldChar w:fldCharType="end"/>
      </w:r>
      <w:r>
        <w:fldChar w:fldCharType="end"/>
      </w:r>
    </w:p>
    <w:p w14:paraId="399D8580">
      <w:pPr>
        <w:pStyle w:val="26"/>
        <w:tabs>
          <w:tab w:val="right" w:leader="dot" w:pos="9332"/>
        </w:tabs>
        <w:ind w:firstLine="400"/>
      </w:pPr>
      <w:r>
        <w:fldChar w:fldCharType="begin"/>
      </w:r>
      <w:r>
        <w:instrText xml:space="preserve"> HYPERLINK \l "_Toc5272" </w:instrText>
      </w:r>
      <w:r>
        <w:fldChar w:fldCharType="separate"/>
      </w:r>
      <w:r>
        <w:rPr>
          <w:rFonts w:hint="eastAsia"/>
        </w:rPr>
        <w:t>3.6 保修和售后服务要求</w:t>
      </w:r>
      <w:r>
        <w:tab/>
      </w:r>
      <w:r>
        <w:fldChar w:fldCharType="begin"/>
      </w:r>
      <w:r>
        <w:instrText xml:space="preserve"> PAGEREF _Toc5272 \h </w:instrText>
      </w:r>
      <w:r>
        <w:fldChar w:fldCharType="separate"/>
      </w:r>
      <w:r>
        <w:t>44</w:t>
      </w:r>
      <w:r>
        <w:fldChar w:fldCharType="end"/>
      </w:r>
      <w:r>
        <w:fldChar w:fldCharType="end"/>
      </w:r>
    </w:p>
    <w:p w14:paraId="6B175E6F">
      <w:pPr>
        <w:pStyle w:val="26"/>
        <w:tabs>
          <w:tab w:val="right" w:leader="dot" w:pos="9332"/>
        </w:tabs>
        <w:ind w:firstLine="400"/>
      </w:pPr>
      <w:r>
        <w:fldChar w:fldCharType="begin"/>
      </w:r>
      <w:r>
        <w:instrText xml:space="preserve"> HYPERLINK \l "_Toc22566" </w:instrText>
      </w:r>
      <w:r>
        <w:fldChar w:fldCharType="separate"/>
      </w:r>
      <w:r>
        <w:rPr>
          <w:rFonts w:hint="eastAsia"/>
        </w:rPr>
        <w:t>3.7 人员培训要求</w:t>
      </w:r>
      <w:r>
        <w:tab/>
      </w:r>
      <w:r>
        <w:fldChar w:fldCharType="begin"/>
      </w:r>
      <w:r>
        <w:instrText xml:space="preserve"> PAGEREF _Toc22566 \h </w:instrText>
      </w:r>
      <w:r>
        <w:fldChar w:fldCharType="separate"/>
      </w:r>
      <w:r>
        <w:t>45</w:t>
      </w:r>
      <w:r>
        <w:fldChar w:fldCharType="end"/>
      </w:r>
      <w:r>
        <w:fldChar w:fldCharType="end"/>
      </w:r>
    </w:p>
    <w:p w14:paraId="7A8EA77B">
      <w:pPr>
        <w:pStyle w:val="26"/>
        <w:tabs>
          <w:tab w:val="right" w:leader="dot" w:pos="9332"/>
        </w:tabs>
        <w:ind w:firstLine="400"/>
      </w:pPr>
      <w:r>
        <w:fldChar w:fldCharType="begin"/>
      </w:r>
      <w:r>
        <w:instrText xml:space="preserve"> HYPERLINK \l "_Toc11198" </w:instrText>
      </w:r>
      <w:r>
        <w:fldChar w:fldCharType="separate"/>
      </w:r>
      <w:r>
        <w:rPr>
          <w:rFonts w:hint="eastAsia"/>
        </w:rPr>
        <w:t>3.8 项目建设进度要求</w:t>
      </w:r>
      <w:r>
        <w:tab/>
      </w:r>
      <w:r>
        <w:fldChar w:fldCharType="begin"/>
      </w:r>
      <w:r>
        <w:instrText xml:space="preserve"> PAGEREF _Toc11198 \h </w:instrText>
      </w:r>
      <w:r>
        <w:fldChar w:fldCharType="separate"/>
      </w:r>
      <w:r>
        <w:t>45</w:t>
      </w:r>
      <w:r>
        <w:fldChar w:fldCharType="end"/>
      </w:r>
      <w:r>
        <w:fldChar w:fldCharType="end"/>
      </w:r>
    </w:p>
    <w:p w14:paraId="4DBC0DE6">
      <w:pPr>
        <w:ind w:firstLine="560"/>
        <w:sectPr>
          <w:headerReference r:id="rId7" w:type="first"/>
          <w:footerReference r:id="rId10" w:type="first"/>
          <w:headerReference r:id="rId5" w:type="default"/>
          <w:footerReference r:id="rId8" w:type="default"/>
          <w:headerReference r:id="rId6" w:type="even"/>
          <w:footerReference r:id="rId9" w:type="even"/>
          <w:pgSz w:w="11906" w:h="16838"/>
          <w:pgMar w:top="1440" w:right="1287" w:bottom="1440" w:left="1287" w:header="737" w:footer="992" w:gutter="0"/>
          <w:pgNumType w:fmt="upperRoman" w:start="1"/>
          <w:cols w:space="425" w:num="1"/>
          <w:titlePg/>
          <w:docGrid w:linePitch="381" w:charSpace="0"/>
        </w:sectPr>
      </w:pPr>
      <w:r>
        <w:fldChar w:fldCharType="end"/>
      </w:r>
    </w:p>
    <w:p w14:paraId="426DFFE7">
      <w:pPr>
        <w:pStyle w:val="2"/>
        <w:ind w:left="0"/>
      </w:pPr>
      <w:bookmarkStart w:id="0" w:name="_Toc15949"/>
      <w:bookmarkStart w:id="1" w:name="_Toc11396"/>
      <w:bookmarkStart w:id="2" w:name="_Toc27860"/>
      <w:bookmarkStart w:id="3" w:name="_Toc173747565"/>
      <w:bookmarkStart w:id="4" w:name="_Toc1083"/>
      <w:bookmarkStart w:id="5" w:name="_Toc955"/>
      <w:r>
        <w:rPr>
          <w:rFonts w:hint="eastAsia"/>
        </w:rPr>
        <w:t>项目概述</w:t>
      </w:r>
      <w:bookmarkEnd w:id="0"/>
      <w:bookmarkEnd w:id="1"/>
      <w:bookmarkEnd w:id="2"/>
      <w:bookmarkEnd w:id="3"/>
      <w:bookmarkEnd w:id="4"/>
      <w:bookmarkEnd w:id="5"/>
    </w:p>
    <w:p w14:paraId="10FF2879">
      <w:pPr>
        <w:pStyle w:val="3"/>
      </w:pPr>
      <w:bookmarkStart w:id="6" w:name="_Toc14565"/>
      <w:bookmarkStart w:id="7" w:name="_Toc13046"/>
      <w:bookmarkStart w:id="8" w:name="_Toc11127"/>
      <w:bookmarkStart w:id="9" w:name="_Toc173747566"/>
      <w:bookmarkStart w:id="10" w:name="_Toc13751"/>
      <w:bookmarkStart w:id="11" w:name="_Toc16714"/>
      <w:r>
        <w:rPr>
          <w:rFonts w:hint="eastAsia"/>
        </w:rPr>
        <w:t>项目预算</w:t>
      </w:r>
      <w:bookmarkEnd w:id="6"/>
      <w:bookmarkEnd w:id="7"/>
      <w:bookmarkEnd w:id="8"/>
      <w:bookmarkEnd w:id="9"/>
      <w:bookmarkEnd w:id="10"/>
      <w:bookmarkEnd w:id="11"/>
    </w:p>
    <w:p w14:paraId="27C05E7C">
      <w:pPr>
        <w:ind w:firstLine="560"/>
        <w:rPr>
          <w:rFonts w:ascii="宋体" w:hAnsi="宋体"/>
          <w:szCs w:val="24"/>
        </w:rPr>
      </w:pPr>
      <w:r>
        <w:rPr>
          <w:rFonts w:ascii="宋体" w:hAnsi="宋体"/>
          <w:szCs w:val="24"/>
        </w:rPr>
        <w:t>项目预算：</w:t>
      </w:r>
      <w:r>
        <w:rPr>
          <w:rFonts w:hint="eastAsia" w:ascii="宋体" w:hAnsi="宋体"/>
          <w:szCs w:val="24"/>
          <w:lang w:val="en-US" w:eastAsia="zh-CN"/>
        </w:rPr>
        <w:t>256.24</w:t>
      </w:r>
      <w:r>
        <w:rPr>
          <w:rFonts w:ascii="宋体" w:hAnsi="宋体"/>
          <w:szCs w:val="24"/>
        </w:rPr>
        <w:t>万元</w:t>
      </w:r>
      <w:r>
        <w:rPr>
          <w:rFonts w:hint="eastAsia" w:ascii="宋体" w:hAnsi="宋体"/>
          <w:szCs w:val="24"/>
        </w:rPr>
        <w:t>，</w:t>
      </w:r>
      <w:r>
        <w:rPr>
          <w:rFonts w:ascii="宋体" w:hAnsi="宋体"/>
          <w:szCs w:val="24"/>
        </w:rPr>
        <w:t>最高限价：</w:t>
      </w:r>
      <w:r>
        <w:rPr>
          <w:rFonts w:hint="eastAsia" w:ascii="宋体" w:hAnsi="宋体"/>
          <w:szCs w:val="24"/>
          <w:lang w:val="en-US" w:eastAsia="zh-CN"/>
        </w:rPr>
        <w:t>256.24</w:t>
      </w:r>
      <w:r>
        <w:rPr>
          <w:rFonts w:ascii="宋体" w:hAnsi="宋体"/>
          <w:szCs w:val="24"/>
        </w:rPr>
        <w:t>万元</w:t>
      </w:r>
      <w:r>
        <w:rPr>
          <w:rFonts w:hint="eastAsia" w:ascii="宋体" w:hAnsi="宋体"/>
          <w:szCs w:val="24"/>
        </w:rPr>
        <w:t>。</w:t>
      </w:r>
    </w:p>
    <w:p w14:paraId="19F57B30">
      <w:pPr>
        <w:pStyle w:val="3"/>
      </w:pPr>
      <w:bookmarkStart w:id="12" w:name="_Toc173747567"/>
      <w:bookmarkStart w:id="13" w:name="_Toc28274"/>
      <w:bookmarkStart w:id="14" w:name="_Toc26781"/>
      <w:bookmarkStart w:id="15" w:name="_Toc23538"/>
      <w:bookmarkStart w:id="16" w:name="_Toc16501"/>
      <w:bookmarkStart w:id="17" w:name="_Toc8892"/>
      <w:r>
        <w:rPr>
          <w:rFonts w:hint="eastAsia"/>
        </w:rPr>
        <w:t>建设背景</w:t>
      </w:r>
      <w:bookmarkEnd w:id="12"/>
      <w:bookmarkEnd w:id="13"/>
      <w:bookmarkEnd w:id="14"/>
      <w:bookmarkEnd w:id="15"/>
      <w:bookmarkEnd w:id="16"/>
      <w:bookmarkEnd w:id="17"/>
    </w:p>
    <w:p w14:paraId="7983A67E">
      <w:pPr>
        <w:ind w:firstLine="560"/>
        <w:rPr>
          <w:rFonts w:ascii="宋体" w:hAnsi="宋体"/>
          <w:szCs w:val="24"/>
        </w:rPr>
      </w:pPr>
      <w:r>
        <w:rPr>
          <w:rFonts w:hint="eastAsia" w:ascii="宋体" w:hAnsi="宋体"/>
          <w:szCs w:val="24"/>
        </w:rPr>
        <w:t>2023年1月，国家疾控局综合司印发《加快建设完善省统筹区域传染病监测预警与应急指挥信息平台实施方案》（国疾控综规财函〔2023〕18号），要求建立以疾控机构为支撑，以国家级传染病监测预警与应急指挥信息平台为主体，各省统筹区域传染病监测预警与应急指挥信息平台共建、共治、共享，整合现有传染病监测和应急相关信息系统，建立“全国一网统管、平台两级建设，数据统一采集、业务分级应用”的一体化省统筹区域平台。</w:t>
      </w:r>
    </w:p>
    <w:p w14:paraId="4A97299B">
      <w:pPr>
        <w:ind w:firstLine="560"/>
        <w:rPr>
          <w:rFonts w:ascii="宋体" w:hAnsi="宋体"/>
          <w:szCs w:val="24"/>
        </w:rPr>
      </w:pPr>
      <w:r>
        <w:rPr>
          <w:rFonts w:hint="eastAsia" w:ascii="宋体" w:hAnsi="宋体"/>
          <w:szCs w:val="24"/>
        </w:rPr>
        <w:t>通过省统筹区域平台建设促进建立省统筹区域数据高效融合、业务横向协同、纵向联动的工作机制，初步实现传染病疫情报告、病情信息报送及病原学实验室检测全流程的“医防研”信息协同；基本实现已有传染病相关监测系统集成和数据融合，应急响应处置结果与信息反馈形成工作闭环，初步实现“监测预警一张图”和“应急指挥一张图”的工作目标。到2025年末，建设完善省统筹区域传染病监测预警体系及应急指挥体系，省统筹区域平台建设完成率达100%，以县（区）为单位的区域应用覆盖率达85%，监测业务指标覆盖率达95%，数据集约化、智能化防控处置和决策支持能力显著提高，工作效率明显提升。一体化突发公共卫生应急管理服务与指挥调度体系初步形成，传染病疫情防控信息化成本显著降低。省统筹</w:t>
      </w:r>
    </w:p>
    <w:p w14:paraId="242406A3">
      <w:pPr>
        <w:ind w:firstLine="560"/>
        <w:rPr>
          <w:rFonts w:ascii="宋体" w:hAnsi="宋体"/>
          <w:szCs w:val="24"/>
        </w:rPr>
      </w:pPr>
      <w:r>
        <w:rPr>
          <w:rFonts w:hint="eastAsia" w:ascii="宋体" w:hAnsi="宋体"/>
          <w:szCs w:val="24"/>
        </w:rPr>
        <w:t>实现辖区内多部门涉疫数据共享与应用，常态化、智慧化传染病多点触发监测预警与综合应急指挥工作新业态基本形成，网络安全保障能力稳步提升。</w:t>
      </w:r>
    </w:p>
    <w:p w14:paraId="151F6133">
      <w:pPr>
        <w:ind w:firstLine="560"/>
        <w:rPr>
          <w:rFonts w:ascii="宋体" w:hAnsi="宋体"/>
          <w:szCs w:val="24"/>
        </w:rPr>
      </w:pPr>
      <w:r>
        <w:rPr>
          <w:rFonts w:hint="eastAsia" w:ascii="宋体" w:hAnsi="宋体"/>
          <w:szCs w:val="24"/>
        </w:rPr>
        <w:t>2023年9月，国家疾控局综合司印发《关于印发监测预警与应急指挥能力提升项目工作任务清单的函》（国疾控综规财函〔2023〕244号），对省统筹区域传染病监测预警与应急指挥信息平台项目建设工作任务清单进行明确，并要求成立项目工作专班组负责推进项目建设。</w:t>
      </w:r>
    </w:p>
    <w:p w14:paraId="6FE0AE07">
      <w:pPr>
        <w:ind w:firstLine="560"/>
        <w:rPr>
          <w:rFonts w:ascii="宋体" w:hAnsi="宋体"/>
          <w:szCs w:val="24"/>
        </w:rPr>
      </w:pPr>
      <w:r>
        <w:rPr>
          <w:rFonts w:hint="eastAsia" w:ascii="宋体" w:hAnsi="宋体"/>
          <w:szCs w:val="24"/>
        </w:rPr>
        <w:t>2023年10月，青海省人民政府办公厅下发《关于印发青海省疾病预防控制能力三年提升行动方案（2023—2025年）的通知》（青政办函〔2023〕146号），要求全面推进青海省、市（州）、县（区）三级现代化疾病预防控制体系建设，依托青海省全民健康信息平台，提升疾控信息化水平，健全完善传染病疫情监测、风险评估和预警制度，开展符合国家要求且具备青海省特点的传染病多点监测多渠道预警疫情防控体系建设。建立和完善以“医防融合”为宗旨，医院信息管理系统为重点，“多点触发多部门监测预警”为目标的传染病监测预警与应急指挥信息平台，加强疾控机构实验室信息管理系统监测应用覆盖和联动能力建设，进一步提升传染病监测预警的科学性、广泛性和灵敏性。</w:t>
      </w:r>
    </w:p>
    <w:p w14:paraId="19812DD8">
      <w:pPr>
        <w:ind w:firstLine="560"/>
        <w:rPr>
          <w:rFonts w:ascii="宋体" w:hAnsi="宋体"/>
          <w:szCs w:val="24"/>
        </w:rPr>
      </w:pPr>
      <w:r>
        <w:rPr>
          <w:rFonts w:hint="eastAsia" w:ascii="宋体" w:hAnsi="宋体"/>
          <w:szCs w:val="24"/>
        </w:rPr>
        <w:t>根据国家疾控局综合司关于印发《加快建设完善省统筹区域传染病监测预警与应急指挥信息平台实施方案》的通知（国疾控综规财函〔2023〕18号）以及《财政部国家疾控局关于下达2023年医疗服务与保障能力提升（医疗卫生机构能力建设、卫生健康人才培养）补助资金预算的通知》（财社〔2023〕104号）文件要求，经充分调研结合本省实际，青海省疾病预防控制局联合青海省卫生健康委于2023年12月联合制定印发《青海省加快建设完善省统筹区域传染病监测预警与应急指挥信息平台实施方案》（青疾控〔2023〕6号），组织开展项目建设工作。</w:t>
      </w:r>
    </w:p>
    <w:p w14:paraId="0BC86F25">
      <w:pPr>
        <w:ind w:firstLine="0" w:firstLineChars="0"/>
      </w:pPr>
      <w:r>
        <w:rPr>
          <w:rFonts w:hint="eastAsia" w:ascii="宋体" w:hAnsi="宋体"/>
          <w:szCs w:val="24"/>
        </w:rPr>
        <w:t>本项目作为《青海省传染病监测预警与应急指挥能力提升（业务应用系统）项目》的基础支撑能力补充，其建设背景与主体项目高度一致。两个项目均是根据国家疾控局下发的实施方案文件（国疾控综规财函〔2023〕18号）以及青海省疾控局的统一部署和指导下，致力开展省级统筹区域传染病监测预警与应急指挥信息平台的建设。通过项目的实施，将进一步提升青海省在传染病防控领域的信息化水平，增强应对突发公共卫生事件的能力，确保人民群众的生命安全和身体健康。</w:t>
      </w:r>
    </w:p>
    <w:p w14:paraId="235C9059">
      <w:pPr>
        <w:pStyle w:val="3"/>
      </w:pPr>
      <w:bookmarkStart w:id="18" w:name="_Toc9658"/>
      <w:bookmarkStart w:id="19" w:name="_Toc29556"/>
      <w:bookmarkStart w:id="20" w:name="_Toc14429"/>
      <w:bookmarkStart w:id="21" w:name="_Toc10758"/>
      <w:bookmarkStart w:id="22" w:name="_Toc173747568"/>
      <w:bookmarkStart w:id="23" w:name="_Toc25633"/>
      <w:r>
        <w:rPr>
          <w:rFonts w:hint="eastAsia"/>
        </w:rPr>
        <w:t>建设目标</w:t>
      </w:r>
      <w:bookmarkEnd w:id="18"/>
      <w:bookmarkEnd w:id="19"/>
      <w:bookmarkEnd w:id="20"/>
      <w:bookmarkEnd w:id="21"/>
      <w:bookmarkEnd w:id="22"/>
      <w:bookmarkEnd w:id="23"/>
    </w:p>
    <w:p w14:paraId="311A58C3">
      <w:pPr>
        <w:ind w:firstLine="568"/>
      </w:pPr>
      <w:r>
        <w:rPr>
          <w:rFonts w:cs="仿宋"/>
          <w:spacing w:val="2"/>
          <w:szCs w:val="28"/>
        </w:rPr>
        <w:t>基于青海省现有疾控体系，建设青海省传染病监测预警与应急指挥能力提升基础支撑系统，通过数据备份与系统安全建设、青海省免疫规划信息系统升级、电子接种证管理系统、实验室管理信息系统、协同办公系统、视频会商系统、综合运维管理系统等基础支撑系统建设</w:t>
      </w:r>
      <w:r>
        <w:rPr>
          <w:rFonts w:hint="eastAsia" w:cs="仿宋"/>
          <w:spacing w:val="2"/>
          <w:szCs w:val="28"/>
        </w:rPr>
        <w:t>，</w:t>
      </w:r>
      <w:r>
        <w:rPr>
          <w:rFonts w:cs="仿宋"/>
          <w:spacing w:val="2"/>
          <w:szCs w:val="28"/>
        </w:rPr>
        <w:t>以及</w:t>
      </w:r>
      <w:r>
        <w:rPr>
          <w:rFonts w:hint="eastAsia" w:cs="仿宋"/>
          <w:spacing w:val="2"/>
          <w:szCs w:val="28"/>
        </w:rPr>
        <w:t>在全省105家医院部署国家传染病智能监测预警前置软件，实现前置软件与省级传染病监测预警与应急指挥平台无缝对接，完成按照国家疾控局要求从前置软件采集疾控相关电子病历和电子疾病档案标准化数据</w:t>
      </w:r>
      <w:r>
        <w:rPr>
          <w:rFonts w:cs="仿宋"/>
          <w:spacing w:val="2"/>
          <w:szCs w:val="28"/>
        </w:rPr>
        <w:t>，全面支撑和保障青海省传染病监测预警与应急指挥能力提升业务应用系统建设，提升青海省传染病监测预警与应急指挥业务信息化水平，提高工作效率和决策能力，为人民群众提供更加优质、高效、便捷的医</w:t>
      </w:r>
      <w:r>
        <w:rPr>
          <w:rFonts w:cs="仿宋"/>
          <w:spacing w:val="-3"/>
          <w:szCs w:val="28"/>
        </w:rPr>
        <w:t>疗卫生服务</w:t>
      </w:r>
      <w:r>
        <w:rPr>
          <w:rFonts w:hint="eastAsia"/>
        </w:rPr>
        <w:t>。</w:t>
      </w:r>
    </w:p>
    <w:p w14:paraId="5ACBEDAE">
      <w:pPr>
        <w:pStyle w:val="3"/>
      </w:pPr>
      <w:bookmarkStart w:id="24" w:name="_Toc7200"/>
      <w:bookmarkStart w:id="25" w:name="_Toc30808"/>
      <w:bookmarkStart w:id="26" w:name="_Toc6114"/>
      <w:bookmarkStart w:id="27" w:name="_Toc173747569"/>
      <w:bookmarkStart w:id="28" w:name="_Toc9759"/>
      <w:bookmarkStart w:id="29" w:name="_Toc30155"/>
      <w:r>
        <w:rPr>
          <w:rFonts w:hint="eastAsia"/>
        </w:rPr>
        <w:t>建设规模</w:t>
      </w:r>
      <w:bookmarkEnd w:id="24"/>
      <w:bookmarkEnd w:id="25"/>
      <w:bookmarkEnd w:id="26"/>
      <w:bookmarkEnd w:id="27"/>
      <w:bookmarkEnd w:id="28"/>
      <w:bookmarkEnd w:id="29"/>
    </w:p>
    <w:p w14:paraId="5C6A18EE">
      <w:pPr>
        <w:ind w:firstLine="560"/>
      </w:pPr>
      <w:bookmarkStart w:id="30" w:name="_Toc26084"/>
      <w:bookmarkStart w:id="31" w:name="_Toc2864"/>
      <w:r>
        <w:rPr>
          <w:rFonts w:hint="eastAsia"/>
        </w:rPr>
        <w:t>本项目依托青海省电子政务外网、省政务云平台和青海省卫生信息专网，建设覆盖省、市（州）、县（区）三级疾病预防控制局、54家疾病预防控制中心、105家二级及以上公立医疗卫生机构，以及具备接入条件的大学、第三方检测机构病原实验室，对接海关、教育等行业监测数据的青海省传染病监测预警与应急指挥能力提升业务应用系统。青海省传染病监测预警与应急指挥能力提升业务应用系统整体建成后，信息系统网络安全等级保护达到等保三级安全防护要求。</w:t>
      </w:r>
    </w:p>
    <w:bookmarkEnd w:id="30"/>
    <w:bookmarkEnd w:id="31"/>
    <w:p w14:paraId="6D4B51CD">
      <w:pPr>
        <w:pStyle w:val="3"/>
      </w:pPr>
      <w:bookmarkStart w:id="32" w:name="_Toc31370"/>
      <w:bookmarkStart w:id="33" w:name="_Toc1759"/>
      <w:bookmarkStart w:id="34" w:name="_Toc30792"/>
      <w:bookmarkStart w:id="35" w:name="_Toc27167"/>
      <w:bookmarkStart w:id="36" w:name="_Toc173747570"/>
      <w:bookmarkStart w:id="37" w:name="_Toc25146"/>
      <w:r>
        <w:rPr>
          <w:rFonts w:hint="eastAsia"/>
        </w:rPr>
        <w:t>建设内容</w:t>
      </w:r>
      <w:bookmarkEnd w:id="32"/>
      <w:bookmarkEnd w:id="33"/>
      <w:bookmarkEnd w:id="34"/>
      <w:bookmarkEnd w:id="35"/>
      <w:bookmarkEnd w:id="36"/>
      <w:bookmarkEnd w:id="37"/>
    </w:p>
    <w:p w14:paraId="7D8E2286">
      <w:pPr>
        <w:numPr>
          <w:ilvl w:val="0"/>
          <w:numId w:val="7"/>
        </w:numPr>
        <w:ind w:firstLine="560"/>
      </w:pPr>
      <w:r>
        <w:rPr>
          <w:rFonts w:hint="eastAsia"/>
        </w:rPr>
        <w:t>免疫规划系统升级完善</w:t>
      </w:r>
    </w:p>
    <w:p w14:paraId="50CF7507">
      <w:pPr>
        <w:ind w:firstLine="560"/>
      </w:pPr>
      <w:r>
        <w:rPr>
          <w:rFonts w:hint="eastAsia"/>
        </w:rPr>
        <w:t>升级完善现有青海省免疫规划系统，系统要覆盖从事预防接种相关工作的各类机构，包括承担预防接种工作常规预防接种门诊、非免疫规划疫苗预防接种门诊、犬伤门诊、产科等预防接种机构，青海省、市（州）、县（区）级疾病预防控制中心。新增预防接种单位分级管理、AEFI病例查看、疫苗及冷链监测预警管理，优化完善现有业务流程及数据共享机制。</w:t>
      </w:r>
    </w:p>
    <w:p w14:paraId="41C95B3E">
      <w:pPr>
        <w:numPr>
          <w:ilvl w:val="0"/>
          <w:numId w:val="7"/>
        </w:numPr>
        <w:spacing w:before="204" w:line="314" w:lineRule="auto"/>
        <w:ind w:right="7" w:firstLine="548"/>
        <w:rPr>
          <w:rFonts w:cs="仿宋"/>
          <w:spacing w:val="-1"/>
          <w:szCs w:val="28"/>
        </w:rPr>
      </w:pPr>
      <w:r>
        <w:rPr>
          <w:rFonts w:cs="仿宋"/>
          <w:spacing w:val="-3"/>
          <w:szCs w:val="28"/>
        </w:rPr>
        <w:t>电子接种证管理系统</w:t>
      </w:r>
      <w:r>
        <w:rPr>
          <w:rFonts w:cs="仿宋"/>
          <w:spacing w:val="-1"/>
          <w:szCs w:val="28"/>
        </w:rPr>
        <w:t>。</w:t>
      </w:r>
    </w:p>
    <w:p w14:paraId="64BE4139">
      <w:pPr>
        <w:ind w:firstLine="560"/>
      </w:pPr>
      <w:r>
        <w:rPr>
          <w:rFonts w:hint="eastAsia"/>
        </w:rPr>
        <w:t>电子预防接种证依托青海省一体化政务服务平台部署，基本内容与纸质预防接种证内容保持一致，由青海省免疫规划信息管理系统提供数据支撑。充分依托一体化政务服务平台推动电子预防接种证照在更多领域应用并实现互通互认，让数据多跑路，让群众少跑腿，更好地发挥电子预防接种证在推进数字化建设、加强数据有序共享、提升公共服务等领域中的作用，持续不断地提升群众的获得感和满意度。通过电子预防接种证的推行，实现接种信息的数字化管理，提升接种数据的准确性、时效性，并为公民提供更便捷的预防接种服务。通过青海省免疫规划信息管理系统公众服务入口提供电子接种证服务，以及其他公众服务接入入口。</w:t>
      </w:r>
    </w:p>
    <w:p w14:paraId="71D91087">
      <w:pPr>
        <w:spacing w:before="204" w:line="314" w:lineRule="auto"/>
        <w:ind w:left="560" w:leftChars="200" w:right="7" w:firstLine="0" w:firstLineChars="0"/>
        <w:rPr>
          <w:rFonts w:cs="仿宋"/>
          <w:spacing w:val="-1"/>
          <w:szCs w:val="28"/>
        </w:rPr>
      </w:pPr>
    </w:p>
    <w:p w14:paraId="2F5C0FAB">
      <w:pPr>
        <w:pStyle w:val="2"/>
      </w:pPr>
      <w:bookmarkStart w:id="38" w:name="_Toc173747571"/>
      <w:bookmarkStart w:id="39" w:name="_Toc25495"/>
      <w:bookmarkStart w:id="40" w:name="_Toc17750"/>
      <w:bookmarkStart w:id="41" w:name="_Toc53"/>
      <w:bookmarkStart w:id="42" w:name="_Toc31158"/>
      <w:bookmarkStart w:id="43" w:name="_Toc12124"/>
      <w:r>
        <w:rPr>
          <w:rFonts w:hint="eastAsia"/>
        </w:rPr>
        <w:t>技术要求</w:t>
      </w:r>
      <w:bookmarkEnd w:id="38"/>
      <w:bookmarkEnd w:id="39"/>
      <w:bookmarkEnd w:id="40"/>
      <w:bookmarkEnd w:id="41"/>
      <w:bookmarkEnd w:id="42"/>
      <w:bookmarkEnd w:id="43"/>
    </w:p>
    <w:p w14:paraId="79D1DA13">
      <w:pPr>
        <w:pStyle w:val="3"/>
      </w:pPr>
      <w:bookmarkStart w:id="44" w:name="_Toc10870"/>
      <w:bookmarkStart w:id="45" w:name="_Toc24167"/>
      <w:bookmarkStart w:id="46" w:name="_Toc29744"/>
      <w:bookmarkStart w:id="47" w:name="_Toc2939"/>
      <w:bookmarkStart w:id="48" w:name="_Toc20701"/>
      <w:bookmarkStart w:id="49" w:name="_Toc173747572"/>
      <w:r>
        <w:rPr>
          <w:rFonts w:hint="eastAsia"/>
        </w:rPr>
        <w:t>总体技术要求</w:t>
      </w:r>
      <w:bookmarkEnd w:id="44"/>
      <w:bookmarkEnd w:id="45"/>
      <w:bookmarkEnd w:id="46"/>
      <w:bookmarkEnd w:id="47"/>
    </w:p>
    <w:p w14:paraId="02A80BA2">
      <w:pPr>
        <w:pStyle w:val="4"/>
      </w:pPr>
      <w:bookmarkStart w:id="50" w:name="_Toc25166"/>
      <w:bookmarkStart w:id="51" w:name="_Toc8981"/>
      <w:bookmarkStart w:id="52" w:name="_Toc13658"/>
      <w:bookmarkStart w:id="53" w:name="_Toc25782"/>
      <w:r>
        <w:rPr>
          <w:rFonts w:hint="eastAsia"/>
        </w:rPr>
        <w:t>总体技术路线要求</w:t>
      </w:r>
      <w:bookmarkEnd w:id="50"/>
      <w:bookmarkEnd w:id="51"/>
      <w:bookmarkEnd w:id="52"/>
      <w:bookmarkEnd w:id="53"/>
    </w:p>
    <w:p w14:paraId="03D2FBBB">
      <w:pPr>
        <w:ind w:firstLine="560"/>
      </w:pPr>
      <w:r>
        <w:rPr>
          <w:rFonts w:hint="eastAsia"/>
        </w:rPr>
        <w:t>本项目技术架构遵循J2EE规范，采用J2EEB/S结构模式，采用微服务架构开发构建，使每个微服务独立部署，开发人员无需协调对服务升级或更改的部署，这些更改可以在测试通过后立即部署，微服务架构使得每个服务都可独立扩展。</w:t>
      </w:r>
    </w:p>
    <w:p w14:paraId="500FD90D">
      <w:pPr>
        <w:pStyle w:val="4"/>
      </w:pPr>
      <w:bookmarkStart w:id="54" w:name="_Toc10346"/>
      <w:bookmarkStart w:id="55" w:name="_Toc24819"/>
      <w:bookmarkStart w:id="56" w:name="_Toc4"/>
      <w:bookmarkStart w:id="57" w:name="_Toc26761"/>
      <w:r>
        <w:rPr>
          <w:rFonts w:hint="eastAsia"/>
        </w:rPr>
        <w:t>总体安全要求</w:t>
      </w:r>
      <w:bookmarkEnd w:id="54"/>
      <w:bookmarkEnd w:id="55"/>
      <w:bookmarkEnd w:id="56"/>
      <w:bookmarkEnd w:id="57"/>
    </w:p>
    <w:p w14:paraId="0B06A753">
      <w:pPr>
        <w:ind w:firstLine="560"/>
      </w:pPr>
      <w:r>
        <w:rPr>
          <w:rFonts w:hint="eastAsia"/>
        </w:rPr>
        <w:t>▲</w:t>
      </w:r>
      <w:r>
        <w:t>疾控数据中心的数据是</w:t>
      </w:r>
      <w:r>
        <w:rPr>
          <w:rFonts w:hint="eastAsia"/>
        </w:rPr>
        <w:t>公共</w:t>
      </w:r>
      <w:r>
        <w:t>卫生</w:t>
      </w:r>
      <w:r>
        <w:rPr>
          <w:rFonts w:hint="eastAsia"/>
        </w:rPr>
        <w:t>安全</w:t>
      </w:r>
      <w:r>
        <w:t>应用关键性数据，必须保证数据的安全和隐私，需提供数据安全的保障方案。系统的建设符合国家安全等级保护三级要求，提供符合国家等保三</w:t>
      </w:r>
      <w:r>
        <w:rPr>
          <w:rFonts w:hint="eastAsia"/>
        </w:rPr>
        <w:t>级</w:t>
      </w:r>
      <w:r>
        <w:t>要求的数据安全管理</w:t>
      </w:r>
      <w:r>
        <w:rPr>
          <w:rFonts w:hint="eastAsia"/>
        </w:rPr>
        <w:t>，涵盖应用安全、移动端安全、密码应用安全、安全管理制度等</w:t>
      </w:r>
      <w:r>
        <w:t>。系统权限设计按照三权分立原则进行设计，并支持系统分级授权、分级管理；系统应具备用户身份标识唯一性和鉴别信息复杂度检查功能，并对暴力破解用户登录有安全管控策略。</w:t>
      </w:r>
      <w:r>
        <w:rPr>
          <w:rFonts w:hint="eastAsia"/>
        </w:rPr>
        <w:t>（需提供具有所实施的疾控中心相关平台项目通过三级等保测评的证书的扫描件或影印件证明并加盖制造商公章）。</w:t>
      </w:r>
    </w:p>
    <w:p w14:paraId="194DDD04">
      <w:pPr>
        <w:ind w:firstLine="560"/>
      </w:pPr>
      <w:r>
        <w:rPr>
          <w:rFonts w:hint="eastAsia"/>
        </w:rPr>
        <w:t>系统建设应确保数据传输过程中敏感信息的安全性和完整性，保护敏感数据在使用、传输过程中高度的强壮性、保密性、完整性和不可抵赖性。</w:t>
      </w:r>
    </w:p>
    <w:p w14:paraId="5B24AF54">
      <w:pPr>
        <w:ind w:firstLine="560"/>
      </w:pPr>
      <w:r>
        <w:rPr>
          <w:rFonts w:hint="eastAsia"/>
        </w:rPr>
        <w:t>系统的隐私与权限管理，隐私数据的管理对涉及疾控业务的管理极为重要，需要提供隐私与权限管理方案。</w:t>
      </w:r>
    </w:p>
    <w:p w14:paraId="2967114B">
      <w:pPr>
        <w:pStyle w:val="4"/>
      </w:pPr>
      <w:bookmarkStart w:id="58" w:name="_Toc9517"/>
      <w:bookmarkStart w:id="59" w:name="_Toc1333"/>
      <w:bookmarkStart w:id="60" w:name="_Toc20386"/>
      <w:bookmarkStart w:id="61" w:name="_Toc26266"/>
      <w:r>
        <w:rPr>
          <w:rFonts w:hint="eastAsia"/>
        </w:rPr>
        <w:t>总体兼容先要求</w:t>
      </w:r>
      <w:bookmarkEnd w:id="58"/>
      <w:bookmarkEnd w:id="59"/>
      <w:bookmarkEnd w:id="60"/>
      <w:bookmarkEnd w:id="61"/>
    </w:p>
    <w:p w14:paraId="720F33AC">
      <w:pPr>
        <w:pStyle w:val="5"/>
      </w:pPr>
      <w:r>
        <w:rPr>
          <w:rFonts w:hint="eastAsia"/>
        </w:rPr>
        <w:t>国产化兼容性要求</w:t>
      </w:r>
    </w:p>
    <w:p w14:paraId="4C3E4DFC">
      <w:pPr>
        <w:ind w:firstLine="560" w:firstLineChars="0"/>
      </w:pPr>
      <w:r>
        <w:rPr>
          <w:rFonts w:hint="eastAsia"/>
        </w:rPr>
        <w:t>▲1、系统建设考虑兼容国产技术架构和相关产品，能够适配国产主流基础软硬件，覆盖芯片、整机、操作系统、数据库、中间件等核心模块。（需提供具有国产化适配国产化操作系统和数据库的兼容性认证证书的扫描件或影印件证明并加盖制造商公章）</w:t>
      </w:r>
    </w:p>
    <w:p w14:paraId="0D42AA2C">
      <w:pPr>
        <w:ind w:firstLine="560" w:firstLineChars="0"/>
      </w:pPr>
      <w:r>
        <w:rPr>
          <w:rFonts w:hint="eastAsia"/>
        </w:rPr>
        <w:t>▲2、系统支持信创云的部署，提供成熟的部署方案，所投产品厂商须具有信创云数据管理平台软件著作权登记证书。（需提供具有信创云数据管理平台著作权登记证书的扫描件或影印件证明并加盖制造商公章）。</w:t>
      </w:r>
    </w:p>
    <w:p w14:paraId="5187037E">
      <w:pPr>
        <w:pStyle w:val="5"/>
      </w:pPr>
      <w:r>
        <w:rPr>
          <w:rFonts w:hint="eastAsia"/>
        </w:rPr>
        <w:t>业务系统兼容性要求</w:t>
      </w:r>
    </w:p>
    <w:p w14:paraId="439DEABD">
      <w:pPr>
        <w:ind w:firstLine="560" w:firstLineChars="0"/>
      </w:pPr>
      <w:r>
        <w:rPr>
          <w:rFonts w:hint="eastAsia"/>
        </w:rPr>
        <w:t>▲1、依托海青海省免疫规划信息管理系统公众服务（小程序和公众号），建设电子接种证管理系统，达到页面无缝集成（需提供功能截图证明并加盖制造商公章），数据实时共享，业务流无缝对接（提供承诺函并加盖公章，中标后一周内验证集成效果，不符合要求按废标处理）。</w:t>
      </w:r>
    </w:p>
    <w:p w14:paraId="1C433911">
      <w:pPr>
        <w:ind w:firstLine="560" w:firstLineChars="0"/>
      </w:pPr>
      <w:r>
        <w:rPr>
          <w:rFonts w:hint="eastAsia"/>
        </w:rPr>
        <w:t>2、基于青海省免疫规划信息管理系统进行免疫规划相关业务模块的升级完善，确保系统平稳升级运行（提供承诺函并加盖公章）。</w:t>
      </w:r>
    </w:p>
    <w:p w14:paraId="59F103F0">
      <w:pPr>
        <w:pStyle w:val="3"/>
      </w:pPr>
      <w:bookmarkStart w:id="62" w:name="_Toc30891"/>
      <w:bookmarkStart w:id="63" w:name="_Toc10391"/>
      <w:bookmarkStart w:id="64" w:name="_Toc16371"/>
      <w:bookmarkStart w:id="65" w:name="_Toc32196"/>
      <w:r>
        <w:rPr>
          <w:rFonts w:ascii="黑体" w:hAnsi="黑体" w:cs="黑体"/>
          <w:spacing w:val="-2"/>
        </w:rPr>
        <w:t>青海省免疫规划信息管理系统升级完善</w:t>
      </w:r>
      <w:bookmarkEnd w:id="48"/>
      <w:bookmarkEnd w:id="49"/>
      <w:bookmarkEnd w:id="62"/>
      <w:bookmarkEnd w:id="63"/>
      <w:bookmarkEnd w:id="64"/>
      <w:bookmarkEnd w:id="65"/>
    </w:p>
    <w:p w14:paraId="0E30E1F6">
      <w:pPr>
        <w:ind w:firstLine="560"/>
      </w:pPr>
      <w:r>
        <w:rPr>
          <w:rFonts w:hint="eastAsia"/>
        </w:rPr>
        <w:t>青海省免疫规划信息管理系统于2020年05月上线，截至目前已接入1112个预防接种单位，系统内建档备案信息6513958条（包含成人和儿童），累计接种量为33296497条。整个系统采用的是卫生专网，各市州疾控中心以及各级门诊接种单位需接入卫生专网或者通过vpn登入系统进行数据交互。但在数据分析、AEFI病例查看、疫苗及冷链监测预警、电子接种证建设等方面，还无法满足日常业务需求，需要升级完善青海省免疫规划信息系统。</w:t>
      </w:r>
    </w:p>
    <w:p w14:paraId="045950B2">
      <w:pPr>
        <w:ind w:firstLine="560" w:firstLineChars="0"/>
      </w:pPr>
      <w:r>
        <w:rPr>
          <w:rFonts w:hint="eastAsia"/>
        </w:rPr>
        <w:t>升级完善现有青海省免疫规划系统，系统要覆盖从事预防接种相关工作的各类机构，包括承担预防接种工作常规预防接种门诊、非免疫规划疫苗预防接种门诊、犬伤门诊、产科等预防接种机构，青海省、市（州）、县（区）级疾病预防控制中心。新增预防接种单位分级管理、AEFI病例查看、疫苗及冷链监测预警管理，优化完善现有业务流程及数据共享机制。</w:t>
      </w:r>
    </w:p>
    <w:p w14:paraId="71796439">
      <w:pPr>
        <w:pStyle w:val="4"/>
      </w:pPr>
      <w:bookmarkStart w:id="66" w:name="_Toc25508"/>
      <w:bookmarkStart w:id="67" w:name="_Toc370"/>
      <w:bookmarkStart w:id="68" w:name="_Toc10064"/>
      <w:bookmarkStart w:id="69" w:name="_Toc173747573"/>
      <w:bookmarkStart w:id="70" w:name="_Toc11470"/>
      <w:bookmarkStart w:id="71" w:name="_Toc473"/>
      <w:r>
        <w:rPr>
          <w:rFonts w:ascii="黑体" w:hAnsi="黑体" w:cs="黑体"/>
          <w:spacing w:val="-4"/>
        </w:rPr>
        <w:t>工作督导模块</w:t>
      </w:r>
      <w:bookmarkEnd w:id="66"/>
      <w:bookmarkEnd w:id="67"/>
      <w:bookmarkEnd w:id="68"/>
      <w:bookmarkEnd w:id="69"/>
      <w:bookmarkEnd w:id="70"/>
      <w:bookmarkEnd w:id="71"/>
    </w:p>
    <w:p w14:paraId="5906DB50">
      <w:pPr>
        <w:ind w:firstLine="560"/>
      </w:pPr>
      <w:r>
        <w:rPr>
          <w:rFonts w:hint="eastAsia"/>
        </w:rPr>
        <w:t>按照免疫规划业务工作需求，开设督导模板，从免疫规划信息管理系统抓取个案、接种率等数据，并利用AI/数据中台，生成初步的督导报告。</w:t>
      </w:r>
    </w:p>
    <w:p w14:paraId="77186899">
      <w:pPr>
        <w:pStyle w:val="5"/>
      </w:pPr>
      <w:r>
        <w:rPr>
          <w:rFonts w:ascii="黑体" w:hAnsi="黑体" w:cs="黑体"/>
          <w:spacing w:val="-4"/>
        </w:rPr>
        <w:t>数据分析</w:t>
      </w:r>
    </w:p>
    <w:p w14:paraId="7E719BEE">
      <w:pPr>
        <w:ind w:firstLine="560"/>
      </w:pPr>
      <w:r>
        <w:rPr>
          <w:rFonts w:hint="eastAsia"/>
        </w:rPr>
        <w:t>从免疫规划信息管理系统抓取个案、接种率等数据，将数据传递给AI/数据中台，利用其算法和模型进行分析和处理</w:t>
      </w:r>
      <w:r>
        <w:t>。</w:t>
      </w:r>
    </w:p>
    <w:p w14:paraId="6777FE75">
      <w:pPr>
        <w:pStyle w:val="5"/>
      </w:pPr>
      <w:r>
        <w:rPr>
          <w:rFonts w:ascii="黑体" w:hAnsi="黑体" w:cs="黑体"/>
          <w:spacing w:val="-2"/>
        </w:rPr>
        <w:t>报告生成</w:t>
      </w:r>
    </w:p>
    <w:p w14:paraId="0169B83B">
      <w:pPr>
        <w:ind w:firstLine="560"/>
      </w:pPr>
      <w:r>
        <w:rPr>
          <w:rFonts w:hint="eastAsia"/>
        </w:rPr>
        <w:t>根据分析结果，自动生成初步的督导报告。</w:t>
      </w:r>
    </w:p>
    <w:p w14:paraId="4FCD6E39">
      <w:pPr>
        <w:pStyle w:val="5"/>
        <w:rPr>
          <w:rFonts w:ascii="黑体" w:hAnsi="黑体" w:cs="黑体"/>
          <w:spacing w:val="-2"/>
        </w:rPr>
      </w:pPr>
      <w:bookmarkStart w:id="72" w:name="_Toc173747574"/>
      <w:r>
        <w:rPr>
          <w:rFonts w:ascii="黑体" w:hAnsi="黑体" w:cs="黑体"/>
          <w:spacing w:val="-2"/>
        </w:rPr>
        <w:t>报告展示</w:t>
      </w:r>
      <w:bookmarkEnd w:id="72"/>
    </w:p>
    <w:p w14:paraId="170A62CB">
      <w:pPr>
        <w:ind w:firstLine="568"/>
      </w:pPr>
      <w:r>
        <w:rPr>
          <w:rFonts w:cs="仿宋"/>
          <w:spacing w:val="2"/>
          <w:szCs w:val="28"/>
        </w:rPr>
        <w:t>提供一个界面，以可视化的方式展示生成的督导报告，包括图表、表格</w:t>
      </w:r>
      <w:r>
        <w:rPr>
          <w:rFonts w:cs="仿宋"/>
          <w:spacing w:val="-3"/>
          <w:szCs w:val="28"/>
        </w:rPr>
        <w:t>和文字描述等</w:t>
      </w:r>
      <w:r>
        <w:rPr>
          <w:rFonts w:hint="eastAsia"/>
        </w:rPr>
        <w:t>。</w:t>
      </w:r>
    </w:p>
    <w:p w14:paraId="047CBBC6">
      <w:pPr>
        <w:pStyle w:val="5"/>
      </w:pPr>
      <w:r>
        <w:rPr>
          <w:rFonts w:ascii="黑体" w:hAnsi="黑体" w:cs="黑体"/>
          <w:spacing w:val="-2"/>
        </w:rPr>
        <w:t>报告导出</w:t>
      </w:r>
    </w:p>
    <w:p w14:paraId="403C4CFB">
      <w:pPr>
        <w:ind w:firstLine="560"/>
      </w:pPr>
      <w:r>
        <w:rPr>
          <w:rFonts w:hint="eastAsia"/>
        </w:rPr>
        <w:t>允许管理人员将生成的督导报告导出为常用的文件格式，如PDF或Excel。</w:t>
      </w:r>
    </w:p>
    <w:p w14:paraId="64621FE9">
      <w:pPr>
        <w:pStyle w:val="4"/>
      </w:pPr>
      <w:bookmarkStart w:id="73" w:name="_Toc2906"/>
      <w:bookmarkStart w:id="74" w:name="_Toc13367"/>
      <w:bookmarkStart w:id="75" w:name="_Toc28396"/>
      <w:bookmarkStart w:id="76" w:name="_Toc13730"/>
      <w:bookmarkStart w:id="77" w:name="_Toc1584"/>
      <w:r>
        <w:rPr>
          <w:rFonts w:ascii="黑体" w:hAnsi="黑体" w:cs="黑体"/>
          <w:spacing w:val="-2"/>
        </w:rPr>
        <w:t>预防接种单位分级管理</w:t>
      </w:r>
      <w:bookmarkEnd w:id="73"/>
      <w:bookmarkEnd w:id="74"/>
      <w:bookmarkEnd w:id="75"/>
      <w:bookmarkEnd w:id="76"/>
      <w:bookmarkEnd w:id="77"/>
    </w:p>
    <w:p w14:paraId="236F089C">
      <w:pPr>
        <w:spacing w:before="326" w:line="349" w:lineRule="auto"/>
        <w:ind w:left="20" w:right="243" w:firstLine="568"/>
        <w:rPr>
          <w:rFonts w:cs="仿宋"/>
          <w:szCs w:val="28"/>
        </w:rPr>
      </w:pPr>
      <w:r>
        <w:rPr>
          <w:rFonts w:cs="仿宋"/>
          <w:spacing w:val="2"/>
          <w:szCs w:val="28"/>
        </w:rPr>
        <w:t>提供预防接种单位分级管理功能，实现系统内预防接种单位分级管理，对于不同等级的预防接种单位，采取不同的管理和监督措施，如加强日常监</w:t>
      </w:r>
      <w:r>
        <w:rPr>
          <w:rFonts w:cs="仿宋"/>
          <w:spacing w:val="-3"/>
          <w:szCs w:val="28"/>
        </w:rPr>
        <w:t>管、定期检查等。</w:t>
      </w:r>
    </w:p>
    <w:p w14:paraId="75AA0FC7">
      <w:pPr>
        <w:ind w:firstLine="568"/>
      </w:pPr>
      <w:r>
        <w:rPr>
          <w:rFonts w:cs="仿宋"/>
          <w:spacing w:val="2"/>
          <w:szCs w:val="28"/>
        </w:rPr>
        <w:t>青海省免疫规划信息管理系统内一个接种单位可能出现多个账号（常规预防接种门诊、非免疫规划疫苗预防接种门诊、犬伤门诊、产科门诊等</w:t>
      </w:r>
      <w:r>
        <w:rPr>
          <w:rFonts w:cs="仿宋"/>
          <w:spacing w:val="25"/>
          <w:szCs w:val="28"/>
        </w:rPr>
        <w:t>），</w:t>
      </w:r>
      <w:r>
        <w:rPr>
          <w:rFonts w:cs="仿宋"/>
          <w:spacing w:val="2"/>
          <w:szCs w:val="28"/>
        </w:rPr>
        <w:t>为科学规范管理，需要系统能够进行账号整理，有多个账号的预防接种单位</w:t>
      </w:r>
      <w:r>
        <w:rPr>
          <w:rFonts w:cs="仿宋"/>
          <w:spacing w:val="-3"/>
          <w:szCs w:val="28"/>
        </w:rPr>
        <w:t>设置一个总账号用作编码维护、统计报表、冷链设备录</w:t>
      </w:r>
      <w:r>
        <w:rPr>
          <w:rFonts w:cs="仿宋"/>
          <w:spacing w:val="-4"/>
          <w:szCs w:val="28"/>
        </w:rPr>
        <w:t>入、疫苗出入库功能、</w:t>
      </w:r>
      <w:r>
        <w:rPr>
          <w:rFonts w:cs="仿宋"/>
          <w:spacing w:val="2"/>
          <w:szCs w:val="28"/>
        </w:rPr>
        <w:t>预防接种个案信息的上传，分配权限、设置角色等。分功能子账号按业务需</w:t>
      </w:r>
      <w:r>
        <w:rPr>
          <w:rFonts w:cs="仿宋"/>
          <w:spacing w:val="-1"/>
          <w:szCs w:val="28"/>
        </w:rPr>
        <w:t>求功能用作日常预防接种工作使用，并按要求生成相应的报表等</w:t>
      </w:r>
      <w:r>
        <w:rPr>
          <w:rFonts w:hint="eastAsia"/>
        </w:rPr>
        <w:t>。</w:t>
      </w:r>
    </w:p>
    <w:p w14:paraId="182C2D99">
      <w:pPr>
        <w:pStyle w:val="4"/>
      </w:pPr>
      <w:bookmarkStart w:id="78" w:name="_Toc26448"/>
      <w:bookmarkStart w:id="79" w:name="_Toc22457"/>
      <w:bookmarkStart w:id="80" w:name="_Toc28057"/>
      <w:bookmarkStart w:id="81" w:name="_Toc13777"/>
      <w:bookmarkStart w:id="82" w:name="_Toc6730"/>
      <w:r>
        <w:rPr>
          <w:rFonts w:ascii="黑体" w:hAnsi="黑体" w:cs="黑体"/>
          <w:spacing w:val="-1"/>
        </w:rPr>
        <w:t>免规系统使用单位及人力资源管理信息整合</w:t>
      </w:r>
      <w:bookmarkEnd w:id="78"/>
      <w:bookmarkEnd w:id="79"/>
      <w:bookmarkEnd w:id="80"/>
      <w:bookmarkEnd w:id="81"/>
      <w:bookmarkEnd w:id="82"/>
    </w:p>
    <w:p w14:paraId="71DDF410">
      <w:pPr>
        <w:ind w:firstLine="560"/>
      </w:pPr>
      <w:r>
        <w:rPr>
          <w:rFonts w:hint="eastAsia"/>
        </w:rPr>
        <w:t>目前免疫规划信息管理系统基层预防接种单位工作者流动大，为掌握免疫规划信息管理系统使用情况，需要对开启账号的预防接种机构及个人用户做信息整合分析</w:t>
      </w:r>
      <w:r>
        <w:rPr>
          <w:rFonts w:hint="eastAsia"/>
          <w:b/>
          <w:bCs/>
        </w:rPr>
        <w:t>。</w:t>
      </w:r>
    </w:p>
    <w:p w14:paraId="6AE8ED77">
      <w:pPr>
        <w:pStyle w:val="5"/>
      </w:pPr>
      <w:r>
        <w:rPr>
          <w:rFonts w:ascii="黑体" w:hAnsi="黑体" w:cs="黑体"/>
          <w:spacing w:val="-4"/>
        </w:rPr>
        <w:t>预防接种机构管理</w:t>
      </w:r>
    </w:p>
    <w:p w14:paraId="04EADE8D">
      <w:pPr>
        <w:pStyle w:val="6"/>
      </w:pPr>
      <w:r>
        <w:rPr>
          <w:rFonts w:ascii="黑体" w:hAnsi="黑体" w:cs="黑体"/>
          <w:spacing w:val="-2"/>
        </w:rPr>
        <w:t>预防接种机构输入</w:t>
      </w:r>
    </w:p>
    <w:p w14:paraId="4168857D">
      <w:pPr>
        <w:ind w:firstLine="568"/>
      </w:pPr>
      <w:r>
        <w:rPr>
          <w:rFonts w:cs="仿宋"/>
          <w:spacing w:val="2"/>
          <w:szCs w:val="28"/>
        </w:rPr>
        <w:t>提供预防接种机构输入功能，预防接种机构需采集医疗机构执业许可证编码、最新医疗机构执业许可证取得的日期、医疗机构执业许可证有效期的</w:t>
      </w:r>
      <w:r>
        <w:rPr>
          <w:rFonts w:cs="仿宋"/>
          <w:spacing w:val="3"/>
          <w:szCs w:val="28"/>
        </w:rPr>
        <w:t>截止日期、机构法人信息、免疫规划从业人员数量、单位编码、单位名称、</w:t>
      </w:r>
      <w:r>
        <w:rPr>
          <w:rFonts w:cs="仿宋"/>
          <w:spacing w:val="-3"/>
          <w:szCs w:val="28"/>
        </w:rPr>
        <w:t>单位级别、所属行政区划、上级单位名称、单位性质</w:t>
      </w:r>
      <w:r>
        <w:rPr>
          <w:rFonts w:cs="仿宋"/>
          <w:spacing w:val="-4"/>
          <w:szCs w:val="28"/>
        </w:rPr>
        <w:t>、起始年月、是否虚拟、</w:t>
      </w:r>
      <w:r>
        <w:rPr>
          <w:rFonts w:cs="仿宋"/>
          <w:spacing w:val="-1"/>
          <w:szCs w:val="28"/>
        </w:rPr>
        <w:t>终止年月、状态、成立时间、产权性质、审核状态、实体单位类型等</w:t>
      </w:r>
      <w:r>
        <w:rPr>
          <w:rFonts w:hint="eastAsia"/>
        </w:rPr>
        <w:t>。</w:t>
      </w:r>
    </w:p>
    <w:p w14:paraId="61D5E413">
      <w:pPr>
        <w:pStyle w:val="6"/>
      </w:pPr>
      <w:r>
        <w:rPr>
          <w:rFonts w:ascii="黑体" w:hAnsi="黑体" w:cs="黑体"/>
          <w:spacing w:val="-2"/>
        </w:rPr>
        <w:t>预防接种机构输出</w:t>
      </w:r>
    </w:p>
    <w:p w14:paraId="659B9AAC">
      <w:pPr>
        <w:ind w:firstLine="544"/>
        <w:rPr>
          <w:rFonts w:cs="仿宋"/>
          <w:spacing w:val="-3"/>
          <w:szCs w:val="28"/>
        </w:rPr>
      </w:pPr>
      <w:r>
        <w:rPr>
          <w:rFonts w:cs="仿宋"/>
          <w:spacing w:val="-4"/>
          <w:szCs w:val="28"/>
        </w:rPr>
        <w:t>提供预防接种机构输出功能：导出单位编码、单位名称、所属行政区划、单位级别、起始年月、终止年月、是否虚拟、实体单位类型、门诊建设等级、</w:t>
      </w:r>
      <w:r>
        <w:rPr>
          <w:rFonts w:cs="仿宋"/>
          <w:spacing w:val="-3"/>
          <w:szCs w:val="28"/>
        </w:rPr>
        <w:t>审核状态、查询详细等。</w:t>
      </w:r>
    </w:p>
    <w:p w14:paraId="1D89964C">
      <w:pPr>
        <w:pStyle w:val="5"/>
      </w:pPr>
      <w:r>
        <w:rPr>
          <w:rFonts w:ascii="黑体" w:hAnsi="黑体" w:cs="黑体"/>
          <w:spacing w:val="-2"/>
        </w:rPr>
        <w:t>人员信息管理</w:t>
      </w:r>
    </w:p>
    <w:p w14:paraId="4257A4F8">
      <w:pPr>
        <w:ind w:firstLine="544"/>
        <w:rPr>
          <w:rFonts w:cs="仿宋"/>
          <w:spacing w:val="-2"/>
          <w:szCs w:val="28"/>
        </w:rPr>
      </w:pPr>
      <w:r>
        <w:rPr>
          <w:rFonts w:cs="仿宋"/>
          <w:spacing w:val="-4"/>
          <w:szCs w:val="28"/>
        </w:rPr>
        <w:t>提供人员信息管理功能：对人力资源信息进行查询、新增、导出、修改、</w:t>
      </w:r>
      <w:r>
        <w:rPr>
          <w:rFonts w:cs="仿宋"/>
          <w:spacing w:val="-2"/>
          <w:szCs w:val="28"/>
        </w:rPr>
        <w:t>删除和详细信息查询等。</w:t>
      </w:r>
    </w:p>
    <w:p w14:paraId="3760A33F">
      <w:pPr>
        <w:pStyle w:val="6"/>
      </w:pPr>
      <w:r>
        <w:rPr>
          <w:rFonts w:ascii="黑体" w:hAnsi="黑体" w:cs="黑体"/>
          <w:spacing w:val="-2"/>
        </w:rPr>
        <w:t>人员信息列表</w:t>
      </w:r>
    </w:p>
    <w:p w14:paraId="116389F9">
      <w:pPr>
        <w:ind w:firstLine="552"/>
        <w:rPr>
          <w:rFonts w:cs="仿宋"/>
          <w:spacing w:val="-2"/>
          <w:szCs w:val="28"/>
        </w:rPr>
      </w:pPr>
      <w:r>
        <w:rPr>
          <w:rFonts w:hint="eastAsia" w:cs="仿宋"/>
          <w:spacing w:val="-2"/>
          <w:szCs w:val="28"/>
        </w:rPr>
        <w:t>提供人员信息列表展示功能，主要展示信息包括工作单位、人员姓名、性别、出生日期、执业资格、状态、从事预防接种工作开始日期、最高学历、职称、工作性质、所学专业、培训情况、岗位角色等。</w:t>
      </w:r>
    </w:p>
    <w:p w14:paraId="32B0C004">
      <w:pPr>
        <w:pStyle w:val="6"/>
      </w:pPr>
      <w:r>
        <w:rPr>
          <w:rFonts w:ascii="黑体" w:hAnsi="黑体" w:cs="黑体"/>
          <w:spacing w:val="-2"/>
        </w:rPr>
        <w:t>人员信息新增</w:t>
      </w:r>
    </w:p>
    <w:p w14:paraId="41C339E3">
      <w:pPr>
        <w:ind w:firstLine="568"/>
        <w:rPr>
          <w:rFonts w:cs="仿宋"/>
          <w:spacing w:val="-4"/>
          <w:szCs w:val="28"/>
        </w:rPr>
      </w:pPr>
      <w:r>
        <w:rPr>
          <w:rFonts w:cs="仿宋"/>
          <w:spacing w:val="2"/>
          <w:szCs w:val="28"/>
        </w:rPr>
        <w:t>提供人员信息新增功能，允许管理员在系统中创建新的人员信息，如工作单位、人员姓名、性别、出生日期、执业资格、状态、从事预防接种工作</w:t>
      </w:r>
      <w:r>
        <w:rPr>
          <w:rFonts w:cs="仿宋"/>
          <w:spacing w:val="-3"/>
          <w:szCs w:val="28"/>
        </w:rPr>
        <w:t>开始日期、最高学历、职称、工作性质、所学专业、培训情况、岗位角</w:t>
      </w:r>
      <w:r>
        <w:rPr>
          <w:rFonts w:cs="仿宋"/>
          <w:spacing w:val="-4"/>
          <w:szCs w:val="28"/>
        </w:rPr>
        <w:t>色等</w:t>
      </w:r>
      <w:r>
        <w:rPr>
          <w:rFonts w:hint="eastAsia" w:cs="仿宋"/>
          <w:spacing w:val="-4"/>
          <w:szCs w:val="28"/>
        </w:rPr>
        <w:t>。</w:t>
      </w:r>
    </w:p>
    <w:p w14:paraId="79908A89">
      <w:pPr>
        <w:pStyle w:val="6"/>
      </w:pPr>
      <w:r>
        <w:rPr>
          <w:rFonts w:ascii="黑体" w:hAnsi="黑体" w:cs="黑体"/>
          <w:spacing w:val="-2"/>
        </w:rPr>
        <w:t>人员信息修改</w:t>
      </w:r>
    </w:p>
    <w:p w14:paraId="391F9824">
      <w:pPr>
        <w:ind w:firstLine="548"/>
        <w:rPr>
          <w:rFonts w:cs="仿宋"/>
          <w:spacing w:val="-4"/>
          <w:szCs w:val="28"/>
        </w:rPr>
      </w:pPr>
      <w:r>
        <w:rPr>
          <w:rFonts w:cs="仿宋"/>
          <w:spacing w:val="-3"/>
          <w:szCs w:val="28"/>
        </w:rPr>
        <w:t>提供人员信息修改功能，允许管理员在系统</w:t>
      </w:r>
      <w:r>
        <w:rPr>
          <w:rFonts w:cs="仿宋"/>
          <w:spacing w:val="-4"/>
          <w:szCs w:val="28"/>
        </w:rPr>
        <w:t>中修改已有的人员详细信息</w:t>
      </w:r>
      <w:r>
        <w:rPr>
          <w:rFonts w:hint="eastAsia" w:cs="仿宋"/>
          <w:spacing w:val="-4"/>
          <w:szCs w:val="28"/>
        </w:rPr>
        <w:t>。</w:t>
      </w:r>
    </w:p>
    <w:p w14:paraId="0C1C65FD">
      <w:pPr>
        <w:pStyle w:val="6"/>
      </w:pPr>
      <w:r>
        <w:rPr>
          <w:rFonts w:ascii="黑体" w:hAnsi="黑体" w:cs="黑体"/>
          <w:spacing w:val="-2"/>
        </w:rPr>
        <w:t>人员信息</w:t>
      </w:r>
      <w:r>
        <w:rPr>
          <w:rFonts w:hint="eastAsia" w:ascii="黑体" w:hAnsi="黑体" w:cs="黑体"/>
          <w:spacing w:val="-2"/>
        </w:rPr>
        <w:t>删除</w:t>
      </w:r>
    </w:p>
    <w:p w14:paraId="38814445">
      <w:pPr>
        <w:ind w:firstLine="544"/>
        <w:rPr>
          <w:rFonts w:cs="仿宋"/>
          <w:spacing w:val="-4"/>
          <w:szCs w:val="28"/>
        </w:rPr>
      </w:pPr>
      <w:r>
        <w:rPr>
          <w:rFonts w:hint="eastAsia" w:cs="仿宋"/>
          <w:spacing w:val="-4"/>
          <w:szCs w:val="28"/>
        </w:rPr>
        <w:t>提供人员信息删除功能，允许管理员在系统中删除不再从事该项工作的人员。</w:t>
      </w:r>
    </w:p>
    <w:p w14:paraId="5224EF18">
      <w:pPr>
        <w:pStyle w:val="6"/>
      </w:pPr>
      <w:r>
        <w:rPr>
          <w:rFonts w:ascii="黑体" w:hAnsi="黑体" w:cs="黑体"/>
          <w:spacing w:val="-2"/>
        </w:rPr>
        <w:t>人员信息</w:t>
      </w:r>
      <w:r>
        <w:rPr>
          <w:rFonts w:hint="eastAsia" w:ascii="黑体" w:hAnsi="黑体" w:cs="黑体"/>
          <w:spacing w:val="-2"/>
        </w:rPr>
        <w:t>查询</w:t>
      </w:r>
    </w:p>
    <w:p w14:paraId="6DF5585D">
      <w:pPr>
        <w:ind w:firstLine="0" w:firstLineChars="0"/>
        <w:rPr>
          <w:rFonts w:cs="仿宋"/>
          <w:spacing w:val="-4"/>
          <w:szCs w:val="28"/>
        </w:rPr>
      </w:pPr>
      <w:r>
        <w:rPr>
          <w:rFonts w:cs="仿宋"/>
          <w:spacing w:val="-4"/>
          <w:szCs w:val="28"/>
        </w:rPr>
        <w:t>提供人员信息查询功能，允许管理员在系统中通过工作单位、人员姓名</w:t>
      </w:r>
      <w:r>
        <mc:AlternateContent>
          <mc:Choice Requires="wps">
            <w:drawing>
              <wp:anchor distT="0" distB="0" distL="114300" distR="114300" simplePos="0" relativeHeight="251677696" behindDoc="0" locked="0" layoutInCell="0" allowOverlap="1">
                <wp:simplePos x="0" y="0"/>
                <wp:positionH relativeFrom="page">
                  <wp:posOffset>817245</wp:posOffset>
                </wp:positionH>
                <wp:positionV relativeFrom="page">
                  <wp:posOffset>803910</wp:posOffset>
                </wp:positionV>
                <wp:extent cx="5926455" cy="9525"/>
                <wp:effectExtent l="0" t="0" r="0" b="0"/>
                <wp:wrapNone/>
                <wp:docPr id="2" name="任意多边形 2"/>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4.35pt;margin-top:63.3pt;height:0.75pt;width:466.65pt;mso-position-horizontal-relative:page;mso-position-vertical-relative:page;z-index:251677696;mso-width-relative:page;mso-height-relative:page;" fillcolor="#000000" filled="t" stroked="f" coordsize="9332,15" o:allowincell="f" o:gfxdata="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FAUB51QAAAAwBAAAPAAAA&#10;AAAAAAEAIAAAACIAAABkcnMvZG93bnJldi54bWxQSwECFAAUAAAACACHTuJAQfcXDxgCAACcBAAA&#10;DgAAAAAAAAABACAAAAAkAQAAZHJzL2Uyb0RvYy54bWxQSwUGAAAAAAYABgBZAQAArgUAAAAA&#10;" path="m0,0l9332,0,9332,14,0,14,0,0xe">
                <v:fill on="t" focussize="0,0"/>
                <v:stroke on="f"/>
                <v:imagedata o:title=""/>
                <o:lock v:ext="edit" aspectratio="f"/>
              </v:shape>
            </w:pict>
          </mc:Fallback>
        </mc:AlternateContent>
      </w:r>
      <w:r>
        <w:rPr>
          <w:rFonts w:cs="仿宋"/>
          <w:spacing w:val="-2"/>
          <w:szCs w:val="28"/>
        </w:rPr>
        <w:t>性别等条件进行检索查询</w:t>
      </w:r>
      <w:r>
        <w:rPr>
          <w:rFonts w:hint="eastAsia" w:cs="仿宋"/>
          <w:spacing w:val="-4"/>
          <w:szCs w:val="28"/>
        </w:rPr>
        <w:t>。</w:t>
      </w:r>
    </w:p>
    <w:p w14:paraId="784BD028">
      <w:pPr>
        <w:pStyle w:val="6"/>
      </w:pPr>
      <w:r>
        <w:rPr>
          <w:rFonts w:ascii="黑体" w:hAnsi="黑体" w:cs="黑体"/>
          <w:spacing w:val="-2"/>
        </w:rPr>
        <w:t>人员信息</w:t>
      </w:r>
      <w:r>
        <w:rPr>
          <w:rFonts w:hint="eastAsia" w:ascii="黑体" w:hAnsi="黑体" w:cs="黑体"/>
          <w:spacing w:val="-2"/>
        </w:rPr>
        <w:t>导入</w:t>
      </w:r>
    </w:p>
    <w:p w14:paraId="0F7D8FC9">
      <w:pPr>
        <w:spacing w:before="329"/>
        <w:ind w:firstLine="572"/>
        <w:rPr>
          <w:rFonts w:cs="仿宋"/>
          <w:spacing w:val="-1"/>
          <w:szCs w:val="28"/>
        </w:rPr>
      </w:pPr>
      <w:r>
        <w:rPr>
          <w:rFonts w:cs="仿宋"/>
          <w:spacing w:val="3"/>
          <w:szCs w:val="28"/>
        </w:rPr>
        <w:t>提供人员信息导入功能：工作人员需要采集输入工作单位、人员姓名、</w:t>
      </w:r>
      <w:r>
        <w:rPr>
          <w:rFonts w:cs="仿宋"/>
          <w:spacing w:val="-3"/>
          <w:szCs w:val="28"/>
        </w:rPr>
        <w:t>性别、出生日期、执业资格、状态、从事预防接种工作</w:t>
      </w:r>
      <w:r>
        <w:rPr>
          <w:rFonts w:cs="仿宋"/>
          <w:spacing w:val="-4"/>
          <w:szCs w:val="28"/>
        </w:rPr>
        <w:t>开始日期、最高学历、</w:t>
      </w:r>
      <w:r>
        <w:rPr>
          <w:rFonts w:cs="仿宋"/>
          <w:spacing w:val="-1"/>
          <w:szCs w:val="28"/>
        </w:rPr>
        <w:t>职称、工作性质、所学专业、培训情况、岗位角色等</w:t>
      </w:r>
      <w:r>
        <w:rPr>
          <w:rFonts w:hint="eastAsia" w:cs="仿宋"/>
          <w:spacing w:val="-1"/>
          <w:szCs w:val="28"/>
        </w:rPr>
        <w:t>。</w:t>
      </w:r>
    </w:p>
    <w:p w14:paraId="5F01D23B">
      <w:pPr>
        <w:pStyle w:val="6"/>
      </w:pPr>
      <w:r>
        <w:rPr>
          <w:rFonts w:ascii="黑体" w:hAnsi="黑体" w:cs="黑体"/>
          <w:spacing w:val="-2"/>
        </w:rPr>
        <w:t>人员信息</w:t>
      </w:r>
      <w:r>
        <w:rPr>
          <w:rFonts w:hint="eastAsia" w:ascii="黑体" w:hAnsi="黑体" w:cs="黑体"/>
          <w:spacing w:val="-2"/>
        </w:rPr>
        <w:t>导出</w:t>
      </w:r>
    </w:p>
    <w:p w14:paraId="63EB14D2">
      <w:pPr>
        <w:spacing w:before="329"/>
        <w:ind w:firstLine="568"/>
        <w:rPr>
          <w:rFonts w:cs="仿宋"/>
          <w:spacing w:val="-1"/>
          <w:szCs w:val="28"/>
        </w:rPr>
      </w:pPr>
      <w:r>
        <w:rPr>
          <w:rFonts w:cs="仿宋"/>
          <w:spacing w:val="2"/>
          <w:szCs w:val="28"/>
        </w:rPr>
        <w:t>提供人员信息输出功能：可导出基本信息，姓名、性别、出生日期、所</w:t>
      </w:r>
      <w:r>
        <w:rPr>
          <w:rFonts w:cs="仿宋"/>
          <w:spacing w:val="-1"/>
          <w:szCs w:val="28"/>
        </w:rPr>
        <w:t>属机构、身份证号码、职称、工作性质等。</w:t>
      </w:r>
    </w:p>
    <w:p w14:paraId="4C8AB200">
      <w:pPr>
        <w:pStyle w:val="6"/>
        <w:rPr>
          <w:rFonts w:ascii="黑体" w:hAnsi="黑体" w:cs="黑体"/>
          <w:spacing w:val="-2"/>
        </w:rPr>
      </w:pPr>
      <w:r>
        <w:rPr>
          <w:rFonts w:ascii="黑体" w:hAnsi="黑体" w:cs="黑体"/>
          <w:spacing w:val="-2"/>
        </w:rPr>
        <w:t>预防接种结构及人员信息多维度分析</w:t>
      </w:r>
    </w:p>
    <w:p w14:paraId="7FDB918C">
      <w:pPr>
        <w:ind w:firstLine="568"/>
        <w:rPr>
          <w:rFonts w:cs="仿宋"/>
          <w:spacing w:val="-2"/>
          <w:szCs w:val="28"/>
        </w:rPr>
      </w:pPr>
      <w:r>
        <w:rPr>
          <w:rFonts w:cs="仿宋"/>
          <w:spacing w:val="2"/>
          <w:szCs w:val="28"/>
        </w:rPr>
        <w:t>提供机构预防接种机构及人员信息多维度分析统计功能，包括地区、职</w:t>
      </w:r>
      <w:r>
        <w:rPr>
          <w:rFonts w:cs="仿宋"/>
          <w:spacing w:val="-2"/>
          <w:szCs w:val="28"/>
        </w:rPr>
        <w:t>称、学历等维度统计分析。</w:t>
      </w:r>
    </w:p>
    <w:p w14:paraId="256BA91D">
      <w:pPr>
        <w:pStyle w:val="5"/>
        <w:rPr>
          <w:rFonts w:ascii="黑体" w:hAnsi="黑体" w:cs="黑体"/>
          <w:spacing w:val="-2"/>
        </w:rPr>
      </w:pPr>
      <w:r>
        <w:rPr>
          <w:rFonts w:ascii="黑体" w:hAnsi="黑体" w:cs="黑体"/>
          <w:spacing w:val="-2"/>
        </w:rPr>
        <w:t>免规系统与医院HIS系统对接</w:t>
      </w:r>
    </w:p>
    <w:p w14:paraId="2E437DC0">
      <w:pPr>
        <w:ind w:firstLine="540"/>
        <w:rPr>
          <w:rFonts w:cs="仿宋"/>
          <w:spacing w:val="-9"/>
          <w:szCs w:val="28"/>
        </w:rPr>
      </w:pPr>
      <w:r>
        <w:rPr>
          <w:rFonts w:cs="仿宋"/>
          <w:spacing w:val="-5"/>
          <w:szCs w:val="28"/>
        </w:rPr>
        <w:t>青海省免疫规划信息管理系统需要对接医疗机构产科HIS系统（客户端</w:t>
      </w:r>
      <w:r>
        <w:rPr>
          <w:rFonts w:cs="仿宋"/>
          <w:spacing w:val="-71"/>
          <w:w w:val="91"/>
          <w:szCs w:val="28"/>
        </w:rPr>
        <w:t>），</w:t>
      </w:r>
      <w:r>
        <w:rPr>
          <w:rFonts w:cs="仿宋"/>
          <w:spacing w:val="4"/>
          <w:szCs w:val="28"/>
        </w:rPr>
        <w:t>以便抓取母亲病案信息获得母亲和新生儿的个案信息（从</w:t>
      </w:r>
      <w:r>
        <w:rPr>
          <w:rFonts w:cs="仿宋"/>
          <w:szCs w:val="28"/>
        </w:rPr>
        <w:t>HIS</w:t>
      </w:r>
      <w:r>
        <w:rPr>
          <w:rFonts w:cs="仿宋"/>
          <w:spacing w:val="4"/>
          <w:szCs w:val="28"/>
        </w:rPr>
        <w:t>平台获取个案</w:t>
      </w:r>
      <w:r>
        <w:rPr>
          <w:rFonts w:cs="仿宋"/>
          <w:spacing w:val="1"/>
          <w:szCs w:val="28"/>
        </w:rPr>
        <w:t>信息后直接下载建档</w:t>
      </w:r>
      <w:r>
        <w:rPr>
          <w:rFonts w:cs="仿宋"/>
          <w:spacing w:val="21"/>
          <w:szCs w:val="28"/>
        </w:rPr>
        <w:t>），</w:t>
      </w:r>
      <w:r>
        <w:rPr>
          <w:rFonts w:cs="仿宋"/>
          <w:spacing w:val="1"/>
          <w:szCs w:val="28"/>
        </w:rPr>
        <w:t>并将新生儿个案数据上传至省免疫规划信息管理系</w:t>
      </w:r>
      <w:r>
        <w:rPr>
          <w:rFonts w:cs="仿宋"/>
          <w:spacing w:val="-9"/>
          <w:szCs w:val="28"/>
        </w:rPr>
        <w:t>统。</w:t>
      </w:r>
    </w:p>
    <w:p w14:paraId="6E3BFBC6">
      <w:pPr>
        <w:pStyle w:val="5"/>
        <w:rPr>
          <w:rFonts w:ascii="黑体" w:hAnsi="黑体" w:cs="黑体"/>
          <w:spacing w:val="-2"/>
        </w:rPr>
      </w:pPr>
      <w:r>
        <w:rPr>
          <w:rFonts w:ascii="黑体" w:hAnsi="黑体" w:cs="黑体"/>
          <w:spacing w:val="-2"/>
        </w:rPr>
        <w:t>免规系统编码维护</w:t>
      </w:r>
    </w:p>
    <w:p w14:paraId="0E36D0A5">
      <w:pPr>
        <w:spacing w:before="328" w:line="349" w:lineRule="auto"/>
        <w:ind w:left="33" w:right="93" w:firstLine="568"/>
        <w:rPr>
          <w:rFonts w:cs="仿宋"/>
          <w:szCs w:val="28"/>
        </w:rPr>
      </w:pPr>
      <w:r>
        <w:rPr>
          <w:rFonts w:cs="仿宋"/>
          <w:spacing w:val="2"/>
          <w:szCs w:val="28"/>
        </w:rPr>
        <w:t>保证省级免规系统与国家标准编码维护系统的一致性省级免疫规划信息管理系统与国家标准编码维护系统的对接。方便数据</w:t>
      </w:r>
      <w:r>
        <w:rPr>
          <w:rFonts w:cs="仿宋"/>
          <w:spacing w:val="1"/>
          <w:szCs w:val="28"/>
        </w:rPr>
        <w:t>上传，保证省级平台与</w:t>
      </w:r>
      <w:r>
        <w:rPr>
          <w:rFonts w:cs="仿宋"/>
          <w:spacing w:val="-4"/>
          <w:szCs w:val="28"/>
        </w:rPr>
        <w:t>国家平台数据的一致性。</w:t>
      </w:r>
    </w:p>
    <w:p w14:paraId="67EF0B34">
      <w:pPr>
        <w:spacing w:before="44" w:line="349" w:lineRule="auto"/>
        <w:ind w:left="19" w:right="93" w:firstLine="568"/>
        <w:rPr>
          <w:rFonts w:cs="仿宋"/>
          <w:spacing w:val="-2"/>
          <w:szCs w:val="28"/>
        </w:rPr>
      </w:pPr>
      <w:r>
        <w:rPr>
          <w:rFonts w:cs="仿宋"/>
          <w:spacing w:val="2"/>
          <w:szCs w:val="28"/>
        </w:rPr>
        <w:t>全省开启的预防接种单位在两个平台必须一一对应，实现接种单位名称</w:t>
      </w:r>
      <w:r>
        <w:rPr>
          <w:rFonts w:cs="仿宋"/>
          <w:spacing w:val="-4"/>
          <w:szCs w:val="28"/>
        </w:rPr>
        <w:t>一致、接种单位编码匹配。目前国家标准编码维护系统升级后采用</w:t>
      </w:r>
      <w:r>
        <w:rPr>
          <w:rFonts w:ascii="Times New Roman" w:hAnsi="Times New Roman" w:eastAsia="Times New Roman" w:cs="Times New Roman"/>
          <w:spacing w:val="-4"/>
          <w:szCs w:val="28"/>
        </w:rPr>
        <w:t>12</w:t>
      </w:r>
      <w:r>
        <w:rPr>
          <w:rFonts w:cs="仿宋"/>
          <w:spacing w:val="-4"/>
          <w:szCs w:val="28"/>
        </w:rPr>
        <w:t>位的单位编码，省级平台仍使用之前的</w:t>
      </w:r>
      <w:r>
        <w:rPr>
          <w:rFonts w:ascii="Times New Roman" w:hAnsi="Times New Roman" w:eastAsia="Times New Roman" w:cs="Times New Roman"/>
          <w:spacing w:val="-4"/>
          <w:szCs w:val="28"/>
        </w:rPr>
        <w:t>10</w:t>
      </w:r>
      <w:r>
        <w:rPr>
          <w:rFonts w:cs="仿宋"/>
          <w:spacing w:val="-4"/>
          <w:szCs w:val="28"/>
        </w:rPr>
        <w:t>位单位编码，需更改省级平台编码规则，</w:t>
      </w:r>
      <w:r>
        <mc:AlternateContent>
          <mc:Choice Requires="wps">
            <w:drawing>
              <wp:anchor distT="0" distB="0" distL="114300" distR="114300" simplePos="0" relativeHeight="251660288" behindDoc="0" locked="0" layoutInCell="0" allowOverlap="1">
                <wp:simplePos x="0" y="0"/>
                <wp:positionH relativeFrom="page">
                  <wp:posOffset>817245</wp:posOffset>
                </wp:positionH>
                <wp:positionV relativeFrom="page">
                  <wp:posOffset>803910</wp:posOffset>
                </wp:positionV>
                <wp:extent cx="5926455" cy="9525"/>
                <wp:effectExtent l="0" t="0" r="0" b="0"/>
                <wp:wrapNone/>
                <wp:docPr id="6" name="任意多边形 6"/>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4.35pt;margin-top:63.3pt;height:0.75pt;width:466.65pt;mso-position-horizontal-relative:page;mso-position-vertical-relative:page;z-index:251660288;mso-width-relative:page;mso-height-relative:page;" fillcolor="#000000" filled="t" stroked="f" coordsize="9332,15" o:allowincell="f" o:gfxdata="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xQFAedUAAAAMAQAADwAA&#10;AAAAAAABACAAAAAiAAAAZHJzL2Rvd25yZXYueG1sUEsBAhQAFAAAAAgAh07iQCBaQSsZAgAAnAQA&#10;AA4AAAAAAAAAAQAgAAAAJAEAAGRycy9lMm9Eb2MueG1sUEsFBgAAAAAGAAYAWQEAAK8FAAAAAA==&#10;" path="m0,0l9332,0,9332,14,0,14,0,0xe">
                <v:fill on="t" focussize="0,0"/>
                <v:stroke on="f"/>
                <v:imagedata o:title=""/>
                <o:lock v:ext="edit" aspectratio="f"/>
              </v:shape>
            </w:pict>
          </mc:Fallback>
        </mc:AlternateContent>
      </w:r>
      <w:r>
        <w:rPr>
          <w:rFonts w:cs="仿宋"/>
          <w:spacing w:val="2"/>
          <w:szCs w:val="28"/>
        </w:rPr>
        <w:t>与国家标准编码维护系统保持一致。此外省免疫规划信息管理系统</w:t>
      </w:r>
      <w:r>
        <w:rPr>
          <w:rFonts w:cs="仿宋"/>
          <w:spacing w:val="1"/>
          <w:szCs w:val="28"/>
        </w:rPr>
        <w:t>根据数据</w:t>
      </w:r>
      <w:r>
        <w:rPr>
          <w:rFonts w:cs="仿宋"/>
          <w:spacing w:val="2"/>
          <w:szCs w:val="28"/>
        </w:rPr>
        <w:t>交换平台上的接口交换文档进行调试，调取国家标准编码维护系统内已维护的单位信息，如医疗机构执业许可证编码、单位法人信息、地址、坐标等，</w:t>
      </w:r>
      <w:r>
        <w:rPr>
          <w:rFonts w:cs="仿宋"/>
          <w:spacing w:val="-2"/>
          <w:szCs w:val="28"/>
        </w:rPr>
        <w:t>以保证省免规系统内预防接种单位信息的完成性</w:t>
      </w:r>
      <w:r>
        <w:rPr>
          <w:rFonts w:hint="eastAsia" w:cs="仿宋"/>
          <w:spacing w:val="-2"/>
          <w:szCs w:val="28"/>
        </w:rPr>
        <w:t>。</w:t>
      </w:r>
    </w:p>
    <w:p w14:paraId="588DABBF">
      <w:pPr>
        <w:pStyle w:val="5"/>
        <w:rPr>
          <w:rFonts w:ascii="黑体" w:hAnsi="黑体" w:cs="黑体"/>
          <w:spacing w:val="-2"/>
        </w:rPr>
      </w:pPr>
      <w:r>
        <w:rPr>
          <w:rFonts w:ascii="黑体" w:hAnsi="黑体" w:cs="黑体"/>
          <w:spacing w:val="-2"/>
        </w:rPr>
        <w:t>入托入学查验</w:t>
      </w:r>
    </w:p>
    <w:p w14:paraId="4E02A0C4">
      <w:pPr>
        <w:ind w:firstLine="564"/>
        <w:rPr>
          <w:rFonts w:cs="仿宋"/>
          <w:spacing w:val="-1"/>
          <w:szCs w:val="28"/>
        </w:rPr>
      </w:pPr>
      <w:r>
        <w:rPr>
          <w:rFonts w:cs="仿宋"/>
          <w:spacing w:val="1"/>
          <w:szCs w:val="28"/>
        </w:rPr>
        <w:t>目前省级免疫规划信息管理系统可完成入托、入学</w:t>
      </w:r>
      <w:r>
        <w:rPr>
          <w:rFonts w:cs="仿宋"/>
          <w:szCs w:val="28"/>
        </w:rPr>
        <w:t>接种查验单生成、打</w:t>
      </w:r>
      <w:r>
        <w:rPr>
          <w:rFonts w:cs="仿宋"/>
          <w:spacing w:val="3"/>
          <w:szCs w:val="28"/>
        </w:rPr>
        <w:t>印功能。在省级免疫规划信息管理系统加入批量导出功能，方便教育部门、</w:t>
      </w:r>
      <w:r>
        <w:rPr>
          <w:rFonts w:cs="仿宋"/>
          <w:spacing w:val="-6"/>
          <w:szCs w:val="28"/>
        </w:rPr>
        <w:t>疾控部门在入托、入学接种查验工作中对儿童免疫史的核查。系统预留接口，</w:t>
      </w:r>
      <w:r>
        <w:rPr>
          <w:rFonts w:cs="仿宋"/>
          <w:spacing w:val="-1"/>
          <w:szCs w:val="28"/>
        </w:rPr>
        <w:t>支持后续对接青海省教育平台（学籍系统）的相关业务数据。</w:t>
      </w:r>
    </w:p>
    <w:p w14:paraId="55DE6BFF">
      <w:pPr>
        <w:pStyle w:val="5"/>
        <w:rPr>
          <w:rFonts w:ascii="黑体" w:hAnsi="黑体" w:cs="黑体"/>
          <w:spacing w:val="-2"/>
        </w:rPr>
      </w:pPr>
      <w:r>
        <w:rPr>
          <w:rFonts w:ascii="黑体" w:hAnsi="黑体" w:cs="黑体"/>
          <w:spacing w:val="-2"/>
        </w:rPr>
        <w:t>预防接种信息档案管理</w:t>
      </w:r>
    </w:p>
    <w:p w14:paraId="50E20BF3">
      <w:pPr>
        <w:pStyle w:val="6"/>
        <w:rPr>
          <w:rFonts w:ascii="黑体" w:hAnsi="黑体" w:cs="黑体"/>
          <w:spacing w:val="-2"/>
        </w:rPr>
      </w:pPr>
      <w:r>
        <w:rPr>
          <w:rFonts w:ascii="黑体" w:hAnsi="黑体" w:cs="黑体"/>
          <w:spacing w:val="-2"/>
        </w:rPr>
        <w:t>异地受种者接种</w:t>
      </w:r>
    </w:p>
    <w:p w14:paraId="0AF13BDA">
      <w:pPr>
        <w:spacing w:before="328" w:line="343" w:lineRule="auto"/>
        <w:ind w:left="20" w:right="139" w:firstLine="552"/>
        <w:rPr>
          <w:rFonts w:cs="仿宋"/>
          <w:szCs w:val="28"/>
        </w:rPr>
      </w:pPr>
      <w:r>
        <w:rPr>
          <w:rFonts w:cs="仿宋"/>
          <w:spacing w:val="-2"/>
          <w:szCs w:val="28"/>
        </w:rPr>
        <w:t>系统后续对接国家预防接种接口，实现异地受种者跨省</w:t>
      </w:r>
      <w:r>
        <w:rPr>
          <w:rFonts w:cs="仿宋"/>
          <w:spacing w:val="-3"/>
          <w:szCs w:val="28"/>
        </w:rPr>
        <w:t>个案信息查询，</w:t>
      </w:r>
      <w:r>
        <w:rPr>
          <w:rFonts w:cs="仿宋"/>
          <w:spacing w:val="-1"/>
          <w:szCs w:val="28"/>
        </w:rPr>
        <w:t>在本省进行疫苗接种时，可以直接进行疫苗接种登记。</w:t>
      </w:r>
    </w:p>
    <w:p w14:paraId="6391D41D">
      <w:pPr>
        <w:pStyle w:val="6"/>
        <w:rPr>
          <w:rFonts w:ascii="黑体" w:hAnsi="黑体" w:cs="黑体"/>
          <w:spacing w:val="-2"/>
        </w:rPr>
      </w:pPr>
      <w:r>
        <w:rPr>
          <w:rFonts w:ascii="黑体" w:hAnsi="黑体" w:cs="黑体"/>
          <w:spacing w:val="-2"/>
        </w:rPr>
        <w:t>异常个案查询</w:t>
      </w:r>
    </w:p>
    <w:p w14:paraId="6C834608">
      <w:pPr>
        <w:spacing w:before="328" w:line="344" w:lineRule="auto"/>
        <w:ind w:left="17" w:right="80" w:firstLine="568"/>
        <w:rPr>
          <w:rFonts w:cs="仿宋"/>
          <w:szCs w:val="28"/>
        </w:rPr>
      </w:pPr>
      <w:r>
        <w:rPr>
          <w:rFonts w:cs="仿宋"/>
          <w:spacing w:val="2"/>
          <w:szCs w:val="28"/>
        </w:rPr>
        <w:t>系统支持针对异常的个案信息进行筛选和列表展示，个案信息主要包含</w:t>
      </w:r>
      <w:r>
        <w:rPr>
          <w:rFonts w:cs="仿宋"/>
          <w:spacing w:val="-1"/>
          <w:szCs w:val="28"/>
        </w:rPr>
        <w:t>姓名为空、姓名有特殊符号、空卡等相关的接种个案信息。</w:t>
      </w:r>
    </w:p>
    <w:p w14:paraId="03229786">
      <w:pPr>
        <w:pStyle w:val="6"/>
        <w:rPr>
          <w:rFonts w:ascii="黑体" w:hAnsi="黑体" w:cs="黑体"/>
          <w:spacing w:val="-2"/>
        </w:rPr>
      </w:pPr>
      <w:r>
        <w:rPr>
          <w:rFonts w:ascii="黑体" w:hAnsi="黑体" w:cs="黑体"/>
          <w:spacing w:val="-2"/>
        </w:rPr>
        <w:t>从模板导入受种者信息</w:t>
      </w:r>
    </w:p>
    <w:p w14:paraId="611B9178">
      <w:pPr>
        <w:spacing w:before="326" w:line="343" w:lineRule="auto"/>
        <w:ind w:left="17" w:right="80" w:firstLine="568"/>
        <w:rPr>
          <w:rFonts w:cs="仿宋"/>
          <w:szCs w:val="28"/>
        </w:rPr>
      </w:pPr>
      <w:r>
        <w:rPr>
          <w:rFonts w:cs="仿宋"/>
          <w:spacing w:val="2"/>
          <w:szCs w:val="28"/>
        </w:rPr>
        <w:t>系统新增通过模板批量导入受种者信息的功能，通过标准的模板进行新</w:t>
      </w:r>
      <w:r>
        <w:rPr>
          <w:rFonts w:cs="仿宋"/>
          <w:spacing w:val="-1"/>
          <w:szCs w:val="28"/>
        </w:rPr>
        <w:t>增受种者的基本信息登记，导入之后直接可以进行信息的录入保存。</w:t>
      </w:r>
    </w:p>
    <w:p w14:paraId="79A8A5B9">
      <w:pPr>
        <w:pStyle w:val="6"/>
        <w:rPr>
          <w:rFonts w:ascii="黑体" w:hAnsi="黑体" w:cs="黑体"/>
          <w:spacing w:val="-2"/>
        </w:rPr>
      </w:pPr>
      <w:r>
        <w:rPr>
          <w:rFonts w:ascii="黑体" w:hAnsi="黑体" w:cs="黑体"/>
          <w:spacing w:val="-2"/>
        </w:rPr>
        <w:t>从模板导入受种者身份证号</w:t>
      </w:r>
    </w:p>
    <w:p w14:paraId="55EAA816">
      <w:pPr>
        <w:spacing w:before="326" w:line="349" w:lineRule="auto"/>
        <w:ind w:left="17" w:right="80" w:firstLine="568"/>
        <w:rPr>
          <w:rFonts w:cs="仿宋"/>
          <w:szCs w:val="28"/>
        </w:rPr>
      </w:pPr>
      <w:r>
        <w:rPr>
          <w:rFonts w:cs="仿宋"/>
          <w:spacing w:val="2"/>
          <w:szCs w:val="28"/>
        </w:rPr>
        <w:t>系统新增通过模板导入的方式批量修改或新增疫苗接种个案的身份证号信息，通过标准的模板进行个案修改身份证号信息的内容填写，导入之后直</w:t>
      </w:r>
      <w:r>
        <w:rPr>
          <w:rFonts w:cs="仿宋"/>
          <w:spacing w:val="-1"/>
          <w:szCs w:val="28"/>
        </w:rPr>
        <w:t>接可以进行身份证号信息的修改和新增。</w:t>
      </w:r>
    </w:p>
    <w:p w14:paraId="263F33D4">
      <w:pPr>
        <w:pStyle w:val="6"/>
        <w:rPr>
          <w:rFonts w:ascii="黑体" w:hAnsi="黑体" w:cs="黑体"/>
          <w:spacing w:val="-2"/>
        </w:rPr>
      </w:pPr>
      <w:r>
        <w:rPr>
          <w:rFonts w:ascii="黑体" w:hAnsi="黑体" w:cs="黑体"/>
          <w:spacing w:val="-2"/>
        </w:rPr>
        <mc:AlternateContent>
          <mc:Choice Requires="wps">
            <w:drawing>
              <wp:anchor distT="0" distB="0" distL="114300" distR="114300" simplePos="0" relativeHeight="251661312" behindDoc="0" locked="0" layoutInCell="0" allowOverlap="1">
                <wp:simplePos x="0" y="0"/>
                <wp:positionH relativeFrom="page">
                  <wp:posOffset>817245</wp:posOffset>
                </wp:positionH>
                <wp:positionV relativeFrom="page">
                  <wp:posOffset>803910</wp:posOffset>
                </wp:positionV>
                <wp:extent cx="5926455" cy="9525"/>
                <wp:effectExtent l="0" t="0" r="0" b="0"/>
                <wp:wrapNone/>
                <wp:docPr id="7" name="任意多边形 7"/>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4.35pt;margin-top:63.3pt;height:0.75pt;width:466.65pt;mso-position-horizontal-relative:page;mso-position-vertical-relative:page;z-index:251661312;mso-width-relative:page;mso-height-relative:page;" fillcolor="#000000" filled="t" stroked="f" coordsize="9332,15" o:allowincell="f" o:gfxdata="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MUBQHnVAAAADAEAAA8A&#10;AAAAAAAAAQAgAAAAIgAAAGRycy9kb3ducmV2LnhtbFBLAQIUABQAAAAIAIdO4kDosIhUGgIAAJwE&#10;AAAOAAAAAAAAAAEAIAAAACQBAABkcnMvZTJvRG9jLnhtbFBLBQYAAAAABgAGAFkBAACwBQAAAAA=&#10;" path="m0,0l9332,0,9332,14,0,14,0,0xe">
                <v:fill on="t" focussize="0,0"/>
                <v:stroke on="f"/>
                <v:imagedata o:title=""/>
                <o:lock v:ext="edit" aspectratio="f"/>
              </v:shape>
            </w:pict>
          </mc:Fallback>
        </mc:AlternateContent>
      </w:r>
      <w:r>
        <w:rPr>
          <w:rFonts w:ascii="黑体" w:hAnsi="黑体" w:cs="黑体"/>
          <w:spacing w:val="-2"/>
        </w:rPr>
        <w:t>批量导入补充免疫记录</w:t>
      </w:r>
    </w:p>
    <w:p w14:paraId="61B40BB4">
      <w:pPr>
        <w:spacing w:before="326" w:line="344" w:lineRule="auto"/>
        <w:ind w:left="19" w:right="80" w:firstLine="568"/>
        <w:rPr>
          <w:rFonts w:cs="仿宋"/>
          <w:szCs w:val="28"/>
        </w:rPr>
      </w:pPr>
      <w:r>
        <w:rPr>
          <w:rFonts w:cs="仿宋"/>
          <w:spacing w:val="2"/>
          <w:szCs w:val="28"/>
        </w:rPr>
        <w:t>批量导入补充免疫记录：针对历史接种记录，可以通过批量导入补录免</w:t>
      </w:r>
      <w:r>
        <w:rPr>
          <w:rFonts w:cs="仿宋"/>
          <w:spacing w:val="-2"/>
          <w:szCs w:val="28"/>
        </w:rPr>
        <w:t>疫记录模板，进行接种记录批量补录。</w:t>
      </w:r>
    </w:p>
    <w:p w14:paraId="5331E15D">
      <w:pPr>
        <w:pStyle w:val="6"/>
        <w:rPr>
          <w:rFonts w:ascii="黑体" w:hAnsi="黑体" w:cs="黑体"/>
          <w:spacing w:val="-2"/>
        </w:rPr>
      </w:pPr>
      <w:r>
        <w:rPr>
          <w:rFonts w:ascii="黑体" w:hAnsi="黑体" w:cs="黑体"/>
          <w:spacing w:val="-2"/>
        </w:rPr>
        <w:t>查漏补种情况登记表</w:t>
      </w:r>
    </w:p>
    <w:p w14:paraId="3B9F98FB">
      <w:pPr>
        <w:spacing w:before="327" w:line="344" w:lineRule="auto"/>
        <w:ind w:left="20" w:firstLine="544"/>
        <w:rPr>
          <w:rFonts w:cs="仿宋"/>
          <w:szCs w:val="28"/>
        </w:rPr>
      </w:pPr>
      <w:r>
        <w:rPr>
          <w:rFonts w:cs="仿宋"/>
          <w:spacing w:val="-4"/>
          <w:szCs w:val="28"/>
        </w:rPr>
        <w:t>查漏补种情况登记表：系统根据查漏补种情况自动生成登记信息一览</w:t>
      </w:r>
      <w:r>
        <w:rPr>
          <w:rFonts w:cs="仿宋"/>
          <w:spacing w:val="-5"/>
          <w:szCs w:val="28"/>
        </w:rPr>
        <w:t>表，</w:t>
      </w:r>
      <w:r>
        <w:rPr>
          <w:rFonts w:cs="仿宋"/>
          <w:spacing w:val="-2"/>
          <w:szCs w:val="28"/>
        </w:rPr>
        <w:t>上级疾控可进行查看。</w:t>
      </w:r>
    </w:p>
    <w:p w14:paraId="74BCBA1C">
      <w:pPr>
        <w:pStyle w:val="6"/>
        <w:rPr>
          <w:rFonts w:ascii="黑体" w:hAnsi="黑体" w:cs="黑体"/>
          <w:spacing w:val="-2"/>
        </w:rPr>
      </w:pPr>
      <w:r>
        <w:rPr>
          <w:rFonts w:ascii="黑体" w:hAnsi="黑体" w:cs="黑体"/>
          <w:spacing w:val="-2"/>
        </w:rPr>
        <w:t>单支多剂次疫苗设置</w:t>
      </w:r>
    </w:p>
    <w:p w14:paraId="073CB7B7">
      <w:pPr>
        <w:spacing w:before="328" w:line="344" w:lineRule="auto"/>
        <w:ind w:left="19" w:right="80" w:firstLine="544"/>
        <w:rPr>
          <w:rFonts w:cs="仿宋"/>
          <w:szCs w:val="28"/>
        </w:rPr>
      </w:pPr>
      <w:r>
        <w:rPr>
          <w:rFonts w:cs="仿宋"/>
          <w:spacing w:val="-4"/>
          <w:szCs w:val="28"/>
        </w:rPr>
        <w:t>单支多剂次疫苗开启/废弃管理：对于“单支多剂次”疫苗，提供多剂次</w:t>
      </w:r>
      <w:r>
        <w:rPr>
          <w:rFonts w:cs="仿宋"/>
          <w:spacing w:val="-2"/>
          <w:szCs w:val="28"/>
        </w:rPr>
        <w:t>疫苗首次扫码的提示功能。</w:t>
      </w:r>
    </w:p>
    <w:p w14:paraId="3F609E8E">
      <w:pPr>
        <w:spacing w:before="47" w:line="348" w:lineRule="auto"/>
        <w:ind w:left="17" w:right="80" w:firstLine="564"/>
        <w:rPr>
          <w:rFonts w:cs="仿宋"/>
          <w:szCs w:val="28"/>
        </w:rPr>
      </w:pPr>
      <w:r>
        <w:rPr>
          <w:rFonts w:cs="仿宋"/>
          <w:spacing w:val="1"/>
          <w:szCs w:val="28"/>
        </w:rPr>
        <w:t>单支多剂次疫苗开启后时效控制：对于“单支多剂次”疫苗，</w:t>
      </w:r>
      <w:r>
        <w:rPr>
          <w:rFonts w:cs="仿宋"/>
          <w:szCs w:val="28"/>
        </w:rPr>
        <w:t>扫描疫苗包装后开启多剂次时效计时，当到达时效限制时间后，自动对该疫苗的剩余</w:t>
      </w:r>
      <w:r>
        <w:rPr>
          <w:rFonts w:cs="仿宋"/>
          <w:spacing w:val="-1"/>
          <w:szCs w:val="28"/>
        </w:rPr>
        <w:t>剂次作废弃处理，不能再进行接种录入保存。</w:t>
      </w:r>
    </w:p>
    <w:p w14:paraId="78AF7477">
      <w:pPr>
        <w:pStyle w:val="6"/>
        <w:rPr>
          <w:rFonts w:ascii="黑体" w:hAnsi="黑体" w:cs="黑体"/>
          <w:spacing w:val="-2"/>
        </w:rPr>
      </w:pPr>
      <w:r>
        <w:rPr>
          <w:rFonts w:ascii="黑体" w:hAnsi="黑体" w:cs="黑体"/>
          <w:spacing w:val="-2"/>
        </w:rPr>
        <w:t>系统档案信息与预防接种证进行关联</w:t>
      </w:r>
    </w:p>
    <w:p w14:paraId="7E13F2FC">
      <w:pPr>
        <w:spacing w:before="328" w:line="349" w:lineRule="auto"/>
        <w:ind w:left="17" w:right="80" w:firstLine="568"/>
        <w:rPr>
          <w:rFonts w:cs="仿宋"/>
          <w:szCs w:val="28"/>
        </w:rPr>
      </w:pPr>
      <w:r>
        <w:rPr>
          <w:rFonts w:cs="仿宋"/>
          <w:spacing w:val="2"/>
          <w:szCs w:val="28"/>
        </w:rPr>
        <w:t>预防接种证与青海省免疫规划信息管理系统中的预防接种电子档案进行关联，以便预防接种单位及疾控机构查询预防接种电子档案信息在预防接种</w:t>
      </w:r>
      <w:r>
        <w:rPr>
          <w:rFonts w:cs="仿宋"/>
          <w:spacing w:val="-1"/>
          <w:szCs w:val="28"/>
        </w:rPr>
        <w:t>证上的规范打印情况，核查卡证一致性。</w:t>
      </w:r>
    </w:p>
    <w:p w14:paraId="5E5DB431">
      <w:pPr>
        <w:pStyle w:val="6"/>
        <w:rPr>
          <w:rFonts w:ascii="黑体" w:hAnsi="黑体" w:cs="黑体"/>
          <w:spacing w:val="-2"/>
        </w:rPr>
      </w:pPr>
      <w:r>
        <w:rPr>
          <w:rFonts w:ascii="黑体" w:hAnsi="黑体" w:cs="黑体"/>
          <w:spacing w:val="-2"/>
        </w:rPr>
        <w:t>基本资料信息完整性统计</w:t>
      </w:r>
    </w:p>
    <w:p w14:paraId="4BD6A560">
      <w:pPr>
        <w:spacing w:before="327" w:line="351" w:lineRule="auto"/>
        <w:ind w:left="17" w:right="80" w:firstLine="568"/>
        <w:rPr>
          <w:rFonts w:cs="仿宋"/>
          <w:szCs w:val="28"/>
        </w:rPr>
      </w:pPr>
      <w:r>
        <w:rPr>
          <w:rFonts w:cs="仿宋"/>
          <w:spacing w:val="2"/>
          <w:szCs w:val="28"/>
        </w:rPr>
        <w:t>提供预防接种档案基本资料信息完整性统计，对疫苗接种者档案中基本</w:t>
      </w:r>
      <w:r>
        <w:rPr>
          <w:rFonts w:cs="仿宋"/>
          <w:spacing w:val="5"/>
          <w:szCs w:val="28"/>
        </w:rPr>
        <w:t xml:space="preserve"> </w:t>
      </w:r>
      <w:r>
        <w:rPr>
          <w:rFonts w:cs="仿宋"/>
          <w:spacing w:val="2"/>
          <w:szCs w:val="28"/>
        </w:rPr>
        <w:t>信息的完整性进行收集、整理和分析，通常包括接种者的姓名、性别、出生日期、联系方式、家庭住址、出生医院、出生证明号及父母亲信息等，对每</w:t>
      </w:r>
      <w:r>
        <w:rPr>
          <w:rFonts w:cs="仿宋"/>
          <w:spacing w:val="-1"/>
          <w:szCs w:val="28"/>
        </w:rPr>
        <w:t>份档案进行详细的信息完整性检查，标记出缺失或不一致的信息。</w:t>
      </w:r>
    </w:p>
    <w:p w14:paraId="04932B18">
      <w:pPr>
        <w:spacing w:before="50" w:line="344" w:lineRule="auto"/>
        <w:ind w:left="23" w:right="80" w:firstLine="568"/>
        <w:rPr>
          <w:rFonts w:cs="仿宋"/>
          <w:szCs w:val="28"/>
        </w:rPr>
      </w:pPr>
      <w:r>
        <w:rPr>
          <w:rFonts w:cs="仿宋"/>
          <w:spacing w:val="2"/>
          <w:szCs w:val="28"/>
        </w:rPr>
        <w:t>基本资料信息完整性统计：分地区、分年度等个案基本资料信息完整性</w:t>
      </w:r>
      <w:r>
        <w:rPr>
          <w:rFonts w:cs="仿宋"/>
          <w:spacing w:val="-8"/>
          <w:szCs w:val="28"/>
        </w:rPr>
        <w:t>统计。</w:t>
      </w:r>
    </w:p>
    <w:p w14:paraId="1CE8FBAE">
      <w:pPr>
        <w:spacing w:line="344" w:lineRule="auto"/>
        <w:ind w:firstLine="560"/>
        <w:rPr>
          <w:rFonts w:cs="仿宋"/>
          <w:szCs w:val="28"/>
        </w:rPr>
      </w:pPr>
    </w:p>
    <w:p w14:paraId="310C1263">
      <w:pPr>
        <w:pStyle w:val="6"/>
        <w:rPr>
          <w:rFonts w:ascii="黑体" w:hAnsi="黑体" w:cs="黑体"/>
          <w:spacing w:val="-2"/>
        </w:rPr>
      </w:pPr>
      <w:r>
        <w:rPr>
          <w:rFonts w:ascii="黑体" w:hAnsi="黑体" w:cs="黑体"/>
          <w:spacing w:val="-2"/>
        </w:rPr>
        <mc:AlternateContent>
          <mc:Choice Requires="wps">
            <w:drawing>
              <wp:anchor distT="0" distB="0" distL="114300" distR="114300" simplePos="0" relativeHeight="251662336" behindDoc="0" locked="0" layoutInCell="0" allowOverlap="1">
                <wp:simplePos x="0" y="0"/>
                <wp:positionH relativeFrom="page">
                  <wp:posOffset>817245</wp:posOffset>
                </wp:positionH>
                <wp:positionV relativeFrom="page">
                  <wp:posOffset>803910</wp:posOffset>
                </wp:positionV>
                <wp:extent cx="5926455" cy="9525"/>
                <wp:effectExtent l="0" t="0" r="0" b="0"/>
                <wp:wrapNone/>
                <wp:docPr id="9" name="任意多边形 9"/>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4.35pt;margin-top:63.3pt;height:0.75pt;width:466.65pt;mso-position-horizontal-relative:page;mso-position-vertical-relative:page;z-index:251662336;mso-width-relative:page;mso-height-relative:page;" fillcolor="#000000" filled="t" stroked="f" coordsize="9332,15" o:allowincell="f" o:gfxdata="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xQFAedUAAAAMAQAADwAA&#10;AAAAAAABACAAAAAiAAAAZHJzL2Rvd25yZXYueG1sUEsBAhQAFAAAAAgAh07iQNuS4McZAgAAnAQA&#10;AA4AAAAAAAAAAQAgAAAAJAEAAGRycy9lMm9Eb2MueG1sUEsFBgAAAAAGAAYAWQEAAK8FAAAAAA==&#10;" path="m0,0l9332,0,9332,14,0,14,0,0xe">
                <v:fill on="t" focussize="0,0"/>
                <v:stroke on="f"/>
                <v:imagedata o:title=""/>
                <o:lock v:ext="edit" aspectratio="f"/>
              </v:shape>
            </w:pict>
          </mc:Fallback>
        </mc:AlternateContent>
      </w:r>
      <w:r>
        <w:rPr>
          <w:rFonts w:ascii="黑体" w:hAnsi="黑体" w:cs="黑体"/>
          <w:spacing w:val="-2"/>
        </w:rPr>
        <w:t>接种记录信息完整性统计</w:t>
      </w:r>
    </w:p>
    <w:p w14:paraId="372A2114">
      <w:pPr>
        <w:spacing w:before="331" w:line="351" w:lineRule="auto"/>
        <w:ind w:left="17" w:firstLine="568"/>
        <w:rPr>
          <w:rFonts w:cs="仿宋"/>
          <w:szCs w:val="28"/>
        </w:rPr>
      </w:pPr>
      <w:r>
        <w:rPr>
          <w:rFonts w:cs="仿宋"/>
          <w:spacing w:val="2"/>
          <w:szCs w:val="28"/>
        </w:rPr>
        <w:t>提供接种记录信息完整性统计，对接种疫苗的个体或群体的疫苗接种记录的信息完整性进行收集、整理和分析，检查每条接种记录的关键信息是否完整，如接种者的姓名、身份证号、接种日期、疫苗名称、疫苗批号、接种</w:t>
      </w:r>
      <w:r>
        <w:rPr>
          <w:rFonts w:cs="仿宋"/>
          <w:spacing w:val="-1"/>
          <w:szCs w:val="28"/>
        </w:rPr>
        <w:t>剂次、接种部位、接种途径、疫苗追溯码等。</w:t>
      </w:r>
    </w:p>
    <w:p w14:paraId="6643D02F">
      <w:pPr>
        <w:spacing w:before="48" w:line="344" w:lineRule="auto"/>
        <w:ind w:left="17" w:firstLine="568"/>
        <w:rPr>
          <w:rFonts w:cs="仿宋"/>
          <w:spacing w:val="-9"/>
          <w:szCs w:val="28"/>
        </w:rPr>
      </w:pPr>
      <w:r>
        <w:rPr>
          <w:rFonts w:cs="仿宋"/>
          <w:spacing w:val="2"/>
          <w:szCs w:val="28"/>
        </w:rPr>
        <w:t>接种记录信息完整性统计：分地区、年度等进行接种记录信息完整性统</w:t>
      </w:r>
      <w:r>
        <w:rPr>
          <w:rFonts w:cs="仿宋"/>
          <w:spacing w:val="-9"/>
          <w:szCs w:val="28"/>
        </w:rPr>
        <w:t>计。</w:t>
      </w:r>
    </w:p>
    <w:p w14:paraId="529685B2">
      <w:pPr>
        <w:pStyle w:val="5"/>
        <w:rPr>
          <w:rFonts w:ascii="黑体" w:hAnsi="黑体" w:cs="黑体"/>
          <w:spacing w:val="-2"/>
        </w:rPr>
      </w:pPr>
      <w:r>
        <w:rPr>
          <w:rFonts w:ascii="黑体" w:hAnsi="黑体" w:cs="黑体"/>
          <w:spacing w:val="-2"/>
        </w:rPr>
        <w:t>免疫规划信息管理系统数据分析及展示</w:t>
      </w:r>
    </w:p>
    <w:p w14:paraId="7393E9B5">
      <w:pPr>
        <w:pStyle w:val="6"/>
        <w:rPr>
          <w:rFonts w:ascii="黑体" w:hAnsi="黑体" w:cs="黑体"/>
          <w:spacing w:val="-2"/>
        </w:rPr>
      </w:pPr>
      <w:r>
        <w:rPr>
          <w:rFonts w:ascii="黑体" w:hAnsi="黑体" w:cs="黑体"/>
          <w:spacing w:val="-2"/>
        </w:rPr>
        <w:t>AFP病例相关资料的调取</w:t>
      </w:r>
    </w:p>
    <w:p w14:paraId="0C79C21D">
      <w:pPr>
        <w:spacing w:before="329" w:line="349" w:lineRule="auto"/>
        <w:ind w:left="20" w:firstLine="564"/>
        <w:rPr>
          <w:rFonts w:cs="仿宋"/>
          <w:szCs w:val="28"/>
        </w:rPr>
      </w:pPr>
      <w:r>
        <w:rPr>
          <w:rFonts w:cs="仿宋"/>
          <w:spacing w:val="1"/>
          <w:szCs w:val="28"/>
        </w:rPr>
        <w:t>与省内各</w:t>
      </w:r>
      <w:r>
        <w:rPr>
          <w:rFonts w:cs="仿宋"/>
          <w:szCs w:val="28"/>
        </w:rPr>
        <w:t>AFP</w:t>
      </w:r>
      <w:r>
        <w:rPr>
          <w:rFonts w:cs="仿宋"/>
          <w:spacing w:val="1"/>
          <w:szCs w:val="28"/>
        </w:rPr>
        <w:t>监测医院的</w:t>
      </w:r>
      <w:r>
        <w:rPr>
          <w:rFonts w:cs="仿宋"/>
          <w:szCs w:val="28"/>
        </w:rPr>
        <w:t>HIS</w:t>
      </w:r>
      <w:r>
        <w:rPr>
          <w:rFonts w:cs="仿宋"/>
          <w:spacing w:val="1"/>
          <w:szCs w:val="28"/>
        </w:rPr>
        <w:t>系统实现互联互通，对报告的</w:t>
      </w:r>
      <w:r>
        <w:rPr>
          <w:rFonts w:cs="仿宋"/>
          <w:szCs w:val="28"/>
        </w:rPr>
        <w:t>AFP</w:t>
      </w:r>
      <w:r>
        <w:rPr>
          <w:rFonts w:cs="仿宋"/>
          <w:spacing w:val="1"/>
          <w:szCs w:val="28"/>
        </w:rPr>
        <w:t>病例能</w:t>
      </w:r>
      <w:r>
        <w:rPr>
          <w:rFonts w:cs="仿宋"/>
          <w:spacing w:val="2"/>
          <w:szCs w:val="28"/>
        </w:rPr>
        <w:t>随时调取相关病历资料以便专家组开展分类诊断。基于症状信息实现电子病</w:t>
      </w:r>
      <w:r>
        <w:rPr>
          <w:rFonts w:cs="仿宋"/>
          <w:spacing w:val="-1"/>
          <w:szCs w:val="28"/>
        </w:rPr>
        <w:t>历数据筛选，依托青海省免疫规划信息管理系统实现提醒。</w:t>
      </w:r>
    </w:p>
    <w:p w14:paraId="361881AA">
      <w:pPr>
        <w:pStyle w:val="6"/>
        <w:rPr>
          <w:rFonts w:ascii="黑体" w:hAnsi="黑体" w:cs="黑体"/>
          <w:spacing w:val="-2"/>
        </w:rPr>
      </w:pPr>
      <w:r>
        <w:rPr>
          <w:rFonts w:ascii="黑体" w:hAnsi="黑体" w:cs="黑体"/>
          <w:spacing w:val="-2"/>
        </w:rPr>
        <w:t>疫苗可预防疾病监测综合分析</w:t>
      </w:r>
    </w:p>
    <w:p w14:paraId="65333A43">
      <w:pPr>
        <w:spacing w:before="328" w:line="349" w:lineRule="auto"/>
        <w:ind w:left="21" w:firstLine="568"/>
        <w:rPr>
          <w:rFonts w:cs="仿宋"/>
          <w:spacing w:val="-2"/>
          <w:szCs w:val="28"/>
        </w:rPr>
      </w:pPr>
      <w:r>
        <w:rPr>
          <w:rFonts w:cs="仿宋"/>
          <w:spacing w:val="2"/>
          <w:szCs w:val="28"/>
        </w:rPr>
        <w:t>通过</w:t>
      </w:r>
      <w:r>
        <w:rPr>
          <w:rFonts w:cs="仿宋"/>
          <w:szCs w:val="28"/>
        </w:rPr>
        <w:t>AI</w:t>
      </w:r>
      <w:r>
        <w:rPr>
          <w:rFonts w:cs="仿宋"/>
          <w:spacing w:val="2"/>
          <w:szCs w:val="28"/>
        </w:rPr>
        <w:t>中台/数据中台在发生疫苗针对疾病时，结合相关病例及对应既往病史、免疫史等，能形成初步分析报告，并通过病例所在地接种率分析，</w:t>
      </w:r>
      <w:r>
        <w:rPr>
          <w:rFonts w:cs="仿宋"/>
          <w:spacing w:val="-2"/>
          <w:szCs w:val="28"/>
        </w:rPr>
        <w:t>并发出疫情和接种率预警。</w:t>
      </w:r>
    </w:p>
    <w:p w14:paraId="794EFE91">
      <w:pPr>
        <w:spacing w:before="328" w:line="349" w:lineRule="auto"/>
        <w:ind w:left="21" w:firstLine="556"/>
        <w:rPr>
          <w:rFonts w:cs="仿宋"/>
          <w:szCs w:val="28"/>
        </w:rPr>
      </w:pPr>
      <w:r>
        <w:rPr>
          <w:rFonts w:cs="仿宋"/>
          <w:spacing w:val="-1"/>
          <w:szCs w:val="28"/>
        </w:rPr>
        <w:t>1、疾病分析：根据传染病及症状，分类、分时段、分地区统计。</w:t>
      </w:r>
    </w:p>
    <w:p w14:paraId="668905E5">
      <w:pPr>
        <w:spacing w:before="205" w:line="291" w:lineRule="auto"/>
        <w:ind w:left="17" w:firstLine="552"/>
        <w:rPr>
          <w:rFonts w:cs="仿宋"/>
          <w:szCs w:val="28"/>
        </w:rPr>
      </w:pPr>
      <w:r>
        <w:rPr>
          <w:rFonts w:cs="仿宋"/>
          <w:spacing w:val="-2"/>
          <w:szCs w:val="28"/>
        </w:rPr>
        <w:t>2、接种率分析：基于疫苗及地区特点，分类、分时段、分地区接种率分</w:t>
      </w:r>
      <w:r>
        <w:rPr>
          <w:rFonts w:cs="仿宋"/>
          <w:spacing w:val="-9"/>
          <w:szCs w:val="28"/>
        </w:rPr>
        <w:t>析。</w:t>
      </w:r>
    </w:p>
    <w:p w14:paraId="31B420E5">
      <w:pPr>
        <w:spacing w:before="209" w:line="290" w:lineRule="auto"/>
        <w:ind w:left="28" w:right="2" w:firstLine="568"/>
        <w:rPr>
          <w:rFonts w:cs="仿宋"/>
          <w:szCs w:val="28"/>
        </w:rPr>
      </w:pPr>
      <w:r>
        <w:rPr>
          <w:rFonts w:cs="仿宋"/>
          <w:spacing w:val="2"/>
          <w:szCs w:val="28"/>
        </w:rPr>
        <w:t>3、疾病与疫苗综合分析：依托数据中台和</w:t>
      </w:r>
      <w:r>
        <w:rPr>
          <w:rFonts w:cs="仿宋"/>
          <w:szCs w:val="28"/>
        </w:rPr>
        <w:t>AI</w:t>
      </w:r>
      <w:r>
        <w:rPr>
          <w:rFonts w:cs="仿宋"/>
          <w:spacing w:val="2"/>
          <w:szCs w:val="28"/>
        </w:rPr>
        <w:t>中台，实现特定地区疾病</w:t>
      </w:r>
      <w:r>
        <w:rPr>
          <w:rFonts w:cs="仿宋"/>
          <w:spacing w:val="-3"/>
          <w:szCs w:val="28"/>
        </w:rPr>
        <w:t>与疫苗接种关系分析及展示。</w:t>
      </w:r>
    </w:p>
    <w:p w14:paraId="665ED0F3">
      <w:pPr>
        <w:spacing w:before="209" w:line="291" w:lineRule="auto"/>
        <w:ind w:left="19" w:firstLine="560"/>
        <w:rPr>
          <w:rFonts w:cs="仿宋"/>
          <w:spacing w:val="-3"/>
          <w:szCs w:val="28"/>
        </w:rPr>
      </w:pPr>
      <w:r>
        <w:rPr>
          <w:rFonts w:cs="仿宋"/>
          <w:szCs w:val="28"/>
        </w:rPr>
        <w:t>4、基于GIS实现特定地区发病情况、疫苗接种</w:t>
      </w:r>
      <w:r>
        <w:rPr>
          <w:rFonts w:cs="仿宋"/>
          <w:spacing w:val="-1"/>
          <w:szCs w:val="28"/>
        </w:rPr>
        <w:t>情况、疫苗库存展示，为</w:t>
      </w:r>
      <w:r>
        <w:rPr>
          <w:rFonts w:cs="仿宋"/>
          <w:spacing w:val="-3"/>
          <w:szCs w:val="28"/>
        </w:rPr>
        <w:t>决策提供支持。</w:t>
      </w:r>
    </w:p>
    <w:p w14:paraId="5E82D95C">
      <w:pPr>
        <w:pStyle w:val="6"/>
        <w:rPr>
          <w:rFonts w:ascii="黑体" w:hAnsi="黑体" w:cs="黑体"/>
          <w:spacing w:val="-2"/>
        </w:rPr>
      </w:pPr>
      <w:r>
        <w:rPr>
          <w:rFonts w:ascii="黑体" w:hAnsi="黑体" w:cs="黑体"/>
          <w:spacing w:val="-2"/>
        </w:rPr>
        <w:t>免疫规划业务指标统计</w:t>
      </w:r>
    </w:p>
    <w:p w14:paraId="5CD98B84">
      <w:pPr>
        <w:pStyle w:val="7"/>
        <w:rPr>
          <w:rFonts w:ascii="黑体" w:hAnsi="黑体" w:cs="黑体"/>
          <w:spacing w:val="-2"/>
        </w:rPr>
      </w:pPr>
      <w:r>
        <w:rPr>
          <w:rFonts w:ascii="黑体" w:hAnsi="黑体" w:cs="黑体"/>
          <w:spacing w:val="-2"/>
        </w:rPr>
        <w:t>国家免疫规划疫苗各剂次接种率达标剂次数统计</w:t>
      </w:r>
    </w:p>
    <w:p w14:paraId="20CA32C7">
      <w:pPr>
        <w:spacing w:before="328"/>
        <w:ind w:right="102" w:firstLine="568"/>
        <w:rPr>
          <w:rFonts w:cs="仿宋"/>
          <w:spacing w:val="2"/>
          <w:szCs w:val="28"/>
        </w:rPr>
      </w:pPr>
      <w:r>
        <w:rPr>
          <w:rFonts w:cs="仿宋"/>
          <w:spacing w:val="2"/>
          <w:szCs w:val="28"/>
        </w:rPr>
        <w:t>提供国家免疫规划疫苗各剂次接种率达标(≥90%）剂次数统计报表。通过此功能实现青海省国家免疫规划疫苗20剂次疫苗接种率按年度分级（市州、县区、乡镇）对接种率达标(≥90%）情况分苗分剂次进行统计，并提供分级钻取功能。</w:t>
      </w:r>
    </w:p>
    <w:p w14:paraId="080ABE62">
      <w:pPr>
        <w:pStyle w:val="7"/>
        <w:rPr>
          <w:rFonts w:ascii="黑体" w:hAnsi="黑体" w:cs="黑体"/>
          <w:spacing w:val="-2"/>
        </w:rPr>
      </w:pPr>
      <w:r>
        <w:rPr>
          <w:rFonts w:ascii="黑体" w:hAnsi="黑体" w:cs="黑体"/>
          <w:spacing w:val="-2"/>
        </w:rPr>
        <w:t>分年度分地区查漏补种统计</w:t>
      </w:r>
    </w:p>
    <w:p w14:paraId="1F367106">
      <w:pPr>
        <w:spacing w:before="328" w:line="349" w:lineRule="auto"/>
        <w:ind w:left="20" w:right="103" w:firstLine="568"/>
        <w:rPr>
          <w:rFonts w:cs="仿宋"/>
          <w:szCs w:val="28"/>
        </w:rPr>
      </w:pPr>
      <w:r>
        <w:rPr>
          <w:rFonts w:cs="仿宋"/>
          <w:spacing w:val="2"/>
          <w:szCs w:val="28"/>
        </w:rPr>
        <w:t>提供分年度分地区查漏补种统计功能。为动态掌握各级查漏补种情况，在系统内根据疫苗种类、出生日期、接种日期、户籍类型等条件自定义检索</w:t>
      </w:r>
      <w:r>
        <w:rPr>
          <w:rFonts w:cs="仿宋"/>
          <w:spacing w:val="-1"/>
          <w:szCs w:val="28"/>
        </w:rPr>
        <w:t>查询，及时有效的掌握某地区某时段查漏补种情况。</w:t>
      </w:r>
    </w:p>
    <w:p w14:paraId="069AA83C">
      <w:pPr>
        <w:pStyle w:val="7"/>
        <w:rPr>
          <w:rFonts w:ascii="黑体" w:hAnsi="黑体" w:cs="黑体"/>
          <w:spacing w:val="-2"/>
        </w:rPr>
      </w:pPr>
      <w:r>
        <w:rPr>
          <w:rFonts w:ascii="黑体" w:hAnsi="黑体" w:cs="黑体"/>
          <w:spacing w:val="-2"/>
        </w:rPr>
        <w:t>出生队列及时段接种率统计</w:t>
      </w:r>
    </w:p>
    <w:p w14:paraId="7634A9FC">
      <w:pPr>
        <w:spacing w:before="328" w:line="348" w:lineRule="auto"/>
        <w:ind w:left="21" w:firstLine="568"/>
        <w:rPr>
          <w:rFonts w:cs="仿宋"/>
          <w:szCs w:val="28"/>
        </w:rPr>
      </w:pPr>
      <w:r>
        <w:rPr>
          <w:rFonts w:cs="仿宋"/>
          <w:spacing w:val="2"/>
          <w:szCs w:val="28"/>
        </w:rPr>
        <w:t>提供出生队列及时段接种率统计功能。分级展示以乡镇为单位出生队列</w:t>
      </w:r>
      <w:r>
        <w:rPr>
          <w:rFonts w:cs="仿宋"/>
          <w:spacing w:val="-9"/>
          <w:szCs w:val="28"/>
        </w:rPr>
        <w:t>及时段接种率达90%的乡镇数，分苗分剂次分地区统计，并提供分级</w:t>
      </w:r>
      <w:r>
        <w:rPr>
          <w:rFonts w:cs="仿宋"/>
          <w:spacing w:val="-10"/>
          <w:szCs w:val="28"/>
        </w:rPr>
        <w:t>钻取功能。</w:t>
      </w:r>
      <w:r>
        <w:rPr>
          <w:rFonts w:cs="仿宋"/>
          <w:spacing w:val="-1"/>
          <w:szCs w:val="28"/>
        </w:rPr>
        <w:t>并且支持个性化的分机构的合并后的数据统计功能。</w:t>
      </w:r>
    </w:p>
    <w:p w14:paraId="5D6A1E7C">
      <w:pPr>
        <w:pStyle w:val="7"/>
        <w:rPr>
          <w:rFonts w:ascii="黑体" w:hAnsi="黑体" w:cs="黑体"/>
          <w:spacing w:val="-2"/>
        </w:rPr>
      </w:pPr>
      <w:r>
        <w:rPr>
          <w:rFonts w:ascii="黑体" w:hAnsi="黑体" w:cs="黑体"/>
          <w:spacing w:val="-2"/>
        </w:rPr>
        <w:t>户籍类型占比统计</w:t>
      </w:r>
    </w:p>
    <w:p w14:paraId="4B20514A">
      <w:pPr>
        <w:spacing w:before="329" w:line="343" w:lineRule="auto"/>
        <w:ind w:left="68" w:right="101" w:firstLine="532"/>
        <w:rPr>
          <w:rFonts w:cs="仿宋"/>
          <w:szCs w:val="28"/>
        </w:rPr>
      </w:pPr>
      <w:r>
        <w:rPr>
          <w:rFonts w:cs="仿宋"/>
          <w:spacing w:val="-7"/>
          <w:szCs w:val="28"/>
        </w:rPr>
        <w:t>提供户籍类型占比统计功能，根据免疫规划信息管理系统档案的户籍（户</w:t>
      </w:r>
      <w:r>
        <w:rPr>
          <w:rFonts w:cs="仿宋"/>
          <w:spacing w:val="-3"/>
          <w:szCs w:val="28"/>
        </w:rPr>
        <w:t>口）类型进行分类，并计算每种类型的接种人数占总人数的比例。</w:t>
      </w:r>
    </w:p>
    <w:p w14:paraId="31DB6058">
      <w:pPr>
        <w:pStyle w:val="7"/>
        <w:rPr>
          <w:rFonts w:ascii="黑体" w:hAnsi="黑体" w:cs="黑体"/>
          <w:spacing w:val="-2"/>
        </w:rPr>
      </w:pPr>
      <w:r>
        <w:rPr>
          <w:rFonts w:ascii="黑体" w:hAnsi="黑体" w:cs="黑体"/>
          <w:spacing w:val="-2"/>
        </w:rPr>
        <w:t>入托入学接种证查验统计</w:t>
      </w:r>
    </w:p>
    <w:p w14:paraId="480BEF5A">
      <w:pPr>
        <w:spacing w:before="327" w:line="346" w:lineRule="auto"/>
        <w:ind w:left="23" w:right="162" w:firstLine="560"/>
        <w:rPr>
          <w:rFonts w:cs="仿宋"/>
          <w:szCs w:val="28"/>
        </w:rPr>
      </w:pPr>
      <w:r>
        <w:rPr>
          <w:rFonts w:cs="仿宋"/>
          <w:szCs w:val="28"/>
        </w:rPr>
        <w:t>提供入托入学接种证查验统计，儿童入托入学查验模板开展批量查验，</w:t>
      </w:r>
      <w:r>
        <w:rPr>
          <w:rFonts w:cs="仿宋"/>
          <w:spacing w:val="-3"/>
          <w:szCs w:val="28"/>
        </w:rPr>
        <w:t>结果导入导出功能。</w:t>
      </w:r>
    </w:p>
    <w:p w14:paraId="0CEA324E">
      <w:pPr>
        <w:pStyle w:val="7"/>
        <w:rPr>
          <w:rFonts w:ascii="黑体" w:hAnsi="黑体" w:cs="黑体"/>
          <w:spacing w:val="-2"/>
        </w:rPr>
      </w:pPr>
      <w:r>
        <w:rPr>
          <w:rFonts w:ascii="黑体" w:hAnsi="黑体" w:cs="黑体"/>
          <w:spacing w:val="-2"/>
        </w:rPr>
        <w:t>常规免疫不合格接种情况统计</w:t>
      </w:r>
    </w:p>
    <w:p w14:paraId="0F988F50">
      <w:pPr>
        <w:spacing w:before="329" w:line="318" w:lineRule="auto"/>
        <w:ind w:left="18" w:right="101" w:firstLine="560"/>
        <w:rPr>
          <w:rFonts w:cs="仿宋"/>
          <w:szCs w:val="28"/>
        </w:rPr>
      </w:pPr>
      <w:r>
        <w:rPr>
          <w:rFonts w:cs="仿宋"/>
          <w:szCs w:val="28"/>
        </w:rPr>
        <w:t>提供常规免疫不合格接种情况统计，在疫苗接种过程中，由于各种原因</w:t>
      </w:r>
      <w:r>
        <w:rPr>
          <w:rFonts w:cs="仿宋"/>
          <w:spacing w:val="2"/>
          <w:szCs w:val="28"/>
        </w:rPr>
        <w:t>（如未到接种时间、重复接种、剂量不足、疫苗失效等）导致的不符合规定</w:t>
      </w:r>
      <w:r>
        <mc:AlternateContent>
          <mc:Choice Requires="wps">
            <w:drawing>
              <wp:anchor distT="0" distB="0" distL="114300" distR="114300" simplePos="0" relativeHeight="251663360" behindDoc="0" locked="0" layoutInCell="0" allowOverlap="1">
                <wp:simplePos x="0" y="0"/>
                <wp:positionH relativeFrom="page">
                  <wp:posOffset>817245</wp:posOffset>
                </wp:positionH>
                <wp:positionV relativeFrom="page">
                  <wp:posOffset>803910</wp:posOffset>
                </wp:positionV>
                <wp:extent cx="5926455" cy="9525"/>
                <wp:effectExtent l="0" t="0" r="0" b="0"/>
                <wp:wrapNone/>
                <wp:docPr id="10" name="任意多边形 10"/>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4.35pt;margin-top:63.3pt;height:0.75pt;width:466.65pt;mso-position-horizontal-relative:page;mso-position-vertical-relative:page;z-index:251663360;mso-width-relative:page;mso-height-relative:page;" fillcolor="#000000" filled="t" stroked="f" coordsize="9332,15" o:allowincell="f" o:gfxdata="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xQFAedUAAAAMAQAADwAA&#10;AAAAAAABACAAAAAiAAAAZHJzL2Rvd25yZXYueG1sUEsBAhQAFAAAAAgAh07iQDcWMicZAgAAngQA&#10;AA4AAAAAAAAAAQAgAAAAJAEAAGRycy9lMm9Eb2MueG1sUEsFBgAAAAAGAAYAWQEAAK8FAAAAAA==&#10;" path="m0,0l9332,0,9332,14,0,14,0,0xe">
                <v:fill on="t" focussize="0,0"/>
                <v:stroke on="f"/>
                <v:imagedata o:title=""/>
                <o:lock v:ext="edit" aspectratio="f"/>
              </v:shape>
            </w:pict>
          </mc:Fallback>
        </mc:AlternateContent>
      </w:r>
      <w:r>
        <w:rPr>
          <w:rFonts w:cs="仿宋"/>
          <w:spacing w:val="-2"/>
          <w:szCs w:val="28"/>
        </w:rPr>
        <w:t>要求的接种情况的收集、整理和分析。</w:t>
      </w:r>
    </w:p>
    <w:p w14:paraId="6ABEB3A5">
      <w:pPr>
        <w:pStyle w:val="7"/>
        <w:rPr>
          <w:rFonts w:ascii="黑体" w:hAnsi="黑体" w:cs="黑体"/>
          <w:spacing w:val="-2"/>
        </w:rPr>
      </w:pPr>
      <w:r>
        <w:rPr>
          <w:rFonts w:ascii="黑体" w:hAnsi="黑体" w:cs="黑体"/>
          <w:spacing w:val="-2"/>
        </w:rPr>
        <w:t>分年度/分地区接种情况统计</w:t>
      </w:r>
    </w:p>
    <w:p w14:paraId="30FEBB00">
      <w:pPr>
        <w:spacing w:before="327" w:line="344" w:lineRule="auto"/>
        <w:ind w:left="19" w:firstLine="568"/>
        <w:rPr>
          <w:rFonts w:cs="仿宋"/>
          <w:szCs w:val="28"/>
        </w:rPr>
      </w:pPr>
      <w:r>
        <w:rPr>
          <w:rFonts w:cs="仿宋"/>
          <w:spacing w:val="2"/>
          <w:szCs w:val="28"/>
        </w:rPr>
        <w:t>提供分年度/分地区接种情况统计：可根据户籍类型查询分出生年度/分</w:t>
      </w:r>
      <w:r>
        <w:rPr>
          <w:rFonts w:cs="仿宋"/>
          <w:spacing w:val="-2"/>
          <w:szCs w:val="28"/>
        </w:rPr>
        <w:t>地区接种情况统计。</w:t>
      </w:r>
    </w:p>
    <w:p w14:paraId="3758C4B8">
      <w:pPr>
        <w:spacing w:before="47" w:line="221" w:lineRule="auto"/>
        <w:ind w:left="579" w:firstLine="556"/>
        <w:rPr>
          <w:rFonts w:cs="仿宋"/>
          <w:szCs w:val="28"/>
        </w:rPr>
      </w:pPr>
      <w:r>
        <w:rPr>
          <w:rFonts w:cs="仿宋"/>
          <w:spacing w:val="-1"/>
          <w:szCs w:val="28"/>
        </w:rPr>
        <w:t>支持根据地区、年度、疫苗分类等条件进行检索查询。</w:t>
      </w:r>
    </w:p>
    <w:p w14:paraId="637F98E3">
      <w:pPr>
        <w:pStyle w:val="7"/>
        <w:rPr>
          <w:rFonts w:ascii="黑体" w:hAnsi="黑体" w:cs="黑体"/>
          <w:spacing w:val="-2"/>
        </w:rPr>
      </w:pPr>
      <w:r>
        <w:rPr>
          <w:rFonts w:ascii="黑体" w:hAnsi="黑体" w:cs="黑体"/>
          <w:spacing w:val="-2"/>
        </w:rPr>
        <w:t>统计分析图</w:t>
      </w:r>
    </w:p>
    <w:p w14:paraId="311938B2">
      <w:pPr>
        <w:spacing w:before="326" w:line="349" w:lineRule="auto"/>
        <w:ind w:left="20" w:firstLine="568"/>
        <w:rPr>
          <w:rFonts w:cs="仿宋"/>
          <w:szCs w:val="28"/>
        </w:rPr>
      </w:pPr>
      <w:r>
        <w:rPr>
          <w:rFonts w:cs="仿宋"/>
          <w:spacing w:val="2"/>
          <w:szCs w:val="28"/>
        </w:rPr>
        <w:t>单疫苗接种剂次—接种时间曲线：展示特定疫苗的接种剂次数随时间的变化趋势，包括接种日期和对应的接种剂次数，采用折线图或条形图，横轴</w:t>
      </w:r>
      <w:r>
        <w:rPr>
          <w:rFonts w:cs="仿宋"/>
          <w:spacing w:val="-2"/>
          <w:szCs w:val="28"/>
        </w:rPr>
        <w:t>表示时间（如月份、年份</w:t>
      </w:r>
      <w:r>
        <w:rPr>
          <w:rFonts w:cs="仿宋"/>
          <w:spacing w:val="10"/>
          <w:szCs w:val="28"/>
        </w:rPr>
        <w:t>），</w:t>
      </w:r>
      <w:r>
        <w:rPr>
          <w:rFonts w:cs="仿宋"/>
          <w:spacing w:val="-2"/>
          <w:szCs w:val="28"/>
        </w:rPr>
        <w:t>纵轴表示接种剂次数。</w:t>
      </w:r>
    </w:p>
    <w:p w14:paraId="2FA0E4A6">
      <w:pPr>
        <w:spacing w:before="48" w:line="349" w:lineRule="auto"/>
        <w:ind w:left="17" w:firstLine="560"/>
        <w:rPr>
          <w:rFonts w:cs="仿宋"/>
          <w:szCs w:val="28"/>
        </w:rPr>
      </w:pPr>
      <w:r>
        <w:rPr>
          <w:rFonts w:cs="仿宋"/>
          <w:szCs w:val="28"/>
        </w:rPr>
        <w:t>多疫苗接种剂次—接种时间曲线：比较不同疫苗在同一时间段内的接种</w:t>
      </w:r>
      <w:r>
        <w:rPr>
          <w:rFonts w:cs="仿宋"/>
          <w:spacing w:val="2"/>
          <w:szCs w:val="28"/>
        </w:rPr>
        <w:t>剂次数，使用多条折线图，每条线代表一种疫苗，横轴表示时间，纵轴表示</w:t>
      </w:r>
      <w:r>
        <w:rPr>
          <w:rFonts w:cs="仿宋"/>
          <w:spacing w:val="-3"/>
          <w:szCs w:val="28"/>
        </w:rPr>
        <w:t>接种剂次数。</w:t>
      </w:r>
    </w:p>
    <w:p w14:paraId="4A7081EE">
      <w:pPr>
        <w:spacing w:before="46" w:line="349" w:lineRule="auto"/>
        <w:ind w:left="19" w:firstLine="568"/>
        <w:rPr>
          <w:rFonts w:cs="仿宋"/>
          <w:szCs w:val="28"/>
        </w:rPr>
      </w:pPr>
      <w:r>
        <w:rPr>
          <w:rFonts w:cs="仿宋"/>
          <w:spacing w:val="2"/>
          <w:szCs w:val="28"/>
        </w:rPr>
        <w:t>疫苗接种率—分年龄组时间序列曲线：按年龄组分群，展示各年龄组的疫苗接种率随时间的变化，以折线图形式展示，横轴表示时间，纵轴表示接</w:t>
      </w:r>
      <w:r>
        <w:rPr>
          <w:rFonts w:cs="仿宋"/>
          <w:spacing w:val="-2"/>
          <w:szCs w:val="28"/>
        </w:rPr>
        <w:t>种率，每个年龄组一条线。</w:t>
      </w:r>
    </w:p>
    <w:p w14:paraId="59356831">
      <w:pPr>
        <w:spacing w:before="47" w:line="348" w:lineRule="auto"/>
        <w:ind w:left="34" w:firstLine="568"/>
        <w:rPr>
          <w:rFonts w:cs="仿宋"/>
          <w:szCs w:val="28"/>
        </w:rPr>
      </w:pPr>
      <w:r>
        <w:rPr>
          <w:rFonts w:cs="仿宋"/>
          <w:spacing w:val="2"/>
          <w:szCs w:val="28"/>
        </w:rPr>
        <w:t>疫苗接种率—出生年度时间序列曲线：根据出生年度分组，展示不同出生年份的人群的疫苗接种率随时间的变化，以折线</w:t>
      </w:r>
      <w:r>
        <w:rPr>
          <w:rFonts w:cs="仿宋"/>
          <w:spacing w:val="1"/>
          <w:szCs w:val="28"/>
        </w:rPr>
        <w:t>图形式展示，横轴表示时</w:t>
      </w:r>
      <w:r>
        <w:rPr>
          <w:rFonts w:cs="仿宋"/>
          <w:spacing w:val="-2"/>
          <w:szCs w:val="28"/>
        </w:rPr>
        <w:t>间，纵轴表示接种率，每个出生年度一条线。</w:t>
      </w:r>
    </w:p>
    <w:p w14:paraId="70EB0CBE">
      <w:pPr>
        <w:pStyle w:val="7"/>
        <w:rPr>
          <w:rFonts w:ascii="黑体" w:hAnsi="黑体" w:cs="黑体"/>
          <w:spacing w:val="-2"/>
        </w:rPr>
      </w:pPr>
      <w:r>
        <w:rPr>
          <w:rFonts w:ascii="黑体" w:hAnsi="黑体" w:cs="黑体"/>
          <w:spacing w:val="-2"/>
        </w:rPr>
        <w:t>国家督察查询</w:t>
      </w:r>
    </w:p>
    <w:p w14:paraId="0454D947">
      <w:pPr>
        <w:spacing w:before="331" w:line="343" w:lineRule="auto"/>
        <w:ind w:left="20" w:firstLine="568"/>
        <w:rPr>
          <w:rFonts w:cs="仿宋"/>
          <w:szCs w:val="28"/>
        </w:rPr>
      </w:pPr>
      <w:r>
        <w:rPr>
          <w:rFonts w:cs="仿宋"/>
          <w:spacing w:val="2"/>
          <w:szCs w:val="28"/>
        </w:rPr>
        <w:t>根据国家疾控督察相关规范，提供国家数据上传监测统计表；国家数据</w:t>
      </w:r>
      <w:r>
        <w:rPr>
          <w:rFonts w:cs="仿宋"/>
          <w:spacing w:val="-1"/>
          <w:szCs w:val="28"/>
        </w:rPr>
        <w:t>上传错误统计表；国家数据不合格未上传统计表。</w:t>
      </w:r>
    </w:p>
    <w:p w14:paraId="46201CD5">
      <w:pPr>
        <w:pStyle w:val="7"/>
        <w:rPr>
          <w:rFonts w:ascii="黑体" w:hAnsi="黑体" w:cs="黑体"/>
          <w:spacing w:val="-2"/>
        </w:rPr>
      </w:pPr>
      <w:r>
        <w:rPr>
          <w:rFonts w:ascii="黑体" w:hAnsi="黑体" w:cs="黑体"/>
          <w:spacing w:val="-2"/>
        </w:rPr>
        <w:t>其他统计分析</w:t>
      </w:r>
    </w:p>
    <w:p w14:paraId="58FEFF61">
      <w:pPr>
        <w:spacing w:before="328" w:line="297" w:lineRule="auto"/>
        <w:ind w:left="34" w:firstLine="560"/>
        <w:rPr>
          <w:rFonts w:cs="仿宋"/>
          <w:szCs w:val="28"/>
        </w:rPr>
      </w:pPr>
      <w:r>
        <w:rPr>
          <w:rFonts w:cs="仿宋"/>
          <w:szCs w:val="28"/>
        </w:rPr>
        <w:t>提供分单位新生儿乙肝疫苗第1针及卡介苗接种情况统计表；分单位新</w:t>
      </w:r>
      <w:r>
        <w:rPr>
          <w:rFonts w:cs="仿宋"/>
          <w:spacing w:val="2"/>
          <w:szCs w:val="28"/>
        </w:rPr>
        <w:t>生儿乙肝疫苗及卡介苗未及时接种原因统计月报表；分</w:t>
      </w:r>
      <w:r>
        <w:rPr>
          <w:rFonts w:cs="仿宋"/>
          <w:spacing w:val="1"/>
          <w:szCs w:val="28"/>
        </w:rPr>
        <w:t>单位不同乙肝病毒感</w:t>
      </w:r>
      <w:r>
        <mc:AlternateContent>
          <mc:Choice Requires="wps">
            <w:drawing>
              <wp:anchor distT="0" distB="0" distL="114300" distR="114300" simplePos="0" relativeHeight="251664384" behindDoc="0" locked="0" layoutInCell="0" allowOverlap="1">
                <wp:simplePos x="0" y="0"/>
                <wp:positionH relativeFrom="page">
                  <wp:posOffset>817245</wp:posOffset>
                </wp:positionH>
                <wp:positionV relativeFrom="page">
                  <wp:posOffset>803910</wp:posOffset>
                </wp:positionV>
                <wp:extent cx="5926455" cy="9525"/>
                <wp:effectExtent l="0" t="0" r="0" b="0"/>
                <wp:wrapNone/>
                <wp:docPr id="11" name="任意多边形 11"/>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4.35pt;margin-top:63.3pt;height:0.75pt;width:466.65pt;mso-position-horizontal-relative:page;mso-position-vertical-relative:page;z-index:251664384;mso-width-relative:page;mso-height-relative:page;" fillcolor="#000000" filled="t" stroked="f" coordsize="9332,15" o:allowincell="f" o:gfxdata="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xQFAedUAAAAMAQAADwAA&#10;AAAAAAABACAAAAAiAAAAZHJzL2Rvd25yZXYueG1sUEsBAhQAFAAAAAgAh07iQJ3IXVgZAgAAngQA&#10;AA4AAAAAAAAAAQAgAAAAJAEAAGRycy9lMm9Eb2MueG1sUEsFBgAAAAAGAAYAWQEAAK8FAAAAAA==&#10;" path="m0,0l9332,0,9332,14,0,14,0,0xe">
                <v:fill on="t" focussize="0,0"/>
                <v:stroke on="f"/>
                <v:imagedata o:title=""/>
                <o:lock v:ext="edit" aspectratio="f"/>
              </v:shape>
            </w:pict>
          </mc:Fallback>
        </mc:AlternateContent>
      </w:r>
      <w:r>
        <w:rPr>
          <w:rFonts w:cs="仿宋"/>
          <w:spacing w:val="-1"/>
          <w:szCs w:val="28"/>
        </w:rPr>
        <w:t>染状态产妇新生儿乙肝疫苗首针接种情况统计表。</w:t>
      </w:r>
    </w:p>
    <w:p w14:paraId="49980A93">
      <w:pPr>
        <w:pStyle w:val="7"/>
        <w:rPr>
          <w:rFonts w:ascii="黑体" w:hAnsi="黑体" w:cs="黑体"/>
          <w:spacing w:val="-2"/>
        </w:rPr>
      </w:pPr>
      <w:r>
        <w:rPr>
          <w:rFonts w:ascii="黑体" w:hAnsi="黑体" w:cs="黑体"/>
          <w:spacing w:val="-2"/>
        </w:rPr>
        <w:t>非免疫规划疫苗分地区接种情况汇总</w:t>
      </w:r>
    </w:p>
    <w:p w14:paraId="68DA772D">
      <w:pPr>
        <w:ind w:firstLine="568"/>
        <w:rPr>
          <w:rFonts w:cs="仿宋"/>
          <w:spacing w:val="-12"/>
          <w:szCs w:val="28"/>
        </w:rPr>
      </w:pPr>
      <w:r>
        <w:rPr>
          <w:rFonts w:cs="仿宋"/>
          <w:spacing w:val="2"/>
          <w:szCs w:val="28"/>
        </w:rPr>
        <w:t>提供非免疫规划的疫苗可针对的传染病进行接种情况汇总，主要包含水痘疫苗、流感疫苗、肺炎疫苗等分地区接种情况汇总表，并提供分级钻取功</w:t>
      </w:r>
      <w:r>
        <w:rPr>
          <w:rFonts w:cs="仿宋"/>
          <w:spacing w:val="-12"/>
          <w:szCs w:val="28"/>
        </w:rPr>
        <w:t>能。</w:t>
      </w:r>
    </w:p>
    <w:p w14:paraId="201AE805">
      <w:pPr>
        <w:pStyle w:val="6"/>
        <w:rPr>
          <w:rFonts w:ascii="黑体" w:hAnsi="黑体" w:cs="黑体"/>
          <w:spacing w:val="-2"/>
        </w:rPr>
      </w:pPr>
      <w:r>
        <w:rPr>
          <w:rFonts w:ascii="黑体" w:hAnsi="黑体" w:cs="黑体"/>
          <w:spacing w:val="-2"/>
        </w:rPr>
        <w:t>AEFI病例查看</w:t>
      </w:r>
    </w:p>
    <w:p w14:paraId="4343C628">
      <w:pPr>
        <w:ind w:firstLine="568"/>
        <w:rPr>
          <w:rFonts w:cs="仿宋"/>
          <w:spacing w:val="-4"/>
          <w:szCs w:val="28"/>
        </w:rPr>
      </w:pPr>
      <w:r>
        <w:rPr>
          <w:rFonts w:cs="仿宋"/>
          <w:spacing w:val="2"/>
          <w:szCs w:val="28"/>
        </w:rPr>
        <w:t>与省内各医疗机构的诊疗系统实现互联互通，对报告的</w:t>
      </w:r>
      <w:r>
        <w:rPr>
          <w:rFonts w:cs="仿宋"/>
          <w:szCs w:val="28"/>
        </w:rPr>
        <w:t>AEFI</w:t>
      </w:r>
      <w:r>
        <w:rPr>
          <w:rFonts w:cs="仿宋"/>
          <w:spacing w:val="2"/>
          <w:szCs w:val="28"/>
        </w:rPr>
        <w:t>（疑似预防</w:t>
      </w:r>
      <w:r>
        <w:rPr>
          <w:rFonts w:cs="仿宋"/>
          <w:spacing w:val="-3"/>
          <w:szCs w:val="28"/>
        </w:rPr>
        <w:t>接种异常反应）病例能随时调取相关病历资料，为专家诊断组提供数</w:t>
      </w:r>
      <w:r>
        <w:rPr>
          <w:rFonts w:cs="仿宋"/>
          <w:spacing w:val="-4"/>
          <w:szCs w:val="28"/>
        </w:rPr>
        <w:t>据支持。</w:t>
      </w:r>
    </w:p>
    <w:p w14:paraId="1A15CB2B">
      <w:pPr>
        <w:pStyle w:val="6"/>
        <w:rPr>
          <w:rFonts w:ascii="黑体" w:hAnsi="黑体" w:cs="黑体"/>
          <w:spacing w:val="-2"/>
        </w:rPr>
      </w:pPr>
      <w:r>
        <w:rPr>
          <w:rFonts w:ascii="黑体" w:hAnsi="黑体" w:cs="黑体"/>
          <w:spacing w:val="-2"/>
        </w:rPr>
        <w:t>监测预警建设</w:t>
      </w:r>
    </w:p>
    <w:p w14:paraId="511FF3E8">
      <w:pPr>
        <w:pStyle w:val="7"/>
        <w:rPr>
          <w:rFonts w:ascii="黑体" w:hAnsi="黑体" w:cs="黑体"/>
          <w:spacing w:val="-2"/>
        </w:rPr>
      </w:pPr>
      <w:r>
        <w:rPr>
          <w:rFonts w:ascii="黑体" w:hAnsi="黑体" w:cs="黑体"/>
          <w:spacing w:val="-2"/>
        </w:rPr>
        <w:t>.疫苗管理</w:t>
      </w:r>
    </w:p>
    <w:p w14:paraId="51DCE977">
      <w:pPr>
        <w:spacing w:before="326" w:line="349" w:lineRule="auto"/>
        <w:ind w:left="17" w:right="101" w:firstLine="564"/>
        <w:rPr>
          <w:rFonts w:cs="仿宋"/>
          <w:spacing w:val="-1"/>
          <w:szCs w:val="28"/>
        </w:rPr>
      </w:pPr>
      <w:r>
        <w:rPr>
          <w:rFonts w:cs="仿宋"/>
          <w:spacing w:val="1"/>
          <w:szCs w:val="28"/>
        </w:rPr>
        <w:t>目前青海省采购的各类疫苗均在信息系统中录入采</w:t>
      </w:r>
      <w:r>
        <w:rPr>
          <w:rFonts w:cs="仿宋"/>
          <w:szCs w:val="28"/>
        </w:rPr>
        <w:t>购合同相关信息，疫</w:t>
      </w:r>
      <w:r>
        <w:rPr>
          <w:rFonts w:cs="仿宋"/>
          <w:spacing w:val="2"/>
          <w:szCs w:val="28"/>
        </w:rPr>
        <w:t>苗入库需匹配相应的合同，但是系统未对合同执行、采购、使用数量进行校</w:t>
      </w:r>
      <w:r>
        <w:rPr>
          <w:rFonts w:cs="仿宋"/>
          <w:spacing w:val="-1"/>
          <w:szCs w:val="28"/>
        </w:rPr>
        <w:t>验预警，需对系统功能进行针对性升级优化。</w:t>
      </w:r>
    </w:p>
    <w:p w14:paraId="22F5606F">
      <w:pPr>
        <w:pStyle w:val="8"/>
        <w:rPr>
          <w:rFonts w:ascii="黑体" w:hAnsi="黑体" w:cs="黑体"/>
          <w:spacing w:val="-2"/>
        </w:rPr>
      </w:pPr>
      <w:r>
        <w:rPr>
          <w:rFonts w:ascii="黑体" w:hAnsi="黑体" w:cs="黑体"/>
          <w:spacing w:val="-2"/>
        </w:rPr>
        <w:t>非免疫规划疫苗采购</w:t>
      </w:r>
    </w:p>
    <w:p w14:paraId="3A8152DF">
      <w:pPr>
        <w:spacing w:before="332" w:line="352" w:lineRule="auto"/>
        <w:ind w:left="17" w:right="101" w:firstLine="568"/>
        <w:rPr>
          <w:rFonts w:cs="仿宋"/>
          <w:szCs w:val="28"/>
        </w:rPr>
      </w:pPr>
      <w:r>
        <w:rPr>
          <w:rFonts w:cs="仿宋"/>
          <w:spacing w:val="2"/>
          <w:szCs w:val="28"/>
        </w:rPr>
        <w:t>提供非免疫规划疫苗采购功能，需与“青海省非免疫规划疫苗集中采购</w:t>
      </w:r>
      <w:r>
        <w:rPr>
          <w:rFonts w:cs="仿宋"/>
          <w:szCs w:val="28"/>
        </w:rPr>
        <w:t>平台”进行对接，实时将生成“合同编号”的采购相关信息导</w:t>
      </w:r>
      <w:r>
        <w:rPr>
          <w:rFonts w:cs="仿宋"/>
          <w:spacing w:val="-1"/>
          <w:szCs w:val="28"/>
        </w:rPr>
        <w:t>入省级免疫规</w:t>
      </w:r>
      <w:r>
        <w:rPr>
          <w:rFonts w:cs="仿宋"/>
          <w:spacing w:val="2"/>
          <w:szCs w:val="28"/>
        </w:rPr>
        <w:t>划疫苗信息管理平台，并根据可识别的合同编号自动下发各县区疾控机构，自动生成采购合同，并在对应疫苗入库时对采购数量和入库数量进行校验，</w:t>
      </w:r>
      <w:r>
        <w:rPr>
          <w:rFonts w:cs="仿宋"/>
          <w:spacing w:val="-1"/>
          <w:szCs w:val="28"/>
        </w:rPr>
        <w:t>同时在合同管理模块展示合同执行情况。</w:t>
      </w:r>
    </w:p>
    <w:p w14:paraId="0E5518F8">
      <w:pPr>
        <w:spacing w:before="53" w:line="221" w:lineRule="auto"/>
        <w:ind w:left="579" w:firstLine="556"/>
        <w:rPr>
          <w:rFonts w:cs="仿宋"/>
          <w:szCs w:val="28"/>
        </w:rPr>
      </w:pPr>
      <w:r>
        <w:rPr>
          <w:rFonts w:cs="仿宋"/>
          <w:spacing w:val="-1"/>
          <w:szCs w:val="28"/>
        </w:rPr>
        <w:t>支持根据合同编码、发货企业等条件进行检索查询。</w:t>
      </w:r>
    </w:p>
    <w:p w14:paraId="71ABA168">
      <w:pPr>
        <w:pStyle w:val="8"/>
        <w:rPr>
          <w:rFonts w:ascii="黑体" w:hAnsi="黑体" w:cs="黑体"/>
          <w:spacing w:val="-2"/>
        </w:rPr>
      </w:pPr>
      <w:r>
        <w:rPr>
          <w:rFonts w:ascii="黑体" w:hAnsi="黑体" w:cs="黑体"/>
          <w:spacing w:val="-2"/>
        </w:rPr>
        <w:t>免疫规划疫苗采购</w:t>
      </w:r>
    </w:p>
    <w:p w14:paraId="605BFF47">
      <w:pPr>
        <w:spacing w:before="328" w:line="343" w:lineRule="auto"/>
        <w:ind w:left="24" w:right="101" w:firstLine="568"/>
        <w:rPr>
          <w:rFonts w:cs="仿宋"/>
          <w:szCs w:val="28"/>
        </w:rPr>
      </w:pPr>
      <w:r>
        <w:rPr>
          <w:rFonts w:cs="仿宋"/>
          <w:spacing w:val="2"/>
          <w:szCs w:val="28"/>
        </w:rPr>
        <w:t>提供免疫规划疫苗采购功能，免疫规划疫苗实行统一采购、分批供货模式，需在合同管理模块对已录入合同及每批次入库疫苗信息进行匹配，同时</w:t>
      </w:r>
      <w:r>
        <mc:AlternateContent>
          <mc:Choice Requires="wps">
            <w:drawing>
              <wp:anchor distT="0" distB="0" distL="114300" distR="114300" simplePos="0" relativeHeight="251665408" behindDoc="0" locked="0" layoutInCell="0" allowOverlap="1">
                <wp:simplePos x="0" y="0"/>
                <wp:positionH relativeFrom="page">
                  <wp:posOffset>817245</wp:posOffset>
                </wp:positionH>
                <wp:positionV relativeFrom="page">
                  <wp:posOffset>803910</wp:posOffset>
                </wp:positionV>
                <wp:extent cx="5926455" cy="9525"/>
                <wp:effectExtent l="0" t="0" r="0" b="0"/>
                <wp:wrapNone/>
                <wp:docPr id="15" name="任意多边形 15"/>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4.35pt;margin-top:63.3pt;height:0.75pt;width:466.65pt;mso-position-horizontal-relative:page;mso-position-vertical-relative:page;z-index:251665408;mso-width-relative:page;mso-height-relative:page;" fillcolor="#000000" filled="t" stroked="f" coordsize="9332,15" o:allowincell="f" o:gfxdata="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MUBQHnVAAAADAEAAA8AAAAAAAAA&#10;AQAgAAAAIgAAAGRycy9kb3ducmV2LnhtbFBLAQIUABQAAAAIAIdO4kB0tJN+FAIAAJ4EAAAOAAAA&#10;AAAAAAEAIAAAACQBAABkcnMvZTJvRG9jLnhtbFBLBQYAAAAABgAGAFkBAACqBQAAAAA=&#10;" path="m0,0l9332,0,9332,14,0,14,0,0xe">
                <v:fill on="t" focussize="0,0"/>
                <v:stroke on="f"/>
                <v:imagedata o:title=""/>
                <o:lock v:ext="edit" aspectratio="f"/>
              </v:shape>
            </w:pict>
          </mc:Fallback>
        </mc:AlternateContent>
      </w:r>
      <w:r>
        <w:rPr>
          <w:rFonts w:cs="仿宋"/>
          <w:spacing w:val="-2"/>
          <w:szCs w:val="28"/>
        </w:rPr>
        <w:t>对合同执行、下发及接种情况进行统计分析，</w:t>
      </w:r>
      <w:r>
        <w:rPr>
          <w:rFonts w:cs="仿宋"/>
          <w:spacing w:val="-3"/>
          <w:szCs w:val="28"/>
        </w:rPr>
        <w:t>并预警提示。</w:t>
      </w:r>
      <w:r>
        <w:rPr>
          <w:rFonts w:cs="仿宋"/>
          <w:spacing w:val="-1"/>
          <w:szCs w:val="28"/>
        </w:rPr>
        <w:t>支持根据合同编码、发货企业等条件进行检索查询。</w:t>
      </w:r>
    </w:p>
    <w:p w14:paraId="445D213B">
      <w:pPr>
        <w:pStyle w:val="8"/>
        <w:rPr>
          <w:rFonts w:ascii="黑体" w:hAnsi="黑体" w:cs="黑体"/>
          <w:spacing w:val="-2"/>
        </w:rPr>
      </w:pPr>
      <w:r>
        <w:rPr>
          <w:rFonts w:ascii="黑体" w:hAnsi="黑体" w:cs="黑体"/>
          <w:spacing w:val="-2"/>
        </w:rPr>
        <w:t>疫苗库存监测预警</w:t>
      </w:r>
    </w:p>
    <w:p w14:paraId="43D0B77D">
      <w:pPr>
        <w:spacing w:before="328" w:line="354" w:lineRule="auto"/>
        <w:ind w:left="17" w:right="80" w:firstLine="568"/>
        <w:rPr>
          <w:rFonts w:cs="仿宋"/>
          <w:szCs w:val="28"/>
        </w:rPr>
      </w:pPr>
      <w:r>
        <w:rPr>
          <w:rFonts w:cs="仿宋"/>
          <w:spacing w:val="2"/>
          <w:szCs w:val="28"/>
        </w:rPr>
        <w:t>提供疫苗库存监测预警功能，对全省各级疫苗储存及使用单位各类疫苗库存进行预警监测：市、县两级疾控机构统筹下发量、下级机构使用量等情况对库存疫苗进行预警告知；接种单位根据本单位使用量对库存疫苗进行预警告知。另外根据下级机构接种使用量对库存疫苗进行使用时间的核算，如大于上级一个配送周期，则上级单位不可对该单位进行该疫苗下发，下级单</w:t>
      </w:r>
      <w:r>
        <w:rPr>
          <w:rFonts w:cs="仿宋"/>
          <w:spacing w:val="-2"/>
          <w:szCs w:val="28"/>
        </w:rPr>
        <w:t>位也不可入库该疫苗。</w:t>
      </w:r>
    </w:p>
    <w:p w14:paraId="391C1532">
      <w:pPr>
        <w:pStyle w:val="7"/>
        <w:rPr>
          <w:rFonts w:ascii="黑体" w:hAnsi="黑体" w:cs="黑体"/>
          <w:spacing w:val="-2"/>
        </w:rPr>
      </w:pPr>
      <w:r>
        <w:rPr>
          <w:rFonts w:ascii="黑体" w:hAnsi="黑体" w:cs="黑体"/>
          <w:spacing w:val="-2"/>
        </w:rPr>
        <w:t>冷链设备管理</w:t>
      </w:r>
    </w:p>
    <w:p w14:paraId="0565F064">
      <w:pPr>
        <w:spacing w:before="329" w:line="343" w:lineRule="auto"/>
        <w:ind w:left="17" w:right="80" w:firstLine="564"/>
        <w:rPr>
          <w:rFonts w:cs="仿宋"/>
          <w:szCs w:val="28"/>
        </w:rPr>
      </w:pPr>
      <w:r>
        <w:rPr>
          <w:rFonts w:cs="仿宋"/>
          <w:spacing w:val="1"/>
          <w:szCs w:val="28"/>
        </w:rPr>
        <w:t>目前青海省冷链设备录入信息不准确，部分管理单</w:t>
      </w:r>
      <w:r>
        <w:rPr>
          <w:rFonts w:cs="仿宋"/>
          <w:szCs w:val="28"/>
        </w:rPr>
        <w:t>位对冷链设备信息维</w:t>
      </w:r>
      <w:r>
        <w:rPr>
          <w:rFonts w:cs="仿宋"/>
          <w:spacing w:val="-1"/>
          <w:szCs w:val="28"/>
        </w:rPr>
        <w:t>护进度缓慢，需对系统功能进行针对性升级优化。</w:t>
      </w:r>
    </w:p>
    <w:p w14:paraId="32C3DBE9">
      <w:pPr>
        <w:pStyle w:val="8"/>
        <w:rPr>
          <w:rFonts w:ascii="黑体" w:hAnsi="黑体" w:cs="黑体"/>
          <w:spacing w:val="-2"/>
        </w:rPr>
      </w:pPr>
      <w:r>
        <w:rPr>
          <w:rFonts w:ascii="黑体" w:hAnsi="黑体" w:cs="黑体"/>
          <w:spacing w:val="-2"/>
        </w:rPr>
        <w:t>已录入冷链设备信息自动核查</w:t>
      </w:r>
    </w:p>
    <w:p w14:paraId="1ED83A3C">
      <w:pPr>
        <w:spacing w:before="328" w:line="353" w:lineRule="auto"/>
        <w:ind w:left="17" w:firstLine="540"/>
        <w:rPr>
          <w:rFonts w:cs="仿宋"/>
          <w:szCs w:val="28"/>
        </w:rPr>
      </w:pPr>
      <w:r>
        <w:rPr>
          <w:rFonts w:cs="仿宋"/>
          <w:spacing w:val="-5"/>
          <w:szCs w:val="28"/>
        </w:rPr>
        <w:t>已录入冷链设备信息自动核查：根据省级提供的冷链设备信息录</w:t>
      </w:r>
      <w:r>
        <w:rPr>
          <w:rFonts w:cs="仿宋"/>
          <w:spacing w:val="-6"/>
          <w:szCs w:val="28"/>
        </w:rPr>
        <w:t>入要求，</w:t>
      </w:r>
      <w:r>
        <w:rPr>
          <w:rFonts w:cs="仿宋"/>
          <w:szCs w:val="28"/>
        </w:rPr>
        <w:t>系统中针对不同设备类型设置不同限制字段；对可批量修改的数据，由系统</w:t>
      </w:r>
      <w:r>
        <w:rPr>
          <w:rFonts w:cs="仿宋"/>
          <w:spacing w:val="2"/>
          <w:szCs w:val="28"/>
        </w:rPr>
        <w:t>直接自动修改完善；对个别错误信息由系统自动识别核查并向设备管理单位提示，数据完善情况可逐级分类统计查看；同时对设备信息错误单位进行分</w:t>
      </w:r>
      <w:r>
        <w:rPr>
          <w:rFonts w:cs="仿宋"/>
          <w:spacing w:val="-2"/>
          <w:szCs w:val="28"/>
        </w:rPr>
        <w:t>地区分时间统计汇总。</w:t>
      </w:r>
    </w:p>
    <w:p w14:paraId="683ED94D">
      <w:pPr>
        <w:pStyle w:val="8"/>
        <w:rPr>
          <w:rFonts w:ascii="黑体" w:hAnsi="黑体" w:cs="黑体"/>
          <w:spacing w:val="-2"/>
        </w:rPr>
      </w:pPr>
      <w:r>
        <w:rPr>
          <w:rFonts w:ascii="黑体" w:hAnsi="黑体" w:cs="黑体"/>
          <w:spacing w:val="-2"/>
        </w:rPr>
        <w:t>冷链设备信息二维码生成</w:t>
      </w:r>
    </w:p>
    <w:p w14:paraId="4E234014">
      <w:pPr>
        <w:spacing w:before="332" w:line="342" w:lineRule="auto"/>
        <w:ind w:left="17" w:right="80" w:firstLine="560"/>
        <w:rPr>
          <w:rFonts w:cs="仿宋"/>
          <w:szCs w:val="28"/>
        </w:rPr>
      </w:pPr>
      <w:r>
        <w:rPr>
          <w:rFonts w:cs="仿宋"/>
          <w:szCs w:val="28"/>
        </w:rPr>
        <w:t>冷链设备信息二维码生成：根据已录入的冷链设备信息，</w:t>
      </w:r>
      <w:r>
        <w:rPr>
          <w:rFonts w:cs="仿宋"/>
          <w:spacing w:val="-1"/>
          <w:szCs w:val="28"/>
        </w:rPr>
        <w:t>自动生成二维</w:t>
      </w:r>
      <w:r>
        <w:rPr>
          <w:rFonts w:cs="仿宋"/>
          <w:spacing w:val="-2"/>
          <w:szCs w:val="28"/>
        </w:rPr>
        <w:t>码，且手机扫码可查相关信息。</w:t>
      </w:r>
    </w:p>
    <w:p w14:paraId="395E28B1">
      <w:pPr>
        <w:pStyle w:val="8"/>
        <w:rPr>
          <w:rFonts w:ascii="黑体" w:hAnsi="黑体" w:cs="黑体"/>
          <w:spacing w:val="-2"/>
        </w:rPr>
      </w:pPr>
      <w:r>
        <w:rPr>
          <w:rFonts w:ascii="黑体" w:hAnsi="黑体" w:cs="黑体"/>
          <w:spacing w:val="-2"/>
        </w:rPr>
        <w:t>冷链设备自动预警</w:t>
      </w:r>
    </w:p>
    <w:p w14:paraId="6C4BD794">
      <w:pPr>
        <w:spacing w:before="328"/>
        <w:ind w:firstLine="568"/>
        <w:rPr>
          <w:rFonts w:cs="仿宋"/>
          <w:szCs w:val="28"/>
        </w:rPr>
      </w:pPr>
      <w:r>
        <w:rPr>
          <w:rFonts w:cs="仿宋"/>
          <w:spacing w:val="2"/>
          <w:szCs w:val="28"/>
        </w:rPr>
        <w:t>冷链设备自动预警：对疫苗管理使用单位发生疫苗流通数据时，如无正</w:t>
      </w:r>
      <w:r>
        <mc:AlternateContent>
          <mc:Choice Requires="wps">
            <w:drawing>
              <wp:anchor distT="0" distB="0" distL="114300" distR="114300" simplePos="0" relativeHeight="251666432" behindDoc="0" locked="0" layoutInCell="0" allowOverlap="1">
                <wp:simplePos x="0" y="0"/>
                <wp:positionH relativeFrom="page">
                  <wp:posOffset>817245</wp:posOffset>
                </wp:positionH>
                <wp:positionV relativeFrom="page">
                  <wp:posOffset>803910</wp:posOffset>
                </wp:positionV>
                <wp:extent cx="5926455" cy="9525"/>
                <wp:effectExtent l="0" t="0" r="0" b="0"/>
                <wp:wrapNone/>
                <wp:docPr id="17" name="任意多边形 17"/>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4.35pt;margin-top:63.3pt;height:0.75pt;width:466.65pt;mso-position-horizontal-relative:page;mso-position-vertical-relative:page;z-index:251666432;mso-width-relative:page;mso-height-relative:page;" fillcolor="#000000" filled="t" stroked="f" coordsize="9332,15" o:allowincell="f" o:gfxdata="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MUBQHnVAAAADAEAAA8A&#10;AAAAAAAAAQAgAAAAIgAAAGRycy9kb3ducmV2LnhtbFBLAQIUABQAAAAIAIdO4kAgCUyAGgIAAJ4E&#10;AAAOAAAAAAAAAAEAIAAAACQBAABkcnMvZTJvRG9jLnhtbFBLBQYAAAAABgAGAFkBAACwBQAAAAA=&#10;" path="m0,0l9332,0,9332,14,0,14,0,0xe">
                <v:fill on="t" focussize="0,0"/>
                <v:stroke on="f"/>
                <v:imagedata o:title=""/>
                <o:lock v:ext="edit" aspectratio="f"/>
              </v:shape>
            </w:pict>
          </mc:Fallback>
        </mc:AlternateContent>
      </w:r>
      <w:r>
        <w:rPr>
          <w:rFonts w:cs="仿宋"/>
          <w:spacing w:val="2"/>
          <w:szCs w:val="28"/>
        </w:rPr>
        <w:t>常使用冷链设备，系统向该单位自动发出预警提示，</w:t>
      </w:r>
      <w:r>
        <w:rPr>
          <w:rFonts w:cs="仿宋"/>
          <w:spacing w:val="1"/>
          <w:szCs w:val="28"/>
        </w:rPr>
        <w:t>省级及上级管理单位可</w:t>
      </w:r>
      <w:r>
        <w:rPr>
          <w:rFonts w:cs="仿宋"/>
          <w:spacing w:val="-1"/>
          <w:szCs w:val="28"/>
        </w:rPr>
        <w:t>对预警提示信息及整改情况进行查询统计。</w:t>
      </w:r>
    </w:p>
    <w:p w14:paraId="349A3B55">
      <w:pPr>
        <w:pStyle w:val="7"/>
        <w:rPr>
          <w:rFonts w:ascii="黑体" w:hAnsi="黑体" w:cs="黑体"/>
          <w:spacing w:val="-2"/>
        </w:rPr>
      </w:pPr>
      <w:r>
        <w:rPr>
          <w:rFonts w:ascii="黑体" w:hAnsi="黑体" w:cs="黑体"/>
          <w:spacing w:val="-2"/>
        </w:rPr>
        <w:t>数据集成</w:t>
      </w:r>
    </w:p>
    <w:p w14:paraId="1BE2FB61">
      <w:pPr>
        <w:spacing w:before="327" w:line="343" w:lineRule="auto"/>
        <w:ind w:left="21" w:firstLine="568"/>
        <w:rPr>
          <w:rFonts w:cs="仿宋"/>
          <w:szCs w:val="28"/>
        </w:rPr>
      </w:pPr>
      <w:r>
        <w:rPr>
          <w:rFonts w:cs="仿宋"/>
          <w:spacing w:val="2"/>
          <w:szCs w:val="28"/>
        </w:rPr>
        <w:t>现阶段疫苗储存运输过程，不能匹配相关冷链设备，全程温度监测信息</w:t>
      </w:r>
      <w:r>
        <w:rPr>
          <w:rFonts w:cs="仿宋"/>
          <w:spacing w:val="-1"/>
          <w:szCs w:val="28"/>
        </w:rPr>
        <w:t>无法明确匹配，需对系统功能进行针对性升级优化。</w:t>
      </w:r>
    </w:p>
    <w:p w14:paraId="6DD2875C">
      <w:pPr>
        <w:pStyle w:val="8"/>
        <w:rPr>
          <w:rFonts w:ascii="黑体" w:hAnsi="黑体" w:cs="黑体"/>
          <w:spacing w:val="-2"/>
        </w:rPr>
      </w:pPr>
      <w:r>
        <w:rPr>
          <w:rFonts w:ascii="黑体" w:hAnsi="黑体" w:cs="黑体"/>
          <w:spacing w:val="-2"/>
        </w:rPr>
        <w:t>对接温湿度监测设备</w:t>
      </w:r>
    </w:p>
    <w:p w14:paraId="409FCD6E">
      <w:pPr>
        <w:spacing w:before="326" w:line="349" w:lineRule="auto"/>
        <w:ind w:left="19" w:firstLine="568"/>
        <w:rPr>
          <w:rFonts w:cs="仿宋"/>
          <w:szCs w:val="28"/>
        </w:rPr>
      </w:pPr>
      <w:r>
        <w:rPr>
          <w:rFonts w:cs="仿宋"/>
          <w:spacing w:val="2"/>
          <w:szCs w:val="28"/>
        </w:rPr>
        <w:t>对接温湿度监测设备，保证冷链监控系统数据和疫苗流通数据的无缝连</w:t>
      </w:r>
      <w:r>
        <w:rPr>
          <w:rFonts w:cs="仿宋"/>
          <w:spacing w:val="1"/>
          <w:szCs w:val="28"/>
        </w:rPr>
        <w:t>接，形成统—、网络化的数据平台，疾控中心和接种单位对整个</w:t>
      </w:r>
      <w:r>
        <w:rPr>
          <w:rFonts w:cs="仿宋"/>
          <w:szCs w:val="28"/>
        </w:rPr>
        <w:t>冷链温湿度</w:t>
      </w:r>
      <w:r>
        <w:rPr>
          <w:rFonts w:cs="仿宋"/>
          <w:spacing w:val="-1"/>
          <w:szCs w:val="28"/>
        </w:rPr>
        <w:t>进行实时监测和追溯，按地区汇总，逐级可查。</w:t>
      </w:r>
    </w:p>
    <w:p w14:paraId="4D98DC49">
      <w:pPr>
        <w:pStyle w:val="8"/>
        <w:rPr>
          <w:rFonts w:ascii="黑体" w:hAnsi="黑体" w:cs="黑体"/>
          <w:spacing w:val="-2"/>
        </w:rPr>
      </w:pPr>
      <w:r>
        <w:rPr>
          <w:rFonts w:ascii="黑体" w:hAnsi="黑体" w:cs="黑体"/>
          <w:spacing w:val="-2"/>
        </w:rPr>
        <w:t>数字大屏展示</w:t>
      </w:r>
    </w:p>
    <w:p w14:paraId="7C47C8DD">
      <w:pPr>
        <w:spacing w:before="327" w:line="351" w:lineRule="auto"/>
        <w:ind w:left="17" w:firstLine="568"/>
        <w:rPr>
          <w:rFonts w:cs="仿宋"/>
          <w:szCs w:val="28"/>
        </w:rPr>
      </w:pPr>
      <w:r>
        <w:rPr>
          <w:rFonts w:cs="仿宋"/>
          <w:spacing w:val="2"/>
          <w:szCs w:val="28"/>
        </w:rPr>
        <w:t>数字大屏展示：疫苗及冷链设备管理进行数据大屏展示，实时、全天候自动上传各地各级疫苗流通、冷链设备、温度监测信息，实现不间断监控和报警；对应监控数据以列表、曲线、数字、地图的方式进行展示，并能对数</w:t>
      </w:r>
      <w:r>
        <w:rPr>
          <w:rFonts w:cs="仿宋"/>
          <w:spacing w:val="-1"/>
          <w:szCs w:val="28"/>
        </w:rPr>
        <w:t>据断链、温度超标、数据异常、市电中断等告警及解决情况进行详细统计。</w:t>
      </w:r>
    </w:p>
    <w:p w14:paraId="68F1B926">
      <w:pPr>
        <w:spacing w:before="47" w:line="353" w:lineRule="auto"/>
        <w:ind w:left="17" w:firstLine="568"/>
        <w:rPr>
          <w:rFonts w:cs="仿宋"/>
          <w:spacing w:val="-1"/>
          <w:szCs w:val="28"/>
        </w:rPr>
      </w:pPr>
      <w:r>
        <w:rPr>
          <w:rFonts w:cs="仿宋"/>
          <w:spacing w:val="2"/>
          <w:szCs w:val="28"/>
        </w:rPr>
        <w:t>通过对设备超标、离线、报停状态以及小程序使用、账号余额预警、设备有效期预警监测对当前发生的超温、断链、数据异常、冷链设备故障、温度监控仪故障等风险进行定位、报警、分级、分类，实时收集和分析各种信</w:t>
      </w:r>
      <w:r>
        <w:rPr>
          <w:rFonts w:cs="仿宋"/>
          <w:spacing w:val="-2"/>
          <w:szCs w:val="28"/>
        </w:rPr>
        <w:t>息，逐级钻取查看。疫苗运输车/冷藏车实时定位，能够对冷链运输过程中的</w:t>
      </w:r>
      <w:r>
        <w:rPr>
          <w:rFonts w:cs="仿宋"/>
          <w:spacing w:val="-1"/>
          <w:szCs w:val="28"/>
        </w:rPr>
        <w:t>位置数据进行记录和回放，实现对疫苗运输轨迹的可视化管理。</w:t>
      </w:r>
    </w:p>
    <w:p w14:paraId="1C58D22E">
      <w:pPr>
        <w:pStyle w:val="7"/>
        <w:rPr>
          <w:rFonts w:ascii="黑体" w:hAnsi="黑体" w:cs="黑体"/>
          <w:spacing w:val="-2"/>
        </w:rPr>
      </w:pPr>
      <w:r>
        <w:rPr>
          <w:rFonts w:ascii="黑体" w:hAnsi="黑体" w:cs="黑体"/>
          <w:spacing w:val="-2"/>
        </w:rPr>
        <w:t>4疫苗上市许可持有人相关资质备案</w:t>
      </w:r>
    </w:p>
    <w:p w14:paraId="1683ED5B">
      <w:pPr>
        <w:spacing w:before="325" w:line="344" w:lineRule="auto"/>
        <w:ind w:left="17" w:firstLine="564"/>
        <w:rPr>
          <w:rFonts w:cs="仿宋"/>
          <w:szCs w:val="28"/>
        </w:rPr>
      </w:pPr>
      <w:r>
        <w:rPr>
          <w:rFonts w:cs="仿宋"/>
          <w:spacing w:val="1"/>
          <w:szCs w:val="28"/>
        </w:rPr>
        <w:t>目前青海省已入围已采购的各类疫苗，其疫苗上市</w:t>
      </w:r>
      <w:r>
        <w:rPr>
          <w:rFonts w:cs="仿宋"/>
          <w:szCs w:val="28"/>
        </w:rPr>
        <w:t>许可持有人相关信息</w:t>
      </w:r>
      <w:r>
        <w:rPr>
          <w:rFonts w:cs="仿宋"/>
          <w:spacing w:val="-1"/>
          <w:szCs w:val="28"/>
        </w:rPr>
        <w:t>均为纸质版，各级疫苗管理使用机构无法及时查看资质信息。</w:t>
      </w:r>
    </w:p>
    <w:p w14:paraId="5E3569D7">
      <w:pPr>
        <w:spacing w:before="45" w:line="297" w:lineRule="auto"/>
        <w:ind w:left="21" w:firstLine="568"/>
        <w:rPr>
          <w:rFonts w:cs="仿宋"/>
          <w:szCs w:val="28"/>
        </w:rPr>
      </w:pPr>
      <w:r>
        <w:rPr>
          <w:rFonts w:cs="仿宋"/>
          <w:spacing w:val="2"/>
          <w:szCs w:val="28"/>
        </w:rPr>
        <w:t>根据《青海省非免疫规划疫苗集中挂网采购文件》和“青海省非免疫规</w:t>
      </w:r>
      <w:r>
        <w:rPr>
          <w:rFonts w:cs="仿宋"/>
          <w:spacing w:val="1"/>
          <w:szCs w:val="28"/>
        </w:rPr>
        <w:t>划疫苗集中采购平台”对疫苗上市许可持有人、配送企业申报备案相关</w:t>
      </w:r>
      <w:r>
        <w:rPr>
          <w:rFonts w:cs="仿宋"/>
          <w:szCs w:val="28"/>
        </w:rPr>
        <w:t>资质</w:t>
      </w:r>
      <w:r>
        <mc:AlternateContent>
          <mc:Choice Requires="wps">
            <w:drawing>
              <wp:anchor distT="0" distB="0" distL="114300" distR="114300" simplePos="0" relativeHeight="251667456" behindDoc="0" locked="0" layoutInCell="0" allowOverlap="1">
                <wp:simplePos x="0" y="0"/>
                <wp:positionH relativeFrom="page">
                  <wp:posOffset>817245</wp:posOffset>
                </wp:positionH>
                <wp:positionV relativeFrom="page">
                  <wp:posOffset>803910</wp:posOffset>
                </wp:positionV>
                <wp:extent cx="5926455" cy="9525"/>
                <wp:effectExtent l="0" t="0" r="0" b="0"/>
                <wp:wrapNone/>
                <wp:docPr id="19" name="任意多边形 19"/>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4.35pt;margin-top:63.3pt;height:0.75pt;width:466.65pt;mso-position-horizontal-relative:page;mso-position-vertical-relative:page;z-index:251667456;mso-width-relative:page;mso-height-relative:page;" fillcolor="#000000" filled="t" stroked="f" coordsize="9332,15" o:allowincell="f" o:gfxdata="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MUBQHnVAAAADAEAAA8A&#10;AAAAAAAAAQAgAAAAIgAAAGRycy9kb3ducmV2LnhtbFBLAQIUABQAAAAIAIdO4kBPMcEVGgIAAJ4E&#10;AAAOAAAAAAAAAAEAIAAAACQBAABkcnMvZTJvRG9jLnhtbFBLBQYAAAAABgAGAFkBAACwBQAAAAA=&#10;" path="m0,0l9332,0,9332,14,0,14,0,0xe">
                <v:fill on="t" focussize="0,0"/>
                <v:stroke on="f"/>
                <v:imagedata o:title=""/>
                <o:lock v:ext="edit" aspectratio="f"/>
              </v:shape>
            </w:pict>
          </mc:Fallback>
        </mc:AlternateContent>
      </w:r>
      <w:r>
        <w:rPr>
          <w:rFonts w:cs="仿宋"/>
          <w:spacing w:val="2"/>
          <w:szCs w:val="28"/>
        </w:rPr>
        <w:t>的要求，在省级信息管理平台建设疫苗上市许可持有人</w:t>
      </w:r>
      <w:r>
        <w:rPr>
          <w:rFonts w:cs="仿宋"/>
          <w:spacing w:val="1"/>
          <w:szCs w:val="28"/>
        </w:rPr>
        <w:t>、配送企业资质备案</w:t>
      </w:r>
      <w:r>
        <w:rPr>
          <w:rFonts w:cs="仿宋"/>
          <w:spacing w:val="2"/>
          <w:szCs w:val="28"/>
        </w:rPr>
        <w:t>功能模块，对资质有效期进行监测，并对已采购入库的疫苗实行资质备案自</w:t>
      </w:r>
      <w:r>
        <w:rPr>
          <w:rFonts w:cs="仿宋"/>
          <w:spacing w:val="-6"/>
          <w:szCs w:val="28"/>
        </w:rPr>
        <w:t>动监测。</w:t>
      </w:r>
    </w:p>
    <w:p w14:paraId="422A3645">
      <w:pPr>
        <w:pStyle w:val="6"/>
        <w:rPr>
          <w:rFonts w:ascii="黑体" w:hAnsi="黑体" w:cs="黑体"/>
          <w:spacing w:val="-2"/>
        </w:rPr>
      </w:pPr>
      <w:r>
        <w:rPr>
          <w:rFonts w:ascii="黑体" w:hAnsi="黑体" w:cs="黑体"/>
          <w:spacing w:val="-2"/>
        </w:rPr>
        <w:t>免疫规划信息管理系统与青海省药品智慧监管平台对接</w:t>
      </w:r>
    </w:p>
    <w:p w14:paraId="6870D4BF">
      <w:pPr>
        <w:ind w:firstLine="0" w:firstLineChars="0"/>
      </w:pPr>
      <w:r>
        <w:rPr>
          <w:rFonts w:cs="仿宋"/>
          <w:spacing w:val="2"/>
          <w:szCs w:val="28"/>
        </w:rPr>
        <w:t>根据《疫苗管理法》和疫苗全流程追溯体系建设要求，青海省免疫规划信息管理系统需要与青海省药监局建设的青海省药品智慧监管平台对接，以</w:t>
      </w:r>
      <w:r>
        <w:rPr>
          <w:rFonts w:cs="仿宋"/>
          <w:spacing w:val="-2"/>
          <w:szCs w:val="28"/>
        </w:rPr>
        <w:t>满足省内疫苗全流程追溯需求。</w:t>
      </w:r>
    </w:p>
    <w:p w14:paraId="4B9EA1DE">
      <w:pPr>
        <w:pStyle w:val="3"/>
        <w:rPr>
          <w:lang w:eastAsia="zh-Hans"/>
        </w:rPr>
      </w:pPr>
      <w:bookmarkStart w:id="83" w:name="_Toc173747576"/>
      <w:bookmarkStart w:id="84" w:name="_Toc30409"/>
      <w:bookmarkStart w:id="85" w:name="_Toc3349"/>
      <w:bookmarkStart w:id="86" w:name="_Toc7495"/>
      <w:bookmarkStart w:id="87" w:name="_Toc24509"/>
      <w:bookmarkStart w:id="88" w:name="_Toc27420"/>
      <w:r>
        <w:rPr>
          <w:rFonts w:ascii="黑体" w:hAnsi="黑体" w:cs="黑体"/>
          <w:spacing w:val="-3"/>
        </w:rPr>
        <w:t>电子接种证管理系统</w:t>
      </w:r>
      <w:bookmarkEnd w:id="83"/>
      <w:bookmarkEnd w:id="84"/>
      <w:bookmarkEnd w:id="85"/>
      <w:bookmarkEnd w:id="86"/>
      <w:bookmarkEnd w:id="87"/>
      <w:bookmarkEnd w:id="88"/>
    </w:p>
    <w:p w14:paraId="1FB48C81">
      <w:pPr>
        <w:ind w:firstLine="560"/>
      </w:pPr>
      <w:r>
        <w:rPr>
          <w:rFonts w:hint="eastAsia"/>
        </w:rPr>
        <w:t>电子预防接种证依托青海省一体化政务服务平台部署，基本内容与纸质预防接种证内容保持一致，由青海省免疫规划信息管理系统提供数据支撑。充分依托一体化政务服务平台推动电子预防接种证照在更多领域应用并实现互通互认，让数据多跑路，让群众少跑腿，更好地发挥电子预防接种证在推进数字化建设、加强数据有序共享、提升公共服务等领域中的作用，持续不断地提升群众的获得感和满意度。通过电子预防接种证的推行，实现接种信息的数字化管理，提升接种数据的准确性、时效性，并为公民提供更便捷的预防接种服务。通过青海省免疫规划信息管理系统公众服务入口提供电子接种证服务，以及其他公众服务接入入口。</w:t>
      </w:r>
    </w:p>
    <w:p w14:paraId="6C7EF5F2">
      <w:pPr>
        <w:pStyle w:val="4"/>
      </w:pPr>
      <w:bookmarkStart w:id="89" w:name="_Toc27661"/>
      <w:bookmarkStart w:id="90" w:name="_Toc173747577"/>
      <w:bookmarkStart w:id="91" w:name="_Toc4234"/>
      <w:bookmarkStart w:id="92" w:name="_Toc14222"/>
      <w:bookmarkStart w:id="93" w:name="_Toc4352"/>
      <w:bookmarkStart w:id="94" w:name="_Toc4078"/>
      <w:r>
        <w:rPr>
          <w:rFonts w:ascii="黑体" w:hAnsi="黑体" w:cs="黑体"/>
          <w:spacing w:val="-4"/>
        </w:rPr>
        <w:t>公众用户注册</w:t>
      </w:r>
      <w:bookmarkEnd w:id="89"/>
      <w:bookmarkEnd w:id="90"/>
      <w:bookmarkEnd w:id="91"/>
      <w:bookmarkEnd w:id="92"/>
      <w:bookmarkEnd w:id="93"/>
      <w:bookmarkEnd w:id="94"/>
    </w:p>
    <w:p w14:paraId="5DAE30E2">
      <w:pPr>
        <w:pStyle w:val="5"/>
      </w:pPr>
      <w:r>
        <w:rPr>
          <w:rFonts w:ascii="黑体" w:hAnsi="黑体" w:cs="黑体"/>
          <w:spacing w:val="-3"/>
        </w:rPr>
        <w:t>公众用户注册和注销管理</w:t>
      </w:r>
    </w:p>
    <w:p w14:paraId="7E96448F">
      <w:pPr>
        <w:ind w:firstLine="560"/>
      </w:pPr>
      <w:r>
        <w:rPr>
          <w:rFonts w:hint="eastAsia"/>
        </w:rPr>
        <w:t>在应用的首页、登录页或其他适当位置，设置明显的“注册”或“创建账户”按钮，作为公众用户进入注册流程的入口。点击“注册”后，用户会被引导至注册页面，要求填写必要的个人信息以创建账户，用户填写完所有必填信息，确认无误并同意服务条款后，点击“注册”或“创建账户”按钮提交信息。系统将对提交的信息进行验证：检查姓名、身份证号、手机号、密码等是否符合规定的格式要求。</w:t>
      </w:r>
    </w:p>
    <w:p w14:paraId="65D128D1">
      <w:pPr>
        <w:ind w:firstLine="560"/>
      </w:pPr>
      <w:r>
        <w:rPr>
          <w:rFonts w:hint="eastAsia"/>
        </w:rPr>
        <w:t>登录注销功能是电子接种证面向用户提供的在完成在线服务或出于安全考虑时，主动终止当前登录会话的功能。</w:t>
      </w:r>
    </w:p>
    <w:p w14:paraId="2417D855">
      <w:pPr>
        <w:pStyle w:val="5"/>
      </w:pPr>
      <w:r>
        <w:rPr>
          <w:rFonts w:ascii="黑体" w:hAnsi="黑体" w:cs="黑体"/>
          <w:spacing w:val="-3"/>
        </w:rPr>
        <w:t>用户登录</w:t>
      </w:r>
    </w:p>
    <w:p w14:paraId="41D2F8C4">
      <w:pPr>
        <w:ind w:firstLine="568"/>
      </w:pPr>
      <w:r>
        <w:rPr>
          <w:rFonts w:cs="仿宋"/>
          <w:spacing w:val="2"/>
          <w:szCs w:val="28"/>
        </w:rPr>
        <w:t>用户登录功能是电子接种证的基本模块，允许已注册的用户通过输入特</w:t>
      </w:r>
      <w:r>
        <w:rPr>
          <w:rFonts w:cs="仿宋"/>
          <w:spacing w:val="-1"/>
          <w:szCs w:val="28"/>
        </w:rPr>
        <w:t>定凭证来验证身份并访问受保护的个人账户和服</w:t>
      </w:r>
      <w:r>
        <w:rPr>
          <w:rFonts w:cs="仿宋"/>
          <w:spacing w:val="-2"/>
          <w:szCs w:val="28"/>
        </w:rPr>
        <w:t>务</w:t>
      </w:r>
      <w:r>
        <w:rPr>
          <w:rFonts w:hint="eastAsia"/>
        </w:rPr>
        <w:t>。</w:t>
      </w:r>
    </w:p>
    <w:p w14:paraId="559E4068">
      <w:pPr>
        <w:pStyle w:val="5"/>
        <w:rPr>
          <w:rFonts w:ascii="黑体" w:hAnsi="黑体" w:cs="黑体"/>
          <w:spacing w:val="-3"/>
        </w:rPr>
      </w:pPr>
      <w:r>
        <w:rPr>
          <w:rFonts w:ascii="黑体" w:hAnsi="黑体" w:cs="黑体"/>
          <w:spacing w:val="-3"/>
        </w:rPr>
        <w:t>个人信息录入</w:t>
      </w:r>
    </w:p>
    <w:p w14:paraId="3319C161">
      <w:pPr>
        <w:spacing w:line="240" w:lineRule="auto"/>
        <w:ind w:firstLine="568"/>
        <w:rPr>
          <w:rFonts w:cs="仿宋"/>
          <w:spacing w:val="2"/>
          <w:szCs w:val="28"/>
        </w:rPr>
      </w:pPr>
      <w:r>
        <w:rPr>
          <w:rFonts w:cs="仿宋"/>
          <w:spacing w:val="2"/>
          <w:szCs w:val="28"/>
        </w:rPr>
        <w:t>个人信息录入包含如下的功能：</w:t>
      </w:r>
    </w:p>
    <w:p w14:paraId="7E1C79C8">
      <w:pPr>
        <w:spacing w:before="208" w:line="344" w:lineRule="auto"/>
        <w:ind w:left="17" w:right="281" w:firstLine="568"/>
        <w:rPr>
          <w:rFonts w:cs="仿宋"/>
          <w:szCs w:val="28"/>
        </w:rPr>
      </w:pPr>
      <w:r>
        <w:rPr>
          <w:rFonts w:cs="仿宋"/>
          <w:spacing w:val="2"/>
          <w:szCs w:val="28"/>
        </w:rPr>
        <w:t>1.功能描述：用户注册后填写个人基本信息，包括姓名</w:t>
      </w:r>
      <w:r>
        <w:rPr>
          <w:rFonts w:cs="仿宋"/>
          <w:spacing w:val="1"/>
          <w:szCs w:val="28"/>
        </w:rPr>
        <w:t>、性别、出生日</w:t>
      </w:r>
      <w:r>
        <w:rPr>
          <w:rFonts w:cs="仿宋"/>
          <w:spacing w:val="-1"/>
          <w:szCs w:val="28"/>
        </w:rPr>
        <w:t>期、身份证号等，以及紧急联系人信息。</w:t>
      </w:r>
    </w:p>
    <w:p w14:paraId="2578DBCE">
      <w:pPr>
        <w:spacing w:before="46" w:line="343" w:lineRule="auto"/>
        <w:ind w:left="17" w:right="281" w:firstLine="568"/>
        <w:rPr>
          <w:rFonts w:cs="仿宋"/>
          <w:szCs w:val="28"/>
        </w:rPr>
      </w:pPr>
      <w:r>
        <w:rPr>
          <w:rFonts w:cs="仿宋"/>
          <w:spacing w:val="2"/>
          <w:szCs w:val="28"/>
        </w:rPr>
        <w:t>2.实现要点：采用表单验证确保数据完整性与格式正确性。遵循隐私保</w:t>
      </w:r>
      <w:r>
        <w:rPr>
          <w:rFonts w:cs="仿宋"/>
          <w:spacing w:val="-2"/>
          <w:szCs w:val="28"/>
        </w:rPr>
        <w:t>护原则，敏感信息加密存储。</w:t>
      </w:r>
    </w:p>
    <w:p w14:paraId="289521EA">
      <w:pPr>
        <w:spacing w:before="48" w:line="344" w:lineRule="auto"/>
        <w:ind w:left="19" w:right="281" w:firstLine="568"/>
        <w:rPr>
          <w:rFonts w:cs="仿宋"/>
          <w:spacing w:val="-1"/>
          <w:szCs w:val="28"/>
        </w:rPr>
      </w:pPr>
      <w:r>
        <w:rPr>
          <w:rFonts w:cs="仿宋"/>
          <w:spacing w:val="2"/>
          <w:szCs w:val="28"/>
        </w:rPr>
        <w:t>3.接种记录管理：用户可以查看、添加或修改自己的疫苗接种记录，包</w:t>
      </w:r>
      <w:r>
        <w:rPr>
          <w:rFonts w:cs="仿宋"/>
          <w:spacing w:val="-1"/>
          <w:szCs w:val="28"/>
        </w:rPr>
        <w:t>括接种日期、疫苗类型、批号、接种单位等。</w:t>
      </w:r>
    </w:p>
    <w:p w14:paraId="7C42CAB2">
      <w:pPr>
        <w:pStyle w:val="5"/>
        <w:rPr>
          <w:rFonts w:ascii="黑体" w:hAnsi="黑体" w:cs="黑体"/>
          <w:spacing w:val="-3"/>
        </w:rPr>
      </w:pPr>
      <w:r>
        <w:rPr>
          <w:rFonts w:ascii="黑体" w:hAnsi="黑体" w:cs="黑体"/>
          <w:spacing w:val="-3"/>
        </w:rPr>
        <w:t>忘记密码</w:t>
      </w:r>
    </w:p>
    <w:p w14:paraId="296713D0">
      <w:pPr>
        <w:ind w:firstLine="560"/>
      </w:pPr>
      <w:r>
        <w:t>“忘记密码”是一个常见的功能，用于帮助用户在忘记了登录密码的情况下重新获得账户访问权限。在登录界面，设置“忘记密码”或“找回密码”链接，用户可以点击进入找回密码的流程。</w:t>
      </w:r>
    </w:p>
    <w:p w14:paraId="726FE3DB">
      <w:pPr>
        <w:ind w:firstLine="560"/>
      </w:pPr>
      <w:r>
        <w:t>身份验证：为了安全起见，会要求用户验证其身份。这可能包括输入注册时使用的电子邮件地址或手机号码。</w:t>
      </w:r>
    </w:p>
    <w:p w14:paraId="49854BD5">
      <w:pPr>
        <w:ind w:firstLine="560"/>
      </w:pPr>
      <w:r>
        <w:t>验证方法选择：提供多种找回密码的方式，如通过电子邮件、安全问题等。</w:t>
      </w:r>
    </w:p>
    <w:p w14:paraId="19BB0D36">
      <w:pPr>
        <w:ind w:firstLine="560"/>
      </w:pPr>
      <w:r>
        <w:t>在重置密码页面，用户可以输入并确认新的密码。</w:t>
      </w:r>
    </w:p>
    <w:p w14:paraId="37F69A7F">
      <w:pPr>
        <w:ind w:firstLine="560"/>
      </w:pPr>
      <w:r>
        <w:t>确认更改：一旦用户输入了新密码并确认，系统会更新密码信息，并通常会要求用户使用新密码重新登录。</w:t>
      </w:r>
    </w:p>
    <w:p w14:paraId="0A91D7BA">
      <w:pPr>
        <w:pStyle w:val="5"/>
        <w:rPr>
          <w:rFonts w:ascii="黑体" w:hAnsi="黑体" w:cs="黑体"/>
          <w:spacing w:val="-3"/>
        </w:rPr>
      </w:pPr>
      <w:r>
        <w:rPr>
          <w:rFonts w:ascii="黑体" w:hAnsi="黑体" w:cs="黑体"/>
          <w:spacing w:val="-3"/>
        </w:rPr>
        <w:t>公众用户管理</w:t>
      </w:r>
    </w:p>
    <w:p w14:paraId="180DA907">
      <w:pPr>
        <w:ind w:firstLine="560"/>
      </w:pPr>
      <w:r>
        <w:t>面向运维人员及机构管理员提供用户管理功能，实现对该系统用户账号的统一管理。</w:t>
      </w:r>
    </w:p>
    <w:p w14:paraId="5F1A3CB2">
      <w:pPr>
        <w:pStyle w:val="6"/>
        <w:rPr>
          <w:rFonts w:ascii="黑体" w:hAnsi="黑体" w:cs="黑体"/>
          <w:spacing w:val="-3"/>
        </w:rPr>
      </w:pPr>
      <w:r>
        <w:rPr>
          <w:rFonts w:ascii="黑体" w:hAnsi="黑体" w:cs="黑体"/>
          <w:spacing w:val="-3"/>
        </w:rPr>
        <w:t>用户列表</w:t>
      </w:r>
    </w:p>
    <w:p w14:paraId="0C9759A0">
      <w:pPr>
        <w:ind w:firstLine="560"/>
      </w:pPr>
      <w:r>
        <w:t>提供用户列表展示功能，展示用户基本信息，如用户名、姓名、手机号、用户状态等，以列表的形式展示。方便管理员快速查看和管理所有用户的信息，支持分页查看、搜索和筛选等操作。</w:t>
      </w:r>
    </w:p>
    <w:p w14:paraId="25560440">
      <w:pPr>
        <w:pStyle w:val="6"/>
        <w:rPr>
          <w:rFonts w:ascii="黑体" w:hAnsi="黑体" w:cs="黑体"/>
          <w:spacing w:val="-3"/>
        </w:rPr>
      </w:pPr>
      <w:r>
        <w:rPr>
          <w:rFonts w:ascii="黑体" w:hAnsi="黑体" w:cs="黑体"/>
          <w:spacing w:val="-3"/>
        </w:rPr>
        <w:t>用户停用</w:t>
      </w:r>
    </w:p>
    <w:p w14:paraId="6FEDDCC5">
      <w:pPr>
        <w:spacing w:before="327" w:line="343" w:lineRule="auto"/>
        <w:ind w:left="22" w:firstLine="564"/>
        <w:rPr>
          <w:rFonts w:cs="仿宋"/>
          <w:szCs w:val="28"/>
        </w:rPr>
      </w:pPr>
      <w:r>
        <w:rPr>
          <w:rFonts w:cs="仿宋"/>
          <w:spacing w:val="1"/>
          <w:szCs w:val="28"/>
        </w:rPr>
        <w:t>在用户管理界面列表操作列中为每个用户添加一个状态标签，“已启用”</w:t>
      </w:r>
      <w:r>
        <w:rPr>
          <w:rFonts w:cs="仿宋"/>
          <w:spacing w:val="-4"/>
          <w:szCs w:val="28"/>
        </w:rPr>
        <w:t>或“已停用”，并显示相应的图标或颜色编码，以便快</w:t>
      </w:r>
      <w:r>
        <w:rPr>
          <w:rFonts w:cs="仿宋"/>
          <w:spacing w:val="-5"/>
          <w:szCs w:val="28"/>
        </w:rPr>
        <w:t>速识别。</w:t>
      </w:r>
    </w:p>
    <w:p w14:paraId="133B6363">
      <w:pPr>
        <w:spacing w:before="46" w:line="349" w:lineRule="auto"/>
        <w:ind w:left="22" w:right="279" w:firstLine="552"/>
        <w:rPr>
          <w:rFonts w:cs="仿宋"/>
          <w:szCs w:val="28"/>
        </w:rPr>
      </w:pPr>
      <w:r>
        <w:rPr>
          <w:rFonts w:cs="仿宋"/>
          <w:spacing w:val="-2"/>
          <w:szCs w:val="28"/>
        </w:rPr>
        <w:t>提供一个“停用”按钮改变用户状态，针对状态为“已启用”</w:t>
      </w:r>
      <w:r>
        <w:rPr>
          <w:rFonts w:cs="仿宋"/>
          <w:spacing w:val="-3"/>
          <w:szCs w:val="28"/>
        </w:rPr>
        <w:t>的用户可</w:t>
      </w:r>
      <w:r>
        <w:rPr>
          <w:rFonts w:cs="仿宋"/>
          <w:spacing w:val="1"/>
          <w:szCs w:val="28"/>
        </w:rPr>
        <w:t>以通过点击“停用”按钮改变用户状态，点击后弹出确认对话框，</w:t>
      </w:r>
      <w:r>
        <w:rPr>
          <w:rFonts w:cs="仿宋"/>
          <w:szCs w:val="28"/>
        </w:rPr>
        <w:t>要求操作</w:t>
      </w:r>
      <w:r>
        <w:rPr>
          <w:rFonts w:cs="仿宋"/>
          <w:spacing w:val="-2"/>
          <w:szCs w:val="28"/>
        </w:rPr>
        <w:t>者确认其行为，以避免误操作。</w:t>
      </w:r>
    </w:p>
    <w:p w14:paraId="68607D24">
      <w:pPr>
        <w:pStyle w:val="6"/>
        <w:rPr>
          <w:rFonts w:ascii="黑体" w:hAnsi="黑体" w:cs="黑体"/>
          <w:spacing w:val="-3"/>
        </w:rPr>
      </w:pPr>
      <w:r>
        <w:rPr>
          <w:rFonts w:ascii="黑体" w:hAnsi="黑体" w:cs="黑体"/>
          <w:spacing w:val="-3"/>
        </w:rPr>
        <w:t>用户启用</w:t>
      </w:r>
    </w:p>
    <w:p w14:paraId="58ADC669">
      <w:pPr>
        <w:spacing w:before="328" w:line="344" w:lineRule="auto"/>
        <w:ind w:left="46" w:right="279" w:firstLine="552"/>
        <w:rPr>
          <w:rFonts w:cs="仿宋"/>
          <w:szCs w:val="28"/>
        </w:rPr>
      </w:pPr>
      <w:r>
        <w:rPr>
          <w:rFonts w:cs="仿宋"/>
          <w:spacing w:val="-2"/>
          <w:szCs w:val="28"/>
        </w:rPr>
        <w:t>提供一个“启用”按钮改变用户状态，针对状态为“已停用”</w:t>
      </w:r>
      <w:r>
        <w:rPr>
          <w:rFonts w:cs="仿宋"/>
          <w:spacing w:val="-3"/>
          <w:szCs w:val="28"/>
        </w:rPr>
        <w:t>的用户可</w:t>
      </w:r>
      <w:r>
        <w:rPr>
          <w:rFonts w:cs="仿宋"/>
          <w:spacing w:val="-5"/>
          <w:szCs w:val="28"/>
        </w:rPr>
        <w:t>以通过点击“启用”按钮就绪状态改变。</w:t>
      </w:r>
    </w:p>
    <w:p w14:paraId="1DA19F69">
      <w:pPr>
        <w:pStyle w:val="6"/>
        <w:rPr>
          <w:rFonts w:ascii="黑体" w:hAnsi="黑体" w:cs="黑体"/>
          <w:spacing w:val="-3"/>
        </w:rPr>
      </w:pPr>
      <w:r>
        <w:rPr>
          <w:rFonts w:ascii="黑体" w:hAnsi="黑体" w:cs="黑体"/>
          <w:spacing w:val="-3"/>
        </w:rPr>
        <w:t>用户检索</w:t>
      </w:r>
    </w:p>
    <w:p w14:paraId="5C6D3CE2">
      <w:pPr>
        <w:spacing w:before="328" w:line="344" w:lineRule="auto"/>
        <w:ind w:left="46" w:right="279" w:firstLine="552"/>
        <w:rPr>
          <w:rFonts w:cs="仿宋"/>
          <w:spacing w:val="-2"/>
          <w:szCs w:val="28"/>
        </w:rPr>
      </w:pPr>
      <w:r>
        <w:rPr>
          <w:rFonts w:cs="仿宋"/>
          <w:spacing w:val="-2"/>
          <w:szCs w:val="28"/>
        </w:rPr>
        <w:t>提供用户检索功能，查询条件包括用户名、姓名、状态等。</w:t>
      </w:r>
    </w:p>
    <w:p w14:paraId="65C59DB7">
      <w:pPr>
        <w:pStyle w:val="6"/>
        <w:rPr>
          <w:rFonts w:ascii="黑体" w:hAnsi="黑体" w:cs="黑体"/>
          <w:spacing w:val="-3"/>
        </w:rPr>
      </w:pPr>
      <w:r>
        <w:rPr>
          <w:rFonts w:ascii="黑体" w:hAnsi="黑体" w:cs="黑体"/>
          <w:spacing w:val="-3"/>
        </w:rPr>
        <w:t>密码重置</w:t>
      </w:r>
    </w:p>
    <w:p w14:paraId="694059BB">
      <w:pPr>
        <w:spacing w:before="332" w:line="342" w:lineRule="auto"/>
        <w:ind w:left="22" w:right="279" w:firstLine="568"/>
        <w:rPr>
          <w:rFonts w:cs="仿宋"/>
          <w:spacing w:val="-3"/>
          <w:szCs w:val="28"/>
        </w:rPr>
      </w:pPr>
      <w:r>
        <w:rPr>
          <w:rFonts w:cs="仿宋"/>
          <w:spacing w:val="2"/>
          <w:szCs w:val="28"/>
        </w:rPr>
        <w:t>面向运维人员及机构管理员提供密码重置功能，针对已忘记密码的用户</w:t>
      </w:r>
      <w:r>
        <w:rPr>
          <w:rFonts w:cs="仿宋"/>
          <w:spacing w:val="-3"/>
          <w:szCs w:val="28"/>
        </w:rPr>
        <w:t>可进行密码重置。</w:t>
      </w:r>
    </w:p>
    <w:p w14:paraId="64BF5C7C">
      <w:pPr>
        <w:spacing w:line="342" w:lineRule="auto"/>
        <w:ind w:firstLine="560"/>
        <w:rPr>
          <w:rFonts w:cs="仿宋"/>
          <w:szCs w:val="28"/>
        </w:rPr>
      </w:pPr>
    </w:p>
    <w:p w14:paraId="1C4BDD10">
      <w:pPr>
        <w:pStyle w:val="5"/>
        <w:rPr>
          <w:rFonts w:ascii="黑体" w:hAnsi="黑体" w:cs="黑体"/>
          <w:spacing w:val="-3"/>
        </w:rPr>
      </w:pPr>
      <w:r>
        <w:rPr>
          <w:rFonts w:ascii="黑体" w:hAnsi="黑体" w:cs="黑体"/>
          <w:spacing w:val="-3"/>
        </w:rPr>
        <w:t>用户操作日志</w:t>
      </w:r>
    </w:p>
    <w:p w14:paraId="256C6463">
      <w:pPr>
        <w:pStyle w:val="6"/>
        <w:rPr>
          <w:rFonts w:ascii="黑体" w:hAnsi="黑体" w:cs="黑体"/>
          <w:spacing w:val="-3"/>
        </w:rPr>
      </w:pPr>
      <w:r>
        <w:rPr>
          <w:rFonts w:ascii="黑体" w:hAnsi="黑体" w:cs="黑体"/>
          <w:spacing w:val="-3"/>
        </w:rPr>
        <w:t>日志列表</w:t>
      </w:r>
    </w:p>
    <w:p w14:paraId="4A53FEEF">
      <w:pPr>
        <w:spacing w:before="325" w:line="349" w:lineRule="auto"/>
        <w:ind w:left="14" w:firstLine="568"/>
        <w:rPr>
          <w:rFonts w:cs="仿宋"/>
          <w:szCs w:val="28"/>
        </w:rPr>
      </w:pPr>
      <w:r>
        <w:rPr>
          <w:rFonts w:cs="仿宋"/>
          <w:spacing w:val="2"/>
          <w:szCs w:val="28"/>
        </w:rPr>
        <w:t>系统自动记录采集任务执行日志，利于理解用户行为、提高安全性、调</w:t>
      </w:r>
      <w:r>
        <w:rPr>
          <w:rFonts w:cs="仿宋"/>
          <w:spacing w:val="-6"/>
          <w:szCs w:val="28"/>
        </w:rPr>
        <w:t>试问题以及进行合规性审计。用户操作日志列表内容包括操作用户、登录IP、</w:t>
      </w:r>
      <w:r>
        <w:rPr>
          <w:rFonts w:cs="仿宋"/>
          <w:spacing w:val="-1"/>
          <w:szCs w:val="28"/>
        </w:rPr>
        <w:t>设备信息、操作类别、操作时间等。</w:t>
      </w:r>
    </w:p>
    <w:p w14:paraId="1367EFEB">
      <w:pPr>
        <w:pStyle w:val="6"/>
        <w:rPr>
          <w:rFonts w:ascii="黑体" w:hAnsi="黑体" w:cs="黑体"/>
          <w:spacing w:val="-3"/>
        </w:rPr>
      </w:pPr>
      <w:r>
        <w:rPr>
          <w:rFonts w:ascii="黑体" w:hAnsi="黑体" w:cs="黑体"/>
          <w:spacing w:val="-3"/>
        </w:rPr>
        <w:t>日志检索</w:t>
      </w:r>
    </w:p>
    <w:p w14:paraId="156BBCBA">
      <w:pPr>
        <w:spacing w:before="327" w:line="343" w:lineRule="auto"/>
        <w:ind w:left="20" w:right="93" w:firstLine="556"/>
        <w:rPr>
          <w:rFonts w:cs="仿宋"/>
          <w:szCs w:val="28"/>
        </w:rPr>
      </w:pPr>
      <w:r>
        <w:rPr>
          <w:rFonts w:cs="仿宋"/>
          <w:spacing w:val="-1"/>
          <w:szCs w:val="28"/>
        </w:rPr>
        <w:t>用户操作日志提供根据操作用户、登录IP、设备信息、操作类别等条件进行检索查询，方便快速定位用户和重点关注内容。</w:t>
      </w:r>
    </w:p>
    <w:p w14:paraId="6133E171">
      <w:pPr>
        <w:pStyle w:val="6"/>
        <w:rPr>
          <w:rFonts w:ascii="黑体" w:hAnsi="黑体" w:cs="黑体"/>
          <w:spacing w:val="-3"/>
        </w:rPr>
      </w:pPr>
      <w:r>
        <w:rPr>
          <w:rFonts w:ascii="黑体" w:hAnsi="黑体" w:cs="黑体"/>
          <w:spacing w:val="-3"/>
        </w:rPr>
        <w:t>日志详情</w:t>
      </w:r>
    </w:p>
    <w:p w14:paraId="1E5C9CE5">
      <w:pPr>
        <w:spacing w:before="329" w:line="343" w:lineRule="auto"/>
        <w:ind w:left="23" w:firstLine="544"/>
        <w:rPr>
          <w:rFonts w:cs="仿宋"/>
          <w:szCs w:val="28"/>
        </w:rPr>
      </w:pPr>
      <w:r>
        <w:rPr>
          <w:rFonts w:cs="仿宋"/>
          <w:spacing w:val="-4"/>
          <w:szCs w:val="28"/>
        </w:rPr>
        <w:t>用户操作日志提供操作详细信息查看功能，展示信息主要包括操作用户、</w:t>
      </w:r>
      <w:r>
        <w:rPr>
          <w:rFonts w:cs="仿宋"/>
          <w:spacing w:val="-3"/>
          <w:szCs w:val="28"/>
        </w:rPr>
        <w:t>登录IP、设备信息、操作类别、操作时间。</w:t>
      </w:r>
    </w:p>
    <w:p w14:paraId="61FBC5CC">
      <w:pPr>
        <w:pStyle w:val="5"/>
        <w:rPr>
          <w:rFonts w:ascii="黑体" w:hAnsi="黑体" w:cs="黑体"/>
          <w:spacing w:val="-3"/>
        </w:rPr>
      </w:pPr>
      <w:r>
        <w:rPr>
          <w:rFonts w:ascii="黑体" w:hAnsi="黑体" w:cs="黑体"/>
          <w:spacing w:val="-3"/>
        </w:rPr>
        <w:t>公众用户画像</w:t>
      </w:r>
    </w:p>
    <w:p w14:paraId="12DFFD53">
      <w:pPr>
        <w:pStyle w:val="6"/>
        <w:rPr>
          <w:rFonts w:ascii="黑体" w:hAnsi="黑体" w:cs="黑体"/>
          <w:spacing w:val="-3"/>
        </w:rPr>
      </w:pPr>
      <w:r>
        <w:rPr>
          <w:rFonts w:ascii="黑体" w:hAnsi="黑体" w:cs="黑体"/>
          <w:spacing w:val="-3"/>
        </w:rPr>
        <w:t>个性化预约提醒</w:t>
      </w:r>
    </w:p>
    <w:p w14:paraId="3606274E">
      <w:pPr>
        <w:spacing w:before="327" w:line="349" w:lineRule="auto"/>
        <w:ind w:left="20" w:right="94" w:firstLine="568"/>
        <w:rPr>
          <w:rFonts w:cs="仿宋"/>
          <w:szCs w:val="28"/>
        </w:rPr>
      </w:pPr>
      <w:r>
        <w:rPr>
          <w:rFonts w:cs="仿宋"/>
          <w:spacing w:val="2"/>
          <w:szCs w:val="28"/>
        </w:rPr>
        <w:t>根据用户（尤其是儿童和老人）的免疫接种计划和个人健康状况，系统会自动发送预约接种提醒，确保及时接种。提醒内容可能包括接种日期、接</w:t>
      </w:r>
      <w:r>
        <w:rPr>
          <w:rFonts w:cs="仿宋"/>
          <w:spacing w:val="-1"/>
          <w:szCs w:val="28"/>
        </w:rPr>
        <w:t>种疫苗种类、所需携带的证件或材料等具体信息。</w:t>
      </w:r>
    </w:p>
    <w:p w14:paraId="251EA01F">
      <w:pPr>
        <w:pStyle w:val="6"/>
        <w:rPr>
          <w:rFonts w:ascii="黑体" w:hAnsi="黑体" w:cs="黑体"/>
          <w:spacing w:val="-3"/>
        </w:rPr>
      </w:pPr>
      <w:r>
        <w:rPr>
          <w:rFonts w:ascii="黑体" w:hAnsi="黑体" w:cs="黑体"/>
          <w:spacing w:val="-3"/>
        </w:rPr>
        <w:t>接种进度追踪</w:t>
      </w:r>
    </w:p>
    <w:p w14:paraId="22F1955D">
      <w:pPr>
        <w:spacing w:before="326" w:line="344" w:lineRule="auto"/>
        <w:ind w:left="19" w:firstLine="544"/>
        <w:rPr>
          <w:rFonts w:cs="仿宋"/>
          <w:szCs w:val="28"/>
        </w:rPr>
      </w:pPr>
      <w:r>
        <w:rPr>
          <w:rFonts w:cs="仿宋"/>
          <w:spacing w:val="-4"/>
          <w:szCs w:val="28"/>
        </w:rPr>
        <w:t>用户可以实时查看自己的疫苗接种记录，包括已接种疫苗的种类、剂次、</w:t>
      </w:r>
      <w:r>
        <w:rPr>
          <w:rFonts w:cs="仿宋"/>
          <w:spacing w:val="-2"/>
          <w:szCs w:val="28"/>
        </w:rPr>
        <w:t>接种日期及接种地点等详细信息。</w:t>
      </w:r>
    </w:p>
    <w:p w14:paraId="28FBCAEE">
      <w:pPr>
        <w:pStyle w:val="6"/>
        <w:rPr>
          <w:rFonts w:ascii="黑体" w:hAnsi="黑体" w:cs="黑体"/>
          <w:spacing w:val="-3"/>
        </w:rPr>
      </w:pPr>
      <w:r>
        <w:rPr>
          <w:rFonts w:ascii="黑体" w:hAnsi="黑体" w:cs="黑体"/>
          <w:spacing w:val="-3"/>
        </w:rPr>
        <w:t>疫苗查询</w:t>
      </w:r>
    </w:p>
    <w:p w14:paraId="5EA4E480">
      <w:pPr>
        <w:spacing w:before="324" w:line="344" w:lineRule="auto"/>
        <w:ind w:left="19" w:right="94" w:firstLine="568"/>
        <w:rPr>
          <w:rFonts w:cs="仿宋"/>
          <w:spacing w:val="-2"/>
          <w:szCs w:val="28"/>
        </w:rPr>
      </w:pPr>
      <w:r>
        <w:rPr>
          <w:rFonts w:cs="仿宋"/>
          <w:spacing w:val="2"/>
          <w:szCs w:val="28"/>
        </w:rPr>
        <w:t>系统会根据国家免疫规划和个人接种历史，显示剩余待接种疫苗及预计</w:t>
      </w:r>
      <w:r>
        <w:rPr>
          <w:rFonts w:cs="仿宋"/>
          <w:spacing w:val="-2"/>
          <w:szCs w:val="28"/>
        </w:rPr>
        <w:t>接种时间，形成个人化的接种进度表。</w:t>
      </w:r>
    </w:p>
    <w:p w14:paraId="76DEECBF">
      <w:pPr>
        <w:pStyle w:val="6"/>
        <w:rPr>
          <w:rFonts w:ascii="黑体" w:hAnsi="黑体" w:cs="黑体"/>
          <w:spacing w:val="-3"/>
        </w:rPr>
      </w:pPr>
      <w:r>
        <w:rPr>
          <w:rFonts w:ascii="黑体" w:hAnsi="黑体" w:cs="黑体"/>
          <w:spacing w:val="-3"/>
        </w:rPr>
        <mc:AlternateContent>
          <mc:Choice Requires="wps">
            <w:drawing>
              <wp:anchor distT="0" distB="0" distL="114300" distR="114300" simplePos="0" relativeHeight="251668480" behindDoc="0" locked="0" layoutInCell="0" allowOverlap="1">
                <wp:simplePos x="0" y="0"/>
                <wp:positionH relativeFrom="page">
                  <wp:posOffset>817245</wp:posOffset>
                </wp:positionH>
                <wp:positionV relativeFrom="page">
                  <wp:posOffset>803910</wp:posOffset>
                </wp:positionV>
                <wp:extent cx="5926455" cy="9525"/>
                <wp:effectExtent l="0" t="0" r="0" b="0"/>
                <wp:wrapNone/>
                <wp:docPr id="21" name="任意多边形 21"/>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4.35pt;margin-top:63.3pt;height:0.75pt;width:466.65pt;mso-position-horizontal-relative:page;mso-position-vertical-relative:page;z-index:251668480;mso-width-relative:page;mso-height-relative:page;" fillcolor="#000000" filled="t" stroked="f" coordsize="9332,15" o:allowincell="f" o:gfxdata="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MUBQHnVAAAADAEAAA8A&#10;AAAAAAAAAQAgAAAAIgAAAGRycy9kb3ducmV2LnhtbFBLAQIUABQAAAAIAIdO4kDlp9kCGgIAAJ4E&#10;AAAOAAAAAAAAAAEAIAAAACQBAABkcnMvZTJvRG9jLnhtbFBLBQYAAAAABgAGAFkBAACwBQAAAAA=&#10;" path="m0,0l9332,0,9332,14,0,14,0,0xe">
                <v:fill on="t" focussize="0,0"/>
                <v:stroke on="f"/>
                <v:imagedata o:title=""/>
                <o:lock v:ext="edit" aspectratio="f"/>
              </v:shape>
            </w:pict>
          </mc:Fallback>
        </mc:AlternateContent>
      </w:r>
      <w:r>
        <w:rPr>
          <w:rFonts w:ascii="黑体" w:hAnsi="黑体" w:cs="黑体"/>
          <w:spacing w:val="-3"/>
        </w:rPr>
        <w:t>特殊人群提醒</w:t>
      </w:r>
    </w:p>
    <w:p w14:paraId="612D4AF4">
      <w:pPr>
        <w:spacing w:before="327" w:line="345" w:lineRule="auto"/>
        <w:ind w:left="17" w:firstLine="564"/>
        <w:rPr>
          <w:rFonts w:cs="仿宋"/>
          <w:szCs w:val="28"/>
        </w:rPr>
      </w:pPr>
      <w:r>
        <w:rPr>
          <w:rFonts w:cs="仿宋"/>
          <w:spacing w:val="1"/>
          <w:szCs w:val="28"/>
        </w:rPr>
        <w:t>对于特殊人群（如孕妇、免疫力低下者</w:t>
      </w:r>
      <w:r>
        <w:rPr>
          <w:rFonts w:cs="仿宋"/>
          <w:spacing w:val="20"/>
          <w:szCs w:val="28"/>
        </w:rPr>
        <w:t>），</w:t>
      </w:r>
      <w:r>
        <w:rPr>
          <w:rFonts w:cs="仿宋"/>
          <w:spacing w:val="1"/>
          <w:szCs w:val="28"/>
        </w:rPr>
        <w:t>系统可能提供针对性的接种</w:t>
      </w:r>
      <w:r>
        <w:rPr>
          <w:rFonts w:cs="仿宋"/>
          <w:spacing w:val="-2"/>
          <w:szCs w:val="28"/>
        </w:rPr>
        <w:t>建议或禁忌症提示。</w:t>
      </w:r>
    </w:p>
    <w:p w14:paraId="21A15E51">
      <w:pPr>
        <w:pStyle w:val="6"/>
        <w:rPr>
          <w:rFonts w:ascii="黑体" w:hAnsi="黑体" w:cs="黑体"/>
          <w:spacing w:val="-3"/>
        </w:rPr>
      </w:pPr>
      <w:r>
        <w:rPr>
          <w:rFonts w:ascii="黑体" w:hAnsi="黑体" w:cs="黑体"/>
          <w:spacing w:val="-3"/>
        </w:rPr>
        <w:t>电子接种证验证</w:t>
      </w:r>
    </w:p>
    <w:p w14:paraId="46ABFD93">
      <w:pPr>
        <w:spacing w:before="327" w:line="344" w:lineRule="auto"/>
        <w:ind w:left="19" w:firstLine="568"/>
        <w:rPr>
          <w:rFonts w:cs="仿宋"/>
          <w:szCs w:val="28"/>
        </w:rPr>
      </w:pPr>
      <w:r>
        <w:rPr>
          <w:rFonts w:cs="仿宋"/>
          <w:spacing w:val="2"/>
          <w:szCs w:val="28"/>
        </w:rPr>
        <w:t>平台可能提供一键查验功能，快速生成符合学校或托幼机构要求的电子</w:t>
      </w:r>
      <w:r>
        <w:rPr>
          <w:rFonts w:cs="仿宋"/>
          <w:spacing w:val="-3"/>
          <w:szCs w:val="28"/>
        </w:rPr>
        <w:t>接种证明文件。</w:t>
      </w:r>
    </w:p>
    <w:p w14:paraId="4F2BDA6D">
      <w:pPr>
        <w:pStyle w:val="6"/>
        <w:rPr>
          <w:rFonts w:ascii="黑体" w:hAnsi="黑体" w:cs="黑体"/>
          <w:spacing w:val="-3"/>
        </w:rPr>
      </w:pPr>
      <w:r>
        <w:rPr>
          <w:rFonts w:ascii="黑体" w:hAnsi="黑体" w:cs="黑体"/>
          <w:spacing w:val="-3"/>
        </w:rPr>
        <w:t>疫苗知识推送</w:t>
      </w:r>
    </w:p>
    <w:p w14:paraId="60676242">
      <w:pPr>
        <w:spacing w:before="327" w:line="349" w:lineRule="auto"/>
        <w:ind w:left="17" w:firstLine="568"/>
        <w:rPr>
          <w:rFonts w:cs="仿宋"/>
          <w:szCs w:val="28"/>
        </w:rPr>
      </w:pPr>
      <w:r>
        <w:rPr>
          <w:rFonts w:cs="仿宋"/>
          <w:spacing w:val="2"/>
          <w:szCs w:val="28"/>
        </w:rPr>
        <w:t>根据用户画像，推送与用户健康状况、年龄阶段、生活地域等相关的疫苗知识、接种政策更新、疫苗安全性及有效性信息，提升用户的疫苗接种意</w:t>
      </w:r>
      <w:r>
        <w:rPr>
          <w:rFonts w:cs="仿宋"/>
          <w:spacing w:val="-3"/>
          <w:szCs w:val="28"/>
        </w:rPr>
        <w:t>识和科学素养。</w:t>
      </w:r>
    </w:p>
    <w:p w14:paraId="793175EF">
      <w:pPr>
        <w:pStyle w:val="5"/>
        <w:rPr>
          <w:rFonts w:ascii="黑体" w:hAnsi="黑体" w:cs="黑体"/>
          <w:spacing w:val="-3"/>
        </w:rPr>
      </w:pPr>
      <w:r>
        <w:rPr>
          <w:rFonts w:ascii="黑体" w:hAnsi="黑体" w:cs="黑体"/>
          <w:spacing w:val="-3"/>
        </w:rPr>
        <w:t>公众用户统计</w:t>
      </w:r>
    </w:p>
    <w:p w14:paraId="79864A9B">
      <w:pPr>
        <w:pStyle w:val="6"/>
        <w:rPr>
          <w:rFonts w:ascii="黑体" w:hAnsi="黑体" w:cs="黑体"/>
          <w:spacing w:val="-3"/>
        </w:rPr>
      </w:pPr>
      <w:r>
        <w:rPr>
          <w:rFonts w:ascii="黑体" w:hAnsi="黑体" w:cs="黑体"/>
          <w:spacing w:val="-3"/>
        </w:rPr>
        <w:t>用户增长趋势统计</w:t>
      </w:r>
    </w:p>
    <w:p w14:paraId="2FE91505">
      <w:pPr>
        <w:spacing w:before="329" w:line="349" w:lineRule="auto"/>
        <w:ind w:left="17" w:firstLine="568"/>
        <w:rPr>
          <w:rFonts w:cs="仿宋"/>
          <w:szCs w:val="28"/>
        </w:rPr>
      </w:pPr>
      <w:r>
        <w:rPr>
          <w:rFonts w:cs="仿宋"/>
          <w:spacing w:val="2"/>
          <w:szCs w:val="28"/>
        </w:rPr>
        <w:t>用户增长趋势统计，对用户数量的增长趋势进行统计分析，包括每日新增用户数、每周新增用户数、每月新增用户数等。这些数据可以帮助管理者</w:t>
      </w:r>
      <w:r>
        <w:rPr>
          <w:rFonts w:cs="仿宋"/>
          <w:spacing w:val="-1"/>
          <w:szCs w:val="28"/>
        </w:rPr>
        <w:t>了解用户增长的情况，从而帮助监测电子接种证管理系统用户的使用情况。</w:t>
      </w:r>
    </w:p>
    <w:p w14:paraId="1BD82C46">
      <w:pPr>
        <w:pStyle w:val="6"/>
        <w:rPr>
          <w:rFonts w:ascii="黑体" w:hAnsi="黑体" w:cs="黑体"/>
          <w:spacing w:val="-3"/>
        </w:rPr>
      </w:pPr>
      <w:r>
        <w:rPr>
          <w:rFonts w:ascii="黑体" w:hAnsi="黑体" w:cs="黑体"/>
          <w:spacing w:val="-3"/>
        </w:rPr>
        <w:t>用户人口学特征分析</w:t>
      </w:r>
    </w:p>
    <w:p w14:paraId="4F272988">
      <w:pPr>
        <w:spacing w:before="329" w:line="348" w:lineRule="auto"/>
        <w:ind w:left="19" w:firstLine="568"/>
        <w:rPr>
          <w:rFonts w:cs="仿宋"/>
          <w:szCs w:val="28"/>
        </w:rPr>
      </w:pPr>
      <w:r>
        <w:rPr>
          <w:rFonts w:cs="仿宋"/>
          <w:spacing w:val="2"/>
          <w:szCs w:val="28"/>
        </w:rPr>
        <w:t>用户人口学特征分析，对用户的性别、年龄、地域、学历等人口学特征进行统计分析。通过这些数据，管理者能够更好地理解接种群体的结构，为</w:t>
      </w:r>
      <w:r>
        <w:rPr>
          <w:rFonts w:cs="仿宋"/>
          <w:spacing w:val="-2"/>
          <w:szCs w:val="28"/>
        </w:rPr>
        <w:t>制定免疫规划预防接种政策提供依据。</w:t>
      </w:r>
    </w:p>
    <w:p w14:paraId="2C7137C6">
      <w:pPr>
        <w:pStyle w:val="6"/>
        <w:rPr>
          <w:rFonts w:ascii="黑体" w:hAnsi="黑体" w:cs="黑体"/>
          <w:spacing w:val="-3"/>
        </w:rPr>
      </w:pPr>
      <w:r>
        <w:rPr>
          <w:rFonts w:ascii="黑体" w:hAnsi="黑体" w:cs="黑体"/>
          <w:spacing w:val="-3"/>
        </w:rPr>
        <w:t>用户时空分布分析</w:t>
      </w:r>
    </w:p>
    <w:p w14:paraId="0E7579F4">
      <w:pPr>
        <w:spacing w:before="323" w:line="332" w:lineRule="auto"/>
        <w:ind w:left="23" w:firstLine="568"/>
        <w:rPr>
          <w:rFonts w:cs="仿宋"/>
          <w:szCs w:val="28"/>
        </w:rPr>
      </w:pPr>
      <w:r>
        <w:rPr>
          <w:rFonts w:cs="仿宋"/>
          <w:spacing w:val="2"/>
          <w:szCs w:val="28"/>
        </w:rPr>
        <w:t>用户时空分布分析，分析用户在特定时间和地点的分布情况，如在一天中的哪个时段接种人数最多，或者某个区域的接种率高等。这有助于优化资</w:t>
      </w:r>
      <w:r>
        <w:rPr>
          <w:rFonts w:cs="仿宋"/>
          <w:spacing w:val="-3"/>
          <w:szCs w:val="28"/>
        </w:rPr>
        <w:t>源分配和提高服务效率。</w:t>
      </w:r>
    </w:p>
    <w:p w14:paraId="4BD44302">
      <w:pPr>
        <w:pStyle w:val="4"/>
        <w:rPr>
          <w:rFonts w:ascii="黑体" w:hAnsi="黑体" w:cs="黑体"/>
          <w:spacing w:val="-3"/>
        </w:rPr>
      </w:pPr>
      <w:bookmarkStart w:id="95" w:name="_Toc32450"/>
      <w:bookmarkStart w:id="96" w:name="_Toc2469"/>
      <w:bookmarkStart w:id="97" w:name="_Toc14376"/>
      <w:bookmarkStart w:id="98" w:name="_Toc32517"/>
      <w:bookmarkStart w:id="99" w:name="_Toc30312"/>
      <w:r>
        <w:rPr>
          <w:rFonts w:ascii="黑体" w:hAnsi="黑体" w:cs="黑体"/>
          <w:spacing w:val="-3"/>
        </w:rPr>
        <w:t>电子接种证管理</w:t>
      </w:r>
      <w:bookmarkEnd w:id="95"/>
      <w:bookmarkEnd w:id="96"/>
      <w:bookmarkEnd w:id="97"/>
      <w:bookmarkEnd w:id="98"/>
      <w:bookmarkEnd w:id="99"/>
    </w:p>
    <w:p w14:paraId="291B7480">
      <w:pPr>
        <w:spacing w:before="327" w:line="344" w:lineRule="auto"/>
        <w:ind w:left="19" w:right="94" w:firstLine="564"/>
        <w:rPr>
          <w:rFonts w:cs="仿宋"/>
          <w:szCs w:val="28"/>
        </w:rPr>
      </w:pPr>
      <w:r>
        <w:rPr>
          <w:rFonts w:cs="仿宋"/>
          <w:spacing w:val="1"/>
          <w:szCs w:val="28"/>
        </w:rPr>
        <w:t>电子接种证管理实现家庭成员电子接种证申领、电子接种证维护、电子</w:t>
      </w:r>
      <w:r>
        <w:rPr>
          <w:rFonts w:cs="仿宋"/>
          <w:spacing w:val="-1"/>
          <w:szCs w:val="28"/>
        </w:rPr>
        <w:t>接种证注销、默认电子接种证配置功能。</w:t>
      </w:r>
    </w:p>
    <w:p w14:paraId="1D512500">
      <w:pPr>
        <w:pStyle w:val="5"/>
        <w:rPr>
          <w:rFonts w:ascii="黑体" w:hAnsi="黑体" w:cs="黑体"/>
          <w:spacing w:val="-3"/>
        </w:rPr>
      </w:pPr>
      <w:r>
        <w:rPr>
          <w:rFonts w:ascii="黑体" w:hAnsi="黑体" w:cs="黑体"/>
          <w:spacing w:val="-3"/>
        </w:rPr>
        <w:t>电子接种证列表</w:t>
      </w:r>
    </w:p>
    <w:p w14:paraId="4D0523F3">
      <w:pPr>
        <w:spacing w:before="327" w:line="344" w:lineRule="auto"/>
        <w:ind w:left="19" w:firstLine="544"/>
        <w:rPr>
          <w:rFonts w:cs="仿宋"/>
          <w:szCs w:val="28"/>
        </w:rPr>
      </w:pPr>
      <w:r>
        <w:rPr>
          <w:rFonts w:cs="仿宋"/>
          <w:spacing w:val="-4"/>
          <w:szCs w:val="28"/>
        </w:rPr>
        <w:t>面向管理员提供电子接种证申领列表，展示内容主要包括姓名、手机号、</w:t>
      </w:r>
      <w:r>
        <w:rPr>
          <w:rFonts w:cs="仿宋"/>
          <w:spacing w:val="-2"/>
          <w:szCs w:val="28"/>
        </w:rPr>
        <w:t>接种证类型、接种证状态等。</w:t>
      </w:r>
    </w:p>
    <w:p w14:paraId="59410EE5">
      <w:pPr>
        <w:pStyle w:val="5"/>
        <w:rPr>
          <w:rFonts w:ascii="黑体" w:hAnsi="黑体" w:cs="黑体"/>
          <w:spacing w:val="-3"/>
        </w:rPr>
      </w:pPr>
      <w:r>
        <w:rPr>
          <w:rFonts w:ascii="黑体" w:hAnsi="黑体" w:cs="黑体"/>
          <w:spacing w:val="-3"/>
        </w:rPr>
        <w:t>电子接种证申领</w:t>
      </w:r>
    </w:p>
    <w:p w14:paraId="2FE55D6E">
      <w:pPr>
        <w:spacing w:before="327" w:line="349" w:lineRule="auto"/>
        <w:ind w:left="17" w:right="94" w:firstLine="568"/>
        <w:rPr>
          <w:rFonts w:cs="仿宋"/>
          <w:szCs w:val="28"/>
        </w:rPr>
      </w:pPr>
      <w:r>
        <w:rPr>
          <w:rFonts w:cs="仿宋"/>
          <w:spacing w:val="2"/>
          <w:szCs w:val="28"/>
        </w:rPr>
        <w:t>面向公众用户提供电子接种证申领，用户可以通过此功能申请电子接种证。在申请过程中，用户需要填写个人信息，包括姓名、身份证号、联系方</w:t>
      </w:r>
      <w:r>
        <w:rPr>
          <w:rFonts w:cs="仿宋"/>
          <w:spacing w:val="-1"/>
          <w:szCs w:val="28"/>
        </w:rPr>
        <w:t>式等。如果是为家庭成员申请，用户还需要填写家庭成员的相关信息。</w:t>
      </w:r>
    </w:p>
    <w:p w14:paraId="0D3E1091">
      <w:pPr>
        <w:spacing w:before="49" w:line="351" w:lineRule="auto"/>
        <w:ind w:left="17" w:right="94" w:firstLine="568"/>
        <w:rPr>
          <w:rFonts w:cs="仿宋"/>
          <w:szCs w:val="28"/>
        </w:rPr>
      </w:pPr>
      <w:r>
        <w:rPr>
          <w:rFonts w:cs="仿宋"/>
          <w:spacing w:val="2"/>
          <w:szCs w:val="28"/>
        </w:rPr>
        <w:t>系统会对用户提交的信息进行审核，审核通过后，用户将获得电子接种</w:t>
      </w:r>
      <w:r>
        <w:rPr>
          <w:rFonts w:cs="仿宋"/>
          <w:spacing w:val="-9"/>
          <w:szCs w:val="28"/>
        </w:rPr>
        <w:t>证。</w:t>
      </w:r>
    </w:p>
    <w:p w14:paraId="210E48B8">
      <w:pPr>
        <w:pStyle w:val="5"/>
        <w:rPr>
          <w:rFonts w:ascii="黑体" w:hAnsi="黑体" w:cs="黑体"/>
          <w:spacing w:val="-3"/>
        </w:rPr>
      </w:pPr>
      <w:r>
        <w:rPr>
          <w:rFonts w:ascii="黑体" w:hAnsi="黑体" w:cs="黑体"/>
          <w:spacing w:val="-3"/>
        </w:rPr>
        <w:t>电子接种证维护</w:t>
      </w:r>
    </w:p>
    <w:p w14:paraId="3C087D9B">
      <w:pPr>
        <w:spacing w:before="331" w:line="344" w:lineRule="auto"/>
        <w:ind w:left="20" w:right="139" w:firstLine="560"/>
        <w:rPr>
          <w:rFonts w:cs="仿宋"/>
          <w:szCs w:val="28"/>
        </w:rPr>
      </w:pPr>
      <w:r>
        <w:rPr>
          <w:rFonts w:cs="仿宋"/>
          <w:szCs w:val="28"/>
        </w:rPr>
        <w:t>电子接种证维护模块提供电子接种证的申领（包括本人、家</w:t>
      </w:r>
      <w:r>
        <w:rPr>
          <w:rFonts w:cs="仿宋"/>
          <w:spacing w:val="-1"/>
          <w:szCs w:val="28"/>
        </w:rPr>
        <w:t>庭成员）、</w:t>
      </w:r>
      <w:r>
        <w:rPr>
          <w:rFonts w:cs="仿宋"/>
          <w:spacing w:val="-3"/>
          <w:szCs w:val="28"/>
        </w:rPr>
        <w:t>删除、查看功能。</w:t>
      </w:r>
    </w:p>
    <w:p w14:paraId="2CC77714">
      <w:pPr>
        <w:pStyle w:val="5"/>
        <w:rPr>
          <w:rFonts w:ascii="黑体" w:hAnsi="黑体" w:cs="黑体"/>
          <w:spacing w:val="-3"/>
        </w:rPr>
      </w:pPr>
      <w:r>
        <w:rPr>
          <w:rFonts w:ascii="黑体" w:hAnsi="黑体" w:cs="黑体"/>
          <w:spacing w:val="-3"/>
        </w:rPr>
        <w:t>5.3.2.4.2.4电子接种证注销</w:t>
      </w:r>
    </w:p>
    <w:p w14:paraId="7B3016F3">
      <w:pPr>
        <w:spacing w:before="326" w:line="344" w:lineRule="auto"/>
        <w:ind w:left="48" w:right="94" w:firstLine="564"/>
        <w:rPr>
          <w:rFonts w:cs="仿宋"/>
          <w:szCs w:val="28"/>
        </w:rPr>
      </w:pPr>
      <w:r>
        <w:rPr>
          <w:rFonts w:cs="仿宋"/>
          <w:spacing w:val="1"/>
          <w:szCs w:val="28"/>
        </w:rPr>
        <w:t>电子接种证注销功能为用户提供电子接种证注销服务，用户在需要注销</w:t>
      </w:r>
      <w:r>
        <w:rPr>
          <w:rFonts w:cs="仿宋"/>
          <w:spacing w:val="-3"/>
          <w:szCs w:val="28"/>
        </w:rPr>
        <w:t>电子接种证时，可进行电子接种证注销。</w:t>
      </w:r>
    </w:p>
    <w:p w14:paraId="7EED5C90">
      <w:pPr>
        <w:pStyle w:val="5"/>
        <w:rPr>
          <w:rFonts w:ascii="黑体" w:hAnsi="黑体" w:cs="黑体"/>
          <w:spacing w:val="-3"/>
        </w:rPr>
      </w:pPr>
      <w:r>
        <w:rPr>
          <w:rFonts w:ascii="黑体" w:hAnsi="黑体" w:cs="黑体"/>
          <w:spacing w:val="-3"/>
        </w:rPr>
        <w:t>电子接种证默认设置</w:t>
      </w:r>
    </w:p>
    <w:p w14:paraId="7304FCEA">
      <w:pPr>
        <w:spacing w:before="325" w:line="332" w:lineRule="auto"/>
        <w:ind w:left="17" w:right="94" w:firstLine="564"/>
        <w:rPr>
          <w:rFonts w:cs="仿宋"/>
          <w:szCs w:val="28"/>
        </w:rPr>
      </w:pPr>
      <w:r>
        <w:rPr>
          <w:rFonts w:cs="仿宋"/>
          <w:spacing w:val="1"/>
          <w:szCs w:val="28"/>
        </w:rPr>
        <w:t>电子接种证默认设置是为公众用户提供的优先展示接种证设置功能，当</w:t>
      </w:r>
      <w:r>
        <w:rPr>
          <w:rFonts w:cs="仿宋"/>
          <w:spacing w:val="2"/>
          <w:szCs w:val="28"/>
        </w:rPr>
        <w:t>用户绑定多个电子接种证时可设置默认电子接种证，以便快速便捷实现电子</w:t>
      </w:r>
      <w:r>
        <w:rPr>
          <w:rFonts w:cs="仿宋"/>
          <w:spacing w:val="-3"/>
          <w:szCs w:val="28"/>
        </w:rPr>
        <w:t>接种证展示。</w:t>
      </w:r>
    </w:p>
    <w:p w14:paraId="21679FE9">
      <w:pPr>
        <w:pStyle w:val="5"/>
        <w:rPr>
          <w:rFonts w:ascii="黑体" w:hAnsi="黑体" w:cs="黑体"/>
          <w:spacing w:val="-3"/>
        </w:rPr>
      </w:pPr>
      <w:r>
        <w:rPr>
          <w:rFonts w:ascii="黑体" w:hAnsi="黑体" w:cs="黑体"/>
          <w:spacing w:val="-3"/>
        </w:rPr>
        <mc:AlternateContent>
          <mc:Choice Requires="wps">
            <w:drawing>
              <wp:anchor distT="0" distB="0" distL="114300" distR="114300" simplePos="0" relativeHeight="251669504" behindDoc="0" locked="0" layoutInCell="0" allowOverlap="1">
                <wp:simplePos x="0" y="0"/>
                <wp:positionH relativeFrom="page">
                  <wp:posOffset>817245</wp:posOffset>
                </wp:positionH>
                <wp:positionV relativeFrom="page">
                  <wp:posOffset>803910</wp:posOffset>
                </wp:positionV>
                <wp:extent cx="5926455" cy="9525"/>
                <wp:effectExtent l="0" t="0" r="0" b="0"/>
                <wp:wrapNone/>
                <wp:docPr id="25" name="任意多边形 25"/>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4.35pt;margin-top:63.3pt;height:0.75pt;width:466.65pt;mso-position-horizontal-relative:page;mso-position-vertical-relative:page;z-index:251669504;mso-width-relative:page;mso-height-relative:page;" fillcolor="#000000" filled="t" stroked="f" coordsize="9332,15" o:allowincell="f" o:gfxdata="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DFAUB51QAAAAwBAAAPAAAAAAAA&#10;AAEAIAAAACIAAABkcnMvZG93bnJldi54bWxQSwECFAAUAAAACACHTuJADNsXJBUCAACeBAAADgAA&#10;AAAAAAABACAAAAAkAQAAZHJzL2Uyb0RvYy54bWxQSwUGAAAAAAYABgBZAQAAqwUAAAAA&#10;" path="m0,0l9332,0,9332,14,0,14,0,0xe">
                <v:fill on="t" focussize="0,0"/>
                <v:stroke on="f"/>
                <v:imagedata o:title=""/>
                <o:lock v:ext="edit" aspectratio="f"/>
              </v:shape>
            </w:pict>
          </mc:Fallback>
        </mc:AlternateContent>
      </w:r>
      <w:r>
        <w:rPr>
          <w:rFonts w:ascii="黑体" w:hAnsi="黑体" w:cs="黑体"/>
          <w:spacing w:val="-3"/>
        </w:rPr>
        <w:t>电子证照分页检索</w:t>
      </w:r>
    </w:p>
    <w:p w14:paraId="1F6E6DB6">
      <w:pPr>
        <w:spacing w:before="325" w:line="344" w:lineRule="auto"/>
        <w:ind w:left="32" w:right="80" w:firstLine="560"/>
        <w:rPr>
          <w:rFonts w:cs="仿宋"/>
          <w:szCs w:val="28"/>
        </w:rPr>
      </w:pPr>
      <w:r>
        <w:rPr>
          <w:rFonts w:cs="仿宋"/>
          <w:szCs w:val="28"/>
        </w:rPr>
        <w:t>建设证照分页检索功能，检索通过调用证照检索接口，使用目录编号分</w:t>
      </w:r>
      <w:r>
        <w:rPr>
          <w:rFonts w:cs="仿宋"/>
          <w:spacing w:val="-3"/>
          <w:szCs w:val="28"/>
        </w:rPr>
        <w:t>页查询电子接种证列表。</w:t>
      </w:r>
    </w:p>
    <w:p w14:paraId="6A739E34">
      <w:pPr>
        <w:spacing w:before="48" w:line="343" w:lineRule="auto"/>
        <w:ind w:left="68" w:right="80" w:firstLine="568"/>
        <w:rPr>
          <w:rFonts w:cs="仿宋"/>
          <w:szCs w:val="28"/>
        </w:rPr>
      </w:pPr>
      <w:r>
        <w:rPr>
          <w:rFonts w:cs="仿宋"/>
          <w:spacing w:val="2"/>
          <w:szCs w:val="28"/>
        </w:rPr>
        <w:t>证照分页检索过程包括：获取证照分页检索密钥、调用证照分页检索接</w:t>
      </w:r>
      <w:r>
        <w:rPr>
          <w:rFonts w:cs="仿宋"/>
          <w:spacing w:val="-5"/>
          <w:szCs w:val="28"/>
        </w:rPr>
        <w:t>口、执行证照分页检索并返回结果。</w:t>
      </w:r>
    </w:p>
    <w:p w14:paraId="70892ED8">
      <w:pPr>
        <w:pStyle w:val="5"/>
        <w:rPr>
          <w:rFonts w:ascii="黑体" w:hAnsi="黑体" w:cs="黑体"/>
          <w:spacing w:val="-3"/>
        </w:rPr>
      </w:pPr>
      <w:r>
        <w:rPr>
          <w:rFonts w:ascii="黑体" w:hAnsi="黑体" w:cs="黑体"/>
          <w:spacing w:val="-3"/>
        </w:rPr>
        <w:t>电子证照标识信息获取</w:t>
      </w:r>
    </w:p>
    <w:p w14:paraId="59D6FB45">
      <w:pPr>
        <w:spacing w:before="328" w:line="343" w:lineRule="auto"/>
        <w:ind w:left="19" w:firstLine="536"/>
        <w:rPr>
          <w:rFonts w:cs="仿宋"/>
          <w:szCs w:val="28"/>
        </w:rPr>
      </w:pPr>
      <w:r>
        <w:rPr>
          <w:rFonts w:cs="仿宋"/>
          <w:spacing w:val="-6"/>
          <w:szCs w:val="28"/>
        </w:rPr>
        <w:t>建设基于证照标识信息获取功能，通过调用基于证照标识信息获</w:t>
      </w:r>
      <w:r>
        <w:rPr>
          <w:rFonts w:cs="仿宋"/>
          <w:spacing w:val="-7"/>
          <w:szCs w:val="28"/>
        </w:rPr>
        <w:t>取接口，</w:t>
      </w:r>
      <w:r>
        <w:rPr>
          <w:rFonts w:cs="仿宋"/>
          <w:spacing w:val="-1"/>
          <w:szCs w:val="28"/>
        </w:rPr>
        <w:t>使用系统中保存的证照标识，查询获取电子接种证元数据或照面数据。</w:t>
      </w:r>
    </w:p>
    <w:p w14:paraId="27726800">
      <w:pPr>
        <w:pStyle w:val="5"/>
        <w:rPr>
          <w:rFonts w:ascii="黑体" w:hAnsi="黑体" w:cs="黑体"/>
          <w:spacing w:val="-3"/>
        </w:rPr>
      </w:pPr>
      <w:r>
        <w:rPr>
          <w:rFonts w:ascii="黑体" w:hAnsi="黑体" w:cs="黑体"/>
          <w:spacing w:val="-3"/>
        </w:rPr>
        <w:t>电子证照标识调阅</w:t>
      </w:r>
    </w:p>
    <w:p w14:paraId="6B0C8AFC">
      <w:pPr>
        <w:spacing w:before="328" w:line="349" w:lineRule="auto"/>
        <w:ind w:left="17" w:right="80" w:firstLine="568"/>
        <w:rPr>
          <w:rFonts w:cs="仿宋"/>
          <w:szCs w:val="28"/>
        </w:rPr>
      </w:pPr>
      <w:r>
        <w:rPr>
          <w:rFonts w:cs="仿宋"/>
          <w:spacing w:val="2"/>
          <w:szCs w:val="28"/>
        </w:rPr>
        <w:t>建设证照标识调阅功能，通过调用证照标识证照调阅接口预览电子证照</w:t>
      </w:r>
      <w:r>
        <w:rPr>
          <w:rFonts w:cs="仿宋"/>
          <w:szCs w:val="28"/>
        </w:rPr>
        <w:t>文件，此文件可以是根据持证主体代码、申请事由生成的电子证照加注件或</w:t>
      </w:r>
      <w:r>
        <w:rPr>
          <w:rFonts w:cs="仿宋"/>
          <w:spacing w:val="-3"/>
          <w:szCs w:val="28"/>
        </w:rPr>
        <w:t>者电子证照原件。</w:t>
      </w:r>
    </w:p>
    <w:p w14:paraId="5B3CCE38">
      <w:pPr>
        <w:pStyle w:val="5"/>
        <w:rPr>
          <w:rFonts w:ascii="黑体" w:hAnsi="黑体" w:cs="黑体"/>
          <w:spacing w:val="-3"/>
        </w:rPr>
      </w:pPr>
      <w:r>
        <w:rPr>
          <w:rFonts w:ascii="黑体" w:hAnsi="黑体" w:cs="黑体"/>
          <w:spacing w:val="-3"/>
        </w:rPr>
        <w:t>电子证照信息验证</w:t>
      </w:r>
    </w:p>
    <w:p w14:paraId="46C0311B">
      <w:pPr>
        <w:spacing w:before="327" w:line="349" w:lineRule="auto"/>
        <w:ind w:left="17" w:right="80" w:firstLine="560"/>
        <w:rPr>
          <w:rFonts w:cs="仿宋"/>
          <w:szCs w:val="28"/>
        </w:rPr>
      </w:pPr>
      <w:r>
        <w:rPr>
          <w:rFonts w:cs="仿宋"/>
          <w:szCs w:val="28"/>
        </w:rPr>
        <w:t>建设证照信息验证功能，通过调用证照信息验证接口，根据持证主体代</w:t>
      </w:r>
      <w:r>
        <w:rPr>
          <w:rFonts w:cs="仿宋"/>
          <w:spacing w:val="2"/>
          <w:szCs w:val="28"/>
        </w:rPr>
        <w:t>码、证照类型代码以及其他指定的证照信息内容，查验该电子接种证元数据</w:t>
      </w:r>
      <w:r>
        <w:rPr>
          <w:rFonts w:cs="仿宋"/>
          <w:spacing w:val="-3"/>
          <w:szCs w:val="28"/>
        </w:rPr>
        <w:t>信息的有效性。</w:t>
      </w:r>
    </w:p>
    <w:p w14:paraId="5628AED3">
      <w:pPr>
        <w:pStyle w:val="5"/>
        <w:rPr>
          <w:rFonts w:ascii="黑体" w:hAnsi="黑体" w:cs="黑体"/>
          <w:spacing w:val="-3"/>
        </w:rPr>
      </w:pPr>
      <w:r>
        <w:rPr>
          <w:rFonts w:ascii="黑体" w:hAnsi="黑体" w:cs="黑体"/>
          <w:spacing w:val="-3"/>
        </w:rPr>
        <w:t>电子证照信息提交</w:t>
      </w:r>
    </w:p>
    <w:p w14:paraId="71C7C292">
      <w:pPr>
        <w:spacing w:before="324" w:line="344" w:lineRule="auto"/>
        <w:ind w:left="17" w:right="80" w:firstLine="560"/>
        <w:rPr>
          <w:rFonts w:cs="仿宋"/>
          <w:szCs w:val="28"/>
        </w:rPr>
      </w:pPr>
      <w:r>
        <w:rPr>
          <w:rFonts w:cs="仿宋"/>
          <w:szCs w:val="28"/>
        </w:rPr>
        <w:t>建设证照信息提交功能，通过调用证照信息提交接口，提交电子接种证</w:t>
      </w:r>
      <w:r>
        <w:rPr>
          <w:rFonts w:cs="仿宋"/>
          <w:spacing w:val="-6"/>
          <w:szCs w:val="28"/>
        </w:rPr>
        <w:t>信息。</w:t>
      </w:r>
    </w:p>
    <w:p w14:paraId="178046CA">
      <w:pPr>
        <w:pStyle w:val="5"/>
        <w:rPr>
          <w:rFonts w:ascii="黑体" w:hAnsi="黑体" w:cs="黑体"/>
          <w:spacing w:val="-3"/>
        </w:rPr>
      </w:pPr>
      <w:r>
        <w:rPr>
          <w:rFonts w:ascii="黑体" w:hAnsi="黑体" w:cs="黑体"/>
          <w:spacing w:val="-3"/>
        </w:rPr>
        <w:t>电子证照签章</w:t>
      </w:r>
    </w:p>
    <w:p w14:paraId="2F286EA7">
      <w:pPr>
        <w:spacing w:before="327" w:line="348" w:lineRule="auto"/>
        <w:ind w:left="17" w:right="80" w:firstLine="560"/>
        <w:rPr>
          <w:rFonts w:cs="仿宋"/>
          <w:szCs w:val="28"/>
        </w:rPr>
      </w:pPr>
      <w:r>
        <w:rPr>
          <w:rFonts w:cs="仿宋"/>
          <w:szCs w:val="28"/>
        </w:rPr>
        <w:t>建设证照签章功能，通过调用证照签章接口，使用证照标识进行电子接</w:t>
      </w:r>
      <w:r>
        <w:rPr>
          <w:rFonts w:cs="仿宋"/>
          <w:spacing w:val="2"/>
          <w:szCs w:val="28"/>
        </w:rPr>
        <w:t>种证的签章操作。为满足电子接种证数据在传输过程中的安全，返回的电子</w:t>
      </w:r>
      <w:r>
        <w:rPr>
          <w:rFonts w:cs="仿宋"/>
          <w:spacing w:val="-4"/>
          <w:szCs w:val="28"/>
        </w:rPr>
        <w:t>证照URL存在失效控制。</w:t>
      </w:r>
    </w:p>
    <w:p w14:paraId="3D29CA25">
      <w:pPr>
        <w:pStyle w:val="5"/>
        <w:rPr>
          <w:rFonts w:ascii="黑体" w:hAnsi="黑体" w:cs="黑体"/>
          <w:spacing w:val="-3"/>
        </w:rPr>
      </w:pPr>
      <w:r>
        <w:rPr>
          <w:rFonts w:ascii="黑体" w:hAnsi="黑体" w:cs="黑体"/>
          <w:spacing w:val="-3"/>
        </w:rPr>
        <mc:AlternateContent>
          <mc:Choice Requires="wps">
            <w:drawing>
              <wp:anchor distT="0" distB="0" distL="114300" distR="114300" simplePos="0" relativeHeight="251670528" behindDoc="0" locked="0" layoutInCell="0" allowOverlap="1">
                <wp:simplePos x="0" y="0"/>
                <wp:positionH relativeFrom="page">
                  <wp:posOffset>817245</wp:posOffset>
                </wp:positionH>
                <wp:positionV relativeFrom="page">
                  <wp:posOffset>803910</wp:posOffset>
                </wp:positionV>
                <wp:extent cx="5926455" cy="9525"/>
                <wp:effectExtent l="0" t="0" r="0" b="0"/>
                <wp:wrapNone/>
                <wp:docPr id="23" name="任意多边形 23"/>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4.35pt;margin-top:63.3pt;height:0.75pt;width:466.65pt;mso-position-horizontal-relative:page;mso-position-vertical-relative:page;z-index:251670528;mso-width-relative:page;mso-height-relative:page;" fillcolor="#000000" filled="t" stroked="f" coordsize="9332,15" o:allowincell="f" o:gfxdata="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MUBQHnVAAAADAEAAA8A&#10;AAAAAAAAAQAgAAAAIgAAAGRycy9kb3ducmV2LnhtbFBLAQIUABQAAAAIAIdO4kCxGgb8GgIAAJ4E&#10;AAAOAAAAAAAAAAEAIAAAACQBAABkcnMvZTJvRG9jLnhtbFBLBQYAAAAABgAGAFkBAACwBQAAAAA=&#10;" path="m0,0l9332,0,9332,14,0,14,0,0xe">
                <v:fill on="t" focussize="0,0"/>
                <v:stroke on="f"/>
                <v:imagedata o:title=""/>
                <o:lock v:ext="edit" aspectratio="f"/>
              </v:shape>
            </w:pict>
          </mc:Fallback>
        </mc:AlternateContent>
      </w:r>
      <w:r>
        <w:rPr>
          <w:rFonts w:ascii="黑体" w:hAnsi="黑体" w:cs="黑体"/>
          <w:spacing w:val="-3"/>
        </w:rPr>
        <w:t>电子证照打印</w:t>
      </w:r>
    </w:p>
    <w:p w14:paraId="073CC03E">
      <w:pPr>
        <w:spacing w:before="328" w:line="348" w:lineRule="auto"/>
        <w:ind w:left="17" w:right="101" w:firstLine="560"/>
        <w:rPr>
          <w:rFonts w:cs="仿宋"/>
          <w:szCs w:val="28"/>
        </w:rPr>
      </w:pPr>
      <w:r>
        <w:rPr>
          <w:rFonts w:cs="仿宋"/>
          <w:szCs w:val="28"/>
        </w:rPr>
        <w:t>建设电子证照打印功能，通过调用电子证照打印接口，按照电子证照标</w:t>
      </w:r>
      <w:r>
        <w:rPr>
          <w:rFonts w:cs="仿宋"/>
          <w:spacing w:val="2"/>
          <w:szCs w:val="28"/>
        </w:rPr>
        <w:t>识进行电子接种证的打印。为满足电子证照数据在传输过程中的安全，返回</w:t>
      </w:r>
      <w:r>
        <w:rPr>
          <w:rFonts w:cs="仿宋"/>
          <w:spacing w:val="-3"/>
          <w:szCs w:val="28"/>
        </w:rPr>
        <w:t>的电子证照URL存在失效控制。</w:t>
      </w:r>
    </w:p>
    <w:p w14:paraId="40A7B2FC">
      <w:pPr>
        <w:pStyle w:val="5"/>
        <w:rPr>
          <w:rFonts w:ascii="黑体" w:hAnsi="黑体" w:cs="黑体"/>
          <w:spacing w:val="-3"/>
        </w:rPr>
      </w:pPr>
      <w:r>
        <w:rPr>
          <w:rFonts w:ascii="黑体" w:hAnsi="黑体" w:cs="黑体"/>
          <w:spacing w:val="-3"/>
        </w:rPr>
        <w:t>电子证照作废</w:t>
      </w:r>
    </w:p>
    <w:p w14:paraId="7C8A4AAE">
      <w:pPr>
        <w:spacing w:before="328" w:line="343" w:lineRule="auto"/>
        <w:ind w:left="19" w:right="101" w:firstLine="560"/>
        <w:rPr>
          <w:rFonts w:cs="仿宋"/>
          <w:szCs w:val="28"/>
        </w:rPr>
      </w:pPr>
      <w:r>
        <w:rPr>
          <w:rFonts w:cs="仿宋"/>
          <w:szCs w:val="28"/>
        </w:rPr>
        <w:t>建设证照维护功能，通过调用证照维护接口，使用证照标识或者持证主</w:t>
      </w:r>
      <w:r>
        <w:rPr>
          <w:rFonts w:cs="仿宋"/>
          <w:spacing w:val="-1"/>
          <w:szCs w:val="28"/>
        </w:rPr>
        <w:t>体代码和证照类型代码可以对电子接种证进行作废操作。</w:t>
      </w:r>
    </w:p>
    <w:p w14:paraId="605FECF2">
      <w:pPr>
        <w:pStyle w:val="5"/>
        <w:rPr>
          <w:rFonts w:ascii="黑体" w:hAnsi="黑体" w:cs="黑体"/>
          <w:spacing w:val="-3"/>
        </w:rPr>
      </w:pPr>
      <w:r>
        <w:rPr>
          <w:rFonts w:ascii="黑体" w:hAnsi="黑体" w:cs="黑体"/>
          <w:spacing w:val="-3"/>
        </w:rPr>
        <w:t>电子证照审核</w:t>
      </w:r>
    </w:p>
    <w:p w14:paraId="5B11E3F1">
      <w:pPr>
        <w:spacing w:before="327" w:line="343" w:lineRule="auto"/>
        <w:ind w:left="17" w:firstLine="568"/>
        <w:rPr>
          <w:rFonts w:cs="仿宋"/>
          <w:szCs w:val="28"/>
        </w:rPr>
      </w:pPr>
      <w:r>
        <w:rPr>
          <w:rFonts w:cs="仿宋"/>
          <w:spacing w:val="2"/>
          <w:szCs w:val="28"/>
        </w:rPr>
        <w:t>对电子接种证生成的数据及文件提供审批功能，保证生成电子接种证的</w:t>
      </w:r>
      <w:r>
        <w:rPr>
          <w:rFonts w:cs="仿宋"/>
          <w:spacing w:val="-3"/>
          <w:szCs w:val="28"/>
        </w:rPr>
        <w:t>规范性和严谨性，证照审核提供单个证照或批量证照审核，并记录审核结</w:t>
      </w:r>
      <w:r>
        <w:rPr>
          <w:rFonts w:cs="仿宋"/>
          <w:spacing w:val="-4"/>
          <w:szCs w:val="28"/>
        </w:rPr>
        <w:t>果。</w:t>
      </w:r>
    </w:p>
    <w:p w14:paraId="58628132">
      <w:pPr>
        <w:pStyle w:val="5"/>
      </w:pPr>
      <w:r>
        <w:rPr>
          <w:rFonts w:ascii="黑体" w:hAnsi="黑体" w:cs="黑体"/>
          <w:spacing w:val="-3"/>
        </w:rPr>
        <w:t>电子证照制作</w:t>
      </w:r>
    </w:p>
    <w:p w14:paraId="5603438A">
      <w:pPr>
        <w:spacing w:before="327" w:line="343" w:lineRule="auto"/>
        <w:ind w:left="17" w:firstLine="568"/>
        <w:jc w:val="left"/>
        <w:rPr>
          <w:rFonts w:cs="仿宋"/>
          <w:spacing w:val="2"/>
          <w:szCs w:val="28"/>
        </w:rPr>
      </w:pPr>
      <w:r>
        <w:rPr>
          <w:rFonts w:cs="仿宋"/>
          <w:spacing w:val="2"/>
          <w:szCs w:val="28"/>
        </w:rPr>
        <w:t>制证包括证照生成、证照签发和打证管理功能，改造电子证照文件的承载格式，依照政务服务电子证照系列标准规范，电子接种证文件承载格式为版式文件OFD格式，文件内容包含与纸质证照相同比例的证照底图、电子接种证的照面信息、电子接种证元数据信息、签发单位的电子印章、印章数字签名信息。改造内容包括证照生成、预览、下载、验证、电子接种证加注功能。</w:t>
      </w:r>
    </w:p>
    <w:p w14:paraId="5642DFF2">
      <w:pPr>
        <w:pStyle w:val="4"/>
        <w:rPr>
          <w:rFonts w:ascii="黑体" w:hAnsi="黑体" w:cs="黑体"/>
          <w:spacing w:val="-3"/>
        </w:rPr>
      </w:pPr>
      <w:bookmarkStart w:id="100" w:name="_Toc16441"/>
      <w:bookmarkStart w:id="101" w:name="_Toc2479"/>
      <w:bookmarkStart w:id="102" w:name="_Toc2618"/>
      <w:bookmarkStart w:id="103" w:name="_Toc9671"/>
      <w:bookmarkStart w:id="104" w:name="_Toc17111"/>
      <w:r>
        <w:rPr>
          <w:rFonts w:ascii="黑体" w:hAnsi="黑体" w:cs="黑体"/>
          <w:spacing w:val="-3"/>
        </w:rPr>
        <w:t>实名认证</w:t>
      </w:r>
      <w:bookmarkEnd w:id="100"/>
      <w:bookmarkEnd w:id="101"/>
      <w:bookmarkEnd w:id="102"/>
      <w:bookmarkEnd w:id="103"/>
      <w:bookmarkEnd w:id="104"/>
    </w:p>
    <w:p w14:paraId="5E962672">
      <w:pPr>
        <w:pStyle w:val="5"/>
        <w:rPr>
          <w:rFonts w:ascii="黑体" w:hAnsi="黑体" w:cs="黑体"/>
          <w:spacing w:val="-3"/>
        </w:rPr>
      </w:pPr>
      <w:r>
        <w:rPr>
          <w:rFonts w:ascii="黑体" w:hAnsi="黑体" w:cs="黑体"/>
          <w:spacing w:val="-3"/>
        </w:rPr>
        <w:t>电子接种信息实名认证</w:t>
      </w:r>
    </w:p>
    <w:p w14:paraId="414DD3F5">
      <w:pPr>
        <w:spacing w:before="327" w:line="352" w:lineRule="auto"/>
        <w:ind w:left="17" w:right="101" w:firstLine="568"/>
        <w:rPr>
          <w:rFonts w:cs="仿宋"/>
          <w:szCs w:val="28"/>
        </w:rPr>
      </w:pPr>
      <w:r>
        <w:rPr>
          <w:rFonts w:cs="仿宋"/>
          <w:spacing w:val="2"/>
          <w:szCs w:val="28"/>
        </w:rPr>
        <w:t>实名认证功能旨在确认用户真实身份，通过用户提供合法有效的个人身份信息，并通过权威渠道或专门的身份识别技术对这些信息进行核验，避免因恶意或输入错误导致接种档案及接种信息泄露，有效保障信息安全。实名</w:t>
      </w:r>
      <w:r>
        <w:rPr>
          <w:rFonts w:cs="仿宋"/>
          <w:spacing w:val="-1"/>
          <w:szCs w:val="28"/>
        </w:rPr>
        <w:t>认证服务可考虑采用基于人脸识别认证，例如：微信、支付宝。</w:t>
      </w:r>
    </w:p>
    <w:p w14:paraId="61C93119">
      <w:pPr>
        <w:spacing w:before="228" w:line="344" w:lineRule="auto"/>
        <w:ind w:left="17" w:right="101" w:firstLine="560"/>
        <w:rPr>
          <w:rFonts w:cs="仿宋"/>
          <w:szCs w:val="28"/>
        </w:rPr>
      </w:pPr>
      <w:r>
        <mc:AlternateContent>
          <mc:Choice Requires="wps">
            <w:drawing>
              <wp:anchor distT="0" distB="0" distL="114300" distR="114300" simplePos="0" relativeHeight="251671552" behindDoc="0" locked="0" layoutInCell="0" allowOverlap="1">
                <wp:simplePos x="0" y="0"/>
                <wp:positionH relativeFrom="page">
                  <wp:posOffset>817245</wp:posOffset>
                </wp:positionH>
                <wp:positionV relativeFrom="page">
                  <wp:posOffset>803910</wp:posOffset>
                </wp:positionV>
                <wp:extent cx="5926455" cy="9525"/>
                <wp:effectExtent l="0" t="0" r="0" b="0"/>
                <wp:wrapNone/>
                <wp:docPr id="29" name="任意多边形 29"/>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4.35pt;margin-top:63.3pt;height:0.75pt;width:466.65pt;mso-position-horizontal-relative:page;mso-position-vertical-relative:page;z-index:251671552;mso-width-relative:page;mso-height-relative:page;" fillcolor="#000000" filled="t" stroked="f" coordsize="9332,15" o:allowincell="f" o:gfxdata="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MUBQHnVAAAADAEAAA8A&#10;AAAAAAAAAQAgAAAAIgAAAGRycy9kb3ducmV2LnhtbFBLAQIUABQAAAAIAIdO4kA3XkVPGgIAAJ4E&#10;AAAOAAAAAAAAAAEAIAAAACQBAABkcnMvZTJvRG9jLnhtbFBLBQYAAAAABgAGAFkBAACwBQAAAAA=&#10;" path="m0,0l9332,0,9332,14,0,14,0,0xe">
                <v:fill on="t" focussize="0,0"/>
                <v:stroke on="f"/>
                <v:imagedata o:title=""/>
                <o:lock v:ext="edit" aspectratio="f"/>
              </v:shape>
            </w:pict>
          </mc:Fallback>
        </mc:AlternateContent>
      </w:r>
      <w:r>
        <w:rPr>
          <w:rFonts w:cs="仿宋"/>
          <w:spacing w:val="1"/>
          <w:szCs w:val="28"/>
        </w:rPr>
        <w:t>电子接种证的实名认证功能是确保用户身份真实有效、对接种信息进行</w:t>
      </w:r>
      <w:r>
        <w:rPr>
          <w:rFonts w:cs="仿宋"/>
          <w:spacing w:val="-1"/>
          <w:szCs w:val="28"/>
        </w:rPr>
        <w:t>精准管理的关键环节。以下是实名认证主要功能：</w:t>
      </w:r>
    </w:p>
    <w:p w14:paraId="7E6D76C7">
      <w:pPr>
        <w:spacing w:before="46"/>
        <w:ind w:firstLine="544"/>
        <w:rPr>
          <w:rFonts w:cs="仿宋"/>
          <w:szCs w:val="28"/>
        </w:rPr>
      </w:pPr>
      <w:r>
        <w:rPr>
          <w:rFonts w:cs="仿宋"/>
          <w:spacing w:val="-4"/>
          <w:szCs w:val="28"/>
        </w:rPr>
        <w:t>1.身份信息核验：</w:t>
      </w:r>
    </w:p>
    <w:p w14:paraId="4872A34F">
      <w:pPr>
        <w:spacing w:before="208" w:line="343" w:lineRule="auto"/>
        <w:ind w:left="20" w:right="147" w:firstLine="560"/>
        <w:rPr>
          <w:rFonts w:cs="仿宋"/>
          <w:szCs w:val="28"/>
        </w:rPr>
      </w:pPr>
      <w:r>
        <w:rPr>
          <w:rFonts w:cs="仿宋"/>
          <w:szCs w:val="28"/>
        </w:rPr>
        <w:t>用户需提交真实有效的身份证明（如身份证等</w:t>
      </w:r>
      <w:r>
        <w:rPr>
          <w:rFonts w:cs="仿宋"/>
          <w:spacing w:val="16"/>
          <w:szCs w:val="28"/>
        </w:rPr>
        <w:t>），</w:t>
      </w:r>
      <w:r>
        <w:rPr>
          <w:rFonts w:cs="仿宋"/>
          <w:szCs w:val="28"/>
        </w:rPr>
        <w:t>通过上</w:t>
      </w:r>
      <w:r>
        <w:rPr>
          <w:rFonts w:cs="仿宋"/>
          <w:spacing w:val="-1"/>
          <w:szCs w:val="28"/>
        </w:rPr>
        <w:t>传证件照片、填写证件号码等方式，经系统与权威数据库比对，确认身份信息的真实性。</w:t>
      </w:r>
    </w:p>
    <w:p w14:paraId="70EFE0A4">
      <w:pPr>
        <w:spacing w:before="46"/>
        <w:ind w:firstLine="544"/>
        <w:rPr>
          <w:rFonts w:cs="仿宋"/>
          <w:spacing w:val="-4"/>
          <w:szCs w:val="28"/>
        </w:rPr>
      </w:pPr>
      <w:r>
        <w:rPr>
          <w:rFonts w:cs="仿宋"/>
          <w:spacing w:val="-4"/>
          <w:szCs w:val="28"/>
        </w:rPr>
        <w:t>2.未成年人认证：</w:t>
      </w:r>
    </w:p>
    <w:p w14:paraId="3D89F6B4">
      <w:pPr>
        <w:spacing w:before="207" w:line="344" w:lineRule="auto"/>
        <w:ind w:left="17" w:right="101" w:firstLine="568"/>
        <w:rPr>
          <w:rFonts w:cs="仿宋"/>
          <w:szCs w:val="28"/>
        </w:rPr>
      </w:pPr>
      <w:r>
        <w:rPr>
          <w:rFonts w:cs="仿宋"/>
          <w:spacing w:val="2"/>
          <w:szCs w:val="28"/>
        </w:rPr>
        <w:t>对于未成年人，通常需要关联其法定监护人的身份信息，并获得监护人</w:t>
      </w:r>
      <w:r>
        <w:rPr>
          <w:rFonts w:cs="仿宋"/>
          <w:spacing w:val="-4"/>
          <w:szCs w:val="28"/>
        </w:rPr>
        <w:t>授权同意。</w:t>
      </w:r>
    </w:p>
    <w:p w14:paraId="70CA2C6E">
      <w:pPr>
        <w:spacing w:before="46"/>
        <w:ind w:firstLine="544"/>
        <w:rPr>
          <w:rFonts w:cs="仿宋"/>
          <w:spacing w:val="-4"/>
          <w:szCs w:val="28"/>
        </w:rPr>
      </w:pPr>
      <w:r>
        <w:rPr>
          <w:rFonts w:cs="仿宋"/>
          <w:spacing w:val="-4"/>
          <w:szCs w:val="28"/>
        </w:rPr>
        <w:t>3.人脸识别验证：</w:t>
      </w:r>
    </w:p>
    <w:p w14:paraId="17177E63">
      <w:pPr>
        <w:spacing w:before="205" w:line="349" w:lineRule="auto"/>
        <w:ind w:left="17" w:right="101" w:firstLine="568"/>
        <w:rPr>
          <w:rFonts w:cs="仿宋"/>
          <w:szCs w:val="28"/>
        </w:rPr>
      </w:pPr>
      <w:r>
        <w:rPr>
          <w:rFonts w:cs="仿宋"/>
          <w:spacing w:val="2"/>
          <w:szCs w:val="28"/>
        </w:rPr>
        <w:t>为了进一步提升实名认证的安全性，部分电子接种证平台可能采用人脸识别技术。用户需按照提示拍摄并上传人脸照片，系统将该照片与证件照片</w:t>
      </w:r>
      <w:r>
        <w:rPr>
          <w:rFonts w:cs="仿宋"/>
          <w:spacing w:val="-1"/>
          <w:szCs w:val="28"/>
        </w:rPr>
        <w:t>或公安系统人脸数据库进行比对，确保人证合一。</w:t>
      </w:r>
    </w:p>
    <w:p w14:paraId="7B584A58">
      <w:pPr>
        <w:spacing w:before="46"/>
        <w:ind w:firstLine="544"/>
        <w:rPr>
          <w:rFonts w:cs="仿宋"/>
          <w:spacing w:val="-4"/>
          <w:szCs w:val="28"/>
        </w:rPr>
      </w:pPr>
      <w:r>
        <w:rPr>
          <w:rFonts w:cs="仿宋"/>
          <w:spacing w:val="-4"/>
          <w:szCs w:val="28"/>
        </w:rPr>
        <w:t>4.手机号码绑定：</w:t>
      </w:r>
    </w:p>
    <w:p w14:paraId="0528FC85">
      <w:pPr>
        <w:spacing w:before="203" w:line="345" w:lineRule="auto"/>
        <w:ind w:left="17" w:right="101" w:firstLine="568"/>
        <w:rPr>
          <w:rFonts w:cs="仿宋"/>
          <w:szCs w:val="28"/>
        </w:rPr>
      </w:pPr>
      <w:r>
        <w:rPr>
          <w:rFonts w:cs="仿宋"/>
          <w:spacing w:val="2"/>
          <w:szCs w:val="28"/>
        </w:rPr>
        <w:t>要求用户提供本人手机号码，通过短信验证码的方式进行验证，确保手</w:t>
      </w:r>
      <w:r>
        <w:rPr>
          <w:rFonts w:cs="仿宋"/>
          <w:spacing w:val="-1"/>
          <w:szCs w:val="28"/>
        </w:rPr>
        <w:t>机号与申请用户的一致性，便于后续接收接种通知、预约提醒等重要信息。</w:t>
      </w:r>
    </w:p>
    <w:p w14:paraId="106C392F">
      <w:pPr>
        <w:spacing w:before="46"/>
        <w:ind w:firstLine="544"/>
        <w:rPr>
          <w:rFonts w:cs="仿宋"/>
          <w:spacing w:val="-4"/>
          <w:szCs w:val="28"/>
        </w:rPr>
      </w:pPr>
      <w:r>
        <w:rPr>
          <w:rFonts w:cs="仿宋"/>
          <w:spacing w:val="-4"/>
          <w:szCs w:val="28"/>
        </w:rPr>
        <w:t>5.户籍地或常住地确认：</w:t>
      </w:r>
    </w:p>
    <w:p w14:paraId="22DA82C3">
      <w:pPr>
        <w:spacing w:before="209" w:line="342" w:lineRule="auto"/>
        <w:ind w:left="19" w:right="101" w:firstLine="568"/>
        <w:rPr>
          <w:rFonts w:cs="仿宋"/>
          <w:szCs w:val="28"/>
        </w:rPr>
      </w:pPr>
      <w:r>
        <w:rPr>
          <w:rFonts w:cs="仿宋"/>
          <w:spacing w:val="2"/>
          <w:szCs w:val="28"/>
        </w:rPr>
        <w:t>根据用户提供的身份信息，系统自动识别或要求用户手动填写户籍所在</w:t>
      </w:r>
      <w:r>
        <w:rPr>
          <w:rFonts w:cs="仿宋"/>
          <w:spacing w:val="-1"/>
          <w:szCs w:val="28"/>
        </w:rPr>
        <w:t>地或实际居住地，以便匹配相应的接种政策和服务资源。</w:t>
      </w:r>
    </w:p>
    <w:p w14:paraId="33D73FA4">
      <w:pPr>
        <w:spacing w:before="46"/>
        <w:ind w:firstLine="544"/>
        <w:rPr>
          <w:rFonts w:cs="仿宋"/>
          <w:spacing w:val="-4"/>
          <w:szCs w:val="28"/>
        </w:rPr>
      </w:pPr>
      <w:r>
        <w:rPr>
          <w:rFonts w:cs="仿宋"/>
          <w:spacing w:val="-4"/>
          <w:szCs w:val="28"/>
        </w:rPr>
        <w:t>6.健康档案关联：</w:t>
      </w:r>
    </w:p>
    <w:p w14:paraId="63B15762">
      <w:pPr>
        <w:spacing w:before="209" w:line="348" w:lineRule="auto"/>
        <w:ind w:left="19" w:right="20" w:firstLine="544"/>
        <w:rPr>
          <w:rFonts w:cs="仿宋"/>
          <w:szCs w:val="28"/>
        </w:rPr>
      </w:pPr>
      <w:r>
        <w:rPr>
          <w:rFonts w:cs="仿宋"/>
          <w:spacing w:val="-4"/>
          <w:szCs w:val="28"/>
        </w:rPr>
        <w:t>实名认证后，用户的电子接种证将与其个人电子健康档案（如</w:t>
      </w:r>
      <w:r>
        <w:rPr>
          <w:rFonts w:cs="仿宋"/>
          <w:spacing w:val="-5"/>
          <w:szCs w:val="28"/>
        </w:rPr>
        <w:t>有）关联，</w:t>
      </w:r>
      <w:r>
        <w:rPr>
          <w:rFonts w:cs="仿宋"/>
          <w:spacing w:val="2"/>
          <w:szCs w:val="28"/>
        </w:rPr>
        <w:t>确保接种信息与既往病史、过敏情况、用药记录等健康数据同步，为医生提</w:t>
      </w:r>
      <w:r>
        <w:rPr>
          <w:rFonts w:cs="仿宋"/>
          <w:spacing w:val="-2"/>
          <w:szCs w:val="28"/>
        </w:rPr>
        <w:t>供全面的接种决策依据。</w:t>
      </w:r>
    </w:p>
    <w:p w14:paraId="25723E84">
      <w:pPr>
        <w:spacing w:before="46"/>
        <w:ind w:firstLine="544"/>
        <w:rPr>
          <w:rFonts w:cs="仿宋"/>
          <w:spacing w:val="-4"/>
          <w:szCs w:val="28"/>
        </w:rPr>
      </w:pPr>
      <w:r>
        <w:rPr>
          <w:rFonts w:cs="仿宋"/>
          <w:spacing w:val="-4"/>
          <w:szCs w:val="28"/>
        </w:rPr>
        <w:t>7.家庭成员管理：</w:t>
      </w:r>
    </w:p>
    <w:p w14:paraId="2AD527B8">
      <w:pPr>
        <w:spacing w:before="205" w:line="344" w:lineRule="auto"/>
        <w:ind w:left="23" w:firstLine="568"/>
        <w:rPr>
          <w:rFonts w:cs="仿宋"/>
          <w:szCs w:val="28"/>
        </w:rPr>
      </w:pPr>
      <w:r>
        <w:rPr>
          <w:rFonts w:cs="仿宋"/>
          <w:spacing w:val="2"/>
          <w:szCs w:val="28"/>
        </w:rPr>
        <w:t>允许用户为其家庭成员（特别是未成年人和老年人）进行实名认证，并</w:t>
      </w:r>
      <w:r>
        <w:rPr>
          <w:rFonts w:cs="仿宋"/>
          <w:spacing w:val="-3"/>
          <w:szCs w:val="28"/>
        </w:rPr>
        <w:t>统一管理全家的接种计划和记录，方便为家庭成员预约接</w:t>
      </w:r>
      <w:r>
        <w:rPr>
          <w:rFonts w:cs="仿宋"/>
          <w:spacing w:val="-4"/>
          <w:szCs w:val="28"/>
        </w:rPr>
        <w:t>种、查询接种情况。</w:t>
      </w:r>
    </w:p>
    <w:p w14:paraId="4E61888C">
      <w:pPr>
        <w:spacing w:before="46"/>
        <w:ind w:firstLine="560"/>
        <w:rPr>
          <w:rFonts w:cs="仿宋"/>
          <w:spacing w:val="-4"/>
          <w:szCs w:val="28"/>
        </w:rPr>
      </w:pPr>
      <w:r>
        <w:rPr>
          <w:rFonts w:cs="仿宋"/>
          <w:spacing w:val="-4"/>
          <w:szCs w:val="28"/>
        </w:rPr>
        <mc:AlternateContent>
          <mc:Choice Requires="wps">
            <w:drawing>
              <wp:anchor distT="0" distB="0" distL="114300" distR="114300" simplePos="0" relativeHeight="251672576" behindDoc="0" locked="0" layoutInCell="0" allowOverlap="1">
                <wp:simplePos x="0" y="0"/>
                <wp:positionH relativeFrom="page">
                  <wp:posOffset>817245</wp:posOffset>
                </wp:positionH>
                <wp:positionV relativeFrom="page">
                  <wp:posOffset>803910</wp:posOffset>
                </wp:positionV>
                <wp:extent cx="5926455" cy="9525"/>
                <wp:effectExtent l="0" t="0" r="0" b="0"/>
                <wp:wrapNone/>
                <wp:docPr id="28" name="任意多边形 28"/>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4.35pt;margin-top:63.3pt;height:0.75pt;width:466.65pt;mso-position-horizontal-relative:page;mso-position-vertical-relative:page;z-index:251672576;mso-width-relative:page;mso-height-relative:page;" fillcolor="#000000" filled="t" stroked="f" coordsize="9332,15" o:allowincell="f" o:gfxdata="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MUBQHnVAAAADAEAAA8A&#10;AAAAAAAAAQAgAAAAIgAAAGRycy9kb3ducmV2LnhtbFBLAQIUABQAAAAIAIdO4kCdgCowGgIAAJ4E&#10;AAAOAAAAAAAAAAEAIAAAACQBAABkcnMvZTJvRG9jLnhtbFBLBQYAAAAABgAGAFkBAACwBQAAAAA=&#10;" path="m0,0l9332,0,9332,14,0,14,0,0xe">
                <v:fill on="t" focussize="0,0"/>
                <v:stroke on="f"/>
                <v:imagedata o:title=""/>
                <o:lock v:ext="edit" aspectratio="f"/>
              </v:shape>
            </w:pict>
          </mc:Fallback>
        </mc:AlternateContent>
      </w:r>
      <w:r>
        <w:rPr>
          <w:rFonts w:cs="仿宋"/>
          <w:spacing w:val="-4"/>
          <w:szCs w:val="28"/>
        </w:rPr>
        <w:t>8.隐私保护机制：</w:t>
      </w:r>
    </w:p>
    <w:p w14:paraId="0EC04060">
      <w:pPr>
        <w:spacing w:before="207" w:line="344" w:lineRule="auto"/>
        <w:ind w:left="19" w:right="101" w:firstLine="568"/>
        <w:rPr>
          <w:rFonts w:cs="仿宋"/>
          <w:szCs w:val="28"/>
        </w:rPr>
      </w:pPr>
      <w:r>
        <w:rPr>
          <w:rFonts w:cs="仿宋"/>
          <w:spacing w:val="2"/>
          <w:szCs w:val="28"/>
        </w:rPr>
        <w:t>实名认证过程中，平台应严格遵守相关法律法规，采取加密传输、权限</w:t>
      </w:r>
      <w:r>
        <w:rPr>
          <w:rFonts w:cs="仿宋"/>
          <w:spacing w:val="-1"/>
          <w:szCs w:val="28"/>
        </w:rPr>
        <w:t>控制等措施保护用户的个人隐私信息，确保数据安全。</w:t>
      </w:r>
    </w:p>
    <w:p w14:paraId="00724A5E">
      <w:pPr>
        <w:spacing w:before="46"/>
        <w:ind w:firstLine="544"/>
        <w:rPr>
          <w:rFonts w:cs="仿宋"/>
          <w:spacing w:val="-4"/>
          <w:szCs w:val="28"/>
        </w:rPr>
      </w:pPr>
      <w:r>
        <w:rPr>
          <w:rFonts w:cs="仿宋"/>
          <w:spacing w:val="-4"/>
          <w:szCs w:val="28"/>
        </w:rPr>
        <w:t>9.动态更新与维护：</w:t>
      </w:r>
    </w:p>
    <w:p w14:paraId="3B9BA10F">
      <w:pPr>
        <w:spacing w:before="208" w:line="343" w:lineRule="auto"/>
        <w:ind w:left="19" w:right="101" w:firstLine="568"/>
        <w:rPr>
          <w:rFonts w:cs="仿宋"/>
          <w:szCs w:val="28"/>
        </w:rPr>
      </w:pPr>
      <w:r>
        <w:rPr>
          <w:rFonts w:cs="仿宋"/>
          <w:spacing w:val="2"/>
          <w:szCs w:val="28"/>
        </w:rPr>
        <w:t>用户的实名认证信息应允许动态更新，如更换手机号、迁移住址等，确</w:t>
      </w:r>
      <w:r>
        <w:rPr>
          <w:rFonts w:cs="仿宋"/>
          <w:spacing w:val="-2"/>
          <w:szCs w:val="28"/>
        </w:rPr>
        <w:t>保系统内信息的时效性和准确性。</w:t>
      </w:r>
    </w:p>
    <w:p w14:paraId="5C7E9D08">
      <w:pPr>
        <w:pStyle w:val="5"/>
        <w:rPr>
          <w:rFonts w:ascii="黑体" w:hAnsi="黑体" w:cs="黑体"/>
          <w:spacing w:val="-3"/>
        </w:rPr>
      </w:pPr>
      <w:r>
        <w:rPr>
          <w:rFonts w:ascii="黑体" w:hAnsi="黑体" w:cs="黑体"/>
          <w:spacing w:val="-3"/>
        </w:rPr>
        <w:t>实名认证对接</w:t>
      </w:r>
    </w:p>
    <w:p w14:paraId="005B2662">
      <w:pPr>
        <w:spacing w:before="327" w:line="344" w:lineRule="auto"/>
        <w:ind w:left="22" w:right="101" w:firstLine="568"/>
        <w:rPr>
          <w:rFonts w:cs="仿宋"/>
          <w:szCs w:val="28"/>
        </w:rPr>
      </w:pPr>
      <w:r>
        <w:rPr>
          <w:rFonts w:cs="仿宋"/>
          <w:spacing w:val="2"/>
          <w:szCs w:val="28"/>
        </w:rPr>
        <w:t>对接微信、支付宝、公安等第三方实名认证服务，实现电子接种证申领</w:t>
      </w:r>
      <w:r>
        <w:rPr>
          <w:rFonts w:cs="仿宋"/>
          <w:spacing w:val="-4"/>
          <w:szCs w:val="28"/>
        </w:rPr>
        <w:t>人员实名认证。</w:t>
      </w:r>
    </w:p>
    <w:p w14:paraId="43DC3559">
      <w:pPr>
        <w:spacing w:before="47" w:line="349" w:lineRule="auto"/>
        <w:ind w:left="19" w:right="101" w:firstLine="568"/>
        <w:rPr>
          <w:rFonts w:cs="仿宋"/>
          <w:szCs w:val="28"/>
        </w:rPr>
      </w:pPr>
      <w:r>
        <w:rPr>
          <w:rFonts w:cs="仿宋"/>
          <w:spacing w:val="2"/>
          <w:szCs w:val="28"/>
        </w:rPr>
        <w:t>系统实名认证对接是指电子接种证平台与外部权威身份信息系统的连接与交互，以实现用户身份的准确、高效、安全验证。对接的具体功能可能包</w:t>
      </w:r>
      <w:r>
        <w:rPr>
          <w:rFonts w:cs="仿宋"/>
          <w:spacing w:val="-3"/>
          <w:szCs w:val="28"/>
        </w:rPr>
        <w:t>括以下几点：</w:t>
      </w:r>
    </w:p>
    <w:p w14:paraId="71F77691">
      <w:pPr>
        <w:spacing w:before="46"/>
        <w:ind w:firstLine="544"/>
        <w:rPr>
          <w:rFonts w:cs="仿宋"/>
          <w:spacing w:val="-4"/>
          <w:szCs w:val="28"/>
        </w:rPr>
      </w:pPr>
      <w:r>
        <w:rPr>
          <w:rFonts w:cs="仿宋"/>
          <w:spacing w:val="-4"/>
          <w:szCs w:val="28"/>
        </w:rPr>
        <w:t>1.数据接口集成：</w:t>
      </w:r>
    </w:p>
    <w:p w14:paraId="3D8C7BBB">
      <w:pPr>
        <w:spacing w:before="207" w:line="349" w:lineRule="auto"/>
        <w:ind w:left="17" w:right="101" w:firstLine="568"/>
        <w:rPr>
          <w:rFonts w:cs="仿宋"/>
          <w:szCs w:val="28"/>
        </w:rPr>
      </w:pPr>
      <w:r>
        <w:rPr>
          <w:rFonts w:cs="仿宋"/>
          <w:spacing w:val="2"/>
          <w:szCs w:val="28"/>
        </w:rPr>
        <w:t>平台与国家或地方身份信息数据库（如公安部人口信息系统、微信、支</w:t>
      </w:r>
      <w:r>
        <w:rPr>
          <w:rFonts w:cs="仿宋"/>
          <w:szCs w:val="28"/>
        </w:rPr>
        <w:t>付宝等）建立稳定的数据接口，实现数据实时或定期同步，确保身份信息验</w:t>
      </w:r>
      <w:r>
        <w:rPr>
          <w:rFonts w:cs="仿宋"/>
          <w:spacing w:val="-2"/>
          <w:szCs w:val="28"/>
        </w:rPr>
        <w:t>证的准确性和时效性。</w:t>
      </w:r>
    </w:p>
    <w:p w14:paraId="517393DE">
      <w:pPr>
        <w:spacing w:before="46"/>
        <w:ind w:firstLine="544"/>
        <w:rPr>
          <w:rFonts w:cs="仿宋"/>
          <w:spacing w:val="-4"/>
          <w:szCs w:val="28"/>
        </w:rPr>
      </w:pPr>
      <w:r>
        <w:rPr>
          <w:rFonts w:cs="仿宋"/>
          <w:spacing w:val="-4"/>
          <w:szCs w:val="28"/>
        </w:rPr>
        <w:t>2.身份信息查询：</w:t>
      </w:r>
    </w:p>
    <w:p w14:paraId="59FC8ACE">
      <w:pPr>
        <w:spacing w:before="203" w:line="351" w:lineRule="auto"/>
        <w:ind w:left="17" w:right="101" w:firstLine="560"/>
        <w:rPr>
          <w:rFonts w:cs="仿宋"/>
          <w:szCs w:val="28"/>
        </w:rPr>
      </w:pPr>
      <w:r>
        <w:rPr>
          <w:rFonts w:cs="仿宋"/>
          <w:szCs w:val="28"/>
        </w:rPr>
        <w:t>通过对接接口，平台能够实时查询用户提交的身份信息（如</w:t>
      </w:r>
      <w:r>
        <w:rPr>
          <w:rFonts w:cs="仿宋"/>
          <w:spacing w:val="-1"/>
          <w:szCs w:val="28"/>
        </w:rPr>
        <w:t>姓名、身份</w:t>
      </w:r>
      <w:r>
        <w:rPr>
          <w:rFonts w:cs="仿宋"/>
          <w:spacing w:val="1"/>
          <w:szCs w:val="28"/>
        </w:rPr>
        <w:t>证号码、出生日期等</w:t>
      </w:r>
      <w:r>
        <w:rPr>
          <w:rFonts w:cs="仿宋"/>
          <w:spacing w:val="21"/>
          <w:szCs w:val="28"/>
        </w:rPr>
        <w:t>），</w:t>
      </w:r>
      <w:r>
        <w:rPr>
          <w:rFonts w:cs="仿宋"/>
          <w:spacing w:val="1"/>
          <w:szCs w:val="28"/>
        </w:rPr>
        <w:t>验证其是否存在、是否有效，防止冒用他人身份注</w:t>
      </w:r>
      <w:r>
        <w:rPr>
          <w:rFonts w:cs="仿宋"/>
          <w:spacing w:val="-9"/>
          <w:szCs w:val="28"/>
        </w:rPr>
        <w:t>册。</w:t>
      </w:r>
    </w:p>
    <w:p w14:paraId="4865F4E6">
      <w:pPr>
        <w:spacing w:before="46"/>
        <w:ind w:firstLine="544"/>
        <w:rPr>
          <w:rFonts w:cs="仿宋"/>
          <w:spacing w:val="-4"/>
          <w:szCs w:val="28"/>
        </w:rPr>
      </w:pPr>
      <w:r>
        <w:rPr>
          <w:rFonts w:cs="仿宋"/>
          <w:spacing w:val="-4"/>
          <w:szCs w:val="28"/>
        </w:rPr>
        <w:t>3.生物特征比对：</w:t>
      </w:r>
    </w:p>
    <w:p w14:paraId="0A710342">
      <w:pPr>
        <w:spacing w:before="207" w:line="344" w:lineRule="auto"/>
        <w:ind w:left="17" w:firstLine="568"/>
        <w:rPr>
          <w:rFonts w:cs="仿宋"/>
          <w:szCs w:val="28"/>
        </w:rPr>
      </w:pPr>
      <w:r>
        <w:rPr>
          <w:rFonts w:cs="仿宋"/>
          <w:spacing w:val="2"/>
          <w:szCs w:val="28"/>
        </w:rPr>
        <w:t>平台支持人脸识别特征验证，可通过对接公安系统或其他具备生物特征</w:t>
      </w:r>
      <w:r>
        <w:rPr>
          <w:rFonts w:cs="仿宋"/>
          <w:spacing w:val="-3"/>
          <w:szCs w:val="28"/>
        </w:rPr>
        <w:t>数据库的平台，对比用户提交的生物特征信息与数据库记录，确保人证合</w:t>
      </w:r>
      <w:r>
        <w:rPr>
          <w:rFonts w:cs="仿宋"/>
          <w:spacing w:val="-4"/>
          <w:szCs w:val="28"/>
        </w:rPr>
        <w:t>一。</w:t>
      </w:r>
    </w:p>
    <w:p w14:paraId="2C96BD71">
      <w:pPr>
        <w:spacing w:before="46"/>
        <w:ind w:firstLine="544"/>
        <w:rPr>
          <w:rFonts w:cs="仿宋"/>
          <w:spacing w:val="-4"/>
          <w:szCs w:val="28"/>
        </w:rPr>
      </w:pPr>
      <w:r>
        <w:rPr>
          <w:rFonts w:cs="仿宋"/>
          <w:spacing w:val="-4"/>
          <w:szCs w:val="28"/>
        </w:rPr>
        <w:t>4.实名认证请求发送与响应：</w:t>
      </w:r>
    </w:p>
    <w:p w14:paraId="2DEE4FF3">
      <w:pPr>
        <w:spacing w:before="210" w:line="221" w:lineRule="auto"/>
        <w:ind w:left="584" w:firstLine="568"/>
        <w:rPr>
          <w:rFonts w:cs="仿宋"/>
          <w:szCs w:val="28"/>
        </w:rPr>
      </w:pPr>
      <w:r>
        <w:rPr>
          <w:rFonts w:cs="仿宋"/>
          <w:spacing w:val="2"/>
          <w:szCs w:val="28"/>
        </w:rPr>
        <w:t>可向对接系统发送实名认证请求，包括待验证的用户身份信息和可能的</w:t>
      </w:r>
      <w:r>
        <mc:AlternateContent>
          <mc:Choice Requires="wps">
            <w:drawing>
              <wp:anchor distT="0" distB="0" distL="114300" distR="114300" simplePos="0" relativeHeight="251673600" behindDoc="0" locked="0" layoutInCell="0" allowOverlap="1">
                <wp:simplePos x="0" y="0"/>
                <wp:positionH relativeFrom="page">
                  <wp:posOffset>817245</wp:posOffset>
                </wp:positionH>
                <wp:positionV relativeFrom="page">
                  <wp:posOffset>803910</wp:posOffset>
                </wp:positionV>
                <wp:extent cx="5926455" cy="9525"/>
                <wp:effectExtent l="0" t="0" r="0" b="0"/>
                <wp:wrapNone/>
                <wp:docPr id="27" name="任意多边形 27"/>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4.35pt;margin-top:63.3pt;height:0.75pt;width:466.65pt;mso-position-horizontal-relative:page;mso-position-vertical-relative:page;z-index:251673600;mso-width-relative:page;mso-height-relative:page;" fillcolor="#000000" filled="t" stroked="f" coordsize="9332,15" o:allowincell="f" o:gfxdata="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FAUB51QAAAAwBAAAP&#10;AAAAAAAAAAEAIAAAACIAAABkcnMvZG93bnJldi54bWxQSwECFAAUAAAACACHTuJAWGbI2hsCAACe&#10;BAAADgAAAAAAAAABACAAAAAkAQAAZHJzL2Uyb0RvYy54bWxQSwUGAAAAAAYABgBZAQAAsQUAAAAA&#10;" path="m0,0l9332,0,9332,14,0,14,0,0xe">
                <v:fill on="t" focussize="0,0"/>
                <v:stroke on="f"/>
                <v:imagedata o:title=""/>
                <o:lock v:ext="edit" aspectratio="f"/>
              </v:shape>
            </w:pict>
          </mc:Fallback>
        </mc:AlternateContent>
      </w:r>
      <w:r>
        <w:rPr>
          <w:rFonts w:cs="仿宋"/>
          <w:spacing w:val="2"/>
          <w:szCs w:val="28"/>
        </w:rPr>
        <w:t>生物特征数据。对接系统收到请求后进行比对验证，并</w:t>
      </w:r>
      <w:r>
        <w:rPr>
          <w:rFonts w:cs="仿宋"/>
          <w:spacing w:val="1"/>
          <w:szCs w:val="28"/>
        </w:rPr>
        <w:t>返回认证结果（如通</w:t>
      </w:r>
      <w:r>
        <w:rPr>
          <w:rFonts w:cs="仿宋"/>
          <w:spacing w:val="-2"/>
          <w:szCs w:val="28"/>
        </w:rPr>
        <w:t>过、不通过、待人工审核等）。</w:t>
      </w:r>
    </w:p>
    <w:p w14:paraId="2A7DE416">
      <w:pPr>
        <w:spacing w:before="46"/>
        <w:ind w:firstLine="544"/>
        <w:rPr>
          <w:rFonts w:cs="仿宋"/>
          <w:spacing w:val="-4"/>
          <w:szCs w:val="28"/>
        </w:rPr>
      </w:pPr>
      <w:r>
        <w:rPr>
          <w:rFonts w:cs="仿宋"/>
          <w:spacing w:val="-4"/>
          <w:szCs w:val="28"/>
        </w:rPr>
        <w:t>5.权限管理与访问控制：</w:t>
      </w:r>
    </w:p>
    <w:p w14:paraId="3AA3EC6B">
      <w:pPr>
        <w:spacing w:before="209" w:line="348" w:lineRule="auto"/>
        <w:ind w:left="20" w:right="13" w:firstLine="568"/>
        <w:rPr>
          <w:rFonts w:cs="仿宋"/>
          <w:szCs w:val="28"/>
        </w:rPr>
      </w:pPr>
      <w:r>
        <w:rPr>
          <w:rFonts w:cs="仿宋"/>
          <w:spacing w:val="2"/>
          <w:szCs w:val="28"/>
        </w:rPr>
        <w:t>与对接系统的交互需要遵循严格的权限管理制度，平台需获得合法授权</w:t>
      </w:r>
      <w:r>
        <w:rPr>
          <w:rFonts w:cs="仿宋"/>
          <w:spacing w:val="-4"/>
          <w:szCs w:val="28"/>
        </w:rPr>
        <w:t>并遵循安全协议，确保数据交换的合规性。对接系统可能提供访问控制功能，</w:t>
      </w:r>
      <w:r>
        <w:rPr>
          <w:rFonts w:cs="仿宋"/>
          <w:spacing w:val="-1"/>
          <w:szCs w:val="28"/>
        </w:rPr>
        <w:t>如API调用量限制、访问时段控制等，保障数</w:t>
      </w:r>
      <w:r>
        <w:rPr>
          <w:rFonts w:cs="仿宋"/>
          <w:spacing w:val="-2"/>
          <w:szCs w:val="28"/>
        </w:rPr>
        <w:t>据接口的安全稳定。</w:t>
      </w:r>
    </w:p>
    <w:p w14:paraId="3DB1A933">
      <w:pPr>
        <w:spacing w:before="46"/>
        <w:ind w:firstLine="544"/>
        <w:rPr>
          <w:rFonts w:cs="仿宋"/>
          <w:spacing w:val="-4"/>
          <w:szCs w:val="28"/>
        </w:rPr>
      </w:pPr>
      <w:r>
        <w:rPr>
          <w:rFonts w:cs="仿宋"/>
          <w:spacing w:val="-4"/>
          <w:szCs w:val="28"/>
        </w:rPr>
        <w:t>6.数据脱敏与隐私保护：</w:t>
      </w:r>
    </w:p>
    <w:p w14:paraId="63B4EBAE">
      <w:pPr>
        <w:spacing w:before="208" w:line="349" w:lineRule="auto"/>
        <w:ind w:left="17" w:right="94" w:firstLine="568"/>
        <w:rPr>
          <w:rFonts w:cs="仿宋"/>
          <w:szCs w:val="28"/>
        </w:rPr>
      </w:pPr>
      <w:r>
        <w:rPr>
          <w:rFonts w:cs="仿宋"/>
          <w:spacing w:val="2"/>
          <w:szCs w:val="28"/>
        </w:rPr>
        <w:t>对接过程中，平台与对接系统需共同遵守数据脱敏原则，仅传输必要的身份验证信息，且传输过程应加密处理，防止敏感信息泄露。对接系统可能</w:t>
      </w:r>
      <w:r>
        <w:rPr>
          <w:rFonts w:cs="仿宋"/>
          <w:spacing w:val="-1"/>
          <w:szCs w:val="28"/>
        </w:rPr>
        <w:t>提供数据脱敏工具或服务，协助平台满足隐私保护法规要求。</w:t>
      </w:r>
    </w:p>
    <w:p w14:paraId="2EC27077">
      <w:pPr>
        <w:spacing w:before="46"/>
        <w:ind w:firstLine="544"/>
        <w:rPr>
          <w:rFonts w:cs="仿宋"/>
          <w:spacing w:val="-4"/>
          <w:szCs w:val="28"/>
        </w:rPr>
      </w:pPr>
      <w:r>
        <w:rPr>
          <w:rFonts w:cs="仿宋"/>
          <w:spacing w:val="-4"/>
          <w:szCs w:val="28"/>
        </w:rPr>
        <w:t>7.日志记录与审计跟踪：</w:t>
      </w:r>
    </w:p>
    <w:p w14:paraId="7461618A">
      <w:pPr>
        <w:spacing w:before="207" w:line="343" w:lineRule="auto"/>
        <w:ind w:left="52" w:right="94" w:firstLine="568"/>
        <w:rPr>
          <w:rFonts w:cs="仿宋"/>
          <w:szCs w:val="28"/>
        </w:rPr>
      </w:pPr>
      <w:r>
        <w:rPr>
          <w:rFonts w:cs="仿宋"/>
          <w:spacing w:val="2"/>
          <w:szCs w:val="28"/>
        </w:rPr>
        <w:t>平台与对接系统应记录详细的实名认证日志，包括认证请求时间、请求</w:t>
      </w:r>
      <w:r>
        <w:rPr>
          <w:rFonts w:cs="仿宋"/>
          <w:spacing w:val="-2"/>
          <w:szCs w:val="28"/>
        </w:rPr>
        <w:t>内容、响应结果、异常情况等，以便后期审计、故障排查和合规检查。</w:t>
      </w:r>
    </w:p>
    <w:p w14:paraId="56E7E2F1">
      <w:pPr>
        <w:pStyle w:val="4"/>
        <w:rPr>
          <w:rFonts w:ascii="黑体" w:hAnsi="黑体" w:cs="黑体"/>
          <w:spacing w:val="-3"/>
        </w:rPr>
      </w:pPr>
      <w:bookmarkStart w:id="105" w:name="_Toc14329"/>
      <w:bookmarkStart w:id="106" w:name="_Toc8323"/>
      <w:bookmarkStart w:id="107" w:name="_Toc7214"/>
      <w:bookmarkStart w:id="108" w:name="_Toc12625"/>
      <w:bookmarkStart w:id="109" w:name="_Toc19507"/>
      <w:r>
        <w:rPr>
          <w:rFonts w:ascii="黑体" w:hAnsi="黑体" w:cs="黑体"/>
          <w:spacing w:val="-3"/>
        </w:rPr>
        <w:t>信息绑定</w:t>
      </w:r>
      <w:bookmarkEnd w:id="105"/>
      <w:bookmarkEnd w:id="106"/>
      <w:bookmarkEnd w:id="107"/>
      <w:bookmarkEnd w:id="108"/>
      <w:bookmarkEnd w:id="109"/>
    </w:p>
    <w:p w14:paraId="18FA227A">
      <w:pPr>
        <w:spacing w:before="208" w:line="349" w:lineRule="auto"/>
        <w:ind w:left="17" w:right="94" w:firstLine="568"/>
        <w:rPr>
          <w:rFonts w:cs="仿宋"/>
          <w:spacing w:val="2"/>
          <w:szCs w:val="28"/>
        </w:rPr>
      </w:pPr>
      <w:r>
        <w:rPr>
          <w:rFonts w:cs="仿宋"/>
          <w:spacing w:val="2"/>
          <w:szCs w:val="28"/>
        </w:rPr>
        <w:t>信息绑定功能实现青海省免疫规划信息管理系统档案信息与实名认证信息绑定，建立成员与免疫规划档案信息、接种信息关联，为后续数据展示提供依据。</w:t>
      </w:r>
    </w:p>
    <w:p w14:paraId="4F095D83">
      <w:pPr>
        <w:pStyle w:val="4"/>
        <w:rPr>
          <w:rFonts w:ascii="黑体" w:hAnsi="黑体" w:cs="黑体"/>
          <w:spacing w:val="-3"/>
        </w:rPr>
      </w:pPr>
      <w:bookmarkStart w:id="110" w:name="_Toc1634"/>
      <w:bookmarkStart w:id="111" w:name="_Toc7496"/>
      <w:bookmarkStart w:id="112" w:name="_Toc30321"/>
      <w:bookmarkStart w:id="113" w:name="_Toc22871"/>
      <w:bookmarkStart w:id="114" w:name="_Toc28331"/>
      <w:r>
        <w:rPr>
          <w:rFonts w:ascii="黑体" w:hAnsi="黑体" w:cs="黑体"/>
          <w:spacing w:val="-3"/>
        </w:rPr>
        <w:t>电子接种证展示</w:t>
      </w:r>
      <w:bookmarkEnd w:id="110"/>
      <w:bookmarkEnd w:id="111"/>
      <w:bookmarkEnd w:id="112"/>
      <w:bookmarkEnd w:id="113"/>
      <w:bookmarkEnd w:id="114"/>
    </w:p>
    <w:p w14:paraId="35555776">
      <w:pPr>
        <w:spacing w:before="328" w:line="345" w:lineRule="auto"/>
        <w:ind w:left="22" w:firstLine="540"/>
        <w:rPr>
          <w:rFonts w:cs="仿宋"/>
          <w:szCs w:val="28"/>
        </w:rPr>
      </w:pPr>
      <w:r>
        <w:rPr>
          <w:rFonts w:cs="仿宋"/>
          <w:spacing w:val="-5"/>
          <w:szCs w:val="28"/>
        </w:rPr>
        <w:t>电子接种证展示提供证件形式的电子接种证显示，在出行、入学、入职、</w:t>
      </w:r>
      <w:r>
        <w:rPr>
          <w:rFonts w:cs="仿宋"/>
          <w:spacing w:val="-1"/>
          <w:szCs w:val="28"/>
        </w:rPr>
        <w:t>参加大型活动等场景下，快速出示电子接种证明，无需携带纸质证件。</w:t>
      </w:r>
    </w:p>
    <w:p w14:paraId="260920C9">
      <w:pPr>
        <w:pStyle w:val="4"/>
      </w:pPr>
      <w:bookmarkStart w:id="115" w:name="_Toc2454"/>
      <w:bookmarkStart w:id="116" w:name="_Toc27392"/>
      <w:bookmarkStart w:id="117" w:name="_Toc30402"/>
      <w:bookmarkStart w:id="118" w:name="_Toc31381"/>
      <w:bookmarkStart w:id="119" w:name="_Toc29541"/>
      <w:r>
        <w:rPr>
          <w:rFonts w:ascii="黑体" w:hAnsi="黑体" w:cs="黑体"/>
          <w:spacing w:val="-3"/>
        </w:rPr>
        <w:t>电子接种证导出</w:t>
      </w:r>
      <w:bookmarkEnd w:id="115"/>
      <w:bookmarkEnd w:id="116"/>
      <w:bookmarkEnd w:id="117"/>
      <w:bookmarkEnd w:id="118"/>
      <w:bookmarkEnd w:id="119"/>
    </w:p>
    <w:p w14:paraId="473B8D78">
      <w:pPr>
        <w:ind w:firstLine="556"/>
        <w:rPr>
          <w:rFonts w:cs="仿宋"/>
          <w:spacing w:val="-1"/>
          <w:szCs w:val="28"/>
        </w:rPr>
      </w:pPr>
      <w:r>
        <w:rPr>
          <w:rFonts w:cs="仿宋"/>
          <w:spacing w:val="-1"/>
          <w:szCs w:val="28"/>
        </w:rPr>
        <w:t>面向公众用户提供电子接种证导出功能，方便用户打印和离线保存。</w:t>
      </w:r>
    </w:p>
    <w:p w14:paraId="52AF1540">
      <w:pPr>
        <w:pStyle w:val="4"/>
        <w:rPr>
          <w:rFonts w:ascii="黑体" w:hAnsi="黑体" w:cs="黑体"/>
          <w:spacing w:val="-3"/>
        </w:rPr>
      </w:pPr>
      <w:bookmarkStart w:id="120" w:name="_Toc31838"/>
      <w:bookmarkStart w:id="121" w:name="_Toc17076"/>
      <w:bookmarkStart w:id="122" w:name="_Toc25155"/>
      <w:bookmarkStart w:id="123" w:name="_Toc7918"/>
      <w:bookmarkStart w:id="124" w:name="_Toc14169"/>
      <w:r>
        <w:rPr>
          <w:rFonts w:ascii="黑体" w:hAnsi="黑体" w:cs="黑体"/>
          <w:spacing w:val="-3"/>
        </w:rPr>
        <w:t>与青海省电子证照系统对接</w:t>
      </w:r>
      <w:bookmarkEnd w:id="120"/>
      <w:bookmarkEnd w:id="121"/>
      <w:bookmarkEnd w:id="122"/>
      <w:bookmarkEnd w:id="123"/>
      <w:bookmarkEnd w:id="124"/>
    </w:p>
    <w:p w14:paraId="21CF1E3B">
      <w:pPr>
        <w:pStyle w:val="5"/>
        <w:rPr>
          <w:rFonts w:ascii="黑体" w:hAnsi="黑体" w:cs="黑体"/>
          <w:spacing w:val="-3"/>
        </w:rPr>
      </w:pPr>
      <w:r>
        <w:rPr>
          <w:rFonts w:ascii="黑体" w:hAnsi="黑体" w:cs="黑体"/>
          <w:spacing w:val="-3"/>
        </w:rPr>
        <w:t>电子印章对接</w:t>
      </w:r>
    </w:p>
    <w:p w14:paraId="21C77914">
      <w:pPr>
        <w:spacing w:before="326" w:line="349" w:lineRule="auto"/>
        <w:ind w:left="19" w:firstLine="548"/>
        <w:rPr>
          <w:rFonts w:cs="仿宋"/>
          <w:szCs w:val="28"/>
        </w:rPr>
      </w:pPr>
      <w:r>
        <w:rPr>
          <w:rFonts w:cs="仿宋"/>
          <w:spacing w:val="-3"/>
          <w:szCs w:val="28"/>
        </w:rPr>
        <w:t>青海省免疫规划信息管理系统对接青海省发改委信息中心电子证照系统，</w:t>
      </w:r>
      <w:r>
        <w:rPr>
          <w:rFonts w:cs="仿宋"/>
          <w:spacing w:val="2"/>
          <w:szCs w:val="28"/>
        </w:rPr>
        <w:t>依托青海省免疫规划信息管理系统现有的用户体系，实现电子证发证机构电</w:t>
      </w:r>
      <w:r>
        <w:rPr>
          <w:rFonts w:cs="仿宋"/>
          <w:spacing w:val="-1"/>
          <w:szCs w:val="28"/>
        </w:rPr>
        <w:t>子印章信息采集，为后续电子接种证发证提供电子印章数据支持。</w:t>
      </w:r>
    </w:p>
    <w:p w14:paraId="7C7CBE37">
      <w:pPr>
        <w:spacing w:before="47" w:line="349" w:lineRule="auto"/>
        <w:ind w:left="20" w:right="131" w:firstLine="564"/>
        <w:rPr>
          <w:rFonts w:cs="仿宋"/>
          <w:szCs w:val="28"/>
        </w:rPr>
      </w:pPr>
      <w:r>
        <w:rPr>
          <w:rFonts w:cs="仿宋"/>
          <w:spacing w:val="1"/>
          <w:szCs w:val="28"/>
        </w:rPr>
        <w:t>电子接种证与电子印章系统对接是为了实现预防接种数据与电子签章流</w:t>
      </w:r>
      <w:r>
        <w:rPr>
          <w:rFonts w:cs="仿宋"/>
          <w:spacing w:val="2"/>
          <w:szCs w:val="28"/>
        </w:rPr>
        <w:t>程的有效融合，确保接种证明文件的合法性和可信度。对接时需要实现的功</w:t>
      </w:r>
      <w:r>
        <w:rPr>
          <w:rFonts w:cs="仿宋"/>
          <w:spacing w:val="-2"/>
          <w:szCs w:val="28"/>
        </w:rPr>
        <w:t>能点可能包括以下几个方面：</w:t>
      </w:r>
    </w:p>
    <w:p w14:paraId="589A4EE5">
      <w:pPr>
        <w:spacing w:before="46"/>
        <w:ind w:firstLine="544"/>
        <w:rPr>
          <w:rFonts w:cs="仿宋"/>
          <w:spacing w:val="-4"/>
          <w:szCs w:val="28"/>
        </w:rPr>
      </w:pPr>
      <w:r>
        <w:rPr>
          <w:rFonts w:cs="仿宋"/>
          <w:spacing w:val="-4"/>
          <w:szCs w:val="28"/>
        </w:rPr>
        <w:t>1.印章数据交换接口：</w:t>
      </w:r>
    </w:p>
    <w:p w14:paraId="32D19E67">
      <w:pPr>
        <w:spacing w:before="206" w:line="344" w:lineRule="auto"/>
        <w:ind w:left="23" w:right="131" w:firstLine="560"/>
        <w:rPr>
          <w:rFonts w:cs="仿宋"/>
          <w:szCs w:val="28"/>
        </w:rPr>
      </w:pPr>
      <w:r>
        <w:rPr>
          <w:rFonts w:cs="仿宋"/>
          <w:szCs w:val="28"/>
        </w:rPr>
        <w:t>系统建立安全、稳定的双向数据接口，使电子接</w:t>
      </w:r>
      <w:r>
        <w:rPr>
          <w:rFonts w:cs="仿宋"/>
          <w:spacing w:val="-1"/>
          <w:szCs w:val="28"/>
        </w:rPr>
        <w:t>种证系统与电子印章系统能够无缝交换所需数据，如接种记录、用户信息、印章信息等。</w:t>
      </w:r>
    </w:p>
    <w:p w14:paraId="2EB6AEE2">
      <w:pPr>
        <w:spacing w:before="46"/>
        <w:ind w:firstLine="544"/>
        <w:rPr>
          <w:rFonts w:cs="仿宋"/>
          <w:spacing w:val="-4"/>
          <w:szCs w:val="28"/>
        </w:rPr>
      </w:pPr>
      <w:r>
        <w:rPr>
          <w:rFonts w:cs="仿宋"/>
          <w:spacing w:val="-4"/>
          <w:szCs w:val="28"/>
        </w:rPr>
        <w:t>2.接种记录验证：</w:t>
      </w:r>
    </w:p>
    <w:p w14:paraId="315FE94C">
      <w:pPr>
        <w:spacing w:before="208" w:line="342" w:lineRule="auto"/>
        <w:ind w:left="23" w:right="131" w:firstLine="564"/>
        <w:rPr>
          <w:rFonts w:cs="仿宋"/>
          <w:szCs w:val="28"/>
        </w:rPr>
      </w:pPr>
      <w:r>
        <w:rPr>
          <w:rFonts w:cs="仿宋"/>
          <w:spacing w:val="1"/>
          <w:szCs w:val="28"/>
        </w:rPr>
        <w:t>电子印章系统需对接收的接种记录进行真实性验证，确保接种信息来源</w:t>
      </w:r>
      <w:r>
        <w:rPr>
          <w:rFonts w:cs="仿宋"/>
          <w:spacing w:val="-2"/>
          <w:szCs w:val="28"/>
        </w:rPr>
        <w:t>于可信的电子接种证系统，并且未经篡改。</w:t>
      </w:r>
    </w:p>
    <w:p w14:paraId="4785D03E">
      <w:pPr>
        <w:spacing w:before="46"/>
        <w:ind w:firstLine="544"/>
        <w:rPr>
          <w:rFonts w:cs="仿宋"/>
          <w:spacing w:val="-4"/>
          <w:szCs w:val="28"/>
        </w:rPr>
      </w:pPr>
      <w:r>
        <w:rPr>
          <w:rFonts w:cs="仿宋"/>
          <w:spacing w:val="-4"/>
          <w:szCs w:val="28"/>
        </w:rPr>
        <w:t>3.电子印章生成：</w:t>
      </w:r>
    </w:p>
    <w:p w14:paraId="7392A6DF">
      <w:pPr>
        <w:spacing w:before="207" w:line="344" w:lineRule="auto"/>
        <w:ind w:left="20" w:right="131" w:firstLine="568"/>
        <w:rPr>
          <w:rFonts w:cs="仿宋"/>
          <w:szCs w:val="28"/>
        </w:rPr>
      </w:pPr>
      <w:r>
        <w:rPr>
          <w:rFonts w:cs="仿宋"/>
          <w:spacing w:val="2"/>
          <w:szCs w:val="28"/>
        </w:rPr>
        <w:t>根据对接收到的接种记录，电子印章系统自动生成或调用对应的电子印</w:t>
      </w:r>
      <w:r>
        <w:rPr>
          <w:rFonts w:cs="仿宋"/>
          <w:spacing w:val="-1"/>
          <w:szCs w:val="28"/>
        </w:rPr>
        <w:t>章，如疾控部门或医疗接种机构的官方电子印章，用于签署接种证明文件。</w:t>
      </w:r>
    </w:p>
    <w:p w14:paraId="5C18BCBC">
      <w:pPr>
        <w:spacing w:before="46"/>
        <w:ind w:firstLine="544"/>
        <w:rPr>
          <w:rFonts w:cs="仿宋"/>
          <w:spacing w:val="-4"/>
          <w:szCs w:val="28"/>
        </w:rPr>
      </w:pPr>
      <w:r>
        <w:rPr>
          <w:rFonts w:cs="仿宋"/>
          <w:spacing w:val="-4"/>
          <w:szCs w:val="28"/>
        </w:rPr>
        <w:t>4.签章权限管理：</w:t>
      </w:r>
    </w:p>
    <w:p w14:paraId="3C0D5EB9">
      <w:pPr>
        <w:spacing w:before="207" w:line="345" w:lineRule="auto"/>
        <w:ind w:left="17" w:right="131" w:firstLine="568"/>
        <w:rPr>
          <w:rFonts w:cs="仿宋"/>
          <w:szCs w:val="28"/>
        </w:rPr>
      </w:pPr>
      <w:r>
        <w:rPr>
          <w:rFonts w:cs="仿宋"/>
          <w:spacing w:val="2"/>
          <w:szCs w:val="28"/>
        </w:rPr>
        <w:t>对接过程中应实现签章权限的有效管控，确保只有授权人员或系统才能</w:t>
      </w:r>
      <w:r>
        <w:rPr>
          <w:rFonts w:cs="仿宋"/>
          <w:spacing w:val="-1"/>
          <w:szCs w:val="28"/>
        </w:rPr>
        <w:t>调用特定电子印章，防止未经授权的签章行为。</w:t>
      </w:r>
    </w:p>
    <w:p w14:paraId="67F7C4A8">
      <w:pPr>
        <w:spacing w:before="46"/>
        <w:ind w:firstLine="544"/>
        <w:rPr>
          <w:rFonts w:cs="仿宋"/>
          <w:spacing w:val="-4"/>
          <w:szCs w:val="28"/>
        </w:rPr>
      </w:pPr>
      <w:r>
        <w:rPr>
          <w:rFonts w:cs="仿宋"/>
          <w:spacing w:val="-4"/>
          <w:szCs w:val="28"/>
        </w:rPr>
        <w:t>5.签章过程记录：</w:t>
      </w:r>
    </w:p>
    <w:p w14:paraId="27405EFD">
      <w:pPr>
        <w:spacing w:before="207" w:line="343" w:lineRule="auto"/>
        <w:ind w:left="23" w:right="131" w:firstLine="568"/>
        <w:rPr>
          <w:rFonts w:cs="仿宋"/>
          <w:szCs w:val="28"/>
        </w:rPr>
      </w:pPr>
      <w:r>
        <w:rPr>
          <w:rFonts w:cs="仿宋"/>
          <w:spacing w:val="2"/>
          <w:szCs w:val="28"/>
        </w:rPr>
        <w:t>系统记录每一次签章操作的时间、操作人、签章内容等关键信息，形成</w:t>
      </w:r>
      <w:r>
        <w:rPr>
          <w:rFonts w:cs="仿宋"/>
          <w:spacing w:val="-2"/>
          <w:szCs w:val="28"/>
        </w:rPr>
        <w:t>完整的签章日志，作为电子证据保存。</w:t>
      </w:r>
    </w:p>
    <w:p w14:paraId="6B88D059">
      <w:pPr>
        <w:spacing w:before="46"/>
        <w:ind w:firstLine="544"/>
        <w:rPr>
          <w:rFonts w:cs="仿宋"/>
          <w:spacing w:val="-4"/>
          <w:szCs w:val="28"/>
        </w:rPr>
      </w:pPr>
      <w:r>
        <w:rPr>
          <w:rFonts w:cs="仿宋"/>
          <w:spacing w:val="-4"/>
          <w:szCs w:val="28"/>
        </w:rPr>
        <w:t>6.签章状态同步：</w:t>
      </w:r>
    </w:p>
    <w:p w14:paraId="7AADC843">
      <w:pPr>
        <w:spacing w:before="207" w:line="343" w:lineRule="auto"/>
        <w:ind w:left="23" w:right="131" w:firstLine="568"/>
        <w:rPr>
          <w:rFonts w:cs="仿宋"/>
          <w:spacing w:val="-4"/>
          <w:szCs w:val="28"/>
        </w:rPr>
      </w:pPr>
      <w:r>
        <w:rPr>
          <w:rFonts w:cs="仿宋"/>
          <w:spacing w:val="2"/>
          <w:szCs w:val="28"/>
        </w:rPr>
        <w:t>系统确保电子接种证系统与电子印章系统之间的签章状态实时同步，用</w:t>
      </w:r>
      <w:r>
        <w:rPr>
          <w:rFonts w:cs="仿宋"/>
          <w:spacing w:val="2"/>
          <w:szCs w:val="28"/>
        </w:rPr>
        <mc:AlternateContent>
          <mc:Choice Requires="wps">
            <w:drawing>
              <wp:anchor distT="0" distB="0" distL="114300" distR="114300" simplePos="0" relativeHeight="251674624" behindDoc="0" locked="0" layoutInCell="0" allowOverlap="1">
                <wp:simplePos x="0" y="0"/>
                <wp:positionH relativeFrom="page">
                  <wp:posOffset>817245</wp:posOffset>
                </wp:positionH>
                <wp:positionV relativeFrom="page">
                  <wp:posOffset>803910</wp:posOffset>
                </wp:positionV>
                <wp:extent cx="5926455" cy="9525"/>
                <wp:effectExtent l="0" t="0" r="0" b="0"/>
                <wp:wrapNone/>
                <wp:docPr id="32" name="任意多边形 32"/>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4.35pt;margin-top:63.3pt;height:0.75pt;width:466.65pt;mso-position-horizontal-relative:page;mso-position-vertical-relative:page;z-index:251674624;mso-width-relative:page;mso-height-relative:page;" fillcolor="#000000" filled="t" stroked="f" coordsize="9332,15" o:allowincell="f" o:gfxdata="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xQFAedUAAAAMAQAADwAA&#10;AAAAAAABACAAAAAiAAAAZHJzL2Rvd25yZXYueG1sUEsBAhQAFAAAAAgAh07iQDPhFbUZAgAAngQA&#10;AA4AAAAAAAAAAQAgAAAAJAEAAGRycy9lMm9Eb2MueG1sUEsFBgAAAAAGAAYAWQEAAK8FAAAAAA==&#10;" path="m0,0l9332,0,9332,14,0,14,0,0xe">
                <v:fill on="t" focussize="0,0"/>
                <v:stroke on="f"/>
                <v:imagedata o:title=""/>
                <o:lock v:ext="edit" aspectratio="f"/>
              </v:shape>
            </w:pict>
          </mc:Fallback>
        </mc:AlternateContent>
      </w:r>
      <w:r>
        <w:rPr>
          <w:rFonts w:cs="仿宋"/>
          <w:spacing w:val="2"/>
          <w:szCs w:val="28"/>
        </w:rPr>
        <w:t>户在电子接种证平台能够及时查看签章进度和结果。</w:t>
      </w:r>
    </w:p>
    <w:p w14:paraId="77E89BC3">
      <w:pPr>
        <w:spacing w:before="46"/>
        <w:ind w:firstLine="544"/>
        <w:rPr>
          <w:rFonts w:cs="仿宋"/>
          <w:spacing w:val="-4"/>
          <w:szCs w:val="28"/>
        </w:rPr>
      </w:pPr>
      <w:r>
        <w:rPr>
          <w:rFonts w:cs="仿宋"/>
          <w:spacing w:val="-4"/>
          <w:szCs w:val="28"/>
        </w:rPr>
        <w:t>7.签章文件存储与分发：</w:t>
      </w:r>
    </w:p>
    <w:p w14:paraId="31AC778F">
      <w:pPr>
        <w:spacing w:before="47" w:line="349" w:lineRule="auto"/>
        <w:ind w:left="17" w:firstLine="568"/>
        <w:rPr>
          <w:rFonts w:cs="仿宋"/>
          <w:szCs w:val="28"/>
        </w:rPr>
      </w:pPr>
      <w:r>
        <w:rPr>
          <w:rFonts w:cs="仿宋"/>
          <w:spacing w:val="2"/>
          <w:szCs w:val="28"/>
        </w:rPr>
        <w:t>系统实现签署后的接种证明文件应安全存储在电子印章系统中，并根据需要分发给用户、医疗机构、学校、监管部门等各方。对接过程中应确保文</w:t>
      </w:r>
      <w:r>
        <w:rPr>
          <w:rFonts w:cs="仿宋"/>
          <w:spacing w:val="-2"/>
          <w:szCs w:val="28"/>
        </w:rPr>
        <w:t>件传输的安全性，防止数据泄露。</w:t>
      </w:r>
    </w:p>
    <w:p w14:paraId="40737C32">
      <w:pPr>
        <w:spacing w:before="46"/>
        <w:ind w:firstLine="544"/>
        <w:rPr>
          <w:rFonts w:cs="仿宋"/>
          <w:spacing w:val="-4"/>
          <w:szCs w:val="28"/>
        </w:rPr>
      </w:pPr>
      <w:r>
        <w:rPr>
          <w:rFonts w:cs="仿宋"/>
          <w:spacing w:val="-4"/>
          <w:szCs w:val="28"/>
        </w:rPr>
        <w:t>8.签章撤销与更新：</w:t>
      </w:r>
    </w:p>
    <w:p w14:paraId="29705C70">
      <w:pPr>
        <w:spacing w:before="207" w:line="343" w:lineRule="auto"/>
        <w:ind w:left="28" w:firstLine="568"/>
        <w:rPr>
          <w:rFonts w:cs="仿宋"/>
          <w:szCs w:val="28"/>
        </w:rPr>
      </w:pPr>
      <w:r>
        <w:rPr>
          <w:rFonts w:cs="仿宋"/>
          <w:spacing w:val="2"/>
          <w:szCs w:val="28"/>
        </w:rPr>
        <w:t>系统针对错误签章、接种信息变更等情况，对接功能应支持签章的撤销</w:t>
      </w:r>
      <w:r>
        <w:rPr>
          <w:rFonts w:cs="仿宋"/>
          <w:spacing w:val="-2"/>
          <w:szCs w:val="28"/>
        </w:rPr>
        <w:t>与更新操作，并确保相关记录的完整性和追溯性。</w:t>
      </w:r>
    </w:p>
    <w:p w14:paraId="5696F919">
      <w:pPr>
        <w:spacing w:before="46"/>
        <w:ind w:firstLine="544"/>
        <w:rPr>
          <w:rFonts w:cs="仿宋"/>
          <w:spacing w:val="-4"/>
          <w:szCs w:val="28"/>
        </w:rPr>
      </w:pPr>
      <w:r>
        <w:rPr>
          <w:rFonts w:cs="仿宋"/>
          <w:spacing w:val="-4"/>
          <w:szCs w:val="28"/>
        </w:rPr>
        <w:t>9.用户隐私保护：</w:t>
      </w:r>
    </w:p>
    <w:p w14:paraId="78DF07B3">
      <w:pPr>
        <w:spacing w:before="207" w:line="344" w:lineRule="auto"/>
        <w:ind w:left="17" w:firstLine="568"/>
        <w:rPr>
          <w:rFonts w:cs="仿宋"/>
          <w:szCs w:val="28"/>
        </w:rPr>
      </w:pPr>
      <w:r>
        <w:rPr>
          <w:rFonts w:cs="仿宋"/>
          <w:spacing w:val="2"/>
          <w:szCs w:val="28"/>
        </w:rPr>
        <w:t>系统在对接过程中，双方系统应严格遵守数据隐私保护法规，对涉及用</w:t>
      </w:r>
      <w:r>
        <w:rPr>
          <w:rFonts w:cs="仿宋"/>
          <w:spacing w:val="-1"/>
          <w:szCs w:val="28"/>
        </w:rPr>
        <w:t>户个人信息的部分进行必要的脱敏处理，防止敏感信息泄露。</w:t>
      </w:r>
    </w:p>
    <w:p w14:paraId="1F375325">
      <w:pPr>
        <w:pStyle w:val="5"/>
        <w:rPr>
          <w:rFonts w:ascii="黑体" w:hAnsi="黑体" w:cs="黑体"/>
          <w:spacing w:val="-3"/>
        </w:rPr>
      </w:pPr>
      <w:r>
        <w:rPr>
          <w:rFonts w:ascii="黑体" w:hAnsi="黑体" w:cs="黑体"/>
          <w:spacing w:val="-3"/>
        </w:rPr>
        <w:t>电子接种证对接</w:t>
      </w:r>
    </w:p>
    <w:p w14:paraId="287D6253">
      <w:pPr>
        <w:spacing w:before="329" w:line="342" w:lineRule="auto"/>
        <w:ind w:left="25" w:firstLine="564"/>
        <w:rPr>
          <w:rFonts w:cs="仿宋"/>
          <w:szCs w:val="28"/>
        </w:rPr>
      </w:pPr>
      <w:r>
        <w:rPr>
          <w:rFonts w:cs="仿宋"/>
          <w:spacing w:val="1"/>
          <w:szCs w:val="28"/>
        </w:rPr>
        <w:t>电子接种证对接青海省发改委信息中心电子证照系统，实现电子接种证</w:t>
      </w:r>
      <w:r>
        <w:rPr>
          <w:rFonts w:cs="仿宋"/>
          <w:spacing w:val="-2"/>
          <w:szCs w:val="28"/>
        </w:rPr>
        <w:t>发证、电子接种证注销及电子接种证展示。</w:t>
      </w:r>
    </w:p>
    <w:p w14:paraId="6D31C040">
      <w:pPr>
        <w:pStyle w:val="4"/>
        <w:rPr>
          <w:rFonts w:ascii="黑体" w:hAnsi="黑体" w:cs="黑体"/>
          <w:spacing w:val="-3"/>
        </w:rPr>
      </w:pPr>
      <w:bookmarkStart w:id="125" w:name="_Toc12370"/>
      <w:bookmarkStart w:id="126" w:name="_Toc6710"/>
      <w:bookmarkStart w:id="127" w:name="_Toc18846"/>
      <w:bookmarkStart w:id="128" w:name="_Toc6721"/>
      <w:bookmarkStart w:id="129" w:name="_Toc6086"/>
      <w:r>
        <w:rPr>
          <w:rFonts w:ascii="黑体" w:hAnsi="黑体" w:cs="黑体"/>
          <w:spacing w:val="-3"/>
        </w:rPr>
        <w:t>电子印章管理</w:t>
      </w:r>
      <w:bookmarkEnd w:id="125"/>
      <w:bookmarkEnd w:id="126"/>
      <w:bookmarkEnd w:id="127"/>
      <w:bookmarkEnd w:id="128"/>
      <w:bookmarkEnd w:id="129"/>
    </w:p>
    <w:p w14:paraId="28A936A3">
      <w:pPr>
        <w:pStyle w:val="5"/>
        <w:rPr>
          <w:rFonts w:ascii="黑体" w:hAnsi="黑体" w:cs="黑体"/>
          <w:spacing w:val="-3"/>
        </w:rPr>
      </w:pPr>
      <w:r>
        <w:rPr>
          <w:rFonts w:ascii="黑体" w:hAnsi="黑体" w:cs="黑体"/>
          <w:spacing w:val="-3"/>
        </w:rPr>
        <w:t>电子印章上传</w:t>
      </w:r>
    </w:p>
    <w:p w14:paraId="7EA1C787">
      <w:pPr>
        <w:spacing w:before="328" w:line="342" w:lineRule="auto"/>
        <w:ind w:left="23" w:firstLine="568"/>
        <w:rPr>
          <w:rFonts w:cs="仿宋"/>
          <w:szCs w:val="28"/>
        </w:rPr>
      </w:pPr>
      <w:r>
        <w:rPr>
          <w:rFonts w:cs="仿宋"/>
          <w:spacing w:val="2"/>
          <w:szCs w:val="28"/>
        </w:rPr>
        <w:t>各级接种证发证机构，制作本机构电子印章，并通过电子印章上传功能</w:t>
      </w:r>
      <w:r>
        <w:rPr>
          <w:rFonts w:cs="仿宋"/>
          <w:spacing w:val="-1"/>
          <w:szCs w:val="28"/>
        </w:rPr>
        <w:t>实现电子印章上报，为后续电子接种证签章提供印章数据支持。</w:t>
      </w:r>
    </w:p>
    <w:p w14:paraId="1F708EB7">
      <w:pPr>
        <w:pStyle w:val="5"/>
        <w:rPr>
          <w:rFonts w:ascii="黑体" w:hAnsi="黑体" w:cs="黑体"/>
          <w:spacing w:val="-3"/>
        </w:rPr>
      </w:pPr>
      <w:r>
        <w:rPr>
          <w:rFonts w:ascii="黑体" w:hAnsi="黑体" w:cs="黑体"/>
          <w:spacing w:val="-3"/>
        </w:rPr>
        <w:t>电子印章统计</w:t>
      </w:r>
    </w:p>
    <w:p w14:paraId="3C1FC1F2">
      <w:pPr>
        <w:ind w:firstLine="556"/>
        <w:rPr>
          <w:rFonts w:cs="仿宋"/>
          <w:spacing w:val="-1"/>
          <w:szCs w:val="28"/>
        </w:rPr>
      </w:pPr>
      <w:r>
        <w:rPr>
          <w:rFonts w:cs="仿宋"/>
          <w:spacing w:val="-1"/>
          <w:szCs w:val="28"/>
        </w:rPr>
        <w:t>根据地区、时间等维度实现电子印章统计分析。</w:t>
      </w:r>
    </w:p>
    <w:p w14:paraId="296034FC">
      <w:pPr>
        <w:pStyle w:val="4"/>
        <w:rPr>
          <w:rFonts w:ascii="黑体" w:hAnsi="黑体" w:cs="黑体"/>
          <w:spacing w:val="-3"/>
        </w:rPr>
      </w:pPr>
      <w:bookmarkStart w:id="130" w:name="_Toc16464"/>
      <w:bookmarkStart w:id="131" w:name="_Toc28544"/>
      <w:bookmarkStart w:id="132" w:name="_Toc30176"/>
      <w:bookmarkStart w:id="133" w:name="_Toc10063"/>
      <w:bookmarkStart w:id="134" w:name="_Toc12706"/>
      <w:r>
        <w:rPr>
          <w:rFonts w:ascii="黑体" w:hAnsi="黑体" w:cs="黑体"/>
          <w:spacing w:val="-3"/>
        </w:rPr>
        <w:t>公众入托入学查验</w:t>
      </w:r>
      <w:bookmarkEnd w:id="130"/>
      <w:bookmarkEnd w:id="131"/>
      <w:bookmarkEnd w:id="132"/>
      <w:bookmarkEnd w:id="133"/>
      <w:bookmarkEnd w:id="134"/>
    </w:p>
    <w:p w14:paraId="6ADD79BE">
      <w:pPr>
        <w:ind w:firstLine="568"/>
        <w:rPr>
          <w:rFonts w:cs="仿宋"/>
          <w:spacing w:val="-3"/>
          <w:szCs w:val="28"/>
        </w:rPr>
      </w:pPr>
      <w:r>
        <w:rPr>
          <w:rFonts w:cs="仿宋"/>
          <w:spacing w:val="2"/>
          <w:szCs w:val="28"/>
        </w:rPr>
        <w:t>依托青海省免疫规划信息管理系统入托入学查验功能，面向公众提供个</w:t>
      </w:r>
      <w:r>
        <w:rPr>
          <w:rFonts w:cs="仿宋"/>
          <w:spacing w:val="-3"/>
          <w:szCs w:val="28"/>
        </w:rPr>
        <w:t>人入托入学查验功能。</w:t>
      </w:r>
    </w:p>
    <w:p w14:paraId="4D9451D4">
      <w:pPr>
        <w:pStyle w:val="5"/>
        <w:rPr>
          <w:rFonts w:ascii="黑体" w:hAnsi="黑体" w:cs="黑体"/>
          <w:spacing w:val="-3"/>
        </w:rPr>
      </w:pPr>
      <w:r>
        <w:rPr>
          <w:rFonts w:ascii="黑体" w:hAnsi="黑体" w:cs="黑体"/>
          <w:spacing w:val="-3"/>
        </w:rPr>
        <w:t>入托入学查验申请记录管理</w:t>
      </w:r>
    </w:p>
    <w:p w14:paraId="4E1409C2">
      <w:pPr>
        <w:ind w:firstLine="548"/>
        <w:rPr>
          <w:rFonts w:cs="仿宋"/>
          <w:spacing w:val="-3"/>
          <w:szCs w:val="28"/>
        </w:rPr>
      </w:pPr>
      <w:r>
        <w:rPr>
          <w:rFonts w:cs="仿宋"/>
          <w:spacing w:val="-3"/>
          <w:szCs w:val="28"/>
        </w:rPr>
        <w:t>系统支持入托入学查验申请记录的管理，系统实现对查验记录进行列表展示，查询，详情查看功能。</w:t>
      </w:r>
    </w:p>
    <w:p w14:paraId="71C725D9">
      <w:pPr>
        <w:pStyle w:val="5"/>
        <w:rPr>
          <w:rFonts w:ascii="黑体" w:hAnsi="黑体" w:cs="黑体"/>
          <w:spacing w:val="-3"/>
        </w:rPr>
      </w:pPr>
      <w:r>
        <w:rPr>
          <w:rFonts w:ascii="黑体" w:hAnsi="黑体" w:cs="黑体"/>
          <w:spacing w:val="-3"/>
        </w:rPr>
        <w:t>入托入学信息校验管理</w:t>
      </w:r>
    </w:p>
    <w:p w14:paraId="0003F5E4">
      <w:pPr>
        <w:ind w:firstLine="548"/>
        <w:rPr>
          <w:rFonts w:cs="仿宋"/>
          <w:spacing w:val="-3"/>
          <w:szCs w:val="28"/>
        </w:rPr>
      </w:pPr>
      <w:r>
        <w:rPr>
          <w:rFonts w:cs="仿宋"/>
          <w:spacing w:val="-3"/>
          <w:szCs w:val="28"/>
        </w:rPr>
        <w:t>系统支持入托入学信息校验的管理，系统实现了校验记录进行列表展示，查询，详情查看功能。</w:t>
      </w:r>
    </w:p>
    <w:p w14:paraId="32FCC947">
      <w:pPr>
        <w:pStyle w:val="5"/>
        <w:rPr>
          <w:rFonts w:ascii="黑体" w:hAnsi="黑体" w:cs="黑体"/>
          <w:spacing w:val="-3"/>
        </w:rPr>
      </w:pPr>
      <w:r>
        <w:rPr>
          <w:rFonts w:ascii="黑体" w:hAnsi="黑体" w:cs="黑体"/>
          <w:spacing w:val="-3"/>
        </w:rPr>
        <w:t>入托入学报告管理</w:t>
      </w:r>
    </w:p>
    <w:p w14:paraId="26C26B08">
      <w:pPr>
        <w:ind w:firstLine="548"/>
        <w:rPr>
          <w:rFonts w:cs="仿宋"/>
          <w:spacing w:val="-3"/>
          <w:szCs w:val="28"/>
        </w:rPr>
      </w:pPr>
      <w:r>
        <w:rPr>
          <w:rFonts w:cs="仿宋"/>
          <w:spacing w:val="-3"/>
          <w:szCs w:val="28"/>
        </w:rPr>
        <w:t>系统支持入托入学报告的管理，系统实现针对报告记录的列表展示，查询，详情查看功能。</w:t>
      </w:r>
    </w:p>
    <w:p w14:paraId="0B90E917">
      <w:pPr>
        <w:pStyle w:val="5"/>
        <w:rPr>
          <w:rFonts w:ascii="黑体" w:hAnsi="黑体" w:cs="黑体"/>
          <w:spacing w:val="-3"/>
        </w:rPr>
      </w:pPr>
      <w:r>
        <w:rPr>
          <w:rFonts w:ascii="黑体" w:hAnsi="黑体" w:cs="黑体"/>
          <w:spacing w:val="-3"/>
        </w:rPr>
        <w:t>入托入学报告导出</w:t>
      </w:r>
    </w:p>
    <w:p w14:paraId="514AC4A6">
      <w:pPr>
        <w:ind w:firstLine="548"/>
        <w:rPr>
          <w:rFonts w:cs="仿宋"/>
          <w:spacing w:val="-3"/>
          <w:szCs w:val="28"/>
        </w:rPr>
      </w:pPr>
      <w:r>
        <w:rPr>
          <w:rFonts w:cs="仿宋"/>
          <w:spacing w:val="-3"/>
          <w:szCs w:val="28"/>
        </w:rPr>
        <w:t>系统支持入托入学报告的导出，系统实现针对入托入学报告的在线导出功能。</w:t>
      </w:r>
    </w:p>
    <w:p w14:paraId="3C66F9B8">
      <w:pPr>
        <w:pStyle w:val="4"/>
        <w:rPr>
          <w:rFonts w:ascii="黑体" w:hAnsi="黑体" w:cs="黑体"/>
          <w:spacing w:val="-3"/>
        </w:rPr>
      </w:pPr>
      <w:bookmarkStart w:id="135" w:name="_Toc26827"/>
      <w:bookmarkStart w:id="136" w:name="_Toc5843"/>
      <w:bookmarkStart w:id="137" w:name="_Toc9775"/>
      <w:bookmarkStart w:id="138" w:name="_Toc1730"/>
      <w:bookmarkStart w:id="139" w:name="_Toc6894"/>
      <w:r>
        <w:rPr>
          <w:rFonts w:ascii="黑体" w:hAnsi="黑体" w:cs="黑体"/>
          <w:spacing w:val="-3"/>
        </w:rPr>
        <w:t>机构管理</w:t>
      </w:r>
      <w:bookmarkEnd w:id="135"/>
      <w:bookmarkEnd w:id="136"/>
      <w:bookmarkEnd w:id="137"/>
      <w:bookmarkEnd w:id="138"/>
      <w:bookmarkEnd w:id="139"/>
    </w:p>
    <w:p w14:paraId="5586EF18">
      <w:pPr>
        <w:ind w:firstLine="568"/>
        <w:rPr>
          <w:rFonts w:cs="仿宋"/>
          <w:spacing w:val="-3"/>
          <w:szCs w:val="28"/>
        </w:rPr>
      </w:pPr>
      <w:r>
        <w:rPr>
          <w:rFonts w:cs="仿宋"/>
          <w:spacing w:val="2"/>
          <w:szCs w:val="28"/>
        </w:rPr>
        <w:t>依托青海省免疫规划信息管理系统已有的机构及用户体系，建设发证机</w:t>
      </w:r>
      <w:r>
        <w:rPr>
          <w:rFonts w:cs="仿宋"/>
          <w:spacing w:val="-3"/>
          <w:szCs w:val="28"/>
        </w:rPr>
        <w:t>构管理模块，实现发证机构管理，为后续电子印章维护提供入口</w:t>
      </w:r>
      <w:r>
        <w:rPr>
          <w:rFonts w:hint="eastAsia" w:cs="仿宋"/>
          <w:spacing w:val="-3"/>
          <w:szCs w:val="28"/>
        </w:rPr>
        <w:t>。</w:t>
      </w:r>
    </w:p>
    <w:p w14:paraId="348F5119">
      <w:pPr>
        <w:pStyle w:val="5"/>
        <w:rPr>
          <w:rFonts w:ascii="黑体" w:hAnsi="黑体" w:cs="黑体"/>
          <w:spacing w:val="-3"/>
        </w:rPr>
      </w:pPr>
      <w:r>
        <w:rPr>
          <w:rFonts w:ascii="黑体" w:hAnsi="黑体" w:cs="黑体"/>
          <w:spacing w:val="-3"/>
        </w:rPr>
        <w:t>发证机构列表</w:t>
      </w:r>
    </w:p>
    <w:p w14:paraId="7926FCB4">
      <w:pPr>
        <w:spacing w:before="329" w:line="342" w:lineRule="auto"/>
        <w:ind w:left="17" w:right="80" w:firstLine="568"/>
        <w:rPr>
          <w:rFonts w:cs="仿宋"/>
          <w:szCs w:val="28"/>
        </w:rPr>
      </w:pPr>
      <w:r>
        <w:rPr>
          <w:rFonts w:cs="仿宋"/>
          <w:spacing w:val="2"/>
          <w:szCs w:val="28"/>
        </w:rPr>
        <w:t>系统支持发证机构的列表展示，上级机构可以查看到本辖区内的发证机</w:t>
      </w:r>
      <w:r>
        <w:rPr>
          <w:rFonts w:cs="仿宋"/>
          <w:spacing w:val="-1"/>
          <w:szCs w:val="28"/>
        </w:rPr>
        <w:t>构的列表信息。展示内容主要包括机构名称、机构编码、机构类型等。</w:t>
      </w:r>
    </w:p>
    <w:p w14:paraId="67B97050">
      <w:pPr>
        <w:pStyle w:val="5"/>
        <w:rPr>
          <w:rFonts w:ascii="黑体" w:hAnsi="黑体" w:cs="黑体"/>
          <w:spacing w:val="-3"/>
        </w:rPr>
      </w:pPr>
      <w:r>
        <w:rPr>
          <w:rFonts w:ascii="黑体" w:hAnsi="黑体" w:cs="黑体"/>
          <w:spacing w:val="-3"/>
        </w:rPr>
        <w:t>发证机构查询</w:t>
      </w:r>
    </w:p>
    <w:p w14:paraId="50168EB2">
      <w:pPr>
        <w:spacing w:before="331" w:line="342" w:lineRule="auto"/>
        <w:ind w:left="34" w:right="80" w:firstLine="568"/>
        <w:rPr>
          <w:rFonts w:cs="仿宋"/>
          <w:spacing w:val="-2"/>
          <w:szCs w:val="28"/>
        </w:rPr>
      </w:pPr>
      <w:r>
        <w:rPr>
          <w:rFonts w:cs="仿宋"/>
          <w:spacing w:val="2"/>
          <w:szCs w:val="28"/>
        </w:rPr>
        <w:t>系统支持发证机构的信息查询，上级机构可以查询本辖区内的发证机构</w:t>
      </w:r>
      <w:r>
        <w:rPr>
          <w:rFonts w:cs="仿宋"/>
          <w:spacing w:val="-1"/>
          <w:szCs w:val="28"/>
        </w:rPr>
        <w:t>的信息。根据机构名称、机构编码、机构类型等条件进行</w:t>
      </w:r>
      <w:r>
        <w:rPr>
          <w:rFonts w:cs="仿宋"/>
          <w:spacing w:val="-2"/>
          <w:szCs w:val="28"/>
        </w:rPr>
        <w:t>检索查询。</w:t>
      </w:r>
    </w:p>
    <w:p w14:paraId="0C6D1025">
      <w:pPr>
        <w:pStyle w:val="5"/>
        <w:rPr>
          <w:rFonts w:ascii="黑体" w:hAnsi="黑体" w:cs="黑体"/>
          <w:spacing w:val="-3"/>
        </w:rPr>
      </w:pPr>
      <w:r>
        <w:rPr>
          <w:rFonts w:ascii="黑体" w:hAnsi="黑体" w:cs="黑体"/>
          <w:spacing w:val="-3"/>
        </w:rPr>
        <mc:AlternateContent>
          <mc:Choice Requires="wps">
            <w:drawing>
              <wp:anchor distT="0" distB="0" distL="114300" distR="114300" simplePos="0" relativeHeight="251675648" behindDoc="0" locked="0" layoutInCell="0" allowOverlap="1">
                <wp:simplePos x="0" y="0"/>
                <wp:positionH relativeFrom="page">
                  <wp:posOffset>817245</wp:posOffset>
                </wp:positionH>
                <wp:positionV relativeFrom="page">
                  <wp:posOffset>803910</wp:posOffset>
                </wp:positionV>
                <wp:extent cx="5926455" cy="9525"/>
                <wp:effectExtent l="0" t="0" r="0" b="0"/>
                <wp:wrapNone/>
                <wp:docPr id="34" name="任意多边形 34"/>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4.35pt;margin-top:63.3pt;height:0.75pt;width:466.65pt;mso-position-horizontal-relative:page;mso-position-vertical-relative:page;z-index:251675648;mso-width-relative:page;mso-height-relative:page;" fillcolor="#000000" filled="t" stroked="f" coordsize="9332,15" o:allowincell="f" o:gfxdata="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MUBQHnVAAAADAEAAA8AAAAA&#10;AAAAAQAgAAAAIgAAAGRycy9kb3ducmV2LnhtbFBLAQIUABQAAAAIAIdO4kCOIARtFwIAAJ4EAAAO&#10;AAAAAAAAAAEAIAAAACQBAABkcnMvZTJvRG9jLnhtbFBLBQYAAAAABgAGAFkBAACtBQAAAAA=&#10;" path="m0,0l9332,0,9332,14,0,14,0,0xe">
                <v:fill on="t" focussize="0,0"/>
                <v:stroke on="f"/>
                <v:imagedata o:title=""/>
                <o:lock v:ext="edit" aspectratio="f"/>
              </v:shape>
            </w:pict>
          </mc:Fallback>
        </mc:AlternateContent>
      </w:r>
      <w:r>
        <w:rPr>
          <w:rFonts w:ascii="黑体" w:hAnsi="黑体" w:cs="黑体"/>
          <w:spacing w:val="-3"/>
        </w:rPr>
        <w:t>发证机构详情</w:t>
      </w:r>
    </w:p>
    <w:p w14:paraId="4F1107E0">
      <w:pPr>
        <w:spacing w:before="327" w:line="344" w:lineRule="auto"/>
        <w:ind w:left="17" w:right="94" w:firstLine="568"/>
        <w:rPr>
          <w:rFonts w:cs="仿宋"/>
          <w:szCs w:val="28"/>
        </w:rPr>
      </w:pPr>
      <w:r>
        <w:rPr>
          <w:rFonts w:cs="仿宋"/>
          <w:spacing w:val="2"/>
          <w:szCs w:val="28"/>
        </w:rPr>
        <w:t>系统支持发证机构的详细信息查看，上级机构可以查询本辖区内的发证</w:t>
      </w:r>
      <w:r>
        <w:rPr>
          <w:rFonts w:cs="仿宋"/>
          <w:spacing w:val="-3"/>
          <w:szCs w:val="28"/>
        </w:rPr>
        <w:t>机构的详细信息。</w:t>
      </w:r>
    </w:p>
    <w:p w14:paraId="5B67EB33">
      <w:pPr>
        <w:pStyle w:val="5"/>
        <w:rPr>
          <w:rFonts w:ascii="黑体" w:hAnsi="黑体" w:cs="黑体"/>
          <w:spacing w:val="-3"/>
        </w:rPr>
      </w:pPr>
      <w:r>
        <w:rPr>
          <w:rFonts w:ascii="黑体" w:hAnsi="黑体" w:cs="黑体"/>
          <w:spacing w:val="-3"/>
        </w:rPr>
        <w:t>发证机构印章管理</w:t>
      </w:r>
    </w:p>
    <w:p w14:paraId="3CB6E0AA">
      <w:pPr>
        <w:spacing w:before="329" w:line="343" w:lineRule="auto"/>
        <w:ind w:left="17" w:right="94" w:firstLine="568"/>
        <w:rPr>
          <w:rFonts w:cs="仿宋"/>
          <w:szCs w:val="28"/>
        </w:rPr>
      </w:pPr>
      <w:r>
        <w:rPr>
          <w:rFonts w:cs="仿宋"/>
          <w:spacing w:val="2"/>
          <w:szCs w:val="28"/>
        </w:rPr>
        <w:t>系统支持发证机构的印章信息的管理，上级机构可以查询本辖区内的发</w:t>
      </w:r>
      <w:r>
        <w:rPr>
          <w:rFonts w:cs="仿宋"/>
          <w:spacing w:val="-1"/>
          <w:szCs w:val="28"/>
        </w:rPr>
        <w:t>证机构的印章信息，并且支持印章信息的替换操作。</w:t>
      </w:r>
    </w:p>
    <w:p w14:paraId="4ED5AB21">
      <w:pPr>
        <w:pStyle w:val="5"/>
        <w:rPr>
          <w:rFonts w:ascii="黑体" w:hAnsi="黑体" w:cs="黑体"/>
          <w:spacing w:val="-3"/>
        </w:rPr>
      </w:pPr>
      <w:r>
        <w:rPr>
          <w:rFonts w:ascii="黑体" w:hAnsi="黑体" w:cs="黑体"/>
          <w:spacing w:val="-3"/>
        </w:rPr>
        <w:t>发证机构新增</w:t>
      </w:r>
    </w:p>
    <w:p w14:paraId="7612F4DD">
      <w:pPr>
        <w:spacing w:before="330" w:line="344" w:lineRule="auto"/>
        <w:ind w:left="17" w:firstLine="544"/>
        <w:rPr>
          <w:rFonts w:cs="仿宋"/>
          <w:szCs w:val="28"/>
        </w:rPr>
      </w:pPr>
      <w:r>
        <w:rPr>
          <w:rFonts w:cs="仿宋"/>
          <w:spacing w:val="-4"/>
          <w:szCs w:val="28"/>
        </w:rPr>
        <w:t>提供发证机构新增功能，新增内容包括机构名称、机构编码、机构类型、</w:t>
      </w:r>
      <w:r>
        <w:rPr>
          <w:rFonts w:cs="仿宋"/>
          <w:spacing w:val="-3"/>
          <w:szCs w:val="28"/>
        </w:rPr>
        <w:t>机构地址等。</w:t>
      </w:r>
    </w:p>
    <w:p w14:paraId="5048C75B">
      <w:pPr>
        <w:pStyle w:val="5"/>
        <w:rPr>
          <w:rFonts w:ascii="黑体" w:hAnsi="黑体" w:cs="黑体"/>
          <w:spacing w:val="-3"/>
        </w:rPr>
      </w:pPr>
      <w:r>
        <w:rPr>
          <w:rFonts w:ascii="黑体" w:hAnsi="黑体" w:cs="黑体"/>
          <w:spacing w:val="-3"/>
        </w:rPr>
        <w:t>发证机构修改</w:t>
      </w:r>
    </w:p>
    <w:p w14:paraId="1314DEAE">
      <w:pPr>
        <w:spacing w:before="331" w:line="342" w:lineRule="auto"/>
        <w:ind w:left="34" w:right="80" w:firstLine="568"/>
        <w:rPr>
          <w:rFonts w:cs="仿宋"/>
          <w:spacing w:val="2"/>
          <w:szCs w:val="28"/>
        </w:rPr>
      </w:pPr>
      <w:r>
        <w:rPr>
          <w:rFonts w:cs="仿宋"/>
          <w:spacing w:val="2"/>
          <w:szCs w:val="28"/>
        </w:rPr>
        <w:t>提供发证机构修改功能，修改现有发证机构的详细信息。</w:t>
      </w:r>
    </w:p>
    <w:p w14:paraId="22AF6CEA">
      <w:pPr>
        <w:pStyle w:val="5"/>
        <w:rPr>
          <w:rFonts w:ascii="黑体" w:hAnsi="黑体" w:cs="黑体"/>
          <w:spacing w:val="-3"/>
        </w:rPr>
      </w:pPr>
      <w:r>
        <w:rPr>
          <w:rFonts w:ascii="黑体" w:hAnsi="黑体" w:cs="黑体"/>
          <w:spacing w:val="-3"/>
        </w:rPr>
        <w:t>发证机构删除</w:t>
      </w:r>
    </w:p>
    <w:p w14:paraId="3EF20D39">
      <w:pPr>
        <w:spacing w:before="331" w:line="342" w:lineRule="auto"/>
        <w:ind w:left="34" w:right="80" w:firstLine="568"/>
        <w:rPr>
          <w:rFonts w:cs="仿宋"/>
          <w:spacing w:val="2"/>
          <w:szCs w:val="28"/>
        </w:rPr>
      </w:pPr>
      <w:r>
        <w:rPr>
          <w:rFonts w:cs="仿宋"/>
          <w:spacing w:val="2"/>
          <w:szCs w:val="28"/>
        </w:rPr>
        <w:t>提供发证机构删除功能，删除现有发证机构。</w:t>
      </w:r>
    </w:p>
    <w:p w14:paraId="66F210BB">
      <w:pPr>
        <w:pStyle w:val="4"/>
        <w:rPr>
          <w:rFonts w:ascii="黑体" w:hAnsi="黑体" w:cs="黑体"/>
          <w:spacing w:val="-3"/>
        </w:rPr>
      </w:pPr>
      <w:bookmarkStart w:id="140" w:name="_Toc12162"/>
      <w:bookmarkStart w:id="141" w:name="_Toc27050"/>
      <w:bookmarkStart w:id="142" w:name="_Toc3249"/>
      <w:bookmarkStart w:id="143" w:name="_Toc6954"/>
      <w:bookmarkStart w:id="144" w:name="_Toc31019"/>
      <w:r>
        <w:rPr>
          <w:rFonts w:ascii="黑体" w:hAnsi="黑体" w:cs="黑体"/>
          <w:spacing w:val="-3"/>
        </w:rPr>
        <w:t>系统设置</w:t>
      </w:r>
      <w:bookmarkEnd w:id="140"/>
      <w:bookmarkEnd w:id="141"/>
      <w:bookmarkEnd w:id="142"/>
      <w:bookmarkEnd w:id="143"/>
      <w:bookmarkEnd w:id="144"/>
    </w:p>
    <w:p w14:paraId="6F78CBA5">
      <w:pPr>
        <w:spacing w:before="331" w:line="344" w:lineRule="auto"/>
        <w:ind w:left="17" w:right="94" w:firstLine="568"/>
        <w:rPr>
          <w:rFonts w:cs="仿宋"/>
          <w:szCs w:val="28"/>
        </w:rPr>
      </w:pPr>
      <w:r>
        <w:rPr>
          <w:rFonts w:cs="仿宋"/>
          <w:spacing w:val="2"/>
          <w:szCs w:val="28"/>
        </w:rPr>
        <w:t>系统设置模块提供电子接种证申领业务设置功能，支持电子接种证绑定</w:t>
      </w:r>
      <w:r>
        <w:rPr>
          <w:rFonts w:cs="仿宋"/>
          <w:spacing w:val="-1"/>
          <w:szCs w:val="28"/>
        </w:rPr>
        <w:t>次数/人，绑定最多个数等限制设置。</w:t>
      </w:r>
    </w:p>
    <w:p w14:paraId="0829607F">
      <w:pPr>
        <w:pStyle w:val="4"/>
        <w:rPr>
          <w:rFonts w:ascii="黑体" w:hAnsi="黑体" w:cs="黑体"/>
          <w:spacing w:val="-3"/>
        </w:rPr>
      </w:pPr>
      <w:bookmarkStart w:id="145" w:name="_Toc12544"/>
      <w:bookmarkStart w:id="146" w:name="_Toc15559"/>
      <w:bookmarkStart w:id="147" w:name="_Toc31791"/>
      <w:bookmarkStart w:id="148" w:name="_Toc24864"/>
      <w:bookmarkStart w:id="149" w:name="_Toc854"/>
      <w:r>
        <w:rPr>
          <w:rFonts w:ascii="黑体" w:hAnsi="黑体" w:cs="黑体"/>
          <w:spacing w:val="-3"/>
        </w:rPr>
        <w:t>电子接种证统计分析</w:t>
      </w:r>
      <w:bookmarkEnd w:id="145"/>
      <w:bookmarkEnd w:id="146"/>
      <w:bookmarkEnd w:id="147"/>
      <w:bookmarkEnd w:id="148"/>
      <w:bookmarkEnd w:id="149"/>
    </w:p>
    <w:p w14:paraId="36679CD0">
      <w:pPr>
        <w:pStyle w:val="5"/>
        <w:rPr>
          <w:rFonts w:ascii="黑体" w:hAnsi="黑体" w:cs="黑体"/>
          <w:spacing w:val="-3"/>
        </w:rPr>
      </w:pPr>
      <w:r>
        <w:rPr>
          <w:rFonts w:ascii="黑体" w:hAnsi="黑体" w:cs="黑体"/>
          <w:spacing w:val="-3"/>
        </w:rPr>
        <w:t>发证统计</w:t>
      </w:r>
    </w:p>
    <w:p w14:paraId="3FF7A5A3">
      <w:pPr>
        <w:spacing w:before="329" w:line="345" w:lineRule="auto"/>
        <w:ind w:left="19" w:right="139" w:firstLine="560"/>
        <w:rPr>
          <w:rFonts w:cs="仿宋"/>
          <w:szCs w:val="28"/>
        </w:rPr>
      </w:pPr>
      <w:r>
        <w:rPr>
          <w:rFonts w:cs="仿宋"/>
          <w:szCs w:val="28"/>
        </w:rPr>
        <w:t>发证统计模块提供电子接种证发证（申领）情况统计，支持通过时间、</w:t>
      </w:r>
      <w:r>
        <w:rPr>
          <w:rFonts w:cs="仿宋"/>
          <w:spacing w:val="-2"/>
          <w:szCs w:val="28"/>
        </w:rPr>
        <w:t>地区、人群分类等条件进行检索。</w:t>
      </w:r>
    </w:p>
    <w:p w14:paraId="1A9A4266">
      <w:pPr>
        <w:pStyle w:val="5"/>
        <w:rPr>
          <w:rFonts w:ascii="黑体" w:hAnsi="黑体" w:cs="黑体"/>
          <w:spacing w:val="-3"/>
        </w:rPr>
      </w:pPr>
      <w:r>
        <w:rPr>
          <w:rFonts w:ascii="黑体" w:hAnsi="黑体" w:cs="黑体"/>
          <w:spacing w:val="-3"/>
        </w:rPr>
        <w:t>单位用证统计</w:t>
      </w:r>
    </w:p>
    <w:p w14:paraId="2AF1F0EA">
      <w:pPr>
        <w:spacing w:before="329" w:line="345" w:lineRule="auto"/>
        <w:ind w:left="19" w:right="139" w:firstLine="560"/>
        <w:rPr>
          <w:rFonts w:cs="仿宋"/>
          <w:szCs w:val="28"/>
        </w:rPr>
      </w:pPr>
      <w:r>
        <w:rPr>
          <w:rFonts w:cs="仿宋"/>
          <w:szCs w:val="28"/>
        </w:rPr>
        <w:t>单位用证统计模块提供电子接种证使用情况，支持通过时间、地区、人</w:t>
      </w:r>
      <w:r>
        <w:rPr>
          <w:rFonts w:cs="仿宋"/>
          <w:szCs w:val="28"/>
        </w:rPr>
        <mc:AlternateContent>
          <mc:Choice Requires="wps">
            <w:drawing>
              <wp:anchor distT="0" distB="0" distL="114300" distR="114300" simplePos="0" relativeHeight="251676672" behindDoc="0" locked="0" layoutInCell="0" allowOverlap="1">
                <wp:simplePos x="0" y="0"/>
                <wp:positionH relativeFrom="page">
                  <wp:posOffset>817245</wp:posOffset>
                </wp:positionH>
                <wp:positionV relativeFrom="page">
                  <wp:posOffset>803910</wp:posOffset>
                </wp:positionV>
                <wp:extent cx="5926455" cy="9525"/>
                <wp:effectExtent l="0" t="0" r="0" b="0"/>
                <wp:wrapNone/>
                <wp:docPr id="35" name="任意多边形 35"/>
                <wp:cNvGraphicFramePr/>
                <a:graphic xmlns:a="http://schemas.openxmlformats.org/drawingml/2006/main">
                  <a:graphicData uri="http://schemas.microsoft.com/office/word/2010/wordprocessingShape">
                    <wps:wsp>
                      <wps:cNvSpPr/>
                      <wps:spPr>
                        <a:xfrm>
                          <a:off x="0" y="0"/>
                          <a:ext cx="5926455" cy="9525"/>
                        </a:xfrm>
                        <a:custGeom>
                          <a:avLst/>
                          <a:gdLst/>
                          <a:ahLst/>
                          <a:cxnLst/>
                          <a:rect l="0" t="0" r="0" b="0"/>
                          <a:pathLst>
                            <a:path w="9332" h="15">
                              <a:moveTo>
                                <a:pt x="0" y="0"/>
                              </a:moveTo>
                              <a:lnTo>
                                <a:pt x="9332" y="0"/>
                              </a:lnTo>
                              <a:lnTo>
                                <a:pt x="933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4.35pt;margin-top:63.3pt;height:0.75pt;width:466.65pt;mso-position-horizontal-relative:page;mso-position-vertical-relative:page;z-index:251676672;mso-width-relative:page;mso-height-relative:page;" fillcolor="#000000" filled="t" stroked="f" coordsize="9332,15" o:allowincell="f" o:gfxdata="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DFAUB51QAAAAwBAAAPAAAAAAAA&#10;AAEAIAAAACIAAABkcnMvZG93bnJldi54bWxQSwECFAAUAAAACACHTuJAJP5rEhUCAACeBAAADgAA&#10;AAAAAAABACAAAAAkAQAAZHJzL2Uyb0RvYy54bWxQSwUGAAAAAAYABgBZAQAAqwUAAAAA&#10;" path="m0,0l9332,0,9332,14,0,14,0,0xe">
                <v:fill on="t" focussize="0,0"/>
                <v:stroke on="f"/>
                <v:imagedata o:title=""/>
                <o:lock v:ext="edit" aspectratio="f"/>
              </v:shape>
            </w:pict>
          </mc:Fallback>
        </mc:AlternateContent>
      </w:r>
      <w:r>
        <w:rPr>
          <w:rFonts w:cs="仿宋"/>
          <w:szCs w:val="28"/>
        </w:rPr>
        <w:t>群分类等条件进行检索。</w:t>
      </w:r>
    </w:p>
    <w:p w14:paraId="1EB3FAC8">
      <w:pPr>
        <w:pStyle w:val="5"/>
        <w:rPr>
          <w:rFonts w:ascii="黑体" w:hAnsi="黑体" w:cs="黑体"/>
          <w:spacing w:val="-3"/>
        </w:rPr>
      </w:pPr>
      <w:r>
        <w:rPr>
          <w:rFonts w:ascii="黑体" w:hAnsi="黑体" w:cs="黑体"/>
          <w:spacing w:val="-3"/>
        </w:rPr>
        <w:t>申领明细查询</w:t>
      </w:r>
    </w:p>
    <w:p w14:paraId="79A87FDA">
      <w:pPr>
        <w:spacing w:before="329" w:line="345" w:lineRule="auto"/>
        <w:ind w:left="19" w:right="139" w:firstLine="560"/>
        <w:rPr>
          <w:rFonts w:cs="仿宋"/>
          <w:szCs w:val="28"/>
        </w:rPr>
      </w:pPr>
      <w:r>
        <w:rPr>
          <w:rFonts w:cs="仿宋"/>
          <w:szCs w:val="28"/>
        </w:rPr>
        <w:t>提供电子接种证申领明细查询功能，支持通过时间、地区、人群分类等条件进行检索。</w:t>
      </w:r>
    </w:p>
    <w:p w14:paraId="503DCD0C">
      <w:pPr>
        <w:pStyle w:val="5"/>
        <w:rPr>
          <w:rFonts w:ascii="黑体" w:hAnsi="黑体" w:cs="黑体"/>
          <w:spacing w:val="-3"/>
        </w:rPr>
      </w:pPr>
      <w:r>
        <w:rPr>
          <w:rFonts w:ascii="黑体" w:hAnsi="黑体" w:cs="黑体"/>
          <w:spacing w:val="-3"/>
        </w:rPr>
        <w:t>电子证照总体统计</w:t>
      </w:r>
    </w:p>
    <w:p w14:paraId="6DF03320">
      <w:pPr>
        <w:spacing w:before="330" w:line="349" w:lineRule="auto"/>
        <w:ind w:left="17" w:firstLine="564"/>
        <w:rPr>
          <w:rFonts w:cs="仿宋"/>
          <w:szCs w:val="28"/>
        </w:rPr>
      </w:pPr>
      <w:r>
        <w:rPr>
          <w:rFonts w:cs="仿宋"/>
          <w:spacing w:val="1"/>
          <w:szCs w:val="28"/>
        </w:rPr>
        <w:t>电子接种证总体统计功能，可以查看证照的总体情况，也可以列表按照</w:t>
      </w:r>
      <w:r>
        <w:rPr>
          <w:rFonts w:cs="仿宋"/>
          <w:spacing w:val="2"/>
          <w:szCs w:val="28"/>
        </w:rPr>
        <w:t>发证单位展示证照维护的生成数以及签章数，也支持查看近一周、近一月或</w:t>
      </w:r>
      <w:r>
        <w:rPr>
          <w:rFonts w:cs="仿宋"/>
          <w:spacing w:val="-1"/>
          <w:szCs w:val="28"/>
        </w:rPr>
        <w:t>近一年的证照生成情况，也支持自定义时间范围查询数据。</w:t>
      </w:r>
    </w:p>
    <w:p w14:paraId="32E656CD">
      <w:pPr>
        <w:pStyle w:val="5"/>
        <w:rPr>
          <w:rFonts w:ascii="黑体" w:hAnsi="黑体" w:cs="黑体"/>
          <w:spacing w:val="-3"/>
        </w:rPr>
      </w:pPr>
      <w:r>
        <w:rPr>
          <w:rFonts w:ascii="黑体" w:hAnsi="黑体" w:cs="黑体"/>
          <w:spacing w:val="-3"/>
        </w:rPr>
        <w:t>电子证照作废量统计</w:t>
      </w:r>
    </w:p>
    <w:p w14:paraId="499CB9D5">
      <w:pPr>
        <w:spacing w:before="327" w:line="350" w:lineRule="auto"/>
        <w:ind w:left="17" w:firstLine="564"/>
        <w:rPr>
          <w:rFonts w:cs="仿宋"/>
          <w:szCs w:val="28"/>
        </w:rPr>
      </w:pPr>
      <w:r>
        <w:rPr>
          <w:rFonts w:cs="仿宋"/>
          <w:spacing w:val="1"/>
          <w:szCs w:val="28"/>
        </w:rPr>
        <w:t>电子接种证作废量统计功能，可以查看证照的作废情况，也支持查看不</w:t>
      </w:r>
      <w:r>
        <w:rPr>
          <w:rFonts w:cs="仿宋"/>
          <w:spacing w:val="2"/>
          <w:szCs w:val="28"/>
        </w:rPr>
        <w:t>同机构的近一周、近一月或近一年的废证情况，也支持自定义时间范围查询</w:t>
      </w:r>
      <w:r>
        <w:rPr>
          <w:rFonts w:cs="仿宋"/>
          <w:spacing w:val="-6"/>
          <w:szCs w:val="28"/>
        </w:rPr>
        <w:t>数据。</w:t>
      </w:r>
    </w:p>
    <w:p w14:paraId="1C920589">
      <w:pPr>
        <w:pStyle w:val="5"/>
        <w:rPr>
          <w:rFonts w:ascii="黑体" w:hAnsi="黑体" w:cs="黑体"/>
          <w:spacing w:val="-3"/>
        </w:rPr>
      </w:pPr>
      <w:r>
        <w:rPr>
          <w:rFonts w:ascii="黑体" w:hAnsi="黑体" w:cs="黑体"/>
          <w:spacing w:val="-3"/>
        </w:rPr>
        <w:t>新生儿电子证照统计</w:t>
      </w:r>
    </w:p>
    <w:p w14:paraId="28EB147D">
      <w:pPr>
        <w:spacing w:before="328" w:line="350" w:lineRule="auto"/>
        <w:ind w:left="20" w:firstLine="568"/>
        <w:rPr>
          <w:rFonts w:cs="仿宋"/>
          <w:szCs w:val="28"/>
        </w:rPr>
      </w:pPr>
      <w:r>
        <w:rPr>
          <w:rFonts w:cs="仿宋"/>
          <w:spacing w:val="2"/>
          <w:szCs w:val="28"/>
        </w:rPr>
        <w:t>新生儿电子接种证统计功能，可以查看新生儿接种证的数据情况，也支持查看不同机构的近一周、近一月或近一年的废证情况，也支持自定义时间</w:t>
      </w:r>
      <w:r>
        <w:rPr>
          <w:rFonts w:cs="仿宋"/>
          <w:spacing w:val="-3"/>
          <w:szCs w:val="28"/>
        </w:rPr>
        <w:t>范围查询数据。</w:t>
      </w:r>
    </w:p>
    <w:p w14:paraId="5D7DD055">
      <w:pPr>
        <w:pStyle w:val="5"/>
        <w:rPr>
          <w:rFonts w:ascii="黑体" w:hAnsi="黑体" w:cs="黑体"/>
          <w:spacing w:val="-3"/>
        </w:rPr>
      </w:pPr>
      <w:r>
        <w:rPr>
          <w:rFonts w:ascii="黑体" w:hAnsi="黑体" w:cs="黑体"/>
          <w:spacing w:val="-3"/>
        </w:rPr>
        <w:t>入托入学查验统计</w:t>
      </w:r>
    </w:p>
    <w:p w14:paraId="3EAE2D50">
      <w:pPr>
        <w:spacing w:before="328" w:line="350" w:lineRule="auto"/>
        <w:ind w:left="17" w:firstLine="568"/>
        <w:rPr>
          <w:rFonts w:cs="仿宋"/>
          <w:spacing w:val="-6"/>
          <w:szCs w:val="28"/>
        </w:rPr>
      </w:pPr>
      <w:r>
        <w:rPr>
          <w:rFonts w:cs="仿宋"/>
          <w:spacing w:val="2"/>
          <w:szCs w:val="28"/>
        </w:rPr>
        <w:t>入托入学查验统计功能，可以查看入托入学查验的情况，也支持查看不同机构的近一周、近一月或近一年的废证情况，也支持自定义时间范围查询</w:t>
      </w:r>
      <w:r>
        <w:rPr>
          <w:rFonts w:cs="仿宋"/>
          <w:spacing w:val="-6"/>
          <w:szCs w:val="28"/>
        </w:rPr>
        <w:t>数据。</w:t>
      </w:r>
    </w:p>
    <w:p w14:paraId="3B0D2723">
      <w:pPr>
        <w:pStyle w:val="3"/>
      </w:pPr>
      <w:bookmarkStart w:id="150" w:name="_Toc173747628"/>
      <w:bookmarkStart w:id="151" w:name="_Toc11931"/>
      <w:bookmarkStart w:id="152" w:name="_Toc25648"/>
      <w:bookmarkStart w:id="153" w:name="_Toc10783"/>
      <w:bookmarkStart w:id="154" w:name="_Toc18768"/>
      <w:bookmarkStart w:id="155" w:name="_Toc25243"/>
      <w:bookmarkStart w:id="156" w:name="_Toc180360716"/>
      <w:r>
        <w:rPr>
          <w:rFonts w:hint="eastAsia"/>
        </w:rPr>
        <w:t>系统性能指标要求</w:t>
      </w:r>
      <w:bookmarkEnd w:id="150"/>
      <w:bookmarkEnd w:id="151"/>
      <w:bookmarkEnd w:id="152"/>
      <w:bookmarkEnd w:id="153"/>
      <w:bookmarkEnd w:id="154"/>
      <w:bookmarkEnd w:id="155"/>
      <w:bookmarkEnd w:id="156"/>
    </w:p>
    <w:p w14:paraId="02A331BA">
      <w:pPr>
        <w:pStyle w:val="4"/>
      </w:pPr>
      <w:bookmarkStart w:id="157" w:name="_Toc107474388"/>
      <w:bookmarkStart w:id="158" w:name="_Toc6843"/>
      <w:bookmarkStart w:id="159" w:name="_Toc27187"/>
      <w:bookmarkStart w:id="160" w:name="_Toc173747629"/>
      <w:bookmarkStart w:id="161" w:name="_Toc15549"/>
      <w:bookmarkStart w:id="162" w:name="_Toc31281"/>
      <w:bookmarkStart w:id="163" w:name="_Toc180360717"/>
      <w:bookmarkStart w:id="164" w:name="_Toc109679517"/>
      <w:bookmarkStart w:id="165" w:name="_Toc12375"/>
      <w:bookmarkStart w:id="166" w:name="_Toc124174430"/>
      <w:bookmarkStart w:id="167" w:name="_Toc136519933"/>
      <w:bookmarkStart w:id="168" w:name="_Toc27076"/>
      <w:r>
        <w:rPr>
          <w:rFonts w:hint="eastAsia"/>
        </w:rPr>
        <w:t>总体性能指标</w:t>
      </w:r>
      <w:bookmarkEnd w:id="157"/>
      <w:bookmarkEnd w:id="158"/>
      <w:bookmarkEnd w:id="159"/>
      <w:bookmarkEnd w:id="160"/>
      <w:bookmarkEnd w:id="161"/>
      <w:bookmarkEnd w:id="162"/>
      <w:bookmarkEnd w:id="163"/>
      <w:bookmarkEnd w:id="164"/>
      <w:bookmarkEnd w:id="165"/>
      <w:bookmarkEnd w:id="166"/>
      <w:bookmarkEnd w:id="167"/>
      <w:bookmarkEnd w:id="168"/>
    </w:p>
    <w:p w14:paraId="49B74F09">
      <w:pPr>
        <w:ind w:firstLine="560"/>
      </w:pPr>
      <w:r>
        <w:t>系统总体性能要稳定高效实用、数据更新及时方便、数据调用快捷准确、操作维护简便、数据组织合理、可扩展性和兼容性好。</w:t>
      </w:r>
      <w:bookmarkStart w:id="169" w:name="_Toc6085"/>
      <w:bookmarkStart w:id="170" w:name="_Toc173747630"/>
      <w:bookmarkStart w:id="171" w:name="_Toc10609"/>
    </w:p>
    <w:p w14:paraId="185FFB65">
      <w:pPr>
        <w:pStyle w:val="4"/>
      </w:pPr>
      <w:bookmarkStart w:id="172" w:name="_Toc26835"/>
      <w:bookmarkStart w:id="173" w:name="_Toc28594"/>
      <w:bookmarkStart w:id="174" w:name="_Toc154"/>
      <w:bookmarkStart w:id="175" w:name="_Toc180360718"/>
      <w:bookmarkStart w:id="176" w:name="_Toc16518"/>
      <w:r>
        <w:rPr>
          <w:rFonts w:hint="eastAsia"/>
        </w:rPr>
        <w:t>健壮性</w:t>
      </w:r>
      <w:bookmarkEnd w:id="169"/>
      <w:bookmarkEnd w:id="170"/>
      <w:bookmarkEnd w:id="171"/>
      <w:bookmarkEnd w:id="172"/>
      <w:bookmarkEnd w:id="173"/>
      <w:bookmarkEnd w:id="174"/>
      <w:bookmarkEnd w:id="175"/>
      <w:bookmarkEnd w:id="176"/>
    </w:p>
    <w:p w14:paraId="353C041E">
      <w:pPr>
        <w:ind w:firstLine="560"/>
      </w:pPr>
      <w:r>
        <w:t>（1）应用系统必须支持连续7×24小时不间断地工作，应用软件中的任一构件更新、加载时，在不更新与上下构件接口的前提下，不影响应用系统运转和服务。</w:t>
      </w:r>
    </w:p>
    <w:p w14:paraId="5A76D61A">
      <w:pPr>
        <w:ind w:firstLine="560"/>
      </w:pPr>
      <w:r>
        <w:t>（2</w:t>
      </w:r>
      <w:bookmarkStart w:id="177" w:name="_Hlk50935318"/>
      <w:r>
        <w:rPr>
          <w:rFonts w:hint="eastAsia"/>
        </w:rPr>
        <w:t>）</w:t>
      </w:r>
      <w:r>
        <w:t>系统须采用增量备份和全备份相结合的方式定期备份重要数据</w:t>
      </w:r>
      <w:bookmarkEnd w:id="177"/>
      <w:r>
        <w:t>。</w:t>
      </w:r>
    </w:p>
    <w:p w14:paraId="1C00902B">
      <w:pPr>
        <w:ind w:firstLine="560"/>
      </w:pPr>
      <w:r>
        <w:t>（3）应用系统须支持负载均衡能力，</w:t>
      </w:r>
      <w:r>
        <w:rPr>
          <w:rFonts w:hint="eastAsia"/>
        </w:rPr>
        <w:t>应支持一键部署</w:t>
      </w:r>
      <w:r>
        <w:t>。</w:t>
      </w:r>
    </w:p>
    <w:p w14:paraId="5CA78A9A">
      <w:pPr>
        <w:ind w:firstLine="560"/>
      </w:pPr>
      <w:r>
        <w:t>（4）应用系统运行时，任一构件发生故障或数据库发生异常，系统不能崩溃。</w:t>
      </w:r>
    </w:p>
    <w:p w14:paraId="227D0CA4">
      <w:pPr>
        <w:ind w:firstLine="560"/>
      </w:pPr>
      <w:r>
        <w:rPr>
          <w:rFonts w:hint="eastAsia"/>
        </w:rPr>
        <w:t>（5）应用系统故障恢复时间不超过半个小时；灾难恢复不超过</w:t>
      </w:r>
      <w:r>
        <w:t>2个小时。</w:t>
      </w:r>
    </w:p>
    <w:p w14:paraId="325AA920">
      <w:pPr>
        <w:pStyle w:val="4"/>
      </w:pPr>
      <w:bookmarkStart w:id="178" w:name="_Toc24579"/>
      <w:bookmarkStart w:id="179" w:name="_Toc173747631"/>
      <w:bookmarkStart w:id="180" w:name="_Toc180360719"/>
      <w:bookmarkStart w:id="181" w:name="_Toc15892"/>
      <w:bookmarkStart w:id="182" w:name="_Toc8542"/>
      <w:bookmarkStart w:id="183" w:name="_Toc23842"/>
      <w:bookmarkStart w:id="184" w:name="_Toc10678"/>
      <w:bookmarkStart w:id="185" w:name="_Toc9805"/>
      <w:r>
        <w:rPr>
          <w:rFonts w:hint="eastAsia"/>
        </w:rPr>
        <w:t>易用性</w:t>
      </w:r>
      <w:bookmarkEnd w:id="178"/>
      <w:bookmarkEnd w:id="179"/>
      <w:bookmarkEnd w:id="180"/>
      <w:bookmarkEnd w:id="181"/>
      <w:bookmarkEnd w:id="182"/>
      <w:bookmarkEnd w:id="183"/>
      <w:bookmarkEnd w:id="184"/>
      <w:bookmarkEnd w:id="185"/>
    </w:p>
    <w:p w14:paraId="5B16F748">
      <w:pPr>
        <w:ind w:firstLine="560"/>
      </w:pPr>
      <w:r>
        <w:t>（1）对于业务熟练并且熟悉电脑操作的普通用户，应该通过初级培训之后，即可熟练掌握应用系统基本功能的操作技能。</w:t>
      </w:r>
    </w:p>
    <w:p w14:paraId="1B196A03">
      <w:pPr>
        <w:ind w:firstLine="560"/>
      </w:pPr>
      <w:r>
        <w:t>（2）对于系统管理员，应通过不超过累计两周的培训，即可熟练掌握应用系统管理相关功能的操作技能。</w:t>
      </w:r>
    </w:p>
    <w:p w14:paraId="3904BB4C">
      <w:pPr>
        <w:ind w:firstLine="560"/>
      </w:pPr>
      <w:r>
        <w:t>（3）应用系统必须支持同时打开多个管理窗口以对不同任务进行并行的操作。</w:t>
      </w:r>
    </w:p>
    <w:p w14:paraId="05923405">
      <w:pPr>
        <w:ind w:firstLine="560"/>
      </w:pPr>
      <w:r>
        <w:t>（4）应用系统的界面设计应简单，功能布局清晰、直观。</w:t>
      </w:r>
    </w:p>
    <w:p w14:paraId="54E25C63">
      <w:pPr>
        <w:pStyle w:val="4"/>
      </w:pPr>
      <w:bookmarkStart w:id="186" w:name="_Toc4253"/>
      <w:bookmarkStart w:id="187" w:name="_Toc20218"/>
      <w:bookmarkStart w:id="188" w:name="_Toc180360720"/>
      <w:bookmarkStart w:id="189" w:name="_Toc24193"/>
      <w:bookmarkStart w:id="190" w:name="_Toc3557"/>
      <w:bookmarkStart w:id="191" w:name="_Toc22192"/>
      <w:bookmarkStart w:id="192" w:name="_Toc5388"/>
      <w:bookmarkStart w:id="193" w:name="_Toc173747632"/>
      <w:r>
        <w:rPr>
          <w:rFonts w:hint="eastAsia"/>
        </w:rPr>
        <w:t>安全性</w:t>
      </w:r>
      <w:bookmarkEnd w:id="186"/>
      <w:bookmarkEnd w:id="187"/>
      <w:bookmarkEnd w:id="188"/>
      <w:bookmarkEnd w:id="189"/>
      <w:bookmarkEnd w:id="190"/>
      <w:bookmarkEnd w:id="191"/>
      <w:bookmarkEnd w:id="192"/>
      <w:bookmarkEnd w:id="193"/>
    </w:p>
    <w:p w14:paraId="0AFF2121">
      <w:pPr>
        <w:ind w:firstLine="560"/>
      </w:pPr>
      <w:r>
        <w:t>（1）应当对关键服务器主机设备提供冗余设计，防止单点故障造成网络服务中断。</w:t>
      </w:r>
    </w:p>
    <w:p w14:paraId="78A69653">
      <w:pPr>
        <w:ind w:firstLine="560"/>
      </w:pPr>
      <w:r>
        <w:t>（2）应当建立主机弱点分析机制，发现和弥补系统软件中存在的不当配置和安全漏洞，及时进行自我完善。</w:t>
      </w:r>
    </w:p>
    <w:p w14:paraId="29E1D5DB">
      <w:pPr>
        <w:ind w:firstLine="560"/>
      </w:pPr>
      <w:r>
        <w:t>（3）应当建立主机系统软件版本维护机制，及时升级系统版本和补丁程序版本，保持系统软件的最新状态。</w:t>
      </w:r>
    </w:p>
    <w:p w14:paraId="57D5F505">
      <w:pPr>
        <w:ind w:firstLine="560"/>
      </w:pPr>
      <w:r>
        <w:t>（4）应当建立主机系统软件备份和恢复机制，在灾难事件发生之后，能够快速实现系统恢复。</w:t>
      </w:r>
    </w:p>
    <w:p w14:paraId="46259F13">
      <w:pPr>
        <w:ind w:firstLine="560"/>
      </w:pPr>
      <w:r>
        <w:t>（5）应当建立主机入侵</w:t>
      </w:r>
      <w:r>
        <w:rPr>
          <w:rFonts w:hint="eastAsia"/>
        </w:rPr>
        <w:t>监测</w:t>
      </w:r>
      <w:r>
        <w:t>机制，发现主机系统中的异常操作行为，以及对主机发起的攻击行为，并及时向管理员报警。</w:t>
      </w:r>
    </w:p>
    <w:p w14:paraId="2C548913">
      <w:pPr>
        <w:ind w:firstLine="560"/>
      </w:pPr>
      <w:r>
        <w:t>（6）应当指定专门的部门和人员，负责主机系统的管理维护。</w:t>
      </w:r>
    </w:p>
    <w:p w14:paraId="421B6A54">
      <w:pPr>
        <w:ind w:firstLine="560"/>
      </w:pPr>
      <w:r>
        <w:t>（7）应当建立主机系统管理规范，包括系统软件版本管理、主机弱点分析、主机审计日志检查和分析</w:t>
      </w:r>
      <w:r>
        <w:rPr>
          <w:rFonts w:hint="eastAsia"/>
        </w:rPr>
        <w:t>，以及</w:t>
      </w:r>
      <w:r>
        <w:t>系统软件的备份和恢复等内容。</w:t>
      </w:r>
    </w:p>
    <w:p w14:paraId="30CAFCD9">
      <w:pPr>
        <w:ind w:firstLine="560"/>
      </w:pPr>
      <w:r>
        <w:t>（8）管理机构应当定期对各项系统安全管理制度的有效性和实施状况进行检查，发现问题，进行改进。</w:t>
      </w:r>
    </w:p>
    <w:p w14:paraId="7652CC9F">
      <w:pPr>
        <w:pStyle w:val="4"/>
      </w:pPr>
      <w:bookmarkStart w:id="194" w:name="_Toc29439"/>
      <w:bookmarkStart w:id="195" w:name="_Toc31657"/>
      <w:bookmarkStart w:id="196" w:name="_Toc29178"/>
      <w:bookmarkStart w:id="197" w:name="_Toc9694"/>
      <w:bookmarkStart w:id="198" w:name="_Toc180360721"/>
      <w:bookmarkStart w:id="199" w:name="_Toc173747633"/>
      <w:bookmarkStart w:id="200" w:name="_Toc11029"/>
      <w:bookmarkStart w:id="201" w:name="_Toc23397"/>
      <w:r>
        <w:rPr>
          <w:rFonts w:hint="eastAsia"/>
        </w:rPr>
        <w:t>可扩展性</w:t>
      </w:r>
      <w:bookmarkEnd w:id="194"/>
      <w:bookmarkEnd w:id="195"/>
      <w:bookmarkEnd w:id="196"/>
      <w:bookmarkEnd w:id="197"/>
      <w:bookmarkEnd w:id="198"/>
      <w:bookmarkEnd w:id="199"/>
      <w:bookmarkEnd w:id="200"/>
      <w:bookmarkEnd w:id="201"/>
    </w:p>
    <w:p w14:paraId="6180EE04">
      <w:pPr>
        <w:ind w:firstLine="560"/>
      </w:pPr>
      <w:r>
        <w:t>（1）系统可以通过运行更多的实例或者采用分布式处理来支持更多的用户。可以通过线性</w:t>
      </w:r>
      <w:r>
        <w:rPr>
          <w:rFonts w:hint="eastAsia"/>
        </w:rPr>
        <w:t>地</w:t>
      </w:r>
      <w:r>
        <w:t>增加实例个数或者分布式处理点来处理更多的数据量，能更好</w:t>
      </w:r>
      <w:r>
        <w:rPr>
          <w:rFonts w:hint="eastAsia"/>
        </w:rPr>
        <w:t>地在不</w:t>
      </w:r>
      <w:r>
        <w:t>增加响应时间的前提下支持更多的业务处理。</w:t>
      </w:r>
    </w:p>
    <w:p w14:paraId="2A37EBD7">
      <w:pPr>
        <w:ind w:firstLine="560"/>
      </w:pPr>
      <w:r>
        <w:t>（2）通过纵向扩展（增加单节点的处理资源，如CPU和内存）和横向扩展（增加处理节点）扩展处理性能。</w:t>
      </w:r>
    </w:p>
    <w:p w14:paraId="3E5F6F85">
      <w:pPr>
        <w:pStyle w:val="4"/>
      </w:pPr>
      <w:bookmarkStart w:id="202" w:name="_Toc18391"/>
      <w:bookmarkStart w:id="203" w:name="_Toc180360722"/>
      <w:bookmarkStart w:id="204" w:name="_Toc20773"/>
      <w:bookmarkStart w:id="205" w:name="_Toc24475"/>
      <w:bookmarkStart w:id="206" w:name="_Toc8258"/>
      <w:bookmarkStart w:id="207" w:name="_Toc173747634"/>
      <w:bookmarkStart w:id="208" w:name="_Toc26619"/>
      <w:bookmarkStart w:id="209" w:name="_Toc27777"/>
      <w:r>
        <w:rPr>
          <w:rFonts w:hint="eastAsia"/>
        </w:rPr>
        <w:t>兼容性</w:t>
      </w:r>
      <w:bookmarkEnd w:id="202"/>
      <w:bookmarkEnd w:id="203"/>
      <w:bookmarkEnd w:id="204"/>
      <w:bookmarkEnd w:id="205"/>
      <w:bookmarkEnd w:id="206"/>
      <w:bookmarkEnd w:id="207"/>
      <w:bookmarkEnd w:id="208"/>
      <w:bookmarkEnd w:id="209"/>
    </w:p>
    <w:p w14:paraId="6E46280A">
      <w:pPr>
        <w:ind w:firstLine="560"/>
      </w:pPr>
      <w:r>
        <w:t>（1）应用程序能够在国产操作系统部署。</w:t>
      </w:r>
    </w:p>
    <w:p w14:paraId="147B08F6">
      <w:pPr>
        <w:ind w:firstLine="560"/>
      </w:pPr>
      <w:r>
        <w:t>（2）应用系统界面设计可以兼容多种浏览器，如Chrome、Firefox、</w:t>
      </w:r>
      <w:r>
        <w:rPr>
          <w:rFonts w:hint="eastAsia"/>
        </w:rPr>
        <w:t>E</w:t>
      </w:r>
      <w:r>
        <w:t>dge及国产化浏览器等。</w:t>
      </w:r>
    </w:p>
    <w:p w14:paraId="4F138CA0">
      <w:pPr>
        <w:ind w:firstLine="560"/>
      </w:pPr>
      <w:r>
        <w:t>（3）应用程序要求能与国产数据库、中间件等进行适配。</w:t>
      </w:r>
    </w:p>
    <w:p w14:paraId="3C06A600">
      <w:pPr>
        <w:pStyle w:val="4"/>
      </w:pPr>
      <w:bookmarkStart w:id="210" w:name="_Toc31497"/>
      <w:bookmarkStart w:id="211" w:name="_Toc24278"/>
      <w:bookmarkStart w:id="212" w:name="_Toc21577"/>
      <w:bookmarkStart w:id="213" w:name="_Toc3388"/>
      <w:bookmarkStart w:id="214" w:name="_Toc173747635"/>
      <w:bookmarkStart w:id="215" w:name="_Toc180360723"/>
      <w:bookmarkStart w:id="216" w:name="_Toc24556"/>
      <w:bookmarkStart w:id="217" w:name="_Toc29571"/>
      <w:r>
        <w:rPr>
          <w:rFonts w:hint="eastAsia"/>
        </w:rPr>
        <w:t>可移植性</w:t>
      </w:r>
      <w:bookmarkEnd w:id="210"/>
      <w:bookmarkEnd w:id="211"/>
      <w:bookmarkEnd w:id="212"/>
      <w:bookmarkEnd w:id="213"/>
      <w:bookmarkEnd w:id="214"/>
      <w:bookmarkEnd w:id="215"/>
      <w:bookmarkEnd w:id="216"/>
      <w:bookmarkEnd w:id="217"/>
    </w:p>
    <w:p w14:paraId="661B199A">
      <w:pPr>
        <w:ind w:firstLine="560"/>
      </w:pPr>
      <w:r>
        <w:t>（1）应用系统应该不需改动或尽可能少</w:t>
      </w:r>
      <w:r>
        <w:rPr>
          <w:rFonts w:hint="eastAsia"/>
        </w:rPr>
        <w:t>地</w:t>
      </w:r>
      <w:r>
        <w:t>改动就可以在不同的主流UNIX（IBM、HP、SUN）及Linux平台下方便</w:t>
      </w:r>
      <w:r>
        <w:rPr>
          <w:rFonts w:hint="eastAsia"/>
        </w:rPr>
        <w:t>地</w:t>
      </w:r>
      <w:r>
        <w:t>移植。</w:t>
      </w:r>
    </w:p>
    <w:p w14:paraId="38B20D5A">
      <w:pPr>
        <w:ind w:firstLine="560"/>
      </w:pPr>
      <w:r>
        <w:t>（2）应用系统必须对于存储设备、备份设备及各种网络设备具有完全无关性。</w:t>
      </w:r>
    </w:p>
    <w:p w14:paraId="21B6F875">
      <w:pPr>
        <w:ind w:firstLine="560"/>
      </w:pPr>
      <w:r>
        <w:t>（3）应用系统必须支持在不同主流数据库平台（如MySQL及国产数据库）的移植。移植时不允许修改业务逻辑构件，应该尽可能少地修改直接操作数据库的信息服务构件。</w:t>
      </w:r>
    </w:p>
    <w:p w14:paraId="03667447">
      <w:pPr>
        <w:pStyle w:val="4"/>
      </w:pPr>
      <w:bookmarkStart w:id="218" w:name="_Toc124174431"/>
      <w:bookmarkStart w:id="219" w:name="_Toc173747636"/>
      <w:bookmarkStart w:id="220" w:name="_Toc107474389"/>
      <w:bookmarkStart w:id="221" w:name="_Toc18896"/>
      <w:bookmarkStart w:id="222" w:name="_Toc180360724"/>
      <w:bookmarkStart w:id="223" w:name="_Toc19985"/>
      <w:bookmarkStart w:id="224" w:name="_Toc20786"/>
      <w:bookmarkStart w:id="225" w:name="_Toc26345"/>
      <w:bookmarkStart w:id="226" w:name="_Toc109679518"/>
      <w:bookmarkStart w:id="227" w:name="_Toc15819"/>
      <w:bookmarkStart w:id="228" w:name="_Toc11337"/>
      <w:bookmarkStart w:id="229" w:name="_Toc136519934"/>
      <w:r>
        <w:rPr>
          <w:rFonts w:hint="eastAsia"/>
        </w:rPr>
        <w:t>系统性能需求</w:t>
      </w:r>
      <w:bookmarkEnd w:id="218"/>
      <w:bookmarkEnd w:id="219"/>
      <w:bookmarkEnd w:id="220"/>
      <w:bookmarkEnd w:id="221"/>
      <w:bookmarkEnd w:id="222"/>
      <w:bookmarkEnd w:id="223"/>
      <w:bookmarkEnd w:id="224"/>
      <w:bookmarkEnd w:id="225"/>
      <w:bookmarkEnd w:id="226"/>
      <w:bookmarkEnd w:id="227"/>
      <w:bookmarkEnd w:id="228"/>
      <w:bookmarkEnd w:id="229"/>
    </w:p>
    <w:p w14:paraId="0C877E1F">
      <w:pPr>
        <w:ind w:firstLine="560"/>
      </w:pPr>
      <w:r>
        <w:t>（1）单应用系统启动加载时间不得超过20秒；</w:t>
      </w:r>
    </w:p>
    <w:p w14:paraId="44FE12D3">
      <w:pPr>
        <w:ind w:firstLine="560"/>
      </w:pPr>
      <w:r>
        <w:t>（2）一般性的数据增加、修改、删除等操作，平均响应时间≤2秒，最长响应时间≤5秒；</w:t>
      </w:r>
    </w:p>
    <w:p w14:paraId="6224FEE5">
      <w:pPr>
        <w:ind w:firstLine="560"/>
      </w:pPr>
      <w:r>
        <w:t>（3）批量数据操作响应时间≤10秒；</w:t>
      </w:r>
    </w:p>
    <w:p w14:paraId="405373A7">
      <w:pPr>
        <w:ind w:firstLine="560"/>
      </w:pPr>
      <w:r>
        <w:t>（4）一般业务操作的简单查询和统计，平均响应时间≤2秒，最长响应时间≤5秒；</w:t>
      </w:r>
    </w:p>
    <w:p w14:paraId="5C88AD0D">
      <w:pPr>
        <w:ind w:firstLine="560"/>
      </w:pPr>
      <w:r>
        <w:t>（5）大数据量查询、统计与复杂的统计汇总，响应时间≤</w:t>
      </w:r>
      <w:r>
        <w:rPr>
          <w:rFonts w:hint="eastAsia"/>
        </w:rPr>
        <w:t>15</w:t>
      </w:r>
      <w:r>
        <w:t>秒；</w:t>
      </w:r>
    </w:p>
    <w:p w14:paraId="0263AE55">
      <w:pPr>
        <w:ind w:firstLine="560"/>
      </w:pPr>
      <w:r>
        <w:t>（6）常用报表生成时间≤10秒，</w:t>
      </w:r>
      <w:r>
        <w:rPr>
          <w:rFonts w:hint="eastAsia"/>
        </w:rPr>
        <w:t>百万级</w:t>
      </w:r>
      <w:r>
        <w:t>大数据量报表响应时间≤60秒；</w:t>
      </w:r>
    </w:p>
    <w:p w14:paraId="4523A7DA">
      <w:pPr>
        <w:ind w:firstLine="560"/>
      </w:pPr>
      <w:r>
        <w:t>（7）处理能力不能低于10次/秒。</w:t>
      </w:r>
    </w:p>
    <w:p w14:paraId="03EB4026">
      <w:pPr>
        <w:pStyle w:val="2"/>
      </w:pPr>
      <w:bookmarkStart w:id="230" w:name="_Toc173747637"/>
      <w:bookmarkStart w:id="231" w:name="_Toc21550"/>
      <w:bookmarkStart w:id="232" w:name="_Toc180360725"/>
      <w:bookmarkStart w:id="233" w:name="_Toc2660"/>
      <w:bookmarkStart w:id="234" w:name="_Toc20131"/>
      <w:bookmarkStart w:id="235" w:name="_Toc12208"/>
      <w:bookmarkStart w:id="236" w:name="_Toc9333"/>
      <w:r>
        <w:rPr>
          <w:rFonts w:hint="eastAsia"/>
        </w:rPr>
        <w:t>商务要求</w:t>
      </w:r>
      <w:bookmarkEnd w:id="230"/>
      <w:bookmarkEnd w:id="231"/>
      <w:bookmarkEnd w:id="232"/>
      <w:bookmarkEnd w:id="233"/>
      <w:bookmarkEnd w:id="234"/>
      <w:bookmarkEnd w:id="235"/>
      <w:bookmarkEnd w:id="236"/>
    </w:p>
    <w:p w14:paraId="7308B623">
      <w:pPr>
        <w:pStyle w:val="3"/>
      </w:pPr>
      <w:bookmarkStart w:id="237" w:name="_Toc5275"/>
      <w:bookmarkStart w:id="238" w:name="_Toc15573"/>
      <w:bookmarkStart w:id="239" w:name="_Toc25649"/>
      <w:bookmarkStart w:id="240" w:name="_Toc180360726"/>
      <w:bookmarkStart w:id="241" w:name="_Toc173747638"/>
      <w:bookmarkStart w:id="242" w:name="_Toc31938"/>
      <w:bookmarkStart w:id="243" w:name="_Toc16224"/>
      <w:r>
        <w:rPr>
          <w:rFonts w:hint="eastAsia"/>
        </w:rPr>
        <w:t>安全防护体系建设要求</w:t>
      </w:r>
      <w:bookmarkEnd w:id="237"/>
      <w:bookmarkEnd w:id="238"/>
      <w:bookmarkEnd w:id="239"/>
      <w:bookmarkEnd w:id="240"/>
      <w:bookmarkEnd w:id="241"/>
      <w:bookmarkEnd w:id="242"/>
      <w:bookmarkEnd w:id="243"/>
    </w:p>
    <w:p w14:paraId="30404FBB">
      <w:pPr>
        <w:ind w:firstLine="560"/>
      </w:pPr>
      <w:r>
        <w:rPr>
          <w:rFonts w:hint="eastAsia"/>
        </w:rPr>
        <w:t>本项目所需的计算资源、存储资源、备份资源、网络资源和安全防护资源均由青海省电子政务云提供。平台建设需符合网络安全第三级等级保护要求，有效保护数据安全和个人隐私。</w:t>
      </w:r>
    </w:p>
    <w:p w14:paraId="2E3F8BE1">
      <w:pPr>
        <w:pStyle w:val="3"/>
      </w:pPr>
      <w:bookmarkStart w:id="244" w:name="_Toc10453"/>
      <w:bookmarkStart w:id="245" w:name="_Toc14546"/>
      <w:bookmarkStart w:id="246" w:name="_Toc21084"/>
      <w:bookmarkStart w:id="247" w:name="_Toc173747639"/>
      <w:bookmarkStart w:id="248" w:name="_Toc180360727"/>
      <w:bookmarkStart w:id="249" w:name="_Toc32655"/>
      <w:bookmarkStart w:id="250" w:name="_Toc4342"/>
      <w:r>
        <w:rPr>
          <w:rFonts w:hint="eastAsia"/>
        </w:rPr>
        <w:t>密码应用建设要求</w:t>
      </w:r>
      <w:bookmarkEnd w:id="244"/>
      <w:bookmarkEnd w:id="245"/>
      <w:bookmarkEnd w:id="246"/>
      <w:bookmarkEnd w:id="247"/>
      <w:bookmarkEnd w:id="248"/>
      <w:bookmarkEnd w:id="249"/>
      <w:bookmarkEnd w:id="250"/>
    </w:p>
    <w:p w14:paraId="56E61380">
      <w:pPr>
        <w:ind w:firstLine="560"/>
      </w:pPr>
      <w:r>
        <w:rPr>
          <w:rFonts w:hint="eastAsia"/>
          <w:lang w:eastAsia="zh-Hans"/>
        </w:rPr>
        <w:t>本项目须建设合规、正确、有效</w:t>
      </w:r>
      <w:r>
        <w:rPr>
          <w:rFonts w:hint="eastAsia"/>
        </w:rPr>
        <w:t>地</w:t>
      </w:r>
      <w:r>
        <w:rPr>
          <w:rFonts w:hint="eastAsia"/>
          <w:lang w:eastAsia="zh-Hans"/>
        </w:rPr>
        <w:t>应用系统密码应用，并与系统整体网络安全等级保护相结合，满足三级指标要求。</w:t>
      </w:r>
      <w:r>
        <w:rPr>
          <w:rFonts w:hint="eastAsia"/>
        </w:rPr>
        <w:t>本项目密码应用的建设内容由青海省传染病监测预警与应急指挥能力提升（基础支撑系统）项目承建，本项目业务应用系统承建商需提供相应的配合。</w:t>
      </w:r>
    </w:p>
    <w:p w14:paraId="5386EA65">
      <w:pPr>
        <w:pStyle w:val="3"/>
      </w:pPr>
      <w:bookmarkStart w:id="251" w:name="_Toc173747640"/>
      <w:bookmarkStart w:id="252" w:name="_Toc14420"/>
      <w:bookmarkStart w:id="253" w:name="_Toc12620"/>
      <w:bookmarkStart w:id="254" w:name="_Toc12821"/>
      <w:bookmarkStart w:id="255" w:name="_Toc180360728"/>
      <w:bookmarkStart w:id="256" w:name="_Toc30649"/>
      <w:bookmarkStart w:id="257" w:name="_Toc24377"/>
      <w:r>
        <w:rPr>
          <w:rFonts w:hint="eastAsia"/>
        </w:rPr>
        <w:t>知识产权交付要求</w:t>
      </w:r>
      <w:bookmarkEnd w:id="251"/>
      <w:bookmarkEnd w:id="252"/>
      <w:bookmarkEnd w:id="253"/>
      <w:bookmarkEnd w:id="254"/>
      <w:bookmarkEnd w:id="255"/>
      <w:bookmarkEnd w:id="256"/>
      <w:bookmarkEnd w:id="257"/>
    </w:p>
    <w:p w14:paraId="79DAF6CF">
      <w:pPr>
        <w:ind w:firstLine="560"/>
      </w:pPr>
      <w:r>
        <w:rPr>
          <w:rFonts w:hint="eastAsia"/>
        </w:rPr>
        <w:t>在合同签订前双方原有的产品、代码的知识产权仍然归各自所有，不因合同的履行发生任何转移。本次项目开发软件应用产品的知识产权（著作权/专利权）归属于建设方所有。未经建设方同意，开发方对本次项目开发的软件应用产品进行任何后续开发、改进、许可、销售、转移、分销、外包、商业利用或提供其他服务等权利。</w:t>
      </w:r>
    </w:p>
    <w:p w14:paraId="603B6666">
      <w:pPr>
        <w:pStyle w:val="3"/>
      </w:pPr>
      <w:bookmarkStart w:id="258" w:name="_Toc10434"/>
      <w:bookmarkStart w:id="259" w:name="_Toc180360729"/>
      <w:bookmarkStart w:id="260" w:name="_Toc24572"/>
      <w:bookmarkStart w:id="261" w:name="_Toc6293"/>
      <w:bookmarkStart w:id="262" w:name="_Toc173747641"/>
      <w:bookmarkStart w:id="263" w:name="_Toc20368"/>
      <w:bookmarkStart w:id="264" w:name="_Toc3287"/>
      <w:r>
        <w:rPr>
          <w:rFonts w:hint="eastAsia"/>
        </w:rPr>
        <w:t>项目质量管理要求</w:t>
      </w:r>
      <w:bookmarkEnd w:id="258"/>
      <w:bookmarkEnd w:id="259"/>
      <w:bookmarkEnd w:id="260"/>
      <w:bookmarkEnd w:id="261"/>
      <w:bookmarkEnd w:id="262"/>
      <w:bookmarkEnd w:id="263"/>
      <w:bookmarkEnd w:id="264"/>
    </w:p>
    <w:p w14:paraId="61D432FD">
      <w:pPr>
        <w:ind w:firstLine="560"/>
      </w:pPr>
      <w:r>
        <w:rPr>
          <w:rFonts w:hint="eastAsia"/>
        </w:rPr>
        <w:t>项目质量管理需遵循严格的标准，确保所有交付物符合国家电子政务规定并保持准确性、一致性及前瞻性。所有文档和提交物必须规范，且引用来源需明确。在业务分析与系统规划中，应结合创新与实用，通过定期审计和强化测试措施来执行质量保证，同时，质量控制要侧重于监测结果与质量标准的一致性，并针对偏差制定纠正措施，以确保最终成果达到项目建设预期。</w:t>
      </w:r>
    </w:p>
    <w:p w14:paraId="24B50F3E">
      <w:pPr>
        <w:pStyle w:val="3"/>
      </w:pPr>
      <w:bookmarkStart w:id="265" w:name="_Toc180360730"/>
      <w:bookmarkStart w:id="266" w:name="_Toc15675"/>
      <w:bookmarkStart w:id="267" w:name="_Toc1747"/>
      <w:bookmarkStart w:id="268" w:name="_Toc28266"/>
      <w:bookmarkStart w:id="269" w:name="_Toc24243"/>
      <w:bookmarkStart w:id="270" w:name="_Toc10695"/>
      <w:bookmarkStart w:id="271" w:name="_Toc173747643"/>
      <w:r>
        <w:rPr>
          <w:rFonts w:hint="eastAsia"/>
        </w:rPr>
        <w:t>项目验收要求</w:t>
      </w:r>
      <w:bookmarkEnd w:id="265"/>
      <w:bookmarkEnd w:id="266"/>
    </w:p>
    <w:p w14:paraId="5116969D">
      <w:pPr>
        <w:ind w:firstLine="560"/>
      </w:pPr>
      <w:r>
        <w:rPr>
          <w:rFonts w:hint="eastAsia"/>
        </w:rPr>
        <w:t>参照《国家政务信息化项目建设管理办法》、《青海省省级政务信息化项目建设管理办法》和《国家电子政务工程建设项目验收工作大纲》的相关规定开展验收工作。项目分阶段进行验收，验收分初步验收和项目最终验收。承建单位根据建设要求，完成相关验收工作。</w:t>
      </w:r>
    </w:p>
    <w:p w14:paraId="6A9CDDBF">
      <w:pPr>
        <w:ind w:firstLine="560"/>
      </w:pPr>
      <w:r>
        <w:rPr>
          <w:rFonts w:hint="eastAsia"/>
        </w:rPr>
        <w:t>根据项目建设分批分阶段实施交付的原则和履约风险控制等情况，本项目采用分节点验收方式，中标人根据建设内容分服务模块进行实施交付，各服务模块功能上线达到运行条件后，中标人可向采购人申请进度确认，采购人根据中标人提交的进度确认申请及相关资料</w:t>
      </w:r>
      <w:r>
        <w:t>5个工作日内组织完成进度确认。采购人有权对中标人履行合同的交付进度进行监督，并对合同交付进度进行确认，对已履约部分承担相应的付款义务。</w:t>
      </w:r>
    </w:p>
    <w:p w14:paraId="1EF3EAFD">
      <w:pPr>
        <w:ind w:firstLine="560"/>
      </w:pPr>
      <w:r>
        <w:rPr>
          <w:rFonts w:hint="eastAsia"/>
        </w:rPr>
        <w:t>各项服务功能完成供货、调试、安装后，中标人可向采购人申请提出项目验收申请，采购人在收到验收申请</w:t>
      </w:r>
      <w:r>
        <w:t>10个工作日内组织项目验收工作。</w:t>
      </w:r>
    </w:p>
    <w:p w14:paraId="0E8AB664">
      <w:pPr>
        <w:ind w:firstLine="560"/>
      </w:pPr>
      <w:r>
        <w:t>1.项目初验</w:t>
      </w:r>
    </w:p>
    <w:p w14:paraId="7A83E2EE">
      <w:pPr>
        <w:ind w:firstLine="560"/>
      </w:pPr>
      <w:r>
        <w:rPr>
          <w:rFonts w:hint="eastAsia"/>
        </w:rPr>
        <w:t>在合同约定的时间内，验收小组根据合同约定的要求，项目建设方对承建方交付的产品进行检查确认，确认合同项目的完成程度以及合格与否，核实承建方按照合同约定的要求完成工作，确保产品的质量与合同约定一致。</w:t>
      </w:r>
    </w:p>
    <w:p w14:paraId="30A5C50A">
      <w:pPr>
        <w:ind w:firstLine="560"/>
      </w:pPr>
      <w:r>
        <w:t>2.项目终验</w:t>
      </w:r>
    </w:p>
    <w:p w14:paraId="6284DEC8">
      <w:pPr>
        <w:ind w:firstLine="560"/>
      </w:pPr>
      <w:r>
        <w:rPr>
          <w:rFonts w:hint="eastAsia"/>
        </w:rPr>
        <w:t>系统上线稳定运行后，在具备项目验收条件后承建单位向项目建设单位提出项目终验申请，由项目建设单位组织验收小组进行项目终验。项目终验主要是完成软硬件系统的运行情况。</w:t>
      </w:r>
    </w:p>
    <w:p w14:paraId="1E6389CE">
      <w:pPr>
        <w:ind w:firstLine="560"/>
      </w:pPr>
      <w:r>
        <w:t>3.成果交付</w:t>
      </w:r>
    </w:p>
    <w:p w14:paraId="6BAA73EF">
      <w:pPr>
        <w:ind w:firstLine="560"/>
      </w:pPr>
      <w:r>
        <w:rPr>
          <w:rFonts w:hint="eastAsia"/>
        </w:rPr>
        <w:t>在竣工验收时实施单位应将所有验收资料装订成册交付给项目建设方，其中包括（不限于以下内容）：</w:t>
      </w:r>
    </w:p>
    <w:p w14:paraId="052E7856">
      <w:pPr>
        <w:ind w:firstLine="560"/>
      </w:pPr>
      <w:r>
        <w:rPr>
          <w:rFonts w:hint="eastAsia"/>
        </w:rPr>
        <w:t>（</w:t>
      </w:r>
      <w:r>
        <w:t>1）商务验收文档部分：</w:t>
      </w:r>
    </w:p>
    <w:p w14:paraId="62CB2CEB">
      <w:pPr>
        <w:ind w:firstLine="560"/>
      </w:pPr>
      <w:r>
        <w:t>1)</w:t>
      </w:r>
      <w:r>
        <w:tab/>
      </w:r>
      <w:r>
        <w:t>验收报告；</w:t>
      </w:r>
    </w:p>
    <w:p w14:paraId="27871D9F">
      <w:pPr>
        <w:ind w:firstLine="560"/>
      </w:pPr>
      <w:r>
        <w:t>2)</w:t>
      </w:r>
      <w:r>
        <w:tab/>
      </w:r>
      <w:r>
        <w:t>决算书；</w:t>
      </w:r>
    </w:p>
    <w:p w14:paraId="058825F8">
      <w:pPr>
        <w:ind w:firstLine="560"/>
      </w:pPr>
      <w:r>
        <w:t>3)</w:t>
      </w:r>
      <w:r>
        <w:tab/>
      </w:r>
      <w:r>
        <w:t>用户使用报告；</w:t>
      </w:r>
    </w:p>
    <w:p w14:paraId="53256054">
      <w:pPr>
        <w:ind w:firstLine="560"/>
      </w:pPr>
      <w:r>
        <w:t>4)</w:t>
      </w:r>
      <w:r>
        <w:tab/>
      </w:r>
      <w:r>
        <w:t>培训（培训通知，用户签到表等相关材料）。</w:t>
      </w:r>
    </w:p>
    <w:p w14:paraId="5BED4A0F">
      <w:pPr>
        <w:ind w:firstLine="560"/>
      </w:pPr>
      <w:r>
        <w:rPr>
          <w:rFonts w:hint="eastAsia"/>
        </w:rPr>
        <w:t>（</w:t>
      </w:r>
      <w:r>
        <w:t>2）技术验收文档部分：</w:t>
      </w:r>
    </w:p>
    <w:p w14:paraId="393F0F98">
      <w:pPr>
        <w:ind w:firstLine="560"/>
      </w:pPr>
      <w:r>
        <w:t>1)</w:t>
      </w:r>
      <w:r>
        <w:tab/>
      </w:r>
      <w:r>
        <w:t>系统需求分析；</w:t>
      </w:r>
    </w:p>
    <w:p w14:paraId="43461482">
      <w:pPr>
        <w:ind w:firstLine="560"/>
      </w:pPr>
      <w:r>
        <w:t>2)</w:t>
      </w:r>
      <w:r>
        <w:tab/>
      </w:r>
      <w:r>
        <w:t>系统详细设计说明书；</w:t>
      </w:r>
    </w:p>
    <w:p w14:paraId="728D9458">
      <w:pPr>
        <w:ind w:firstLine="560"/>
      </w:pPr>
      <w:r>
        <w:t>3)</w:t>
      </w:r>
      <w:r>
        <w:tab/>
      </w:r>
      <w:r>
        <w:t>系统技术说明书（含系统集成及部署手册、系统功能说明书、系统技术维护手册等）；</w:t>
      </w:r>
    </w:p>
    <w:p w14:paraId="3C80DAFF">
      <w:pPr>
        <w:ind w:firstLine="560"/>
      </w:pPr>
      <w:r>
        <w:t>4)</w:t>
      </w:r>
      <w:r>
        <w:tab/>
      </w:r>
      <w:r>
        <w:t>监理报告；</w:t>
      </w:r>
    </w:p>
    <w:p w14:paraId="365E3930">
      <w:pPr>
        <w:ind w:firstLine="560"/>
      </w:pPr>
      <w:r>
        <w:t>5)</w:t>
      </w:r>
      <w:r>
        <w:tab/>
      </w:r>
      <w:r>
        <w:t>功能模块和上线运行测试报告；</w:t>
      </w:r>
    </w:p>
    <w:p w14:paraId="57C4A407">
      <w:pPr>
        <w:ind w:firstLine="560"/>
      </w:pPr>
      <w:r>
        <w:t>6)</w:t>
      </w:r>
      <w:r>
        <w:tab/>
      </w:r>
      <w:r>
        <w:t>第三方系统测试报告（功能、性能和安全）；</w:t>
      </w:r>
    </w:p>
    <w:p w14:paraId="2DD58639">
      <w:pPr>
        <w:ind w:firstLine="560"/>
      </w:pPr>
      <w:r>
        <w:t>7)</w:t>
      </w:r>
      <w:r>
        <w:tab/>
      </w:r>
      <w:r>
        <w:t>操作使用手册；</w:t>
      </w:r>
    </w:p>
    <w:p w14:paraId="738AFED6">
      <w:pPr>
        <w:ind w:firstLine="560"/>
      </w:pPr>
      <w:r>
        <w:t>8)</w:t>
      </w:r>
      <w:r>
        <w:tab/>
      </w:r>
      <w:r>
        <w:t>基础软件产品清单及参数配置等。</w:t>
      </w:r>
    </w:p>
    <w:p w14:paraId="365F588B">
      <w:pPr>
        <w:ind w:firstLine="560"/>
      </w:pPr>
      <w:r>
        <w:rPr>
          <w:rFonts w:hint="eastAsia"/>
        </w:rPr>
        <w:t>（</w:t>
      </w:r>
      <w:r>
        <w:t>3）服务要求文档部分：</w:t>
      </w:r>
    </w:p>
    <w:p w14:paraId="02D4AFA1">
      <w:pPr>
        <w:ind w:firstLine="560"/>
      </w:pPr>
      <w:r>
        <w:t>1)</w:t>
      </w:r>
      <w:r>
        <w:tab/>
      </w:r>
      <w:r>
        <w:t>运维服务方案；</w:t>
      </w:r>
    </w:p>
    <w:p w14:paraId="346272E1">
      <w:pPr>
        <w:ind w:firstLine="560"/>
      </w:pPr>
      <w:r>
        <w:t>2)</w:t>
      </w:r>
      <w:r>
        <w:tab/>
      </w:r>
      <w:r>
        <w:t>应急维护预案。</w:t>
      </w:r>
    </w:p>
    <w:p w14:paraId="3FDDEED8">
      <w:pPr>
        <w:pStyle w:val="3"/>
      </w:pPr>
      <w:bookmarkStart w:id="272" w:name="_Toc180360731"/>
      <w:bookmarkStart w:id="273" w:name="_Toc5272"/>
      <w:r>
        <w:rPr>
          <w:rFonts w:hint="eastAsia"/>
        </w:rPr>
        <w:t>保修和售后服务要求</w:t>
      </w:r>
      <w:bookmarkEnd w:id="267"/>
      <w:bookmarkEnd w:id="268"/>
      <w:bookmarkEnd w:id="269"/>
      <w:bookmarkEnd w:id="270"/>
      <w:bookmarkEnd w:id="271"/>
      <w:bookmarkEnd w:id="272"/>
      <w:bookmarkEnd w:id="273"/>
    </w:p>
    <w:p w14:paraId="40209B6D">
      <w:pPr>
        <w:ind w:firstLine="560"/>
      </w:pPr>
      <w:r>
        <w:rPr>
          <w:rFonts w:hint="eastAsia"/>
        </w:rPr>
        <w:t>在项目三年免费质保期内，提供免费的软件升级服务，确保系统始终保持最新状态。同时，提供必要的软件维护服务，解决软件使用过程中出现的问题。</w:t>
      </w:r>
    </w:p>
    <w:p w14:paraId="3DF77EF6">
      <w:pPr>
        <w:ind w:firstLine="560"/>
      </w:pPr>
      <w:r>
        <w:rPr>
          <w:rFonts w:hint="eastAsia"/>
        </w:rPr>
        <w:t>1、响应时间标准：</w:t>
      </w:r>
    </w:p>
    <w:p w14:paraId="5ACE7F74">
      <w:pPr>
        <w:ind w:firstLine="560"/>
      </w:pPr>
      <w:r>
        <w:rPr>
          <w:rFonts w:hint="eastAsia"/>
        </w:rPr>
        <w:t>提供</w:t>
      </w:r>
      <w:r>
        <w:t>7×24小时技术支持</w:t>
      </w:r>
      <w:r>
        <w:rPr>
          <w:rFonts w:hint="eastAsia"/>
        </w:rPr>
        <w:t>响应</w:t>
      </w:r>
      <w:r>
        <w:t>服务，热线服务：提供热线电话、QQ群、E-mail、传真等途径，随时接受建设单位提出的各种技术问题，并在24小时内提出解决方案。</w:t>
      </w:r>
    </w:p>
    <w:p w14:paraId="3EFC680C">
      <w:pPr>
        <w:ind w:firstLine="560"/>
      </w:pPr>
      <w:r>
        <w:rPr>
          <w:rFonts w:hint="eastAsia"/>
        </w:rPr>
        <w:t>2、服务质量标准：</w:t>
      </w:r>
    </w:p>
    <w:p w14:paraId="74306534">
      <w:pPr>
        <w:ind w:firstLine="560"/>
      </w:pPr>
      <w:r>
        <w:rPr>
          <w:rFonts w:hint="eastAsia"/>
        </w:rPr>
        <w:t>组建有专业资质的技术团队支撑本项目运维服务，免费维护期内提供专职人员长期驻场运维服务，保障平台各业务应用系统的稳定运行。</w:t>
      </w:r>
    </w:p>
    <w:p w14:paraId="7FA77BB7">
      <w:pPr>
        <w:pStyle w:val="3"/>
      </w:pPr>
      <w:bookmarkStart w:id="274" w:name="_Toc27202"/>
      <w:bookmarkStart w:id="275" w:name="_Toc180360732"/>
      <w:bookmarkStart w:id="276" w:name="_Toc22566"/>
      <w:bookmarkStart w:id="277" w:name="_Toc28110"/>
      <w:bookmarkStart w:id="278" w:name="_Toc11208"/>
      <w:bookmarkStart w:id="279" w:name="_Toc173747644"/>
      <w:bookmarkStart w:id="280" w:name="_Toc17186"/>
      <w:r>
        <w:rPr>
          <w:rFonts w:hint="eastAsia"/>
        </w:rPr>
        <w:t>人员培训要求</w:t>
      </w:r>
      <w:bookmarkEnd w:id="274"/>
      <w:bookmarkEnd w:id="275"/>
      <w:bookmarkEnd w:id="276"/>
      <w:bookmarkEnd w:id="277"/>
      <w:bookmarkEnd w:id="278"/>
      <w:bookmarkEnd w:id="279"/>
      <w:bookmarkEnd w:id="280"/>
    </w:p>
    <w:p w14:paraId="57421730">
      <w:pPr>
        <w:ind w:firstLine="560"/>
      </w:pPr>
      <w:r>
        <w:rPr>
          <w:rFonts w:hint="eastAsia"/>
        </w:rPr>
        <w:t>为保证业务人员有效掌握信息系统的业务功能及规范操作，在项目中将开展系统软件使用、应用软件操作、系统管理维护等内容培训。</w:t>
      </w:r>
    </w:p>
    <w:p w14:paraId="1D806215">
      <w:pPr>
        <w:ind w:firstLine="560"/>
      </w:pPr>
      <w:r>
        <w:rPr>
          <w:rFonts w:hint="eastAsia"/>
        </w:rPr>
        <w:t>培训计划和内容可根据</w:t>
      </w:r>
      <w:r>
        <w:t>项目建设单位</w:t>
      </w:r>
      <w:r>
        <w:rPr>
          <w:rFonts w:hint="eastAsia"/>
        </w:rPr>
        <w:t>的要求进行相应的调整，对不同的人员增加相应的培训内容，并对参加培训的人数不限制。</w:t>
      </w:r>
    </w:p>
    <w:p w14:paraId="613F8AB5">
      <w:pPr>
        <w:ind w:firstLine="560"/>
      </w:pPr>
      <w:r>
        <w:rPr>
          <w:rFonts w:hint="eastAsia"/>
        </w:rPr>
        <w:t>培训对象主要包括参与项目建设各单位的管理人员、业务人员、系统操作人员、系统管理人员等。根据不同的培训对象</w:t>
      </w:r>
      <w:r>
        <w:t>承建方</w:t>
      </w:r>
      <w:r>
        <w:rPr>
          <w:rFonts w:hint="eastAsia"/>
        </w:rPr>
        <w:t>制定相应的培训内容，为各项目建设单位</w:t>
      </w:r>
      <w:r>
        <w:rPr>
          <w:rFonts w:hint="eastAsia"/>
          <w:lang w:eastAsia="zh-Hans"/>
        </w:rPr>
        <w:t>的各参与</w:t>
      </w:r>
      <w:r>
        <w:rPr>
          <w:rFonts w:hint="eastAsia"/>
        </w:rPr>
        <w:t>人员提供优质的培训服务。</w:t>
      </w:r>
    </w:p>
    <w:p w14:paraId="5DB91BBE">
      <w:pPr>
        <w:ind w:firstLine="560"/>
      </w:pPr>
      <w:r>
        <w:rPr>
          <w:rFonts w:hint="eastAsia"/>
        </w:rPr>
        <w:t>培训地点根据项目进展实际情况共同确定，根据每次培训人数，由建设方提供适合的培训场地。</w:t>
      </w:r>
    </w:p>
    <w:p w14:paraId="216A27A2">
      <w:pPr>
        <w:ind w:firstLine="560"/>
      </w:pPr>
      <w:r>
        <w:rPr>
          <w:rFonts w:hint="eastAsia"/>
        </w:rPr>
        <w:t>培训费用包括场地费、培训设备租用费、培训教材印制费，根据每次培训人数和场地，由承建方承担。</w:t>
      </w:r>
    </w:p>
    <w:p w14:paraId="007F4301">
      <w:pPr>
        <w:pStyle w:val="3"/>
      </w:pPr>
      <w:bookmarkStart w:id="281" w:name="_Toc150110197"/>
      <w:bookmarkStart w:id="282" w:name="_Toc150109967"/>
      <w:bookmarkStart w:id="283" w:name="_Toc152319210"/>
      <w:bookmarkStart w:id="284" w:name="_Toc19221"/>
      <w:bookmarkStart w:id="285" w:name="_Toc9691"/>
      <w:bookmarkStart w:id="286" w:name="_Toc180360733"/>
      <w:bookmarkStart w:id="287" w:name="_Toc22789"/>
      <w:bookmarkStart w:id="288" w:name="_Toc19050"/>
      <w:bookmarkStart w:id="289" w:name="_Toc173747645"/>
      <w:bookmarkStart w:id="290" w:name="_Toc11198"/>
      <w:r>
        <w:rPr>
          <w:rFonts w:hint="eastAsia"/>
        </w:rPr>
        <w:t>项目建设</w:t>
      </w:r>
      <w:bookmarkEnd w:id="281"/>
      <w:bookmarkEnd w:id="282"/>
      <w:bookmarkEnd w:id="283"/>
      <w:r>
        <w:rPr>
          <w:rFonts w:hint="eastAsia"/>
        </w:rPr>
        <w:t>进度要求</w:t>
      </w:r>
      <w:bookmarkEnd w:id="284"/>
      <w:bookmarkEnd w:id="285"/>
      <w:bookmarkEnd w:id="286"/>
      <w:bookmarkEnd w:id="287"/>
      <w:bookmarkEnd w:id="288"/>
      <w:bookmarkEnd w:id="289"/>
      <w:bookmarkEnd w:id="290"/>
    </w:p>
    <w:p w14:paraId="4348EE37">
      <w:pPr>
        <w:ind w:firstLine="560"/>
        <w:rPr>
          <w:highlight w:val="none"/>
        </w:rPr>
      </w:pPr>
      <w:r>
        <w:rPr>
          <w:rFonts w:hint="eastAsia"/>
          <w:highlight w:val="none"/>
        </w:rPr>
        <w:t>项目建设期为自合同签订日期起至2025年12月，须完成项目实施、项目验收等过程。</w:t>
      </w:r>
    </w:p>
    <w:p w14:paraId="0DE7C253">
      <w:pPr>
        <w:ind w:firstLine="560"/>
      </w:pPr>
    </w:p>
    <w:p w14:paraId="15E25E7D">
      <w:pPr>
        <w:spacing w:before="328" w:line="350" w:lineRule="auto"/>
        <w:ind w:left="17" w:firstLine="536"/>
        <w:rPr>
          <w:rFonts w:cs="仿宋"/>
          <w:spacing w:val="-6"/>
          <w:szCs w:val="28"/>
        </w:rPr>
      </w:pPr>
      <w:bookmarkStart w:id="291" w:name="_GoBack"/>
      <w:bookmarkEnd w:id="291"/>
    </w:p>
    <w:sectPr>
      <w:headerReference r:id="rId11" w:type="default"/>
      <w:footerReference r:id="rId12" w:type="default"/>
      <w:pgSz w:w="11906" w:h="16838"/>
      <w:pgMar w:top="1440" w:right="1287" w:bottom="1440" w:left="1287" w:header="624" w:footer="992" w:gutter="0"/>
      <w:cols w:space="0"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9BD7910D-90DD-4841-A6E2-DB88543D8D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2" w:fontKey="{55C36545-4D6D-41CC-BA8F-DEC270BC393B}"/>
  </w:font>
  <w:font w:name="等线">
    <w:panose1 w:val="02010600030101010101"/>
    <w:charset w:val="86"/>
    <w:family w:val="auto"/>
    <w:pitch w:val="default"/>
    <w:sig w:usb0="A00002BF" w:usb1="38CF7CFA" w:usb2="00000016" w:usb3="00000000" w:csb0="0004000F" w:csb1="00000000"/>
    <w:embedRegular r:id="rId3" w:fontKey="{B89ADF24-D1B9-4E04-89C0-9880B3016AFF}"/>
  </w:font>
  <w:font w:name="等线 Light">
    <w:panose1 w:val="02010600030101010101"/>
    <w:charset w:val="86"/>
    <w:family w:val="auto"/>
    <w:pitch w:val="default"/>
    <w:sig w:usb0="A00002BF" w:usb1="38CF7CFA" w:usb2="00000016" w:usb3="00000000" w:csb0="0004000F" w:csb1="00000000"/>
  </w:font>
  <w:font w:name="方正小标宋_GBK">
    <w:altName w:val="微软雅黑"/>
    <w:panose1 w:val="03000509000000000000"/>
    <w:charset w:val="86"/>
    <w:family w:val="script"/>
    <w:pitch w:val="default"/>
    <w:sig w:usb0="00000000" w:usb1="00000000" w:usb2="00000010" w:usb3="00000000" w:csb0="00040000" w:csb1="00000000"/>
    <w:embedRegular r:id="rId4" w:fontKey="{98B2E933-8D75-4860-8E6B-6B93A4C51A7F}"/>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embedRegular r:id="rId5" w:fontKey="{AD85CE6E-DCED-452C-956F-3817A3811084}"/>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1C0E0F">
    <w:pPr>
      <w:tabs>
        <w:tab w:val="center" w:pos="8334"/>
      </w:tabs>
      <w:ind w:firstLine="0" w:firstLineChars="0"/>
      <w:jc w:val="center"/>
      <w:rPr>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441FC9">
    <w:pPr>
      <w:pStyle w:val="21"/>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3BF71A">
    <w:pPr>
      <w:pStyle w:val="21"/>
      <w:ind w:firstLine="0" w:firstLineChars="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3C587C">
    <w:pPr>
      <w:pStyle w:val="21"/>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9E96A3">
                          <w:pPr>
                            <w:pStyle w:val="21"/>
                            <w:ind w:firstLine="360"/>
                          </w:pPr>
                          <w:r>
                            <w:fldChar w:fldCharType="begin"/>
                          </w:r>
                          <w:r>
                            <w:instrText xml:space="preserve"> PAGE  \* MERGEFORMAT </w:instrText>
                          </w:r>
                          <w:r>
                            <w:fldChar w:fldCharType="separate"/>
                          </w:r>
                          <w:r>
                            <w:t>XCV</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589E96A3">
                    <w:pPr>
                      <w:pStyle w:val="21"/>
                      <w:ind w:firstLine="360"/>
                    </w:pPr>
                    <w:r>
                      <w:fldChar w:fldCharType="begin"/>
                    </w:r>
                    <w:r>
                      <w:instrText xml:space="preserve"> PAGE  \* MERGEFORMAT </w:instrText>
                    </w:r>
                    <w:r>
                      <w:fldChar w:fldCharType="separate"/>
                    </w:r>
                    <w:r>
                      <w:t>XCV</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560"/>
      </w:pPr>
      <w:r>
        <w:separator/>
      </w:r>
    </w:p>
  </w:footnote>
  <w:footnote w:type="continuationSeparator" w:id="1">
    <w:p>
      <w:pPr>
        <w:spacing w:line="360" w:lineRule="auto"/>
        <w:ind w:firstLine="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8E280C">
    <w:pPr>
      <w:pStyle w:val="22"/>
      <w:pBdr>
        <w:bottom w:val="none" w:color="auto" w:sz="0" w:space="1"/>
      </w:pBdr>
      <w:ind w:firstLine="0" w:firstLineChars="0"/>
      <w:jc w:val="both"/>
      <w:rPr>
        <w:rFonts w:eastAsia="仿宋_GB231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137FCD">
    <w:pPr>
      <w:pStyle w:val="22"/>
      <w:ind w:firstLine="48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5E4550">
    <w:pPr>
      <w:ind w:firstLine="0" w:firstLineChars="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B8B095">
    <w:pPr>
      <w:ind w:firstLine="0" w:firstLineChars="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2A3A20"/>
    <w:multiLevelType w:val="multilevel"/>
    <w:tmpl w:val="852A3A20"/>
    <w:lvl w:ilvl="0" w:tentative="0">
      <w:start w:val="1"/>
      <w:numFmt w:val="decimal"/>
      <w:pStyle w:val="61"/>
      <w:lvlText w:val="%1."/>
      <w:lvlJc w:val="left"/>
      <w:pPr>
        <w:ind w:left="425" w:hanging="425"/>
      </w:pPr>
      <w:rPr>
        <w:rFonts w:hint="default"/>
      </w:rPr>
    </w:lvl>
    <w:lvl w:ilvl="1" w:tentative="0">
      <w:start w:val="1"/>
      <w:numFmt w:val="decimal"/>
      <w:lvlText w:val="%2."/>
      <w:lvlJc w:val="left"/>
      <w:pPr>
        <w:ind w:left="850" w:hanging="453"/>
      </w:pPr>
      <w:rPr>
        <w:rFonts w:hint="default"/>
      </w:rPr>
    </w:lvl>
    <w:lvl w:ilvl="2" w:tentative="0">
      <w:start w:val="1"/>
      <w:numFmt w:val="decimal"/>
      <w:lvlText w:val="%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
    <w:nsid w:val="A8AD1275"/>
    <w:multiLevelType w:val="singleLevel"/>
    <w:tmpl w:val="A8AD1275"/>
    <w:lvl w:ilvl="0" w:tentative="0">
      <w:start w:val="1"/>
      <w:numFmt w:val="decimal"/>
      <w:pStyle w:val="48"/>
      <w:lvlText w:val="图%1 "/>
      <w:lvlJc w:val="left"/>
      <w:pPr>
        <w:tabs>
          <w:tab w:val="left" w:pos="420"/>
        </w:tabs>
        <w:ind w:left="425" w:hanging="425"/>
      </w:pPr>
      <w:rPr>
        <w:rFonts w:hint="default" w:ascii="Times New Roman" w:hAnsi="Times New Roman" w:eastAsia="黑体" w:cs="Times New Roman"/>
        <w:sz w:val="28"/>
        <w:szCs w:val="28"/>
      </w:rPr>
    </w:lvl>
  </w:abstractNum>
  <w:abstractNum w:abstractNumId="2">
    <w:nsid w:val="B3138ED5"/>
    <w:multiLevelType w:val="multilevel"/>
    <w:tmpl w:val="B3138ED5"/>
    <w:lvl w:ilvl="0" w:tentative="0">
      <w:start w:val="1"/>
      <w:numFmt w:val="decimal"/>
      <w:lvlText w:val="%1."/>
      <w:lvlJc w:val="left"/>
      <w:pPr>
        <w:ind w:left="425" w:hanging="425"/>
      </w:pPr>
      <w:rPr>
        <w:rFonts w:hint="default"/>
      </w:rPr>
    </w:lvl>
    <w:lvl w:ilvl="1" w:tentative="0">
      <w:start w:val="1"/>
      <w:numFmt w:val="decimal"/>
      <w:pStyle w:val="59"/>
      <w:isLgl/>
      <w:lvlText w:val="%2."/>
      <w:lvlJc w:val="left"/>
      <w:pPr>
        <w:ind w:left="850" w:hanging="453"/>
      </w:pPr>
      <w:rPr>
        <w:rFonts w:hint="default"/>
      </w:rPr>
    </w:lvl>
    <w:lvl w:ilvl="2" w:tentative="0">
      <w:start w:val="1"/>
      <w:numFmt w:val="decimal"/>
      <w:pStyle w:val="60"/>
      <w:isLgl/>
      <w:lvlText w:val="%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3">
    <w:nsid w:val="C9F57C13"/>
    <w:multiLevelType w:val="singleLevel"/>
    <w:tmpl w:val="C9F57C13"/>
    <w:lvl w:ilvl="0" w:tentative="0">
      <w:start w:val="1"/>
      <w:numFmt w:val="decimal"/>
      <w:pStyle w:val="46"/>
      <w:suff w:val="nothing"/>
      <w:lvlText w:val="表%1 "/>
      <w:lvlJc w:val="left"/>
      <w:pPr>
        <w:tabs>
          <w:tab w:val="left" w:pos="0"/>
        </w:tabs>
        <w:ind w:left="0" w:firstLine="403"/>
      </w:pPr>
      <w:rPr>
        <w:rFonts w:hint="default" w:ascii="Times New Roman" w:hAnsi="Times New Roman" w:eastAsia="黑体" w:cs="Times New Roman"/>
        <w:sz w:val="28"/>
        <w:szCs w:val="28"/>
        <w:lang w:val="en-US"/>
      </w:rPr>
    </w:lvl>
  </w:abstractNum>
  <w:abstractNum w:abstractNumId="4">
    <w:nsid w:val="D6EA277F"/>
    <w:multiLevelType w:val="multilevel"/>
    <w:tmpl w:val="D6EA277F"/>
    <w:lvl w:ilvl="0" w:tentative="0">
      <w:start w:val="1"/>
      <w:numFmt w:val="chineseCountingThousand"/>
      <w:pStyle w:val="2"/>
      <w:suff w:val="nothing"/>
      <w:lvlText w:val="第%1章 "/>
      <w:lvlJc w:val="left"/>
      <w:pPr>
        <w:ind w:left="432" w:hanging="144"/>
      </w:pPr>
      <w:rPr>
        <w:rFonts w:hint="eastAsia"/>
      </w:rPr>
    </w:lvl>
    <w:lvl w:ilvl="1" w:tentative="0">
      <w:start w:val="1"/>
      <w:numFmt w:val="decimal"/>
      <w:pStyle w:val="3"/>
      <w:isLgl/>
      <w:lvlText w:val="%1.%2"/>
      <w:lvlJc w:val="left"/>
      <w:pPr>
        <w:ind w:left="575" w:hanging="575"/>
      </w:pPr>
      <w:rPr>
        <w:rFonts w:hint="eastAsia"/>
      </w:rPr>
    </w:lvl>
    <w:lvl w:ilvl="2" w:tentative="0">
      <w:start w:val="1"/>
      <w:numFmt w:val="decimal"/>
      <w:pStyle w:val="4"/>
      <w:isLgl/>
      <w:lvlText w:val="%1.%2.%3 "/>
      <w:lvlJc w:val="left"/>
      <w:pPr>
        <w:ind w:left="720" w:hanging="720"/>
      </w:pPr>
      <w:rPr>
        <w:rFonts w:hint="eastAsia"/>
      </w:rPr>
    </w:lvl>
    <w:lvl w:ilvl="3" w:tentative="0">
      <w:start w:val="1"/>
      <w:numFmt w:val="decimal"/>
      <w:pStyle w:val="5"/>
      <w:isLgl/>
      <w:lvlText w:val="%1.%2.%3.%4"/>
      <w:lvlJc w:val="left"/>
      <w:pPr>
        <w:ind w:left="864" w:hanging="864"/>
      </w:pPr>
      <w:rPr>
        <w:rFonts w:hint="eastAsia"/>
      </w:rPr>
    </w:lvl>
    <w:lvl w:ilvl="4" w:tentative="0">
      <w:start w:val="1"/>
      <w:numFmt w:val="decimal"/>
      <w:pStyle w:val="6"/>
      <w:isLgl/>
      <w:lvlText w:val="%1.%2.%3.%4.%5"/>
      <w:lvlJc w:val="left"/>
      <w:pPr>
        <w:ind w:left="1008" w:hanging="1008"/>
      </w:pPr>
      <w:rPr>
        <w:rFonts w:hint="eastAsia"/>
      </w:rPr>
    </w:lvl>
    <w:lvl w:ilvl="5" w:tentative="0">
      <w:start w:val="1"/>
      <w:numFmt w:val="decimal"/>
      <w:pStyle w:val="7"/>
      <w:isLgl/>
      <w:lvlText w:val="%1.%2.%3.%4.%5.%6"/>
      <w:lvlJc w:val="left"/>
      <w:pPr>
        <w:ind w:left="1151" w:hanging="1151"/>
      </w:pPr>
      <w:rPr>
        <w:rFonts w:hint="eastAsia"/>
      </w:rPr>
    </w:lvl>
    <w:lvl w:ilvl="6" w:tentative="0">
      <w:start w:val="1"/>
      <w:numFmt w:val="decimal"/>
      <w:pStyle w:val="8"/>
      <w:isLgl/>
      <w:lvlText w:val="%1.%2.%3.%4.%5.%6.%7"/>
      <w:lvlJc w:val="left"/>
      <w:pPr>
        <w:ind w:left="1296" w:hanging="1296"/>
      </w:pPr>
      <w:rPr>
        <w:rFonts w:hint="eastAsia"/>
      </w:rPr>
    </w:lvl>
    <w:lvl w:ilvl="7" w:tentative="0">
      <w:start w:val="1"/>
      <w:numFmt w:val="decimal"/>
      <w:pStyle w:val="9"/>
      <w:isLgl/>
      <w:lvlText w:val="表%1.%2.%3-%8"/>
      <w:lvlJc w:val="left"/>
      <w:pPr>
        <w:ind w:left="1440" w:hanging="1440"/>
      </w:pPr>
      <w:rPr>
        <w:rFonts w:hint="default" w:ascii="Times New Roman" w:hAnsi="Times New Roman" w:eastAsia="宋体" w:cs="Times New Roman"/>
        <w:b/>
        <w:bCs/>
      </w:rPr>
    </w:lvl>
    <w:lvl w:ilvl="8" w:tentative="0">
      <w:start w:val="1"/>
      <w:numFmt w:val="decimal"/>
      <w:lvlRestart w:val="4"/>
      <w:pStyle w:val="10"/>
      <w:isLgl/>
      <w:lvlText w:val="图%1.%2.%3-%9"/>
      <w:lvlJc w:val="left"/>
      <w:pPr>
        <w:ind w:left="0" w:firstLine="0"/>
      </w:pPr>
      <w:rPr>
        <w:rFonts w:hint="default" w:ascii="Times New Roman" w:hAnsi="Times New Roman" w:eastAsia="宋体" w:cs="Times New Roman"/>
      </w:rPr>
    </w:lvl>
  </w:abstractNum>
  <w:abstractNum w:abstractNumId="5">
    <w:nsid w:val="2597E5DC"/>
    <w:multiLevelType w:val="singleLevel"/>
    <w:tmpl w:val="2597E5DC"/>
    <w:lvl w:ilvl="0" w:tentative="0">
      <w:start w:val="1"/>
      <w:numFmt w:val="decimal"/>
      <w:suff w:val="nothing"/>
      <w:lvlText w:val="%1、"/>
      <w:lvlJc w:val="left"/>
    </w:lvl>
  </w:abstractNum>
  <w:abstractNum w:abstractNumId="6">
    <w:nsid w:val="5CA5609C"/>
    <w:multiLevelType w:val="singleLevel"/>
    <w:tmpl w:val="5CA5609C"/>
    <w:lvl w:ilvl="0" w:tentative="0">
      <w:start w:val="1"/>
      <w:numFmt w:val="decimal"/>
      <w:pStyle w:val="52"/>
      <w:lvlText w:val="（%1）"/>
      <w:lvlJc w:val="left"/>
      <w:pPr>
        <w:ind w:left="420" w:hanging="420"/>
      </w:pPr>
      <w:rPr>
        <w:rFonts w:hint="default"/>
      </w:rPr>
    </w:lvl>
  </w:abstractNum>
  <w:num w:numId="1">
    <w:abstractNumId w:val="4"/>
  </w:num>
  <w:num w:numId="2">
    <w:abstractNumId w:val="3"/>
  </w:num>
  <w:num w:numId="3">
    <w:abstractNumId w:val="1"/>
  </w:num>
  <w:num w:numId="4">
    <w:abstractNumId w:val="6"/>
  </w:num>
  <w:num w:numId="5">
    <w:abstractNumId w:val="2"/>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112"/>
  <w:drawingGridHorizontalSpacing w:val="280"/>
  <w:drawingGridVerticalSpacing w:val="-794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Q4ODQwNThiYTg4YTBlNDhkZDRmNGNiNWM5NWE1YzAifQ=="/>
    <w:docVar w:name="KSO_WPS_MARK_KEY" w:val="200b8334-1323-4a44-b2a1-554bd47e1d73"/>
  </w:docVars>
  <w:rsids>
    <w:rsidRoot w:val="00DB532E"/>
    <w:rsid w:val="00000C3A"/>
    <w:rsid w:val="000033BD"/>
    <w:rsid w:val="00003D5B"/>
    <w:rsid w:val="00005883"/>
    <w:rsid w:val="000071AF"/>
    <w:rsid w:val="00007370"/>
    <w:rsid w:val="00010E18"/>
    <w:rsid w:val="00014608"/>
    <w:rsid w:val="00024AC9"/>
    <w:rsid w:val="00024D1D"/>
    <w:rsid w:val="00026A31"/>
    <w:rsid w:val="00027088"/>
    <w:rsid w:val="00027E4A"/>
    <w:rsid w:val="00034F4E"/>
    <w:rsid w:val="00035766"/>
    <w:rsid w:val="0003691F"/>
    <w:rsid w:val="0003786E"/>
    <w:rsid w:val="00040E0B"/>
    <w:rsid w:val="000431A2"/>
    <w:rsid w:val="000442DA"/>
    <w:rsid w:val="00044B1E"/>
    <w:rsid w:val="00044D1C"/>
    <w:rsid w:val="00046A3E"/>
    <w:rsid w:val="00056B48"/>
    <w:rsid w:val="000570E7"/>
    <w:rsid w:val="000572A7"/>
    <w:rsid w:val="000574F8"/>
    <w:rsid w:val="00057D23"/>
    <w:rsid w:val="000618FA"/>
    <w:rsid w:val="000674DE"/>
    <w:rsid w:val="000708DC"/>
    <w:rsid w:val="00071E5B"/>
    <w:rsid w:val="000741AB"/>
    <w:rsid w:val="00082DB2"/>
    <w:rsid w:val="00082FFA"/>
    <w:rsid w:val="0008414D"/>
    <w:rsid w:val="00086CF6"/>
    <w:rsid w:val="00090AB8"/>
    <w:rsid w:val="00090C79"/>
    <w:rsid w:val="0009769D"/>
    <w:rsid w:val="00097DC3"/>
    <w:rsid w:val="000A039B"/>
    <w:rsid w:val="000A0ECC"/>
    <w:rsid w:val="000A43D4"/>
    <w:rsid w:val="000A55D7"/>
    <w:rsid w:val="000B0B51"/>
    <w:rsid w:val="000B0C1A"/>
    <w:rsid w:val="000B1751"/>
    <w:rsid w:val="000B3297"/>
    <w:rsid w:val="000B5E42"/>
    <w:rsid w:val="000B7AD0"/>
    <w:rsid w:val="000C2DA5"/>
    <w:rsid w:val="000C5145"/>
    <w:rsid w:val="000C5E54"/>
    <w:rsid w:val="000C60D2"/>
    <w:rsid w:val="000C6BBE"/>
    <w:rsid w:val="000D00E6"/>
    <w:rsid w:val="000D1316"/>
    <w:rsid w:val="000D15C0"/>
    <w:rsid w:val="000D54EC"/>
    <w:rsid w:val="000D5B8F"/>
    <w:rsid w:val="000D62C9"/>
    <w:rsid w:val="000E075A"/>
    <w:rsid w:val="000E09D3"/>
    <w:rsid w:val="000E21F2"/>
    <w:rsid w:val="000E3A3D"/>
    <w:rsid w:val="000E4F58"/>
    <w:rsid w:val="000E5269"/>
    <w:rsid w:val="000E5F0D"/>
    <w:rsid w:val="000E666B"/>
    <w:rsid w:val="000E73F6"/>
    <w:rsid w:val="000F13E5"/>
    <w:rsid w:val="000F449A"/>
    <w:rsid w:val="000F599D"/>
    <w:rsid w:val="000F5D2A"/>
    <w:rsid w:val="000F64F0"/>
    <w:rsid w:val="000F79DA"/>
    <w:rsid w:val="001004A2"/>
    <w:rsid w:val="0010056A"/>
    <w:rsid w:val="001010B3"/>
    <w:rsid w:val="001014D8"/>
    <w:rsid w:val="00101C81"/>
    <w:rsid w:val="00103401"/>
    <w:rsid w:val="0010672D"/>
    <w:rsid w:val="0011272F"/>
    <w:rsid w:val="00114559"/>
    <w:rsid w:val="00114AB8"/>
    <w:rsid w:val="0011747D"/>
    <w:rsid w:val="00120883"/>
    <w:rsid w:val="0012100D"/>
    <w:rsid w:val="00122505"/>
    <w:rsid w:val="001231D4"/>
    <w:rsid w:val="00132DF9"/>
    <w:rsid w:val="00133271"/>
    <w:rsid w:val="00134FDF"/>
    <w:rsid w:val="0013784B"/>
    <w:rsid w:val="00140691"/>
    <w:rsid w:val="0014239F"/>
    <w:rsid w:val="0014513E"/>
    <w:rsid w:val="00146228"/>
    <w:rsid w:val="00146EDD"/>
    <w:rsid w:val="00147013"/>
    <w:rsid w:val="001476B3"/>
    <w:rsid w:val="00152F6E"/>
    <w:rsid w:val="00157EC8"/>
    <w:rsid w:val="00163921"/>
    <w:rsid w:val="00164717"/>
    <w:rsid w:val="00164C26"/>
    <w:rsid w:val="001669D4"/>
    <w:rsid w:val="0016756E"/>
    <w:rsid w:val="0016792F"/>
    <w:rsid w:val="00167EFB"/>
    <w:rsid w:val="00170C39"/>
    <w:rsid w:val="00170C9F"/>
    <w:rsid w:val="00177138"/>
    <w:rsid w:val="00180351"/>
    <w:rsid w:val="00180E43"/>
    <w:rsid w:val="00181F2B"/>
    <w:rsid w:val="00183619"/>
    <w:rsid w:val="00184607"/>
    <w:rsid w:val="00185277"/>
    <w:rsid w:val="00185B67"/>
    <w:rsid w:val="001900D5"/>
    <w:rsid w:val="00190AE1"/>
    <w:rsid w:val="00192B6F"/>
    <w:rsid w:val="00194341"/>
    <w:rsid w:val="001A61CD"/>
    <w:rsid w:val="001A6507"/>
    <w:rsid w:val="001A65A6"/>
    <w:rsid w:val="001B3EE6"/>
    <w:rsid w:val="001B5D95"/>
    <w:rsid w:val="001B646D"/>
    <w:rsid w:val="001B751F"/>
    <w:rsid w:val="001B7C22"/>
    <w:rsid w:val="001C3536"/>
    <w:rsid w:val="001C421B"/>
    <w:rsid w:val="001C464C"/>
    <w:rsid w:val="001C5410"/>
    <w:rsid w:val="001C54F7"/>
    <w:rsid w:val="001C5EC9"/>
    <w:rsid w:val="001D02B2"/>
    <w:rsid w:val="001D1CF3"/>
    <w:rsid w:val="001D4BAA"/>
    <w:rsid w:val="001D52F1"/>
    <w:rsid w:val="001D5B8E"/>
    <w:rsid w:val="001D6160"/>
    <w:rsid w:val="001D6315"/>
    <w:rsid w:val="001E4769"/>
    <w:rsid w:val="001E4E34"/>
    <w:rsid w:val="001E58B8"/>
    <w:rsid w:val="001E66FB"/>
    <w:rsid w:val="001E688B"/>
    <w:rsid w:val="001E6A00"/>
    <w:rsid w:val="001E6F27"/>
    <w:rsid w:val="001E75DB"/>
    <w:rsid w:val="001F10B4"/>
    <w:rsid w:val="001F3160"/>
    <w:rsid w:val="001F4C37"/>
    <w:rsid w:val="001F6490"/>
    <w:rsid w:val="00201B6A"/>
    <w:rsid w:val="00202EE8"/>
    <w:rsid w:val="00207073"/>
    <w:rsid w:val="002137CD"/>
    <w:rsid w:val="00217E9E"/>
    <w:rsid w:val="00221F60"/>
    <w:rsid w:val="00223418"/>
    <w:rsid w:val="002237DD"/>
    <w:rsid w:val="00230240"/>
    <w:rsid w:val="00230C04"/>
    <w:rsid w:val="00232421"/>
    <w:rsid w:val="002325D5"/>
    <w:rsid w:val="002344A1"/>
    <w:rsid w:val="0023451A"/>
    <w:rsid w:val="00241608"/>
    <w:rsid w:val="002417E9"/>
    <w:rsid w:val="0024386A"/>
    <w:rsid w:val="00244E17"/>
    <w:rsid w:val="00253775"/>
    <w:rsid w:val="00254A12"/>
    <w:rsid w:val="00257E09"/>
    <w:rsid w:val="002621D9"/>
    <w:rsid w:val="002658D8"/>
    <w:rsid w:val="0026722F"/>
    <w:rsid w:val="002711A0"/>
    <w:rsid w:val="00273298"/>
    <w:rsid w:val="00274E3F"/>
    <w:rsid w:val="00276E33"/>
    <w:rsid w:val="00277082"/>
    <w:rsid w:val="00277359"/>
    <w:rsid w:val="00277B9B"/>
    <w:rsid w:val="00280736"/>
    <w:rsid w:val="002810AF"/>
    <w:rsid w:val="00283B87"/>
    <w:rsid w:val="00283FB2"/>
    <w:rsid w:val="00287B34"/>
    <w:rsid w:val="00292E2C"/>
    <w:rsid w:val="0029323E"/>
    <w:rsid w:val="00293470"/>
    <w:rsid w:val="00293995"/>
    <w:rsid w:val="00295F53"/>
    <w:rsid w:val="002A48FD"/>
    <w:rsid w:val="002A74EA"/>
    <w:rsid w:val="002B0986"/>
    <w:rsid w:val="002B455F"/>
    <w:rsid w:val="002B6A29"/>
    <w:rsid w:val="002C5D79"/>
    <w:rsid w:val="002D0627"/>
    <w:rsid w:val="002D2861"/>
    <w:rsid w:val="002D2E96"/>
    <w:rsid w:val="002D3945"/>
    <w:rsid w:val="002D4792"/>
    <w:rsid w:val="002D5585"/>
    <w:rsid w:val="002E384C"/>
    <w:rsid w:val="002E4C79"/>
    <w:rsid w:val="002E79AE"/>
    <w:rsid w:val="002E7F80"/>
    <w:rsid w:val="002F0956"/>
    <w:rsid w:val="002F09B9"/>
    <w:rsid w:val="002F1474"/>
    <w:rsid w:val="002F4D56"/>
    <w:rsid w:val="002F4EE4"/>
    <w:rsid w:val="00301C14"/>
    <w:rsid w:val="0030203C"/>
    <w:rsid w:val="00302DB4"/>
    <w:rsid w:val="00303214"/>
    <w:rsid w:val="003044AE"/>
    <w:rsid w:val="00307290"/>
    <w:rsid w:val="003073D2"/>
    <w:rsid w:val="00307A95"/>
    <w:rsid w:val="00307E5A"/>
    <w:rsid w:val="0031232A"/>
    <w:rsid w:val="0031253A"/>
    <w:rsid w:val="00314647"/>
    <w:rsid w:val="003149F6"/>
    <w:rsid w:val="0031532E"/>
    <w:rsid w:val="00317D0C"/>
    <w:rsid w:val="003236B0"/>
    <w:rsid w:val="003247AF"/>
    <w:rsid w:val="00326604"/>
    <w:rsid w:val="00326E4F"/>
    <w:rsid w:val="0032799F"/>
    <w:rsid w:val="00330375"/>
    <w:rsid w:val="00331F9B"/>
    <w:rsid w:val="00333B02"/>
    <w:rsid w:val="003356E3"/>
    <w:rsid w:val="0033772B"/>
    <w:rsid w:val="00337BF5"/>
    <w:rsid w:val="00350ED0"/>
    <w:rsid w:val="00354F9B"/>
    <w:rsid w:val="00355030"/>
    <w:rsid w:val="0035532E"/>
    <w:rsid w:val="0035740A"/>
    <w:rsid w:val="00357CE0"/>
    <w:rsid w:val="00362CE6"/>
    <w:rsid w:val="00367019"/>
    <w:rsid w:val="0037286F"/>
    <w:rsid w:val="003732B4"/>
    <w:rsid w:val="00380A4D"/>
    <w:rsid w:val="0038111D"/>
    <w:rsid w:val="003822DE"/>
    <w:rsid w:val="003838A8"/>
    <w:rsid w:val="003861F9"/>
    <w:rsid w:val="00387434"/>
    <w:rsid w:val="0039123C"/>
    <w:rsid w:val="003923DE"/>
    <w:rsid w:val="00392729"/>
    <w:rsid w:val="003A0225"/>
    <w:rsid w:val="003A1207"/>
    <w:rsid w:val="003A14F6"/>
    <w:rsid w:val="003A513F"/>
    <w:rsid w:val="003A6E61"/>
    <w:rsid w:val="003B00FB"/>
    <w:rsid w:val="003B3840"/>
    <w:rsid w:val="003B3B87"/>
    <w:rsid w:val="003B4C1F"/>
    <w:rsid w:val="003B52DE"/>
    <w:rsid w:val="003B679D"/>
    <w:rsid w:val="003B7419"/>
    <w:rsid w:val="003C32AE"/>
    <w:rsid w:val="003C4C03"/>
    <w:rsid w:val="003C4DC2"/>
    <w:rsid w:val="003C5313"/>
    <w:rsid w:val="003C6414"/>
    <w:rsid w:val="003C6952"/>
    <w:rsid w:val="003C7BC2"/>
    <w:rsid w:val="003C7CB7"/>
    <w:rsid w:val="003D21F7"/>
    <w:rsid w:val="003D25F6"/>
    <w:rsid w:val="003D3B4A"/>
    <w:rsid w:val="003D473A"/>
    <w:rsid w:val="003D4FD7"/>
    <w:rsid w:val="003D59D6"/>
    <w:rsid w:val="003D6255"/>
    <w:rsid w:val="003E19AB"/>
    <w:rsid w:val="003E2046"/>
    <w:rsid w:val="003E679F"/>
    <w:rsid w:val="003F0B90"/>
    <w:rsid w:val="003F6C57"/>
    <w:rsid w:val="004002D9"/>
    <w:rsid w:val="00400496"/>
    <w:rsid w:val="004066AB"/>
    <w:rsid w:val="00411A8B"/>
    <w:rsid w:val="00411E2B"/>
    <w:rsid w:val="00412601"/>
    <w:rsid w:val="004130B4"/>
    <w:rsid w:val="004132F5"/>
    <w:rsid w:val="00415420"/>
    <w:rsid w:val="00423483"/>
    <w:rsid w:val="004239A7"/>
    <w:rsid w:val="0042413B"/>
    <w:rsid w:val="00424573"/>
    <w:rsid w:val="00431147"/>
    <w:rsid w:val="0043736E"/>
    <w:rsid w:val="00437397"/>
    <w:rsid w:val="00437636"/>
    <w:rsid w:val="00437D45"/>
    <w:rsid w:val="004402AD"/>
    <w:rsid w:val="00441B91"/>
    <w:rsid w:val="00444E7F"/>
    <w:rsid w:val="00445576"/>
    <w:rsid w:val="0044591B"/>
    <w:rsid w:val="00453688"/>
    <w:rsid w:val="004560D0"/>
    <w:rsid w:val="00460479"/>
    <w:rsid w:val="00461BDF"/>
    <w:rsid w:val="00462360"/>
    <w:rsid w:val="0046346E"/>
    <w:rsid w:val="0046570A"/>
    <w:rsid w:val="004657D6"/>
    <w:rsid w:val="00466502"/>
    <w:rsid w:val="00471570"/>
    <w:rsid w:val="00471E0E"/>
    <w:rsid w:val="00471FA8"/>
    <w:rsid w:val="004744FB"/>
    <w:rsid w:val="0047480B"/>
    <w:rsid w:val="004806A2"/>
    <w:rsid w:val="004822D9"/>
    <w:rsid w:val="004861F5"/>
    <w:rsid w:val="004862C5"/>
    <w:rsid w:val="00487E22"/>
    <w:rsid w:val="0049171A"/>
    <w:rsid w:val="0049273E"/>
    <w:rsid w:val="004948B7"/>
    <w:rsid w:val="004960E4"/>
    <w:rsid w:val="00497720"/>
    <w:rsid w:val="004A18CE"/>
    <w:rsid w:val="004A2D9A"/>
    <w:rsid w:val="004A45A9"/>
    <w:rsid w:val="004A475E"/>
    <w:rsid w:val="004A4D26"/>
    <w:rsid w:val="004A5D3F"/>
    <w:rsid w:val="004A65B3"/>
    <w:rsid w:val="004A67A4"/>
    <w:rsid w:val="004A72FA"/>
    <w:rsid w:val="004B67E8"/>
    <w:rsid w:val="004B6898"/>
    <w:rsid w:val="004B6BEC"/>
    <w:rsid w:val="004B73BB"/>
    <w:rsid w:val="004C282F"/>
    <w:rsid w:val="004C772B"/>
    <w:rsid w:val="004C7F4F"/>
    <w:rsid w:val="004D05D1"/>
    <w:rsid w:val="004D189F"/>
    <w:rsid w:val="004D1A96"/>
    <w:rsid w:val="004D2ECA"/>
    <w:rsid w:val="004D73CC"/>
    <w:rsid w:val="004E5B60"/>
    <w:rsid w:val="004F0D2B"/>
    <w:rsid w:val="004F32DD"/>
    <w:rsid w:val="004F442D"/>
    <w:rsid w:val="0050018C"/>
    <w:rsid w:val="00500DDC"/>
    <w:rsid w:val="00502266"/>
    <w:rsid w:val="005026E5"/>
    <w:rsid w:val="005040AC"/>
    <w:rsid w:val="00505329"/>
    <w:rsid w:val="005062A8"/>
    <w:rsid w:val="00511E5D"/>
    <w:rsid w:val="00513398"/>
    <w:rsid w:val="00513843"/>
    <w:rsid w:val="00514A3D"/>
    <w:rsid w:val="00514E09"/>
    <w:rsid w:val="005154D3"/>
    <w:rsid w:val="00515A6D"/>
    <w:rsid w:val="00524EEB"/>
    <w:rsid w:val="00526117"/>
    <w:rsid w:val="005264FD"/>
    <w:rsid w:val="005319FB"/>
    <w:rsid w:val="00532FDD"/>
    <w:rsid w:val="005337CD"/>
    <w:rsid w:val="005341B0"/>
    <w:rsid w:val="00534244"/>
    <w:rsid w:val="00534E73"/>
    <w:rsid w:val="00535B49"/>
    <w:rsid w:val="00535C54"/>
    <w:rsid w:val="00540A9D"/>
    <w:rsid w:val="00540EB6"/>
    <w:rsid w:val="00542886"/>
    <w:rsid w:val="00546B26"/>
    <w:rsid w:val="0055095C"/>
    <w:rsid w:val="00551965"/>
    <w:rsid w:val="0055286F"/>
    <w:rsid w:val="0055487F"/>
    <w:rsid w:val="00555A57"/>
    <w:rsid w:val="005575BA"/>
    <w:rsid w:val="00560B9F"/>
    <w:rsid w:val="005619CB"/>
    <w:rsid w:val="00563BEE"/>
    <w:rsid w:val="00571608"/>
    <w:rsid w:val="005757F3"/>
    <w:rsid w:val="00584EC8"/>
    <w:rsid w:val="00586030"/>
    <w:rsid w:val="00586F09"/>
    <w:rsid w:val="00587146"/>
    <w:rsid w:val="00587B2C"/>
    <w:rsid w:val="0059038D"/>
    <w:rsid w:val="00590FBA"/>
    <w:rsid w:val="00593411"/>
    <w:rsid w:val="00593D4D"/>
    <w:rsid w:val="005A1A2E"/>
    <w:rsid w:val="005A1A48"/>
    <w:rsid w:val="005A2041"/>
    <w:rsid w:val="005A2717"/>
    <w:rsid w:val="005A3F27"/>
    <w:rsid w:val="005A4C15"/>
    <w:rsid w:val="005A55A1"/>
    <w:rsid w:val="005A5877"/>
    <w:rsid w:val="005A5F8F"/>
    <w:rsid w:val="005B01ED"/>
    <w:rsid w:val="005B1736"/>
    <w:rsid w:val="005B3372"/>
    <w:rsid w:val="005B6DC4"/>
    <w:rsid w:val="005C5356"/>
    <w:rsid w:val="005D1031"/>
    <w:rsid w:val="005D11C4"/>
    <w:rsid w:val="005D71C9"/>
    <w:rsid w:val="005E1CAA"/>
    <w:rsid w:val="005F2A6B"/>
    <w:rsid w:val="005F7530"/>
    <w:rsid w:val="006019CB"/>
    <w:rsid w:val="00602FFB"/>
    <w:rsid w:val="006057F4"/>
    <w:rsid w:val="00606A51"/>
    <w:rsid w:val="00614334"/>
    <w:rsid w:val="00614877"/>
    <w:rsid w:val="006148DB"/>
    <w:rsid w:val="006159CF"/>
    <w:rsid w:val="00616599"/>
    <w:rsid w:val="00616F1A"/>
    <w:rsid w:val="00620872"/>
    <w:rsid w:val="00624E19"/>
    <w:rsid w:val="006317BD"/>
    <w:rsid w:val="0063749E"/>
    <w:rsid w:val="006415A2"/>
    <w:rsid w:val="006440D6"/>
    <w:rsid w:val="00644FE5"/>
    <w:rsid w:val="00647152"/>
    <w:rsid w:val="00650DC9"/>
    <w:rsid w:val="006516AA"/>
    <w:rsid w:val="00653F12"/>
    <w:rsid w:val="0065455D"/>
    <w:rsid w:val="0065505C"/>
    <w:rsid w:val="006564DE"/>
    <w:rsid w:val="00663210"/>
    <w:rsid w:val="00663F9A"/>
    <w:rsid w:val="006641F0"/>
    <w:rsid w:val="00665D86"/>
    <w:rsid w:val="00666B5F"/>
    <w:rsid w:val="00666C0D"/>
    <w:rsid w:val="00673318"/>
    <w:rsid w:val="00674271"/>
    <w:rsid w:val="006749F1"/>
    <w:rsid w:val="0068084D"/>
    <w:rsid w:val="006808D7"/>
    <w:rsid w:val="00680F41"/>
    <w:rsid w:val="00682802"/>
    <w:rsid w:val="0068330B"/>
    <w:rsid w:val="00683D2C"/>
    <w:rsid w:val="00684370"/>
    <w:rsid w:val="0068660D"/>
    <w:rsid w:val="00690F4F"/>
    <w:rsid w:val="00694413"/>
    <w:rsid w:val="006950E9"/>
    <w:rsid w:val="00695B50"/>
    <w:rsid w:val="006A0AEE"/>
    <w:rsid w:val="006A0BE9"/>
    <w:rsid w:val="006A128A"/>
    <w:rsid w:val="006A2814"/>
    <w:rsid w:val="006A61E2"/>
    <w:rsid w:val="006A6565"/>
    <w:rsid w:val="006B1F18"/>
    <w:rsid w:val="006B2A54"/>
    <w:rsid w:val="006B71E7"/>
    <w:rsid w:val="006C1420"/>
    <w:rsid w:val="006C2675"/>
    <w:rsid w:val="006C39E2"/>
    <w:rsid w:val="006C3A4A"/>
    <w:rsid w:val="006C3AAE"/>
    <w:rsid w:val="006C5091"/>
    <w:rsid w:val="006D05E2"/>
    <w:rsid w:val="006E035A"/>
    <w:rsid w:val="006E0365"/>
    <w:rsid w:val="006E2168"/>
    <w:rsid w:val="006E4ACF"/>
    <w:rsid w:val="006E575E"/>
    <w:rsid w:val="006E6968"/>
    <w:rsid w:val="006E7495"/>
    <w:rsid w:val="006F1AB3"/>
    <w:rsid w:val="006F3F3D"/>
    <w:rsid w:val="006F65DC"/>
    <w:rsid w:val="006F697B"/>
    <w:rsid w:val="0070096A"/>
    <w:rsid w:val="00700DE9"/>
    <w:rsid w:val="00704A64"/>
    <w:rsid w:val="00707B4F"/>
    <w:rsid w:val="00711F04"/>
    <w:rsid w:val="00721652"/>
    <w:rsid w:val="00722771"/>
    <w:rsid w:val="00723A42"/>
    <w:rsid w:val="00724A6F"/>
    <w:rsid w:val="0072531E"/>
    <w:rsid w:val="00726445"/>
    <w:rsid w:val="00726724"/>
    <w:rsid w:val="00726F95"/>
    <w:rsid w:val="007276A8"/>
    <w:rsid w:val="00732C7F"/>
    <w:rsid w:val="00733CF8"/>
    <w:rsid w:val="00736322"/>
    <w:rsid w:val="00736DF5"/>
    <w:rsid w:val="00741452"/>
    <w:rsid w:val="00743779"/>
    <w:rsid w:val="00743E79"/>
    <w:rsid w:val="00744E82"/>
    <w:rsid w:val="0074582F"/>
    <w:rsid w:val="0074774E"/>
    <w:rsid w:val="00747C68"/>
    <w:rsid w:val="00750B90"/>
    <w:rsid w:val="00750BB6"/>
    <w:rsid w:val="00751546"/>
    <w:rsid w:val="00753D13"/>
    <w:rsid w:val="0075652F"/>
    <w:rsid w:val="00757AD0"/>
    <w:rsid w:val="007648FA"/>
    <w:rsid w:val="007676CF"/>
    <w:rsid w:val="007710BC"/>
    <w:rsid w:val="00776498"/>
    <w:rsid w:val="00777C35"/>
    <w:rsid w:val="00780EDF"/>
    <w:rsid w:val="00784674"/>
    <w:rsid w:val="00786A14"/>
    <w:rsid w:val="00791885"/>
    <w:rsid w:val="00797287"/>
    <w:rsid w:val="007A0857"/>
    <w:rsid w:val="007A2A9E"/>
    <w:rsid w:val="007A5FF0"/>
    <w:rsid w:val="007B01F1"/>
    <w:rsid w:val="007B0464"/>
    <w:rsid w:val="007B1997"/>
    <w:rsid w:val="007B3528"/>
    <w:rsid w:val="007B53A1"/>
    <w:rsid w:val="007B5F3A"/>
    <w:rsid w:val="007B5FFE"/>
    <w:rsid w:val="007C18ED"/>
    <w:rsid w:val="007C1DCC"/>
    <w:rsid w:val="007C411E"/>
    <w:rsid w:val="007D124F"/>
    <w:rsid w:val="007E152C"/>
    <w:rsid w:val="007E249D"/>
    <w:rsid w:val="007E3D76"/>
    <w:rsid w:val="007E4C66"/>
    <w:rsid w:val="007E4F3C"/>
    <w:rsid w:val="007E640A"/>
    <w:rsid w:val="007E6EC1"/>
    <w:rsid w:val="007E77B0"/>
    <w:rsid w:val="007E798F"/>
    <w:rsid w:val="007E7C83"/>
    <w:rsid w:val="007F04D9"/>
    <w:rsid w:val="007F0D00"/>
    <w:rsid w:val="007F0D95"/>
    <w:rsid w:val="007F5ECF"/>
    <w:rsid w:val="007F5F55"/>
    <w:rsid w:val="00801CBB"/>
    <w:rsid w:val="00803831"/>
    <w:rsid w:val="00803A7C"/>
    <w:rsid w:val="0080526C"/>
    <w:rsid w:val="00807C4E"/>
    <w:rsid w:val="008132D6"/>
    <w:rsid w:val="00813F25"/>
    <w:rsid w:val="008147F2"/>
    <w:rsid w:val="00814FBD"/>
    <w:rsid w:val="00815C59"/>
    <w:rsid w:val="00820652"/>
    <w:rsid w:val="00822A94"/>
    <w:rsid w:val="00825958"/>
    <w:rsid w:val="00827C73"/>
    <w:rsid w:val="00831A92"/>
    <w:rsid w:val="0083297D"/>
    <w:rsid w:val="00832C75"/>
    <w:rsid w:val="008401FF"/>
    <w:rsid w:val="00841310"/>
    <w:rsid w:val="00841331"/>
    <w:rsid w:val="00841E7D"/>
    <w:rsid w:val="008455AB"/>
    <w:rsid w:val="00846C7A"/>
    <w:rsid w:val="00847AE5"/>
    <w:rsid w:val="00851933"/>
    <w:rsid w:val="00852838"/>
    <w:rsid w:val="008534E8"/>
    <w:rsid w:val="0085458B"/>
    <w:rsid w:val="00855436"/>
    <w:rsid w:val="00857219"/>
    <w:rsid w:val="0086081E"/>
    <w:rsid w:val="00860EB1"/>
    <w:rsid w:val="008612DD"/>
    <w:rsid w:val="00862695"/>
    <w:rsid w:val="008633AE"/>
    <w:rsid w:val="008645D3"/>
    <w:rsid w:val="0086560D"/>
    <w:rsid w:val="00865F2B"/>
    <w:rsid w:val="00871F8E"/>
    <w:rsid w:val="00874AAE"/>
    <w:rsid w:val="008750AA"/>
    <w:rsid w:val="00876FFB"/>
    <w:rsid w:val="008778C7"/>
    <w:rsid w:val="00882397"/>
    <w:rsid w:val="00884F31"/>
    <w:rsid w:val="008854A5"/>
    <w:rsid w:val="008873DE"/>
    <w:rsid w:val="00891A9C"/>
    <w:rsid w:val="00893138"/>
    <w:rsid w:val="00894379"/>
    <w:rsid w:val="00896B15"/>
    <w:rsid w:val="008A0A05"/>
    <w:rsid w:val="008A3659"/>
    <w:rsid w:val="008B25A5"/>
    <w:rsid w:val="008B2998"/>
    <w:rsid w:val="008B5977"/>
    <w:rsid w:val="008B64A5"/>
    <w:rsid w:val="008B6B6A"/>
    <w:rsid w:val="008B7B2C"/>
    <w:rsid w:val="008C4818"/>
    <w:rsid w:val="008C54CB"/>
    <w:rsid w:val="008C71CB"/>
    <w:rsid w:val="008C7443"/>
    <w:rsid w:val="008D0DBE"/>
    <w:rsid w:val="008D4030"/>
    <w:rsid w:val="008D4291"/>
    <w:rsid w:val="008D454A"/>
    <w:rsid w:val="008D46A1"/>
    <w:rsid w:val="008D5AE9"/>
    <w:rsid w:val="008D629F"/>
    <w:rsid w:val="008E3AEA"/>
    <w:rsid w:val="008E46D7"/>
    <w:rsid w:val="008E6002"/>
    <w:rsid w:val="008E682B"/>
    <w:rsid w:val="008E7F76"/>
    <w:rsid w:val="008F30B4"/>
    <w:rsid w:val="009058C8"/>
    <w:rsid w:val="00906858"/>
    <w:rsid w:val="00910543"/>
    <w:rsid w:val="00915F25"/>
    <w:rsid w:val="009200EB"/>
    <w:rsid w:val="009201F9"/>
    <w:rsid w:val="00920EC1"/>
    <w:rsid w:val="009230AC"/>
    <w:rsid w:val="009239F6"/>
    <w:rsid w:val="00923E82"/>
    <w:rsid w:val="00924466"/>
    <w:rsid w:val="00925A06"/>
    <w:rsid w:val="009327A5"/>
    <w:rsid w:val="00934580"/>
    <w:rsid w:val="009357AF"/>
    <w:rsid w:val="0093788B"/>
    <w:rsid w:val="00940AB5"/>
    <w:rsid w:val="00941893"/>
    <w:rsid w:val="00941CA2"/>
    <w:rsid w:val="0094212C"/>
    <w:rsid w:val="00944918"/>
    <w:rsid w:val="00946894"/>
    <w:rsid w:val="00950676"/>
    <w:rsid w:val="00950A03"/>
    <w:rsid w:val="00950F69"/>
    <w:rsid w:val="00955E5B"/>
    <w:rsid w:val="0095660E"/>
    <w:rsid w:val="00957091"/>
    <w:rsid w:val="009579A7"/>
    <w:rsid w:val="0096353F"/>
    <w:rsid w:val="00965389"/>
    <w:rsid w:val="00967A4D"/>
    <w:rsid w:val="00974F79"/>
    <w:rsid w:val="009827EF"/>
    <w:rsid w:val="009848E9"/>
    <w:rsid w:val="00987EB1"/>
    <w:rsid w:val="009909CA"/>
    <w:rsid w:val="009913A5"/>
    <w:rsid w:val="00991569"/>
    <w:rsid w:val="009938A8"/>
    <w:rsid w:val="0099629A"/>
    <w:rsid w:val="00996594"/>
    <w:rsid w:val="009971C0"/>
    <w:rsid w:val="009A20A5"/>
    <w:rsid w:val="009A6193"/>
    <w:rsid w:val="009A6B23"/>
    <w:rsid w:val="009B0611"/>
    <w:rsid w:val="009B124B"/>
    <w:rsid w:val="009B1E5D"/>
    <w:rsid w:val="009B4EF8"/>
    <w:rsid w:val="009C0441"/>
    <w:rsid w:val="009C0EE1"/>
    <w:rsid w:val="009C67FB"/>
    <w:rsid w:val="009D6147"/>
    <w:rsid w:val="009D6D3E"/>
    <w:rsid w:val="009E0946"/>
    <w:rsid w:val="009E4050"/>
    <w:rsid w:val="009E7765"/>
    <w:rsid w:val="009F1287"/>
    <w:rsid w:val="009F30FF"/>
    <w:rsid w:val="009F3E56"/>
    <w:rsid w:val="009F5459"/>
    <w:rsid w:val="00A01A56"/>
    <w:rsid w:val="00A05161"/>
    <w:rsid w:val="00A0688B"/>
    <w:rsid w:val="00A06A79"/>
    <w:rsid w:val="00A07578"/>
    <w:rsid w:val="00A10624"/>
    <w:rsid w:val="00A106B2"/>
    <w:rsid w:val="00A10F88"/>
    <w:rsid w:val="00A116F4"/>
    <w:rsid w:val="00A128FC"/>
    <w:rsid w:val="00A14E0C"/>
    <w:rsid w:val="00A16A5A"/>
    <w:rsid w:val="00A23F9D"/>
    <w:rsid w:val="00A266C5"/>
    <w:rsid w:val="00A26A8A"/>
    <w:rsid w:val="00A27871"/>
    <w:rsid w:val="00A32EEC"/>
    <w:rsid w:val="00A34AC9"/>
    <w:rsid w:val="00A3690F"/>
    <w:rsid w:val="00A36C90"/>
    <w:rsid w:val="00A421F2"/>
    <w:rsid w:val="00A44F2F"/>
    <w:rsid w:val="00A5070F"/>
    <w:rsid w:val="00A51785"/>
    <w:rsid w:val="00A55BE1"/>
    <w:rsid w:val="00A56E04"/>
    <w:rsid w:val="00A57141"/>
    <w:rsid w:val="00A571B7"/>
    <w:rsid w:val="00A61018"/>
    <w:rsid w:val="00A62250"/>
    <w:rsid w:val="00A62253"/>
    <w:rsid w:val="00A63175"/>
    <w:rsid w:val="00A64782"/>
    <w:rsid w:val="00A64CC8"/>
    <w:rsid w:val="00A65A1B"/>
    <w:rsid w:val="00A66CB8"/>
    <w:rsid w:val="00A6730C"/>
    <w:rsid w:val="00A67E1F"/>
    <w:rsid w:val="00A70905"/>
    <w:rsid w:val="00A71959"/>
    <w:rsid w:val="00A72452"/>
    <w:rsid w:val="00A72642"/>
    <w:rsid w:val="00A775F2"/>
    <w:rsid w:val="00A90225"/>
    <w:rsid w:val="00A92E0F"/>
    <w:rsid w:val="00A94576"/>
    <w:rsid w:val="00A94E6F"/>
    <w:rsid w:val="00AA342B"/>
    <w:rsid w:val="00AA5438"/>
    <w:rsid w:val="00AA7BD9"/>
    <w:rsid w:val="00AB13C1"/>
    <w:rsid w:val="00AB4364"/>
    <w:rsid w:val="00AB4C7E"/>
    <w:rsid w:val="00AC26B0"/>
    <w:rsid w:val="00AC26C9"/>
    <w:rsid w:val="00AC3062"/>
    <w:rsid w:val="00AC3469"/>
    <w:rsid w:val="00AC3CFB"/>
    <w:rsid w:val="00AC576E"/>
    <w:rsid w:val="00AC5933"/>
    <w:rsid w:val="00AD1D04"/>
    <w:rsid w:val="00AD42EE"/>
    <w:rsid w:val="00AD4D90"/>
    <w:rsid w:val="00AD65AE"/>
    <w:rsid w:val="00AD79A2"/>
    <w:rsid w:val="00AE044C"/>
    <w:rsid w:val="00AE1C75"/>
    <w:rsid w:val="00AE1EBC"/>
    <w:rsid w:val="00AE2559"/>
    <w:rsid w:val="00AE3071"/>
    <w:rsid w:val="00AE391C"/>
    <w:rsid w:val="00AE5205"/>
    <w:rsid w:val="00AE5A84"/>
    <w:rsid w:val="00AE62EA"/>
    <w:rsid w:val="00AE6FE3"/>
    <w:rsid w:val="00AF4016"/>
    <w:rsid w:val="00B03B4D"/>
    <w:rsid w:val="00B051F6"/>
    <w:rsid w:val="00B068D2"/>
    <w:rsid w:val="00B07AE1"/>
    <w:rsid w:val="00B1104E"/>
    <w:rsid w:val="00B11415"/>
    <w:rsid w:val="00B126E9"/>
    <w:rsid w:val="00B1487A"/>
    <w:rsid w:val="00B20C9D"/>
    <w:rsid w:val="00B2328D"/>
    <w:rsid w:val="00B236E7"/>
    <w:rsid w:val="00B25378"/>
    <w:rsid w:val="00B2728C"/>
    <w:rsid w:val="00B31218"/>
    <w:rsid w:val="00B320F6"/>
    <w:rsid w:val="00B339A9"/>
    <w:rsid w:val="00B37F26"/>
    <w:rsid w:val="00B45B22"/>
    <w:rsid w:val="00B46B39"/>
    <w:rsid w:val="00B47301"/>
    <w:rsid w:val="00B56767"/>
    <w:rsid w:val="00B62AD6"/>
    <w:rsid w:val="00B6355B"/>
    <w:rsid w:val="00B64314"/>
    <w:rsid w:val="00B64478"/>
    <w:rsid w:val="00B759F4"/>
    <w:rsid w:val="00B77444"/>
    <w:rsid w:val="00B80CF3"/>
    <w:rsid w:val="00B819CA"/>
    <w:rsid w:val="00B81CC1"/>
    <w:rsid w:val="00B8244F"/>
    <w:rsid w:val="00B91C68"/>
    <w:rsid w:val="00B93011"/>
    <w:rsid w:val="00B93F07"/>
    <w:rsid w:val="00B956B6"/>
    <w:rsid w:val="00BA1FE9"/>
    <w:rsid w:val="00BA5D6C"/>
    <w:rsid w:val="00BA6286"/>
    <w:rsid w:val="00BB0600"/>
    <w:rsid w:val="00BB2EF1"/>
    <w:rsid w:val="00BB2F09"/>
    <w:rsid w:val="00BB3AB5"/>
    <w:rsid w:val="00BC2A7D"/>
    <w:rsid w:val="00BC3BF3"/>
    <w:rsid w:val="00BC3C8E"/>
    <w:rsid w:val="00BC4152"/>
    <w:rsid w:val="00BC5138"/>
    <w:rsid w:val="00BC64EA"/>
    <w:rsid w:val="00BC6B64"/>
    <w:rsid w:val="00BD0C42"/>
    <w:rsid w:val="00BD2866"/>
    <w:rsid w:val="00BD3D62"/>
    <w:rsid w:val="00BD470D"/>
    <w:rsid w:val="00BD69D1"/>
    <w:rsid w:val="00BD722D"/>
    <w:rsid w:val="00BE1054"/>
    <w:rsid w:val="00BE19BE"/>
    <w:rsid w:val="00BE2495"/>
    <w:rsid w:val="00BE5E1A"/>
    <w:rsid w:val="00BE7900"/>
    <w:rsid w:val="00BF0209"/>
    <w:rsid w:val="00BF1C11"/>
    <w:rsid w:val="00BF1E8F"/>
    <w:rsid w:val="00BF255D"/>
    <w:rsid w:val="00BF4728"/>
    <w:rsid w:val="00BF4BCD"/>
    <w:rsid w:val="00C01082"/>
    <w:rsid w:val="00C01B3A"/>
    <w:rsid w:val="00C04604"/>
    <w:rsid w:val="00C04AEE"/>
    <w:rsid w:val="00C04B0F"/>
    <w:rsid w:val="00C071E6"/>
    <w:rsid w:val="00C07426"/>
    <w:rsid w:val="00C107C5"/>
    <w:rsid w:val="00C13B69"/>
    <w:rsid w:val="00C172E9"/>
    <w:rsid w:val="00C20D4D"/>
    <w:rsid w:val="00C22E27"/>
    <w:rsid w:val="00C25D30"/>
    <w:rsid w:val="00C27C2D"/>
    <w:rsid w:val="00C27C3A"/>
    <w:rsid w:val="00C34544"/>
    <w:rsid w:val="00C35F6E"/>
    <w:rsid w:val="00C3619C"/>
    <w:rsid w:val="00C40F94"/>
    <w:rsid w:val="00C46519"/>
    <w:rsid w:val="00C47CE7"/>
    <w:rsid w:val="00C537B4"/>
    <w:rsid w:val="00C57404"/>
    <w:rsid w:val="00C605EA"/>
    <w:rsid w:val="00C6157B"/>
    <w:rsid w:val="00C61A0A"/>
    <w:rsid w:val="00C61B38"/>
    <w:rsid w:val="00C63305"/>
    <w:rsid w:val="00C6478C"/>
    <w:rsid w:val="00C653A1"/>
    <w:rsid w:val="00C666F9"/>
    <w:rsid w:val="00C66ABC"/>
    <w:rsid w:val="00C67C58"/>
    <w:rsid w:val="00C73E6D"/>
    <w:rsid w:val="00C77F2F"/>
    <w:rsid w:val="00C80193"/>
    <w:rsid w:val="00C82C5E"/>
    <w:rsid w:val="00C914C4"/>
    <w:rsid w:val="00CA208D"/>
    <w:rsid w:val="00CA2A33"/>
    <w:rsid w:val="00CA4836"/>
    <w:rsid w:val="00CA5DB6"/>
    <w:rsid w:val="00CA5DDD"/>
    <w:rsid w:val="00CA6268"/>
    <w:rsid w:val="00CB0B2B"/>
    <w:rsid w:val="00CB0CD9"/>
    <w:rsid w:val="00CB2712"/>
    <w:rsid w:val="00CB4124"/>
    <w:rsid w:val="00CB4826"/>
    <w:rsid w:val="00CB6D51"/>
    <w:rsid w:val="00CC1804"/>
    <w:rsid w:val="00CC2BA5"/>
    <w:rsid w:val="00CC62E8"/>
    <w:rsid w:val="00CD1241"/>
    <w:rsid w:val="00CD4172"/>
    <w:rsid w:val="00CD4C9D"/>
    <w:rsid w:val="00CD72D9"/>
    <w:rsid w:val="00CE214F"/>
    <w:rsid w:val="00CE3330"/>
    <w:rsid w:val="00CE3D13"/>
    <w:rsid w:val="00CE4C5D"/>
    <w:rsid w:val="00CE5E8D"/>
    <w:rsid w:val="00D02007"/>
    <w:rsid w:val="00D05956"/>
    <w:rsid w:val="00D06A46"/>
    <w:rsid w:val="00D10A2C"/>
    <w:rsid w:val="00D13ECD"/>
    <w:rsid w:val="00D14B12"/>
    <w:rsid w:val="00D2349D"/>
    <w:rsid w:val="00D31748"/>
    <w:rsid w:val="00D368DB"/>
    <w:rsid w:val="00D36940"/>
    <w:rsid w:val="00D369BB"/>
    <w:rsid w:val="00D37243"/>
    <w:rsid w:val="00D40235"/>
    <w:rsid w:val="00D427D5"/>
    <w:rsid w:val="00D44D4A"/>
    <w:rsid w:val="00D45513"/>
    <w:rsid w:val="00D45BE6"/>
    <w:rsid w:val="00D47B6E"/>
    <w:rsid w:val="00D47BE6"/>
    <w:rsid w:val="00D53DB1"/>
    <w:rsid w:val="00D54BB9"/>
    <w:rsid w:val="00D54FEB"/>
    <w:rsid w:val="00D55BA6"/>
    <w:rsid w:val="00D55FC1"/>
    <w:rsid w:val="00D56519"/>
    <w:rsid w:val="00D618A8"/>
    <w:rsid w:val="00D61C20"/>
    <w:rsid w:val="00D63495"/>
    <w:rsid w:val="00D64914"/>
    <w:rsid w:val="00D64BBB"/>
    <w:rsid w:val="00D65A38"/>
    <w:rsid w:val="00D66BF3"/>
    <w:rsid w:val="00D67B35"/>
    <w:rsid w:val="00D70551"/>
    <w:rsid w:val="00D705B5"/>
    <w:rsid w:val="00D70FEE"/>
    <w:rsid w:val="00D71E46"/>
    <w:rsid w:val="00D72D2F"/>
    <w:rsid w:val="00D74F1C"/>
    <w:rsid w:val="00D823F3"/>
    <w:rsid w:val="00D83BB2"/>
    <w:rsid w:val="00D845E4"/>
    <w:rsid w:val="00D85F77"/>
    <w:rsid w:val="00D8702C"/>
    <w:rsid w:val="00D92271"/>
    <w:rsid w:val="00D93121"/>
    <w:rsid w:val="00D94867"/>
    <w:rsid w:val="00D97849"/>
    <w:rsid w:val="00DA3097"/>
    <w:rsid w:val="00DA3DA9"/>
    <w:rsid w:val="00DA5273"/>
    <w:rsid w:val="00DA55E3"/>
    <w:rsid w:val="00DA6AE5"/>
    <w:rsid w:val="00DA79FF"/>
    <w:rsid w:val="00DB23EB"/>
    <w:rsid w:val="00DB3673"/>
    <w:rsid w:val="00DB4DEF"/>
    <w:rsid w:val="00DB532E"/>
    <w:rsid w:val="00DC05FC"/>
    <w:rsid w:val="00DC1083"/>
    <w:rsid w:val="00DC13AB"/>
    <w:rsid w:val="00DC306F"/>
    <w:rsid w:val="00DC3A4B"/>
    <w:rsid w:val="00DC410A"/>
    <w:rsid w:val="00DC4A6F"/>
    <w:rsid w:val="00DC5988"/>
    <w:rsid w:val="00DC722C"/>
    <w:rsid w:val="00DC744C"/>
    <w:rsid w:val="00DD0141"/>
    <w:rsid w:val="00DD1B8E"/>
    <w:rsid w:val="00DD2886"/>
    <w:rsid w:val="00DD68C4"/>
    <w:rsid w:val="00DD7388"/>
    <w:rsid w:val="00DD7943"/>
    <w:rsid w:val="00DE1EB3"/>
    <w:rsid w:val="00DE338E"/>
    <w:rsid w:val="00DE3CD2"/>
    <w:rsid w:val="00DE6684"/>
    <w:rsid w:val="00DE7B77"/>
    <w:rsid w:val="00DF0854"/>
    <w:rsid w:val="00DF1687"/>
    <w:rsid w:val="00DF22C9"/>
    <w:rsid w:val="00DF4162"/>
    <w:rsid w:val="00DF6C34"/>
    <w:rsid w:val="00DF6EC3"/>
    <w:rsid w:val="00DF7D42"/>
    <w:rsid w:val="00E008D5"/>
    <w:rsid w:val="00E065A9"/>
    <w:rsid w:val="00E07B1A"/>
    <w:rsid w:val="00E1150B"/>
    <w:rsid w:val="00E12909"/>
    <w:rsid w:val="00E13062"/>
    <w:rsid w:val="00E148DC"/>
    <w:rsid w:val="00E17DBF"/>
    <w:rsid w:val="00E2133C"/>
    <w:rsid w:val="00E213CA"/>
    <w:rsid w:val="00E21741"/>
    <w:rsid w:val="00E241C8"/>
    <w:rsid w:val="00E25566"/>
    <w:rsid w:val="00E3127E"/>
    <w:rsid w:val="00E32DE5"/>
    <w:rsid w:val="00E4045C"/>
    <w:rsid w:val="00E476E6"/>
    <w:rsid w:val="00E47DF1"/>
    <w:rsid w:val="00E502C6"/>
    <w:rsid w:val="00E51582"/>
    <w:rsid w:val="00E516A0"/>
    <w:rsid w:val="00E522D4"/>
    <w:rsid w:val="00E5263D"/>
    <w:rsid w:val="00E544C9"/>
    <w:rsid w:val="00E546AC"/>
    <w:rsid w:val="00E55CE0"/>
    <w:rsid w:val="00E612AC"/>
    <w:rsid w:val="00E6154E"/>
    <w:rsid w:val="00E61BF1"/>
    <w:rsid w:val="00E627FF"/>
    <w:rsid w:val="00E62DCC"/>
    <w:rsid w:val="00E6735E"/>
    <w:rsid w:val="00E70711"/>
    <w:rsid w:val="00E7540A"/>
    <w:rsid w:val="00E7584A"/>
    <w:rsid w:val="00E75A8C"/>
    <w:rsid w:val="00E76450"/>
    <w:rsid w:val="00E8063E"/>
    <w:rsid w:val="00E819D1"/>
    <w:rsid w:val="00E81F66"/>
    <w:rsid w:val="00E84C23"/>
    <w:rsid w:val="00E87E79"/>
    <w:rsid w:val="00E91CA2"/>
    <w:rsid w:val="00E956F5"/>
    <w:rsid w:val="00E95749"/>
    <w:rsid w:val="00EA1445"/>
    <w:rsid w:val="00EB064D"/>
    <w:rsid w:val="00EB111C"/>
    <w:rsid w:val="00EB3DF8"/>
    <w:rsid w:val="00EB52BB"/>
    <w:rsid w:val="00EB5AC7"/>
    <w:rsid w:val="00EC2162"/>
    <w:rsid w:val="00EC27A3"/>
    <w:rsid w:val="00EC2F3E"/>
    <w:rsid w:val="00EC3DA3"/>
    <w:rsid w:val="00EC4A5D"/>
    <w:rsid w:val="00EC4CB6"/>
    <w:rsid w:val="00EC58D2"/>
    <w:rsid w:val="00ED140A"/>
    <w:rsid w:val="00ED15F3"/>
    <w:rsid w:val="00ED4785"/>
    <w:rsid w:val="00ED5B3F"/>
    <w:rsid w:val="00ED71AE"/>
    <w:rsid w:val="00ED78BE"/>
    <w:rsid w:val="00EE2535"/>
    <w:rsid w:val="00EE2CD5"/>
    <w:rsid w:val="00EF147B"/>
    <w:rsid w:val="00EF16E6"/>
    <w:rsid w:val="00EF3A97"/>
    <w:rsid w:val="00EF58AB"/>
    <w:rsid w:val="00EF7056"/>
    <w:rsid w:val="00EF7506"/>
    <w:rsid w:val="00F039E4"/>
    <w:rsid w:val="00F03A4C"/>
    <w:rsid w:val="00F05AB9"/>
    <w:rsid w:val="00F069FA"/>
    <w:rsid w:val="00F07C5B"/>
    <w:rsid w:val="00F12EDB"/>
    <w:rsid w:val="00F13153"/>
    <w:rsid w:val="00F16CE7"/>
    <w:rsid w:val="00F209F3"/>
    <w:rsid w:val="00F24EE7"/>
    <w:rsid w:val="00F276B5"/>
    <w:rsid w:val="00F30464"/>
    <w:rsid w:val="00F30C72"/>
    <w:rsid w:val="00F31A8B"/>
    <w:rsid w:val="00F31D97"/>
    <w:rsid w:val="00F32FF1"/>
    <w:rsid w:val="00F33845"/>
    <w:rsid w:val="00F33913"/>
    <w:rsid w:val="00F33D56"/>
    <w:rsid w:val="00F350C0"/>
    <w:rsid w:val="00F477B2"/>
    <w:rsid w:val="00F51D00"/>
    <w:rsid w:val="00F54495"/>
    <w:rsid w:val="00F57402"/>
    <w:rsid w:val="00F609D3"/>
    <w:rsid w:val="00F62EEA"/>
    <w:rsid w:val="00F72CA9"/>
    <w:rsid w:val="00F75FC3"/>
    <w:rsid w:val="00F80535"/>
    <w:rsid w:val="00F8123F"/>
    <w:rsid w:val="00F8204D"/>
    <w:rsid w:val="00F8294A"/>
    <w:rsid w:val="00F8491E"/>
    <w:rsid w:val="00F90525"/>
    <w:rsid w:val="00F9084A"/>
    <w:rsid w:val="00F91C43"/>
    <w:rsid w:val="00F92D87"/>
    <w:rsid w:val="00F93DBB"/>
    <w:rsid w:val="00F97AF6"/>
    <w:rsid w:val="00F97B61"/>
    <w:rsid w:val="00FA557C"/>
    <w:rsid w:val="00FA6250"/>
    <w:rsid w:val="00FA750B"/>
    <w:rsid w:val="00FA7BEE"/>
    <w:rsid w:val="00FC3789"/>
    <w:rsid w:val="00FC4FD8"/>
    <w:rsid w:val="00FD017E"/>
    <w:rsid w:val="00FD1A81"/>
    <w:rsid w:val="00FD2153"/>
    <w:rsid w:val="00FD6A75"/>
    <w:rsid w:val="00FD7B7B"/>
    <w:rsid w:val="00FE0009"/>
    <w:rsid w:val="00FE2770"/>
    <w:rsid w:val="00FE2A3B"/>
    <w:rsid w:val="00FE2EAC"/>
    <w:rsid w:val="00FE3526"/>
    <w:rsid w:val="00FE5E84"/>
    <w:rsid w:val="00FE66C3"/>
    <w:rsid w:val="00FE7CAA"/>
    <w:rsid w:val="00FF0D84"/>
    <w:rsid w:val="00FF3399"/>
    <w:rsid w:val="00FF482A"/>
    <w:rsid w:val="00FF6487"/>
    <w:rsid w:val="01057174"/>
    <w:rsid w:val="01172A03"/>
    <w:rsid w:val="011F2DD6"/>
    <w:rsid w:val="013C444B"/>
    <w:rsid w:val="01503F44"/>
    <w:rsid w:val="015531C0"/>
    <w:rsid w:val="015E0632"/>
    <w:rsid w:val="01654C5A"/>
    <w:rsid w:val="01710AFF"/>
    <w:rsid w:val="01990CA7"/>
    <w:rsid w:val="01A0313A"/>
    <w:rsid w:val="01AF0E8E"/>
    <w:rsid w:val="01CE040B"/>
    <w:rsid w:val="01E30ED3"/>
    <w:rsid w:val="02006D2B"/>
    <w:rsid w:val="02110FD2"/>
    <w:rsid w:val="02162668"/>
    <w:rsid w:val="021D229B"/>
    <w:rsid w:val="02247ACE"/>
    <w:rsid w:val="02380F32"/>
    <w:rsid w:val="023A109F"/>
    <w:rsid w:val="024E68F9"/>
    <w:rsid w:val="02676D89"/>
    <w:rsid w:val="026C37C7"/>
    <w:rsid w:val="026E0D49"/>
    <w:rsid w:val="027F304F"/>
    <w:rsid w:val="028D57C0"/>
    <w:rsid w:val="028E1C45"/>
    <w:rsid w:val="02900BFE"/>
    <w:rsid w:val="0293255D"/>
    <w:rsid w:val="029E4CDF"/>
    <w:rsid w:val="02A01AC6"/>
    <w:rsid w:val="02A62291"/>
    <w:rsid w:val="02A760DD"/>
    <w:rsid w:val="02BA5D3C"/>
    <w:rsid w:val="02FE196D"/>
    <w:rsid w:val="03256022"/>
    <w:rsid w:val="038B1A6B"/>
    <w:rsid w:val="039E5945"/>
    <w:rsid w:val="03A1664E"/>
    <w:rsid w:val="03BB23AC"/>
    <w:rsid w:val="03CC21CB"/>
    <w:rsid w:val="03E07F7C"/>
    <w:rsid w:val="04070D0D"/>
    <w:rsid w:val="04117BDE"/>
    <w:rsid w:val="041D47D5"/>
    <w:rsid w:val="042B7CE8"/>
    <w:rsid w:val="044236A8"/>
    <w:rsid w:val="0442423B"/>
    <w:rsid w:val="045F39CB"/>
    <w:rsid w:val="047A7A0F"/>
    <w:rsid w:val="047D389E"/>
    <w:rsid w:val="04806B11"/>
    <w:rsid w:val="048552F8"/>
    <w:rsid w:val="048A15DB"/>
    <w:rsid w:val="048C6E1E"/>
    <w:rsid w:val="049E6084"/>
    <w:rsid w:val="04A80B0D"/>
    <w:rsid w:val="04AD3DAA"/>
    <w:rsid w:val="04B86553"/>
    <w:rsid w:val="04BC5D9C"/>
    <w:rsid w:val="05087233"/>
    <w:rsid w:val="052D6F8C"/>
    <w:rsid w:val="053F077B"/>
    <w:rsid w:val="056336EE"/>
    <w:rsid w:val="05687A28"/>
    <w:rsid w:val="0575751B"/>
    <w:rsid w:val="058C1C12"/>
    <w:rsid w:val="05937169"/>
    <w:rsid w:val="059D4B3F"/>
    <w:rsid w:val="05B607CF"/>
    <w:rsid w:val="05BA296C"/>
    <w:rsid w:val="05CB0B9C"/>
    <w:rsid w:val="05D3625B"/>
    <w:rsid w:val="05E64B43"/>
    <w:rsid w:val="05F56927"/>
    <w:rsid w:val="05F652DD"/>
    <w:rsid w:val="06035C4C"/>
    <w:rsid w:val="06277B8D"/>
    <w:rsid w:val="064B5389"/>
    <w:rsid w:val="064F3580"/>
    <w:rsid w:val="065B729B"/>
    <w:rsid w:val="0666117F"/>
    <w:rsid w:val="0667442D"/>
    <w:rsid w:val="06862B05"/>
    <w:rsid w:val="069236FE"/>
    <w:rsid w:val="06B16DA1"/>
    <w:rsid w:val="06D0675F"/>
    <w:rsid w:val="06E50CF6"/>
    <w:rsid w:val="07042CCB"/>
    <w:rsid w:val="07097292"/>
    <w:rsid w:val="071943F6"/>
    <w:rsid w:val="071F09A6"/>
    <w:rsid w:val="072043AE"/>
    <w:rsid w:val="077E37DC"/>
    <w:rsid w:val="07893F2F"/>
    <w:rsid w:val="078C162D"/>
    <w:rsid w:val="078F7797"/>
    <w:rsid w:val="07A362E8"/>
    <w:rsid w:val="07B323BB"/>
    <w:rsid w:val="07B61D37"/>
    <w:rsid w:val="07D47BD7"/>
    <w:rsid w:val="07E501AD"/>
    <w:rsid w:val="07E86EA8"/>
    <w:rsid w:val="083C6B36"/>
    <w:rsid w:val="084E152F"/>
    <w:rsid w:val="085F340F"/>
    <w:rsid w:val="086C4E99"/>
    <w:rsid w:val="087D1CE6"/>
    <w:rsid w:val="08882924"/>
    <w:rsid w:val="088A7782"/>
    <w:rsid w:val="088F3818"/>
    <w:rsid w:val="089039D3"/>
    <w:rsid w:val="08DA0517"/>
    <w:rsid w:val="090306E4"/>
    <w:rsid w:val="0910609B"/>
    <w:rsid w:val="091647BE"/>
    <w:rsid w:val="0919694C"/>
    <w:rsid w:val="091F10A5"/>
    <w:rsid w:val="092A6A06"/>
    <w:rsid w:val="092F675C"/>
    <w:rsid w:val="093E1F7E"/>
    <w:rsid w:val="0941208F"/>
    <w:rsid w:val="09475E50"/>
    <w:rsid w:val="095571CE"/>
    <w:rsid w:val="09563B8E"/>
    <w:rsid w:val="095B2A47"/>
    <w:rsid w:val="095F50ED"/>
    <w:rsid w:val="096243C9"/>
    <w:rsid w:val="09785247"/>
    <w:rsid w:val="09B5199D"/>
    <w:rsid w:val="09C3197A"/>
    <w:rsid w:val="09E81486"/>
    <w:rsid w:val="09E963BD"/>
    <w:rsid w:val="09F05987"/>
    <w:rsid w:val="09F47B7D"/>
    <w:rsid w:val="0A002BCE"/>
    <w:rsid w:val="0A404B34"/>
    <w:rsid w:val="0A6D2417"/>
    <w:rsid w:val="0A7F585B"/>
    <w:rsid w:val="0A84735B"/>
    <w:rsid w:val="0A8C7FBE"/>
    <w:rsid w:val="0A9C40B6"/>
    <w:rsid w:val="0AA3355A"/>
    <w:rsid w:val="0AA54001"/>
    <w:rsid w:val="0AB176BD"/>
    <w:rsid w:val="0AB84136"/>
    <w:rsid w:val="0AB870E9"/>
    <w:rsid w:val="0AC52BB9"/>
    <w:rsid w:val="0AD321E4"/>
    <w:rsid w:val="0ADC26A8"/>
    <w:rsid w:val="0ADE3880"/>
    <w:rsid w:val="0AE95411"/>
    <w:rsid w:val="0B091065"/>
    <w:rsid w:val="0B21108D"/>
    <w:rsid w:val="0B212AA0"/>
    <w:rsid w:val="0B253CB7"/>
    <w:rsid w:val="0B2F24B0"/>
    <w:rsid w:val="0B3B060A"/>
    <w:rsid w:val="0B462863"/>
    <w:rsid w:val="0B6131F9"/>
    <w:rsid w:val="0B831D40"/>
    <w:rsid w:val="0BA36360"/>
    <w:rsid w:val="0BC3447D"/>
    <w:rsid w:val="0BD06743"/>
    <w:rsid w:val="0BD35D98"/>
    <w:rsid w:val="0BF325E1"/>
    <w:rsid w:val="0BF873AE"/>
    <w:rsid w:val="0BFA364D"/>
    <w:rsid w:val="0C0C411C"/>
    <w:rsid w:val="0C1D705A"/>
    <w:rsid w:val="0C1E0D7D"/>
    <w:rsid w:val="0C2406E3"/>
    <w:rsid w:val="0C300D32"/>
    <w:rsid w:val="0C3B7EEE"/>
    <w:rsid w:val="0C41302A"/>
    <w:rsid w:val="0C503E37"/>
    <w:rsid w:val="0C5102FB"/>
    <w:rsid w:val="0C62191E"/>
    <w:rsid w:val="0C795A8B"/>
    <w:rsid w:val="0C870742"/>
    <w:rsid w:val="0C9250E1"/>
    <w:rsid w:val="0CCA3020"/>
    <w:rsid w:val="0CFB767D"/>
    <w:rsid w:val="0CFD3275"/>
    <w:rsid w:val="0D0B5BB8"/>
    <w:rsid w:val="0D103128"/>
    <w:rsid w:val="0D1C0336"/>
    <w:rsid w:val="0D345D19"/>
    <w:rsid w:val="0D477956"/>
    <w:rsid w:val="0D4B6053"/>
    <w:rsid w:val="0D5044CB"/>
    <w:rsid w:val="0D6001C1"/>
    <w:rsid w:val="0D691F49"/>
    <w:rsid w:val="0D800B52"/>
    <w:rsid w:val="0D8238FA"/>
    <w:rsid w:val="0D8633EB"/>
    <w:rsid w:val="0D892B34"/>
    <w:rsid w:val="0D9C5BE4"/>
    <w:rsid w:val="0DA7084F"/>
    <w:rsid w:val="0DB735A4"/>
    <w:rsid w:val="0DB8556E"/>
    <w:rsid w:val="0DB90656"/>
    <w:rsid w:val="0DCC1A70"/>
    <w:rsid w:val="0DD04666"/>
    <w:rsid w:val="0DDB1DC9"/>
    <w:rsid w:val="0DFB4C09"/>
    <w:rsid w:val="0E1B024A"/>
    <w:rsid w:val="0E2E3F19"/>
    <w:rsid w:val="0E2E7001"/>
    <w:rsid w:val="0E35096D"/>
    <w:rsid w:val="0E3544C7"/>
    <w:rsid w:val="0E377358"/>
    <w:rsid w:val="0E481778"/>
    <w:rsid w:val="0E4A676B"/>
    <w:rsid w:val="0E5057A7"/>
    <w:rsid w:val="0E5B2EBF"/>
    <w:rsid w:val="0E7F6CEE"/>
    <w:rsid w:val="0E885B7A"/>
    <w:rsid w:val="0E9E198F"/>
    <w:rsid w:val="0EAA4EB7"/>
    <w:rsid w:val="0EB279AC"/>
    <w:rsid w:val="0EB66121"/>
    <w:rsid w:val="0EC85EC3"/>
    <w:rsid w:val="0EE758AF"/>
    <w:rsid w:val="0EEA7DD0"/>
    <w:rsid w:val="0F144A26"/>
    <w:rsid w:val="0F1A1821"/>
    <w:rsid w:val="0F1D0398"/>
    <w:rsid w:val="0F386966"/>
    <w:rsid w:val="0F3B6457"/>
    <w:rsid w:val="0F4D75A3"/>
    <w:rsid w:val="0F560ED9"/>
    <w:rsid w:val="0F6401FA"/>
    <w:rsid w:val="0F672DA8"/>
    <w:rsid w:val="0F7F44C0"/>
    <w:rsid w:val="0FAE52BC"/>
    <w:rsid w:val="0FAF6D03"/>
    <w:rsid w:val="0FB344FC"/>
    <w:rsid w:val="0FB444F6"/>
    <w:rsid w:val="0FBD4427"/>
    <w:rsid w:val="0FC401FA"/>
    <w:rsid w:val="0FE961EB"/>
    <w:rsid w:val="0FF91A67"/>
    <w:rsid w:val="1008126D"/>
    <w:rsid w:val="100B2C7F"/>
    <w:rsid w:val="100D394F"/>
    <w:rsid w:val="102B2522"/>
    <w:rsid w:val="102D2BCB"/>
    <w:rsid w:val="10371C8D"/>
    <w:rsid w:val="103E09D6"/>
    <w:rsid w:val="103F286F"/>
    <w:rsid w:val="1061344B"/>
    <w:rsid w:val="10702130"/>
    <w:rsid w:val="10857989"/>
    <w:rsid w:val="10894F20"/>
    <w:rsid w:val="108F6A5A"/>
    <w:rsid w:val="10D730DE"/>
    <w:rsid w:val="10DA08EB"/>
    <w:rsid w:val="110B543B"/>
    <w:rsid w:val="111E5F47"/>
    <w:rsid w:val="112402E6"/>
    <w:rsid w:val="11292063"/>
    <w:rsid w:val="113D6A6C"/>
    <w:rsid w:val="113F7E1F"/>
    <w:rsid w:val="114C04A7"/>
    <w:rsid w:val="114F21D0"/>
    <w:rsid w:val="11963E18"/>
    <w:rsid w:val="11A91EAF"/>
    <w:rsid w:val="11AB1672"/>
    <w:rsid w:val="11BD56A9"/>
    <w:rsid w:val="11CD4A0F"/>
    <w:rsid w:val="11E00D0B"/>
    <w:rsid w:val="11FE21B2"/>
    <w:rsid w:val="122640A4"/>
    <w:rsid w:val="122D5B11"/>
    <w:rsid w:val="12370AE5"/>
    <w:rsid w:val="12394ECF"/>
    <w:rsid w:val="123A5B62"/>
    <w:rsid w:val="12425176"/>
    <w:rsid w:val="1250455D"/>
    <w:rsid w:val="12635BF0"/>
    <w:rsid w:val="126A06A7"/>
    <w:rsid w:val="126A4E8C"/>
    <w:rsid w:val="127C6B6A"/>
    <w:rsid w:val="128819B3"/>
    <w:rsid w:val="12CA5B28"/>
    <w:rsid w:val="12CD386A"/>
    <w:rsid w:val="12D07E36"/>
    <w:rsid w:val="12D90460"/>
    <w:rsid w:val="12EA58F4"/>
    <w:rsid w:val="12ED5F30"/>
    <w:rsid w:val="12F6691D"/>
    <w:rsid w:val="13077D7E"/>
    <w:rsid w:val="130A23C8"/>
    <w:rsid w:val="132716D2"/>
    <w:rsid w:val="134A310C"/>
    <w:rsid w:val="134C478E"/>
    <w:rsid w:val="13642735"/>
    <w:rsid w:val="13645F7C"/>
    <w:rsid w:val="1374247B"/>
    <w:rsid w:val="137F1841"/>
    <w:rsid w:val="138008DC"/>
    <w:rsid w:val="138A175B"/>
    <w:rsid w:val="13972CA8"/>
    <w:rsid w:val="13A04ADA"/>
    <w:rsid w:val="13C24A51"/>
    <w:rsid w:val="13CB172E"/>
    <w:rsid w:val="13EC0D61"/>
    <w:rsid w:val="13FB0B2E"/>
    <w:rsid w:val="13FC4E78"/>
    <w:rsid w:val="140E5EE8"/>
    <w:rsid w:val="1415600D"/>
    <w:rsid w:val="14184B2A"/>
    <w:rsid w:val="143001DE"/>
    <w:rsid w:val="143E5C51"/>
    <w:rsid w:val="14654100"/>
    <w:rsid w:val="14667A34"/>
    <w:rsid w:val="14775B14"/>
    <w:rsid w:val="14775E88"/>
    <w:rsid w:val="147848D7"/>
    <w:rsid w:val="14AA1ABA"/>
    <w:rsid w:val="14AE3BD9"/>
    <w:rsid w:val="14B35F82"/>
    <w:rsid w:val="14B74989"/>
    <w:rsid w:val="14D03DE9"/>
    <w:rsid w:val="14D25167"/>
    <w:rsid w:val="14E46EF8"/>
    <w:rsid w:val="14EA0E4C"/>
    <w:rsid w:val="15000ED2"/>
    <w:rsid w:val="151B08BC"/>
    <w:rsid w:val="1542519E"/>
    <w:rsid w:val="154A22E5"/>
    <w:rsid w:val="15510782"/>
    <w:rsid w:val="15552CF0"/>
    <w:rsid w:val="15714862"/>
    <w:rsid w:val="15882E62"/>
    <w:rsid w:val="159643E7"/>
    <w:rsid w:val="15A07BB3"/>
    <w:rsid w:val="15C06447"/>
    <w:rsid w:val="15C22365"/>
    <w:rsid w:val="15DB44F0"/>
    <w:rsid w:val="161517B0"/>
    <w:rsid w:val="161A5018"/>
    <w:rsid w:val="164755A2"/>
    <w:rsid w:val="165C73DE"/>
    <w:rsid w:val="1668431B"/>
    <w:rsid w:val="16826719"/>
    <w:rsid w:val="16970CA9"/>
    <w:rsid w:val="169721C5"/>
    <w:rsid w:val="1697487D"/>
    <w:rsid w:val="16A9678F"/>
    <w:rsid w:val="16BB7BCC"/>
    <w:rsid w:val="16E01DBD"/>
    <w:rsid w:val="16E15B36"/>
    <w:rsid w:val="16E66D61"/>
    <w:rsid w:val="170759DD"/>
    <w:rsid w:val="170F5B9F"/>
    <w:rsid w:val="171C4DC0"/>
    <w:rsid w:val="172577D0"/>
    <w:rsid w:val="17311BD5"/>
    <w:rsid w:val="173159F1"/>
    <w:rsid w:val="174D6D27"/>
    <w:rsid w:val="174E2466"/>
    <w:rsid w:val="17682C55"/>
    <w:rsid w:val="17774F59"/>
    <w:rsid w:val="177F74FC"/>
    <w:rsid w:val="1790223E"/>
    <w:rsid w:val="179D1CCA"/>
    <w:rsid w:val="17AF1881"/>
    <w:rsid w:val="17B33A29"/>
    <w:rsid w:val="17B5412B"/>
    <w:rsid w:val="17E21B65"/>
    <w:rsid w:val="18065628"/>
    <w:rsid w:val="180C273E"/>
    <w:rsid w:val="180D7253"/>
    <w:rsid w:val="18133ACD"/>
    <w:rsid w:val="1819698A"/>
    <w:rsid w:val="182902E6"/>
    <w:rsid w:val="18506ACF"/>
    <w:rsid w:val="18573883"/>
    <w:rsid w:val="1867206B"/>
    <w:rsid w:val="188F44B4"/>
    <w:rsid w:val="18910E95"/>
    <w:rsid w:val="18A01545"/>
    <w:rsid w:val="18AB01A9"/>
    <w:rsid w:val="18BF258B"/>
    <w:rsid w:val="18DE72C6"/>
    <w:rsid w:val="18E1369B"/>
    <w:rsid w:val="18E2347F"/>
    <w:rsid w:val="18E611E1"/>
    <w:rsid w:val="18FB2489"/>
    <w:rsid w:val="190E0AC6"/>
    <w:rsid w:val="1942407F"/>
    <w:rsid w:val="194914B7"/>
    <w:rsid w:val="195501B3"/>
    <w:rsid w:val="196769A5"/>
    <w:rsid w:val="196A3824"/>
    <w:rsid w:val="19732E7D"/>
    <w:rsid w:val="19813EB5"/>
    <w:rsid w:val="19962DBC"/>
    <w:rsid w:val="19AA3FA8"/>
    <w:rsid w:val="19B17A41"/>
    <w:rsid w:val="19C12E1A"/>
    <w:rsid w:val="19CF1B3F"/>
    <w:rsid w:val="19EE2A43"/>
    <w:rsid w:val="19F16090"/>
    <w:rsid w:val="1A077661"/>
    <w:rsid w:val="1A166FB2"/>
    <w:rsid w:val="1A25399D"/>
    <w:rsid w:val="1A2A15A2"/>
    <w:rsid w:val="1A613D17"/>
    <w:rsid w:val="1A8011C2"/>
    <w:rsid w:val="1A902426"/>
    <w:rsid w:val="1AC36030"/>
    <w:rsid w:val="1AC64AAC"/>
    <w:rsid w:val="1ACE10B5"/>
    <w:rsid w:val="1AD11A1D"/>
    <w:rsid w:val="1AD70B7A"/>
    <w:rsid w:val="1AE67CD7"/>
    <w:rsid w:val="1AE90046"/>
    <w:rsid w:val="1AEB32B4"/>
    <w:rsid w:val="1AF01F3B"/>
    <w:rsid w:val="1AFC4421"/>
    <w:rsid w:val="1AFF10CF"/>
    <w:rsid w:val="1B1D4C62"/>
    <w:rsid w:val="1B3C1FFE"/>
    <w:rsid w:val="1B662AAD"/>
    <w:rsid w:val="1B6B0FE4"/>
    <w:rsid w:val="1B7D7315"/>
    <w:rsid w:val="1B8A22F8"/>
    <w:rsid w:val="1B9D49AC"/>
    <w:rsid w:val="1BA02E57"/>
    <w:rsid w:val="1BA214CE"/>
    <w:rsid w:val="1BA35EA2"/>
    <w:rsid w:val="1BAD2F4F"/>
    <w:rsid w:val="1BC05D1A"/>
    <w:rsid w:val="1BFC2ACA"/>
    <w:rsid w:val="1C0102E9"/>
    <w:rsid w:val="1C025FE1"/>
    <w:rsid w:val="1C075EFD"/>
    <w:rsid w:val="1C0F7029"/>
    <w:rsid w:val="1C294ACB"/>
    <w:rsid w:val="1C3E5C9A"/>
    <w:rsid w:val="1C406787"/>
    <w:rsid w:val="1C4F6411"/>
    <w:rsid w:val="1C6946B9"/>
    <w:rsid w:val="1C8E14CC"/>
    <w:rsid w:val="1C971E02"/>
    <w:rsid w:val="1CB97548"/>
    <w:rsid w:val="1CD0642D"/>
    <w:rsid w:val="1CD64A86"/>
    <w:rsid w:val="1CE831E9"/>
    <w:rsid w:val="1CEC2380"/>
    <w:rsid w:val="1CF536DC"/>
    <w:rsid w:val="1D035DDA"/>
    <w:rsid w:val="1D036806"/>
    <w:rsid w:val="1D077CDA"/>
    <w:rsid w:val="1D084B83"/>
    <w:rsid w:val="1D1A6FF8"/>
    <w:rsid w:val="1D1E1B46"/>
    <w:rsid w:val="1D1E53EE"/>
    <w:rsid w:val="1D3249F5"/>
    <w:rsid w:val="1D370F3D"/>
    <w:rsid w:val="1D840FC9"/>
    <w:rsid w:val="1D8C2BA2"/>
    <w:rsid w:val="1DD14043"/>
    <w:rsid w:val="1DE502B6"/>
    <w:rsid w:val="1E05210A"/>
    <w:rsid w:val="1E1265D5"/>
    <w:rsid w:val="1E262080"/>
    <w:rsid w:val="1E2A5FF9"/>
    <w:rsid w:val="1E2D4D8F"/>
    <w:rsid w:val="1E2F37EE"/>
    <w:rsid w:val="1E390005"/>
    <w:rsid w:val="1E3D5D61"/>
    <w:rsid w:val="1E440EB9"/>
    <w:rsid w:val="1E445F8C"/>
    <w:rsid w:val="1E4E1D03"/>
    <w:rsid w:val="1E5076AE"/>
    <w:rsid w:val="1E641526"/>
    <w:rsid w:val="1E650DFA"/>
    <w:rsid w:val="1E681E89"/>
    <w:rsid w:val="1E6B2AC5"/>
    <w:rsid w:val="1E7F620A"/>
    <w:rsid w:val="1E8474D2"/>
    <w:rsid w:val="1E854FF8"/>
    <w:rsid w:val="1E8E773B"/>
    <w:rsid w:val="1E917C8F"/>
    <w:rsid w:val="1EA645AD"/>
    <w:rsid w:val="1EB62B0B"/>
    <w:rsid w:val="1EBA4383"/>
    <w:rsid w:val="1EC41FC5"/>
    <w:rsid w:val="1EC57543"/>
    <w:rsid w:val="1ECA5653"/>
    <w:rsid w:val="1ED70B6A"/>
    <w:rsid w:val="1F1D69E5"/>
    <w:rsid w:val="1F3D1A49"/>
    <w:rsid w:val="1F5E5CFF"/>
    <w:rsid w:val="1F632DD7"/>
    <w:rsid w:val="1F6915AC"/>
    <w:rsid w:val="1F9D25A9"/>
    <w:rsid w:val="1FA02D67"/>
    <w:rsid w:val="1FB2109B"/>
    <w:rsid w:val="1FC11EA9"/>
    <w:rsid w:val="1FDE5CEA"/>
    <w:rsid w:val="1FE23506"/>
    <w:rsid w:val="1FF45D09"/>
    <w:rsid w:val="1FF71F26"/>
    <w:rsid w:val="1FF95DD4"/>
    <w:rsid w:val="200C3C23"/>
    <w:rsid w:val="20156089"/>
    <w:rsid w:val="20256AFF"/>
    <w:rsid w:val="20325F7E"/>
    <w:rsid w:val="204233B6"/>
    <w:rsid w:val="205E1FA5"/>
    <w:rsid w:val="206B2267"/>
    <w:rsid w:val="20855784"/>
    <w:rsid w:val="208B38E1"/>
    <w:rsid w:val="20A11554"/>
    <w:rsid w:val="20AD7F17"/>
    <w:rsid w:val="20C0056A"/>
    <w:rsid w:val="20D8337C"/>
    <w:rsid w:val="21020AAE"/>
    <w:rsid w:val="210668C5"/>
    <w:rsid w:val="21073D95"/>
    <w:rsid w:val="211A53BC"/>
    <w:rsid w:val="211B015A"/>
    <w:rsid w:val="21373D64"/>
    <w:rsid w:val="213B0D78"/>
    <w:rsid w:val="214735EB"/>
    <w:rsid w:val="216253B1"/>
    <w:rsid w:val="21764EE8"/>
    <w:rsid w:val="21787EF4"/>
    <w:rsid w:val="217B5F81"/>
    <w:rsid w:val="218A3047"/>
    <w:rsid w:val="21A8172A"/>
    <w:rsid w:val="21BC2A39"/>
    <w:rsid w:val="21E60859"/>
    <w:rsid w:val="21EB65E0"/>
    <w:rsid w:val="221E7C3E"/>
    <w:rsid w:val="22637002"/>
    <w:rsid w:val="2292311D"/>
    <w:rsid w:val="22A64820"/>
    <w:rsid w:val="22A92B11"/>
    <w:rsid w:val="22DD18A7"/>
    <w:rsid w:val="22DE333F"/>
    <w:rsid w:val="22E36792"/>
    <w:rsid w:val="22E450FE"/>
    <w:rsid w:val="22E47EC9"/>
    <w:rsid w:val="23223680"/>
    <w:rsid w:val="23237E31"/>
    <w:rsid w:val="232C470B"/>
    <w:rsid w:val="23333275"/>
    <w:rsid w:val="2340309A"/>
    <w:rsid w:val="23407111"/>
    <w:rsid w:val="2369313B"/>
    <w:rsid w:val="239DE6A0"/>
    <w:rsid w:val="23ED5B1A"/>
    <w:rsid w:val="2402576D"/>
    <w:rsid w:val="240A5875"/>
    <w:rsid w:val="241F4627"/>
    <w:rsid w:val="242475A0"/>
    <w:rsid w:val="242B24C4"/>
    <w:rsid w:val="24482545"/>
    <w:rsid w:val="2460453E"/>
    <w:rsid w:val="24636858"/>
    <w:rsid w:val="247C2A62"/>
    <w:rsid w:val="247D0116"/>
    <w:rsid w:val="24847FFD"/>
    <w:rsid w:val="24920859"/>
    <w:rsid w:val="249401A8"/>
    <w:rsid w:val="24BB79C6"/>
    <w:rsid w:val="24D81B80"/>
    <w:rsid w:val="24EF5F09"/>
    <w:rsid w:val="250826D0"/>
    <w:rsid w:val="25092E5E"/>
    <w:rsid w:val="2512765D"/>
    <w:rsid w:val="2513335E"/>
    <w:rsid w:val="251D5F8B"/>
    <w:rsid w:val="25431B86"/>
    <w:rsid w:val="25471C1B"/>
    <w:rsid w:val="25477BE6"/>
    <w:rsid w:val="254C6870"/>
    <w:rsid w:val="2557403D"/>
    <w:rsid w:val="256A4F48"/>
    <w:rsid w:val="256D47C0"/>
    <w:rsid w:val="25716F0D"/>
    <w:rsid w:val="25777D5C"/>
    <w:rsid w:val="25AB23F1"/>
    <w:rsid w:val="25D257EB"/>
    <w:rsid w:val="25EB1622"/>
    <w:rsid w:val="26040EF9"/>
    <w:rsid w:val="260B14E8"/>
    <w:rsid w:val="262B67C0"/>
    <w:rsid w:val="262E41DD"/>
    <w:rsid w:val="263062EB"/>
    <w:rsid w:val="26327394"/>
    <w:rsid w:val="2633147D"/>
    <w:rsid w:val="266578C6"/>
    <w:rsid w:val="26A77C5D"/>
    <w:rsid w:val="26B33051"/>
    <w:rsid w:val="26B91CE3"/>
    <w:rsid w:val="26D065DA"/>
    <w:rsid w:val="26D11723"/>
    <w:rsid w:val="26D703BB"/>
    <w:rsid w:val="26D741E1"/>
    <w:rsid w:val="26F10478"/>
    <w:rsid w:val="26F45411"/>
    <w:rsid w:val="26FB2E83"/>
    <w:rsid w:val="26FE3B7A"/>
    <w:rsid w:val="27083DF0"/>
    <w:rsid w:val="27190A70"/>
    <w:rsid w:val="271A040B"/>
    <w:rsid w:val="272C6959"/>
    <w:rsid w:val="27321183"/>
    <w:rsid w:val="27557845"/>
    <w:rsid w:val="275C64EB"/>
    <w:rsid w:val="277160A9"/>
    <w:rsid w:val="27784A01"/>
    <w:rsid w:val="277B51EB"/>
    <w:rsid w:val="278A3680"/>
    <w:rsid w:val="27932003"/>
    <w:rsid w:val="27C16A75"/>
    <w:rsid w:val="27C624E9"/>
    <w:rsid w:val="27CB29AE"/>
    <w:rsid w:val="27D03E6B"/>
    <w:rsid w:val="27D82163"/>
    <w:rsid w:val="27DF3C4E"/>
    <w:rsid w:val="27F31F4E"/>
    <w:rsid w:val="281318C7"/>
    <w:rsid w:val="281713B7"/>
    <w:rsid w:val="28397580"/>
    <w:rsid w:val="28404E5B"/>
    <w:rsid w:val="285269DE"/>
    <w:rsid w:val="285846C4"/>
    <w:rsid w:val="285B45BC"/>
    <w:rsid w:val="28661CA0"/>
    <w:rsid w:val="288602EB"/>
    <w:rsid w:val="288D3427"/>
    <w:rsid w:val="28A05EDD"/>
    <w:rsid w:val="28C0307E"/>
    <w:rsid w:val="28C85EFE"/>
    <w:rsid w:val="28CA642A"/>
    <w:rsid w:val="28CC03F4"/>
    <w:rsid w:val="28CD0E97"/>
    <w:rsid w:val="28DB49EF"/>
    <w:rsid w:val="28F74D45"/>
    <w:rsid w:val="29003BF9"/>
    <w:rsid w:val="29254E47"/>
    <w:rsid w:val="29602BB5"/>
    <w:rsid w:val="2967011C"/>
    <w:rsid w:val="296B3E9B"/>
    <w:rsid w:val="298E56A9"/>
    <w:rsid w:val="299C304B"/>
    <w:rsid w:val="29AF561F"/>
    <w:rsid w:val="29B36EBE"/>
    <w:rsid w:val="29E22B8D"/>
    <w:rsid w:val="29E51041"/>
    <w:rsid w:val="2A205AC8"/>
    <w:rsid w:val="2A355B25"/>
    <w:rsid w:val="2A4B1135"/>
    <w:rsid w:val="2A776100"/>
    <w:rsid w:val="2A8820F8"/>
    <w:rsid w:val="2A8B1BE9"/>
    <w:rsid w:val="2AA84549"/>
    <w:rsid w:val="2ABD7B7F"/>
    <w:rsid w:val="2AC15F66"/>
    <w:rsid w:val="2AD24599"/>
    <w:rsid w:val="2ADC41F2"/>
    <w:rsid w:val="2ADE2D88"/>
    <w:rsid w:val="2AE874C5"/>
    <w:rsid w:val="2AF26F65"/>
    <w:rsid w:val="2B110340"/>
    <w:rsid w:val="2B2021EC"/>
    <w:rsid w:val="2B28338B"/>
    <w:rsid w:val="2B2D4A4E"/>
    <w:rsid w:val="2B3A2F36"/>
    <w:rsid w:val="2B4C5DFD"/>
    <w:rsid w:val="2B5D17D7"/>
    <w:rsid w:val="2B801021"/>
    <w:rsid w:val="2B934EDB"/>
    <w:rsid w:val="2B94088C"/>
    <w:rsid w:val="2B966A97"/>
    <w:rsid w:val="2B9776C5"/>
    <w:rsid w:val="2BAD0DF3"/>
    <w:rsid w:val="2BB271E6"/>
    <w:rsid w:val="2BBB02AC"/>
    <w:rsid w:val="2BCE488A"/>
    <w:rsid w:val="2BD870AF"/>
    <w:rsid w:val="2C017B9E"/>
    <w:rsid w:val="2C077C6A"/>
    <w:rsid w:val="2C2075F3"/>
    <w:rsid w:val="2C2E7989"/>
    <w:rsid w:val="2C407400"/>
    <w:rsid w:val="2C5E419E"/>
    <w:rsid w:val="2C5F2809"/>
    <w:rsid w:val="2C73502A"/>
    <w:rsid w:val="2C8B760D"/>
    <w:rsid w:val="2C9E3E55"/>
    <w:rsid w:val="2CA23219"/>
    <w:rsid w:val="2CA24715"/>
    <w:rsid w:val="2CC31B0E"/>
    <w:rsid w:val="2CCC7F63"/>
    <w:rsid w:val="2CF91F91"/>
    <w:rsid w:val="2CF93C6C"/>
    <w:rsid w:val="2CFC74BB"/>
    <w:rsid w:val="2D0A4754"/>
    <w:rsid w:val="2D1265F1"/>
    <w:rsid w:val="2D2D2ACF"/>
    <w:rsid w:val="2D4C117B"/>
    <w:rsid w:val="2D4D4851"/>
    <w:rsid w:val="2D506BF3"/>
    <w:rsid w:val="2D5538AF"/>
    <w:rsid w:val="2D621C05"/>
    <w:rsid w:val="2D6675F5"/>
    <w:rsid w:val="2D903FCE"/>
    <w:rsid w:val="2D974544"/>
    <w:rsid w:val="2DA27975"/>
    <w:rsid w:val="2DAF28E5"/>
    <w:rsid w:val="2DC13A6D"/>
    <w:rsid w:val="2DC92C05"/>
    <w:rsid w:val="2DEB68B1"/>
    <w:rsid w:val="2E1E2153"/>
    <w:rsid w:val="2E220AB6"/>
    <w:rsid w:val="2E2E3A7B"/>
    <w:rsid w:val="2E3031D3"/>
    <w:rsid w:val="2E3C2DB1"/>
    <w:rsid w:val="2E491C41"/>
    <w:rsid w:val="2E4F0F7F"/>
    <w:rsid w:val="2E5776C7"/>
    <w:rsid w:val="2E5944AB"/>
    <w:rsid w:val="2E5F7614"/>
    <w:rsid w:val="2E623B55"/>
    <w:rsid w:val="2E637093"/>
    <w:rsid w:val="2E797CD3"/>
    <w:rsid w:val="2E851326"/>
    <w:rsid w:val="2E853A20"/>
    <w:rsid w:val="2EA119DB"/>
    <w:rsid w:val="2EA27501"/>
    <w:rsid w:val="2EAC37A0"/>
    <w:rsid w:val="2EB0510A"/>
    <w:rsid w:val="2EDF0755"/>
    <w:rsid w:val="2EFE6086"/>
    <w:rsid w:val="2F231590"/>
    <w:rsid w:val="2F2315EF"/>
    <w:rsid w:val="2F246EB1"/>
    <w:rsid w:val="2F2B5748"/>
    <w:rsid w:val="2F2E54B8"/>
    <w:rsid w:val="2F3A210B"/>
    <w:rsid w:val="2F3F11F4"/>
    <w:rsid w:val="2F4405B8"/>
    <w:rsid w:val="2F4B5060"/>
    <w:rsid w:val="2F4F1437"/>
    <w:rsid w:val="2F6336D3"/>
    <w:rsid w:val="2F653786"/>
    <w:rsid w:val="2F6A44C2"/>
    <w:rsid w:val="2F70066C"/>
    <w:rsid w:val="2F7377FA"/>
    <w:rsid w:val="2F7E6162"/>
    <w:rsid w:val="2F7FEBF9"/>
    <w:rsid w:val="2F807842"/>
    <w:rsid w:val="2F85468E"/>
    <w:rsid w:val="2F90494F"/>
    <w:rsid w:val="2F9652B7"/>
    <w:rsid w:val="2FA63021"/>
    <w:rsid w:val="2FB97E68"/>
    <w:rsid w:val="2FC64701"/>
    <w:rsid w:val="2FCA6D0F"/>
    <w:rsid w:val="2FCB140A"/>
    <w:rsid w:val="2FD788D8"/>
    <w:rsid w:val="2FDF6EB3"/>
    <w:rsid w:val="2FF12D9C"/>
    <w:rsid w:val="301F484D"/>
    <w:rsid w:val="302567CF"/>
    <w:rsid w:val="30466889"/>
    <w:rsid w:val="304765B2"/>
    <w:rsid w:val="304C1E1A"/>
    <w:rsid w:val="30822B64"/>
    <w:rsid w:val="3089231B"/>
    <w:rsid w:val="309E755A"/>
    <w:rsid w:val="30AB4F67"/>
    <w:rsid w:val="30EA6E81"/>
    <w:rsid w:val="30FC048D"/>
    <w:rsid w:val="310B75DF"/>
    <w:rsid w:val="311B7C4E"/>
    <w:rsid w:val="312863E3"/>
    <w:rsid w:val="312B7098"/>
    <w:rsid w:val="312C3C9C"/>
    <w:rsid w:val="312E32CE"/>
    <w:rsid w:val="313B4368"/>
    <w:rsid w:val="31500379"/>
    <w:rsid w:val="316865F6"/>
    <w:rsid w:val="319E7375"/>
    <w:rsid w:val="31BA3134"/>
    <w:rsid w:val="31BF7469"/>
    <w:rsid w:val="31C51E84"/>
    <w:rsid w:val="31DE3900"/>
    <w:rsid w:val="32244DDB"/>
    <w:rsid w:val="32253A82"/>
    <w:rsid w:val="322C3CB1"/>
    <w:rsid w:val="322D0D99"/>
    <w:rsid w:val="323112C7"/>
    <w:rsid w:val="323F1C36"/>
    <w:rsid w:val="32786EF6"/>
    <w:rsid w:val="327F64D7"/>
    <w:rsid w:val="329F26D5"/>
    <w:rsid w:val="32C71C2C"/>
    <w:rsid w:val="32C91500"/>
    <w:rsid w:val="32DC1589"/>
    <w:rsid w:val="32F16AE1"/>
    <w:rsid w:val="32F4242E"/>
    <w:rsid w:val="331D1894"/>
    <w:rsid w:val="331F31DA"/>
    <w:rsid w:val="333F6A58"/>
    <w:rsid w:val="334C0F77"/>
    <w:rsid w:val="335C05C6"/>
    <w:rsid w:val="337946EF"/>
    <w:rsid w:val="337A1FBE"/>
    <w:rsid w:val="3384789B"/>
    <w:rsid w:val="338B4A07"/>
    <w:rsid w:val="33B65C2E"/>
    <w:rsid w:val="33BB21F4"/>
    <w:rsid w:val="33DD4601"/>
    <w:rsid w:val="33DE6EEC"/>
    <w:rsid w:val="33F33F92"/>
    <w:rsid w:val="33F97BC3"/>
    <w:rsid w:val="33FD3B57"/>
    <w:rsid w:val="340A6D73"/>
    <w:rsid w:val="34120C85"/>
    <w:rsid w:val="34256C0A"/>
    <w:rsid w:val="342D24EF"/>
    <w:rsid w:val="34467D95"/>
    <w:rsid w:val="346F650A"/>
    <w:rsid w:val="348831EB"/>
    <w:rsid w:val="34935693"/>
    <w:rsid w:val="349E076A"/>
    <w:rsid w:val="34B01EF4"/>
    <w:rsid w:val="34B25826"/>
    <w:rsid w:val="34D05F9C"/>
    <w:rsid w:val="34DA5971"/>
    <w:rsid w:val="35044A71"/>
    <w:rsid w:val="35123632"/>
    <w:rsid w:val="351858EE"/>
    <w:rsid w:val="3521770E"/>
    <w:rsid w:val="352275ED"/>
    <w:rsid w:val="352E1AEE"/>
    <w:rsid w:val="3534195E"/>
    <w:rsid w:val="353C4DCD"/>
    <w:rsid w:val="35492DCC"/>
    <w:rsid w:val="35521C81"/>
    <w:rsid w:val="3555351F"/>
    <w:rsid w:val="35682F5B"/>
    <w:rsid w:val="35B74AD7"/>
    <w:rsid w:val="35BD28FF"/>
    <w:rsid w:val="35C015BF"/>
    <w:rsid w:val="35C90E59"/>
    <w:rsid w:val="35D24B6F"/>
    <w:rsid w:val="360A2ABE"/>
    <w:rsid w:val="360B1E2F"/>
    <w:rsid w:val="361A6E95"/>
    <w:rsid w:val="362178A5"/>
    <w:rsid w:val="363650FE"/>
    <w:rsid w:val="36387FA3"/>
    <w:rsid w:val="366B2178"/>
    <w:rsid w:val="3676199F"/>
    <w:rsid w:val="367D6D0B"/>
    <w:rsid w:val="369D435B"/>
    <w:rsid w:val="36B27C44"/>
    <w:rsid w:val="36C30281"/>
    <w:rsid w:val="36D17818"/>
    <w:rsid w:val="36D510B4"/>
    <w:rsid w:val="36D766E6"/>
    <w:rsid w:val="36D9048D"/>
    <w:rsid w:val="36DB5CA6"/>
    <w:rsid w:val="36E903C3"/>
    <w:rsid w:val="3700606C"/>
    <w:rsid w:val="370C40B1"/>
    <w:rsid w:val="371A1117"/>
    <w:rsid w:val="3731559A"/>
    <w:rsid w:val="37386C54"/>
    <w:rsid w:val="374954BE"/>
    <w:rsid w:val="374B4BD9"/>
    <w:rsid w:val="374E6478"/>
    <w:rsid w:val="37535E5B"/>
    <w:rsid w:val="375E58BD"/>
    <w:rsid w:val="377657B0"/>
    <w:rsid w:val="37777A09"/>
    <w:rsid w:val="378823BA"/>
    <w:rsid w:val="37951ED6"/>
    <w:rsid w:val="37983B97"/>
    <w:rsid w:val="37A33759"/>
    <w:rsid w:val="37B42666"/>
    <w:rsid w:val="37BA3B0D"/>
    <w:rsid w:val="37BD197A"/>
    <w:rsid w:val="37EB01D8"/>
    <w:rsid w:val="37F9134B"/>
    <w:rsid w:val="3801798E"/>
    <w:rsid w:val="3818066F"/>
    <w:rsid w:val="38266BCA"/>
    <w:rsid w:val="382C0F50"/>
    <w:rsid w:val="38305B3C"/>
    <w:rsid w:val="38325C12"/>
    <w:rsid w:val="38366B33"/>
    <w:rsid w:val="384004B6"/>
    <w:rsid w:val="384B29B7"/>
    <w:rsid w:val="385040E9"/>
    <w:rsid w:val="3867684A"/>
    <w:rsid w:val="386F7324"/>
    <w:rsid w:val="38AA5930"/>
    <w:rsid w:val="38B92017"/>
    <w:rsid w:val="38BA6A68"/>
    <w:rsid w:val="38C91F95"/>
    <w:rsid w:val="38D00EDD"/>
    <w:rsid w:val="38D0375F"/>
    <w:rsid w:val="38E00D59"/>
    <w:rsid w:val="390C65EA"/>
    <w:rsid w:val="39167469"/>
    <w:rsid w:val="39242017"/>
    <w:rsid w:val="39390772"/>
    <w:rsid w:val="394945C9"/>
    <w:rsid w:val="394B5183"/>
    <w:rsid w:val="396629C7"/>
    <w:rsid w:val="39790F1F"/>
    <w:rsid w:val="397C693A"/>
    <w:rsid w:val="39960BFB"/>
    <w:rsid w:val="39A40CE2"/>
    <w:rsid w:val="39D709A6"/>
    <w:rsid w:val="39E275C4"/>
    <w:rsid w:val="39F06DAC"/>
    <w:rsid w:val="3A0B50E0"/>
    <w:rsid w:val="3A0D2D29"/>
    <w:rsid w:val="3A1D7F28"/>
    <w:rsid w:val="3A200C16"/>
    <w:rsid w:val="3A3F7904"/>
    <w:rsid w:val="3A4122C4"/>
    <w:rsid w:val="3A604C36"/>
    <w:rsid w:val="3A63179C"/>
    <w:rsid w:val="3A647FE4"/>
    <w:rsid w:val="3A6D130B"/>
    <w:rsid w:val="3A726CD1"/>
    <w:rsid w:val="3A7B3F01"/>
    <w:rsid w:val="3A814FD1"/>
    <w:rsid w:val="3AAD7959"/>
    <w:rsid w:val="3AB064B6"/>
    <w:rsid w:val="3AC72EB2"/>
    <w:rsid w:val="3ACD1B08"/>
    <w:rsid w:val="3AEC0481"/>
    <w:rsid w:val="3B0A7E2C"/>
    <w:rsid w:val="3B11613A"/>
    <w:rsid w:val="3B37595B"/>
    <w:rsid w:val="3B443E1A"/>
    <w:rsid w:val="3B451940"/>
    <w:rsid w:val="3B4A5AA6"/>
    <w:rsid w:val="3B576FDB"/>
    <w:rsid w:val="3B634203"/>
    <w:rsid w:val="3B6F1E98"/>
    <w:rsid w:val="3B761AA6"/>
    <w:rsid w:val="3B7A4784"/>
    <w:rsid w:val="3B7A783B"/>
    <w:rsid w:val="3B8E3833"/>
    <w:rsid w:val="3B9279A1"/>
    <w:rsid w:val="3BA2CDC4"/>
    <w:rsid w:val="3BAF716B"/>
    <w:rsid w:val="3BC67D41"/>
    <w:rsid w:val="3BD903C8"/>
    <w:rsid w:val="3BE31A2A"/>
    <w:rsid w:val="3BE91E1C"/>
    <w:rsid w:val="3BF770DE"/>
    <w:rsid w:val="3BF82E56"/>
    <w:rsid w:val="3BFC2946"/>
    <w:rsid w:val="3C015002"/>
    <w:rsid w:val="3C0B04A7"/>
    <w:rsid w:val="3C3E5CA8"/>
    <w:rsid w:val="3C430DA9"/>
    <w:rsid w:val="3C501BC3"/>
    <w:rsid w:val="3C7358E6"/>
    <w:rsid w:val="3C88242C"/>
    <w:rsid w:val="3C926E07"/>
    <w:rsid w:val="3CB13F4F"/>
    <w:rsid w:val="3CB55910"/>
    <w:rsid w:val="3CBB1ADF"/>
    <w:rsid w:val="3CC475E4"/>
    <w:rsid w:val="3CCA616B"/>
    <w:rsid w:val="3CD12B0A"/>
    <w:rsid w:val="3CD13A58"/>
    <w:rsid w:val="3CD502DC"/>
    <w:rsid w:val="3CDC066E"/>
    <w:rsid w:val="3CE468F1"/>
    <w:rsid w:val="3D1F493A"/>
    <w:rsid w:val="3D3375A3"/>
    <w:rsid w:val="3D412BB2"/>
    <w:rsid w:val="3D454654"/>
    <w:rsid w:val="3D4F6A99"/>
    <w:rsid w:val="3D580050"/>
    <w:rsid w:val="3D5962F3"/>
    <w:rsid w:val="3D5E4F3B"/>
    <w:rsid w:val="3D8B21D4"/>
    <w:rsid w:val="3DAB63D2"/>
    <w:rsid w:val="3DAE07DD"/>
    <w:rsid w:val="3DAE7DB5"/>
    <w:rsid w:val="3DB17760"/>
    <w:rsid w:val="3DC52CE3"/>
    <w:rsid w:val="3DC96858"/>
    <w:rsid w:val="3DE03013"/>
    <w:rsid w:val="3DE67060"/>
    <w:rsid w:val="3DE74E57"/>
    <w:rsid w:val="3E0363C5"/>
    <w:rsid w:val="3E1325B2"/>
    <w:rsid w:val="3E285C74"/>
    <w:rsid w:val="3E307C49"/>
    <w:rsid w:val="3E3C207D"/>
    <w:rsid w:val="3E481508"/>
    <w:rsid w:val="3E611186"/>
    <w:rsid w:val="3E686566"/>
    <w:rsid w:val="3E75253C"/>
    <w:rsid w:val="3E8E020D"/>
    <w:rsid w:val="3E930B85"/>
    <w:rsid w:val="3E95514B"/>
    <w:rsid w:val="3E9C21BE"/>
    <w:rsid w:val="3EAB3E4B"/>
    <w:rsid w:val="3EB006DA"/>
    <w:rsid w:val="3EBF3F56"/>
    <w:rsid w:val="3EC90C33"/>
    <w:rsid w:val="3ED1748C"/>
    <w:rsid w:val="3ED74155"/>
    <w:rsid w:val="3ED87709"/>
    <w:rsid w:val="3EE61914"/>
    <w:rsid w:val="3EEA49B5"/>
    <w:rsid w:val="3EEF5BD7"/>
    <w:rsid w:val="3EFF37F3"/>
    <w:rsid w:val="3F033FEC"/>
    <w:rsid w:val="3F2413A7"/>
    <w:rsid w:val="3F2E1930"/>
    <w:rsid w:val="3F3153D4"/>
    <w:rsid w:val="3F4A240A"/>
    <w:rsid w:val="3F772C09"/>
    <w:rsid w:val="3F7E1716"/>
    <w:rsid w:val="3F874C1D"/>
    <w:rsid w:val="3F89533D"/>
    <w:rsid w:val="3F966C0E"/>
    <w:rsid w:val="3FB063C1"/>
    <w:rsid w:val="3FC419CD"/>
    <w:rsid w:val="3FCB4826"/>
    <w:rsid w:val="3FD6201D"/>
    <w:rsid w:val="3FD75394"/>
    <w:rsid w:val="3FE61E82"/>
    <w:rsid w:val="3FEB70F5"/>
    <w:rsid w:val="3FEE07F8"/>
    <w:rsid w:val="3FF57DD8"/>
    <w:rsid w:val="40186E05"/>
    <w:rsid w:val="4035614E"/>
    <w:rsid w:val="40512B35"/>
    <w:rsid w:val="406665E0"/>
    <w:rsid w:val="40CF6BF4"/>
    <w:rsid w:val="40D15630"/>
    <w:rsid w:val="40F66015"/>
    <w:rsid w:val="40FA6AEF"/>
    <w:rsid w:val="40FD2E2B"/>
    <w:rsid w:val="4101455B"/>
    <w:rsid w:val="411101E5"/>
    <w:rsid w:val="411E335F"/>
    <w:rsid w:val="4128109A"/>
    <w:rsid w:val="412D5350"/>
    <w:rsid w:val="414C4560"/>
    <w:rsid w:val="415D5EAF"/>
    <w:rsid w:val="41683BD8"/>
    <w:rsid w:val="416A0B28"/>
    <w:rsid w:val="417A568B"/>
    <w:rsid w:val="418169D1"/>
    <w:rsid w:val="41AD79C4"/>
    <w:rsid w:val="41CE252B"/>
    <w:rsid w:val="41CF2062"/>
    <w:rsid w:val="41DD5280"/>
    <w:rsid w:val="41FA19AF"/>
    <w:rsid w:val="4214428D"/>
    <w:rsid w:val="422C394C"/>
    <w:rsid w:val="4267331B"/>
    <w:rsid w:val="427C677E"/>
    <w:rsid w:val="429A07C3"/>
    <w:rsid w:val="42CD24C2"/>
    <w:rsid w:val="42F06635"/>
    <w:rsid w:val="4300244D"/>
    <w:rsid w:val="43030D4F"/>
    <w:rsid w:val="43125D50"/>
    <w:rsid w:val="432B5421"/>
    <w:rsid w:val="434444D3"/>
    <w:rsid w:val="435721C2"/>
    <w:rsid w:val="43672D9B"/>
    <w:rsid w:val="43675BC8"/>
    <w:rsid w:val="43A63FA4"/>
    <w:rsid w:val="43AE6E4D"/>
    <w:rsid w:val="43B22430"/>
    <w:rsid w:val="43D85A47"/>
    <w:rsid w:val="440F6F8F"/>
    <w:rsid w:val="44111BB5"/>
    <w:rsid w:val="44161B37"/>
    <w:rsid w:val="44184C2E"/>
    <w:rsid w:val="44207C48"/>
    <w:rsid w:val="442B201A"/>
    <w:rsid w:val="444218DD"/>
    <w:rsid w:val="447731B1"/>
    <w:rsid w:val="448B0AD9"/>
    <w:rsid w:val="448E6850"/>
    <w:rsid w:val="44AE681A"/>
    <w:rsid w:val="44B518E4"/>
    <w:rsid w:val="44B57B36"/>
    <w:rsid w:val="44BF32E7"/>
    <w:rsid w:val="44BF7BD2"/>
    <w:rsid w:val="44DC3855"/>
    <w:rsid w:val="44FB41D0"/>
    <w:rsid w:val="4517015C"/>
    <w:rsid w:val="451A6441"/>
    <w:rsid w:val="4527084A"/>
    <w:rsid w:val="454F7617"/>
    <w:rsid w:val="455011D0"/>
    <w:rsid w:val="4565155C"/>
    <w:rsid w:val="456D57A7"/>
    <w:rsid w:val="456E7018"/>
    <w:rsid w:val="457058AF"/>
    <w:rsid w:val="45787C94"/>
    <w:rsid w:val="458978A2"/>
    <w:rsid w:val="459C05D3"/>
    <w:rsid w:val="45A04342"/>
    <w:rsid w:val="45B24076"/>
    <w:rsid w:val="45B61DB8"/>
    <w:rsid w:val="45D41291"/>
    <w:rsid w:val="45EC4A68"/>
    <w:rsid w:val="45F538D3"/>
    <w:rsid w:val="460E6E79"/>
    <w:rsid w:val="461140A0"/>
    <w:rsid w:val="46386C71"/>
    <w:rsid w:val="46435FED"/>
    <w:rsid w:val="467557CF"/>
    <w:rsid w:val="4694086F"/>
    <w:rsid w:val="469D3D52"/>
    <w:rsid w:val="46A77C72"/>
    <w:rsid w:val="46AA0B06"/>
    <w:rsid w:val="46B506E4"/>
    <w:rsid w:val="46FE1D24"/>
    <w:rsid w:val="46FE2974"/>
    <w:rsid w:val="470E45E7"/>
    <w:rsid w:val="471517AC"/>
    <w:rsid w:val="471E7589"/>
    <w:rsid w:val="47527C17"/>
    <w:rsid w:val="47574ED5"/>
    <w:rsid w:val="47633879"/>
    <w:rsid w:val="47654991"/>
    <w:rsid w:val="478041A7"/>
    <w:rsid w:val="479E3B5A"/>
    <w:rsid w:val="47A82FE8"/>
    <w:rsid w:val="47CA51EA"/>
    <w:rsid w:val="47DE55F6"/>
    <w:rsid w:val="47E05A60"/>
    <w:rsid w:val="4805359A"/>
    <w:rsid w:val="480F4D91"/>
    <w:rsid w:val="482A4397"/>
    <w:rsid w:val="484204F5"/>
    <w:rsid w:val="484D0B6A"/>
    <w:rsid w:val="484F3DFE"/>
    <w:rsid w:val="484F419D"/>
    <w:rsid w:val="485E74EE"/>
    <w:rsid w:val="486D3CA3"/>
    <w:rsid w:val="48862083"/>
    <w:rsid w:val="489363E0"/>
    <w:rsid w:val="48BA396D"/>
    <w:rsid w:val="48E420CB"/>
    <w:rsid w:val="48F67833"/>
    <w:rsid w:val="48FB2148"/>
    <w:rsid w:val="48FF1B43"/>
    <w:rsid w:val="49214DD5"/>
    <w:rsid w:val="49363969"/>
    <w:rsid w:val="49406FDC"/>
    <w:rsid w:val="49423962"/>
    <w:rsid w:val="49437E06"/>
    <w:rsid w:val="49473D16"/>
    <w:rsid w:val="49492F43"/>
    <w:rsid w:val="495641C0"/>
    <w:rsid w:val="49591105"/>
    <w:rsid w:val="49695393"/>
    <w:rsid w:val="497E1DB7"/>
    <w:rsid w:val="498A77E3"/>
    <w:rsid w:val="49964434"/>
    <w:rsid w:val="49BA2000"/>
    <w:rsid w:val="49F92B01"/>
    <w:rsid w:val="49F92CEB"/>
    <w:rsid w:val="4A067FB9"/>
    <w:rsid w:val="4A2064A3"/>
    <w:rsid w:val="4A2512BA"/>
    <w:rsid w:val="4A2F038B"/>
    <w:rsid w:val="4A3E5794"/>
    <w:rsid w:val="4A597197"/>
    <w:rsid w:val="4A5975F5"/>
    <w:rsid w:val="4A606796"/>
    <w:rsid w:val="4A6E403E"/>
    <w:rsid w:val="4A6F35EA"/>
    <w:rsid w:val="4AAA17BF"/>
    <w:rsid w:val="4AAB041E"/>
    <w:rsid w:val="4AB574D7"/>
    <w:rsid w:val="4AE02AE7"/>
    <w:rsid w:val="4AED5915"/>
    <w:rsid w:val="4B133808"/>
    <w:rsid w:val="4B1F5D09"/>
    <w:rsid w:val="4B244232"/>
    <w:rsid w:val="4B255B8A"/>
    <w:rsid w:val="4B3725A3"/>
    <w:rsid w:val="4B3962CF"/>
    <w:rsid w:val="4B451D05"/>
    <w:rsid w:val="4B6202EC"/>
    <w:rsid w:val="4B6C45DD"/>
    <w:rsid w:val="4B767530"/>
    <w:rsid w:val="4B7C2636"/>
    <w:rsid w:val="4B963850"/>
    <w:rsid w:val="4BAB4256"/>
    <w:rsid w:val="4BB52601"/>
    <w:rsid w:val="4BC8769F"/>
    <w:rsid w:val="4BCC206E"/>
    <w:rsid w:val="4C1D1E6F"/>
    <w:rsid w:val="4C2578FB"/>
    <w:rsid w:val="4C4A4673"/>
    <w:rsid w:val="4C573548"/>
    <w:rsid w:val="4C5D55DE"/>
    <w:rsid w:val="4C7B78B7"/>
    <w:rsid w:val="4C7D74B7"/>
    <w:rsid w:val="4C8359C8"/>
    <w:rsid w:val="4C973BD3"/>
    <w:rsid w:val="4CC34DBA"/>
    <w:rsid w:val="4CDC3C81"/>
    <w:rsid w:val="4D004956"/>
    <w:rsid w:val="4D080CAF"/>
    <w:rsid w:val="4D2717ED"/>
    <w:rsid w:val="4D27744D"/>
    <w:rsid w:val="4D5819A6"/>
    <w:rsid w:val="4D78218C"/>
    <w:rsid w:val="4D7943FA"/>
    <w:rsid w:val="4D7E765F"/>
    <w:rsid w:val="4D8A2682"/>
    <w:rsid w:val="4D922F37"/>
    <w:rsid w:val="4DB766CD"/>
    <w:rsid w:val="4DBE5F8C"/>
    <w:rsid w:val="4DC94652"/>
    <w:rsid w:val="4DD501C8"/>
    <w:rsid w:val="4E1368CA"/>
    <w:rsid w:val="4E154828"/>
    <w:rsid w:val="4E1634CF"/>
    <w:rsid w:val="4E476C29"/>
    <w:rsid w:val="4E5D39A1"/>
    <w:rsid w:val="4E5E4D9B"/>
    <w:rsid w:val="4E72485E"/>
    <w:rsid w:val="4E736479"/>
    <w:rsid w:val="4E7562FD"/>
    <w:rsid w:val="4EA57843"/>
    <w:rsid w:val="4EAF1A9A"/>
    <w:rsid w:val="4EBD41B7"/>
    <w:rsid w:val="4ED25EEE"/>
    <w:rsid w:val="4EF10FF7"/>
    <w:rsid w:val="4EF950C0"/>
    <w:rsid w:val="4F012FB2"/>
    <w:rsid w:val="4F0566F3"/>
    <w:rsid w:val="4F156CD8"/>
    <w:rsid w:val="4F1F7EFE"/>
    <w:rsid w:val="4F231322"/>
    <w:rsid w:val="4F275AD4"/>
    <w:rsid w:val="4F495A4B"/>
    <w:rsid w:val="4F6603AB"/>
    <w:rsid w:val="4F665714"/>
    <w:rsid w:val="4F8B64FE"/>
    <w:rsid w:val="4F9F2115"/>
    <w:rsid w:val="4FAB1999"/>
    <w:rsid w:val="4FC97C86"/>
    <w:rsid w:val="50054BAE"/>
    <w:rsid w:val="500D5EBA"/>
    <w:rsid w:val="5033554C"/>
    <w:rsid w:val="50337634"/>
    <w:rsid w:val="503F29AA"/>
    <w:rsid w:val="50401B1C"/>
    <w:rsid w:val="505A5A36"/>
    <w:rsid w:val="50624A5B"/>
    <w:rsid w:val="50852AB2"/>
    <w:rsid w:val="508D7BB9"/>
    <w:rsid w:val="509C579B"/>
    <w:rsid w:val="509C7DFC"/>
    <w:rsid w:val="509D6FA2"/>
    <w:rsid w:val="50AB0AB4"/>
    <w:rsid w:val="50B43398"/>
    <w:rsid w:val="50BD51E9"/>
    <w:rsid w:val="50C00E87"/>
    <w:rsid w:val="50C25AB5"/>
    <w:rsid w:val="50CC4770"/>
    <w:rsid w:val="50D850A3"/>
    <w:rsid w:val="50E03D06"/>
    <w:rsid w:val="50EC48E0"/>
    <w:rsid w:val="50F47CDE"/>
    <w:rsid w:val="510E332A"/>
    <w:rsid w:val="511A232D"/>
    <w:rsid w:val="51375708"/>
    <w:rsid w:val="513A3CD7"/>
    <w:rsid w:val="515225E4"/>
    <w:rsid w:val="515605B8"/>
    <w:rsid w:val="516871DC"/>
    <w:rsid w:val="516E081B"/>
    <w:rsid w:val="51752B27"/>
    <w:rsid w:val="517833F6"/>
    <w:rsid w:val="518D5531"/>
    <w:rsid w:val="51907961"/>
    <w:rsid w:val="519B0C71"/>
    <w:rsid w:val="51A561F2"/>
    <w:rsid w:val="51B82A14"/>
    <w:rsid w:val="51E90A94"/>
    <w:rsid w:val="5201085F"/>
    <w:rsid w:val="520E326B"/>
    <w:rsid w:val="522462FB"/>
    <w:rsid w:val="522B0B93"/>
    <w:rsid w:val="522D3CF8"/>
    <w:rsid w:val="523A167B"/>
    <w:rsid w:val="52575E4D"/>
    <w:rsid w:val="52880638"/>
    <w:rsid w:val="52B15E89"/>
    <w:rsid w:val="52B21364"/>
    <w:rsid w:val="52B21B59"/>
    <w:rsid w:val="52B95FC1"/>
    <w:rsid w:val="52C64751"/>
    <w:rsid w:val="52F44E77"/>
    <w:rsid w:val="531719BC"/>
    <w:rsid w:val="531766BB"/>
    <w:rsid w:val="53422EDD"/>
    <w:rsid w:val="535B7AFB"/>
    <w:rsid w:val="536F261B"/>
    <w:rsid w:val="53875794"/>
    <w:rsid w:val="539F2640"/>
    <w:rsid w:val="53A90C63"/>
    <w:rsid w:val="53C74678"/>
    <w:rsid w:val="53DC50DF"/>
    <w:rsid w:val="53E550F5"/>
    <w:rsid w:val="53ED7B5B"/>
    <w:rsid w:val="5401402B"/>
    <w:rsid w:val="54017848"/>
    <w:rsid w:val="54185AF9"/>
    <w:rsid w:val="541B6964"/>
    <w:rsid w:val="543640C4"/>
    <w:rsid w:val="543A0058"/>
    <w:rsid w:val="543F527C"/>
    <w:rsid w:val="544215DC"/>
    <w:rsid w:val="544467E1"/>
    <w:rsid w:val="544557B3"/>
    <w:rsid w:val="54473871"/>
    <w:rsid w:val="545804DE"/>
    <w:rsid w:val="5468184D"/>
    <w:rsid w:val="546C5F85"/>
    <w:rsid w:val="54814E0E"/>
    <w:rsid w:val="549E65BC"/>
    <w:rsid w:val="54A036D5"/>
    <w:rsid w:val="54C377EF"/>
    <w:rsid w:val="54DB0766"/>
    <w:rsid w:val="54EB4A80"/>
    <w:rsid w:val="54F55D2D"/>
    <w:rsid w:val="54FC53ED"/>
    <w:rsid w:val="551A763D"/>
    <w:rsid w:val="55264138"/>
    <w:rsid w:val="55343BD8"/>
    <w:rsid w:val="554C0042"/>
    <w:rsid w:val="559D4CD8"/>
    <w:rsid w:val="55DB3175"/>
    <w:rsid w:val="55E056FF"/>
    <w:rsid w:val="55F04E72"/>
    <w:rsid w:val="55FA7A9F"/>
    <w:rsid w:val="56080C06"/>
    <w:rsid w:val="561309A2"/>
    <w:rsid w:val="561647A5"/>
    <w:rsid w:val="561D378D"/>
    <w:rsid w:val="56584DF0"/>
    <w:rsid w:val="56611E44"/>
    <w:rsid w:val="567426CC"/>
    <w:rsid w:val="56911971"/>
    <w:rsid w:val="569A0FA7"/>
    <w:rsid w:val="569C1125"/>
    <w:rsid w:val="56A47944"/>
    <w:rsid w:val="56B063AF"/>
    <w:rsid w:val="56C836F9"/>
    <w:rsid w:val="56D77DE0"/>
    <w:rsid w:val="56DA167E"/>
    <w:rsid w:val="56E373B5"/>
    <w:rsid w:val="56FB4ECC"/>
    <w:rsid w:val="571522DC"/>
    <w:rsid w:val="572319FE"/>
    <w:rsid w:val="57566F57"/>
    <w:rsid w:val="575B631B"/>
    <w:rsid w:val="575D3B56"/>
    <w:rsid w:val="57707849"/>
    <w:rsid w:val="57B343A9"/>
    <w:rsid w:val="57BC13C4"/>
    <w:rsid w:val="57C12201"/>
    <w:rsid w:val="57D367F9"/>
    <w:rsid w:val="57D4431F"/>
    <w:rsid w:val="57DB451E"/>
    <w:rsid w:val="57FB5AE6"/>
    <w:rsid w:val="581F4CA4"/>
    <w:rsid w:val="58377789"/>
    <w:rsid w:val="585472DB"/>
    <w:rsid w:val="5883406E"/>
    <w:rsid w:val="589770C7"/>
    <w:rsid w:val="5898359F"/>
    <w:rsid w:val="58A3441E"/>
    <w:rsid w:val="58AD5748"/>
    <w:rsid w:val="58B3137F"/>
    <w:rsid w:val="58C94664"/>
    <w:rsid w:val="58D27D41"/>
    <w:rsid w:val="58E834B5"/>
    <w:rsid w:val="58F762E3"/>
    <w:rsid w:val="59034EBC"/>
    <w:rsid w:val="59143F5E"/>
    <w:rsid w:val="591470C9"/>
    <w:rsid w:val="593D3381"/>
    <w:rsid w:val="593E65DA"/>
    <w:rsid w:val="5942670B"/>
    <w:rsid w:val="594460A3"/>
    <w:rsid w:val="594C3F4A"/>
    <w:rsid w:val="59676FC8"/>
    <w:rsid w:val="59702AE1"/>
    <w:rsid w:val="59A24AFE"/>
    <w:rsid w:val="59AE351E"/>
    <w:rsid w:val="59B61F2F"/>
    <w:rsid w:val="59C074E2"/>
    <w:rsid w:val="59C74CF1"/>
    <w:rsid w:val="59C86E4B"/>
    <w:rsid w:val="59E77370"/>
    <w:rsid w:val="59EB3D45"/>
    <w:rsid w:val="59EC0F35"/>
    <w:rsid w:val="59EC76FE"/>
    <w:rsid w:val="5A2A10AB"/>
    <w:rsid w:val="5A2A7FBE"/>
    <w:rsid w:val="5A364E1D"/>
    <w:rsid w:val="5A3C1E2C"/>
    <w:rsid w:val="5A3F01AB"/>
    <w:rsid w:val="5A5359CF"/>
    <w:rsid w:val="5A6251EC"/>
    <w:rsid w:val="5A7711DE"/>
    <w:rsid w:val="5A7E5F3C"/>
    <w:rsid w:val="5A9B1124"/>
    <w:rsid w:val="5AAB75B9"/>
    <w:rsid w:val="5AAE2C06"/>
    <w:rsid w:val="5ABC4FF4"/>
    <w:rsid w:val="5AD22D98"/>
    <w:rsid w:val="5AD41467"/>
    <w:rsid w:val="5B160B72"/>
    <w:rsid w:val="5B1D00E1"/>
    <w:rsid w:val="5B2321E6"/>
    <w:rsid w:val="5B4717C6"/>
    <w:rsid w:val="5B4D713C"/>
    <w:rsid w:val="5B4E677D"/>
    <w:rsid w:val="5B6A7973"/>
    <w:rsid w:val="5B7E082A"/>
    <w:rsid w:val="5B9875AC"/>
    <w:rsid w:val="5B9C6F02"/>
    <w:rsid w:val="5BC4220D"/>
    <w:rsid w:val="5BD32F24"/>
    <w:rsid w:val="5C041ABF"/>
    <w:rsid w:val="5C0761B2"/>
    <w:rsid w:val="5C2C0286"/>
    <w:rsid w:val="5C2E43FA"/>
    <w:rsid w:val="5C34119C"/>
    <w:rsid w:val="5C367357"/>
    <w:rsid w:val="5C37469A"/>
    <w:rsid w:val="5C394740"/>
    <w:rsid w:val="5C456702"/>
    <w:rsid w:val="5C4F3B6C"/>
    <w:rsid w:val="5C8C3DE7"/>
    <w:rsid w:val="5C943DF3"/>
    <w:rsid w:val="5C9E0AF8"/>
    <w:rsid w:val="5C9F216C"/>
    <w:rsid w:val="5CC11316"/>
    <w:rsid w:val="5CC30DA7"/>
    <w:rsid w:val="5CC64626"/>
    <w:rsid w:val="5CC96ACD"/>
    <w:rsid w:val="5CFA657E"/>
    <w:rsid w:val="5D071583"/>
    <w:rsid w:val="5D221689"/>
    <w:rsid w:val="5D2822F6"/>
    <w:rsid w:val="5D3718A9"/>
    <w:rsid w:val="5D395350"/>
    <w:rsid w:val="5D402B1C"/>
    <w:rsid w:val="5D423667"/>
    <w:rsid w:val="5D6B326F"/>
    <w:rsid w:val="5D6C63B9"/>
    <w:rsid w:val="5D8026EA"/>
    <w:rsid w:val="5D86017C"/>
    <w:rsid w:val="5D9407D9"/>
    <w:rsid w:val="5D9F12A3"/>
    <w:rsid w:val="5DA33FE7"/>
    <w:rsid w:val="5DA77EE3"/>
    <w:rsid w:val="5DB669A1"/>
    <w:rsid w:val="5DB9455B"/>
    <w:rsid w:val="5DD010E5"/>
    <w:rsid w:val="5E0E193B"/>
    <w:rsid w:val="5E1F6458"/>
    <w:rsid w:val="5E25666F"/>
    <w:rsid w:val="5E260B13"/>
    <w:rsid w:val="5E4C550E"/>
    <w:rsid w:val="5E6446C6"/>
    <w:rsid w:val="5E7D74BF"/>
    <w:rsid w:val="5E9860A7"/>
    <w:rsid w:val="5EDA6373"/>
    <w:rsid w:val="5EE90678"/>
    <w:rsid w:val="5EF17565"/>
    <w:rsid w:val="5EFF39EF"/>
    <w:rsid w:val="5F081BC6"/>
    <w:rsid w:val="5F1C46C4"/>
    <w:rsid w:val="5F2711D9"/>
    <w:rsid w:val="5F3E0C8C"/>
    <w:rsid w:val="5F473629"/>
    <w:rsid w:val="5F5A76F2"/>
    <w:rsid w:val="5F627085"/>
    <w:rsid w:val="5F6D59EA"/>
    <w:rsid w:val="5F7743F5"/>
    <w:rsid w:val="5F7D65A9"/>
    <w:rsid w:val="5F9A19AB"/>
    <w:rsid w:val="5F9E2488"/>
    <w:rsid w:val="5FBF1C93"/>
    <w:rsid w:val="5FC829BC"/>
    <w:rsid w:val="5FDC3864"/>
    <w:rsid w:val="5FF27A39"/>
    <w:rsid w:val="5FF67529"/>
    <w:rsid w:val="5FF7B25E"/>
    <w:rsid w:val="5FFF49FC"/>
    <w:rsid w:val="5FFF5CB2"/>
    <w:rsid w:val="60017C7C"/>
    <w:rsid w:val="60211CC0"/>
    <w:rsid w:val="603D50C0"/>
    <w:rsid w:val="603E2C7E"/>
    <w:rsid w:val="60710B88"/>
    <w:rsid w:val="608210E3"/>
    <w:rsid w:val="60AA1273"/>
    <w:rsid w:val="60C07275"/>
    <w:rsid w:val="60C2109A"/>
    <w:rsid w:val="60D2613B"/>
    <w:rsid w:val="60E23609"/>
    <w:rsid w:val="60EB6ABA"/>
    <w:rsid w:val="60EC2394"/>
    <w:rsid w:val="60F11069"/>
    <w:rsid w:val="61015E43"/>
    <w:rsid w:val="611D254E"/>
    <w:rsid w:val="612917AA"/>
    <w:rsid w:val="613242CE"/>
    <w:rsid w:val="613E652C"/>
    <w:rsid w:val="61A5531E"/>
    <w:rsid w:val="61B87A5A"/>
    <w:rsid w:val="61BB23AC"/>
    <w:rsid w:val="61CA7C9A"/>
    <w:rsid w:val="61E11B13"/>
    <w:rsid w:val="61E810F3"/>
    <w:rsid w:val="61EE3471"/>
    <w:rsid w:val="62035B0E"/>
    <w:rsid w:val="62074A10"/>
    <w:rsid w:val="62235432"/>
    <w:rsid w:val="624E5AC5"/>
    <w:rsid w:val="626C4C7D"/>
    <w:rsid w:val="627D34D2"/>
    <w:rsid w:val="627E0F63"/>
    <w:rsid w:val="628030DA"/>
    <w:rsid w:val="6288551E"/>
    <w:rsid w:val="628A0EB6"/>
    <w:rsid w:val="628A4DFB"/>
    <w:rsid w:val="62B17737"/>
    <w:rsid w:val="62B2525D"/>
    <w:rsid w:val="62B611F1"/>
    <w:rsid w:val="62D710BE"/>
    <w:rsid w:val="62D96DD1"/>
    <w:rsid w:val="63051D26"/>
    <w:rsid w:val="632C0F39"/>
    <w:rsid w:val="63371C84"/>
    <w:rsid w:val="633D2BD8"/>
    <w:rsid w:val="63406549"/>
    <w:rsid w:val="636724EC"/>
    <w:rsid w:val="636D5D54"/>
    <w:rsid w:val="63B84AF5"/>
    <w:rsid w:val="63C70076"/>
    <w:rsid w:val="63D90153"/>
    <w:rsid w:val="63DA2CBD"/>
    <w:rsid w:val="63DA41D8"/>
    <w:rsid w:val="63DD2B95"/>
    <w:rsid w:val="63F2701D"/>
    <w:rsid w:val="63F414AF"/>
    <w:rsid w:val="64176A67"/>
    <w:rsid w:val="641A4311"/>
    <w:rsid w:val="64421CFE"/>
    <w:rsid w:val="644360B2"/>
    <w:rsid w:val="6469719C"/>
    <w:rsid w:val="646F1658"/>
    <w:rsid w:val="64915A72"/>
    <w:rsid w:val="64917820"/>
    <w:rsid w:val="64A90689"/>
    <w:rsid w:val="64AE1E08"/>
    <w:rsid w:val="64BD484A"/>
    <w:rsid w:val="64D04697"/>
    <w:rsid w:val="64D767EA"/>
    <w:rsid w:val="64E13A05"/>
    <w:rsid w:val="64FA0D8B"/>
    <w:rsid w:val="64FF6124"/>
    <w:rsid w:val="650662C4"/>
    <w:rsid w:val="651B2C8F"/>
    <w:rsid w:val="651D10B4"/>
    <w:rsid w:val="653528A1"/>
    <w:rsid w:val="65571DFF"/>
    <w:rsid w:val="65694ADA"/>
    <w:rsid w:val="65720F2D"/>
    <w:rsid w:val="659D0447"/>
    <w:rsid w:val="65B763A9"/>
    <w:rsid w:val="65BA3EB5"/>
    <w:rsid w:val="65BF03BD"/>
    <w:rsid w:val="65C907AC"/>
    <w:rsid w:val="65E55E32"/>
    <w:rsid w:val="65EA09FF"/>
    <w:rsid w:val="65ED7BE4"/>
    <w:rsid w:val="65F6315A"/>
    <w:rsid w:val="660E1AB3"/>
    <w:rsid w:val="662326FA"/>
    <w:rsid w:val="662B683E"/>
    <w:rsid w:val="667016B7"/>
    <w:rsid w:val="668540F9"/>
    <w:rsid w:val="668B029F"/>
    <w:rsid w:val="66A00268"/>
    <w:rsid w:val="66A53FA4"/>
    <w:rsid w:val="66A571F6"/>
    <w:rsid w:val="66B31BF8"/>
    <w:rsid w:val="66BB6DD6"/>
    <w:rsid w:val="66BC66AA"/>
    <w:rsid w:val="66CD4CCB"/>
    <w:rsid w:val="66FA524D"/>
    <w:rsid w:val="67006EDF"/>
    <w:rsid w:val="671A71BF"/>
    <w:rsid w:val="673562D9"/>
    <w:rsid w:val="6736645D"/>
    <w:rsid w:val="673B7997"/>
    <w:rsid w:val="67462DEA"/>
    <w:rsid w:val="67634FDB"/>
    <w:rsid w:val="67956036"/>
    <w:rsid w:val="67C527D4"/>
    <w:rsid w:val="67CB02D7"/>
    <w:rsid w:val="67D5B186"/>
    <w:rsid w:val="67F51E74"/>
    <w:rsid w:val="680402EA"/>
    <w:rsid w:val="680447AD"/>
    <w:rsid w:val="680F2164"/>
    <w:rsid w:val="681A4A6C"/>
    <w:rsid w:val="68356714"/>
    <w:rsid w:val="68595133"/>
    <w:rsid w:val="686C5281"/>
    <w:rsid w:val="687410FE"/>
    <w:rsid w:val="68782545"/>
    <w:rsid w:val="688E308E"/>
    <w:rsid w:val="68916536"/>
    <w:rsid w:val="68AC0892"/>
    <w:rsid w:val="68AD4E71"/>
    <w:rsid w:val="68B56C60"/>
    <w:rsid w:val="68B63CF9"/>
    <w:rsid w:val="68B77D38"/>
    <w:rsid w:val="68C34233"/>
    <w:rsid w:val="68C439AC"/>
    <w:rsid w:val="68D5282E"/>
    <w:rsid w:val="68D642C2"/>
    <w:rsid w:val="68E9333F"/>
    <w:rsid w:val="68F44821"/>
    <w:rsid w:val="68FC201F"/>
    <w:rsid w:val="690600B1"/>
    <w:rsid w:val="691E189E"/>
    <w:rsid w:val="6926276F"/>
    <w:rsid w:val="692D700B"/>
    <w:rsid w:val="695C605A"/>
    <w:rsid w:val="69796AD5"/>
    <w:rsid w:val="69A91CB9"/>
    <w:rsid w:val="69AE49D0"/>
    <w:rsid w:val="69BB6034"/>
    <w:rsid w:val="69DB32EB"/>
    <w:rsid w:val="69DE6439"/>
    <w:rsid w:val="69E76134"/>
    <w:rsid w:val="69EC54F9"/>
    <w:rsid w:val="69F262A5"/>
    <w:rsid w:val="6A2007AB"/>
    <w:rsid w:val="6A2E12F4"/>
    <w:rsid w:val="6A31115D"/>
    <w:rsid w:val="6A3F7D1E"/>
    <w:rsid w:val="6A4138A3"/>
    <w:rsid w:val="6A7E6FD2"/>
    <w:rsid w:val="6A7F2D1A"/>
    <w:rsid w:val="6A986264"/>
    <w:rsid w:val="6AA6673F"/>
    <w:rsid w:val="6ABE71A8"/>
    <w:rsid w:val="6AC40100"/>
    <w:rsid w:val="6AD71D05"/>
    <w:rsid w:val="6B054AC4"/>
    <w:rsid w:val="6B2274B5"/>
    <w:rsid w:val="6B3C0C09"/>
    <w:rsid w:val="6B413622"/>
    <w:rsid w:val="6B511AB7"/>
    <w:rsid w:val="6B6D2C78"/>
    <w:rsid w:val="6B760805"/>
    <w:rsid w:val="6B87197D"/>
    <w:rsid w:val="6B9B2D32"/>
    <w:rsid w:val="6BB5224F"/>
    <w:rsid w:val="6BCF23CF"/>
    <w:rsid w:val="6BDB3E94"/>
    <w:rsid w:val="6BE24E05"/>
    <w:rsid w:val="6BF71835"/>
    <w:rsid w:val="6BFC005A"/>
    <w:rsid w:val="6C04710A"/>
    <w:rsid w:val="6C0B435C"/>
    <w:rsid w:val="6C10630F"/>
    <w:rsid w:val="6C1257B3"/>
    <w:rsid w:val="6C1B3794"/>
    <w:rsid w:val="6C33740F"/>
    <w:rsid w:val="6C417D7E"/>
    <w:rsid w:val="6C47087E"/>
    <w:rsid w:val="6C4E472C"/>
    <w:rsid w:val="6C6345F2"/>
    <w:rsid w:val="6C6475C8"/>
    <w:rsid w:val="6C705F6D"/>
    <w:rsid w:val="6C7D68DC"/>
    <w:rsid w:val="6C896CE8"/>
    <w:rsid w:val="6C937EAD"/>
    <w:rsid w:val="6C973849"/>
    <w:rsid w:val="6CB17718"/>
    <w:rsid w:val="6CBF21AD"/>
    <w:rsid w:val="6CC54FFC"/>
    <w:rsid w:val="6CC62031"/>
    <w:rsid w:val="6CDC4AA9"/>
    <w:rsid w:val="6CF938AA"/>
    <w:rsid w:val="6D1A08EA"/>
    <w:rsid w:val="6D2D0302"/>
    <w:rsid w:val="6D3854CB"/>
    <w:rsid w:val="6D4325F6"/>
    <w:rsid w:val="6D52763B"/>
    <w:rsid w:val="6D53657C"/>
    <w:rsid w:val="6D5C531B"/>
    <w:rsid w:val="6D705F3A"/>
    <w:rsid w:val="6D7D2BB9"/>
    <w:rsid w:val="6D8334B6"/>
    <w:rsid w:val="6D8642DA"/>
    <w:rsid w:val="6D886F5C"/>
    <w:rsid w:val="6D8D0607"/>
    <w:rsid w:val="6D952BF3"/>
    <w:rsid w:val="6D971619"/>
    <w:rsid w:val="6DB6259F"/>
    <w:rsid w:val="6E070B53"/>
    <w:rsid w:val="6E080427"/>
    <w:rsid w:val="6E181CA5"/>
    <w:rsid w:val="6E492FEB"/>
    <w:rsid w:val="6E582C2F"/>
    <w:rsid w:val="6E661D1D"/>
    <w:rsid w:val="6E867086"/>
    <w:rsid w:val="6ECB2FBC"/>
    <w:rsid w:val="6EDD3662"/>
    <w:rsid w:val="6F072179"/>
    <w:rsid w:val="6F106C31"/>
    <w:rsid w:val="6F162869"/>
    <w:rsid w:val="6F2F0361"/>
    <w:rsid w:val="6F342B49"/>
    <w:rsid w:val="6F350ECB"/>
    <w:rsid w:val="6F4778FA"/>
    <w:rsid w:val="6F5266C2"/>
    <w:rsid w:val="6F545913"/>
    <w:rsid w:val="6F5F2CDC"/>
    <w:rsid w:val="6F6A3147"/>
    <w:rsid w:val="6F7021A4"/>
    <w:rsid w:val="6F743FC6"/>
    <w:rsid w:val="6F7842B5"/>
    <w:rsid w:val="6F7915DC"/>
    <w:rsid w:val="6F7B35A7"/>
    <w:rsid w:val="6FAD1286"/>
    <w:rsid w:val="6FD85974"/>
    <w:rsid w:val="6FE53D05"/>
    <w:rsid w:val="6FE65D8A"/>
    <w:rsid w:val="6FE86762"/>
    <w:rsid w:val="7001603B"/>
    <w:rsid w:val="702568DA"/>
    <w:rsid w:val="7049412A"/>
    <w:rsid w:val="706114DA"/>
    <w:rsid w:val="70850996"/>
    <w:rsid w:val="709D754D"/>
    <w:rsid w:val="70DF7B65"/>
    <w:rsid w:val="70E930EE"/>
    <w:rsid w:val="70F50BC3"/>
    <w:rsid w:val="71114204"/>
    <w:rsid w:val="711710AD"/>
    <w:rsid w:val="71267542"/>
    <w:rsid w:val="71285068"/>
    <w:rsid w:val="713903D9"/>
    <w:rsid w:val="71701911"/>
    <w:rsid w:val="717A69A0"/>
    <w:rsid w:val="71940950"/>
    <w:rsid w:val="719426FE"/>
    <w:rsid w:val="71A639F6"/>
    <w:rsid w:val="71BD3015"/>
    <w:rsid w:val="71D15FD3"/>
    <w:rsid w:val="71E12468"/>
    <w:rsid w:val="71F27219"/>
    <w:rsid w:val="71F46BC5"/>
    <w:rsid w:val="72114159"/>
    <w:rsid w:val="721750DD"/>
    <w:rsid w:val="72294059"/>
    <w:rsid w:val="723D29FF"/>
    <w:rsid w:val="7250633A"/>
    <w:rsid w:val="72525853"/>
    <w:rsid w:val="72560325"/>
    <w:rsid w:val="726417BC"/>
    <w:rsid w:val="72926CC5"/>
    <w:rsid w:val="729527A6"/>
    <w:rsid w:val="72B2345F"/>
    <w:rsid w:val="72E90827"/>
    <w:rsid w:val="72E9602E"/>
    <w:rsid w:val="72F2770D"/>
    <w:rsid w:val="72F911DD"/>
    <w:rsid w:val="72FC71B7"/>
    <w:rsid w:val="730D09BA"/>
    <w:rsid w:val="73320D65"/>
    <w:rsid w:val="73386A9C"/>
    <w:rsid w:val="733B7F01"/>
    <w:rsid w:val="73426189"/>
    <w:rsid w:val="73567F3F"/>
    <w:rsid w:val="73647B24"/>
    <w:rsid w:val="738C0A61"/>
    <w:rsid w:val="73A11102"/>
    <w:rsid w:val="73A66718"/>
    <w:rsid w:val="73C13552"/>
    <w:rsid w:val="73CA763E"/>
    <w:rsid w:val="73E57241"/>
    <w:rsid w:val="73F562B7"/>
    <w:rsid w:val="73F628F2"/>
    <w:rsid w:val="74063EB0"/>
    <w:rsid w:val="741208D9"/>
    <w:rsid w:val="74372F8A"/>
    <w:rsid w:val="74806F69"/>
    <w:rsid w:val="74822CE1"/>
    <w:rsid w:val="749374E7"/>
    <w:rsid w:val="74F449F1"/>
    <w:rsid w:val="74FD57FA"/>
    <w:rsid w:val="750754AD"/>
    <w:rsid w:val="7507768A"/>
    <w:rsid w:val="75284254"/>
    <w:rsid w:val="75387844"/>
    <w:rsid w:val="75392A04"/>
    <w:rsid w:val="755C72B9"/>
    <w:rsid w:val="75802C86"/>
    <w:rsid w:val="75941C40"/>
    <w:rsid w:val="75A94C18"/>
    <w:rsid w:val="75AA6219"/>
    <w:rsid w:val="75AE293F"/>
    <w:rsid w:val="75B658E9"/>
    <w:rsid w:val="75BE1A0D"/>
    <w:rsid w:val="75DE139E"/>
    <w:rsid w:val="75DE44C7"/>
    <w:rsid w:val="75F419BD"/>
    <w:rsid w:val="75FE6CDF"/>
    <w:rsid w:val="76156E25"/>
    <w:rsid w:val="7633600E"/>
    <w:rsid w:val="763D65C0"/>
    <w:rsid w:val="763E77BB"/>
    <w:rsid w:val="76442A85"/>
    <w:rsid w:val="764A3CD3"/>
    <w:rsid w:val="765972B7"/>
    <w:rsid w:val="76687A59"/>
    <w:rsid w:val="768947FB"/>
    <w:rsid w:val="76D54F6D"/>
    <w:rsid w:val="76E60F22"/>
    <w:rsid w:val="76E648CE"/>
    <w:rsid w:val="76F616DA"/>
    <w:rsid w:val="76FA74A7"/>
    <w:rsid w:val="76FB321F"/>
    <w:rsid w:val="76FE1DC3"/>
    <w:rsid w:val="770357B0"/>
    <w:rsid w:val="770E6AAE"/>
    <w:rsid w:val="7716368F"/>
    <w:rsid w:val="7729101E"/>
    <w:rsid w:val="77332487"/>
    <w:rsid w:val="77356731"/>
    <w:rsid w:val="77393EC6"/>
    <w:rsid w:val="77471FC0"/>
    <w:rsid w:val="775972A4"/>
    <w:rsid w:val="779B5634"/>
    <w:rsid w:val="77A85155"/>
    <w:rsid w:val="77AD276B"/>
    <w:rsid w:val="77E12415"/>
    <w:rsid w:val="77F63F97"/>
    <w:rsid w:val="77FD31EB"/>
    <w:rsid w:val="78054355"/>
    <w:rsid w:val="78066947"/>
    <w:rsid w:val="78117B56"/>
    <w:rsid w:val="782D7408"/>
    <w:rsid w:val="78355747"/>
    <w:rsid w:val="783F4502"/>
    <w:rsid w:val="785717E6"/>
    <w:rsid w:val="78655237"/>
    <w:rsid w:val="78656AF6"/>
    <w:rsid w:val="7875195C"/>
    <w:rsid w:val="788039DC"/>
    <w:rsid w:val="788621C1"/>
    <w:rsid w:val="78B8118C"/>
    <w:rsid w:val="78E16960"/>
    <w:rsid w:val="78F00090"/>
    <w:rsid w:val="78F67B51"/>
    <w:rsid w:val="78F9116A"/>
    <w:rsid w:val="79031529"/>
    <w:rsid w:val="79075EAB"/>
    <w:rsid w:val="79270822"/>
    <w:rsid w:val="792F7A36"/>
    <w:rsid w:val="795B1DB7"/>
    <w:rsid w:val="79637BA5"/>
    <w:rsid w:val="798B44E4"/>
    <w:rsid w:val="79921A5A"/>
    <w:rsid w:val="79982FA7"/>
    <w:rsid w:val="79A100AE"/>
    <w:rsid w:val="79A656C4"/>
    <w:rsid w:val="79AE33FF"/>
    <w:rsid w:val="79C1605A"/>
    <w:rsid w:val="79C478F8"/>
    <w:rsid w:val="79C626C5"/>
    <w:rsid w:val="79D15216"/>
    <w:rsid w:val="7A11270B"/>
    <w:rsid w:val="7A170370"/>
    <w:rsid w:val="7A1A39BC"/>
    <w:rsid w:val="7A1D7C7E"/>
    <w:rsid w:val="7A4B0019"/>
    <w:rsid w:val="7A6730A5"/>
    <w:rsid w:val="7A971FF4"/>
    <w:rsid w:val="7ABE4C8F"/>
    <w:rsid w:val="7AD26045"/>
    <w:rsid w:val="7AE364A4"/>
    <w:rsid w:val="7AEFFA05"/>
    <w:rsid w:val="7AF1345E"/>
    <w:rsid w:val="7AF45996"/>
    <w:rsid w:val="7AF464F1"/>
    <w:rsid w:val="7AF8357A"/>
    <w:rsid w:val="7B110BEF"/>
    <w:rsid w:val="7B242D44"/>
    <w:rsid w:val="7B3E48AE"/>
    <w:rsid w:val="7B485AB9"/>
    <w:rsid w:val="7B500173"/>
    <w:rsid w:val="7B5D2CE8"/>
    <w:rsid w:val="7B65538C"/>
    <w:rsid w:val="7B6E0BA2"/>
    <w:rsid w:val="7B77550D"/>
    <w:rsid w:val="7B7A3503"/>
    <w:rsid w:val="7B882549"/>
    <w:rsid w:val="7B907A76"/>
    <w:rsid w:val="7BA06E4E"/>
    <w:rsid w:val="7BA33C1A"/>
    <w:rsid w:val="7BAE03B6"/>
    <w:rsid w:val="7BAE67BE"/>
    <w:rsid w:val="7BD55DED"/>
    <w:rsid w:val="7BDB63FB"/>
    <w:rsid w:val="7BDF086B"/>
    <w:rsid w:val="7BEE7189"/>
    <w:rsid w:val="7BF42D23"/>
    <w:rsid w:val="7C01500C"/>
    <w:rsid w:val="7C035604"/>
    <w:rsid w:val="7C175DA6"/>
    <w:rsid w:val="7C176CAE"/>
    <w:rsid w:val="7C2D3366"/>
    <w:rsid w:val="7C472790"/>
    <w:rsid w:val="7C632026"/>
    <w:rsid w:val="7C772668"/>
    <w:rsid w:val="7C8F4DBF"/>
    <w:rsid w:val="7CB34FAC"/>
    <w:rsid w:val="7CC0084B"/>
    <w:rsid w:val="7CE56503"/>
    <w:rsid w:val="7CFE4690"/>
    <w:rsid w:val="7D053C26"/>
    <w:rsid w:val="7D0A41BC"/>
    <w:rsid w:val="7D126BCC"/>
    <w:rsid w:val="7D1F3A99"/>
    <w:rsid w:val="7D2B1AD4"/>
    <w:rsid w:val="7D2F3A6C"/>
    <w:rsid w:val="7D3C6796"/>
    <w:rsid w:val="7D486CEB"/>
    <w:rsid w:val="7D494CE4"/>
    <w:rsid w:val="7D6C175B"/>
    <w:rsid w:val="7D7D04EA"/>
    <w:rsid w:val="7D960302"/>
    <w:rsid w:val="7D9F1E43"/>
    <w:rsid w:val="7DA204B4"/>
    <w:rsid w:val="7DA77C5D"/>
    <w:rsid w:val="7DAC4F63"/>
    <w:rsid w:val="7DAC5273"/>
    <w:rsid w:val="7DAE503C"/>
    <w:rsid w:val="7DB44983"/>
    <w:rsid w:val="7DBB54B6"/>
    <w:rsid w:val="7DBF5DD1"/>
    <w:rsid w:val="7DC75C09"/>
    <w:rsid w:val="7DD177DB"/>
    <w:rsid w:val="7DD745A4"/>
    <w:rsid w:val="7DDD60D6"/>
    <w:rsid w:val="7DE14B95"/>
    <w:rsid w:val="7DF27D2C"/>
    <w:rsid w:val="7DF85F10"/>
    <w:rsid w:val="7DFC0E94"/>
    <w:rsid w:val="7E3C05ED"/>
    <w:rsid w:val="7E3F60E7"/>
    <w:rsid w:val="7E5C27F5"/>
    <w:rsid w:val="7E6A6555"/>
    <w:rsid w:val="7E6B3330"/>
    <w:rsid w:val="7E791376"/>
    <w:rsid w:val="7E7A606B"/>
    <w:rsid w:val="7E8407F5"/>
    <w:rsid w:val="7E910B9D"/>
    <w:rsid w:val="7E963B37"/>
    <w:rsid w:val="7E9D431E"/>
    <w:rsid w:val="7EA23B31"/>
    <w:rsid w:val="7EAA7A04"/>
    <w:rsid w:val="7EBB576E"/>
    <w:rsid w:val="7EDF1051"/>
    <w:rsid w:val="7EF24F07"/>
    <w:rsid w:val="7F091DB7"/>
    <w:rsid w:val="7F0D1E4F"/>
    <w:rsid w:val="7F150A55"/>
    <w:rsid w:val="7F54171E"/>
    <w:rsid w:val="7F6EBC16"/>
    <w:rsid w:val="7F8C0926"/>
    <w:rsid w:val="7FA73F44"/>
    <w:rsid w:val="7FB7173A"/>
    <w:rsid w:val="7FCC301A"/>
    <w:rsid w:val="7FD10FC1"/>
    <w:rsid w:val="AF3BAD60"/>
    <w:rsid w:val="C66EF444"/>
    <w:rsid w:val="CF2A0007"/>
    <w:rsid w:val="D31B75AC"/>
    <w:rsid w:val="E7FFFAE8"/>
    <w:rsid w:val="EE7D41C4"/>
    <w:rsid w:val="EFEF57DE"/>
    <w:rsid w:val="EFFEB733"/>
    <w:rsid w:val="F5EF1590"/>
    <w:rsid w:val="F7686504"/>
    <w:rsid w:val="FA974956"/>
    <w:rsid w:val="FF7DBEA6"/>
    <w:rsid w:val="FFE78CA4"/>
    <w:rsid w:val="FFFF10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iPriority="0" w:semiHidden="0" w:name="heading 8"/>
    <w:lsdException w:qFormat="1" w:unhideWhenUsed="0" w:uiPriority="0" w:semiHidden="0" w:name="heading 9"/>
    <w:lsdException w:qFormat="1" w:uiPriority="0" w:name="index 1"/>
    <w:lsdException w:qFormat="1" w:uiPriority="0" w:name="index 2"/>
    <w:lsdException w:qFormat="1" w:uiPriority="0" w:name="index 3"/>
    <w:lsdException w:qFormat="1" w:uiPriority="0" w:name="index 4"/>
    <w:lsdException w:qFormat="1" w:uiPriority="0" w:name="index 5"/>
    <w:lsdException w:qFormat="1" w:uiPriority="0" w:name="index 6"/>
    <w:lsdException w:qFormat="1" w:uiPriority="0" w:name="index 7"/>
    <w:lsdException w:qFormat="1" w:uiPriority="0"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200" w:firstLineChars="200"/>
      <w:jc w:val="both"/>
    </w:pPr>
    <w:rPr>
      <w:rFonts w:ascii="仿宋" w:hAnsi="仿宋" w:eastAsia="仿宋" w:cstheme="minorBidi"/>
      <w:kern w:val="2"/>
      <w:sz w:val="28"/>
      <w:szCs w:val="22"/>
      <w:lang w:val="en-US" w:eastAsia="zh-CN" w:bidi="ar-SA"/>
    </w:rPr>
  </w:style>
  <w:style w:type="paragraph" w:styleId="2">
    <w:name w:val="heading 1"/>
    <w:basedOn w:val="1"/>
    <w:next w:val="1"/>
    <w:link w:val="42"/>
    <w:qFormat/>
    <w:uiPriority w:val="0"/>
    <w:pPr>
      <w:keepNext/>
      <w:keepLines/>
      <w:pageBreakBefore/>
      <w:numPr>
        <w:ilvl w:val="0"/>
        <w:numId w:val="1"/>
      </w:numPr>
      <w:tabs>
        <w:tab w:val="left" w:pos="0"/>
        <w:tab w:val="left" w:pos="480"/>
      </w:tabs>
      <w:adjustRightInd w:val="0"/>
      <w:snapToGrid w:val="0"/>
      <w:spacing w:before="120" w:after="120"/>
      <w:ind w:firstLine="0" w:firstLineChars="0"/>
      <w:jc w:val="center"/>
      <w:outlineLvl w:val="0"/>
    </w:pPr>
    <w:rPr>
      <w:rFonts w:ascii="Times New Roman" w:hAnsi="Times New Roman" w:eastAsia="黑体" w:cs="Times New Roman"/>
      <w:bCs/>
      <w:kern w:val="44"/>
      <w:szCs w:val="28"/>
    </w:rPr>
  </w:style>
  <w:style w:type="paragraph" w:styleId="3">
    <w:name w:val="heading 2"/>
    <w:basedOn w:val="1"/>
    <w:next w:val="1"/>
    <w:link w:val="39"/>
    <w:autoRedefine/>
    <w:qFormat/>
    <w:uiPriority w:val="0"/>
    <w:pPr>
      <w:keepNext/>
      <w:keepLines/>
      <w:numPr>
        <w:ilvl w:val="1"/>
        <w:numId w:val="1"/>
      </w:numPr>
      <w:tabs>
        <w:tab w:val="left" w:pos="0"/>
        <w:tab w:val="left" w:pos="480"/>
      </w:tabs>
      <w:spacing w:before="120" w:after="120"/>
      <w:ind w:firstLine="0" w:firstLineChars="0"/>
      <w:jc w:val="left"/>
      <w:outlineLvl w:val="1"/>
    </w:pPr>
    <w:rPr>
      <w:rFonts w:ascii="Times New Roman" w:hAnsi="Times New Roman" w:eastAsia="黑体" w:cs="Times New Roman"/>
      <w:bCs/>
      <w:kern w:val="44"/>
      <w:szCs w:val="28"/>
    </w:rPr>
  </w:style>
  <w:style w:type="paragraph" w:styleId="4">
    <w:name w:val="heading 3"/>
    <w:basedOn w:val="1"/>
    <w:next w:val="1"/>
    <w:link w:val="40"/>
    <w:autoRedefine/>
    <w:qFormat/>
    <w:uiPriority w:val="0"/>
    <w:pPr>
      <w:keepNext/>
      <w:keepLines/>
      <w:widowControl/>
      <w:numPr>
        <w:ilvl w:val="2"/>
        <w:numId w:val="1"/>
      </w:numPr>
      <w:tabs>
        <w:tab w:val="left" w:pos="0"/>
        <w:tab w:val="left" w:pos="672"/>
      </w:tabs>
      <w:spacing w:before="120" w:after="120"/>
      <w:ind w:firstLine="0" w:firstLineChars="0"/>
      <w:jc w:val="left"/>
      <w:outlineLvl w:val="2"/>
    </w:pPr>
    <w:rPr>
      <w:rFonts w:ascii="Times New Roman" w:hAnsi="Times New Roman" w:eastAsia="黑体" w:cs="Times New Roman"/>
      <w:kern w:val="44"/>
      <w:szCs w:val="28"/>
    </w:rPr>
  </w:style>
  <w:style w:type="paragraph" w:styleId="5">
    <w:name w:val="heading 4"/>
    <w:basedOn w:val="1"/>
    <w:next w:val="1"/>
    <w:link w:val="41"/>
    <w:qFormat/>
    <w:uiPriority w:val="0"/>
    <w:pPr>
      <w:keepNext/>
      <w:keepLines/>
      <w:widowControl/>
      <w:numPr>
        <w:ilvl w:val="3"/>
        <w:numId w:val="1"/>
      </w:numPr>
      <w:tabs>
        <w:tab w:val="left" w:pos="0"/>
        <w:tab w:val="left" w:pos="912"/>
        <w:tab w:val="left" w:pos="1080"/>
      </w:tabs>
      <w:spacing w:before="120" w:after="120"/>
      <w:ind w:left="0" w:firstLine="0" w:firstLineChars="0"/>
      <w:jc w:val="left"/>
      <w:outlineLvl w:val="3"/>
    </w:pPr>
    <w:rPr>
      <w:rFonts w:ascii="Times New Roman" w:hAnsi="Times New Roman" w:eastAsia="黑体" w:cs="Times New Roman"/>
      <w:bCs/>
      <w:kern w:val="44"/>
      <w:szCs w:val="28"/>
    </w:rPr>
  </w:style>
  <w:style w:type="paragraph" w:styleId="6">
    <w:name w:val="heading 5"/>
    <w:basedOn w:val="1"/>
    <w:next w:val="1"/>
    <w:link w:val="49"/>
    <w:autoRedefine/>
    <w:qFormat/>
    <w:uiPriority w:val="0"/>
    <w:pPr>
      <w:keepNext/>
      <w:keepLines/>
      <w:widowControl/>
      <w:numPr>
        <w:ilvl w:val="4"/>
        <w:numId w:val="1"/>
      </w:numPr>
      <w:tabs>
        <w:tab w:val="left" w:pos="0"/>
        <w:tab w:val="left" w:pos="912"/>
        <w:tab w:val="left" w:pos="1080"/>
      </w:tabs>
      <w:spacing w:before="120" w:after="120"/>
      <w:ind w:left="1009" w:hanging="1009" w:firstLineChars="0"/>
      <w:jc w:val="left"/>
      <w:outlineLvl w:val="4"/>
    </w:pPr>
    <w:rPr>
      <w:rFonts w:ascii="Times New Roman" w:hAnsi="Times New Roman" w:eastAsia="黑体" w:cs="Times New Roman"/>
      <w:bCs/>
      <w:kern w:val="44"/>
      <w:szCs w:val="28"/>
    </w:rPr>
  </w:style>
  <w:style w:type="paragraph" w:styleId="7">
    <w:name w:val="heading 6"/>
    <w:basedOn w:val="1"/>
    <w:next w:val="1"/>
    <w:link w:val="50"/>
    <w:autoRedefine/>
    <w:qFormat/>
    <w:uiPriority w:val="0"/>
    <w:pPr>
      <w:keepNext/>
      <w:keepLines/>
      <w:widowControl/>
      <w:numPr>
        <w:ilvl w:val="5"/>
        <w:numId w:val="1"/>
      </w:numPr>
      <w:spacing w:before="120" w:after="120"/>
      <w:ind w:left="0" w:firstLine="0" w:firstLineChars="0"/>
      <w:jc w:val="left"/>
      <w:outlineLvl w:val="5"/>
    </w:pPr>
    <w:rPr>
      <w:rFonts w:ascii="Times New Roman" w:hAnsi="Times New Roman" w:eastAsia="黑体" w:cs="Times New Roman"/>
      <w:bCs/>
      <w:kern w:val="44"/>
      <w:szCs w:val="28"/>
    </w:rPr>
  </w:style>
  <w:style w:type="paragraph" w:styleId="8">
    <w:name w:val="heading 7"/>
    <w:basedOn w:val="1"/>
    <w:next w:val="1"/>
    <w:link w:val="45"/>
    <w:autoRedefine/>
    <w:qFormat/>
    <w:uiPriority w:val="0"/>
    <w:pPr>
      <w:keepNext/>
      <w:keepLines/>
      <w:widowControl/>
      <w:numPr>
        <w:ilvl w:val="6"/>
        <w:numId w:val="1"/>
      </w:numPr>
      <w:spacing w:before="120" w:after="120"/>
      <w:ind w:left="1298" w:hanging="1298" w:firstLineChars="0"/>
      <w:jc w:val="left"/>
      <w:outlineLvl w:val="6"/>
    </w:pPr>
    <w:rPr>
      <w:rFonts w:ascii="Times New Roman" w:hAnsi="Times New Roman" w:eastAsia="黑体" w:cs="Times New Roman"/>
      <w:bCs/>
      <w:kern w:val="44"/>
      <w:szCs w:val="28"/>
    </w:rPr>
  </w:style>
  <w:style w:type="paragraph" w:styleId="9">
    <w:name w:val="heading 8"/>
    <w:basedOn w:val="1"/>
    <w:next w:val="1"/>
    <w:link w:val="43"/>
    <w:autoRedefine/>
    <w:unhideWhenUsed/>
    <w:qFormat/>
    <w:uiPriority w:val="0"/>
    <w:pPr>
      <w:keepNext/>
      <w:keepLines/>
      <w:numPr>
        <w:ilvl w:val="7"/>
        <w:numId w:val="1"/>
      </w:numPr>
      <w:tabs>
        <w:tab w:val="left" w:pos="0"/>
        <w:tab w:val="left" w:pos="210"/>
      </w:tabs>
      <w:ind w:left="0" w:firstLine="0" w:firstLineChars="0"/>
      <w:jc w:val="center"/>
      <w:outlineLvl w:val="7"/>
    </w:pPr>
    <w:rPr>
      <w:rFonts w:ascii="Times New Roman" w:hAnsi="Times New Roman" w:eastAsia="黑体" w:cs="Times New Roman"/>
      <w:szCs w:val="24"/>
    </w:rPr>
  </w:style>
  <w:style w:type="paragraph" w:styleId="10">
    <w:name w:val="heading 9"/>
    <w:basedOn w:val="1"/>
    <w:next w:val="1"/>
    <w:link w:val="44"/>
    <w:autoRedefine/>
    <w:qFormat/>
    <w:uiPriority w:val="0"/>
    <w:pPr>
      <w:keepLines/>
      <w:widowControl/>
      <w:numPr>
        <w:ilvl w:val="8"/>
        <w:numId w:val="1"/>
      </w:numPr>
      <w:tabs>
        <w:tab w:val="left" w:pos="0"/>
        <w:tab w:val="left" w:pos="105"/>
      </w:tabs>
      <w:ind w:firstLineChars="0"/>
      <w:jc w:val="center"/>
      <w:outlineLvl w:val="8"/>
    </w:pPr>
    <w:rPr>
      <w:rFonts w:ascii="Times New Roman" w:hAnsi="Times New Roman" w:eastAsia="宋体" w:cs="Times New Roman"/>
      <w:b/>
      <w:szCs w:val="24"/>
    </w:rPr>
  </w:style>
  <w:style w:type="character" w:default="1" w:styleId="33">
    <w:name w:val="Default Paragraph Font"/>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autoRedefine/>
    <w:unhideWhenUsed/>
    <w:qFormat/>
    <w:uiPriority w:val="39"/>
    <w:pPr>
      <w:ind w:left="1680"/>
      <w:jc w:val="left"/>
    </w:pPr>
    <w:rPr>
      <w:rFonts w:asciiTheme="minorHAnsi" w:eastAsiaTheme="minorHAnsi"/>
      <w:sz w:val="18"/>
      <w:szCs w:val="18"/>
    </w:rPr>
  </w:style>
  <w:style w:type="paragraph" w:styleId="12">
    <w:name w:val="Normal Indent"/>
    <w:basedOn w:val="1"/>
    <w:autoRedefine/>
    <w:qFormat/>
    <w:uiPriority w:val="0"/>
    <w:pPr>
      <w:ind w:firstLine="420"/>
    </w:pPr>
    <w:rPr>
      <w:rFonts w:asciiTheme="minorHAnsi" w:hAnsiTheme="minorHAnsi"/>
      <w:sz w:val="21"/>
    </w:rPr>
  </w:style>
  <w:style w:type="paragraph" w:styleId="13">
    <w:name w:val="annotation text"/>
    <w:basedOn w:val="1"/>
    <w:link w:val="65"/>
    <w:autoRedefine/>
    <w:qFormat/>
    <w:uiPriority w:val="0"/>
  </w:style>
  <w:style w:type="paragraph" w:styleId="14">
    <w:name w:val="Body Text"/>
    <w:basedOn w:val="1"/>
    <w:autoRedefine/>
    <w:qFormat/>
    <w:uiPriority w:val="1"/>
    <w:pPr>
      <w:spacing w:before="55"/>
      <w:ind w:left="122"/>
      <w:jc w:val="left"/>
    </w:pPr>
    <w:rPr>
      <w:kern w:val="0"/>
      <w:lang w:eastAsia="en-US"/>
    </w:rPr>
  </w:style>
  <w:style w:type="paragraph" w:styleId="15">
    <w:name w:val="Body Text Indent"/>
    <w:basedOn w:val="1"/>
    <w:next w:val="1"/>
    <w:autoRedefine/>
    <w:unhideWhenUsed/>
    <w:qFormat/>
    <w:uiPriority w:val="99"/>
    <w:pPr>
      <w:spacing w:after="120"/>
      <w:ind w:left="420" w:leftChars="200"/>
    </w:pPr>
  </w:style>
  <w:style w:type="paragraph" w:styleId="16">
    <w:name w:val="toc 5"/>
    <w:basedOn w:val="1"/>
    <w:next w:val="1"/>
    <w:autoRedefine/>
    <w:unhideWhenUsed/>
    <w:qFormat/>
    <w:uiPriority w:val="39"/>
    <w:pPr>
      <w:ind w:left="1120"/>
      <w:jc w:val="left"/>
    </w:pPr>
    <w:rPr>
      <w:rFonts w:asciiTheme="minorHAnsi" w:eastAsiaTheme="minorHAnsi"/>
      <w:sz w:val="18"/>
      <w:szCs w:val="18"/>
    </w:rPr>
  </w:style>
  <w:style w:type="paragraph" w:styleId="17">
    <w:name w:val="toc 3"/>
    <w:basedOn w:val="1"/>
    <w:next w:val="1"/>
    <w:autoRedefine/>
    <w:unhideWhenUsed/>
    <w:qFormat/>
    <w:uiPriority w:val="39"/>
    <w:pPr>
      <w:ind w:left="560"/>
      <w:jc w:val="left"/>
    </w:pPr>
    <w:rPr>
      <w:rFonts w:asciiTheme="minorHAnsi" w:eastAsiaTheme="minorHAnsi"/>
      <w:i/>
      <w:iCs/>
      <w:sz w:val="20"/>
      <w:szCs w:val="20"/>
    </w:rPr>
  </w:style>
  <w:style w:type="paragraph" w:styleId="18">
    <w:name w:val="Plain Text"/>
    <w:basedOn w:val="1"/>
    <w:next w:val="1"/>
    <w:autoRedefine/>
    <w:qFormat/>
    <w:uiPriority w:val="0"/>
    <w:pPr>
      <w:spacing w:line="240" w:lineRule="auto"/>
    </w:pPr>
    <w:rPr>
      <w:rFonts w:ascii="宋体" w:hAnsi="Courier New" w:cs="Times New Roman"/>
      <w:sz w:val="21"/>
      <w:szCs w:val="20"/>
    </w:rPr>
  </w:style>
  <w:style w:type="paragraph" w:styleId="19">
    <w:name w:val="toc 8"/>
    <w:basedOn w:val="1"/>
    <w:next w:val="1"/>
    <w:autoRedefine/>
    <w:unhideWhenUsed/>
    <w:qFormat/>
    <w:uiPriority w:val="39"/>
    <w:pPr>
      <w:ind w:left="1960"/>
      <w:jc w:val="left"/>
    </w:pPr>
    <w:rPr>
      <w:rFonts w:asciiTheme="minorHAnsi" w:eastAsiaTheme="minorHAnsi"/>
      <w:sz w:val="18"/>
      <w:szCs w:val="18"/>
    </w:rPr>
  </w:style>
  <w:style w:type="paragraph" w:styleId="20">
    <w:name w:val="Balloon Text"/>
    <w:basedOn w:val="1"/>
    <w:link w:val="68"/>
    <w:semiHidden/>
    <w:unhideWhenUsed/>
    <w:qFormat/>
    <w:uiPriority w:val="99"/>
    <w:pPr>
      <w:spacing w:line="240" w:lineRule="auto"/>
    </w:pPr>
    <w:rPr>
      <w:sz w:val="18"/>
      <w:szCs w:val="18"/>
    </w:rPr>
  </w:style>
  <w:style w:type="paragraph" w:styleId="21">
    <w:name w:val="footer"/>
    <w:basedOn w:val="1"/>
    <w:link w:val="70"/>
    <w:autoRedefine/>
    <w:unhideWhenUsed/>
    <w:qFormat/>
    <w:uiPriority w:val="99"/>
    <w:pPr>
      <w:tabs>
        <w:tab w:val="center" w:pos="4153"/>
        <w:tab w:val="right" w:pos="8306"/>
      </w:tabs>
      <w:snapToGrid w:val="0"/>
      <w:jc w:val="left"/>
    </w:pPr>
    <w:rPr>
      <w:sz w:val="18"/>
      <w:szCs w:val="18"/>
    </w:rPr>
  </w:style>
  <w:style w:type="paragraph" w:styleId="22">
    <w:name w:val="header"/>
    <w:basedOn w:val="1"/>
    <w:autoRedefine/>
    <w:unhideWhenUsed/>
    <w:qFormat/>
    <w:uiPriority w:val="99"/>
    <w:pPr>
      <w:pBdr>
        <w:bottom w:val="single" w:color="auto" w:sz="6" w:space="1"/>
      </w:pBdr>
      <w:tabs>
        <w:tab w:val="center" w:pos="4153"/>
        <w:tab w:val="right" w:pos="8306"/>
      </w:tabs>
      <w:snapToGrid w:val="0"/>
      <w:jc w:val="center"/>
    </w:pPr>
    <w:rPr>
      <w:rFonts w:ascii="Times New Roman" w:hAnsi="Times New Roman"/>
      <w:sz w:val="24"/>
      <w:szCs w:val="18"/>
    </w:rPr>
  </w:style>
  <w:style w:type="paragraph" w:styleId="23">
    <w:name w:val="toc 1"/>
    <w:basedOn w:val="1"/>
    <w:next w:val="1"/>
    <w:autoRedefine/>
    <w:unhideWhenUsed/>
    <w:qFormat/>
    <w:uiPriority w:val="39"/>
    <w:pPr>
      <w:spacing w:before="120" w:after="120"/>
      <w:jc w:val="left"/>
    </w:pPr>
    <w:rPr>
      <w:rFonts w:asciiTheme="minorHAnsi" w:eastAsiaTheme="minorHAnsi"/>
      <w:b/>
      <w:bCs/>
      <w:caps/>
      <w:sz w:val="20"/>
      <w:szCs w:val="20"/>
    </w:rPr>
  </w:style>
  <w:style w:type="paragraph" w:styleId="24">
    <w:name w:val="toc 4"/>
    <w:basedOn w:val="1"/>
    <w:next w:val="1"/>
    <w:autoRedefine/>
    <w:unhideWhenUsed/>
    <w:qFormat/>
    <w:uiPriority w:val="39"/>
    <w:pPr>
      <w:ind w:left="840"/>
      <w:jc w:val="left"/>
    </w:pPr>
    <w:rPr>
      <w:rFonts w:asciiTheme="minorHAnsi" w:eastAsiaTheme="minorHAnsi"/>
      <w:sz w:val="18"/>
      <w:szCs w:val="18"/>
    </w:rPr>
  </w:style>
  <w:style w:type="paragraph" w:styleId="25">
    <w:name w:val="toc 6"/>
    <w:basedOn w:val="1"/>
    <w:next w:val="1"/>
    <w:autoRedefine/>
    <w:unhideWhenUsed/>
    <w:qFormat/>
    <w:uiPriority w:val="39"/>
    <w:pPr>
      <w:ind w:left="1400"/>
      <w:jc w:val="left"/>
    </w:pPr>
    <w:rPr>
      <w:rFonts w:asciiTheme="minorHAnsi" w:eastAsiaTheme="minorHAnsi"/>
      <w:sz w:val="18"/>
      <w:szCs w:val="18"/>
    </w:rPr>
  </w:style>
  <w:style w:type="paragraph" w:styleId="26">
    <w:name w:val="toc 2"/>
    <w:basedOn w:val="1"/>
    <w:next w:val="1"/>
    <w:autoRedefine/>
    <w:unhideWhenUsed/>
    <w:qFormat/>
    <w:uiPriority w:val="39"/>
    <w:pPr>
      <w:ind w:left="280"/>
      <w:jc w:val="left"/>
    </w:pPr>
    <w:rPr>
      <w:rFonts w:asciiTheme="minorHAnsi" w:eastAsiaTheme="minorHAnsi"/>
      <w:smallCaps/>
      <w:sz w:val="20"/>
      <w:szCs w:val="20"/>
    </w:rPr>
  </w:style>
  <w:style w:type="paragraph" w:styleId="27">
    <w:name w:val="toc 9"/>
    <w:basedOn w:val="1"/>
    <w:next w:val="1"/>
    <w:autoRedefine/>
    <w:unhideWhenUsed/>
    <w:qFormat/>
    <w:uiPriority w:val="39"/>
    <w:pPr>
      <w:ind w:left="2240"/>
      <w:jc w:val="left"/>
    </w:pPr>
    <w:rPr>
      <w:rFonts w:asciiTheme="minorHAnsi" w:eastAsiaTheme="minorHAnsi"/>
      <w:sz w:val="18"/>
      <w:szCs w:val="18"/>
    </w:rPr>
  </w:style>
  <w:style w:type="paragraph" w:styleId="28">
    <w:name w:val="Normal (Web)"/>
    <w:basedOn w:val="1"/>
    <w:autoRedefine/>
    <w:qFormat/>
    <w:uiPriority w:val="0"/>
    <w:pPr>
      <w:spacing w:beforeAutospacing="1" w:afterAutospacing="1"/>
      <w:jc w:val="left"/>
    </w:pPr>
    <w:rPr>
      <w:rFonts w:cs="Times New Roman"/>
      <w:kern w:val="0"/>
      <w:sz w:val="24"/>
    </w:rPr>
  </w:style>
  <w:style w:type="paragraph" w:styleId="29">
    <w:name w:val="annotation subject"/>
    <w:basedOn w:val="13"/>
    <w:next w:val="13"/>
    <w:link w:val="66"/>
    <w:semiHidden/>
    <w:unhideWhenUsed/>
    <w:qFormat/>
    <w:uiPriority w:val="99"/>
    <w:pPr>
      <w:jc w:val="left"/>
    </w:pPr>
    <w:rPr>
      <w:b/>
      <w:bCs/>
    </w:rPr>
  </w:style>
  <w:style w:type="paragraph" w:styleId="30">
    <w:name w:val="Body Text First Indent 2"/>
    <w:basedOn w:val="15"/>
    <w:next w:val="15"/>
    <w:autoRedefine/>
    <w:unhideWhenUsed/>
    <w:qFormat/>
    <w:uiPriority w:val="99"/>
    <w:pPr>
      <w:spacing w:after="0"/>
      <w:ind w:left="0" w:leftChars="0"/>
    </w:pPr>
  </w:style>
  <w:style w:type="table" w:styleId="32">
    <w:name w:val="Table Grid"/>
    <w:basedOn w:val="3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4">
    <w:name w:val="Strong"/>
    <w:basedOn w:val="33"/>
    <w:qFormat/>
    <w:uiPriority w:val="0"/>
    <w:rPr>
      <w:b/>
    </w:rPr>
  </w:style>
  <w:style w:type="character" w:styleId="35">
    <w:name w:val="Emphasis"/>
    <w:basedOn w:val="33"/>
    <w:qFormat/>
    <w:uiPriority w:val="20"/>
    <w:rPr>
      <w:i/>
    </w:rPr>
  </w:style>
  <w:style w:type="character" w:styleId="36">
    <w:name w:val="Hyperlink"/>
    <w:basedOn w:val="33"/>
    <w:unhideWhenUsed/>
    <w:qFormat/>
    <w:uiPriority w:val="99"/>
    <w:rPr>
      <w:color w:val="0563C1" w:themeColor="hyperlink"/>
      <w:u w:val="single"/>
      <w14:textFill>
        <w14:solidFill>
          <w14:schemeClr w14:val="hlink"/>
        </w14:solidFill>
      </w14:textFill>
    </w:rPr>
  </w:style>
  <w:style w:type="character" w:styleId="37">
    <w:name w:val="annotation reference"/>
    <w:basedOn w:val="33"/>
    <w:semiHidden/>
    <w:unhideWhenUsed/>
    <w:qFormat/>
    <w:uiPriority w:val="99"/>
    <w:rPr>
      <w:sz w:val="21"/>
      <w:szCs w:val="21"/>
    </w:rPr>
  </w:style>
  <w:style w:type="paragraph" w:styleId="38">
    <w:name w:val="List Paragraph"/>
    <w:basedOn w:val="1"/>
    <w:qFormat/>
    <w:uiPriority w:val="34"/>
    <w:pPr>
      <w:ind w:firstLine="420"/>
    </w:pPr>
  </w:style>
  <w:style w:type="character" w:customStyle="1" w:styleId="39">
    <w:name w:val="标题 2 字符"/>
    <w:link w:val="3"/>
    <w:autoRedefine/>
    <w:qFormat/>
    <w:uiPriority w:val="0"/>
    <w:rPr>
      <w:rFonts w:eastAsia="黑体"/>
      <w:bCs/>
      <w:kern w:val="44"/>
      <w:sz w:val="28"/>
      <w:szCs w:val="28"/>
    </w:rPr>
  </w:style>
  <w:style w:type="character" w:customStyle="1" w:styleId="40">
    <w:name w:val="标题 3 字符"/>
    <w:link w:val="4"/>
    <w:autoRedefine/>
    <w:qFormat/>
    <w:uiPriority w:val="0"/>
    <w:rPr>
      <w:rFonts w:eastAsia="黑体"/>
      <w:kern w:val="44"/>
      <w:sz w:val="28"/>
      <w:szCs w:val="28"/>
    </w:rPr>
  </w:style>
  <w:style w:type="character" w:customStyle="1" w:styleId="41">
    <w:name w:val="标题 4 字符"/>
    <w:basedOn w:val="33"/>
    <w:link w:val="5"/>
    <w:autoRedefine/>
    <w:qFormat/>
    <w:uiPriority w:val="0"/>
    <w:rPr>
      <w:rFonts w:eastAsia="黑体"/>
      <w:bCs/>
      <w:kern w:val="44"/>
      <w:sz w:val="28"/>
      <w:szCs w:val="28"/>
    </w:rPr>
  </w:style>
  <w:style w:type="character" w:customStyle="1" w:styleId="42">
    <w:name w:val="标题 1 字符"/>
    <w:basedOn w:val="33"/>
    <w:link w:val="2"/>
    <w:autoRedefine/>
    <w:qFormat/>
    <w:uiPriority w:val="0"/>
    <w:rPr>
      <w:rFonts w:eastAsia="黑体"/>
      <w:bCs/>
      <w:kern w:val="44"/>
      <w:sz w:val="28"/>
      <w:szCs w:val="28"/>
    </w:rPr>
  </w:style>
  <w:style w:type="character" w:customStyle="1" w:styleId="43">
    <w:name w:val="标题 8 字符"/>
    <w:basedOn w:val="33"/>
    <w:link w:val="9"/>
    <w:autoRedefine/>
    <w:qFormat/>
    <w:uiPriority w:val="0"/>
    <w:rPr>
      <w:rFonts w:eastAsia="黑体"/>
      <w:kern w:val="2"/>
      <w:sz w:val="28"/>
      <w:szCs w:val="24"/>
    </w:rPr>
  </w:style>
  <w:style w:type="character" w:customStyle="1" w:styleId="44">
    <w:name w:val="标题 9 字符"/>
    <w:basedOn w:val="33"/>
    <w:link w:val="10"/>
    <w:autoRedefine/>
    <w:qFormat/>
    <w:uiPriority w:val="0"/>
    <w:rPr>
      <w:b/>
      <w:kern w:val="2"/>
      <w:sz w:val="28"/>
      <w:szCs w:val="24"/>
    </w:rPr>
  </w:style>
  <w:style w:type="character" w:customStyle="1" w:styleId="45">
    <w:name w:val="标题 7 字符"/>
    <w:basedOn w:val="33"/>
    <w:link w:val="8"/>
    <w:autoRedefine/>
    <w:qFormat/>
    <w:uiPriority w:val="0"/>
    <w:rPr>
      <w:rFonts w:eastAsia="黑体"/>
      <w:bCs/>
      <w:kern w:val="44"/>
      <w:sz w:val="28"/>
      <w:szCs w:val="28"/>
    </w:rPr>
  </w:style>
  <w:style w:type="paragraph" w:customStyle="1" w:styleId="46">
    <w:name w:val="表格编号"/>
    <w:basedOn w:val="1"/>
    <w:next w:val="1"/>
    <w:autoRedefine/>
    <w:qFormat/>
    <w:uiPriority w:val="0"/>
    <w:pPr>
      <w:numPr>
        <w:ilvl w:val="0"/>
        <w:numId w:val="2"/>
      </w:numPr>
      <w:ind w:firstLine="0" w:firstLineChars="0"/>
      <w:jc w:val="center"/>
    </w:pPr>
    <w:rPr>
      <w:rFonts w:hint="eastAsia" w:ascii="Times New Roman" w:hAnsi="Times New Roman" w:eastAsia="黑体"/>
    </w:rPr>
  </w:style>
  <w:style w:type="paragraph" w:customStyle="1" w:styleId="47">
    <w:name w:val="表格样式"/>
    <w:basedOn w:val="1"/>
    <w:qFormat/>
    <w:uiPriority w:val="0"/>
    <w:pPr>
      <w:spacing w:line="240" w:lineRule="auto"/>
      <w:ind w:firstLine="0" w:firstLineChars="0"/>
      <w:jc w:val="center"/>
      <w:textAlignment w:val="center"/>
    </w:pPr>
    <w:rPr>
      <w:rFonts w:ascii="Times New Roman" w:hAnsi="Times New Roman"/>
      <w:sz w:val="24"/>
      <w:szCs w:val="24"/>
    </w:rPr>
  </w:style>
  <w:style w:type="paragraph" w:customStyle="1" w:styleId="48">
    <w:name w:val="图片编号"/>
    <w:basedOn w:val="1"/>
    <w:next w:val="1"/>
    <w:autoRedefine/>
    <w:qFormat/>
    <w:uiPriority w:val="0"/>
    <w:pPr>
      <w:numPr>
        <w:ilvl w:val="0"/>
        <w:numId w:val="3"/>
      </w:numPr>
      <w:ind w:firstLine="0"/>
      <w:jc w:val="center"/>
    </w:pPr>
    <w:rPr>
      <w:rFonts w:eastAsia="黑体"/>
    </w:rPr>
  </w:style>
  <w:style w:type="character" w:customStyle="1" w:styleId="49">
    <w:name w:val="标题 5 字符"/>
    <w:basedOn w:val="33"/>
    <w:link w:val="6"/>
    <w:autoRedefine/>
    <w:qFormat/>
    <w:uiPriority w:val="0"/>
    <w:rPr>
      <w:rFonts w:eastAsia="黑体"/>
      <w:bCs/>
      <w:kern w:val="44"/>
      <w:sz w:val="28"/>
      <w:szCs w:val="28"/>
    </w:rPr>
  </w:style>
  <w:style w:type="character" w:customStyle="1" w:styleId="50">
    <w:name w:val="标题 6 字符"/>
    <w:basedOn w:val="33"/>
    <w:link w:val="7"/>
    <w:autoRedefine/>
    <w:qFormat/>
    <w:uiPriority w:val="0"/>
    <w:rPr>
      <w:rFonts w:eastAsia="黑体"/>
      <w:bCs/>
      <w:kern w:val="44"/>
      <w:sz w:val="28"/>
      <w:szCs w:val="28"/>
    </w:rPr>
  </w:style>
  <w:style w:type="paragraph" w:customStyle="1" w:styleId="51">
    <w:name w:val="封面上部"/>
    <w:basedOn w:val="1"/>
    <w:autoRedefine/>
    <w:qFormat/>
    <w:uiPriority w:val="0"/>
    <w:pPr>
      <w:tabs>
        <w:tab w:val="left" w:pos="8280"/>
      </w:tabs>
      <w:adjustRightInd w:val="0"/>
      <w:ind w:right="26" w:firstLine="0" w:firstLineChars="0"/>
      <w:jc w:val="center"/>
      <w:outlineLvl w:val="0"/>
    </w:pPr>
    <w:rPr>
      <w:rFonts w:ascii="Arial" w:eastAsia="黑体"/>
      <w:color w:val="000000"/>
      <w:kern w:val="0"/>
      <w:sz w:val="32"/>
      <w:szCs w:val="20"/>
    </w:rPr>
  </w:style>
  <w:style w:type="paragraph" w:customStyle="1" w:styleId="52">
    <w:name w:val="01正文"/>
    <w:basedOn w:val="1"/>
    <w:autoRedefine/>
    <w:qFormat/>
    <w:uiPriority w:val="0"/>
    <w:pPr>
      <w:numPr>
        <w:ilvl w:val="0"/>
        <w:numId w:val="4"/>
      </w:numPr>
      <w:ind w:right="280" w:rightChars="100" w:firstLine="0" w:firstLineChars="0"/>
    </w:pPr>
    <w:rPr>
      <w:rFonts w:hint="eastAsia"/>
    </w:rPr>
  </w:style>
  <w:style w:type="paragraph" w:customStyle="1" w:styleId="53">
    <w:name w:val="封面中部"/>
    <w:basedOn w:val="1"/>
    <w:autoRedefine/>
    <w:qFormat/>
    <w:uiPriority w:val="0"/>
    <w:pPr>
      <w:adjustRightInd w:val="0"/>
      <w:ind w:right="26" w:firstLine="0" w:firstLineChars="0"/>
      <w:outlineLvl w:val="0"/>
    </w:pPr>
    <w:rPr>
      <w:rFonts w:ascii="Arial"/>
      <w:color w:val="000000"/>
      <w:kern w:val="0"/>
      <w:sz w:val="32"/>
      <w:szCs w:val="20"/>
    </w:rPr>
  </w:style>
  <w:style w:type="paragraph" w:customStyle="1" w:styleId="54">
    <w:name w:val="图片"/>
    <w:basedOn w:val="1"/>
    <w:autoRedefine/>
    <w:qFormat/>
    <w:uiPriority w:val="0"/>
    <w:pPr>
      <w:ind w:firstLine="0" w:firstLineChars="0"/>
      <w:jc w:val="center"/>
    </w:pPr>
  </w:style>
  <w:style w:type="paragraph" w:customStyle="1" w:styleId="55">
    <w:name w:val="文件标题"/>
    <w:basedOn w:val="1"/>
    <w:autoRedefine/>
    <w:qFormat/>
    <w:uiPriority w:val="0"/>
    <w:pPr>
      <w:ind w:firstLine="0" w:firstLineChars="0"/>
      <w:jc w:val="center"/>
    </w:pPr>
    <w:rPr>
      <w:rFonts w:hint="eastAsia"/>
      <w:b/>
      <w:bCs/>
      <w:szCs w:val="28"/>
    </w:rPr>
  </w:style>
  <w:style w:type="table" w:customStyle="1" w:styleId="56">
    <w:name w:val="Table Normal"/>
    <w:autoRedefine/>
    <w:semiHidden/>
    <w:unhideWhenUsed/>
    <w:qFormat/>
    <w:uiPriority w:val="0"/>
    <w:tblPr>
      <w:tblCellMar>
        <w:top w:w="0" w:type="dxa"/>
        <w:left w:w="0" w:type="dxa"/>
        <w:bottom w:w="0" w:type="dxa"/>
        <w:right w:w="0" w:type="dxa"/>
      </w:tblCellMar>
    </w:tblPr>
  </w:style>
  <w:style w:type="character" w:customStyle="1" w:styleId="57">
    <w:name w:val="font31"/>
    <w:basedOn w:val="33"/>
    <w:autoRedefine/>
    <w:qFormat/>
    <w:uiPriority w:val="0"/>
    <w:rPr>
      <w:rFonts w:hint="eastAsia" w:ascii="宋体" w:hAnsi="宋体" w:eastAsia="宋体" w:cs="宋体"/>
      <w:color w:val="000000"/>
      <w:sz w:val="24"/>
      <w:szCs w:val="24"/>
      <w:u w:val="none"/>
    </w:rPr>
  </w:style>
  <w:style w:type="paragraph" w:customStyle="1" w:styleId="58">
    <w:name w:val="！正文"/>
    <w:basedOn w:val="1"/>
    <w:autoRedefine/>
    <w:qFormat/>
    <w:uiPriority w:val="0"/>
    <w:pPr>
      <w:ind w:right="210" w:rightChars="100"/>
    </w:pPr>
    <w:rPr>
      <w:rFonts w:ascii="宋体" w:hAnsi="宋体"/>
    </w:rPr>
  </w:style>
  <w:style w:type="paragraph" w:customStyle="1" w:styleId="59">
    <w:name w:val="附表编号1"/>
    <w:basedOn w:val="1"/>
    <w:next w:val="1"/>
    <w:autoRedefine/>
    <w:qFormat/>
    <w:uiPriority w:val="0"/>
    <w:pPr>
      <w:keepNext/>
      <w:keepLines/>
      <w:numPr>
        <w:ilvl w:val="1"/>
        <w:numId w:val="5"/>
      </w:numPr>
      <w:spacing w:before="120" w:after="120"/>
      <w:ind w:left="0" w:firstLine="0" w:firstLineChars="0"/>
      <w:jc w:val="left"/>
      <w:outlineLvl w:val="1"/>
    </w:pPr>
    <w:rPr>
      <w:rFonts w:hint="eastAsia" w:ascii="Times New Roman" w:hAnsi="Times New Roman" w:eastAsia="黑体" w:cs="Times New Roman"/>
      <w:bCs/>
      <w:kern w:val="44"/>
      <w:szCs w:val="28"/>
    </w:rPr>
  </w:style>
  <w:style w:type="paragraph" w:customStyle="1" w:styleId="60">
    <w:name w:val="附表编号2"/>
    <w:basedOn w:val="1"/>
    <w:next w:val="1"/>
    <w:autoRedefine/>
    <w:qFormat/>
    <w:uiPriority w:val="0"/>
    <w:pPr>
      <w:keepNext/>
      <w:keepLines/>
      <w:widowControl/>
      <w:numPr>
        <w:ilvl w:val="2"/>
        <w:numId w:val="5"/>
      </w:numPr>
      <w:tabs>
        <w:tab w:val="left" w:pos="0"/>
        <w:tab w:val="left" w:pos="672"/>
      </w:tabs>
      <w:spacing w:before="120" w:after="120"/>
      <w:ind w:left="0" w:firstLine="0" w:firstLineChars="0"/>
      <w:jc w:val="left"/>
      <w:outlineLvl w:val="2"/>
    </w:pPr>
    <w:rPr>
      <w:rFonts w:hint="eastAsia" w:ascii="Times New Roman" w:hAnsi="Times New Roman" w:eastAsia="黑体" w:cs="Times New Roman"/>
      <w:kern w:val="44"/>
      <w:szCs w:val="28"/>
    </w:rPr>
  </w:style>
  <w:style w:type="paragraph" w:customStyle="1" w:styleId="61">
    <w:name w:val="附表"/>
    <w:basedOn w:val="1"/>
    <w:autoRedefine/>
    <w:qFormat/>
    <w:uiPriority w:val="0"/>
    <w:pPr>
      <w:numPr>
        <w:ilvl w:val="0"/>
        <w:numId w:val="6"/>
      </w:numPr>
      <w:ind w:firstLine="0" w:firstLineChars="0"/>
    </w:pPr>
  </w:style>
  <w:style w:type="character" w:customStyle="1" w:styleId="62">
    <w:name w:val="font21"/>
    <w:basedOn w:val="33"/>
    <w:qFormat/>
    <w:uiPriority w:val="0"/>
    <w:rPr>
      <w:rFonts w:hint="eastAsia" w:ascii="仿宋" w:hAnsi="仿宋" w:eastAsia="仿宋" w:cs="仿宋"/>
      <w:b/>
      <w:bCs/>
      <w:color w:val="000000"/>
      <w:sz w:val="24"/>
      <w:szCs w:val="24"/>
      <w:u w:val="none"/>
    </w:rPr>
  </w:style>
  <w:style w:type="paragraph" w:customStyle="1" w:styleId="63">
    <w:name w:val="my正文"/>
    <w:basedOn w:val="1"/>
    <w:autoRedefine/>
    <w:qFormat/>
    <w:uiPriority w:val="0"/>
    <w:pPr>
      <w:ind w:firstLine="480"/>
    </w:pPr>
    <w:rPr>
      <w:rFonts w:ascii="Times New Roman" w:hAnsi="Times New Roman"/>
      <w:kern w:val="0"/>
    </w:rPr>
  </w:style>
  <w:style w:type="character" w:customStyle="1" w:styleId="64">
    <w:name w:val="未处理的提及1"/>
    <w:basedOn w:val="33"/>
    <w:semiHidden/>
    <w:unhideWhenUsed/>
    <w:qFormat/>
    <w:uiPriority w:val="99"/>
    <w:rPr>
      <w:color w:val="605E5C"/>
      <w:shd w:val="clear" w:color="auto" w:fill="E1DFDD"/>
    </w:rPr>
  </w:style>
  <w:style w:type="character" w:customStyle="1" w:styleId="65">
    <w:name w:val="批注文字 字符"/>
    <w:basedOn w:val="33"/>
    <w:link w:val="13"/>
    <w:qFormat/>
    <w:uiPriority w:val="0"/>
    <w:rPr>
      <w:rFonts w:ascii="仿宋" w:hAnsi="仿宋" w:eastAsia="仿宋" w:cstheme="minorBidi"/>
      <w:kern w:val="2"/>
      <w:sz w:val="28"/>
      <w:szCs w:val="22"/>
    </w:rPr>
  </w:style>
  <w:style w:type="character" w:customStyle="1" w:styleId="66">
    <w:name w:val="批注主题 字符"/>
    <w:basedOn w:val="65"/>
    <w:link w:val="29"/>
    <w:semiHidden/>
    <w:qFormat/>
    <w:uiPriority w:val="99"/>
    <w:rPr>
      <w:rFonts w:ascii="仿宋" w:hAnsi="仿宋" w:eastAsia="仿宋" w:cstheme="minorBidi"/>
      <w:b/>
      <w:bCs/>
      <w:kern w:val="2"/>
      <w:sz w:val="28"/>
      <w:szCs w:val="22"/>
    </w:rPr>
  </w:style>
  <w:style w:type="character" w:customStyle="1" w:styleId="67">
    <w:name w:val="书籍标题1"/>
    <w:basedOn w:val="33"/>
    <w:qFormat/>
    <w:uiPriority w:val="33"/>
    <w:rPr>
      <w:b/>
      <w:bCs/>
      <w:i/>
      <w:iCs/>
      <w:spacing w:val="5"/>
    </w:rPr>
  </w:style>
  <w:style w:type="character" w:customStyle="1" w:styleId="68">
    <w:name w:val="批注框文本 字符"/>
    <w:basedOn w:val="33"/>
    <w:link w:val="20"/>
    <w:semiHidden/>
    <w:qFormat/>
    <w:uiPriority w:val="99"/>
    <w:rPr>
      <w:rFonts w:ascii="仿宋" w:hAnsi="仿宋" w:eastAsia="仿宋" w:cstheme="minorBidi"/>
      <w:kern w:val="2"/>
      <w:sz w:val="18"/>
      <w:szCs w:val="18"/>
    </w:rPr>
  </w:style>
  <w:style w:type="paragraph" w:customStyle="1" w:styleId="69">
    <w:name w:val="TOC 标题1"/>
    <w:basedOn w:val="2"/>
    <w:next w:val="1"/>
    <w:unhideWhenUsed/>
    <w:qFormat/>
    <w:uiPriority w:val="39"/>
    <w:pPr>
      <w:pageBreakBefore w:val="0"/>
      <w:widowControl/>
      <w:numPr>
        <w:numId w:val="0"/>
      </w:numPr>
      <w:tabs>
        <w:tab w:val="clear" w:pos="0"/>
        <w:tab w:val="clear" w:pos="480"/>
      </w:tabs>
      <w:adjustRightInd/>
      <w:snapToGrid/>
      <w:spacing w:before="240" w:after="0" w:line="259" w:lineRule="auto"/>
      <w:jc w:val="left"/>
      <w:outlineLvl w:val="9"/>
    </w:pPr>
    <w:rPr>
      <w:rFonts w:asciiTheme="majorHAnsi" w:hAnsiTheme="majorHAnsi" w:eastAsiaTheme="majorEastAsia" w:cstheme="majorBidi"/>
      <w:bCs w:val="0"/>
      <w:color w:val="2F5597" w:themeColor="accent1" w:themeShade="BF"/>
      <w:kern w:val="0"/>
      <w:sz w:val="32"/>
      <w:szCs w:val="32"/>
    </w:rPr>
  </w:style>
  <w:style w:type="character" w:customStyle="1" w:styleId="70">
    <w:name w:val="页脚 字符"/>
    <w:basedOn w:val="33"/>
    <w:link w:val="21"/>
    <w:qFormat/>
    <w:uiPriority w:val="99"/>
    <w:rPr>
      <w:rFonts w:ascii="仿宋" w:hAnsi="仿宋" w:eastAsia="仿宋"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45</Pages>
  <Words>17048</Words>
  <Characters>17437</Characters>
  <Lines>176</Lines>
  <Paragraphs>49</Paragraphs>
  <TotalTime>0</TotalTime>
  <ScaleCrop>false</ScaleCrop>
  <LinksUpToDate>false</LinksUpToDate>
  <CharactersWithSpaces>17530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2024-08-01T09:56:00Z</dcterms:created>
  <dc:creator>张 莉敏</dc:creator>
  <cp:lastModifiedBy>Administrator</cp:lastModifiedBy>
  <dcterms:modified xsi:type="dcterms:W3CDTF">2025-03-28T07:13:20Z</dcterms:modified>
  <cp:revision>481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2D28717AF74248B2AE7197C0629F2959_13</vt:lpwstr>
  </property>
  <property fmtid="{D5CDD505-2E9C-101B-9397-08002B2CF9AE}" pid="4" name="KSOTemplateDocerSaveRecord">
    <vt:lpwstr>eyJoZGlkIjoiNDliY2ZkYzE3MGVhN2E3YTMyMzU0ZTM1MjJhMzMwNWIiLCJ1c2VySWQiOiIxMDAyODUxNzE0In0=</vt:lpwstr>
  </property>
</Properties>
</file>