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text" w:tblpXSpec="center" w:tblpY="1"/>
        <w:tblOverlap w:val="never"/>
        <w:tblW w:w="85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7"/>
        <w:gridCol w:w="5859"/>
        <w:gridCol w:w="1508"/>
      </w:tblGrid>
      <w:tr w14:paraId="5E024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3F934BCF">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sz w:val="21"/>
                <w:szCs w:val="21"/>
                <w:highlight w:val="none"/>
                <w:lang w:val="en-US" w:eastAsia="zh-CN"/>
              </w:rPr>
            </w:pPr>
            <w:r>
              <w:rPr>
                <w:rFonts w:hint="eastAsia" w:ascii="宋体" w:hAnsi="宋体" w:cs="宋体"/>
                <w:b/>
                <w:sz w:val="21"/>
                <w:szCs w:val="21"/>
                <w:highlight w:val="none"/>
                <w:lang w:val="en-US" w:eastAsia="zh-CN"/>
              </w:rPr>
              <w:t xml:space="preserve">                                                                                                                                  </w:t>
            </w:r>
            <w:bookmarkStart w:id="2" w:name="_GoBack"/>
            <w:bookmarkEnd w:id="2"/>
            <w:r>
              <w:rPr>
                <w:rFonts w:hint="eastAsia" w:ascii="宋体" w:hAnsi="宋体" w:eastAsia="宋体" w:cs="宋体"/>
                <w:b/>
                <w:sz w:val="21"/>
                <w:szCs w:val="21"/>
                <w:highlight w:val="none"/>
                <w:lang w:val="en-US" w:eastAsia="zh-CN"/>
              </w:rPr>
              <w:t>产品名称</w:t>
            </w:r>
          </w:p>
        </w:tc>
        <w:tc>
          <w:tcPr>
            <w:tcW w:w="5859" w:type="dxa"/>
            <w:vAlign w:val="center"/>
          </w:tcPr>
          <w:p w14:paraId="51E9B0F1">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参数要求</w:t>
            </w:r>
          </w:p>
        </w:tc>
        <w:tc>
          <w:tcPr>
            <w:tcW w:w="1508" w:type="dxa"/>
            <w:vAlign w:val="center"/>
          </w:tcPr>
          <w:p w14:paraId="28DC5162">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数量</w:t>
            </w:r>
          </w:p>
        </w:tc>
      </w:tr>
      <w:tr w14:paraId="3ADC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176E4D20">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密码服务管理平台</w:t>
            </w:r>
          </w:p>
        </w:tc>
        <w:tc>
          <w:tcPr>
            <w:tcW w:w="5859" w:type="dxa"/>
            <w:vAlign w:val="center"/>
          </w:tcPr>
          <w:p w14:paraId="7F283F94">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为满足云平台部署的业务系统与本次所投</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有效整合，实现密码服务的标准化与组件化。要求平台为三级架构，包含密码资源服务、密码功能服务、密码业务服务多级架构</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w:t>
            </w:r>
            <w:r>
              <w:rPr>
                <w:rFonts w:hint="eastAsia" w:ascii="宋体" w:hAnsi="宋体" w:cs="宋体"/>
                <w:sz w:val="21"/>
                <w:szCs w:val="21"/>
                <w:highlight w:val="none"/>
                <w:lang w:val="en-US" w:eastAsia="zh-CN"/>
              </w:rPr>
              <w:t>第三方检测</w:t>
            </w:r>
            <w:r>
              <w:rPr>
                <w:rFonts w:hint="eastAsia" w:ascii="宋体" w:hAnsi="宋体" w:eastAsia="宋体" w:cs="宋体"/>
                <w:sz w:val="21"/>
                <w:szCs w:val="21"/>
                <w:highlight w:val="none"/>
              </w:rPr>
              <w:t>机构产品检测报告佐证</w:t>
            </w:r>
            <w:r>
              <w:rPr>
                <w:rFonts w:hint="eastAsia" w:ascii="宋体" w:hAnsi="宋体" w:eastAsia="宋体" w:cs="宋体"/>
                <w:sz w:val="21"/>
                <w:szCs w:val="21"/>
                <w:highlight w:val="none"/>
                <w:lang w:eastAsia="zh-CN"/>
              </w:rPr>
              <w:t>。</w:t>
            </w:r>
          </w:p>
          <w:p w14:paraId="3369988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为保证</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在运行过程中的密钥安全。需具备密钥隔离机制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不同业务系统之间密钥相互隔离、密钥传输机制</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产生的私钥不以明文形式出现在非专用密码设备或网络上</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w:t>
            </w:r>
            <w:r>
              <w:rPr>
                <w:rFonts w:hint="eastAsia" w:ascii="宋体" w:hAnsi="宋体" w:cs="宋体"/>
                <w:sz w:val="21"/>
                <w:szCs w:val="21"/>
                <w:highlight w:val="none"/>
                <w:lang w:val="en-US" w:eastAsia="zh-CN"/>
              </w:rPr>
              <w:t>第三方检测</w:t>
            </w:r>
            <w:r>
              <w:rPr>
                <w:rFonts w:hint="eastAsia" w:ascii="宋体" w:hAnsi="宋体" w:eastAsia="宋体" w:cs="宋体"/>
                <w:sz w:val="21"/>
                <w:szCs w:val="21"/>
                <w:highlight w:val="none"/>
              </w:rPr>
              <w:t>机构产品检测报告佐证</w:t>
            </w:r>
            <w:r>
              <w:rPr>
                <w:rFonts w:hint="eastAsia" w:ascii="宋体" w:hAnsi="宋体" w:eastAsia="宋体" w:cs="宋体"/>
                <w:sz w:val="21"/>
                <w:szCs w:val="21"/>
                <w:highlight w:val="none"/>
                <w:lang w:eastAsia="zh-CN"/>
              </w:rPr>
              <w:t>。</w:t>
            </w:r>
          </w:p>
          <w:p w14:paraId="0F9FF69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为保证</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使用安全，</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需具有数据存储、链路安全、运维管理、系统安全保障等技术能力</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w:t>
            </w:r>
            <w:r>
              <w:rPr>
                <w:rFonts w:hint="eastAsia" w:ascii="宋体" w:hAnsi="宋体" w:cs="宋体"/>
                <w:sz w:val="21"/>
                <w:szCs w:val="21"/>
                <w:highlight w:val="none"/>
                <w:lang w:val="en-US" w:eastAsia="zh-CN"/>
              </w:rPr>
              <w:t>第三方检测</w:t>
            </w:r>
            <w:r>
              <w:rPr>
                <w:rFonts w:hint="eastAsia" w:ascii="宋体" w:hAnsi="宋体" w:eastAsia="宋体" w:cs="宋体"/>
                <w:sz w:val="21"/>
                <w:szCs w:val="21"/>
                <w:highlight w:val="none"/>
              </w:rPr>
              <w:t>机构产品检测报告佐证</w:t>
            </w:r>
            <w:r>
              <w:rPr>
                <w:rFonts w:hint="eastAsia" w:ascii="宋体" w:hAnsi="宋体" w:eastAsia="宋体" w:cs="宋体"/>
                <w:sz w:val="21"/>
                <w:szCs w:val="21"/>
                <w:highlight w:val="none"/>
                <w:lang w:eastAsia="zh-CN"/>
              </w:rPr>
              <w:t>。</w:t>
            </w:r>
          </w:p>
          <w:p w14:paraId="67E7005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要求</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须支持国产操作系统：麒麟V10，统信V20等</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至少提供一个</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与操作系统的互认证明材料；</w:t>
            </w:r>
          </w:p>
          <w:p w14:paraId="7DC7538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所投产品符合GM/T 0028-2014《密码模块安全技术要求》安全等级二级及以上的要求，提供密码服务管理或密码云服务相关的《商用密码产品认证证书》</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所投产品厂商应提供商用密码产品认证证书复印件</w:t>
            </w:r>
            <w:r>
              <w:rPr>
                <w:rFonts w:hint="eastAsia" w:ascii="宋体" w:hAnsi="宋体" w:eastAsia="宋体" w:cs="宋体"/>
                <w:sz w:val="21"/>
                <w:szCs w:val="21"/>
                <w:highlight w:val="none"/>
                <w:lang w:eastAsia="zh-CN"/>
              </w:rPr>
              <w:t>。</w:t>
            </w:r>
          </w:p>
          <w:p w14:paraId="6F59BCA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为保证</w:t>
            </w:r>
            <w:r>
              <w:rPr>
                <w:rFonts w:hint="eastAsia" w:ascii="宋体" w:hAnsi="宋体" w:eastAsia="宋体" w:cs="宋体"/>
                <w:sz w:val="21"/>
                <w:szCs w:val="21"/>
                <w:highlight w:val="none"/>
                <w:lang w:eastAsia="zh-CN"/>
              </w:rPr>
              <w:t>密码服务管理平台</w:t>
            </w:r>
            <w:r>
              <w:rPr>
                <w:rFonts w:hint="eastAsia" w:ascii="宋体" w:hAnsi="宋体" w:eastAsia="宋体" w:cs="宋体"/>
                <w:sz w:val="21"/>
                <w:szCs w:val="21"/>
                <w:highlight w:val="none"/>
              </w:rPr>
              <w:t>自身安全，要求平台本身采取了相应的安全保护机制，具有数据存储、链路安全、运维管理、系统安全保障等技术能力</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w:t>
            </w:r>
            <w:r>
              <w:rPr>
                <w:rFonts w:hint="eastAsia" w:ascii="宋体" w:hAnsi="宋体" w:cs="宋体"/>
                <w:sz w:val="21"/>
                <w:szCs w:val="21"/>
                <w:highlight w:val="none"/>
                <w:lang w:val="en-US" w:eastAsia="zh-CN"/>
              </w:rPr>
              <w:t>第三方</w:t>
            </w:r>
            <w:r>
              <w:rPr>
                <w:rFonts w:hint="eastAsia" w:ascii="宋体" w:hAnsi="宋体" w:eastAsia="宋体" w:cs="宋体"/>
                <w:sz w:val="21"/>
                <w:szCs w:val="21"/>
                <w:highlight w:val="none"/>
              </w:rPr>
              <w:t>检测机构测评证书复印件</w:t>
            </w:r>
            <w:r>
              <w:rPr>
                <w:rFonts w:hint="eastAsia" w:ascii="宋体" w:hAnsi="宋体" w:eastAsia="宋体" w:cs="宋体"/>
                <w:sz w:val="21"/>
                <w:szCs w:val="21"/>
                <w:highlight w:val="none"/>
                <w:lang w:eastAsia="zh-CN"/>
              </w:rPr>
              <w:t>。</w:t>
            </w:r>
          </w:p>
          <w:p w14:paraId="11BE7DC0">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每套提供不少于</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个业务系统的授权。</w:t>
            </w:r>
          </w:p>
          <w:p w14:paraId="29EDAAD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提供所有密码服务的统一整合、发布，支持密码服务接口的创建、发布、上线、下线等生命周期管理，支持高性能、高可用的密码服务接口的托管服务</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需提供截图证明</w:t>
            </w:r>
            <w:r>
              <w:rPr>
                <w:rFonts w:hint="eastAsia" w:ascii="宋体" w:hAnsi="宋体" w:eastAsia="宋体" w:cs="宋体"/>
                <w:sz w:val="21"/>
                <w:szCs w:val="21"/>
                <w:highlight w:val="none"/>
                <w:lang w:eastAsia="zh-CN"/>
              </w:rPr>
              <w:t>。</w:t>
            </w:r>
          </w:p>
          <w:p w14:paraId="5F99BDD0">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提供所有密码服务的统一运维，支持密码服务接口的分组管理，标签管理，请求和响应参数管理，备份与恢复管理等。</w:t>
            </w:r>
          </w:p>
          <w:p w14:paraId="31A80476">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提供密码服务接口的版本管理，支持应用兼容访问不同版本的接口。</w:t>
            </w:r>
          </w:p>
          <w:p w14:paraId="333327F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11、</w:t>
            </w:r>
            <w:r>
              <w:rPr>
                <w:rFonts w:hint="eastAsia" w:ascii="宋体" w:hAnsi="宋体" w:eastAsia="宋体" w:cs="宋体"/>
                <w:sz w:val="21"/>
                <w:szCs w:val="21"/>
                <w:highlight w:val="none"/>
              </w:rPr>
              <w:t>提供密码服务管理平台外部密码接口的管理，支持外部密码服务接口注册到统一密码服务网关，支持外部密码服务接口的接入、发布、上线、下线、监控、统计等生命周期管理。</w:t>
            </w:r>
          </w:p>
          <w:p w14:paraId="4F7FB57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rPr>
              <w:t>提供对密码服务限流熔断的配置，支持流控阈值请求速率、请求数、并发数的配置和返回参数信息的自定义，支持对负载服务的健康检查，服务熔断的请求间隔时间、请求超时时间、请求成功次数、请求失败次数等的配置。</w:t>
            </w:r>
          </w:p>
          <w:p w14:paraId="3DAF008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13、</w:t>
            </w:r>
            <w:r>
              <w:rPr>
                <w:rFonts w:hint="eastAsia" w:ascii="宋体" w:hAnsi="宋体" w:eastAsia="宋体" w:cs="宋体"/>
                <w:sz w:val="21"/>
                <w:szCs w:val="21"/>
                <w:highlight w:val="none"/>
              </w:rPr>
              <w:t>提供统一的密码服务访问入口，支持对访问入口的配置，如AK/SK认证方式、防重放攻击、限流熔断、http方法</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GET、POST、PUT、DELETE、PATCH等。</w:t>
            </w:r>
          </w:p>
          <w:p w14:paraId="11B9E2F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14、</w:t>
            </w:r>
            <w:r>
              <w:rPr>
                <w:rFonts w:hint="eastAsia" w:ascii="宋体" w:hAnsi="宋体" w:eastAsia="宋体" w:cs="宋体"/>
                <w:sz w:val="21"/>
                <w:szCs w:val="21"/>
                <w:highlight w:val="none"/>
              </w:rPr>
              <w:t>提供应用访问密码服务数据的统计分析，支持密码服务的多维度（近1h，近24h，当日，近7日，自定义时间等）请求总量、限流次数、拒绝访问类型、流量统计、HTTP状态码、应用使用密码服务TOP10、单位使用密码服务TOP10等的统计分析图、表展示</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需提供截图证明</w:t>
            </w:r>
            <w:r>
              <w:rPr>
                <w:rFonts w:hint="eastAsia" w:ascii="宋体" w:hAnsi="宋体" w:eastAsia="宋体" w:cs="宋体"/>
                <w:sz w:val="21"/>
                <w:szCs w:val="21"/>
                <w:highlight w:val="none"/>
                <w:lang w:eastAsia="zh-CN"/>
              </w:rPr>
              <w:t>。</w:t>
            </w:r>
          </w:p>
          <w:p w14:paraId="4F830DB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rPr>
              <w:t>针对各类密码设备进行统一管理、统一调度、统一监控、统一配置、动态扩展、按需分配，以密码资源池组的方式为业务系统提供密码能力，实现资源利用率的最大化。</w:t>
            </w:r>
          </w:p>
          <w:p w14:paraId="3FF7E2D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16、</w:t>
            </w:r>
            <w:r>
              <w:rPr>
                <w:rFonts w:hint="eastAsia" w:ascii="宋体" w:hAnsi="宋体" w:eastAsia="宋体" w:cs="宋体"/>
                <w:sz w:val="21"/>
                <w:szCs w:val="21"/>
                <w:highlight w:val="none"/>
              </w:rPr>
              <w:t>支持构建密码设备资源组管理，屏蔽不同厂商设备差异，兼容第三方厂商密码设备，支持不同厂商、不同密码设备型号的统一调度、统一管理</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需提供截图证明</w:t>
            </w:r>
            <w:r>
              <w:rPr>
                <w:rFonts w:hint="eastAsia" w:ascii="宋体" w:hAnsi="宋体" w:eastAsia="宋体" w:cs="宋体"/>
                <w:sz w:val="21"/>
                <w:szCs w:val="21"/>
                <w:highlight w:val="none"/>
                <w:lang w:eastAsia="zh-CN"/>
              </w:rPr>
              <w:t>。</w:t>
            </w:r>
          </w:p>
          <w:p w14:paraId="74A4C4E4">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17、</w:t>
            </w:r>
            <w:r>
              <w:rPr>
                <w:rFonts w:hint="eastAsia" w:ascii="宋体" w:hAnsi="宋体" w:eastAsia="宋体" w:cs="宋体"/>
                <w:sz w:val="21"/>
                <w:szCs w:val="21"/>
                <w:highlight w:val="none"/>
              </w:rPr>
              <w:t>“密码云服务平台”能实现密钥存储机制、密钥调用鉴别流程满足系统功能需求，能实现密钥协商机制和密钥隔离机制，保护密钥安全</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w:t>
            </w:r>
            <w:r>
              <w:rPr>
                <w:rFonts w:hint="eastAsia" w:ascii="宋体" w:hAnsi="宋体" w:cs="宋体"/>
                <w:sz w:val="21"/>
                <w:szCs w:val="21"/>
                <w:highlight w:val="none"/>
                <w:lang w:val="en-US" w:eastAsia="zh-CN"/>
              </w:rPr>
              <w:t>第三方检测</w:t>
            </w:r>
            <w:r>
              <w:rPr>
                <w:rFonts w:hint="eastAsia" w:ascii="宋体" w:hAnsi="宋体" w:eastAsia="宋体" w:cs="宋体"/>
                <w:sz w:val="21"/>
                <w:szCs w:val="21"/>
                <w:highlight w:val="none"/>
              </w:rPr>
              <w:t>机构产品检测报告佐证</w:t>
            </w:r>
            <w:r>
              <w:rPr>
                <w:rFonts w:hint="eastAsia" w:ascii="宋体" w:hAnsi="宋体" w:eastAsia="宋体" w:cs="宋体"/>
                <w:sz w:val="21"/>
                <w:szCs w:val="21"/>
                <w:highlight w:val="none"/>
                <w:lang w:eastAsia="zh-CN"/>
              </w:rPr>
              <w:t>。</w:t>
            </w:r>
          </w:p>
          <w:p w14:paraId="4CC3250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18、</w:t>
            </w:r>
            <w:r>
              <w:rPr>
                <w:rFonts w:hint="eastAsia" w:ascii="宋体" w:hAnsi="宋体" w:eastAsia="宋体" w:cs="宋体"/>
                <w:sz w:val="21"/>
                <w:szCs w:val="21"/>
                <w:highlight w:val="none"/>
              </w:rPr>
              <w:t>支持对设备的统一监控，包括CPU使用率、内存使用率、磁盘使用率、服务器证书有效期等，支持对密码资源池组的统一监控，包括池组的调用量、正确率等统计分析。</w:t>
            </w:r>
          </w:p>
          <w:p w14:paraId="6F08A9C1">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19、</w:t>
            </w:r>
            <w:r>
              <w:rPr>
                <w:rFonts w:hint="eastAsia" w:ascii="宋体" w:hAnsi="宋体" w:eastAsia="宋体" w:cs="宋体"/>
                <w:sz w:val="21"/>
                <w:szCs w:val="21"/>
                <w:highlight w:val="none"/>
              </w:rPr>
              <w:t>支持设备、虚机等资源的连通性健康检查。</w:t>
            </w:r>
          </w:p>
          <w:p w14:paraId="1354F2D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20、</w:t>
            </w:r>
            <w:r>
              <w:rPr>
                <w:rFonts w:hint="eastAsia" w:ascii="宋体" w:hAnsi="宋体" w:eastAsia="宋体" w:cs="宋体"/>
                <w:sz w:val="21"/>
                <w:szCs w:val="21"/>
                <w:highlight w:val="none"/>
              </w:rPr>
              <w:t>支持负载均衡，包括硬负载与软负载的接入配置，保证服务的高可用性，可实现弹性业务伸缩，确保流量均衡。</w:t>
            </w:r>
          </w:p>
          <w:p w14:paraId="358BD1BD">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21、</w:t>
            </w:r>
            <w:r>
              <w:rPr>
                <w:rFonts w:hint="eastAsia" w:ascii="宋体" w:hAnsi="宋体" w:eastAsia="宋体" w:cs="宋体"/>
                <w:sz w:val="21"/>
                <w:szCs w:val="21"/>
                <w:highlight w:val="none"/>
              </w:rPr>
              <w:t>支持密码资源池调度的服务管理，包括服务一键发布、一键启动、一键升级、一键回滚、一键扩容、克隆实例、移动实例、上下架等。</w:t>
            </w:r>
          </w:p>
          <w:p w14:paraId="00CF21D1">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22、</w:t>
            </w:r>
            <w:r>
              <w:rPr>
                <w:rFonts w:hint="eastAsia" w:ascii="宋体" w:hAnsi="宋体" w:eastAsia="宋体" w:cs="宋体"/>
                <w:sz w:val="21"/>
                <w:szCs w:val="21"/>
                <w:highlight w:val="none"/>
              </w:rPr>
              <w:t>支持日志审计功能，记录不同操作者登录、登出、密码修改、服务操作内容、操作模块、操作结果等，支持日志的搜索查询、归档与恢复。</w:t>
            </w:r>
          </w:p>
          <w:p w14:paraId="25A6B9E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23、</w:t>
            </w:r>
            <w:r>
              <w:rPr>
                <w:rFonts w:hint="eastAsia" w:ascii="宋体" w:hAnsi="宋体" w:eastAsia="宋体" w:cs="宋体"/>
                <w:sz w:val="21"/>
                <w:szCs w:val="21"/>
                <w:highlight w:val="none"/>
              </w:rPr>
              <w:t>支持对密码机进行统一均衡调度管理，实现服务的动态调度与高可用性。</w:t>
            </w:r>
          </w:p>
          <w:p w14:paraId="27F9236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24、</w:t>
            </w:r>
            <w:r>
              <w:rPr>
                <w:rFonts w:hint="eastAsia" w:ascii="宋体" w:hAnsi="宋体" w:eastAsia="宋体" w:cs="宋体"/>
                <w:sz w:val="21"/>
                <w:szCs w:val="21"/>
                <w:highlight w:val="none"/>
              </w:rPr>
              <w:t>支持对签名验签服务器进行统一均衡调度管理，实现服务的动态调度与高可用性。</w:t>
            </w:r>
          </w:p>
          <w:p w14:paraId="3F5B309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25、</w:t>
            </w:r>
            <w:r>
              <w:rPr>
                <w:rFonts w:hint="eastAsia" w:ascii="宋体" w:hAnsi="宋体" w:eastAsia="宋体" w:cs="宋体"/>
                <w:sz w:val="21"/>
                <w:szCs w:val="21"/>
                <w:highlight w:val="none"/>
              </w:rPr>
              <w:t>支持对时间戳服务器进行统一均衡调度管理，实现服务的动态调度与高可用性。</w:t>
            </w:r>
          </w:p>
          <w:p w14:paraId="2567958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26、</w:t>
            </w:r>
            <w:r>
              <w:rPr>
                <w:rFonts w:hint="eastAsia" w:ascii="宋体" w:hAnsi="宋体" w:eastAsia="宋体" w:cs="宋体"/>
                <w:sz w:val="21"/>
                <w:szCs w:val="21"/>
                <w:highlight w:val="none"/>
              </w:rPr>
              <w:t>提供IP黑白名单的配置，支持以全局维度配置IP黑名单，支持以业务应用、业务单位的维度配置IP黑白名单。</w:t>
            </w:r>
          </w:p>
          <w:p w14:paraId="23F50F5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27、</w:t>
            </w:r>
            <w:r>
              <w:rPr>
                <w:rFonts w:hint="eastAsia" w:ascii="宋体" w:hAnsi="宋体" w:eastAsia="宋体" w:cs="宋体"/>
                <w:sz w:val="21"/>
                <w:szCs w:val="21"/>
                <w:highlight w:val="none"/>
              </w:rPr>
              <w:t>支持CORS跨域配置，支持配跨域域名、IP网段、是否服务在身份凭证等信息</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需提供截图证明</w:t>
            </w:r>
            <w:r>
              <w:rPr>
                <w:rFonts w:hint="eastAsia" w:ascii="宋体" w:hAnsi="宋体" w:eastAsia="宋体" w:cs="宋体"/>
                <w:sz w:val="21"/>
                <w:szCs w:val="21"/>
                <w:highlight w:val="none"/>
                <w:lang w:eastAsia="zh-CN"/>
              </w:rPr>
              <w:t>。</w:t>
            </w:r>
          </w:p>
          <w:p w14:paraId="57FFF5C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28、</w:t>
            </w:r>
            <w:r>
              <w:rPr>
                <w:rFonts w:hint="eastAsia" w:ascii="宋体" w:hAnsi="宋体" w:eastAsia="宋体" w:cs="宋体"/>
                <w:sz w:val="21"/>
                <w:szCs w:val="21"/>
                <w:highlight w:val="none"/>
              </w:rPr>
              <w:t>支持对称密钥和非对称密钥的全生命周期管理，包括但不限于密钥的产生、分发、存储、更新、归档、备份、恢复、销毁等</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需提供产品功能截图</w:t>
            </w:r>
            <w:r>
              <w:rPr>
                <w:rFonts w:hint="eastAsia" w:ascii="宋体" w:hAnsi="宋体" w:eastAsia="宋体" w:cs="宋体"/>
                <w:sz w:val="21"/>
                <w:szCs w:val="21"/>
                <w:highlight w:val="none"/>
                <w:lang w:eastAsia="zh-CN"/>
              </w:rPr>
              <w:t>。</w:t>
            </w:r>
          </w:p>
        </w:tc>
        <w:tc>
          <w:tcPr>
            <w:tcW w:w="1508" w:type="dxa"/>
            <w:vAlign w:val="center"/>
          </w:tcPr>
          <w:p w14:paraId="5A56C618">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1套</w:t>
            </w:r>
          </w:p>
        </w:tc>
      </w:tr>
      <w:tr w14:paraId="4D126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6AE829E0">
            <w:pPr>
              <w:pStyle w:val="2"/>
              <w:pageBreakBefore w:val="0"/>
              <w:numPr>
                <w:ilvl w:val="0"/>
                <w:numId w:val="0"/>
              </w:numPr>
              <w:kinsoku/>
              <w:wordWrap/>
              <w:overflowPunct/>
              <w:topLinePunct w:val="0"/>
              <w:autoSpaceDE/>
              <w:autoSpaceDN/>
              <w:bidi w:val="0"/>
              <w:adjustRightInd/>
              <w:snapToGrid/>
              <w:spacing w:before="0" w:after="0" w:line="288" w:lineRule="auto"/>
              <w:ind w:leftChars="0"/>
              <w:textAlignment w:val="auto"/>
              <w:rPr>
                <w:rFonts w:hint="eastAsia" w:ascii="宋体" w:hAnsi="宋体" w:eastAsia="宋体" w:cs="宋体"/>
                <w:b/>
                <w:sz w:val="21"/>
                <w:szCs w:val="21"/>
                <w:highlight w:val="none"/>
                <w:lang w:val="en-US" w:eastAsia="zh-CN"/>
              </w:rPr>
            </w:pPr>
            <w:r>
              <w:rPr>
                <w:rFonts w:hint="eastAsia" w:ascii="宋体" w:hAnsi="宋体" w:eastAsia="宋体" w:cs="宋体"/>
                <w:b w:val="0"/>
                <w:kern w:val="2"/>
                <w:sz w:val="21"/>
                <w:szCs w:val="21"/>
                <w:highlight w:val="none"/>
                <w:lang w:val="en-US" w:eastAsia="zh-CN" w:bidi="ar-SA"/>
              </w:rPr>
              <w:t>协同签名系统（服务端密码模块）</w:t>
            </w:r>
          </w:p>
          <w:p w14:paraId="1BFA6893">
            <w:pPr>
              <w:pageBreakBefore w:val="0"/>
              <w:widowControl w:val="0"/>
              <w:numPr>
                <w:ilvl w:val="0"/>
                <w:numId w:val="0"/>
              </w:numPr>
              <w:kinsoku/>
              <w:wordWrap/>
              <w:overflowPunct/>
              <w:topLinePunct w:val="0"/>
              <w:autoSpaceDE/>
              <w:autoSpaceDN/>
              <w:bidi w:val="0"/>
              <w:adjustRightInd/>
              <w:snapToGrid/>
              <w:spacing w:line="288" w:lineRule="auto"/>
              <w:jc w:val="both"/>
              <w:textAlignment w:val="auto"/>
              <w:rPr>
                <w:rFonts w:hint="eastAsia" w:ascii="宋体" w:hAnsi="宋体" w:eastAsia="宋体" w:cs="宋体"/>
                <w:kern w:val="2"/>
                <w:sz w:val="21"/>
                <w:szCs w:val="21"/>
                <w:highlight w:val="none"/>
                <w:lang w:val="en-US" w:eastAsia="zh-CN" w:bidi="ar-SA"/>
              </w:rPr>
            </w:pPr>
          </w:p>
        </w:tc>
        <w:tc>
          <w:tcPr>
            <w:tcW w:w="5859" w:type="dxa"/>
            <w:vAlign w:val="center"/>
          </w:tcPr>
          <w:p w14:paraId="77B8C657">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支持可视化的用户管理、证书管理，实现数字证书得申请、更新、吊销等</w:t>
            </w:r>
          </w:p>
          <w:p w14:paraId="73935C3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支持对接入应用的授权管理</w:t>
            </w:r>
          </w:p>
          <w:p w14:paraId="29FF0ED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提供restful API的形式接口与业务系统对接，产品提供对业务系统请求报文的真实性完整性校验</w:t>
            </w:r>
          </w:p>
          <w:p w14:paraId="2F95558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产品支持基于数字证书的安全认证登录管理功能，能实现多种角色管理，包括但不限于管理员、操作员、审计员等</w:t>
            </w:r>
          </w:p>
          <w:p w14:paraId="1775C8C6">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支持基于服务端的签名任务发起和签名结果获取；基于协同密钥技术来实现移动端用户私钥的生成和使用</w:t>
            </w:r>
          </w:p>
          <w:p w14:paraId="423527AF">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支持在统一页面实现对用户的集中管理，包括用户导入、用户新增、用户照片和签章图片导入、单个冻结和批量冻结、单个删除和批量删除、批量导出、签章样式自定义编辑等功能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需提供产品功能截图</w:t>
            </w:r>
            <w:r>
              <w:rPr>
                <w:rFonts w:hint="eastAsia" w:ascii="宋体" w:hAnsi="宋体" w:eastAsia="宋体" w:cs="宋体"/>
                <w:sz w:val="21"/>
                <w:szCs w:val="21"/>
                <w:highlight w:val="none"/>
                <w:lang w:eastAsia="zh-CN"/>
              </w:rPr>
              <w:t>。</w:t>
            </w:r>
          </w:p>
          <w:p w14:paraId="4E9A5E8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支持在线、离线证书签发模式、日志及审计功能；支持用户量、签名量、证数量的统计分析</w:t>
            </w:r>
            <w:r>
              <w:rPr>
                <w:rFonts w:hint="eastAsia" w:ascii="宋体" w:hAnsi="宋体" w:eastAsia="宋体" w:cs="宋体"/>
                <w:sz w:val="21"/>
                <w:szCs w:val="21"/>
                <w:highlight w:val="none"/>
                <w:lang w:eastAsia="zh-CN"/>
              </w:rPr>
              <w:t>。</w:t>
            </w:r>
          </w:p>
          <w:p w14:paraId="7F5BE47F">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支持管理员一键授权管理：能够在单一页面实现自由勾选功能模块对管理员进行权限分配，包括对用户管理功能的授权、对证书验证管理的授权、CSS高级配置的授权、系统设置的授权、日志的授权、配置管理的授权等</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需提供产品功能截图</w:t>
            </w:r>
            <w:r>
              <w:rPr>
                <w:rFonts w:hint="eastAsia" w:ascii="宋体" w:hAnsi="宋体" w:eastAsia="宋体" w:cs="宋体"/>
                <w:sz w:val="21"/>
                <w:szCs w:val="21"/>
                <w:highlight w:val="none"/>
                <w:lang w:eastAsia="zh-CN"/>
              </w:rPr>
              <w:t>。</w:t>
            </w:r>
          </w:p>
          <w:p w14:paraId="2414740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支持一人多设备、一设备多人的应用场景；支持授权签名：用户只需要使用手机在PC端完成一次授权即可多次签名，并可以关闭授权；支持推送签名：用户以推送的方式发起签名，签名者在手机端收到推送后直接完成签名；支持在签名任务中添加签名描述信息。</w:t>
            </w:r>
          </w:p>
          <w:p w14:paraId="49A36EBD">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支持通过系统唯一用户标识绑定用户身份；支持通过接口添加用户信息，支持CRL配置和根证书配置，支持标准签名验证，能够与USBKey签名互通，支持证书有效性验证。</w:t>
            </w:r>
          </w:p>
          <w:p w14:paraId="61EF55F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11.</w:t>
            </w:r>
            <w:r>
              <w:rPr>
                <w:rFonts w:hint="eastAsia" w:ascii="宋体" w:hAnsi="宋体" w:eastAsia="宋体" w:cs="宋体"/>
                <w:sz w:val="21"/>
                <w:szCs w:val="21"/>
                <w:highlight w:val="none"/>
              </w:rPr>
              <w:t>支持基于SM2密钥分割技术和协同签名技术实现电子签名功能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提供第三方检测机构出具的产品具备该功能的检测报告作为证明材料</w:t>
            </w:r>
            <w:r>
              <w:rPr>
                <w:rFonts w:hint="eastAsia" w:ascii="宋体" w:hAnsi="宋体" w:eastAsia="宋体" w:cs="宋体"/>
                <w:sz w:val="21"/>
                <w:szCs w:val="21"/>
                <w:highlight w:val="none"/>
                <w:lang w:eastAsia="zh-CN"/>
              </w:rPr>
              <w:t>。</w:t>
            </w:r>
          </w:p>
          <w:p w14:paraId="30B4163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rPr>
              <w:t>支持扫码签名、推送签名、自动签名、授权自动签名功能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提供第三方检测机构出具的产品具备该功能的检测报告作为证明材料</w:t>
            </w:r>
            <w:r>
              <w:rPr>
                <w:rFonts w:hint="eastAsia" w:ascii="宋体" w:hAnsi="宋体" w:eastAsia="宋体" w:cs="宋体"/>
                <w:sz w:val="21"/>
                <w:szCs w:val="21"/>
                <w:highlight w:val="none"/>
                <w:lang w:eastAsia="zh-CN"/>
              </w:rPr>
              <w:t>。</w:t>
            </w:r>
          </w:p>
          <w:p w14:paraId="4BF6DAB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13.</w:t>
            </w:r>
            <w:r>
              <w:rPr>
                <w:rFonts w:hint="eastAsia" w:ascii="宋体" w:hAnsi="宋体" w:eastAsia="宋体" w:cs="宋体"/>
                <w:sz w:val="21"/>
                <w:szCs w:val="21"/>
                <w:highlight w:val="none"/>
              </w:rPr>
              <w:t>支持基于数字证书的个人电子签章、扫码签章、网页签章、PDF签章，支持移动端和管理端自定义配置签章图片功能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提供第三方检测机构出具的产品具备该功能的检测报告作为证明材料</w:t>
            </w:r>
            <w:r>
              <w:rPr>
                <w:rFonts w:hint="eastAsia" w:ascii="宋体" w:hAnsi="宋体" w:eastAsia="宋体" w:cs="宋体"/>
                <w:sz w:val="21"/>
                <w:szCs w:val="21"/>
                <w:highlight w:val="none"/>
                <w:lang w:eastAsia="zh-CN"/>
              </w:rPr>
              <w:t>。</w:t>
            </w:r>
          </w:p>
          <w:p w14:paraId="089E010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14.</w:t>
            </w:r>
            <w:r>
              <w:rPr>
                <w:rFonts w:hint="eastAsia" w:ascii="宋体" w:hAnsi="宋体" w:eastAsia="宋体" w:cs="宋体"/>
                <w:sz w:val="21"/>
                <w:szCs w:val="21"/>
                <w:highlight w:val="none"/>
              </w:rPr>
              <w:t>提供证书签发、签名统计、统计报表功能，支持按时间/证书类型/科室/姓名进行查看、检索和导出功能</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提供第三方检测机构出具的产品具备该功能的检测报告作为证明材料</w:t>
            </w:r>
            <w:r>
              <w:rPr>
                <w:rFonts w:hint="eastAsia" w:ascii="宋体" w:hAnsi="宋体" w:eastAsia="宋体" w:cs="宋体"/>
                <w:sz w:val="21"/>
                <w:szCs w:val="21"/>
                <w:highlight w:val="none"/>
                <w:lang w:eastAsia="zh-CN"/>
              </w:rPr>
              <w:t>。</w:t>
            </w:r>
          </w:p>
          <w:p w14:paraId="66179AE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网络接口：≥2*100/1000M 自适应网口；内存≥2*8G，硬盘≥2*4T，双电源。支持鲲鹏920 处理器，统信UOS V20操作系统</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性能：SM2 签名能力≥700TPS；</w:t>
            </w:r>
          </w:p>
          <w:p w14:paraId="648E74BA">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16.</w:t>
            </w:r>
            <w:r>
              <w:rPr>
                <w:rFonts w:hint="eastAsia" w:ascii="宋体" w:hAnsi="宋体" w:eastAsia="宋体" w:cs="宋体"/>
                <w:sz w:val="21"/>
                <w:szCs w:val="21"/>
                <w:highlight w:val="none"/>
              </w:rPr>
              <w:t xml:space="preserve">支持算法标准：SM1、SM2、SM3、SM4； </w:t>
            </w:r>
          </w:p>
          <w:p w14:paraId="04DCF63D">
            <w:pPr>
              <w:keepNext/>
              <w:keepLines/>
              <w:pageBreakBefore w:val="0"/>
              <w:widowControl w:val="0"/>
              <w:kinsoku/>
              <w:wordWrap/>
              <w:overflowPunct/>
              <w:topLinePunct w:val="0"/>
              <w:autoSpaceDE/>
              <w:autoSpaceDN/>
              <w:bidi w:val="0"/>
              <w:adjustRightInd/>
              <w:snapToGrid/>
              <w:spacing w:line="288" w:lineRule="auto"/>
              <w:jc w:val="both"/>
              <w:textAlignment w:val="auto"/>
              <w:outlineLvl w:val="2"/>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17.产品具备国家密码管理局颁发的《商用密码产品认证证书》且满足密码模块安全等级第二级相关要求，</w:t>
            </w:r>
            <w:r>
              <w:rPr>
                <w:rFonts w:hint="eastAsia" w:ascii="宋体" w:hAnsi="宋体" w:eastAsia="宋体" w:cs="宋体"/>
                <w:b w:val="0"/>
                <w:bCs w:val="0"/>
                <w:color w:val="000000"/>
                <w:kern w:val="0"/>
                <w:sz w:val="21"/>
                <w:szCs w:val="21"/>
                <w:highlight w:val="none"/>
                <w:lang w:val="en-US" w:eastAsia="zh-CN" w:bidi="ar-SA"/>
              </w:rPr>
              <w:t>提供证书证明材料。</w:t>
            </w:r>
          </w:p>
          <w:p w14:paraId="4B44A4CB">
            <w:pPr>
              <w:keepNext/>
              <w:keepLines/>
              <w:pageBreakBefore w:val="0"/>
              <w:widowControl w:val="0"/>
              <w:kinsoku/>
              <w:wordWrap/>
              <w:overflowPunct/>
              <w:topLinePunct w:val="0"/>
              <w:autoSpaceDE/>
              <w:autoSpaceDN/>
              <w:bidi w:val="0"/>
              <w:adjustRightInd/>
              <w:snapToGrid/>
              <w:spacing w:line="288" w:lineRule="auto"/>
              <w:jc w:val="both"/>
              <w:textAlignment w:val="auto"/>
              <w:outlineLvl w:val="2"/>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kern w:val="2"/>
                <w:sz w:val="21"/>
                <w:szCs w:val="21"/>
                <w:highlight w:val="none"/>
                <w:lang w:val="en-US" w:eastAsia="zh-CN" w:bidi="ar-SA"/>
              </w:rPr>
              <w:t>18.产品具备《信息技术产品安全测试证书》，提供证书证明材料。</w:t>
            </w:r>
          </w:p>
          <w:p w14:paraId="090FC2BC">
            <w:pPr>
              <w:keepNext/>
              <w:keepLines/>
              <w:pageBreakBefore w:val="0"/>
              <w:widowControl w:val="0"/>
              <w:kinsoku/>
              <w:wordWrap/>
              <w:overflowPunct/>
              <w:topLinePunct w:val="0"/>
              <w:autoSpaceDE/>
              <w:autoSpaceDN/>
              <w:bidi w:val="0"/>
              <w:adjustRightInd/>
              <w:snapToGrid/>
              <w:spacing w:line="288" w:lineRule="auto"/>
              <w:jc w:val="both"/>
              <w:textAlignment w:val="auto"/>
              <w:outlineLvl w:val="2"/>
              <w:rPr>
                <w:rFonts w:hint="eastAsia" w:ascii="宋体" w:hAnsi="宋体" w:eastAsia="宋体" w:cs="宋体"/>
                <w:sz w:val="21"/>
                <w:szCs w:val="21"/>
                <w:highlight w:val="none"/>
              </w:rPr>
            </w:pPr>
            <w:r>
              <w:rPr>
                <w:rFonts w:hint="eastAsia" w:ascii="宋体" w:hAnsi="宋体" w:eastAsia="宋体" w:cs="宋体"/>
                <w:b w:val="0"/>
                <w:bCs w:val="0"/>
                <w:kern w:val="2"/>
                <w:sz w:val="21"/>
                <w:szCs w:val="21"/>
                <w:highlight w:val="none"/>
                <w:lang w:val="en-US" w:eastAsia="zh-CN" w:bidi="ar-SA"/>
              </w:rPr>
              <w:t>19.</w:t>
            </w:r>
            <w:r>
              <w:rPr>
                <w:rFonts w:hint="eastAsia" w:ascii="宋体" w:hAnsi="宋体" w:eastAsia="宋体" w:cs="宋体"/>
                <w:sz w:val="21"/>
                <w:szCs w:val="21"/>
                <w:highlight w:val="none"/>
              </w:rPr>
              <w:t>移动端密码模块需同时具备IOS和Android两个版本的国家密码管理局颁发的《商用密码产品认证证书》且满足密码模块安全等级第二级相关要求。</w:t>
            </w:r>
          </w:p>
          <w:p w14:paraId="2A8BA37F">
            <w:pPr>
              <w:keepNext/>
              <w:keepLines/>
              <w:pageBreakBefore w:val="0"/>
              <w:widowControl w:val="0"/>
              <w:kinsoku/>
              <w:wordWrap/>
              <w:overflowPunct/>
              <w:topLinePunct w:val="0"/>
              <w:autoSpaceDE/>
              <w:autoSpaceDN/>
              <w:bidi w:val="0"/>
              <w:adjustRightInd/>
              <w:snapToGrid/>
              <w:spacing w:line="288" w:lineRule="auto"/>
              <w:jc w:val="both"/>
              <w:textAlignment w:val="auto"/>
              <w:outlineLvl w:val="2"/>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20.</w:t>
            </w:r>
            <w:r>
              <w:rPr>
                <w:rFonts w:hint="eastAsia" w:ascii="宋体" w:hAnsi="宋体" w:eastAsia="宋体" w:cs="宋体"/>
                <w:sz w:val="21"/>
                <w:szCs w:val="21"/>
                <w:highlight w:val="none"/>
              </w:rPr>
              <w:t>移动端APP须在Android应用市场和苹果AppStore中已经发布，提供IOS商店和安卓应用商店的应用截图，并证明APP版权均过产品制造商所有</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需提供相关截图</w:t>
            </w:r>
            <w:r>
              <w:rPr>
                <w:rFonts w:hint="eastAsia" w:ascii="宋体" w:hAnsi="宋体" w:eastAsia="宋体" w:cs="宋体"/>
                <w:sz w:val="21"/>
                <w:szCs w:val="21"/>
                <w:highlight w:val="none"/>
                <w:lang w:eastAsia="zh-CN"/>
              </w:rPr>
              <w:t>。</w:t>
            </w:r>
          </w:p>
        </w:tc>
        <w:tc>
          <w:tcPr>
            <w:tcW w:w="1508" w:type="dxa"/>
            <w:vAlign w:val="center"/>
          </w:tcPr>
          <w:p w14:paraId="3ACC3E2B">
            <w:pPr>
              <w:keepNext/>
              <w:keepLines/>
              <w:pageBreakBefore w:val="0"/>
              <w:widowControl w:val="0"/>
              <w:kinsoku/>
              <w:wordWrap/>
              <w:overflowPunct/>
              <w:topLinePunct w:val="0"/>
              <w:autoSpaceDE/>
              <w:autoSpaceDN/>
              <w:bidi w:val="0"/>
              <w:adjustRightInd/>
              <w:snapToGrid/>
              <w:spacing w:line="288" w:lineRule="auto"/>
              <w:jc w:val="center"/>
              <w:textAlignment w:val="auto"/>
              <w:outlineLvl w:val="2"/>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3台</w:t>
            </w:r>
          </w:p>
        </w:tc>
      </w:tr>
      <w:tr w14:paraId="7EFE4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73A9671E">
            <w:pPr>
              <w:pageBreakBefore w:val="0"/>
              <w:widowControl w:val="0"/>
              <w:numPr>
                <w:ilvl w:val="0"/>
                <w:numId w:val="0"/>
              </w:numPr>
              <w:kinsoku/>
              <w:wordWrap/>
              <w:overflowPunct/>
              <w:topLinePunct w:val="0"/>
              <w:autoSpaceDE/>
              <w:autoSpaceDN/>
              <w:bidi w:val="0"/>
              <w:adjustRightInd/>
              <w:snapToGrid/>
              <w:spacing w:line="288" w:lineRule="auto"/>
              <w:ind w:leftChars="0"/>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安全认证网关</w:t>
            </w:r>
          </w:p>
        </w:tc>
        <w:tc>
          <w:tcPr>
            <w:tcW w:w="5859" w:type="dxa"/>
            <w:vAlign w:val="center"/>
          </w:tcPr>
          <w:p w14:paraId="25A1756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1.</w:t>
            </w:r>
            <w:r>
              <w:rPr>
                <w:rFonts w:hint="eastAsia" w:ascii="宋体" w:hAnsi="宋体" w:eastAsia="宋体" w:cs="宋体"/>
                <w:bCs/>
                <w:kern w:val="0"/>
                <w:sz w:val="21"/>
                <w:szCs w:val="21"/>
                <w:highlight w:val="none"/>
              </w:rPr>
              <w:t>支持多种认证方法，包括UKEY证书、协同签名、动态口令等</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auto"/>
                <w:kern w:val="0"/>
                <w:sz w:val="21"/>
                <w:szCs w:val="21"/>
                <w:highlight w:val="none"/>
              </w:rPr>
              <w:t>提供相关功能截图证明</w:t>
            </w:r>
            <w:r>
              <w:rPr>
                <w:rFonts w:hint="eastAsia" w:ascii="宋体" w:hAnsi="宋体" w:eastAsia="宋体" w:cs="宋体"/>
                <w:bCs/>
                <w:color w:val="auto"/>
                <w:kern w:val="0"/>
                <w:sz w:val="21"/>
                <w:szCs w:val="21"/>
                <w:highlight w:val="none"/>
                <w:lang w:eastAsia="zh-CN"/>
              </w:rPr>
              <w:t>。</w:t>
            </w:r>
          </w:p>
          <w:p w14:paraId="2EF8994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2</w:t>
            </w:r>
            <w:r>
              <w:rPr>
                <w:rFonts w:hint="eastAsia" w:ascii="宋体" w:hAnsi="宋体" w:eastAsia="宋体" w:cs="宋体"/>
                <w:bCs/>
                <w:kern w:val="0"/>
                <w:sz w:val="21"/>
                <w:szCs w:val="21"/>
                <w:highlight w:val="none"/>
              </w:rPr>
              <w:t>支持基于数字证书的服务器端与客户端的双向认证，多种形式的证书透传功能可以非常方便地在应用层实现基于数字证书的安全认证。</w:t>
            </w:r>
          </w:p>
          <w:p w14:paraId="21EF0C14">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Cs/>
                <w:color w:val="000000"/>
                <w:kern w:val="0"/>
                <w:sz w:val="21"/>
                <w:szCs w:val="21"/>
                <w:highlight w:val="none"/>
                <w:lang w:val="en-US" w:eastAsia="zh-CN"/>
              </w:rPr>
              <w:t>3.</w:t>
            </w:r>
            <w:r>
              <w:rPr>
                <w:rFonts w:hint="eastAsia" w:ascii="宋体" w:hAnsi="宋体" w:eastAsia="宋体" w:cs="宋体"/>
                <w:bCs/>
                <w:color w:val="000000"/>
                <w:kern w:val="0"/>
                <w:sz w:val="21"/>
                <w:szCs w:val="21"/>
                <w:highlight w:val="none"/>
              </w:rPr>
              <w:t>支持SSL加速、SSL卸载、HTTP压缩、Web高速缓存功能、HTTP请求和响应改写、HTTP内容改写、HTTP反向代理转发和HTTP重定向；</w:t>
            </w:r>
            <w:r>
              <w:rPr>
                <w:rFonts w:hint="eastAsia" w:ascii="宋体" w:hAnsi="宋体" w:eastAsia="宋体" w:cs="宋体"/>
                <w:sz w:val="21"/>
                <w:szCs w:val="21"/>
                <w:highlight w:val="none"/>
              </w:rPr>
              <w:t xml:space="preserve"> </w:t>
            </w:r>
          </w:p>
          <w:p w14:paraId="1494732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Cs/>
                <w:color w:val="000000"/>
                <w:kern w:val="0"/>
                <w:sz w:val="21"/>
                <w:szCs w:val="21"/>
                <w:highlight w:val="none"/>
                <w:lang w:val="en-US" w:eastAsia="zh-CN"/>
              </w:rPr>
              <w:t>4.</w:t>
            </w:r>
            <w:r>
              <w:rPr>
                <w:rFonts w:hint="eastAsia" w:ascii="宋体" w:hAnsi="宋体" w:eastAsia="宋体" w:cs="宋体"/>
                <w:bCs/>
                <w:color w:val="000000"/>
                <w:kern w:val="0"/>
                <w:sz w:val="21"/>
                <w:szCs w:val="21"/>
                <w:highlight w:val="none"/>
              </w:rPr>
              <w:t>支持国产密码算法：SM2、SM3、SM4等；支持ECC-SM4-SM3、ECDHE-SM4-SM3密钥套件；</w:t>
            </w:r>
            <w:r>
              <w:rPr>
                <w:rFonts w:hint="eastAsia" w:ascii="宋体" w:hAnsi="宋体" w:eastAsia="宋体" w:cs="宋体"/>
                <w:sz w:val="21"/>
                <w:szCs w:val="21"/>
                <w:highlight w:val="none"/>
              </w:rPr>
              <w:t xml:space="preserve"> </w:t>
            </w:r>
          </w:p>
          <w:p w14:paraId="0EC9131A">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Cs/>
                <w:color w:val="000000"/>
                <w:kern w:val="0"/>
                <w:sz w:val="21"/>
                <w:szCs w:val="21"/>
                <w:highlight w:val="none"/>
                <w:lang w:val="en-US" w:eastAsia="zh-CN"/>
              </w:rPr>
              <w:t>5.</w:t>
            </w:r>
            <w:r>
              <w:rPr>
                <w:rFonts w:hint="eastAsia" w:ascii="宋体" w:hAnsi="宋体" w:eastAsia="宋体" w:cs="宋体"/>
                <w:bCs/>
                <w:color w:val="000000"/>
                <w:kern w:val="0"/>
                <w:sz w:val="21"/>
                <w:szCs w:val="21"/>
                <w:highlight w:val="none"/>
              </w:rPr>
              <w:t>支持IPsec协议，需支持国密AH和ESP模式下IKE协议</w:t>
            </w:r>
            <w:r>
              <w:rPr>
                <w:rFonts w:hint="eastAsia" w:ascii="宋体" w:hAnsi="宋体" w:eastAsia="宋体" w:cs="宋体"/>
                <w:bCs/>
                <w:color w:val="000000"/>
                <w:kern w:val="0"/>
                <w:sz w:val="21"/>
                <w:szCs w:val="21"/>
                <w:highlight w:val="none"/>
                <w:lang w:eastAsia="zh-CN"/>
              </w:rPr>
              <w:t>，</w:t>
            </w:r>
            <w:r>
              <w:rPr>
                <w:rFonts w:hint="eastAsia" w:ascii="宋体" w:hAnsi="宋体" w:eastAsia="宋体" w:cs="宋体"/>
                <w:bCs/>
                <w:color w:val="auto"/>
                <w:kern w:val="0"/>
                <w:sz w:val="21"/>
                <w:szCs w:val="21"/>
                <w:highlight w:val="none"/>
              </w:rPr>
              <w:t>提供相关功能截图证明</w:t>
            </w:r>
            <w:r>
              <w:rPr>
                <w:rFonts w:hint="eastAsia" w:ascii="宋体" w:hAnsi="宋体" w:eastAsia="宋体" w:cs="宋体"/>
                <w:bCs/>
                <w:color w:val="auto"/>
                <w:kern w:val="0"/>
                <w:sz w:val="21"/>
                <w:szCs w:val="21"/>
                <w:highlight w:val="none"/>
                <w:lang w:eastAsia="zh-CN"/>
              </w:rPr>
              <w:t>。</w:t>
            </w:r>
          </w:p>
          <w:p w14:paraId="4BB3A467">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Cs/>
                <w:color w:val="000000"/>
                <w:kern w:val="0"/>
                <w:sz w:val="21"/>
                <w:szCs w:val="21"/>
                <w:highlight w:val="none"/>
                <w:lang w:val="en-US" w:eastAsia="zh-CN"/>
              </w:rPr>
              <w:t>6.</w:t>
            </w:r>
            <w:r>
              <w:rPr>
                <w:rFonts w:hint="eastAsia" w:ascii="宋体" w:hAnsi="宋体" w:eastAsia="宋体" w:cs="宋体"/>
                <w:bCs/>
                <w:color w:val="000000"/>
                <w:kern w:val="0"/>
                <w:sz w:val="21"/>
                <w:szCs w:val="21"/>
                <w:highlight w:val="none"/>
              </w:rPr>
              <w:t>支持虚拟站点功能，单台设备要求支持不少于128个虚拟站点；</w:t>
            </w:r>
          </w:p>
          <w:p w14:paraId="6C76898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en-US" w:eastAsia="zh-CN"/>
              </w:rPr>
              <w:t>7.</w:t>
            </w:r>
            <w:r>
              <w:rPr>
                <w:rFonts w:hint="eastAsia" w:ascii="宋体" w:hAnsi="宋体" w:eastAsia="宋体" w:cs="宋体"/>
                <w:color w:val="000000"/>
                <w:kern w:val="0"/>
                <w:sz w:val="21"/>
                <w:szCs w:val="21"/>
                <w:highlight w:val="none"/>
                <w:lang w:val="zh-CN"/>
              </w:rPr>
              <w:t>支持证书作废状态的CRL验证；支持OCSP在线验证证书作废状态。</w:t>
            </w:r>
          </w:p>
          <w:p w14:paraId="34EB1B76">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8.</w:t>
            </w:r>
            <w:r>
              <w:rPr>
                <w:rFonts w:hint="eastAsia" w:ascii="宋体" w:hAnsi="宋体" w:eastAsia="宋体" w:cs="宋体"/>
                <w:color w:val="000000"/>
                <w:kern w:val="0"/>
                <w:sz w:val="21"/>
                <w:szCs w:val="21"/>
                <w:highlight w:val="none"/>
                <w:lang w:val="zh-CN"/>
              </w:rPr>
              <w:t>支持Windows、Linux、IOS和Android等</w:t>
            </w:r>
            <w:r>
              <w:rPr>
                <w:rFonts w:hint="eastAsia" w:ascii="宋体" w:hAnsi="宋体" w:eastAsia="宋体" w:cs="宋体"/>
                <w:color w:val="000000"/>
                <w:kern w:val="0"/>
                <w:sz w:val="21"/>
                <w:szCs w:val="21"/>
                <w:highlight w:val="none"/>
              </w:rPr>
              <w:t>安全终端接入；</w:t>
            </w:r>
          </w:p>
          <w:p w14:paraId="7B73DB1D">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000000"/>
                <w:kern w:val="0"/>
                <w:sz w:val="21"/>
                <w:szCs w:val="21"/>
                <w:highlight w:val="none"/>
                <w:lang w:val="zh-CN"/>
              </w:rPr>
              <w:t>不依赖客户端，支持HTML、JavaScript和插件参数；</w:t>
            </w:r>
          </w:p>
          <w:p w14:paraId="294193F1">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10.</w:t>
            </w:r>
            <w:r>
              <w:rPr>
                <w:rFonts w:hint="eastAsia" w:ascii="宋体" w:hAnsi="宋体" w:eastAsia="宋体" w:cs="宋体"/>
                <w:bCs/>
                <w:kern w:val="0"/>
                <w:sz w:val="21"/>
                <w:szCs w:val="21"/>
                <w:highlight w:val="none"/>
              </w:rPr>
              <w:t>支持视图查看SSL加速状态、CPU使用率、内存使用率、并发连接数、新建连接数等</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auto"/>
                <w:kern w:val="0"/>
                <w:sz w:val="21"/>
                <w:szCs w:val="21"/>
                <w:highlight w:val="none"/>
              </w:rPr>
              <w:t>提供相关功能截图证明</w:t>
            </w:r>
            <w:r>
              <w:rPr>
                <w:rFonts w:hint="eastAsia" w:ascii="宋体" w:hAnsi="宋体" w:eastAsia="宋体" w:cs="宋体"/>
                <w:bCs/>
                <w:color w:val="auto"/>
                <w:kern w:val="0"/>
                <w:sz w:val="21"/>
                <w:szCs w:val="21"/>
                <w:highlight w:val="none"/>
                <w:lang w:eastAsia="zh-CN"/>
              </w:rPr>
              <w:t>。</w:t>
            </w:r>
          </w:p>
          <w:p w14:paraId="7C2A5750">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lang w:val="en-US" w:eastAsia="zh-CN"/>
              </w:rPr>
              <w:t>11.</w:t>
            </w:r>
            <w:r>
              <w:rPr>
                <w:rFonts w:hint="eastAsia" w:ascii="宋体" w:hAnsi="宋体" w:eastAsia="宋体" w:cs="宋体"/>
                <w:bCs/>
                <w:color w:val="auto"/>
                <w:kern w:val="0"/>
                <w:sz w:val="21"/>
                <w:szCs w:val="21"/>
                <w:highlight w:val="none"/>
              </w:rPr>
              <w:t>支持国密SSL卸载，SSL最大并发用户数3000，每秒新建连接数9,500，最大并发连接数480000，吞吐率2Gbps；</w:t>
            </w:r>
          </w:p>
          <w:p w14:paraId="0AF195A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支持IPsec加密隧道功能，IPsec隧道数2600个，IPsec加解密吞吐率2Gbps。</w:t>
            </w:r>
          </w:p>
          <w:p w14:paraId="10E49CC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color w:val="auto"/>
                <w:kern w:val="0"/>
                <w:sz w:val="21"/>
                <w:szCs w:val="21"/>
                <w:highlight w:val="none"/>
              </w:rPr>
              <w:t>默认含25个用户license；硬件规格：2U；双电源；1个千兆电口+1个千兆光口，硬盘4T。</w:t>
            </w:r>
          </w:p>
          <w:p w14:paraId="5597720F">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12.</w:t>
            </w:r>
            <w:r>
              <w:rPr>
                <w:rFonts w:hint="eastAsia" w:ascii="宋体" w:hAnsi="宋体" w:eastAsia="宋体" w:cs="宋体"/>
                <w:bCs/>
                <w:kern w:val="0"/>
                <w:sz w:val="21"/>
                <w:szCs w:val="21"/>
                <w:highlight w:val="none"/>
              </w:rPr>
              <w:t>具备国家密码局颁发的《商用密码产品认证证书》，且满足密码模块安全等级第二级相关要求</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000000"/>
                <w:kern w:val="0"/>
                <w:sz w:val="21"/>
                <w:szCs w:val="21"/>
                <w:highlight w:val="none"/>
              </w:rPr>
              <w:t>提供证书证明材料</w:t>
            </w:r>
            <w:r>
              <w:rPr>
                <w:rFonts w:hint="eastAsia" w:ascii="宋体" w:hAnsi="宋体" w:eastAsia="宋体" w:cs="宋体"/>
                <w:bCs/>
                <w:color w:val="000000"/>
                <w:kern w:val="0"/>
                <w:sz w:val="21"/>
                <w:szCs w:val="21"/>
                <w:highlight w:val="none"/>
                <w:lang w:eastAsia="zh-CN"/>
              </w:rPr>
              <w:t>。</w:t>
            </w:r>
          </w:p>
          <w:p w14:paraId="2059BF1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13.</w:t>
            </w:r>
            <w:r>
              <w:rPr>
                <w:rFonts w:hint="eastAsia" w:ascii="宋体" w:hAnsi="宋体" w:eastAsia="宋体" w:cs="宋体"/>
                <w:bCs/>
                <w:kern w:val="0"/>
                <w:sz w:val="21"/>
                <w:szCs w:val="21"/>
                <w:highlight w:val="none"/>
              </w:rPr>
              <w:t>产品支持IPV6，具备全球IPV6测试中心的《IPV6 Ready Logo认证》证书</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000000"/>
                <w:kern w:val="0"/>
                <w:sz w:val="21"/>
                <w:szCs w:val="21"/>
                <w:highlight w:val="none"/>
              </w:rPr>
              <w:t>提供证书证明材料</w:t>
            </w:r>
            <w:r>
              <w:rPr>
                <w:rFonts w:hint="eastAsia" w:ascii="宋体" w:hAnsi="宋体" w:eastAsia="宋体" w:cs="宋体"/>
                <w:bCs/>
                <w:color w:val="000000"/>
                <w:kern w:val="0"/>
                <w:sz w:val="21"/>
                <w:szCs w:val="21"/>
                <w:highlight w:val="none"/>
                <w:lang w:eastAsia="zh-CN"/>
              </w:rPr>
              <w:t>。</w:t>
            </w:r>
          </w:p>
          <w:p w14:paraId="4B95FBBF">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14.产品需提供至少2家信创环境互认证明，提供证明材料。</w:t>
            </w:r>
          </w:p>
          <w:p w14:paraId="1F49A0F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15.产品需提供网络安全专用产品安全检测证书，提供证明材料。</w:t>
            </w:r>
          </w:p>
          <w:p w14:paraId="4C61C0B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16.产品需提供第三方检测报告，提供证明材料。</w:t>
            </w:r>
          </w:p>
        </w:tc>
        <w:tc>
          <w:tcPr>
            <w:tcW w:w="1508" w:type="dxa"/>
            <w:vAlign w:val="center"/>
          </w:tcPr>
          <w:p w14:paraId="7AB1F740">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6台</w:t>
            </w:r>
          </w:p>
        </w:tc>
      </w:tr>
      <w:tr w14:paraId="4D03C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74C381ED">
            <w:pPr>
              <w:pageBreakBefore w:val="0"/>
              <w:widowControl w:val="0"/>
              <w:numPr>
                <w:ilvl w:val="0"/>
                <w:numId w:val="0"/>
              </w:numPr>
              <w:kinsoku/>
              <w:wordWrap/>
              <w:overflowPunct/>
              <w:topLinePunct w:val="0"/>
              <w:autoSpaceDE/>
              <w:autoSpaceDN/>
              <w:bidi w:val="0"/>
              <w:adjustRightInd/>
              <w:snapToGrid/>
              <w:spacing w:line="288" w:lineRule="auto"/>
              <w:ind w:left="210" w:hanging="210" w:hangingChars="100"/>
              <w:jc w:val="both"/>
              <w:textAlignment w:val="auto"/>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服务器密码机</w:t>
            </w:r>
          </w:p>
        </w:tc>
        <w:tc>
          <w:tcPr>
            <w:tcW w:w="5859" w:type="dxa"/>
            <w:vAlign w:val="center"/>
          </w:tcPr>
          <w:p w14:paraId="0DD3969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1.</w:t>
            </w:r>
            <w:r>
              <w:rPr>
                <w:rFonts w:hint="eastAsia" w:ascii="宋体" w:hAnsi="宋体" w:eastAsia="宋体" w:cs="宋体"/>
                <w:bCs/>
                <w:kern w:val="0"/>
                <w:sz w:val="21"/>
                <w:szCs w:val="21"/>
                <w:highlight w:val="none"/>
              </w:rPr>
              <w:t>支持密钥安全产生、安装、存储、使用、销毁以及备份恢复全生命周期的管理；</w:t>
            </w:r>
          </w:p>
          <w:p w14:paraId="1BABB48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2.</w:t>
            </w:r>
            <w:r>
              <w:rPr>
                <w:rFonts w:hint="eastAsia" w:ascii="宋体" w:hAnsi="宋体" w:eastAsia="宋体" w:cs="宋体"/>
                <w:bCs/>
                <w:kern w:val="0"/>
                <w:sz w:val="21"/>
                <w:szCs w:val="21"/>
                <w:highlight w:val="none"/>
              </w:rPr>
              <w:t xml:space="preserve">采用由国家密码管理局批准使用的双物理噪声源； </w:t>
            </w:r>
          </w:p>
          <w:p w14:paraId="24B9C82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lang w:val="zh-CN"/>
              </w:rPr>
              <w:t>支持</w:t>
            </w:r>
            <w:r>
              <w:rPr>
                <w:rFonts w:hint="eastAsia" w:ascii="宋体" w:hAnsi="宋体" w:eastAsia="宋体" w:cs="宋体"/>
                <w:color w:val="000000"/>
                <w:kern w:val="0"/>
                <w:sz w:val="21"/>
                <w:szCs w:val="21"/>
                <w:highlight w:val="none"/>
              </w:rPr>
              <w:t>SM4</w:t>
            </w:r>
            <w:r>
              <w:rPr>
                <w:rFonts w:hint="eastAsia" w:ascii="宋体" w:hAnsi="宋体" w:eastAsia="宋体" w:cs="宋体"/>
                <w:color w:val="000000"/>
                <w:kern w:val="0"/>
                <w:sz w:val="21"/>
                <w:szCs w:val="21"/>
                <w:highlight w:val="none"/>
                <w:lang w:val="zh-CN"/>
              </w:rPr>
              <w:t>算法的</w:t>
            </w:r>
            <w:r>
              <w:rPr>
                <w:rFonts w:hint="eastAsia" w:ascii="宋体" w:hAnsi="宋体" w:eastAsia="宋体" w:cs="宋体"/>
                <w:color w:val="000000"/>
                <w:kern w:val="0"/>
                <w:sz w:val="21"/>
                <w:szCs w:val="21"/>
                <w:highlight w:val="none"/>
              </w:rPr>
              <w:t>ECB</w:t>
            </w:r>
            <w:r>
              <w:rPr>
                <w:rFonts w:hint="eastAsia" w:ascii="宋体" w:hAnsi="宋体" w:eastAsia="宋体" w:cs="宋体"/>
                <w:color w:val="000000"/>
                <w:kern w:val="0"/>
                <w:sz w:val="21"/>
                <w:szCs w:val="21"/>
                <w:highlight w:val="none"/>
                <w:lang w:val="zh-CN"/>
              </w:rPr>
              <w:t>、</w:t>
            </w:r>
            <w:r>
              <w:rPr>
                <w:rFonts w:hint="eastAsia" w:ascii="宋体" w:hAnsi="宋体" w:eastAsia="宋体" w:cs="宋体"/>
                <w:color w:val="000000"/>
                <w:kern w:val="0"/>
                <w:sz w:val="21"/>
                <w:szCs w:val="21"/>
                <w:highlight w:val="none"/>
              </w:rPr>
              <w:t>CBC</w:t>
            </w:r>
            <w:r>
              <w:rPr>
                <w:rFonts w:hint="eastAsia" w:ascii="宋体" w:hAnsi="宋体" w:eastAsia="宋体" w:cs="宋体"/>
                <w:color w:val="000000"/>
                <w:kern w:val="0"/>
                <w:sz w:val="21"/>
                <w:szCs w:val="21"/>
                <w:highlight w:val="none"/>
                <w:lang w:val="zh-CN"/>
              </w:rPr>
              <w:t>、</w:t>
            </w:r>
            <w:r>
              <w:rPr>
                <w:rFonts w:hint="eastAsia" w:ascii="宋体" w:hAnsi="宋体" w:eastAsia="宋体" w:cs="宋体"/>
                <w:color w:val="000000"/>
                <w:kern w:val="0"/>
                <w:sz w:val="21"/>
                <w:szCs w:val="21"/>
                <w:highlight w:val="none"/>
              </w:rPr>
              <w:t>OFB</w:t>
            </w:r>
            <w:r>
              <w:rPr>
                <w:rFonts w:hint="eastAsia" w:ascii="宋体" w:hAnsi="宋体" w:eastAsia="宋体" w:cs="宋体"/>
                <w:color w:val="000000"/>
                <w:kern w:val="0"/>
                <w:sz w:val="21"/>
                <w:szCs w:val="21"/>
                <w:highlight w:val="none"/>
                <w:lang w:val="zh-CN"/>
              </w:rPr>
              <w:t>、</w:t>
            </w:r>
            <w:r>
              <w:rPr>
                <w:rFonts w:hint="eastAsia" w:ascii="宋体" w:hAnsi="宋体" w:eastAsia="宋体" w:cs="宋体"/>
                <w:color w:val="000000"/>
                <w:kern w:val="0"/>
                <w:sz w:val="21"/>
                <w:szCs w:val="21"/>
                <w:highlight w:val="none"/>
              </w:rPr>
              <w:t>CFB</w:t>
            </w:r>
            <w:r>
              <w:rPr>
                <w:rFonts w:hint="eastAsia" w:ascii="宋体" w:hAnsi="宋体" w:eastAsia="宋体" w:cs="宋体"/>
                <w:color w:val="000000"/>
                <w:kern w:val="0"/>
                <w:sz w:val="21"/>
                <w:szCs w:val="21"/>
                <w:highlight w:val="none"/>
                <w:lang w:val="zh-CN"/>
              </w:rPr>
              <w:t>、</w:t>
            </w:r>
            <w:r>
              <w:rPr>
                <w:rFonts w:hint="eastAsia" w:ascii="宋体" w:hAnsi="宋体" w:eastAsia="宋体" w:cs="宋体"/>
                <w:color w:val="000000"/>
                <w:kern w:val="0"/>
                <w:sz w:val="21"/>
                <w:szCs w:val="21"/>
                <w:highlight w:val="none"/>
              </w:rPr>
              <w:t>CTR</w:t>
            </w:r>
            <w:r>
              <w:rPr>
                <w:rFonts w:hint="eastAsia" w:ascii="宋体" w:hAnsi="宋体" w:eastAsia="宋体" w:cs="宋体"/>
                <w:color w:val="000000"/>
                <w:kern w:val="0"/>
                <w:sz w:val="21"/>
                <w:szCs w:val="21"/>
                <w:highlight w:val="none"/>
                <w:lang w:val="zh-CN"/>
              </w:rPr>
              <w:t>等模式的数据加密和解密运算</w:t>
            </w:r>
            <w:r>
              <w:rPr>
                <w:rFonts w:hint="eastAsia" w:ascii="宋体" w:hAnsi="宋体" w:eastAsia="宋体" w:cs="宋体"/>
                <w:color w:val="000000"/>
                <w:kern w:val="0"/>
                <w:sz w:val="21"/>
                <w:szCs w:val="21"/>
                <w:highlight w:val="none"/>
              </w:rPr>
              <w:t>；</w:t>
            </w:r>
            <w:r>
              <w:rPr>
                <w:rFonts w:hint="eastAsia" w:ascii="宋体" w:hAnsi="宋体" w:eastAsia="宋体" w:cs="宋体"/>
                <w:color w:val="000000"/>
                <w:kern w:val="0"/>
                <w:sz w:val="21"/>
                <w:szCs w:val="21"/>
                <w:highlight w:val="none"/>
                <w:lang w:val="zh-CN"/>
              </w:rPr>
              <w:t>支持基于</w:t>
            </w:r>
            <w:r>
              <w:rPr>
                <w:rFonts w:hint="eastAsia" w:ascii="宋体" w:hAnsi="宋体" w:eastAsia="宋体" w:cs="宋体"/>
                <w:color w:val="000000"/>
                <w:kern w:val="0"/>
                <w:sz w:val="21"/>
                <w:szCs w:val="21"/>
                <w:highlight w:val="none"/>
              </w:rPr>
              <w:t>SM4</w:t>
            </w:r>
            <w:r>
              <w:rPr>
                <w:rFonts w:hint="eastAsia" w:ascii="宋体" w:hAnsi="宋体" w:eastAsia="宋体" w:cs="宋体"/>
                <w:color w:val="000000"/>
                <w:kern w:val="0"/>
                <w:sz w:val="21"/>
                <w:szCs w:val="21"/>
                <w:highlight w:val="none"/>
                <w:lang w:val="zh-CN"/>
              </w:rPr>
              <w:t>算法的保留格式加解密，</w:t>
            </w:r>
            <w:r>
              <w:rPr>
                <w:rFonts w:hint="eastAsia" w:ascii="宋体" w:hAnsi="宋体" w:eastAsia="宋体" w:cs="宋体"/>
                <w:color w:val="000000"/>
                <w:kern w:val="0"/>
                <w:sz w:val="21"/>
                <w:szCs w:val="21"/>
                <w:highlight w:val="none"/>
              </w:rPr>
              <w:t>提供国家认可的第三方检测机构出具的带CNAS或CMA标识的检测报告复印件</w:t>
            </w:r>
            <w:r>
              <w:rPr>
                <w:rFonts w:hint="eastAsia" w:ascii="宋体" w:hAnsi="宋体" w:eastAsia="宋体" w:cs="宋体"/>
                <w:color w:val="000000"/>
                <w:kern w:val="0"/>
                <w:sz w:val="21"/>
                <w:szCs w:val="21"/>
                <w:highlight w:val="none"/>
                <w:lang w:eastAsia="zh-CN"/>
              </w:rPr>
              <w:t>。</w:t>
            </w:r>
          </w:p>
          <w:p w14:paraId="7711335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lang w:val="zh-CN"/>
              </w:rPr>
              <w:t>消息鉴别码产生和验证：支持基于SM4 算法的 MAC 产生及验证</w:t>
            </w:r>
          </w:p>
          <w:p w14:paraId="6CA8CF99">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lang w:val="zh-CN"/>
              </w:rPr>
              <w:t>数据签名/验证：支持 SM2 算法的私钥签名，使用对应的公钥签名验证</w:t>
            </w:r>
          </w:p>
          <w:p w14:paraId="290B2F4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6.</w:t>
            </w:r>
            <w:r>
              <w:rPr>
                <w:rFonts w:hint="eastAsia" w:ascii="宋体" w:hAnsi="宋体" w:eastAsia="宋体" w:cs="宋体"/>
                <w:bCs/>
                <w:kern w:val="0"/>
                <w:sz w:val="21"/>
                <w:szCs w:val="21"/>
                <w:highlight w:val="none"/>
              </w:rPr>
              <w:t>支持设备初始化配置包括密钥产生安装、生成管理员、按照安全机制对密钥安全存储和备份、系统配置、一键检测等功能，保证设备处于正常工作状态</w:t>
            </w:r>
          </w:p>
          <w:p w14:paraId="38C51D4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7.</w:t>
            </w:r>
            <w:r>
              <w:rPr>
                <w:rFonts w:hint="eastAsia" w:ascii="宋体" w:hAnsi="宋体" w:eastAsia="宋体" w:cs="宋体"/>
                <w:bCs/>
                <w:kern w:val="0"/>
                <w:sz w:val="21"/>
                <w:szCs w:val="21"/>
                <w:highlight w:val="none"/>
              </w:rPr>
              <w:t>支持访问控制，可通过管理界面设置管理员权限和密钥产生、安装、备份恢复以及日志查询等操作</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000000"/>
                <w:kern w:val="0"/>
                <w:sz w:val="21"/>
                <w:szCs w:val="21"/>
                <w:highlight w:val="none"/>
              </w:rPr>
              <w:t>提供截图证明</w:t>
            </w:r>
            <w:r>
              <w:rPr>
                <w:rFonts w:hint="eastAsia" w:ascii="宋体" w:hAnsi="宋体" w:eastAsia="宋体" w:cs="宋体"/>
                <w:bCs/>
                <w:color w:val="000000"/>
                <w:kern w:val="0"/>
                <w:sz w:val="21"/>
                <w:szCs w:val="21"/>
                <w:highlight w:val="none"/>
                <w:lang w:eastAsia="zh-CN"/>
              </w:rPr>
              <w:t>。</w:t>
            </w:r>
          </w:p>
          <w:p w14:paraId="6588802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Cs/>
                <w:color w:val="000000"/>
                <w:kern w:val="0"/>
                <w:sz w:val="21"/>
                <w:szCs w:val="21"/>
                <w:highlight w:val="none"/>
                <w:lang w:val="en-US" w:eastAsia="zh-CN"/>
              </w:rPr>
              <w:t>8.</w:t>
            </w:r>
            <w:r>
              <w:rPr>
                <w:rFonts w:hint="eastAsia" w:ascii="宋体" w:hAnsi="宋体" w:eastAsia="宋体" w:cs="宋体"/>
                <w:bCs/>
                <w:color w:val="000000"/>
                <w:kern w:val="0"/>
                <w:sz w:val="21"/>
                <w:szCs w:val="21"/>
                <w:highlight w:val="none"/>
              </w:rPr>
              <w:t>支持国产密码算法：SM2、SM3、SM4等；</w:t>
            </w:r>
          </w:p>
          <w:p w14:paraId="0D0DD220">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支持审计日志的记录，查询和导出功能；支持多方协同签名、多方协同解密功能; 支持密钥分散功能</w:t>
            </w:r>
          </w:p>
          <w:p w14:paraId="48C5C2D5">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双机热备：对外可提供高稳定、高性能的服务，支持热备负载功能，支持多 机并行，提供容错功能，当有密码机出现故障时不影响业务运算。</w:t>
            </w:r>
          </w:p>
          <w:p w14:paraId="2657EAA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SM4加/解密速率≥2500Mbps; SM2密钥对生成速率≥18000对/秒，加/解密速率≥11Mbps/28Mbps，签名速率≥120000次/秒，验签速率≥12000次/秒；SM3运算速率≥800 Kbps。</w:t>
            </w:r>
          </w:p>
          <w:p w14:paraId="621831D6">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rPr>
              <w:t>产品具备国家密码管理局颁发的《商用密码产品认证证书》且满足密码模块安全等级第二级相关要求</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提供证书证明材料</w:t>
            </w:r>
            <w:r>
              <w:rPr>
                <w:rFonts w:hint="eastAsia" w:ascii="宋体" w:hAnsi="宋体" w:eastAsia="宋体" w:cs="宋体"/>
                <w:sz w:val="21"/>
                <w:szCs w:val="21"/>
                <w:highlight w:val="none"/>
                <w:lang w:eastAsia="zh-CN"/>
              </w:rPr>
              <w:t>。</w:t>
            </w:r>
          </w:p>
          <w:p w14:paraId="5DB6DF0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bCs/>
                <w:kern w:val="0"/>
                <w:sz w:val="21"/>
                <w:szCs w:val="21"/>
                <w:highlight w:val="none"/>
              </w:rPr>
            </w:pPr>
            <w:r>
              <w:rPr>
                <w:rFonts w:hint="eastAsia" w:ascii="宋体" w:hAnsi="宋体" w:eastAsia="宋体" w:cs="宋体"/>
                <w:bCs/>
                <w:kern w:val="0"/>
                <w:sz w:val="21"/>
                <w:szCs w:val="21"/>
                <w:highlight w:val="none"/>
                <w:lang w:val="en-US" w:eastAsia="zh-CN"/>
              </w:rPr>
              <w:t>13.</w:t>
            </w:r>
            <w:r>
              <w:rPr>
                <w:rFonts w:hint="eastAsia" w:ascii="宋体" w:hAnsi="宋体" w:eastAsia="宋体" w:cs="宋体"/>
                <w:bCs/>
                <w:kern w:val="0"/>
                <w:sz w:val="21"/>
                <w:szCs w:val="21"/>
                <w:highlight w:val="none"/>
              </w:rPr>
              <w:t>具备全球IPV6测试中心的《IPV6 Ready Logo认证》</w:t>
            </w:r>
            <w:r>
              <w:rPr>
                <w:rFonts w:hint="eastAsia" w:ascii="宋体" w:hAnsi="宋体" w:eastAsia="宋体" w:cs="宋体"/>
                <w:bCs/>
                <w:kern w:val="0"/>
                <w:sz w:val="21"/>
                <w:szCs w:val="21"/>
                <w:highlight w:val="none"/>
                <w:lang w:eastAsia="zh-CN"/>
              </w:rPr>
              <w:t>，</w:t>
            </w:r>
            <w:r>
              <w:rPr>
                <w:rFonts w:hint="eastAsia" w:ascii="宋体" w:hAnsi="宋体" w:eastAsia="宋体" w:cs="宋体"/>
                <w:bCs/>
                <w:color w:val="000000"/>
                <w:kern w:val="0"/>
                <w:sz w:val="21"/>
                <w:szCs w:val="21"/>
                <w:highlight w:val="none"/>
              </w:rPr>
              <w:t>提供证书证明材料</w:t>
            </w:r>
            <w:r>
              <w:rPr>
                <w:rFonts w:hint="eastAsia" w:ascii="宋体" w:hAnsi="宋体" w:eastAsia="宋体" w:cs="宋体"/>
                <w:bCs/>
                <w:color w:val="000000"/>
                <w:kern w:val="0"/>
                <w:sz w:val="21"/>
                <w:szCs w:val="21"/>
                <w:highlight w:val="none"/>
                <w:lang w:eastAsia="zh-CN"/>
              </w:rPr>
              <w:t>。</w:t>
            </w:r>
          </w:p>
          <w:p w14:paraId="3F8FFA76">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14.</w:t>
            </w:r>
            <w:r>
              <w:rPr>
                <w:rFonts w:hint="eastAsia" w:ascii="宋体" w:hAnsi="宋体" w:eastAsia="宋体" w:cs="宋体"/>
                <w:sz w:val="21"/>
                <w:szCs w:val="21"/>
                <w:highlight w:val="none"/>
              </w:rPr>
              <w:t>产品具备公安部计算机信息系统安全产品质量监督检验中心颁发的《网络安全专用产品安全检测证书》</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提供证书证明材料</w:t>
            </w:r>
            <w:r>
              <w:rPr>
                <w:rFonts w:hint="eastAsia" w:ascii="宋体" w:hAnsi="宋体" w:eastAsia="宋体" w:cs="宋体"/>
                <w:sz w:val="21"/>
                <w:szCs w:val="21"/>
                <w:highlight w:val="none"/>
                <w:lang w:eastAsia="zh-CN"/>
              </w:rPr>
              <w:t>。</w:t>
            </w:r>
          </w:p>
        </w:tc>
        <w:tc>
          <w:tcPr>
            <w:tcW w:w="1508" w:type="dxa"/>
            <w:vAlign w:val="center"/>
          </w:tcPr>
          <w:p w14:paraId="370313BB">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2台</w:t>
            </w:r>
          </w:p>
        </w:tc>
      </w:tr>
      <w:tr w14:paraId="388F2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03D89B7C">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智能密码钥匙</w:t>
            </w:r>
          </w:p>
        </w:tc>
        <w:tc>
          <w:tcPr>
            <w:tcW w:w="5859" w:type="dxa"/>
            <w:vAlign w:val="center"/>
          </w:tcPr>
          <w:p w14:paraId="632F8E27">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支持多种类型的密钥、支持多个密钥的安全存储，支持证书的导入、导出、安全存储</w:t>
            </w:r>
          </w:p>
          <w:p w14:paraId="4A51AB7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支持通过密码算法实现文件和数据的电子签名及签名验证</w:t>
            </w:r>
          </w:p>
          <w:p w14:paraId="41EFDB41">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支持高速对称算法，满足大数据实时高速加解密功能需求</w:t>
            </w:r>
          </w:p>
          <w:p w14:paraId="3869A0E0">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支持国密SKF、PKCS11和CSP接口之间的数据互通，即通过国密SKF接口生成的密钥和签发的证书，可以通过PKCS11、CSP接口进行读取和使用</w:t>
            </w:r>
          </w:p>
          <w:p w14:paraId="418D4C81">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支持国产密码算法、支持第三方算法下载</w:t>
            </w:r>
          </w:p>
          <w:p w14:paraId="06F5B957">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USBKey容量≥64K字节</w:t>
            </w:r>
          </w:p>
          <w:p w14:paraId="2C7E264F">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rPr>
              <w:t>USB Key自身的安全要求：具备完善的PIN校验保护功能</w:t>
            </w:r>
          </w:p>
          <w:p w14:paraId="0CCD1E1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公钥私钥对生成时间≤30秒</w:t>
            </w:r>
          </w:p>
          <w:p w14:paraId="098CA25C">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数字签名和验证时间&lt;1秒/次</w:t>
            </w:r>
          </w:p>
          <w:p w14:paraId="1A8E2A4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支持硬件真随机数发生器</w:t>
            </w:r>
          </w:p>
          <w:p w14:paraId="6D3094CD">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11.</w:t>
            </w:r>
            <w:r>
              <w:rPr>
                <w:rFonts w:hint="eastAsia" w:ascii="宋体" w:hAnsi="宋体" w:eastAsia="宋体" w:cs="宋体"/>
                <w:sz w:val="21"/>
                <w:szCs w:val="21"/>
                <w:highlight w:val="none"/>
              </w:rPr>
              <w:t>SM2签名运算速率≥100次/秒</w:t>
            </w:r>
          </w:p>
          <w:p w14:paraId="3977773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rPr>
              <w:t>支持与统信桌面操作系统兼容</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提供相关兼容性认证证明</w:t>
            </w:r>
            <w:r>
              <w:rPr>
                <w:rFonts w:hint="eastAsia" w:ascii="宋体" w:hAnsi="宋体" w:eastAsia="宋体" w:cs="宋体"/>
                <w:sz w:val="21"/>
                <w:szCs w:val="21"/>
                <w:highlight w:val="none"/>
                <w:lang w:eastAsia="zh-CN"/>
              </w:rPr>
              <w:t>。</w:t>
            </w:r>
          </w:p>
          <w:p w14:paraId="01115D73">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13.</w:t>
            </w:r>
            <w:r>
              <w:rPr>
                <w:rFonts w:hint="eastAsia" w:ascii="宋体" w:hAnsi="宋体" w:eastAsia="宋体" w:cs="宋体"/>
                <w:sz w:val="21"/>
                <w:szCs w:val="21"/>
                <w:highlight w:val="none"/>
              </w:rPr>
              <w:t>产品具备国家密码管理局颁发的《商用密码产品认证证书》，且满足密码模块安全等级第二级相关要求</w:t>
            </w:r>
            <w:r>
              <w:rPr>
                <w:rFonts w:hint="eastAsia" w:ascii="宋体" w:hAnsi="宋体" w:eastAsia="宋体" w:cs="宋体"/>
                <w:sz w:val="21"/>
                <w:szCs w:val="21"/>
                <w:highlight w:val="none"/>
                <w:lang w:eastAsia="zh-CN"/>
              </w:rPr>
              <w:t>，</w:t>
            </w:r>
            <w:r>
              <w:rPr>
                <w:rFonts w:hint="eastAsia" w:ascii="宋体" w:hAnsi="宋体" w:eastAsia="宋体" w:cs="宋体"/>
                <w:bCs/>
                <w:color w:val="000000"/>
                <w:kern w:val="0"/>
                <w:sz w:val="21"/>
                <w:szCs w:val="21"/>
                <w:highlight w:val="none"/>
              </w:rPr>
              <w:t>提供证书证明材料</w:t>
            </w:r>
            <w:r>
              <w:rPr>
                <w:rFonts w:hint="eastAsia" w:ascii="宋体" w:hAnsi="宋体" w:eastAsia="宋体" w:cs="宋体"/>
                <w:bCs/>
                <w:color w:val="000000"/>
                <w:kern w:val="0"/>
                <w:sz w:val="21"/>
                <w:szCs w:val="21"/>
                <w:highlight w:val="none"/>
                <w:lang w:eastAsia="zh-CN"/>
              </w:rPr>
              <w:t>。</w:t>
            </w:r>
          </w:p>
        </w:tc>
        <w:tc>
          <w:tcPr>
            <w:tcW w:w="1508" w:type="dxa"/>
            <w:vAlign w:val="center"/>
          </w:tcPr>
          <w:p w14:paraId="186B3A22">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100个</w:t>
            </w:r>
          </w:p>
        </w:tc>
      </w:tr>
      <w:tr w14:paraId="3EEE3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030D55C8">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sz w:val="21"/>
                <w:szCs w:val="21"/>
                <w:highlight w:val="none"/>
                <w:lang w:val="en-US" w:eastAsia="zh-CN"/>
              </w:rPr>
            </w:pPr>
            <w:bookmarkStart w:id="0" w:name="_Hlk133137643"/>
            <w:r>
              <w:rPr>
                <w:rFonts w:hint="eastAsia" w:ascii="宋体" w:hAnsi="宋体" w:eastAsia="宋体" w:cs="宋体"/>
                <w:sz w:val="21"/>
                <w:szCs w:val="21"/>
                <w:highlight w:val="none"/>
                <w:lang w:val="en-US" w:eastAsia="zh-CN"/>
              </w:rPr>
              <w:t>个人数字证书</w:t>
            </w:r>
          </w:p>
        </w:tc>
        <w:tc>
          <w:tcPr>
            <w:tcW w:w="5859" w:type="dxa"/>
            <w:vAlign w:val="center"/>
          </w:tcPr>
          <w:p w14:paraId="6BFF4CE7">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标示个人用户网络身份；</w:t>
            </w:r>
          </w:p>
          <w:p w14:paraId="414B3300">
            <w:pPr>
              <w:pageBreakBefore w:val="0"/>
              <w:kinsoku/>
              <w:wordWrap/>
              <w:overflowPunct/>
              <w:topLinePunct w:val="0"/>
              <w:autoSpaceDE/>
              <w:autoSpaceDN/>
              <w:bidi w:val="0"/>
              <w:adjustRightInd/>
              <w:snapToGrid/>
              <w:spacing w:line="288" w:lineRule="auto"/>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符合原卫生部《卫生系统数字证书格式规范（试行）》；</w:t>
            </w:r>
          </w:p>
          <w:p w14:paraId="03F9CC3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符合原卫生部《卫生系统电子认证服务规范（试行）》；</w:t>
            </w:r>
          </w:p>
          <w:p w14:paraId="697D77BA">
            <w:pPr>
              <w:pageBreakBefore w:val="0"/>
              <w:kinsoku/>
              <w:wordWrap/>
              <w:overflowPunct/>
              <w:topLinePunct w:val="0"/>
              <w:autoSpaceDE/>
              <w:autoSpaceDN/>
              <w:bidi w:val="0"/>
              <w:adjustRightInd/>
              <w:snapToGrid/>
              <w:spacing w:line="288" w:lineRule="auto"/>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证书格式标准遵循x．509v3标准；</w:t>
            </w:r>
          </w:p>
          <w:p w14:paraId="677A6E9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支持自定义证书扩展域管理；</w:t>
            </w:r>
          </w:p>
          <w:p w14:paraId="2C61C29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证书包含</w:t>
            </w:r>
            <w:r>
              <w:rPr>
                <w:rFonts w:hint="eastAsia" w:ascii="宋体" w:hAnsi="宋体" w:eastAsia="宋体" w:cs="宋体"/>
                <w:b/>
                <w:bCs/>
                <w:color w:val="auto"/>
                <w:sz w:val="21"/>
                <w:szCs w:val="21"/>
                <w:highlight w:val="none"/>
                <w:lang w:val="en-US" w:eastAsia="zh-CN"/>
              </w:rPr>
              <w:t>1</w:t>
            </w:r>
            <w:r>
              <w:rPr>
                <w:rFonts w:hint="eastAsia" w:ascii="宋体" w:hAnsi="宋体" w:eastAsia="宋体" w:cs="宋体"/>
                <w:sz w:val="21"/>
                <w:szCs w:val="21"/>
                <w:highlight w:val="none"/>
              </w:rPr>
              <w:t>年有效期；</w:t>
            </w:r>
          </w:p>
          <w:p w14:paraId="601C0A3B">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7.签发机构</w:t>
            </w:r>
            <w:r>
              <w:rPr>
                <w:rFonts w:hint="eastAsia" w:ascii="宋体" w:hAnsi="宋体" w:eastAsia="宋体" w:cs="宋体"/>
                <w:b w:val="0"/>
                <w:bCs w:val="0"/>
                <w:color w:val="auto"/>
                <w:sz w:val="21"/>
                <w:szCs w:val="21"/>
                <w:highlight w:val="none"/>
              </w:rPr>
              <w:t>需同时具备《电子认证服务许可证》、《电子认证服务使用密码许可证》、《电子政务电子认证服务机构》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Cs/>
                <w:kern w:val="0"/>
                <w:sz w:val="21"/>
                <w:szCs w:val="21"/>
                <w:highlight w:val="none"/>
                <w:lang w:val="en-US" w:eastAsia="zh-CN"/>
              </w:rPr>
              <w:t>提供证明材料。</w:t>
            </w:r>
          </w:p>
        </w:tc>
        <w:tc>
          <w:tcPr>
            <w:tcW w:w="1508" w:type="dxa"/>
            <w:vAlign w:val="center"/>
          </w:tcPr>
          <w:p w14:paraId="36EEBE5F">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100张/年</w:t>
            </w:r>
          </w:p>
        </w:tc>
      </w:tr>
      <w:bookmarkEnd w:id="0"/>
      <w:tr w14:paraId="13B5C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10BD0439">
            <w:pPr>
              <w:pageBreakBefore w:val="0"/>
              <w:kinsoku/>
              <w:wordWrap/>
              <w:overflowPunct/>
              <w:topLinePunct w:val="0"/>
              <w:autoSpaceDE/>
              <w:autoSpaceDN/>
              <w:bidi w:val="0"/>
              <w:adjustRightInd/>
              <w:snapToGrid/>
              <w:spacing w:line="288" w:lineRule="auto"/>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设备证书</w:t>
            </w:r>
          </w:p>
        </w:tc>
        <w:tc>
          <w:tcPr>
            <w:tcW w:w="5859" w:type="dxa"/>
            <w:vAlign w:val="center"/>
          </w:tcPr>
          <w:p w14:paraId="1C52ED7E">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标示个人用户网络身份；</w:t>
            </w:r>
          </w:p>
          <w:p w14:paraId="5B5E3E57">
            <w:pPr>
              <w:pageBreakBefore w:val="0"/>
              <w:kinsoku/>
              <w:wordWrap/>
              <w:overflowPunct/>
              <w:topLinePunct w:val="0"/>
              <w:autoSpaceDE/>
              <w:autoSpaceDN/>
              <w:bidi w:val="0"/>
              <w:adjustRightInd/>
              <w:snapToGrid/>
              <w:spacing w:line="288" w:lineRule="auto"/>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符合原卫生部《卫生系统数字证书格式规范（试行）》；</w:t>
            </w:r>
          </w:p>
          <w:p w14:paraId="69EC5F04">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符合原卫生部《卫生系统电子认证服务规范（试行）》；</w:t>
            </w:r>
          </w:p>
          <w:p w14:paraId="3102D3BB">
            <w:pPr>
              <w:pageBreakBefore w:val="0"/>
              <w:kinsoku/>
              <w:wordWrap/>
              <w:overflowPunct/>
              <w:topLinePunct w:val="0"/>
              <w:autoSpaceDE/>
              <w:autoSpaceDN/>
              <w:bidi w:val="0"/>
              <w:adjustRightInd/>
              <w:snapToGrid/>
              <w:spacing w:line="288" w:lineRule="auto"/>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证书格式标准遵循x．509v3标准；</w:t>
            </w:r>
          </w:p>
          <w:p w14:paraId="5D07AA12">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支持自定义证书扩展域管理；</w:t>
            </w:r>
          </w:p>
          <w:p w14:paraId="1FC38868">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证书包含</w:t>
            </w:r>
            <w:r>
              <w:rPr>
                <w:rFonts w:hint="eastAsia" w:ascii="宋体" w:hAnsi="宋体" w:cs="宋体"/>
                <w:color w:val="auto"/>
                <w:sz w:val="21"/>
                <w:szCs w:val="21"/>
                <w:highlight w:val="none"/>
                <w:lang w:val="en-US" w:eastAsia="zh-CN"/>
              </w:rPr>
              <w:t>1</w:t>
            </w:r>
            <w:r>
              <w:rPr>
                <w:rFonts w:hint="eastAsia" w:ascii="宋体" w:hAnsi="宋体" w:eastAsia="宋体" w:cs="宋体"/>
                <w:sz w:val="21"/>
                <w:szCs w:val="21"/>
                <w:highlight w:val="none"/>
              </w:rPr>
              <w:t>年有效期；</w:t>
            </w:r>
          </w:p>
          <w:p w14:paraId="3A38084A">
            <w:pPr>
              <w:pageBreakBefore w:val="0"/>
              <w:kinsoku/>
              <w:wordWrap/>
              <w:overflowPunct/>
              <w:topLinePunct w:val="0"/>
              <w:autoSpaceDE/>
              <w:autoSpaceDN/>
              <w:bidi w:val="0"/>
              <w:adjustRightInd/>
              <w:snapToGrid/>
              <w:spacing w:line="288" w:lineRule="auto"/>
              <w:textAlignment w:val="auto"/>
              <w:rPr>
                <w:rFonts w:hint="eastAsia" w:ascii="宋体" w:hAnsi="宋体" w:eastAsia="宋体" w:cs="宋体"/>
                <w:sz w:val="21"/>
                <w:szCs w:val="21"/>
                <w:highlight w:val="none"/>
              </w:rPr>
            </w:pPr>
            <w:r>
              <w:rPr>
                <w:rFonts w:hint="eastAsia" w:ascii="宋体" w:hAnsi="宋体" w:eastAsia="宋体" w:cs="宋体"/>
                <w:b w:val="0"/>
                <w:bCs w:val="0"/>
                <w:color w:val="auto"/>
                <w:sz w:val="21"/>
                <w:szCs w:val="21"/>
                <w:highlight w:val="none"/>
                <w:lang w:val="en-US" w:eastAsia="zh-CN"/>
              </w:rPr>
              <w:t>7.签发机构</w:t>
            </w:r>
            <w:r>
              <w:rPr>
                <w:rFonts w:hint="eastAsia" w:ascii="宋体" w:hAnsi="宋体" w:eastAsia="宋体" w:cs="宋体"/>
                <w:b w:val="0"/>
                <w:bCs w:val="0"/>
                <w:color w:val="auto"/>
                <w:sz w:val="21"/>
                <w:szCs w:val="21"/>
                <w:highlight w:val="none"/>
              </w:rPr>
              <w:t>需同时具备《电子认证服务许可证》、《电子认证服务使用密码许可证》、《电子政务电子认证服务机构》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Cs/>
                <w:kern w:val="0"/>
                <w:sz w:val="21"/>
                <w:szCs w:val="21"/>
                <w:highlight w:val="none"/>
                <w:lang w:val="en-US" w:eastAsia="zh-CN"/>
              </w:rPr>
              <w:t>提供证明材料。</w:t>
            </w:r>
          </w:p>
        </w:tc>
        <w:tc>
          <w:tcPr>
            <w:tcW w:w="1508" w:type="dxa"/>
            <w:vAlign w:val="center"/>
          </w:tcPr>
          <w:p w14:paraId="3BC6ABA1">
            <w:pPr>
              <w:pageBreakBefore w:val="0"/>
              <w:kinsoku/>
              <w:wordWrap/>
              <w:overflowPunct/>
              <w:topLinePunct w:val="0"/>
              <w:autoSpaceDE/>
              <w:autoSpaceDN/>
              <w:bidi w:val="0"/>
              <w:adjustRightInd/>
              <w:snapToGrid/>
              <w:spacing w:line="288"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13张/年</w:t>
            </w:r>
          </w:p>
        </w:tc>
      </w:tr>
      <w:tr w14:paraId="71137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640EB116">
            <w:pPr>
              <w:pageBreakBefore w:val="0"/>
              <w:widowControl/>
              <w:numPr>
                <w:ilvl w:val="0"/>
                <w:numId w:val="0"/>
              </w:numPr>
              <w:kinsoku/>
              <w:wordWrap/>
              <w:overflowPunct/>
              <w:topLinePunct w:val="0"/>
              <w:autoSpaceDE/>
              <w:autoSpaceDN/>
              <w:bidi w:val="0"/>
              <w:adjustRightInd/>
              <w:snapToGrid/>
              <w:spacing w:line="288" w:lineRule="auto"/>
              <w:ind w:leftChars="0"/>
              <w:jc w:val="center"/>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SSL站点证书</w:t>
            </w:r>
          </w:p>
        </w:tc>
        <w:tc>
          <w:tcPr>
            <w:tcW w:w="5859" w:type="dxa"/>
            <w:vAlign w:val="center"/>
          </w:tcPr>
          <w:p w14:paraId="1CF2ADC9">
            <w:pPr>
              <w:pStyle w:val="6"/>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验证网站所有单位的真实身份，通过证书颁发机构审查网站企业身份和单域名或多域名的所有权以证明申请单位是一个合法存在的真实实体。</w:t>
            </w:r>
          </w:p>
          <w:p w14:paraId="0488CC37">
            <w:pPr>
              <w:pStyle w:val="6"/>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含SM2/RSA双证书：</w:t>
            </w:r>
          </w:p>
          <w:p w14:paraId="618418AF">
            <w:pPr>
              <w:pStyle w:val="6"/>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SM2 SSL证书支持360、奇安信等国密浏览器；</w:t>
            </w:r>
          </w:p>
          <w:p w14:paraId="22E5B2E6">
            <w:pPr>
              <w:pStyle w:val="6"/>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rPr>
              <w:t>RSA SSL证书支持谷歌、火狐、IE等全球主流浏览器</w:t>
            </w:r>
            <w:r>
              <w:rPr>
                <w:rFonts w:hint="eastAsia" w:ascii="宋体" w:hAnsi="宋体" w:eastAsia="宋体" w:cs="宋体"/>
                <w:b w:val="0"/>
                <w:bCs w:val="0"/>
                <w:color w:val="auto"/>
                <w:sz w:val="21"/>
                <w:szCs w:val="21"/>
                <w:highlight w:val="none"/>
                <w:lang w:eastAsia="zh-CN"/>
              </w:rPr>
              <w:t>；</w:t>
            </w:r>
          </w:p>
          <w:p w14:paraId="0B11A741">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color w:val="000000"/>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提供国密SSL证书厂商商用密码根证书受信证明。</w:t>
            </w:r>
          </w:p>
          <w:p w14:paraId="6CFD540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rPr>
              <w:t>提供国密SSL证书厂商信创SM2根证书计划入根证明</w:t>
            </w:r>
          </w:p>
          <w:p w14:paraId="052D81D2">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7.签发机构</w:t>
            </w:r>
            <w:r>
              <w:rPr>
                <w:rFonts w:hint="eastAsia" w:ascii="宋体" w:hAnsi="宋体" w:eastAsia="宋体" w:cs="宋体"/>
                <w:b w:val="0"/>
                <w:bCs w:val="0"/>
                <w:color w:val="auto"/>
                <w:sz w:val="21"/>
                <w:szCs w:val="21"/>
                <w:highlight w:val="none"/>
              </w:rPr>
              <w:t>需同时具备《电子认证服务许可证》、《电子认证服务使用密码许可证》、《电子政务电子认证服务机构》</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Cs/>
                <w:kern w:val="0"/>
                <w:sz w:val="21"/>
                <w:szCs w:val="21"/>
                <w:highlight w:val="none"/>
                <w:lang w:val="en-US" w:eastAsia="zh-CN"/>
              </w:rPr>
              <w:t>提供证明材料。</w:t>
            </w:r>
          </w:p>
        </w:tc>
        <w:tc>
          <w:tcPr>
            <w:tcW w:w="1508" w:type="dxa"/>
            <w:vAlign w:val="center"/>
          </w:tcPr>
          <w:p w14:paraId="4056A1C7">
            <w:pPr>
              <w:pStyle w:val="7"/>
              <w:pageBreakBefore w:val="0"/>
              <w:kinsoku/>
              <w:wordWrap/>
              <w:overflowPunct/>
              <w:topLinePunct w:val="0"/>
              <w:autoSpaceDE/>
              <w:autoSpaceDN/>
              <w:bidi w:val="0"/>
              <w:adjustRightInd/>
              <w:snapToGrid/>
              <w:spacing w:before="0" w:after="0" w:line="288" w:lineRule="auto"/>
              <w:ind w:firstLine="0" w:firstLineChars="0"/>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2张/年</w:t>
            </w:r>
          </w:p>
        </w:tc>
      </w:tr>
      <w:tr w14:paraId="696EB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115401F7">
            <w:pPr>
              <w:pageBreakBefore w:val="0"/>
              <w:widowControl/>
              <w:numPr>
                <w:ilvl w:val="0"/>
                <w:numId w:val="0"/>
              </w:numPr>
              <w:kinsoku/>
              <w:wordWrap/>
              <w:overflowPunct/>
              <w:topLinePunct w:val="0"/>
              <w:autoSpaceDE/>
              <w:autoSpaceDN/>
              <w:bidi w:val="0"/>
              <w:adjustRightInd/>
              <w:snapToGrid/>
              <w:spacing w:line="288" w:lineRule="auto"/>
              <w:ind w:leftChars="0"/>
              <w:jc w:val="center"/>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备份一体机</w:t>
            </w:r>
          </w:p>
        </w:tc>
        <w:tc>
          <w:tcPr>
            <w:tcW w:w="5859" w:type="dxa"/>
            <w:vAlign w:val="center"/>
          </w:tcPr>
          <w:p w14:paraId="10B484F3">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配置国产双路至少32核心处理器，至少64GB内存，4个1Gbps以太网接口，2个10Gbps以太网主机接口（含光模块），至少7块8TB企业级硬盘，配置热插拔冗余电源。</w:t>
            </w:r>
          </w:p>
          <w:p w14:paraId="70CF1FAA">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对虚拟服务器、物理服务实现操作系统的整体定时备份，本次配置不少于36TB磁盘裸容量授权。在容量授权范围内，不限制虚拟机数量、物理服务器数量，不限制操作系统和数据库数量的在线备份与恢复功能授权许可。</w:t>
            </w:r>
          </w:p>
          <w:p w14:paraId="23113891">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支持集群架构，提供备份任务负载均衡，实现多个高并发数据备份任务作业时的负载均衡，确保海量数据备份、高并发备份的性能。（须提供多节点统一管理功能截图，并加盖原厂公章）。</w:t>
            </w:r>
          </w:p>
          <w:p w14:paraId="17F8C05F">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提供集中统一的备份管理平台，包含备份任务的设定与执行、恢复任务的设定与执行、客户端管理、设备管理、状态监测、存储介质管理、任务管理、日志管理及相关授权管理等图形操作界面，实现多云环境、物理环境、虚拟环境等多种混合环境的统一备份管理。</w:t>
            </w:r>
          </w:p>
          <w:p w14:paraId="56EF0036">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支持主流Linux/Windows及基于飞腾、龙芯等国产平台上的文件、操作系统的在线备份与恢复功能；支持对SQL Server、Oracle、MySQL、Sybase、DB2、Exchange、AD、Lotus Domino、Gbase、MongoDB、PostgreSQL、达梦数据库，神通数据库等主流数据库及国产数据库备份功能。</w:t>
            </w:r>
          </w:p>
          <w:p w14:paraId="5906FF2E">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支持对 Oracle、SQL Server等主流数据库一次性备份，既可恢复数据库又可恢复单个文件的细粒度恢复技术。支持对SQL Server、Oracle、MySQL等主流数据库和应用进行在线备份保护。备份任务创建配置过程中全部采用图形化向导式完成，无需编写任何的脚本。</w:t>
            </w:r>
          </w:p>
          <w:p w14:paraId="02EDE0D7">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提供Windows、Linux等文件系统卷、磁盘、分区在线备份功能，以整卷、磁盘、分区为单位进行数据备份，提升海量小文件环境下的备份效率。支持整卷、磁盘、分区恢复和单文件目录级别的细粒度恢复。（须提供整卷、磁盘、分区和单文件备份与恢复功能截图，并加盖原厂公章）</w:t>
            </w:r>
          </w:p>
          <w:p w14:paraId="710E2FF5">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支持对VMware、 Hyper-V、RedHat KVM、华为、H3C、OpenStack等主流虚拟化平台的备份在线备份，支持虚拟机的全备份、CBT/RCT块级增量备份，无需在虚拟机中部署备份代理即可整机备份。</w:t>
            </w:r>
          </w:p>
          <w:p w14:paraId="369F9DE5">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支持对VMware、Hyper-V、Huawei FusionCompute、H3C CAS等主流虚拟化平台跨平台恢复，可跨平台迁移恢复至任意品牌虚拟化，同时支持直接挂载备份副本即可实现虚拟机的快速恢复。（须提供多品牌虚拟化跨平台恢复证明文件）</w:t>
            </w:r>
          </w:p>
          <w:p w14:paraId="5ABBC7E0">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多个应用关联的虚拟机一致性组备份功能，保证数据时间点一致，同时支持多个非关联性虚拟机串行备份，降低对生产存储空间占用和性能影响；支持对虚拟机进行深度有效数据提取，只备份已经写入的数据，对于虚拟机中无备份价值的数据（包含交换文件块、分区间隙等）不进行备份。</w:t>
            </w:r>
          </w:p>
          <w:p w14:paraId="1546A476">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提供虚拟机瞬时恢复功能，可以支持从一台备份服务器上同时启动多个虚拟机即时恢复任务，能够直接从备份服务器的管理平台中启动被备份的虚拟机用于验证或应急，而无需真实恢复虚拟机数据到生产存储中。（提供瞬时恢复功能截图，并加盖原厂公章）</w:t>
            </w:r>
          </w:p>
          <w:p w14:paraId="4A6BB636">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支持在进行虚拟机恢复时，可灵活选择目标集群、资源池和存储资源。支持保留源虚拟机MAC地址恢复，支持恢复后自动/手动方式打开虚拟机，虚拟机启动后，可以无中断的将虚拟机迁移回生产存储。</w:t>
            </w:r>
          </w:p>
          <w:p w14:paraId="7C0CA904">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支持操作系统备份和裸机恢复功能，支持主流主流Linux/Windows及国产平台的操作系统在线备份，在需要时可以迅速从裸机状态直接恢复操作系统，无需重新安装操作系统、驱动程序和应用软件。</w:t>
            </w:r>
          </w:p>
          <w:p w14:paraId="4CA728DE">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支持各种类型数据包括文件、数据库、虚拟机等的异机恢复，提供恢复演练功能，帮助用户在本地或异地容灾站点快速的进行数据恢复测试演练验证。</w:t>
            </w:r>
          </w:p>
          <w:p w14:paraId="74055100">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支持SQL Server、Oracle、MySQL等主流数据库和应用坏块检测，预警机制。数据库备份任务过程中，备份系统针对数据库数据文件逻辑和物理坏块的检测，一旦查到坏块，将根据坏块日志信息以发送邮件形式告警，通知系统管理员。（须提供数据库应用坏块检验功能截图，并加盖原厂公章）</w:t>
            </w:r>
          </w:p>
          <w:p w14:paraId="51C002D6">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支持提供自定义代理功能，可自适应感知前端应用主机，直接获取包含操作系统、应用、数据库等信息，实现快速数据备份与恢复。</w:t>
            </w:r>
            <w:bookmarkStart w:id="1" w:name="_Hlk144719599"/>
            <w:r>
              <w:rPr>
                <w:rFonts w:hint="eastAsia" w:ascii="宋体" w:hAnsi="宋体" w:eastAsia="宋体" w:cs="宋体"/>
                <w:color w:val="000000"/>
                <w:kern w:val="0"/>
                <w:sz w:val="21"/>
                <w:szCs w:val="21"/>
                <w:highlight w:val="none"/>
              </w:rPr>
              <w:t>（须提供此功能证明材料，并加盖原厂公章）</w:t>
            </w:r>
            <w:bookmarkEnd w:id="1"/>
          </w:p>
          <w:p w14:paraId="56907003">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提供自定义安全备份模式，可根据实际业务需求提供多种可选安全模式，将备份数据与生产网络完全隔离，形成不可被攻击的数据副本。在触发安全模式时，可以有效防止备份数据被加密或恶意删除，以保证备份副本不可加密、不可篡改、不可删除。如果发生网络攻击，用户可以快速使用干净的备份数据副本，恢复业务系统。（须提供此功能证明材料，并加盖原厂公章）</w:t>
            </w:r>
          </w:p>
          <w:p w14:paraId="44879E69">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本地异地远程复制功能，将本地灾备数据在24小时内任意时间向异地灾备中心进行同步数据，不限制复制容量和任务数，不影响本地异地生产系统正常运行。当本地发生场地灾难时，可以通过异地的备份数据进行恢复，同时支持断点续传、加密及压缩传输策略，确保传输效率。</w:t>
            </w:r>
          </w:p>
          <w:p w14:paraId="2D65DBDF">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提供普通用户和三权分立多种访问控制模式，可根据实际需求进行普通模式和三权分立模式随时切换。普通用户模式只有管理员和操作员两种角色类型；三权分立模式分为审计员，安全员，管理员，操作员四种角色类型，满足企业级客户多用户管理需求。三权分立模式能记录用户的操作并进行事后审计，用户操作员可通过web界面对其管理的业务主机进行自助的备份策略配置和备份状态监控。（提供三权分立功能截图，并加盖原厂公章）</w:t>
            </w:r>
          </w:p>
          <w:p w14:paraId="1FBB1F71">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支持多节点在线扩展功能，可对所有节点进行集中统一管理，同时提供存储扩展、管理功能，可扩展的存储类型包括本地磁盘、分区、LVM、FC、iSCSI、NFS、CIFS等；</w:t>
            </w:r>
          </w:p>
          <w:p w14:paraId="5D9B74AB">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所投产品为自主研发产品，非OEM，提供《计算机软件著作权登记证书》（须提供证书复印件，并加盖原厂公章）。</w:t>
            </w:r>
          </w:p>
          <w:p w14:paraId="5AFE10CC">
            <w:pPr>
              <w:pStyle w:val="10"/>
              <w:pageBreakBefore w:val="0"/>
              <w:numPr>
                <w:ilvl w:val="0"/>
                <w:numId w:val="1"/>
              </w:numPr>
              <w:kinsoku/>
              <w:wordWrap/>
              <w:overflowPunct/>
              <w:topLinePunct w:val="0"/>
              <w:autoSpaceDE/>
              <w:autoSpaceDN/>
              <w:bidi w:val="0"/>
              <w:adjustRightInd/>
              <w:snapToGrid/>
              <w:spacing w:after="0" w:line="288" w:lineRule="auto"/>
              <w:ind w:left="0" w:leftChars="0" w:firstLine="32" w:firstLineChars="0"/>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所投设备制造厂商通过ISO27001、ISO9001及14001体系认证，并拥有《涉密信息系统产品检测证书》；（须提供证书复印件，并加盖原厂公章）。</w:t>
            </w:r>
          </w:p>
          <w:p w14:paraId="150B5284">
            <w:pPr>
              <w:pStyle w:val="7"/>
              <w:pageBreakBefore w:val="0"/>
              <w:numPr>
                <w:ilvl w:val="0"/>
                <w:numId w:val="1"/>
              </w:numPr>
              <w:kinsoku/>
              <w:wordWrap/>
              <w:overflowPunct/>
              <w:topLinePunct w:val="0"/>
              <w:autoSpaceDE/>
              <w:autoSpaceDN/>
              <w:bidi w:val="0"/>
              <w:adjustRightInd/>
              <w:snapToGrid/>
              <w:spacing w:before="0" w:after="0" w:line="288" w:lineRule="auto"/>
              <w:ind w:left="0" w:leftChars="0" w:firstLine="32"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000000"/>
                <w:kern w:val="0"/>
                <w:sz w:val="21"/>
                <w:szCs w:val="21"/>
                <w:highlight w:val="none"/>
              </w:rPr>
              <w:t>所投产品通过省级以上电子产品分析检测研究所的检测，软件产品具有保密性、易修改性、可辨识性、易操作性、可移植性；支持对文件和数据库进行备份，支持数据备份到虚拟磁带库上，处理备份流、完成备份作业，当备份数据写入时，会对写入数据与已备份数据进行分析比对，保留不重复的数据元，删除冗余的数据；软件具有用户权限设置；保证产品的成熟性和稳定运行。（提供国家认可的检测机构出具的软件测试报告复印件作为佐证资料，并加盖原厂公章）</w:t>
            </w:r>
            <w:r>
              <w:rPr>
                <w:rFonts w:hint="eastAsia" w:ascii="宋体" w:hAnsi="宋体" w:eastAsia="宋体" w:cs="宋体"/>
                <w:color w:val="000000"/>
                <w:kern w:val="0"/>
                <w:sz w:val="21"/>
                <w:szCs w:val="21"/>
                <w:highlight w:val="none"/>
                <w:lang w:eastAsia="zh-CN"/>
              </w:rPr>
              <w:t>。</w:t>
            </w:r>
          </w:p>
        </w:tc>
        <w:tc>
          <w:tcPr>
            <w:tcW w:w="1508" w:type="dxa"/>
            <w:vAlign w:val="center"/>
          </w:tcPr>
          <w:p w14:paraId="5813F66B">
            <w:pPr>
              <w:pStyle w:val="7"/>
              <w:pageBreakBefore w:val="0"/>
              <w:kinsoku/>
              <w:wordWrap/>
              <w:overflowPunct/>
              <w:topLinePunct w:val="0"/>
              <w:autoSpaceDE/>
              <w:autoSpaceDN/>
              <w:bidi w:val="0"/>
              <w:adjustRightInd/>
              <w:snapToGrid/>
              <w:spacing w:before="0" w:after="0" w:line="288" w:lineRule="auto"/>
              <w:ind w:firstLine="0" w:firstLineChars="0"/>
              <w:jc w:val="center"/>
              <w:textAlignment w:val="auto"/>
              <w:rPr>
                <w:rFonts w:hint="default"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1台</w:t>
            </w:r>
          </w:p>
        </w:tc>
      </w:tr>
      <w:tr w14:paraId="7482E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7E0B705D">
            <w:pPr>
              <w:pageBreakBefore w:val="0"/>
              <w:widowControl/>
              <w:numPr>
                <w:ilvl w:val="0"/>
                <w:numId w:val="0"/>
              </w:numPr>
              <w:kinsoku/>
              <w:wordWrap/>
              <w:overflowPunct/>
              <w:topLinePunct w:val="0"/>
              <w:autoSpaceDE/>
              <w:autoSpaceDN/>
              <w:bidi w:val="0"/>
              <w:adjustRightInd/>
              <w:snapToGrid/>
              <w:spacing w:line="288" w:lineRule="auto"/>
              <w:ind w:leftChars="0"/>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漏洞扫描</w:t>
            </w:r>
          </w:p>
        </w:tc>
        <w:tc>
          <w:tcPr>
            <w:tcW w:w="5859" w:type="dxa"/>
            <w:vAlign w:val="center"/>
          </w:tcPr>
          <w:p w14:paraId="48D666C0">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1、1U设备，内存≥8G，硬盘≥128GB SSD+ 2TB SATA，单电源，≥6个千兆电口、≥2个千兆光口SFP，系统漏扫授权IP数≥100。</w:t>
            </w:r>
          </w:p>
          <w:p w14:paraId="40A05D6D">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2、支持全局风险统计功能，通过扇形图、条状图、标签、表格等形式直观展示资产风险分布、漏洞风险等级分布、紧急漏洞、风险资产清单等信息，并可查看详情。</w:t>
            </w:r>
          </w:p>
          <w:p w14:paraId="12009F30">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3、支持从紧急漏洞的视角展示主机风险，清晰呈现已发生和未发生的紧急漏洞类型，支持以报表形式展示紧急漏洞的风险等级、影响资产数、漏洞数量、最近发现时间，可关联漏洞详情。</w:t>
            </w:r>
          </w:p>
          <w:p w14:paraId="54294D49">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4、设备需提供相关材料以证明支持全面扫描、资产发现、系统漏洞扫描、弱口令扫描、WEB漏洞扫描、基线配置核查，其中全面扫描支持系统漏洞扫描、WEB漏洞扫描、弱口令扫描同时执行。</w:t>
            </w:r>
          </w:p>
          <w:p w14:paraId="17B3E4AA">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5、支持存活探测、服务和端口探测、操作系统识别、应用识别、和设备指纹识别等功能，其中服务和端口探测支持常用端口、全量端口和自定义端口三种探测方式。</w:t>
            </w:r>
          </w:p>
          <w:p w14:paraId="4FDAC304">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6、支持检测的漏洞数大于230000条，兼容CVE、CNNVD、CNVD、Bugtraq等主流标准。</w:t>
            </w:r>
          </w:p>
          <w:p w14:paraId="2C28536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7、支持紧急漏洞进行单独评估，实现紧急漏洞批量排查，投标时提供包含但不限于Microsoft Windows RDP 远程代码执行漏洞（CVE-2019-0708）、OpenSSL Heartbleed 心脏滴血漏洞（CVE-2014-0160）、Windows SMB 远程代码执行漏洞（MS08-067）、Windows SMB 远程代码执行漏洞（MS17-010）等的证明材料。</w:t>
            </w:r>
          </w:p>
          <w:p w14:paraId="7DF5655F">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内置不同的系统漏洞模板，包括高可利用系统漏洞、原理检测系统漏洞、中间件漏洞、数据库漏洞等类型，支持报表形式展示漏洞模板风险等级分布概览，支持报表形式展示漏洞模板详情，包括漏洞总数、漏洞名称、漏洞类型、风险等级等信息。</w:t>
            </w:r>
          </w:p>
          <w:p w14:paraId="10EA7C20">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9、支持任务立即执行、指定时间执行和周期执行三种执行方式，且指定时间可以精确到分钟，周期执行可精确到每日、每周、每月和自定义周期等。</w:t>
            </w:r>
          </w:p>
          <w:p w14:paraId="044C0F3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10、支持SQL注入、XSS、目录遍历、本地/远程文件包含漏洞、安全配置错误、命令执行、敏感信息泄露等行业OWASP漏洞检测。</w:t>
            </w:r>
          </w:p>
          <w:p w14:paraId="6603655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内置不同的WEB漏洞模板，包括高可利用WEB漏洞、通用应用漏洞、SQL注入漏洞、XSS注入漏洞等类型，提供证明材料证明支持报表形式展示漏洞模板风险等级分布概览，支持报表形式展示漏洞模板详情，包括漏洞总数、漏洞名称、漏洞类型、风险等级等信息。</w:t>
            </w:r>
          </w:p>
          <w:p w14:paraId="46711DFB">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12、支持对多种服务协议的弱口令猜解，提供包括但不限于带以下字样的证明材料，FTP、IMAP、Microsoft SQL、MySQL、PcAnywhere、POP3、SMB、Telnet、VNC、SSH、RDP、ORACLE、Rsync、SMTP、VMware等。</w:t>
            </w:r>
          </w:p>
          <w:p w14:paraId="1D67617F">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13、基线配置核查支持任务立即执行、指定时间执行和周期执行三种执行方式，且指定时间可以精确到分钟，周期执行可精确到每日、每周、每月和自定义周期等。</w:t>
            </w:r>
          </w:p>
          <w:p w14:paraId="13A8FAC0">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14、提供证明材料佐证支持对中间件（IIS6.0、IIS7.0、Apache、Tomcat、Weblogic、Nginx等)按照等保二级、等保三级要求实施基线配置核查。</w:t>
            </w:r>
          </w:p>
          <w:p w14:paraId="4BD7FB87">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15、产品应具有《网络关键设备和网络安全专用产品安全认证证书》。</w:t>
            </w:r>
          </w:p>
          <w:p w14:paraId="13C0D2BB">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16、提供三年硬件质保及三年软件升级服务，投标时提供承诺函。</w:t>
            </w:r>
          </w:p>
        </w:tc>
        <w:tc>
          <w:tcPr>
            <w:tcW w:w="1508" w:type="dxa"/>
            <w:vAlign w:val="center"/>
          </w:tcPr>
          <w:p w14:paraId="504D74C3">
            <w:pPr>
              <w:pStyle w:val="7"/>
              <w:pageBreakBefore w:val="0"/>
              <w:kinsoku/>
              <w:wordWrap/>
              <w:overflowPunct/>
              <w:topLinePunct w:val="0"/>
              <w:autoSpaceDE/>
              <w:autoSpaceDN/>
              <w:bidi w:val="0"/>
              <w:adjustRightInd/>
              <w:snapToGrid/>
              <w:spacing w:before="0" w:after="0" w:line="288" w:lineRule="auto"/>
              <w:ind w:firstLine="420" w:firstLineChars="200"/>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1台</w:t>
            </w:r>
          </w:p>
        </w:tc>
      </w:tr>
      <w:tr w14:paraId="53585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5A9B5137">
            <w:pPr>
              <w:pageBreakBefore w:val="0"/>
              <w:widowControl/>
              <w:numPr>
                <w:ilvl w:val="0"/>
                <w:numId w:val="0"/>
              </w:numPr>
              <w:kinsoku/>
              <w:wordWrap/>
              <w:overflowPunct/>
              <w:topLinePunct w:val="0"/>
              <w:autoSpaceDE/>
              <w:autoSpaceDN/>
              <w:bidi w:val="0"/>
              <w:adjustRightInd/>
              <w:snapToGrid/>
              <w:spacing w:line="288" w:lineRule="auto"/>
              <w:ind w:leftChars="0"/>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安全感知管理平台</w:t>
            </w:r>
          </w:p>
        </w:tc>
        <w:tc>
          <w:tcPr>
            <w:tcW w:w="5859" w:type="dxa"/>
            <w:vAlign w:val="center"/>
          </w:tcPr>
          <w:p w14:paraId="5980C23E">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1、1U设备，内存≥3*32GB DDR4 3200，数据盘≥4*4TB，冗余电源，≥4个千兆电口、≥4个万兆光口。</w:t>
            </w:r>
          </w:p>
          <w:p w14:paraId="6ACBFBAA">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2、支持安全态势的可视化呈现，支持全网安全态势感知大屏、分支安全态势、安全事件态势、全网攻击、资产态势、网络安全指挥调度安全态势、设备运行态势、外联风险态势大屏等多维度展示。 </w:t>
            </w:r>
          </w:p>
          <w:p w14:paraId="5473CE25">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 xml:space="preserve">3、支持资产全生命周期自动管理，提供第三方证明材料资产管理支持自动发现、多级资产、入库审核、离线风险识别、退库、数据更新，责任人管理机制多维度。 </w:t>
            </w:r>
          </w:p>
          <w:p w14:paraId="033A794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4、支持DNS服务器日志导入，可以接入DNS服务器的日志，安全分析引擎将结合DNS服务器的日志，定位出DNS服务器代理风险外连场景下真实源IP，从而有效地进行风险处置闭环。</w:t>
            </w:r>
          </w:p>
          <w:p w14:paraId="3973209E">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5、需具备云安全能力成熟度模型集成第五级认证、内置人工智能检测引擎进而保障对外服务器/虚拟机等外网暴露面分析、内网服务器/虚拟机暴露面分析。</w:t>
            </w:r>
          </w:p>
          <w:p w14:paraId="5D373455">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6、支持整体展示服务器脆弱性风险、漏洞风险、配置风险、弱密码、web明文传输、可用性风险，提供证明材料佐证支持本次漏洞扫描设备进行对接，配置映射域名和IP，监控资产为域名资产信息。</w:t>
            </w:r>
          </w:p>
          <w:p w14:paraId="5250329A">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7、具备中国信息安全测评中心的安全开发类二级证明平台开发安全性，并内嵌ATT&amp;CK能力图谱将网络安全现状映射到模型的各个阶段，支持命中攻击技术统计展示。</w:t>
            </w:r>
          </w:p>
          <w:p w14:paraId="18A3F85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8、弱密码检测规则支持高度自定义，包括规则名称、生效域名、长度规则、字符规则、字典序、web空密码、账号白名单、密码白名单、txt文件格式导入。</w:t>
            </w:r>
          </w:p>
          <w:p w14:paraId="559DE7D2">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为保障未来平台无缝更新迭代升级和威胁持续检测能力，提供第三方包含“XDR赋能”字样的证明材料佐证可扩展通过网络侧与终端侧关联聚合实现进程级取证，失陷主机定位更精准，并以可视化图谱直观清晰地展示出完整的攻击链，大幅提升事件检测、溯源取证、闭环处置效果。</w:t>
            </w:r>
          </w:p>
          <w:p w14:paraId="23D969C1">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支持联动现有终端安全管理系统进行闭环处置，提供证明材料佐证管理员在平台管理界面下发快速查杀任务并查看任务状态、结果进行处置，支持下发一键隔离指令，对终端所有连接进行阻断，防止病毒进一步扩散。支持联动终端安全管理系统为平台提供溯源举证功能以定位安全事件根因，可定位到该主机上发起恶意域名访问的具体进程、及其进程链信息，并且安全态势感知根据返回的举证信息，联动客户端对恶意进程进行处置，实现根除。</w:t>
            </w:r>
          </w:p>
          <w:p w14:paraId="6A8011C5">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提供证明材料佐证平台支持威胁定性引擎以分析告警的上下文关联、时序关系、历史告警发生的频率规律性，结合威胁情报与安全专家经验对当前的安全告警进行目的性确认，从而确认安全告警的优先级顺序，支持基于人工渗透、程序自动化、业务相关风险、其它4个维度对告警进行分类，帮助安全人员快速定位高危告警并及时处置。</w:t>
            </w:r>
          </w:p>
          <w:p w14:paraId="2DA05077">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12、提供第三方包含挖矿专项检测字样的报告佐证具备挖矿攻击事前、事中和事后全链路的检测分析能力，综合运用威胁情报、IPS特征规则和行为关联分析技术，如检测发现文件传输（上传下载）阶段的异常，对挖矿早期的准备动作即告警，提供功能截图。</w:t>
            </w:r>
          </w:p>
          <w:p w14:paraId="038A45AF">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13、内置挖矿安全知识库，对常见的挖矿如：Bluehero挖矿蠕虫变种、虚拟货币挖矿、EnMiner挖矿病毒、PowerGhost挖矿病毒、DDG挖矿病毒、Docker挖矿、DDG挖矿变种、GroksterMiner挖矿病毒、Linux 挖矿木马、ZombieBoy挖矿木马等提供详细的背景介绍、感染现象、详细分析、相关IOC（MD5、C2、URL）、解决方案，提供功能截图。</w:t>
            </w:r>
          </w:p>
          <w:p w14:paraId="7829E7B1">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14、平台需内置处置中心、重保中心的多个模块的安全事件内置多个处置策略模板，提供证明材料佐证支持与现网同品牌防火墙联动封锁、配置访问控制策略。</w:t>
            </w:r>
          </w:p>
          <w:p w14:paraId="51DDB47F">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15、支持展示处置状态、资产类型、威胁等级、攻击阶段（脆弱性风险-侦察-入侵-命令控制-横向扩展-目的达成）、威胁类型等安全事件的视角，展示内网发生的所有安全事件。</w:t>
            </w:r>
          </w:p>
          <w:p w14:paraId="3EA900D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16、符合GB 42250-2022《信息安全技术 网络安全专用产品安全技术要求》、GB/T 42453-2023《信息安全技术 网络安全态势感知通用技术要求》技术规范，具备网络安全专用产品安全检测/认证证书和检测报告。</w:t>
            </w:r>
          </w:p>
          <w:p w14:paraId="39B18292">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17、提供三年硬件质保及三年软件升级服务。</w:t>
            </w:r>
          </w:p>
        </w:tc>
        <w:tc>
          <w:tcPr>
            <w:tcW w:w="1508" w:type="dxa"/>
            <w:vAlign w:val="center"/>
          </w:tcPr>
          <w:p w14:paraId="41479AAC">
            <w:pPr>
              <w:pStyle w:val="7"/>
              <w:pageBreakBefore w:val="0"/>
              <w:kinsoku/>
              <w:wordWrap/>
              <w:overflowPunct/>
              <w:topLinePunct w:val="0"/>
              <w:autoSpaceDE/>
              <w:autoSpaceDN/>
              <w:bidi w:val="0"/>
              <w:adjustRightInd/>
              <w:snapToGrid/>
              <w:spacing w:before="0" w:after="0" w:line="288" w:lineRule="auto"/>
              <w:ind w:firstLine="210" w:firstLineChars="100"/>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1台</w:t>
            </w:r>
          </w:p>
        </w:tc>
      </w:tr>
      <w:tr w14:paraId="28DD4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1981ADCE">
            <w:pPr>
              <w:pageBreakBefore w:val="0"/>
              <w:widowControl/>
              <w:numPr>
                <w:ilvl w:val="0"/>
                <w:numId w:val="0"/>
              </w:numPr>
              <w:kinsoku/>
              <w:wordWrap/>
              <w:overflowPunct/>
              <w:topLinePunct w:val="0"/>
              <w:autoSpaceDE/>
              <w:autoSpaceDN/>
              <w:bidi w:val="0"/>
              <w:adjustRightInd/>
              <w:snapToGrid/>
              <w:spacing w:line="288" w:lineRule="auto"/>
              <w:ind w:leftChars="0"/>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潜伏威胁探针</w:t>
            </w:r>
          </w:p>
        </w:tc>
        <w:tc>
          <w:tcPr>
            <w:tcW w:w="5859" w:type="dxa"/>
            <w:vAlign w:val="center"/>
          </w:tcPr>
          <w:p w14:paraId="43BE4AA3">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1、1U，内存≥4G，硬盘≥128G SSD，单电源，≥6个千兆电口，网络层吞吐量≥500Mbps。</w:t>
            </w:r>
          </w:p>
          <w:p w14:paraId="374482FE">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2、旁路部署，支持探针接入多个镜像口，每个接口相互独立且不影响。</w:t>
            </w:r>
          </w:p>
          <w:p w14:paraId="34FBC03A">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3、具备主动发送少量探测报文，发现潜在的服务器（影子资产）以及学习服务器的基础信息，如：操作系统、开放的端口号等。</w:t>
            </w:r>
          </w:p>
          <w:p w14:paraId="14B75477">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提供证明材料佐证支持命令注入检测、PHP代码检测、XSS攻击检测、Webshell上传检测、SQL注入检测、XXE攻击检测、JAVA代码检测、SQL非注入型检测、MYSQL解析增强、php反序列化检测等自定义配置启用、高检出、低误报模式。</w:t>
            </w:r>
          </w:p>
          <w:p w14:paraId="2A3FC21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5、支持多种类型弱口令策略可选；支持自定义FTP弱口令检测、口令暴力破解检测不同格式和爆破次数，规则设置如空口令、用户名和密码相同、长度、弱口令列表等。</w:t>
            </w:r>
          </w:p>
          <w:p w14:paraId="5E457609">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6、支持Database漏洞攻击、DNS漏洞攻击、FTP漏洞攻击、Mail漏洞攻击、Network Device、Media漏洞攻击、Shellcode漏洞攻击、Scan漏洞攻击、System漏洞攻击、Telnet漏洞攻击、Tftp漏洞攻击、IPS云防护、Web漏洞攻击等服务漏洞攻击检测，提供功能截图。</w:t>
            </w:r>
          </w:p>
          <w:p w14:paraId="5B0589A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7、支持标准端口运行非标准协议，非标准端口运行标准协议的异常流量检测，端口类型包括3389、53、80/8080、21、69、443、25、110、143、22等，提供功能截图。</w:t>
            </w:r>
          </w:p>
          <w:p w14:paraId="78F9E87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8、支持检测出网络中的网络拓扑设备进行绘制，更多直观可视化查看网络整体情况。支持通过白流量过滤的方式，过滤安全网站访问，提升性能。</w:t>
            </w:r>
          </w:p>
          <w:p w14:paraId="3FA42D1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9、支持5种场景的日志传输模式,包含标准模式、精简模式、高级模式、局域网模式、自定义模式，适应不同应用场景需求，提供功能截图。</w:t>
            </w:r>
          </w:p>
          <w:p w14:paraId="114FCE6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10、设备具备ISCCC中国国家信息安全认证证书，提供有效证书复印件。</w:t>
            </w:r>
          </w:p>
        </w:tc>
        <w:tc>
          <w:tcPr>
            <w:tcW w:w="1508" w:type="dxa"/>
            <w:vAlign w:val="center"/>
          </w:tcPr>
          <w:p w14:paraId="2A549083">
            <w:pPr>
              <w:pStyle w:val="7"/>
              <w:pageBreakBefore w:val="0"/>
              <w:kinsoku/>
              <w:wordWrap/>
              <w:overflowPunct/>
              <w:topLinePunct w:val="0"/>
              <w:autoSpaceDE/>
              <w:autoSpaceDN/>
              <w:bidi w:val="0"/>
              <w:adjustRightInd/>
              <w:snapToGrid/>
              <w:spacing w:before="0" w:after="0" w:line="288" w:lineRule="auto"/>
              <w:ind w:firstLine="210" w:firstLineChars="100"/>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3台</w:t>
            </w:r>
          </w:p>
        </w:tc>
      </w:tr>
      <w:tr w14:paraId="39082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157" w:type="dxa"/>
            <w:vAlign w:val="center"/>
          </w:tcPr>
          <w:p w14:paraId="5B48BF8B">
            <w:pPr>
              <w:pageBreakBefore w:val="0"/>
              <w:widowControl/>
              <w:numPr>
                <w:ilvl w:val="0"/>
                <w:numId w:val="0"/>
              </w:numPr>
              <w:kinsoku/>
              <w:wordWrap/>
              <w:overflowPunct/>
              <w:topLinePunct w:val="0"/>
              <w:autoSpaceDE/>
              <w:autoSpaceDN/>
              <w:bidi w:val="0"/>
              <w:adjustRightInd/>
              <w:snapToGrid/>
              <w:spacing w:line="288" w:lineRule="auto"/>
              <w:ind w:leftChars="0"/>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安全托管服务</w:t>
            </w:r>
          </w:p>
        </w:tc>
        <w:tc>
          <w:tcPr>
            <w:tcW w:w="5859" w:type="dxa"/>
            <w:vAlign w:val="center"/>
          </w:tcPr>
          <w:p w14:paraId="295FD8A3">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1、本次依托于安全态势感知提供三年10资产授权远程安全托管服务。</w:t>
            </w:r>
          </w:p>
          <w:p w14:paraId="38068507">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2、为保障服务安全性和先进性，需在市场具备大量的交付案例，提供证明材料佐证提供远程安全托管服务供应商在21年、22年和23年中国区IDC中国远程安全托管服务市场占有率排名前三。</w:t>
            </w:r>
          </w:p>
          <w:p w14:paraId="6AC0180E">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3、提供证明材料支持对接本次采购漏洞扫描及现网下一代防火墙、端点安全管理，支持实时接收安全设备检测到的安全事件信息、安全日志数据提供7*24小时的服务。</w:t>
            </w:r>
          </w:p>
          <w:p w14:paraId="3C39626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要求支持服务SLA可视化展示，清晰的了解安全专家的服务水平，至少包括脆弱性闭环率、脆弱性平均响应时长、脆弱性平均闭环时长、威胁闭环率、威胁平均响应时长、威胁平均闭环时长、事件闭环率、事件平均闭环时长，以验证投标方所承诺的服务指标。</w:t>
            </w:r>
          </w:p>
          <w:p w14:paraId="35E5D2D0">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安全专家每月对招标方的安全设备的防护策略进行检查，确保安全设备上的安全策略始终处于最优水平，针对威胁能起到最好的防护效果。投标方云端服务平台应当具备丰富的策略检查工具（要求不少于40种策略检查的工具），支持排查安全设备防护策略配置的合理性。</w:t>
            </w:r>
          </w:p>
          <w:p w14:paraId="6ADB003B">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6、对网站等进行实时篡改监测，首页每5分钟一次，全站每3天一次，一旦发现被篡改第一时间通过微信服务群进行告警。</w:t>
            </w:r>
          </w:p>
          <w:p w14:paraId="179B9941">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7、支持模拟黑客攻击视角，从互联网对网站的web漏洞进行检测。</w:t>
            </w:r>
          </w:p>
          <w:p w14:paraId="32F3046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8、自动持续对网站的可用性进行探测，网站的首页url保持每10分钟探测一次，及时发现断网故障，微信专家群主动告警通知。</w:t>
            </w:r>
          </w:p>
          <w:p w14:paraId="02907A6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9、提供如下SLA要求承诺函。</w:t>
            </w:r>
          </w:p>
          <w:p w14:paraId="6439A39E">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(1)分析研判通知时效MTTA，从安全日志上传分析研判到通告给招标方的时间方面，按照国家标准对安全事件的分类分级指南，重大安全事件通告时间小于15分钟，一般事件的通告时间少于30分钟。</w:t>
            </w:r>
          </w:p>
          <w:p w14:paraId="07A4D8C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(2)遏制影响时效MTTC：在配备投标方的边界防护服务组件和端点防护服务组件的情况下，重大威胁与事件的遏制影响完成时间少于15分钟，一般威胁与事件的遏制影响完成时间少于30分钟。</w:t>
            </w:r>
          </w:p>
          <w:p w14:paraId="5F942D38">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(3)安全事件经过投标方服务人员的确认后，通告给招标方的各类安全事件的准确率不低于99%（即误报不能超过1%）。</w:t>
            </w:r>
          </w:p>
          <w:p w14:paraId="1DF2E3E6">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(4)攻击成功事件0漏报，服务人员至少发现攻击链路上的一个攻击行为，服务范围内的所有安全事件的闭环处置比例达到100%。</w:t>
            </w:r>
          </w:p>
          <w:p w14:paraId="0BFD96D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(5)当满足重大事故应启动应急响应机制，工作时间15分钟之内云端专家进行响应，非工作时间30分钟之内云端专家进行响应，省会2小时上门处置，省内8小时上门处置。</w:t>
            </w:r>
          </w:p>
          <w:p w14:paraId="3369FFFC">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(6)在具备同品牌边界防护组件的情况下，可以对服务范围内发现的每一个高危可利用漏洞提供防护规则，并且承诺防护率达到99%。</w:t>
            </w:r>
          </w:p>
          <w:p w14:paraId="17F7CBC7">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(7)事件闭环时间MTTR：经招标方授权后，服务人员协助进行安全事件的闭环，一般安全事件的闭环完成时间少于8小时，重大事件的闭环完成时间少于24小时。</w:t>
            </w:r>
          </w:p>
          <w:p w14:paraId="6FF707E4">
            <w:pPr>
              <w:pStyle w:val="7"/>
              <w:pageBreakBefore w:val="0"/>
              <w:kinsoku/>
              <w:wordWrap/>
              <w:overflowPunct/>
              <w:topLinePunct w:val="0"/>
              <w:autoSpaceDE/>
              <w:autoSpaceDN/>
              <w:bidi w:val="0"/>
              <w:adjustRightInd/>
              <w:snapToGrid/>
              <w:spacing w:before="0" w:after="0" w:line="288" w:lineRule="auto"/>
              <w:ind w:firstLine="0" w:firstLineChars="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10、提供云端服务平台等级保护三级测评通过证明，提供报告首页、基本信息表、等级测评结论首页，以上内容中必须明确指出该平台用于为用户提供7*24小时的安全托管服务。</w:t>
            </w:r>
          </w:p>
        </w:tc>
        <w:tc>
          <w:tcPr>
            <w:tcW w:w="1508" w:type="dxa"/>
            <w:vAlign w:val="center"/>
          </w:tcPr>
          <w:p w14:paraId="27C6EEDC">
            <w:pPr>
              <w:pStyle w:val="7"/>
              <w:pageBreakBefore w:val="0"/>
              <w:kinsoku/>
              <w:wordWrap/>
              <w:overflowPunct/>
              <w:topLinePunct w:val="0"/>
              <w:autoSpaceDE/>
              <w:autoSpaceDN/>
              <w:bidi w:val="0"/>
              <w:adjustRightInd/>
              <w:snapToGrid/>
              <w:spacing w:before="0" w:after="0" w:line="288" w:lineRule="auto"/>
              <w:ind w:firstLine="210" w:firstLineChars="100"/>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1套</w:t>
            </w:r>
          </w:p>
        </w:tc>
      </w:tr>
    </w:tbl>
    <w:p w14:paraId="77481014">
      <w:pPr>
        <w:spacing w:line="360" w:lineRule="auto"/>
        <w:rPr>
          <w:rFonts w:hint="default" w:ascii="仿宋" w:hAnsi="仿宋" w:eastAsia="仿宋" w:cs="仿宋"/>
          <w:b/>
          <w:bCs/>
          <w:color w:val="FF0000"/>
          <w:sz w:val="24"/>
          <w:szCs w:val="24"/>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34296F"/>
    <w:multiLevelType w:val="singleLevel"/>
    <w:tmpl w:val="2034296F"/>
    <w:lvl w:ilvl="0" w:tentative="0">
      <w:start w:val="1"/>
      <w:numFmt w:val="decimal"/>
      <w:suff w:val="nothing"/>
      <w:lvlText w:val="%1．"/>
      <w:lvlJc w:val="left"/>
      <w:pPr>
        <w:ind w:left="0" w:firstLine="32"/>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wYTVhYmRmMzQ1OTYyZDA0MTE5YTFjNmIzN2MzZmUifQ=="/>
  </w:docVars>
  <w:rsids>
    <w:rsidRoot w:val="00000000"/>
    <w:rsid w:val="1BAB032C"/>
    <w:rsid w:val="47DB4D42"/>
    <w:rsid w:val="4B2D77B2"/>
    <w:rsid w:val="552F624E"/>
    <w:rsid w:val="5F1D20A2"/>
    <w:rsid w:val="65995CF5"/>
    <w:rsid w:val="6A51331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keepNext/>
      <w:keepLines/>
      <w:spacing w:before="340" w:beforeAutospacing="0" w:after="330" w:afterAutospacing="0" w:line="576" w:lineRule="auto"/>
      <w:outlineLvl w:val="0"/>
    </w:pPr>
    <w:rPr>
      <w:b/>
      <w:kern w:val="44"/>
      <w:sz w:val="44"/>
    </w:rPr>
  </w:style>
  <w:style w:type="paragraph" w:styleId="3">
    <w:name w:val="heading 3"/>
    <w:basedOn w:val="1"/>
    <w:next w:val="1"/>
    <w:autoRedefine/>
    <w:unhideWhenUsed/>
    <w:qFormat/>
    <w:uiPriority w:val="0"/>
    <w:pPr>
      <w:keepNext/>
      <w:keepLines/>
      <w:spacing w:before="260" w:after="260" w:line="416" w:lineRule="auto"/>
      <w:outlineLvl w:val="2"/>
    </w:pPr>
    <w:rPr>
      <w:b/>
      <w:bCs/>
      <w:sz w:val="32"/>
      <w:szCs w:val="32"/>
    </w:rPr>
  </w:style>
  <w:style w:type="character" w:default="1" w:styleId="5">
    <w:name w:val="Default Paragraph Font"/>
    <w:autoRedefine/>
    <w:semiHidden/>
    <w:qFormat/>
    <w:uiPriority w:val="0"/>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customStyle="1" w:styleId="6">
    <w:name w:val="正文段落（常规）"/>
    <w:basedOn w:val="1"/>
    <w:autoRedefine/>
    <w:qFormat/>
    <w:uiPriority w:val="0"/>
  </w:style>
  <w:style w:type="paragraph" w:customStyle="1" w:styleId="7">
    <w:name w:val="表格文字（正文）-居左"/>
    <w:basedOn w:val="8"/>
    <w:autoRedefine/>
    <w:qFormat/>
    <w:uiPriority w:val="0"/>
    <w:rPr>
      <w:bCs/>
      <w:sz w:val="20"/>
    </w:rPr>
  </w:style>
  <w:style w:type="paragraph" w:customStyle="1" w:styleId="8">
    <w:name w:val="正文段落（居左）"/>
    <w:basedOn w:val="6"/>
    <w:autoRedefine/>
    <w:qFormat/>
    <w:uiPriority w:val="0"/>
    <w:pPr>
      <w:spacing w:before="0" w:after="0" w:line="240" w:lineRule="auto"/>
      <w:ind w:firstLine="0" w:firstLineChars="0"/>
    </w:pPr>
  </w:style>
  <w:style w:type="paragraph" w:customStyle="1" w:styleId="9">
    <w:name w:val="List Paragraph"/>
    <w:basedOn w:val="1"/>
    <w:autoRedefine/>
    <w:qFormat/>
    <w:uiPriority w:val="99"/>
    <w:pPr>
      <w:ind w:firstLine="420" w:firstLineChars="200"/>
    </w:pPr>
  </w:style>
  <w:style w:type="paragraph" w:customStyle="1" w:styleId="10">
    <w:name w:val="列出段落1"/>
    <w:basedOn w:val="1"/>
    <w:autoRedefine/>
    <w:qFormat/>
    <w:uiPriority w:val="34"/>
    <w:pPr>
      <w:widowControl w:val="0"/>
      <w:spacing w:after="0" w:line="240" w:lineRule="auto"/>
      <w:ind w:firstLine="420" w:firstLineChars="200"/>
      <w:jc w:val="both"/>
    </w:pPr>
    <w:rPr>
      <w:rFonts w:ascii="Times New Roman" w:hAnsi="Times New Roman" w:eastAsia="宋体"/>
      <w:kern w:val="2"/>
      <w:sz w:val="21"/>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12008</Words>
  <Characters>13437</Characters>
  <Lines>0</Lines>
  <Paragraphs>0</Paragraphs>
  <TotalTime>10</TotalTime>
  <ScaleCrop>false</ScaleCrop>
  <LinksUpToDate>false</LinksUpToDate>
  <CharactersWithSpaces>13497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2024-10-21T07:20:00Z</dcterms:created>
  <dc:creator>马智昊</dc:creator>
  <cp:lastModifiedBy>Administrator</cp:lastModifiedBy>
  <cp:lastPrinted>2025-03-19T00:55:16Z</cp:lastPrinted>
  <dcterms:modified xsi:type="dcterms:W3CDTF">2025-03-19T01:18:49Z</dcterms:modified>
  <dc:title>产品名称</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FC86993C0D574D37ADDEC5DDFDA7D45F_13</vt:lpwstr>
  </property>
  <property fmtid="{D5CDD505-2E9C-101B-9397-08002B2CF9AE}" pid="4" name="KSOTemplateDocerSaveRecord">
    <vt:lpwstr>eyJoZGlkIjoiNTViNjExZWE5ZTBmMmRkNmE5YWMwNzhjZGQ2MDBjOGEiLCJ1c2VySWQiOiIxMDAyODUxNzE0In0=</vt:lpwstr>
  </property>
</Properties>
</file>