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Arial"/>
          <w:color w:val="auto"/>
          <w:w w:val="80"/>
          <w:kern w:val="0"/>
          <w:sz w:val="56"/>
          <w:szCs w:val="44"/>
          <w:highlight w:val="none"/>
        </w:rPr>
      </w:pPr>
    </w:p>
    <w:tbl>
      <w:tblPr>
        <w:tblStyle w:val="23"/>
        <w:tblW w:w="0" w:type="auto"/>
        <w:tblInd w:w="0" w:type="dxa"/>
        <w:tblLayout w:type="fixed"/>
        <w:tblCellMar>
          <w:top w:w="0" w:type="dxa"/>
          <w:left w:w="108" w:type="dxa"/>
          <w:bottom w:w="0" w:type="dxa"/>
          <w:right w:w="108" w:type="dxa"/>
        </w:tblCellMar>
      </w:tblPr>
      <w:tblGrid>
        <w:gridCol w:w="9145"/>
      </w:tblGrid>
      <w:tr>
        <w:trPr>
          <w:trHeight w:val="1814" w:hRule="atLeast"/>
        </w:trPr>
        <w:tc>
          <w:tcPr>
            <w:tcW w:w="9145" w:type="dxa"/>
            <w:vAlign w:val="center"/>
          </w:tcPr>
          <w:p>
            <w:pPr>
              <w:jc w:val="center"/>
              <w:rPr>
                <w:rFonts w:hint="eastAsia" w:eastAsia="隶书"/>
                <w:color w:val="auto"/>
                <w:w w:val="80"/>
                <w:sz w:val="80"/>
                <w:szCs w:val="80"/>
                <w:highlight w:val="none"/>
                <w:lang w:eastAsia="zh-CN"/>
              </w:rPr>
            </w:pPr>
            <w:r>
              <w:rPr>
                <w:rFonts w:hint="eastAsia" w:ascii="隶书" w:hAnsi="华文中宋" w:eastAsia="隶书" w:cs="Arial"/>
                <w:color w:val="auto"/>
                <w:w w:val="66"/>
                <w:kern w:val="0"/>
                <w:sz w:val="72"/>
                <w:szCs w:val="72"/>
                <w:highlight w:val="none"/>
                <w:lang w:eastAsia="zh-CN"/>
              </w:rPr>
              <w:t>浙江中医药大学富春校区及滨文南区消防设施设备日常零星维修改造</w:t>
            </w:r>
          </w:p>
        </w:tc>
      </w:tr>
      <w:tr>
        <w:tblPrEx>
          <w:tblCellMar>
            <w:top w:w="0" w:type="dxa"/>
            <w:left w:w="108" w:type="dxa"/>
            <w:bottom w:w="0" w:type="dxa"/>
            <w:right w:w="108" w:type="dxa"/>
          </w:tblCellMar>
        </w:tblPrEx>
        <w:trPr>
          <w:trHeight w:val="2429" w:hRule="atLeast"/>
        </w:trPr>
        <w:tc>
          <w:tcPr>
            <w:tcW w:w="9145" w:type="dxa"/>
            <w:vAlign w:val="center"/>
          </w:tcPr>
          <w:p>
            <w:pPr>
              <w:spacing w:line="360" w:lineRule="auto"/>
              <w:jc w:val="center"/>
              <w:rPr>
                <w:rFonts w:ascii="华文隶书" w:hAnsi="华文中宋" w:eastAsia="华文隶书" w:cs="Arial"/>
                <w:color w:val="auto"/>
                <w:w w:val="80"/>
                <w:kern w:val="0"/>
                <w:sz w:val="96"/>
                <w:szCs w:val="48"/>
                <w:highlight w:val="none"/>
              </w:rPr>
            </w:pPr>
            <w:r>
              <w:rPr>
                <w:rFonts w:hint="eastAsia" w:ascii="华文隶书" w:hAnsi="华文中宋" w:eastAsia="华文隶书" w:cs="Arial"/>
                <w:color w:val="auto"/>
                <w:w w:val="80"/>
                <w:kern w:val="0"/>
                <w:sz w:val="96"/>
                <w:szCs w:val="48"/>
                <w:highlight w:val="none"/>
              </w:rPr>
              <w:drawing>
                <wp:inline distT="0" distB="0" distL="114300" distR="114300">
                  <wp:extent cx="965835" cy="965835"/>
                  <wp:effectExtent l="0" t="0" r="5715" b="5715"/>
                  <wp:docPr id="3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LOGO1"/>
                          <pic:cNvPicPr>
                            <a:picLocks noChangeAspect="1"/>
                          </pic:cNvPicPr>
                        </pic:nvPicPr>
                        <pic:blipFill>
                          <a:blip r:embed="rId34"/>
                          <a:stretch>
                            <a:fillRect/>
                          </a:stretch>
                        </pic:blipFill>
                        <pic:spPr>
                          <a:xfrm>
                            <a:off x="0" y="0"/>
                            <a:ext cx="965835" cy="965835"/>
                          </a:xfrm>
                          <a:prstGeom prst="rect">
                            <a:avLst/>
                          </a:prstGeom>
                          <a:noFill/>
                          <a:ln>
                            <a:noFill/>
                          </a:ln>
                        </pic:spPr>
                      </pic:pic>
                    </a:graphicData>
                  </a:graphic>
                </wp:inline>
              </w:drawing>
            </w:r>
          </w:p>
        </w:tc>
      </w:tr>
      <w:tr>
        <w:trPr>
          <w:trHeight w:val="1814" w:hRule="atLeast"/>
        </w:trPr>
        <w:tc>
          <w:tcPr>
            <w:tcW w:w="9145" w:type="dxa"/>
            <w:vAlign w:val="center"/>
          </w:tcPr>
          <w:p>
            <w:pPr>
              <w:spacing w:line="360" w:lineRule="auto"/>
              <w:jc w:val="center"/>
              <w:rPr>
                <w:rFonts w:ascii="华文中宋" w:hAnsi="华文中宋" w:eastAsia="华文中宋" w:cs="Arial"/>
                <w:color w:val="auto"/>
                <w:w w:val="80"/>
                <w:kern w:val="0"/>
                <w:sz w:val="120"/>
                <w:szCs w:val="120"/>
                <w:highlight w:val="none"/>
              </w:rPr>
            </w:pPr>
            <w:r>
              <w:rPr>
                <w:rFonts w:hint="eastAsia" w:ascii="隶书" w:hAnsi="华文中宋" w:eastAsia="隶书" w:cs="Arial"/>
                <w:color w:val="auto"/>
                <w:w w:val="80"/>
                <w:kern w:val="0"/>
                <w:sz w:val="96"/>
                <w:szCs w:val="96"/>
                <w:highlight w:val="none"/>
              </w:rPr>
              <w:t>竞争性磋商文件</w:t>
            </w:r>
          </w:p>
        </w:tc>
      </w:tr>
    </w:tbl>
    <w:p>
      <w:pPr>
        <w:spacing w:line="276" w:lineRule="auto"/>
        <w:ind w:left="-7" w:leftChars="-4" w:hanging="1"/>
        <w:jc w:val="center"/>
        <w:rPr>
          <w:rFonts w:hint="eastAsia" w:ascii="仿宋" w:hAnsi="仿宋" w:eastAsia="仿宋" w:cs="Arial"/>
          <w:bCs/>
          <w:color w:val="auto"/>
          <w:kern w:val="0"/>
          <w:sz w:val="30"/>
          <w:szCs w:val="30"/>
          <w:highlight w:val="none"/>
          <w:lang w:eastAsia="zh-CN"/>
        </w:rPr>
      </w:pPr>
      <w:r>
        <w:rPr>
          <w:rFonts w:hint="eastAsia" w:ascii="仿宋" w:hAnsi="仿宋" w:eastAsia="仿宋" w:cs="Arial"/>
          <w:bCs/>
          <w:color w:val="auto"/>
          <w:kern w:val="0"/>
          <w:sz w:val="30"/>
          <w:szCs w:val="30"/>
          <w:highlight w:val="none"/>
        </w:rPr>
        <w:t>项目编号：</w:t>
      </w:r>
      <w:r>
        <w:rPr>
          <w:rFonts w:hint="eastAsia" w:ascii="仿宋" w:hAnsi="仿宋" w:eastAsia="仿宋" w:cs="Arial"/>
          <w:bCs/>
          <w:color w:val="auto"/>
          <w:kern w:val="0"/>
          <w:sz w:val="30"/>
          <w:szCs w:val="30"/>
          <w:highlight w:val="none"/>
          <w:lang w:eastAsia="zh-CN"/>
        </w:rPr>
        <w:t>CTZB-2024060047</w:t>
      </w:r>
    </w:p>
    <w:p>
      <w:pPr>
        <w:widowControl/>
        <w:ind w:right="-2"/>
        <w:jc w:val="center"/>
        <w:rPr>
          <w:color w:val="auto"/>
          <w:sz w:val="44"/>
          <w:highlight w:val="none"/>
        </w:rPr>
      </w:pPr>
    </w:p>
    <w:p>
      <w:pPr>
        <w:pStyle w:val="36"/>
        <w:ind w:firstLine="880"/>
        <w:rPr>
          <w:rFonts w:ascii="Times New Roman" w:hAnsi="Times New Roman"/>
          <w:color w:val="auto"/>
          <w:sz w:val="44"/>
          <w:highlight w:val="none"/>
        </w:rPr>
      </w:pPr>
    </w:p>
    <w:p>
      <w:pPr>
        <w:pStyle w:val="36"/>
        <w:ind w:left="1890" w:leftChars="900" w:firstLine="0" w:firstLineChars="0"/>
        <w:jc w:val="left"/>
        <w:rPr>
          <w:rFonts w:ascii="仿宋" w:hAnsi="仿宋" w:eastAsia="仿宋"/>
          <w:color w:val="auto"/>
          <w:sz w:val="30"/>
          <w:szCs w:val="30"/>
          <w:highlight w:val="none"/>
        </w:rPr>
      </w:pPr>
    </w:p>
    <w:p>
      <w:pPr>
        <w:pStyle w:val="36"/>
        <w:spacing w:line="360" w:lineRule="auto"/>
        <w:ind w:left="1890" w:leftChars="900" w:firstLine="0" w:firstLineChars="0"/>
        <w:jc w:val="left"/>
        <w:rPr>
          <w:rFonts w:ascii="仿宋" w:hAnsi="仿宋" w:eastAsia="仿宋"/>
          <w:color w:val="auto"/>
          <w:sz w:val="30"/>
          <w:szCs w:val="30"/>
          <w:highlight w:val="none"/>
        </w:rPr>
      </w:pPr>
    </w:p>
    <w:p>
      <w:pPr>
        <w:pStyle w:val="36"/>
        <w:spacing w:line="360" w:lineRule="auto"/>
        <w:ind w:left="1890" w:leftChars="900" w:firstLine="0" w:firstLineChars="0"/>
        <w:jc w:val="left"/>
        <w:rPr>
          <w:rFonts w:ascii="仿宋" w:hAnsi="仿宋" w:eastAsia="仿宋"/>
          <w:color w:val="auto"/>
          <w:sz w:val="30"/>
          <w:szCs w:val="30"/>
          <w:highlight w:val="none"/>
        </w:rPr>
      </w:pPr>
    </w:p>
    <w:p>
      <w:pPr>
        <w:pStyle w:val="36"/>
        <w:spacing w:line="360" w:lineRule="auto"/>
        <w:ind w:left="2520" w:leftChars="1200" w:firstLine="0" w:firstLineChars="0"/>
        <w:jc w:val="left"/>
        <w:rPr>
          <w:rFonts w:ascii="Times New Roman" w:hAnsi="Times New Roman"/>
          <w:color w:val="auto"/>
          <w:sz w:val="44"/>
          <w:highlight w:val="none"/>
        </w:rPr>
      </w:pPr>
      <w:r>
        <w:rPr>
          <w:rFonts w:hint="eastAsia" w:ascii="仿宋" w:hAnsi="仿宋" w:eastAsia="仿宋"/>
          <w:color w:val="auto"/>
          <w:sz w:val="30"/>
          <w:szCs w:val="30"/>
          <w:highlight w:val="none"/>
        </w:rPr>
        <w:t>采 购 人：</w:t>
      </w:r>
      <w:r>
        <w:rPr>
          <w:rFonts w:hint="eastAsia" w:ascii="仿宋" w:hAnsi="仿宋" w:eastAsia="仿宋" w:cs="Arial"/>
          <w:bCs/>
          <w:color w:val="auto"/>
          <w:kern w:val="0"/>
          <w:sz w:val="30"/>
          <w:szCs w:val="30"/>
          <w:highlight w:val="none"/>
        </w:rPr>
        <w:t>浙江中医药大学</w:t>
      </w:r>
    </w:p>
    <w:p>
      <w:pPr>
        <w:pStyle w:val="36"/>
        <w:spacing w:line="360" w:lineRule="auto"/>
        <w:ind w:left="2520" w:leftChars="1200" w:firstLine="0" w:firstLineChars="0"/>
        <w:jc w:val="left"/>
        <w:rPr>
          <w:rFonts w:ascii="仿宋" w:hAnsi="仿宋" w:eastAsia="仿宋" w:cs="Arial"/>
          <w:color w:val="auto"/>
          <w:kern w:val="0"/>
          <w:sz w:val="30"/>
          <w:szCs w:val="30"/>
          <w:highlight w:val="none"/>
        </w:rPr>
      </w:pPr>
      <w:r>
        <w:rPr>
          <w:rFonts w:hint="eastAsia" w:ascii="仿宋" w:hAnsi="仿宋" w:eastAsia="仿宋"/>
          <w:color w:val="auto"/>
          <w:sz w:val="30"/>
          <w:szCs w:val="30"/>
          <w:highlight w:val="none"/>
        </w:rPr>
        <w:t>代理机构：</w:t>
      </w:r>
      <w:r>
        <w:rPr>
          <w:rFonts w:hint="eastAsia" w:ascii="仿宋" w:hAnsi="仿宋" w:eastAsia="仿宋" w:cs="Arial"/>
          <w:color w:val="auto"/>
          <w:kern w:val="0"/>
          <w:sz w:val="30"/>
          <w:szCs w:val="30"/>
          <w:highlight w:val="none"/>
        </w:rPr>
        <w:t>浙江省成套招标代理有限公司</w:t>
      </w:r>
    </w:p>
    <w:p>
      <w:pPr>
        <w:pStyle w:val="36"/>
        <w:spacing w:line="360" w:lineRule="auto"/>
        <w:ind w:left="2520" w:leftChars="1200" w:firstLine="0" w:firstLineChars="0"/>
        <w:jc w:val="left"/>
        <w:rPr>
          <w:rFonts w:ascii="Times New Roman" w:hAnsi="Times New Roman"/>
          <w:color w:val="auto"/>
          <w:sz w:val="44"/>
          <w:highlight w:val="none"/>
        </w:rPr>
      </w:pPr>
      <w:r>
        <w:rPr>
          <w:rFonts w:hint="eastAsia" w:ascii="仿宋" w:hAnsi="仿宋" w:eastAsia="仿宋"/>
          <w:color w:val="auto"/>
          <w:sz w:val="30"/>
          <w:szCs w:val="30"/>
          <w:highlight w:val="none"/>
        </w:rPr>
        <w:t>日    期：</w:t>
      </w:r>
      <w:r>
        <w:rPr>
          <w:rFonts w:hint="eastAsia" w:ascii="仿宋" w:hAnsi="仿宋" w:eastAsia="仿宋" w:cs="Arial"/>
          <w:color w:val="auto"/>
          <w:kern w:val="0"/>
          <w:sz w:val="30"/>
          <w:szCs w:val="30"/>
          <w:highlight w:val="none"/>
        </w:rPr>
        <w:t>二○二</w:t>
      </w:r>
      <w:r>
        <w:rPr>
          <w:rFonts w:hint="eastAsia" w:ascii="仿宋" w:hAnsi="仿宋" w:eastAsia="仿宋" w:cs="Arial"/>
          <w:color w:val="auto"/>
          <w:kern w:val="0"/>
          <w:sz w:val="30"/>
          <w:szCs w:val="30"/>
          <w:highlight w:val="none"/>
          <w:lang w:val="en-US" w:eastAsia="zh-CN"/>
        </w:rPr>
        <w:t>四</w:t>
      </w:r>
      <w:r>
        <w:rPr>
          <w:rFonts w:hint="eastAsia" w:ascii="仿宋" w:hAnsi="仿宋" w:eastAsia="仿宋" w:cs="Arial"/>
          <w:color w:val="auto"/>
          <w:kern w:val="0"/>
          <w:sz w:val="30"/>
          <w:szCs w:val="30"/>
          <w:highlight w:val="none"/>
        </w:rPr>
        <w:t>年</w:t>
      </w:r>
      <w:r>
        <w:rPr>
          <w:rFonts w:hint="eastAsia" w:ascii="仿宋" w:hAnsi="仿宋" w:eastAsia="仿宋" w:cs="Arial"/>
          <w:color w:val="auto"/>
          <w:kern w:val="0"/>
          <w:sz w:val="30"/>
          <w:szCs w:val="30"/>
          <w:highlight w:val="none"/>
          <w:lang w:val="en-US" w:eastAsia="zh-CN"/>
        </w:rPr>
        <w:t>六</w:t>
      </w:r>
      <w:r>
        <w:rPr>
          <w:rFonts w:hint="eastAsia" w:ascii="仿宋" w:hAnsi="仿宋" w:eastAsia="仿宋" w:cs="Arial"/>
          <w:color w:val="auto"/>
          <w:kern w:val="0"/>
          <w:sz w:val="30"/>
          <w:szCs w:val="30"/>
          <w:highlight w:val="none"/>
        </w:rPr>
        <w:t>月</w:t>
      </w:r>
    </w:p>
    <w:p>
      <w:pPr>
        <w:spacing w:line="360" w:lineRule="auto"/>
        <w:rPr>
          <w:rFonts w:ascii="Arial" w:hAnsi="Arial" w:eastAsia="新宋体" w:cs="Arial"/>
          <w:color w:val="auto"/>
          <w:kern w:val="0"/>
          <w:sz w:val="32"/>
          <w:szCs w:val="32"/>
          <w:highlight w:val="none"/>
        </w:rPr>
        <w:sectPr>
          <w:headerReference r:id="rId5" w:type="first"/>
          <w:headerReference r:id="rId3" w:type="default"/>
          <w:headerReference r:id="rId4" w:type="even"/>
          <w:pgSz w:w="11906" w:h="16838"/>
          <w:pgMar w:top="1134" w:right="1417" w:bottom="850" w:left="1417" w:header="680" w:footer="567" w:gutter="0"/>
          <w:pgBorders>
            <w:top w:val="none" w:sz="0" w:space="0"/>
            <w:left w:val="none" w:sz="0" w:space="0"/>
            <w:bottom w:val="none" w:sz="0" w:space="0"/>
            <w:right w:val="none" w:sz="0" w:space="0"/>
          </w:pgBorders>
          <w:cols w:space="0" w:num="1"/>
          <w:rtlGutter w:val="0"/>
          <w:docGrid w:linePitch="312" w:charSpace="0"/>
        </w:sectPr>
      </w:pPr>
    </w:p>
    <w:p>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目</w:t>
      </w:r>
      <w:r>
        <w:rPr>
          <w:rFonts w:ascii="华文中宋" w:hAnsi="华文中宋" w:eastAsia="华文中宋"/>
          <w:b/>
          <w:color w:val="auto"/>
          <w:sz w:val="44"/>
          <w:szCs w:val="44"/>
          <w:highlight w:val="none"/>
        </w:rPr>
        <w:t xml:space="preserve">  </w:t>
      </w:r>
      <w:r>
        <w:rPr>
          <w:rFonts w:hint="eastAsia" w:ascii="华文中宋" w:hAnsi="华文中宋" w:eastAsia="华文中宋"/>
          <w:b/>
          <w:color w:val="auto"/>
          <w:sz w:val="44"/>
          <w:szCs w:val="44"/>
          <w:highlight w:val="none"/>
        </w:rPr>
        <w:t>录</w:t>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val="0"/>
          <w:caps w:val="0"/>
          <w:color w:val="auto"/>
          <w:sz w:val="24"/>
          <w:highlight w:val="none"/>
        </w:rPr>
        <w:fldChar w:fldCharType="begin"/>
      </w:r>
      <w:r>
        <w:rPr>
          <w:rFonts w:hint="eastAsia" w:ascii="仿宋" w:hAnsi="仿宋" w:eastAsia="仿宋" w:cs="仿宋"/>
          <w:bCs w:val="0"/>
          <w:caps w:val="0"/>
          <w:color w:val="auto"/>
          <w:sz w:val="24"/>
          <w:highlight w:val="none"/>
        </w:rPr>
        <w:instrText xml:space="preserve"> TOC \o "1-2" \h \z \u </w:instrText>
      </w:r>
      <w:r>
        <w:rPr>
          <w:rFonts w:hint="eastAsia" w:ascii="仿宋" w:hAnsi="仿宋" w:eastAsia="仿宋" w:cs="仿宋"/>
          <w:bCs w:val="0"/>
          <w:caps w:val="0"/>
          <w:color w:val="auto"/>
          <w:sz w:val="24"/>
          <w:highlight w:val="none"/>
        </w:rPr>
        <w:fldChar w:fldCharType="separate"/>
      </w:r>
      <w:r>
        <w:rPr>
          <w:rFonts w:hint="eastAsia" w:ascii="仿宋" w:hAnsi="仿宋" w:eastAsia="仿宋" w:cs="仿宋"/>
          <w:bCs w:val="0"/>
          <w:caps w:val="0"/>
          <w:color w:val="auto"/>
          <w:highlight w:val="none"/>
        </w:rPr>
        <w:fldChar w:fldCharType="begin"/>
      </w:r>
      <w:r>
        <w:rPr>
          <w:rFonts w:hint="eastAsia" w:ascii="仿宋" w:hAnsi="仿宋" w:eastAsia="仿宋" w:cs="仿宋"/>
          <w:bCs w:val="0"/>
          <w:caps w:val="0"/>
          <w:color w:val="auto"/>
          <w:highlight w:val="none"/>
        </w:rPr>
        <w:instrText xml:space="preserve"> HYPERLINK \l _Toc28824 </w:instrText>
      </w:r>
      <w:r>
        <w:rPr>
          <w:rFonts w:hint="eastAsia" w:ascii="仿宋" w:hAnsi="仿宋" w:eastAsia="仿宋" w:cs="仿宋"/>
          <w:bCs w:val="0"/>
          <w:caps w:val="0"/>
          <w:color w:val="auto"/>
          <w:highlight w:val="none"/>
        </w:rPr>
        <w:fldChar w:fldCharType="separate"/>
      </w:r>
      <w:r>
        <w:rPr>
          <w:rFonts w:hint="eastAsia" w:ascii="仿宋" w:hAnsi="仿宋" w:eastAsia="仿宋" w:cs="仿宋"/>
          <w:color w:val="auto"/>
          <w:highlight w:val="none"/>
        </w:rPr>
        <w:t>第一章 竞争性磋商公告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bCs w:val="0"/>
          <w:caps w:val="0"/>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_Toc22214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_Toc22214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_Toc21383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kern w:val="0"/>
          <w:highlight w:val="none"/>
        </w:rPr>
        <w:t>供应商须知前附表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_Toc21383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_Toc28566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一、总则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- 10 -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_Toc17382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二、落实的采购政策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_Toc28463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三、磋商文件（采购文件）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_Toc28463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_Toc20375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四、磋商响应文件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- 20 -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_Toc14025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五、磋商响应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_Toc14025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_Toc6757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六、开标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- 25 -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_Toc19624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七、磋商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_Toc25733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八、最后报价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- 28 -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_Toc32557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九、评审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_Toc32234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十、成交结果确认与公告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- 31 -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_Toc30024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十一、采购代理服务费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- 31 -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_Toc21859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十二、合同签订和履约担保</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_Toc21859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- 32 -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_Toc16289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十三、其他事项说明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_Toc16289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- 33 -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_Toc2474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- 34 -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_Toc22520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项目</w:t>
      </w:r>
      <w:r>
        <w:rPr>
          <w:rFonts w:hint="eastAsia" w:ascii="仿宋" w:hAnsi="仿宋" w:eastAsia="仿宋" w:cs="仿宋"/>
          <w:color w:val="auto"/>
          <w:szCs w:val="28"/>
          <w:highlight w:val="none"/>
        </w:rPr>
        <w:t>内容和要求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_Toc22520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- 34 -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_Toc21438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szCs w:val="28"/>
          <w:highlight w:val="none"/>
        </w:rPr>
        <w:t>二、结算依据及口径</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_Toc21438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- 35 -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_Toc10377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szCs w:val="28"/>
          <w:highlight w:val="none"/>
        </w:rPr>
        <w:t>三、工程款支付与结算</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- 35 -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_Toc7492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、设备、材料供应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- 36 -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_Toc17264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、安全施工、文明管理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_Toc17264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- 36 -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_Toc27334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kern w:val="2"/>
          <w:szCs w:val="28"/>
          <w:highlight w:val="none"/>
          <w:lang w:val="en-US" w:eastAsia="zh-CN"/>
        </w:rPr>
        <w:t>六</w:t>
      </w:r>
      <w:r>
        <w:rPr>
          <w:rFonts w:hint="eastAsia" w:ascii="仿宋" w:hAnsi="仿宋" w:eastAsia="仿宋" w:cs="仿宋"/>
          <w:color w:val="auto"/>
          <w:kern w:val="2"/>
          <w:szCs w:val="28"/>
          <w:highlight w:val="none"/>
        </w:rPr>
        <w:t>、质量保证及后续服务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_Toc27334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- 37 -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_Toc29288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kern w:val="2"/>
          <w:szCs w:val="28"/>
          <w:highlight w:val="none"/>
          <w:lang w:val="en-US" w:eastAsia="zh-CN"/>
        </w:rPr>
        <w:t>七、采购人对工程管理的要求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_Toc29288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- 38 -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_Toc16642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kern w:val="2"/>
          <w:szCs w:val="28"/>
          <w:highlight w:val="none"/>
          <w:lang w:val="en-US" w:eastAsia="zh-CN"/>
        </w:rPr>
        <w:t>八、民事责任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_Toc16642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- 38 -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_Toc18786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第四章 评审方法和标准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- 40 -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_Toc9646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一、评审方法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_Toc9646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- 40 -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_Toc31410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二、评审程序及内容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_Toc31410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- 40 -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_Toc8027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三、评分细则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_Toc8027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- 44 -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_Toc25076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四、其他评审事项规定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_Toc25076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- 46 -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_Toc30038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第五章 合同条款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_Toc8923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第六章 磋商响应文件的格式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_Toc14269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第一部分 “资信技术文件”格式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9"/>
        <w:tabs>
          <w:tab w:val="right" w:leader="dot" w:pos="9072"/>
          <w:tab w:val="clear" w:pos="8931"/>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_Toc25460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第二部分 “报价文件（初次）”格式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_Toc25460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- 85 -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pStyle w:val="17"/>
        <w:tabs>
          <w:tab w:val="right" w:leader="dot" w:pos="9072"/>
        </w:tabs>
        <w:rPr>
          <w:rFonts w:hint="eastAsia" w:ascii="仿宋" w:hAnsi="仿宋" w:eastAsia="仿宋" w:cs="仿宋"/>
          <w:color w:val="auto"/>
          <w:highlight w:val="none"/>
        </w:rPr>
      </w:pPr>
      <w:r>
        <w:rPr>
          <w:rFonts w:hint="eastAsia" w:ascii="仿宋" w:hAnsi="仿宋" w:eastAsia="仿宋" w:cs="仿宋"/>
          <w:bCs/>
          <w:caps/>
          <w:color w:val="auto"/>
          <w:highlight w:val="none"/>
        </w:rPr>
        <w:fldChar w:fldCharType="begin"/>
      </w:r>
      <w:r>
        <w:rPr>
          <w:rFonts w:hint="eastAsia" w:ascii="仿宋" w:hAnsi="仿宋" w:eastAsia="仿宋" w:cs="仿宋"/>
          <w:bCs/>
          <w:caps/>
          <w:color w:val="auto"/>
          <w:highlight w:val="none"/>
        </w:rPr>
        <w:instrText xml:space="preserve"> HYPERLINK \l _Toc6440 </w:instrText>
      </w:r>
      <w:r>
        <w:rPr>
          <w:rFonts w:hint="eastAsia" w:ascii="仿宋" w:hAnsi="仿宋" w:eastAsia="仿宋" w:cs="仿宋"/>
          <w:bCs/>
          <w:caps/>
          <w:color w:val="auto"/>
          <w:highlight w:val="none"/>
        </w:rPr>
        <w:fldChar w:fldCharType="separate"/>
      </w:r>
      <w:r>
        <w:rPr>
          <w:rFonts w:hint="eastAsia" w:ascii="仿宋" w:hAnsi="仿宋" w:eastAsia="仿宋" w:cs="仿宋"/>
          <w:color w:val="auto"/>
          <w:highlight w:val="none"/>
        </w:rPr>
        <w:t>第七章 附件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- 89 -</w:t>
      </w:r>
      <w:r>
        <w:rPr>
          <w:rFonts w:hint="eastAsia" w:ascii="仿宋" w:hAnsi="仿宋" w:eastAsia="仿宋" w:cs="仿宋"/>
          <w:color w:val="auto"/>
          <w:highlight w:val="none"/>
        </w:rPr>
        <w:fldChar w:fldCharType="end"/>
      </w:r>
      <w:r>
        <w:rPr>
          <w:rFonts w:hint="eastAsia" w:ascii="仿宋" w:hAnsi="仿宋" w:eastAsia="仿宋" w:cs="仿宋"/>
          <w:bCs/>
          <w:caps/>
          <w:color w:val="auto"/>
          <w:highlight w:val="none"/>
        </w:rPr>
        <w:fldChar w:fldCharType="end"/>
      </w:r>
    </w:p>
    <w:p>
      <w:pPr>
        <w:tabs>
          <w:tab w:val="right" w:leader="dot" w:pos="8920"/>
        </w:tabs>
        <w:spacing w:line="276" w:lineRule="auto"/>
        <w:rPr>
          <w:color w:val="auto"/>
          <w:highlight w:val="none"/>
        </w:rPr>
        <w:sectPr>
          <w:headerReference r:id="rId8" w:type="first"/>
          <w:footerReference r:id="rId10" w:type="first"/>
          <w:headerReference r:id="rId6" w:type="default"/>
          <w:footerReference r:id="rId9" w:type="default"/>
          <w:headerReference r:id="rId7" w:type="even"/>
          <w:pgSz w:w="11906" w:h="16838"/>
          <w:pgMar w:top="1134" w:right="1417" w:bottom="850" w:left="1417" w:header="680" w:footer="567"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bCs/>
          <w:caps/>
          <w:color w:val="auto"/>
          <w:highlight w:val="none"/>
        </w:rPr>
        <w:fldChar w:fldCharType="end"/>
      </w:r>
    </w:p>
    <w:p>
      <w:pPr>
        <w:pStyle w:val="21"/>
        <w:rPr>
          <w:color w:val="auto"/>
          <w:highlight w:val="none"/>
        </w:rPr>
      </w:pPr>
      <w:bookmarkStart w:id="0" w:name="_Toc424164130"/>
      <w:bookmarkStart w:id="1" w:name="_Toc440162775"/>
      <w:bookmarkStart w:id="2" w:name="_Toc28824"/>
      <w:r>
        <w:rPr>
          <w:rFonts w:hint="eastAsia"/>
          <w:color w:val="auto"/>
          <w:highlight w:val="none"/>
        </w:rPr>
        <w:t>第一章</w:t>
      </w:r>
      <w:r>
        <w:rPr>
          <w:color w:val="auto"/>
          <w:highlight w:val="none"/>
        </w:rPr>
        <w:t xml:space="preserve"> </w:t>
      </w:r>
      <w:bookmarkEnd w:id="0"/>
      <w:bookmarkEnd w:id="1"/>
      <w:r>
        <w:rPr>
          <w:rFonts w:hint="eastAsia"/>
          <w:color w:val="auto"/>
          <w:highlight w:val="none"/>
        </w:rPr>
        <w:t>竞争性磋商公告</w:t>
      </w:r>
      <w:bookmarkEnd w:id="2"/>
    </w:p>
    <w:p>
      <w:pPr>
        <w:spacing w:line="360" w:lineRule="auto"/>
        <w:jc w:val="left"/>
        <w:rPr>
          <w:rFonts w:ascii="仿宋" w:hAnsi="仿宋" w:eastAsia="仿宋" w:cs="Arial"/>
          <w:b/>
          <w:color w:val="auto"/>
          <w:sz w:val="24"/>
          <w:highlight w:val="none"/>
        </w:rPr>
      </w:pPr>
      <w:bookmarkStart w:id="149" w:name="_GoBack"/>
      <w:r>
        <w:rPr>
          <w:rFonts w:hint="eastAsia" w:ascii="仿宋" w:hAnsi="仿宋" w:eastAsia="仿宋" w:cs="Arial"/>
          <w:b/>
          <w:color w:val="auto"/>
          <w:sz w:val="24"/>
          <w:highlight w:val="none"/>
        </w:rPr>
        <w:t>一、项目基本情况</w:t>
      </w:r>
    </w:p>
    <w:p>
      <w:pPr>
        <w:spacing w:line="360" w:lineRule="auto"/>
        <w:ind w:firstLine="424" w:firstLineChars="176"/>
        <w:rPr>
          <w:rFonts w:hint="eastAsia" w:ascii="仿宋" w:hAnsi="仿宋" w:eastAsia="仿宋" w:cs="Arial"/>
          <w:b/>
          <w:color w:val="auto"/>
          <w:sz w:val="24"/>
          <w:highlight w:val="none"/>
          <w:lang w:eastAsia="zh-CN"/>
        </w:rPr>
      </w:pPr>
      <w:r>
        <w:rPr>
          <w:rFonts w:ascii="仿宋" w:hAnsi="仿宋" w:eastAsia="仿宋" w:cs="Arial"/>
          <w:b/>
          <w:color w:val="auto"/>
          <w:sz w:val="24"/>
          <w:highlight w:val="none"/>
        </w:rPr>
        <w:t>项目编号：</w:t>
      </w:r>
      <w:r>
        <w:rPr>
          <w:rFonts w:hint="eastAsia" w:ascii="仿宋" w:hAnsi="仿宋" w:eastAsia="仿宋" w:cs="Arial"/>
          <w:color w:val="auto"/>
          <w:sz w:val="24"/>
          <w:highlight w:val="none"/>
          <w:lang w:eastAsia="zh-CN"/>
        </w:rPr>
        <w:t>CTZB-2024060047</w:t>
      </w:r>
    </w:p>
    <w:p>
      <w:pPr>
        <w:spacing w:line="360" w:lineRule="auto"/>
        <w:ind w:firstLine="424" w:firstLineChars="176"/>
        <w:jc w:val="left"/>
        <w:rPr>
          <w:rFonts w:hint="eastAsia" w:ascii="仿宋" w:hAnsi="仿宋" w:eastAsia="仿宋" w:cs="Arial"/>
          <w:color w:val="auto"/>
          <w:sz w:val="24"/>
          <w:highlight w:val="none"/>
          <w:lang w:eastAsia="zh-CN"/>
        </w:rPr>
      </w:pPr>
      <w:r>
        <w:rPr>
          <w:rFonts w:hint="eastAsia" w:ascii="仿宋" w:hAnsi="仿宋" w:eastAsia="仿宋" w:cs="Arial"/>
          <w:b/>
          <w:color w:val="auto"/>
          <w:sz w:val="24"/>
          <w:highlight w:val="none"/>
        </w:rPr>
        <w:t>项目名称：</w:t>
      </w:r>
      <w:r>
        <w:rPr>
          <w:rFonts w:hint="eastAsia" w:ascii="仿宋" w:hAnsi="仿宋" w:eastAsia="仿宋" w:cs="Arial"/>
          <w:color w:val="auto"/>
          <w:sz w:val="24"/>
          <w:highlight w:val="none"/>
          <w:lang w:eastAsia="zh-CN"/>
        </w:rPr>
        <w:t>浙江中医药大学富春校区及滨文南区消防设施设备日常零星维修改造</w:t>
      </w:r>
    </w:p>
    <w:p>
      <w:pPr>
        <w:spacing w:line="360" w:lineRule="auto"/>
        <w:ind w:firstLine="424" w:firstLineChars="176"/>
        <w:jc w:val="left"/>
        <w:rPr>
          <w:rFonts w:ascii="仿宋" w:hAnsi="仿宋" w:eastAsia="仿宋" w:cs="Arial"/>
          <w:color w:val="auto"/>
          <w:sz w:val="24"/>
          <w:highlight w:val="none"/>
        </w:rPr>
      </w:pPr>
      <w:r>
        <w:rPr>
          <w:rFonts w:hint="eastAsia" w:ascii="仿宋" w:hAnsi="仿宋" w:eastAsia="仿宋" w:cs="Arial"/>
          <w:b/>
          <w:color w:val="auto"/>
          <w:sz w:val="24"/>
          <w:highlight w:val="none"/>
        </w:rPr>
        <w:t>采购方式：</w:t>
      </w:r>
      <w:r>
        <w:rPr>
          <w:rFonts w:hint="eastAsia" w:ascii="仿宋" w:hAnsi="仿宋" w:eastAsia="仿宋" w:cs="Arial"/>
          <w:color w:val="auto"/>
          <w:sz w:val="24"/>
          <w:highlight w:val="none"/>
        </w:rPr>
        <w:t>竞争性磋商（非政府采购）</w:t>
      </w:r>
    </w:p>
    <w:p>
      <w:pPr>
        <w:spacing w:line="360" w:lineRule="auto"/>
        <w:ind w:firstLine="424" w:firstLineChars="176"/>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预算金额（元）：</w:t>
      </w:r>
      <w:r>
        <w:rPr>
          <w:rFonts w:hint="eastAsia" w:ascii="仿宋" w:hAnsi="仿宋" w:eastAsia="仿宋" w:cs="Arial"/>
          <w:b/>
          <w:color w:val="auto"/>
          <w:sz w:val="24"/>
          <w:highlight w:val="none"/>
          <w:lang w:val="en-US" w:eastAsia="zh-CN"/>
        </w:rPr>
        <w:t>28</w:t>
      </w:r>
      <w:r>
        <w:rPr>
          <w:rFonts w:hint="eastAsia" w:ascii="仿宋" w:hAnsi="仿宋" w:eastAsia="仿宋" w:cs="Arial"/>
          <w:b/>
          <w:color w:val="auto"/>
          <w:sz w:val="24"/>
          <w:highlight w:val="none"/>
        </w:rPr>
        <w:t>0000</w:t>
      </w:r>
    </w:p>
    <w:p>
      <w:pPr>
        <w:pStyle w:val="30"/>
        <w:spacing w:line="360" w:lineRule="auto"/>
        <w:rPr>
          <w:rFonts w:hint="default" w:eastAsia="仿宋"/>
          <w:color w:val="auto"/>
          <w:highlight w:val="none"/>
          <w:lang w:val="en-US" w:eastAsia="zh-CN"/>
        </w:rPr>
      </w:pPr>
      <w:r>
        <w:rPr>
          <w:rFonts w:hint="eastAsia" w:ascii="仿宋" w:hAnsi="仿宋" w:eastAsia="仿宋" w:cs="Arial"/>
          <w:b/>
          <w:color w:val="auto"/>
          <w:sz w:val="24"/>
          <w:highlight w:val="none"/>
          <w:lang w:val="en-US" w:eastAsia="zh-CN"/>
        </w:rPr>
        <w:t xml:space="preserve">    </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采购需求</w:t>
      </w:r>
    </w:p>
    <w:tbl>
      <w:tblPr>
        <w:tblStyle w:val="23"/>
        <w:tblW w:w="9412"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3"/>
        <w:gridCol w:w="2270"/>
        <w:gridCol w:w="870"/>
        <w:gridCol w:w="3525"/>
        <w:gridCol w:w="1185"/>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9" w:hRule="atLeast"/>
          <w:tblHeader/>
        </w:trPr>
        <w:tc>
          <w:tcPr>
            <w:tcW w:w="733" w:type="dxa"/>
            <w:shd w:val="clear" w:color="auto" w:fill="auto"/>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标项</w:t>
            </w:r>
          </w:p>
        </w:tc>
        <w:tc>
          <w:tcPr>
            <w:tcW w:w="2270" w:type="dxa"/>
            <w:shd w:val="clear" w:color="auto" w:fill="auto"/>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标项名称</w:t>
            </w:r>
          </w:p>
        </w:tc>
        <w:tc>
          <w:tcPr>
            <w:tcW w:w="870" w:type="dxa"/>
            <w:shd w:val="clear" w:color="auto" w:fill="auto"/>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数量</w:t>
            </w:r>
          </w:p>
        </w:tc>
        <w:tc>
          <w:tcPr>
            <w:tcW w:w="3525" w:type="dxa"/>
            <w:shd w:val="clear" w:color="auto" w:fill="auto"/>
            <w:vAlign w:val="center"/>
          </w:tcPr>
          <w:p>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简要</w:t>
            </w:r>
            <w:r>
              <w:rPr>
                <w:rFonts w:hint="eastAsia" w:ascii="仿宋" w:hAnsi="仿宋" w:eastAsia="仿宋" w:cs="Arial"/>
                <w:b/>
                <w:color w:val="auto"/>
                <w:sz w:val="24"/>
                <w:highlight w:val="none"/>
              </w:rPr>
              <w:t>采购需求</w:t>
            </w:r>
            <w:r>
              <w:rPr>
                <w:rFonts w:ascii="仿宋" w:hAnsi="仿宋" w:eastAsia="仿宋" w:cs="Arial"/>
                <w:b/>
                <w:color w:val="auto"/>
                <w:sz w:val="24"/>
                <w:highlight w:val="none"/>
              </w:rPr>
              <w:t>描述</w:t>
            </w:r>
          </w:p>
        </w:tc>
        <w:tc>
          <w:tcPr>
            <w:tcW w:w="1185" w:type="dxa"/>
            <w:shd w:val="clear" w:color="auto" w:fill="auto"/>
            <w:vAlign w:val="center"/>
          </w:tcPr>
          <w:p>
            <w:pPr>
              <w:autoSpaceDE w:val="0"/>
              <w:autoSpaceDN w:val="0"/>
              <w:adjustRightInd w:val="0"/>
              <w:spacing w:line="240" w:lineRule="auto"/>
              <w:jc w:val="center"/>
              <w:rPr>
                <w:rFonts w:hint="eastAsia" w:ascii="宋体" w:hAnsi="宋体" w:eastAsia="宋体" w:cs="Times New Roman"/>
                <w:color w:val="auto"/>
                <w:kern w:val="0"/>
                <w:sz w:val="22"/>
                <w:szCs w:val="22"/>
                <w:highlight w:val="none"/>
                <w:lang w:val="en-US" w:eastAsia="zh-CN" w:bidi="ar-SA"/>
              </w:rPr>
            </w:pPr>
            <w:r>
              <w:rPr>
                <w:rFonts w:hint="eastAsia" w:ascii="仿宋" w:hAnsi="仿宋" w:eastAsia="仿宋" w:cs="Arial"/>
                <w:b/>
                <w:color w:val="auto"/>
                <w:sz w:val="24"/>
                <w:highlight w:val="none"/>
                <w:lang w:val="en-US" w:eastAsia="zh-CN"/>
              </w:rPr>
              <w:t>预算金额</w:t>
            </w:r>
          </w:p>
        </w:tc>
        <w:tc>
          <w:tcPr>
            <w:tcW w:w="829" w:type="dxa"/>
            <w:shd w:val="clear" w:color="auto" w:fill="auto"/>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8" w:hRule="atLeast"/>
        </w:trPr>
        <w:tc>
          <w:tcPr>
            <w:tcW w:w="733" w:type="dxa"/>
            <w:shd w:val="clear" w:color="auto" w:fill="auto"/>
            <w:vAlign w:val="center"/>
          </w:tcPr>
          <w:p>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rPr>
              <w:t>1</w:t>
            </w:r>
          </w:p>
        </w:tc>
        <w:tc>
          <w:tcPr>
            <w:tcW w:w="2270" w:type="dxa"/>
            <w:shd w:val="clear" w:color="auto" w:fill="auto"/>
            <w:vAlign w:val="center"/>
          </w:tcPr>
          <w:p>
            <w:pPr>
              <w:spacing w:line="276" w:lineRule="auto"/>
              <w:jc w:val="center"/>
              <w:rPr>
                <w:rFonts w:hint="eastAsia" w:ascii="仿宋" w:hAnsi="仿宋" w:eastAsia="仿宋" w:cs="Arial"/>
                <w:color w:val="auto"/>
                <w:sz w:val="24"/>
                <w:highlight w:val="none"/>
                <w:lang w:val="zh-CN" w:eastAsia="zh-CN"/>
              </w:rPr>
            </w:pPr>
            <w:r>
              <w:rPr>
                <w:rFonts w:hint="eastAsia" w:ascii="仿宋" w:hAnsi="仿宋" w:eastAsia="仿宋" w:cs="Arial"/>
                <w:color w:val="auto"/>
                <w:sz w:val="24"/>
                <w:highlight w:val="none"/>
                <w:lang w:eastAsia="zh-CN"/>
              </w:rPr>
              <w:t>富春校区及滨文南区消防设施设备日常零星维修改造</w:t>
            </w:r>
          </w:p>
        </w:tc>
        <w:tc>
          <w:tcPr>
            <w:tcW w:w="870" w:type="dxa"/>
            <w:shd w:val="clear" w:color="auto" w:fill="auto"/>
            <w:vAlign w:val="center"/>
          </w:tcPr>
          <w:p>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lang w:val="zh-CN"/>
              </w:rPr>
              <w:t>1项</w:t>
            </w:r>
          </w:p>
        </w:tc>
        <w:tc>
          <w:tcPr>
            <w:tcW w:w="3525" w:type="dxa"/>
            <w:shd w:val="clear" w:color="auto" w:fill="auto"/>
            <w:vAlign w:val="center"/>
          </w:tcPr>
          <w:p>
            <w:pPr>
              <w:spacing w:line="240" w:lineRule="auto"/>
              <w:jc w:val="left"/>
              <w:rPr>
                <w:color w:val="auto"/>
                <w:highlight w:val="none"/>
                <w:lang w:val="zh-CN"/>
              </w:rPr>
            </w:pPr>
            <w:r>
              <w:rPr>
                <w:rFonts w:hint="eastAsia" w:ascii="仿宋" w:hAnsi="仿宋" w:eastAsia="仿宋" w:cs="Arial"/>
                <w:color w:val="auto"/>
                <w:sz w:val="24"/>
                <w:highlight w:val="none"/>
                <w:lang w:val="zh-CN" w:eastAsia="zh-CN"/>
              </w:rPr>
              <w:t>富春校区及滨文南区消防设施设备日常零星维修改造。</w:t>
            </w:r>
            <w:r>
              <w:rPr>
                <w:rFonts w:hint="eastAsia" w:ascii="仿宋" w:hAnsi="仿宋" w:eastAsia="仿宋" w:cs="Arial"/>
                <w:color w:val="auto"/>
                <w:sz w:val="24"/>
                <w:highlight w:val="none"/>
                <w:lang w:val="zh-CN"/>
              </w:rPr>
              <w:t>详见磋商文件《第三章 采购需求》。</w:t>
            </w:r>
          </w:p>
        </w:tc>
        <w:tc>
          <w:tcPr>
            <w:tcW w:w="1185" w:type="dxa"/>
            <w:shd w:val="clear" w:color="auto" w:fill="auto"/>
            <w:vAlign w:val="center"/>
          </w:tcPr>
          <w:p>
            <w:pPr>
              <w:spacing w:line="276"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28</w:t>
            </w:r>
            <w:r>
              <w:rPr>
                <w:rFonts w:hint="eastAsia" w:ascii="仿宋" w:hAnsi="仿宋" w:eastAsia="仿宋" w:cs="Arial"/>
                <w:color w:val="auto"/>
                <w:sz w:val="24"/>
                <w:highlight w:val="none"/>
              </w:rPr>
              <w:t>万元</w:t>
            </w:r>
          </w:p>
        </w:tc>
        <w:tc>
          <w:tcPr>
            <w:tcW w:w="829" w:type="dxa"/>
            <w:shd w:val="clear" w:color="auto" w:fill="auto"/>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w:t>
            </w:r>
          </w:p>
        </w:tc>
      </w:tr>
    </w:tbl>
    <w:p>
      <w:pPr>
        <w:spacing w:after="240" w:line="360" w:lineRule="auto"/>
        <w:ind w:firstLine="241" w:firstLineChars="100"/>
        <w:rPr>
          <w:rFonts w:hint="eastAsia" w:ascii="仿宋" w:hAnsi="仿宋" w:eastAsia="仿宋" w:cs="Arial"/>
          <w:b/>
          <w:color w:val="auto"/>
          <w:sz w:val="24"/>
          <w:highlight w:val="none"/>
          <w:lang w:val="en-US" w:eastAsia="zh-CN"/>
        </w:rPr>
      </w:pPr>
    </w:p>
    <w:p>
      <w:pPr>
        <w:spacing w:after="240" w:line="360" w:lineRule="auto"/>
        <w:ind w:firstLine="241" w:firstLineChars="100"/>
        <w:rPr>
          <w:rFonts w:hint="default" w:ascii="仿宋" w:hAnsi="仿宋" w:eastAsia="仿宋" w:cs="Arial"/>
          <w:b/>
          <w:color w:val="auto"/>
          <w:sz w:val="24"/>
          <w:highlight w:val="none"/>
          <w:lang w:val="en-US" w:eastAsia="zh-CN"/>
        </w:rPr>
      </w:pPr>
      <w:r>
        <w:rPr>
          <w:rFonts w:hint="eastAsia" w:ascii="仿宋" w:hAnsi="仿宋" w:eastAsia="仿宋" w:cs="Arial"/>
          <w:b/>
          <w:color w:val="auto"/>
          <w:sz w:val="24"/>
          <w:highlight w:val="none"/>
          <w:lang w:val="en-US" w:eastAsia="zh-CN"/>
        </w:rPr>
        <w:t>服务期限：一年。</w:t>
      </w:r>
    </w:p>
    <w:p>
      <w:pPr>
        <w:spacing w:after="240" w:line="360" w:lineRule="auto"/>
        <w:ind w:firstLine="241" w:firstLineChars="100"/>
        <w:rPr>
          <w:rFonts w:ascii="仿宋" w:hAnsi="仿宋" w:eastAsia="仿宋" w:cs="Arial"/>
          <w:b/>
          <w:color w:val="auto"/>
          <w:sz w:val="24"/>
          <w:highlight w:val="none"/>
        </w:rPr>
      </w:pPr>
      <w:r>
        <w:rPr>
          <w:rFonts w:hint="eastAsia" w:ascii="仿宋" w:hAnsi="仿宋" w:eastAsia="仿宋" w:cs="Arial"/>
          <w:b/>
          <w:color w:val="auto"/>
          <w:sz w:val="24"/>
          <w:highlight w:val="none"/>
        </w:rPr>
        <w:t>本项目</w:t>
      </w:r>
      <w:r>
        <w:rPr>
          <w:rFonts w:hint="eastAsia" w:ascii="仿宋" w:hAnsi="仿宋" w:eastAsia="仿宋" w:cs="Arial"/>
          <w:b/>
          <w:color w:val="auto"/>
          <w:sz w:val="24"/>
          <w:highlight w:val="none"/>
          <w:lang w:val="en-US" w:eastAsia="zh-CN"/>
        </w:rPr>
        <w:t>不</w:t>
      </w:r>
      <w:r>
        <w:rPr>
          <w:rFonts w:hint="eastAsia" w:ascii="仿宋" w:hAnsi="仿宋" w:eastAsia="仿宋" w:cs="Arial"/>
          <w:b/>
          <w:color w:val="auto"/>
          <w:sz w:val="24"/>
          <w:highlight w:val="none"/>
        </w:rPr>
        <w:t>接受联合体投标。</w:t>
      </w:r>
    </w:p>
    <w:p>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二</w:t>
      </w:r>
      <w:r>
        <w:rPr>
          <w:rFonts w:hint="eastAsia" w:ascii="仿宋" w:hAnsi="仿宋" w:eastAsia="仿宋"/>
          <w:b/>
          <w:color w:val="auto"/>
          <w:sz w:val="24"/>
          <w:highlight w:val="none"/>
        </w:rPr>
        <w:t>、</w:t>
      </w:r>
      <w:r>
        <w:rPr>
          <w:rFonts w:hint="eastAsia" w:ascii="仿宋" w:hAnsi="仿宋" w:eastAsia="仿宋" w:cs="Arial"/>
          <w:b/>
          <w:color w:val="auto"/>
          <w:sz w:val="24"/>
          <w:highlight w:val="none"/>
        </w:rPr>
        <w:t>申请人的资格要求</w:t>
      </w:r>
    </w:p>
    <w:p>
      <w:pPr>
        <w:spacing w:line="360" w:lineRule="auto"/>
        <w:ind w:firstLine="566" w:firstLineChars="235"/>
        <w:rPr>
          <w:rFonts w:ascii="仿宋" w:hAnsi="仿宋" w:eastAsia="仿宋" w:cs="Arial"/>
          <w:b/>
          <w:color w:val="auto"/>
          <w:sz w:val="24"/>
          <w:szCs w:val="22"/>
          <w:highlight w:val="none"/>
        </w:rPr>
      </w:pPr>
      <w:r>
        <w:rPr>
          <w:rFonts w:hint="eastAsia" w:ascii="仿宋" w:hAnsi="仿宋" w:eastAsia="仿宋" w:cs="Arial"/>
          <w:b/>
          <w:color w:val="auto"/>
          <w:sz w:val="24"/>
          <w:highlight w:val="none"/>
        </w:rPr>
        <w:t>1、满足</w:t>
      </w:r>
      <w:r>
        <w:rPr>
          <w:rFonts w:ascii="仿宋" w:hAnsi="仿宋" w:eastAsia="仿宋" w:cs="Arial"/>
          <w:b/>
          <w:color w:val="auto"/>
          <w:sz w:val="24"/>
          <w:highlight w:val="none"/>
        </w:rPr>
        <w:t>《中华人民共和国政府采购法》第二十二条</w:t>
      </w:r>
      <w:r>
        <w:rPr>
          <w:rFonts w:hint="eastAsia" w:ascii="仿宋" w:hAnsi="仿宋" w:eastAsia="仿宋" w:cs="Arial"/>
          <w:b/>
          <w:color w:val="auto"/>
          <w:sz w:val="24"/>
          <w:highlight w:val="none"/>
        </w:rPr>
        <w:t>的规定；未被</w:t>
      </w:r>
      <w:r>
        <w:rPr>
          <w:rFonts w:ascii="仿宋" w:hAnsi="仿宋" w:eastAsia="仿宋" w:cs="Arial"/>
          <w:b/>
          <w:color w:val="auto"/>
          <w:sz w:val="24"/>
          <w:highlight w:val="none"/>
        </w:rPr>
        <w:t>“信用中国”</w:t>
      </w:r>
      <w:r>
        <w:rPr>
          <w:rFonts w:hint="eastAsia" w:ascii="仿宋" w:hAnsi="仿宋" w:eastAsia="仿宋" w:cs="Arial"/>
          <w:b/>
          <w:color w:val="auto"/>
          <w:sz w:val="24"/>
          <w:highlight w:val="none"/>
        </w:rPr>
        <w:t>（</w:t>
      </w:r>
      <w:r>
        <w:rPr>
          <w:rFonts w:ascii="仿宋" w:hAnsi="仿宋" w:eastAsia="仿宋" w:cs="Arial"/>
          <w:b/>
          <w:color w:val="auto"/>
          <w:sz w:val="24"/>
          <w:highlight w:val="none"/>
        </w:rPr>
        <w:t>www.creditchina.gov.cn</w:t>
      </w:r>
      <w:r>
        <w:rPr>
          <w:rFonts w:hint="eastAsia" w:ascii="仿宋" w:hAnsi="仿宋" w:eastAsia="仿宋" w:cs="Arial"/>
          <w:b/>
          <w:color w:val="auto"/>
          <w:sz w:val="24"/>
          <w:highlight w:val="none"/>
        </w:rPr>
        <w:t>）、</w:t>
      </w:r>
      <w:r>
        <w:rPr>
          <w:rFonts w:ascii="仿宋" w:hAnsi="仿宋" w:eastAsia="仿宋" w:cs="Arial"/>
          <w:b/>
          <w:color w:val="auto"/>
          <w:sz w:val="24"/>
          <w:highlight w:val="none"/>
        </w:rPr>
        <w:t>中国政府采购网</w:t>
      </w:r>
      <w:r>
        <w:rPr>
          <w:rFonts w:hint="eastAsia" w:ascii="仿宋" w:hAnsi="仿宋" w:eastAsia="仿宋" w:cs="Arial"/>
          <w:b/>
          <w:color w:val="auto"/>
          <w:sz w:val="24"/>
          <w:highlight w:val="none"/>
        </w:rPr>
        <w:t>（</w:t>
      </w:r>
      <w:r>
        <w:rPr>
          <w:rFonts w:ascii="仿宋" w:hAnsi="仿宋" w:eastAsia="仿宋" w:cs="Arial"/>
          <w:b/>
          <w:color w:val="auto"/>
          <w:sz w:val="24"/>
          <w:highlight w:val="none"/>
        </w:rPr>
        <w:t>www.ccgp.gov.cn</w:t>
      </w:r>
      <w:r>
        <w:rPr>
          <w:rFonts w:hint="eastAsia" w:ascii="仿宋" w:hAnsi="仿宋" w:eastAsia="仿宋" w:cs="Arial"/>
          <w:b/>
          <w:color w:val="auto"/>
          <w:sz w:val="24"/>
          <w:highlight w:val="none"/>
        </w:rPr>
        <w:t>）</w:t>
      </w:r>
      <w:r>
        <w:rPr>
          <w:rFonts w:ascii="仿宋" w:hAnsi="仿宋" w:eastAsia="仿宋" w:cs="Arial"/>
          <w:b/>
          <w:color w:val="auto"/>
          <w:sz w:val="24"/>
          <w:highlight w:val="none"/>
        </w:rPr>
        <w:t>列入失信被执行人</w:t>
      </w:r>
      <w:r>
        <w:rPr>
          <w:rFonts w:hint="eastAsia" w:ascii="仿宋" w:hAnsi="仿宋" w:eastAsia="仿宋" w:cs="Arial"/>
          <w:b/>
          <w:color w:val="auto"/>
          <w:sz w:val="24"/>
          <w:highlight w:val="none"/>
        </w:rPr>
        <w:t>名单</w:t>
      </w:r>
      <w:r>
        <w:rPr>
          <w:rFonts w:ascii="仿宋" w:hAnsi="仿宋" w:eastAsia="仿宋" w:cs="Arial"/>
          <w:b/>
          <w:color w:val="auto"/>
          <w:sz w:val="24"/>
          <w:highlight w:val="none"/>
        </w:rPr>
        <w:t>、重大税收违法案件当事人名单、政府采购严重违法失信行为记录名单</w:t>
      </w:r>
      <w:r>
        <w:rPr>
          <w:rFonts w:hint="eastAsia" w:ascii="仿宋" w:hAnsi="仿宋" w:eastAsia="仿宋" w:cs="Arial"/>
          <w:b/>
          <w:color w:val="auto"/>
          <w:sz w:val="24"/>
          <w:highlight w:val="none"/>
        </w:rPr>
        <w:t>。</w:t>
      </w:r>
    </w:p>
    <w:p>
      <w:pPr>
        <w:spacing w:line="360" w:lineRule="auto"/>
        <w:ind w:firstLine="566" w:firstLineChars="235"/>
        <w:rPr>
          <w:rFonts w:ascii="仿宋" w:hAnsi="仿宋" w:eastAsia="仿宋" w:cs="Arial"/>
          <w:b/>
          <w:color w:val="auto"/>
          <w:sz w:val="24"/>
          <w:highlight w:val="none"/>
          <w:u w:val="single"/>
        </w:rPr>
      </w:pPr>
      <w:r>
        <w:rPr>
          <w:rFonts w:hint="eastAsia" w:ascii="仿宋" w:hAnsi="仿宋" w:eastAsia="仿宋" w:cs="Arial"/>
          <w:b/>
          <w:color w:val="auto"/>
          <w:sz w:val="24"/>
          <w:highlight w:val="none"/>
        </w:rPr>
        <w:t>2、落实采购政策需满足的资格要求：</w:t>
      </w:r>
      <w:r>
        <w:rPr>
          <w:rFonts w:hint="eastAsia" w:ascii="仿宋" w:hAnsi="仿宋" w:eastAsia="仿宋" w:cs="Arial"/>
          <w:b/>
          <w:color w:val="auto"/>
          <w:sz w:val="24"/>
          <w:highlight w:val="none"/>
          <w:u w:val="single"/>
        </w:rPr>
        <w:t>本项目属于专门面向中小企业采购的项目,供应商应为中、小、微型企业，监狱企业、残疾人福利性单位。</w:t>
      </w:r>
    </w:p>
    <w:p>
      <w:pPr>
        <w:pStyle w:val="30"/>
        <w:spacing w:line="360" w:lineRule="auto"/>
        <w:ind w:firstLine="482" w:firstLineChars="200"/>
        <w:rPr>
          <w:rFonts w:hint="default" w:ascii="仿宋" w:hAnsi="仿宋" w:eastAsia="仿宋" w:cs="Arial"/>
          <w:b/>
          <w:color w:val="auto"/>
          <w:sz w:val="24"/>
          <w:highlight w:val="none"/>
          <w:lang w:val="en-US"/>
        </w:rPr>
      </w:pPr>
      <w:r>
        <w:rPr>
          <w:rFonts w:ascii="仿宋" w:hAnsi="仿宋" w:eastAsia="仿宋" w:cs="Arial"/>
          <w:b/>
          <w:color w:val="auto"/>
          <w:sz w:val="24"/>
          <w:highlight w:val="none"/>
          <w:lang w:val="en-US"/>
        </w:rPr>
        <w:t>3、本项目特定资格要求：</w:t>
      </w:r>
    </w:p>
    <w:p>
      <w:pPr>
        <w:pStyle w:val="30"/>
        <w:spacing w:line="360" w:lineRule="auto"/>
        <w:ind w:firstLine="723" w:firstLineChars="300"/>
        <w:rPr>
          <w:rFonts w:hint="eastAsia" w:eastAsia="仿宋"/>
          <w:color w:val="auto"/>
          <w:highlight w:val="none"/>
          <w:lang w:eastAsia="zh-CN"/>
        </w:rPr>
      </w:pPr>
      <w:r>
        <w:rPr>
          <w:rFonts w:ascii="仿宋" w:hAnsi="仿宋" w:eastAsia="仿宋" w:cs="Arial"/>
          <w:b/>
          <w:color w:val="auto"/>
          <w:sz w:val="24"/>
          <w:highlight w:val="none"/>
          <w:lang w:val="en-US"/>
        </w:rPr>
        <w:t>（1）</w:t>
      </w:r>
      <w:r>
        <w:rPr>
          <w:rFonts w:hint="eastAsia" w:ascii="仿宋" w:hAnsi="仿宋" w:eastAsia="仿宋" w:cs="Arial"/>
          <w:b/>
          <w:color w:val="auto"/>
          <w:sz w:val="24"/>
          <w:highlight w:val="none"/>
          <w:lang w:val="en-US" w:eastAsia="zh-CN"/>
        </w:rPr>
        <w:t>具有消防设施工程专业承包二级及以上资质；</w:t>
      </w:r>
    </w:p>
    <w:p>
      <w:pPr>
        <w:pStyle w:val="30"/>
        <w:spacing w:line="360" w:lineRule="auto"/>
        <w:ind w:firstLine="723" w:firstLineChars="300"/>
        <w:rPr>
          <w:rFonts w:ascii="仿宋" w:hAnsi="仿宋" w:eastAsia="仿宋" w:cs="Arial"/>
          <w:b/>
          <w:color w:val="auto"/>
          <w:sz w:val="24"/>
          <w:highlight w:val="none"/>
          <w:lang w:val="en-US"/>
        </w:rPr>
      </w:pPr>
      <w:r>
        <w:rPr>
          <w:rFonts w:ascii="仿宋" w:hAnsi="仿宋" w:eastAsia="仿宋" w:cs="Arial"/>
          <w:b/>
          <w:color w:val="auto"/>
          <w:sz w:val="24"/>
          <w:highlight w:val="none"/>
          <w:lang w:val="en-US"/>
        </w:rPr>
        <w:t>（2）具有企业《安全生产许可证》。</w:t>
      </w:r>
    </w:p>
    <w:p>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三</w:t>
      </w:r>
      <w:r>
        <w:rPr>
          <w:rFonts w:hint="eastAsia" w:ascii="仿宋" w:hAnsi="仿宋" w:eastAsia="仿宋"/>
          <w:b/>
          <w:color w:val="auto"/>
          <w:sz w:val="24"/>
          <w:highlight w:val="none"/>
        </w:rPr>
        <w:t>、</w:t>
      </w:r>
      <w:r>
        <w:rPr>
          <w:rFonts w:hint="eastAsia" w:ascii="仿宋" w:hAnsi="仿宋" w:eastAsia="仿宋" w:cs="Arial"/>
          <w:b/>
          <w:color w:val="auto"/>
          <w:sz w:val="24"/>
          <w:highlight w:val="none"/>
        </w:rPr>
        <w:t>获取采购文件</w:t>
      </w:r>
    </w:p>
    <w:p>
      <w:pPr>
        <w:spacing w:line="360" w:lineRule="auto"/>
        <w:ind w:firstLine="420"/>
        <w:rPr>
          <w:rFonts w:ascii="仿宋" w:hAnsi="仿宋" w:eastAsia="仿宋" w:cs="Arial"/>
          <w:color w:val="auto"/>
          <w:sz w:val="24"/>
          <w:highlight w:val="none"/>
        </w:rPr>
      </w:pPr>
      <w:r>
        <w:rPr>
          <w:rFonts w:ascii="仿宋" w:hAnsi="仿宋" w:eastAsia="仿宋" w:cs="Arial"/>
          <w:b/>
          <w:color w:val="auto"/>
          <w:sz w:val="24"/>
          <w:highlight w:val="none"/>
        </w:rPr>
        <w:t>时间：</w:t>
      </w:r>
      <w:r>
        <w:rPr>
          <w:rFonts w:hint="eastAsia" w:ascii="仿宋" w:hAnsi="仿宋" w:eastAsia="仿宋" w:cs="Arial"/>
          <w:b/>
          <w:color w:val="auto"/>
          <w:sz w:val="24"/>
          <w:highlight w:val="none"/>
        </w:rPr>
        <w:t>采购公告发布之日起至</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rPr>
        <w:t>2</w:t>
      </w:r>
      <w:r>
        <w:rPr>
          <w:rFonts w:hint="eastAsia" w:ascii="仿宋" w:hAnsi="仿宋" w:eastAsia="仿宋" w:cs="Arial"/>
          <w:b/>
          <w:color w:val="auto"/>
          <w:sz w:val="24"/>
          <w:highlight w:val="none"/>
          <w:u w:val="single"/>
          <w:lang w:val="en-US" w:eastAsia="zh-CN"/>
        </w:rPr>
        <w:t>4</w:t>
      </w:r>
      <w:r>
        <w:rPr>
          <w:rFonts w:hint="eastAsia" w:ascii="仿宋" w:hAnsi="仿宋" w:eastAsia="仿宋" w:cs="Arial"/>
          <w:b/>
          <w:color w:val="auto"/>
          <w:sz w:val="24"/>
          <w:highlight w:val="none"/>
          <w:u w:val="single"/>
        </w:rPr>
        <w:t>年0</w:t>
      </w:r>
      <w:r>
        <w:rPr>
          <w:rFonts w:hint="eastAsia" w:ascii="仿宋" w:hAnsi="仿宋" w:eastAsia="仿宋" w:cs="Arial"/>
          <w:b/>
          <w:color w:val="auto"/>
          <w:sz w:val="24"/>
          <w:highlight w:val="none"/>
          <w:u w:val="single"/>
          <w:lang w:val="en-US" w:eastAsia="zh-CN"/>
        </w:rPr>
        <w:t>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24</w:t>
      </w:r>
      <w:r>
        <w:rPr>
          <w:rFonts w:hint="eastAsia" w:ascii="仿宋" w:hAnsi="仿宋" w:eastAsia="仿宋" w:cs="Arial"/>
          <w:b/>
          <w:color w:val="auto"/>
          <w:sz w:val="24"/>
          <w:highlight w:val="none"/>
          <w:u w:val="single"/>
        </w:rPr>
        <w:t>日</w:t>
      </w:r>
      <w:r>
        <w:rPr>
          <w:rFonts w:hint="eastAsia" w:ascii="仿宋" w:hAnsi="仿宋" w:eastAsia="仿宋" w:cs="Arial"/>
          <w:color w:val="auto"/>
          <w:sz w:val="24"/>
          <w:highlight w:val="none"/>
        </w:rPr>
        <w:t>，每天上午08:30至11:00，下午14:00至17:30</w:t>
      </w:r>
      <w:r>
        <w:rPr>
          <w:rFonts w:ascii="仿宋" w:hAnsi="仿宋" w:eastAsia="仿宋"/>
          <w:color w:val="auto"/>
          <w:sz w:val="24"/>
          <w:highlight w:val="none"/>
        </w:rPr>
        <w:t>（北京时间，法定节假日除外）</w:t>
      </w:r>
    </w:p>
    <w:p>
      <w:pPr>
        <w:spacing w:line="360" w:lineRule="auto"/>
        <w:ind w:firstLine="420"/>
        <w:rPr>
          <w:rFonts w:ascii="仿宋" w:hAnsi="仿宋" w:eastAsia="仿宋" w:cs="Arial"/>
          <w:b/>
          <w:color w:val="auto"/>
          <w:sz w:val="24"/>
          <w:highlight w:val="none"/>
        </w:rPr>
      </w:pPr>
      <w:r>
        <w:rPr>
          <w:rFonts w:hint="eastAsia" w:ascii="仿宋" w:hAnsi="仿宋" w:eastAsia="仿宋" w:cs="Arial"/>
          <w:b/>
          <w:color w:val="auto"/>
          <w:sz w:val="24"/>
          <w:highlight w:val="none"/>
        </w:rPr>
        <w:t>地点：</w:t>
      </w:r>
      <w:r>
        <w:rPr>
          <w:rFonts w:hint="eastAsia" w:ascii="仿宋" w:hAnsi="仿宋" w:eastAsia="仿宋" w:cs="宋体"/>
          <w:color w:val="auto"/>
          <w:sz w:val="24"/>
          <w:highlight w:val="none"/>
        </w:rPr>
        <w:t>杭州市文晖路42号现代置业大厦西楼1802室</w:t>
      </w:r>
    </w:p>
    <w:p>
      <w:pPr>
        <w:spacing w:line="360" w:lineRule="auto"/>
        <w:ind w:firstLine="420"/>
        <w:rPr>
          <w:rFonts w:ascii="仿宋" w:hAnsi="仿宋" w:eastAsia="仿宋" w:cs="Arial"/>
          <w:color w:val="auto"/>
          <w:sz w:val="24"/>
          <w:highlight w:val="none"/>
        </w:rPr>
      </w:pPr>
      <w:r>
        <w:rPr>
          <w:rFonts w:hint="eastAsia" w:ascii="仿宋" w:hAnsi="仿宋" w:eastAsia="仿宋"/>
          <w:b/>
          <w:color w:val="auto"/>
          <w:sz w:val="24"/>
          <w:highlight w:val="none"/>
        </w:rPr>
        <w:t>方式：</w:t>
      </w:r>
      <w:r>
        <w:rPr>
          <w:rFonts w:hint="eastAsia" w:ascii="仿宋" w:hAnsi="仿宋" w:eastAsia="仿宋" w:cs="宋体"/>
          <w:color w:val="auto"/>
          <w:sz w:val="24"/>
          <w:highlight w:val="none"/>
        </w:rPr>
        <w:t>现场获取或将获取采购文件所需资料及获取采购文件费用汇款单扫描件发送至</w:t>
      </w:r>
      <w:r>
        <w:rPr>
          <w:rFonts w:hint="eastAsia" w:ascii="仿宋" w:hAnsi="仿宋" w:eastAsia="仿宋" w:cs="宋体"/>
          <w:color w:val="auto"/>
          <w:sz w:val="24"/>
          <w:highlight w:val="none"/>
          <w:lang w:val="en-US" w:eastAsia="zh-CN"/>
        </w:rPr>
        <w:t>79863969</w:t>
      </w:r>
      <w:r>
        <w:rPr>
          <w:rFonts w:hint="eastAsia" w:ascii="仿宋" w:hAnsi="仿宋" w:eastAsia="仿宋" w:cs="宋体"/>
          <w:color w:val="auto"/>
          <w:sz w:val="24"/>
          <w:highlight w:val="none"/>
        </w:rPr>
        <w:t>@qq.com并致电采购代理机构联系人获取</w:t>
      </w:r>
    </w:p>
    <w:p>
      <w:pPr>
        <w:spacing w:line="360" w:lineRule="auto"/>
        <w:ind w:firstLine="426" w:firstLineChars="177"/>
        <w:rPr>
          <w:rFonts w:ascii="仿宋" w:hAnsi="仿宋" w:eastAsia="仿宋" w:cs="Arial"/>
          <w:b/>
          <w:color w:val="auto"/>
          <w:sz w:val="24"/>
          <w:highlight w:val="none"/>
          <w:u w:val="single"/>
        </w:rPr>
      </w:pPr>
      <w:r>
        <w:rPr>
          <w:rFonts w:ascii="仿宋" w:hAnsi="仿宋" w:eastAsia="仿宋" w:cs="Arial"/>
          <w:b/>
          <w:color w:val="auto"/>
          <w:sz w:val="24"/>
          <w:highlight w:val="none"/>
        </w:rPr>
        <w:t>售价</w:t>
      </w:r>
      <w:r>
        <w:rPr>
          <w:rFonts w:hint="eastAsia" w:ascii="仿宋" w:hAnsi="仿宋" w:eastAsia="仿宋" w:cs="Arial"/>
          <w:b/>
          <w:color w:val="auto"/>
          <w:sz w:val="24"/>
          <w:highlight w:val="none"/>
        </w:rPr>
        <w:t>（元）</w:t>
      </w:r>
      <w:r>
        <w:rPr>
          <w:rFonts w:ascii="仿宋" w:hAnsi="仿宋" w:eastAsia="仿宋" w:cs="Arial"/>
          <w:b/>
          <w:color w:val="auto"/>
          <w:sz w:val="24"/>
          <w:highlight w:val="none"/>
        </w:rPr>
        <w:t>：</w:t>
      </w:r>
      <w:r>
        <w:rPr>
          <w:rFonts w:hint="eastAsia" w:ascii="仿宋" w:hAnsi="仿宋" w:eastAsia="仿宋" w:cs="Arial"/>
          <w:b/>
          <w:color w:val="auto"/>
          <w:sz w:val="24"/>
          <w:highlight w:val="none"/>
          <w:u w:val="single"/>
        </w:rPr>
        <w:t>500.00</w:t>
      </w:r>
    </w:p>
    <w:p>
      <w:pPr>
        <w:spacing w:line="360" w:lineRule="auto"/>
        <w:ind w:firstLine="426" w:firstLineChars="177"/>
        <w:rPr>
          <w:rFonts w:ascii="仿宋" w:hAnsi="仿宋" w:eastAsia="仿宋" w:cs="Arial"/>
          <w:b/>
          <w:color w:val="auto"/>
          <w:sz w:val="24"/>
          <w:highlight w:val="none"/>
        </w:rPr>
      </w:pPr>
      <w:r>
        <w:rPr>
          <w:rFonts w:hint="eastAsia" w:ascii="仿宋" w:hAnsi="仿宋" w:eastAsia="仿宋" w:cs="Arial"/>
          <w:b/>
          <w:color w:val="auto"/>
          <w:sz w:val="24"/>
          <w:highlight w:val="none"/>
        </w:rPr>
        <w:t>供应商</w:t>
      </w:r>
      <w:r>
        <w:rPr>
          <w:rFonts w:ascii="仿宋" w:hAnsi="仿宋" w:eastAsia="仿宋" w:cs="Arial"/>
          <w:b/>
          <w:color w:val="auto"/>
          <w:sz w:val="24"/>
          <w:highlight w:val="none"/>
        </w:rPr>
        <w:t>获取</w:t>
      </w:r>
      <w:r>
        <w:rPr>
          <w:rFonts w:hint="eastAsia" w:ascii="仿宋" w:hAnsi="仿宋" w:eastAsia="仿宋" w:cs="Arial"/>
          <w:b/>
          <w:color w:val="auto"/>
          <w:sz w:val="24"/>
          <w:highlight w:val="none"/>
        </w:rPr>
        <w:t>采购文件</w:t>
      </w:r>
      <w:r>
        <w:rPr>
          <w:rFonts w:ascii="仿宋" w:hAnsi="仿宋" w:eastAsia="仿宋" w:cs="Arial"/>
          <w:b/>
          <w:color w:val="auto"/>
          <w:sz w:val="24"/>
          <w:highlight w:val="none"/>
        </w:rPr>
        <w:t>时应提交的资料：</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（1）介绍信或法定代表人（单位负责人）授权书（原件）；</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（2）购买</w:t>
      </w:r>
      <w:r>
        <w:rPr>
          <w:rFonts w:hint="eastAsia" w:ascii="仿宋" w:hAnsi="仿宋" w:eastAsia="仿宋" w:cs="宋体"/>
          <w:color w:val="auto"/>
          <w:kern w:val="2"/>
          <w:highlight w:val="none"/>
          <w:lang w:val="en-US" w:eastAsia="zh-CN"/>
        </w:rPr>
        <w:t>采购</w:t>
      </w:r>
      <w:r>
        <w:rPr>
          <w:rFonts w:hint="eastAsia" w:ascii="仿宋" w:hAnsi="仿宋" w:eastAsia="仿宋" w:cs="宋体"/>
          <w:color w:val="auto"/>
          <w:kern w:val="2"/>
          <w:highlight w:val="none"/>
        </w:rPr>
        <w:t>文件登记表（格式见附件）；</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（3）有效的营业执照副本（或法人证书）等复印件（复印件加盖单位公章）；</w:t>
      </w:r>
    </w:p>
    <w:p>
      <w:pPr>
        <w:pStyle w:val="20"/>
        <w:widowControl/>
        <w:spacing w:beforeAutospacing="0" w:afterAutospacing="0" w:line="360" w:lineRule="auto"/>
        <w:ind w:firstLine="482"/>
        <w:rPr>
          <w:rFonts w:ascii="仿宋" w:hAnsi="仿宋" w:eastAsia="仿宋" w:cs="宋体"/>
          <w:b/>
          <w:bCs/>
          <w:color w:val="auto"/>
          <w:kern w:val="2"/>
          <w:highlight w:val="none"/>
        </w:rPr>
      </w:pPr>
      <w:r>
        <w:rPr>
          <w:rFonts w:hint="eastAsia" w:ascii="仿宋" w:hAnsi="仿宋" w:eastAsia="仿宋" w:cs="宋体"/>
          <w:b/>
          <w:bCs/>
          <w:color w:val="auto"/>
          <w:kern w:val="2"/>
          <w:highlight w:val="none"/>
        </w:rPr>
        <w:t>其他：转账打款时必须注明项目名称</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户 名：浙江省成套招标代理有限公司</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开 户：中信银行杭州西湖支行</w:t>
      </w:r>
    </w:p>
    <w:p>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账 号：7331610182600126385</w:t>
      </w:r>
    </w:p>
    <w:p>
      <w:pPr>
        <w:spacing w:line="360" w:lineRule="auto"/>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四、响应文件提交</w:t>
      </w:r>
    </w:p>
    <w:p>
      <w:pPr>
        <w:spacing w:line="360" w:lineRule="auto"/>
        <w:ind w:firstLine="424" w:firstLineChars="176"/>
        <w:rPr>
          <w:rFonts w:ascii="仿宋" w:hAnsi="仿宋" w:eastAsia="仿宋" w:cs="Arial"/>
          <w:color w:val="auto"/>
          <w:sz w:val="24"/>
          <w:highlight w:val="none"/>
          <w:u w:val="single"/>
        </w:rPr>
      </w:pPr>
      <w:r>
        <w:rPr>
          <w:rFonts w:ascii="仿宋" w:hAnsi="仿宋" w:eastAsia="仿宋" w:cs="Arial"/>
          <w:b/>
          <w:color w:val="auto"/>
          <w:sz w:val="24"/>
          <w:highlight w:val="none"/>
        </w:rPr>
        <w:t>截止时间：</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lang w:val="en-US" w:eastAsia="zh-CN"/>
        </w:rPr>
        <w:t>24</w:t>
      </w:r>
      <w:r>
        <w:rPr>
          <w:rFonts w:hint="eastAsia" w:ascii="仿宋" w:hAnsi="仿宋" w:eastAsia="仿宋" w:cs="Arial"/>
          <w:b/>
          <w:color w:val="auto"/>
          <w:sz w:val="24"/>
          <w:highlight w:val="none"/>
          <w:u w:val="single"/>
        </w:rPr>
        <w:t>年0</w:t>
      </w:r>
      <w:r>
        <w:rPr>
          <w:rFonts w:hint="eastAsia" w:ascii="仿宋" w:hAnsi="仿宋" w:eastAsia="仿宋" w:cs="Arial"/>
          <w:b/>
          <w:color w:val="auto"/>
          <w:sz w:val="24"/>
          <w:highlight w:val="none"/>
          <w:u w:val="single"/>
          <w:lang w:val="en-US" w:eastAsia="zh-CN"/>
        </w:rPr>
        <w:t>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25</w:t>
      </w:r>
      <w:r>
        <w:rPr>
          <w:rFonts w:hint="eastAsia" w:ascii="仿宋" w:hAnsi="仿宋" w:eastAsia="仿宋" w:cs="Arial"/>
          <w:b/>
          <w:color w:val="auto"/>
          <w:sz w:val="24"/>
          <w:highlight w:val="none"/>
          <w:u w:val="single"/>
        </w:rPr>
        <w:t>日</w:t>
      </w:r>
      <w:r>
        <w:rPr>
          <w:rFonts w:hint="eastAsia" w:ascii="仿宋" w:hAnsi="仿宋" w:eastAsia="仿宋" w:cs="Arial"/>
          <w:b/>
          <w:color w:val="auto"/>
          <w:sz w:val="24"/>
          <w:highlight w:val="none"/>
          <w:u w:val="single"/>
          <w:lang w:val="en-US" w:eastAsia="zh-CN"/>
        </w:rPr>
        <w:t>09</w:t>
      </w:r>
      <w:r>
        <w:rPr>
          <w:rFonts w:hint="eastAsia" w:ascii="仿宋" w:hAnsi="仿宋" w:eastAsia="仿宋" w:cs="Arial"/>
          <w:b/>
          <w:color w:val="auto"/>
          <w:sz w:val="24"/>
          <w:highlight w:val="none"/>
          <w:u w:val="single"/>
        </w:rPr>
        <w:t>:</w:t>
      </w:r>
      <w:r>
        <w:rPr>
          <w:rFonts w:hint="eastAsia" w:ascii="仿宋" w:hAnsi="仿宋" w:eastAsia="仿宋" w:cs="Arial"/>
          <w:b/>
          <w:color w:val="auto"/>
          <w:sz w:val="24"/>
          <w:highlight w:val="none"/>
          <w:u w:val="single"/>
          <w:lang w:val="en-US" w:eastAsia="zh-CN"/>
        </w:rPr>
        <w:t>0</w:t>
      </w:r>
      <w:r>
        <w:rPr>
          <w:rFonts w:hint="eastAsia" w:ascii="仿宋" w:hAnsi="仿宋" w:eastAsia="仿宋" w:cs="Arial"/>
          <w:b/>
          <w:color w:val="auto"/>
          <w:sz w:val="24"/>
          <w:highlight w:val="none"/>
          <w:u w:val="single"/>
        </w:rPr>
        <w:t>0</w:t>
      </w:r>
      <w:r>
        <w:rPr>
          <w:rFonts w:hint="eastAsia" w:ascii="仿宋" w:hAnsi="仿宋" w:eastAsia="仿宋" w:cs="Arial"/>
          <w:color w:val="auto"/>
          <w:sz w:val="24"/>
          <w:highlight w:val="none"/>
        </w:rPr>
        <w:t>（北京时间）</w:t>
      </w:r>
    </w:p>
    <w:p>
      <w:pPr>
        <w:spacing w:after="240" w:line="360" w:lineRule="auto"/>
        <w:ind w:firstLine="424" w:firstLineChars="176"/>
        <w:rPr>
          <w:rFonts w:ascii="仿宋" w:hAnsi="仿宋" w:eastAsia="仿宋" w:cs="Arial"/>
          <w:b/>
          <w:bCs/>
          <w:color w:val="auto"/>
          <w:sz w:val="24"/>
          <w:highlight w:val="none"/>
        </w:rPr>
      </w:pPr>
      <w:r>
        <w:rPr>
          <w:rFonts w:hint="eastAsia" w:ascii="仿宋" w:hAnsi="仿宋" w:eastAsia="仿宋" w:cs="Arial"/>
          <w:b/>
          <w:color w:val="auto"/>
          <w:sz w:val="24"/>
          <w:highlight w:val="none"/>
        </w:rPr>
        <w:t>递交地点：</w:t>
      </w:r>
      <w:r>
        <w:rPr>
          <w:rFonts w:hint="eastAsia" w:ascii="仿宋" w:hAnsi="仿宋" w:eastAsia="仿宋" w:cs="宋体"/>
          <w:color w:val="auto"/>
          <w:sz w:val="24"/>
          <w:highlight w:val="none"/>
          <w:u w:val="single"/>
        </w:rPr>
        <w:t>杭州市文晖路42号现代置业大厦西楼17楼开标室二</w:t>
      </w:r>
    </w:p>
    <w:p>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五、</w:t>
      </w:r>
      <w:r>
        <w:rPr>
          <w:rFonts w:hint="eastAsia" w:ascii="仿宋" w:hAnsi="仿宋" w:eastAsia="仿宋" w:cs="Arial"/>
          <w:b/>
          <w:color w:val="auto"/>
          <w:sz w:val="24"/>
          <w:szCs w:val="20"/>
          <w:highlight w:val="none"/>
        </w:rPr>
        <w:t>响应文件</w:t>
      </w:r>
      <w:r>
        <w:rPr>
          <w:rFonts w:hint="eastAsia" w:ascii="仿宋" w:hAnsi="仿宋" w:eastAsia="仿宋" w:cs="Arial"/>
          <w:b/>
          <w:color w:val="auto"/>
          <w:sz w:val="24"/>
          <w:highlight w:val="none"/>
        </w:rPr>
        <w:t>开启</w:t>
      </w:r>
    </w:p>
    <w:p>
      <w:pPr>
        <w:spacing w:line="360" w:lineRule="auto"/>
        <w:ind w:firstLine="424" w:firstLineChars="176"/>
        <w:rPr>
          <w:rFonts w:ascii="仿宋" w:hAnsi="仿宋" w:eastAsia="仿宋" w:cs="Arial"/>
          <w:color w:val="auto"/>
          <w:sz w:val="24"/>
          <w:highlight w:val="none"/>
        </w:rPr>
      </w:pPr>
      <w:r>
        <w:rPr>
          <w:rFonts w:hint="eastAsia" w:ascii="仿宋" w:hAnsi="仿宋" w:eastAsia="仿宋" w:cs="Arial"/>
          <w:b/>
          <w:color w:val="auto"/>
          <w:sz w:val="24"/>
          <w:highlight w:val="none"/>
        </w:rPr>
        <w:t>开启时间</w:t>
      </w:r>
      <w:r>
        <w:rPr>
          <w:rFonts w:ascii="仿宋" w:hAnsi="仿宋" w:eastAsia="仿宋" w:cs="Arial"/>
          <w:b/>
          <w:color w:val="auto"/>
          <w:sz w:val="24"/>
          <w:highlight w:val="none"/>
        </w:rPr>
        <w:t>：</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lang w:val="en-US" w:eastAsia="zh-CN"/>
        </w:rPr>
        <w:t>24</w:t>
      </w:r>
      <w:r>
        <w:rPr>
          <w:rFonts w:hint="eastAsia" w:ascii="仿宋" w:hAnsi="仿宋" w:eastAsia="仿宋" w:cs="Arial"/>
          <w:b/>
          <w:color w:val="auto"/>
          <w:sz w:val="24"/>
          <w:highlight w:val="none"/>
          <w:u w:val="single"/>
        </w:rPr>
        <w:t>年0</w:t>
      </w:r>
      <w:r>
        <w:rPr>
          <w:rFonts w:hint="eastAsia" w:ascii="仿宋" w:hAnsi="仿宋" w:eastAsia="仿宋" w:cs="Arial"/>
          <w:b/>
          <w:color w:val="auto"/>
          <w:sz w:val="24"/>
          <w:highlight w:val="none"/>
          <w:u w:val="single"/>
          <w:lang w:val="en-US" w:eastAsia="zh-CN"/>
        </w:rPr>
        <w:t>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25</w:t>
      </w:r>
      <w:r>
        <w:rPr>
          <w:rFonts w:hint="eastAsia" w:ascii="仿宋" w:hAnsi="仿宋" w:eastAsia="仿宋" w:cs="Arial"/>
          <w:b/>
          <w:color w:val="auto"/>
          <w:sz w:val="24"/>
          <w:highlight w:val="none"/>
          <w:u w:val="single"/>
        </w:rPr>
        <w:t>日</w:t>
      </w:r>
      <w:r>
        <w:rPr>
          <w:rFonts w:hint="eastAsia" w:ascii="仿宋" w:hAnsi="仿宋" w:eastAsia="仿宋" w:cs="Arial"/>
          <w:b/>
          <w:color w:val="auto"/>
          <w:sz w:val="24"/>
          <w:highlight w:val="none"/>
          <w:u w:val="single"/>
          <w:lang w:val="en-US" w:eastAsia="zh-CN"/>
        </w:rPr>
        <w:t>09</w:t>
      </w:r>
      <w:r>
        <w:rPr>
          <w:rFonts w:hint="eastAsia" w:ascii="仿宋" w:hAnsi="仿宋" w:eastAsia="仿宋" w:cs="Arial"/>
          <w:b/>
          <w:color w:val="auto"/>
          <w:sz w:val="24"/>
          <w:highlight w:val="none"/>
          <w:u w:val="single"/>
        </w:rPr>
        <w:t>:</w:t>
      </w:r>
      <w:r>
        <w:rPr>
          <w:rFonts w:hint="eastAsia" w:ascii="仿宋" w:hAnsi="仿宋" w:eastAsia="仿宋" w:cs="Arial"/>
          <w:b/>
          <w:color w:val="auto"/>
          <w:sz w:val="24"/>
          <w:highlight w:val="none"/>
          <w:u w:val="single"/>
          <w:lang w:val="en-US" w:eastAsia="zh-CN"/>
        </w:rPr>
        <w:t>0</w:t>
      </w:r>
      <w:r>
        <w:rPr>
          <w:rFonts w:hint="eastAsia" w:ascii="仿宋" w:hAnsi="仿宋" w:eastAsia="仿宋" w:cs="Arial"/>
          <w:b/>
          <w:color w:val="auto"/>
          <w:sz w:val="24"/>
          <w:highlight w:val="none"/>
          <w:u w:val="single"/>
        </w:rPr>
        <w:t>0</w:t>
      </w:r>
      <w:r>
        <w:rPr>
          <w:rFonts w:hint="eastAsia" w:ascii="仿宋" w:hAnsi="仿宋" w:eastAsia="仿宋" w:cs="Arial"/>
          <w:color w:val="auto"/>
          <w:sz w:val="24"/>
          <w:highlight w:val="none"/>
        </w:rPr>
        <w:t>（北京时间）</w:t>
      </w:r>
    </w:p>
    <w:p>
      <w:pPr>
        <w:spacing w:after="240" w:line="360" w:lineRule="auto"/>
        <w:ind w:firstLine="424" w:firstLineChars="176"/>
        <w:rPr>
          <w:rFonts w:ascii="仿宋" w:hAnsi="仿宋" w:eastAsia="仿宋" w:cs="Arial"/>
          <w:color w:val="auto"/>
          <w:sz w:val="24"/>
          <w:highlight w:val="none"/>
        </w:rPr>
      </w:pPr>
      <w:r>
        <w:rPr>
          <w:rFonts w:hint="eastAsia" w:ascii="仿宋" w:hAnsi="仿宋" w:eastAsia="仿宋" w:cs="Arial"/>
          <w:b/>
          <w:color w:val="auto"/>
          <w:sz w:val="24"/>
          <w:highlight w:val="none"/>
        </w:rPr>
        <w:t>开启地点</w:t>
      </w:r>
      <w:r>
        <w:rPr>
          <w:rFonts w:ascii="仿宋" w:hAnsi="仿宋" w:eastAsia="仿宋" w:cs="Arial"/>
          <w:b/>
          <w:color w:val="auto"/>
          <w:sz w:val="24"/>
          <w:highlight w:val="none"/>
        </w:rPr>
        <w:t>：</w:t>
      </w:r>
      <w:r>
        <w:rPr>
          <w:rFonts w:hint="eastAsia" w:ascii="仿宋" w:hAnsi="仿宋" w:eastAsia="仿宋" w:cs="宋体"/>
          <w:color w:val="auto"/>
          <w:sz w:val="24"/>
          <w:highlight w:val="none"/>
          <w:u w:val="single"/>
        </w:rPr>
        <w:t>杭州市文晖路42号现代置业大厦西楼17楼开标室二</w:t>
      </w:r>
    </w:p>
    <w:p>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六、公告期限</w:t>
      </w:r>
    </w:p>
    <w:p>
      <w:pPr>
        <w:spacing w:after="240"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自本公告发布之日起3个工作日。</w:t>
      </w:r>
    </w:p>
    <w:p>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七、其他补充事宜</w:t>
      </w:r>
    </w:p>
    <w:p>
      <w:pPr>
        <w:spacing w:line="360" w:lineRule="auto"/>
        <w:ind w:firstLine="424" w:firstLineChars="176"/>
        <w:rPr>
          <w:color w:val="auto"/>
          <w:highlight w:val="none"/>
        </w:rPr>
      </w:pPr>
      <w:r>
        <w:rPr>
          <w:rFonts w:hint="eastAsia" w:ascii="仿宋" w:hAnsi="仿宋" w:eastAsia="仿宋"/>
          <w:b/>
          <w:color w:val="auto"/>
          <w:sz w:val="24"/>
          <w:highlight w:val="none"/>
        </w:rPr>
        <w:t>1、供应商认为采购文件使自己的权益受到损害的，</w:t>
      </w:r>
      <w:r>
        <w:rPr>
          <w:rFonts w:ascii="仿宋" w:hAnsi="仿宋" w:eastAsia="仿宋"/>
          <w:b/>
          <w:color w:val="auto"/>
          <w:sz w:val="24"/>
          <w:highlight w:val="none"/>
        </w:rPr>
        <w:t>可以自</w:t>
      </w:r>
      <w:r>
        <w:rPr>
          <w:rFonts w:hint="eastAsia" w:ascii="仿宋" w:hAnsi="仿宋" w:eastAsia="仿宋"/>
          <w:b/>
          <w:color w:val="auto"/>
          <w:sz w:val="24"/>
          <w:highlight w:val="none"/>
        </w:rPr>
        <w:t>获取采购</w:t>
      </w:r>
      <w:r>
        <w:rPr>
          <w:rFonts w:ascii="仿宋" w:hAnsi="仿宋" w:eastAsia="仿宋"/>
          <w:b/>
          <w:color w:val="auto"/>
          <w:sz w:val="24"/>
          <w:highlight w:val="none"/>
        </w:rPr>
        <w:t>文件之日</w:t>
      </w:r>
      <w:r>
        <w:rPr>
          <w:rFonts w:hint="eastAsia" w:ascii="仿宋" w:hAnsi="仿宋" w:eastAsia="仿宋"/>
          <w:b/>
          <w:color w:val="auto"/>
          <w:sz w:val="24"/>
          <w:highlight w:val="none"/>
        </w:rPr>
        <w:t>或者采购文件公告期限届满之日（公告期限届满后获取采购文件的，以公告期限届满之日为准）</w:t>
      </w:r>
      <w:r>
        <w:rPr>
          <w:rFonts w:ascii="仿宋" w:hAnsi="仿宋" w:eastAsia="仿宋"/>
          <w:b/>
          <w:color w:val="auto"/>
          <w:sz w:val="24"/>
          <w:highlight w:val="none"/>
        </w:rPr>
        <w:t>起7个工作日内</w:t>
      </w:r>
      <w:r>
        <w:rPr>
          <w:rFonts w:hint="eastAsia" w:ascii="仿宋" w:hAnsi="仿宋" w:eastAsia="仿宋"/>
          <w:b/>
          <w:color w:val="auto"/>
          <w:sz w:val="24"/>
          <w:highlight w:val="none"/>
        </w:rPr>
        <w:t>，以书面形式向采购人和采购代理机构提出质疑。</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2、其他事项：</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（1）本项目不收取</w:t>
      </w:r>
      <w:r>
        <w:rPr>
          <w:rFonts w:ascii="仿宋" w:hAnsi="仿宋" w:eastAsia="仿宋" w:cs="Arial"/>
          <w:b/>
          <w:color w:val="auto"/>
          <w:sz w:val="24"/>
          <w:highlight w:val="none"/>
        </w:rPr>
        <w:t>磋商保证金</w:t>
      </w:r>
      <w:r>
        <w:rPr>
          <w:rFonts w:hint="eastAsia" w:ascii="仿宋" w:hAnsi="仿宋" w:eastAsia="仿宋" w:cs="Arial"/>
          <w:b/>
          <w:color w:val="auto"/>
          <w:sz w:val="24"/>
          <w:highlight w:val="none"/>
        </w:rPr>
        <w:t>；</w:t>
      </w:r>
    </w:p>
    <w:p>
      <w:pPr>
        <w:spacing w:line="360" w:lineRule="auto"/>
        <w:ind w:firstLine="424" w:firstLineChars="176"/>
        <w:rPr>
          <w:rFonts w:ascii="仿宋" w:hAnsi="仿宋" w:eastAsia="仿宋" w:cs="Arial"/>
          <w:color w:val="auto"/>
          <w:sz w:val="24"/>
          <w:highlight w:val="none"/>
        </w:rPr>
      </w:pPr>
      <w:r>
        <w:rPr>
          <w:rFonts w:hint="eastAsia" w:ascii="仿宋" w:hAnsi="仿宋" w:eastAsia="仿宋" w:cs="Arial"/>
          <w:b/>
          <w:color w:val="auto"/>
          <w:sz w:val="24"/>
          <w:highlight w:val="none"/>
        </w:rPr>
        <w:t>（2）采购项目需要落实的采购政策：</w:t>
      </w:r>
      <w:r>
        <w:rPr>
          <w:rFonts w:hint="eastAsia" w:ascii="仿宋" w:hAnsi="仿宋" w:eastAsia="仿宋" w:cs="Arial"/>
          <w:color w:val="auto"/>
          <w:sz w:val="24"/>
          <w:highlight w:val="none"/>
        </w:rPr>
        <w:t>本项目属于专门面向中小企业采购的项目,供应商应为中、小、微型企业，监狱企业、残疾人福利性单位。具体详见采购文件第二章供应商须知“二、落实的采购政策”。</w:t>
      </w:r>
    </w:p>
    <w:p>
      <w:pPr>
        <w:spacing w:line="360" w:lineRule="auto"/>
        <w:ind w:firstLine="480" w:firstLineChars="200"/>
        <w:rPr>
          <w:rFonts w:ascii="仿宋" w:hAnsi="仿宋" w:eastAsia="仿宋" w:cs="Arial"/>
          <w:bCs/>
          <w:color w:val="auto"/>
          <w:sz w:val="24"/>
          <w:highlight w:val="none"/>
        </w:rPr>
      </w:pPr>
      <w:r>
        <w:rPr>
          <w:rFonts w:hint="eastAsia" w:ascii="仿宋" w:hAnsi="仿宋" w:eastAsia="仿宋" w:cs="Arial"/>
          <w:bCs/>
          <w:color w:val="auto"/>
          <w:sz w:val="24"/>
          <w:highlight w:val="none"/>
        </w:rPr>
        <w:t>（3）根据《关于规范政府采购供应商资格设定及资格审查的通知（浙财采监【2013】24号）》第六条的规定，</w:t>
      </w:r>
      <w:r>
        <w:rPr>
          <w:rFonts w:ascii="仿宋" w:hAnsi="仿宋" w:eastAsia="仿宋" w:cs="Arial"/>
          <w:bCs/>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bCs/>
          <w:color w:val="auto"/>
          <w:sz w:val="24"/>
          <w:highlight w:val="none"/>
        </w:rPr>
        <w:t>本次</w:t>
      </w:r>
      <w:r>
        <w:rPr>
          <w:rFonts w:ascii="仿宋" w:hAnsi="仿宋" w:eastAsia="仿宋" w:cs="Arial"/>
          <w:bCs/>
          <w:color w:val="auto"/>
          <w:sz w:val="24"/>
          <w:highlight w:val="none"/>
        </w:rPr>
        <w:t>采购活动。</w:t>
      </w:r>
    </w:p>
    <w:p>
      <w:pPr>
        <w:spacing w:line="360" w:lineRule="auto"/>
        <w:ind w:firstLine="564" w:firstLineChars="235"/>
        <w:jc w:val="left"/>
        <w:rPr>
          <w:rFonts w:ascii="仿宋" w:hAnsi="仿宋" w:eastAsia="仿宋" w:cs="Arial"/>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八</w:t>
      </w:r>
      <w:r>
        <w:rPr>
          <w:rFonts w:ascii="仿宋" w:hAnsi="仿宋" w:eastAsia="仿宋"/>
          <w:b/>
          <w:color w:val="auto"/>
          <w:sz w:val="24"/>
          <w:highlight w:val="none"/>
        </w:rPr>
        <w:t>、</w:t>
      </w:r>
      <w:r>
        <w:rPr>
          <w:rFonts w:hint="eastAsia" w:ascii="仿宋" w:hAnsi="仿宋" w:eastAsia="仿宋"/>
          <w:b/>
          <w:color w:val="auto"/>
          <w:sz w:val="24"/>
          <w:highlight w:val="none"/>
        </w:rPr>
        <w:t>对本次采购提出询问、质疑，请按以下方式联系</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1、采购人信息</w:t>
      </w:r>
    </w:p>
    <w:p>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名    称：浙江中医药大学</w:t>
      </w:r>
    </w:p>
    <w:p>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地    址：杭州市滨江区滨文路548号</w:t>
      </w:r>
    </w:p>
    <w:p>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项目联系人（询问）：</w:t>
      </w:r>
      <w:r>
        <w:rPr>
          <w:rFonts w:hint="eastAsia" w:ascii="仿宋" w:hAnsi="仿宋" w:eastAsia="仿宋"/>
          <w:color w:val="auto"/>
          <w:sz w:val="24"/>
          <w:szCs w:val="20"/>
          <w:highlight w:val="none"/>
          <w:lang w:val="en-US" w:eastAsia="zh-CN"/>
        </w:rPr>
        <w:t>马</w:t>
      </w:r>
      <w:r>
        <w:rPr>
          <w:rFonts w:hint="eastAsia" w:ascii="仿宋" w:hAnsi="仿宋" w:eastAsia="仿宋"/>
          <w:color w:val="auto"/>
          <w:sz w:val="24"/>
          <w:szCs w:val="20"/>
          <w:highlight w:val="none"/>
        </w:rPr>
        <w:t>老师</w:t>
      </w:r>
    </w:p>
    <w:p>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方式（询问）</w:t>
      </w:r>
      <w:r>
        <w:rPr>
          <w:rFonts w:ascii="仿宋" w:hAnsi="仿宋" w:eastAsia="仿宋"/>
          <w:color w:val="auto"/>
          <w:sz w:val="24"/>
          <w:szCs w:val="20"/>
          <w:highlight w:val="none"/>
        </w:rPr>
        <w:t>：0571-</w:t>
      </w:r>
      <w:r>
        <w:rPr>
          <w:rFonts w:hint="eastAsia" w:ascii="仿宋" w:hAnsi="仿宋" w:eastAsia="仿宋"/>
          <w:color w:val="auto"/>
          <w:sz w:val="24"/>
          <w:szCs w:val="20"/>
          <w:highlight w:val="none"/>
        </w:rPr>
        <w:t>61768225</w:t>
      </w:r>
    </w:p>
    <w:p>
      <w:pPr>
        <w:spacing w:line="360" w:lineRule="auto"/>
        <w:ind w:firstLine="424" w:firstLineChars="176"/>
        <w:rPr>
          <w:rFonts w:ascii="仿宋" w:hAnsi="仿宋" w:eastAsia="仿宋" w:cs="Arial"/>
          <w:b/>
          <w:color w:val="auto"/>
          <w:sz w:val="24"/>
          <w:highlight w:val="none"/>
        </w:rPr>
      </w:pP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w:t>
      </w:r>
      <w:r>
        <w:rPr>
          <w:rFonts w:ascii="仿宋" w:hAnsi="仿宋" w:eastAsia="仿宋" w:cs="Arial"/>
          <w:b/>
          <w:color w:val="auto"/>
          <w:sz w:val="24"/>
          <w:highlight w:val="none"/>
        </w:rPr>
        <w:t>采购代理机构</w:t>
      </w:r>
      <w:r>
        <w:rPr>
          <w:rFonts w:hint="eastAsia" w:ascii="仿宋" w:hAnsi="仿宋" w:eastAsia="仿宋" w:cs="Arial"/>
          <w:b/>
          <w:color w:val="auto"/>
          <w:sz w:val="24"/>
          <w:highlight w:val="none"/>
        </w:rPr>
        <w:t>信息</w:t>
      </w:r>
    </w:p>
    <w:p>
      <w:pPr>
        <w:spacing w:line="360" w:lineRule="auto"/>
        <w:ind w:left="424" w:leftChars="202" w:firstLine="424" w:firstLineChars="177"/>
        <w:rPr>
          <w:rFonts w:ascii="仿宋" w:hAnsi="仿宋" w:eastAsia="仿宋"/>
          <w:color w:val="auto"/>
          <w:sz w:val="24"/>
          <w:szCs w:val="20"/>
          <w:highlight w:val="none"/>
        </w:rPr>
      </w:pPr>
      <w:r>
        <w:rPr>
          <w:rFonts w:ascii="仿宋" w:hAnsi="仿宋" w:eastAsia="仿宋"/>
          <w:color w:val="auto"/>
          <w:sz w:val="24"/>
          <w:szCs w:val="20"/>
          <w:highlight w:val="none"/>
        </w:rPr>
        <w:t>名</w:t>
      </w:r>
      <w:r>
        <w:rPr>
          <w:rFonts w:hint="eastAsia" w:ascii="仿宋" w:hAnsi="仿宋" w:eastAsia="仿宋"/>
          <w:color w:val="auto"/>
          <w:sz w:val="24"/>
          <w:szCs w:val="20"/>
          <w:highlight w:val="none"/>
        </w:rPr>
        <w:t xml:space="preserve">    </w:t>
      </w:r>
      <w:r>
        <w:rPr>
          <w:rFonts w:ascii="仿宋" w:hAnsi="仿宋" w:eastAsia="仿宋"/>
          <w:color w:val="auto"/>
          <w:sz w:val="24"/>
          <w:szCs w:val="20"/>
          <w:highlight w:val="none"/>
        </w:rPr>
        <w:t>称：浙江省成套招标代理有限公司</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地    址</w:t>
      </w:r>
      <w:r>
        <w:rPr>
          <w:rFonts w:ascii="仿宋" w:hAnsi="仿宋" w:eastAsia="仿宋"/>
          <w:color w:val="auto"/>
          <w:sz w:val="24"/>
          <w:szCs w:val="20"/>
          <w:highlight w:val="none"/>
        </w:rPr>
        <w:t>：杭州市文晖路42号现代置业大厦西楼17</w:t>
      </w:r>
      <w:r>
        <w:rPr>
          <w:rFonts w:hint="eastAsia" w:ascii="仿宋" w:hAnsi="仿宋" w:eastAsia="仿宋"/>
          <w:color w:val="auto"/>
          <w:sz w:val="24"/>
          <w:szCs w:val="20"/>
          <w:highlight w:val="none"/>
        </w:rPr>
        <w:t>-18</w:t>
      </w:r>
      <w:r>
        <w:rPr>
          <w:rFonts w:ascii="仿宋" w:hAnsi="仿宋" w:eastAsia="仿宋"/>
          <w:color w:val="auto"/>
          <w:sz w:val="24"/>
          <w:szCs w:val="20"/>
          <w:highlight w:val="none"/>
        </w:rPr>
        <w:t>楼</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传    真：/</w:t>
      </w:r>
    </w:p>
    <w:p>
      <w:pPr>
        <w:spacing w:line="360" w:lineRule="auto"/>
        <w:ind w:left="424" w:leftChars="202" w:firstLine="424" w:firstLineChars="177"/>
        <w:rPr>
          <w:rFonts w:hint="default"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联系人</w:t>
      </w:r>
      <w:r>
        <w:rPr>
          <w:rFonts w:hint="eastAsia" w:ascii="仿宋" w:hAnsi="仿宋" w:eastAsia="仿宋"/>
          <w:color w:val="auto"/>
          <w:sz w:val="24"/>
          <w:szCs w:val="20"/>
          <w:highlight w:val="none"/>
        </w:rPr>
        <w:t>（询问）</w:t>
      </w:r>
      <w:r>
        <w:rPr>
          <w:rFonts w:ascii="仿宋" w:hAnsi="仿宋" w:eastAsia="仿宋"/>
          <w:color w:val="auto"/>
          <w:sz w:val="24"/>
          <w:szCs w:val="20"/>
          <w:highlight w:val="none"/>
        </w:rPr>
        <w:t>：</w:t>
      </w:r>
      <w:r>
        <w:rPr>
          <w:rFonts w:hint="eastAsia" w:ascii="仿宋" w:hAnsi="仿宋" w:eastAsia="仿宋"/>
          <w:color w:val="auto"/>
          <w:sz w:val="24"/>
          <w:szCs w:val="20"/>
          <w:highlight w:val="none"/>
          <w:lang w:val="en-US" w:eastAsia="zh-CN"/>
        </w:rPr>
        <w:t>李刚雷</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方式（询问）</w:t>
      </w:r>
      <w:r>
        <w:rPr>
          <w:rFonts w:ascii="仿宋" w:hAnsi="仿宋" w:eastAsia="仿宋"/>
          <w:color w:val="auto"/>
          <w:sz w:val="24"/>
          <w:szCs w:val="20"/>
          <w:highlight w:val="none"/>
        </w:rPr>
        <w:t>：</w:t>
      </w:r>
      <w:r>
        <w:rPr>
          <w:rFonts w:hint="eastAsia" w:ascii="仿宋" w:hAnsi="仿宋" w:eastAsia="仿宋"/>
          <w:color w:val="auto"/>
          <w:sz w:val="24"/>
          <w:szCs w:val="20"/>
          <w:highlight w:val="none"/>
          <w:lang w:val="en-US" w:eastAsia="zh-CN"/>
        </w:rPr>
        <w:t>0571-85833957 15088746906</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质疑联系人：冯东东</w:t>
      </w:r>
    </w:p>
    <w:p>
      <w:pPr>
        <w:spacing w:after="240"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质疑联系方式：</w:t>
      </w:r>
      <w:r>
        <w:rPr>
          <w:rFonts w:ascii="仿宋" w:hAnsi="仿宋" w:eastAsia="仿宋"/>
          <w:color w:val="auto"/>
          <w:sz w:val="24"/>
          <w:szCs w:val="20"/>
          <w:highlight w:val="none"/>
        </w:rPr>
        <w:t>0571-85331293</w:t>
      </w:r>
    </w:p>
    <w:p>
      <w:pPr>
        <w:spacing w:line="360" w:lineRule="auto"/>
        <w:rPr>
          <w:rFonts w:ascii="Arial" w:hAnsi="Arial" w:eastAsia="新宋体" w:cs="Arial"/>
          <w:color w:val="auto"/>
          <w:kern w:val="0"/>
          <w:sz w:val="22"/>
          <w:szCs w:val="22"/>
          <w:highlight w:val="none"/>
        </w:rPr>
      </w:pP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3、投诉联系部门</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名    称：浙江中医药大学招标与采购中心</w:t>
      </w:r>
    </w:p>
    <w:p>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地    址：杭州市滨江区滨文路548号</w:t>
      </w:r>
    </w:p>
    <w:p>
      <w:pPr>
        <w:spacing w:line="360" w:lineRule="auto"/>
        <w:ind w:left="424" w:leftChars="202" w:firstLine="424" w:firstLineChars="177"/>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rPr>
        <w:t>联系人：刘</w:t>
      </w:r>
      <w:r>
        <w:rPr>
          <w:rFonts w:hint="eastAsia" w:ascii="仿宋" w:hAnsi="仿宋" w:eastAsia="仿宋"/>
          <w:color w:val="auto"/>
          <w:sz w:val="24"/>
          <w:szCs w:val="20"/>
          <w:highlight w:val="none"/>
          <w:lang w:val="en-US" w:eastAsia="zh-CN"/>
        </w:rPr>
        <w:t>老师</w:t>
      </w:r>
    </w:p>
    <w:p>
      <w:pPr>
        <w:spacing w:line="360" w:lineRule="auto"/>
        <w:ind w:left="424" w:leftChars="202" w:firstLine="424" w:firstLineChars="177"/>
        <w:rPr>
          <w:rFonts w:ascii="仿宋" w:hAnsi="仿宋" w:eastAsia="仿宋"/>
          <w:color w:val="auto"/>
          <w:sz w:val="24"/>
          <w:szCs w:val="20"/>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417" w:header="425" w:footer="567" w:gutter="0"/>
          <w:pgBorders>
            <w:top w:val="none" w:sz="0" w:space="0"/>
            <w:left w:val="none" w:sz="0" w:space="0"/>
            <w:bottom w:val="none" w:sz="0" w:space="0"/>
            <w:right w:val="none" w:sz="0" w:space="0"/>
          </w:pgBorders>
          <w:pgNumType w:fmt="numberInDash" w:start="3"/>
          <w:cols w:space="0" w:num="1"/>
          <w:rtlGutter w:val="0"/>
          <w:docGrid w:linePitch="312" w:charSpace="0"/>
        </w:sectPr>
      </w:pP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w:t>
      </w:r>
      <w:r>
        <w:rPr>
          <w:rFonts w:ascii="仿宋" w:hAnsi="仿宋" w:eastAsia="仿宋"/>
          <w:color w:val="auto"/>
          <w:sz w:val="24"/>
          <w:szCs w:val="20"/>
          <w:highlight w:val="none"/>
        </w:rPr>
        <w:t>：</w:t>
      </w:r>
      <w:r>
        <w:rPr>
          <w:rFonts w:hint="eastAsia" w:ascii="仿宋" w:hAnsi="仿宋" w:eastAsia="仿宋"/>
          <w:color w:val="auto"/>
          <w:sz w:val="24"/>
          <w:szCs w:val="20"/>
          <w:highlight w:val="none"/>
        </w:rPr>
        <w:t>0571-86658089</w:t>
      </w:r>
    </w:p>
    <w:bookmarkEnd w:id="149"/>
    <w:p>
      <w:pPr>
        <w:pStyle w:val="21"/>
        <w:rPr>
          <w:color w:val="auto"/>
          <w:highlight w:val="none"/>
        </w:rPr>
      </w:pPr>
      <w:bookmarkStart w:id="3" w:name="_Toc22214"/>
      <w:bookmarkStart w:id="4" w:name="_Toc424164131"/>
      <w:bookmarkStart w:id="5" w:name="_Toc440162776"/>
      <w:r>
        <w:rPr>
          <w:rFonts w:hint="eastAsia"/>
          <w:color w:val="auto"/>
          <w:highlight w:val="none"/>
        </w:rPr>
        <w:t>第二章 供应商须知</w:t>
      </w:r>
      <w:bookmarkEnd w:id="3"/>
    </w:p>
    <w:p>
      <w:pPr>
        <w:pStyle w:val="18"/>
        <w:spacing w:line="276" w:lineRule="auto"/>
        <w:rPr>
          <w:rFonts w:ascii="华文中宋" w:hAnsi="华文中宋" w:eastAsia="华文中宋"/>
          <w:color w:val="auto"/>
          <w:kern w:val="0"/>
          <w:highlight w:val="none"/>
        </w:rPr>
      </w:pPr>
      <w:bookmarkStart w:id="6" w:name="_Toc21383"/>
      <w:r>
        <w:rPr>
          <w:rFonts w:hint="eastAsia" w:ascii="华文中宋" w:hAnsi="华文中宋" w:eastAsia="华文中宋"/>
          <w:color w:val="auto"/>
          <w:kern w:val="0"/>
          <w:highlight w:val="none"/>
        </w:rPr>
        <w:t>供应商须知前附表</w:t>
      </w:r>
      <w:bookmarkEnd w:id="6"/>
    </w:p>
    <w:tbl>
      <w:tblPr>
        <w:tblStyle w:val="23"/>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2"/>
        <w:gridCol w:w="2694"/>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92" w:type="dxa"/>
            <w:shd w:val="clear" w:color="auto" w:fill="DAEEF3"/>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对应</w:t>
            </w:r>
          </w:p>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条款号</w:t>
            </w:r>
          </w:p>
        </w:tc>
        <w:tc>
          <w:tcPr>
            <w:tcW w:w="2694" w:type="dxa"/>
            <w:shd w:val="clear" w:color="auto" w:fill="DAEEF3"/>
            <w:vAlign w:val="center"/>
          </w:tcPr>
          <w:p>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6662" w:type="dxa"/>
            <w:shd w:val="clear" w:color="auto" w:fill="DAEEF3"/>
            <w:vAlign w:val="center"/>
          </w:tcPr>
          <w:p>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w:t>
            </w:r>
            <w:r>
              <w:rPr>
                <w:rFonts w:ascii="仿宋" w:hAnsi="仿宋" w:eastAsia="仿宋" w:cs="Arial"/>
                <w:color w:val="auto"/>
                <w:sz w:val="24"/>
                <w:highlight w:val="none"/>
              </w:rPr>
              <w:t>项目名称</w:t>
            </w:r>
          </w:p>
        </w:tc>
        <w:tc>
          <w:tcPr>
            <w:tcW w:w="6662" w:type="dxa"/>
            <w:vAlign w:val="center"/>
          </w:tcPr>
          <w:p>
            <w:pPr>
              <w:spacing w:line="276" w:lineRule="auto"/>
              <w:rPr>
                <w:rFonts w:hint="eastAsia" w:ascii="仿宋" w:hAnsi="仿宋" w:eastAsia="仿宋" w:cs="仿宋"/>
                <w:color w:val="auto"/>
                <w:sz w:val="24"/>
                <w:highlight w:val="none"/>
                <w:lang w:eastAsia="zh-CN"/>
              </w:rPr>
            </w:pPr>
            <w:r>
              <w:rPr>
                <w:rFonts w:hint="eastAsia" w:ascii="仿宋" w:hAnsi="仿宋" w:eastAsia="仿宋"/>
                <w:color w:val="auto"/>
                <w:sz w:val="24"/>
                <w:szCs w:val="20"/>
                <w:highlight w:val="none"/>
                <w:lang w:eastAsia="zh-CN"/>
              </w:rPr>
              <w:t>浙江中医药大学富春校区及滨文南区消防设施设备日常零星维修改造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1.2.2</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w:t>
            </w:r>
            <w:r>
              <w:rPr>
                <w:rFonts w:ascii="仿宋" w:hAnsi="仿宋" w:eastAsia="仿宋" w:cs="Arial"/>
                <w:color w:val="auto"/>
                <w:sz w:val="24"/>
                <w:highlight w:val="none"/>
              </w:rPr>
              <w:t>项目编号</w:t>
            </w:r>
          </w:p>
        </w:tc>
        <w:tc>
          <w:tcPr>
            <w:tcW w:w="6662" w:type="dxa"/>
            <w:vAlign w:val="center"/>
          </w:tcPr>
          <w:p>
            <w:pPr>
              <w:spacing w:line="276" w:lineRule="auto"/>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eastAsia="zh-CN"/>
              </w:rPr>
              <w:t>CTZB-2024060047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1.2.3</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采购内容</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见《第一章 竞争性磋商公告》、《第三章 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1.2.4</w:t>
            </w:r>
          </w:p>
        </w:tc>
        <w:tc>
          <w:tcPr>
            <w:tcW w:w="2694" w:type="dxa"/>
            <w:vAlign w:val="center"/>
          </w:tcPr>
          <w:p>
            <w:pPr>
              <w:spacing w:line="276" w:lineRule="auto"/>
              <w:jc w:val="center"/>
              <w:rPr>
                <w:rFonts w:ascii="仿宋" w:hAnsi="仿宋" w:eastAsia="仿宋" w:cs="Arial"/>
                <w:color w:val="auto"/>
                <w:w w:val="80"/>
                <w:sz w:val="24"/>
                <w:highlight w:val="none"/>
              </w:rPr>
            </w:pPr>
            <w:r>
              <w:rPr>
                <w:rFonts w:ascii="仿宋" w:hAnsi="仿宋" w:eastAsia="仿宋" w:cs="Arial"/>
                <w:color w:val="auto"/>
                <w:w w:val="80"/>
                <w:sz w:val="24"/>
                <w:highlight w:val="none"/>
              </w:rPr>
              <w:t>采购预算</w:t>
            </w:r>
            <w:r>
              <w:rPr>
                <w:rFonts w:hint="eastAsia" w:ascii="仿宋" w:hAnsi="仿宋" w:eastAsia="仿宋" w:cs="Arial"/>
                <w:color w:val="auto"/>
                <w:w w:val="80"/>
                <w:sz w:val="24"/>
                <w:highlight w:val="none"/>
              </w:rPr>
              <w:t>、最高限价（如有）</w:t>
            </w:r>
          </w:p>
        </w:tc>
        <w:tc>
          <w:tcPr>
            <w:tcW w:w="6662" w:type="dxa"/>
            <w:vAlign w:val="center"/>
          </w:tcPr>
          <w:p>
            <w:pPr>
              <w:spacing w:line="276"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见《第一章 竞争性磋商公告》</w:t>
            </w:r>
          </w:p>
          <w:p>
            <w:pPr>
              <w:spacing w:line="276" w:lineRule="auto"/>
              <w:rPr>
                <w:rFonts w:hint="eastAsia" w:ascii="仿宋" w:hAnsi="仿宋" w:eastAsia="仿宋" w:cs="Arial"/>
                <w:b/>
                <w:color w:val="auto"/>
                <w:sz w:val="24"/>
                <w:highlight w:val="none"/>
              </w:rPr>
            </w:pPr>
            <w:bookmarkStart w:id="7" w:name="_Toc17967"/>
            <w:r>
              <w:rPr>
                <w:rFonts w:hint="eastAsia" w:ascii="仿宋" w:hAnsi="仿宋" w:eastAsia="仿宋" w:cs="Arial"/>
                <w:b/>
                <w:bCs w:val="0"/>
                <w:color w:val="auto"/>
                <w:kern w:val="2"/>
                <w:sz w:val="24"/>
                <w:szCs w:val="24"/>
                <w:highlight w:val="none"/>
                <w:lang w:val="en-US" w:eastAsia="zh-CN" w:bidi="ar-SA"/>
              </w:rPr>
              <w:t>最高限价：投标折扣率不得高于85%</w:t>
            </w:r>
            <w:bookmarkEnd w:id="7"/>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1.2.5</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采购资金落实情况</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bCs/>
                <w:color w:val="auto"/>
                <w:sz w:val="24"/>
                <w:highlight w:val="none"/>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1.2.6</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服务期</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1</w:t>
            </w:r>
            <w:r>
              <w:rPr>
                <w:rFonts w:hint="eastAsia" w:ascii="仿宋" w:hAnsi="仿宋" w:eastAsia="仿宋" w:cs="Arial"/>
                <w:color w:val="auto"/>
                <w:sz w:val="24"/>
                <w:highlight w:val="none"/>
              </w:rPr>
              <w:t>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1.2.7</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采购人</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color w:val="auto"/>
                <w:sz w:val="24"/>
                <w:highlight w:val="none"/>
              </w:rPr>
              <w:t>单位</w:t>
            </w:r>
            <w:r>
              <w:rPr>
                <w:rFonts w:ascii="仿宋" w:hAnsi="仿宋" w:eastAsia="仿宋" w:cs="Arial"/>
                <w:color w:val="auto"/>
                <w:sz w:val="24"/>
                <w:highlight w:val="none"/>
              </w:rPr>
              <w:t>名称：</w:t>
            </w:r>
            <w:r>
              <w:rPr>
                <w:rFonts w:hint="eastAsia" w:ascii="仿宋" w:hAnsi="仿宋" w:eastAsia="仿宋" w:cs="Arial"/>
                <w:b/>
                <w:color w:val="auto"/>
                <w:sz w:val="24"/>
                <w:highlight w:val="none"/>
              </w:rPr>
              <w:t>浙江中医药大学</w:t>
            </w:r>
          </w:p>
          <w:p>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系</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人：</w:t>
            </w:r>
            <w:r>
              <w:rPr>
                <w:rFonts w:hint="eastAsia" w:ascii="仿宋" w:hAnsi="仿宋" w:eastAsia="仿宋" w:cs="Arial"/>
                <w:color w:val="auto"/>
                <w:sz w:val="24"/>
                <w:highlight w:val="none"/>
                <w:lang w:val="en-US" w:eastAsia="zh-CN"/>
              </w:rPr>
              <w:t>马</w:t>
            </w:r>
            <w:r>
              <w:rPr>
                <w:rFonts w:hint="eastAsia" w:ascii="仿宋" w:hAnsi="仿宋" w:eastAsia="仿宋" w:cs="Arial"/>
                <w:color w:val="auto"/>
                <w:sz w:val="24"/>
                <w:highlight w:val="none"/>
              </w:rPr>
              <w:t>老师</w:t>
            </w:r>
          </w:p>
          <w:p>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联系电话：0571-</w:t>
            </w:r>
            <w:r>
              <w:rPr>
                <w:rFonts w:hint="eastAsia" w:ascii="仿宋" w:hAnsi="仿宋" w:eastAsia="仿宋" w:cs="Arial"/>
                <w:color w:val="auto"/>
                <w:sz w:val="24"/>
                <w:highlight w:val="none"/>
              </w:rPr>
              <w:t>61768225</w:t>
            </w:r>
          </w:p>
          <w:p>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地</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址：</w:t>
            </w:r>
            <w:r>
              <w:rPr>
                <w:rFonts w:hint="eastAsia" w:ascii="仿宋" w:hAnsi="仿宋" w:eastAsia="仿宋"/>
                <w:color w:val="auto"/>
                <w:sz w:val="24"/>
                <w:szCs w:val="20"/>
                <w:highlight w:val="none"/>
              </w:rPr>
              <w:t>杭州市滨江区滨文路548号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1.2.8</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采购代理机构</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color w:val="auto"/>
                <w:sz w:val="24"/>
                <w:highlight w:val="none"/>
              </w:rPr>
              <w:t>单位</w:t>
            </w:r>
            <w:r>
              <w:rPr>
                <w:rFonts w:ascii="仿宋" w:hAnsi="仿宋" w:eastAsia="仿宋" w:cs="Arial"/>
                <w:color w:val="auto"/>
                <w:sz w:val="24"/>
                <w:highlight w:val="none"/>
              </w:rPr>
              <w:t>名称：</w:t>
            </w:r>
            <w:r>
              <w:rPr>
                <w:rFonts w:ascii="仿宋" w:hAnsi="仿宋" w:eastAsia="仿宋" w:cs="Arial"/>
                <w:b/>
                <w:color w:val="auto"/>
                <w:sz w:val="24"/>
                <w:highlight w:val="none"/>
              </w:rPr>
              <w:t>浙江省成套招标代理有限公司</w:t>
            </w:r>
          </w:p>
          <w:p>
            <w:pPr>
              <w:spacing w:line="276" w:lineRule="auto"/>
              <w:rPr>
                <w:rFonts w:hint="eastAsia" w:ascii="仿宋" w:hAnsi="仿宋" w:eastAsia="仿宋" w:cs="Arial"/>
                <w:color w:val="auto"/>
                <w:sz w:val="24"/>
                <w:highlight w:val="none"/>
                <w:lang w:val="en-US" w:eastAsia="zh-CN"/>
              </w:rPr>
            </w:pPr>
            <w:r>
              <w:rPr>
                <w:rFonts w:ascii="仿宋" w:hAnsi="仿宋" w:eastAsia="仿宋" w:cs="Arial"/>
                <w:color w:val="auto"/>
                <w:sz w:val="24"/>
                <w:highlight w:val="none"/>
              </w:rPr>
              <w:t>联</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系</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人：</w:t>
            </w:r>
            <w:r>
              <w:rPr>
                <w:rFonts w:hint="eastAsia" w:ascii="仿宋" w:hAnsi="仿宋" w:eastAsia="仿宋" w:cs="Arial"/>
                <w:color w:val="auto"/>
                <w:sz w:val="24"/>
                <w:highlight w:val="none"/>
                <w:lang w:val="en-US" w:eastAsia="zh-CN"/>
              </w:rPr>
              <w:t>李刚雷</w:t>
            </w:r>
          </w:p>
          <w:p>
            <w:pPr>
              <w:spacing w:line="276" w:lineRule="auto"/>
              <w:rPr>
                <w:rFonts w:hint="default" w:ascii="仿宋" w:hAnsi="仿宋" w:eastAsia="仿宋" w:cs="Arial"/>
                <w:color w:val="auto"/>
                <w:sz w:val="24"/>
                <w:highlight w:val="none"/>
                <w:lang w:val="en-US" w:eastAsia="zh-CN"/>
              </w:rPr>
            </w:pPr>
            <w:r>
              <w:rPr>
                <w:rFonts w:ascii="仿宋" w:hAnsi="仿宋" w:eastAsia="仿宋" w:cs="Arial"/>
                <w:color w:val="auto"/>
                <w:sz w:val="24"/>
                <w:highlight w:val="none"/>
              </w:rPr>
              <w:t>联系电话：</w:t>
            </w:r>
            <w:r>
              <w:rPr>
                <w:rFonts w:hint="eastAsia" w:ascii="仿宋" w:hAnsi="仿宋" w:eastAsia="仿宋" w:cs="Arial"/>
                <w:color w:val="auto"/>
                <w:sz w:val="24"/>
                <w:highlight w:val="none"/>
                <w:lang w:val="en-US" w:eastAsia="zh-CN"/>
              </w:rPr>
              <w:t>15088746906</w:t>
            </w:r>
          </w:p>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邮    箱：</w:t>
            </w:r>
            <w:r>
              <w:rPr>
                <w:rFonts w:hint="eastAsia" w:ascii="仿宋" w:hAnsi="仿宋" w:eastAsia="仿宋" w:cs="Arial"/>
                <w:color w:val="auto"/>
                <w:sz w:val="24"/>
                <w:highlight w:val="none"/>
                <w:lang w:val="en-US" w:eastAsia="zh-CN"/>
              </w:rPr>
              <w:t>79863969</w:t>
            </w:r>
            <w:r>
              <w:rPr>
                <w:rFonts w:hint="eastAsia" w:ascii="仿宋" w:hAnsi="仿宋" w:eastAsia="仿宋" w:cs="Arial"/>
                <w:color w:val="auto"/>
                <w:sz w:val="24"/>
                <w:highlight w:val="none"/>
              </w:rPr>
              <w:t>@qq.com</w:t>
            </w:r>
          </w:p>
          <w:p>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地</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址：杭州市文晖路42号现代置业大厦西楼17</w:t>
            </w:r>
            <w:r>
              <w:rPr>
                <w:rFonts w:hint="eastAsia" w:ascii="仿宋" w:hAnsi="仿宋" w:eastAsia="仿宋" w:cs="Arial"/>
                <w:color w:val="auto"/>
                <w:sz w:val="24"/>
                <w:highlight w:val="none"/>
              </w:rPr>
              <w:t>-18</w:t>
            </w:r>
            <w:r>
              <w:rPr>
                <w:rFonts w:ascii="仿宋" w:hAnsi="仿宋" w:eastAsia="仿宋" w:cs="Arial"/>
                <w:color w:val="auto"/>
                <w:sz w:val="24"/>
                <w:highlight w:val="none"/>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1.2.9</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采购方式</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kern w:val="0"/>
                <w:sz w:val="24"/>
                <w:highlight w:val="none"/>
              </w:rPr>
              <w:t>竞争性磋商</w:t>
            </w:r>
            <w:r>
              <w:rPr>
                <w:rFonts w:hint="eastAsia" w:ascii="仿宋" w:hAnsi="仿宋" w:eastAsia="仿宋" w:cs="Arial"/>
                <w:color w:val="auto"/>
                <w:kern w:val="0"/>
                <w:sz w:val="24"/>
                <w:highlight w:val="none"/>
              </w:rPr>
              <w:t>（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1.3.1</w:t>
            </w:r>
          </w:p>
        </w:tc>
        <w:tc>
          <w:tcPr>
            <w:tcW w:w="2694" w:type="dxa"/>
            <w:vAlign w:val="center"/>
          </w:tcPr>
          <w:p>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sz w:val="24"/>
                <w:highlight w:val="none"/>
              </w:rPr>
              <w:t>申请人资格要求</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1.5.1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磋商供应商的确定方式</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kern w:val="0"/>
                <w:sz w:val="24"/>
                <w:highlight w:val="none"/>
              </w:rPr>
              <w:t>公告形式邀请（发布竞争性磋商公告后登记确定）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1.7.1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联合体</w:t>
            </w:r>
            <w:r>
              <w:rPr>
                <w:rFonts w:hint="eastAsia" w:ascii="仿宋" w:hAnsi="仿宋" w:eastAsia="仿宋" w:cs="Arial"/>
                <w:color w:val="auto"/>
                <w:sz w:val="24"/>
                <w:highlight w:val="none"/>
              </w:rPr>
              <w:t>投标（响应）</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lang w:val="en-US" w:eastAsia="zh-CN"/>
              </w:rPr>
              <w:t>不</w:t>
            </w:r>
            <w:r>
              <w:rPr>
                <w:rFonts w:hint="eastAsia" w:ascii="仿宋" w:hAnsi="仿宋" w:eastAsia="仿宋" w:cs="Arial"/>
                <w:b/>
                <w:color w:val="auto"/>
                <w:sz w:val="24"/>
                <w:highlight w:val="none"/>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1.8.1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进口产品投标（响应）</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1.11.1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统一现场勘查</w:t>
            </w:r>
          </w:p>
        </w:tc>
        <w:tc>
          <w:tcPr>
            <w:tcW w:w="6662" w:type="dxa"/>
            <w:vAlign w:val="center"/>
          </w:tcPr>
          <w:p>
            <w:pPr>
              <w:spacing w:line="276" w:lineRule="auto"/>
              <w:jc w:val="left"/>
              <w:rPr>
                <w:rFonts w:ascii="仿宋" w:hAnsi="仿宋" w:eastAsia="仿宋" w:cs="Arial"/>
                <w:b/>
                <w:color w:val="auto"/>
                <w:sz w:val="24"/>
                <w:highlight w:val="none"/>
              </w:rPr>
            </w:pPr>
            <w:r>
              <w:rPr>
                <w:rFonts w:hint="eastAsia" w:ascii="仿宋" w:hAnsi="仿宋" w:eastAsia="仿宋" w:cs="Arial"/>
                <w:b/>
                <w:color w:val="auto"/>
                <w:sz w:val="24"/>
                <w:highlight w:val="none"/>
              </w:rPr>
              <w:t>不组织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1.12.1</w:t>
            </w:r>
          </w:p>
        </w:tc>
        <w:tc>
          <w:tcPr>
            <w:tcW w:w="2694" w:type="dxa"/>
            <w:vAlign w:val="center"/>
          </w:tcPr>
          <w:p>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w w:val="90"/>
                <w:sz w:val="24"/>
                <w:highlight w:val="none"/>
              </w:rPr>
              <w:t>磋商</w:t>
            </w:r>
            <w:r>
              <w:rPr>
                <w:rFonts w:ascii="仿宋" w:hAnsi="仿宋" w:eastAsia="仿宋" w:cs="Arial"/>
                <w:color w:val="auto"/>
                <w:w w:val="90"/>
                <w:sz w:val="24"/>
                <w:highlight w:val="none"/>
              </w:rPr>
              <w:t>前</w:t>
            </w:r>
            <w:r>
              <w:rPr>
                <w:rFonts w:hint="eastAsia" w:ascii="仿宋" w:hAnsi="仿宋" w:eastAsia="仿宋" w:cs="Arial"/>
                <w:color w:val="auto"/>
                <w:w w:val="90"/>
                <w:sz w:val="24"/>
                <w:highlight w:val="none"/>
              </w:rPr>
              <w:t>答疑会时间、地点</w:t>
            </w:r>
          </w:p>
        </w:tc>
        <w:tc>
          <w:tcPr>
            <w:tcW w:w="6662" w:type="dxa"/>
            <w:vAlign w:val="center"/>
          </w:tcPr>
          <w:p>
            <w:pPr>
              <w:spacing w:line="276" w:lineRule="auto"/>
              <w:rPr>
                <w:rFonts w:ascii="仿宋" w:hAnsi="仿宋" w:eastAsia="仿宋" w:cs="Arial"/>
                <w:b/>
                <w:color w:val="auto"/>
                <w:sz w:val="24"/>
                <w:highlight w:val="none"/>
              </w:rPr>
            </w:pPr>
            <w:r>
              <w:rPr>
                <w:rFonts w:ascii="仿宋" w:hAnsi="仿宋" w:eastAsia="仿宋" w:cs="Arial"/>
                <w:b/>
                <w:color w:val="auto"/>
                <w:sz w:val="24"/>
                <w:highlight w:val="none"/>
              </w:rPr>
              <w:t>不召开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1.13</w:t>
            </w:r>
          </w:p>
        </w:tc>
        <w:tc>
          <w:tcPr>
            <w:tcW w:w="2694" w:type="dxa"/>
            <w:vAlign w:val="center"/>
          </w:tcPr>
          <w:p>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w w:val="90"/>
                <w:sz w:val="24"/>
                <w:highlight w:val="none"/>
              </w:rPr>
              <w:t>关联供应商共同参加同一合同项下磋商活动的限制</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有（详见本章第1.13款）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1.15.1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转包、</w:t>
            </w:r>
            <w:r>
              <w:rPr>
                <w:rFonts w:ascii="仿宋" w:hAnsi="仿宋" w:eastAsia="仿宋" w:cs="Arial"/>
                <w:color w:val="auto"/>
                <w:sz w:val="24"/>
                <w:highlight w:val="none"/>
              </w:rPr>
              <w:t>分包</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不允许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2.1.1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是否专门面向</w:t>
            </w:r>
          </w:p>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中小企业采购</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2.1.2</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 xml:space="preserve"> 本项目中小企业划分标准所属行业</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建筑业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2.2</w:t>
            </w:r>
          </w:p>
        </w:tc>
        <w:tc>
          <w:tcPr>
            <w:tcW w:w="2694" w:type="dxa"/>
            <w:vAlign w:val="center"/>
          </w:tcPr>
          <w:p>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是否落实小、微企业</w:t>
            </w:r>
          </w:p>
          <w:p>
            <w:pPr>
              <w:spacing w:line="276" w:lineRule="auto"/>
              <w:jc w:val="center"/>
              <w:rPr>
                <w:rFonts w:ascii="仿宋" w:hAnsi="仿宋" w:eastAsia="仿宋" w:cs="Arial"/>
                <w:color w:val="auto"/>
                <w:sz w:val="24"/>
                <w:highlight w:val="none"/>
              </w:rPr>
            </w:pPr>
            <w:r>
              <w:rPr>
                <w:rFonts w:hint="eastAsia" w:ascii="仿宋" w:hAnsi="仿宋" w:eastAsia="仿宋"/>
                <w:color w:val="auto"/>
                <w:sz w:val="24"/>
                <w:highlight w:val="none"/>
              </w:rPr>
              <w:t>价格扣除扶持政策</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bCs/>
                <w:color w:val="auto"/>
                <w:sz w:val="24"/>
                <w:highlight w:val="none"/>
              </w:rPr>
              <w:t>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2.3</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olor w:val="auto"/>
                <w:sz w:val="24"/>
                <w:highlight w:val="none"/>
              </w:rPr>
              <w:t>是否落实监狱企业、残疾人福利性单位价格扣除扶持政策</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3.2.1</w:t>
            </w:r>
          </w:p>
        </w:tc>
        <w:tc>
          <w:tcPr>
            <w:tcW w:w="2694" w:type="dxa"/>
            <w:vAlign w:val="center"/>
          </w:tcPr>
          <w:p>
            <w:pPr>
              <w:spacing w:line="276" w:lineRule="auto"/>
              <w:jc w:val="center"/>
              <w:rPr>
                <w:rFonts w:ascii="仿宋" w:hAnsi="仿宋" w:eastAsia="仿宋" w:cs="Arial"/>
                <w:b/>
                <w:color w:val="auto"/>
                <w:sz w:val="24"/>
                <w:highlight w:val="none"/>
              </w:rPr>
            </w:pPr>
            <w:r>
              <w:rPr>
                <w:rFonts w:ascii="仿宋" w:hAnsi="仿宋" w:eastAsia="仿宋" w:cs="Arial"/>
                <w:color w:val="auto"/>
                <w:sz w:val="24"/>
                <w:highlight w:val="none"/>
              </w:rPr>
              <w:t>磋商文件</w:t>
            </w:r>
            <w:r>
              <w:rPr>
                <w:rFonts w:hint="eastAsia" w:ascii="仿宋" w:hAnsi="仿宋" w:eastAsia="仿宋" w:cs="Arial"/>
                <w:color w:val="auto"/>
                <w:sz w:val="24"/>
                <w:highlight w:val="none"/>
              </w:rPr>
              <w:t>提</w:t>
            </w:r>
            <w:r>
              <w:rPr>
                <w:rFonts w:ascii="仿宋" w:hAnsi="仿宋" w:eastAsia="仿宋" w:cs="Arial"/>
                <w:color w:val="auto"/>
                <w:sz w:val="24"/>
                <w:highlight w:val="none"/>
              </w:rPr>
              <w:t>疑截止时间</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202</w:t>
            </w:r>
            <w:r>
              <w:rPr>
                <w:rFonts w:hint="eastAsia" w:ascii="仿宋" w:hAnsi="仿宋" w:eastAsia="仿宋" w:cs="Arial"/>
                <w:b/>
                <w:color w:val="auto"/>
                <w:sz w:val="24"/>
                <w:highlight w:val="none"/>
                <w:lang w:val="en-US" w:eastAsia="zh-CN"/>
              </w:rPr>
              <w:t>4</w:t>
            </w:r>
            <w:r>
              <w:rPr>
                <w:rFonts w:hint="eastAsia" w:ascii="仿宋" w:hAnsi="仿宋" w:eastAsia="仿宋" w:cs="Arial"/>
                <w:b/>
                <w:color w:val="auto"/>
                <w:sz w:val="24"/>
                <w:highlight w:val="none"/>
              </w:rPr>
              <w:t>年</w:t>
            </w:r>
            <w:r>
              <w:rPr>
                <w:rFonts w:hint="eastAsia" w:ascii="仿宋" w:hAnsi="仿宋" w:eastAsia="仿宋" w:cs="Arial"/>
                <w:b/>
                <w:color w:val="auto"/>
                <w:sz w:val="24"/>
                <w:highlight w:val="none"/>
                <w:lang w:val="en-US" w:eastAsia="zh-CN"/>
              </w:rPr>
              <w:t xml:space="preserve">06 </w:t>
            </w:r>
            <w:r>
              <w:rPr>
                <w:rFonts w:hint="eastAsia" w:ascii="仿宋" w:hAnsi="仿宋" w:eastAsia="仿宋" w:cs="Arial"/>
                <w:b/>
                <w:color w:val="auto"/>
                <w:sz w:val="24"/>
                <w:highlight w:val="none"/>
              </w:rPr>
              <w:t>月</w:t>
            </w:r>
            <w:r>
              <w:rPr>
                <w:rFonts w:hint="eastAsia" w:ascii="仿宋" w:hAnsi="仿宋" w:eastAsia="仿宋" w:cs="Arial"/>
                <w:b/>
                <w:color w:val="auto"/>
                <w:sz w:val="24"/>
                <w:highlight w:val="none"/>
                <w:lang w:val="en-US" w:eastAsia="zh-CN"/>
              </w:rPr>
              <w:t xml:space="preserve">18 </w:t>
            </w:r>
            <w:r>
              <w:rPr>
                <w:rFonts w:hint="eastAsia" w:ascii="仿宋" w:hAnsi="仿宋" w:eastAsia="仿宋" w:cs="Arial"/>
                <w:b/>
                <w:color w:val="auto"/>
                <w:sz w:val="24"/>
                <w:highlight w:val="none"/>
              </w:rPr>
              <w:t>日 ，17 :00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4.1.1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磋商响应文件的形式</w:t>
            </w:r>
          </w:p>
        </w:tc>
        <w:tc>
          <w:tcPr>
            <w:tcW w:w="6662" w:type="dxa"/>
            <w:vAlign w:val="center"/>
          </w:tcPr>
          <w:p>
            <w:pPr>
              <w:spacing w:line="276" w:lineRule="auto"/>
              <w:rPr>
                <w:rFonts w:ascii="仿宋" w:hAnsi="仿宋" w:eastAsia="仿宋" w:cs="Arial"/>
                <w:b/>
                <w:color w:val="auto"/>
                <w:sz w:val="24"/>
                <w:highlight w:val="none"/>
                <w:u w:val="single"/>
              </w:rPr>
            </w:pPr>
            <w:r>
              <w:rPr>
                <w:rFonts w:hint="eastAsia" w:ascii="仿宋" w:hAnsi="仿宋" w:eastAsia="仿宋" w:cs="Arial"/>
                <w:b/>
                <w:color w:val="auto"/>
                <w:sz w:val="24"/>
                <w:highlight w:val="none"/>
              </w:rPr>
              <w:t>纸质文件，线下响应</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4.2.1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磋商响应文件的组成</w:t>
            </w:r>
          </w:p>
        </w:tc>
        <w:tc>
          <w:tcPr>
            <w:tcW w:w="6662" w:type="dxa"/>
            <w:vAlign w:val="center"/>
          </w:tcPr>
          <w:p>
            <w:pPr>
              <w:spacing w:line="276" w:lineRule="auto"/>
              <w:rPr>
                <w:rFonts w:ascii="仿宋" w:hAnsi="仿宋" w:eastAsia="MS Mincho" w:cs="MS Mincho"/>
                <w:b/>
                <w:color w:val="auto"/>
                <w:sz w:val="24"/>
                <w:highlight w:val="none"/>
              </w:rPr>
            </w:pPr>
            <w:r>
              <w:rPr>
                <w:rFonts w:ascii="仿宋" w:hAnsi="仿宋" w:eastAsia="仿宋" w:cs="Arial"/>
                <w:b/>
                <w:color w:val="auto"/>
                <w:sz w:val="24"/>
                <w:highlight w:val="none"/>
                <w:u w:val="single"/>
              </w:rPr>
              <w:t>完整的《</w:t>
            </w:r>
            <w:r>
              <w:rPr>
                <w:rFonts w:hint="eastAsia" w:ascii="仿宋" w:hAnsi="仿宋" w:eastAsia="仿宋" w:cs="Arial"/>
                <w:b/>
                <w:color w:val="auto"/>
                <w:sz w:val="24"/>
                <w:highlight w:val="none"/>
                <w:u w:val="single"/>
              </w:rPr>
              <w:t>磋商响应</w:t>
            </w:r>
            <w:r>
              <w:rPr>
                <w:rFonts w:ascii="仿宋" w:hAnsi="仿宋" w:eastAsia="仿宋" w:cs="Arial"/>
                <w:b/>
                <w:color w:val="auto"/>
                <w:sz w:val="24"/>
                <w:highlight w:val="none"/>
                <w:u w:val="single"/>
              </w:rPr>
              <w:t>文件》由</w:t>
            </w:r>
            <w:r>
              <w:rPr>
                <w:rFonts w:hint="eastAsia" w:ascii="仿宋" w:hAnsi="仿宋" w:eastAsia="仿宋" w:cs="Arial"/>
                <w:b/>
                <w:color w:val="auto"/>
                <w:sz w:val="24"/>
                <w:highlight w:val="none"/>
                <w:u w:val="single"/>
              </w:rPr>
              <w:t>资信技术文件</w:t>
            </w:r>
            <w:r>
              <w:rPr>
                <w:rFonts w:ascii="仿宋" w:hAnsi="仿宋" w:eastAsia="仿宋" w:cs="Arial"/>
                <w:b/>
                <w:color w:val="auto"/>
                <w:sz w:val="24"/>
                <w:highlight w:val="none"/>
                <w:u w:val="single"/>
              </w:rPr>
              <w:t>和报价文件</w:t>
            </w:r>
            <w:r>
              <w:rPr>
                <w:rFonts w:hint="eastAsia" w:ascii="仿宋" w:hAnsi="仿宋" w:eastAsia="仿宋" w:cs="Arial"/>
                <w:b/>
                <w:color w:val="auto"/>
                <w:sz w:val="24"/>
                <w:highlight w:val="none"/>
                <w:u w:val="single"/>
              </w:rPr>
              <w:t>二</w:t>
            </w:r>
            <w:r>
              <w:rPr>
                <w:rFonts w:ascii="仿宋" w:hAnsi="仿宋" w:eastAsia="仿宋" w:cs="Arial"/>
                <w:b/>
                <w:color w:val="auto"/>
                <w:sz w:val="24"/>
                <w:highlight w:val="none"/>
                <w:u w:val="single"/>
              </w:rPr>
              <w:t>个部分组成</w:t>
            </w:r>
            <w:r>
              <w:rPr>
                <w:rFonts w:hint="eastAsia" w:ascii="仿宋" w:hAnsi="仿宋" w:eastAsia="仿宋" w:cs="Arial"/>
                <w:color w:val="auto"/>
                <w:sz w:val="24"/>
                <w:highlight w:val="none"/>
              </w:rPr>
              <w:t>（具体组成内容详见本章4.2.2磋商响应文件内容组成表）。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03"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磋商响应文件的份数</w:t>
            </w:r>
          </w:p>
        </w:tc>
        <w:tc>
          <w:tcPr>
            <w:tcW w:w="6662" w:type="dxa"/>
            <w:vAlign w:val="center"/>
          </w:tcPr>
          <w:p>
            <w:pPr>
              <w:spacing w:line="276" w:lineRule="auto"/>
              <w:rPr>
                <w:color w:val="auto"/>
                <w:highlight w:val="none"/>
              </w:rPr>
            </w:pPr>
            <w:r>
              <w:rPr>
                <w:rFonts w:hint="eastAsia" w:ascii="仿宋" w:hAnsi="仿宋" w:eastAsia="仿宋" w:cs="Arial"/>
                <w:color w:val="auto"/>
                <w:sz w:val="24"/>
                <w:highlight w:val="none"/>
              </w:rPr>
              <w:t xml:space="preserve">正本一份、副本三份 </w:t>
            </w:r>
            <w:r>
              <w:rPr>
                <w:rFonts w:hint="eastAsia" w:ascii="仿宋" w:hAnsi="仿宋" w:eastAsia="仿宋" w:cs="Arial"/>
                <w:b/>
                <w:bCs/>
                <w:color w:val="auto"/>
                <w:sz w:val="24"/>
                <w:highlight w:val="none"/>
                <w:u w:val="single"/>
              </w:rPr>
              <w:t>同时提供电子响应文件（U盘或光盘形式，电子响应文件须为签字且加盖公章后的完整纸质响应文件正本的PDF彩色扫描件，文件扩展名为.pdf）</w:t>
            </w:r>
            <w:r>
              <w:rPr>
                <w:rFonts w:hint="eastAsia" w:ascii="仿宋" w:hAnsi="仿宋" w:eastAsia="仿宋" w:cs="Arial"/>
                <w:color w:val="auto"/>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61"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4.4.2</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磋商响应文件的装订要求</w:t>
            </w:r>
          </w:p>
        </w:tc>
        <w:tc>
          <w:tcPr>
            <w:tcW w:w="6662" w:type="dxa"/>
            <w:vAlign w:val="center"/>
          </w:tcPr>
          <w:p>
            <w:pPr>
              <w:pStyle w:val="36"/>
              <w:ind w:firstLine="0" w:firstLineChars="0"/>
              <w:rPr>
                <w:rFonts w:ascii="仿宋" w:hAnsi="仿宋" w:eastAsia="仿宋" w:cs="Arial"/>
                <w:b/>
                <w:bCs/>
                <w:color w:val="auto"/>
                <w:sz w:val="24"/>
                <w:highlight w:val="none"/>
                <w:u w:val="single"/>
              </w:rPr>
            </w:pPr>
            <w:r>
              <w:rPr>
                <w:rFonts w:hint="eastAsia" w:ascii="仿宋" w:hAnsi="仿宋" w:eastAsia="仿宋" w:cs="Arial"/>
                <w:b/>
                <w:bCs/>
                <w:color w:val="auto"/>
                <w:sz w:val="24"/>
                <w:highlight w:val="none"/>
                <w:u w:val="single"/>
              </w:rPr>
              <w:t>“资信技术文件”与“报价文件”分开装订；</w:t>
            </w:r>
          </w:p>
          <w:p>
            <w:pPr>
              <w:pStyle w:val="36"/>
              <w:ind w:firstLine="0" w:firstLineChars="0"/>
              <w:rPr>
                <w:rFonts w:ascii="仿宋" w:hAnsi="仿宋" w:eastAsia="仿宋" w:cs="Arial"/>
                <w:b/>
                <w:bCs/>
                <w:color w:val="auto"/>
                <w:sz w:val="24"/>
                <w:highlight w:val="none"/>
                <w:u w:val="single"/>
              </w:rPr>
            </w:pPr>
            <w:r>
              <w:rPr>
                <w:rFonts w:hint="eastAsia" w:ascii="仿宋" w:hAnsi="仿宋" w:eastAsia="仿宋" w:cs="Arial"/>
                <w:b/>
                <w:bCs/>
                <w:color w:val="auto"/>
                <w:sz w:val="24"/>
                <w:highlight w:val="none"/>
                <w:u w:val="single"/>
              </w:rPr>
              <w:t>响应文件正本与副本分别装订成册，采用胶装（粘贴方式装订），不得采用活页夹等可随时拆换的方式装订。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6"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4.4.3</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磋商响应文件的密封要求</w:t>
            </w:r>
          </w:p>
        </w:tc>
        <w:tc>
          <w:tcPr>
            <w:tcW w:w="6662" w:type="dxa"/>
            <w:vAlign w:val="center"/>
          </w:tcPr>
          <w:p>
            <w:pPr>
              <w:pStyle w:val="36"/>
              <w:ind w:firstLine="0" w:firstLineChars="0"/>
              <w:rPr>
                <w:rFonts w:ascii="仿宋" w:hAnsi="仿宋" w:eastAsia="仿宋" w:cs="Arial"/>
                <w:b/>
                <w:color w:val="auto"/>
                <w:sz w:val="24"/>
                <w:highlight w:val="none"/>
              </w:rPr>
            </w:pPr>
            <w:r>
              <w:rPr>
                <w:rFonts w:hint="eastAsia" w:ascii="仿宋" w:hAnsi="仿宋" w:eastAsia="仿宋" w:cs="Arial"/>
                <w:color w:val="auto"/>
                <w:sz w:val="24"/>
                <w:highlight w:val="none"/>
              </w:rPr>
              <w:t>磋商供应商应将“资信技术文件”和“报价文件”（各一正三副共四份）</w:t>
            </w:r>
            <w:r>
              <w:rPr>
                <w:rFonts w:hint="eastAsia" w:ascii="仿宋" w:hAnsi="仿宋" w:eastAsia="仿宋" w:cs="Arial"/>
                <w:b/>
                <w:color w:val="auto"/>
                <w:sz w:val="24"/>
                <w:highlight w:val="none"/>
                <w:u w:val="single"/>
              </w:rPr>
              <w:t>分开密封</w:t>
            </w:r>
            <w:r>
              <w:rPr>
                <w:rFonts w:hint="eastAsia" w:ascii="仿宋" w:hAnsi="仿宋" w:eastAsia="仿宋" w:cs="Arial"/>
                <w:color w:val="auto"/>
                <w:sz w:val="24"/>
                <w:highlight w:val="none"/>
              </w:rPr>
              <w:t>，</w:t>
            </w:r>
            <w:r>
              <w:rPr>
                <w:rFonts w:hint="eastAsia" w:ascii="仿宋" w:hAnsi="仿宋" w:eastAsia="仿宋" w:cs="Arial"/>
                <w:b/>
                <w:color w:val="auto"/>
                <w:sz w:val="24"/>
                <w:highlight w:val="none"/>
                <w:u w:val="single"/>
              </w:rPr>
              <w:t>电子响应文件包装在报价文件中</w:t>
            </w:r>
            <w:r>
              <w:rPr>
                <w:rFonts w:hint="eastAsia" w:ascii="仿宋" w:hAnsi="仿宋" w:eastAsia="仿宋" w:cs="Arial"/>
                <w:b/>
                <w:color w:val="auto"/>
                <w:sz w:val="24"/>
                <w:highlight w:val="none"/>
              </w:rPr>
              <w:t>。</w:t>
            </w:r>
          </w:p>
          <w:p>
            <w:pPr>
              <w:pStyle w:val="36"/>
              <w:ind w:firstLine="0" w:firstLineChars="0"/>
              <w:rPr>
                <w:rFonts w:ascii="仿宋" w:hAnsi="仿宋" w:eastAsia="仿宋" w:cs="Arial"/>
                <w:color w:val="auto"/>
                <w:sz w:val="24"/>
                <w:highlight w:val="none"/>
              </w:rPr>
            </w:pPr>
            <w:r>
              <w:rPr>
                <w:rFonts w:hint="eastAsia" w:ascii="仿宋" w:hAnsi="仿宋" w:eastAsia="仿宋" w:cs="Arial"/>
                <w:color w:val="auto"/>
                <w:sz w:val="24"/>
                <w:highlight w:val="none"/>
              </w:rPr>
              <w:t>在外包装上注明磋商项目名称、项目编号、供应商全称、“资信技术文件”或“报价文件”及“开标时启封”字样，并加盖供应商公章。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4.5.3</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w:t>
            </w:r>
            <w:r>
              <w:rPr>
                <w:rFonts w:ascii="仿宋" w:hAnsi="仿宋" w:eastAsia="仿宋" w:cs="Arial"/>
                <w:color w:val="auto"/>
                <w:sz w:val="24"/>
                <w:highlight w:val="none"/>
              </w:rPr>
              <w:t>报价</w:t>
            </w:r>
            <w:r>
              <w:rPr>
                <w:rFonts w:hint="eastAsia" w:ascii="仿宋" w:hAnsi="仿宋" w:eastAsia="仿宋" w:cs="Arial"/>
                <w:color w:val="auto"/>
                <w:sz w:val="24"/>
                <w:highlight w:val="none"/>
              </w:rPr>
              <w:t>涵盖的范围</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见《第三章 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4.6.1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磋商响应文件有效期</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《磋商响应文件》</w:t>
            </w:r>
            <w:r>
              <w:rPr>
                <w:rFonts w:ascii="仿宋" w:hAnsi="仿宋" w:eastAsia="仿宋" w:cs="Arial"/>
                <w:b/>
                <w:color w:val="auto"/>
                <w:sz w:val="24"/>
                <w:highlight w:val="none"/>
              </w:rPr>
              <w:t>自</w:t>
            </w:r>
            <w:r>
              <w:rPr>
                <w:rFonts w:hint="eastAsia" w:ascii="仿宋" w:hAnsi="仿宋" w:eastAsia="仿宋" w:cs="Arial"/>
                <w:b/>
                <w:color w:val="auto"/>
                <w:sz w:val="24"/>
                <w:highlight w:val="none"/>
              </w:rPr>
              <w:t>提交</w:t>
            </w:r>
            <w:r>
              <w:rPr>
                <w:rFonts w:ascii="仿宋" w:hAnsi="仿宋" w:eastAsia="仿宋" w:cs="Arial"/>
                <w:b/>
                <w:color w:val="auto"/>
                <w:sz w:val="24"/>
                <w:highlight w:val="none"/>
              </w:rPr>
              <w:t>截止之日起</w:t>
            </w:r>
            <w:r>
              <w:rPr>
                <w:rFonts w:hint="eastAsia" w:ascii="仿宋" w:hAnsi="仿宋" w:eastAsia="仿宋" w:cs="Arial"/>
                <w:b/>
                <w:color w:val="auto"/>
                <w:sz w:val="24"/>
                <w:highlight w:val="none"/>
                <w:u w:val="single"/>
              </w:rPr>
              <w:t>9</w:t>
            </w:r>
            <w:r>
              <w:rPr>
                <w:rFonts w:ascii="仿宋" w:hAnsi="仿宋" w:eastAsia="仿宋" w:cs="Arial"/>
                <w:b/>
                <w:color w:val="auto"/>
                <w:sz w:val="24"/>
                <w:highlight w:val="none"/>
                <w:u w:val="single"/>
              </w:rPr>
              <w:t>0</w:t>
            </w:r>
            <w:r>
              <w:rPr>
                <w:rFonts w:ascii="仿宋" w:hAnsi="仿宋" w:eastAsia="仿宋" w:cs="Arial"/>
                <w:b/>
                <w:color w:val="auto"/>
                <w:sz w:val="24"/>
                <w:highlight w:val="none"/>
              </w:rPr>
              <w:t>天</w:t>
            </w:r>
            <w:r>
              <w:rPr>
                <w:rFonts w:hint="eastAsia" w:ascii="仿宋" w:hAnsi="仿宋" w:eastAsia="仿宋" w:cs="Arial"/>
                <w:b/>
                <w:color w:val="auto"/>
                <w:sz w:val="24"/>
                <w:highlight w:val="none"/>
              </w:rPr>
              <w:t>内保持有效，否则磋商响应无效。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5.1.1</w:t>
            </w:r>
          </w:p>
        </w:tc>
        <w:tc>
          <w:tcPr>
            <w:tcW w:w="2694" w:type="dxa"/>
            <w:vAlign w:val="center"/>
          </w:tcPr>
          <w:p>
            <w:pPr>
              <w:spacing w:line="276" w:lineRule="auto"/>
              <w:jc w:val="center"/>
              <w:rPr>
                <w:rFonts w:ascii="仿宋" w:hAnsi="仿宋" w:eastAsia="仿宋" w:cs="Arial"/>
                <w:b/>
                <w:color w:val="auto"/>
                <w:w w:val="80"/>
                <w:sz w:val="24"/>
                <w:highlight w:val="none"/>
              </w:rPr>
            </w:pPr>
            <w:r>
              <w:rPr>
                <w:rFonts w:ascii="仿宋" w:hAnsi="仿宋" w:eastAsia="仿宋" w:cs="Arial"/>
                <w:b/>
                <w:color w:val="auto"/>
                <w:w w:val="80"/>
                <w:sz w:val="24"/>
                <w:highlight w:val="none"/>
              </w:rPr>
              <w:t>磋商响应文件提交截止时间</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5.2.1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磋商响应文件</w:t>
            </w:r>
            <w:r>
              <w:rPr>
                <w:rFonts w:hint="eastAsia" w:ascii="仿宋" w:hAnsi="仿宋" w:eastAsia="仿宋" w:cs="Arial"/>
                <w:color w:val="auto"/>
                <w:sz w:val="24"/>
                <w:highlight w:val="none"/>
              </w:rPr>
              <w:t>提交地点</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6.1.1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磋商响应文件开启时间</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同磋商响应文件提交截止时间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6.1.2</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磋商响应文件开启地点</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7.1.1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磋商地点</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杭州市文晖路42号现代置业大厦西楼1</w:t>
            </w:r>
            <w:r>
              <w:rPr>
                <w:rFonts w:hint="eastAsia" w:ascii="仿宋" w:hAnsi="仿宋" w:eastAsia="仿宋" w:cs="Arial"/>
                <w:b/>
                <w:color w:val="auto"/>
                <w:sz w:val="24"/>
                <w:highlight w:val="none"/>
                <w:lang w:val="en-US" w:eastAsia="zh-CN"/>
              </w:rPr>
              <w:t>8</w:t>
            </w:r>
            <w:r>
              <w:rPr>
                <w:rFonts w:hint="eastAsia" w:ascii="仿宋" w:hAnsi="仿宋" w:eastAsia="仿宋" w:cs="Arial"/>
                <w:b/>
                <w:color w:val="auto"/>
                <w:sz w:val="24"/>
                <w:highlight w:val="none"/>
              </w:rPr>
              <w:t>楼会议室</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7.1.2</w:t>
            </w:r>
          </w:p>
        </w:tc>
        <w:tc>
          <w:tcPr>
            <w:tcW w:w="2694" w:type="dxa"/>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磋商邀请</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kern w:val="0"/>
                <w:sz w:val="24"/>
                <w:highlight w:val="none"/>
              </w:rPr>
              <w:t>邀请供应商派出法定代表或授权代表参加现场磋商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7.3.1</w:t>
            </w:r>
          </w:p>
        </w:tc>
        <w:tc>
          <w:tcPr>
            <w:tcW w:w="2694" w:type="dxa"/>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磋商过程中可能实质性变动的内容</w:t>
            </w:r>
          </w:p>
        </w:tc>
        <w:tc>
          <w:tcPr>
            <w:tcW w:w="6662" w:type="dxa"/>
            <w:vAlign w:val="center"/>
          </w:tcPr>
          <w:p>
            <w:pPr>
              <w:spacing w:line="276" w:lineRule="auto"/>
              <w:rPr>
                <w:rFonts w:ascii="仿宋" w:hAnsi="仿宋" w:eastAsia="仿宋" w:cs="Arial"/>
                <w:b/>
                <w:color w:val="auto"/>
                <w:sz w:val="24"/>
                <w:highlight w:val="none"/>
              </w:rPr>
            </w:pPr>
            <w:r>
              <w:rPr>
                <w:rFonts w:ascii="仿宋" w:hAnsi="仿宋" w:eastAsia="仿宋" w:cs="Arial"/>
                <w:b/>
                <w:color w:val="auto"/>
                <w:sz w:val="24"/>
                <w:highlight w:val="none"/>
              </w:rPr>
              <w:t>采购需求中的技术、</w:t>
            </w:r>
            <w:r>
              <w:rPr>
                <w:rFonts w:hint="eastAsia" w:ascii="仿宋" w:hAnsi="仿宋" w:eastAsia="仿宋" w:cs="Arial"/>
                <w:b/>
                <w:color w:val="auto"/>
                <w:sz w:val="24"/>
                <w:highlight w:val="none"/>
              </w:rPr>
              <w:t>商务、服务</w:t>
            </w:r>
            <w:r>
              <w:rPr>
                <w:rFonts w:ascii="仿宋" w:hAnsi="仿宋" w:eastAsia="仿宋" w:cs="Arial"/>
                <w:b/>
                <w:color w:val="auto"/>
                <w:sz w:val="24"/>
                <w:highlight w:val="none"/>
              </w:rPr>
              <w:t>要求以及合同草案条款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9.7.1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评审</w:t>
            </w:r>
            <w:r>
              <w:rPr>
                <w:rFonts w:hint="eastAsia" w:ascii="仿宋" w:hAnsi="仿宋" w:eastAsia="仿宋" w:cs="Arial"/>
                <w:color w:val="auto"/>
                <w:sz w:val="24"/>
                <w:highlight w:val="none"/>
              </w:rPr>
              <w:t>方法和标准</w:t>
            </w:r>
          </w:p>
        </w:tc>
        <w:tc>
          <w:tcPr>
            <w:tcW w:w="6662" w:type="dxa"/>
            <w:vAlign w:val="center"/>
          </w:tcPr>
          <w:p>
            <w:pPr>
              <w:spacing w:line="276" w:lineRule="auto"/>
              <w:rPr>
                <w:rFonts w:ascii="仿宋" w:hAnsi="仿宋" w:eastAsia="仿宋" w:cs="Arial"/>
                <w:color w:val="auto"/>
                <w:sz w:val="24"/>
                <w:highlight w:val="none"/>
              </w:rPr>
            </w:pPr>
            <w:r>
              <w:rPr>
                <w:rFonts w:ascii="仿宋" w:hAnsi="仿宋" w:eastAsia="仿宋" w:cs="Arial"/>
                <w:b/>
                <w:color w:val="auto"/>
                <w:sz w:val="24"/>
                <w:highlight w:val="none"/>
                <w:u w:val="single"/>
              </w:rPr>
              <w:t>综合评分法</w:t>
            </w:r>
            <w:r>
              <w:rPr>
                <w:rFonts w:ascii="仿宋" w:hAnsi="仿宋" w:eastAsia="仿宋" w:cs="Arial"/>
                <w:color w:val="auto"/>
                <w:sz w:val="24"/>
                <w:highlight w:val="none"/>
              </w:rPr>
              <w:t>，详见磋商文件《第四章 评审方法和标准》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9.7.3</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供应商</w:t>
            </w:r>
            <w:r>
              <w:rPr>
                <w:rFonts w:ascii="仿宋" w:hAnsi="仿宋" w:eastAsia="仿宋" w:cs="Arial"/>
                <w:color w:val="auto"/>
                <w:sz w:val="24"/>
                <w:highlight w:val="none"/>
              </w:rPr>
              <w:t>信用</w:t>
            </w:r>
            <w:r>
              <w:rPr>
                <w:rFonts w:hint="eastAsia" w:ascii="仿宋" w:hAnsi="仿宋" w:eastAsia="仿宋" w:cs="Arial"/>
                <w:color w:val="auto"/>
                <w:sz w:val="24"/>
                <w:highlight w:val="none"/>
              </w:rPr>
              <w:t>信息</w:t>
            </w:r>
          </w:p>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查询、存档与使用</w:t>
            </w:r>
          </w:p>
        </w:tc>
        <w:tc>
          <w:tcPr>
            <w:tcW w:w="6662" w:type="dxa"/>
            <w:vAlign w:val="center"/>
          </w:tcPr>
          <w:p>
            <w:pPr>
              <w:spacing w:line="276" w:lineRule="auto"/>
              <w:jc w:val="left"/>
              <w:rPr>
                <w:rFonts w:ascii="仿宋" w:hAnsi="仿宋" w:eastAsia="仿宋" w:cs="Arial"/>
                <w:color w:val="auto"/>
                <w:sz w:val="24"/>
                <w:highlight w:val="none"/>
                <w:u w:val="single"/>
              </w:rPr>
            </w:pPr>
            <w:r>
              <w:rPr>
                <w:rFonts w:hint="eastAsia" w:ascii="仿宋" w:hAnsi="仿宋" w:eastAsia="仿宋" w:cs="Arial"/>
                <w:color w:val="auto"/>
                <w:sz w:val="24"/>
                <w:highlight w:val="none"/>
              </w:rPr>
              <w:t>（1）根据《</w:t>
            </w:r>
            <w:r>
              <w:rPr>
                <w:rFonts w:ascii="仿宋" w:hAnsi="仿宋" w:eastAsia="仿宋" w:cs="Arial"/>
                <w:color w:val="auto"/>
                <w:sz w:val="24"/>
                <w:highlight w:val="none"/>
              </w:rPr>
              <w:t>财政部关于在政府采购活动中查询及使用信用记录</w:t>
            </w:r>
            <w:r>
              <w:rPr>
                <w:rFonts w:hint="eastAsia" w:ascii="仿宋" w:hAnsi="仿宋" w:eastAsia="仿宋" w:cs="Arial"/>
                <w:color w:val="auto"/>
                <w:sz w:val="24"/>
                <w:highlight w:val="none"/>
              </w:rPr>
              <w:t>的通知》（</w:t>
            </w:r>
            <w:r>
              <w:rPr>
                <w:rFonts w:ascii="仿宋" w:hAnsi="仿宋" w:eastAsia="仿宋" w:cs="Arial"/>
                <w:color w:val="auto"/>
                <w:sz w:val="24"/>
                <w:highlight w:val="none"/>
              </w:rPr>
              <w:t>财库〔2016〕125号</w:t>
            </w:r>
            <w:r>
              <w:rPr>
                <w:rFonts w:hint="eastAsia" w:ascii="仿宋" w:hAnsi="仿宋" w:eastAsia="仿宋" w:cs="Arial"/>
                <w:color w:val="auto"/>
                <w:sz w:val="24"/>
                <w:highlight w:val="none"/>
              </w:rPr>
              <w:t>）相关规定，采购代理机构将统一通过</w:t>
            </w:r>
            <w:r>
              <w:rPr>
                <w:rFonts w:ascii="仿宋" w:hAnsi="仿宋" w:eastAsia="仿宋" w:cs="Arial"/>
                <w:color w:val="auto"/>
                <w:sz w:val="24"/>
                <w:highlight w:val="none"/>
              </w:rPr>
              <w:t>“信用中国”网站（www.creditchina.gov.cn）、中国政府采购网（www.ccgp.gov.cn）等渠道查询</w:t>
            </w:r>
            <w:r>
              <w:rPr>
                <w:rFonts w:hint="eastAsia" w:ascii="仿宋" w:hAnsi="仿宋" w:eastAsia="仿宋" w:cs="Arial"/>
                <w:color w:val="auto"/>
                <w:sz w:val="24"/>
                <w:highlight w:val="none"/>
              </w:rPr>
              <w:t>供应商</w:t>
            </w:r>
            <w:r>
              <w:rPr>
                <w:rFonts w:ascii="仿宋" w:hAnsi="仿宋" w:eastAsia="仿宋" w:cs="Arial"/>
                <w:color w:val="auto"/>
                <w:sz w:val="24"/>
                <w:highlight w:val="none"/>
              </w:rPr>
              <w:t>信用记录</w:t>
            </w:r>
            <w:r>
              <w:rPr>
                <w:rFonts w:hint="eastAsia" w:ascii="仿宋" w:hAnsi="仿宋" w:eastAsia="仿宋" w:cs="Arial"/>
                <w:color w:val="auto"/>
                <w:sz w:val="24"/>
                <w:highlight w:val="none"/>
              </w:rPr>
              <w:t>，</w:t>
            </w:r>
            <w:r>
              <w:rPr>
                <w:rFonts w:ascii="仿宋" w:hAnsi="仿宋" w:eastAsia="仿宋" w:cs="Arial"/>
                <w:color w:val="auto"/>
                <w:sz w:val="24"/>
                <w:highlight w:val="none"/>
              </w:rPr>
              <w:t>对供应商信用记录进行甄别</w:t>
            </w:r>
            <w:r>
              <w:rPr>
                <w:rFonts w:hint="eastAsia" w:ascii="仿宋" w:hAnsi="仿宋" w:eastAsia="仿宋" w:cs="Arial"/>
                <w:color w:val="auto"/>
                <w:sz w:val="24"/>
                <w:highlight w:val="none"/>
              </w:rPr>
              <w:t>。</w:t>
            </w:r>
            <w:r>
              <w:rPr>
                <w:rFonts w:hint="eastAsia" w:ascii="仿宋" w:hAnsi="仿宋" w:eastAsia="仿宋" w:cs="Arial"/>
                <w:b/>
                <w:color w:val="auto"/>
                <w:sz w:val="24"/>
                <w:highlight w:val="none"/>
                <w:u w:val="single"/>
              </w:rPr>
              <w:t>凡是</w:t>
            </w:r>
            <w:r>
              <w:rPr>
                <w:rFonts w:ascii="仿宋" w:hAnsi="仿宋" w:eastAsia="仿宋" w:cs="Arial"/>
                <w:b/>
                <w:color w:val="auto"/>
                <w:sz w:val="24"/>
                <w:highlight w:val="none"/>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auto"/>
                <w:sz w:val="24"/>
                <w:highlight w:val="none"/>
                <w:u w:val="single"/>
              </w:rPr>
              <w:t>一律拒绝其参加本次采购活动</w:t>
            </w:r>
            <w:r>
              <w:rPr>
                <w:rFonts w:hint="eastAsia" w:ascii="仿宋" w:hAnsi="仿宋" w:eastAsia="仿宋" w:cs="Arial"/>
                <w:color w:val="auto"/>
                <w:sz w:val="24"/>
                <w:highlight w:val="none"/>
              </w:rPr>
              <w:t>。</w:t>
            </w:r>
          </w:p>
          <w:p>
            <w:pPr>
              <w:spacing w:line="276"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hint="eastAsia" w:ascii="仿宋" w:hAnsi="仿宋" w:eastAsia="仿宋" w:cs="Arial"/>
                <w:b/>
                <w:color w:val="auto"/>
                <w:sz w:val="24"/>
                <w:highlight w:val="none"/>
              </w:rPr>
              <w:t>查询工作在资格审查时由采购组织机构统一进行，查询结果打印后留存备案</w:t>
            </w:r>
            <w:r>
              <w:rPr>
                <w:rFonts w:hint="eastAsia" w:ascii="仿宋" w:hAnsi="仿宋" w:eastAsia="仿宋" w:cs="Arial"/>
                <w:color w:val="auto"/>
                <w:sz w:val="24"/>
                <w:highlight w:val="none"/>
              </w:rPr>
              <w:t>。</w:t>
            </w:r>
          </w:p>
          <w:p>
            <w:pPr>
              <w:spacing w:line="276" w:lineRule="auto"/>
              <w:jc w:val="left"/>
              <w:rPr>
                <w:rFonts w:ascii="仿宋" w:hAnsi="仿宋" w:eastAsia="仿宋" w:cs="Arial"/>
                <w:b/>
                <w:color w:val="auto"/>
                <w:sz w:val="24"/>
                <w:highlight w:val="none"/>
              </w:rPr>
            </w:pPr>
            <w:r>
              <w:rPr>
                <w:rFonts w:hint="eastAsia" w:ascii="仿宋" w:hAnsi="仿宋" w:eastAsia="仿宋" w:cs="Arial"/>
                <w:color w:val="auto"/>
                <w:sz w:val="24"/>
                <w:highlight w:val="none"/>
              </w:rPr>
              <w:t>（3）</w:t>
            </w:r>
            <w:r>
              <w:rPr>
                <w:rFonts w:hint="eastAsia" w:ascii="仿宋" w:hAnsi="仿宋" w:eastAsia="仿宋" w:cs="Arial"/>
                <w:b/>
                <w:color w:val="auto"/>
                <w:sz w:val="24"/>
                <w:highlight w:val="none"/>
              </w:rPr>
              <w:t>以联合体形式参加采购活动的，联合体中任何一方存在“被拒绝情形”的视同联合体存在“被拒绝情形”</w:t>
            </w:r>
            <w:r>
              <w:rPr>
                <w:rFonts w:hint="eastAsia" w:ascii="仿宋" w:hAnsi="仿宋" w:eastAsia="仿宋" w:cs="Arial"/>
                <w:color w:val="auto"/>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10.1.1</w:t>
            </w:r>
          </w:p>
        </w:tc>
        <w:tc>
          <w:tcPr>
            <w:tcW w:w="2694"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成交结果确认</w:t>
            </w:r>
          </w:p>
          <w:p>
            <w:pPr>
              <w:spacing w:line="276" w:lineRule="auto"/>
              <w:jc w:val="center"/>
              <w:rPr>
                <w:rFonts w:ascii="仿宋" w:hAnsi="仿宋" w:eastAsia="仿宋" w:cs="Arial"/>
                <w:color w:val="auto"/>
                <w:sz w:val="24"/>
                <w:highlight w:val="none"/>
              </w:rPr>
            </w:pPr>
            <w:r>
              <w:rPr>
                <w:rFonts w:hint="eastAsia" w:ascii="仿宋" w:hAnsi="仿宋" w:eastAsia="仿宋" w:cs="Arial"/>
                <w:color w:val="auto"/>
                <w:kern w:val="0"/>
                <w:sz w:val="24"/>
                <w:highlight w:val="none"/>
              </w:rPr>
              <w:t>（确定成交供应商）</w:t>
            </w:r>
          </w:p>
        </w:tc>
        <w:tc>
          <w:tcPr>
            <w:tcW w:w="6662" w:type="dxa"/>
            <w:vAlign w:val="center"/>
          </w:tcPr>
          <w:p>
            <w:pPr>
              <w:spacing w:line="276" w:lineRule="auto"/>
              <w:rPr>
                <w:rFonts w:ascii="仿宋" w:hAnsi="仿宋" w:eastAsia="仿宋" w:cs="Arial"/>
                <w:color w:val="auto"/>
                <w:sz w:val="24"/>
                <w:highlight w:val="none"/>
                <w:u w:val="single"/>
              </w:rPr>
            </w:pPr>
            <w:r>
              <w:rPr>
                <w:rFonts w:hint="eastAsia" w:ascii="仿宋" w:hAnsi="仿宋" w:eastAsia="仿宋" w:cs="Arial"/>
                <w:color w:val="auto"/>
                <w:kern w:val="0"/>
                <w:sz w:val="24"/>
                <w:highlight w:val="none"/>
              </w:rPr>
              <w:t>见本章第10.1.1款规定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10.2.1</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成交</w:t>
            </w:r>
            <w:r>
              <w:rPr>
                <w:rFonts w:ascii="仿宋" w:hAnsi="仿宋" w:eastAsia="仿宋" w:cs="Arial"/>
                <w:color w:val="auto"/>
                <w:sz w:val="24"/>
                <w:highlight w:val="none"/>
              </w:rPr>
              <w:t>结果公告及</w:t>
            </w:r>
          </w:p>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成交</w:t>
            </w:r>
            <w:r>
              <w:rPr>
                <w:rFonts w:ascii="仿宋" w:hAnsi="仿宋" w:eastAsia="仿宋" w:cs="Arial"/>
                <w:color w:val="auto"/>
                <w:sz w:val="24"/>
                <w:highlight w:val="none"/>
              </w:rPr>
              <w:t>通知书》签发</w:t>
            </w:r>
          </w:p>
        </w:tc>
        <w:tc>
          <w:tcPr>
            <w:tcW w:w="6662" w:type="dxa"/>
            <w:vAlign w:val="center"/>
          </w:tcPr>
          <w:p>
            <w:pPr>
              <w:spacing w:line="276" w:lineRule="auto"/>
              <w:rPr>
                <w:rFonts w:ascii="仿宋" w:hAnsi="仿宋" w:eastAsia="仿宋" w:cs="Arial"/>
                <w:b/>
                <w:color w:val="auto"/>
                <w:sz w:val="24"/>
                <w:highlight w:val="none"/>
                <w:u w:val="single"/>
              </w:rPr>
            </w:pP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结果经采购人确认后2个工作日内，采购代理机构将在“浙江政府采购网”公告</w:t>
            </w: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结果，同时向</w:t>
            </w:r>
            <w:r>
              <w:rPr>
                <w:rFonts w:hint="eastAsia" w:ascii="仿宋" w:hAnsi="仿宋" w:eastAsia="仿宋" w:cs="Arial"/>
                <w:color w:val="auto"/>
                <w:kern w:val="0"/>
                <w:sz w:val="24"/>
                <w:highlight w:val="none"/>
              </w:rPr>
              <w:t>成交</w:t>
            </w:r>
            <w:r>
              <w:rPr>
                <w:rFonts w:hint="eastAsia" w:ascii="仿宋" w:hAnsi="仿宋" w:eastAsia="仿宋" w:cs="Arial"/>
                <w:color w:val="auto"/>
                <w:sz w:val="24"/>
                <w:highlight w:val="none"/>
              </w:rPr>
              <w:t>供应商发出</w:t>
            </w:r>
            <w:r>
              <w:rPr>
                <w:rFonts w:ascii="仿宋" w:hAnsi="仿宋" w:eastAsia="仿宋" w:cs="Arial"/>
                <w:color w:val="auto"/>
                <w:sz w:val="24"/>
                <w:highlight w:val="none"/>
              </w:rPr>
              <w:t>《</w:t>
            </w: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通知书》。</w:t>
            </w:r>
            <w:r>
              <w:rPr>
                <w:rFonts w:hint="eastAsia" w:ascii="仿宋" w:hAnsi="仿宋" w:eastAsia="仿宋" w:cs="Arial"/>
                <w:color w:val="auto"/>
                <w:kern w:val="0"/>
                <w:sz w:val="24"/>
                <w:highlight w:val="none"/>
              </w:rPr>
              <w:t>成交结果</w:t>
            </w:r>
            <w:r>
              <w:rPr>
                <w:rFonts w:hint="eastAsia" w:ascii="仿宋" w:hAnsi="仿宋" w:eastAsia="仿宋" w:cs="Arial"/>
                <w:color w:val="auto"/>
                <w:sz w:val="24"/>
                <w:highlight w:val="none"/>
              </w:rPr>
              <w:t>公告期限为1个工作日。</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11.1.2</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采购代理服务费</w:t>
            </w:r>
          </w:p>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收取标准或金额</w:t>
            </w:r>
          </w:p>
        </w:tc>
        <w:tc>
          <w:tcPr>
            <w:tcW w:w="6662" w:type="dxa"/>
            <w:vAlign w:val="center"/>
          </w:tcPr>
          <w:p>
            <w:pPr>
              <w:pStyle w:val="29"/>
              <w:rPr>
                <w:rFonts w:ascii="仿宋" w:hAnsi="仿宋" w:eastAsia="仿宋"/>
                <w:color w:val="auto"/>
                <w:highlight w:val="none"/>
              </w:rPr>
            </w:pPr>
            <w:r>
              <w:rPr>
                <w:rFonts w:hint="eastAsia" w:ascii="仿宋" w:hAnsi="仿宋" w:eastAsia="仿宋"/>
                <w:color w:val="auto"/>
                <w:highlight w:val="none"/>
              </w:rPr>
              <w:t>本项目采购代理服务费由成交人直接向采购代理机构支付，成交人应在收到成交通知书后7天内向采购代理人支付，采购代理服务费按《招标代理服务收费管理暂行办法》计价格[2002]1980 号文件的收费标准×</w:t>
            </w:r>
            <w:r>
              <w:rPr>
                <w:rFonts w:hint="eastAsia" w:ascii="仿宋" w:hAnsi="仿宋" w:eastAsia="仿宋"/>
                <w:color w:val="auto"/>
                <w:highlight w:val="none"/>
                <w:lang w:val="en-US" w:eastAsia="zh-CN"/>
              </w:rPr>
              <w:t>5</w:t>
            </w:r>
            <w:r>
              <w:rPr>
                <w:rFonts w:hint="eastAsia" w:ascii="仿宋" w:hAnsi="仿宋" w:eastAsia="仿宋"/>
                <w:color w:val="auto"/>
                <w:highlight w:val="none"/>
              </w:rPr>
              <w:t>0%。具体以成交金额为计费基数，采购代理服务费按《招标代理服务收费管理暂行办法》计价格[2002]1980 号文件的收费标准×</w:t>
            </w:r>
            <w:r>
              <w:rPr>
                <w:rFonts w:hint="eastAsia" w:ascii="仿宋" w:hAnsi="仿宋" w:eastAsia="仿宋"/>
                <w:color w:val="auto"/>
                <w:highlight w:val="none"/>
                <w:lang w:val="en-US" w:eastAsia="zh-CN"/>
              </w:rPr>
              <w:t>5</w:t>
            </w:r>
            <w:r>
              <w:rPr>
                <w:rFonts w:hint="eastAsia" w:ascii="仿宋" w:hAnsi="仿宋" w:eastAsia="仿宋"/>
                <w:color w:val="auto"/>
                <w:highlight w:val="none"/>
              </w:rPr>
              <w:t>0%。对于未明确中标（成交）金额的采购项目和代理服务费不足2000元的项目，代理服务费均按2000元计收取。采购代理服务费收取账户：</w:t>
            </w:r>
          </w:p>
          <w:p>
            <w:pPr>
              <w:pStyle w:val="29"/>
              <w:rPr>
                <w:rFonts w:ascii="仿宋" w:hAnsi="仿宋" w:eastAsia="仿宋"/>
                <w:color w:val="auto"/>
                <w:highlight w:val="none"/>
              </w:rPr>
            </w:pPr>
            <w:r>
              <w:rPr>
                <w:rFonts w:hint="eastAsia" w:ascii="仿宋" w:hAnsi="仿宋" w:eastAsia="仿宋"/>
                <w:color w:val="auto"/>
                <w:highlight w:val="none"/>
              </w:rPr>
              <w:t>户名：浙江省成套招标代理有限公司</w:t>
            </w:r>
          </w:p>
          <w:p>
            <w:pPr>
              <w:pStyle w:val="29"/>
              <w:rPr>
                <w:rFonts w:ascii="仿宋" w:hAnsi="仿宋" w:eastAsia="仿宋"/>
                <w:color w:val="auto"/>
                <w:highlight w:val="none"/>
              </w:rPr>
            </w:pPr>
            <w:r>
              <w:rPr>
                <w:rFonts w:hint="eastAsia" w:ascii="仿宋" w:hAnsi="仿宋" w:eastAsia="仿宋"/>
                <w:color w:val="auto"/>
                <w:highlight w:val="none"/>
              </w:rPr>
              <w:t>帐号：7331 6101 8260 0126 385</w:t>
            </w:r>
          </w:p>
          <w:p>
            <w:pPr>
              <w:pStyle w:val="29"/>
              <w:rPr>
                <w:rFonts w:ascii="仿宋" w:hAnsi="仿宋" w:eastAsia="仿宋"/>
                <w:color w:val="auto"/>
                <w:highlight w:val="none"/>
              </w:rPr>
            </w:pPr>
            <w:r>
              <w:rPr>
                <w:rFonts w:hint="eastAsia" w:ascii="仿宋" w:hAnsi="仿宋" w:eastAsia="仿宋"/>
                <w:color w:val="auto"/>
                <w:highlight w:val="none"/>
              </w:rPr>
              <w:t>开户行：中信银行杭州西湖支行</w:t>
            </w:r>
          </w:p>
          <w:p>
            <w:pPr>
              <w:pStyle w:val="29"/>
              <w:rPr>
                <w:rFonts w:eastAsia="仿宋"/>
                <w:color w:val="auto"/>
                <w:highlight w:val="none"/>
              </w:rPr>
            </w:pPr>
            <w:r>
              <w:rPr>
                <w:rFonts w:hint="eastAsia" w:ascii="仿宋" w:hAnsi="仿宋" w:eastAsia="仿宋"/>
                <w:color w:val="auto"/>
                <w:highlight w:val="none"/>
              </w:rPr>
              <w:t>采购代理服务费缴纳凭证将作为采购人合同付款和验收的前提条件，成交供应商未按采购文件规定和响应承诺缴纳采购代理服务费的，合同款不予支付、合同验收不予通过。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12.1.1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合同签订</w:t>
            </w:r>
            <w:r>
              <w:rPr>
                <w:rFonts w:hint="eastAsia" w:ascii="仿宋" w:hAnsi="仿宋" w:eastAsia="仿宋" w:cs="Arial"/>
                <w:color w:val="auto"/>
                <w:sz w:val="24"/>
                <w:highlight w:val="none"/>
              </w:rPr>
              <w:t>时间期限</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w:t>
            </w:r>
            <w:r>
              <w:rPr>
                <w:rFonts w:ascii="仿宋" w:hAnsi="仿宋" w:eastAsia="仿宋" w:cs="Arial"/>
                <w:color w:val="auto"/>
                <w:sz w:val="24"/>
                <w:highlight w:val="none"/>
              </w:rPr>
              <w:t>成交通知书</w:t>
            </w:r>
            <w:r>
              <w:rPr>
                <w:rFonts w:hint="eastAsia" w:ascii="仿宋" w:hAnsi="仿宋" w:eastAsia="仿宋" w:cs="Arial"/>
                <w:color w:val="auto"/>
                <w:sz w:val="24"/>
                <w:highlight w:val="none"/>
              </w:rPr>
              <w:t>》</w:t>
            </w:r>
            <w:r>
              <w:rPr>
                <w:rFonts w:ascii="仿宋" w:hAnsi="仿宋" w:eastAsia="仿宋" w:cs="Arial"/>
                <w:color w:val="auto"/>
                <w:sz w:val="24"/>
                <w:highlight w:val="none"/>
              </w:rPr>
              <w:t>发出后</w:t>
            </w:r>
            <w:r>
              <w:rPr>
                <w:rFonts w:hint="eastAsia" w:ascii="仿宋" w:hAnsi="仿宋" w:eastAsia="仿宋" w:cs="Arial"/>
                <w:color w:val="auto"/>
                <w:sz w:val="24"/>
                <w:highlight w:val="none"/>
              </w:rPr>
              <w:t>30</w:t>
            </w:r>
            <w:r>
              <w:rPr>
                <w:rFonts w:ascii="仿宋" w:hAnsi="仿宋" w:eastAsia="仿宋" w:cs="Arial"/>
                <w:color w:val="auto"/>
                <w:sz w:val="24"/>
                <w:highlight w:val="none"/>
              </w:rPr>
              <w:t>天内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85"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12.2.1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履约保证金</w:t>
            </w:r>
          </w:p>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金额、形式、有效期</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履约保证金金额：</w:t>
            </w:r>
            <w:r>
              <w:rPr>
                <w:rFonts w:hint="eastAsia" w:ascii="仿宋" w:hAnsi="仿宋" w:eastAsia="仿宋" w:cs="Arial"/>
                <w:b/>
                <w:color w:val="auto"/>
                <w:sz w:val="24"/>
                <w:highlight w:val="none"/>
                <w:u w:val="single"/>
              </w:rPr>
              <w:t>人民币</w:t>
            </w:r>
            <w:r>
              <w:rPr>
                <w:rFonts w:hint="eastAsia" w:ascii="仿宋" w:hAnsi="仿宋" w:eastAsia="仿宋" w:cs="Arial"/>
                <w:b/>
                <w:color w:val="auto"/>
                <w:sz w:val="24"/>
                <w:highlight w:val="none"/>
                <w:u w:val="single"/>
                <w:lang w:val="en-US" w:eastAsia="zh-CN"/>
              </w:rPr>
              <w:t>贰仟捌佰元</w:t>
            </w:r>
            <w:r>
              <w:rPr>
                <w:rFonts w:hint="eastAsia" w:ascii="仿宋" w:hAnsi="仿宋" w:eastAsia="仿宋" w:cs="Arial"/>
                <w:b/>
                <w:color w:val="auto"/>
                <w:sz w:val="24"/>
                <w:highlight w:val="none"/>
                <w:u w:val="single"/>
              </w:rPr>
              <w:t>整</w:t>
            </w:r>
          </w:p>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履约保证金缴纳形式：支票</w:t>
            </w:r>
            <w:r>
              <w:rPr>
                <w:rFonts w:ascii="仿宋" w:hAnsi="仿宋" w:eastAsia="仿宋" w:cs="Arial"/>
                <w:color w:val="auto"/>
                <w:sz w:val="24"/>
                <w:highlight w:val="none"/>
              </w:rPr>
              <w:t>/</w:t>
            </w:r>
            <w:r>
              <w:rPr>
                <w:rFonts w:hint="eastAsia" w:ascii="仿宋" w:hAnsi="仿宋" w:eastAsia="仿宋" w:cs="Arial"/>
                <w:color w:val="auto"/>
                <w:sz w:val="24"/>
                <w:highlight w:val="none"/>
              </w:rPr>
              <w:t>汇票</w:t>
            </w:r>
            <w:r>
              <w:rPr>
                <w:rFonts w:ascii="仿宋" w:hAnsi="仿宋" w:eastAsia="仿宋" w:cs="Arial"/>
                <w:color w:val="auto"/>
                <w:sz w:val="24"/>
                <w:highlight w:val="none"/>
              </w:rPr>
              <w:t>/</w:t>
            </w:r>
            <w:r>
              <w:rPr>
                <w:rFonts w:hint="eastAsia" w:ascii="仿宋" w:hAnsi="仿宋" w:eastAsia="仿宋" w:cs="Arial"/>
                <w:color w:val="auto"/>
                <w:sz w:val="24"/>
                <w:highlight w:val="none"/>
              </w:rPr>
              <w:t>电汇/保函等非现金形式</w:t>
            </w:r>
          </w:p>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履约保证金接收人：采购人</w:t>
            </w:r>
          </w:p>
          <w:p>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履约保证金有效期限：合同履行完毕前有效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22"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12.3</w:t>
            </w:r>
          </w:p>
        </w:tc>
        <w:tc>
          <w:tcPr>
            <w:tcW w:w="2694"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付款方式</w:t>
            </w:r>
          </w:p>
        </w:tc>
        <w:tc>
          <w:tcPr>
            <w:tcW w:w="6662" w:type="dxa"/>
            <w:vAlign w:val="center"/>
          </w:tcPr>
          <w:p>
            <w:pPr>
              <w:spacing w:line="276" w:lineRule="auto"/>
              <w:rPr>
                <w:color w:val="auto"/>
                <w:highlight w:val="none"/>
              </w:rPr>
            </w:pPr>
            <w:r>
              <w:rPr>
                <w:rFonts w:hint="eastAsia" w:ascii="仿宋" w:hAnsi="仿宋" w:eastAsia="仿宋" w:cs="Arial"/>
                <w:color w:val="auto"/>
                <w:sz w:val="24"/>
                <w:highlight w:val="none"/>
              </w:rPr>
              <w:t>采购人下达工程任务单后，由成交供应商对相应工程进行施工，单项工程项目施工完成，经</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委托第三方对工程造价决算审价完毕并收到</w:t>
            </w:r>
            <w:r>
              <w:rPr>
                <w:rFonts w:hint="eastAsia" w:ascii="仿宋" w:hAnsi="仿宋" w:eastAsia="仿宋" w:cs="Arial"/>
                <w:color w:val="auto"/>
                <w:sz w:val="24"/>
                <w:highlight w:val="none"/>
                <w:lang w:val="en-US" w:eastAsia="zh-CN"/>
              </w:rPr>
              <w:t>成交供应商</w:t>
            </w:r>
            <w:r>
              <w:rPr>
                <w:rFonts w:hint="eastAsia" w:ascii="仿宋" w:hAnsi="仿宋" w:eastAsia="仿宋" w:cs="Arial"/>
                <w:color w:val="auto"/>
                <w:sz w:val="24"/>
                <w:highlight w:val="none"/>
              </w:rPr>
              <w:t>开具的正规发票后，</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向</w:t>
            </w:r>
            <w:r>
              <w:rPr>
                <w:rFonts w:hint="eastAsia" w:ascii="仿宋" w:hAnsi="仿宋" w:eastAsia="仿宋" w:cs="Arial"/>
                <w:color w:val="auto"/>
                <w:sz w:val="24"/>
                <w:highlight w:val="none"/>
                <w:lang w:val="en-US" w:eastAsia="zh-CN"/>
              </w:rPr>
              <w:t>成交供应商</w:t>
            </w:r>
            <w:r>
              <w:rPr>
                <w:rFonts w:hint="eastAsia" w:ascii="仿宋" w:hAnsi="仿宋" w:eastAsia="仿宋" w:cs="Arial"/>
                <w:color w:val="auto"/>
                <w:sz w:val="24"/>
                <w:highlight w:val="none"/>
              </w:rPr>
              <w:t>支付至审定价的100%（工程造价决算审价时间</w:t>
            </w:r>
            <w:r>
              <w:rPr>
                <w:rFonts w:hint="eastAsia" w:ascii="仿宋" w:hAnsi="仿宋" w:eastAsia="仿宋" w:cs="Arial"/>
                <w:color w:val="auto"/>
                <w:sz w:val="24"/>
                <w:highlight w:val="none"/>
                <w:lang w:val="en-US" w:eastAsia="zh-CN"/>
              </w:rPr>
              <w:t>以采购人</w:t>
            </w:r>
            <w:r>
              <w:rPr>
                <w:rFonts w:hint="eastAsia" w:ascii="仿宋" w:hAnsi="仿宋" w:eastAsia="仿宋" w:cs="Arial"/>
                <w:color w:val="auto"/>
                <w:sz w:val="24"/>
                <w:highlight w:val="none"/>
              </w:rPr>
              <w:t>委托的第三方实际审价时间为准，不依通用条款规定时间执行。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13.2.1</w:t>
            </w:r>
          </w:p>
        </w:tc>
        <w:tc>
          <w:tcPr>
            <w:tcW w:w="2694" w:type="dxa"/>
            <w:vAlign w:val="center"/>
          </w:tcPr>
          <w:p>
            <w:pPr>
              <w:spacing w:line="276" w:lineRule="auto"/>
              <w:jc w:val="center"/>
              <w:rPr>
                <w:rFonts w:ascii="仿宋" w:hAnsi="仿宋" w:eastAsia="仿宋" w:cs="Arial"/>
                <w:color w:val="auto"/>
                <w:sz w:val="24"/>
                <w:highlight w:val="none"/>
              </w:rPr>
            </w:pPr>
            <w:r>
              <w:rPr>
                <w:rFonts w:ascii="仿宋" w:hAnsi="仿宋" w:eastAsia="仿宋" w:cs="Arial"/>
                <w:b/>
                <w:color w:val="auto"/>
                <w:sz w:val="24"/>
                <w:highlight w:val="none"/>
              </w:rPr>
              <w:t>重要提醒</w:t>
            </w:r>
          </w:p>
        </w:tc>
        <w:tc>
          <w:tcPr>
            <w:tcW w:w="6662" w:type="dxa"/>
            <w:vAlign w:val="center"/>
          </w:tcPr>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（1）供应商应仔细对照供应商须知条款阅读本表，如本表与须知内容就同一事项规定不一致的，以本表为准。</w:t>
            </w:r>
          </w:p>
          <w:p>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（2）供应商在编制磋商响应文件时应作出符合客观事实的真实响应，采购人不接受任何不符客观事实的“响应”或者“应标”，情节严重的可视为“提供虚假材料”行为，并参照“提供虚假材料”进行处理。</w:t>
            </w:r>
          </w:p>
          <w:p>
            <w:pPr>
              <w:spacing w:line="276"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（3）磋商文件中标注“▲”的技术或商务条款均为实质性要求条款，不满足实质性要求条款的响应无效。</w:t>
            </w:r>
          </w:p>
          <w:p>
            <w:pPr>
              <w:spacing w:line="276" w:lineRule="auto"/>
              <w:rPr>
                <w:rFonts w:hint="eastAsia" w:ascii="仿宋" w:hAnsi="仿宋" w:eastAsia="仿宋" w:cs="Arial"/>
                <w:b/>
                <w:color w:val="auto"/>
                <w:sz w:val="24"/>
                <w:highlight w:val="none"/>
                <w:u w:val="single"/>
              </w:rPr>
            </w:pPr>
            <w:r>
              <w:rPr>
                <w:rFonts w:hint="eastAsia" w:ascii="仿宋" w:hAnsi="仿宋" w:eastAsia="仿宋" w:cs="Arial"/>
                <w:b/>
                <w:color w:val="auto"/>
                <w:sz w:val="24"/>
                <w:highlight w:val="none"/>
              </w:rPr>
              <w:t>（4）</w:t>
            </w:r>
            <w:r>
              <w:rPr>
                <w:rFonts w:hint="eastAsia" w:ascii="仿宋" w:hAnsi="仿宋" w:eastAsia="仿宋" w:cs="Arial"/>
                <w:b/>
                <w:color w:val="auto"/>
                <w:sz w:val="24"/>
                <w:highlight w:val="none"/>
                <w:u w:val="single"/>
              </w:rPr>
              <w:t>供应商不得进行影响产品质量或者诚信履约的恶意报价如供应商初次报价低于项目预算 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供应商未按要求提供相关说明及证明材料的，磋商小组将对其响应文件作为无效投标处理;</w:t>
            </w:r>
          </w:p>
          <w:p>
            <w:pPr>
              <w:spacing w:line="276" w:lineRule="auto"/>
              <w:rPr>
                <w:color w:val="auto"/>
                <w:highlight w:val="none"/>
              </w:rPr>
            </w:pPr>
            <w:r>
              <w:rPr>
                <w:rFonts w:hint="eastAsia" w:ascii="仿宋" w:hAnsi="仿宋" w:eastAsia="仿宋" w:cs="Arial"/>
                <w:bCs/>
                <w:color w:val="auto"/>
                <w:sz w:val="24"/>
                <w:highlight w:val="none"/>
              </w:rPr>
              <w:t>（</w:t>
            </w:r>
            <w:r>
              <w:rPr>
                <w:rFonts w:hint="eastAsia" w:ascii="仿宋" w:hAnsi="仿宋" w:eastAsia="仿宋" w:cs="Arial"/>
                <w:bCs/>
                <w:color w:val="auto"/>
                <w:sz w:val="24"/>
                <w:highlight w:val="none"/>
                <w:lang w:val="en-US" w:eastAsia="zh-CN"/>
              </w:rPr>
              <w:t>5</w:t>
            </w:r>
            <w:r>
              <w:rPr>
                <w:rFonts w:hint="eastAsia" w:ascii="仿宋" w:hAnsi="仿宋" w:eastAsia="仿宋" w:cs="Arial"/>
                <w:bCs/>
                <w:color w:val="auto"/>
                <w:sz w:val="24"/>
                <w:highlight w:val="none"/>
              </w:rPr>
              <w:t>）磋商文件中所有加粗及加下划线的条款着重提请各供应商注意，请各供应商认真查看磋商文件中的每一个条款及要求，因误读、漏读、错读磋商文件内容而造成的一切后果，由供应商自行承担，采购组织机构概不负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13.3.1</w:t>
            </w:r>
          </w:p>
        </w:tc>
        <w:tc>
          <w:tcPr>
            <w:tcW w:w="2694" w:type="dxa"/>
            <w:vAlign w:val="center"/>
          </w:tcPr>
          <w:p>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磋商文件</w:t>
            </w:r>
            <w:r>
              <w:rPr>
                <w:rFonts w:ascii="仿宋" w:hAnsi="仿宋" w:eastAsia="仿宋" w:cs="Arial"/>
                <w:b/>
                <w:color w:val="auto"/>
                <w:sz w:val="24"/>
                <w:highlight w:val="none"/>
              </w:rPr>
              <w:t>解释</w:t>
            </w:r>
            <w:r>
              <w:rPr>
                <w:rFonts w:hint="eastAsia" w:ascii="仿宋" w:hAnsi="仿宋" w:eastAsia="仿宋" w:cs="Arial"/>
                <w:b/>
                <w:color w:val="auto"/>
                <w:sz w:val="24"/>
                <w:highlight w:val="none"/>
              </w:rPr>
              <w:t>权</w:t>
            </w:r>
          </w:p>
        </w:tc>
        <w:tc>
          <w:tcPr>
            <w:tcW w:w="6662" w:type="dxa"/>
            <w:vAlign w:val="center"/>
          </w:tcPr>
          <w:p>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本文件</w:t>
            </w:r>
            <w:r>
              <w:rPr>
                <w:rFonts w:ascii="仿宋" w:hAnsi="仿宋" w:eastAsia="仿宋" w:cs="Arial"/>
                <w:b/>
                <w:color w:val="auto"/>
                <w:sz w:val="24"/>
                <w:highlight w:val="none"/>
              </w:rPr>
              <w:t>的解释权属于</w:t>
            </w:r>
            <w:r>
              <w:rPr>
                <w:rFonts w:hint="eastAsia" w:ascii="仿宋" w:hAnsi="仿宋" w:eastAsia="仿宋" w:cs="Arial"/>
                <w:b/>
                <w:color w:val="auto"/>
                <w:sz w:val="24"/>
                <w:highlight w:val="none"/>
              </w:rPr>
              <w:t>浙江省成套招标代理有限公司</w:t>
            </w:r>
            <w:r>
              <w:rPr>
                <w:rFonts w:ascii="仿宋" w:hAnsi="仿宋" w:eastAsia="仿宋" w:cs="Arial"/>
                <w:b/>
                <w:color w:val="auto"/>
                <w:sz w:val="24"/>
                <w:highlight w:val="none"/>
              </w:rPr>
              <w:t>所有。</w:t>
            </w:r>
          </w:p>
        </w:tc>
      </w:tr>
    </w:tbl>
    <w:p>
      <w:pPr>
        <w:pStyle w:val="3"/>
        <w:rPr>
          <w:color w:val="auto"/>
          <w:highlight w:val="none"/>
        </w:rPr>
      </w:pPr>
      <w:r>
        <w:rPr>
          <w:color w:val="auto"/>
          <w:highlight w:val="none"/>
        </w:rPr>
        <w:br w:type="page"/>
      </w:r>
      <w:bookmarkStart w:id="8" w:name="_Toc28566"/>
      <w:r>
        <w:rPr>
          <w:rFonts w:hint="eastAsia"/>
          <w:color w:val="auto"/>
          <w:highlight w:val="none"/>
        </w:rPr>
        <w:t>一、总则</w:t>
      </w:r>
      <w:bookmarkEnd w:id="8"/>
    </w:p>
    <w:p>
      <w:pPr>
        <w:pStyle w:val="4"/>
        <w:rPr>
          <w:color w:val="auto"/>
          <w:highlight w:val="none"/>
        </w:rPr>
      </w:pPr>
      <w:r>
        <w:rPr>
          <w:rFonts w:hint="eastAsia"/>
          <w:color w:val="auto"/>
          <w:highlight w:val="none"/>
        </w:rPr>
        <w:t>1.1 实施依据及适用范围</w:t>
      </w:r>
    </w:p>
    <w:p>
      <w:pPr>
        <w:spacing w:line="360" w:lineRule="auto"/>
        <w:ind w:firstLine="426" w:firstLineChars="177"/>
        <w:rPr>
          <w:rFonts w:ascii="仿宋" w:hAnsi="仿宋" w:eastAsia="仿宋" w:cs="Arial"/>
          <w:b/>
          <w:color w:val="auto"/>
          <w:sz w:val="24"/>
          <w:highlight w:val="none"/>
        </w:rPr>
      </w:pPr>
      <w:r>
        <w:rPr>
          <w:rFonts w:ascii="仿宋" w:hAnsi="仿宋" w:eastAsia="仿宋" w:cs="Arial"/>
          <w:b/>
          <w:color w:val="auto"/>
          <w:kern w:val="0"/>
          <w:sz w:val="24"/>
          <w:highlight w:val="none"/>
        </w:rPr>
        <w:t>1.1</w:t>
      </w:r>
      <w:r>
        <w:rPr>
          <w:rFonts w:hint="eastAsia" w:ascii="仿宋" w:hAnsi="仿宋" w:eastAsia="仿宋" w:cs="Arial"/>
          <w:b/>
          <w:color w:val="auto"/>
          <w:kern w:val="0"/>
          <w:sz w:val="24"/>
          <w:highlight w:val="none"/>
        </w:rPr>
        <w:t>.1实施依据：</w:t>
      </w:r>
      <w:r>
        <w:rPr>
          <w:rFonts w:ascii="仿宋" w:hAnsi="仿宋" w:eastAsia="仿宋" w:cs="Arial"/>
          <w:color w:val="auto"/>
          <w:kern w:val="0"/>
          <w:sz w:val="24"/>
          <w:highlight w:val="none"/>
        </w:rPr>
        <w:t>本次</w:t>
      </w:r>
      <w:r>
        <w:rPr>
          <w:rFonts w:hint="eastAsia" w:ascii="仿宋" w:hAnsi="仿宋" w:eastAsia="仿宋" w:cs="Arial"/>
          <w:color w:val="auto"/>
          <w:kern w:val="0"/>
          <w:sz w:val="24"/>
          <w:highlight w:val="none"/>
        </w:rPr>
        <w:t>采购工作参照</w:t>
      </w:r>
      <w:r>
        <w:rPr>
          <w:rFonts w:ascii="仿宋" w:hAnsi="仿宋" w:eastAsia="仿宋" w:cs="Arial"/>
          <w:color w:val="auto"/>
          <w:sz w:val="24"/>
          <w:highlight w:val="none"/>
        </w:rPr>
        <w:t>《中华人民共和国政府采购法》</w:t>
      </w:r>
      <w:r>
        <w:rPr>
          <w:rFonts w:hint="eastAsia" w:ascii="仿宋" w:hAnsi="仿宋" w:eastAsia="仿宋" w:cs="Arial"/>
          <w:color w:val="auto"/>
          <w:sz w:val="24"/>
          <w:highlight w:val="none"/>
        </w:rPr>
        <w:t>、</w:t>
      </w:r>
      <w:r>
        <w:rPr>
          <w:rFonts w:hint="eastAsia" w:ascii="仿宋" w:hAnsi="仿宋" w:eastAsia="仿宋"/>
          <w:color w:val="auto"/>
          <w:kern w:val="0"/>
          <w:sz w:val="24"/>
          <w:highlight w:val="none"/>
        </w:rPr>
        <w:t>《中华人民共和国政府采购法实施条例》、</w:t>
      </w:r>
      <w:r>
        <w:rPr>
          <w:rFonts w:hint="eastAsia" w:ascii="仿宋" w:hAnsi="仿宋" w:eastAsia="仿宋" w:cs="Arial"/>
          <w:color w:val="auto"/>
          <w:kern w:val="0"/>
          <w:sz w:val="24"/>
          <w:highlight w:val="none"/>
        </w:rPr>
        <w:t>《政府采购竞争性磋商采购方式管理暂行办法》、《财政部关于政府采购竞争性磋商采购方式管理暂行办法有关问题的补充通知（财库[2015]124号）》</w:t>
      </w:r>
      <w:r>
        <w:rPr>
          <w:rFonts w:ascii="仿宋" w:hAnsi="仿宋" w:eastAsia="仿宋" w:cs="Arial"/>
          <w:color w:val="auto"/>
          <w:kern w:val="0"/>
          <w:sz w:val="24"/>
          <w:highlight w:val="none"/>
        </w:rPr>
        <w:t>等</w:t>
      </w:r>
      <w:r>
        <w:rPr>
          <w:rFonts w:hint="eastAsia" w:ascii="仿宋" w:hAnsi="仿宋" w:eastAsia="仿宋" w:cs="Arial"/>
          <w:color w:val="auto"/>
          <w:kern w:val="0"/>
          <w:sz w:val="24"/>
          <w:highlight w:val="none"/>
        </w:rPr>
        <w:t>政府采购</w:t>
      </w:r>
      <w:r>
        <w:rPr>
          <w:rFonts w:ascii="仿宋" w:hAnsi="仿宋" w:eastAsia="仿宋" w:cs="Arial"/>
          <w:color w:val="auto"/>
          <w:kern w:val="0"/>
          <w:sz w:val="24"/>
          <w:highlight w:val="none"/>
        </w:rPr>
        <w:t>有关法律、法规、规章、文件的规定组织和实施</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1.2</w:t>
      </w:r>
      <w:r>
        <w:rPr>
          <w:rFonts w:hint="eastAsia" w:ascii="仿宋" w:hAnsi="仿宋" w:eastAsia="仿宋" w:cs="Arial"/>
          <w:b/>
          <w:color w:val="auto"/>
          <w:kern w:val="0"/>
          <w:sz w:val="24"/>
          <w:highlight w:val="none"/>
        </w:rPr>
        <w:t>适用范围：</w:t>
      </w:r>
      <w:r>
        <w:rPr>
          <w:rFonts w:ascii="仿宋" w:hAnsi="仿宋" w:eastAsia="仿宋" w:cs="Arial"/>
          <w:color w:val="auto"/>
          <w:kern w:val="0"/>
          <w:sz w:val="24"/>
          <w:highlight w:val="none"/>
        </w:rPr>
        <w:t>本</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磋商文件</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适用于</w:t>
      </w:r>
      <w:r>
        <w:rPr>
          <w:rFonts w:hint="eastAsia" w:ascii="仿宋" w:hAnsi="仿宋" w:eastAsia="仿宋" w:cs="Arial"/>
          <w:b/>
          <w:color w:val="auto"/>
          <w:kern w:val="0"/>
          <w:sz w:val="24"/>
          <w:highlight w:val="none"/>
          <w:u w:val="single"/>
          <w:lang w:eastAsia="zh-CN"/>
        </w:rPr>
        <w:t>浙江中医药大学富春校区及滨文南区消防设施设备日常零星维修改造</w:t>
      </w:r>
      <w:r>
        <w:rPr>
          <w:rFonts w:hint="eastAsia" w:ascii="仿宋" w:hAnsi="仿宋" w:eastAsia="仿宋" w:cs="Arial"/>
          <w:b/>
          <w:color w:val="auto"/>
          <w:kern w:val="0"/>
          <w:sz w:val="24"/>
          <w:highlight w:val="none"/>
          <w:u w:val="single"/>
        </w:rPr>
        <w:t>（项目编号：</w:t>
      </w:r>
      <w:r>
        <w:rPr>
          <w:rFonts w:hint="eastAsia" w:ascii="仿宋" w:hAnsi="仿宋" w:eastAsia="仿宋" w:cs="Arial"/>
          <w:b/>
          <w:color w:val="auto"/>
          <w:kern w:val="0"/>
          <w:sz w:val="24"/>
          <w:highlight w:val="none"/>
          <w:u w:val="single"/>
          <w:lang w:eastAsia="zh-CN"/>
        </w:rPr>
        <w:t>CTZB-2024060047</w:t>
      </w:r>
      <w:r>
        <w:rPr>
          <w:rFonts w:hint="eastAsia" w:ascii="仿宋" w:hAnsi="仿宋" w:eastAsia="仿宋" w:cs="Arial"/>
          <w:b/>
          <w:color w:val="auto"/>
          <w:kern w:val="0"/>
          <w:sz w:val="24"/>
          <w:highlight w:val="none"/>
          <w:u w:val="single"/>
        </w:rPr>
        <w:t>）</w:t>
      </w:r>
      <w:r>
        <w:rPr>
          <w:rFonts w:ascii="仿宋" w:hAnsi="仿宋" w:eastAsia="仿宋" w:cs="Arial"/>
          <w:color w:val="auto"/>
          <w:kern w:val="0"/>
          <w:sz w:val="24"/>
          <w:highlight w:val="none"/>
        </w:rPr>
        <w:t>的</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评审</w:t>
      </w:r>
      <w:r>
        <w:rPr>
          <w:rFonts w:ascii="仿宋" w:hAnsi="仿宋" w:eastAsia="仿宋" w:cs="Arial"/>
          <w:color w:val="auto"/>
          <w:kern w:val="0"/>
          <w:sz w:val="24"/>
          <w:highlight w:val="none"/>
        </w:rPr>
        <w:t>、定标、验收、合同履约、付款等（法律、法规另有规定的，从其规定）。</w:t>
      </w:r>
    </w:p>
    <w:p>
      <w:pPr>
        <w:pStyle w:val="4"/>
        <w:rPr>
          <w:color w:val="auto"/>
          <w:highlight w:val="none"/>
        </w:rPr>
      </w:pPr>
      <w:r>
        <w:rPr>
          <w:rFonts w:hint="eastAsia"/>
          <w:color w:val="auto"/>
          <w:highlight w:val="none"/>
        </w:rPr>
        <w:t>1.2 项目基本信息</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1.2.1项目名称：见《供应商须知前附表》；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1.2.2项目编号：见《供应商须知前附表》；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1.2.3采购内容：见《供应商须知前附表》；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1.2.4采购预算、最高限价：见《供应商须知前附表》；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1.2.5资金落实情况：见《供应商须知前附表》；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1.2.6服务期：见《供应商须知前附表》；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1.2.7采购人：见《供应商须知前附表》；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1.2.8采购代理机构：见《供应商须知前附表》；</w:t>
      </w:r>
    </w:p>
    <w:p>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1.2.9采购方式：见《供应商须知前附表》。</w:t>
      </w:r>
    </w:p>
    <w:p>
      <w:pPr>
        <w:pStyle w:val="4"/>
        <w:rPr>
          <w:color w:val="auto"/>
          <w:highlight w:val="none"/>
        </w:rPr>
      </w:pPr>
      <w:r>
        <w:rPr>
          <w:rFonts w:hint="eastAsia"/>
          <w:color w:val="auto"/>
          <w:highlight w:val="none"/>
        </w:rPr>
        <w:t>1.3 申请人的资格要求</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b/>
          <w:color w:val="auto"/>
          <w:sz w:val="24"/>
          <w:highlight w:val="none"/>
        </w:rPr>
        <w:t>1.3.1申请人的资格要求：</w:t>
      </w:r>
      <w:r>
        <w:rPr>
          <w:rFonts w:hint="eastAsia" w:ascii="仿宋" w:hAnsi="仿宋" w:eastAsia="仿宋"/>
          <w:color w:val="auto"/>
          <w:kern w:val="0"/>
          <w:sz w:val="24"/>
          <w:highlight w:val="none"/>
        </w:rPr>
        <w:t>见《</w:t>
      </w:r>
      <w:r>
        <w:rPr>
          <w:rFonts w:hint="eastAsia" w:ascii="仿宋" w:hAnsi="仿宋" w:eastAsia="仿宋"/>
          <w:color w:val="auto"/>
          <w:sz w:val="24"/>
          <w:highlight w:val="none"/>
        </w:rPr>
        <w:t>供应商须知前附表</w:t>
      </w:r>
      <w:r>
        <w:rPr>
          <w:rFonts w:hint="eastAsia" w:ascii="仿宋" w:hAnsi="仿宋" w:eastAsia="仿宋"/>
          <w:color w:val="auto"/>
          <w:kern w:val="0"/>
          <w:sz w:val="24"/>
          <w:highlight w:val="none"/>
        </w:rPr>
        <w:t>》。</w:t>
      </w:r>
    </w:p>
    <w:p>
      <w:pPr>
        <w:pStyle w:val="4"/>
        <w:rPr>
          <w:color w:val="auto"/>
          <w:highlight w:val="none"/>
        </w:rPr>
      </w:pPr>
      <w:r>
        <w:rPr>
          <w:rFonts w:hint="eastAsia"/>
          <w:color w:val="auto"/>
          <w:highlight w:val="none"/>
        </w:rPr>
        <w:t xml:space="preserve">1.4 </w:t>
      </w:r>
      <w:r>
        <w:rPr>
          <w:color w:val="auto"/>
          <w:highlight w:val="none"/>
        </w:rPr>
        <w:t>定义</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w:t>
      </w:r>
      <w:r>
        <w:rPr>
          <w:rFonts w:ascii="仿宋" w:hAnsi="仿宋" w:eastAsia="仿宋" w:cs="Arial"/>
          <w:color w:val="auto"/>
          <w:kern w:val="0"/>
          <w:sz w:val="24"/>
          <w:highlight w:val="none"/>
        </w:rPr>
        <w:t>指依法进行政府采购的国家机关、事业单位、团体组织</w:t>
      </w:r>
      <w:r>
        <w:rPr>
          <w:rFonts w:hint="eastAsia" w:ascii="仿宋" w:hAnsi="仿宋" w:eastAsia="仿宋" w:cs="Arial"/>
          <w:color w:val="auto"/>
          <w:kern w:val="0"/>
          <w:sz w:val="24"/>
          <w:highlight w:val="none"/>
        </w:rPr>
        <w:t>，</w:t>
      </w:r>
      <w:r>
        <w:rPr>
          <w:rFonts w:hint="eastAsia" w:ascii="仿宋" w:hAnsi="仿宋" w:eastAsia="仿宋" w:cs="Arial"/>
          <w:b/>
          <w:color w:val="auto"/>
          <w:kern w:val="0"/>
          <w:sz w:val="24"/>
          <w:highlight w:val="none"/>
        </w:rPr>
        <w:t>即采购</w:t>
      </w:r>
      <w:r>
        <w:rPr>
          <w:rFonts w:ascii="仿宋" w:hAnsi="仿宋" w:eastAsia="仿宋" w:cs="Arial"/>
          <w:b/>
          <w:color w:val="auto"/>
          <w:kern w:val="0"/>
          <w:sz w:val="24"/>
          <w:highlight w:val="none"/>
        </w:rPr>
        <w:t>合同</w:t>
      </w:r>
      <w:r>
        <w:rPr>
          <w:rFonts w:hint="eastAsia" w:ascii="仿宋" w:hAnsi="仿宋" w:eastAsia="仿宋" w:cs="Arial"/>
          <w:b/>
          <w:color w:val="auto"/>
          <w:kern w:val="0"/>
          <w:sz w:val="24"/>
          <w:highlight w:val="none"/>
        </w:rPr>
        <w:t>中</w:t>
      </w:r>
      <w:r>
        <w:rPr>
          <w:rFonts w:ascii="仿宋" w:hAnsi="仿宋" w:eastAsia="仿宋" w:cs="Arial"/>
          <w:b/>
          <w:color w:val="auto"/>
          <w:kern w:val="0"/>
          <w:sz w:val="24"/>
          <w:highlight w:val="none"/>
        </w:rPr>
        <w:t>的</w:t>
      </w:r>
      <w:r>
        <w:rPr>
          <w:rFonts w:hint="eastAsia" w:ascii="仿宋" w:hAnsi="仿宋" w:eastAsia="仿宋" w:cs="Arial"/>
          <w:b/>
          <w:color w:val="auto"/>
          <w:kern w:val="0"/>
          <w:sz w:val="24"/>
          <w:highlight w:val="none"/>
        </w:rPr>
        <w:t>“甲方”（本项目的采购人是指“</w:t>
      </w:r>
      <w:r>
        <w:rPr>
          <w:rFonts w:hint="eastAsia" w:ascii="仿宋" w:hAnsi="仿宋" w:eastAsia="仿宋" w:cs="Arial"/>
          <w:b/>
          <w:color w:val="auto"/>
          <w:sz w:val="24"/>
          <w:highlight w:val="none"/>
          <w:u w:val="single"/>
        </w:rPr>
        <w:t>浙江中医药大学</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1.4.2“采购代理机构”：</w:t>
      </w:r>
      <w:r>
        <w:rPr>
          <w:rFonts w:ascii="仿宋" w:hAnsi="仿宋" w:eastAsia="仿宋" w:cs="Arial"/>
          <w:color w:val="auto"/>
          <w:sz w:val="24"/>
          <w:highlight w:val="none"/>
        </w:rPr>
        <w:t>是</w:t>
      </w:r>
      <w:r>
        <w:rPr>
          <w:rFonts w:hint="eastAsia" w:ascii="仿宋" w:hAnsi="仿宋" w:eastAsia="仿宋" w:cs="Arial"/>
          <w:color w:val="auto"/>
          <w:kern w:val="0"/>
          <w:sz w:val="24"/>
          <w:highlight w:val="none"/>
        </w:rPr>
        <w:t>指受采购人委托，在委托的范围内办理采购事宜的机构</w:t>
      </w:r>
      <w:r>
        <w:rPr>
          <w:rFonts w:hint="eastAsia" w:ascii="仿宋" w:hAnsi="仿宋" w:eastAsia="仿宋" w:cs="Arial"/>
          <w:b/>
          <w:color w:val="auto"/>
          <w:kern w:val="0"/>
          <w:sz w:val="24"/>
          <w:highlight w:val="none"/>
        </w:rPr>
        <w:t>（本项目的采购代理机构是指“</w:t>
      </w:r>
      <w:r>
        <w:rPr>
          <w:rFonts w:hint="eastAsia" w:ascii="仿宋" w:hAnsi="仿宋" w:eastAsia="仿宋" w:cs="Arial"/>
          <w:b/>
          <w:color w:val="auto"/>
          <w:kern w:val="0"/>
          <w:sz w:val="24"/>
          <w:highlight w:val="none"/>
          <w:u w:val="single"/>
        </w:rPr>
        <w:t>浙江省成套招标代理有限公司</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3“采购组织机构”：</w:t>
      </w:r>
      <w:r>
        <w:rPr>
          <w:rFonts w:ascii="仿宋" w:hAnsi="仿宋" w:eastAsia="仿宋" w:cs="Arial"/>
          <w:color w:val="auto"/>
          <w:sz w:val="24"/>
          <w:highlight w:val="none"/>
        </w:rPr>
        <w:t>是</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采购人或受采购人委托组织本次采购活动的机构（</w:t>
      </w:r>
      <w:r>
        <w:rPr>
          <w:rFonts w:hint="eastAsia" w:ascii="仿宋" w:hAnsi="仿宋" w:eastAsia="仿宋" w:cs="Arial"/>
          <w:b/>
          <w:color w:val="auto"/>
          <w:kern w:val="0"/>
          <w:sz w:val="24"/>
          <w:highlight w:val="none"/>
        </w:rPr>
        <w:t>本项目的采购组织机构是指“</w:t>
      </w:r>
      <w:r>
        <w:rPr>
          <w:rFonts w:hint="eastAsia" w:ascii="仿宋" w:hAnsi="仿宋" w:eastAsia="仿宋" w:cs="Arial"/>
          <w:b/>
          <w:color w:val="auto"/>
          <w:kern w:val="0"/>
          <w:sz w:val="24"/>
          <w:highlight w:val="none"/>
          <w:u w:val="single"/>
        </w:rPr>
        <w:t>浙江省成套招标代理有限公司</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4“</w:t>
      </w:r>
      <w:r>
        <w:rPr>
          <w:rFonts w:ascii="仿宋" w:hAnsi="仿宋" w:eastAsia="仿宋" w:cs="Arial"/>
          <w:b/>
          <w:color w:val="auto"/>
          <w:kern w:val="0"/>
          <w:sz w:val="24"/>
          <w:highlight w:val="none"/>
        </w:rPr>
        <w:t>磋商供应商</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在规定的时间和地点</w:t>
      </w:r>
      <w:r>
        <w:rPr>
          <w:rFonts w:ascii="仿宋" w:hAnsi="仿宋" w:eastAsia="仿宋" w:cs="Arial"/>
          <w:color w:val="auto"/>
          <w:kern w:val="0"/>
          <w:sz w:val="24"/>
          <w:highlight w:val="none"/>
        </w:rPr>
        <w:t>向采购人提交磋商响应文件的</w:t>
      </w:r>
      <w:r>
        <w:rPr>
          <w:rFonts w:hint="eastAsia" w:ascii="仿宋" w:hAnsi="仿宋" w:eastAsia="仿宋" w:cs="Arial"/>
          <w:color w:val="auto"/>
          <w:kern w:val="0"/>
          <w:sz w:val="24"/>
          <w:highlight w:val="none"/>
        </w:rPr>
        <w:t>供应商；</w:t>
      </w:r>
    </w:p>
    <w:p>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磋商供应商代表</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是指参加本项目</w:t>
      </w:r>
      <w:r>
        <w:rPr>
          <w:rFonts w:hint="eastAsia" w:ascii="仿宋" w:hAnsi="仿宋" w:eastAsia="仿宋" w:cs="Arial"/>
          <w:color w:val="auto"/>
          <w:sz w:val="24"/>
          <w:highlight w:val="none"/>
        </w:rPr>
        <w:t>磋商</w:t>
      </w:r>
      <w:r>
        <w:rPr>
          <w:rFonts w:ascii="仿宋" w:hAnsi="仿宋" w:eastAsia="仿宋" w:cs="Arial"/>
          <w:color w:val="auto"/>
          <w:sz w:val="24"/>
          <w:highlight w:val="none"/>
        </w:rPr>
        <w:t>活动的磋商供应商</w:t>
      </w:r>
      <w:r>
        <w:rPr>
          <w:rFonts w:hint="eastAsia" w:ascii="仿宋" w:hAnsi="仿宋" w:eastAsia="仿宋" w:cs="Arial"/>
          <w:color w:val="auto"/>
          <w:sz w:val="24"/>
          <w:highlight w:val="none"/>
        </w:rPr>
        <w:t>的</w:t>
      </w:r>
      <w:r>
        <w:rPr>
          <w:rFonts w:ascii="仿宋" w:hAnsi="仿宋" w:eastAsia="仿宋" w:cs="Arial"/>
          <w:color w:val="auto"/>
          <w:sz w:val="24"/>
          <w:highlight w:val="none"/>
        </w:rPr>
        <w:t>法</w:t>
      </w:r>
      <w:r>
        <w:rPr>
          <w:rFonts w:hint="eastAsia" w:ascii="仿宋" w:hAnsi="仿宋" w:eastAsia="仿宋" w:cs="Arial"/>
          <w:color w:val="auto"/>
          <w:sz w:val="24"/>
          <w:highlight w:val="none"/>
        </w:rPr>
        <w:t>定代表</w:t>
      </w:r>
      <w:r>
        <w:rPr>
          <w:rFonts w:ascii="仿宋" w:hAnsi="仿宋" w:eastAsia="仿宋" w:cs="Arial"/>
          <w:color w:val="auto"/>
          <w:sz w:val="24"/>
          <w:highlight w:val="none"/>
        </w:rPr>
        <w:t>人或法</w:t>
      </w:r>
      <w:r>
        <w:rPr>
          <w:rFonts w:hint="eastAsia" w:ascii="仿宋" w:hAnsi="仿宋" w:eastAsia="仿宋" w:cs="Arial"/>
          <w:color w:val="auto"/>
          <w:sz w:val="24"/>
          <w:highlight w:val="none"/>
        </w:rPr>
        <w:t>定代表</w:t>
      </w:r>
      <w:r>
        <w:rPr>
          <w:rFonts w:ascii="仿宋" w:hAnsi="仿宋" w:eastAsia="仿宋" w:cs="Arial"/>
          <w:color w:val="auto"/>
          <w:sz w:val="24"/>
          <w:highlight w:val="none"/>
        </w:rPr>
        <w:t>人</w:t>
      </w:r>
      <w:r>
        <w:rPr>
          <w:rFonts w:hint="eastAsia" w:ascii="仿宋" w:hAnsi="仿宋" w:eastAsia="仿宋" w:cs="Arial"/>
          <w:color w:val="auto"/>
          <w:sz w:val="24"/>
          <w:highlight w:val="none"/>
        </w:rPr>
        <w:t>的</w:t>
      </w:r>
      <w:r>
        <w:rPr>
          <w:rFonts w:ascii="仿宋" w:hAnsi="仿宋" w:eastAsia="仿宋" w:cs="Arial"/>
          <w:color w:val="auto"/>
          <w:sz w:val="24"/>
          <w:highlight w:val="none"/>
        </w:rPr>
        <w:t>授权代表</w:t>
      </w:r>
      <w:r>
        <w:rPr>
          <w:rFonts w:hint="eastAsia" w:ascii="仿宋" w:hAnsi="仿宋" w:eastAsia="仿宋" w:cs="Arial"/>
          <w:color w:val="auto"/>
          <w:sz w:val="24"/>
          <w:highlight w:val="none"/>
        </w:rPr>
        <w:t>；</w:t>
      </w:r>
    </w:p>
    <w:p>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1.4.6“</w:t>
      </w:r>
      <w:r>
        <w:rPr>
          <w:rFonts w:hint="eastAsia" w:ascii="仿宋" w:hAnsi="仿宋" w:eastAsia="仿宋" w:cs="Arial"/>
          <w:b/>
          <w:color w:val="auto"/>
          <w:sz w:val="24"/>
          <w:highlight w:val="none"/>
        </w:rPr>
        <w:t>磋商响应联合体</w:t>
      </w:r>
      <w:r>
        <w:rPr>
          <w:rFonts w:hint="eastAsia" w:ascii="仿宋" w:hAnsi="仿宋" w:eastAsia="仿宋" w:cs="Arial"/>
          <w:b/>
          <w:color w:val="auto"/>
          <w:kern w:val="0"/>
          <w:sz w:val="24"/>
          <w:highlight w:val="none"/>
        </w:rPr>
        <w:t>”</w:t>
      </w:r>
      <w:r>
        <w:rPr>
          <w:rFonts w:hint="eastAsia" w:ascii="仿宋" w:hAnsi="仿宋" w:eastAsia="仿宋" w:cs="Arial"/>
          <w:b/>
          <w:color w:val="auto"/>
          <w:sz w:val="24"/>
          <w:highlight w:val="none"/>
        </w:rPr>
        <w:t>：</w:t>
      </w:r>
      <w:r>
        <w:rPr>
          <w:rFonts w:hint="eastAsia" w:ascii="仿宋" w:hAnsi="仿宋" w:eastAsia="仿宋" w:cs="Arial"/>
          <w:color w:val="auto"/>
          <w:sz w:val="24"/>
          <w:highlight w:val="none"/>
        </w:rPr>
        <w:t>是指不同的供应商通过签署联合投标（响应）协议，以一个供应商的身份参加磋商</w:t>
      </w:r>
      <w:r>
        <w:rPr>
          <w:rFonts w:ascii="仿宋" w:hAnsi="仿宋" w:eastAsia="仿宋" w:cs="Arial"/>
          <w:color w:val="auto"/>
          <w:sz w:val="24"/>
          <w:highlight w:val="none"/>
        </w:rPr>
        <w:t>；</w:t>
      </w:r>
    </w:p>
    <w:p>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1.4.7“成交供应商”：</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经磋商小组推荐并经采购人确认的成交单位，</w:t>
      </w:r>
      <w:r>
        <w:rPr>
          <w:rFonts w:hint="eastAsia" w:ascii="仿宋" w:hAnsi="仿宋" w:eastAsia="仿宋" w:cs="Arial"/>
          <w:b/>
          <w:color w:val="auto"/>
          <w:kern w:val="0"/>
          <w:sz w:val="24"/>
          <w:highlight w:val="none"/>
        </w:rPr>
        <w:t>即采购</w:t>
      </w:r>
      <w:r>
        <w:rPr>
          <w:rFonts w:ascii="仿宋" w:hAnsi="仿宋" w:eastAsia="仿宋" w:cs="Arial"/>
          <w:b/>
          <w:color w:val="auto"/>
          <w:kern w:val="0"/>
          <w:sz w:val="24"/>
          <w:highlight w:val="none"/>
        </w:rPr>
        <w:t>合同</w:t>
      </w:r>
      <w:r>
        <w:rPr>
          <w:rFonts w:hint="eastAsia" w:ascii="仿宋" w:hAnsi="仿宋" w:eastAsia="仿宋" w:cs="Arial"/>
          <w:b/>
          <w:color w:val="auto"/>
          <w:kern w:val="0"/>
          <w:sz w:val="24"/>
          <w:highlight w:val="none"/>
        </w:rPr>
        <w:t>中</w:t>
      </w:r>
      <w:r>
        <w:rPr>
          <w:rFonts w:ascii="仿宋" w:hAnsi="仿宋" w:eastAsia="仿宋" w:cs="Arial"/>
          <w:b/>
          <w:color w:val="auto"/>
          <w:kern w:val="0"/>
          <w:sz w:val="24"/>
          <w:highlight w:val="none"/>
        </w:rPr>
        <w:t>的</w:t>
      </w:r>
      <w:r>
        <w:rPr>
          <w:rFonts w:hint="eastAsia" w:ascii="仿宋" w:hAnsi="仿宋" w:eastAsia="仿宋" w:cs="Arial"/>
          <w:b/>
          <w:color w:val="auto"/>
          <w:kern w:val="0"/>
          <w:sz w:val="24"/>
          <w:highlight w:val="none"/>
        </w:rPr>
        <w:t>“乙方”</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1.4.9“</w:t>
      </w:r>
      <w:r>
        <w:rPr>
          <w:rFonts w:ascii="仿宋" w:hAnsi="仿宋" w:eastAsia="仿宋" w:cs="Arial"/>
          <w:b/>
          <w:color w:val="auto"/>
          <w:kern w:val="0"/>
          <w:sz w:val="24"/>
          <w:highlight w:val="none"/>
        </w:rPr>
        <w:t>中小企业（含中型、小型、微型）</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是指符合中小企业划分标准（工信部联企业[2011]300号）的企业；</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1.4.10“</w:t>
      </w:r>
      <w:r>
        <w:rPr>
          <w:rFonts w:ascii="仿宋" w:hAnsi="仿宋" w:eastAsia="仿宋" w:cs="Arial"/>
          <w:b/>
          <w:color w:val="auto"/>
          <w:kern w:val="0"/>
          <w:sz w:val="24"/>
          <w:highlight w:val="none"/>
        </w:rPr>
        <w:t>监狱企业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1.4.11“</w:t>
      </w:r>
      <w:r>
        <w:rPr>
          <w:rFonts w:ascii="仿宋" w:hAnsi="仿宋" w:eastAsia="仿宋" w:cs="Arial"/>
          <w:b/>
          <w:color w:val="auto"/>
          <w:kern w:val="0"/>
          <w:sz w:val="24"/>
          <w:highlight w:val="none"/>
        </w:rPr>
        <w:t>残疾人福利性单位</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是指符合《财政部 民政部 中国残疾人联合会关于促进残疾人就业政府采购政策的通知》（财库〔2017〕141号）的规定单位；</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项目</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是指磋商供应商按磋商文件规定向采购人提供的</w:t>
      </w:r>
      <w:r>
        <w:rPr>
          <w:rFonts w:hint="eastAsia" w:ascii="仿宋" w:hAnsi="仿宋" w:eastAsia="仿宋" w:cs="Arial"/>
          <w:color w:val="auto"/>
          <w:kern w:val="0"/>
          <w:sz w:val="24"/>
          <w:highlight w:val="none"/>
        </w:rPr>
        <w:t>货物或</w:t>
      </w:r>
      <w:r>
        <w:rPr>
          <w:rFonts w:ascii="仿宋" w:hAnsi="仿宋" w:eastAsia="仿宋" w:cs="Arial"/>
          <w:color w:val="auto"/>
          <w:kern w:val="0"/>
          <w:sz w:val="24"/>
          <w:highlight w:val="none"/>
        </w:rPr>
        <w:t>服务</w:t>
      </w:r>
      <w:r>
        <w:rPr>
          <w:rFonts w:hint="eastAsia" w:ascii="仿宋" w:hAnsi="仿宋" w:eastAsia="仿宋" w:cs="Arial"/>
          <w:color w:val="auto"/>
          <w:kern w:val="0"/>
          <w:sz w:val="24"/>
          <w:highlight w:val="none"/>
        </w:rPr>
        <w:t>或工程；</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13“</w:t>
      </w:r>
      <w:r>
        <w:rPr>
          <w:rFonts w:ascii="仿宋" w:hAnsi="仿宋" w:eastAsia="仿宋" w:cs="Arial"/>
          <w:b/>
          <w:color w:val="auto"/>
          <w:kern w:val="0"/>
          <w:sz w:val="24"/>
          <w:highlight w:val="none"/>
        </w:rPr>
        <w:t>书面形式</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是指加盖有单位公章的信函、传真、电子扫描件等</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1.4.14“个人有效身份证明”：</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有效的居民身份证、临时居民身份证、护照、驾驶证等，有期限规定的证件在有效期内方为有效；</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1.4.15“制造商”：</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拥有产品自主知识产权的单位；</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1.4.16“磋商文件</w:t>
      </w:r>
      <w:r>
        <w:rPr>
          <w:rFonts w:hint="eastAsia" w:cs="Arial"/>
          <w:b/>
          <w:color w:val="auto"/>
          <w:kern w:val="0"/>
          <w:highlight w:val="none"/>
        </w:rPr>
        <w:t>/</w:t>
      </w:r>
      <w:r>
        <w:rPr>
          <w:rFonts w:hint="eastAsia" w:ascii="仿宋" w:hAnsi="仿宋" w:eastAsia="仿宋" w:cs="Arial"/>
          <w:b/>
          <w:color w:val="auto"/>
          <w:kern w:val="0"/>
          <w:sz w:val="24"/>
          <w:highlight w:val="none"/>
        </w:rPr>
        <w:t>竞争性磋商文件</w:t>
      </w:r>
      <w:r>
        <w:rPr>
          <w:rFonts w:hint="eastAsia" w:cs="Arial"/>
          <w:b/>
          <w:color w:val="auto"/>
          <w:kern w:val="0"/>
          <w:highlight w:val="none"/>
        </w:rPr>
        <w:t>/</w:t>
      </w:r>
      <w:r>
        <w:rPr>
          <w:rFonts w:hint="eastAsia" w:ascii="仿宋" w:hAnsi="仿宋" w:eastAsia="仿宋" w:cs="Arial"/>
          <w:b/>
          <w:color w:val="auto"/>
          <w:kern w:val="0"/>
          <w:sz w:val="24"/>
          <w:highlight w:val="none"/>
        </w:rPr>
        <w:t>采购文件”：</w:t>
      </w:r>
      <w:r>
        <w:rPr>
          <w:rFonts w:hint="eastAsia" w:ascii="仿宋" w:hAnsi="仿宋" w:eastAsia="仿宋" w:cs="Arial"/>
          <w:color w:val="auto"/>
          <w:kern w:val="0"/>
          <w:sz w:val="24"/>
          <w:highlight w:val="none"/>
        </w:rPr>
        <w:t>均系</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本文件；</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1.4.17“进口产品”：</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通过中国海关报关验放进入中国境内且产自关境外的产品；</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1.4.18“实质性条款（或要求）”：</w:t>
      </w:r>
      <w:r>
        <w:rPr>
          <w:rFonts w:ascii="仿宋" w:hAnsi="仿宋" w:eastAsia="仿宋" w:cs="Arial"/>
          <w:b/>
          <w:color w:val="auto"/>
          <w:kern w:val="0"/>
          <w:sz w:val="24"/>
          <w:highlight w:val="none"/>
          <w:u w:val="single"/>
        </w:rPr>
        <w:t>是指</w:t>
      </w:r>
      <w:r>
        <w:rPr>
          <w:rFonts w:hint="eastAsia" w:ascii="仿宋" w:hAnsi="仿宋" w:eastAsia="仿宋" w:cs="Arial"/>
          <w:b/>
          <w:color w:val="auto"/>
          <w:kern w:val="0"/>
          <w:sz w:val="24"/>
          <w:highlight w:val="none"/>
          <w:u w:val="single"/>
        </w:rPr>
        <w:t>本文件《第三章 采购需求》中标注“▲”号的技术、服务或商务条款（或要求），供应商响应时应对所有“实质性条款（或要求）”作出实质性响应，且不得出现负偏离，否则响应无效</w:t>
      </w:r>
      <w:r>
        <w:rPr>
          <w:rFonts w:hint="eastAsia" w:ascii="仿宋" w:hAnsi="仿宋" w:eastAsia="仿宋" w:cs="Arial"/>
          <w:b/>
          <w:color w:val="auto"/>
          <w:kern w:val="0"/>
          <w:sz w:val="24"/>
          <w:highlight w:val="none"/>
        </w:rPr>
        <w:t>；</w:t>
      </w:r>
    </w:p>
    <w:p>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1.4.19“</w:t>
      </w:r>
      <w:r>
        <w:rPr>
          <w:rFonts w:ascii="仿宋" w:hAnsi="仿宋" w:eastAsia="仿宋"/>
          <w:b/>
          <w:color w:val="auto"/>
          <w:sz w:val="24"/>
          <w:highlight w:val="none"/>
        </w:rPr>
        <w:t>重大偏离</w:t>
      </w:r>
      <w:r>
        <w:rPr>
          <w:rFonts w:hint="eastAsia" w:ascii="仿宋" w:hAnsi="仿宋" w:eastAsia="仿宋"/>
          <w:b/>
          <w:color w:val="auto"/>
          <w:sz w:val="24"/>
          <w:highlight w:val="none"/>
        </w:rPr>
        <w:t>”</w:t>
      </w:r>
      <w:r>
        <w:rPr>
          <w:rFonts w:ascii="仿宋" w:hAnsi="仿宋" w:eastAsia="仿宋"/>
          <w:b/>
          <w:color w:val="auto"/>
          <w:sz w:val="24"/>
          <w:highlight w:val="none"/>
        </w:rPr>
        <w:t>或</w:t>
      </w:r>
      <w:r>
        <w:rPr>
          <w:rFonts w:hint="eastAsia" w:ascii="仿宋" w:hAnsi="仿宋" w:eastAsia="仿宋"/>
          <w:b/>
          <w:color w:val="auto"/>
          <w:sz w:val="24"/>
          <w:highlight w:val="none"/>
        </w:rPr>
        <w:t>“</w:t>
      </w:r>
      <w:r>
        <w:rPr>
          <w:rFonts w:ascii="仿宋" w:hAnsi="仿宋" w:eastAsia="仿宋"/>
          <w:b/>
          <w:color w:val="auto"/>
          <w:sz w:val="24"/>
          <w:highlight w:val="none"/>
        </w:rPr>
        <w:t>保留</w:t>
      </w:r>
      <w:r>
        <w:rPr>
          <w:rFonts w:hint="eastAsia" w:ascii="仿宋" w:hAnsi="仿宋" w:eastAsia="仿宋"/>
          <w:b/>
          <w:color w:val="auto"/>
          <w:sz w:val="24"/>
          <w:highlight w:val="none"/>
        </w:rPr>
        <w:t>”：</w:t>
      </w:r>
      <w:r>
        <w:rPr>
          <w:rFonts w:ascii="仿宋" w:hAnsi="仿宋" w:eastAsia="仿宋"/>
          <w:color w:val="auto"/>
          <w:sz w:val="24"/>
          <w:highlight w:val="none"/>
        </w:rPr>
        <w:t>是指将会影响到</w:t>
      </w:r>
      <w:r>
        <w:rPr>
          <w:rFonts w:hint="eastAsia" w:ascii="仿宋" w:hAnsi="仿宋" w:eastAsia="仿宋"/>
          <w:color w:val="auto"/>
          <w:sz w:val="24"/>
          <w:highlight w:val="none"/>
        </w:rPr>
        <w:t>采购</w:t>
      </w:r>
      <w:r>
        <w:rPr>
          <w:rFonts w:ascii="仿宋" w:hAnsi="仿宋" w:eastAsia="仿宋"/>
          <w:color w:val="auto"/>
          <w:sz w:val="24"/>
          <w:highlight w:val="none"/>
        </w:rPr>
        <w:t>文件规定的服务范围、质量标准，或会给合同中规定的采购人的权利和</w:t>
      </w:r>
      <w:r>
        <w:rPr>
          <w:rFonts w:hint="eastAsia" w:ascii="仿宋" w:hAnsi="仿宋" w:eastAsia="仿宋"/>
          <w:color w:val="auto"/>
          <w:sz w:val="24"/>
          <w:highlight w:val="none"/>
        </w:rPr>
        <w:t>磋商供应商</w:t>
      </w:r>
      <w:r>
        <w:rPr>
          <w:rFonts w:ascii="仿宋" w:hAnsi="仿宋" w:eastAsia="仿宋"/>
          <w:color w:val="auto"/>
          <w:sz w:val="24"/>
          <w:highlight w:val="none"/>
        </w:rPr>
        <w:t>的责任造成实质性限制，而纠正这些偏离或保留将对其他提交了实质性响应的磋商响应文件的磋商供应商产生不公平影响的。</w:t>
      </w:r>
    </w:p>
    <w:p>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1.4.20“</w:t>
      </w:r>
      <w:r>
        <w:rPr>
          <w:rFonts w:ascii="仿宋" w:hAnsi="仿宋" w:eastAsia="仿宋"/>
          <w:b/>
          <w:color w:val="auto"/>
          <w:sz w:val="24"/>
          <w:highlight w:val="none"/>
        </w:rPr>
        <w:t>细微偏离</w:t>
      </w:r>
      <w:r>
        <w:rPr>
          <w:rFonts w:hint="eastAsia" w:ascii="仿宋" w:hAnsi="仿宋" w:eastAsia="仿宋"/>
          <w:b/>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是指磋商响应文件对</w:t>
      </w:r>
      <w:r>
        <w:rPr>
          <w:rFonts w:hint="eastAsia" w:ascii="仿宋" w:hAnsi="仿宋" w:eastAsia="仿宋"/>
          <w:color w:val="auto"/>
          <w:sz w:val="24"/>
          <w:highlight w:val="none"/>
        </w:rPr>
        <w:t>采购</w:t>
      </w:r>
      <w:r>
        <w:rPr>
          <w:rFonts w:ascii="仿宋" w:hAnsi="仿宋" w:eastAsia="仿宋"/>
          <w:color w:val="auto"/>
          <w:sz w:val="24"/>
          <w:highlight w:val="none"/>
        </w:rPr>
        <w:t>文件的非实质性内容存在不完全响应或不响应。</w:t>
      </w:r>
    </w:p>
    <w:p>
      <w:pPr>
        <w:pStyle w:val="4"/>
        <w:rPr>
          <w:color w:val="auto"/>
          <w:highlight w:val="none"/>
        </w:rPr>
      </w:pPr>
      <w:r>
        <w:rPr>
          <w:rFonts w:hint="eastAsia"/>
          <w:color w:val="auto"/>
          <w:highlight w:val="none"/>
        </w:rPr>
        <w:t>1.5 磋商供应商的确定方式</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1.5.1磋商供应商的确定方式：</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color w:val="auto"/>
          <w:kern w:val="0"/>
          <w:sz w:val="24"/>
          <w:highlight w:val="none"/>
        </w:rPr>
        <w:t>；</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1.5.2磋商供应商的三种确定方式说明：</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MS Mincho" w:hAnsi="MS Mincho" w:eastAsia="MS Mincho" w:cs="MS Mincho"/>
          <w:b/>
          <w:color w:val="auto"/>
          <w:kern w:val="0"/>
          <w:sz w:val="24"/>
          <w:highlight w:val="none"/>
        </w:rPr>
        <w:t>☑</w:t>
      </w:r>
      <w:r>
        <w:rPr>
          <w:rFonts w:hint="eastAsia" w:ascii="仿宋" w:hAnsi="仿宋" w:eastAsia="仿宋" w:cs="Arial"/>
          <w:b/>
          <w:color w:val="auto"/>
          <w:kern w:val="0"/>
          <w:sz w:val="24"/>
          <w:highlight w:val="none"/>
        </w:rPr>
        <w:t>公告形式邀请（发布竞争性磋商公告后登记确定）：</w:t>
      </w:r>
      <w:r>
        <w:rPr>
          <w:rFonts w:hint="eastAsia" w:ascii="仿宋" w:hAnsi="仿宋" w:eastAsia="仿宋" w:cs="Arial"/>
          <w:color w:val="auto"/>
          <w:kern w:val="0"/>
          <w:sz w:val="24"/>
          <w:highlight w:val="none"/>
        </w:rPr>
        <w:t>是指采购人、采购代理机构在省级以上人民政府财政部门指定的政府采购信息发布媒体发布竞争性磋商公告，公开邀请不少于3家符合相应资格条件的供应商参与竞争性磋商采购活动。</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w:t>
      </w:r>
      <w:r>
        <w:rPr>
          <w:rFonts w:hint="eastAsia" w:ascii="MS Mincho" w:hAnsi="MS Mincho" w:eastAsia="MS Mincho" w:cs="MS Mincho"/>
          <w:color w:val="auto"/>
          <w:kern w:val="0"/>
          <w:sz w:val="24"/>
          <w:highlight w:val="none"/>
        </w:rPr>
        <w:t>☒</w:t>
      </w:r>
      <w:r>
        <w:rPr>
          <w:rFonts w:hint="eastAsia" w:ascii="仿宋" w:hAnsi="仿宋" w:eastAsia="仿宋" w:cs="Arial"/>
          <w:color w:val="auto"/>
          <w:kern w:val="0"/>
          <w:sz w:val="24"/>
          <w:highlight w:val="none"/>
        </w:rPr>
        <w:t>随机抽取方式：是指采购人、采购代理机构从省级以上财政部门建立的供应商库中随机抽取不少于3家符合相应资格条件的供应商参与竞争性磋商采购活动。。</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w:t>
      </w:r>
      <w:r>
        <w:rPr>
          <w:rFonts w:hint="eastAsia" w:ascii="MS Mincho" w:hAnsi="MS Mincho" w:eastAsia="MS Mincho" w:cs="MS Mincho"/>
          <w:color w:val="auto"/>
          <w:kern w:val="0"/>
          <w:sz w:val="24"/>
          <w:highlight w:val="none"/>
        </w:rPr>
        <w:t>☒</w:t>
      </w:r>
      <w:r>
        <w:rPr>
          <w:rFonts w:hint="eastAsia" w:ascii="仿宋" w:hAnsi="仿宋" w:eastAsia="仿宋" w:cs="Arial"/>
          <w:color w:val="auto"/>
          <w:kern w:val="0"/>
          <w:sz w:val="24"/>
          <w:highlight w:val="none"/>
        </w:rPr>
        <w:t>书面推荐方式：是指采购人和评审专家分别书面推荐的方式邀请不少于3家符合相应资格条件的供应商参与竞争性磋商采购活动。</w:t>
      </w:r>
    </w:p>
    <w:p>
      <w:pPr>
        <w:pStyle w:val="4"/>
        <w:rPr>
          <w:color w:val="auto"/>
          <w:highlight w:val="none"/>
        </w:rPr>
      </w:pPr>
      <w:r>
        <w:rPr>
          <w:rFonts w:hint="eastAsia"/>
          <w:color w:val="auto"/>
          <w:highlight w:val="none"/>
        </w:rPr>
        <w:t>1.6 磋商</w:t>
      </w:r>
      <w:r>
        <w:rPr>
          <w:color w:val="auto"/>
          <w:highlight w:val="none"/>
        </w:rPr>
        <w:t>委托</w:t>
      </w:r>
    </w:p>
    <w:p>
      <w:pPr>
        <w:spacing w:line="360" w:lineRule="auto"/>
        <w:ind w:firstLine="424" w:firstLineChars="176"/>
        <w:rPr>
          <w:rFonts w:ascii="仿宋" w:hAnsi="仿宋" w:eastAsia="仿宋"/>
          <w:b/>
          <w:color w:val="auto"/>
          <w:sz w:val="24"/>
          <w:highlight w:val="none"/>
        </w:rPr>
      </w:pPr>
      <w:r>
        <w:rPr>
          <w:rFonts w:hint="eastAsia" w:ascii="仿宋" w:hAnsi="仿宋" w:eastAsia="仿宋" w:cs="Arial"/>
          <w:b/>
          <w:color w:val="auto"/>
          <w:kern w:val="0"/>
          <w:sz w:val="24"/>
          <w:highlight w:val="none"/>
        </w:rPr>
        <w:t>1.6.1</w:t>
      </w:r>
      <w:r>
        <w:rPr>
          <w:rFonts w:ascii="仿宋" w:hAnsi="仿宋" w:eastAsia="仿宋" w:cs="Arial"/>
          <w:b/>
          <w:color w:val="auto"/>
          <w:kern w:val="0"/>
          <w:sz w:val="24"/>
          <w:highlight w:val="none"/>
          <w:u w:val="single"/>
        </w:rPr>
        <w:t>磋商供应商</w:t>
      </w:r>
      <w:r>
        <w:rPr>
          <w:rFonts w:hint="eastAsia" w:ascii="仿宋" w:hAnsi="仿宋" w:eastAsia="仿宋" w:cs="Arial"/>
          <w:b/>
          <w:color w:val="auto"/>
          <w:kern w:val="0"/>
          <w:sz w:val="24"/>
          <w:highlight w:val="none"/>
          <w:u w:val="single"/>
        </w:rPr>
        <w:t>的法定代表人可以授权其单位的其他在职员工全权代表其处理与本次磋商有关的事项，但其授权代表必</w:t>
      </w:r>
      <w:r>
        <w:rPr>
          <w:rFonts w:ascii="仿宋" w:hAnsi="仿宋" w:eastAsia="仿宋" w:cs="Arial"/>
          <w:b/>
          <w:color w:val="auto"/>
          <w:kern w:val="0"/>
          <w:sz w:val="24"/>
          <w:highlight w:val="none"/>
          <w:u w:val="single"/>
        </w:rPr>
        <w:t>须</w:t>
      </w:r>
      <w:r>
        <w:rPr>
          <w:rFonts w:hint="eastAsia" w:ascii="仿宋" w:hAnsi="仿宋" w:eastAsia="仿宋" w:cs="Arial"/>
          <w:b/>
          <w:color w:val="auto"/>
          <w:kern w:val="0"/>
          <w:sz w:val="24"/>
          <w:highlight w:val="none"/>
          <w:u w:val="single"/>
        </w:rPr>
        <w:t>持</w:t>
      </w:r>
      <w:r>
        <w:rPr>
          <w:rFonts w:ascii="仿宋" w:hAnsi="仿宋" w:eastAsia="仿宋" w:cs="Arial"/>
          <w:b/>
          <w:color w:val="auto"/>
          <w:kern w:val="0"/>
          <w:sz w:val="24"/>
          <w:highlight w:val="none"/>
          <w:u w:val="single"/>
        </w:rPr>
        <w:t>有法定代表人出具的</w:t>
      </w:r>
      <w:r>
        <w:rPr>
          <w:rFonts w:hint="eastAsia" w:ascii="仿宋" w:hAnsi="仿宋" w:eastAsia="仿宋" w:cs="Arial"/>
          <w:b/>
          <w:color w:val="auto"/>
          <w:kern w:val="0"/>
          <w:sz w:val="24"/>
          <w:highlight w:val="none"/>
          <w:u w:val="single"/>
        </w:rPr>
        <w:t>《法人（或单位）授权委托书》</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格式见第六章磋商响应文件格式</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，《法人（或单位）授权委托书》</w:t>
      </w:r>
      <w:r>
        <w:rPr>
          <w:rFonts w:hint="eastAsia" w:ascii="仿宋" w:hAnsi="仿宋" w:eastAsia="仿宋"/>
          <w:b/>
          <w:color w:val="auto"/>
          <w:sz w:val="24"/>
          <w:highlight w:val="none"/>
          <w:u w:val="single"/>
        </w:rPr>
        <w:t>必须经</w:t>
      </w:r>
      <w:r>
        <w:rPr>
          <w:rFonts w:hint="eastAsia" w:ascii="仿宋" w:hAnsi="仿宋" w:eastAsia="仿宋"/>
          <w:b/>
          <w:color w:val="auto"/>
          <w:sz w:val="24"/>
          <w:highlight w:val="none"/>
          <w:u w:val="single"/>
          <w:lang w:val="en-US" w:eastAsia="zh-CN"/>
        </w:rPr>
        <w:t>单位</w:t>
      </w:r>
      <w:r>
        <w:rPr>
          <w:rFonts w:hint="eastAsia" w:ascii="仿宋" w:hAnsi="仿宋" w:eastAsia="仿宋"/>
          <w:b/>
          <w:color w:val="auto"/>
          <w:sz w:val="24"/>
          <w:highlight w:val="none"/>
          <w:u w:val="single"/>
        </w:rPr>
        <w:t>盖章，否则视为无效授权（等同未提供）</w:t>
      </w:r>
      <w:r>
        <w:rPr>
          <w:rFonts w:hint="eastAsia" w:ascii="仿宋" w:hAnsi="仿宋" w:eastAsia="仿宋"/>
          <w:b/>
          <w:color w:val="auto"/>
          <w:sz w:val="24"/>
          <w:highlight w:val="none"/>
        </w:rPr>
        <w:t>。</w:t>
      </w:r>
    </w:p>
    <w:p>
      <w:pPr>
        <w:pStyle w:val="4"/>
        <w:rPr>
          <w:color w:val="auto"/>
          <w:highlight w:val="none"/>
        </w:rPr>
      </w:pPr>
      <w:r>
        <w:rPr>
          <w:rFonts w:hint="eastAsia"/>
          <w:color w:val="auto"/>
          <w:highlight w:val="none"/>
        </w:rPr>
        <w:t xml:space="preserve">1.7 </w:t>
      </w:r>
      <w:r>
        <w:rPr>
          <w:color w:val="auto"/>
          <w:highlight w:val="none"/>
        </w:rPr>
        <w:t>联合体</w:t>
      </w:r>
      <w:r>
        <w:rPr>
          <w:rFonts w:hint="eastAsia"/>
          <w:color w:val="auto"/>
          <w:highlight w:val="none"/>
        </w:rPr>
        <w:t>投标（响应）</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1.7.1是否接受联合体投标（响应）：</w:t>
      </w:r>
      <w:r>
        <w:rPr>
          <w:rFonts w:hint="eastAsia" w:ascii="仿宋" w:hAnsi="仿宋" w:eastAsia="仿宋" w:cs="Arial"/>
          <w:color w:val="auto"/>
          <w:kern w:val="0"/>
          <w:sz w:val="24"/>
          <w:highlight w:val="none"/>
          <w:u w:val="single"/>
        </w:rPr>
        <w:t>见《供应商须知前附表》</w:t>
      </w:r>
      <w:r>
        <w:rPr>
          <w:rFonts w:hint="eastAsia" w:ascii="仿宋" w:hAnsi="仿宋" w:eastAsia="仿宋" w:cs="Arial"/>
          <w:color w:val="auto"/>
          <w:kern w:val="0"/>
          <w:sz w:val="24"/>
          <w:highlight w:val="none"/>
        </w:rPr>
        <w:t>；</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1.7.2《供应商须知前附表》</w:t>
      </w:r>
      <w:r>
        <w:rPr>
          <w:rFonts w:ascii="仿宋" w:hAnsi="仿宋" w:eastAsia="仿宋"/>
          <w:b/>
          <w:color w:val="auto"/>
          <w:kern w:val="0"/>
          <w:sz w:val="24"/>
          <w:szCs w:val="20"/>
          <w:highlight w:val="none"/>
        </w:rPr>
        <w:t>规定接受联合体投标</w:t>
      </w:r>
      <w:r>
        <w:rPr>
          <w:rFonts w:hint="eastAsia" w:ascii="仿宋" w:hAnsi="仿宋" w:eastAsia="仿宋"/>
          <w:b/>
          <w:color w:val="auto"/>
          <w:kern w:val="0"/>
          <w:sz w:val="24"/>
          <w:szCs w:val="20"/>
          <w:highlight w:val="none"/>
        </w:rPr>
        <w:t>（响应）</w:t>
      </w:r>
      <w:r>
        <w:rPr>
          <w:rFonts w:ascii="仿宋" w:hAnsi="仿宋" w:eastAsia="仿宋"/>
          <w:b/>
          <w:color w:val="auto"/>
          <w:kern w:val="0"/>
          <w:sz w:val="24"/>
          <w:szCs w:val="20"/>
          <w:highlight w:val="none"/>
        </w:rPr>
        <w:t>的，</w:t>
      </w:r>
      <w:r>
        <w:rPr>
          <w:rFonts w:hint="eastAsia" w:ascii="仿宋" w:hAnsi="仿宋" w:eastAsia="仿宋"/>
          <w:b/>
          <w:color w:val="auto"/>
          <w:kern w:val="0"/>
          <w:sz w:val="24"/>
          <w:szCs w:val="20"/>
          <w:highlight w:val="none"/>
        </w:rPr>
        <w:t>参加磋商活动的联合体</w:t>
      </w:r>
      <w:r>
        <w:rPr>
          <w:rFonts w:ascii="仿宋" w:hAnsi="仿宋" w:eastAsia="仿宋"/>
          <w:b/>
          <w:color w:val="auto"/>
          <w:kern w:val="0"/>
          <w:sz w:val="24"/>
          <w:szCs w:val="20"/>
          <w:highlight w:val="none"/>
        </w:rPr>
        <w:t>应遵守以下规定：</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（1）</w:t>
      </w:r>
      <w:r>
        <w:rPr>
          <w:rFonts w:ascii="仿宋" w:hAnsi="仿宋" w:eastAsia="仿宋"/>
          <w:b/>
          <w:color w:val="auto"/>
          <w:kern w:val="0"/>
          <w:sz w:val="24"/>
          <w:szCs w:val="20"/>
          <w:highlight w:val="none"/>
          <w:u w:val="single"/>
        </w:rPr>
        <w:t>两个</w:t>
      </w:r>
      <w:r>
        <w:rPr>
          <w:rFonts w:hint="eastAsia" w:ascii="仿宋" w:hAnsi="仿宋" w:eastAsia="仿宋"/>
          <w:b/>
          <w:color w:val="auto"/>
          <w:kern w:val="0"/>
          <w:sz w:val="24"/>
          <w:szCs w:val="20"/>
          <w:highlight w:val="none"/>
          <w:u w:val="single"/>
        </w:rPr>
        <w:t>或以上的</w:t>
      </w:r>
      <w:r>
        <w:rPr>
          <w:rFonts w:ascii="仿宋" w:hAnsi="仿宋" w:eastAsia="仿宋"/>
          <w:b/>
          <w:color w:val="auto"/>
          <w:kern w:val="0"/>
          <w:sz w:val="24"/>
          <w:szCs w:val="20"/>
          <w:highlight w:val="none"/>
          <w:u w:val="single"/>
        </w:rPr>
        <w:t>自然人、法人或者其他组织可以组成一个联合体，以一个供应商的身份共同参加</w:t>
      </w:r>
      <w:r>
        <w:rPr>
          <w:rFonts w:hint="eastAsia" w:ascii="仿宋" w:hAnsi="仿宋" w:eastAsia="仿宋"/>
          <w:b/>
          <w:color w:val="auto"/>
          <w:kern w:val="0"/>
          <w:sz w:val="24"/>
          <w:szCs w:val="20"/>
          <w:highlight w:val="none"/>
          <w:u w:val="single"/>
        </w:rPr>
        <w:t>磋商活动。</w:t>
      </w:r>
      <w:r>
        <w:rPr>
          <w:rFonts w:hint="eastAsia" w:ascii="仿宋" w:hAnsi="仿宋" w:eastAsia="仿宋"/>
          <w:b/>
          <w:color w:val="auto"/>
          <w:kern w:val="0"/>
          <w:sz w:val="24"/>
          <w:szCs w:val="20"/>
          <w:highlight w:val="none"/>
        </w:rPr>
        <w:t>以联合体形式参加磋商活动的，应当在磋商响应文件中予以说明；</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（2）以联合体形式参加磋商活动的，</w:t>
      </w:r>
      <w:r>
        <w:rPr>
          <w:rFonts w:hint="eastAsia" w:ascii="仿宋" w:hAnsi="仿宋" w:eastAsia="仿宋"/>
          <w:b/>
          <w:color w:val="auto"/>
          <w:kern w:val="0"/>
          <w:sz w:val="24"/>
          <w:highlight w:val="none"/>
        </w:rPr>
        <w:t>参加联合体的供应商均应当符合本采购文件规定的</w:t>
      </w:r>
      <w:r>
        <w:rPr>
          <w:rFonts w:hint="eastAsia" w:ascii="仿宋" w:hAnsi="仿宋" w:eastAsia="仿宋" w:cs="Arial"/>
          <w:b/>
          <w:color w:val="auto"/>
          <w:kern w:val="0"/>
          <w:sz w:val="24"/>
          <w:highlight w:val="none"/>
          <w:u w:val="single"/>
        </w:rPr>
        <w:t>“申请人的资格要求”第1条和第3条第（1）款的规定</w:t>
      </w:r>
      <w:r>
        <w:rPr>
          <w:rFonts w:hint="eastAsia" w:ascii="仿宋" w:hAnsi="仿宋" w:eastAsia="仿宋"/>
          <w:b/>
          <w:color w:val="auto"/>
          <w:kern w:val="0"/>
          <w:sz w:val="24"/>
          <w:highlight w:val="none"/>
          <w:u w:val="single"/>
        </w:rPr>
        <w:t>（响应时各方均应提供资格证明材料）</w:t>
      </w:r>
      <w:r>
        <w:rPr>
          <w:rFonts w:hint="eastAsia"/>
          <w:b/>
          <w:color w:val="auto"/>
          <w:kern w:val="0"/>
          <w:highlight w:val="none"/>
        </w:rPr>
        <w:t>，</w:t>
      </w:r>
      <w:r>
        <w:rPr>
          <w:rFonts w:hint="eastAsia" w:ascii="仿宋" w:hAnsi="仿宋" w:eastAsia="仿宋"/>
          <w:b/>
          <w:color w:val="auto"/>
          <w:kern w:val="0"/>
          <w:sz w:val="24"/>
          <w:szCs w:val="20"/>
          <w:highlight w:val="none"/>
        </w:rPr>
        <w:t>并应当在磋商响应文件中向采购人提交《联合投标（响应）协议书》，载明联合体各方承担的工作和义务。</w:t>
      </w:r>
      <w:r>
        <w:rPr>
          <w:rFonts w:hint="eastAsia" w:ascii="仿宋" w:hAnsi="仿宋" w:eastAsia="仿宋"/>
          <w:b/>
          <w:color w:val="auto"/>
          <w:kern w:val="0"/>
          <w:sz w:val="24"/>
          <w:szCs w:val="20"/>
          <w:highlight w:val="none"/>
          <w:u w:val="single"/>
        </w:rPr>
        <w:t>未提交有效的《联合投标（响应）协议书》的联合体无效</w:t>
      </w:r>
      <w:r>
        <w:rPr>
          <w:rFonts w:hint="eastAsia" w:ascii="仿宋" w:hAnsi="仿宋" w:eastAsia="仿宋"/>
          <w:b/>
          <w:color w:val="auto"/>
          <w:kern w:val="0"/>
          <w:sz w:val="24"/>
          <w:szCs w:val="20"/>
          <w:highlight w:val="none"/>
        </w:rPr>
        <w:t>；</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（3）</w:t>
      </w:r>
      <w:r>
        <w:rPr>
          <w:rFonts w:ascii="仿宋" w:hAnsi="仿宋" w:eastAsia="仿宋"/>
          <w:b/>
          <w:color w:val="auto"/>
          <w:kern w:val="0"/>
          <w:sz w:val="24"/>
          <w:szCs w:val="20"/>
          <w:highlight w:val="none"/>
        </w:rPr>
        <w:t>联合体各方</w:t>
      </w:r>
      <w:r>
        <w:rPr>
          <w:rFonts w:hint="eastAsia" w:ascii="仿宋" w:hAnsi="仿宋" w:eastAsia="仿宋"/>
          <w:b/>
          <w:color w:val="auto"/>
          <w:kern w:val="0"/>
          <w:sz w:val="24"/>
          <w:szCs w:val="20"/>
          <w:highlight w:val="none"/>
        </w:rPr>
        <w:t>应当</w:t>
      </w:r>
      <w:r>
        <w:rPr>
          <w:rFonts w:ascii="仿宋" w:hAnsi="仿宋" w:eastAsia="仿宋"/>
          <w:b/>
          <w:color w:val="auto"/>
          <w:kern w:val="0"/>
          <w:sz w:val="24"/>
          <w:szCs w:val="20"/>
          <w:highlight w:val="none"/>
        </w:rPr>
        <w:t>共同与采购人签订采购合同，就采购合同约定的事项对采购人承担连带责任</w:t>
      </w:r>
      <w:r>
        <w:rPr>
          <w:rFonts w:hint="eastAsia" w:ascii="仿宋" w:hAnsi="仿宋" w:eastAsia="仿宋"/>
          <w:b/>
          <w:color w:val="auto"/>
          <w:kern w:val="0"/>
          <w:sz w:val="24"/>
          <w:szCs w:val="20"/>
          <w:highlight w:val="none"/>
        </w:rPr>
        <w:t>；</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（4）</w:t>
      </w:r>
      <w:r>
        <w:rPr>
          <w:rFonts w:ascii="仿宋" w:hAnsi="仿宋" w:eastAsia="仿宋"/>
          <w:b/>
          <w:color w:val="auto"/>
          <w:kern w:val="0"/>
          <w:sz w:val="24"/>
          <w:szCs w:val="20"/>
          <w:highlight w:val="none"/>
        </w:rPr>
        <w:t>联合体中有同类资质的供应商按照联合体分工承担相同工作的，按照资质等级较低的供应商确定资质等级</w:t>
      </w:r>
      <w:r>
        <w:rPr>
          <w:rFonts w:hint="eastAsia" w:ascii="仿宋" w:hAnsi="仿宋" w:eastAsia="仿宋"/>
          <w:b/>
          <w:color w:val="auto"/>
          <w:kern w:val="0"/>
          <w:sz w:val="24"/>
          <w:szCs w:val="20"/>
          <w:highlight w:val="none"/>
        </w:rPr>
        <w:t>；</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5）联合体形式参加磋商活动的，采购文件中有明确规定联合体各方均须提供的材料应当由联合体各成员共同签、章（或分别提供各自签、章）；采购文件没有明确规定联合体各方均须提供的材料可以由《联合投标（响应）协议书》中载明的牵头人（主办方）按规定进行签、章，牵头人（主办方）代表联合体签、章的，对联合体各成员方同样具有约束力；</w:t>
      </w:r>
    </w:p>
    <w:p>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（6）以联合体形式参加磋商活动的，联合体各方均不得再单独参加或者与其他供应商另外组成联合体参加同一合同项下的磋商活动，否则相关联合体均按无效联合体处理，资格审查不通过；</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b/>
          <w:color w:val="auto"/>
          <w:kern w:val="0"/>
          <w:sz w:val="24"/>
          <w:szCs w:val="20"/>
          <w:highlight w:val="none"/>
        </w:rPr>
        <w:t>（7）联合体形式参加磋商活动的，履约保证金、采购代理服务费可由牵头人（主办方）一方缴纳，也可以由联合体各方按《联合投标（响应）协议书》约定共同缴纳，《联合投标（响应）协议书》未约定的，由牵头人（主办方）缴纳。</w:t>
      </w:r>
    </w:p>
    <w:p>
      <w:pPr>
        <w:pStyle w:val="4"/>
        <w:rPr>
          <w:color w:val="auto"/>
          <w:highlight w:val="none"/>
        </w:rPr>
      </w:pPr>
      <w:r>
        <w:rPr>
          <w:rFonts w:hint="eastAsia"/>
          <w:color w:val="auto"/>
          <w:highlight w:val="none"/>
        </w:rPr>
        <w:t>1.8 进口产品投标（响应）</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1.8.1是否允许进口产品投标（响应）：</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pPr>
        <w:spacing w:line="360" w:lineRule="auto"/>
        <w:ind w:firstLine="424" w:firstLineChars="177"/>
        <w:rPr>
          <w:b/>
          <w:color w:val="auto"/>
          <w:kern w:val="0"/>
          <w:highlight w:val="none"/>
        </w:rPr>
      </w:pPr>
      <w:r>
        <w:rPr>
          <w:rFonts w:hint="eastAsia" w:ascii="仿宋" w:hAnsi="仿宋" w:eastAsia="仿宋" w:cs="Arial"/>
          <w:color w:val="auto"/>
          <w:kern w:val="0"/>
          <w:sz w:val="24"/>
          <w:highlight w:val="none"/>
        </w:rPr>
        <w:t>1.8.2《供应商须知前附表》未标明允许进口产品投标的合同项（标项）一律拒绝“进口产品”参加投标（响应）。</w:t>
      </w:r>
      <w:r>
        <w:rPr>
          <w:rFonts w:hint="eastAsia" w:ascii="仿宋" w:hAnsi="仿宋" w:eastAsia="仿宋"/>
          <w:b/>
          <w:color w:val="auto"/>
          <w:kern w:val="0"/>
          <w:sz w:val="24"/>
          <w:highlight w:val="none"/>
          <w:u w:val="single"/>
        </w:rPr>
        <w:t>“进口产品”系指通过中国海关报关验放进入中国境内且产自关境外的产品，“国外品牌产品”不等于“进口产品”。</w:t>
      </w:r>
    </w:p>
    <w:p>
      <w:pPr>
        <w:pStyle w:val="4"/>
        <w:rPr>
          <w:color w:val="auto"/>
          <w:highlight w:val="none"/>
        </w:rPr>
      </w:pPr>
      <w:r>
        <w:rPr>
          <w:rFonts w:hint="eastAsia"/>
          <w:color w:val="auto"/>
          <w:highlight w:val="none"/>
        </w:rPr>
        <w:t>1.9 磋商</w:t>
      </w:r>
      <w:r>
        <w:rPr>
          <w:color w:val="auto"/>
          <w:highlight w:val="none"/>
        </w:rPr>
        <w:t>费用</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1.9.1</w:t>
      </w:r>
      <w:r>
        <w:rPr>
          <w:rFonts w:ascii="仿宋" w:hAnsi="仿宋" w:eastAsia="仿宋" w:cs="Arial"/>
          <w:color w:val="auto"/>
          <w:kern w:val="0"/>
          <w:sz w:val="24"/>
          <w:highlight w:val="none"/>
        </w:rPr>
        <w:t>不论</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结果如何，磋商供应商均应自行承担所有与</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有关的全部费用</w:t>
      </w:r>
      <w:r>
        <w:rPr>
          <w:rFonts w:hint="eastAsia" w:ascii="仿宋" w:hAnsi="仿宋" w:eastAsia="仿宋" w:cs="Arial"/>
          <w:color w:val="auto"/>
          <w:kern w:val="0"/>
          <w:sz w:val="24"/>
          <w:highlight w:val="none"/>
        </w:rPr>
        <w:t>，采购人、采购代理机构概不负责；</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1.9.2</w:t>
      </w:r>
      <w:r>
        <w:rPr>
          <w:rFonts w:ascii="仿宋" w:hAnsi="仿宋" w:eastAsia="仿宋" w:cs="Arial"/>
          <w:color w:val="auto"/>
          <w:kern w:val="0"/>
          <w:sz w:val="24"/>
          <w:highlight w:val="none"/>
        </w:rPr>
        <w:t>合同实施过程中，</w:t>
      </w:r>
      <w:r>
        <w:rPr>
          <w:rFonts w:hint="eastAsia" w:ascii="仿宋" w:hAnsi="仿宋" w:eastAsia="仿宋" w:cs="Arial"/>
          <w:color w:val="auto"/>
          <w:kern w:val="0"/>
          <w:sz w:val="24"/>
          <w:highlight w:val="none"/>
        </w:rPr>
        <w:t>成交供应商</w:t>
      </w:r>
      <w:r>
        <w:rPr>
          <w:rFonts w:ascii="仿宋" w:hAnsi="仿宋" w:eastAsia="仿宋" w:cs="Arial"/>
          <w:color w:val="auto"/>
          <w:kern w:val="0"/>
          <w:sz w:val="24"/>
          <w:highlight w:val="none"/>
        </w:rPr>
        <w:t>须与采购人积极配合。</w:t>
      </w:r>
      <w:r>
        <w:rPr>
          <w:rFonts w:hint="eastAsia" w:ascii="仿宋" w:hAnsi="仿宋" w:eastAsia="仿宋" w:cs="Arial"/>
          <w:color w:val="auto"/>
          <w:kern w:val="0"/>
          <w:sz w:val="24"/>
          <w:highlight w:val="none"/>
        </w:rPr>
        <w:t>成交供应商</w:t>
      </w:r>
      <w:r>
        <w:rPr>
          <w:rFonts w:ascii="仿宋" w:hAnsi="仿宋" w:eastAsia="仿宋" w:cs="Arial"/>
          <w:color w:val="auto"/>
          <w:kern w:val="0"/>
          <w:sz w:val="24"/>
          <w:highlight w:val="none"/>
        </w:rPr>
        <w:t>自行承担本次采购活动中所发生的全部费用。</w:t>
      </w:r>
    </w:p>
    <w:p>
      <w:pPr>
        <w:pStyle w:val="4"/>
        <w:rPr>
          <w:color w:val="auto"/>
          <w:highlight w:val="none"/>
        </w:rPr>
      </w:pPr>
      <w:r>
        <w:rPr>
          <w:rFonts w:hint="eastAsia"/>
          <w:color w:val="auto"/>
          <w:highlight w:val="none"/>
        </w:rPr>
        <w:t xml:space="preserve">1.10 </w:t>
      </w:r>
      <w:r>
        <w:rPr>
          <w:color w:val="auto"/>
          <w:highlight w:val="none"/>
        </w:rPr>
        <w:t>语言</w:t>
      </w:r>
      <w:r>
        <w:rPr>
          <w:rFonts w:hint="eastAsia"/>
          <w:color w:val="auto"/>
          <w:highlight w:val="none"/>
        </w:rPr>
        <w:t>文字</w:t>
      </w:r>
      <w:r>
        <w:rPr>
          <w:color w:val="auto"/>
          <w:highlight w:val="none"/>
        </w:rPr>
        <w:t>及计量</w:t>
      </w:r>
      <w:r>
        <w:rPr>
          <w:rFonts w:hint="eastAsia"/>
          <w:color w:val="auto"/>
          <w:highlight w:val="none"/>
        </w:rPr>
        <w:t>单位</w:t>
      </w:r>
    </w:p>
    <w:p>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1.10</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语言文字：</w:t>
      </w:r>
      <w:r>
        <w:rPr>
          <w:rFonts w:hint="eastAsia" w:ascii="仿宋" w:hAnsi="仿宋" w:eastAsia="仿宋" w:cs="Arial"/>
          <w:color w:val="auto"/>
          <w:kern w:val="0"/>
          <w:sz w:val="24"/>
          <w:highlight w:val="none"/>
        </w:rPr>
        <w:t>除专业术语、</w:t>
      </w:r>
      <w:r>
        <w:rPr>
          <w:rFonts w:ascii="仿宋" w:hAnsi="仿宋" w:eastAsia="仿宋" w:cs="Arial"/>
          <w:color w:val="auto"/>
          <w:kern w:val="0"/>
          <w:sz w:val="24"/>
          <w:highlight w:val="none"/>
        </w:rPr>
        <w:t>签名、盖章、名称等特殊情形外</w:t>
      </w:r>
      <w:r>
        <w:rPr>
          <w:rFonts w:hint="eastAsia" w:ascii="仿宋" w:hAnsi="仿宋" w:eastAsia="仿宋" w:cs="Arial"/>
          <w:color w:val="auto"/>
          <w:kern w:val="0"/>
          <w:sz w:val="24"/>
          <w:highlight w:val="none"/>
        </w:rPr>
        <w:t>，与本次采购工作有关的所有材料、来往函电语言均应使用中文</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专业术语、名称应附有中文注释。</w:t>
      </w:r>
      <w:r>
        <w:rPr>
          <w:rFonts w:hint="eastAsia" w:ascii="仿宋" w:hAnsi="仿宋" w:eastAsia="仿宋" w:cs="Arial"/>
          <w:b/>
          <w:color w:val="auto"/>
          <w:kern w:val="0"/>
          <w:sz w:val="24"/>
          <w:highlight w:val="none"/>
        </w:rPr>
        <w:t>仅</w:t>
      </w:r>
      <w:r>
        <w:rPr>
          <w:rFonts w:ascii="仿宋" w:hAnsi="仿宋" w:eastAsia="仿宋" w:cs="Arial"/>
          <w:b/>
          <w:color w:val="auto"/>
          <w:kern w:val="0"/>
          <w:sz w:val="24"/>
          <w:highlight w:val="none"/>
        </w:rPr>
        <w:t>以中文以外的文字表述的</w:t>
      </w:r>
      <w:r>
        <w:rPr>
          <w:rFonts w:hint="eastAsia" w:ascii="仿宋" w:hAnsi="仿宋" w:eastAsia="仿宋" w:cs="Arial"/>
          <w:b/>
          <w:color w:val="auto"/>
          <w:kern w:val="0"/>
          <w:sz w:val="24"/>
          <w:highlight w:val="none"/>
        </w:rPr>
        <w:t>材料</w:t>
      </w:r>
      <w:r>
        <w:rPr>
          <w:rFonts w:ascii="仿宋" w:hAnsi="仿宋" w:eastAsia="仿宋" w:cs="Arial"/>
          <w:b/>
          <w:color w:val="auto"/>
          <w:kern w:val="0"/>
          <w:sz w:val="24"/>
          <w:highlight w:val="none"/>
        </w:rPr>
        <w:t>视同未提供。</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1.10</w:t>
      </w:r>
      <w:r>
        <w:rPr>
          <w:rFonts w:ascii="仿宋" w:hAnsi="仿宋" w:eastAsia="仿宋" w:cs="Arial"/>
          <w:b/>
          <w:color w:val="auto"/>
          <w:kern w:val="0"/>
          <w:sz w:val="24"/>
          <w:highlight w:val="none"/>
        </w:rPr>
        <w:t>.2计量单位</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磋商文件已有明确规定的，使用磋商文件规定的计量单位；</w:t>
      </w:r>
      <w:r>
        <w:rPr>
          <w:rFonts w:ascii="仿宋" w:hAnsi="仿宋" w:eastAsia="仿宋" w:cs="Arial"/>
          <w:b/>
          <w:color w:val="auto"/>
          <w:kern w:val="0"/>
          <w:sz w:val="24"/>
          <w:highlight w:val="none"/>
        </w:rPr>
        <w:t>磋商文件没有规定的，应采用中华人民共和国法定计量单位，否则视同未响应。</w:t>
      </w:r>
    </w:p>
    <w:p>
      <w:pPr>
        <w:pStyle w:val="4"/>
        <w:rPr>
          <w:color w:val="auto"/>
          <w:highlight w:val="none"/>
        </w:rPr>
      </w:pPr>
      <w:r>
        <w:rPr>
          <w:rFonts w:hint="eastAsia"/>
          <w:color w:val="auto"/>
          <w:highlight w:val="none"/>
        </w:rPr>
        <w:t>1.11 现场勘查</w:t>
      </w:r>
    </w:p>
    <w:p>
      <w:pPr>
        <w:adjustRightInd w:val="0"/>
        <w:snapToGrid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1.11.1现场勘查时间、地点、联系人：</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1.11.2《供应商须知前附表》</w:t>
      </w:r>
      <w:r>
        <w:rPr>
          <w:rFonts w:ascii="仿宋" w:hAnsi="仿宋" w:eastAsia="仿宋" w:cs="Arial"/>
          <w:color w:val="auto"/>
          <w:kern w:val="0"/>
          <w:sz w:val="24"/>
          <w:highlight w:val="none"/>
        </w:rPr>
        <w:t>规定组织</w:t>
      </w:r>
      <w:r>
        <w:rPr>
          <w:rFonts w:hint="eastAsia" w:ascii="仿宋" w:hAnsi="仿宋" w:eastAsia="仿宋" w:cs="Arial"/>
          <w:color w:val="auto"/>
          <w:kern w:val="0"/>
          <w:sz w:val="24"/>
          <w:highlight w:val="none"/>
        </w:rPr>
        <w:t>统一现场勘查</w:t>
      </w:r>
      <w:r>
        <w:rPr>
          <w:rFonts w:ascii="仿宋" w:hAnsi="仿宋" w:eastAsia="仿宋" w:cs="Arial"/>
          <w:color w:val="auto"/>
          <w:kern w:val="0"/>
          <w:sz w:val="24"/>
          <w:highlight w:val="none"/>
        </w:rPr>
        <w:t>的，采购人</w:t>
      </w:r>
      <w:r>
        <w:rPr>
          <w:rFonts w:hint="eastAsia" w:ascii="仿宋" w:hAnsi="仿宋" w:eastAsia="仿宋" w:cs="Arial"/>
          <w:color w:val="auto"/>
          <w:kern w:val="0"/>
          <w:sz w:val="24"/>
          <w:highlight w:val="none"/>
        </w:rPr>
        <w:t>将按《供应商须知前附表》规定的时间、地点统一组织所有磋商供应商进行现场勘查，此外其他任何时间</w:t>
      </w:r>
      <w:r>
        <w:rPr>
          <w:rFonts w:ascii="仿宋" w:hAnsi="仿宋" w:eastAsia="仿宋" w:cs="Arial"/>
          <w:color w:val="auto"/>
          <w:kern w:val="0"/>
          <w:sz w:val="24"/>
          <w:highlight w:val="none"/>
        </w:rPr>
        <w:t>采购人</w:t>
      </w:r>
      <w:r>
        <w:rPr>
          <w:rFonts w:hint="eastAsia" w:ascii="仿宋" w:hAnsi="仿宋" w:eastAsia="仿宋" w:cs="Arial"/>
          <w:color w:val="auto"/>
          <w:kern w:val="0"/>
          <w:sz w:val="24"/>
          <w:highlight w:val="none"/>
        </w:rPr>
        <w:t>不再组织磋商供应商进行现场勘查工作（特殊情形除外）。</w:t>
      </w:r>
    </w:p>
    <w:p>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1.11.3磋商供应商应自行前往规定的地点参加现场勘查，</w:t>
      </w:r>
      <w:r>
        <w:rPr>
          <w:rFonts w:ascii="仿宋" w:hAnsi="仿宋" w:eastAsia="仿宋" w:cs="Arial"/>
          <w:color w:val="auto"/>
          <w:kern w:val="0"/>
          <w:sz w:val="24"/>
          <w:highlight w:val="none"/>
        </w:rPr>
        <w:t>发生的</w:t>
      </w:r>
      <w:r>
        <w:rPr>
          <w:rFonts w:hint="eastAsia" w:ascii="仿宋" w:hAnsi="仿宋" w:eastAsia="仿宋" w:cs="Arial"/>
          <w:color w:val="auto"/>
          <w:kern w:val="0"/>
          <w:sz w:val="24"/>
          <w:highlight w:val="none"/>
        </w:rPr>
        <w:t>所有</w:t>
      </w:r>
      <w:r>
        <w:rPr>
          <w:rFonts w:ascii="仿宋" w:hAnsi="仿宋" w:eastAsia="仿宋" w:cs="Arial"/>
          <w:color w:val="auto"/>
          <w:kern w:val="0"/>
          <w:sz w:val="24"/>
          <w:highlight w:val="none"/>
        </w:rPr>
        <w:t>费用</w:t>
      </w:r>
      <w:r>
        <w:rPr>
          <w:rFonts w:hint="eastAsia" w:ascii="仿宋" w:hAnsi="仿宋" w:eastAsia="仿宋" w:cs="Arial"/>
          <w:color w:val="auto"/>
          <w:kern w:val="0"/>
          <w:sz w:val="24"/>
          <w:highlight w:val="none"/>
        </w:rPr>
        <w:t>由磋商供应商自行承担。</w:t>
      </w:r>
    </w:p>
    <w:p>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1.11.4现场勘查过程中，磋商供应商应注意勘查安全，</w:t>
      </w:r>
      <w:r>
        <w:rPr>
          <w:rFonts w:ascii="仿宋" w:hAnsi="仿宋" w:eastAsia="仿宋" w:cs="Arial"/>
          <w:color w:val="auto"/>
          <w:kern w:val="0"/>
          <w:sz w:val="24"/>
          <w:highlight w:val="none"/>
        </w:rPr>
        <w:t>除采购人的原因外，磋商供应商在踏勘现场中所发生的人员伤亡和财产损失</w:t>
      </w:r>
      <w:r>
        <w:rPr>
          <w:rFonts w:hint="eastAsia" w:ascii="仿宋" w:hAnsi="仿宋" w:eastAsia="仿宋" w:cs="Arial"/>
          <w:color w:val="auto"/>
          <w:kern w:val="0"/>
          <w:sz w:val="24"/>
          <w:highlight w:val="none"/>
        </w:rPr>
        <w:t>由磋商供应商自行承担。</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1.11.5</w:t>
      </w:r>
      <w:r>
        <w:rPr>
          <w:rFonts w:ascii="仿宋" w:hAnsi="仿宋" w:eastAsia="仿宋" w:cs="Arial"/>
          <w:color w:val="auto"/>
          <w:kern w:val="0"/>
          <w:sz w:val="24"/>
          <w:highlight w:val="none"/>
        </w:rPr>
        <w:t>采购人在现场</w:t>
      </w:r>
      <w:r>
        <w:rPr>
          <w:rFonts w:hint="eastAsia" w:ascii="仿宋" w:hAnsi="仿宋" w:eastAsia="仿宋" w:cs="Arial"/>
          <w:color w:val="auto"/>
          <w:kern w:val="0"/>
          <w:sz w:val="24"/>
          <w:highlight w:val="none"/>
        </w:rPr>
        <w:t>勘查</w:t>
      </w:r>
      <w:r>
        <w:rPr>
          <w:rFonts w:ascii="仿宋" w:hAnsi="仿宋" w:eastAsia="仿宋" w:cs="Arial"/>
          <w:color w:val="auto"/>
          <w:kern w:val="0"/>
          <w:sz w:val="24"/>
          <w:highlight w:val="none"/>
        </w:rPr>
        <w:t>中介绍的场地和相关的周边环境情况，</w:t>
      </w:r>
      <w:r>
        <w:rPr>
          <w:rFonts w:hint="eastAsia" w:ascii="仿宋" w:hAnsi="仿宋" w:eastAsia="仿宋" w:cs="Arial"/>
          <w:color w:val="auto"/>
          <w:kern w:val="0"/>
          <w:sz w:val="24"/>
          <w:highlight w:val="none"/>
        </w:rPr>
        <w:t>仅</w:t>
      </w:r>
      <w:r>
        <w:rPr>
          <w:rFonts w:ascii="仿宋" w:hAnsi="仿宋" w:eastAsia="仿宋" w:cs="Arial"/>
          <w:color w:val="auto"/>
          <w:kern w:val="0"/>
          <w:sz w:val="24"/>
          <w:highlight w:val="none"/>
        </w:rPr>
        <w:t>供磋商供应商在编制磋商响应文件时参考，采购人不对磋商供应商据此作出的判断和决策负责。</w:t>
      </w:r>
    </w:p>
    <w:p>
      <w:pPr>
        <w:pStyle w:val="4"/>
        <w:rPr>
          <w:color w:val="auto"/>
          <w:highlight w:val="none"/>
        </w:rPr>
      </w:pPr>
      <w:r>
        <w:rPr>
          <w:rFonts w:hint="eastAsia"/>
          <w:color w:val="auto"/>
          <w:highlight w:val="none"/>
        </w:rPr>
        <w:t>1.12 磋商前答疑会</w:t>
      </w:r>
    </w:p>
    <w:p>
      <w:pPr>
        <w:adjustRightInd w:val="0"/>
        <w:snapToGrid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1.12.1磋商前答疑会时间、地点：</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pPr>
        <w:adjustRightInd w:val="0"/>
        <w:snapToGrid w:val="0"/>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2</w:t>
      </w:r>
      <w:r>
        <w:rPr>
          <w:rFonts w:ascii="仿宋" w:hAnsi="仿宋" w:eastAsia="仿宋" w:cs="Arial"/>
          <w:color w:val="auto"/>
          <w:sz w:val="24"/>
          <w:highlight w:val="none"/>
        </w:rPr>
        <w:t>前附表规定召开</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答疑会的，采购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按</w:t>
      </w:r>
      <w:r>
        <w:rPr>
          <w:rFonts w:hint="eastAsia" w:ascii="仿宋" w:hAnsi="仿宋" w:eastAsia="仿宋" w:cs="Arial"/>
          <w:color w:val="auto"/>
          <w:kern w:val="0"/>
          <w:sz w:val="24"/>
          <w:highlight w:val="none"/>
        </w:rPr>
        <w:t>《供应商须知前附表》</w:t>
      </w:r>
      <w:r>
        <w:rPr>
          <w:rFonts w:ascii="仿宋" w:hAnsi="仿宋" w:eastAsia="仿宋" w:cs="Arial"/>
          <w:color w:val="auto"/>
          <w:sz w:val="24"/>
          <w:highlight w:val="none"/>
        </w:rPr>
        <w:t>规定的时间和地点召开</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答疑会，澄清磋商供应商提出的问题</w:t>
      </w:r>
      <w:r>
        <w:rPr>
          <w:rFonts w:hint="eastAsia" w:ascii="仿宋" w:hAnsi="仿宋" w:eastAsia="仿宋" w:cs="Arial"/>
          <w:color w:val="auto"/>
          <w:sz w:val="24"/>
          <w:highlight w:val="none"/>
        </w:rPr>
        <w:t>；</w:t>
      </w:r>
    </w:p>
    <w:p>
      <w:pPr>
        <w:adjustRightInd w:val="0"/>
        <w:snapToGrid w:val="0"/>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磋商供应商应在答疑会时间的</w:t>
      </w:r>
      <w:r>
        <w:rPr>
          <w:rFonts w:hint="eastAsia" w:ascii="仿宋" w:hAnsi="仿宋" w:eastAsia="仿宋" w:cs="Arial"/>
          <w:color w:val="auto"/>
          <w:sz w:val="24"/>
          <w:highlight w:val="none"/>
        </w:rPr>
        <w:t>2日前</w:t>
      </w:r>
      <w:r>
        <w:rPr>
          <w:rFonts w:ascii="仿宋" w:hAnsi="仿宋" w:eastAsia="仿宋" w:cs="Arial"/>
          <w:color w:val="auto"/>
          <w:sz w:val="24"/>
          <w:highlight w:val="none"/>
        </w:rPr>
        <w:t>，以书面形式将</w:t>
      </w:r>
      <w:r>
        <w:rPr>
          <w:rFonts w:hint="eastAsia" w:ascii="仿宋" w:hAnsi="仿宋" w:eastAsia="仿宋" w:cs="Arial"/>
          <w:color w:val="auto"/>
          <w:sz w:val="24"/>
          <w:highlight w:val="none"/>
        </w:rPr>
        <w:t>需要</w:t>
      </w:r>
      <w:r>
        <w:rPr>
          <w:rFonts w:ascii="仿宋" w:hAnsi="仿宋" w:eastAsia="仿宋" w:cs="Arial"/>
          <w:color w:val="auto"/>
          <w:sz w:val="24"/>
          <w:highlight w:val="none"/>
        </w:rPr>
        <w:t>提出的问题送达采购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，以便采购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在会议期间澄清</w:t>
      </w:r>
      <w:r>
        <w:rPr>
          <w:rFonts w:hint="eastAsia" w:ascii="仿宋" w:hAnsi="仿宋" w:eastAsia="仿宋" w:cs="Arial"/>
          <w:color w:val="auto"/>
          <w:sz w:val="24"/>
          <w:highlight w:val="none"/>
        </w:rPr>
        <w:t>；</w:t>
      </w:r>
    </w:p>
    <w:p>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4不召开</w:t>
      </w:r>
      <w:r>
        <w:rPr>
          <w:rFonts w:hint="eastAsia" w:ascii="仿宋" w:hAnsi="仿宋" w:eastAsia="仿宋" w:cs="Arial"/>
          <w:color w:val="auto"/>
          <w:kern w:val="0"/>
          <w:sz w:val="24"/>
          <w:highlight w:val="none"/>
        </w:rPr>
        <w:t>磋商前</w:t>
      </w:r>
      <w:r>
        <w:rPr>
          <w:rFonts w:hint="eastAsia" w:ascii="仿宋" w:hAnsi="仿宋" w:eastAsia="仿宋" w:cs="Arial"/>
          <w:color w:val="auto"/>
          <w:sz w:val="24"/>
          <w:highlight w:val="none"/>
        </w:rPr>
        <w:t>答疑会或</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w:t>
      </w:r>
      <w:r>
        <w:rPr>
          <w:rFonts w:hint="eastAsia" w:ascii="仿宋" w:hAnsi="仿宋" w:eastAsia="仿宋" w:cs="Arial"/>
          <w:color w:val="auto"/>
          <w:sz w:val="24"/>
          <w:highlight w:val="none"/>
        </w:rPr>
        <w:t>完成后的其他时间</w:t>
      </w:r>
      <w:r>
        <w:rPr>
          <w:rFonts w:ascii="仿宋" w:hAnsi="仿宋" w:eastAsia="仿宋" w:cs="Arial"/>
          <w:color w:val="auto"/>
          <w:sz w:val="24"/>
          <w:highlight w:val="none"/>
        </w:rPr>
        <w:t>，采购</w:t>
      </w:r>
      <w:r>
        <w:rPr>
          <w:rFonts w:hint="eastAsia" w:ascii="仿宋" w:hAnsi="仿宋" w:eastAsia="仿宋" w:cs="Arial"/>
          <w:color w:val="auto"/>
          <w:sz w:val="24"/>
          <w:highlight w:val="none"/>
        </w:rPr>
        <w:t>组织机构将</w:t>
      </w:r>
      <w:r>
        <w:rPr>
          <w:rFonts w:ascii="仿宋" w:hAnsi="仿宋" w:eastAsia="仿宋" w:cs="Arial"/>
          <w:color w:val="auto"/>
          <w:sz w:val="24"/>
          <w:highlight w:val="none"/>
        </w:rPr>
        <w:t>按本章</w:t>
      </w:r>
      <w:r>
        <w:rPr>
          <w:rFonts w:hint="eastAsia" w:ascii="仿宋" w:hAnsi="仿宋" w:eastAsia="仿宋" w:cs="Arial"/>
          <w:color w:val="auto"/>
          <w:sz w:val="24"/>
          <w:highlight w:val="none"/>
        </w:rPr>
        <w:t>第3.2款“磋商文件的提疑”、第3.3款“磋商文件的澄清、修改（更正）”相关</w:t>
      </w:r>
      <w:r>
        <w:rPr>
          <w:rFonts w:ascii="仿宋" w:hAnsi="仿宋" w:eastAsia="仿宋" w:cs="Arial"/>
          <w:color w:val="auto"/>
          <w:sz w:val="24"/>
          <w:highlight w:val="none"/>
        </w:rPr>
        <w:t>规定对供应商所提问题进行澄清</w:t>
      </w:r>
      <w:r>
        <w:rPr>
          <w:rFonts w:hint="eastAsia" w:ascii="仿宋" w:hAnsi="仿宋" w:eastAsia="仿宋" w:cs="Arial"/>
          <w:color w:val="auto"/>
          <w:sz w:val="24"/>
          <w:highlight w:val="none"/>
        </w:rPr>
        <w:t>、</w:t>
      </w:r>
      <w:r>
        <w:rPr>
          <w:rFonts w:ascii="仿宋" w:hAnsi="仿宋" w:eastAsia="仿宋" w:cs="Arial"/>
          <w:color w:val="auto"/>
          <w:sz w:val="24"/>
          <w:highlight w:val="none"/>
        </w:rPr>
        <w:t>答复</w:t>
      </w:r>
      <w:r>
        <w:rPr>
          <w:rFonts w:hint="eastAsia" w:ascii="仿宋" w:hAnsi="仿宋" w:eastAsia="仿宋" w:cs="Arial"/>
          <w:color w:val="auto"/>
          <w:sz w:val="24"/>
          <w:highlight w:val="none"/>
        </w:rPr>
        <w:t>、修改、更正。</w:t>
      </w:r>
    </w:p>
    <w:p>
      <w:pPr>
        <w:pStyle w:val="4"/>
        <w:rPr>
          <w:color w:val="auto"/>
          <w:highlight w:val="none"/>
        </w:rPr>
      </w:pPr>
      <w:r>
        <w:rPr>
          <w:rFonts w:hint="eastAsia"/>
          <w:color w:val="auto"/>
          <w:highlight w:val="none"/>
        </w:rPr>
        <w:t xml:space="preserve">1.13 </w:t>
      </w:r>
      <w:r>
        <w:rPr>
          <w:color w:val="auto"/>
          <w:highlight w:val="none"/>
        </w:rPr>
        <w:t>关联</w:t>
      </w:r>
      <w:r>
        <w:rPr>
          <w:rFonts w:hint="eastAsia"/>
          <w:color w:val="auto"/>
          <w:highlight w:val="none"/>
        </w:rPr>
        <w:t>供应商参与同一合同项下采购活动的限制</w:t>
      </w:r>
    </w:p>
    <w:p>
      <w:pPr>
        <w:spacing w:line="360" w:lineRule="auto"/>
        <w:ind w:firstLine="426" w:firstLineChars="177"/>
        <w:rPr>
          <w:rFonts w:ascii="仿宋" w:hAnsi="仿宋" w:eastAsia="仿宋" w:cs="Arial"/>
          <w:b/>
          <w:color w:val="auto"/>
          <w:kern w:val="0"/>
          <w:sz w:val="24"/>
          <w:highlight w:val="none"/>
        </w:rPr>
      </w:pPr>
      <w:r>
        <w:rPr>
          <w:rFonts w:ascii="仿宋" w:hAnsi="仿宋" w:eastAsia="仿宋" w:cs="Arial"/>
          <w:b/>
          <w:color w:val="auto"/>
          <w:kern w:val="0"/>
          <w:sz w:val="24"/>
          <w:highlight w:val="none"/>
        </w:rPr>
        <w:t>本</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文件所称</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关联企业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，是指存在关联关系的企业；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关联关系</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的界定适用《中华人民共和国公司法》</w:t>
      </w:r>
      <w:r>
        <w:rPr>
          <w:rFonts w:hint="eastAsia" w:ascii="仿宋" w:hAnsi="仿宋" w:eastAsia="仿宋"/>
          <w:b/>
          <w:color w:val="auto"/>
          <w:kern w:val="0"/>
          <w:sz w:val="24"/>
          <w:highlight w:val="none"/>
        </w:rPr>
        <w:t>相关</w:t>
      </w:r>
      <w:r>
        <w:rPr>
          <w:rFonts w:ascii="仿宋" w:hAnsi="仿宋" w:eastAsia="仿宋"/>
          <w:b/>
          <w:color w:val="auto"/>
          <w:kern w:val="0"/>
          <w:sz w:val="24"/>
          <w:highlight w:val="none"/>
        </w:rPr>
        <w:t>规定</w:t>
      </w:r>
      <w:r>
        <w:rPr>
          <w:rFonts w:ascii="仿宋" w:hAnsi="仿宋" w:eastAsia="仿宋" w:cs="Arial"/>
          <w:b/>
          <w:color w:val="auto"/>
          <w:kern w:val="0"/>
          <w:sz w:val="24"/>
          <w:highlight w:val="none"/>
        </w:rPr>
        <w:t>。</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w:t>
      </w:r>
      <w:r>
        <w:rPr>
          <w:rFonts w:ascii="仿宋" w:hAnsi="仿宋" w:eastAsia="仿宋" w:cs="Arial"/>
          <w:b/>
          <w:color w:val="auto"/>
          <w:kern w:val="0"/>
          <w:sz w:val="24"/>
          <w:highlight w:val="none"/>
        </w:rPr>
        <w:t>.1</w:t>
      </w:r>
      <w:r>
        <w:rPr>
          <w:rFonts w:hint="eastAsia" w:ascii="仿宋" w:hAnsi="仿宋" w:eastAsia="仿宋"/>
          <w:b/>
          <w:color w:val="auto"/>
          <w:kern w:val="0"/>
          <w:sz w:val="24"/>
          <w:highlight w:val="none"/>
          <w:u w:val="single"/>
        </w:rPr>
        <w:t>单位负责人为同一人或者存在直接控股、管理关系的不同供应商，不得同时参加同一合同项下的采购活动，否则相关供应商的资格均作“不合格”处理</w:t>
      </w:r>
      <w:r>
        <w:rPr>
          <w:rFonts w:hint="eastAsia" w:ascii="仿宋" w:hAnsi="仿宋" w:eastAsia="仿宋" w:cs="Arial"/>
          <w:b/>
          <w:color w:val="auto"/>
          <w:kern w:val="0"/>
          <w:sz w:val="24"/>
          <w:highlight w:val="none"/>
        </w:rPr>
        <w:t>。</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1.13.2</w:t>
      </w:r>
      <w:r>
        <w:rPr>
          <w:rFonts w:hint="eastAsia" w:ascii="仿宋" w:hAnsi="仿宋" w:eastAsia="仿宋"/>
          <w:b/>
          <w:color w:val="auto"/>
          <w:kern w:val="0"/>
          <w:sz w:val="24"/>
          <w:highlight w:val="none"/>
          <w:u w:val="single"/>
        </w:rPr>
        <w:t>存在以下利害关系的不同供应商，不得同时参加同一合同项下的采购活动，否则相关供应商的响应均作无效响应处理</w:t>
      </w:r>
      <w:r>
        <w:rPr>
          <w:rFonts w:hint="eastAsia" w:ascii="仿宋" w:hAnsi="仿宋" w:eastAsia="仿宋" w:cs="Arial"/>
          <w:b/>
          <w:color w:val="auto"/>
          <w:kern w:val="0"/>
          <w:sz w:val="24"/>
          <w:highlight w:val="none"/>
        </w:rPr>
        <w:t>：</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（1）法定代表人或负责人或实际控制人是夫妻关系；</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（2）法定代表人或负责人或实际控制人是直系血亲关系；</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（3）法定代表人或负责人或实际控制人存在三代以内旁系血亲关系；</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（4）法定代表人或负责人或实际控制人存在近姻亲关系；</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（5）法定代表人或负责人或实际控制人存在股份控制或实际控制关系；</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（6）存在共同直接或间接投资设立子公司、联营企业和合营企业情况；</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（7）存在分级代理或代销关系、同一生产制造商关系、管理关系、重要业务（占主营业务收入50%以上）或重要财务往来关系（如融资）等其他实质性控制关系。</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1.13.3</w:t>
      </w:r>
      <w:r>
        <w:rPr>
          <w:rFonts w:hint="eastAsia" w:ascii="仿宋" w:hAnsi="仿宋" w:eastAsia="仿宋" w:cs="Arial"/>
          <w:b/>
          <w:color w:val="auto"/>
          <w:kern w:val="0"/>
          <w:sz w:val="24"/>
          <w:highlight w:val="none"/>
          <w:u w:val="single"/>
        </w:rPr>
        <w:t>除单一来源采购项目外，为采购项目提供整体设计、规范编制或者项目管理、监理、检测等服务的供应商，不得再参加该采购项目的其他采购活动，相关磋商供应商的响应作无效处理</w:t>
      </w:r>
      <w:r>
        <w:rPr>
          <w:rFonts w:hint="eastAsia" w:ascii="仿宋" w:hAnsi="仿宋" w:eastAsia="仿宋" w:cs="Arial"/>
          <w:b/>
          <w:color w:val="auto"/>
          <w:kern w:val="0"/>
          <w:sz w:val="24"/>
          <w:highlight w:val="none"/>
        </w:rPr>
        <w:t>。</w:t>
      </w:r>
    </w:p>
    <w:p>
      <w:pPr>
        <w:pStyle w:val="4"/>
        <w:rPr>
          <w:color w:val="auto"/>
          <w:highlight w:val="none"/>
        </w:rPr>
      </w:pPr>
      <w:r>
        <w:rPr>
          <w:rFonts w:hint="eastAsia"/>
          <w:color w:val="auto"/>
          <w:highlight w:val="none"/>
        </w:rPr>
        <w:t>1.14 特殊供应商参加磋商活动的规定</w:t>
      </w:r>
    </w:p>
    <w:p>
      <w:pPr>
        <w:spacing w:line="360" w:lineRule="auto"/>
        <w:ind w:firstLine="424" w:firstLineChars="176"/>
        <w:rPr>
          <w:rFonts w:ascii="仿宋" w:hAnsi="仿宋" w:eastAsia="仿宋"/>
          <w:color w:val="auto"/>
          <w:highlight w:val="none"/>
        </w:rPr>
      </w:pPr>
      <w:r>
        <w:rPr>
          <w:rFonts w:hint="eastAsia" w:ascii="仿宋" w:hAnsi="仿宋" w:eastAsia="仿宋" w:cs="Arial"/>
          <w:b/>
          <w:color w:val="auto"/>
          <w:sz w:val="24"/>
          <w:highlight w:val="none"/>
        </w:rPr>
        <w:t>根据《关于规范政府采购供应商资格设定及资格审查的通知（浙财采监【2013】24号）》第六条的规定，</w:t>
      </w:r>
      <w:r>
        <w:rPr>
          <w:rFonts w:ascii="仿宋" w:hAnsi="仿宋" w:eastAsia="仿宋"/>
          <w:b/>
          <w:color w:val="auto"/>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color w:val="auto"/>
          <w:kern w:val="0"/>
          <w:sz w:val="24"/>
          <w:highlight w:val="none"/>
        </w:rPr>
        <w:t>本次</w:t>
      </w:r>
      <w:r>
        <w:rPr>
          <w:rFonts w:ascii="仿宋" w:hAnsi="仿宋" w:eastAsia="仿宋"/>
          <w:b/>
          <w:color w:val="auto"/>
          <w:kern w:val="0"/>
          <w:sz w:val="24"/>
          <w:highlight w:val="none"/>
        </w:rPr>
        <w:t>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color w:val="auto"/>
          <w:kern w:val="0"/>
          <w:sz w:val="24"/>
          <w:highlight w:val="none"/>
        </w:rPr>
        <w:t>。</w:t>
      </w:r>
    </w:p>
    <w:p>
      <w:pPr>
        <w:pStyle w:val="4"/>
        <w:rPr>
          <w:color w:val="auto"/>
          <w:highlight w:val="none"/>
        </w:rPr>
      </w:pPr>
      <w:r>
        <w:rPr>
          <w:rFonts w:hint="eastAsia"/>
          <w:color w:val="auto"/>
          <w:highlight w:val="none"/>
        </w:rPr>
        <w:t xml:space="preserve">1.15 </w:t>
      </w:r>
      <w:r>
        <w:rPr>
          <w:color w:val="auto"/>
          <w:highlight w:val="none"/>
        </w:rPr>
        <w:t>转包、分包</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1.15.1是否允许转包、分包：</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1.15.2《供应商须知前附表》中声明允许分包的，磋商供应商可以根据磋商文件的规定和采购项目的实际情况进行分包。</w:t>
      </w:r>
      <w:r>
        <w:rPr>
          <w:rFonts w:hint="eastAsia" w:ascii="仿宋" w:hAnsi="仿宋" w:eastAsia="仿宋"/>
          <w:b/>
          <w:color w:val="auto"/>
          <w:kern w:val="0"/>
          <w:sz w:val="24"/>
          <w:highlight w:val="none"/>
          <w:u w:val="single"/>
        </w:rPr>
        <w:t>供应商根据磋商文件的规定和采购项目的实际情况，拟在成交后将成交项目的非主体、非关键性工作分包的，应当在磋商响应文件中载明分包承担主体，分包承担主体应当具备相应资质条件且不得再次分包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b/>
          <w:color w:val="auto"/>
          <w:kern w:val="0"/>
          <w:sz w:val="24"/>
          <w:highlight w:val="none"/>
        </w:rPr>
        <w:t>。</w:t>
      </w:r>
      <w:r>
        <w:rPr>
          <w:rFonts w:ascii="仿宋" w:hAnsi="仿宋" w:eastAsia="仿宋"/>
          <w:color w:val="auto"/>
          <w:kern w:val="0"/>
          <w:sz w:val="24"/>
          <w:highlight w:val="none"/>
        </w:rPr>
        <w:t>采购合同分包履行的，成交供应商就采购项目和分包项目向采购人负责，分包供应商就分包项目承担责任。</w:t>
      </w:r>
    </w:p>
    <w:p>
      <w:pPr>
        <w:pStyle w:val="4"/>
        <w:rPr>
          <w:color w:val="auto"/>
          <w:highlight w:val="none"/>
        </w:rPr>
      </w:pPr>
      <w:r>
        <w:rPr>
          <w:rFonts w:hint="eastAsia"/>
          <w:color w:val="auto"/>
          <w:highlight w:val="none"/>
        </w:rPr>
        <w:t>1.16 供应商询问、</w:t>
      </w:r>
      <w:r>
        <w:rPr>
          <w:color w:val="auto"/>
          <w:highlight w:val="none"/>
        </w:rPr>
        <w:t>质疑和投诉</w:t>
      </w:r>
    </w:p>
    <w:p>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1.16.1询问：</w:t>
      </w:r>
      <w:r>
        <w:rPr>
          <w:rFonts w:hint="eastAsia" w:ascii="仿宋" w:hAnsi="仿宋" w:eastAsia="仿宋" w:cs="Arial"/>
          <w:color w:val="auto"/>
          <w:kern w:val="0"/>
          <w:sz w:val="24"/>
          <w:highlight w:val="none"/>
        </w:rPr>
        <w:t>在采购活动中供应商可以就某一事项向采购组织机构发出“询问”，采购组织机构将在收到供应商“询问”后三个工作日内予以答复，但规定不予答复的内容除外。</w:t>
      </w:r>
    </w:p>
    <w:p>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2质疑：</w:t>
      </w:r>
      <w:r>
        <w:rPr>
          <w:rFonts w:ascii="仿宋" w:hAnsi="仿宋" w:eastAsia="仿宋"/>
          <w:color w:val="auto"/>
          <w:kern w:val="0"/>
          <w:sz w:val="24"/>
          <w:highlight w:val="none"/>
        </w:rPr>
        <w:t>供应商认为</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文件、</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过程和</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结果使自己的合法权益受到损害的，应当在知道或者应知其权益受到损害之日起七个工作日内，以书面形式向</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提出质疑。</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上述所指“供应商应知其权益受到损害之日”，是指：</w:t>
      </w:r>
    </w:p>
    <w:p>
      <w:pPr>
        <w:spacing w:line="360" w:lineRule="auto"/>
        <w:ind w:firstLine="424" w:firstLineChars="177"/>
        <w:rPr>
          <w:rFonts w:ascii="仿宋" w:hAnsi="仿宋" w:eastAsia="仿宋"/>
          <w:color w:val="auto"/>
          <w:kern w:val="0"/>
          <w:sz w:val="24"/>
          <w:highlight w:val="none"/>
        </w:rPr>
      </w:pPr>
      <w:r>
        <w:rPr>
          <w:rFonts w:hint="eastAsia" w:ascii="仿宋" w:hAnsi="仿宋" w:eastAsia="仿宋"/>
          <w:color w:val="auto"/>
          <w:kern w:val="0"/>
          <w:sz w:val="24"/>
          <w:highlight w:val="none"/>
        </w:rPr>
        <w:t>（1）对</w:t>
      </w:r>
      <w:r>
        <w:rPr>
          <w:rFonts w:ascii="仿宋" w:hAnsi="仿宋" w:eastAsia="仿宋"/>
          <w:color w:val="auto"/>
          <w:sz w:val="24"/>
          <w:highlight w:val="none"/>
        </w:rPr>
        <w:t>采购文件</w:t>
      </w:r>
      <w:r>
        <w:rPr>
          <w:rFonts w:hint="eastAsia" w:ascii="仿宋" w:hAnsi="仿宋" w:eastAsia="仿宋"/>
          <w:color w:val="auto"/>
          <w:kern w:val="0"/>
          <w:sz w:val="24"/>
          <w:highlight w:val="none"/>
        </w:rPr>
        <w:t>提出质疑的，</w:t>
      </w:r>
      <w:r>
        <w:rPr>
          <w:rFonts w:hint="eastAsia" w:ascii="仿宋" w:hAnsi="仿宋" w:eastAsia="仿宋"/>
          <w:color w:val="auto"/>
          <w:sz w:val="24"/>
          <w:highlight w:val="none"/>
        </w:rPr>
        <w:t>为获取</w:t>
      </w:r>
      <w:r>
        <w:rPr>
          <w:rFonts w:ascii="仿宋" w:hAnsi="仿宋" w:eastAsia="仿宋"/>
          <w:color w:val="auto"/>
          <w:sz w:val="24"/>
          <w:highlight w:val="none"/>
        </w:rPr>
        <w:t>采购文件之日</w:t>
      </w:r>
      <w:r>
        <w:rPr>
          <w:rFonts w:hint="eastAsia" w:ascii="仿宋" w:hAnsi="仿宋" w:eastAsia="仿宋"/>
          <w:color w:val="auto"/>
          <w:sz w:val="24"/>
          <w:highlight w:val="none"/>
        </w:rPr>
        <w:t>或者采购文件公告期限届满之日（采购文件公告期限届满后获取采购文件的，以采购文件公告期限届满之日为准）</w:t>
      </w:r>
      <w:r>
        <w:rPr>
          <w:rFonts w:hint="eastAsia" w:ascii="仿宋" w:hAnsi="仿宋" w:eastAsia="仿宋"/>
          <w:color w:val="auto"/>
          <w:kern w:val="0"/>
          <w:sz w:val="24"/>
          <w:highlight w:val="none"/>
        </w:rPr>
        <w:t>；</w:t>
      </w:r>
    </w:p>
    <w:p>
      <w:pPr>
        <w:spacing w:line="360" w:lineRule="auto"/>
        <w:ind w:firstLine="424" w:firstLineChars="177"/>
        <w:rPr>
          <w:rFonts w:ascii="仿宋" w:hAnsi="仿宋" w:eastAsia="仿宋"/>
          <w:color w:val="auto"/>
          <w:kern w:val="0"/>
          <w:sz w:val="24"/>
          <w:highlight w:val="none"/>
        </w:rPr>
      </w:pPr>
      <w:r>
        <w:rPr>
          <w:rFonts w:hint="eastAsia" w:ascii="仿宋" w:hAnsi="仿宋" w:eastAsia="仿宋"/>
          <w:color w:val="auto"/>
          <w:kern w:val="0"/>
          <w:sz w:val="24"/>
          <w:highlight w:val="none"/>
        </w:rPr>
        <w:t>（2）对采购过程提出质疑的，为各采购程序环节结束之日；</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olor w:val="auto"/>
          <w:kern w:val="0"/>
          <w:sz w:val="24"/>
          <w:highlight w:val="none"/>
        </w:rPr>
        <w:t>（3）对中标或者成交结果提出质疑的，为中标或者成交结果公告期限届满之日。</w:t>
      </w:r>
    </w:p>
    <w:p>
      <w:pPr>
        <w:pStyle w:val="37"/>
        <w:spacing w:line="360" w:lineRule="auto"/>
        <w:ind w:firstLine="463" w:firstLineChars="192"/>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6</w:t>
      </w:r>
      <w:r>
        <w:rPr>
          <w:rFonts w:ascii="仿宋" w:hAnsi="仿宋" w:eastAsia="仿宋" w:cs="Arial"/>
          <w:b/>
          <w:color w:val="auto"/>
          <w:sz w:val="24"/>
          <w:highlight w:val="none"/>
        </w:rPr>
        <w:t>.</w:t>
      </w:r>
      <w:r>
        <w:rPr>
          <w:rFonts w:hint="eastAsia" w:ascii="仿宋" w:hAnsi="仿宋" w:eastAsia="仿宋" w:cs="Arial"/>
          <w:b/>
          <w:color w:val="auto"/>
          <w:sz w:val="24"/>
          <w:highlight w:val="none"/>
        </w:rPr>
        <w:t>2</w:t>
      </w:r>
      <w:r>
        <w:rPr>
          <w:rFonts w:ascii="仿宋" w:hAnsi="仿宋" w:eastAsia="仿宋" w:cs="Arial"/>
          <w:b/>
          <w:color w:val="auto"/>
          <w:sz w:val="24"/>
          <w:highlight w:val="none"/>
        </w:rPr>
        <w:t>.2</w:t>
      </w:r>
      <w:r>
        <w:rPr>
          <w:rFonts w:ascii="仿宋" w:hAnsi="仿宋" w:eastAsia="仿宋"/>
          <w:b/>
          <w:color w:val="auto"/>
          <w:sz w:val="24"/>
          <w:szCs w:val="28"/>
          <w:highlight w:val="none"/>
        </w:rPr>
        <w:t>供应商提出质疑应当提交质疑函和必要的证明材料。</w:t>
      </w:r>
      <w:r>
        <w:rPr>
          <w:rFonts w:ascii="仿宋" w:hAnsi="仿宋" w:eastAsia="仿宋"/>
          <w:color w:val="auto"/>
          <w:sz w:val="24"/>
          <w:szCs w:val="28"/>
          <w:highlight w:val="none"/>
        </w:rPr>
        <w:t>质疑函应当包括下列内容：</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1</w:t>
      </w:r>
      <w:r>
        <w:rPr>
          <w:rFonts w:ascii="仿宋" w:hAnsi="仿宋" w:eastAsia="仿宋"/>
          <w:color w:val="auto"/>
          <w:sz w:val="24"/>
          <w:szCs w:val="28"/>
          <w:highlight w:val="none"/>
        </w:rPr>
        <w:t>）供应商的姓名或者名称、地址、邮编、联系人及联系电话；</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2</w:t>
      </w:r>
      <w:r>
        <w:rPr>
          <w:rFonts w:ascii="仿宋" w:hAnsi="仿宋" w:eastAsia="仿宋"/>
          <w:color w:val="auto"/>
          <w:sz w:val="24"/>
          <w:szCs w:val="28"/>
          <w:highlight w:val="none"/>
        </w:rPr>
        <w:t>）质疑项目的名称、编号；</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3</w:t>
      </w:r>
      <w:r>
        <w:rPr>
          <w:rFonts w:ascii="仿宋" w:hAnsi="仿宋" w:eastAsia="仿宋"/>
          <w:color w:val="auto"/>
          <w:sz w:val="24"/>
          <w:szCs w:val="28"/>
          <w:highlight w:val="none"/>
        </w:rPr>
        <w:t>）具体、明确的质疑事项和与质疑事项相关的请求；</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4</w:t>
      </w:r>
      <w:r>
        <w:rPr>
          <w:rFonts w:ascii="仿宋" w:hAnsi="仿宋" w:eastAsia="仿宋"/>
          <w:color w:val="auto"/>
          <w:sz w:val="24"/>
          <w:szCs w:val="28"/>
          <w:highlight w:val="none"/>
        </w:rPr>
        <w:t>）事实依据；</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5</w:t>
      </w:r>
      <w:r>
        <w:rPr>
          <w:rFonts w:ascii="仿宋" w:hAnsi="仿宋" w:eastAsia="仿宋"/>
          <w:color w:val="auto"/>
          <w:sz w:val="24"/>
          <w:szCs w:val="28"/>
          <w:highlight w:val="none"/>
        </w:rPr>
        <w:t>）必要的法律依据；</w:t>
      </w:r>
    </w:p>
    <w:p>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6</w:t>
      </w:r>
      <w:r>
        <w:rPr>
          <w:rFonts w:ascii="仿宋" w:hAnsi="仿宋" w:eastAsia="仿宋"/>
          <w:color w:val="auto"/>
          <w:sz w:val="24"/>
          <w:szCs w:val="28"/>
          <w:highlight w:val="none"/>
        </w:rPr>
        <w:t>）提出质疑的日期。</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b/>
          <w:color w:val="auto"/>
          <w:sz w:val="24"/>
          <w:szCs w:val="28"/>
          <w:highlight w:val="none"/>
          <w:u w:val="single"/>
        </w:rPr>
        <w:t>供应商为自然人的，应当由本人签字</w:t>
      </w:r>
      <w:r>
        <w:rPr>
          <w:rFonts w:hint="eastAsia" w:ascii="仿宋" w:hAnsi="仿宋" w:eastAsia="仿宋"/>
          <w:b/>
          <w:color w:val="auto"/>
          <w:sz w:val="24"/>
          <w:szCs w:val="28"/>
          <w:highlight w:val="none"/>
          <w:u w:val="single"/>
        </w:rPr>
        <w:t>并附上身份证明</w:t>
      </w:r>
      <w:r>
        <w:rPr>
          <w:rFonts w:ascii="仿宋" w:hAnsi="仿宋" w:eastAsia="仿宋"/>
          <w:b/>
          <w:color w:val="auto"/>
          <w:sz w:val="24"/>
          <w:szCs w:val="28"/>
          <w:highlight w:val="none"/>
          <w:u w:val="single"/>
        </w:rPr>
        <w:t>；供应商为法人或者其他组织的，应当由法定代表人</w:t>
      </w:r>
      <w:r>
        <w:rPr>
          <w:rFonts w:hint="eastAsia" w:ascii="仿宋" w:hAnsi="仿宋" w:eastAsia="仿宋"/>
          <w:b/>
          <w:color w:val="auto"/>
          <w:sz w:val="24"/>
          <w:szCs w:val="28"/>
          <w:highlight w:val="none"/>
          <w:u w:val="single"/>
        </w:rPr>
        <w:t>（或主要负责人）</w:t>
      </w:r>
      <w:r>
        <w:rPr>
          <w:rFonts w:ascii="仿宋" w:hAnsi="仿宋" w:eastAsia="仿宋"/>
          <w:b/>
          <w:color w:val="auto"/>
          <w:sz w:val="24"/>
          <w:szCs w:val="28"/>
          <w:highlight w:val="none"/>
          <w:u w:val="single"/>
        </w:rPr>
        <w:t>或者其授权代表签字或者盖章，并加盖公章</w:t>
      </w:r>
      <w:r>
        <w:rPr>
          <w:rFonts w:ascii="仿宋" w:hAnsi="仿宋" w:eastAsia="仿宋"/>
          <w:b/>
          <w:color w:val="auto"/>
          <w:sz w:val="24"/>
          <w:szCs w:val="28"/>
          <w:highlight w:val="none"/>
        </w:rPr>
        <w:t>。</w:t>
      </w:r>
    </w:p>
    <w:p>
      <w:pPr>
        <w:spacing w:line="360" w:lineRule="auto"/>
        <w:ind w:firstLine="424" w:firstLineChars="177"/>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1.</w:t>
      </w:r>
      <w:r>
        <w:rPr>
          <w:rFonts w:ascii="仿宋" w:hAnsi="仿宋" w:eastAsia="仿宋"/>
          <w:color w:val="auto"/>
          <w:kern w:val="0"/>
          <w:sz w:val="24"/>
          <w:szCs w:val="20"/>
          <w:highlight w:val="none"/>
        </w:rPr>
        <w:t>1</w:t>
      </w:r>
      <w:r>
        <w:rPr>
          <w:rFonts w:hint="eastAsia" w:ascii="仿宋" w:hAnsi="仿宋" w:eastAsia="仿宋"/>
          <w:color w:val="auto"/>
          <w:kern w:val="0"/>
          <w:sz w:val="24"/>
          <w:szCs w:val="20"/>
          <w:highlight w:val="none"/>
        </w:rPr>
        <w:t>6</w:t>
      </w:r>
      <w:r>
        <w:rPr>
          <w:rFonts w:ascii="仿宋" w:hAnsi="仿宋" w:eastAsia="仿宋"/>
          <w:color w:val="auto"/>
          <w:kern w:val="0"/>
          <w:sz w:val="24"/>
          <w:szCs w:val="20"/>
          <w:highlight w:val="none"/>
        </w:rPr>
        <w:t>.2</w:t>
      </w:r>
      <w:r>
        <w:rPr>
          <w:rFonts w:hint="eastAsia" w:ascii="仿宋" w:hAnsi="仿宋" w:eastAsia="仿宋"/>
          <w:color w:val="auto"/>
          <w:kern w:val="0"/>
          <w:sz w:val="24"/>
          <w:szCs w:val="20"/>
          <w:highlight w:val="none"/>
        </w:rPr>
        <w:t>.3</w:t>
      </w:r>
      <w:r>
        <w:rPr>
          <w:rFonts w:ascii="仿宋" w:hAnsi="仿宋" w:eastAsia="仿宋"/>
          <w:color w:val="auto"/>
          <w:kern w:val="0"/>
          <w:sz w:val="24"/>
          <w:szCs w:val="20"/>
          <w:highlight w:val="none"/>
        </w:rPr>
        <w:t>供应商认可采购</w:t>
      </w:r>
      <w:r>
        <w:rPr>
          <w:rFonts w:hint="eastAsia" w:ascii="仿宋" w:hAnsi="仿宋" w:eastAsia="仿宋"/>
          <w:color w:val="auto"/>
          <w:kern w:val="0"/>
          <w:sz w:val="24"/>
          <w:szCs w:val="20"/>
          <w:highlight w:val="none"/>
        </w:rPr>
        <w:t>组织机构</w:t>
      </w:r>
      <w:r>
        <w:rPr>
          <w:rFonts w:ascii="仿宋" w:hAnsi="仿宋" w:eastAsia="仿宋"/>
          <w:color w:val="auto"/>
          <w:kern w:val="0"/>
          <w:sz w:val="24"/>
          <w:szCs w:val="20"/>
          <w:highlight w:val="none"/>
        </w:rPr>
        <w:t>在质疑答复程序中启用的调查和</w:t>
      </w:r>
      <w:r>
        <w:rPr>
          <w:rFonts w:hint="eastAsia" w:ascii="仿宋" w:hAnsi="仿宋" w:eastAsia="仿宋"/>
          <w:color w:val="auto"/>
          <w:kern w:val="0"/>
          <w:sz w:val="24"/>
          <w:szCs w:val="20"/>
          <w:highlight w:val="none"/>
        </w:rPr>
        <w:t>重新评审</w:t>
      </w:r>
      <w:r>
        <w:rPr>
          <w:rFonts w:ascii="仿宋" w:hAnsi="仿宋" w:eastAsia="仿宋"/>
          <w:color w:val="auto"/>
          <w:kern w:val="0"/>
          <w:sz w:val="24"/>
          <w:szCs w:val="20"/>
          <w:highlight w:val="none"/>
        </w:rPr>
        <w:t>等程序，在该程序操作过程未明显违反法律禁止性规定时，不得再提出异议</w:t>
      </w:r>
      <w:r>
        <w:rPr>
          <w:rFonts w:hint="eastAsia" w:ascii="仿宋" w:hAnsi="仿宋" w:eastAsia="仿宋"/>
          <w:color w:val="auto"/>
          <w:kern w:val="0"/>
          <w:sz w:val="24"/>
          <w:szCs w:val="20"/>
          <w:highlight w:val="none"/>
        </w:rPr>
        <w:t>。</w:t>
      </w:r>
    </w:p>
    <w:p>
      <w:pPr>
        <w:spacing w:line="360" w:lineRule="auto"/>
        <w:ind w:firstLine="424" w:firstLineChars="177"/>
        <w:rPr>
          <w:rFonts w:ascii="仿宋" w:hAnsi="仿宋" w:eastAsia="仿宋"/>
          <w:b/>
          <w:color w:val="auto"/>
          <w:kern w:val="0"/>
          <w:sz w:val="24"/>
          <w:szCs w:val="20"/>
          <w:highlight w:val="none"/>
        </w:rPr>
      </w:pPr>
      <w:r>
        <w:rPr>
          <w:rFonts w:hint="eastAsia" w:ascii="仿宋" w:hAnsi="仿宋" w:eastAsia="仿宋"/>
          <w:color w:val="auto"/>
          <w:kern w:val="0"/>
          <w:sz w:val="24"/>
          <w:szCs w:val="20"/>
          <w:highlight w:val="none"/>
        </w:rPr>
        <w:t>1.</w:t>
      </w:r>
      <w:r>
        <w:rPr>
          <w:rFonts w:ascii="仿宋" w:hAnsi="仿宋" w:eastAsia="仿宋"/>
          <w:color w:val="auto"/>
          <w:kern w:val="0"/>
          <w:sz w:val="24"/>
          <w:szCs w:val="20"/>
          <w:highlight w:val="none"/>
        </w:rPr>
        <w:t>1</w:t>
      </w:r>
      <w:r>
        <w:rPr>
          <w:rFonts w:hint="eastAsia" w:ascii="仿宋" w:hAnsi="仿宋" w:eastAsia="仿宋"/>
          <w:color w:val="auto"/>
          <w:kern w:val="0"/>
          <w:sz w:val="24"/>
          <w:szCs w:val="20"/>
          <w:highlight w:val="none"/>
        </w:rPr>
        <w:t>6</w:t>
      </w:r>
      <w:r>
        <w:rPr>
          <w:rFonts w:ascii="仿宋" w:hAnsi="仿宋" w:eastAsia="仿宋"/>
          <w:color w:val="auto"/>
          <w:kern w:val="0"/>
          <w:sz w:val="24"/>
          <w:szCs w:val="20"/>
          <w:highlight w:val="none"/>
        </w:rPr>
        <w:t>.</w:t>
      </w:r>
      <w:r>
        <w:rPr>
          <w:rFonts w:hint="eastAsia" w:ascii="仿宋" w:hAnsi="仿宋" w:eastAsia="仿宋"/>
          <w:color w:val="auto"/>
          <w:kern w:val="0"/>
          <w:sz w:val="24"/>
          <w:szCs w:val="20"/>
          <w:highlight w:val="none"/>
        </w:rPr>
        <w:t>2.4</w:t>
      </w:r>
      <w:r>
        <w:rPr>
          <w:rFonts w:ascii="仿宋" w:hAnsi="仿宋" w:eastAsia="仿宋"/>
          <w:color w:val="auto"/>
          <w:kern w:val="0"/>
          <w:sz w:val="24"/>
          <w:szCs w:val="20"/>
          <w:highlight w:val="none"/>
        </w:rPr>
        <w:t>质疑、投诉应当采用书面形式</w:t>
      </w:r>
      <w:r>
        <w:rPr>
          <w:rFonts w:hint="eastAsia" w:ascii="仿宋" w:hAnsi="仿宋" w:eastAsia="仿宋"/>
          <w:color w:val="auto"/>
          <w:kern w:val="0"/>
          <w:sz w:val="24"/>
          <w:szCs w:val="20"/>
          <w:highlight w:val="none"/>
        </w:rPr>
        <w:t>（原件一式三份），经法定代表人或其授权代表签署后</w:t>
      </w:r>
      <w:r>
        <w:rPr>
          <w:rFonts w:ascii="仿宋" w:hAnsi="仿宋" w:eastAsia="仿宋"/>
          <w:color w:val="auto"/>
          <w:kern w:val="0"/>
          <w:sz w:val="24"/>
          <w:szCs w:val="20"/>
          <w:highlight w:val="none"/>
        </w:rPr>
        <w:t>加盖单位公章，质疑书、投诉书均应明确阐述采购文件、</w:t>
      </w:r>
      <w:r>
        <w:rPr>
          <w:rFonts w:hint="eastAsia" w:ascii="仿宋" w:hAnsi="仿宋" w:eastAsia="仿宋"/>
          <w:color w:val="auto"/>
          <w:kern w:val="0"/>
          <w:sz w:val="24"/>
          <w:szCs w:val="20"/>
          <w:highlight w:val="none"/>
        </w:rPr>
        <w:t>采购</w:t>
      </w:r>
      <w:r>
        <w:rPr>
          <w:rFonts w:ascii="仿宋" w:hAnsi="仿宋" w:eastAsia="仿宋"/>
          <w:color w:val="auto"/>
          <w:kern w:val="0"/>
          <w:sz w:val="24"/>
          <w:szCs w:val="20"/>
          <w:highlight w:val="none"/>
        </w:rPr>
        <w:t>过程和中标</w:t>
      </w:r>
      <w:r>
        <w:rPr>
          <w:rFonts w:hint="eastAsia" w:ascii="仿宋" w:hAnsi="仿宋" w:eastAsia="仿宋"/>
          <w:color w:val="auto"/>
          <w:kern w:val="0"/>
          <w:sz w:val="24"/>
          <w:szCs w:val="20"/>
          <w:highlight w:val="none"/>
        </w:rPr>
        <w:t>或成交</w:t>
      </w:r>
      <w:r>
        <w:rPr>
          <w:rFonts w:ascii="仿宋" w:hAnsi="仿宋" w:eastAsia="仿宋"/>
          <w:color w:val="auto"/>
          <w:kern w:val="0"/>
          <w:sz w:val="24"/>
          <w:szCs w:val="20"/>
          <w:highlight w:val="none"/>
        </w:rPr>
        <w:t>结果中使自己合法权益受到损害的实质性内容，</w:t>
      </w:r>
      <w:r>
        <w:rPr>
          <w:rFonts w:hint="eastAsia" w:ascii="仿宋" w:hAnsi="仿宋" w:eastAsia="仿宋"/>
          <w:color w:val="auto"/>
          <w:kern w:val="0"/>
          <w:sz w:val="24"/>
          <w:szCs w:val="20"/>
          <w:highlight w:val="none"/>
        </w:rPr>
        <w:t>供应商提出的质疑、投诉应当有明确的诉求（即通过质疑所要达到的具体目标）和必要的证明材料（</w:t>
      </w:r>
      <w:r>
        <w:rPr>
          <w:rFonts w:hint="eastAsia" w:ascii="仿宋" w:hAnsi="仿宋" w:eastAsia="仿宋"/>
          <w:color w:val="auto"/>
          <w:kern w:val="0"/>
          <w:sz w:val="24"/>
          <w:szCs w:val="20"/>
          <w:highlight w:val="none"/>
          <w:u w:val="single"/>
        </w:rPr>
        <w:t>即通过合法手段获得的能够证明供应商的诉求成立的必要材料</w:t>
      </w:r>
      <w:r>
        <w:rPr>
          <w:rFonts w:hint="eastAsia" w:ascii="仿宋" w:hAnsi="仿宋" w:eastAsia="仿宋"/>
          <w:color w:val="auto"/>
          <w:kern w:val="0"/>
          <w:sz w:val="24"/>
          <w:szCs w:val="20"/>
          <w:highlight w:val="none"/>
        </w:rPr>
        <w:t>）。</w:t>
      </w:r>
    </w:p>
    <w:p>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b/>
          <w:color w:val="auto"/>
          <w:kern w:val="0"/>
          <w:sz w:val="24"/>
          <w:highlight w:val="none"/>
        </w:rPr>
        <w:t>1.16.3投诉：</w:t>
      </w:r>
      <w:r>
        <w:rPr>
          <w:rFonts w:ascii="仿宋" w:hAnsi="仿宋" w:eastAsia="仿宋"/>
          <w:color w:val="auto"/>
          <w:kern w:val="0"/>
          <w:sz w:val="24"/>
          <w:highlight w:val="none"/>
        </w:rPr>
        <w:t>供应商对</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的质疑答复不满意或者</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未在规定时间内作出答复的，可以在答复期满后十五个工作日内向监管部门投诉。</w:t>
      </w:r>
    </w:p>
    <w:p>
      <w:pPr>
        <w:pStyle w:val="4"/>
        <w:rPr>
          <w:color w:val="auto"/>
          <w:highlight w:val="none"/>
        </w:rPr>
      </w:pPr>
      <w:r>
        <w:rPr>
          <w:rFonts w:hint="eastAsia"/>
          <w:color w:val="auto"/>
          <w:highlight w:val="none"/>
        </w:rPr>
        <w:t>1.17 其他</w:t>
      </w:r>
      <w:r>
        <w:rPr>
          <w:color w:val="auto"/>
          <w:highlight w:val="none"/>
        </w:rPr>
        <w:t>说明</w:t>
      </w:r>
    </w:p>
    <w:p>
      <w:pPr>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1.17</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供应商</w:t>
      </w:r>
      <w:r>
        <w:rPr>
          <w:rFonts w:hint="eastAsia" w:ascii="仿宋" w:hAnsi="仿宋" w:eastAsia="仿宋" w:cs="Arial"/>
          <w:color w:val="auto"/>
          <w:kern w:val="0"/>
          <w:sz w:val="24"/>
          <w:highlight w:val="none"/>
        </w:rPr>
        <w:t>参加磋商时</w:t>
      </w:r>
      <w:r>
        <w:rPr>
          <w:rFonts w:ascii="仿宋" w:hAnsi="仿宋" w:eastAsia="仿宋" w:cs="Arial"/>
          <w:color w:val="auto"/>
          <w:kern w:val="0"/>
          <w:sz w:val="24"/>
          <w:highlight w:val="none"/>
        </w:rPr>
        <w:t>所使用的资格、信誉、荣誉、磋商供应商业绩与企业认证必须为本法人所拥有。供应商</w:t>
      </w:r>
      <w:r>
        <w:rPr>
          <w:rFonts w:hint="eastAsia" w:ascii="仿宋" w:hAnsi="仿宋" w:eastAsia="仿宋" w:cs="Arial"/>
          <w:color w:val="auto"/>
          <w:kern w:val="0"/>
          <w:sz w:val="24"/>
          <w:highlight w:val="none"/>
        </w:rPr>
        <w:t>参加磋商时</w:t>
      </w:r>
      <w:r>
        <w:rPr>
          <w:rFonts w:ascii="仿宋" w:hAnsi="仿宋" w:eastAsia="仿宋" w:cs="Arial"/>
          <w:color w:val="auto"/>
          <w:kern w:val="0"/>
          <w:sz w:val="24"/>
          <w:highlight w:val="none"/>
        </w:rPr>
        <w:t>所使用的项目实施人员可以为其控股公司的工作人员。在组织资格性审查</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商务或技术评审时，属于供应商母公司（总机构）或者同一</w:t>
      </w:r>
      <w:r>
        <w:rPr>
          <w:rFonts w:hint="eastAsia" w:ascii="仿宋" w:hAnsi="仿宋" w:eastAsia="仿宋" w:cs="Arial"/>
          <w:color w:val="auto"/>
          <w:kern w:val="0"/>
          <w:sz w:val="24"/>
          <w:highlight w:val="none"/>
        </w:rPr>
        <w:t>母公司</w:t>
      </w:r>
      <w:r>
        <w:rPr>
          <w:rFonts w:ascii="仿宋" w:hAnsi="仿宋" w:eastAsia="仿宋" w:cs="Arial"/>
          <w:color w:val="auto"/>
          <w:kern w:val="0"/>
          <w:sz w:val="24"/>
          <w:highlight w:val="none"/>
        </w:rPr>
        <w:t>下属的其他子公司（同一总机构下属的其他分支机构）的人员、业绩、荣誉、知识产权、项目案例等，</w:t>
      </w:r>
      <w:r>
        <w:rPr>
          <w:rFonts w:hint="eastAsia" w:ascii="仿宋" w:hAnsi="仿宋" w:eastAsia="仿宋" w:cs="Arial"/>
          <w:color w:val="auto"/>
          <w:kern w:val="0"/>
          <w:sz w:val="24"/>
          <w:highlight w:val="none"/>
        </w:rPr>
        <w:t>不得</w:t>
      </w:r>
      <w:r>
        <w:rPr>
          <w:rFonts w:ascii="仿宋" w:hAnsi="仿宋" w:eastAsia="仿宋" w:cs="Arial"/>
          <w:color w:val="auto"/>
          <w:kern w:val="0"/>
          <w:sz w:val="24"/>
          <w:highlight w:val="none"/>
        </w:rPr>
        <w:t>作为该供应商的资信文件予以确认或审查通过</w:t>
      </w:r>
      <w:r>
        <w:rPr>
          <w:rFonts w:hint="eastAsia" w:ascii="仿宋" w:hAnsi="仿宋" w:eastAsia="仿宋" w:cs="Arial"/>
          <w:color w:val="auto"/>
          <w:kern w:val="0"/>
          <w:sz w:val="24"/>
          <w:highlight w:val="none"/>
        </w:rPr>
        <w:t>。</w:t>
      </w:r>
    </w:p>
    <w:p>
      <w:pPr>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1.17</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u w:val="single"/>
        </w:rPr>
        <w:t>供应商在</w:t>
      </w:r>
      <w:r>
        <w:rPr>
          <w:rFonts w:hint="eastAsia" w:ascii="仿宋" w:hAnsi="仿宋" w:eastAsia="仿宋" w:cs="Arial"/>
          <w:b/>
          <w:color w:val="auto"/>
          <w:kern w:val="0"/>
          <w:sz w:val="24"/>
          <w:highlight w:val="none"/>
          <w:u w:val="single"/>
        </w:rPr>
        <w:t>磋商过程</w:t>
      </w:r>
      <w:r>
        <w:rPr>
          <w:rFonts w:ascii="仿宋" w:hAnsi="仿宋" w:eastAsia="仿宋" w:cs="Arial"/>
          <w:b/>
          <w:color w:val="auto"/>
          <w:kern w:val="0"/>
          <w:sz w:val="24"/>
          <w:highlight w:val="none"/>
          <w:u w:val="single"/>
        </w:rPr>
        <w:t>中提供任何虚假材料或从事其他违法活动的，其磋商响应无效，并报监管部门查处；</w:t>
      </w:r>
      <w:r>
        <w:rPr>
          <w:rFonts w:hint="eastAsia" w:ascii="仿宋" w:hAnsi="仿宋" w:eastAsia="仿宋" w:cs="Arial"/>
          <w:b/>
          <w:color w:val="auto"/>
          <w:kern w:val="0"/>
          <w:sz w:val="24"/>
          <w:highlight w:val="none"/>
          <w:u w:val="single"/>
        </w:rPr>
        <w:t>成交</w:t>
      </w:r>
      <w:r>
        <w:rPr>
          <w:rFonts w:ascii="仿宋" w:hAnsi="仿宋" w:eastAsia="仿宋" w:cs="Arial"/>
          <w:b/>
          <w:color w:val="auto"/>
          <w:kern w:val="0"/>
          <w:sz w:val="24"/>
          <w:highlight w:val="none"/>
          <w:u w:val="single"/>
        </w:rPr>
        <w:t>后发现的，</w:t>
      </w:r>
      <w:r>
        <w:rPr>
          <w:rFonts w:hint="eastAsia" w:ascii="仿宋" w:hAnsi="仿宋" w:eastAsia="仿宋" w:cs="Arial"/>
          <w:b/>
          <w:color w:val="auto"/>
          <w:kern w:val="0"/>
          <w:sz w:val="24"/>
          <w:highlight w:val="none"/>
          <w:u w:val="single"/>
        </w:rPr>
        <w:t>成交无效，并</w:t>
      </w:r>
      <w:r>
        <w:rPr>
          <w:rFonts w:ascii="仿宋" w:hAnsi="仿宋" w:eastAsia="仿宋" w:cs="Arial"/>
          <w:b/>
          <w:color w:val="auto"/>
          <w:kern w:val="0"/>
          <w:sz w:val="24"/>
          <w:highlight w:val="none"/>
          <w:u w:val="single"/>
        </w:rPr>
        <w:t>须依照</w:t>
      </w:r>
      <w:r>
        <w:rPr>
          <w:rFonts w:hint="eastAsia" w:ascii="仿宋" w:hAnsi="仿宋" w:eastAsia="仿宋" w:cs="Arial"/>
          <w:b/>
          <w:color w:val="auto"/>
          <w:kern w:val="0"/>
          <w:sz w:val="24"/>
          <w:highlight w:val="none"/>
          <w:u w:val="single"/>
        </w:rPr>
        <w:t>相关</w:t>
      </w:r>
      <w:r>
        <w:rPr>
          <w:rFonts w:ascii="仿宋" w:hAnsi="仿宋" w:eastAsia="仿宋" w:cs="Arial"/>
          <w:b/>
          <w:color w:val="auto"/>
          <w:kern w:val="0"/>
          <w:sz w:val="24"/>
          <w:highlight w:val="none"/>
          <w:u w:val="single"/>
        </w:rPr>
        <w:t>规定双倍赔偿给采购人。且民事赔偿并不免除违法供应商的行政与刑事责任</w:t>
      </w:r>
      <w:r>
        <w:rPr>
          <w:rFonts w:hint="eastAsia" w:ascii="仿宋" w:hAnsi="仿宋" w:eastAsia="仿宋" w:cs="Arial"/>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1.17</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3</w:t>
      </w:r>
      <w:r>
        <w:rPr>
          <w:rFonts w:ascii="仿宋" w:hAnsi="仿宋" w:eastAsia="仿宋" w:cs="Arial"/>
          <w:color w:val="auto"/>
          <w:kern w:val="0"/>
          <w:sz w:val="24"/>
          <w:highlight w:val="none"/>
        </w:rPr>
        <w:t>供应商应仔细阅读磋商文件的所有内容，按照磋商文件的要求提交《磋商响应文件》。</w:t>
      </w:r>
      <w:r>
        <w:rPr>
          <w:rFonts w:ascii="仿宋" w:hAnsi="仿宋" w:eastAsia="仿宋" w:cs="Arial"/>
          <w:b/>
          <w:color w:val="auto"/>
          <w:kern w:val="0"/>
          <w:sz w:val="24"/>
          <w:highlight w:val="none"/>
          <w:u w:val="single"/>
        </w:rPr>
        <w:t>《磋商响应文件》应对磋商文件的要求作出实质性响应，并对所提供的全部资料的真实性承担法律责任</w:t>
      </w:r>
      <w:r>
        <w:rPr>
          <w:rFonts w:hint="eastAsia" w:ascii="仿宋" w:hAnsi="仿宋" w:eastAsia="仿宋" w:cs="Arial"/>
          <w:b/>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1.17.4磋商文件中如有涉及产品品牌或型号为建议性要求或档次选择要求或为代替部分技术指标描述，供应商可以自行选择其他品牌型号的产品参加响应，但所投产品应当具有相等或更优于磋商文件要求的指标、性能、档次，否则，磋商小组将对其作出不利的评审。</w:t>
      </w:r>
    </w:p>
    <w:p>
      <w:pPr>
        <w:pStyle w:val="3"/>
        <w:rPr>
          <w:color w:val="auto"/>
          <w:highlight w:val="none"/>
        </w:rPr>
      </w:pPr>
      <w:bookmarkStart w:id="9" w:name="_Toc17382"/>
      <w:r>
        <w:rPr>
          <w:rFonts w:hint="eastAsia"/>
          <w:color w:val="auto"/>
          <w:highlight w:val="none"/>
        </w:rPr>
        <w:t>二、落实的采购政策</w:t>
      </w:r>
      <w:bookmarkEnd w:id="9"/>
    </w:p>
    <w:p>
      <w:pPr>
        <w:pStyle w:val="4"/>
        <w:rPr>
          <w:color w:val="auto"/>
          <w:highlight w:val="none"/>
        </w:rPr>
      </w:pPr>
      <w:r>
        <w:rPr>
          <w:rFonts w:hint="eastAsia"/>
          <w:color w:val="auto"/>
          <w:highlight w:val="none"/>
        </w:rPr>
        <w:t>2.1 是否专门面向中小企业采购</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2.1.1是否专门面向中小企业采购：</w:t>
      </w:r>
      <w:r>
        <w:rPr>
          <w:rFonts w:hint="eastAsia" w:ascii="仿宋" w:hAnsi="仿宋" w:eastAsia="仿宋" w:cs="Arial"/>
          <w:b/>
          <w:color w:val="auto"/>
          <w:kern w:val="0"/>
          <w:sz w:val="24"/>
          <w:highlight w:val="none"/>
          <w:u w:val="single"/>
        </w:rPr>
        <w:t>见《磋商须知前附表》；</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2.1.2 本项目中小企业划分标准所属行业：</w:t>
      </w:r>
      <w:r>
        <w:rPr>
          <w:rFonts w:hint="eastAsia" w:ascii="仿宋" w:hAnsi="仿宋" w:eastAsia="仿宋" w:cs="Arial"/>
          <w:b/>
          <w:color w:val="auto"/>
          <w:kern w:val="0"/>
          <w:sz w:val="24"/>
          <w:highlight w:val="none"/>
          <w:u w:val="single"/>
        </w:rPr>
        <w:t>见《磋商须知前附表》。</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2.1.3在采购活动中，供应商提供的货物、工程或者服务符合下列情形的，享受中小企业扶持政策：</w:t>
      </w:r>
    </w:p>
    <w:p>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（2）在工程采购项目中，工程由中小企业承建，即工程施工单位为中小企业；</w:t>
      </w:r>
    </w:p>
    <w:p>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（3）在服务采购项目中，服务由中小企业承接，即提供服务的人员为中小企业依照《中华人民共和国劳动合同法》订立劳动合同的从业人员。</w:t>
      </w:r>
    </w:p>
    <w:p>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以联合体形式参加采购活动，联合体各方均为中小企业的，联合体视同中小企业。其中，联合体各方均为小微企业的，联合体视同小微企业。</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2.1.4可享受中小企业扶持政策的供应商应按照磋商响应文件格式要求提供《中小企业声明函》。</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2.1.5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采购活动时，视同小型、微型企业。</w:t>
      </w:r>
    </w:p>
    <w:p>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2.1.6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采购活动时，视同小型、微型企业。</w:t>
      </w:r>
    </w:p>
    <w:p>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备注：（1）残疾人福利性单位证明材料：残疾人福利性单位声明函（见第六章 磋商响应文件格式）；（2）如提供其他残疾人福利性单位制造的货物，还须同时提供该企业的残疾人福利性单位声明函。</w:t>
      </w:r>
    </w:p>
    <w:p>
      <w:pPr>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2.1.7中小企业享受扶持政策获得采购合同的，小微企业不得将合同分包给大中型企业，中型企业不得将合同分包给大型企业。</w:t>
      </w:r>
    </w:p>
    <w:p>
      <w:pPr>
        <w:pStyle w:val="4"/>
        <w:rPr>
          <w:color w:val="auto"/>
          <w:highlight w:val="none"/>
        </w:rPr>
      </w:pPr>
      <w:r>
        <w:rPr>
          <w:rFonts w:hint="eastAsia"/>
          <w:color w:val="auto"/>
          <w:highlight w:val="none"/>
        </w:rPr>
        <w:t>2.2 小、微企业价格扣除扶持政策</w:t>
      </w:r>
    </w:p>
    <w:p>
      <w:pPr>
        <w:pStyle w:val="4"/>
        <w:ind w:firstLine="482" w:firstLineChars="200"/>
        <w:rPr>
          <w:rFonts w:ascii="仿宋" w:hAnsi="仿宋" w:eastAsia="仿宋"/>
          <w:color w:val="auto"/>
          <w:sz w:val="24"/>
          <w:szCs w:val="20"/>
          <w:highlight w:val="none"/>
        </w:rPr>
      </w:pPr>
      <w:r>
        <w:rPr>
          <w:rFonts w:hint="eastAsia" w:ascii="仿宋" w:hAnsi="仿宋" w:eastAsia="仿宋"/>
          <w:color w:val="auto"/>
          <w:sz w:val="24"/>
          <w:szCs w:val="20"/>
          <w:highlight w:val="none"/>
        </w:rPr>
        <w:t>无</w:t>
      </w:r>
    </w:p>
    <w:p>
      <w:pPr>
        <w:pStyle w:val="4"/>
        <w:rPr>
          <w:color w:val="auto"/>
          <w:highlight w:val="none"/>
        </w:rPr>
      </w:pPr>
      <w:r>
        <w:rPr>
          <w:rFonts w:hint="eastAsia"/>
          <w:color w:val="auto"/>
          <w:highlight w:val="none"/>
        </w:rPr>
        <w:t>2.3 监狱企业、残疾人福利性单位价格扣除扶持政策</w:t>
      </w:r>
    </w:p>
    <w:p>
      <w:pPr>
        <w:spacing w:line="360" w:lineRule="auto"/>
        <w:ind w:firstLine="422" w:firstLineChars="175"/>
        <w:rPr>
          <w:rFonts w:ascii="仿宋" w:hAnsi="仿宋" w:eastAsia="仿宋"/>
          <w:b/>
          <w:bCs/>
          <w:color w:val="auto"/>
          <w:sz w:val="24"/>
          <w:highlight w:val="none"/>
        </w:rPr>
      </w:pPr>
      <w:r>
        <w:rPr>
          <w:rFonts w:hint="eastAsia" w:ascii="仿宋" w:hAnsi="仿宋" w:eastAsia="仿宋"/>
          <w:b/>
          <w:bCs/>
          <w:color w:val="auto"/>
          <w:sz w:val="24"/>
          <w:highlight w:val="none"/>
        </w:rPr>
        <w:t>无</w:t>
      </w:r>
    </w:p>
    <w:p>
      <w:pPr>
        <w:pStyle w:val="3"/>
        <w:rPr>
          <w:color w:val="auto"/>
          <w:highlight w:val="none"/>
        </w:rPr>
      </w:pPr>
      <w:bookmarkStart w:id="10" w:name="_Toc28463"/>
      <w:r>
        <w:rPr>
          <w:rFonts w:hint="eastAsia"/>
          <w:color w:val="auto"/>
          <w:highlight w:val="none"/>
        </w:rPr>
        <w:t>三、磋商文件（采购文件）</w:t>
      </w:r>
      <w:bookmarkEnd w:id="10"/>
    </w:p>
    <w:p>
      <w:pPr>
        <w:pStyle w:val="4"/>
        <w:rPr>
          <w:color w:val="auto"/>
          <w:highlight w:val="none"/>
        </w:rPr>
      </w:pPr>
      <w:r>
        <w:rPr>
          <w:rFonts w:hint="eastAsia"/>
          <w:color w:val="auto"/>
          <w:highlight w:val="none"/>
        </w:rPr>
        <w:t xml:space="preserve">3.1 </w:t>
      </w:r>
      <w:r>
        <w:rPr>
          <w:color w:val="auto"/>
          <w:highlight w:val="none"/>
        </w:rPr>
        <w:t>磋商文件的</w:t>
      </w:r>
      <w:r>
        <w:rPr>
          <w:rFonts w:hint="eastAsia"/>
          <w:color w:val="auto"/>
          <w:highlight w:val="none"/>
        </w:rPr>
        <w:t>组成</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第一章 </w:t>
      </w:r>
      <w:r>
        <w:rPr>
          <w:rFonts w:ascii="仿宋" w:hAnsi="仿宋" w:eastAsia="仿宋" w:cs="Arial"/>
          <w:color w:val="auto"/>
          <w:kern w:val="0"/>
          <w:sz w:val="24"/>
          <w:szCs w:val="22"/>
          <w:highlight w:val="none"/>
        </w:rPr>
        <w:t>竞争性磋商公告</w:t>
      </w:r>
      <w:r>
        <w:rPr>
          <w:rFonts w:hint="eastAsia" w:ascii="仿宋" w:hAnsi="仿宋" w:eastAsia="仿宋" w:cs="Arial"/>
          <w:color w:val="auto"/>
          <w:kern w:val="0"/>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第二章 供应商须知；</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第三章 </w:t>
      </w:r>
      <w:r>
        <w:rPr>
          <w:rFonts w:ascii="仿宋" w:hAnsi="仿宋" w:eastAsia="仿宋" w:cs="Arial"/>
          <w:color w:val="auto"/>
          <w:kern w:val="0"/>
          <w:sz w:val="24"/>
          <w:szCs w:val="22"/>
          <w:highlight w:val="none"/>
        </w:rPr>
        <w:t>采购需求</w:t>
      </w:r>
      <w:r>
        <w:rPr>
          <w:rFonts w:hint="eastAsia" w:ascii="仿宋" w:hAnsi="仿宋" w:eastAsia="仿宋" w:cs="Arial"/>
          <w:color w:val="auto"/>
          <w:kern w:val="0"/>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第四章 </w:t>
      </w:r>
      <w:r>
        <w:rPr>
          <w:rFonts w:ascii="仿宋" w:hAnsi="仿宋" w:eastAsia="仿宋" w:cs="Arial"/>
          <w:color w:val="auto"/>
          <w:kern w:val="0"/>
          <w:sz w:val="24"/>
          <w:szCs w:val="22"/>
          <w:highlight w:val="none"/>
        </w:rPr>
        <w:t>评审方法和标准</w:t>
      </w:r>
      <w:r>
        <w:rPr>
          <w:rFonts w:hint="eastAsia" w:ascii="仿宋" w:hAnsi="仿宋" w:eastAsia="仿宋" w:cs="Arial"/>
          <w:color w:val="auto"/>
          <w:kern w:val="0"/>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第五章 </w:t>
      </w:r>
      <w:r>
        <w:rPr>
          <w:rFonts w:ascii="仿宋" w:hAnsi="仿宋" w:eastAsia="仿宋" w:cs="Arial"/>
          <w:color w:val="auto"/>
          <w:kern w:val="0"/>
          <w:sz w:val="24"/>
          <w:szCs w:val="22"/>
          <w:highlight w:val="none"/>
        </w:rPr>
        <w:t>合同条款</w:t>
      </w:r>
      <w:r>
        <w:rPr>
          <w:rFonts w:hint="eastAsia" w:ascii="仿宋" w:hAnsi="仿宋" w:eastAsia="仿宋" w:cs="Arial"/>
          <w:color w:val="auto"/>
          <w:kern w:val="0"/>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第六章 </w:t>
      </w:r>
      <w:r>
        <w:rPr>
          <w:rFonts w:ascii="仿宋" w:hAnsi="仿宋" w:eastAsia="仿宋" w:cs="Arial"/>
          <w:color w:val="auto"/>
          <w:kern w:val="0"/>
          <w:sz w:val="24"/>
          <w:szCs w:val="22"/>
          <w:highlight w:val="none"/>
        </w:rPr>
        <w:t>磋商响应文件</w:t>
      </w:r>
      <w:r>
        <w:rPr>
          <w:rFonts w:hint="eastAsia" w:ascii="仿宋" w:hAnsi="仿宋" w:eastAsia="仿宋" w:cs="Arial"/>
          <w:color w:val="auto"/>
          <w:kern w:val="0"/>
          <w:sz w:val="24"/>
          <w:szCs w:val="22"/>
          <w:highlight w:val="none"/>
        </w:rPr>
        <w:t>的</w:t>
      </w:r>
      <w:r>
        <w:rPr>
          <w:rFonts w:ascii="仿宋" w:hAnsi="仿宋" w:eastAsia="仿宋" w:cs="Arial"/>
          <w:color w:val="auto"/>
          <w:kern w:val="0"/>
          <w:sz w:val="24"/>
          <w:szCs w:val="22"/>
          <w:highlight w:val="none"/>
        </w:rPr>
        <w:t>格式</w:t>
      </w:r>
      <w:r>
        <w:rPr>
          <w:rFonts w:hint="eastAsia" w:ascii="仿宋" w:hAnsi="仿宋" w:eastAsia="仿宋" w:cs="Arial"/>
          <w:color w:val="auto"/>
          <w:kern w:val="0"/>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第七章 附件；</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磋商文件的澄清、修改文件（如有）；</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磋商过程中经采购人确认的对磋商文件作出的实质性变动（如有）。</w:t>
      </w:r>
    </w:p>
    <w:p>
      <w:pPr>
        <w:pStyle w:val="4"/>
        <w:rPr>
          <w:color w:val="auto"/>
          <w:highlight w:val="none"/>
        </w:rPr>
      </w:pPr>
      <w:r>
        <w:rPr>
          <w:rFonts w:hint="eastAsia"/>
          <w:color w:val="auto"/>
          <w:highlight w:val="none"/>
        </w:rPr>
        <w:t xml:space="preserve">3.2 </w:t>
      </w:r>
      <w:r>
        <w:rPr>
          <w:color w:val="auto"/>
          <w:highlight w:val="none"/>
        </w:rPr>
        <w:t>磋商文件的</w:t>
      </w:r>
      <w:r>
        <w:rPr>
          <w:rFonts w:hint="eastAsia"/>
          <w:color w:val="auto"/>
          <w:highlight w:val="none"/>
        </w:rPr>
        <w:t>提疑</w:t>
      </w:r>
    </w:p>
    <w:p>
      <w:pPr>
        <w:spacing w:line="360" w:lineRule="auto"/>
        <w:ind w:left="1"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3.2.1磋商文件提疑截止时间：</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pPr>
        <w:spacing w:line="360" w:lineRule="auto"/>
        <w:ind w:firstLine="426" w:firstLineChars="177"/>
        <w:rPr>
          <w:rFonts w:ascii="仿宋" w:hAnsi="仿宋" w:eastAsia="仿宋"/>
          <w:color w:val="auto"/>
          <w:kern w:val="0"/>
          <w:sz w:val="24"/>
          <w:highlight w:val="none"/>
        </w:rPr>
      </w:pPr>
      <w:r>
        <w:rPr>
          <w:rFonts w:hint="eastAsia" w:ascii="仿宋" w:hAnsi="仿宋" w:eastAsia="仿宋"/>
          <w:b/>
          <w:color w:val="auto"/>
          <w:kern w:val="0"/>
          <w:sz w:val="24"/>
          <w:highlight w:val="none"/>
        </w:rPr>
        <w:t>3.2</w:t>
      </w:r>
      <w:r>
        <w:rPr>
          <w:rFonts w:ascii="仿宋" w:hAnsi="仿宋" w:eastAsia="仿宋"/>
          <w:b/>
          <w:color w:val="auto"/>
          <w:kern w:val="0"/>
          <w:sz w:val="24"/>
          <w:highlight w:val="none"/>
        </w:rPr>
        <w:t>.</w:t>
      </w:r>
      <w:r>
        <w:rPr>
          <w:rFonts w:hint="eastAsia" w:ascii="仿宋" w:hAnsi="仿宋" w:eastAsia="仿宋"/>
          <w:b/>
          <w:color w:val="auto"/>
          <w:kern w:val="0"/>
          <w:sz w:val="24"/>
          <w:highlight w:val="none"/>
        </w:rPr>
        <w:t>2</w:t>
      </w:r>
      <w:r>
        <w:rPr>
          <w:rFonts w:ascii="仿宋" w:hAnsi="仿宋" w:eastAsia="仿宋"/>
          <w:b/>
          <w:color w:val="auto"/>
          <w:kern w:val="0"/>
          <w:sz w:val="24"/>
          <w:highlight w:val="none"/>
          <w:u w:val="single"/>
        </w:rPr>
        <w:t>供应商应认真阅读</w:t>
      </w:r>
      <w:r>
        <w:rPr>
          <w:rFonts w:hint="eastAsia" w:ascii="仿宋" w:hAnsi="仿宋" w:eastAsia="仿宋"/>
          <w:b/>
          <w:color w:val="auto"/>
          <w:kern w:val="0"/>
          <w:sz w:val="24"/>
          <w:highlight w:val="none"/>
          <w:u w:val="single"/>
        </w:rPr>
        <w:t>通过经登记报名后获取的磋商</w:t>
      </w:r>
      <w:r>
        <w:rPr>
          <w:rFonts w:ascii="仿宋" w:hAnsi="仿宋" w:eastAsia="仿宋"/>
          <w:b/>
          <w:color w:val="auto"/>
          <w:kern w:val="0"/>
          <w:sz w:val="24"/>
          <w:highlight w:val="none"/>
          <w:u w:val="single"/>
        </w:rPr>
        <w:t>文件，</w:t>
      </w:r>
      <w:r>
        <w:rPr>
          <w:rFonts w:hint="eastAsia" w:ascii="仿宋" w:hAnsi="仿宋" w:eastAsia="仿宋"/>
          <w:b/>
          <w:color w:val="auto"/>
          <w:kern w:val="0"/>
          <w:sz w:val="24"/>
          <w:highlight w:val="none"/>
          <w:u w:val="single"/>
        </w:rPr>
        <w:t>如</w:t>
      </w:r>
      <w:r>
        <w:rPr>
          <w:rFonts w:ascii="仿宋" w:hAnsi="仿宋" w:eastAsia="仿宋"/>
          <w:b/>
          <w:color w:val="auto"/>
          <w:kern w:val="0"/>
          <w:sz w:val="24"/>
          <w:highlight w:val="none"/>
          <w:u w:val="single"/>
        </w:rPr>
        <w:t>发现</w:t>
      </w:r>
      <w:r>
        <w:rPr>
          <w:rFonts w:hint="eastAsia" w:ascii="仿宋" w:hAnsi="仿宋" w:eastAsia="仿宋"/>
          <w:b/>
          <w:color w:val="auto"/>
          <w:kern w:val="0"/>
          <w:sz w:val="24"/>
          <w:highlight w:val="none"/>
          <w:u w:val="single"/>
        </w:rPr>
        <w:t>磋商文件</w:t>
      </w:r>
      <w:r>
        <w:rPr>
          <w:rFonts w:ascii="仿宋" w:hAnsi="仿宋" w:eastAsia="仿宋"/>
          <w:b/>
          <w:color w:val="auto"/>
          <w:kern w:val="0"/>
          <w:sz w:val="24"/>
          <w:highlight w:val="none"/>
          <w:u w:val="single"/>
        </w:rPr>
        <w:t>中有</w:t>
      </w:r>
      <w:r>
        <w:rPr>
          <w:rFonts w:hint="eastAsia" w:ascii="仿宋" w:hAnsi="仿宋" w:eastAsia="仿宋"/>
          <w:b/>
          <w:color w:val="auto"/>
          <w:kern w:val="0"/>
          <w:sz w:val="24"/>
          <w:highlight w:val="none"/>
          <w:u w:val="single"/>
        </w:rPr>
        <w:t>前后不一致或不清楚或有误的内容</w:t>
      </w:r>
      <w:r>
        <w:rPr>
          <w:rFonts w:ascii="仿宋" w:hAnsi="仿宋" w:eastAsia="仿宋"/>
          <w:b/>
          <w:color w:val="auto"/>
          <w:kern w:val="0"/>
          <w:sz w:val="24"/>
          <w:highlight w:val="none"/>
          <w:u w:val="single"/>
        </w:rPr>
        <w:t>，</w:t>
      </w:r>
      <w:r>
        <w:rPr>
          <w:rFonts w:hint="eastAsia" w:ascii="仿宋" w:hAnsi="仿宋" w:eastAsia="仿宋"/>
          <w:b/>
          <w:color w:val="auto"/>
          <w:kern w:val="0"/>
          <w:sz w:val="24"/>
          <w:highlight w:val="none"/>
          <w:u w:val="single"/>
        </w:rPr>
        <w:t>应在“磋商文件提疑截止时间”</w:t>
      </w:r>
      <w:r>
        <w:rPr>
          <w:rFonts w:ascii="仿宋" w:hAnsi="仿宋" w:eastAsia="仿宋"/>
          <w:b/>
          <w:color w:val="auto"/>
          <w:kern w:val="0"/>
          <w:sz w:val="24"/>
          <w:highlight w:val="none"/>
          <w:u w:val="single"/>
        </w:rPr>
        <w:t>前以书面形式向采购</w:t>
      </w:r>
      <w:r>
        <w:rPr>
          <w:rFonts w:hint="eastAsia" w:ascii="仿宋" w:hAnsi="仿宋" w:eastAsia="仿宋"/>
          <w:b/>
          <w:color w:val="auto"/>
          <w:kern w:val="0"/>
          <w:sz w:val="24"/>
          <w:highlight w:val="none"/>
          <w:u w:val="single"/>
        </w:rPr>
        <w:t>代理</w:t>
      </w:r>
      <w:r>
        <w:rPr>
          <w:rFonts w:ascii="仿宋" w:hAnsi="仿宋" w:eastAsia="仿宋"/>
          <w:b/>
          <w:color w:val="auto"/>
          <w:kern w:val="0"/>
          <w:sz w:val="24"/>
          <w:highlight w:val="none"/>
          <w:u w:val="single"/>
        </w:rPr>
        <w:t>机构</w:t>
      </w:r>
      <w:r>
        <w:rPr>
          <w:rFonts w:hint="eastAsia" w:ascii="仿宋" w:hAnsi="仿宋" w:eastAsia="仿宋"/>
          <w:b/>
          <w:color w:val="auto"/>
          <w:kern w:val="0"/>
          <w:sz w:val="24"/>
          <w:highlight w:val="none"/>
          <w:u w:val="single"/>
        </w:rPr>
        <w:t>提出，否则造成的一切后果由供应商自行承担，采购人、采购代理机构概不负责</w:t>
      </w:r>
      <w:r>
        <w:rPr>
          <w:rFonts w:hint="eastAsia" w:ascii="仿宋" w:hAnsi="仿宋" w:eastAsia="仿宋"/>
          <w:b/>
          <w:color w:val="auto"/>
          <w:kern w:val="0"/>
          <w:sz w:val="24"/>
          <w:highlight w:val="none"/>
        </w:rPr>
        <w:t>。</w:t>
      </w:r>
    </w:p>
    <w:p>
      <w:pPr>
        <w:spacing w:line="360" w:lineRule="auto"/>
        <w:ind w:left="1" w:firstLine="422" w:firstLineChars="176"/>
        <w:rPr>
          <w:rFonts w:ascii="仿宋" w:hAnsi="仿宋" w:eastAsia="仿宋" w:cs="Arial"/>
          <w:color w:val="auto"/>
          <w:kern w:val="0"/>
          <w:sz w:val="24"/>
          <w:szCs w:val="22"/>
          <w:highlight w:val="none"/>
        </w:rPr>
      </w:pPr>
      <w:r>
        <w:rPr>
          <w:rFonts w:hint="eastAsia" w:ascii="仿宋" w:hAnsi="仿宋" w:eastAsia="仿宋"/>
          <w:color w:val="auto"/>
          <w:kern w:val="0"/>
          <w:sz w:val="24"/>
          <w:highlight w:val="none"/>
        </w:rPr>
        <w:t>3.2</w:t>
      </w:r>
      <w:r>
        <w:rPr>
          <w:rFonts w:ascii="仿宋" w:hAnsi="仿宋" w:eastAsia="仿宋"/>
          <w:color w:val="auto"/>
          <w:kern w:val="0"/>
          <w:sz w:val="24"/>
          <w:highlight w:val="none"/>
        </w:rPr>
        <w:t>.</w:t>
      </w:r>
      <w:r>
        <w:rPr>
          <w:rFonts w:hint="eastAsia" w:ascii="仿宋" w:hAnsi="仿宋" w:eastAsia="仿宋"/>
          <w:color w:val="auto"/>
          <w:kern w:val="0"/>
          <w:sz w:val="24"/>
          <w:highlight w:val="none"/>
        </w:rPr>
        <w:t>3采购代理机构将在收到供应商递交的《疑问函》后三个工作日内以书面形式</w:t>
      </w:r>
      <w:r>
        <w:rPr>
          <w:rFonts w:ascii="仿宋" w:hAnsi="仿宋" w:eastAsia="仿宋"/>
          <w:color w:val="auto"/>
          <w:kern w:val="0"/>
          <w:sz w:val="24"/>
          <w:highlight w:val="none"/>
        </w:rPr>
        <w:t>答复供应商</w:t>
      </w:r>
      <w:r>
        <w:rPr>
          <w:rFonts w:hint="eastAsia" w:ascii="仿宋" w:hAnsi="仿宋" w:eastAsia="仿宋"/>
          <w:color w:val="auto"/>
          <w:kern w:val="0"/>
          <w:sz w:val="24"/>
          <w:highlight w:val="none"/>
        </w:rPr>
        <w:t>提出</w:t>
      </w:r>
      <w:r>
        <w:rPr>
          <w:rFonts w:ascii="仿宋" w:hAnsi="仿宋" w:eastAsia="仿宋"/>
          <w:color w:val="auto"/>
          <w:kern w:val="0"/>
          <w:sz w:val="24"/>
          <w:highlight w:val="none"/>
        </w:rPr>
        <w:t>的问题，并将不包含问题来源的答复通知所有</w:t>
      </w:r>
      <w:r>
        <w:rPr>
          <w:rFonts w:hint="eastAsia" w:ascii="仿宋" w:hAnsi="仿宋" w:eastAsia="仿宋"/>
          <w:color w:val="auto"/>
          <w:kern w:val="0"/>
          <w:sz w:val="24"/>
          <w:highlight w:val="none"/>
        </w:rPr>
        <w:t>已登记获取磋商</w:t>
      </w:r>
      <w:r>
        <w:rPr>
          <w:rFonts w:ascii="仿宋" w:hAnsi="仿宋" w:eastAsia="仿宋"/>
          <w:color w:val="auto"/>
          <w:kern w:val="0"/>
          <w:sz w:val="24"/>
          <w:highlight w:val="none"/>
        </w:rPr>
        <w:t>文件的</w:t>
      </w:r>
      <w:r>
        <w:rPr>
          <w:rFonts w:hint="eastAsia" w:ascii="仿宋" w:hAnsi="仿宋" w:eastAsia="仿宋"/>
          <w:color w:val="auto"/>
          <w:kern w:val="0"/>
          <w:sz w:val="24"/>
          <w:highlight w:val="none"/>
        </w:rPr>
        <w:t>供应商</w:t>
      </w:r>
      <w:r>
        <w:rPr>
          <w:rFonts w:ascii="仿宋" w:hAnsi="仿宋" w:eastAsia="仿宋"/>
          <w:color w:val="auto"/>
          <w:kern w:val="0"/>
          <w:sz w:val="24"/>
          <w:highlight w:val="none"/>
        </w:rPr>
        <w:t>。</w:t>
      </w:r>
    </w:p>
    <w:p>
      <w:pPr>
        <w:pStyle w:val="4"/>
        <w:rPr>
          <w:color w:val="auto"/>
          <w:highlight w:val="none"/>
        </w:rPr>
      </w:pPr>
      <w:r>
        <w:rPr>
          <w:rFonts w:hint="eastAsia"/>
          <w:color w:val="auto"/>
          <w:highlight w:val="none"/>
        </w:rPr>
        <w:t>3.3 磋商文件的澄清、修改（更正）</w:t>
      </w:r>
    </w:p>
    <w:p>
      <w:pPr>
        <w:spacing w:line="360" w:lineRule="auto"/>
        <w:ind w:left="1"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3.3.1</w:t>
      </w:r>
      <w:r>
        <w:rPr>
          <w:rFonts w:ascii="仿宋" w:hAnsi="仿宋" w:eastAsia="仿宋" w:cs="Arial"/>
          <w:b/>
          <w:color w:val="auto"/>
          <w:kern w:val="0"/>
          <w:sz w:val="24"/>
          <w:szCs w:val="22"/>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60" w:lineRule="auto"/>
        <w:ind w:left="1" w:firstLine="460" w:firstLineChars="192"/>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3.3.2</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文件发出后，磋商供应商如认为</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事项影响到磋商响应文件的编制，需要延长响应文件提交截止时间和磋商时间的，应当在收到</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文件后24小时内将意见及理由以书面形式向采购代理机构提出。</w:t>
      </w:r>
    </w:p>
    <w:p>
      <w:pPr>
        <w:spacing w:line="360" w:lineRule="auto"/>
        <w:ind w:left="1"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3.3.3</w:t>
      </w:r>
      <w:r>
        <w:rPr>
          <w:rFonts w:ascii="仿宋" w:hAnsi="仿宋" w:eastAsia="仿宋" w:cs="Arial"/>
          <w:color w:val="auto"/>
          <w:kern w:val="0"/>
          <w:sz w:val="24"/>
          <w:szCs w:val="22"/>
          <w:highlight w:val="none"/>
        </w:rPr>
        <w:t>当《磋商文件》与澄清、修改</w:t>
      </w:r>
      <w:r>
        <w:rPr>
          <w:rFonts w:hint="eastAsia" w:ascii="仿宋" w:hAnsi="仿宋" w:eastAsia="仿宋" w:cs="Arial"/>
          <w:color w:val="auto"/>
          <w:kern w:val="0"/>
          <w:sz w:val="24"/>
          <w:szCs w:val="22"/>
          <w:highlight w:val="none"/>
        </w:rPr>
        <w:t>文件</w:t>
      </w:r>
      <w:r>
        <w:rPr>
          <w:rFonts w:ascii="仿宋" w:hAnsi="仿宋" w:eastAsia="仿宋" w:cs="Arial"/>
          <w:color w:val="auto"/>
          <w:kern w:val="0"/>
          <w:sz w:val="24"/>
          <w:szCs w:val="22"/>
          <w:highlight w:val="none"/>
        </w:rPr>
        <w:t>就同一内容的表述不一致时，以最后发出的书面文件为准。</w:t>
      </w:r>
    </w:p>
    <w:p>
      <w:pPr>
        <w:spacing w:line="360" w:lineRule="auto"/>
        <w:ind w:left="1"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3.3.4任何口头形式的答复、说明均不属于磋商文件的组成部分。</w:t>
      </w:r>
    </w:p>
    <w:p>
      <w:pPr>
        <w:pStyle w:val="4"/>
        <w:rPr>
          <w:color w:val="auto"/>
          <w:highlight w:val="none"/>
        </w:rPr>
      </w:pPr>
      <w:r>
        <w:rPr>
          <w:rFonts w:hint="eastAsia"/>
          <w:color w:val="auto"/>
          <w:highlight w:val="none"/>
        </w:rPr>
        <w:t>3.4 磋商文件的质疑</w:t>
      </w:r>
    </w:p>
    <w:p>
      <w:pPr>
        <w:spacing w:line="360" w:lineRule="auto"/>
        <w:ind w:left="1" w:firstLine="424" w:firstLineChars="176"/>
        <w:rPr>
          <w:rFonts w:ascii="仿宋" w:hAnsi="仿宋" w:eastAsia="仿宋" w:cs="Arial"/>
          <w:color w:val="auto"/>
          <w:kern w:val="0"/>
          <w:sz w:val="24"/>
          <w:szCs w:val="22"/>
          <w:highlight w:val="none"/>
        </w:rPr>
      </w:pPr>
      <w:r>
        <w:rPr>
          <w:rFonts w:ascii="仿宋" w:hAnsi="仿宋" w:eastAsia="仿宋" w:cs="Arial"/>
          <w:b/>
          <w:color w:val="auto"/>
          <w:kern w:val="0"/>
          <w:sz w:val="24"/>
          <w:highlight w:val="none"/>
        </w:rPr>
        <w:t>供应商认为</w:t>
      </w:r>
      <w:r>
        <w:rPr>
          <w:rFonts w:hint="eastAsia" w:ascii="仿宋" w:hAnsi="仿宋" w:eastAsia="仿宋" w:cs="Arial"/>
          <w:b/>
          <w:color w:val="auto"/>
          <w:kern w:val="0"/>
          <w:sz w:val="24"/>
          <w:highlight w:val="none"/>
        </w:rPr>
        <w:t>磋商文件（采购文件）</w:t>
      </w:r>
      <w:r>
        <w:rPr>
          <w:rFonts w:ascii="仿宋" w:hAnsi="仿宋" w:eastAsia="仿宋" w:cs="Arial"/>
          <w:b/>
          <w:color w:val="auto"/>
          <w:kern w:val="0"/>
          <w:sz w:val="24"/>
          <w:highlight w:val="none"/>
        </w:rPr>
        <w:t>使自己的合法权益受到损害的，应当</w:t>
      </w:r>
      <w:r>
        <w:rPr>
          <w:rFonts w:hint="eastAsia" w:ascii="仿宋" w:hAnsi="仿宋" w:eastAsia="仿宋" w:cs="Arial"/>
          <w:b/>
          <w:color w:val="auto"/>
          <w:kern w:val="0"/>
          <w:sz w:val="24"/>
          <w:highlight w:val="none"/>
        </w:rPr>
        <w:t>按照本章节第1.16.2款规定</w:t>
      </w:r>
      <w:r>
        <w:rPr>
          <w:rFonts w:ascii="仿宋" w:hAnsi="仿宋" w:eastAsia="仿宋" w:cs="Arial"/>
          <w:b/>
          <w:color w:val="auto"/>
          <w:kern w:val="0"/>
          <w:sz w:val="24"/>
          <w:highlight w:val="none"/>
        </w:rPr>
        <w:t>，以书面形式向</w:t>
      </w:r>
      <w:r>
        <w:rPr>
          <w:rFonts w:hint="eastAsia" w:ascii="仿宋" w:hAnsi="仿宋" w:eastAsia="仿宋" w:cs="Arial"/>
          <w:b/>
          <w:color w:val="auto"/>
          <w:kern w:val="0"/>
          <w:sz w:val="24"/>
          <w:highlight w:val="none"/>
        </w:rPr>
        <w:t>采购人、采购代理机构</w:t>
      </w:r>
      <w:r>
        <w:rPr>
          <w:rFonts w:ascii="仿宋" w:hAnsi="仿宋" w:eastAsia="仿宋" w:cs="Arial"/>
          <w:b/>
          <w:color w:val="auto"/>
          <w:kern w:val="0"/>
          <w:sz w:val="24"/>
          <w:highlight w:val="none"/>
        </w:rPr>
        <w:t>提出质疑。</w:t>
      </w:r>
      <w:r>
        <w:rPr>
          <w:rFonts w:hint="eastAsia" w:ascii="仿宋" w:hAnsi="仿宋" w:eastAsia="仿宋" w:cs="Arial"/>
          <w:color w:val="auto"/>
          <w:sz w:val="24"/>
          <w:highlight w:val="none"/>
        </w:rPr>
        <w:t>质疑供应商对采购人、采购代理机构的答复不满意或者采购人、采购代理机构未在规定的时间内作出答复的，可以在答复期满后15个工作日内向采购</w:t>
      </w:r>
      <w:r>
        <w:rPr>
          <w:rFonts w:hint="eastAsia" w:ascii="仿宋" w:hAnsi="仿宋" w:eastAsia="仿宋" w:cs="Arial"/>
          <w:color w:val="auto"/>
          <w:sz w:val="24"/>
          <w:highlight w:val="none"/>
          <w:lang w:val="en-US" w:eastAsia="zh-CN"/>
        </w:rPr>
        <w:t>人的</w:t>
      </w:r>
      <w:r>
        <w:rPr>
          <w:rFonts w:hint="eastAsia" w:ascii="仿宋" w:hAnsi="仿宋" w:eastAsia="仿宋" w:cs="Arial"/>
          <w:color w:val="auto"/>
          <w:sz w:val="24"/>
          <w:highlight w:val="none"/>
        </w:rPr>
        <w:t>监督管理部门投诉。</w:t>
      </w:r>
    </w:p>
    <w:p>
      <w:pPr>
        <w:pStyle w:val="3"/>
        <w:rPr>
          <w:color w:val="auto"/>
          <w:highlight w:val="none"/>
        </w:rPr>
      </w:pPr>
      <w:bookmarkStart w:id="11" w:name="_Toc20375"/>
      <w:r>
        <w:rPr>
          <w:rFonts w:hint="eastAsia"/>
          <w:color w:val="auto"/>
          <w:highlight w:val="none"/>
        </w:rPr>
        <w:t>四、磋商响应文件</w:t>
      </w:r>
      <w:bookmarkEnd w:id="11"/>
    </w:p>
    <w:p>
      <w:pPr>
        <w:pStyle w:val="4"/>
        <w:rPr>
          <w:color w:val="auto"/>
          <w:highlight w:val="none"/>
        </w:rPr>
      </w:pPr>
      <w:r>
        <w:rPr>
          <w:rFonts w:hint="eastAsia"/>
          <w:color w:val="auto"/>
          <w:highlight w:val="none"/>
        </w:rPr>
        <w:t>4.1 磋响应文件的形式</w:t>
      </w:r>
    </w:p>
    <w:p>
      <w:pPr>
        <w:spacing w:line="360" w:lineRule="auto"/>
        <w:ind w:firstLine="424" w:firstLineChars="176"/>
        <w:rPr>
          <w:rFonts w:ascii="仿宋" w:hAnsi="仿宋" w:eastAsia="仿宋"/>
          <w:color w:val="auto"/>
          <w:highlight w:val="none"/>
        </w:rPr>
      </w:pPr>
      <w:r>
        <w:rPr>
          <w:rFonts w:hint="eastAsia" w:ascii="仿宋" w:hAnsi="仿宋" w:eastAsia="仿宋" w:cs="Arial"/>
          <w:b/>
          <w:color w:val="auto"/>
          <w:sz w:val="24"/>
          <w:highlight w:val="none"/>
        </w:rPr>
        <w:t>4.1.1磋商响应文件的形式：</w:t>
      </w:r>
      <w:r>
        <w:rPr>
          <w:rFonts w:hint="eastAsia" w:ascii="仿宋" w:hAnsi="仿宋" w:eastAsia="仿宋" w:cs="Arial"/>
          <w:b/>
          <w:color w:val="auto"/>
          <w:sz w:val="24"/>
          <w:highlight w:val="none"/>
          <w:u w:val="single"/>
        </w:rPr>
        <w:t>纸质文件</w:t>
      </w:r>
    </w:p>
    <w:p>
      <w:pPr>
        <w:pStyle w:val="4"/>
        <w:rPr>
          <w:color w:val="auto"/>
          <w:highlight w:val="none"/>
        </w:rPr>
      </w:pPr>
      <w:r>
        <w:rPr>
          <w:rFonts w:hint="eastAsia"/>
          <w:color w:val="auto"/>
          <w:highlight w:val="none"/>
        </w:rPr>
        <w:t xml:space="preserve">4.2 </w:t>
      </w:r>
      <w:r>
        <w:rPr>
          <w:color w:val="auto"/>
          <w:highlight w:val="none"/>
        </w:rPr>
        <w:t>磋商响应文件的组成</w:t>
      </w:r>
    </w:p>
    <w:p>
      <w:pPr>
        <w:spacing w:line="360" w:lineRule="auto"/>
        <w:ind w:firstLine="463" w:firstLineChars="192"/>
        <w:rPr>
          <w:rFonts w:ascii="仿宋" w:hAnsi="仿宋" w:eastAsia="仿宋" w:cs="Arial"/>
          <w:b/>
          <w:color w:val="auto"/>
          <w:kern w:val="0"/>
          <w:sz w:val="24"/>
          <w:szCs w:val="22"/>
          <w:highlight w:val="none"/>
        </w:rPr>
      </w:pPr>
      <w:r>
        <w:rPr>
          <w:rFonts w:hint="eastAsia" w:ascii="仿宋" w:hAnsi="仿宋" w:eastAsia="仿宋"/>
          <w:b/>
          <w:color w:val="auto"/>
          <w:kern w:val="0"/>
          <w:sz w:val="24"/>
          <w:szCs w:val="22"/>
          <w:highlight w:val="none"/>
        </w:rPr>
        <w:t>4.2.1</w:t>
      </w:r>
      <w:r>
        <w:rPr>
          <w:rFonts w:ascii="仿宋" w:hAnsi="仿宋" w:eastAsia="仿宋" w:cs="Arial"/>
          <w:b/>
          <w:color w:val="auto"/>
          <w:sz w:val="24"/>
          <w:highlight w:val="none"/>
          <w:u w:val="single"/>
        </w:rPr>
        <w:t>完整的</w:t>
      </w:r>
      <w:r>
        <w:rPr>
          <w:rFonts w:hint="eastAsia" w:ascii="仿宋" w:hAnsi="仿宋" w:eastAsia="仿宋" w:cs="Arial"/>
          <w:b/>
          <w:color w:val="auto"/>
          <w:sz w:val="24"/>
          <w:highlight w:val="none"/>
          <w:u w:val="single"/>
        </w:rPr>
        <w:t>磋商响应</w:t>
      </w:r>
      <w:r>
        <w:rPr>
          <w:rFonts w:ascii="仿宋" w:hAnsi="仿宋" w:eastAsia="仿宋" w:cs="Arial"/>
          <w:b/>
          <w:color w:val="auto"/>
          <w:sz w:val="24"/>
          <w:highlight w:val="none"/>
          <w:u w:val="single"/>
        </w:rPr>
        <w:t>文件由</w:t>
      </w:r>
      <w:r>
        <w:rPr>
          <w:rFonts w:hint="eastAsia" w:ascii="仿宋" w:hAnsi="仿宋" w:eastAsia="仿宋" w:cs="Arial"/>
          <w:b/>
          <w:color w:val="auto"/>
          <w:sz w:val="24"/>
          <w:highlight w:val="none"/>
          <w:u w:val="single"/>
        </w:rPr>
        <w:t>“资信技术文件”和“报价文件”二</w:t>
      </w:r>
      <w:r>
        <w:rPr>
          <w:rFonts w:ascii="仿宋" w:hAnsi="仿宋" w:eastAsia="仿宋" w:cs="Arial"/>
          <w:b/>
          <w:color w:val="auto"/>
          <w:sz w:val="24"/>
          <w:highlight w:val="none"/>
          <w:u w:val="single"/>
        </w:rPr>
        <w:t>个部分组成</w:t>
      </w:r>
      <w:r>
        <w:rPr>
          <w:rFonts w:hint="eastAsia" w:ascii="仿宋" w:hAnsi="仿宋" w:eastAsia="仿宋" w:cs="Arial"/>
          <w:b/>
          <w:color w:val="auto"/>
          <w:kern w:val="0"/>
          <w:sz w:val="24"/>
          <w:szCs w:val="22"/>
          <w:highlight w:val="none"/>
          <w:u w:val="single"/>
        </w:rPr>
        <w:t>（以下统称“磋商响应文件”）</w:t>
      </w:r>
      <w:r>
        <w:rPr>
          <w:rFonts w:hint="eastAsia" w:ascii="仿宋" w:hAnsi="仿宋" w:eastAsia="仿宋" w:cs="Arial"/>
          <w:b/>
          <w:color w:val="auto"/>
          <w:kern w:val="0"/>
          <w:sz w:val="24"/>
          <w:szCs w:val="22"/>
          <w:highlight w:val="none"/>
        </w:rPr>
        <w:t>。</w:t>
      </w:r>
    </w:p>
    <w:p>
      <w:pPr>
        <w:keepNext/>
        <w:keepLines/>
        <w:widowControl w:val="0"/>
        <w:spacing w:before="120" w:line="360" w:lineRule="auto"/>
        <w:ind w:firstLine="426" w:firstLineChars="177"/>
        <w:jc w:val="left"/>
        <w:outlineLvl w:val="4"/>
        <w:rPr>
          <w:rFonts w:hint="eastAsia"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4.2.2磋商响应文件内容组成表</w:t>
      </w:r>
      <w:r>
        <w:rPr>
          <w:rFonts w:hint="eastAsia" w:ascii="仿宋" w:hAnsi="仿宋" w:eastAsia="仿宋" w:cs="Arial"/>
          <w:color w:val="auto"/>
          <w:kern w:val="0"/>
          <w:sz w:val="24"/>
          <w:szCs w:val="22"/>
          <w:highlight w:val="none"/>
        </w:rPr>
        <w:t>（磋商供应商应按以下清单提供相关资料，否则一切风险和责任由磋商供应商自行承担）</w:t>
      </w:r>
      <w:r>
        <w:rPr>
          <w:rFonts w:hint="eastAsia" w:ascii="仿宋" w:hAnsi="仿宋" w:eastAsia="仿宋" w:cs="Arial"/>
          <w:b/>
          <w:color w:val="auto"/>
          <w:kern w:val="0"/>
          <w:sz w:val="24"/>
          <w:szCs w:val="22"/>
          <w:highlight w:val="none"/>
        </w:rPr>
        <w:t>：</w:t>
      </w:r>
    </w:p>
    <w:p>
      <w:pPr>
        <w:keepNext/>
        <w:keepLines/>
        <w:widowControl w:val="0"/>
        <w:spacing w:before="120" w:line="360" w:lineRule="auto"/>
        <w:ind w:firstLine="426" w:firstLineChars="177"/>
        <w:jc w:val="left"/>
        <w:outlineLvl w:val="4"/>
        <w:rPr>
          <w:rFonts w:hint="eastAsia" w:ascii="仿宋" w:hAnsi="仿宋" w:eastAsia="仿宋" w:cs="Arial"/>
          <w:b/>
          <w:color w:val="auto"/>
          <w:kern w:val="0"/>
          <w:sz w:val="24"/>
          <w:szCs w:val="22"/>
          <w:highlight w:val="none"/>
        </w:rPr>
      </w:pPr>
      <w:r>
        <w:rPr>
          <w:rFonts w:hint="eastAsia" w:ascii="黑体" w:hAnsi="黑体" w:eastAsia="黑体" w:cs="Times New Roman"/>
          <w:b/>
          <w:bCs/>
          <w:color w:val="auto"/>
          <w:kern w:val="0"/>
          <w:sz w:val="24"/>
          <w:szCs w:val="28"/>
          <w:highlight w:val="none"/>
          <w:lang w:val="en-US" w:eastAsia="zh-CN" w:bidi="ar-SA"/>
        </w:rPr>
        <w:t>（1）《资格文件》</w:t>
      </w:r>
    </w:p>
    <w:tbl>
      <w:tblPr>
        <w:tblStyle w:val="23"/>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142"/>
        <w:gridCol w:w="7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序号</w:t>
            </w:r>
          </w:p>
        </w:tc>
        <w:tc>
          <w:tcPr>
            <w:tcW w:w="8789" w:type="dxa"/>
            <w:gridSpan w:val="2"/>
            <w:shd w:val="clear" w:color="auto" w:fill="DAEEF3"/>
            <w:vAlign w:val="center"/>
          </w:tcPr>
          <w:p>
            <w:pPr>
              <w:jc w:val="center"/>
              <w:rPr>
                <w:rFonts w:ascii="仿宋" w:hAnsi="仿宋" w:eastAsia="仿宋" w:cs="Times New Roman"/>
                <w:b/>
                <w:color w:val="auto"/>
                <w:sz w:val="24"/>
                <w:highlight w:val="none"/>
              </w:rPr>
            </w:pPr>
            <w:r>
              <w:rPr>
                <w:rFonts w:hint="eastAsia" w:ascii="微软雅黑" w:hAnsi="微软雅黑" w:eastAsia="微软雅黑" w:cs="Times New Roman"/>
                <w:b/>
                <w:color w:val="auto"/>
                <w:sz w:val="28"/>
                <w:szCs w:val="32"/>
                <w:highlight w:val="none"/>
              </w:rPr>
              <w:t>第一部分</w:t>
            </w:r>
            <w:r>
              <w:rPr>
                <w:rFonts w:hint="eastAsia" w:ascii="微软雅黑" w:hAnsi="微软雅黑" w:eastAsia="微软雅黑" w:cs="Arial"/>
                <w:b/>
                <w:color w:val="auto"/>
                <w:kern w:val="0"/>
                <w:sz w:val="28"/>
                <w:szCs w:val="32"/>
                <w:highlight w:val="none"/>
              </w:rPr>
              <w:t>《资信技术文件》组成内容及要求</w:t>
            </w:r>
            <w:r>
              <w:rPr>
                <w:rFonts w:ascii="微软雅黑" w:hAnsi="微软雅黑" w:eastAsia="微软雅黑" w:cs="Arial"/>
                <w:b/>
                <w:color w:val="auto"/>
                <w:kern w:val="0"/>
                <w:sz w:val="28"/>
                <w:szCs w:val="32"/>
                <w:highlight w:val="none"/>
              </w:rPr>
              <w:t>【</w:t>
            </w:r>
            <w:r>
              <w:rPr>
                <w:rFonts w:hint="eastAsia" w:ascii="微软雅黑" w:hAnsi="微软雅黑" w:eastAsia="微软雅黑" w:cs="Arial"/>
                <w:b/>
                <w:color w:val="auto"/>
                <w:kern w:val="0"/>
                <w:sz w:val="28"/>
                <w:szCs w:val="32"/>
                <w:highlight w:val="none"/>
              </w:rPr>
              <w:t>依序编制</w:t>
            </w:r>
            <w:r>
              <w:rPr>
                <w:rFonts w:ascii="微软雅黑" w:hAnsi="微软雅黑" w:eastAsia="微软雅黑" w:cs="Arial"/>
                <w:b/>
                <w:color w:val="auto"/>
                <w:kern w:val="0"/>
                <w:sz w:val="28"/>
                <w:szCs w:val="32"/>
                <w:highlight w:val="none"/>
              </w:rPr>
              <w:t>】</w:t>
            </w:r>
          </w:p>
        </w:tc>
        <w:tc>
          <w:tcPr>
            <w:tcW w:w="721" w:type="dxa"/>
            <w:shd w:val="clear" w:color="auto" w:fill="DAEEF3"/>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1</w:t>
            </w:r>
          </w:p>
        </w:tc>
        <w:tc>
          <w:tcPr>
            <w:tcW w:w="8789" w:type="dxa"/>
            <w:gridSpan w:val="2"/>
            <w:vAlign w:val="center"/>
          </w:tcPr>
          <w:p>
            <w:pPr>
              <w:spacing w:line="276" w:lineRule="auto"/>
              <w:jc w:val="center"/>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资格部分</w:t>
            </w:r>
          </w:p>
        </w:tc>
        <w:tc>
          <w:tcPr>
            <w:tcW w:w="721" w:type="dxa"/>
            <w:vAlign w:val="center"/>
          </w:tcPr>
          <w:p>
            <w:pPr>
              <w:spacing w:line="276" w:lineRule="auto"/>
              <w:jc w:val="center"/>
              <w:rPr>
                <w:rFonts w:ascii="仿宋" w:hAnsi="仿宋" w:eastAsia="仿宋" w:cs="Arial"/>
                <w:color w:val="auto"/>
                <w:kern w:val="0"/>
                <w:sz w:val="24"/>
                <w:highlight w:val="none"/>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1</w:t>
            </w:r>
          </w:p>
        </w:tc>
        <w:tc>
          <w:tcPr>
            <w:tcW w:w="9510" w:type="dxa"/>
            <w:gridSpan w:val="3"/>
            <w:shd w:val="clear" w:color="auto" w:fill="FFFFFF" w:themeFill="background1"/>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b/>
                <w:bCs/>
                <w:color w:val="auto"/>
                <w:kern w:val="0"/>
                <w:sz w:val="24"/>
                <w:highlight w:val="none"/>
                <w:lang w:val="en-US" w:eastAsia="zh-CN"/>
              </w:rPr>
              <w:t>资格部分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cs="Times New Roman"/>
                <w:b/>
                <w:color w:val="auto"/>
                <w:sz w:val="24"/>
                <w:highlight w:val="none"/>
              </w:rPr>
              <w:t>1-1</w:t>
            </w:r>
          </w:p>
        </w:tc>
        <w:tc>
          <w:tcPr>
            <w:tcW w:w="8789" w:type="dxa"/>
            <w:gridSpan w:val="2"/>
            <w:shd w:val="clear" w:color="auto" w:fill="FFFF00"/>
            <w:vAlign w:val="center"/>
          </w:tcPr>
          <w:p>
            <w:pPr>
              <w:spacing w:line="276" w:lineRule="auto"/>
              <w:jc w:val="left"/>
              <w:rPr>
                <w:rFonts w:hint="eastAsia" w:ascii="仿宋" w:hAnsi="仿宋" w:eastAsia="仿宋" w:cs="Arial"/>
                <w:color w:val="auto"/>
                <w:kern w:val="0"/>
                <w:sz w:val="24"/>
                <w:szCs w:val="24"/>
                <w:highlight w:val="none"/>
                <w:lang w:val="en-US" w:eastAsia="zh-CN" w:bidi="ar-SA"/>
              </w:rPr>
            </w:pPr>
            <w:r>
              <w:rPr>
                <w:rFonts w:hint="eastAsia" w:ascii="仿宋" w:hAnsi="仿宋" w:eastAsia="仿宋" w:cs="Arial"/>
                <w:color w:val="auto"/>
                <w:kern w:val="0"/>
                <w:sz w:val="24"/>
                <w:highlight w:val="none"/>
              </w:rPr>
              <w:t>▲</w:t>
            </w:r>
            <w:r>
              <w:rPr>
                <w:rFonts w:hint="eastAsia" w:ascii="仿宋" w:hAnsi="仿宋" w:eastAsia="仿宋" w:cs="Arial"/>
                <w:b/>
                <w:color w:val="auto"/>
                <w:kern w:val="0"/>
                <w:sz w:val="24"/>
                <w:highlight w:val="none"/>
              </w:rPr>
              <w:t>符合“申请人的资格要求”第1条规定的证明文件：</w:t>
            </w:r>
          </w:p>
        </w:tc>
        <w:tc>
          <w:tcPr>
            <w:tcW w:w="721" w:type="dxa"/>
            <w:shd w:val="clear" w:color="auto" w:fill="FFFF00"/>
            <w:vAlign w:val="center"/>
          </w:tcPr>
          <w:p>
            <w:pPr>
              <w:spacing w:line="276" w:lineRule="auto"/>
              <w:jc w:val="center"/>
              <w:rPr>
                <w:rFonts w:ascii="仿宋" w:hAnsi="仿宋" w:eastAsia="仿宋" w:cs="Arial"/>
                <w:color w:val="auto"/>
                <w:kern w:val="0"/>
                <w:sz w:val="24"/>
                <w:highlight w:val="none"/>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Arial"/>
                <w:b/>
                <w:color w:val="auto"/>
                <w:kern w:val="0"/>
                <w:sz w:val="24"/>
                <w:highlight w:val="none"/>
              </w:rPr>
              <w:t>（1）</w:t>
            </w:r>
          </w:p>
        </w:tc>
        <w:tc>
          <w:tcPr>
            <w:tcW w:w="8789" w:type="dxa"/>
            <w:gridSpan w:val="2"/>
            <w:vAlign w:val="center"/>
          </w:tcPr>
          <w:p>
            <w:pPr>
              <w:spacing w:line="276" w:lineRule="auto"/>
              <w:jc w:val="left"/>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w:t>
            </w:r>
            <w:r>
              <w:rPr>
                <w:rFonts w:hint="eastAsia" w:ascii="仿宋" w:hAnsi="仿宋" w:eastAsia="仿宋" w:cs="Arial"/>
                <w:b/>
                <w:color w:val="auto"/>
                <w:kern w:val="0"/>
                <w:sz w:val="24"/>
                <w:highlight w:val="none"/>
                <w:u w:val="single"/>
              </w:rPr>
              <w:t>基本资格符合性承诺书</w:t>
            </w:r>
            <w:r>
              <w:rPr>
                <w:rFonts w:hint="eastAsia" w:ascii="仿宋" w:hAnsi="仿宋" w:eastAsia="仿宋" w:cs="Times New Roman"/>
                <w:color w:val="auto"/>
                <w:sz w:val="24"/>
                <w:highlight w:val="none"/>
              </w:rPr>
              <w:t>（格式见第六章）</w:t>
            </w:r>
          </w:p>
        </w:tc>
        <w:tc>
          <w:tcPr>
            <w:tcW w:w="721"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Pr>
          <w:p>
            <w:pPr>
              <w:spacing w:line="276" w:lineRule="auto"/>
              <w:jc w:val="center"/>
              <w:rPr>
                <w:rFonts w:ascii="仿宋" w:hAnsi="仿宋" w:eastAsia="仿宋" w:cs="Times New Roman"/>
                <w:b/>
                <w:color w:val="auto"/>
                <w:sz w:val="24"/>
                <w:highlight w:val="none"/>
              </w:rPr>
            </w:pPr>
            <w:r>
              <w:rPr>
                <w:rFonts w:hint="eastAsia" w:ascii="仿宋" w:hAnsi="仿宋" w:eastAsia="仿宋" w:cs="Arial"/>
                <w:b/>
                <w:color w:val="auto"/>
                <w:kern w:val="0"/>
                <w:sz w:val="24"/>
                <w:highlight w:val="none"/>
              </w:rPr>
              <w:t>（2）</w:t>
            </w:r>
          </w:p>
        </w:tc>
        <w:tc>
          <w:tcPr>
            <w:tcW w:w="8789" w:type="dxa"/>
            <w:gridSpan w:val="2"/>
            <w:vAlign w:val="center"/>
          </w:tcPr>
          <w:p>
            <w:pPr>
              <w:spacing w:line="276" w:lineRule="auto"/>
              <w:jc w:val="left"/>
              <w:rPr>
                <w:rFonts w:ascii="仿宋" w:hAnsi="仿宋" w:eastAsia="仿宋" w:cs="Times New Roman"/>
                <w:color w:val="auto"/>
                <w:sz w:val="24"/>
                <w:highlight w:val="none"/>
              </w:rPr>
            </w:pPr>
            <w:r>
              <w:rPr>
                <w:rFonts w:hint="eastAsia" w:ascii="仿宋" w:hAnsi="仿宋" w:eastAsia="仿宋" w:cs="Times New Roman"/>
                <w:b/>
                <w:color w:val="auto"/>
                <w:sz w:val="24"/>
                <w:highlight w:val="none"/>
                <w:u w:val="single"/>
              </w:rPr>
              <w:t>营业执照（或事业单位法人证书或执业许可证或自然人有效身份证明）</w:t>
            </w:r>
          </w:p>
          <w:p>
            <w:pPr>
              <w:spacing w:line="276" w:lineRule="auto"/>
              <w:jc w:val="left"/>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提示和说明：</w:t>
            </w:r>
          </w:p>
          <w:p>
            <w:pPr>
              <w:spacing w:line="276" w:lineRule="auto"/>
              <w:ind w:firstLine="316" w:firstLineChars="132"/>
              <w:jc w:val="left"/>
              <w:rPr>
                <w:rFonts w:ascii="仿宋" w:hAnsi="仿宋" w:eastAsia="仿宋" w:cs="Times New Roman"/>
                <w:color w:val="auto"/>
                <w:sz w:val="24"/>
                <w:highlight w:val="none"/>
              </w:rPr>
            </w:pPr>
            <w:r>
              <w:rPr>
                <w:rFonts w:hint="eastAsia" w:ascii="仿宋" w:hAnsi="仿宋" w:eastAsia="仿宋" w:cs="Times New Roman"/>
                <w:color w:val="auto"/>
                <w:sz w:val="24"/>
                <w:highlight w:val="none"/>
              </w:rPr>
              <w:t>a.</w:t>
            </w:r>
            <w:r>
              <w:rPr>
                <w:rFonts w:hint="eastAsia" w:ascii="仿宋" w:hAnsi="仿宋" w:eastAsia="仿宋" w:cs="Times New Roman"/>
                <w:color w:val="auto"/>
                <w:sz w:val="24"/>
                <w:highlight w:val="none"/>
                <w:lang w:val="en-US" w:eastAsia="zh-CN"/>
              </w:rPr>
              <w:t>磋商</w:t>
            </w:r>
            <w:r>
              <w:rPr>
                <w:rFonts w:hint="eastAsia" w:ascii="仿宋" w:hAnsi="仿宋" w:eastAsia="仿宋" w:cs="Times New Roman"/>
                <w:color w:val="auto"/>
                <w:sz w:val="24"/>
                <w:highlight w:val="none"/>
              </w:rPr>
              <w:t>供应商为企业或个体工商户的，提供有效的“营业执照”；</w:t>
            </w:r>
            <w:r>
              <w:rPr>
                <w:rFonts w:hint="eastAsia" w:ascii="仿宋" w:hAnsi="仿宋" w:eastAsia="仿宋" w:cs="Times New Roman"/>
                <w:color w:val="auto"/>
                <w:sz w:val="24"/>
                <w:highlight w:val="none"/>
                <w:lang w:val="en-US" w:eastAsia="zh-CN"/>
              </w:rPr>
              <w:t>磋商</w:t>
            </w:r>
            <w:r>
              <w:rPr>
                <w:rFonts w:hint="eastAsia" w:ascii="仿宋" w:hAnsi="仿宋" w:eastAsia="仿宋" w:cs="Times New Roman"/>
                <w:color w:val="auto"/>
                <w:sz w:val="24"/>
                <w:highlight w:val="none"/>
              </w:rPr>
              <w:t>供应商为事业单位的，提供有效的“事业单位法人证书”；</w:t>
            </w:r>
            <w:r>
              <w:rPr>
                <w:rFonts w:hint="eastAsia" w:ascii="仿宋" w:hAnsi="仿宋" w:eastAsia="仿宋" w:cs="Times New Roman"/>
                <w:color w:val="auto"/>
                <w:sz w:val="24"/>
                <w:highlight w:val="none"/>
                <w:lang w:eastAsia="zh-CN"/>
              </w:rPr>
              <w:t>磋商</w:t>
            </w:r>
            <w:r>
              <w:rPr>
                <w:rFonts w:hint="eastAsia" w:ascii="仿宋" w:hAnsi="仿宋" w:eastAsia="仿宋" w:cs="Times New Roman"/>
                <w:color w:val="auto"/>
                <w:sz w:val="24"/>
                <w:highlight w:val="none"/>
              </w:rPr>
              <w:t>供应商为非企业专业服务机构的，提供执业许可证等证明文件；</w:t>
            </w:r>
            <w:r>
              <w:rPr>
                <w:rFonts w:hint="eastAsia" w:ascii="仿宋" w:hAnsi="仿宋" w:eastAsia="仿宋" w:cs="Times New Roman"/>
                <w:color w:val="auto"/>
                <w:sz w:val="24"/>
                <w:highlight w:val="none"/>
                <w:lang w:eastAsia="zh-CN"/>
              </w:rPr>
              <w:t>磋商</w:t>
            </w:r>
            <w:r>
              <w:rPr>
                <w:rFonts w:hint="eastAsia" w:ascii="仿宋" w:hAnsi="仿宋" w:eastAsia="仿宋" w:cs="Times New Roman"/>
                <w:color w:val="auto"/>
                <w:sz w:val="24"/>
                <w:highlight w:val="none"/>
              </w:rPr>
              <w:t>供应商为自然人（中国公民）的，提供个人有效身份证明文件。</w:t>
            </w:r>
          </w:p>
          <w:p>
            <w:pPr>
              <w:spacing w:line="276" w:lineRule="auto"/>
              <w:ind w:firstLine="314" w:firstLineChars="131"/>
              <w:jc w:val="left"/>
              <w:rPr>
                <w:rFonts w:ascii="仿宋" w:hAnsi="仿宋" w:eastAsia="仿宋" w:cs="Arial"/>
                <w:color w:val="auto"/>
                <w:kern w:val="0"/>
                <w:sz w:val="24"/>
                <w:highlight w:val="none"/>
              </w:rPr>
            </w:pPr>
            <w:r>
              <w:rPr>
                <w:rFonts w:hint="eastAsia" w:ascii="仿宋" w:hAnsi="仿宋" w:eastAsia="仿宋" w:cs="Times New Roman"/>
                <w:color w:val="auto"/>
                <w:sz w:val="24"/>
                <w:highlight w:val="none"/>
              </w:rPr>
              <w:t>b.金融、保险、通讯等特定行业的全国性企业所设立的区域性分支机构，以及个体工商户、个人独资企业、合伙企业参加本项目</w:t>
            </w:r>
            <w:r>
              <w:rPr>
                <w:rFonts w:hint="eastAsia" w:ascii="仿宋" w:hAnsi="仿宋" w:eastAsia="仿宋" w:cs="Times New Roman"/>
                <w:color w:val="auto"/>
                <w:sz w:val="24"/>
                <w:highlight w:val="none"/>
                <w:lang w:eastAsia="zh-CN"/>
              </w:rPr>
              <w:t>磋商</w:t>
            </w:r>
            <w:r>
              <w:rPr>
                <w:rFonts w:hint="eastAsia" w:ascii="仿宋" w:hAnsi="仿宋" w:eastAsia="仿宋" w:cs="Times New Roman"/>
                <w:color w:val="auto"/>
                <w:sz w:val="24"/>
                <w:highlight w:val="none"/>
                <w:lang w:val="en-US" w:eastAsia="zh-CN"/>
              </w:rPr>
              <w:t>响应</w:t>
            </w:r>
            <w:r>
              <w:rPr>
                <w:rFonts w:hint="eastAsia" w:ascii="仿宋" w:hAnsi="仿宋" w:eastAsia="仿宋" w:cs="Times New Roman"/>
                <w:color w:val="auto"/>
                <w:sz w:val="24"/>
                <w:highlight w:val="none"/>
              </w:rPr>
              <w:t>的，除提供供应商自身的营业执照外，还须提供总公司（总机构）授权书或房产权证或其他有效财产证明材料（提供复印件加盖</w:t>
            </w:r>
            <w:r>
              <w:rPr>
                <w:rFonts w:hint="eastAsia" w:ascii="仿宋" w:hAnsi="仿宋" w:eastAsia="仿宋" w:cs="Times New Roman"/>
                <w:color w:val="auto"/>
                <w:sz w:val="24"/>
                <w:highlight w:val="none"/>
                <w:lang w:eastAsia="zh-CN"/>
              </w:rPr>
              <w:t>磋商</w:t>
            </w:r>
            <w:r>
              <w:rPr>
                <w:rFonts w:hint="eastAsia" w:ascii="仿宋" w:hAnsi="仿宋" w:eastAsia="仿宋" w:cs="Times New Roman"/>
                <w:color w:val="auto"/>
                <w:sz w:val="24"/>
                <w:highlight w:val="none"/>
              </w:rPr>
              <w:t>供应商公章），以证明其具备实际承担责任的能力和法定的缔结合同能力。</w:t>
            </w:r>
          </w:p>
        </w:tc>
        <w:tc>
          <w:tcPr>
            <w:tcW w:w="721"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cs="Times New Roman"/>
                <w:b/>
                <w:color w:val="auto"/>
                <w:sz w:val="24"/>
                <w:highlight w:val="none"/>
              </w:rPr>
              <w:t>1-2</w:t>
            </w:r>
          </w:p>
        </w:tc>
        <w:tc>
          <w:tcPr>
            <w:tcW w:w="9510" w:type="dxa"/>
            <w:gridSpan w:val="3"/>
            <w:shd w:val="clear" w:color="auto" w:fill="FFFF00"/>
            <w:vAlign w:val="center"/>
          </w:tcPr>
          <w:p>
            <w:pPr>
              <w:spacing w:line="276" w:lineRule="auto"/>
              <w:jc w:val="left"/>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w:t>
            </w:r>
            <w:r>
              <w:rPr>
                <w:rFonts w:hint="eastAsia" w:ascii="仿宋" w:hAnsi="仿宋" w:eastAsia="仿宋" w:cs="Arial"/>
                <w:b/>
                <w:color w:val="auto"/>
                <w:w w:val="90"/>
                <w:kern w:val="0"/>
                <w:sz w:val="24"/>
                <w:highlight w:val="none"/>
              </w:rPr>
              <w:t>符合“申请人的资格要求”第2条“</w:t>
            </w:r>
            <w:r>
              <w:rPr>
                <w:rFonts w:hint="eastAsia" w:ascii="仿宋" w:hAnsi="仿宋" w:eastAsia="仿宋" w:cs="Arial"/>
                <w:b/>
                <w:color w:val="auto"/>
                <w:w w:val="90"/>
                <w:sz w:val="24"/>
                <w:highlight w:val="none"/>
              </w:rPr>
              <w:t>落实采购政策需满足的资格要求</w:t>
            </w:r>
            <w:r>
              <w:rPr>
                <w:rFonts w:hint="eastAsia" w:ascii="仿宋" w:hAnsi="仿宋" w:eastAsia="仿宋" w:cs="Arial"/>
                <w:b/>
                <w:color w:val="auto"/>
                <w:w w:val="90"/>
                <w:kern w:val="0"/>
                <w:sz w:val="24"/>
                <w:highlight w:val="none"/>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szCs w:val="24"/>
                <w:highlight w:val="none"/>
                <w:lang w:val="en-US" w:eastAsia="zh-CN" w:bidi="ar-SA"/>
              </w:rPr>
            </w:pPr>
            <w:r>
              <w:rPr>
                <w:rFonts w:hint="eastAsia" w:ascii="仿宋" w:hAnsi="仿宋" w:eastAsia="仿宋" w:cs="Arial"/>
                <w:b/>
                <w:color w:val="auto"/>
                <w:kern w:val="0"/>
                <w:sz w:val="24"/>
                <w:highlight w:val="none"/>
              </w:rPr>
              <w:t>（1）</w:t>
            </w:r>
          </w:p>
        </w:tc>
        <w:tc>
          <w:tcPr>
            <w:tcW w:w="8789" w:type="dxa"/>
            <w:gridSpan w:val="2"/>
            <w:vAlign w:val="center"/>
          </w:tcPr>
          <w:p>
            <w:pPr>
              <w:spacing w:line="276" w:lineRule="auto"/>
              <w:jc w:val="left"/>
              <w:rPr>
                <w:rFonts w:hint="eastAsia" w:ascii="仿宋" w:hAnsi="仿宋" w:eastAsia="仿宋" w:cs="Times New Roman"/>
                <w:color w:val="auto"/>
                <w:sz w:val="24"/>
                <w:highlight w:val="none"/>
              </w:rPr>
            </w:pPr>
            <w:r>
              <w:rPr>
                <w:rFonts w:hint="eastAsia" w:ascii="仿宋" w:hAnsi="仿宋" w:eastAsia="仿宋" w:cs="Arial"/>
                <w:color w:val="auto"/>
                <w:kern w:val="0"/>
                <w:sz w:val="24"/>
                <w:highlight w:val="none"/>
              </w:rPr>
              <w:t>▲</w:t>
            </w:r>
            <w:r>
              <w:rPr>
                <w:rFonts w:hint="eastAsia" w:ascii="仿宋" w:hAnsi="仿宋" w:eastAsia="仿宋" w:cs="Arial"/>
                <w:b/>
                <w:color w:val="auto"/>
                <w:kern w:val="0"/>
                <w:sz w:val="24"/>
                <w:highlight w:val="none"/>
                <w:u w:val="single"/>
              </w:rPr>
              <w:t>《中小企业声明函》（格式见第六章），或《残疾人福利性单位声明函》（格式见第七章附件），或监狱企业证明文件</w:t>
            </w:r>
          </w:p>
          <w:p>
            <w:pPr>
              <w:spacing w:line="276" w:lineRule="auto"/>
              <w:jc w:val="left"/>
              <w:rPr>
                <w:rFonts w:hint="eastAsia" w:ascii="仿宋" w:hAnsi="仿宋" w:eastAsia="仿宋" w:cs="Times New Roman"/>
                <w:b/>
                <w:color w:val="auto"/>
                <w:sz w:val="24"/>
                <w:highlight w:val="none"/>
              </w:rPr>
            </w:pPr>
            <w:r>
              <w:rPr>
                <w:rFonts w:hint="eastAsia" w:ascii="仿宋" w:hAnsi="仿宋" w:eastAsia="仿宋" w:cs="Times New Roman"/>
                <w:b/>
                <w:color w:val="auto"/>
                <w:sz w:val="24"/>
                <w:highlight w:val="none"/>
              </w:rPr>
              <w:t>提示和说明：</w:t>
            </w:r>
          </w:p>
          <w:p>
            <w:pPr>
              <w:spacing w:line="276" w:lineRule="auto"/>
              <w:ind w:firstLine="316" w:firstLineChars="132"/>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a.本项目中小企业划分标准按照《</w:t>
            </w:r>
            <w:r>
              <w:rPr>
                <w:rFonts w:ascii="仿宋" w:hAnsi="仿宋" w:eastAsia="仿宋" w:cs="Times New Roman"/>
                <w:color w:val="auto"/>
                <w:sz w:val="24"/>
                <w:highlight w:val="none"/>
              </w:rPr>
              <w:t>关于印发中小企业划型标准规定的通知</w:t>
            </w:r>
            <w:r>
              <w:rPr>
                <w:rFonts w:hint="eastAsia" w:ascii="仿宋" w:hAnsi="仿宋" w:eastAsia="仿宋" w:cs="Times New Roman"/>
                <w:color w:val="auto"/>
                <w:sz w:val="24"/>
                <w:highlight w:val="none"/>
              </w:rPr>
              <w:t>》（</w:t>
            </w:r>
            <w:r>
              <w:rPr>
                <w:rFonts w:ascii="仿宋" w:hAnsi="仿宋" w:eastAsia="仿宋" w:cs="Times New Roman"/>
                <w:color w:val="auto"/>
                <w:sz w:val="24"/>
                <w:highlight w:val="none"/>
              </w:rPr>
              <w:t>工信部联企业[2011]300号</w:t>
            </w:r>
            <w:r>
              <w:rPr>
                <w:rFonts w:hint="eastAsia" w:ascii="仿宋" w:hAnsi="仿宋" w:eastAsia="仿宋" w:cs="Times New Roman"/>
                <w:color w:val="auto"/>
                <w:sz w:val="24"/>
                <w:highlight w:val="none"/>
              </w:rPr>
              <w:t>）执行，划分标准对应行业详见</w:t>
            </w:r>
            <w:r>
              <w:rPr>
                <w:rFonts w:hint="eastAsia" w:ascii="仿宋" w:hAnsi="仿宋" w:eastAsia="仿宋" w:cs="Times New Roman"/>
                <w:color w:val="auto"/>
                <w:sz w:val="24"/>
                <w:highlight w:val="none"/>
                <w:lang w:val="en-US" w:eastAsia="zh-CN"/>
              </w:rPr>
              <w:t>供应商</w:t>
            </w:r>
            <w:r>
              <w:rPr>
                <w:rFonts w:hint="eastAsia" w:ascii="仿宋" w:hAnsi="仿宋" w:eastAsia="仿宋" w:cs="Times New Roman"/>
                <w:color w:val="auto"/>
                <w:sz w:val="24"/>
                <w:highlight w:val="none"/>
              </w:rPr>
              <w:t>须知前附表及《中小企业声明函》格式内所示；符合要求的个体工商户在政府采购活动中视同中小企业；符合要求的监狱企业和残疾人福利性单位视同为小微企业《残疾人福利性单位声明函》</w:t>
            </w:r>
          </w:p>
          <w:p>
            <w:pPr>
              <w:spacing w:line="276" w:lineRule="auto"/>
              <w:ind w:firstLine="318" w:firstLineChars="132"/>
              <w:jc w:val="left"/>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cs="Times New Roman"/>
                <w:b/>
                <w:color w:val="auto"/>
                <w:sz w:val="24"/>
                <w:highlight w:val="none"/>
              </w:rPr>
              <w:t>b.供应商应当按照采购文件明确的中小企业划分对应行业如实出具《中小企业声明函》，所提供的货物的制造商为两个或以上的，应当在《中小企业声明函》中如实、逐一列明。</w:t>
            </w:r>
          </w:p>
        </w:tc>
        <w:tc>
          <w:tcPr>
            <w:tcW w:w="721" w:type="dxa"/>
            <w:vAlign w:val="center"/>
          </w:tcPr>
          <w:p>
            <w:pPr>
              <w:spacing w:line="276" w:lineRule="auto"/>
              <w:jc w:val="center"/>
              <w:rPr>
                <w:rFonts w:hint="eastAsia" w:ascii="仿宋" w:hAnsi="仿宋" w:eastAsia="仿宋" w:cs="Arial"/>
                <w:b/>
                <w:color w:val="auto"/>
                <w:kern w:val="0"/>
                <w:sz w:val="24"/>
                <w:szCs w:val="24"/>
                <w:highlight w:val="none"/>
                <w:lang w:val="en-US" w:eastAsia="zh-CN" w:bidi="ar-SA"/>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b/>
                <w:color w:val="auto"/>
                <w:sz w:val="24"/>
                <w:highlight w:val="none"/>
              </w:rPr>
              <w:t>1-3</w:t>
            </w:r>
          </w:p>
        </w:tc>
        <w:tc>
          <w:tcPr>
            <w:tcW w:w="9510" w:type="dxa"/>
            <w:gridSpan w:val="3"/>
            <w:shd w:val="clear" w:color="auto" w:fill="FFFF00"/>
            <w:vAlign w:val="center"/>
          </w:tcPr>
          <w:p>
            <w:pPr>
              <w:spacing w:line="276" w:lineRule="auto"/>
              <w:jc w:val="left"/>
              <w:rPr>
                <w:rFonts w:hint="eastAsia" w:ascii="仿宋" w:hAnsi="仿宋" w:eastAsia="仿宋" w:cs="Arial"/>
                <w:color w:val="auto"/>
                <w:kern w:val="0"/>
                <w:sz w:val="24"/>
                <w:highlight w:val="none"/>
              </w:rPr>
            </w:pPr>
            <w:r>
              <w:rPr>
                <w:rFonts w:hint="eastAsia" w:ascii="仿宋" w:hAnsi="仿宋" w:eastAsia="仿宋"/>
                <w:b/>
                <w:color w:val="auto"/>
                <w:sz w:val="24"/>
                <w:highlight w:val="none"/>
              </w:rPr>
              <w:t>▲符合“申请人的资格要求”第3条“本项目特定资格要求”规定的证明文件：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highlight w:val="none"/>
                <w:lang w:eastAsia="zh-CN"/>
              </w:rPr>
            </w:pPr>
            <w:r>
              <w:rPr>
                <w:rFonts w:hint="eastAsia" w:ascii="仿宋" w:hAnsi="仿宋" w:eastAsia="仿宋" w:cs="Arial"/>
                <w:b/>
                <w:color w:val="auto"/>
                <w:kern w:val="0"/>
                <w:sz w:val="24"/>
                <w:highlight w:val="none"/>
                <w:lang w:eastAsia="zh-CN"/>
              </w:rPr>
              <w:t>（</w:t>
            </w:r>
            <w:r>
              <w:rPr>
                <w:rFonts w:hint="eastAsia" w:ascii="仿宋" w:hAnsi="仿宋" w:eastAsia="仿宋" w:cs="Arial"/>
                <w:b/>
                <w:color w:val="auto"/>
                <w:kern w:val="0"/>
                <w:sz w:val="24"/>
                <w:highlight w:val="none"/>
                <w:lang w:val="en-US" w:eastAsia="zh-CN"/>
              </w:rPr>
              <w:t>1</w:t>
            </w:r>
            <w:r>
              <w:rPr>
                <w:rFonts w:hint="eastAsia" w:ascii="仿宋" w:hAnsi="仿宋" w:eastAsia="仿宋" w:cs="Arial"/>
                <w:b/>
                <w:color w:val="auto"/>
                <w:kern w:val="0"/>
                <w:sz w:val="24"/>
                <w:highlight w:val="none"/>
                <w:lang w:eastAsia="zh-CN"/>
              </w:rPr>
              <w:t>）</w:t>
            </w:r>
          </w:p>
        </w:tc>
        <w:tc>
          <w:tcPr>
            <w:tcW w:w="8789" w:type="dxa"/>
            <w:gridSpan w:val="2"/>
            <w:vAlign w:val="center"/>
          </w:tcPr>
          <w:p>
            <w:pPr>
              <w:spacing w:line="276" w:lineRule="auto"/>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w:t>
            </w:r>
            <w:r>
              <w:rPr>
                <w:rFonts w:hint="eastAsia" w:ascii="仿宋" w:hAnsi="仿宋" w:eastAsia="仿宋"/>
                <w:b/>
                <w:color w:val="auto"/>
                <w:sz w:val="24"/>
                <w:highlight w:val="none"/>
                <w:u w:val="single"/>
              </w:rPr>
              <w:t>具有</w:t>
            </w:r>
            <w:r>
              <w:rPr>
                <w:rFonts w:hint="eastAsia" w:ascii="仿宋" w:hAnsi="仿宋" w:eastAsia="仿宋"/>
                <w:b/>
                <w:color w:val="auto"/>
                <w:sz w:val="24"/>
                <w:highlight w:val="none"/>
                <w:u w:val="single"/>
                <w:lang w:val="en-US" w:eastAsia="zh-CN"/>
              </w:rPr>
              <w:t>消防设施工程专业承包二级及以上资质</w:t>
            </w:r>
            <w:r>
              <w:rPr>
                <w:rFonts w:hint="eastAsia" w:ascii="仿宋" w:hAnsi="仿宋" w:eastAsia="仿宋"/>
                <w:b/>
                <w:color w:val="auto"/>
                <w:sz w:val="24"/>
                <w:highlight w:val="none"/>
              </w:rPr>
              <w:t>”的证明材料</w:t>
            </w:r>
            <w:r>
              <w:rPr>
                <w:rFonts w:hint="eastAsia" w:ascii="仿宋" w:hAnsi="仿宋" w:eastAsia="仿宋"/>
                <w:b w:val="0"/>
                <w:bCs/>
                <w:color w:val="auto"/>
                <w:sz w:val="24"/>
                <w:highlight w:val="none"/>
                <w:lang w:val="en-US" w:eastAsia="zh-CN"/>
              </w:rPr>
              <w:t>（证书复印件加盖磋商响应供应商公章。）</w:t>
            </w:r>
          </w:p>
        </w:tc>
        <w:tc>
          <w:tcPr>
            <w:tcW w:w="721" w:type="dxa"/>
            <w:vAlign w:val="center"/>
          </w:tcPr>
          <w:p>
            <w:pPr>
              <w:spacing w:line="276" w:lineRule="auto"/>
              <w:jc w:val="center"/>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highlight w:val="none"/>
                <w:lang w:eastAsia="zh-CN"/>
              </w:rPr>
            </w:pPr>
            <w:r>
              <w:rPr>
                <w:rFonts w:hint="eastAsia" w:ascii="仿宋" w:hAnsi="仿宋" w:eastAsia="仿宋" w:cs="Arial"/>
                <w:b/>
                <w:color w:val="auto"/>
                <w:kern w:val="0"/>
                <w:sz w:val="24"/>
                <w:highlight w:val="none"/>
                <w:lang w:eastAsia="zh-CN"/>
              </w:rPr>
              <w:t>（</w:t>
            </w:r>
            <w:r>
              <w:rPr>
                <w:rFonts w:hint="eastAsia" w:ascii="仿宋" w:hAnsi="仿宋" w:eastAsia="仿宋" w:cs="Arial"/>
                <w:b/>
                <w:color w:val="auto"/>
                <w:kern w:val="0"/>
                <w:sz w:val="24"/>
                <w:highlight w:val="none"/>
                <w:lang w:val="en-US" w:eastAsia="zh-CN"/>
              </w:rPr>
              <w:t>2</w:t>
            </w:r>
            <w:r>
              <w:rPr>
                <w:rFonts w:hint="eastAsia" w:ascii="仿宋" w:hAnsi="仿宋" w:eastAsia="仿宋" w:cs="Arial"/>
                <w:b/>
                <w:color w:val="auto"/>
                <w:kern w:val="0"/>
                <w:sz w:val="24"/>
                <w:highlight w:val="none"/>
                <w:lang w:eastAsia="zh-CN"/>
              </w:rPr>
              <w:t>）</w:t>
            </w:r>
          </w:p>
        </w:tc>
        <w:tc>
          <w:tcPr>
            <w:tcW w:w="8789" w:type="dxa"/>
            <w:gridSpan w:val="2"/>
            <w:vAlign w:val="center"/>
          </w:tcPr>
          <w:p>
            <w:pPr>
              <w:spacing w:line="276" w:lineRule="auto"/>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w:t>
            </w:r>
            <w:r>
              <w:rPr>
                <w:rFonts w:hint="eastAsia" w:ascii="仿宋" w:hAnsi="仿宋" w:eastAsia="仿宋"/>
                <w:b/>
                <w:color w:val="auto"/>
                <w:sz w:val="24"/>
                <w:highlight w:val="none"/>
                <w:u w:val="single"/>
              </w:rPr>
              <w:t>具有企业《安全生产许可证》</w:t>
            </w:r>
            <w:r>
              <w:rPr>
                <w:rFonts w:hint="eastAsia" w:ascii="仿宋" w:hAnsi="仿宋" w:eastAsia="仿宋"/>
                <w:b/>
                <w:color w:val="auto"/>
                <w:sz w:val="24"/>
                <w:highlight w:val="none"/>
              </w:rPr>
              <w:t>”的证明材料</w:t>
            </w:r>
            <w:r>
              <w:rPr>
                <w:rFonts w:hint="eastAsia" w:ascii="仿宋" w:hAnsi="仿宋" w:eastAsia="仿宋"/>
                <w:b w:val="0"/>
                <w:bCs/>
                <w:color w:val="auto"/>
                <w:sz w:val="24"/>
                <w:highlight w:val="none"/>
                <w:lang w:val="en-US" w:eastAsia="zh-CN"/>
              </w:rPr>
              <w:t>（证书复印件加盖磋商响应供应商公章。）</w:t>
            </w:r>
          </w:p>
        </w:tc>
        <w:tc>
          <w:tcPr>
            <w:tcW w:w="721" w:type="dxa"/>
            <w:vAlign w:val="center"/>
          </w:tcPr>
          <w:p>
            <w:pPr>
              <w:spacing w:line="276" w:lineRule="auto"/>
              <w:jc w:val="center"/>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备注</w:t>
            </w:r>
          </w:p>
        </w:tc>
        <w:tc>
          <w:tcPr>
            <w:tcW w:w="9510" w:type="dxa"/>
            <w:gridSpan w:val="3"/>
            <w:shd w:val="clear" w:color="auto" w:fill="E5DFEC"/>
            <w:vAlign w:val="center"/>
          </w:tcPr>
          <w:p>
            <w:pPr>
              <w:spacing w:line="276" w:lineRule="auto"/>
              <w:jc w:val="left"/>
              <w:rPr>
                <w:rFonts w:ascii="仿宋" w:hAnsi="仿宋" w:eastAsia="仿宋" w:cs="Arial"/>
                <w:color w:val="auto"/>
                <w:kern w:val="0"/>
                <w:sz w:val="24"/>
                <w:highlight w:val="none"/>
              </w:rPr>
            </w:pPr>
            <w:r>
              <w:rPr>
                <w:rFonts w:hint="eastAsia" w:ascii="仿宋" w:hAnsi="仿宋" w:eastAsia="仿宋" w:cs="Times New Roman"/>
                <w:b/>
                <w:color w:val="auto"/>
                <w:sz w:val="24"/>
                <w:highlight w:val="none"/>
              </w:rPr>
              <w:t>以上</w:t>
            </w:r>
            <w:r>
              <w:rPr>
                <w:rFonts w:hint="eastAsia" w:ascii="仿宋" w:hAnsi="仿宋" w:eastAsia="仿宋" w:cs="Arial"/>
                <w:b/>
                <w:color w:val="auto"/>
                <w:kern w:val="0"/>
                <w:sz w:val="24"/>
                <w:highlight w:val="none"/>
              </w:rPr>
              <w:t>资格证明文件未提供的，作“资格审查不合格”处理，不得进入后续评标程序。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w:t>
            </w:r>
          </w:p>
        </w:tc>
        <w:tc>
          <w:tcPr>
            <w:tcW w:w="9510" w:type="dxa"/>
            <w:gridSpan w:val="3"/>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b/>
                <w:bCs/>
                <w:color w:val="auto"/>
                <w:kern w:val="0"/>
                <w:sz w:val="24"/>
                <w:highlight w:val="none"/>
              </w:rPr>
              <w:t>商务技术部分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2-1</w:t>
            </w:r>
          </w:p>
        </w:tc>
        <w:tc>
          <w:tcPr>
            <w:tcW w:w="8647" w:type="dxa"/>
            <w:vAlign w:val="center"/>
          </w:tcPr>
          <w:p>
            <w:pPr>
              <w:spacing w:line="276" w:lineRule="auto"/>
              <w:jc w:val="left"/>
              <w:rPr>
                <w:rFonts w:ascii="仿宋" w:hAnsi="仿宋" w:eastAsia="仿宋" w:cs="Times New Roman"/>
                <w:b/>
                <w:color w:val="auto"/>
                <w:sz w:val="24"/>
                <w:highlight w:val="none"/>
              </w:rPr>
            </w:pPr>
            <w:r>
              <w:rPr>
                <w:rFonts w:hint="eastAsia" w:ascii="仿宋" w:hAnsi="仿宋" w:eastAsia="仿宋" w:cs="Arial"/>
                <w:b/>
                <w:color w:val="auto"/>
                <w:kern w:val="0"/>
                <w:sz w:val="24"/>
                <w:highlight w:val="none"/>
              </w:rPr>
              <w:t>关于《磋商响应文件》所有内容真实、有效的承诺函</w:t>
            </w:r>
            <w:r>
              <w:rPr>
                <w:rFonts w:hint="eastAsia" w:ascii="仿宋" w:hAnsi="仿宋" w:eastAsia="仿宋" w:cs="Times New Roman"/>
                <w:color w:val="auto"/>
                <w:sz w:val="24"/>
                <w:highlight w:val="none"/>
              </w:rPr>
              <w:t>（格式见第六章）</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2-2</w:t>
            </w:r>
          </w:p>
        </w:tc>
        <w:tc>
          <w:tcPr>
            <w:tcW w:w="8647" w:type="dxa"/>
            <w:vAlign w:val="center"/>
          </w:tcPr>
          <w:p>
            <w:pPr>
              <w:spacing w:line="276" w:lineRule="auto"/>
              <w:rPr>
                <w:rFonts w:ascii="仿宋" w:hAnsi="仿宋" w:eastAsia="仿宋" w:cs="Times New Roman"/>
                <w:b/>
                <w:color w:val="auto"/>
                <w:sz w:val="24"/>
                <w:highlight w:val="none"/>
              </w:rPr>
            </w:pPr>
            <w:r>
              <w:rPr>
                <w:rFonts w:hint="eastAsia" w:ascii="仿宋" w:hAnsi="仿宋" w:eastAsia="仿宋" w:cs="Arial"/>
                <w:b/>
                <w:color w:val="auto"/>
                <w:kern w:val="0"/>
                <w:sz w:val="24"/>
                <w:highlight w:val="none"/>
                <w:lang w:val="en-US" w:eastAsia="zh-CN"/>
              </w:rPr>
              <w:t>磋商响应</w:t>
            </w:r>
            <w:r>
              <w:rPr>
                <w:rFonts w:ascii="仿宋" w:hAnsi="仿宋" w:eastAsia="仿宋" w:cs="Arial"/>
                <w:b/>
                <w:color w:val="auto"/>
                <w:kern w:val="0"/>
                <w:sz w:val="24"/>
                <w:highlight w:val="none"/>
              </w:rPr>
              <w:t>函</w:t>
            </w:r>
            <w:r>
              <w:rPr>
                <w:rFonts w:hint="eastAsia" w:ascii="仿宋" w:hAnsi="仿宋" w:eastAsia="仿宋" w:cs="Times New Roman"/>
                <w:color w:val="auto"/>
                <w:sz w:val="24"/>
                <w:highlight w:val="none"/>
              </w:rPr>
              <w:t>（格式见第六章）</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2-3</w:t>
            </w:r>
          </w:p>
        </w:tc>
        <w:tc>
          <w:tcPr>
            <w:tcW w:w="8647" w:type="dxa"/>
            <w:vAlign w:val="center"/>
          </w:tcPr>
          <w:p>
            <w:pPr>
              <w:spacing w:line="276" w:lineRule="auto"/>
              <w:rPr>
                <w:rFonts w:ascii="仿宋" w:hAnsi="仿宋" w:eastAsia="仿宋" w:cs="Times New Roman"/>
                <w:b/>
                <w:color w:val="auto"/>
                <w:sz w:val="24"/>
                <w:highlight w:val="none"/>
              </w:rPr>
            </w:pPr>
            <w:r>
              <w:rPr>
                <w:rFonts w:hint="eastAsia" w:ascii="仿宋" w:hAnsi="仿宋" w:eastAsia="仿宋" w:cs="Arial"/>
                <w:b/>
                <w:color w:val="auto"/>
                <w:kern w:val="0"/>
                <w:sz w:val="24"/>
                <w:highlight w:val="none"/>
              </w:rPr>
              <w:t>《法人（或单位）</w:t>
            </w:r>
            <w:r>
              <w:rPr>
                <w:rFonts w:ascii="仿宋" w:hAnsi="仿宋" w:eastAsia="仿宋" w:cs="Arial"/>
                <w:b/>
                <w:color w:val="auto"/>
                <w:kern w:val="0"/>
                <w:sz w:val="24"/>
                <w:highlight w:val="none"/>
              </w:rPr>
              <w:t>授权委托书</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r>
              <w:rPr>
                <w:rFonts w:hint="eastAsia" w:ascii="仿宋" w:hAnsi="仿宋" w:eastAsia="仿宋" w:cs="Arial"/>
                <w:color w:val="auto"/>
                <w:kern w:val="0"/>
                <w:sz w:val="24"/>
                <w:highlight w:val="none"/>
                <w:lang w:eastAsia="zh-CN"/>
              </w:rPr>
              <w:t>磋商</w:t>
            </w:r>
            <w:r>
              <w:rPr>
                <w:rFonts w:hint="eastAsia" w:ascii="仿宋" w:hAnsi="仿宋" w:eastAsia="仿宋" w:cs="Arial"/>
                <w:color w:val="auto"/>
                <w:kern w:val="0"/>
                <w:sz w:val="24"/>
                <w:highlight w:val="none"/>
              </w:rPr>
              <w:t>供应商授权其单位正式职工全权代表其处理</w:t>
            </w:r>
            <w:r>
              <w:rPr>
                <w:rFonts w:hint="eastAsia" w:ascii="仿宋" w:hAnsi="仿宋" w:eastAsia="仿宋" w:cs="Arial"/>
                <w:color w:val="auto"/>
                <w:kern w:val="0"/>
                <w:sz w:val="24"/>
                <w:highlight w:val="none"/>
                <w:lang w:eastAsia="zh-CN"/>
              </w:rPr>
              <w:t>磋商</w:t>
            </w:r>
            <w:r>
              <w:rPr>
                <w:rFonts w:hint="eastAsia" w:ascii="仿宋" w:hAnsi="仿宋" w:eastAsia="仿宋" w:cs="Arial"/>
                <w:color w:val="auto"/>
                <w:kern w:val="0"/>
                <w:sz w:val="24"/>
                <w:highlight w:val="none"/>
              </w:rPr>
              <w:t>事项或签署相关文件时须提供</w:t>
            </w:r>
            <w:r>
              <w:rPr>
                <w:rFonts w:hint="eastAsia" w:ascii="仿宋" w:hAnsi="仿宋" w:eastAsia="仿宋" w:cs="Times New Roman"/>
                <w:color w:val="auto"/>
                <w:sz w:val="24"/>
                <w:highlight w:val="none"/>
              </w:rPr>
              <w:t>，格式见第六章</w:t>
            </w:r>
            <w:r>
              <w:rPr>
                <w:rFonts w:hint="eastAsia" w:ascii="仿宋" w:hAnsi="仿宋" w:eastAsia="仿宋" w:cs="Arial"/>
                <w:color w:val="auto"/>
                <w:kern w:val="0"/>
                <w:sz w:val="24"/>
                <w:highlight w:val="none"/>
              </w:rPr>
              <w:t>）</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2-4</w:t>
            </w:r>
          </w:p>
        </w:tc>
        <w:tc>
          <w:tcPr>
            <w:tcW w:w="8647" w:type="dxa"/>
            <w:vAlign w:val="center"/>
          </w:tcPr>
          <w:p>
            <w:pPr>
              <w:spacing w:line="276" w:lineRule="auto"/>
              <w:rPr>
                <w:rFonts w:ascii="仿宋" w:hAnsi="仿宋" w:eastAsia="仿宋" w:cs="Times New Roman"/>
                <w:b/>
                <w:color w:val="auto"/>
                <w:sz w:val="24"/>
                <w:highlight w:val="none"/>
              </w:rPr>
            </w:pPr>
            <w:r>
              <w:rPr>
                <w:rFonts w:hint="eastAsia" w:ascii="仿宋" w:hAnsi="仿宋" w:eastAsia="仿宋" w:cs="Arial"/>
                <w:b/>
                <w:color w:val="auto"/>
                <w:kern w:val="0"/>
                <w:sz w:val="24"/>
                <w:highlight w:val="none"/>
                <w:lang w:eastAsia="zh-CN"/>
              </w:rPr>
              <w:t>磋商</w:t>
            </w:r>
            <w:r>
              <w:rPr>
                <w:rFonts w:hint="eastAsia" w:ascii="仿宋" w:hAnsi="仿宋" w:eastAsia="仿宋" w:cs="Arial"/>
                <w:b/>
                <w:color w:val="auto"/>
                <w:kern w:val="0"/>
                <w:sz w:val="24"/>
                <w:highlight w:val="none"/>
              </w:rPr>
              <w:t>供应商基本情况说明表</w:t>
            </w:r>
            <w:r>
              <w:rPr>
                <w:rFonts w:hint="eastAsia" w:ascii="仿宋" w:hAnsi="仿宋" w:eastAsia="仿宋" w:cs="Arial"/>
                <w:color w:val="auto"/>
                <w:kern w:val="0"/>
                <w:sz w:val="24"/>
                <w:highlight w:val="none"/>
              </w:rPr>
              <w:t>（</w:t>
            </w:r>
            <w:r>
              <w:rPr>
                <w:rFonts w:hint="eastAsia" w:ascii="仿宋" w:hAnsi="仿宋" w:eastAsia="仿宋" w:cs="Times New Roman"/>
                <w:color w:val="auto"/>
                <w:sz w:val="24"/>
                <w:highlight w:val="none"/>
              </w:rPr>
              <w:t>格式见第六章，</w:t>
            </w:r>
            <w:r>
              <w:rPr>
                <w:rFonts w:hint="eastAsia" w:ascii="仿宋" w:hAnsi="仿宋" w:eastAsia="仿宋" w:cs="Arial"/>
                <w:color w:val="auto"/>
                <w:kern w:val="0"/>
                <w:sz w:val="24"/>
                <w:highlight w:val="none"/>
              </w:rPr>
              <w:t>后附企业简介）</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2-5</w:t>
            </w:r>
          </w:p>
        </w:tc>
        <w:tc>
          <w:tcPr>
            <w:tcW w:w="8647" w:type="dxa"/>
            <w:vAlign w:val="center"/>
          </w:tcPr>
          <w:p>
            <w:pPr>
              <w:spacing w:line="276" w:lineRule="auto"/>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lang w:eastAsia="zh-CN"/>
              </w:rPr>
              <w:t>磋商</w:t>
            </w:r>
            <w:r>
              <w:rPr>
                <w:rFonts w:hint="eastAsia" w:ascii="仿宋" w:hAnsi="仿宋" w:eastAsia="仿宋" w:cs="Arial"/>
                <w:b/>
                <w:color w:val="auto"/>
                <w:kern w:val="0"/>
                <w:sz w:val="24"/>
                <w:highlight w:val="none"/>
              </w:rPr>
              <w:t>供应商业绩汇总表及证明材料</w:t>
            </w:r>
            <w:r>
              <w:rPr>
                <w:rFonts w:hint="eastAsia" w:ascii="仿宋" w:hAnsi="仿宋" w:eastAsia="仿宋" w:cs="Times New Roman"/>
                <w:color w:val="auto"/>
                <w:sz w:val="24"/>
                <w:highlight w:val="none"/>
              </w:rPr>
              <w:t>（格式见第六章）</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2-6</w:t>
            </w:r>
          </w:p>
        </w:tc>
        <w:tc>
          <w:tcPr>
            <w:tcW w:w="8647" w:type="dxa"/>
            <w:tcBorders>
              <w:bottom w:val="single" w:color="0070C0" w:sz="6" w:space="0"/>
            </w:tcBorders>
            <w:vAlign w:val="center"/>
          </w:tcPr>
          <w:p>
            <w:pPr>
              <w:spacing w:line="276" w:lineRule="auto"/>
              <w:jc w:val="left"/>
              <w:rPr>
                <w:rFonts w:ascii="仿宋" w:hAnsi="仿宋" w:eastAsia="仿宋" w:cs="Times New Roman"/>
                <w:b/>
                <w:color w:val="auto"/>
                <w:sz w:val="24"/>
                <w:highlight w:val="none"/>
              </w:rPr>
            </w:pPr>
            <w:r>
              <w:rPr>
                <w:rFonts w:hint="eastAsia" w:ascii="仿宋" w:hAnsi="仿宋" w:eastAsia="仿宋" w:cs="Arial"/>
                <w:b/>
                <w:color w:val="auto"/>
                <w:kern w:val="0"/>
                <w:sz w:val="24"/>
                <w:highlight w:val="none"/>
                <w:lang w:eastAsia="zh-CN"/>
              </w:rPr>
              <w:t>磋商</w:t>
            </w:r>
            <w:r>
              <w:rPr>
                <w:rFonts w:hint="eastAsia" w:ascii="仿宋" w:hAnsi="仿宋" w:eastAsia="仿宋" w:cs="Arial"/>
                <w:b/>
                <w:color w:val="auto"/>
                <w:kern w:val="0"/>
                <w:sz w:val="24"/>
                <w:highlight w:val="none"/>
              </w:rPr>
              <w:t>响应表</w:t>
            </w:r>
            <w:r>
              <w:rPr>
                <w:rFonts w:hint="eastAsia" w:ascii="仿宋" w:hAnsi="仿宋" w:eastAsia="仿宋" w:cs="Times New Roman"/>
                <w:color w:val="auto"/>
                <w:sz w:val="24"/>
                <w:highlight w:val="none"/>
              </w:rPr>
              <w:t>（格式见第六章）</w:t>
            </w:r>
          </w:p>
        </w:tc>
        <w:tc>
          <w:tcPr>
            <w:tcW w:w="863" w:type="dxa"/>
            <w:gridSpan w:val="2"/>
            <w:tcBorders>
              <w:bottom w:val="single" w:color="0070C0" w:sz="6" w:space="0"/>
            </w:tcBorders>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2-7</w:t>
            </w:r>
          </w:p>
        </w:tc>
        <w:tc>
          <w:tcPr>
            <w:tcW w:w="8647" w:type="dxa"/>
            <w:tcBorders>
              <w:bottom w:val="single" w:color="0070C0" w:sz="6" w:space="0"/>
            </w:tcBorders>
            <w:vAlign w:val="center"/>
          </w:tcPr>
          <w:p>
            <w:pPr>
              <w:spacing w:line="276" w:lineRule="auto"/>
              <w:jc w:val="left"/>
              <w:rPr>
                <w:rFonts w:ascii="仿宋" w:hAnsi="仿宋" w:eastAsia="仿宋" w:cs="Times New Roman"/>
                <w:color w:val="auto"/>
                <w:kern w:val="2"/>
                <w:sz w:val="24"/>
                <w:szCs w:val="24"/>
                <w:highlight w:val="none"/>
                <w:lang w:val="en-US" w:eastAsia="zh-CN" w:bidi="ar-SA"/>
              </w:rPr>
            </w:pPr>
            <w:r>
              <w:rPr>
                <w:rFonts w:hint="eastAsia" w:ascii="仿宋" w:hAnsi="仿宋" w:eastAsia="仿宋"/>
                <w:b/>
                <w:bCs/>
                <w:color w:val="auto"/>
                <w:sz w:val="24"/>
                <w:highlight w:val="none"/>
              </w:rPr>
              <w:t>施工组织设计</w:t>
            </w:r>
            <w:r>
              <w:rPr>
                <w:rFonts w:hint="eastAsia" w:ascii="仿宋" w:hAnsi="仿宋" w:eastAsia="仿宋"/>
                <w:color w:val="auto"/>
                <w:sz w:val="24"/>
                <w:highlight w:val="none"/>
              </w:rPr>
              <w:t>（格式见第六章）</w:t>
            </w:r>
          </w:p>
        </w:tc>
        <w:tc>
          <w:tcPr>
            <w:tcW w:w="863" w:type="dxa"/>
            <w:gridSpan w:val="2"/>
            <w:tcBorders>
              <w:bottom w:val="single" w:color="0070C0" w:sz="6" w:space="0"/>
            </w:tcBorders>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2-8</w:t>
            </w:r>
          </w:p>
        </w:tc>
        <w:tc>
          <w:tcPr>
            <w:tcW w:w="8647" w:type="dxa"/>
            <w:vAlign w:val="center"/>
          </w:tcPr>
          <w:p>
            <w:pPr>
              <w:spacing w:line="276" w:lineRule="auto"/>
              <w:jc w:val="left"/>
              <w:rPr>
                <w:rFonts w:ascii="仿宋" w:hAnsi="仿宋" w:eastAsia="仿宋" w:cs="Times New Roman"/>
                <w:color w:val="auto"/>
                <w:kern w:val="2"/>
                <w:sz w:val="24"/>
                <w:szCs w:val="24"/>
                <w:highlight w:val="none"/>
                <w:lang w:val="en-US" w:eastAsia="zh-CN" w:bidi="ar-SA"/>
              </w:rPr>
            </w:pPr>
            <w:r>
              <w:rPr>
                <w:rFonts w:hint="eastAsia" w:ascii="仿宋" w:hAnsi="仿宋" w:eastAsia="仿宋"/>
                <w:b/>
                <w:bCs/>
                <w:color w:val="auto"/>
                <w:sz w:val="24"/>
                <w:highlight w:val="none"/>
              </w:rPr>
              <w:t>技术（服务）方案</w:t>
            </w:r>
            <w:r>
              <w:rPr>
                <w:rFonts w:hint="eastAsia" w:ascii="仿宋" w:hAnsi="仿宋" w:eastAsia="仿宋"/>
                <w:color w:val="auto"/>
                <w:sz w:val="24"/>
                <w:highlight w:val="none"/>
              </w:rPr>
              <w:t>（对照评分细则，但不仅限于）</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cs="Times New Roman"/>
                <w:b/>
                <w:color w:val="auto"/>
                <w:sz w:val="24"/>
                <w:highlight w:val="none"/>
              </w:rPr>
              <w:t>2-</w:t>
            </w:r>
            <w:r>
              <w:rPr>
                <w:rFonts w:hint="eastAsia" w:ascii="仿宋" w:hAnsi="仿宋" w:eastAsia="仿宋" w:cs="Times New Roman"/>
                <w:b/>
                <w:color w:val="auto"/>
                <w:sz w:val="24"/>
                <w:highlight w:val="none"/>
                <w:lang w:val="en-US" w:eastAsia="zh-CN"/>
              </w:rPr>
              <w:t>9</w:t>
            </w:r>
          </w:p>
        </w:tc>
        <w:tc>
          <w:tcPr>
            <w:tcW w:w="8647" w:type="dxa"/>
            <w:vAlign w:val="center"/>
          </w:tcPr>
          <w:p>
            <w:pPr>
              <w:spacing w:line="276" w:lineRule="auto"/>
              <w:jc w:val="left"/>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关于对采购文件中有关条款的拒绝声明</w:t>
            </w:r>
            <w:r>
              <w:rPr>
                <w:rFonts w:hint="eastAsia" w:ascii="仿宋" w:hAnsi="仿宋" w:eastAsia="仿宋" w:cs="Arial"/>
                <w:b w:val="0"/>
                <w:bCs/>
                <w:color w:val="auto"/>
                <w:kern w:val="0"/>
                <w:sz w:val="24"/>
                <w:highlight w:val="none"/>
              </w:rPr>
              <w:t>（如有，格式见第六章）</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2-10</w:t>
            </w:r>
          </w:p>
        </w:tc>
        <w:tc>
          <w:tcPr>
            <w:tcW w:w="8647" w:type="dxa"/>
            <w:vAlign w:val="center"/>
          </w:tcPr>
          <w:p>
            <w:pPr>
              <w:spacing w:line="276" w:lineRule="auto"/>
              <w:jc w:val="left"/>
              <w:rPr>
                <w:rFonts w:ascii="仿宋" w:hAnsi="仿宋" w:eastAsia="仿宋" w:cs="Arial"/>
                <w:b/>
                <w:color w:val="auto"/>
                <w:kern w:val="0"/>
                <w:sz w:val="24"/>
                <w:highlight w:val="none"/>
              </w:rPr>
            </w:pPr>
            <w:r>
              <w:rPr>
                <w:rFonts w:ascii="仿宋" w:hAnsi="仿宋" w:eastAsia="仿宋" w:cs="Arial"/>
                <w:b/>
                <w:color w:val="auto"/>
                <w:kern w:val="0"/>
                <w:sz w:val="24"/>
                <w:highlight w:val="none"/>
              </w:rPr>
              <w:t>其他</w:t>
            </w:r>
            <w:r>
              <w:rPr>
                <w:rFonts w:hint="eastAsia" w:ascii="仿宋" w:hAnsi="仿宋" w:eastAsia="仿宋" w:cs="Arial"/>
                <w:b/>
                <w:color w:val="auto"/>
                <w:kern w:val="0"/>
                <w:sz w:val="24"/>
                <w:highlight w:val="none"/>
              </w:rPr>
              <w:t>与商务技术有关的资料</w:t>
            </w:r>
            <w:r>
              <w:rPr>
                <w:rFonts w:ascii="仿宋" w:hAnsi="仿宋" w:eastAsia="仿宋" w:cs="Arial"/>
                <w:b/>
                <w:color w:val="auto"/>
                <w:kern w:val="0"/>
                <w:sz w:val="24"/>
                <w:highlight w:val="none"/>
              </w:rPr>
              <w:t>或说明</w:t>
            </w:r>
            <w:r>
              <w:rPr>
                <w:rFonts w:hint="eastAsia" w:ascii="仿宋" w:hAnsi="仿宋" w:eastAsia="仿宋" w:cs="Arial"/>
                <w:b w:val="0"/>
                <w:bCs/>
                <w:color w:val="auto"/>
                <w:kern w:val="0"/>
                <w:sz w:val="24"/>
                <w:highlight w:val="none"/>
              </w:rPr>
              <w:t>（如有，格式见第六章）</w:t>
            </w:r>
          </w:p>
        </w:tc>
        <w:tc>
          <w:tcPr>
            <w:tcW w:w="863" w:type="dxa"/>
            <w:gridSpan w:val="2"/>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bl>
    <w:p>
      <w:pPr>
        <w:spacing w:line="360" w:lineRule="auto"/>
        <w:rPr>
          <w:rFonts w:hint="eastAsia" w:ascii="仿宋" w:hAnsi="仿宋" w:eastAsia="仿宋" w:cs="Arial"/>
          <w:b/>
          <w:color w:val="auto"/>
          <w:kern w:val="0"/>
          <w:sz w:val="24"/>
          <w:szCs w:val="22"/>
          <w:highlight w:val="none"/>
        </w:rPr>
      </w:pPr>
    </w:p>
    <w:p>
      <w:pPr>
        <w:keepNext/>
        <w:keepLines/>
        <w:widowControl w:val="0"/>
        <w:spacing w:before="120" w:line="360" w:lineRule="auto"/>
        <w:jc w:val="left"/>
        <w:outlineLvl w:val="4"/>
        <w:rPr>
          <w:rFonts w:ascii="黑体" w:hAnsi="黑体" w:eastAsia="黑体" w:cs="Times New Roman"/>
          <w:b/>
          <w:bCs/>
          <w:color w:val="auto"/>
          <w:kern w:val="0"/>
          <w:sz w:val="24"/>
          <w:szCs w:val="28"/>
          <w:highlight w:val="none"/>
          <w:lang w:val="en-US" w:eastAsia="zh-CN" w:bidi="ar-SA"/>
        </w:rPr>
      </w:pPr>
      <w:r>
        <w:rPr>
          <w:rFonts w:hint="eastAsia" w:ascii="黑体" w:hAnsi="黑体" w:eastAsia="黑体" w:cs="Times New Roman"/>
          <w:b/>
          <w:bCs/>
          <w:color w:val="auto"/>
          <w:kern w:val="0"/>
          <w:sz w:val="24"/>
          <w:szCs w:val="28"/>
          <w:highlight w:val="none"/>
          <w:lang w:val="en-US" w:eastAsia="zh-CN" w:bidi="ar-SA"/>
        </w:rPr>
        <w:t>（2）《报价文件》</w:t>
      </w:r>
    </w:p>
    <w:tbl>
      <w:tblPr>
        <w:tblStyle w:val="23"/>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vAlign w:val="center"/>
          </w:tcPr>
          <w:p>
            <w:pPr>
              <w:spacing w:line="276" w:lineRule="auto"/>
              <w:jc w:val="center"/>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序号</w:t>
            </w:r>
          </w:p>
        </w:tc>
        <w:tc>
          <w:tcPr>
            <w:tcW w:w="8647" w:type="dxa"/>
            <w:tcBorders>
              <w:top w:val="thinThickSmallGap" w:color="0070C0" w:sz="12" w:space="0"/>
              <w:bottom w:val="single" w:color="0070C0" w:sz="6" w:space="0"/>
            </w:tcBorders>
            <w:shd w:val="clear" w:color="auto" w:fill="DAEEF3"/>
            <w:vAlign w:val="center"/>
          </w:tcPr>
          <w:p>
            <w:pPr>
              <w:jc w:val="center"/>
              <w:rPr>
                <w:rFonts w:ascii="微软雅黑" w:hAnsi="微软雅黑" w:eastAsia="微软雅黑" w:cs="Times New Roman"/>
                <w:b/>
                <w:color w:val="auto"/>
                <w:sz w:val="28"/>
                <w:szCs w:val="32"/>
                <w:highlight w:val="none"/>
              </w:rPr>
            </w:pPr>
            <w:r>
              <w:rPr>
                <w:rFonts w:hint="eastAsia" w:ascii="微软雅黑" w:hAnsi="微软雅黑" w:eastAsia="微软雅黑" w:cs="Times New Roman"/>
                <w:b/>
                <w:color w:val="auto"/>
                <w:sz w:val="28"/>
                <w:szCs w:val="32"/>
                <w:highlight w:val="none"/>
              </w:rPr>
              <w:t>第二部分《报价文件》组成内容及要求</w:t>
            </w:r>
            <w:r>
              <w:rPr>
                <w:rFonts w:ascii="微软雅黑" w:hAnsi="微软雅黑" w:eastAsia="微软雅黑" w:cs="Times New Roman"/>
                <w:b/>
                <w:color w:val="auto"/>
                <w:sz w:val="28"/>
                <w:szCs w:val="32"/>
                <w:highlight w:val="none"/>
              </w:rPr>
              <w:t>【</w:t>
            </w:r>
            <w:r>
              <w:rPr>
                <w:rFonts w:hint="eastAsia" w:ascii="微软雅黑" w:hAnsi="微软雅黑" w:eastAsia="微软雅黑" w:cs="Times New Roman"/>
                <w:b/>
                <w:color w:val="auto"/>
                <w:sz w:val="28"/>
                <w:szCs w:val="32"/>
                <w:highlight w:val="none"/>
              </w:rPr>
              <w:t>依序编制</w:t>
            </w:r>
            <w:r>
              <w:rPr>
                <w:rFonts w:ascii="微软雅黑" w:hAnsi="微软雅黑" w:eastAsia="微软雅黑" w:cs="Times New Roman"/>
                <w:b/>
                <w:color w:val="auto"/>
                <w:sz w:val="28"/>
                <w:szCs w:val="32"/>
                <w:highlight w:val="none"/>
              </w:rPr>
              <w:t>】</w:t>
            </w:r>
          </w:p>
        </w:tc>
        <w:tc>
          <w:tcPr>
            <w:tcW w:w="717" w:type="dxa"/>
            <w:tcBorders>
              <w:top w:val="thinThickSmallGap" w:color="0070C0" w:sz="12" w:space="0"/>
              <w:bottom w:val="single" w:color="0070C0" w:sz="6" w:space="0"/>
            </w:tcBorders>
            <w:shd w:val="clear" w:color="auto" w:fill="DAEEF3"/>
            <w:vAlign w:val="center"/>
          </w:tcPr>
          <w:p>
            <w:pPr>
              <w:spacing w:line="276" w:lineRule="auto"/>
              <w:jc w:val="center"/>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3-1</w:t>
            </w:r>
          </w:p>
        </w:tc>
        <w:tc>
          <w:tcPr>
            <w:tcW w:w="8647" w:type="dxa"/>
            <w:tcBorders>
              <w:top w:val="single" w:color="0070C0" w:sz="6" w:space="0"/>
            </w:tcBorders>
            <w:vAlign w:val="center"/>
          </w:tcPr>
          <w:p>
            <w:pPr>
              <w:spacing w:line="276" w:lineRule="auto"/>
              <w:jc w:val="left"/>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《报价文件》封面</w:t>
            </w:r>
            <w:r>
              <w:rPr>
                <w:rFonts w:hint="eastAsia" w:ascii="仿宋" w:hAnsi="仿宋" w:eastAsia="仿宋" w:cs="Arial"/>
                <w:color w:val="auto"/>
                <w:kern w:val="0"/>
                <w:sz w:val="24"/>
                <w:highlight w:val="none"/>
              </w:rPr>
              <w:t>（格式见第六章）</w:t>
            </w:r>
          </w:p>
        </w:tc>
        <w:tc>
          <w:tcPr>
            <w:tcW w:w="717" w:type="dxa"/>
            <w:tcBorders>
              <w:top w:val="single" w:color="0070C0" w:sz="6" w:space="0"/>
            </w:tcBorders>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3-2</w:t>
            </w:r>
          </w:p>
        </w:tc>
        <w:tc>
          <w:tcPr>
            <w:tcW w:w="8647" w:type="dxa"/>
            <w:vAlign w:val="center"/>
          </w:tcPr>
          <w:p>
            <w:pPr>
              <w:spacing w:line="276" w:lineRule="auto"/>
              <w:jc w:val="left"/>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hint="eastAsia" w:ascii="仿宋" w:hAnsi="仿宋" w:eastAsia="仿宋" w:cs="Arial"/>
                <w:b/>
                <w:color w:val="auto"/>
                <w:kern w:val="0"/>
                <w:sz w:val="24"/>
                <w:highlight w:val="none"/>
                <w:lang w:val="en-US" w:eastAsia="zh-CN"/>
              </w:rPr>
              <w:t>投标函</w:t>
            </w:r>
            <w:r>
              <w:rPr>
                <w:rFonts w:hint="eastAsia" w:ascii="仿宋" w:hAnsi="仿宋" w:eastAsia="仿宋" w:cs="Arial"/>
                <w:color w:val="auto"/>
                <w:kern w:val="0"/>
                <w:sz w:val="24"/>
                <w:highlight w:val="none"/>
              </w:rPr>
              <w:t>（格式见第六章）</w:t>
            </w:r>
          </w:p>
        </w:tc>
        <w:tc>
          <w:tcPr>
            <w:tcW w:w="717"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3-3</w:t>
            </w:r>
          </w:p>
        </w:tc>
        <w:tc>
          <w:tcPr>
            <w:tcW w:w="8647" w:type="dxa"/>
            <w:vAlign w:val="center"/>
          </w:tcPr>
          <w:p>
            <w:pPr>
              <w:spacing w:line="276" w:lineRule="auto"/>
              <w:jc w:val="left"/>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lang w:val="en-US" w:eastAsia="zh-CN"/>
              </w:rPr>
              <w:t>▲初次报</w:t>
            </w:r>
            <w:r>
              <w:rPr>
                <w:rFonts w:ascii="仿宋" w:hAnsi="仿宋" w:eastAsia="仿宋" w:cs="Arial"/>
                <w:b/>
                <w:color w:val="auto"/>
                <w:kern w:val="0"/>
                <w:sz w:val="24"/>
                <w:highlight w:val="none"/>
              </w:rPr>
              <w:t>价明细表</w:t>
            </w:r>
            <w:r>
              <w:rPr>
                <w:rFonts w:hint="eastAsia" w:ascii="仿宋" w:hAnsi="仿宋" w:eastAsia="仿宋" w:cs="Arial"/>
                <w:color w:val="auto"/>
                <w:kern w:val="0"/>
                <w:sz w:val="24"/>
                <w:highlight w:val="none"/>
              </w:rPr>
              <w:t>（格式见第六章）</w:t>
            </w:r>
          </w:p>
        </w:tc>
        <w:tc>
          <w:tcPr>
            <w:tcW w:w="717"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Times New Roman"/>
                <w:b/>
                <w:color w:val="auto"/>
                <w:sz w:val="24"/>
                <w:highlight w:val="none"/>
                <w:lang w:eastAsia="zh-CN"/>
              </w:rPr>
            </w:pPr>
            <w:r>
              <w:rPr>
                <w:rFonts w:hint="eastAsia" w:ascii="仿宋" w:hAnsi="仿宋" w:eastAsia="仿宋" w:cs="Times New Roman"/>
                <w:b/>
                <w:color w:val="auto"/>
                <w:sz w:val="24"/>
                <w:highlight w:val="none"/>
              </w:rPr>
              <w:t>3-</w:t>
            </w:r>
            <w:r>
              <w:rPr>
                <w:rFonts w:hint="eastAsia" w:ascii="仿宋" w:hAnsi="仿宋" w:eastAsia="仿宋" w:cs="Times New Roman"/>
                <w:b/>
                <w:color w:val="auto"/>
                <w:sz w:val="24"/>
                <w:highlight w:val="none"/>
                <w:lang w:val="en-US" w:eastAsia="zh-CN"/>
              </w:rPr>
              <w:t>4</w:t>
            </w:r>
          </w:p>
        </w:tc>
        <w:tc>
          <w:tcPr>
            <w:tcW w:w="8647" w:type="dxa"/>
            <w:vAlign w:val="center"/>
          </w:tcPr>
          <w:p>
            <w:pPr>
              <w:spacing w:line="276" w:lineRule="auto"/>
              <w:jc w:val="left"/>
              <w:rPr>
                <w:rFonts w:ascii="仿宋" w:hAnsi="仿宋" w:eastAsia="仿宋" w:cs="Arial"/>
                <w:b/>
                <w:color w:val="auto"/>
                <w:kern w:val="0"/>
                <w:sz w:val="24"/>
                <w:highlight w:val="none"/>
              </w:rPr>
            </w:pPr>
            <w:r>
              <w:rPr>
                <w:rFonts w:ascii="仿宋" w:hAnsi="仿宋" w:eastAsia="仿宋" w:cs="Arial"/>
                <w:b/>
                <w:color w:val="auto"/>
                <w:kern w:val="0"/>
                <w:sz w:val="24"/>
                <w:highlight w:val="none"/>
              </w:rPr>
              <w:t>其他</w:t>
            </w:r>
            <w:r>
              <w:rPr>
                <w:rFonts w:hint="eastAsia" w:ascii="仿宋" w:hAnsi="仿宋" w:eastAsia="仿宋" w:cs="Arial"/>
                <w:b/>
                <w:color w:val="auto"/>
                <w:kern w:val="0"/>
                <w:sz w:val="24"/>
                <w:highlight w:val="none"/>
              </w:rPr>
              <w:t>与报价有关的资料或说明</w:t>
            </w:r>
            <w:r>
              <w:rPr>
                <w:rFonts w:hint="eastAsia" w:ascii="仿宋" w:hAnsi="仿宋" w:eastAsia="仿宋" w:cs="Arial"/>
                <w:color w:val="auto"/>
                <w:kern w:val="0"/>
                <w:sz w:val="24"/>
                <w:highlight w:val="none"/>
              </w:rPr>
              <w:t>（如有，格式见第六章）</w:t>
            </w:r>
          </w:p>
        </w:tc>
        <w:tc>
          <w:tcPr>
            <w:tcW w:w="717" w:type="dxa"/>
            <w:vAlign w:val="center"/>
          </w:tcPr>
          <w:p>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w:t>
            </w:r>
          </w:p>
        </w:tc>
      </w:tr>
    </w:tbl>
    <w:p>
      <w:pPr>
        <w:ind w:firstLine="403"/>
        <w:rPr>
          <w:rFonts w:ascii="Calibri" w:hAnsi="Calibri" w:eastAsia="宋体" w:cs="Times New Roman"/>
          <w:color w:val="auto"/>
          <w:highlight w:val="none"/>
        </w:rPr>
      </w:pPr>
    </w:p>
    <w:p>
      <w:pPr>
        <w:ind w:firstLine="403"/>
        <w:rPr>
          <w:rFonts w:ascii="Calibri" w:hAnsi="Calibri"/>
          <w:color w:val="auto"/>
          <w:highlight w:val="none"/>
        </w:rPr>
      </w:pPr>
    </w:p>
    <w:p>
      <w:pPr>
        <w:pStyle w:val="4"/>
        <w:rPr>
          <w:color w:val="auto"/>
          <w:highlight w:val="none"/>
        </w:rPr>
      </w:pPr>
      <w:r>
        <w:rPr>
          <w:rFonts w:hint="eastAsia"/>
          <w:color w:val="auto"/>
          <w:highlight w:val="none"/>
        </w:rPr>
        <w:t>4.3 磋商响应文件的编制</w:t>
      </w:r>
    </w:p>
    <w:p>
      <w:pPr>
        <w:spacing w:line="360" w:lineRule="auto"/>
        <w:ind w:firstLine="422" w:firstLineChars="175"/>
        <w:rPr>
          <w:rFonts w:ascii="仿宋" w:hAnsi="仿宋" w:eastAsia="仿宋" w:cs="Arial"/>
          <w:b/>
          <w:color w:val="auto"/>
          <w:sz w:val="24"/>
          <w:highlight w:val="none"/>
        </w:rPr>
      </w:pPr>
      <w:r>
        <w:rPr>
          <w:rFonts w:hint="eastAsia" w:ascii="仿宋" w:hAnsi="仿宋" w:eastAsia="仿宋" w:cs="Arial"/>
          <w:b/>
          <w:color w:val="auto"/>
          <w:kern w:val="0"/>
          <w:sz w:val="24"/>
          <w:highlight w:val="none"/>
        </w:rPr>
        <w:t>4.3.1</w:t>
      </w:r>
      <w:r>
        <w:rPr>
          <w:rFonts w:hint="eastAsia" w:ascii="仿宋" w:hAnsi="仿宋" w:eastAsia="仿宋" w:cs="Arial"/>
          <w:b/>
          <w:color w:val="auto"/>
          <w:sz w:val="24"/>
          <w:highlight w:val="none"/>
        </w:rPr>
        <w:t>磋商响应文件的份数：</w:t>
      </w:r>
      <w:r>
        <w:rPr>
          <w:rFonts w:hint="eastAsia" w:ascii="仿宋" w:hAnsi="仿宋" w:eastAsia="仿宋"/>
          <w:b/>
          <w:color w:val="auto"/>
          <w:kern w:val="0"/>
          <w:sz w:val="24"/>
          <w:highlight w:val="none"/>
          <w:u w:val="single"/>
        </w:rPr>
        <w:t>见《供应商须知前附表》</w:t>
      </w:r>
      <w:r>
        <w:rPr>
          <w:rFonts w:hint="eastAsia" w:ascii="仿宋" w:hAnsi="仿宋" w:eastAsia="仿宋" w:cs="Arial"/>
          <w:b/>
          <w:color w:val="auto"/>
          <w:sz w:val="24"/>
          <w:highlight w:val="none"/>
        </w:rPr>
        <w:t>。</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4.3.2供应商应当按照</w:t>
      </w:r>
      <w:r>
        <w:rPr>
          <w:rFonts w:ascii="仿宋" w:hAnsi="仿宋" w:eastAsia="仿宋" w:cs="Arial"/>
          <w:b/>
          <w:color w:val="auto"/>
          <w:kern w:val="0"/>
          <w:sz w:val="24"/>
          <w:highlight w:val="none"/>
        </w:rPr>
        <w:t>本章</w:t>
      </w:r>
      <w:r>
        <w:rPr>
          <w:rFonts w:hint="eastAsia" w:ascii="仿宋" w:hAnsi="仿宋" w:eastAsia="仿宋" w:cs="Arial"/>
          <w:b/>
          <w:color w:val="auto"/>
          <w:kern w:val="0"/>
          <w:sz w:val="24"/>
          <w:highlight w:val="none"/>
        </w:rPr>
        <w:t>第4.2.2款“</w:t>
      </w:r>
      <w:r>
        <w:rPr>
          <w:rFonts w:hint="eastAsia" w:ascii="仿宋" w:hAnsi="仿宋" w:eastAsia="仿宋" w:cs="Arial"/>
          <w:b/>
          <w:color w:val="auto"/>
          <w:kern w:val="0"/>
          <w:sz w:val="24"/>
          <w:szCs w:val="22"/>
          <w:highlight w:val="none"/>
        </w:rPr>
        <w:t>磋商响应文件内容组成表</w:t>
      </w:r>
      <w:r>
        <w:rPr>
          <w:rFonts w:hint="eastAsia" w:ascii="仿宋" w:hAnsi="仿宋" w:eastAsia="仿宋" w:cs="Arial"/>
          <w:b/>
          <w:color w:val="auto"/>
          <w:kern w:val="0"/>
          <w:sz w:val="24"/>
          <w:highlight w:val="none"/>
        </w:rPr>
        <w:t>”规定的内容及顺序编制</w:t>
      </w:r>
      <w:r>
        <w:rPr>
          <w:rFonts w:hint="eastAsia" w:ascii="仿宋" w:hAnsi="仿宋" w:eastAsia="仿宋" w:cs="Arial"/>
          <w:b/>
          <w:color w:val="auto"/>
          <w:kern w:val="0"/>
          <w:sz w:val="24"/>
          <w:szCs w:val="22"/>
          <w:highlight w:val="none"/>
        </w:rPr>
        <w:t>磋商响应文件</w:t>
      </w:r>
      <w:r>
        <w:rPr>
          <w:rFonts w:hint="eastAsia" w:ascii="仿宋" w:hAnsi="仿宋" w:eastAsia="仿宋" w:cs="Arial"/>
          <w:b/>
          <w:color w:val="auto"/>
          <w:kern w:val="0"/>
          <w:sz w:val="24"/>
          <w:highlight w:val="none"/>
        </w:rPr>
        <w:t>。</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4.3.3磋商响应文件的正本需打印或用不退色的墨水填写，并注明“正本”字样。副本可以复印，并注明“副本”字样。当副本和正本不一致时，以正本为准。</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4.3.4磋商响应文件由供应商的法定代表人或其委托代理人签字（或盖章）、盖单位公章。响应文件应尽量避免涂改、行间插字或删除，如果出现上述情况，改动之处应加盖单位公章或由磋商响应文件签署人签字（或盖章）确认。</w:t>
      </w:r>
    </w:p>
    <w:p>
      <w:pPr>
        <w:spacing w:line="360" w:lineRule="auto"/>
        <w:ind w:firstLine="422" w:firstLineChars="175"/>
        <w:rPr>
          <w:rFonts w:ascii="仿宋" w:hAnsi="仿宋" w:eastAsia="仿宋"/>
          <w:b/>
          <w:color w:val="auto"/>
          <w:sz w:val="24"/>
          <w:highlight w:val="none"/>
        </w:rPr>
      </w:pPr>
      <w:r>
        <w:rPr>
          <w:rFonts w:hint="eastAsia" w:ascii="仿宋" w:hAnsi="仿宋" w:eastAsia="仿宋"/>
          <w:b/>
          <w:color w:val="auto"/>
          <w:sz w:val="24"/>
          <w:highlight w:val="none"/>
        </w:rPr>
        <w:t>4.3.5本文件《第六章 磋商响应文件格式》中有</w:t>
      </w:r>
      <w:r>
        <w:rPr>
          <w:rFonts w:ascii="仿宋" w:hAnsi="仿宋" w:eastAsia="仿宋"/>
          <w:b/>
          <w:color w:val="auto"/>
          <w:sz w:val="24"/>
          <w:highlight w:val="none"/>
        </w:rPr>
        <w:t>提供格式的，</w:t>
      </w:r>
      <w:r>
        <w:rPr>
          <w:rFonts w:hint="eastAsia" w:ascii="仿宋" w:hAnsi="仿宋" w:eastAsia="仿宋"/>
          <w:b/>
          <w:color w:val="auto"/>
          <w:sz w:val="24"/>
          <w:highlight w:val="none"/>
        </w:rPr>
        <w:t>供应商应按</w:t>
      </w:r>
      <w:r>
        <w:rPr>
          <w:rFonts w:ascii="仿宋" w:hAnsi="仿宋" w:eastAsia="仿宋"/>
          <w:b/>
          <w:color w:val="auto"/>
          <w:sz w:val="24"/>
          <w:highlight w:val="none"/>
        </w:rPr>
        <w:t>照格式</w:t>
      </w:r>
      <w:r>
        <w:rPr>
          <w:rFonts w:hint="eastAsia" w:ascii="仿宋" w:hAnsi="仿宋" w:eastAsia="仿宋"/>
          <w:b/>
          <w:color w:val="auto"/>
          <w:sz w:val="24"/>
          <w:highlight w:val="none"/>
        </w:rPr>
        <w:t>进行编制（格式中要求提供相关证明材料的还需后附相关证明材料）；本文件《第六章 磋商响应文件格式》</w:t>
      </w:r>
      <w:r>
        <w:rPr>
          <w:rFonts w:ascii="仿宋" w:hAnsi="仿宋" w:eastAsia="仿宋"/>
          <w:b/>
          <w:color w:val="auto"/>
          <w:sz w:val="24"/>
          <w:highlight w:val="none"/>
        </w:rPr>
        <w:t>未提供格式的，请</w:t>
      </w:r>
      <w:r>
        <w:rPr>
          <w:rFonts w:hint="eastAsia" w:ascii="仿宋" w:hAnsi="仿宋" w:eastAsia="仿宋"/>
          <w:b/>
          <w:color w:val="auto"/>
          <w:sz w:val="24"/>
          <w:highlight w:val="none"/>
        </w:rPr>
        <w:t>供应商自</w:t>
      </w:r>
      <w:r>
        <w:rPr>
          <w:rFonts w:ascii="仿宋" w:hAnsi="仿宋" w:eastAsia="仿宋"/>
          <w:b/>
          <w:color w:val="auto"/>
          <w:sz w:val="24"/>
          <w:highlight w:val="none"/>
        </w:rPr>
        <w:t>行拟定格式</w:t>
      </w:r>
      <w:r>
        <w:rPr>
          <w:rFonts w:hint="eastAsia" w:ascii="仿宋" w:hAnsi="仿宋" w:eastAsia="仿宋"/>
          <w:b/>
          <w:color w:val="auto"/>
          <w:sz w:val="24"/>
          <w:highlight w:val="none"/>
        </w:rPr>
        <w:t>，并加盖单位公章。</w:t>
      </w:r>
    </w:p>
    <w:p>
      <w:pPr>
        <w:spacing w:line="360" w:lineRule="auto"/>
        <w:ind w:firstLine="422" w:firstLineChars="175"/>
        <w:rPr>
          <w:rFonts w:ascii="仿宋" w:hAnsi="仿宋" w:eastAsia="仿宋"/>
          <w:color w:val="auto"/>
          <w:sz w:val="24"/>
          <w:highlight w:val="none"/>
        </w:rPr>
      </w:pPr>
      <w:r>
        <w:rPr>
          <w:rFonts w:hint="eastAsia" w:ascii="仿宋" w:hAnsi="仿宋" w:eastAsia="仿宋"/>
          <w:b/>
          <w:color w:val="auto"/>
          <w:sz w:val="24"/>
          <w:highlight w:val="none"/>
        </w:rPr>
        <w:t>4.3.6</w:t>
      </w:r>
      <w:r>
        <w:rPr>
          <w:rFonts w:ascii="仿宋" w:hAnsi="仿宋" w:eastAsia="仿宋" w:cs="Arial"/>
          <w:b/>
          <w:color w:val="auto"/>
          <w:kern w:val="0"/>
          <w:sz w:val="24"/>
          <w:highlight w:val="none"/>
        </w:rPr>
        <w:t>本章</w:t>
      </w:r>
      <w:r>
        <w:rPr>
          <w:rFonts w:hint="eastAsia" w:ascii="仿宋" w:hAnsi="仿宋" w:eastAsia="仿宋" w:cs="Arial"/>
          <w:b/>
          <w:color w:val="auto"/>
          <w:kern w:val="0"/>
          <w:sz w:val="24"/>
          <w:highlight w:val="none"/>
        </w:rPr>
        <w:t>第4.2.2款“</w:t>
      </w:r>
      <w:r>
        <w:rPr>
          <w:rFonts w:hint="eastAsia" w:ascii="仿宋" w:hAnsi="仿宋" w:eastAsia="仿宋"/>
          <w:b/>
          <w:color w:val="auto"/>
          <w:sz w:val="24"/>
          <w:highlight w:val="none"/>
        </w:rPr>
        <w:t>磋商响应文件</w:t>
      </w:r>
      <w:r>
        <w:rPr>
          <w:rFonts w:hint="eastAsia" w:ascii="仿宋" w:hAnsi="仿宋" w:eastAsia="仿宋" w:cs="Arial"/>
          <w:b/>
          <w:color w:val="auto"/>
          <w:kern w:val="0"/>
          <w:sz w:val="24"/>
          <w:szCs w:val="22"/>
          <w:highlight w:val="none"/>
        </w:rPr>
        <w:t>内容组成表</w:t>
      </w:r>
      <w:r>
        <w:rPr>
          <w:rFonts w:hint="eastAsia" w:ascii="仿宋" w:hAnsi="仿宋" w:eastAsia="仿宋" w:cs="Arial"/>
          <w:b/>
          <w:color w:val="auto"/>
          <w:kern w:val="0"/>
          <w:sz w:val="24"/>
          <w:highlight w:val="none"/>
        </w:rPr>
        <w:t>”内容中约定</w:t>
      </w:r>
      <w:r>
        <w:rPr>
          <w:rFonts w:hint="eastAsia" w:ascii="仿宋" w:hAnsi="仿宋" w:eastAsia="仿宋"/>
          <w:b/>
          <w:color w:val="auto"/>
          <w:sz w:val="24"/>
          <w:highlight w:val="none"/>
        </w:rPr>
        <w:t>可以提供复印件（或复制件）的相关证明材料须加盖供应商公章</w:t>
      </w:r>
      <w:r>
        <w:rPr>
          <w:rFonts w:hint="eastAsia" w:ascii="仿宋" w:hAnsi="仿宋" w:eastAsia="仿宋"/>
          <w:color w:val="auto"/>
          <w:sz w:val="24"/>
          <w:highlight w:val="none"/>
        </w:rPr>
        <w:t>（例如：各类资格资质证书、业绩材料、许可材料、荣誉证书、产品注册登记材料、产品检测材料、验收材料等）。</w:t>
      </w:r>
    </w:p>
    <w:p>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b/>
          <w:color w:val="auto"/>
          <w:sz w:val="24"/>
          <w:highlight w:val="none"/>
        </w:rPr>
        <w:t>4.3.7</w:t>
      </w:r>
      <w:r>
        <w:rPr>
          <w:rFonts w:ascii="仿宋" w:hAnsi="仿宋" w:eastAsia="仿宋" w:cs="Arial"/>
          <w:b/>
          <w:color w:val="auto"/>
          <w:kern w:val="0"/>
          <w:sz w:val="24"/>
          <w:highlight w:val="none"/>
          <w:u w:val="single"/>
        </w:rPr>
        <w:t>本</w:t>
      </w:r>
      <w:r>
        <w:rPr>
          <w:rFonts w:hint="eastAsia" w:ascii="仿宋" w:hAnsi="仿宋" w:eastAsia="仿宋" w:cs="Arial"/>
          <w:b/>
          <w:color w:val="auto"/>
          <w:kern w:val="0"/>
          <w:sz w:val="24"/>
          <w:highlight w:val="none"/>
          <w:u w:val="single"/>
        </w:rPr>
        <w:t>章第4.2.2款“</w:t>
      </w:r>
      <w:r>
        <w:rPr>
          <w:rFonts w:hint="eastAsia" w:ascii="仿宋" w:hAnsi="仿宋" w:eastAsia="仿宋"/>
          <w:b/>
          <w:color w:val="auto"/>
          <w:sz w:val="24"/>
          <w:highlight w:val="none"/>
          <w:u w:val="single"/>
        </w:rPr>
        <w:t>磋商响应文件</w:t>
      </w:r>
      <w:r>
        <w:rPr>
          <w:rFonts w:hint="eastAsia" w:ascii="仿宋" w:hAnsi="仿宋" w:eastAsia="仿宋" w:cs="Arial"/>
          <w:b/>
          <w:color w:val="auto"/>
          <w:kern w:val="0"/>
          <w:sz w:val="24"/>
          <w:szCs w:val="22"/>
          <w:highlight w:val="none"/>
          <w:u w:val="single"/>
        </w:rPr>
        <w:t>内容组成表</w:t>
      </w:r>
      <w:r>
        <w:rPr>
          <w:rFonts w:hint="eastAsia" w:ascii="仿宋" w:hAnsi="仿宋" w:eastAsia="仿宋" w:cs="Arial"/>
          <w:b/>
          <w:color w:val="auto"/>
          <w:kern w:val="0"/>
          <w:sz w:val="24"/>
          <w:highlight w:val="none"/>
          <w:u w:val="single"/>
        </w:rPr>
        <w:t>”内容中标注“▲”的内容为必须提供的内容，未提供的响应无效</w:t>
      </w:r>
      <w:r>
        <w:rPr>
          <w:rFonts w:hint="eastAsia" w:ascii="仿宋" w:hAnsi="仿宋" w:eastAsia="仿宋" w:cs="Arial"/>
          <w:b/>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4.3.8</w:t>
      </w:r>
      <w:r>
        <w:rPr>
          <w:rFonts w:ascii="仿宋" w:hAnsi="仿宋" w:eastAsia="仿宋" w:cs="Arial"/>
          <w:color w:val="auto"/>
          <w:kern w:val="0"/>
          <w:sz w:val="24"/>
          <w:highlight w:val="none"/>
        </w:rPr>
        <w:t>《</w:t>
      </w:r>
      <w:r>
        <w:rPr>
          <w:rFonts w:hint="eastAsia" w:ascii="仿宋" w:hAnsi="仿宋" w:eastAsia="仿宋"/>
          <w:color w:val="auto"/>
          <w:sz w:val="24"/>
          <w:highlight w:val="none"/>
        </w:rPr>
        <w:t>磋商响应文件</w:t>
      </w:r>
      <w:r>
        <w:rPr>
          <w:rFonts w:ascii="仿宋" w:hAnsi="仿宋" w:eastAsia="仿宋" w:cs="Arial"/>
          <w:color w:val="auto"/>
          <w:kern w:val="0"/>
          <w:sz w:val="24"/>
          <w:highlight w:val="none"/>
        </w:rPr>
        <w:t>》内容不完整、编排混乱导致《</w:t>
      </w:r>
      <w:r>
        <w:rPr>
          <w:rFonts w:hint="eastAsia" w:ascii="仿宋" w:hAnsi="仿宋" w:eastAsia="仿宋"/>
          <w:color w:val="auto"/>
          <w:sz w:val="24"/>
          <w:highlight w:val="none"/>
        </w:rPr>
        <w:t>磋商响应文件</w:t>
      </w:r>
      <w:r>
        <w:rPr>
          <w:rFonts w:ascii="仿宋" w:hAnsi="仿宋" w:eastAsia="仿宋" w:cs="Arial"/>
          <w:color w:val="auto"/>
          <w:kern w:val="0"/>
          <w:sz w:val="24"/>
          <w:highlight w:val="none"/>
        </w:rPr>
        <w:t>》被误读、漏读或者查找不到相关内容的，是供应商的责任。</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4.3.9《</w:t>
      </w:r>
      <w:r>
        <w:rPr>
          <w:rFonts w:hint="eastAsia" w:ascii="仿宋" w:hAnsi="仿宋" w:eastAsia="仿宋"/>
          <w:color w:val="auto"/>
          <w:sz w:val="24"/>
          <w:highlight w:val="none"/>
        </w:rPr>
        <w:t>磋商响应文件</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因字迹潦草或表达不清所引起的后果由供应商负责。</w:t>
      </w:r>
    </w:p>
    <w:p>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4.3.10</w:t>
      </w:r>
      <w:r>
        <w:rPr>
          <w:rFonts w:ascii="仿宋" w:hAnsi="仿宋" w:eastAsia="仿宋" w:cs="Arial"/>
          <w:b/>
          <w:color w:val="auto"/>
          <w:kern w:val="0"/>
          <w:sz w:val="24"/>
          <w:szCs w:val="22"/>
          <w:highlight w:val="none"/>
          <w:u w:val="single"/>
        </w:rPr>
        <w:t>供应商没有按照</w:t>
      </w:r>
      <w:r>
        <w:rPr>
          <w:rFonts w:ascii="仿宋" w:hAnsi="仿宋" w:eastAsia="仿宋" w:cs="Arial"/>
          <w:b/>
          <w:color w:val="auto"/>
          <w:kern w:val="0"/>
          <w:sz w:val="24"/>
          <w:highlight w:val="none"/>
          <w:u w:val="single"/>
        </w:rPr>
        <w:t>本章</w:t>
      </w:r>
      <w:r>
        <w:rPr>
          <w:rFonts w:hint="eastAsia" w:ascii="仿宋" w:hAnsi="仿宋" w:eastAsia="仿宋" w:cs="Arial"/>
          <w:b/>
          <w:color w:val="auto"/>
          <w:kern w:val="0"/>
          <w:sz w:val="24"/>
          <w:highlight w:val="none"/>
          <w:u w:val="single"/>
        </w:rPr>
        <w:t>第4.2.2款“</w:t>
      </w:r>
      <w:r>
        <w:rPr>
          <w:rFonts w:hint="eastAsia" w:ascii="仿宋" w:hAnsi="仿宋" w:eastAsia="仿宋"/>
          <w:b/>
          <w:color w:val="auto"/>
          <w:sz w:val="24"/>
          <w:highlight w:val="none"/>
          <w:u w:val="single"/>
        </w:rPr>
        <w:t>磋商响应文件</w:t>
      </w:r>
      <w:r>
        <w:rPr>
          <w:rFonts w:hint="eastAsia" w:ascii="仿宋" w:hAnsi="仿宋" w:eastAsia="仿宋" w:cs="Arial"/>
          <w:b/>
          <w:color w:val="auto"/>
          <w:kern w:val="0"/>
          <w:sz w:val="24"/>
          <w:szCs w:val="22"/>
          <w:highlight w:val="none"/>
          <w:u w:val="single"/>
        </w:rPr>
        <w:t>内容组成表</w:t>
      </w:r>
      <w:r>
        <w:rPr>
          <w:rFonts w:hint="eastAsia" w:ascii="仿宋" w:hAnsi="仿宋" w:eastAsia="仿宋" w:cs="Arial"/>
          <w:b/>
          <w:color w:val="auto"/>
          <w:kern w:val="0"/>
          <w:sz w:val="24"/>
          <w:highlight w:val="none"/>
          <w:u w:val="single"/>
        </w:rPr>
        <w:t>”</w:t>
      </w:r>
      <w:r>
        <w:rPr>
          <w:rFonts w:ascii="仿宋" w:hAnsi="仿宋" w:eastAsia="仿宋" w:cs="Arial"/>
          <w:b/>
          <w:color w:val="auto"/>
          <w:kern w:val="0"/>
          <w:sz w:val="24"/>
          <w:szCs w:val="22"/>
          <w:highlight w:val="none"/>
          <w:u w:val="single"/>
        </w:rPr>
        <w:t>要求提供全部资料，</w:t>
      </w:r>
      <w:r>
        <w:rPr>
          <w:rFonts w:hint="eastAsia" w:ascii="仿宋" w:hAnsi="仿宋" w:eastAsia="仿宋" w:cs="Arial"/>
          <w:b/>
          <w:color w:val="auto"/>
          <w:kern w:val="0"/>
          <w:sz w:val="24"/>
          <w:szCs w:val="22"/>
          <w:highlight w:val="none"/>
          <w:u w:val="single"/>
        </w:rPr>
        <w:t>或者没有仔细阅读采购文件，</w:t>
      </w:r>
      <w:r>
        <w:rPr>
          <w:rFonts w:ascii="仿宋" w:hAnsi="仿宋" w:eastAsia="仿宋" w:cs="Arial"/>
          <w:b/>
          <w:color w:val="auto"/>
          <w:kern w:val="0"/>
          <w:sz w:val="24"/>
          <w:szCs w:val="22"/>
          <w:highlight w:val="none"/>
          <w:u w:val="single"/>
        </w:rPr>
        <w:t>或者没有对</w:t>
      </w:r>
      <w:r>
        <w:rPr>
          <w:rFonts w:hint="eastAsia" w:ascii="仿宋" w:hAnsi="仿宋" w:eastAsia="仿宋" w:cs="Arial"/>
          <w:b/>
          <w:color w:val="auto"/>
          <w:kern w:val="0"/>
          <w:sz w:val="24"/>
          <w:szCs w:val="22"/>
          <w:highlight w:val="none"/>
          <w:u w:val="single"/>
        </w:rPr>
        <w:t>采购</w:t>
      </w:r>
      <w:r>
        <w:rPr>
          <w:rFonts w:ascii="仿宋" w:hAnsi="仿宋" w:eastAsia="仿宋" w:cs="Arial"/>
          <w:b/>
          <w:color w:val="auto"/>
          <w:kern w:val="0"/>
          <w:sz w:val="24"/>
          <w:szCs w:val="22"/>
          <w:highlight w:val="none"/>
          <w:u w:val="single"/>
        </w:rPr>
        <w:t>文件在各方面的要求作出实质性响应是供应商的风险</w:t>
      </w:r>
      <w:r>
        <w:rPr>
          <w:rFonts w:hint="eastAsia" w:ascii="仿宋" w:hAnsi="仿宋" w:eastAsia="仿宋" w:cs="Arial"/>
          <w:b/>
          <w:color w:val="auto"/>
          <w:kern w:val="0"/>
          <w:sz w:val="24"/>
          <w:szCs w:val="22"/>
          <w:highlight w:val="none"/>
          <w:u w:val="single"/>
        </w:rPr>
        <w:t>，由此造成的一切后果由供应商自行承担</w:t>
      </w:r>
      <w:r>
        <w:rPr>
          <w:rFonts w:hint="eastAsia" w:ascii="仿宋" w:hAnsi="仿宋" w:eastAsia="仿宋" w:cs="Arial"/>
          <w:color w:val="auto"/>
          <w:kern w:val="0"/>
          <w:sz w:val="24"/>
          <w:szCs w:val="22"/>
          <w:highlight w:val="none"/>
        </w:rPr>
        <w:t>。</w:t>
      </w:r>
    </w:p>
    <w:p>
      <w:pPr>
        <w:pStyle w:val="4"/>
        <w:rPr>
          <w:color w:val="auto"/>
          <w:highlight w:val="none"/>
        </w:rPr>
      </w:pPr>
      <w:r>
        <w:rPr>
          <w:rFonts w:hint="eastAsia"/>
          <w:color w:val="auto"/>
          <w:highlight w:val="none"/>
        </w:rPr>
        <w:t>4.4 磋商响应文件的密封及标记</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4.4.1正本一份、副本三份 ，</w:t>
      </w:r>
      <w:r>
        <w:rPr>
          <w:rFonts w:hint="eastAsia" w:ascii="仿宋" w:hAnsi="仿宋" w:eastAsia="仿宋" w:cs="Arial"/>
          <w:b/>
          <w:color w:val="auto"/>
          <w:kern w:val="0"/>
          <w:sz w:val="24"/>
          <w:highlight w:val="none"/>
          <w:u w:val="single"/>
        </w:rPr>
        <w:t>同时提供电子响应文件（U盘或光盘形式，电子响应文件须为签字且加盖公章后的完整纸质响应文件正本的PDF彩色扫描件，文件扩展名为.pdf）。</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4.4.2</w:t>
      </w:r>
      <w:r>
        <w:rPr>
          <w:rFonts w:hint="eastAsia" w:ascii="仿宋" w:hAnsi="仿宋" w:eastAsia="仿宋" w:cs="Arial"/>
          <w:b/>
          <w:color w:val="auto"/>
          <w:kern w:val="0"/>
          <w:sz w:val="24"/>
          <w:highlight w:val="none"/>
          <w:u w:val="single"/>
        </w:rPr>
        <w:t>“资信技术文件”与“报价文件”分开装订。响应文件正本与副本分别装订成册，采用胶装（粘贴方式装订），不得采用活页夹等可随时拆换的方式装订。</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4.4.3</w:t>
      </w:r>
      <w:r>
        <w:rPr>
          <w:rFonts w:hint="eastAsia" w:ascii="仿宋" w:hAnsi="仿宋" w:eastAsia="仿宋" w:cs="Arial"/>
          <w:b/>
          <w:color w:val="auto"/>
          <w:kern w:val="0"/>
          <w:sz w:val="24"/>
          <w:highlight w:val="none"/>
          <w:u w:val="single"/>
        </w:rPr>
        <w:t>磋商供应商应将“资信技术文件”和“报价文件”（各一正三副共四份）分开密封。</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u w:val="single"/>
        </w:rPr>
        <w:t>电子响应文件包装在报价文件中。</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在外包装上注明磋商项目名称、项目编号、供应商全称、“资信技术文件”或“报价文件”及“开标时启封”字样，并加盖供应商公章。</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如果供应商未按上述要求加写标记，采购人对响应文件的误投和提前启封不负责任。</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4.4.4</w:t>
      </w:r>
      <w:r>
        <w:rPr>
          <w:rFonts w:hint="eastAsia" w:ascii="仿宋" w:hAnsi="仿宋" w:eastAsia="仿宋" w:cs="Arial"/>
          <w:b/>
          <w:color w:val="auto"/>
          <w:kern w:val="0"/>
          <w:sz w:val="24"/>
          <w:highlight w:val="none"/>
          <w:u w:val="single"/>
        </w:rPr>
        <w:t>《磋商响应文件》内容应按</w:t>
      </w:r>
      <w:r>
        <w:rPr>
          <w:rFonts w:hint="eastAsia" w:ascii="仿宋" w:hAnsi="仿宋" w:eastAsia="仿宋" w:cs="Arial"/>
          <w:b/>
          <w:color w:val="auto"/>
          <w:sz w:val="24"/>
          <w:highlight w:val="none"/>
          <w:u w:val="single"/>
        </w:rPr>
        <w:t>《第二章 供应商须知》规定和</w:t>
      </w:r>
      <w:r>
        <w:rPr>
          <w:rFonts w:hint="eastAsia" w:ascii="仿宋" w:hAnsi="仿宋" w:eastAsia="仿宋" w:cs="Arial"/>
          <w:b/>
          <w:color w:val="auto"/>
          <w:kern w:val="0"/>
          <w:sz w:val="24"/>
          <w:highlight w:val="none"/>
          <w:u w:val="single"/>
        </w:rPr>
        <w:t>《第六章 磋商响应文件格式》</w:t>
      </w:r>
      <w:r>
        <w:rPr>
          <w:rFonts w:hint="eastAsia" w:ascii="仿宋" w:hAnsi="仿宋" w:eastAsia="仿宋" w:cs="Arial"/>
          <w:b/>
          <w:color w:val="auto"/>
          <w:sz w:val="24"/>
          <w:highlight w:val="none"/>
          <w:u w:val="single"/>
        </w:rPr>
        <w:t>标注的要求进行盖章、签署</w:t>
      </w:r>
      <w:r>
        <w:rPr>
          <w:rFonts w:hint="eastAsia" w:ascii="仿宋" w:hAnsi="仿宋" w:eastAsia="仿宋" w:cs="Arial"/>
          <w:b/>
          <w:color w:val="auto"/>
          <w:kern w:val="0"/>
          <w:sz w:val="24"/>
          <w:highlight w:val="none"/>
          <w:u w:val="single"/>
        </w:rPr>
        <w:t>，应签章而未签章的材料视为未提供。请各供应商详细查阅本章第4.3款“磋商响应文件的编制”规定（供应商为自然人的，须由自然人本人签字（或盖章），同时提供自然人本人有效身份证明材料，否则视为未提供）</w:t>
      </w:r>
      <w:r>
        <w:rPr>
          <w:rFonts w:hint="eastAsia" w:ascii="仿宋" w:hAnsi="仿宋" w:eastAsia="仿宋" w:cs="Arial"/>
          <w:b/>
          <w:color w:val="auto"/>
          <w:kern w:val="0"/>
          <w:sz w:val="24"/>
          <w:highlight w:val="none"/>
        </w:rPr>
        <w:t>。</w:t>
      </w:r>
    </w:p>
    <w:p>
      <w:pPr>
        <w:pStyle w:val="35"/>
        <w:spacing w:line="360" w:lineRule="auto"/>
        <w:ind w:left="0" w:firstLine="422" w:firstLineChars="200"/>
        <w:rPr>
          <w:rFonts w:ascii="仿宋" w:hAnsi="仿宋" w:eastAsia="仿宋" w:cs="Arial"/>
          <w:b/>
          <w:color w:val="auto"/>
          <w:sz w:val="24"/>
          <w:szCs w:val="24"/>
          <w:highlight w:val="none"/>
        </w:rPr>
      </w:pPr>
      <w:r>
        <w:rPr>
          <w:rFonts w:hint="eastAsia" w:ascii="仿宋" w:hAnsi="仿宋" w:eastAsia="仿宋"/>
          <w:b/>
          <w:color w:val="auto"/>
          <w:highlight w:val="none"/>
        </w:rPr>
        <w:t xml:space="preserve">  </w:t>
      </w:r>
    </w:p>
    <w:p>
      <w:pPr>
        <w:pStyle w:val="4"/>
        <w:rPr>
          <w:color w:val="auto"/>
          <w:highlight w:val="none"/>
        </w:rPr>
      </w:pPr>
      <w:r>
        <w:rPr>
          <w:rFonts w:hint="eastAsia"/>
          <w:color w:val="auto"/>
          <w:highlight w:val="none"/>
        </w:rPr>
        <w:t>4.5 磋商</w:t>
      </w:r>
      <w:r>
        <w:rPr>
          <w:color w:val="auto"/>
          <w:highlight w:val="none"/>
        </w:rPr>
        <w:t>报价</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.1报价应按</w:t>
      </w:r>
      <w:r>
        <w:rPr>
          <w:rFonts w:hint="eastAsia" w:ascii="仿宋" w:hAnsi="仿宋" w:eastAsia="仿宋" w:cs="Arial"/>
          <w:b/>
          <w:color w:val="auto"/>
          <w:kern w:val="0"/>
          <w:sz w:val="24"/>
          <w:highlight w:val="none"/>
        </w:rPr>
        <w:t>《第六章 磋商响应文件格式》</w:t>
      </w:r>
      <w:r>
        <w:rPr>
          <w:rFonts w:ascii="仿宋" w:hAnsi="仿宋" w:eastAsia="仿宋" w:cs="Arial"/>
          <w:b/>
          <w:color w:val="auto"/>
          <w:kern w:val="0"/>
          <w:sz w:val="24"/>
          <w:highlight w:val="none"/>
        </w:rPr>
        <w:t>中</w:t>
      </w:r>
      <w:r>
        <w:rPr>
          <w:rFonts w:hint="eastAsia" w:ascii="仿宋" w:hAnsi="仿宋" w:eastAsia="仿宋" w:cs="Arial"/>
          <w:b/>
          <w:color w:val="auto"/>
          <w:kern w:val="0"/>
          <w:sz w:val="24"/>
          <w:highlight w:val="none"/>
        </w:rPr>
        <w:t>提供的</w:t>
      </w:r>
      <w:r>
        <w:rPr>
          <w:rFonts w:ascii="仿宋" w:hAnsi="仿宋" w:eastAsia="仿宋" w:cs="Arial"/>
          <w:b/>
          <w:color w:val="auto"/>
          <w:kern w:val="0"/>
          <w:sz w:val="24"/>
          <w:highlight w:val="none"/>
        </w:rPr>
        <w:t>相关</w:t>
      </w:r>
      <w:r>
        <w:rPr>
          <w:rFonts w:hint="eastAsia" w:ascii="仿宋" w:hAnsi="仿宋" w:eastAsia="仿宋" w:cs="Arial"/>
          <w:b/>
          <w:color w:val="auto"/>
          <w:kern w:val="0"/>
          <w:sz w:val="24"/>
          <w:highlight w:val="none"/>
        </w:rPr>
        <w:t>报价</w:t>
      </w:r>
      <w:r>
        <w:rPr>
          <w:rFonts w:ascii="仿宋" w:hAnsi="仿宋" w:eastAsia="仿宋" w:cs="Arial"/>
          <w:b/>
          <w:color w:val="auto"/>
          <w:kern w:val="0"/>
          <w:sz w:val="24"/>
          <w:highlight w:val="none"/>
        </w:rPr>
        <w:t>格式填写</w:t>
      </w:r>
      <w:r>
        <w:rPr>
          <w:rFonts w:hint="eastAsia"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4.5.2报价涵盖的范围：</w:t>
      </w:r>
      <w:r>
        <w:rPr>
          <w:rFonts w:hint="eastAsia" w:ascii="仿宋" w:hAnsi="仿宋" w:eastAsia="仿宋"/>
          <w:b/>
          <w:color w:val="auto"/>
          <w:kern w:val="0"/>
          <w:sz w:val="24"/>
          <w:highlight w:val="none"/>
          <w:u w:val="single"/>
        </w:rPr>
        <w:t>见《供应商须知前附表》</w:t>
      </w:r>
      <w:r>
        <w:rPr>
          <w:rFonts w:hint="eastAsia" w:ascii="仿宋" w:hAnsi="仿宋" w:eastAsia="仿宋" w:cs="Arial"/>
          <w:b/>
          <w:color w:val="auto"/>
          <w:sz w:val="24"/>
          <w:highlight w:val="none"/>
        </w:rPr>
        <w:t>。</w:t>
      </w:r>
    </w:p>
    <w:p>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4.5.3价格评审以最后报价为准；</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4每轮报价均</w:t>
      </w:r>
      <w:r>
        <w:rPr>
          <w:rFonts w:ascii="仿宋" w:hAnsi="仿宋" w:eastAsia="仿宋" w:cs="Arial"/>
          <w:b/>
          <w:color w:val="auto"/>
          <w:kern w:val="0"/>
          <w:sz w:val="24"/>
          <w:highlight w:val="none"/>
        </w:rPr>
        <w:t>只允许有一个报价，有选择的报价将</w:t>
      </w:r>
      <w:r>
        <w:rPr>
          <w:rFonts w:hint="eastAsia" w:ascii="仿宋" w:hAnsi="仿宋" w:eastAsia="仿宋" w:cs="Arial"/>
          <w:b/>
          <w:color w:val="auto"/>
          <w:kern w:val="0"/>
          <w:sz w:val="24"/>
          <w:highlight w:val="none"/>
        </w:rPr>
        <w:t>作无效响应处理；</w:t>
      </w:r>
    </w:p>
    <w:p>
      <w:pPr>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最低报价不是</w:t>
      </w:r>
      <w:r>
        <w:rPr>
          <w:rFonts w:hint="eastAsia" w:ascii="仿宋" w:hAnsi="仿宋" w:eastAsia="仿宋" w:cs="Arial"/>
          <w:b/>
          <w:color w:val="auto"/>
          <w:kern w:val="0"/>
          <w:sz w:val="24"/>
          <w:highlight w:val="none"/>
        </w:rPr>
        <w:t>成交</w:t>
      </w:r>
      <w:r>
        <w:rPr>
          <w:rFonts w:ascii="仿宋" w:hAnsi="仿宋" w:eastAsia="仿宋" w:cs="Arial"/>
          <w:b/>
          <w:color w:val="auto"/>
          <w:kern w:val="0"/>
          <w:sz w:val="24"/>
          <w:highlight w:val="none"/>
        </w:rPr>
        <w:t>的保证，</w:t>
      </w:r>
      <w:r>
        <w:rPr>
          <w:rFonts w:hint="eastAsia" w:ascii="仿宋" w:hAnsi="仿宋" w:eastAsia="仿宋" w:cs="Arial"/>
          <w:b/>
          <w:color w:val="auto"/>
          <w:kern w:val="0"/>
          <w:sz w:val="24"/>
          <w:highlight w:val="none"/>
        </w:rPr>
        <w:t>采购人及采购代理机构</w:t>
      </w:r>
      <w:r>
        <w:rPr>
          <w:rFonts w:ascii="仿宋" w:hAnsi="仿宋" w:eastAsia="仿宋" w:cs="Arial"/>
          <w:b/>
          <w:color w:val="auto"/>
          <w:kern w:val="0"/>
          <w:sz w:val="24"/>
          <w:highlight w:val="none"/>
        </w:rPr>
        <w:t>不作任何落标解释。</w:t>
      </w:r>
    </w:p>
    <w:p>
      <w:pPr>
        <w:pStyle w:val="4"/>
        <w:rPr>
          <w:color w:val="auto"/>
          <w:highlight w:val="none"/>
        </w:rPr>
      </w:pPr>
      <w:r>
        <w:rPr>
          <w:rFonts w:hint="eastAsia"/>
          <w:color w:val="auto"/>
          <w:highlight w:val="none"/>
        </w:rPr>
        <w:t xml:space="preserve">4.6 </w:t>
      </w:r>
      <w:r>
        <w:rPr>
          <w:color w:val="auto"/>
          <w:highlight w:val="none"/>
        </w:rPr>
        <w:t>磋商响应文件的有效期</w:t>
      </w:r>
    </w:p>
    <w:p>
      <w:pPr>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4.6</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《磋商响应文件》有效期：见《供应商须知前附表》</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《磋商响应文件》</w:t>
      </w:r>
      <w:r>
        <w:rPr>
          <w:rFonts w:ascii="仿宋" w:hAnsi="仿宋" w:eastAsia="仿宋" w:cs="Arial"/>
          <w:b/>
          <w:color w:val="auto"/>
          <w:kern w:val="0"/>
          <w:sz w:val="24"/>
          <w:highlight w:val="none"/>
          <w:u w:val="single"/>
        </w:rPr>
        <w:t>有效期短于这个规定期限的投标将</w:t>
      </w:r>
      <w:r>
        <w:rPr>
          <w:rFonts w:hint="eastAsia" w:ascii="仿宋" w:hAnsi="仿宋" w:eastAsia="仿宋" w:cs="Arial"/>
          <w:b/>
          <w:color w:val="auto"/>
          <w:kern w:val="0"/>
          <w:sz w:val="24"/>
          <w:highlight w:val="none"/>
          <w:u w:val="single"/>
        </w:rPr>
        <w:t>作无效响应处理</w:t>
      </w:r>
      <w:r>
        <w:rPr>
          <w:rFonts w:hint="eastAsia" w:ascii="仿宋" w:hAnsi="仿宋" w:eastAsia="仿宋" w:cs="Arial"/>
          <w:b/>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.2在特殊情况下，</w:t>
      </w:r>
      <w:r>
        <w:rPr>
          <w:rFonts w:hint="eastAsia" w:ascii="仿宋" w:hAnsi="仿宋" w:eastAsia="仿宋" w:cs="Arial"/>
          <w:color w:val="auto"/>
          <w:kern w:val="0"/>
          <w:sz w:val="24"/>
          <w:highlight w:val="none"/>
        </w:rPr>
        <w:t>采购</w:t>
      </w:r>
      <w:r>
        <w:rPr>
          <w:rFonts w:ascii="仿宋" w:hAnsi="仿宋" w:eastAsia="仿宋" w:cs="Arial"/>
          <w:color w:val="auto"/>
          <w:kern w:val="0"/>
          <w:sz w:val="24"/>
          <w:highlight w:val="none"/>
        </w:rPr>
        <w:t>人可与磋商供应商协商延长《磋商响应文件》的有效期，</w:t>
      </w:r>
      <w:r>
        <w:rPr>
          <w:rFonts w:hint="eastAsia" w:ascii="仿宋" w:hAnsi="仿宋" w:eastAsia="仿宋" w:cs="Arial"/>
          <w:color w:val="auto"/>
          <w:kern w:val="0"/>
          <w:sz w:val="24"/>
          <w:highlight w:val="none"/>
        </w:rPr>
        <w:t>协商过程</w:t>
      </w:r>
      <w:r>
        <w:rPr>
          <w:rFonts w:ascii="仿宋" w:hAnsi="仿宋" w:eastAsia="仿宋" w:cs="Arial"/>
          <w:color w:val="auto"/>
          <w:kern w:val="0"/>
          <w:sz w:val="24"/>
          <w:highlight w:val="none"/>
        </w:rPr>
        <w:t>以书面形式进行</w:t>
      </w:r>
      <w:r>
        <w:rPr>
          <w:rFonts w:hint="eastAsia" w:ascii="仿宋" w:hAnsi="仿宋" w:eastAsia="仿宋" w:cs="Arial"/>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.3磋商供应商可拒绝接受延期要求</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同意延长有效期的磋商供应商不能修改《磋商响应文件》</w:t>
      </w:r>
      <w:r>
        <w:rPr>
          <w:rFonts w:hint="eastAsia" w:ascii="仿宋" w:hAnsi="仿宋" w:eastAsia="仿宋" w:cs="Arial"/>
          <w:color w:val="auto"/>
          <w:kern w:val="0"/>
          <w:sz w:val="24"/>
          <w:highlight w:val="none"/>
        </w:rPr>
        <w:t>；</w:t>
      </w:r>
    </w:p>
    <w:p>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.4成交供应商</w:t>
      </w:r>
      <w:r>
        <w:rPr>
          <w:rFonts w:hint="eastAsia" w:ascii="仿宋" w:hAnsi="仿宋" w:eastAsia="仿宋" w:cs="Arial"/>
          <w:color w:val="auto"/>
          <w:kern w:val="0"/>
          <w:sz w:val="24"/>
          <w:highlight w:val="none"/>
        </w:rPr>
        <w:t>的</w:t>
      </w:r>
      <w:r>
        <w:rPr>
          <w:rFonts w:ascii="仿宋" w:hAnsi="仿宋" w:eastAsia="仿宋" w:cs="Arial"/>
          <w:color w:val="auto"/>
          <w:kern w:val="0"/>
          <w:sz w:val="24"/>
          <w:highlight w:val="none"/>
        </w:rPr>
        <w:t>《磋商响应文件》</w:t>
      </w:r>
      <w:r>
        <w:rPr>
          <w:rFonts w:hint="eastAsia" w:ascii="仿宋" w:hAnsi="仿宋" w:eastAsia="仿宋" w:cs="Arial"/>
          <w:color w:val="auto"/>
          <w:kern w:val="0"/>
          <w:sz w:val="24"/>
          <w:highlight w:val="none"/>
        </w:rPr>
        <w:t>作为合同组成部分，其有效期自动延长至</w:t>
      </w:r>
      <w:r>
        <w:rPr>
          <w:rFonts w:ascii="仿宋" w:hAnsi="仿宋" w:eastAsia="仿宋" w:cs="Arial"/>
          <w:color w:val="auto"/>
          <w:kern w:val="0"/>
          <w:sz w:val="24"/>
          <w:highlight w:val="none"/>
        </w:rPr>
        <w:t>合同履行完毕止</w:t>
      </w:r>
      <w:r>
        <w:rPr>
          <w:rFonts w:hint="eastAsia" w:ascii="仿宋" w:hAnsi="仿宋" w:eastAsia="仿宋" w:cs="Arial"/>
          <w:color w:val="auto"/>
          <w:kern w:val="0"/>
          <w:sz w:val="24"/>
          <w:highlight w:val="none"/>
        </w:rPr>
        <w:t>；</w:t>
      </w:r>
    </w:p>
    <w:p>
      <w:pPr>
        <w:spacing w:after="240" w:line="360" w:lineRule="auto"/>
        <w:ind w:firstLine="422" w:firstLineChars="175"/>
        <w:rPr>
          <w:rFonts w:ascii="仿宋" w:hAnsi="仿宋" w:eastAsia="仿宋"/>
          <w:b/>
          <w:color w:val="auto"/>
          <w:sz w:val="24"/>
          <w:highlight w:val="none"/>
        </w:rPr>
      </w:pPr>
      <w:r>
        <w:rPr>
          <w:rFonts w:hint="eastAsia" w:ascii="仿宋" w:hAnsi="仿宋" w:eastAsia="仿宋" w:cs="Arial"/>
          <w:b/>
          <w:color w:val="auto"/>
          <w:kern w:val="0"/>
          <w:sz w:val="24"/>
          <w:highlight w:val="none"/>
        </w:rPr>
        <w:t>4.6.5供应商在《磋商响应文件》有效期内强行撤回（撤销）其磋商响应文件的，须</w:t>
      </w:r>
      <w:r>
        <w:rPr>
          <w:rFonts w:hint="eastAsia" w:ascii="仿宋" w:hAnsi="仿宋" w:eastAsia="仿宋"/>
          <w:b/>
          <w:color w:val="auto"/>
          <w:sz w:val="24"/>
          <w:highlight w:val="none"/>
        </w:rPr>
        <w:t>按采购预算金额的</w:t>
      </w:r>
      <w:r>
        <w:rPr>
          <w:rFonts w:ascii="仿宋" w:hAnsi="仿宋" w:eastAsia="仿宋"/>
          <w:b/>
          <w:color w:val="auto"/>
          <w:sz w:val="24"/>
          <w:highlight w:val="none"/>
          <w:u w:val="single"/>
        </w:rPr>
        <w:t>5</w:t>
      </w:r>
      <w:r>
        <w:rPr>
          <w:rFonts w:hint="eastAsia" w:ascii="仿宋" w:hAnsi="仿宋" w:eastAsia="仿宋"/>
          <w:b/>
          <w:color w:val="auto"/>
          <w:sz w:val="24"/>
          <w:highlight w:val="none"/>
        </w:rPr>
        <w:t>%向采购组织机构进行赔偿，以弥补因其撤销响应文件给采购人、采购代理机构造成的损失。</w:t>
      </w:r>
    </w:p>
    <w:p>
      <w:pPr>
        <w:pStyle w:val="3"/>
        <w:rPr>
          <w:color w:val="auto"/>
          <w:highlight w:val="none"/>
        </w:rPr>
      </w:pPr>
      <w:bookmarkStart w:id="12" w:name="_Toc14025"/>
      <w:r>
        <w:rPr>
          <w:rFonts w:hint="eastAsia"/>
          <w:color w:val="auto"/>
          <w:highlight w:val="none"/>
        </w:rPr>
        <w:t>五、磋商响应</w:t>
      </w:r>
      <w:bookmarkEnd w:id="12"/>
    </w:p>
    <w:p>
      <w:pPr>
        <w:pStyle w:val="4"/>
        <w:rPr>
          <w:color w:val="auto"/>
          <w:highlight w:val="none"/>
        </w:rPr>
      </w:pPr>
      <w:r>
        <w:rPr>
          <w:rFonts w:hint="eastAsia"/>
          <w:color w:val="auto"/>
          <w:highlight w:val="none"/>
        </w:rPr>
        <w:t>5.1 磋商响应文件提交截止时间</w:t>
      </w:r>
    </w:p>
    <w:p>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5.1.1磋商响应文件提交截止时间：见《供应商须知前附表》。</w:t>
      </w:r>
    </w:p>
    <w:p>
      <w:pPr>
        <w:pStyle w:val="4"/>
        <w:rPr>
          <w:color w:val="auto"/>
          <w:highlight w:val="none"/>
        </w:rPr>
      </w:pPr>
      <w:r>
        <w:rPr>
          <w:rFonts w:hint="eastAsia"/>
          <w:color w:val="auto"/>
          <w:highlight w:val="none"/>
        </w:rPr>
        <w:t>5.2 磋商响应文件提交地点</w:t>
      </w:r>
    </w:p>
    <w:p>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5.2.1磋商响应文件提交地点：见《供应商须知前附表》。</w:t>
      </w:r>
    </w:p>
    <w:p>
      <w:pPr>
        <w:pStyle w:val="4"/>
        <w:rPr>
          <w:color w:val="auto"/>
          <w:highlight w:val="none"/>
        </w:rPr>
      </w:pPr>
      <w:r>
        <w:rPr>
          <w:rFonts w:hint="eastAsia"/>
          <w:color w:val="auto"/>
          <w:highlight w:val="none"/>
        </w:rPr>
        <w:t>5.3 磋商响应文件的递交</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5.3.1供应商应在“供应商须知前附表”规定磋商响应文件提交的截止时间前递交磋商响应文件。</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5.3.2供应商递交的磋商响应文件均不予退还。</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5.3.3逾期送达的或者未送达指定地点的响应文件，采购人将不予受理。</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5.3.4采购人如因故推迟磋商响应文件递交截止时间，应以书面形式通知所有供应商。在这种情况下，采购人和供应商的权利和义务将受到新的磋商响应文件提交截止时间的约束。</w:t>
      </w:r>
    </w:p>
    <w:p>
      <w:pPr>
        <w:pStyle w:val="4"/>
        <w:rPr>
          <w:color w:val="auto"/>
          <w:highlight w:val="none"/>
        </w:rPr>
      </w:pPr>
      <w:r>
        <w:rPr>
          <w:rFonts w:hint="eastAsia"/>
          <w:color w:val="auto"/>
          <w:highlight w:val="none"/>
        </w:rPr>
        <w:t>5.4 磋商响应文件的补充、修改或撤回</w:t>
      </w:r>
    </w:p>
    <w:p>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5.4.1供应商在提交磋商响应文件截止时间前，可以对所提交的磋商响应文件进行补充、修改或撤回。</w:t>
      </w:r>
      <w:r>
        <w:rPr>
          <w:rFonts w:hint="eastAsia" w:ascii="仿宋" w:hAnsi="仿宋" w:eastAsia="仿宋" w:cs="Arial"/>
          <w:b/>
          <w:color w:val="auto"/>
          <w:kern w:val="0"/>
          <w:sz w:val="24"/>
          <w:highlight w:val="none"/>
        </w:rPr>
        <w:t>供应商补充或者修改磋商响应文件的，必须在磋商响应文件提交的截止时间以前将书面的磋商响应修改文件或撤标通知邮寄到达或送达采购代理机构。</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5.4.2供应商对磋商响应文件进行补充、修改的，补充、修改文件应当由</w:t>
      </w:r>
      <w:r>
        <w:rPr>
          <w:rFonts w:ascii="仿宋" w:hAnsi="仿宋" w:eastAsia="仿宋" w:cs="Arial"/>
          <w:color w:val="auto"/>
          <w:kern w:val="0"/>
          <w:sz w:val="24"/>
          <w:highlight w:val="none"/>
        </w:rPr>
        <w:t>法定代表人或</w:t>
      </w:r>
      <w:r>
        <w:rPr>
          <w:rFonts w:hint="eastAsia" w:ascii="仿宋" w:hAnsi="仿宋" w:eastAsia="仿宋" w:cs="Arial"/>
          <w:color w:val="auto"/>
          <w:kern w:val="0"/>
          <w:sz w:val="24"/>
          <w:highlight w:val="none"/>
        </w:rPr>
        <w:t>其</w:t>
      </w:r>
      <w:r>
        <w:rPr>
          <w:rFonts w:ascii="仿宋" w:hAnsi="仿宋" w:eastAsia="仿宋" w:cs="Arial"/>
          <w:color w:val="auto"/>
          <w:kern w:val="0"/>
          <w:sz w:val="24"/>
          <w:highlight w:val="none"/>
        </w:rPr>
        <w:t>授权</w:t>
      </w:r>
      <w:r>
        <w:rPr>
          <w:rFonts w:hint="eastAsia" w:ascii="仿宋" w:hAnsi="仿宋" w:eastAsia="仿宋" w:cs="Arial"/>
          <w:color w:val="auto"/>
          <w:kern w:val="0"/>
          <w:sz w:val="24"/>
          <w:highlight w:val="none"/>
        </w:rPr>
        <w:t>代表</w:t>
      </w:r>
      <w:r>
        <w:rPr>
          <w:rFonts w:ascii="仿宋" w:hAnsi="仿宋" w:eastAsia="仿宋" w:cs="Arial"/>
          <w:color w:val="auto"/>
          <w:kern w:val="0"/>
          <w:sz w:val="24"/>
          <w:highlight w:val="none"/>
        </w:rPr>
        <w:t>签字或</w:t>
      </w:r>
      <w:r>
        <w:rPr>
          <w:rFonts w:hint="eastAsia" w:ascii="仿宋" w:hAnsi="仿宋" w:eastAsia="仿宋" w:cs="Arial"/>
          <w:color w:val="auto"/>
          <w:kern w:val="0"/>
          <w:sz w:val="24"/>
          <w:highlight w:val="none"/>
        </w:rPr>
        <w:t>加盖公章</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由授权代表签字的，应当附《法人（或单位）授权委托书》。供应商为自然人的，应当由本人签字并附身份证明。</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5.4.3</w:t>
      </w:r>
      <w:r>
        <w:rPr>
          <w:rFonts w:hint="eastAsia" w:ascii="仿宋" w:hAnsi="仿宋" w:eastAsia="仿宋" w:cs="Arial"/>
          <w:b/>
          <w:bCs/>
          <w:color w:val="auto"/>
          <w:kern w:val="0"/>
          <w:sz w:val="24"/>
          <w:highlight w:val="none"/>
        </w:rPr>
        <w:t>磋商</w:t>
      </w:r>
      <w:r>
        <w:rPr>
          <w:rFonts w:hint="eastAsia" w:ascii="仿宋" w:hAnsi="仿宋" w:eastAsia="仿宋" w:cs="Arial"/>
          <w:b/>
          <w:color w:val="auto"/>
          <w:kern w:val="0"/>
          <w:sz w:val="24"/>
          <w:highlight w:val="none"/>
        </w:rPr>
        <w:t>响应修改文件必须密封，在密封袋上写明采购项目编号、采购项目名称、供应商名称，并注明“修改文件”、“开标时启封”字样。</w:t>
      </w:r>
    </w:p>
    <w:p>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5.4.4磋商响应文件提交截止时间后，供应商不得撤回（撤销）磋商响应文件。</w:t>
      </w:r>
    </w:p>
    <w:p>
      <w:pPr>
        <w:pStyle w:val="4"/>
        <w:rPr>
          <w:color w:val="auto"/>
          <w:highlight w:val="none"/>
        </w:rPr>
      </w:pPr>
      <w:r>
        <w:rPr>
          <w:rFonts w:hint="eastAsia"/>
          <w:color w:val="auto"/>
          <w:highlight w:val="none"/>
        </w:rPr>
        <w:t>5.5 磋商响应文件的备选方案</w:t>
      </w:r>
    </w:p>
    <w:p>
      <w:pPr>
        <w:spacing w:line="360" w:lineRule="auto"/>
        <w:ind w:firstLine="424" w:firstLineChars="176"/>
        <w:rPr>
          <w:rFonts w:ascii="仿宋" w:hAnsi="仿宋" w:eastAsia="仿宋"/>
          <w:b/>
          <w:color w:val="auto"/>
          <w:sz w:val="24"/>
          <w:highlight w:val="none"/>
        </w:rPr>
      </w:pPr>
      <w:r>
        <w:rPr>
          <w:rFonts w:hint="eastAsia" w:ascii="仿宋" w:hAnsi="仿宋" w:eastAsia="仿宋"/>
          <w:b/>
          <w:color w:val="auto"/>
          <w:sz w:val="24"/>
          <w:highlight w:val="none"/>
          <w:u w:val="single"/>
        </w:rPr>
        <w:t>供应商不得递交任何的</w:t>
      </w:r>
      <w:r>
        <w:rPr>
          <w:rFonts w:ascii="仿宋" w:hAnsi="仿宋" w:eastAsia="仿宋" w:cs="Arial"/>
          <w:b/>
          <w:color w:val="auto"/>
          <w:kern w:val="0"/>
          <w:sz w:val="24"/>
          <w:highlight w:val="none"/>
          <w:u w:val="single"/>
        </w:rPr>
        <w:t>备选（替代）方案</w:t>
      </w:r>
      <w:r>
        <w:rPr>
          <w:rFonts w:hint="eastAsia" w:ascii="仿宋" w:hAnsi="仿宋" w:eastAsia="仿宋"/>
          <w:b/>
          <w:color w:val="auto"/>
          <w:sz w:val="24"/>
          <w:highlight w:val="none"/>
          <w:u w:val="single"/>
        </w:rPr>
        <w:t>，否则作无效响应处理</w:t>
      </w:r>
      <w:r>
        <w:rPr>
          <w:rFonts w:hint="eastAsia" w:ascii="仿宋" w:hAnsi="仿宋" w:eastAsia="仿宋"/>
          <w:b/>
          <w:color w:val="auto"/>
          <w:sz w:val="24"/>
          <w:highlight w:val="none"/>
        </w:rPr>
        <w:t>。</w:t>
      </w:r>
    </w:p>
    <w:p>
      <w:pPr>
        <w:pStyle w:val="3"/>
        <w:rPr>
          <w:color w:val="auto"/>
          <w:highlight w:val="none"/>
        </w:rPr>
      </w:pPr>
      <w:bookmarkStart w:id="13" w:name="_Toc6757"/>
      <w:r>
        <w:rPr>
          <w:rFonts w:hint="eastAsia"/>
          <w:color w:val="auto"/>
          <w:highlight w:val="none"/>
        </w:rPr>
        <w:t>六、开标</w:t>
      </w:r>
      <w:bookmarkEnd w:id="13"/>
    </w:p>
    <w:p>
      <w:pPr>
        <w:pStyle w:val="4"/>
        <w:rPr>
          <w:color w:val="auto"/>
          <w:highlight w:val="none"/>
        </w:rPr>
      </w:pPr>
      <w:r>
        <w:rPr>
          <w:rFonts w:hint="eastAsia"/>
          <w:color w:val="auto"/>
          <w:highlight w:val="none"/>
        </w:rPr>
        <w:t>6.1 磋商响应文件开启时间、地点</w:t>
      </w:r>
    </w:p>
    <w:p>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6.1.1磋商文件开启时间：</w:t>
      </w:r>
      <w:r>
        <w:rPr>
          <w:rFonts w:hint="eastAsia" w:ascii="仿宋" w:hAnsi="仿宋" w:eastAsia="仿宋"/>
          <w:color w:val="auto"/>
          <w:sz w:val="24"/>
          <w:highlight w:val="none"/>
        </w:rPr>
        <w:t>见《供应商须知前附表》。</w:t>
      </w:r>
    </w:p>
    <w:p>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6.1.2磋商文件开启地点：</w:t>
      </w:r>
      <w:r>
        <w:rPr>
          <w:rFonts w:hint="eastAsia" w:ascii="仿宋" w:hAnsi="仿宋" w:eastAsia="仿宋"/>
          <w:color w:val="auto"/>
          <w:sz w:val="24"/>
          <w:highlight w:val="none"/>
        </w:rPr>
        <w:t>见《供应商须知前附表》。</w:t>
      </w:r>
    </w:p>
    <w:p>
      <w:pPr>
        <w:pStyle w:val="4"/>
        <w:rPr>
          <w:color w:val="auto"/>
          <w:highlight w:val="none"/>
        </w:rPr>
      </w:pPr>
      <w:r>
        <w:rPr>
          <w:rFonts w:hint="eastAsia"/>
          <w:color w:val="auto"/>
          <w:highlight w:val="none"/>
        </w:rPr>
        <w:t xml:space="preserve">6.2 </w:t>
      </w:r>
      <w:r>
        <w:rPr>
          <w:color w:val="auto"/>
          <w:highlight w:val="none"/>
        </w:rPr>
        <w:t>开标</w:t>
      </w:r>
      <w:r>
        <w:rPr>
          <w:rFonts w:hint="eastAsia"/>
          <w:color w:val="auto"/>
          <w:highlight w:val="none"/>
        </w:rPr>
        <w:t>组织与邀请</w:t>
      </w:r>
    </w:p>
    <w:p>
      <w:pPr>
        <w:spacing w:line="360" w:lineRule="auto"/>
        <w:ind w:firstLine="424" w:firstLineChars="176"/>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6.2.1开标组织：</w:t>
      </w:r>
      <w:r>
        <w:rPr>
          <w:rFonts w:hint="eastAsia" w:ascii="仿宋" w:hAnsi="仿宋" w:eastAsia="仿宋" w:cs="Arial"/>
          <w:color w:val="auto"/>
          <w:kern w:val="0"/>
          <w:sz w:val="24"/>
          <w:szCs w:val="22"/>
          <w:highlight w:val="none"/>
        </w:rPr>
        <w:t>本项目开标现场活动由采购人或采购代理机构（以下简称“采购组织机构”）组织实施，准备工作由采购组织机构负责落实，开标过程由采购组织机构负责记录，开标现场由采购组织机构人员主持。</w:t>
      </w:r>
    </w:p>
    <w:p>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6.2.2开标邀请：邀请所有磋商供应商派法定代表或授权代表到开标地点参加。</w:t>
      </w:r>
    </w:p>
    <w:p>
      <w:pPr>
        <w:spacing w:line="360" w:lineRule="auto"/>
        <w:ind w:firstLine="424" w:firstLineChars="176"/>
        <w:rPr>
          <w:rFonts w:hint="eastAsia" w:ascii="仿宋" w:hAnsi="仿宋" w:eastAsia="仿宋" w:cs="Arial"/>
          <w:b/>
          <w:color w:val="auto"/>
          <w:kern w:val="0"/>
          <w:sz w:val="24"/>
          <w:szCs w:val="22"/>
          <w:highlight w:val="none"/>
          <w:u w:val="single"/>
        </w:rPr>
      </w:pPr>
      <w:r>
        <w:rPr>
          <w:rFonts w:hint="eastAsia" w:ascii="仿宋" w:hAnsi="仿宋" w:eastAsia="仿宋" w:cs="Arial"/>
          <w:b/>
          <w:color w:val="auto"/>
          <w:kern w:val="0"/>
          <w:sz w:val="24"/>
          <w:szCs w:val="22"/>
          <w:highlight w:val="none"/>
          <w:u w:val="single"/>
        </w:rPr>
        <w:t>供应商代表为法定代表人或其委托代理人，供应商代表必须出席开标大会，并签名报到，以证明其出席开标会议，且随身携带有效身份证原件（或采购人认可的其他身份证明原件）。委托代理人须提供（现场出示或在磋商响应文件中提供）</w:t>
      </w:r>
      <w:r>
        <w:rPr>
          <w:rFonts w:hint="eastAsia" w:ascii="仿宋" w:hAnsi="仿宋" w:eastAsia="仿宋" w:cs="Arial"/>
          <w:b/>
          <w:color w:val="auto"/>
          <w:kern w:val="0"/>
          <w:sz w:val="24"/>
          <w:szCs w:val="22"/>
          <w:highlight w:val="none"/>
          <w:u w:val="single"/>
          <w:lang w:val="en-US" w:eastAsia="zh-CN"/>
        </w:rPr>
        <w:t>有效的</w:t>
      </w:r>
      <w:r>
        <w:rPr>
          <w:rFonts w:hint="eastAsia" w:ascii="仿宋" w:hAnsi="仿宋" w:eastAsia="仿宋" w:cs="Arial"/>
          <w:b/>
          <w:color w:val="auto"/>
          <w:kern w:val="0"/>
          <w:sz w:val="24"/>
          <w:szCs w:val="22"/>
          <w:highlight w:val="none"/>
          <w:u w:val="single"/>
        </w:rPr>
        <w:t>法人（或单位）授权委托书。</w:t>
      </w:r>
    </w:p>
    <w:p>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6.2.3磋商响应文件开启顺序：</w:t>
      </w:r>
      <w:r>
        <w:rPr>
          <w:rFonts w:hint="eastAsia" w:ascii="仿宋" w:hAnsi="仿宋" w:eastAsia="仿宋"/>
          <w:color w:val="auto"/>
          <w:kern w:val="0"/>
          <w:sz w:val="24"/>
          <w:highlight w:val="none"/>
        </w:rPr>
        <w:t>见《供应商须知前附表》</w:t>
      </w:r>
      <w:r>
        <w:rPr>
          <w:rFonts w:hint="eastAsia" w:ascii="仿宋" w:hAnsi="仿宋" w:eastAsia="仿宋" w:cs="Arial"/>
          <w:color w:val="auto"/>
          <w:kern w:val="0"/>
          <w:sz w:val="24"/>
          <w:szCs w:val="22"/>
          <w:highlight w:val="none"/>
        </w:rPr>
        <w:t>。</w:t>
      </w:r>
    </w:p>
    <w:p>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auto"/>
          <w:kern w:val="0"/>
          <w:sz w:val="24"/>
          <w:szCs w:val="22"/>
          <w:highlight w:val="none"/>
        </w:rPr>
        <w:t>。</w:t>
      </w:r>
    </w:p>
    <w:p>
      <w:pPr>
        <w:pStyle w:val="4"/>
        <w:rPr>
          <w:color w:val="auto"/>
          <w:highlight w:val="none"/>
        </w:rPr>
      </w:pPr>
      <w:r>
        <w:rPr>
          <w:rFonts w:hint="eastAsia"/>
          <w:color w:val="auto"/>
          <w:highlight w:val="none"/>
        </w:rPr>
        <w:t xml:space="preserve">6.3 </w:t>
      </w:r>
      <w:r>
        <w:rPr>
          <w:color w:val="auto"/>
          <w:highlight w:val="none"/>
        </w:rPr>
        <w:t>开标</w:t>
      </w:r>
      <w:r>
        <w:rPr>
          <w:rFonts w:hint="eastAsia"/>
          <w:color w:val="auto"/>
          <w:highlight w:val="none"/>
        </w:rPr>
        <w:t>流程</w:t>
      </w:r>
    </w:p>
    <w:p>
      <w:pPr>
        <w:spacing w:line="360" w:lineRule="auto"/>
        <w:ind w:firstLine="426" w:firstLineChars="177"/>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6.3.1本项目按以下步骤组织实施开标：</w:t>
      </w:r>
    </w:p>
    <w:p>
      <w:pPr>
        <w:numPr>
          <w:ilvl w:val="0"/>
          <w:numId w:val="1"/>
        </w:num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现场工作人员核验出席开标活动现场的各供应商授权代表及相关单位人员身份，并组织其分别登记、签到。</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对现场接受磋商响应文件的，由现场工作人员接收磋商响应文件并登记，请供应商代表对磋商响应文件的递交记录情况进行签字确认。</w:t>
      </w:r>
    </w:p>
    <w:p>
      <w:pPr>
        <w:numPr>
          <w:ilvl w:val="0"/>
          <w:numId w:val="2"/>
        </w:numPr>
        <w:spacing w:line="360" w:lineRule="auto"/>
        <w:ind w:firstLine="424"/>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主持人宣布开标，介绍开标现场的人员情况，宣读递交磋商响应文件的供应商名单、开标纪律、应当回避的情形等注意事项，组织供应商签署《采购活动现场确认声明书》。</w:t>
      </w:r>
    </w:p>
    <w:p>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color w:val="auto"/>
          <w:kern w:val="0"/>
          <w:sz w:val="24"/>
          <w:szCs w:val="22"/>
          <w:highlight w:val="none"/>
        </w:rPr>
        <w:t>（3）</w:t>
      </w:r>
      <w:r>
        <w:rPr>
          <w:rFonts w:hint="eastAsia" w:ascii="仿宋" w:hAnsi="仿宋" w:eastAsia="仿宋" w:cs="Arial"/>
          <w:b/>
          <w:color w:val="auto"/>
          <w:kern w:val="0"/>
          <w:sz w:val="24"/>
          <w:szCs w:val="22"/>
          <w:highlight w:val="none"/>
        </w:rPr>
        <w:t xml:space="preserve"> </w:t>
      </w:r>
      <w:r>
        <w:rPr>
          <w:rFonts w:hint="eastAsia" w:ascii="仿宋" w:hAnsi="仿宋" w:eastAsia="仿宋" w:cs="Arial"/>
          <w:bCs/>
          <w:color w:val="auto"/>
          <w:kern w:val="0"/>
          <w:sz w:val="24"/>
          <w:szCs w:val="22"/>
          <w:highlight w:val="none"/>
        </w:rPr>
        <w:t>提请供应商代表或公证人员查验响应文件密封情况。</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bCs/>
          <w:color w:val="auto"/>
          <w:kern w:val="0"/>
          <w:sz w:val="24"/>
          <w:szCs w:val="22"/>
          <w:highlight w:val="none"/>
        </w:rPr>
        <w:t>（4） 开启供应商的磋商响应文件，按供应商提交磋商响应文件的先后顺序当众拆封、清点磋商响应文件（商务技术文件）（包括正本、副本）数量，将报价文件现场集中封存保管等候拆封，将拆封后的商务和技术文件由现场工作人员护送至指定的评审地点。同时告知供应商代表拆封报价文件的预计时间。</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（5） 商务和技术评审结束后，主持人宣告商务和技术评审无效供应商名称及理由，供应商代表可收回未拆封的报价文件并签字确认；公布经商务和技术评审符合采购需求的供应商名单。</w:t>
      </w:r>
    </w:p>
    <w:p>
      <w:pPr>
        <w:spacing w:line="360" w:lineRule="auto"/>
        <w:ind w:firstLine="424" w:firstLineChars="177"/>
        <w:jc w:val="left"/>
        <w:rPr>
          <w:color w:val="auto"/>
          <w:highlight w:val="none"/>
        </w:rPr>
      </w:pPr>
      <w:r>
        <w:rPr>
          <w:rFonts w:hint="eastAsia" w:ascii="仿宋" w:hAnsi="仿宋" w:eastAsia="仿宋" w:cs="Arial"/>
          <w:color w:val="auto"/>
          <w:kern w:val="0"/>
          <w:sz w:val="24"/>
          <w:szCs w:val="22"/>
          <w:highlight w:val="none"/>
        </w:rPr>
        <w:t>（6）拆封供应商报价文件，清点磋商响应文件（报价文件）（包括正本、副本）数量，现场工作人员将报价文件护送至指定评审地点，由评审小组对报价的合理性、准确性等进行审查核实。</w:t>
      </w:r>
    </w:p>
    <w:p>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color w:val="auto"/>
          <w:kern w:val="0"/>
          <w:sz w:val="24"/>
          <w:szCs w:val="22"/>
          <w:highlight w:val="none"/>
        </w:rPr>
        <w:t>（7）</w:t>
      </w:r>
      <w:r>
        <w:rPr>
          <w:rFonts w:hint="eastAsia" w:ascii="仿宋" w:hAnsi="仿宋" w:eastAsia="仿宋" w:cs="Arial"/>
          <w:bCs/>
          <w:color w:val="auto"/>
          <w:kern w:val="0"/>
          <w:sz w:val="24"/>
          <w:szCs w:val="22"/>
          <w:highlight w:val="none"/>
        </w:rPr>
        <w:t>公布资格符合性以及磋商响应文件的有效性、完整性和响应程度进行审查结果。</w:t>
      </w:r>
    </w:p>
    <w:p>
      <w:pPr>
        <w:spacing w:line="360" w:lineRule="auto"/>
        <w:ind w:firstLine="424" w:firstLineChars="177"/>
        <w:jc w:val="left"/>
        <w:rPr>
          <w:rFonts w:ascii="仿宋" w:hAnsi="仿宋" w:eastAsia="仿宋" w:cs="Arial"/>
          <w:bCs/>
          <w:color w:val="auto"/>
          <w:kern w:val="0"/>
          <w:sz w:val="24"/>
          <w:highlight w:val="none"/>
        </w:rPr>
      </w:pPr>
      <w:r>
        <w:rPr>
          <w:rFonts w:hint="eastAsia" w:ascii="仿宋" w:hAnsi="仿宋" w:eastAsia="仿宋" w:cs="Arial"/>
          <w:bCs/>
          <w:color w:val="auto"/>
          <w:kern w:val="0"/>
          <w:sz w:val="24"/>
          <w:szCs w:val="22"/>
          <w:highlight w:val="none"/>
        </w:rPr>
        <w:t>（8）公布提交最后报价的供应商名单和最后报价提交的时间。</w:t>
      </w:r>
    </w:p>
    <w:p>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（9）</w:t>
      </w:r>
      <w:r>
        <w:rPr>
          <w:rFonts w:ascii="仿宋" w:hAnsi="仿宋" w:eastAsia="仿宋" w:cs="Arial"/>
          <w:bCs/>
          <w:color w:val="auto"/>
          <w:kern w:val="0"/>
          <w:sz w:val="24"/>
          <w:szCs w:val="22"/>
          <w:highlight w:val="none"/>
        </w:rPr>
        <w:t>公布</w:t>
      </w:r>
      <w:r>
        <w:rPr>
          <w:rFonts w:hint="eastAsia" w:ascii="仿宋" w:hAnsi="仿宋" w:eastAsia="仿宋" w:cs="Arial"/>
          <w:bCs/>
          <w:color w:val="auto"/>
          <w:kern w:val="0"/>
          <w:sz w:val="24"/>
          <w:szCs w:val="22"/>
          <w:highlight w:val="none"/>
        </w:rPr>
        <w:t>所有递交了最后报价的磋商供应商的</w:t>
      </w:r>
      <w:r>
        <w:rPr>
          <w:rFonts w:ascii="仿宋" w:hAnsi="仿宋" w:eastAsia="仿宋" w:cs="Arial"/>
          <w:bCs/>
          <w:color w:val="auto"/>
          <w:kern w:val="0"/>
          <w:sz w:val="24"/>
          <w:szCs w:val="22"/>
          <w:highlight w:val="none"/>
        </w:rPr>
        <w:t>商务技术</w:t>
      </w:r>
      <w:r>
        <w:rPr>
          <w:rFonts w:hint="eastAsia" w:ascii="仿宋" w:hAnsi="仿宋" w:eastAsia="仿宋" w:cs="Arial"/>
          <w:bCs/>
          <w:color w:val="auto"/>
          <w:kern w:val="0"/>
          <w:sz w:val="24"/>
          <w:szCs w:val="22"/>
          <w:highlight w:val="none"/>
        </w:rPr>
        <w:t>部分得分情况，并开启各供应商的最后报价信息，同时当场制作开标记录表，</w:t>
      </w:r>
      <w:r>
        <w:rPr>
          <w:rFonts w:ascii="仿宋" w:hAnsi="仿宋" w:eastAsia="仿宋" w:cs="Arial"/>
          <w:bCs/>
          <w:color w:val="auto"/>
          <w:kern w:val="0"/>
          <w:sz w:val="24"/>
          <w:szCs w:val="22"/>
          <w:highlight w:val="none"/>
        </w:rPr>
        <w:t>由供应商代表</w:t>
      </w:r>
      <w:r>
        <w:rPr>
          <w:rFonts w:hint="eastAsia" w:ascii="仿宋" w:hAnsi="仿宋" w:eastAsia="仿宋" w:cs="Arial"/>
          <w:bCs/>
          <w:color w:val="auto"/>
          <w:kern w:val="0"/>
          <w:sz w:val="24"/>
          <w:szCs w:val="22"/>
          <w:highlight w:val="none"/>
        </w:rPr>
        <w:t>及相关人员</w:t>
      </w:r>
      <w:r>
        <w:rPr>
          <w:rFonts w:ascii="仿宋" w:hAnsi="仿宋" w:eastAsia="仿宋" w:cs="Arial"/>
          <w:bCs/>
          <w:color w:val="auto"/>
          <w:kern w:val="0"/>
          <w:sz w:val="24"/>
          <w:szCs w:val="22"/>
          <w:highlight w:val="none"/>
        </w:rPr>
        <w:t>确认</w:t>
      </w:r>
      <w:r>
        <w:rPr>
          <w:rFonts w:hint="eastAsia" w:ascii="仿宋" w:hAnsi="仿宋" w:eastAsia="仿宋" w:cs="Arial"/>
          <w:bCs/>
          <w:color w:val="auto"/>
          <w:kern w:val="0"/>
          <w:sz w:val="24"/>
          <w:szCs w:val="22"/>
          <w:highlight w:val="none"/>
        </w:rPr>
        <w:t>，供应商</w:t>
      </w:r>
      <w:r>
        <w:rPr>
          <w:rFonts w:ascii="仿宋" w:hAnsi="仿宋" w:eastAsia="仿宋" w:cs="Arial"/>
          <w:bCs/>
          <w:color w:val="auto"/>
          <w:kern w:val="0"/>
          <w:sz w:val="24"/>
          <w:szCs w:val="22"/>
          <w:highlight w:val="none"/>
        </w:rPr>
        <w:t>不予确认的应说明理由，否则视为无异议。</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bCs/>
          <w:color w:val="auto"/>
          <w:kern w:val="0"/>
          <w:sz w:val="24"/>
          <w:szCs w:val="22"/>
          <w:highlight w:val="none"/>
        </w:rPr>
        <w:t>（10）公布最终评审结果以及成交候选供应商名单。</w:t>
      </w:r>
    </w:p>
    <w:p>
      <w:pPr>
        <w:spacing w:line="360" w:lineRule="auto"/>
        <w:ind w:firstLine="426" w:firstLineChars="177"/>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6.3.2磋商供应商在磋商响应文件提交的截止时间前提交响应文件撤回函的，采购人将在开启时宣读撤回函，并将其响应文件及时退还供应商。</w:t>
      </w:r>
    </w:p>
    <w:p>
      <w:pPr>
        <w:pStyle w:val="36"/>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6.3.3开启结束后，供应商代表应在开启记录上签字确认。唱标人、记录人、监督人均应在开启记录上签字。供应商代表未在开启记录上签字的，均视为对开启结果予以默认。</w:t>
      </w:r>
    </w:p>
    <w:p>
      <w:pPr>
        <w:pStyle w:val="36"/>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6.3.4开启结束后，如发现开启结果与磋商响应文件不一致者，除磋商小组认定的特殊情况应另行处理外，其开启结果不予纠正。</w:t>
      </w:r>
    </w:p>
    <w:p>
      <w:pPr>
        <w:pStyle w:val="36"/>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6.3.5如磋商供应商不派代表参加开标会（未到场或者不能出示其身份证件或者未按时签到的），供应商不得对采购相关人员、开标过程和开标结果提出异议。</w:t>
      </w:r>
    </w:p>
    <w:p>
      <w:pPr>
        <w:pStyle w:val="36"/>
        <w:spacing w:line="360" w:lineRule="auto"/>
        <w:ind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6.3.6不予接收的磋商响应文件</w:t>
      </w:r>
    </w:p>
    <w:p>
      <w:pPr>
        <w:pStyle w:val="36"/>
        <w:spacing w:line="360" w:lineRule="auto"/>
        <w:ind w:left="630" w:leftChars="300"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1）在磋商响应文件提交的截止时间以后送达的磋商响应文件；</w:t>
      </w:r>
    </w:p>
    <w:p>
      <w:pPr>
        <w:pStyle w:val="36"/>
        <w:spacing w:line="360" w:lineRule="auto"/>
        <w:ind w:left="630" w:leftChars="300"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2）未密封的磋商响应文件；</w:t>
      </w:r>
    </w:p>
    <w:p>
      <w:pPr>
        <w:pStyle w:val="3"/>
        <w:rPr>
          <w:color w:val="auto"/>
          <w:highlight w:val="none"/>
        </w:rPr>
      </w:pPr>
      <w:bookmarkStart w:id="14" w:name="_Toc19624"/>
      <w:r>
        <w:rPr>
          <w:rFonts w:hint="eastAsia"/>
          <w:color w:val="auto"/>
          <w:highlight w:val="none"/>
        </w:rPr>
        <w:t>七、磋商</w:t>
      </w:r>
      <w:bookmarkEnd w:id="14"/>
    </w:p>
    <w:p>
      <w:pPr>
        <w:pStyle w:val="4"/>
        <w:rPr>
          <w:color w:val="auto"/>
          <w:highlight w:val="none"/>
        </w:rPr>
      </w:pPr>
      <w:r>
        <w:rPr>
          <w:rFonts w:hint="eastAsia"/>
          <w:color w:val="auto"/>
          <w:highlight w:val="none"/>
        </w:rPr>
        <w:t>7.1 磋商地点及邀请</w:t>
      </w:r>
    </w:p>
    <w:p>
      <w:pPr>
        <w:spacing w:line="360" w:lineRule="auto"/>
        <w:ind w:firstLine="424" w:firstLineChars="176"/>
        <w:rPr>
          <w:rFonts w:ascii="仿宋" w:hAnsi="仿宋" w:eastAsia="仿宋"/>
          <w:b/>
          <w:color w:val="auto"/>
          <w:sz w:val="24"/>
          <w:highlight w:val="none"/>
          <w:u w:val="single"/>
        </w:rPr>
      </w:pPr>
      <w:r>
        <w:rPr>
          <w:rFonts w:hint="eastAsia" w:ascii="仿宋" w:hAnsi="仿宋" w:eastAsia="仿宋" w:cs="Arial"/>
          <w:b/>
          <w:color w:val="auto"/>
          <w:kern w:val="0"/>
          <w:sz w:val="24"/>
          <w:szCs w:val="22"/>
          <w:highlight w:val="none"/>
        </w:rPr>
        <w:t>7.1.1磋商地点：</w:t>
      </w:r>
      <w:r>
        <w:rPr>
          <w:rFonts w:hint="eastAsia" w:ascii="仿宋" w:hAnsi="仿宋" w:eastAsia="仿宋"/>
          <w:b/>
          <w:color w:val="auto"/>
          <w:sz w:val="24"/>
          <w:highlight w:val="none"/>
          <w:u w:val="single"/>
        </w:rPr>
        <w:t>见《供应商须知前附表》</w:t>
      </w:r>
    </w:p>
    <w:p>
      <w:pPr>
        <w:spacing w:line="360" w:lineRule="auto"/>
        <w:ind w:firstLine="424" w:firstLineChars="176"/>
        <w:rPr>
          <w:rFonts w:ascii="Calibri" w:hAnsi="Calibri"/>
          <w:color w:val="auto"/>
          <w:highlight w:val="none"/>
        </w:rPr>
      </w:pPr>
      <w:r>
        <w:rPr>
          <w:rFonts w:hint="eastAsia" w:ascii="仿宋" w:hAnsi="仿宋" w:eastAsia="仿宋"/>
          <w:b/>
          <w:color w:val="auto"/>
          <w:sz w:val="24"/>
          <w:highlight w:val="none"/>
        </w:rPr>
        <w:t>7.1.2磋商邀请：</w:t>
      </w:r>
      <w:r>
        <w:rPr>
          <w:rFonts w:hint="eastAsia" w:ascii="仿宋" w:hAnsi="仿宋" w:eastAsia="仿宋" w:cs="Arial"/>
          <w:b/>
          <w:color w:val="auto"/>
          <w:kern w:val="0"/>
          <w:sz w:val="24"/>
          <w:highlight w:val="none"/>
        </w:rPr>
        <w:t>邀请所有磋商供应商派法定代表或授权代表到磋商地点参加。</w:t>
      </w:r>
    </w:p>
    <w:p>
      <w:pPr>
        <w:pStyle w:val="4"/>
        <w:rPr>
          <w:color w:val="auto"/>
          <w:highlight w:val="none"/>
        </w:rPr>
      </w:pPr>
      <w:r>
        <w:rPr>
          <w:rFonts w:hint="eastAsia"/>
          <w:color w:val="auto"/>
          <w:highlight w:val="none"/>
        </w:rPr>
        <w:t>7.2 磋商步骤</w:t>
      </w:r>
    </w:p>
    <w:p>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供应商资格以及磋商响应文件的有效性、完整性和响应程度审查结束后，磋商小组所有成员集中与单一供应商分别进行磋商（先统一完成商务技术磋商、后统一进行报价磋商），并给予所有参加磋商的供应商平等的磋商机会（磋商顺序按磋商响应文件递交顺序进行）。</w:t>
      </w:r>
    </w:p>
    <w:p>
      <w:pPr>
        <w:pStyle w:val="4"/>
        <w:rPr>
          <w:color w:val="auto"/>
          <w:highlight w:val="none"/>
        </w:rPr>
      </w:pPr>
      <w:r>
        <w:rPr>
          <w:rFonts w:hint="eastAsia"/>
          <w:color w:val="auto"/>
          <w:highlight w:val="none"/>
        </w:rPr>
        <w:t>7.3 磋商过程中采购需求的实质性变动</w:t>
      </w:r>
    </w:p>
    <w:p>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7.3.1磋商过程中可能实质性变动的内容：</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p>
    <w:p>
      <w:pPr>
        <w:spacing w:line="360" w:lineRule="auto"/>
        <w:ind w:firstLine="458" w:firstLineChars="191"/>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7.3.2在磋商过程中，磋商小组可以根据磋商文件和磋商情况实质性变动采购需求中的技术、服务要求以及合同草案条款。</w:t>
      </w:r>
      <w:r>
        <w:rPr>
          <w:rFonts w:hint="eastAsia" w:ascii="仿宋" w:hAnsi="仿宋" w:eastAsia="仿宋" w:cs="Arial"/>
          <w:b/>
          <w:color w:val="auto"/>
          <w:kern w:val="0"/>
          <w:sz w:val="24"/>
          <w:szCs w:val="22"/>
          <w:highlight w:val="none"/>
        </w:rPr>
        <w:t>对磋商文件作出的实质性变动是磋商文件的有效组成部分，经采购人代表确认后生效，磋商小组将及时以书面形式通知所有参加磋商的供应商</w:t>
      </w:r>
      <w:r>
        <w:rPr>
          <w:rFonts w:hint="eastAsia" w:ascii="仿宋" w:hAnsi="仿宋" w:eastAsia="仿宋" w:cs="Arial"/>
          <w:color w:val="auto"/>
          <w:kern w:val="0"/>
          <w:sz w:val="24"/>
          <w:szCs w:val="22"/>
          <w:highlight w:val="none"/>
        </w:rPr>
        <w:t>。</w:t>
      </w:r>
    </w:p>
    <w:p>
      <w:pPr>
        <w:pStyle w:val="4"/>
        <w:rPr>
          <w:color w:val="auto"/>
          <w:highlight w:val="none"/>
        </w:rPr>
      </w:pPr>
      <w:r>
        <w:rPr>
          <w:rFonts w:hint="eastAsia"/>
          <w:color w:val="auto"/>
          <w:highlight w:val="none"/>
        </w:rPr>
        <w:t>7.4 磋商响应文件的重新提交</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7.4.1供应商按照磋商文件的变动情况和磋商小组的要求重新提交响应文件（供应商重新提交的响应文件应当由其法定代表人或授权代表签字或加盖公章。由授权代表签字的，应当附《法人（或单位）授权委托书》。供应商为自然人的，应当由本人签字并附身份证明）。</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7.4.2磋商结束后，磋商小组确定提交最后报价的供应商名单，并要求供应商在规定的时间内提交最后报价。</w:t>
      </w:r>
    </w:p>
    <w:p>
      <w:pPr>
        <w:spacing w:line="360" w:lineRule="auto"/>
        <w:ind w:firstLine="424" w:firstLineChars="177"/>
        <w:jc w:val="left"/>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7.4.3供应商最后报价提交完毕后，磋商小组按磋商文件约定的评分办法对所有提交最后报价的供应商的响应文件（商务技术部分）和最后报价进行综合评分。</w:t>
      </w:r>
    </w:p>
    <w:p>
      <w:pPr>
        <w:pStyle w:val="4"/>
        <w:rPr>
          <w:color w:val="auto"/>
          <w:highlight w:val="none"/>
        </w:rPr>
      </w:pPr>
      <w:r>
        <w:rPr>
          <w:rFonts w:hint="eastAsia"/>
          <w:color w:val="auto"/>
          <w:highlight w:val="none"/>
        </w:rPr>
        <w:t>7.5 供应商退出机制</w:t>
      </w:r>
    </w:p>
    <w:p>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7.5.1已递交磋商响应文件的供应商在提交最后报价之前，可以根据磋商情况退出磋商。</w:t>
      </w:r>
    </w:p>
    <w:p>
      <w:pPr>
        <w:pStyle w:val="3"/>
        <w:rPr>
          <w:color w:val="auto"/>
          <w:highlight w:val="none"/>
        </w:rPr>
      </w:pPr>
      <w:bookmarkStart w:id="15" w:name="_Toc25733"/>
      <w:r>
        <w:rPr>
          <w:rFonts w:hint="eastAsia"/>
          <w:color w:val="auto"/>
          <w:highlight w:val="none"/>
        </w:rPr>
        <w:t>八、最后报价</w:t>
      </w:r>
      <w:bookmarkEnd w:id="15"/>
    </w:p>
    <w:p>
      <w:pPr>
        <w:pStyle w:val="4"/>
        <w:rPr>
          <w:color w:val="auto"/>
          <w:highlight w:val="none"/>
        </w:rPr>
      </w:pPr>
      <w:r>
        <w:rPr>
          <w:rFonts w:hint="eastAsia"/>
          <w:color w:val="auto"/>
          <w:highlight w:val="none"/>
        </w:rPr>
        <w:t>8.1 最后报价涵盖范围</w:t>
      </w:r>
    </w:p>
    <w:p>
      <w:pPr>
        <w:spacing w:line="360" w:lineRule="auto"/>
        <w:ind w:firstLine="460" w:firstLineChars="191"/>
        <w:jc w:val="left"/>
        <w:rPr>
          <w:rFonts w:ascii="仿宋" w:hAnsi="仿宋" w:eastAsia="仿宋" w:cs="Arial"/>
          <w:b/>
          <w:color w:val="auto"/>
          <w:kern w:val="0"/>
          <w:sz w:val="28"/>
          <w:szCs w:val="22"/>
          <w:highlight w:val="none"/>
        </w:rPr>
      </w:pPr>
      <w:r>
        <w:rPr>
          <w:rFonts w:hint="eastAsia" w:ascii="仿宋" w:hAnsi="仿宋" w:eastAsia="仿宋" w:cs="Arial"/>
          <w:b/>
          <w:color w:val="auto"/>
          <w:kern w:val="0"/>
          <w:sz w:val="24"/>
          <w:szCs w:val="22"/>
          <w:highlight w:val="none"/>
        </w:rPr>
        <w:t>最后报价是供应商响应文件的有效组成部分，是供应商承诺履行合同的最终价格，应涵盖完成经磋商的最终采购需求所涉及的全部内容。</w:t>
      </w:r>
    </w:p>
    <w:p>
      <w:pPr>
        <w:pStyle w:val="4"/>
        <w:rPr>
          <w:color w:val="auto"/>
          <w:highlight w:val="none"/>
        </w:rPr>
      </w:pPr>
      <w:r>
        <w:rPr>
          <w:rFonts w:hint="eastAsia"/>
          <w:color w:val="auto"/>
          <w:highlight w:val="none"/>
        </w:rPr>
        <w:t>8.2 提交最后报价的供应商的确定原则</w:t>
      </w:r>
    </w:p>
    <w:p>
      <w:pPr>
        <w:spacing w:line="360" w:lineRule="auto"/>
        <w:ind w:firstLine="422" w:firstLineChars="176"/>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8.2.1磋商文件能够详细列明采购标的的技术、服务要求的，磋商结束后，磋商小组将要求所有实质性响应的供应商在规定时间内提交最后报价，提交最后报价的供应商不少于3家。</w:t>
      </w:r>
    </w:p>
    <w:p>
      <w:pPr>
        <w:spacing w:line="360" w:lineRule="auto"/>
        <w:ind w:firstLine="422" w:firstLineChars="176"/>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8.2.2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pacing w:line="360" w:lineRule="auto"/>
        <w:ind w:firstLine="422" w:firstLineChars="176"/>
        <w:jc w:val="left"/>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8.2.3符合</w:t>
      </w:r>
      <w:r>
        <w:rPr>
          <w:rFonts w:hint="eastAsia" w:ascii="仿宋" w:hAnsi="仿宋" w:eastAsia="仿宋" w:cs="Arial"/>
          <w:color w:val="auto"/>
          <w:sz w:val="24"/>
          <w:highlight w:val="none"/>
        </w:rPr>
        <w:t>《政府采购竞争性磋商采购方式管理暂行办法》第三款条第四款规定</w:t>
      </w:r>
      <w:r>
        <w:rPr>
          <w:rFonts w:hint="eastAsia" w:ascii="仿宋" w:hAnsi="仿宋" w:eastAsia="仿宋" w:cs="Arial"/>
          <w:color w:val="auto"/>
          <w:kern w:val="0"/>
          <w:sz w:val="24"/>
          <w:szCs w:val="22"/>
          <w:highlight w:val="none"/>
        </w:rPr>
        <w:t>的情形或符合《财政部关于政府采购竞争性磋商采购方式管理暂行办法有关问题的补充通知（财库[2015]124号）》规定的，提交最后报价的供应商可以为2家。</w:t>
      </w:r>
    </w:p>
    <w:p>
      <w:pPr>
        <w:pStyle w:val="4"/>
        <w:rPr>
          <w:color w:val="auto"/>
          <w:highlight w:val="none"/>
        </w:rPr>
      </w:pPr>
      <w:r>
        <w:rPr>
          <w:rFonts w:hint="eastAsia"/>
          <w:color w:val="auto"/>
          <w:highlight w:val="none"/>
        </w:rPr>
        <w:t>8.3 最后报价的提交</w:t>
      </w:r>
    </w:p>
    <w:p>
      <w:pPr>
        <w:spacing w:line="360" w:lineRule="auto"/>
        <w:ind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8.3.1最后报价的提交：</w:t>
      </w:r>
      <w:r>
        <w:rPr>
          <w:rFonts w:hint="eastAsia" w:ascii="仿宋" w:hAnsi="仿宋" w:eastAsia="仿宋" w:cs="Arial"/>
          <w:color w:val="auto"/>
          <w:kern w:val="0"/>
          <w:sz w:val="24"/>
          <w:szCs w:val="22"/>
          <w:highlight w:val="none"/>
        </w:rPr>
        <w:t>经签署的最后报价应在磋商小组规定的时间内提交。</w:t>
      </w:r>
    </w:p>
    <w:p>
      <w:pPr>
        <w:pStyle w:val="3"/>
        <w:rPr>
          <w:color w:val="auto"/>
          <w:highlight w:val="none"/>
        </w:rPr>
      </w:pPr>
      <w:bookmarkStart w:id="16" w:name="_Toc32557"/>
      <w:r>
        <w:rPr>
          <w:rFonts w:hint="eastAsia"/>
          <w:color w:val="auto"/>
          <w:highlight w:val="none"/>
        </w:rPr>
        <w:t>九、评审</w:t>
      </w:r>
      <w:bookmarkEnd w:id="16"/>
    </w:p>
    <w:p>
      <w:pPr>
        <w:pStyle w:val="4"/>
        <w:rPr>
          <w:color w:val="auto"/>
          <w:highlight w:val="none"/>
        </w:rPr>
      </w:pPr>
      <w:r>
        <w:rPr>
          <w:rFonts w:hint="eastAsia"/>
          <w:color w:val="auto"/>
          <w:highlight w:val="none"/>
        </w:rPr>
        <w:t>9.1 评审工作的组织</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采购人或采购代理机构负责组织本项目的评审工作。</w:t>
      </w:r>
    </w:p>
    <w:p>
      <w:pPr>
        <w:pStyle w:val="4"/>
        <w:rPr>
          <w:color w:val="auto"/>
          <w:highlight w:val="none"/>
        </w:rPr>
      </w:pPr>
      <w:r>
        <w:rPr>
          <w:rFonts w:hint="eastAsia"/>
          <w:color w:val="auto"/>
          <w:highlight w:val="none"/>
        </w:rPr>
        <w:t>9.2 磋商小组的组建</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9.2.1磋商小组由采购人代表和评审专家共3人以上单数组成，其中评审专家人数不少于磋商小组成员总数的2/3。</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9.2.2磋商小组成员名单在采购结果公告前保密。</w:t>
      </w:r>
    </w:p>
    <w:p>
      <w:pPr>
        <w:pStyle w:val="4"/>
        <w:rPr>
          <w:color w:val="auto"/>
          <w:highlight w:val="none"/>
        </w:rPr>
      </w:pPr>
      <w:r>
        <w:rPr>
          <w:rFonts w:hint="eastAsia"/>
          <w:color w:val="auto"/>
          <w:highlight w:val="none"/>
        </w:rPr>
        <w:t>9.3 磋商小组的职责</w:t>
      </w:r>
    </w:p>
    <w:p>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9.3.1磋商小组根据磋商文件规定的评审程序、评审方法和评审标准进行独立评审，负责下列职责：</w:t>
      </w:r>
    </w:p>
    <w:p>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w:t>
      </w:r>
      <w:r>
        <w:rPr>
          <w:rFonts w:ascii="仿宋" w:hAnsi="仿宋" w:eastAsia="仿宋" w:cs="Arial"/>
          <w:color w:val="auto"/>
          <w:kern w:val="0"/>
          <w:sz w:val="24"/>
          <w:szCs w:val="22"/>
          <w:highlight w:val="none"/>
        </w:rPr>
        <w:t>对</w:t>
      </w:r>
      <w:r>
        <w:rPr>
          <w:rFonts w:hint="eastAsia" w:ascii="仿宋" w:hAnsi="仿宋" w:eastAsia="仿宋" w:cs="Arial"/>
          <w:color w:val="auto"/>
          <w:kern w:val="0"/>
          <w:sz w:val="24"/>
          <w:szCs w:val="22"/>
          <w:highlight w:val="none"/>
        </w:rPr>
        <w:t>各供应商</w:t>
      </w:r>
      <w:r>
        <w:rPr>
          <w:rFonts w:ascii="仿宋" w:hAnsi="仿宋" w:eastAsia="仿宋" w:cs="Arial"/>
          <w:color w:val="auto"/>
          <w:kern w:val="0"/>
          <w:sz w:val="24"/>
          <w:szCs w:val="22"/>
          <w:highlight w:val="none"/>
        </w:rPr>
        <w:t>磋商响应文件中的资格证明进行审查，以确定磋商供应商是否具备</w:t>
      </w:r>
      <w:r>
        <w:rPr>
          <w:rFonts w:hint="eastAsia" w:ascii="仿宋" w:hAnsi="仿宋" w:eastAsia="仿宋" w:cs="Arial"/>
          <w:color w:val="auto"/>
          <w:kern w:val="0"/>
          <w:sz w:val="24"/>
          <w:szCs w:val="22"/>
          <w:highlight w:val="none"/>
        </w:rPr>
        <w:t>磋商</w:t>
      </w:r>
      <w:r>
        <w:rPr>
          <w:rFonts w:ascii="仿宋" w:hAnsi="仿宋" w:eastAsia="仿宋" w:cs="Arial"/>
          <w:color w:val="auto"/>
          <w:kern w:val="0"/>
          <w:sz w:val="24"/>
          <w:szCs w:val="22"/>
          <w:highlight w:val="none"/>
        </w:rPr>
        <w:t>资格。</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对各磋商供应商的磋商响应文件的有效性、完整性和响应程度进行审查，确定是否对采购文件作出实质性响应。视情要求供应商对磋商响应文件中含义不明确、同类问题表述不一致或者有明显文字和计算错误的内容等作出必要的澄清、说明或者更正。</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（3）集中与单一供应商分别进行磋商。</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（4）根据磋商文件和磋商情况实质性变动采购需求中的技术、服务要求以及合同草案条款，并书面告知所有参加磋商的供应商。</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（5）根据磋商结果确定最终采购需求、确定提交最后报价的供应商名单，要求供应商在规定时间内提交最后报价。</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（6）按磋商文件约定的评分办法对提交最后报价的供应商的响应文件和最后报价进行综合评分。</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（7）根据综合评分情况，按照评审得分由高到低顺序推荐成交候选供应商，并编写评审报告。</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（9）向采购人、采购代理机构或者有关部门报告评审中发现的违法行为。</w:t>
      </w:r>
    </w:p>
    <w:p>
      <w:pPr>
        <w:pStyle w:val="4"/>
        <w:rPr>
          <w:color w:val="auto"/>
          <w:highlight w:val="none"/>
        </w:rPr>
      </w:pPr>
      <w:r>
        <w:rPr>
          <w:rFonts w:hint="eastAsia"/>
          <w:color w:val="auto"/>
          <w:highlight w:val="none"/>
        </w:rPr>
        <w:t>9.4 评审原则</w:t>
      </w:r>
    </w:p>
    <w:p>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9.4.1评审原则：客观、公正、审慎原则。</w:t>
      </w:r>
    </w:p>
    <w:p>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9.4.2评审工作将依据</w:t>
      </w:r>
      <w:r>
        <w:rPr>
          <w:rFonts w:ascii="仿宋" w:hAnsi="仿宋" w:eastAsia="仿宋" w:cs="Arial"/>
          <w:color w:val="auto"/>
          <w:kern w:val="0"/>
          <w:sz w:val="24"/>
          <w:szCs w:val="22"/>
          <w:highlight w:val="none"/>
        </w:rPr>
        <w:t>磋商文件</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磋商响应文件</w:t>
      </w:r>
      <w:r>
        <w:rPr>
          <w:rFonts w:hint="eastAsia" w:ascii="仿宋" w:hAnsi="仿宋" w:eastAsia="仿宋" w:cs="Arial"/>
          <w:color w:val="auto"/>
          <w:kern w:val="0"/>
          <w:sz w:val="24"/>
          <w:szCs w:val="22"/>
          <w:highlight w:val="none"/>
        </w:rPr>
        <w:t>及磋商文件中事先已列明的内容进行（如现场方案讲解、演示、样品等）。</w:t>
      </w:r>
    </w:p>
    <w:p>
      <w:pPr>
        <w:pStyle w:val="4"/>
        <w:rPr>
          <w:color w:val="auto"/>
          <w:highlight w:val="none"/>
        </w:rPr>
      </w:pPr>
      <w:r>
        <w:rPr>
          <w:rFonts w:hint="eastAsia"/>
          <w:color w:val="auto"/>
          <w:highlight w:val="none"/>
        </w:rPr>
        <w:t>9.5 评审意见的争议处理</w:t>
      </w:r>
    </w:p>
    <w:p>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磋商小组</w:t>
      </w:r>
      <w:r>
        <w:rPr>
          <w:rFonts w:ascii="仿宋" w:hAnsi="仿宋" w:eastAsia="仿宋" w:cs="Arial"/>
          <w:color w:val="auto"/>
          <w:sz w:val="24"/>
          <w:highlight w:val="none"/>
        </w:rPr>
        <w:t>成员对需要共同认定的事项存在争议的，</w:t>
      </w:r>
      <w:r>
        <w:rPr>
          <w:rFonts w:hint="eastAsia" w:ascii="仿宋" w:hAnsi="仿宋" w:eastAsia="仿宋" w:cs="Arial"/>
          <w:color w:val="auto"/>
          <w:kern w:val="0"/>
          <w:sz w:val="24"/>
          <w:szCs w:val="22"/>
          <w:highlight w:val="none"/>
        </w:rPr>
        <w:t>磋商小组按照少数服从多数的原则处理，采购程序继续进行。有异议的磋商小组成员，应当在报告上签署不同意见并说明理由，由磋商小组书面记录相关情况。磋商小组成员拒绝在报告上签字又不书面说明其不同意见和理由的，视为同意磋商小组中的多数意见。</w:t>
      </w:r>
    </w:p>
    <w:p>
      <w:pPr>
        <w:pStyle w:val="4"/>
        <w:rPr>
          <w:color w:val="auto"/>
          <w:highlight w:val="none"/>
        </w:rPr>
      </w:pPr>
      <w:r>
        <w:rPr>
          <w:rFonts w:hint="eastAsia"/>
          <w:color w:val="auto"/>
          <w:highlight w:val="none"/>
        </w:rPr>
        <w:t>9.6 评审纪律</w:t>
      </w:r>
    </w:p>
    <w:p>
      <w:pPr>
        <w:spacing w:line="360" w:lineRule="auto"/>
        <w:ind w:firstLine="424" w:firstLineChars="177"/>
        <w:rPr>
          <w:rFonts w:ascii="Calibri" w:hAnsi="Calibri"/>
          <w:color w:val="auto"/>
          <w:highlight w:val="none"/>
        </w:rPr>
      </w:pPr>
      <w:r>
        <w:rPr>
          <w:rFonts w:hint="eastAsia" w:ascii="仿宋" w:hAnsi="仿宋" w:eastAsia="仿宋" w:cs="Arial"/>
          <w:color w:val="auto"/>
          <w:sz w:val="24"/>
          <w:highlight w:val="none"/>
        </w:rPr>
        <w:t>磋商小组成员</w:t>
      </w:r>
      <w:r>
        <w:rPr>
          <w:rFonts w:ascii="仿宋" w:hAnsi="仿宋" w:eastAsia="仿宋" w:cs="Arial"/>
          <w:color w:val="auto"/>
          <w:sz w:val="24"/>
          <w:highlight w:val="none"/>
        </w:rPr>
        <w:t>必须严格遵守保密规定，不得泄露评</w:t>
      </w:r>
      <w:r>
        <w:rPr>
          <w:rFonts w:hint="eastAsia" w:ascii="仿宋" w:hAnsi="仿宋" w:eastAsia="仿宋" w:cs="Arial"/>
          <w:color w:val="auto"/>
          <w:sz w:val="24"/>
          <w:highlight w:val="none"/>
        </w:rPr>
        <w:t>审</w:t>
      </w:r>
      <w:r>
        <w:rPr>
          <w:rFonts w:ascii="仿宋" w:hAnsi="仿宋" w:eastAsia="仿宋" w:cs="Arial"/>
          <w:color w:val="auto"/>
          <w:sz w:val="24"/>
          <w:highlight w:val="none"/>
        </w:rPr>
        <w:t>的有关情况</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任何单位和个人不得干扰、影响评审的正常进行</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磋商小组</w:t>
      </w:r>
      <w:r>
        <w:rPr>
          <w:rFonts w:hint="eastAsia" w:ascii="仿宋" w:hAnsi="仿宋" w:eastAsia="仿宋" w:cs="Arial"/>
          <w:color w:val="auto"/>
          <w:kern w:val="0"/>
          <w:sz w:val="24"/>
          <w:szCs w:val="22"/>
          <w:highlight w:val="none"/>
        </w:rPr>
        <w:t>成员</w:t>
      </w:r>
      <w:r>
        <w:rPr>
          <w:rFonts w:ascii="仿宋" w:hAnsi="仿宋" w:eastAsia="仿宋" w:cs="Arial"/>
          <w:color w:val="auto"/>
          <w:kern w:val="0"/>
          <w:sz w:val="24"/>
          <w:szCs w:val="22"/>
          <w:highlight w:val="none"/>
        </w:rPr>
        <w:t>不得私下与磋商供应商接触</w:t>
      </w:r>
      <w:r>
        <w:rPr>
          <w:rFonts w:hint="eastAsia" w:ascii="仿宋" w:hAnsi="仿宋" w:eastAsia="仿宋" w:cs="Arial"/>
          <w:color w:val="auto"/>
          <w:kern w:val="0"/>
          <w:sz w:val="24"/>
          <w:szCs w:val="22"/>
          <w:highlight w:val="none"/>
        </w:rPr>
        <w:t>，不得出现浙江省政府采购活动现场组织管理办法中规定的其他禁止行为。</w:t>
      </w:r>
    </w:p>
    <w:p>
      <w:pPr>
        <w:pStyle w:val="4"/>
        <w:rPr>
          <w:color w:val="auto"/>
          <w:highlight w:val="none"/>
        </w:rPr>
      </w:pPr>
      <w:r>
        <w:rPr>
          <w:rFonts w:hint="eastAsia"/>
          <w:color w:val="auto"/>
          <w:highlight w:val="none"/>
        </w:rPr>
        <w:t>9.7 评审方法和标准</w:t>
      </w:r>
    </w:p>
    <w:p>
      <w:pPr>
        <w:spacing w:line="360" w:lineRule="auto"/>
        <w:ind w:firstLine="426" w:firstLineChars="177"/>
        <w:rPr>
          <w:rFonts w:ascii="仿宋" w:hAnsi="仿宋" w:eastAsia="仿宋"/>
          <w:b/>
          <w:color w:val="auto"/>
          <w:kern w:val="0"/>
          <w:sz w:val="24"/>
          <w:highlight w:val="none"/>
        </w:rPr>
      </w:pPr>
      <w:r>
        <w:rPr>
          <w:rFonts w:hint="eastAsia" w:ascii="仿宋" w:hAnsi="仿宋" w:eastAsia="仿宋"/>
          <w:b/>
          <w:color w:val="auto"/>
          <w:kern w:val="0"/>
          <w:sz w:val="24"/>
          <w:highlight w:val="none"/>
        </w:rPr>
        <w:t>9.7.1评审方法和标准：</w:t>
      </w:r>
      <w:r>
        <w:rPr>
          <w:rFonts w:hint="eastAsia" w:ascii="仿宋" w:hAnsi="仿宋" w:eastAsia="仿宋"/>
          <w:color w:val="auto"/>
          <w:kern w:val="0"/>
          <w:sz w:val="24"/>
          <w:highlight w:val="none"/>
        </w:rPr>
        <w:t>见《第四章 评审方法和标准》</w:t>
      </w:r>
    </w:p>
    <w:p>
      <w:pPr>
        <w:spacing w:line="360" w:lineRule="auto"/>
        <w:ind w:firstLine="426" w:firstLineChars="177"/>
        <w:rPr>
          <w:rFonts w:ascii="仿宋" w:hAnsi="仿宋" w:eastAsia="仿宋"/>
          <w:b/>
          <w:color w:val="auto"/>
          <w:kern w:val="0"/>
          <w:sz w:val="24"/>
          <w:highlight w:val="none"/>
          <w:u w:val="single"/>
        </w:rPr>
      </w:pPr>
      <w:r>
        <w:rPr>
          <w:rFonts w:hint="eastAsia" w:ascii="仿宋" w:hAnsi="仿宋" w:eastAsia="仿宋"/>
          <w:b/>
          <w:color w:val="auto"/>
          <w:kern w:val="0"/>
          <w:sz w:val="24"/>
          <w:highlight w:val="none"/>
        </w:rPr>
        <w:t>9.7.2评审程序：</w:t>
      </w:r>
      <w:r>
        <w:rPr>
          <w:rFonts w:hint="eastAsia" w:ascii="仿宋" w:hAnsi="仿宋" w:eastAsia="仿宋"/>
          <w:color w:val="auto"/>
          <w:kern w:val="0"/>
          <w:sz w:val="24"/>
          <w:highlight w:val="none"/>
        </w:rPr>
        <w:t>见《第四章 评审方法和标准》</w:t>
      </w:r>
    </w:p>
    <w:p>
      <w:pPr>
        <w:spacing w:line="360" w:lineRule="auto"/>
        <w:ind w:firstLine="426" w:firstLineChars="177"/>
        <w:rPr>
          <w:rFonts w:ascii="仿宋" w:hAnsi="仿宋" w:eastAsia="仿宋"/>
          <w:b/>
          <w:color w:val="auto"/>
          <w:kern w:val="0"/>
          <w:sz w:val="24"/>
          <w:highlight w:val="none"/>
          <w:u w:val="single"/>
        </w:rPr>
      </w:pPr>
      <w:r>
        <w:rPr>
          <w:rFonts w:hint="eastAsia" w:ascii="仿宋" w:hAnsi="仿宋" w:eastAsia="仿宋"/>
          <w:b/>
          <w:color w:val="auto"/>
          <w:kern w:val="0"/>
          <w:sz w:val="24"/>
          <w:highlight w:val="none"/>
        </w:rPr>
        <w:t>9.7.3供应商信用信息查询、存档与使用：</w:t>
      </w:r>
      <w:r>
        <w:rPr>
          <w:rFonts w:hint="eastAsia" w:ascii="仿宋" w:hAnsi="仿宋" w:eastAsia="仿宋"/>
          <w:color w:val="auto"/>
          <w:kern w:val="0"/>
          <w:sz w:val="24"/>
          <w:highlight w:val="none"/>
        </w:rPr>
        <w:t>见《第四章 评审方法和标准》</w:t>
      </w:r>
    </w:p>
    <w:p>
      <w:pPr>
        <w:pStyle w:val="4"/>
        <w:rPr>
          <w:color w:val="auto"/>
          <w:highlight w:val="none"/>
        </w:rPr>
      </w:pPr>
      <w:r>
        <w:rPr>
          <w:rFonts w:hint="eastAsia"/>
          <w:color w:val="auto"/>
          <w:highlight w:val="none"/>
        </w:rPr>
        <w:t>9.8 成交候选供应商推荐</w:t>
      </w:r>
    </w:p>
    <w:p>
      <w:pPr>
        <w:spacing w:line="360" w:lineRule="auto"/>
        <w:ind w:firstLine="426" w:firstLineChars="177"/>
        <w:rPr>
          <w:rFonts w:ascii="仿宋" w:hAnsi="仿宋" w:eastAsia="仿宋"/>
          <w:b/>
          <w:color w:val="auto"/>
          <w:kern w:val="0"/>
          <w:sz w:val="24"/>
          <w:highlight w:val="none"/>
        </w:rPr>
      </w:pPr>
      <w:r>
        <w:rPr>
          <w:rFonts w:hint="eastAsia" w:ascii="仿宋" w:hAnsi="仿宋" w:eastAsia="仿宋"/>
          <w:b/>
          <w:color w:val="auto"/>
          <w:kern w:val="0"/>
          <w:sz w:val="24"/>
          <w:highlight w:val="none"/>
        </w:rPr>
        <w:t>9.8.1</w:t>
      </w:r>
      <w:r>
        <w:rPr>
          <w:rFonts w:hint="eastAsia" w:ascii="仿宋" w:hAnsi="仿宋" w:eastAsia="仿宋"/>
          <w:b/>
          <w:color w:val="auto"/>
          <w:kern w:val="0"/>
          <w:sz w:val="24"/>
          <w:highlight w:val="none"/>
          <w:u w:val="single"/>
        </w:rPr>
        <w:t>磋商小组将根据综合评分情况，按照评审得分由高到低顺序推荐3名成交候选供应商，并编写评审报告</w:t>
      </w:r>
      <w:r>
        <w:rPr>
          <w:rFonts w:hint="eastAsia" w:ascii="仿宋" w:hAnsi="仿宋" w:eastAsia="仿宋"/>
          <w:b/>
          <w:color w:val="auto"/>
          <w:kern w:val="0"/>
          <w:sz w:val="24"/>
          <w:highlight w:val="none"/>
        </w:rPr>
        <w:t>。</w:t>
      </w:r>
    </w:p>
    <w:p>
      <w:pPr>
        <w:pStyle w:val="3"/>
        <w:rPr>
          <w:color w:val="auto"/>
          <w:highlight w:val="none"/>
        </w:rPr>
      </w:pPr>
      <w:bookmarkStart w:id="17" w:name="_Toc32234"/>
      <w:r>
        <w:rPr>
          <w:rFonts w:hint="eastAsia"/>
          <w:color w:val="auto"/>
          <w:highlight w:val="none"/>
        </w:rPr>
        <w:t>十、成交结果确认与公告</w:t>
      </w:r>
      <w:bookmarkEnd w:id="17"/>
    </w:p>
    <w:p>
      <w:pPr>
        <w:pStyle w:val="4"/>
        <w:rPr>
          <w:color w:val="auto"/>
          <w:highlight w:val="none"/>
        </w:rPr>
      </w:pPr>
      <w:r>
        <w:rPr>
          <w:rFonts w:hint="eastAsia"/>
          <w:color w:val="auto"/>
          <w:highlight w:val="none"/>
        </w:rPr>
        <w:t>10.1 成交结果确认（确定成交供应商）</w:t>
      </w:r>
    </w:p>
    <w:p>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10.1.1成交结果确认（确定成交供应商）：</w:t>
      </w:r>
      <w:r>
        <w:rPr>
          <w:rFonts w:ascii="仿宋" w:hAnsi="仿宋" w:eastAsia="仿宋" w:cs="Arial"/>
          <w:b/>
          <w:color w:val="auto"/>
          <w:kern w:val="0"/>
          <w:sz w:val="24"/>
          <w:szCs w:val="22"/>
          <w:highlight w:val="none"/>
        </w:rPr>
        <w:t>本项目由</w:t>
      </w:r>
      <w:r>
        <w:rPr>
          <w:rFonts w:hint="eastAsia" w:ascii="仿宋" w:hAnsi="仿宋" w:eastAsia="仿宋" w:cs="Arial"/>
          <w:b/>
          <w:color w:val="auto"/>
          <w:kern w:val="0"/>
          <w:sz w:val="24"/>
          <w:szCs w:val="22"/>
          <w:highlight w:val="none"/>
        </w:rPr>
        <w:t>采购</w:t>
      </w:r>
      <w:r>
        <w:rPr>
          <w:rFonts w:ascii="仿宋" w:hAnsi="仿宋" w:eastAsia="仿宋" w:cs="Arial"/>
          <w:b/>
          <w:color w:val="auto"/>
          <w:kern w:val="0"/>
          <w:sz w:val="24"/>
          <w:szCs w:val="22"/>
          <w:highlight w:val="none"/>
        </w:rPr>
        <w:t>人根据磋商小组提交的《评审报告》</w:t>
      </w:r>
      <w:r>
        <w:rPr>
          <w:rFonts w:hint="eastAsia" w:ascii="仿宋" w:hAnsi="仿宋" w:eastAsia="仿宋" w:cs="Arial"/>
          <w:b/>
          <w:color w:val="auto"/>
          <w:kern w:val="0"/>
          <w:sz w:val="24"/>
          <w:szCs w:val="22"/>
          <w:highlight w:val="none"/>
        </w:rPr>
        <w:t>，</w:t>
      </w:r>
      <w:r>
        <w:rPr>
          <w:rFonts w:ascii="仿宋" w:hAnsi="仿宋" w:eastAsia="仿宋" w:cs="Arial"/>
          <w:b/>
          <w:color w:val="auto"/>
          <w:kern w:val="0"/>
          <w:sz w:val="24"/>
          <w:szCs w:val="22"/>
          <w:highlight w:val="none"/>
        </w:rPr>
        <w:t>依法</w:t>
      </w:r>
      <w:r>
        <w:rPr>
          <w:rFonts w:hint="eastAsia" w:ascii="仿宋" w:hAnsi="仿宋" w:eastAsia="仿宋" w:cs="Arial"/>
          <w:b/>
          <w:color w:val="auto"/>
          <w:kern w:val="0"/>
          <w:sz w:val="24"/>
          <w:szCs w:val="22"/>
          <w:highlight w:val="none"/>
        </w:rPr>
        <w:t>确认成交结果、</w:t>
      </w:r>
      <w:r>
        <w:rPr>
          <w:rFonts w:ascii="仿宋" w:hAnsi="仿宋" w:eastAsia="仿宋" w:cs="Arial"/>
          <w:b/>
          <w:color w:val="auto"/>
          <w:kern w:val="0"/>
          <w:sz w:val="24"/>
          <w:szCs w:val="22"/>
          <w:highlight w:val="none"/>
        </w:rPr>
        <w:t>确定成交供应商</w:t>
      </w:r>
      <w:r>
        <w:rPr>
          <w:rFonts w:hint="eastAsia" w:ascii="仿宋" w:hAnsi="仿宋" w:eastAsia="仿宋" w:cs="Arial"/>
          <w:b/>
          <w:color w:val="auto"/>
          <w:kern w:val="0"/>
          <w:sz w:val="24"/>
          <w:szCs w:val="22"/>
          <w:highlight w:val="none"/>
        </w:rPr>
        <w:t>，具体流程如下：</w:t>
      </w:r>
    </w:p>
    <w:p>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（1）采购代理机构在评审结束后</w:t>
      </w:r>
      <w:r>
        <w:rPr>
          <w:rFonts w:ascii="仿宋" w:hAnsi="仿宋" w:eastAsia="仿宋" w:cs="Arial"/>
          <w:color w:val="auto"/>
          <w:kern w:val="0"/>
          <w:sz w:val="24"/>
          <w:szCs w:val="22"/>
          <w:highlight w:val="none"/>
        </w:rPr>
        <w:t>2</w:t>
      </w:r>
      <w:r>
        <w:rPr>
          <w:rFonts w:hint="eastAsia" w:ascii="仿宋" w:hAnsi="仿宋" w:eastAsia="仿宋" w:cs="Arial"/>
          <w:color w:val="auto"/>
          <w:kern w:val="0"/>
          <w:sz w:val="24"/>
          <w:szCs w:val="22"/>
          <w:highlight w:val="none"/>
        </w:rPr>
        <w:t>个工作日内将评审报告送交采购人确认；</w:t>
      </w:r>
    </w:p>
    <w:p>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（2）采购人在收到评审报告后</w:t>
      </w:r>
      <w:r>
        <w:rPr>
          <w:rFonts w:ascii="仿宋" w:hAnsi="仿宋" w:eastAsia="仿宋" w:cs="Arial"/>
          <w:color w:val="auto"/>
          <w:kern w:val="0"/>
          <w:sz w:val="24"/>
          <w:szCs w:val="22"/>
          <w:highlight w:val="none"/>
        </w:rPr>
        <w:t>5</w:t>
      </w:r>
      <w:r>
        <w:rPr>
          <w:rFonts w:hint="eastAsia" w:ascii="仿宋" w:hAnsi="仿宋" w:eastAsia="仿宋" w:cs="Arial"/>
          <w:color w:val="auto"/>
          <w:kern w:val="0"/>
          <w:sz w:val="24"/>
          <w:szCs w:val="22"/>
          <w:highlight w:val="none"/>
        </w:rPr>
        <w:t>个工作日内，从评审报告提出的成交候选供应商中，按照排序由高到低的原则确定成交供应商，并将确认意见以书面形式回复采购代理机构。采购人逾期未确定成交供应商且不提出异议的，视为确定评审报告提出的排序第一的供应商为成交供应商。</w:t>
      </w:r>
    </w:p>
    <w:p>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10.1</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2未经授权，</w:t>
      </w:r>
      <w:r>
        <w:rPr>
          <w:rFonts w:ascii="仿宋" w:hAnsi="仿宋" w:eastAsia="仿宋" w:cs="Arial"/>
          <w:b/>
          <w:color w:val="auto"/>
          <w:kern w:val="0"/>
          <w:sz w:val="24"/>
          <w:szCs w:val="22"/>
          <w:highlight w:val="none"/>
        </w:rPr>
        <w:t>采购</w:t>
      </w:r>
      <w:r>
        <w:rPr>
          <w:rFonts w:hint="eastAsia" w:ascii="仿宋" w:hAnsi="仿宋" w:eastAsia="仿宋" w:cs="Arial"/>
          <w:b/>
          <w:color w:val="auto"/>
          <w:kern w:val="0"/>
          <w:sz w:val="24"/>
          <w:szCs w:val="22"/>
          <w:highlight w:val="none"/>
        </w:rPr>
        <w:t>代理</w:t>
      </w:r>
      <w:r>
        <w:rPr>
          <w:rFonts w:ascii="仿宋" w:hAnsi="仿宋" w:eastAsia="仿宋" w:cs="Arial"/>
          <w:b/>
          <w:color w:val="auto"/>
          <w:kern w:val="0"/>
          <w:sz w:val="24"/>
          <w:szCs w:val="22"/>
          <w:highlight w:val="none"/>
        </w:rPr>
        <w:t>机构不对</w:t>
      </w:r>
      <w:r>
        <w:rPr>
          <w:rFonts w:hint="eastAsia" w:ascii="仿宋" w:hAnsi="仿宋" w:eastAsia="仿宋" w:cs="Arial"/>
          <w:b/>
          <w:color w:val="auto"/>
          <w:kern w:val="0"/>
          <w:sz w:val="24"/>
          <w:szCs w:val="22"/>
          <w:highlight w:val="none"/>
        </w:rPr>
        <w:t>评审</w:t>
      </w:r>
      <w:r>
        <w:rPr>
          <w:rFonts w:ascii="仿宋" w:hAnsi="仿宋" w:eastAsia="仿宋" w:cs="Arial"/>
          <w:b/>
          <w:color w:val="auto"/>
          <w:kern w:val="0"/>
          <w:sz w:val="24"/>
          <w:szCs w:val="22"/>
          <w:highlight w:val="none"/>
        </w:rPr>
        <w:t>结果做任何解释</w:t>
      </w:r>
      <w:r>
        <w:rPr>
          <w:rFonts w:hint="eastAsia" w:ascii="仿宋" w:hAnsi="仿宋" w:eastAsia="仿宋" w:cs="Arial"/>
          <w:b/>
          <w:color w:val="auto"/>
          <w:kern w:val="0"/>
          <w:sz w:val="24"/>
          <w:szCs w:val="22"/>
          <w:highlight w:val="none"/>
        </w:rPr>
        <w:t>（法律法规有规定的从其规定）</w:t>
      </w:r>
      <w:r>
        <w:rPr>
          <w:rFonts w:ascii="仿宋" w:hAnsi="仿宋" w:eastAsia="仿宋" w:cs="Arial"/>
          <w:b/>
          <w:color w:val="auto"/>
          <w:kern w:val="0"/>
          <w:sz w:val="24"/>
          <w:szCs w:val="22"/>
          <w:highlight w:val="none"/>
        </w:rPr>
        <w:t>。</w:t>
      </w:r>
    </w:p>
    <w:p>
      <w:pPr>
        <w:pStyle w:val="4"/>
        <w:rPr>
          <w:color w:val="auto"/>
          <w:highlight w:val="none"/>
        </w:rPr>
      </w:pPr>
      <w:r>
        <w:rPr>
          <w:rFonts w:hint="eastAsia"/>
          <w:color w:val="auto"/>
          <w:highlight w:val="none"/>
        </w:rPr>
        <w:t>10.2 成交结果公告和成交通知书签发</w:t>
      </w:r>
    </w:p>
    <w:p>
      <w:pPr>
        <w:spacing w:line="360" w:lineRule="auto"/>
        <w:ind w:firstLine="422" w:firstLineChars="175"/>
        <w:rPr>
          <w:rFonts w:ascii="仿宋" w:hAnsi="仿宋" w:eastAsia="仿宋"/>
          <w:b/>
          <w:color w:val="auto"/>
          <w:kern w:val="0"/>
          <w:sz w:val="24"/>
          <w:highlight w:val="none"/>
        </w:rPr>
      </w:pPr>
      <w:r>
        <w:rPr>
          <w:rFonts w:hint="eastAsia" w:ascii="仿宋" w:hAnsi="仿宋" w:eastAsia="仿宋" w:cs="Arial"/>
          <w:b/>
          <w:color w:val="auto"/>
          <w:kern w:val="0"/>
          <w:sz w:val="24"/>
          <w:szCs w:val="22"/>
          <w:highlight w:val="none"/>
        </w:rPr>
        <w:t>10.2.1成交结果公告及《成交通知书》签发：</w:t>
      </w:r>
      <w:r>
        <w:rPr>
          <w:rFonts w:hint="eastAsia" w:ascii="仿宋" w:hAnsi="仿宋" w:eastAsia="仿宋"/>
          <w:color w:val="auto"/>
          <w:kern w:val="0"/>
          <w:sz w:val="24"/>
          <w:highlight w:val="none"/>
        </w:rPr>
        <w:t>见《供应商须知前附表》</w:t>
      </w:r>
      <w:r>
        <w:rPr>
          <w:rFonts w:hint="eastAsia" w:ascii="仿宋" w:hAnsi="仿宋" w:eastAsia="仿宋"/>
          <w:b/>
          <w:color w:val="auto"/>
          <w:kern w:val="0"/>
          <w:sz w:val="24"/>
          <w:highlight w:val="none"/>
        </w:rPr>
        <w:t>。</w:t>
      </w:r>
    </w:p>
    <w:p>
      <w:pPr>
        <w:spacing w:line="360" w:lineRule="auto"/>
        <w:ind w:firstLine="422" w:firstLineChars="175"/>
        <w:rPr>
          <w:rFonts w:ascii="仿宋" w:hAnsi="仿宋" w:eastAsia="仿宋" w:cs="Arial"/>
          <w:color w:val="auto"/>
          <w:kern w:val="0"/>
          <w:sz w:val="24"/>
          <w:szCs w:val="22"/>
          <w:highlight w:val="none"/>
        </w:rPr>
      </w:pPr>
      <w:r>
        <w:rPr>
          <w:rFonts w:hint="eastAsia" w:ascii="仿宋" w:hAnsi="仿宋" w:eastAsia="仿宋"/>
          <w:b/>
          <w:color w:val="auto"/>
          <w:kern w:val="0"/>
          <w:sz w:val="24"/>
          <w:highlight w:val="none"/>
        </w:rPr>
        <w:t>10.2.2</w:t>
      </w:r>
      <w:r>
        <w:rPr>
          <w:rFonts w:hint="eastAsia" w:ascii="仿宋" w:hAnsi="仿宋" w:eastAsia="仿宋" w:cs="Arial"/>
          <w:b/>
          <w:color w:val="auto"/>
          <w:kern w:val="0"/>
          <w:sz w:val="24"/>
          <w:szCs w:val="22"/>
          <w:highlight w:val="none"/>
        </w:rPr>
        <w:t>成交结果</w:t>
      </w:r>
      <w:r>
        <w:rPr>
          <w:rFonts w:hint="eastAsia" w:ascii="仿宋" w:hAnsi="仿宋" w:eastAsia="仿宋"/>
          <w:b/>
          <w:color w:val="auto"/>
          <w:kern w:val="0"/>
          <w:sz w:val="24"/>
          <w:highlight w:val="none"/>
        </w:rPr>
        <w:t>公告期限为1个工作日。</w:t>
      </w:r>
    </w:p>
    <w:p>
      <w:pPr>
        <w:spacing w:line="360" w:lineRule="auto"/>
        <w:ind w:firstLine="420" w:firstLineChars="175"/>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10.2.3成交通知书发出后，成交供应商无正当理由不得放弃中标、成交资格。</w:t>
      </w:r>
    </w:p>
    <w:p>
      <w:pPr>
        <w:pStyle w:val="4"/>
        <w:rPr>
          <w:color w:val="auto"/>
          <w:highlight w:val="none"/>
        </w:rPr>
      </w:pPr>
      <w:r>
        <w:rPr>
          <w:rFonts w:hint="eastAsia"/>
          <w:color w:val="auto"/>
          <w:highlight w:val="none"/>
        </w:rPr>
        <w:t>10.3 采购过程、成交结果的质疑</w:t>
      </w:r>
    </w:p>
    <w:p>
      <w:pPr>
        <w:spacing w:line="360" w:lineRule="auto"/>
        <w:ind w:firstLine="426" w:firstLineChars="177"/>
        <w:rPr>
          <w:rFonts w:ascii="仿宋" w:hAnsi="仿宋" w:eastAsia="仿宋" w:cs="Arial"/>
          <w:color w:val="auto"/>
          <w:sz w:val="24"/>
          <w:highlight w:val="none"/>
        </w:rPr>
      </w:pPr>
      <w:r>
        <w:rPr>
          <w:rFonts w:ascii="仿宋" w:hAnsi="仿宋" w:eastAsia="仿宋" w:cs="Arial"/>
          <w:b/>
          <w:color w:val="auto"/>
          <w:kern w:val="0"/>
          <w:sz w:val="24"/>
          <w:highlight w:val="none"/>
        </w:rPr>
        <w:t>磋商供应商认为</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过程</w:t>
      </w:r>
      <w:r>
        <w:rPr>
          <w:rFonts w:hint="eastAsia" w:ascii="仿宋" w:hAnsi="仿宋" w:eastAsia="仿宋" w:cs="Arial"/>
          <w:b/>
          <w:color w:val="auto"/>
          <w:kern w:val="0"/>
          <w:sz w:val="24"/>
          <w:highlight w:val="none"/>
        </w:rPr>
        <w:t>、成交</w:t>
      </w:r>
      <w:r>
        <w:rPr>
          <w:rFonts w:ascii="仿宋" w:hAnsi="仿宋" w:eastAsia="仿宋" w:cs="Arial"/>
          <w:b/>
          <w:color w:val="auto"/>
          <w:kern w:val="0"/>
          <w:sz w:val="24"/>
          <w:highlight w:val="none"/>
        </w:rPr>
        <w:t>结果使自己的合法权益受到损害的，应当</w:t>
      </w:r>
      <w:r>
        <w:rPr>
          <w:rFonts w:hint="eastAsia" w:ascii="仿宋" w:hAnsi="仿宋" w:eastAsia="仿宋" w:cs="Arial"/>
          <w:b/>
          <w:color w:val="auto"/>
          <w:kern w:val="0"/>
          <w:sz w:val="24"/>
          <w:highlight w:val="none"/>
        </w:rPr>
        <w:t>按照本章节第1.16.2款规定</w:t>
      </w:r>
      <w:r>
        <w:rPr>
          <w:rFonts w:ascii="仿宋" w:hAnsi="仿宋" w:eastAsia="仿宋" w:cs="Arial"/>
          <w:b/>
          <w:color w:val="auto"/>
          <w:kern w:val="0"/>
          <w:sz w:val="24"/>
          <w:highlight w:val="none"/>
        </w:rPr>
        <w:t>，以书面形式向</w:t>
      </w:r>
      <w:r>
        <w:rPr>
          <w:rFonts w:hint="eastAsia" w:ascii="仿宋" w:hAnsi="仿宋" w:eastAsia="仿宋" w:cs="Arial"/>
          <w:b/>
          <w:color w:val="auto"/>
          <w:kern w:val="0"/>
          <w:sz w:val="24"/>
          <w:highlight w:val="none"/>
        </w:rPr>
        <w:t>采购人、采购代理机构</w:t>
      </w:r>
      <w:r>
        <w:rPr>
          <w:rFonts w:ascii="仿宋" w:hAnsi="仿宋" w:eastAsia="仿宋" w:cs="Arial"/>
          <w:b/>
          <w:color w:val="auto"/>
          <w:kern w:val="0"/>
          <w:sz w:val="24"/>
          <w:highlight w:val="none"/>
        </w:rPr>
        <w:t>提出质疑。</w:t>
      </w:r>
      <w:r>
        <w:rPr>
          <w:rFonts w:hint="eastAsia" w:ascii="仿宋" w:hAnsi="仿宋" w:eastAsia="仿宋" w:cs="Arial"/>
          <w:color w:val="auto"/>
          <w:sz w:val="24"/>
          <w:highlight w:val="none"/>
        </w:rPr>
        <w:t>质疑供应商对采购人、采购代理机构的答复不满意或者采购人、采购代理机构未在规定的时间内作出答复的，可以在答复期满后15个工作日内向</w:t>
      </w:r>
      <w:r>
        <w:rPr>
          <w:rFonts w:hint="eastAsia" w:ascii="仿宋" w:hAnsi="仿宋" w:eastAsia="仿宋" w:cs="Arial"/>
          <w:color w:val="auto"/>
          <w:sz w:val="24"/>
          <w:highlight w:val="none"/>
          <w:lang w:val="en-US" w:eastAsia="zh-CN"/>
        </w:rPr>
        <w:t>采购人的</w:t>
      </w:r>
      <w:r>
        <w:rPr>
          <w:rFonts w:hint="eastAsia" w:ascii="仿宋" w:hAnsi="仿宋" w:eastAsia="仿宋" w:cs="Arial"/>
          <w:color w:val="auto"/>
          <w:sz w:val="24"/>
          <w:highlight w:val="none"/>
        </w:rPr>
        <w:t>监督管理部门投诉。</w:t>
      </w:r>
    </w:p>
    <w:p>
      <w:pPr>
        <w:pStyle w:val="3"/>
        <w:rPr>
          <w:color w:val="auto"/>
          <w:highlight w:val="none"/>
        </w:rPr>
      </w:pPr>
      <w:bookmarkStart w:id="18" w:name="_Toc30024"/>
      <w:r>
        <w:rPr>
          <w:rFonts w:hint="eastAsia"/>
          <w:color w:val="auto"/>
          <w:highlight w:val="none"/>
        </w:rPr>
        <w:t>十一、采购</w:t>
      </w:r>
      <w:r>
        <w:rPr>
          <w:color w:val="auto"/>
          <w:highlight w:val="none"/>
        </w:rPr>
        <w:t>代理服务费</w:t>
      </w:r>
      <w:bookmarkEnd w:id="18"/>
    </w:p>
    <w:p>
      <w:pPr>
        <w:spacing w:line="360" w:lineRule="auto"/>
        <w:ind w:right="42" w:rightChars="20"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sz w:val="24"/>
          <w:szCs w:val="22"/>
          <w:highlight w:val="none"/>
        </w:rPr>
        <w:t>11.1.1采购代理服务费的</w:t>
      </w:r>
      <w:r>
        <w:rPr>
          <w:rFonts w:hint="eastAsia" w:ascii="仿宋" w:hAnsi="仿宋" w:eastAsia="仿宋" w:cs="Arial"/>
          <w:b/>
          <w:color w:val="auto"/>
          <w:kern w:val="0"/>
          <w:sz w:val="24"/>
          <w:szCs w:val="22"/>
          <w:highlight w:val="none"/>
        </w:rPr>
        <w:t>支付方：</w:t>
      </w:r>
      <w:r>
        <w:rPr>
          <w:rFonts w:hint="eastAsia" w:ascii="仿宋" w:hAnsi="仿宋" w:eastAsia="仿宋" w:cs="Arial"/>
          <w:b/>
          <w:color w:val="auto"/>
          <w:kern w:val="0"/>
          <w:sz w:val="24"/>
          <w:szCs w:val="22"/>
          <w:highlight w:val="none"/>
          <w:u w:val="single"/>
        </w:rPr>
        <w:t>成交供应商</w:t>
      </w:r>
      <w:r>
        <w:rPr>
          <w:rFonts w:hint="eastAsia" w:ascii="仿宋" w:hAnsi="仿宋" w:eastAsia="仿宋" w:cs="Arial"/>
          <w:b/>
          <w:color w:val="auto"/>
          <w:kern w:val="0"/>
          <w:sz w:val="24"/>
          <w:szCs w:val="22"/>
          <w:highlight w:val="none"/>
        </w:rPr>
        <w:t>；</w:t>
      </w:r>
    </w:p>
    <w:p>
      <w:pPr>
        <w:spacing w:line="360" w:lineRule="auto"/>
        <w:ind w:right="42" w:rightChars="20" w:firstLine="426" w:firstLineChars="177"/>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11.1.2</w:t>
      </w:r>
      <w:r>
        <w:rPr>
          <w:rFonts w:hint="eastAsia" w:ascii="仿宋" w:hAnsi="仿宋" w:eastAsia="仿宋" w:cs="Arial"/>
          <w:b/>
          <w:color w:val="auto"/>
          <w:sz w:val="24"/>
          <w:szCs w:val="22"/>
          <w:highlight w:val="none"/>
        </w:rPr>
        <w:t>收取标准或金额：</w:t>
      </w:r>
      <w:r>
        <w:rPr>
          <w:rFonts w:hint="eastAsia" w:ascii="仿宋" w:hAnsi="仿宋" w:eastAsia="仿宋" w:cs="Arial"/>
          <w:b/>
          <w:color w:val="auto"/>
          <w:sz w:val="24"/>
          <w:szCs w:val="22"/>
          <w:highlight w:val="none"/>
          <w:u w:val="single"/>
        </w:rPr>
        <w:t>见《供应商须知前附表》</w:t>
      </w:r>
      <w:r>
        <w:rPr>
          <w:rFonts w:hint="eastAsia" w:ascii="仿宋" w:hAnsi="仿宋" w:eastAsia="仿宋" w:cs="Arial"/>
          <w:b/>
          <w:color w:val="auto"/>
          <w:sz w:val="24"/>
          <w:szCs w:val="22"/>
          <w:highlight w:val="none"/>
        </w:rPr>
        <w:t>；</w:t>
      </w:r>
    </w:p>
    <w:p>
      <w:pPr>
        <w:spacing w:line="360" w:lineRule="auto"/>
        <w:ind w:right="42" w:rightChars="20"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11.1.3缴纳时间：</w:t>
      </w:r>
      <w:r>
        <w:rPr>
          <w:rFonts w:hint="eastAsia" w:ascii="仿宋" w:hAnsi="仿宋" w:eastAsia="仿宋" w:cs="Arial"/>
          <w:color w:val="auto"/>
          <w:kern w:val="0"/>
          <w:sz w:val="24"/>
          <w:szCs w:val="22"/>
          <w:highlight w:val="none"/>
          <w:u w:val="single"/>
        </w:rPr>
        <w:t>成交供应商确定后7日内，一次性缴纳</w:t>
      </w:r>
      <w:r>
        <w:rPr>
          <w:rFonts w:hint="eastAsia" w:ascii="仿宋" w:hAnsi="仿宋" w:eastAsia="仿宋" w:cs="Arial"/>
          <w:color w:val="auto"/>
          <w:kern w:val="0"/>
          <w:sz w:val="24"/>
          <w:szCs w:val="22"/>
          <w:highlight w:val="none"/>
        </w:rPr>
        <w:t>；</w:t>
      </w:r>
    </w:p>
    <w:p>
      <w:pPr>
        <w:spacing w:line="360" w:lineRule="auto"/>
        <w:ind w:right="42" w:rightChars="20"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11.1.4缴纳形式：</w:t>
      </w:r>
      <w:r>
        <w:rPr>
          <w:rFonts w:hint="eastAsia" w:ascii="仿宋" w:hAnsi="仿宋" w:eastAsia="仿宋" w:cs="Arial"/>
          <w:color w:val="auto"/>
          <w:kern w:val="0"/>
          <w:sz w:val="24"/>
          <w:szCs w:val="22"/>
          <w:highlight w:val="none"/>
          <w:u w:val="single"/>
        </w:rPr>
        <w:t>电汇、转账、支票、汇票（不接受现金）</w:t>
      </w:r>
      <w:r>
        <w:rPr>
          <w:rFonts w:hint="eastAsia" w:ascii="仿宋" w:hAnsi="仿宋" w:eastAsia="仿宋" w:cs="Arial"/>
          <w:color w:val="auto"/>
          <w:kern w:val="0"/>
          <w:sz w:val="24"/>
          <w:szCs w:val="22"/>
          <w:highlight w:val="none"/>
        </w:rPr>
        <w:t>；</w:t>
      </w:r>
    </w:p>
    <w:p>
      <w:pPr>
        <w:spacing w:line="360" w:lineRule="auto"/>
        <w:ind w:right="42" w:rightChars="20"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11.1.5特别说明：</w:t>
      </w:r>
    </w:p>
    <w:p>
      <w:pPr>
        <w:spacing w:line="360" w:lineRule="auto"/>
        <w:ind w:right="42" w:rightChars="20"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（1）采购代理服务费由成交供应商承担的，供应商在最后报价时应予以考虑；</w:t>
      </w:r>
    </w:p>
    <w:p>
      <w:pPr>
        <w:spacing w:line="360" w:lineRule="auto"/>
        <w:ind w:right="42" w:rightChars="20" w:firstLine="424" w:firstLineChars="177"/>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（2）采购代理服务费缴纳凭证将作为采购人合同付款和验收的前提条件，成交供应商未按上述规定和投标承诺缴纳采购代理服务费的，合同款不予支付、合同验收不予通过；</w:t>
      </w:r>
    </w:p>
    <w:p>
      <w:pPr>
        <w:spacing w:line="360" w:lineRule="auto"/>
        <w:ind w:firstLine="426" w:firstLineChars="177"/>
        <w:rPr>
          <w:rFonts w:ascii="Arial" w:hAnsi="Arial" w:eastAsia="新宋体" w:cs="Arial"/>
          <w:b/>
          <w:color w:val="auto"/>
          <w:kern w:val="0"/>
          <w:sz w:val="22"/>
          <w:szCs w:val="22"/>
          <w:highlight w:val="none"/>
        </w:rPr>
      </w:pPr>
      <w:r>
        <w:rPr>
          <w:rFonts w:hint="eastAsia" w:ascii="仿宋" w:hAnsi="仿宋" w:eastAsia="仿宋" w:cs="Arial"/>
          <w:b/>
          <w:color w:val="auto"/>
          <w:sz w:val="24"/>
          <w:szCs w:val="22"/>
          <w:highlight w:val="none"/>
        </w:rPr>
        <w:t>11.1.6</w:t>
      </w:r>
      <w:r>
        <w:rPr>
          <w:rFonts w:hint="eastAsia" w:ascii="仿宋" w:hAnsi="仿宋" w:eastAsia="仿宋" w:cs="Arial"/>
          <w:b/>
          <w:color w:val="auto"/>
          <w:sz w:val="24"/>
          <w:highlight w:val="none"/>
        </w:rPr>
        <w:t>成交供应商确定后，成交供应商拒绝签订合同的，或因自身原因被取消成交资格或放弃成交的，已收取的采购代理服务费不予退还，未支付的采购代理服务费从成交供应商的赔偿款中扣缴。</w:t>
      </w:r>
    </w:p>
    <w:p>
      <w:pPr>
        <w:pStyle w:val="3"/>
        <w:rPr>
          <w:color w:val="auto"/>
          <w:highlight w:val="none"/>
        </w:rPr>
      </w:pPr>
      <w:bookmarkStart w:id="19" w:name="_Toc21859"/>
      <w:r>
        <w:rPr>
          <w:rFonts w:hint="eastAsia"/>
          <w:color w:val="auto"/>
          <w:highlight w:val="none"/>
        </w:rPr>
        <w:t>十二、合同签订和履约担保</w:t>
      </w:r>
      <w:bookmarkEnd w:id="19"/>
    </w:p>
    <w:p>
      <w:pPr>
        <w:pStyle w:val="4"/>
        <w:rPr>
          <w:color w:val="auto"/>
          <w:highlight w:val="none"/>
        </w:rPr>
      </w:pPr>
      <w:r>
        <w:rPr>
          <w:rFonts w:hint="eastAsia"/>
          <w:color w:val="auto"/>
          <w:highlight w:val="none"/>
        </w:rPr>
        <w:t>12.1 签订合同</w:t>
      </w:r>
    </w:p>
    <w:p>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12.1.1合同签订时间期限：</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p>
    <w:p>
      <w:pPr>
        <w:spacing w:line="360" w:lineRule="auto"/>
        <w:ind w:firstLine="424" w:firstLineChars="176"/>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12.1.2</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应当在《供应商须知前附表》中规定的时间内，</w:t>
      </w:r>
      <w:r>
        <w:rPr>
          <w:rFonts w:ascii="仿宋" w:hAnsi="仿宋" w:eastAsia="仿宋" w:cs="Arial"/>
          <w:b/>
          <w:color w:val="auto"/>
          <w:kern w:val="0"/>
          <w:sz w:val="24"/>
          <w:szCs w:val="22"/>
          <w:highlight w:val="none"/>
        </w:rPr>
        <w:t>与</w:t>
      </w:r>
      <w:r>
        <w:rPr>
          <w:rFonts w:hint="eastAsia" w:ascii="仿宋" w:hAnsi="仿宋" w:eastAsia="仿宋" w:cs="Arial"/>
          <w:b/>
          <w:color w:val="auto"/>
          <w:kern w:val="0"/>
          <w:sz w:val="24"/>
          <w:szCs w:val="22"/>
          <w:highlight w:val="none"/>
        </w:rPr>
        <w:t>采购人</w:t>
      </w:r>
      <w:r>
        <w:rPr>
          <w:rFonts w:ascii="仿宋" w:hAnsi="仿宋" w:eastAsia="仿宋" w:cs="Arial"/>
          <w:b/>
          <w:color w:val="auto"/>
          <w:kern w:val="0"/>
          <w:sz w:val="24"/>
          <w:szCs w:val="22"/>
          <w:highlight w:val="none"/>
        </w:rPr>
        <w:t>签订</w:t>
      </w:r>
      <w:r>
        <w:rPr>
          <w:rFonts w:hint="eastAsia" w:ascii="仿宋" w:hAnsi="仿宋" w:eastAsia="仿宋" w:cs="Arial"/>
          <w:b/>
          <w:color w:val="auto"/>
          <w:kern w:val="0"/>
          <w:sz w:val="24"/>
          <w:szCs w:val="22"/>
          <w:highlight w:val="none"/>
        </w:rPr>
        <w:t>采购</w:t>
      </w:r>
      <w:r>
        <w:rPr>
          <w:rFonts w:ascii="仿宋" w:hAnsi="仿宋" w:eastAsia="仿宋" w:cs="Arial"/>
          <w:b/>
          <w:color w:val="auto"/>
          <w:kern w:val="0"/>
          <w:sz w:val="24"/>
          <w:szCs w:val="22"/>
          <w:highlight w:val="none"/>
        </w:rPr>
        <w:t>合同。</w:t>
      </w:r>
      <w:r>
        <w:rPr>
          <w:rFonts w:hint="eastAsia" w:ascii="仿宋" w:hAnsi="仿宋" w:eastAsia="仿宋" w:cs="Arial"/>
          <w:color w:val="auto"/>
          <w:kern w:val="0"/>
          <w:sz w:val="24"/>
          <w:szCs w:val="22"/>
          <w:highlight w:val="none"/>
        </w:rPr>
        <w:t>所签订的合同不得对采购文件确定的事项和成交供应商响应文件作实质性修改。采购人</w:t>
      </w:r>
      <w:r>
        <w:rPr>
          <w:rFonts w:ascii="仿宋" w:hAnsi="仿宋" w:eastAsia="仿宋" w:cs="Arial"/>
          <w:color w:val="auto"/>
          <w:kern w:val="0"/>
          <w:sz w:val="24"/>
          <w:szCs w:val="22"/>
          <w:highlight w:val="none"/>
        </w:rPr>
        <w:t>对合同内容进行审查，如发现与采购结果和</w:t>
      </w:r>
      <w:r>
        <w:rPr>
          <w:rFonts w:hint="eastAsia" w:ascii="仿宋" w:hAnsi="仿宋" w:eastAsia="仿宋" w:cs="Arial"/>
          <w:color w:val="auto"/>
          <w:kern w:val="0"/>
          <w:sz w:val="24"/>
          <w:szCs w:val="22"/>
          <w:highlight w:val="none"/>
        </w:rPr>
        <w:t>响应</w:t>
      </w:r>
      <w:r>
        <w:rPr>
          <w:rFonts w:ascii="仿宋" w:hAnsi="仿宋" w:eastAsia="仿宋" w:cs="Arial"/>
          <w:color w:val="auto"/>
          <w:kern w:val="0"/>
          <w:sz w:val="24"/>
          <w:szCs w:val="22"/>
          <w:highlight w:val="none"/>
        </w:rPr>
        <w:t>承诺内容不一致的，</w:t>
      </w:r>
      <w:r>
        <w:rPr>
          <w:rFonts w:hint="eastAsia" w:ascii="仿宋" w:hAnsi="仿宋" w:eastAsia="仿宋" w:cs="Arial"/>
          <w:color w:val="auto"/>
          <w:kern w:val="0"/>
          <w:sz w:val="24"/>
          <w:szCs w:val="22"/>
          <w:highlight w:val="none"/>
        </w:rPr>
        <w:t>将</w:t>
      </w:r>
      <w:r>
        <w:rPr>
          <w:rFonts w:ascii="仿宋" w:hAnsi="仿宋" w:eastAsia="仿宋" w:cs="Arial"/>
          <w:color w:val="auto"/>
          <w:kern w:val="0"/>
          <w:sz w:val="24"/>
          <w:szCs w:val="22"/>
          <w:highlight w:val="none"/>
        </w:rPr>
        <w:t>予以纠正。</w:t>
      </w:r>
    </w:p>
    <w:p>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12.1</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3</w:t>
      </w:r>
      <w:r>
        <w:rPr>
          <w:rFonts w:hint="eastAsia" w:ascii="仿宋" w:hAnsi="仿宋" w:eastAsia="仿宋" w:cs="Arial"/>
          <w:b/>
          <w:color w:val="auto"/>
          <w:sz w:val="24"/>
          <w:szCs w:val="22"/>
          <w:highlight w:val="none"/>
        </w:rPr>
        <w:t>成交供应商拒绝签订采购合同的，采购人可以按照评审报告推荐的成交候选人名单排序，由高到低原则确定下一候选人为成交供应商并签订采购合同，也可以重新开展采购活动。</w:t>
      </w:r>
      <w:r>
        <w:rPr>
          <w:rFonts w:hint="eastAsia" w:ascii="仿宋" w:hAnsi="仿宋" w:eastAsia="仿宋"/>
          <w:b/>
          <w:color w:val="auto"/>
          <w:sz w:val="24"/>
          <w:highlight w:val="none"/>
        </w:rPr>
        <w:t>拒绝签订采购合同的成交供应商不得参加对该项目重新开展的采购活动。</w:t>
      </w:r>
    </w:p>
    <w:p>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12.1.4</w:t>
      </w:r>
      <w:r>
        <w:rPr>
          <w:rFonts w:ascii="仿宋" w:hAnsi="仿宋" w:eastAsia="仿宋" w:cs="Arial"/>
          <w:b/>
          <w:color w:val="auto"/>
          <w:kern w:val="0"/>
          <w:sz w:val="24"/>
          <w:szCs w:val="22"/>
          <w:highlight w:val="none"/>
        </w:rPr>
        <w:t>成交供应商</w:t>
      </w:r>
      <w:r>
        <w:rPr>
          <w:rFonts w:hint="eastAsia" w:ascii="仿宋" w:hAnsi="仿宋" w:eastAsia="仿宋" w:cs="Arial"/>
          <w:b/>
          <w:color w:val="auto"/>
          <w:sz w:val="24"/>
          <w:szCs w:val="22"/>
          <w:highlight w:val="none"/>
        </w:rPr>
        <w:t>拒绝与采购人签订合同的</w:t>
      </w:r>
      <w:r>
        <w:rPr>
          <w:rFonts w:ascii="仿宋" w:hAnsi="仿宋" w:eastAsia="仿宋" w:cs="Arial"/>
          <w:b/>
          <w:color w:val="auto"/>
          <w:kern w:val="0"/>
          <w:sz w:val="24"/>
          <w:szCs w:val="22"/>
          <w:highlight w:val="none"/>
        </w:rPr>
        <w:t>，</w:t>
      </w:r>
      <w:r>
        <w:rPr>
          <w:rFonts w:hint="eastAsia" w:ascii="仿宋" w:hAnsi="仿宋" w:eastAsia="仿宋"/>
          <w:b/>
          <w:color w:val="auto"/>
          <w:sz w:val="24"/>
          <w:highlight w:val="none"/>
        </w:rPr>
        <w:t>须按项目预算金额的</w:t>
      </w:r>
      <w:r>
        <w:rPr>
          <w:rFonts w:hint="eastAsia" w:ascii="仿宋" w:hAnsi="仿宋" w:eastAsia="仿宋"/>
          <w:b/>
          <w:color w:val="auto"/>
          <w:sz w:val="24"/>
          <w:highlight w:val="none"/>
          <w:u w:val="single"/>
        </w:rPr>
        <w:t>5</w:t>
      </w:r>
      <w:r>
        <w:rPr>
          <w:rFonts w:hint="eastAsia" w:ascii="仿宋" w:hAnsi="仿宋" w:eastAsia="仿宋"/>
          <w:b/>
          <w:color w:val="auto"/>
          <w:sz w:val="24"/>
          <w:highlight w:val="none"/>
        </w:rPr>
        <w:t>%进行赔偿（赔偿用于支付采购代理服务费、专家评审费、其他采购组织费用以及由此给采购人损失）。</w:t>
      </w:r>
    </w:p>
    <w:p>
      <w:pPr>
        <w:pStyle w:val="4"/>
        <w:rPr>
          <w:color w:val="auto"/>
          <w:highlight w:val="none"/>
        </w:rPr>
      </w:pPr>
      <w:r>
        <w:rPr>
          <w:rFonts w:hint="eastAsia"/>
          <w:color w:val="auto"/>
          <w:highlight w:val="none"/>
        </w:rPr>
        <w:t xml:space="preserve">12.2 </w:t>
      </w:r>
      <w:r>
        <w:rPr>
          <w:color w:val="auto"/>
          <w:highlight w:val="none"/>
        </w:rPr>
        <w:t>履约</w:t>
      </w:r>
      <w:r>
        <w:rPr>
          <w:rFonts w:hint="eastAsia"/>
          <w:color w:val="auto"/>
          <w:highlight w:val="none"/>
        </w:rPr>
        <w:t>担保（履约保证金）</w:t>
      </w:r>
    </w:p>
    <w:p>
      <w:pPr>
        <w:spacing w:line="360" w:lineRule="auto"/>
        <w:ind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12.2.1履约担保提交要求：</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应提交而未提交</w:t>
      </w:r>
      <w:r>
        <w:rPr>
          <w:rFonts w:ascii="仿宋" w:hAnsi="仿宋" w:eastAsia="仿宋" w:cs="Arial"/>
          <w:b/>
          <w:color w:val="auto"/>
          <w:kern w:val="0"/>
          <w:sz w:val="24"/>
          <w:szCs w:val="22"/>
          <w:highlight w:val="none"/>
        </w:rPr>
        <w:t>履约</w:t>
      </w:r>
      <w:r>
        <w:rPr>
          <w:rFonts w:hint="eastAsia" w:ascii="仿宋" w:hAnsi="仿宋" w:eastAsia="仿宋" w:cs="Arial"/>
          <w:b/>
          <w:color w:val="auto"/>
          <w:kern w:val="0"/>
          <w:sz w:val="24"/>
          <w:szCs w:val="22"/>
          <w:highlight w:val="none"/>
        </w:rPr>
        <w:t>担保的</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合同款不予支付、合同验收不予通过。</w:t>
      </w:r>
    </w:p>
    <w:p>
      <w:pPr>
        <w:spacing w:line="360" w:lineRule="auto"/>
        <w:ind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12.2.2采购合同签订后，</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供应商不按合同约定履约的</w:t>
      </w:r>
      <w:r>
        <w:rPr>
          <w:rFonts w:hint="eastAsia" w:ascii="仿宋" w:hAnsi="仿宋" w:eastAsia="仿宋" w:cs="仿宋"/>
          <w:b/>
          <w:color w:val="auto"/>
          <w:sz w:val="24"/>
          <w:szCs w:val="22"/>
          <w:highlight w:val="none"/>
        </w:rPr>
        <w:t>，</w:t>
      </w:r>
      <w:r>
        <w:rPr>
          <w:rFonts w:hint="eastAsia" w:ascii="仿宋" w:hAnsi="仿宋" w:eastAsia="仿宋" w:cs="Arial"/>
          <w:b/>
          <w:color w:val="auto"/>
          <w:kern w:val="0"/>
          <w:sz w:val="24"/>
          <w:szCs w:val="22"/>
          <w:highlight w:val="none"/>
        </w:rPr>
        <w:t>采购人可以解除采购合同，并对</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供应商已缴纳的履约保证金作“不予退还”处理；此外，</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供应商还须按以下约定向采购人支付违约金、承担违约责任：</w:t>
      </w:r>
    </w:p>
    <w:p>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（1）采购人已向</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支付了合同款的，</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须一次性退还采购人已支付的合同款，并向采购人支付等额的违约金；</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highlight w:val="none"/>
        </w:rPr>
        <w:t>（2）采购人还未向</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支付合同款的，</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须一次性向采购人支付合同总额30%的违约金。</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12.2.3</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供应商的违约金用于弥补采购人、采购代理机构的损失，以及支付</w:t>
      </w:r>
      <w:r>
        <w:rPr>
          <w:rFonts w:hint="eastAsia" w:ascii="仿宋" w:hAnsi="仿宋" w:eastAsia="仿宋"/>
          <w:color w:val="auto"/>
          <w:sz w:val="24"/>
          <w:highlight w:val="none"/>
        </w:rPr>
        <w:t>采购代理服务费、专家评审费等采购组织费用</w:t>
      </w:r>
      <w:r>
        <w:rPr>
          <w:rFonts w:hint="eastAsia" w:ascii="仿宋" w:hAnsi="仿宋" w:eastAsia="仿宋" w:cs="Arial"/>
          <w:color w:val="auto"/>
          <w:kern w:val="0"/>
          <w:sz w:val="24"/>
          <w:szCs w:val="22"/>
          <w:highlight w:val="none"/>
        </w:rPr>
        <w:t>。</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12.2</w:t>
      </w:r>
      <w:r>
        <w:rPr>
          <w:rFonts w:ascii="仿宋" w:hAnsi="仿宋" w:eastAsia="仿宋" w:cs="Arial"/>
          <w:color w:val="auto"/>
          <w:kern w:val="0"/>
          <w:sz w:val="24"/>
          <w:szCs w:val="22"/>
          <w:highlight w:val="none"/>
        </w:rPr>
        <w:t>.</w:t>
      </w:r>
      <w:r>
        <w:rPr>
          <w:rFonts w:hint="eastAsia" w:ascii="仿宋" w:hAnsi="仿宋" w:eastAsia="仿宋" w:cs="Arial"/>
          <w:color w:val="auto"/>
          <w:kern w:val="0"/>
          <w:sz w:val="24"/>
          <w:szCs w:val="22"/>
          <w:highlight w:val="none"/>
        </w:rPr>
        <w:t>4</w:t>
      </w:r>
      <w:r>
        <w:rPr>
          <w:rFonts w:ascii="仿宋" w:hAnsi="仿宋" w:eastAsia="仿宋" w:cs="Arial"/>
          <w:color w:val="auto"/>
          <w:kern w:val="0"/>
          <w:sz w:val="24"/>
          <w:szCs w:val="22"/>
          <w:highlight w:val="none"/>
        </w:rPr>
        <w:t>履约保证金在成交供应商按</w:t>
      </w:r>
      <w:r>
        <w:rPr>
          <w:rFonts w:hint="eastAsia" w:ascii="仿宋" w:hAnsi="仿宋" w:eastAsia="仿宋" w:cs="Arial"/>
          <w:color w:val="auto"/>
          <w:kern w:val="0"/>
          <w:sz w:val="24"/>
          <w:szCs w:val="22"/>
          <w:highlight w:val="none"/>
        </w:rPr>
        <w:t>约定履约完毕后退还（具体退还方式以合同签订时约定为准）。</w:t>
      </w:r>
    </w:p>
    <w:p>
      <w:pPr>
        <w:spacing w:line="360" w:lineRule="auto"/>
        <w:ind w:firstLine="426" w:firstLineChars="177"/>
        <w:rPr>
          <w:rFonts w:ascii="仿宋" w:hAnsi="仿宋" w:eastAsia="仿宋" w:cs="Arial"/>
          <w:b/>
          <w:color w:val="auto"/>
          <w:kern w:val="0"/>
          <w:sz w:val="24"/>
          <w:szCs w:val="22"/>
          <w:highlight w:val="none"/>
        </w:rPr>
      </w:pPr>
    </w:p>
    <w:p>
      <w:pPr>
        <w:pStyle w:val="4"/>
        <w:rPr>
          <w:color w:val="auto"/>
          <w:highlight w:val="none"/>
        </w:rPr>
      </w:pPr>
      <w:r>
        <w:rPr>
          <w:rFonts w:hint="eastAsia"/>
          <w:color w:val="auto"/>
          <w:highlight w:val="none"/>
        </w:rPr>
        <w:t>12.3 结算方式</w:t>
      </w:r>
    </w:p>
    <w:p>
      <w:pPr>
        <w:bidi w:val="0"/>
        <w:ind w:firstLine="723" w:firstLineChars="300"/>
        <w:rPr>
          <w:rFonts w:hint="eastAsia" w:ascii="仿宋" w:hAnsi="仿宋" w:eastAsia="仿宋" w:cs="仿宋"/>
          <w:color w:val="auto"/>
          <w:sz w:val="24"/>
          <w:szCs w:val="24"/>
          <w:highlight w:val="none"/>
        </w:rPr>
      </w:pPr>
      <w:bookmarkStart w:id="20" w:name="_Toc8179"/>
      <w:bookmarkStart w:id="21" w:name="_Toc8635"/>
      <w:bookmarkStart w:id="22" w:name="_Toc16580"/>
      <w:bookmarkStart w:id="23" w:name="_Toc30792"/>
      <w:bookmarkStart w:id="24" w:name="_Toc5174"/>
      <w:bookmarkStart w:id="25" w:name="_Toc7593"/>
      <w:bookmarkStart w:id="26" w:name="_Toc13537"/>
      <w:bookmarkStart w:id="27" w:name="_Toc5100"/>
      <w:bookmarkStart w:id="28" w:name="_Toc20721"/>
      <w:r>
        <w:rPr>
          <w:rFonts w:hint="eastAsia" w:ascii="仿宋" w:hAnsi="仿宋" w:eastAsia="仿宋" w:cs="仿宋"/>
          <w:b/>
          <w:bCs/>
          <w:color w:val="auto"/>
          <w:sz w:val="24"/>
          <w:szCs w:val="24"/>
          <w:highlight w:val="none"/>
        </w:rPr>
        <w:t>12.3.1结算方式：</w:t>
      </w:r>
      <w:r>
        <w:rPr>
          <w:rFonts w:hint="eastAsia" w:ascii="仿宋" w:hAnsi="仿宋" w:eastAsia="仿宋" w:cs="仿宋"/>
          <w:color w:val="auto"/>
          <w:sz w:val="24"/>
          <w:szCs w:val="24"/>
          <w:highlight w:val="none"/>
          <w:u w:val="single"/>
        </w:rPr>
        <w:t>见《供应商须知前附表》。</w:t>
      </w:r>
      <w:bookmarkEnd w:id="20"/>
      <w:bookmarkEnd w:id="21"/>
      <w:bookmarkEnd w:id="22"/>
      <w:bookmarkEnd w:id="23"/>
      <w:bookmarkEnd w:id="24"/>
      <w:bookmarkEnd w:id="25"/>
      <w:bookmarkEnd w:id="26"/>
      <w:bookmarkEnd w:id="27"/>
      <w:bookmarkEnd w:id="28"/>
    </w:p>
    <w:p>
      <w:pPr>
        <w:pStyle w:val="3"/>
        <w:rPr>
          <w:color w:val="auto"/>
          <w:highlight w:val="none"/>
        </w:rPr>
      </w:pPr>
      <w:bookmarkStart w:id="29" w:name="_Toc16289"/>
      <w:r>
        <w:rPr>
          <w:rFonts w:hint="eastAsia"/>
          <w:color w:val="auto"/>
          <w:highlight w:val="none"/>
        </w:rPr>
        <w:t>十三、其他事项说明</w:t>
      </w:r>
      <w:bookmarkEnd w:id="29"/>
    </w:p>
    <w:p>
      <w:pPr>
        <w:keepNext/>
        <w:keepLines/>
        <w:spacing w:line="360" w:lineRule="auto"/>
        <w:jc w:val="left"/>
        <w:outlineLvl w:val="2"/>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rPr>
        <w:t>13.</w:t>
      </w:r>
      <w:r>
        <w:rPr>
          <w:rFonts w:ascii="华文中宋" w:hAnsi="华文中宋" w:eastAsia="华文中宋"/>
          <w:b/>
          <w:bCs/>
          <w:color w:val="auto"/>
          <w:kern w:val="0"/>
          <w:sz w:val="30"/>
          <w:highlight w:val="none"/>
        </w:rPr>
        <w:t>1</w:t>
      </w:r>
      <w:r>
        <w:rPr>
          <w:rFonts w:hint="eastAsia" w:ascii="华文中宋" w:hAnsi="华文中宋" w:eastAsia="华文中宋"/>
          <w:b/>
          <w:bCs/>
          <w:color w:val="auto"/>
          <w:kern w:val="0"/>
          <w:sz w:val="30"/>
          <w:highlight w:val="none"/>
        </w:rPr>
        <w:t xml:space="preserve"> 重要提醒</w:t>
      </w:r>
    </w:p>
    <w:p>
      <w:pPr>
        <w:spacing w:after="240" w:line="360" w:lineRule="auto"/>
        <w:ind w:firstLine="426" w:firstLineChars="177"/>
        <w:rPr>
          <w:rFonts w:ascii="仿宋" w:hAnsi="仿宋" w:eastAsia="仿宋"/>
          <w:b/>
          <w:color w:val="auto"/>
          <w:kern w:val="0"/>
          <w:sz w:val="24"/>
          <w:szCs w:val="20"/>
          <w:highlight w:val="none"/>
        </w:rPr>
      </w:pPr>
      <w:r>
        <w:rPr>
          <w:rFonts w:hint="eastAsia" w:ascii="仿宋" w:hAnsi="仿宋" w:eastAsia="仿宋"/>
          <w:b/>
          <w:color w:val="auto"/>
          <w:sz w:val="24"/>
          <w:szCs w:val="20"/>
          <w:highlight w:val="none"/>
        </w:rPr>
        <w:t>13.</w:t>
      </w:r>
      <w:r>
        <w:rPr>
          <w:rFonts w:ascii="仿宋" w:hAnsi="仿宋" w:eastAsia="仿宋"/>
          <w:b/>
          <w:color w:val="auto"/>
          <w:sz w:val="24"/>
          <w:szCs w:val="20"/>
          <w:highlight w:val="none"/>
        </w:rPr>
        <w:t>1</w:t>
      </w:r>
      <w:r>
        <w:rPr>
          <w:rFonts w:hint="eastAsia" w:ascii="仿宋" w:hAnsi="仿宋" w:eastAsia="仿宋"/>
          <w:b/>
          <w:color w:val="auto"/>
          <w:sz w:val="24"/>
          <w:szCs w:val="20"/>
          <w:highlight w:val="none"/>
        </w:rPr>
        <w:t>.1磋商重要提醒：</w:t>
      </w:r>
      <w:r>
        <w:rPr>
          <w:rFonts w:hint="eastAsia" w:ascii="仿宋" w:hAnsi="仿宋" w:eastAsia="仿宋"/>
          <w:color w:val="auto"/>
          <w:kern w:val="0"/>
          <w:sz w:val="24"/>
          <w:szCs w:val="20"/>
          <w:highlight w:val="none"/>
          <w:u w:val="single"/>
        </w:rPr>
        <w:t>见《供应商须知前附表》</w:t>
      </w:r>
      <w:r>
        <w:rPr>
          <w:rFonts w:hint="eastAsia" w:ascii="仿宋" w:hAnsi="仿宋" w:eastAsia="仿宋"/>
          <w:color w:val="auto"/>
          <w:kern w:val="0"/>
          <w:sz w:val="24"/>
          <w:szCs w:val="20"/>
          <w:highlight w:val="none"/>
        </w:rPr>
        <w:t>。</w:t>
      </w:r>
    </w:p>
    <w:p>
      <w:pPr>
        <w:keepNext/>
        <w:keepLines/>
        <w:spacing w:line="360" w:lineRule="auto"/>
        <w:jc w:val="left"/>
        <w:outlineLvl w:val="2"/>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rPr>
        <w:t>13.</w:t>
      </w:r>
      <w:r>
        <w:rPr>
          <w:rFonts w:ascii="华文中宋" w:hAnsi="华文中宋" w:eastAsia="华文中宋"/>
          <w:b/>
          <w:bCs/>
          <w:color w:val="auto"/>
          <w:kern w:val="0"/>
          <w:sz w:val="30"/>
          <w:highlight w:val="none"/>
        </w:rPr>
        <w:t>2</w:t>
      </w:r>
      <w:r>
        <w:rPr>
          <w:rFonts w:hint="eastAsia" w:ascii="华文中宋" w:hAnsi="华文中宋" w:eastAsia="华文中宋"/>
          <w:b/>
          <w:bCs/>
          <w:color w:val="auto"/>
          <w:kern w:val="0"/>
          <w:sz w:val="30"/>
          <w:highlight w:val="none"/>
        </w:rPr>
        <w:t xml:space="preserve"> 采购文件解释权</w:t>
      </w:r>
    </w:p>
    <w:p>
      <w:pPr>
        <w:widowControl/>
        <w:ind w:firstLine="424" w:firstLineChars="176"/>
        <w:jc w:val="left"/>
        <w:rPr>
          <w:rFonts w:ascii="仿宋" w:hAnsi="仿宋" w:eastAsia="仿宋"/>
          <w:color w:val="auto"/>
          <w:kern w:val="0"/>
          <w:sz w:val="24"/>
          <w:highlight w:val="none"/>
        </w:rPr>
      </w:pPr>
      <w:r>
        <w:rPr>
          <w:rFonts w:hint="eastAsia" w:ascii="仿宋" w:hAnsi="仿宋" w:eastAsia="仿宋"/>
          <w:b/>
          <w:color w:val="auto"/>
          <w:kern w:val="0"/>
          <w:sz w:val="24"/>
          <w:highlight w:val="none"/>
        </w:rPr>
        <w:t>13.</w:t>
      </w:r>
      <w:r>
        <w:rPr>
          <w:rFonts w:ascii="仿宋" w:hAnsi="仿宋" w:eastAsia="仿宋"/>
          <w:b/>
          <w:color w:val="auto"/>
          <w:kern w:val="0"/>
          <w:sz w:val="24"/>
          <w:highlight w:val="none"/>
        </w:rPr>
        <w:t>2</w:t>
      </w:r>
      <w:r>
        <w:rPr>
          <w:rFonts w:hint="eastAsia" w:ascii="仿宋" w:hAnsi="仿宋" w:eastAsia="仿宋"/>
          <w:b/>
          <w:color w:val="auto"/>
          <w:kern w:val="0"/>
          <w:sz w:val="24"/>
          <w:highlight w:val="none"/>
        </w:rPr>
        <w:t>.1采购文件解释权：</w:t>
      </w:r>
      <w:r>
        <w:rPr>
          <w:rFonts w:hint="eastAsia" w:ascii="仿宋" w:hAnsi="仿宋" w:eastAsia="仿宋"/>
          <w:color w:val="auto"/>
          <w:kern w:val="0"/>
          <w:sz w:val="24"/>
          <w:highlight w:val="none"/>
          <w:u w:val="single"/>
        </w:rPr>
        <w:t>见《</w:t>
      </w:r>
      <w:r>
        <w:rPr>
          <w:rFonts w:hint="eastAsia" w:ascii="仿宋" w:hAnsi="仿宋" w:eastAsia="仿宋"/>
          <w:color w:val="auto"/>
          <w:kern w:val="0"/>
          <w:sz w:val="24"/>
          <w:szCs w:val="20"/>
          <w:highlight w:val="none"/>
          <w:u w:val="single"/>
        </w:rPr>
        <w:t>供应商</w:t>
      </w:r>
      <w:r>
        <w:rPr>
          <w:rFonts w:hint="eastAsia" w:ascii="仿宋" w:hAnsi="仿宋" w:eastAsia="仿宋"/>
          <w:color w:val="auto"/>
          <w:kern w:val="0"/>
          <w:sz w:val="24"/>
          <w:highlight w:val="none"/>
          <w:u w:val="single"/>
        </w:rPr>
        <w:t>须知前附表》</w:t>
      </w:r>
      <w:r>
        <w:rPr>
          <w:rFonts w:hint="eastAsia" w:ascii="仿宋" w:hAnsi="仿宋" w:eastAsia="仿宋"/>
          <w:color w:val="auto"/>
          <w:kern w:val="0"/>
          <w:sz w:val="24"/>
          <w:highlight w:val="none"/>
        </w:rPr>
        <w:t>。</w:t>
      </w:r>
    </w:p>
    <w:p>
      <w:pPr>
        <w:widowControl/>
        <w:ind w:firstLine="422" w:firstLineChars="176"/>
        <w:jc w:val="left"/>
        <w:rPr>
          <w:rFonts w:ascii="仿宋" w:hAnsi="仿宋" w:eastAsia="仿宋"/>
          <w:color w:val="auto"/>
          <w:kern w:val="0"/>
          <w:sz w:val="24"/>
          <w:highlight w:val="none"/>
        </w:rPr>
      </w:pPr>
    </w:p>
    <w:p>
      <w:pPr>
        <w:pStyle w:val="21"/>
        <w:spacing w:before="0" w:after="0"/>
        <w:jc w:val="both"/>
        <w:rPr>
          <w:color w:val="auto"/>
          <w:highlight w:val="none"/>
        </w:rPr>
        <w:sectPr>
          <w:headerReference r:id="rId19" w:type="first"/>
          <w:headerReference r:id="rId17" w:type="default"/>
          <w:headerReference r:id="rId18" w:type="even"/>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spacing w:before="0" w:after="0"/>
        <w:rPr>
          <w:color w:val="auto"/>
          <w:highlight w:val="none"/>
        </w:rPr>
      </w:pPr>
      <w:bookmarkStart w:id="30" w:name="_Toc2474"/>
      <w:r>
        <w:rPr>
          <w:rFonts w:hint="eastAsia"/>
          <w:color w:val="auto"/>
          <w:highlight w:val="none"/>
        </w:rPr>
        <w:t>第三章</w:t>
      </w:r>
      <w:r>
        <w:rPr>
          <w:color w:val="auto"/>
          <w:highlight w:val="none"/>
        </w:rPr>
        <w:t xml:space="preserve"> </w:t>
      </w:r>
      <w:bookmarkEnd w:id="4"/>
      <w:bookmarkEnd w:id="5"/>
      <w:r>
        <w:rPr>
          <w:rFonts w:hint="eastAsia"/>
          <w:color w:val="auto"/>
          <w:highlight w:val="none"/>
        </w:rPr>
        <w:t>采购需求</w:t>
      </w:r>
      <w:bookmarkEnd w:id="30"/>
    </w:p>
    <w:p>
      <w:pPr>
        <w:keepNext/>
        <w:keepLines/>
        <w:spacing w:line="360" w:lineRule="auto"/>
        <w:outlineLvl w:val="1"/>
        <w:rPr>
          <w:rFonts w:ascii="仿宋" w:hAnsi="仿宋" w:eastAsia="仿宋" w:cs="仿宋"/>
          <w:b/>
          <w:color w:val="auto"/>
          <w:sz w:val="28"/>
          <w:szCs w:val="28"/>
          <w:highlight w:val="none"/>
        </w:rPr>
      </w:pPr>
      <w:bookmarkStart w:id="31" w:name="_Toc32348"/>
      <w:bookmarkStart w:id="32" w:name="_Toc86678052"/>
      <w:bookmarkStart w:id="33" w:name="_Toc26048"/>
      <w:bookmarkStart w:id="34" w:name="_Toc10604"/>
      <w:bookmarkStart w:id="35" w:name="_Toc57713377"/>
      <w:bookmarkStart w:id="36" w:name="_Toc22520"/>
      <w:bookmarkStart w:id="37" w:name="_Toc442102512"/>
      <w:bookmarkStart w:id="38" w:name="_Toc420505109"/>
      <w:bookmarkStart w:id="39" w:name="_Toc440162793"/>
      <w:bookmarkStart w:id="40" w:name="_Toc424164161"/>
      <w:r>
        <w:rPr>
          <w:rFonts w:hint="eastAsia" w:ascii="仿宋" w:hAnsi="仿宋" w:eastAsia="仿宋" w:cs="仿宋"/>
          <w:b/>
          <w:color w:val="auto"/>
          <w:sz w:val="28"/>
          <w:szCs w:val="28"/>
          <w:highlight w:val="none"/>
        </w:rPr>
        <w:t>一、</w:t>
      </w:r>
      <w:bookmarkEnd w:id="31"/>
      <w:bookmarkEnd w:id="32"/>
      <w:bookmarkEnd w:id="33"/>
      <w:bookmarkEnd w:id="34"/>
      <w:bookmarkEnd w:id="35"/>
      <w:r>
        <w:rPr>
          <w:rFonts w:hint="eastAsia" w:ascii="仿宋" w:hAnsi="仿宋" w:eastAsia="仿宋" w:cs="仿宋"/>
          <w:b/>
          <w:color w:val="auto"/>
          <w:sz w:val="28"/>
          <w:szCs w:val="28"/>
          <w:highlight w:val="none"/>
          <w:lang w:val="en-US" w:eastAsia="zh-CN"/>
        </w:rPr>
        <w:t>项目</w:t>
      </w:r>
      <w:r>
        <w:rPr>
          <w:rFonts w:hint="eastAsia" w:ascii="仿宋" w:hAnsi="仿宋" w:eastAsia="仿宋" w:cs="仿宋"/>
          <w:b/>
          <w:color w:val="auto"/>
          <w:sz w:val="28"/>
          <w:szCs w:val="28"/>
          <w:highlight w:val="none"/>
        </w:rPr>
        <w:t>内容和要求</w:t>
      </w:r>
      <w:bookmarkEnd w:id="36"/>
      <w:r>
        <w:rPr>
          <w:rFonts w:hint="eastAsia" w:ascii="仿宋" w:hAnsi="仿宋" w:eastAsia="仿宋" w:cs="仿宋"/>
          <w:b/>
          <w:color w:val="auto"/>
          <w:sz w:val="28"/>
          <w:szCs w:val="28"/>
          <w:highlight w:val="none"/>
        </w:rPr>
        <w:t xml:space="preserve"> </w:t>
      </w:r>
    </w:p>
    <w:p>
      <w:pPr>
        <w:spacing w:line="360" w:lineRule="auto"/>
        <w:ind w:firstLine="480" w:firstLineChars="200"/>
        <w:jc w:val="left"/>
        <w:rPr>
          <w:rFonts w:hint="eastAsia" w:ascii="仿宋" w:hAnsi="仿宋" w:eastAsia="仿宋" w:cs="仿宋"/>
          <w:color w:val="auto"/>
          <w:sz w:val="24"/>
          <w:highlight w:val="none"/>
        </w:rPr>
      </w:pPr>
      <w:bookmarkStart w:id="41" w:name="_Toc16186"/>
      <w:bookmarkStart w:id="42" w:name="_Toc20228"/>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20万元以内</w:t>
      </w:r>
      <w:r>
        <w:rPr>
          <w:rFonts w:hint="eastAsia" w:ascii="仿宋" w:hAnsi="仿宋" w:eastAsia="仿宋" w:cs="仿宋"/>
          <w:color w:val="auto"/>
          <w:sz w:val="24"/>
          <w:highlight w:val="none"/>
          <w:lang w:eastAsia="zh-CN"/>
        </w:rPr>
        <w:t>消防</w:t>
      </w:r>
      <w:r>
        <w:rPr>
          <w:rFonts w:hint="eastAsia" w:ascii="仿宋" w:hAnsi="仿宋" w:eastAsia="仿宋" w:cs="仿宋"/>
          <w:color w:val="auto"/>
          <w:sz w:val="24"/>
          <w:highlight w:val="none"/>
        </w:rPr>
        <w:t>设备零星维修改造项目；</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自合同签订之日起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年，单个项目结算金额上限为</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0万元，服务期内总预算金额为</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万元，成交供应商累计工程款结算金额至本项目预算金额或服务期满后，则合同履行完毕。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3.工作流程：</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3.1前期介入（在有需要的情况下协助使用/管理部门完成方案及预算报价）；</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3.2下派工作内容联系单（包含时间、地点、工作内容、实施要求等）；</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3.3工作内容反馈阶段（现场交流、维修范围、维修完成时间、维修材料品牌规格型号等确认）；</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3.4验收阶段（验收前资料准备：材料合格证书（明）、检测报告、材料报验单等，管理、使用、监督部门参加）；</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3.5审计阶段（提供验收合格证明、检测报告、材料报验单、联系单、竣工图、结算书，第三方审计机构最终审定）；</w:t>
      </w:r>
    </w:p>
    <w:p>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3.6支付款项（走校内审批流程）。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4.项目负责人未经</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同意，人员不得调换和撤离，并按工程进度及时到位。</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撤换工作不负责任、管理不力、贻误工期和造成严重的安全事故和工程质量事故、违法乱纪的项目负责人，直至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满意为止。如相应资质的项目负责人未按要求到位，视作违约，</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有权单方面终止合同。</w:t>
      </w:r>
    </w:p>
    <w:bookmarkEnd w:id="41"/>
    <w:bookmarkEnd w:id="42"/>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.现场条件及其他事项</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（1）施工不能影响采购人正常的工作。</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为减少施工对采购人工作的影响，需要服从采购人管理需要临时调整施工时间等，施工作业环境的种种不利因素，如夜间施工、垃圾装袋外运等等。均需由供应商考虑，并将所需费用包含在报价中。</w:t>
      </w:r>
      <w:bookmarkEnd w:id="37"/>
      <w:bookmarkEnd w:id="38"/>
      <w:bookmarkStart w:id="43" w:name="_Toc106972245"/>
      <w:bookmarkStart w:id="44" w:name="_Toc15297"/>
      <w:bookmarkStart w:id="45" w:name="_Toc86678053"/>
      <w:bookmarkStart w:id="46" w:name="_Toc57713381"/>
    </w:p>
    <w:p>
      <w:pPr>
        <w:keepNext/>
        <w:keepLines/>
        <w:spacing w:line="360" w:lineRule="auto"/>
        <w:jc w:val="left"/>
        <w:outlineLvl w:val="1"/>
        <w:rPr>
          <w:rFonts w:ascii="仿宋" w:hAnsi="仿宋" w:eastAsia="仿宋" w:cs="仿宋"/>
          <w:b/>
          <w:color w:val="auto"/>
          <w:sz w:val="28"/>
          <w:szCs w:val="28"/>
          <w:highlight w:val="none"/>
        </w:rPr>
      </w:pPr>
      <w:bookmarkStart w:id="47" w:name="_Toc21438"/>
      <w:bookmarkStart w:id="48" w:name="_Toc10773"/>
      <w:r>
        <w:rPr>
          <w:rFonts w:hint="eastAsia" w:ascii="仿宋" w:hAnsi="仿宋" w:eastAsia="仿宋" w:cs="仿宋"/>
          <w:b/>
          <w:color w:val="auto"/>
          <w:sz w:val="28"/>
          <w:szCs w:val="28"/>
          <w:highlight w:val="none"/>
        </w:rPr>
        <w:t>二、</w:t>
      </w:r>
      <w:bookmarkEnd w:id="43"/>
      <w:bookmarkEnd w:id="44"/>
      <w:r>
        <w:rPr>
          <w:rFonts w:hint="eastAsia" w:ascii="仿宋" w:hAnsi="仿宋" w:eastAsia="仿宋" w:cs="仿宋"/>
          <w:b/>
          <w:color w:val="auto"/>
          <w:sz w:val="28"/>
          <w:szCs w:val="28"/>
          <w:highlight w:val="none"/>
        </w:rPr>
        <w:t>结算依据及口径</w:t>
      </w:r>
      <w:bookmarkEnd w:id="47"/>
      <w:bookmarkEnd w:id="48"/>
    </w:p>
    <w:bookmarkEnd w:id="45"/>
    <w:p>
      <w:pPr>
        <w:pStyle w:val="9"/>
        <w:spacing w:line="360" w:lineRule="auto"/>
        <w:ind w:left="0" w:leftChars="0" w:firstLine="480" w:firstLineChars="200"/>
        <w:rPr>
          <w:rFonts w:hint="eastAsia" w:ascii="仿宋" w:hAnsi="仿宋" w:eastAsia="仿宋" w:cs="仿宋"/>
          <w:color w:val="auto"/>
          <w:sz w:val="24"/>
          <w:highlight w:val="none"/>
        </w:rPr>
      </w:pPr>
      <w:bookmarkStart w:id="49" w:name="_Toc92985935"/>
      <w:bookmarkStart w:id="50" w:name="_Toc78554520"/>
      <w:bookmarkStart w:id="51" w:name="_Toc106972246"/>
      <w:bookmarkStart w:id="52" w:name="_Toc7342"/>
      <w:bookmarkStart w:id="53" w:name="_Toc8816"/>
      <w:bookmarkStart w:id="54" w:name="_Toc86678055"/>
      <w:r>
        <w:rPr>
          <w:rFonts w:hint="eastAsia" w:ascii="仿宋" w:hAnsi="仿宋" w:eastAsia="仿宋" w:cs="仿宋"/>
          <w:color w:val="auto"/>
          <w:sz w:val="24"/>
          <w:highlight w:val="none"/>
        </w:rPr>
        <w:t>1.计价依据：《浙江省建设工程计价规则》（2018版）、《浙江省房屋建筑与装饰工程预算定额》（2018版）、《浙江省通用安装工程预算定额》（2018版）、《浙江省市政工程预算定额》（2018版）、《浙江省园林绿化及仿古建筑工程预算定额》（2018版）及相关补充解释。政策性法规调整的口径按实计入结算（审计后结算）。</w:t>
      </w:r>
    </w:p>
    <w:p>
      <w:pPr>
        <w:pStyle w:val="9"/>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本工程采用一般计税法结算。</w:t>
      </w:r>
    </w:p>
    <w:p>
      <w:pPr>
        <w:pStyle w:val="9"/>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2.取费标准：</w:t>
      </w:r>
    </w:p>
    <w:p>
      <w:pPr>
        <w:pStyle w:val="9"/>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 房屋建筑与装饰工程：施工组织措施费（仅计安全文明施工费、二次搬运费）、利润、企业管理费按单独装饰工程取费中值计取，规费按单独装饰工程取费计取，税金按照9%计取；</w:t>
      </w:r>
    </w:p>
    <w:p>
      <w:pPr>
        <w:pStyle w:val="9"/>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 安装工程：施工组织措施费（仅计安全文明施工费、二次搬运费）、利润、企业管理费按水、电、暖通、消防、智能、自控及通信安装工程取费中值计取，规费按水、电、暖通、消防、智能、自控及通信安装工程取费计取，税金按照9%计取；</w:t>
      </w:r>
    </w:p>
    <w:p>
      <w:pPr>
        <w:pStyle w:val="9"/>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 材料单价按施工期间正刊信息价（除税价）平均值计取（市场价低于信息价的，按市场价计取），无信息价按照签证价计取；定额人工按施工期间杭州市信息价平均值计入（差价仅计算税金）。</w:t>
      </w:r>
    </w:p>
    <w:p>
      <w:pPr>
        <w:pStyle w:val="9"/>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2.4 零星计日工参照施工期间当季度杭州市建筑工种人工工资信息平均值，如当季度未出建筑工种人工工资信息价，则参照上季度杭州市建筑工种人工工资信息平均值。</w:t>
      </w:r>
    </w:p>
    <w:p>
      <w:pPr>
        <w:pStyle w:val="9"/>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2.5安全生产责任保险费按杭建招标造价中心[2021]84号文要求计入企业管理费中；</w:t>
      </w:r>
    </w:p>
    <w:p>
      <w:pPr>
        <w:pStyle w:val="9"/>
        <w:spacing w:line="360" w:lineRule="auto"/>
        <w:ind w:left="0" w:leftChars="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2.6安全文明施工基本费增加的疫情常态化防控和“智慧工地”增加费两项费用按浙建建发[2022]37号文执行，按《浙江省建设工程计价规则（2018）版》的费率乘以1.15系数；</w:t>
      </w:r>
    </w:p>
    <w:p>
      <w:pPr>
        <w:keepNext w:val="0"/>
        <w:keepLines w:val="0"/>
        <w:pageBreakBefore w:val="0"/>
        <w:widowControl w:val="0"/>
        <w:kinsoku/>
        <w:wordWrap/>
        <w:overflowPunct/>
        <w:topLinePunct w:val="0"/>
        <w:autoSpaceDE/>
        <w:autoSpaceDN/>
        <w:bidi w:val="0"/>
        <w:adjustRightInd/>
        <w:snapToGrid/>
        <w:spacing w:after="120" w:line="312" w:lineRule="auto"/>
        <w:textAlignment w:val="auto"/>
        <w:outlineLvl w:val="1"/>
        <w:rPr>
          <w:rFonts w:ascii="仿宋" w:hAnsi="仿宋" w:eastAsia="仿宋" w:cs="仿宋"/>
          <w:b/>
          <w:color w:val="auto"/>
          <w:sz w:val="28"/>
          <w:szCs w:val="28"/>
          <w:highlight w:val="none"/>
        </w:rPr>
      </w:pPr>
      <w:bookmarkStart w:id="55" w:name="_Toc10377"/>
      <w:r>
        <w:rPr>
          <w:rFonts w:hint="eastAsia" w:ascii="仿宋" w:hAnsi="仿宋" w:eastAsia="仿宋" w:cs="仿宋"/>
          <w:b/>
          <w:color w:val="auto"/>
          <w:sz w:val="28"/>
          <w:szCs w:val="28"/>
          <w:highlight w:val="none"/>
        </w:rPr>
        <w:t>三、工程款支付与结算</w:t>
      </w:r>
      <w:bookmarkEnd w:id="55"/>
    </w:p>
    <w:p>
      <w:pPr>
        <w:widowControl/>
        <w:autoSpaceDE w:val="0"/>
        <w:autoSpaceDN w:val="0"/>
        <w:snapToGrid w:val="0"/>
        <w:spacing w:before="120" w:line="360" w:lineRule="auto"/>
        <w:ind w:firstLine="480" w:firstLineChars="200"/>
        <w:textAlignment w:val="bottom"/>
        <w:rPr>
          <w:rFonts w:ascii="仿宋" w:hAnsi="仿宋" w:eastAsia="仿宋" w:cs="仿宋"/>
          <w:bCs/>
          <w:color w:val="auto"/>
          <w:kern w:val="0"/>
          <w:sz w:val="24"/>
          <w:highlight w:val="none"/>
        </w:rPr>
      </w:pPr>
      <w:bookmarkStart w:id="56" w:name="_Toc17486"/>
      <w:bookmarkStart w:id="57" w:name="_Toc15809"/>
      <w:r>
        <w:rPr>
          <w:rFonts w:hint="eastAsia" w:ascii="仿宋" w:hAnsi="仿宋" w:eastAsia="仿宋" w:cs="仿宋"/>
          <w:bCs/>
          <w:color w:val="auto"/>
          <w:kern w:val="0"/>
          <w:sz w:val="24"/>
          <w:highlight w:val="none"/>
        </w:rPr>
        <w:t>1.施工工程在质保期内如有任何质量问题，采购人均可从工程款中扣除相应的款项，由此造成的损失由供应商承担。</w:t>
      </w:r>
    </w:p>
    <w:bookmarkEnd w:id="56"/>
    <w:bookmarkEnd w:id="57"/>
    <w:p>
      <w:pPr>
        <w:spacing w:line="360" w:lineRule="auto"/>
        <w:ind w:firstLine="480" w:firstLineChars="200"/>
        <w:rPr>
          <w:rFonts w:hint="eastAsia" w:ascii="仿宋" w:hAnsi="仿宋" w:eastAsia="仿宋" w:cs="仿宋"/>
          <w:bCs/>
          <w:color w:val="auto"/>
          <w:sz w:val="24"/>
          <w:highlight w:val="none"/>
          <w:lang w:val="en-US" w:eastAsia="zh-CN"/>
        </w:rPr>
      </w:pPr>
      <w:bookmarkStart w:id="58" w:name="_Toc26943"/>
      <w:r>
        <w:rPr>
          <w:rFonts w:hint="eastAsia" w:ascii="仿宋" w:hAnsi="仿宋" w:eastAsia="仿宋" w:cs="仿宋"/>
          <w:bCs/>
          <w:color w:val="auto"/>
          <w:sz w:val="24"/>
          <w:highlight w:val="none"/>
          <w:lang w:val="en-US" w:eastAsia="zh-CN"/>
        </w:rPr>
        <w:t>2.工程款结算：零星维修改造项目按上述标准（二、结算依据及口径）计算工程价款（工程价款须经采购人委托审核），供应商在此基础上填报零星维修改造工程费折扣率，成交后，经审计审定后按磋商承诺的成交折扣率进行结算。</w:t>
      </w:r>
    </w:p>
    <w:p>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（单个工程的最终结算价格=审计审定后工程价款*折扣率）</w:t>
      </w:r>
    </w:p>
    <w:p>
      <w:pPr>
        <w:spacing w:line="360" w:lineRule="auto"/>
        <w:ind w:firstLine="482" w:firstLineChars="200"/>
        <w:rPr>
          <w:rFonts w:hint="eastAsia" w:ascii="仿宋" w:hAnsi="仿宋" w:eastAsia="仿宋" w:cs="仿宋"/>
          <w:b/>
          <w:bCs w:val="0"/>
          <w:color w:val="auto"/>
          <w:sz w:val="24"/>
          <w:highlight w:val="none"/>
          <w:u w:val="single"/>
          <w:lang w:val="en-US" w:eastAsia="zh-CN"/>
        </w:rPr>
      </w:pPr>
      <w:r>
        <w:rPr>
          <w:rFonts w:hint="eastAsia" w:ascii="仿宋" w:hAnsi="仿宋" w:eastAsia="仿宋" w:cs="仿宋"/>
          <w:b/>
          <w:bCs w:val="0"/>
          <w:color w:val="auto"/>
          <w:sz w:val="24"/>
          <w:highlight w:val="none"/>
          <w:u w:val="single"/>
          <w:lang w:val="en-US" w:eastAsia="zh-CN"/>
        </w:rPr>
        <w:t>▲本项目折扣率最高限价85%，磋商供应商投标折扣率不得高于85%，报价超过最高限价的按无效标处理。</w:t>
      </w:r>
    </w:p>
    <w:p>
      <w:pPr>
        <w:keepNext w:val="0"/>
        <w:keepLines w:val="0"/>
        <w:pageBreakBefore w:val="0"/>
        <w:kinsoku/>
        <w:wordWrap/>
        <w:overflowPunct/>
        <w:topLinePunct w:val="0"/>
        <w:bidi w:val="0"/>
        <w:adjustRightInd/>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.工程款按以下方式支付：</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采购人下达工程任务单后，由成交供应商对相应工程进行施工，单项工程项目施工完成，经</w:t>
      </w:r>
      <w:r>
        <w:rPr>
          <w:rFonts w:hint="eastAsia" w:ascii="仿宋" w:hAnsi="仿宋" w:eastAsia="仿宋" w:cs="仿宋"/>
          <w:bCs/>
          <w:color w:val="auto"/>
          <w:kern w:val="0"/>
          <w:sz w:val="24"/>
          <w:highlight w:val="none"/>
          <w:lang w:val="en-US" w:eastAsia="zh-CN"/>
        </w:rPr>
        <w:t>采购人</w:t>
      </w:r>
      <w:r>
        <w:rPr>
          <w:rFonts w:hint="eastAsia" w:ascii="仿宋" w:hAnsi="仿宋" w:eastAsia="仿宋" w:cs="仿宋"/>
          <w:bCs/>
          <w:color w:val="auto"/>
          <w:kern w:val="0"/>
          <w:sz w:val="24"/>
          <w:highlight w:val="none"/>
        </w:rPr>
        <w:t>委托第三方对工程造价决算审价完毕并收到</w:t>
      </w:r>
      <w:r>
        <w:rPr>
          <w:rFonts w:hint="eastAsia" w:ascii="仿宋" w:hAnsi="仿宋" w:eastAsia="仿宋" w:cs="仿宋"/>
          <w:bCs/>
          <w:color w:val="auto"/>
          <w:kern w:val="0"/>
          <w:sz w:val="24"/>
          <w:highlight w:val="none"/>
          <w:lang w:val="en-US" w:eastAsia="zh-CN"/>
        </w:rPr>
        <w:t>成交供应商</w:t>
      </w:r>
      <w:r>
        <w:rPr>
          <w:rFonts w:hint="eastAsia" w:ascii="仿宋" w:hAnsi="仿宋" w:eastAsia="仿宋" w:cs="仿宋"/>
          <w:bCs/>
          <w:color w:val="auto"/>
          <w:kern w:val="0"/>
          <w:sz w:val="24"/>
          <w:highlight w:val="none"/>
        </w:rPr>
        <w:t>开具的正规发票后，</w:t>
      </w:r>
      <w:r>
        <w:rPr>
          <w:rFonts w:hint="eastAsia" w:ascii="仿宋" w:hAnsi="仿宋" w:eastAsia="仿宋" w:cs="仿宋"/>
          <w:bCs/>
          <w:color w:val="auto"/>
          <w:kern w:val="0"/>
          <w:sz w:val="24"/>
          <w:highlight w:val="none"/>
          <w:lang w:val="en-US" w:eastAsia="zh-CN"/>
        </w:rPr>
        <w:t>采购人</w:t>
      </w:r>
      <w:r>
        <w:rPr>
          <w:rFonts w:hint="eastAsia" w:ascii="仿宋" w:hAnsi="仿宋" w:eastAsia="仿宋" w:cs="仿宋"/>
          <w:bCs/>
          <w:color w:val="auto"/>
          <w:kern w:val="0"/>
          <w:sz w:val="24"/>
          <w:highlight w:val="none"/>
        </w:rPr>
        <w:t>向</w:t>
      </w:r>
      <w:r>
        <w:rPr>
          <w:rFonts w:hint="eastAsia" w:ascii="仿宋" w:hAnsi="仿宋" w:eastAsia="仿宋" w:cs="仿宋"/>
          <w:bCs/>
          <w:color w:val="auto"/>
          <w:kern w:val="0"/>
          <w:sz w:val="24"/>
          <w:highlight w:val="none"/>
          <w:lang w:val="en-US" w:eastAsia="zh-CN"/>
        </w:rPr>
        <w:t>成交供应商</w:t>
      </w:r>
      <w:r>
        <w:rPr>
          <w:rFonts w:hint="eastAsia" w:ascii="仿宋" w:hAnsi="仿宋" w:eastAsia="仿宋" w:cs="仿宋"/>
          <w:bCs/>
          <w:color w:val="auto"/>
          <w:kern w:val="0"/>
          <w:sz w:val="24"/>
          <w:highlight w:val="none"/>
        </w:rPr>
        <w:t>支付至审计审定后按承诺的零星维修改造工程费折扣率结算的100%</w:t>
      </w:r>
      <w:r>
        <w:rPr>
          <w:rFonts w:hint="eastAsia" w:ascii="仿宋" w:hAnsi="仿宋" w:eastAsia="仿宋" w:cs="仿宋"/>
          <w:bCs/>
          <w:color w:val="auto"/>
          <w:kern w:val="0"/>
          <w:sz w:val="24"/>
          <w:highlight w:val="none"/>
          <w:lang w:eastAsia="zh-CN"/>
        </w:rPr>
        <w:t>。</w:t>
      </w:r>
    </w:p>
    <w:p>
      <w:pPr>
        <w:pStyle w:val="13"/>
        <w:ind w:firstLine="480" w:firstLineChars="200"/>
        <w:rPr>
          <w:rFonts w:ascii="仿宋" w:hAnsi="仿宋" w:eastAsia="仿宋" w:cs="仿宋"/>
          <w:color w:val="auto"/>
          <w:sz w:val="24"/>
          <w:highlight w:val="none"/>
        </w:rPr>
      </w:pPr>
    </w:p>
    <w:p>
      <w:pPr>
        <w:spacing w:line="360" w:lineRule="auto"/>
        <w:outlineLvl w:val="1"/>
        <w:rPr>
          <w:rFonts w:ascii="仿宋" w:hAnsi="仿宋" w:eastAsia="仿宋" w:cs="仿宋"/>
          <w:b/>
          <w:color w:val="auto"/>
          <w:sz w:val="28"/>
          <w:szCs w:val="28"/>
          <w:highlight w:val="none"/>
        </w:rPr>
      </w:pPr>
      <w:bookmarkStart w:id="59" w:name="_Toc28920"/>
      <w:bookmarkStart w:id="60" w:name="_Toc7492"/>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、设备、材料供应</w:t>
      </w:r>
      <w:bookmarkEnd w:id="59"/>
      <w:bookmarkEnd w:id="60"/>
    </w:p>
    <w:p>
      <w:pPr>
        <w:pStyle w:val="13"/>
        <w:rPr>
          <w:rFonts w:ascii="仿宋" w:hAnsi="仿宋" w:eastAsia="仿宋" w:cs="仿宋"/>
          <w:bCs/>
          <w:color w:val="auto"/>
          <w:kern w:val="0"/>
          <w:highlight w:val="none"/>
        </w:rPr>
      </w:pPr>
      <w:r>
        <w:rPr>
          <w:rFonts w:hint="eastAsia" w:ascii="仿宋" w:hAnsi="仿宋" w:eastAsia="仿宋" w:cs="仿宋"/>
          <w:bCs/>
          <w:snapToGrid/>
          <w:color w:val="auto"/>
          <w:kern w:val="0"/>
          <w:highlight w:val="none"/>
        </w:rPr>
        <w:t>1.本工程除甲供设备、材料外，所用的材料由供应商负责采购。在项目实施过程中</w:t>
      </w:r>
      <w:r>
        <w:rPr>
          <w:rFonts w:hint="eastAsia" w:ascii="仿宋" w:hAnsi="仿宋" w:eastAsia="仿宋" w:cs="仿宋"/>
          <w:bCs/>
          <w:color w:val="auto"/>
          <w:kern w:val="0"/>
          <w:highlight w:val="none"/>
        </w:rPr>
        <w:t>所有材料的品牌型号规格均由采购人审核同意后使用,供应商需将材料交采购人确认后再施工。</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en-US" w:eastAsia="zh-CN"/>
        </w:rPr>
        <w:t>采购人与成交供应商</w:t>
      </w:r>
      <w:r>
        <w:rPr>
          <w:rFonts w:hint="eastAsia" w:ascii="仿宋" w:hAnsi="仿宋" w:eastAsia="仿宋" w:cs="仿宋"/>
          <w:bCs/>
          <w:color w:val="auto"/>
          <w:kern w:val="0"/>
          <w:sz w:val="24"/>
          <w:highlight w:val="none"/>
        </w:rPr>
        <w:t>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部分由采购人供应的设备、材料，可能委托供应商催交、运输、验收、保管，供应商必须接受，其费用按有关规定另行商定。供应商必须在设备进场时认真核验，如因供应商未认真核验而导致不合格甲供设备用于工程（设备本体原因除外），因此而引起的一切后果由供应商承担。</w:t>
      </w:r>
    </w:p>
    <w:p>
      <w:pPr>
        <w:widowControl/>
        <w:autoSpaceDE w:val="0"/>
        <w:autoSpaceDN w:val="0"/>
        <w:snapToGrid w:val="0"/>
        <w:spacing w:line="360" w:lineRule="auto"/>
        <w:ind w:firstLine="480" w:firstLineChars="200"/>
        <w:jc w:val="left"/>
        <w:textAlignment w:val="bottom"/>
        <w:rPr>
          <w:rFonts w:ascii="仿宋" w:hAnsi="仿宋" w:eastAsia="仿宋" w:cs="仿宋"/>
          <w:b/>
          <w:color w:val="auto"/>
          <w:sz w:val="24"/>
          <w:highlight w:val="none"/>
        </w:rPr>
      </w:pPr>
      <w:r>
        <w:rPr>
          <w:rFonts w:hint="eastAsia" w:ascii="仿宋" w:hAnsi="仿宋" w:eastAsia="仿宋" w:cs="仿宋"/>
          <w:bCs/>
          <w:color w:val="auto"/>
          <w:kern w:val="0"/>
          <w:sz w:val="24"/>
          <w:highlight w:val="none"/>
        </w:rPr>
        <w:t>4.材料品质货真价实，存在假冒伪劣材料的，一经发现可拒付该项目维修价款，并按该项目预算金额的20%支付违约金。</w:t>
      </w:r>
    </w:p>
    <w:p>
      <w:pPr>
        <w:pStyle w:val="10"/>
        <w:spacing w:beforeLines="0" w:line="360" w:lineRule="auto"/>
        <w:ind w:firstLine="0" w:firstLineChars="0"/>
        <w:jc w:val="left"/>
        <w:outlineLvl w:val="1"/>
        <w:rPr>
          <w:rFonts w:ascii="仿宋" w:hAnsi="仿宋" w:eastAsia="仿宋" w:cs="仿宋"/>
          <w:b/>
          <w:color w:val="auto"/>
          <w:sz w:val="28"/>
          <w:szCs w:val="28"/>
          <w:highlight w:val="none"/>
        </w:rPr>
      </w:pPr>
      <w:bookmarkStart w:id="61" w:name="_Toc17264"/>
      <w:bookmarkStart w:id="62" w:name="_Toc18727"/>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、安全施工、文明管理</w:t>
      </w:r>
      <w:bookmarkEnd w:id="61"/>
      <w:bookmarkEnd w:id="62"/>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3" w:name="_Toc2149"/>
      <w:bookmarkStart w:id="64" w:name="_Toc30083"/>
      <w:r>
        <w:rPr>
          <w:rFonts w:hint="eastAsia" w:ascii="仿宋" w:hAnsi="仿宋" w:eastAsia="仿宋" w:cs="仿宋"/>
          <w:bCs/>
          <w:color w:val="auto"/>
          <w:kern w:val="0"/>
          <w:sz w:val="24"/>
          <w:szCs w:val="24"/>
          <w:highlight w:val="none"/>
          <w:lang w:val="en-US" w:eastAsia="zh-CN" w:bidi="ar-SA"/>
        </w:rPr>
        <w:t>1.供应商应遵守工程建设安全文明施工的有关规定，须按国家有关规定建立相应的安全保证体系。认真落实各项安全保护措施，并随时接受采购人及有关部门的监督检查。</w:t>
      </w:r>
      <w:bookmarkEnd w:id="63"/>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5" w:name="_Toc29443"/>
      <w:r>
        <w:rPr>
          <w:rFonts w:hint="eastAsia" w:ascii="仿宋" w:hAnsi="仿宋" w:eastAsia="仿宋" w:cs="仿宋"/>
          <w:bCs/>
          <w:color w:val="auto"/>
          <w:kern w:val="0"/>
          <w:sz w:val="24"/>
          <w:szCs w:val="24"/>
          <w:highlight w:val="none"/>
          <w:lang w:val="en-US" w:eastAsia="zh-CN" w:bidi="ar-SA"/>
        </w:rPr>
        <w:t>2.供应商应对进入施工现场的施工人员进行安全文明施工教育，配备必要的劳动保护用具，保证工程的施工安全和人身安全，需为施工人员购买商业保险，并向采购人提供特种作业人员的特种作业操作证（包括但不限于高处作业等）。</w:t>
      </w:r>
      <w:bookmarkEnd w:id="65"/>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6" w:name="_Toc24217"/>
      <w:r>
        <w:rPr>
          <w:rFonts w:hint="eastAsia" w:ascii="仿宋" w:hAnsi="仿宋" w:eastAsia="仿宋" w:cs="仿宋"/>
          <w:bCs/>
          <w:color w:val="auto"/>
          <w:kern w:val="0"/>
          <w:sz w:val="24"/>
          <w:szCs w:val="24"/>
          <w:highlight w:val="none"/>
          <w:lang w:val="en-US" w:eastAsia="zh-CN" w:bidi="ar-SA"/>
        </w:rPr>
        <w:t>3.供应商在工程施工全过程中要认真做好成品保护。因管理不善造成的一切损失均由供应商负责，凡由此而损及采购人利益时，采购人将向供应商索赔。</w:t>
      </w:r>
      <w:bookmarkEnd w:id="66"/>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7" w:name="_Toc20218"/>
      <w:r>
        <w:rPr>
          <w:rFonts w:hint="eastAsia" w:ascii="仿宋" w:hAnsi="仿宋" w:eastAsia="仿宋" w:cs="仿宋"/>
          <w:bCs/>
          <w:color w:val="auto"/>
          <w:kern w:val="0"/>
          <w:sz w:val="24"/>
          <w:szCs w:val="24"/>
          <w:highlight w:val="none"/>
          <w:lang w:val="en-US" w:eastAsia="zh-CN" w:bidi="ar-SA"/>
        </w:rPr>
        <w:t>4.供应商应注意保护施工现场邻近建筑物、交通和附近居民的安全，防止因施工不当使附近居民的人身或财产遭受损失，因野蛮施工等违规操作造成损失的，由供应商承担违规责任，并赔偿相应损失。</w:t>
      </w:r>
      <w:bookmarkEnd w:id="67"/>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8" w:name="_Toc1050"/>
      <w:r>
        <w:rPr>
          <w:rFonts w:hint="eastAsia" w:ascii="仿宋" w:hAnsi="仿宋" w:eastAsia="仿宋" w:cs="仿宋"/>
          <w:bCs/>
          <w:color w:val="auto"/>
          <w:kern w:val="0"/>
          <w:sz w:val="24"/>
          <w:szCs w:val="24"/>
          <w:highlight w:val="none"/>
          <w:lang w:val="en-US" w:eastAsia="zh-CN" w:bidi="ar-SA"/>
        </w:rPr>
        <w:t>如由于供应商安全措施不力造成事故的责任和由此发生的费用，由供应商承担。</w:t>
      </w:r>
      <w:bookmarkEnd w:id="68"/>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69" w:name="_Toc13025"/>
      <w:r>
        <w:rPr>
          <w:rFonts w:hint="eastAsia" w:ascii="仿宋" w:hAnsi="仿宋" w:eastAsia="仿宋" w:cs="仿宋"/>
          <w:bCs/>
          <w:color w:val="auto"/>
          <w:kern w:val="0"/>
          <w:sz w:val="24"/>
          <w:szCs w:val="24"/>
          <w:highlight w:val="none"/>
          <w:lang w:val="en-US" w:eastAsia="zh-CN" w:bidi="ar-SA"/>
        </w:rPr>
        <w:t>5.施工时要尽量避开上课、办公的时间，师生如有意见则及时暂缓施工。</w:t>
      </w:r>
      <w:bookmarkEnd w:id="69"/>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70" w:name="_Toc22858"/>
      <w:r>
        <w:rPr>
          <w:rFonts w:hint="eastAsia" w:ascii="仿宋" w:hAnsi="仿宋" w:eastAsia="仿宋" w:cs="仿宋"/>
          <w:bCs/>
          <w:color w:val="auto"/>
          <w:kern w:val="0"/>
          <w:sz w:val="24"/>
          <w:szCs w:val="24"/>
          <w:highlight w:val="none"/>
          <w:lang w:val="en-US" w:eastAsia="zh-CN" w:bidi="ar-SA"/>
        </w:rPr>
        <w:t>6.施工现场应做到“落手清”，施工现场垃圾应及时清理并负责外运，或先堆放至采购人指定地点后再负责组织外运；保持施工场地整洁，做到工完料尽场地清。</w:t>
      </w:r>
      <w:bookmarkEnd w:id="70"/>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bookmarkStart w:id="71" w:name="_Toc13890"/>
      <w:r>
        <w:rPr>
          <w:rFonts w:hint="eastAsia" w:ascii="仿宋" w:hAnsi="仿宋" w:eastAsia="仿宋" w:cs="仿宋"/>
          <w:bCs/>
          <w:color w:val="auto"/>
          <w:kern w:val="0"/>
          <w:sz w:val="24"/>
          <w:szCs w:val="24"/>
          <w:highlight w:val="none"/>
          <w:lang w:val="en-US" w:eastAsia="zh-CN" w:bidi="ar-SA"/>
        </w:rPr>
        <w:t>7.建筑材料应堆放整齐，不得随意堆放，采购人给施工单位有偿配备仓库和管理用房，各施工单位应分类、分批、分规格堆放材料，做好标识，确保仓库整齐、整洁、安全，应自行配备灭火器等消防措施。</w:t>
      </w:r>
      <w:bookmarkEnd w:id="71"/>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color w:val="auto"/>
          <w:kern w:val="2"/>
          <w:highlight w:val="none"/>
        </w:rPr>
      </w:pPr>
      <w:bookmarkStart w:id="72" w:name="_Toc13684"/>
      <w:r>
        <w:rPr>
          <w:rFonts w:hint="eastAsia" w:ascii="仿宋" w:hAnsi="仿宋" w:eastAsia="仿宋" w:cs="仿宋"/>
          <w:bCs/>
          <w:color w:val="auto"/>
          <w:kern w:val="0"/>
          <w:sz w:val="24"/>
          <w:szCs w:val="24"/>
          <w:highlight w:val="none"/>
          <w:lang w:val="en-US" w:eastAsia="zh-CN" w:bidi="ar-SA"/>
        </w:rPr>
        <w:t>8.供应商应负责涉及本工程施工的其他配合工作。</w:t>
      </w:r>
      <w:bookmarkEnd w:id="72"/>
    </w:p>
    <w:p>
      <w:pPr>
        <w:pStyle w:val="29"/>
        <w:spacing w:line="360" w:lineRule="auto"/>
        <w:outlineLvl w:val="1"/>
        <w:rPr>
          <w:rFonts w:ascii="仿宋" w:hAnsi="仿宋" w:eastAsia="仿宋" w:cs="仿宋"/>
          <w:b/>
          <w:color w:val="auto"/>
          <w:kern w:val="2"/>
          <w:sz w:val="28"/>
          <w:szCs w:val="28"/>
          <w:highlight w:val="none"/>
        </w:rPr>
      </w:pPr>
      <w:bookmarkStart w:id="73" w:name="_Toc27334"/>
      <w:r>
        <w:rPr>
          <w:rFonts w:hint="eastAsia" w:ascii="仿宋" w:hAnsi="仿宋" w:eastAsia="仿宋" w:cs="仿宋"/>
          <w:b/>
          <w:color w:val="auto"/>
          <w:kern w:val="2"/>
          <w:sz w:val="28"/>
          <w:szCs w:val="28"/>
          <w:highlight w:val="none"/>
          <w:lang w:val="en-US" w:eastAsia="zh-CN"/>
        </w:rPr>
        <w:t>六</w:t>
      </w:r>
      <w:r>
        <w:rPr>
          <w:rFonts w:hint="eastAsia" w:ascii="仿宋" w:hAnsi="仿宋" w:eastAsia="仿宋" w:cs="仿宋"/>
          <w:b/>
          <w:color w:val="auto"/>
          <w:kern w:val="2"/>
          <w:sz w:val="28"/>
          <w:szCs w:val="28"/>
          <w:highlight w:val="none"/>
        </w:rPr>
        <w:t>、质量保证及后续服务</w:t>
      </w:r>
      <w:bookmarkEnd w:id="58"/>
      <w:bookmarkEnd w:id="64"/>
      <w:bookmarkEnd w:id="73"/>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本项目要求质保期1年，自每项任务完成且通过验收之日起计算，质保期内发生故障须免费修复；</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施工不能达到要求质量等级的，供应商应无条件整改，直至质量达到合格标准，并按合同约定扣取质量处罚金。</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采购人有权定期对供应商服务内容（包含服务响应、工程质量、工程进度、文明标化）进行考核，考核未能达到采购人要求的（实际得分低于80分的），供应商应无条件限期整改，直至符合采购人要求，若出现三次整改后还未能达到采购人要求的、出现重大安全质量问题或不服从采购人管理的，采购人有权解除本合同，同时有权要求供应商赔偿采购人的全部经济损失。</w:t>
      </w:r>
    </w:p>
    <w:p>
      <w:pPr>
        <w:keepNext/>
        <w:keepLines/>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keepNext/>
        <w:keepLine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附件：</w:t>
      </w:r>
    </w:p>
    <w:bookmarkEnd w:id="49"/>
    <w:bookmarkEnd w:id="50"/>
    <w:bookmarkEnd w:id="51"/>
    <w:bookmarkEnd w:id="52"/>
    <w:p>
      <w:pPr>
        <w:jc w:val="center"/>
        <w:rPr>
          <w:rFonts w:hint="eastAsia" w:ascii="仿宋" w:hAnsi="仿宋" w:eastAsia="仿宋" w:cs="仿宋"/>
          <w:bCs/>
          <w:color w:val="auto"/>
          <w:kern w:val="0"/>
          <w:sz w:val="24"/>
          <w:szCs w:val="24"/>
          <w:highlight w:val="none"/>
          <w:lang w:val="en-US" w:eastAsia="zh-CN" w:bidi="ar-SA"/>
        </w:rPr>
      </w:pPr>
      <w:bookmarkStart w:id="74" w:name="_Toc7047"/>
      <w:bookmarkStart w:id="75" w:name="_Toc9061"/>
      <w:r>
        <w:rPr>
          <w:rFonts w:hint="eastAsia" w:ascii="仿宋" w:hAnsi="仿宋" w:eastAsia="仿宋" w:cs="仿宋"/>
          <w:bCs/>
          <w:color w:val="auto"/>
          <w:kern w:val="0"/>
          <w:sz w:val="24"/>
          <w:szCs w:val="24"/>
          <w:highlight w:val="none"/>
          <w:lang w:val="en-US" w:eastAsia="zh-CN" w:bidi="ar-SA"/>
        </w:rPr>
        <w:t>浙江中医药大学20万以内零星消防设备维修改造年度单位考核表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5290"/>
        <w:gridCol w:w="113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04" w:type="pct"/>
            <w:tcBorders>
              <w:top w:val="single" w:color="auto" w:sz="4" w:space="0"/>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项目名称</w:t>
            </w:r>
          </w:p>
        </w:tc>
        <w:tc>
          <w:tcPr>
            <w:tcW w:w="2848" w:type="pct"/>
            <w:tcBorders>
              <w:top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评    分   说  明</w:t>
            </w:r>
          </w:p>
        </w:tc>
        <w:tc>
          <w:tcPr>
            <w:tcW w:w="611" w:type="pct"/>
            <w:tcBorders>
              <w:top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分值</w:t>
            </w:r>
          </w:p>
        </w:tc>
        <w:tc>
          <w:tcPr>
            <w:tcW w:w="738" w:type="pct"/>
            <w:tcBorders>
              <w:top w:val="single" w:color="auto" w:sz="4" w:space="0"/>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服务响应</w:t>
            </w:r>
          </w:p>
        </w:tc>
        <w:tc>
          <w:tcPr>
            <w:tcW w:w="2848"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比对派工后施工人员、材料机具等的组织效率；比对管理部门（使用部门）派工要求的实施能力</w:t>
            </w:r>
          </w:p>
        </w:tc>
        <w:tc>
          <w:tcPr>
            <w:tcW w:w="611"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25分</w:t>
            </w:r>
          </w:p>
        </w:tc>
        <w:tc>
          <w:tcPr>
            <w:tcW w:w="738" w:type="pct"/>
            <w:tcBorders>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工程质量</w:t>
            </w:r>
          </w:p>
        </w:tc>
        <w:tc>
          <w:tcPr>
            <w:tcW w:w="2848"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比对全过程的施工质量及管理部门（使用部门）派工时的期望值</w:t>
            </w:r>
          </w:p>
        </w:tc>
        <w:tc>
          <w:tcPr>
            <w:tcW w:w="611"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25分</w:t>
            </w:r>
          </w:p>
        </w:tc>
        <w:tc>
          <w:tcPr>
            <w:tcW w:w="738" w:type="pct"/>
            <w:tcBorders>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工程进度</w:t>
            </w:r>
          </w:p>
        </w:tc>
        <w:tc>
          <w:tcPr>
            <w:tcW w:w="2848"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比对管理部门（使用部门）派工时的计划工期或定额需要工期</w:t>
            </w:r>
          </w:p>
        </w:tc>
        <w:tc>
          <w:tcPr>
            <w:tcW w:w="611"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25分</w:t>
            </w:r>
          </w:p>
        </w:tc>
        <w:tc>
          <w:tcPr>
            <w:tcW w:w="738" w:type="pct"/>
            <w:tcBorders>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文明标化</w:t>
            </w:r>
          </w:p>
        </w:tc>
        <w:tc>
          <w:tcPr>
            <w:tcW w:w="2848"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比对全过程施工过程中文明施工、防尘降噪等措施布置</w:t>
            </w:r>
          </w:p>
        </w:tc>
        <w:tc>
          <w:tcPr>
            <w:tcW w:w="611"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25分</w:t>
            </w:r>
          </w:p>
        </w:tc>
        <w:tc>
          <w:tcPr>
            <w:tcW w:w="738" w:type="pct"/>
            <w:tcBorders>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4" w:type="pct"/>
            <w:tcBorders>
              <w:lef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合计</w:t>
            </w:r>
          </w:p>
        </w:tc>
        <w:tc>
          <w:tcPr>
            <w:tcW w:w="2848" w:type="pct"/>
            <w:vAlign w:val="center"/>
          </w:tcPr>
          <w:p>
            <w:pPr>
              <w:rPr>
                <w:rFonts w:hint="eastAsia" w:ascii="仿宋" w:hAnsi="仿宋" w:eastAsia="仿宋" w:cs="仿宋"/>
                <w:bCs/>
                <w:color w:val="auto"/>
                <w:kern w:val="0"/>
                <w:sz w:val="24"/>
                <w:szCs w:val="24"/>
                <w:highlight w:val="none"/>
                <w:lang w:val="en-US" w:eastAsia="zh-CN" w:bidi="ar-SA"/>
              </w:rPr>
            </w:pPr>
          </w:p>
        </w:tc>
        <w:tc>
          <w:tcPr>
            <w:tcW w:w="611" w:type="pct"/>
            <w:vAlign w:val="center"/>
          </w:tcPr>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100分</w:t>
            </w:r>
          </w:p>
        </w:tc>
        <w:tc>
          <w:tcPr>
            <w:tcW w:w="738" w:type="pct"/>
            <w:tcBorders>
              <w:right w:val="single" w:color="auto" w:sz="4" w:space="0"/>
            </w:tcBorders>
            <w:vAlign w:val="center"/>
          </w:tcPr>
          <w:p>
            <w:pPr>
              <w:rPr>
                <w:rFonts w:hint="eastAsia" w:ascii="仿宋" w:hAnsi="仿宋" w:eastAsia="仿宋" w:cs="仿宋"/>
                <w:bCs/>
                <w:color w:val="auto"/>
                <w:kern w:val="0"/>
                <w:sz w:val="24"/>
                <w:szCs w:val="24"/>
                <w:highlight w:val="none"/>
                <w:lang w:val="en-US" w:eastAsia="zh-CN" w:bidi="ar-SA"/>
              </w:rPr>
            </w:pPr>
          </w:p>
        </w:tc>
      </w:tr>
    </w:tbl>
    <w:p>
      <w:pPr>
        <w:rPr>
          <w:rFonts w:hint="eastAsia" w:ascii="仿宋" w:hAnsi="仿宋" w:eastAsia="仿宋" w:cs="仿宋"/>
          <w:bCs/>
          <w:color w:val="auto"/>
          <w:kern w:val="0"/>
          <w:sz w:val="24"/>
          <w:szCs w:val="24"/>
          <w:highlight w:val="none"/>
          <w:lang w:val="en-US" w:eastAsia="zh-CN" w:bidi="ar-SA"/>
        </w:rPr>
      </w:pPr>
    </w:p>
    <w:p>
      <w:pP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注：该考核表原则上于维修改造项目竣工验收时经验收成员综合讨论后打分。</w:t>
      </w:r>
    </w:p>
    <w:p>
      <w:pPr>
        <w:pStyle w:val="29"/>
        <w:rPr>
          <w:color w:val="auto"/>
          <w:highlight w:val="none"/>
        </w:rPr>
      </w:pPr>
    </w:p>
    <w:p>
      <w:pPr>
        <w:pStyle w:val="29"/>
        <w:spacing w:line="360" w:lineRule="auto"/>
        <w:outlineLvl w:val="1"/>
        <w:rPr>
          <w:rFonts w:hint="eastAsia" w:ascii="仿宋" w:hAnsi="仿宋" w:eastAsia="仿宋" w:cs="仿宋"/>
          <w:b/>
          <w:color w:val="auto"/>
          <w:kern w:val="2"/>
          <w:sz w:val="28"/>
          <w:szCs w:val="28"/>
          <w:highlight w:val="none"/>
          <w:lang w:val="en-US" w:eastAsia="zh-CN"/>
        </w:rPr>
      </w:pPr>
      <w:bookmarkStart w:id="76" w:name="_Toc29288"/>
      <w:r>
        <w:rPr>
          <w:rFonts w:hint="eastAsia" w:ascii="仿宋" w:hAnsi="仿宋" w:eastAsia="仿宋" w:cs="仿宋"/>
          <w:b/>
          <w:color w:val="auto"/>
          <w:kern w:val="2"/>
          <w:sz w:val="28"/>
          <w:szCs w:val="28"/>
          <w:highlight w:val="none"/>
          <w:lang w:val="en-US" w:eastAsia="zh-CN"/>
        </w:rPr>
        <w:t>七、采购人对工程管理的要求</w:t>
      </w:r>
      <w:bookmarkEnd w:id="53"/>
      <w:bookmarkEnd w:id="74"/>
      <w:bookmarkEnd w:id="75"/>
      <w:bookmarkEnd w:id="76"/>
    </w:p>
    <w:p>
      <w:pPr>
        <w:spacing w:line="360" w:lineRule="auto"/>
        <w:ind w:firstLine="480" w:firstLineChars="200"/>
        <w:rPr>
          <w:rFonts w:ascii="仿宋" w:hAnsi="仿宋" w:eastAsia="仿宋" w:cs="仿宋"/>
          <w:color w:val="auto"/>
          <w:kern w:val="44"/>
          <w:sz w:val="24"/>
          <w:highlight w:val="none"/>
        </w:rPr>
      </w:pPr>
      <w:r>
        <w:rPr>
          <w:rFonts w:hint="eastAsia" w:ascii="仿宋" w:hAnsi="仿宋" w:eastAsia="仿宋" w:cs="仿宋"/>
          <w:color w:val="auto"/>
          <w:kern w:val="44"/>
          <w:sz w:val="24"/>
          <w:highlight w:val="none"/>
        </w:rPr>
        <w:t>1.本工程发包范围内的工程项目，不得转包，未经采购人同意一律不得分包。一经发现立即取消成交资格，作违约处理，采购人有权解除本合同或扣罚履约保证金作为赔偿。</w:t>
      </w:r>
    </w:p>
    <w:p>
      <w:pPr>
        <w:spacing w:line="360" w:lineRule="auto"/>
        <w:ind w:firstLine="480" w:firstLineChars="200"/>
        <w:rPr>
          <w:rFonts w:ascii="仿宋" w:hAnsi="仿宋" w:eastAsia="仿宋" w:cs="仿宋"/>
          <w:color w:val="auto"/>
          <w:kern w:val="44"/>
          <w:sz w:val="24"/>
          <w:highlight w:val="none"/>
        </w:rPr>
      </w:pPr>
      <w:r>
        <w:rPr>
          <w:rFonts w:hint="eastAsia" w:ascii="仿宋" w:hAnsi="仿宋" w:eastAsia="仿宋" w:cs="仿宋"/>
          <w:color w:val="auto"/>
          <w:kern w:val="44"/>
          <w:sz w:val="24"/>
          <w:highlight w:val="none"/>
        </w:rPr>
        <w:t>2.供应商应严格按采购人要求的施工技术方案组织施工，并无条件地接受采购人或其委托的监理单位（如有）对施工质量、进度、安全、投资的监督和管理。</w:t>
      </w:r>
    </w:p>
    <w:p>
      <w:pPr>
        <w:spacing w:line="360" w:lineRule="auto"/>
        <w:ind w:firstLine="480" w:firstLineChars="200"/>
        <w:rPr>
          <w:rFonts w:ascii="仿宋" w:hAnsi="仿宋" w:eastAsia="仿宋" w:cs="仿宋"/>
          <w:color w:val="auto"/>
          <w:kern w:val="44"/>
          <w:sz w:val="24"/>
          <w:highlight w:val="none"/>
        </w:rPr>
      </w:pPr>
      <w:r>
        <w:rPr>
          <w:rFonts w:hint="eastAsia" w:ascii="仿宋" w:hAnsi="仿宋" w:eastAsia="仿宋" w:cs="仿宋"/>
          <w:color w:val="auto"/>
          <w:kern w:val="44"/>
          <w:sz w:val="24"/>
          <w:highlight w:val="none"/>
        </w:rPr>
        <w:t>3.供应商在响应文件中承诺的管理人员未经采购人同意，供应商不得调换和撤离，并按工程进度及时到位（主要施工人员到位率不得低于80%）。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bookmarkEnd w:id="46"/>
      <w:bookmarkEnd w:id="54"/>
      <w:bookmarkStart w:id="77" w:name="_Toc11089"/>
      <w:bookmarkStart w:id="78" w:name="_Toc18539"/>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44"/>
          <w:sz w:val="24"/>
          <w:highlight w:val="none"/>
        </w:rPr>
        <w:t>4.</w:t>
      </w:r>
      <w:r>
        <w:rPr>
          <w:rFonts w:hint="eastAsia" w:ascii="仿宋" w:hAnsi="仿宋" w:eastAsia="仿宋" w:cs="仿宋"/>
          <w:color w:val="auto"/>
          <w:sz w:val="24"/>
          <w:highlight w:val="none"/>
        </w:rPr>
        <w:t>供应商在服务过程中必须做到：随叫随到，及时处理，文明服务，同时为了不影响采购人正常教学秩序，如有必要，施工单位派出施工人员必须在采购人指定的临时住宿点居住，无关人员不得在采购人处居住。</w:t>
      </w:r>
      <w:bookmarkEnd w:id="77"/>
      <w:bookmarkEnd w:id="78"/>
      <w:bookmarkStart w:id="79" w:name="_Toc86678056"/>
      <w:bookmarkStart w:id="80" w:name="_Toc13865"/>
    </w:p>
    <w:p>
      <w:pPr>
        <w:pStyle w:val="29"/>
        <w:spacing w:line="360" w:lineRule="auto"/>
        <w:outlineLvl w:val="1"/>
        <w:rPr>
          <w:rFonts w:hint="eastAsia" w:ascii="仿宋" w:hAnsi="仿宋" w:eastAsia="仿宋" w:cs="仿宋"/>
          <w:b/>
          <w:color w:val="auto"/>
          <w:kern w:val="2"/>
          <w:sz w:val="28"/>
          <w:szCs w:val="28"/>
          <w:highlight w:val="none"/>
          <w:lang w:val="en-US" w:eastAsia="zh-CN"/>
        </w:rPr>
      </w:pPr>
      <w:bookmarkStart w:id="81" w:name="_Toc19405"/>
      <w:bookmarkStart w:id="82" w:name="_Toc18306"/>
      <w:bookmarkStart w:id="83" w:name="_Toc16642"/>
      <w:r>
        <w:rPr>
          <w:rFonts w:hint="eastAsia" w:ascii="仿宋" w:hAnsi="仿宋" w:eastAsia="仿宋" w:cs="仿宋"/>
          <w:b/>
          <w:color w:val="auto"/>
          <w:kern w:val="2"/>
          <w:sz w:val="28"/>
          <w:szCs w:val="28"/>
          <w:highlight w:val="none"/>
          <w:lang w:val="en-US" w:eastAsia="zh-CN"/>
        </w:rPr>
        <w:t>八、民事责任</w:t>
      </w:r>
      <w:bookmarkEnd w:id="79"/>
      <w:bookmarkEnd w:id="80"/>
      <w:bookmarkEnd w:id="81"/>
      <w:bookmarkEnd w:id="82"/>
      <w:bookmarkEnd w:id="83"/>
    </w:p>
    <w:p>
      <w:pPr>
        <w:autoSpaceDE w:val="0"/>
        <w:autoSpaceDN w:val="0"/>
        <w:adjustRightInd w:val="0"/>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（1）除磋商文件中约定经查实，响应供应商有串标、虚假响应或向采购人、磋商小组成员行贿等非法行为的，成交未签订合同的，采购人将取消其成交资格，响应供应商应赔偿采购人10000元人民币作为损失补偿。</w:t>
      </w:r>
    </w:p>
    <w:p>
      <w:pPr>
        <w:autoSpaceDE w:val="0"/>
        <w:autoSpaceDN w:val="0"/>
        <w:adjustRightInd w:val="0"/>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pPr>
        <w:autoSpaceDE w:val="0"/>
        <w:autoSpaceDN w:val="0"/>
        <w:adjustRightInd w:val="0"/>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3）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pPr>
        <w:pStyle w:val="21"/>
        <w:rPr>
          <w:color w:val="auto"/>
          <w:highlight w:val="none"/>
        </w:rPr>
        <w:sectPr>
          <w:headerReference r:id="rId22" w:type="first"/>
          <w:headerReference r:id="rId20" w:type="default"/>
          <w:headerReference r:id="rId21" w:type="even"/>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rPr>
          <w:rFonts w:ascii="Arial" w:hAnsi="Arial" w:eastAsia="新宋体" w:cs="Arial"/>
          <w:color w:val="auto"/>
          <w:sz w:val="22"/>
          <w:szCs w:val="22"/>
          <w:highlight w:val="none"/>
        </w:rPr>
      </w:pPr>
      <w:bookmarkStart w:id="84" w:name="_Toc18786"/>
      <w:r>
        <w:rPr>
          <w:rFonts w:hint="eastAsia"/>
          <w:color w:val="auto"/>
          <w:highlight w:val="none"/>
        </w:rPr>
        <w:t>第四章</w:t>
      </w:r>
      <w:r>
        <w:rPr>
          <w:color w:val="auto"/>
          <w:highlight w:val="none"/>
        </w:rPr>
        <w:t xml:space="preserve"> </w:t>
      </w:r>
      <w:bookmarkEnd w:id="39"/>
      <w:bookmarkEnd w:id="40"/>
      <w:r>
        <w:rPr>
          <w:rFonts w:hint="eastAsia"/>
          <w:color w:val="auto"/>
          <w:highlight w:val="none"/>
        </w:rPr>
        <w:t>评审方法和标准</w:t>
      </w:r>
      <w:bookmarkEnd w:id="84"/>
    </w:p>
    <w:p>
      <w:pPr>
        <w:spacing w:line="360" w:lineRule="auto"/>
        <w:ind w:firstLine="424" w:firstLineChars="176"/>
        <w:rPr>
          <w:rFonts w:ascii="仿宋" w:hAnsi="仿宋" w:eastAsia="仿宋" w:cs="Arial"/>
          <w:b/>
          <w:color w:val="auto"/>
          <w:kern w:val="0"/>
          <w:sz w:val="24"/>
          <w:szCs w:val="22"/>
          <w:highlight w:val="none"/>
        </w:rPr>
      </w:pPr>
      <w:r>
        <w:rPr>
          <w:rFonts w:ascii="仿宋" w:hAnsi="仿宋" w:eastAsia="仿宋" w:cs="Arial"/>
          <w:b/>
          <w:color w:val="auto"/>
          <w:kern w:val="0"/>
          <w:sz w:val="24"/>
          <w:szCs w:val="22"/>
          <w:highlight w:val="none"/>
        </w:rPr>
        <w:t>为公正、公平、科学地</w:t>
      </w:r>
      <w:r>
        <w:rPr>
          <w:rFonts w:hint="eastAsia" w:ascii="仿宋" w:hAnsi="仿宋" w:eastAsia="仿宋" w:cs="Arial"/>
          <w:b/>
          <w:color w:val="auto"/>
          <w:kern w:val="0"/>
          <w:sz w:val="24"/>
          <w:szCs w:val="22"/>
          <w:highlight w:val="none"/>
        </w:rPr>
        <w:t>选择</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参照《政府采购竞争性磋商采购方式管理暂行办法》</w:t>
      </w:r>
      <w:r>
        <w:rPr>
          <w:rFonts w:ascii="仿宋" w:hAnsi="仿宋" w:eastAsia="仿宋" w:cs="Arial"/>
          <w:b/>
          <w:color w:val="auto"/>
          <w:kern w:val="0"/>
          <w:sz w:val="24"/>
          <w:szCs w:val="22"/>
          <w:highlight w:val="none"/>
        </w:rPr>
        <w:t>等有关法律法规的规定，并结合本项目的实际，制定本</w:t>
      </w:r>
      <w:r>
        <w:rPr>
          <w:rFonts w:hint="eastAsia" w:ascii="仿宋" w:hAnsi="仿宋" w:eastAsia="仿宋" w:cs="Arial"/>
          <w:b/>
          <w:color w:val="auto"/>
          <w:kern w:val="0"/>
          <w:sz w:val="24"/>
          <w:szCs w:val="22"/>
          <w:highlight w:val="none"/>
        </w:rPr>
        <w:t>方法与标准</w:t>
      </w:r>
      <w:r>
        <w:rPr>
          <w:rFonts w:ascii="仿宋" w:hAnsi="仿宋" w:eastAsia="仿宋" w:cs="Arial"/>
          <w:b/>
          <w:color w:val="auto"/>
          <w:kern w:val="0"/>
          <w:sz w:val="24"/>
          <w:szCs w:val="22"/>
          <w:highlight w:val="none"/>
        </w:rPr>
        <w:t>。</w:t>
      </w:r>
    </w:p>
    <w:p>
      <w:pPr>
        <w:spacing w:line="360" w:lineRule="auto"/>
        <w:ind w:firstLine="424" w:firstLineChars="177"/>
        <w:jc w:val="left"/>
        <w:rPr>
          <w:rFonts w:ascii="Arial" w:hAnsi="Arial" w:eastAsia="新宋体" w:cs="Arial"/>
          <w:color w:val="auto"/>
          <w:kern w:val="0"/>
          <w:sz w:val="22"/>
          <w:szCs w:val="22"/>
          <w:highlight w:val="none"/>
        </w:rPr>
      </w:pPr>
      <w:r>
        <w:rPr>
          <w:rFonts w:ascii="仿宋" w:hAnsi="仿宋" w:eastAsia="仿宋" w:cs="Arial"/>
          <w:color w:val="auto"/>
          <w:kern w:val="0"/>
          <w:sz w:val="24"/>
          <w:szCs w:val="22"/>
          <w:highlight w:val="none"/>
        </w:rPr>
        <w:t>本</w:t>
      </w:r>
      <w:r>
        <w:rPr>
          <w:rFonts w:hint="eastAsia" w:ascii="仿宋" w:hAnsi="仿宋" w:eastAsia="仿宋" w:cs="Arial"/>
          <w:color w:val="auto"/>
          <w:kern w:val="0"/>
          <w:sz w:val="24"/>
          <w:szCs w:val="22"/>
          <w:highlight w:val="none"/>
        </w:rPr>
        <w:t>方法与标准仅</w:t>
      </w:r>
      <w:r>
        <w:rPr>
          <w:rFonts w:ascii="仿宋" w:hAnsi="仿宋" w:eastAsia="仿宋" w:cs="Arial"/>
          <w:color w:val="auto"/>
          <w:kern w:val="0"/>
          <w:sz w:val="24"/>
          <w:szCs w:val="22"/>
          <w:highlight w:val="none"/>
        </w:rPr>
        <w:t>适用于</w:t>
      </w:r>
      <w:r>
        <w:rPr>
          <w:rFonts w:hint="eastAsia" w:ascii="仿宋" w:hAnsi="仿宋" w:eastAsia="仿宋" w:cs="Arial"/>
          <w:b/>
          <w:color w:val="auto"/>
          <w:kern w:val="0"/>
          <w:sz w:val="24"/>
          <w:szCs w:val="22"/>
          <w:highlight w:val="none"/>
          <w:u w:val="single"/>
          <w:lang w:eastAsia="zh-CN"/>
        </w:rPr>
        <w:t>浙江中医药大学富春校区及滨文南区消防设施设备日常零星维修改造</w:t>
      </w:r>
      <w:r>
        <w:rPr>
          <w:rFonts w:ascii="仿宋" w:hAnsi="仿宋" w:eastAsia="仿宋" w:cs="Arial"/>
          <w:b/>
          <w:color w:val="auto"/>
          <w:kern w:val="0"/>
          <w:sz w:val="24"/>
          <w:highlight w:val="none"/>
          <w:u w:val="single"/>
        </w:rPr>
        <w:t>（项目编号：</w:t>
      </w:r>
      <w:r>
        <w:rPr>
          <w:rFonts w:hint="eastAsia" w:ascii="仿宋" w:hAnsi="仿宋" w:eastAsia="仿宋" w:cs="Arial"/>
          <w:b/>
          <w:color w:val="auto"/>
          <w:kern w:val="0"/>
          <w:sz w:val="24"/>
          <w:highlight w:val="none"/>
          <w:u w:val="single"/>
          <w:lang w:eastAsia="zh-CN"/>
        </w:rPr>
        <w:t>CTZB-2024060047</w:t>
      </w:r>
      <w:r>
        <w:rPr>
          <w:rFonts w:ascii="仿宋" w:hAnsi="仿宋" w:eastAsia="仿宋" w:cs="Arial"/>
          <w:b/>
          <w:color w:val="auto"/>
          <w:kern w:val="0"/>
          <w:sz w:val="24"/>
          <w:highlight w:val="none"/>
          <w:u w:val="single"/>
        </w:rPr>
        <w:t>）</w:t>
      </w:r>
      <w:r>
        <w:rPr>
          <w:rFonts w:ascii="仿宋" w:hAnsi="仿宋" w:eastAsia="仿宋" w:cs="Arial"/>
          <w:color w:val="auto"/>
          <w:kern w:val="0"/>
          <w:sz w:val="24"/>
          <w:szCs w:val="22"/>
          <w:highlight w:val="none"/>
        </w:rPr>
        <w:t>的评审。</w:t>
      </w:r>
    </w:p>
    <w:p>
      <w:pPr>
        <w:pStyle w:val="3"/>
        <w:rPr>
          <w:color w:val="auto"/>
          <w:highlight w:val="none"/>
        </w:rPr>
      </w:pPr>
      <w:bookmarkStart w:id="85" w:name="_Toc9646"/>
      <w:bookmarkStart w:id="86" w:name="_Toc440162794"/>
      <w:bookmarkStart w:id="87" w:name="_Toc424164162"/>
      <w:r>
        <w:rPr>
          <w:rFonts w:hint="eastAsia"/>
          <w:color w:val="auto"/>
          <w:highlight w:val="none"/>
        </w:rPr>
        <w:t>一、评审方法</w:t>
      </w:r>
      <w:bookmarkEnd w:id="85"/>
    </w:p>
    <w:p>
      <w:pPr>
        <w:snapToGrid w:val="0"/>
        <w:spacing w:line="360" w:lineRule="auto"/>
        <w:ind w:firstLine="426" w:firstLineChars="177"/>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本项目采用</w:t>
      </w:r>
      <w:r>
        <w:rPr>
          <w:rFonts w:ascii="仿宋" w:hAnsi="仿宋" w:eastAsia="仿宋" w:cs="Arial"/>
          <w:b/>
          <w:color w:val="auto"/>
          <w:kern w:val="0"/>
          <w:sz w:val="24"/>
          <w:szCs w:val="22"/>
          <w:highlight w:val="none"/>
        </w:rPr>
        <w:t>综合评分法</w:t>
      </w:r>
      <w:r>
        <w:rPr>
          <w:rFonts w:hint="eastAsia" w:ascii="仿宋" w:hAnsi="仿宋" w:eastAsia="仿宋" w:cs="Arial"/>
          <w:b/>
          <w:color w:val="auto"/>
          <w:sz w:val="24"/>
          <w:szCs w:val="22"/>
          <w:highlight w:val="none"/>
        </w:rPr>
        <w:t>（满分100分，</w:t>
      </w:r>
      <w:r>
        <w:rPr>
          <w:rFonts w:ascii="仿宋" w:hAnsi="仿宋" w:eastAsia="仿宋" w:cs="Arial"/>
          <w:b/>
          <w:color w:val="auto"/>
          <w:sz w:val="24"/>
          <w:szCs w:val="22"/>
          <w:highlight w:val="none"/>
        </w:rPr>
        <w:t>其中</w:t>
      </w:r>
      <w:r>
        <w:rPr>
          <w:rFonts w:hint="eastAsia" w:ascii="仿宋" w:hAnsi="仿宋" w:eastAsia="仿宋" w:cs="Arial"/>
          <w:b/>
          <w:color w:val="auto"/>
          <w:sz w:val="24"/>
          <w:szCs w:val="22"/>
          <w:highlight w:val="none"/>
        </w:rPr>
        <w:t>：</w:t>
      </w:r>
      <w:r>
        <w:rPr>
          <w:rFonts w:hint="eastAsia" w:ascii="仿宋" w:hAnsi="仿宋" w:eastAsia="仿宋" w:cs="Arial"/>
          <w:b/>
          <w:color w:val="auto"/>
          <w:sz w:val="24"/>
          <w:szCs w:val="22"/>
          <w:highlight w:val="none"/>
          <w:u w:val="single"/>
        </w:rPr>
        <w:t>商务技术</w:t>
      </w:r>
      <w:r>
        <w:rPr>
          <w:rFonts w:hint="eastAsia" w:ascii="仿宋" w:hAnsi="仿宋" w:eastAsia="仿宋" w:cs="Arial"/>
          <w:b/>
          <w:color w:val="auto"/>
          <w:sz w:val="24"/>
          <w:szCs w:val="22"/>
          <w:highlight w:val="none"/>
          <w:u w:val="single"/>
          <w:lang w:val="en-US" w:eastAsia="zh-CN"/>
        </w:rPr>
        <w:t>7</w:t>
      </w:r>
      <w:r>
        <w:rPr>
          <w:rFonts w:hint="eastAsia" w:ascii="仿宋" w:hAnsi="仿宋" w:eastAsia="仿宋" w:cs="Arial"/>
          <w:b/>
          <w:color w:val="auto"/>
          <w:sz w:val="24"/>
          <w:szCs w:val="22"/>
          <w:highlight w:val="none"/>
          <w:u w:val="single"/>
        </w:rPr>
        <w:t>0</w:t>
      </w:r>
      <w:r>
        <w:rPr>
          <w:rFonts w:ascii="仿宋" w:hAnsi="仿宋" w:eastAsia="仿宋" w:cs="Arial"/>
          <w:b/>
          <w:color w:val="auto"/>
          <w:sz w:val="24"/>
          <w:szCs w:val="22"/>
          <w:highlight w:val="none"/>
          <w:u w:val="single"/>
        </w:rPr>
        <w:t>分</w:t>
      </w:r>
      <w:r>
        <w:rPr>
          <w:rFonts w:hint="eastAsia" w:ascii="仿宋" w:hAnsi="仿宋" w:eastAsia="仿宋" w:cs="Arial"/>
          <w:b/>
          <w:color w:val="auto"/>
          <w:sz w:val="24"/>
          <w:szCs w:val="22"/>
          <w:highlight w:val="none"/>
          <w:u w:val="single"/>
        </w:rPr>
        <w:t>，报价</w:t>
      </w:r>
      <w:r>
        <w:rPr>
          <w:rFonts w:hint="eastAsia" w:ascii="仿宋" w:hAnsi="仿宋" w:eastAsia="仿宋" w:cs="Arial"/>
          <w:b/>
          <w:color w:val="auto"/>
          <w:sz w:val="24"/>
          <w:szCs w:val="22"/>
          <w:highlight w:val="none"/>
          <w:u w:val="single"/>
          <w:lang w:val="en-US" w:eastAsia="zh-CN"/>
        </w:rPr>
        <w:t>3</w:t>
      </w:r>
      <w:r>
        <w:rPr>
          <w:rFonts w:hint="eastAsia" w:ascii="仿宋" w:hAnsi="仿宋" w:eastAsia="仿宋" w:cs="Arial"/>
          <w:b/>
          <w:color w:val="auto"/>
          <w:sz w:val="24"/>
          <w:szCs w:val="22"/>
          <w:highlight w:val="none"/>
          <w:u w:val="single"/>
        </w:rPr>
        <w:t>0</w:t>
      </w:r>
      <w:r>
        <w:rPr>
          <w:rFonts w:ascii="仿宋" w:hAnsi="仿宋" w:eastAsia="仿宋" w:cs="Arial"/>
          <w:b/>
          <w:color w:val="auto"/>
          <w:sz w:val="24"/>
          <w:szCs w:val="22"/>
          <w:highlight w:val="none"/>
          <w:u w:val="single"/>
        </w:rPr>
        <w:t>分</w:t>
      </w:r>
      <w:r>
        <w:rPr>
          <w:rFonts w:hint="eastAsia" w:ascii="仿宋" w:hAnsi="仿宋" w:eastAsia="仿宋" w:cs="Arial"/>
          <w:b/>
          <w:color w:val="auto"/>
          <w:sz w:val="24"/>
          <w:szCs w:val="22"/>
          <w:highlight w:val="none"/>
        </w:rPr>
        <w:t>）。</w:t>
      </w:r>
    </w:p>
    <w:p>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磋商小组将按照本章规定的评审方法、评分标准，</w:t>
      </w:r>
      <w:r>
        <w:rPr>
          <w:rFonts w:hint="eastAsia" w:ascii="仿宋" w:hAnsi="仿宋" w:eastAsia="仿宋" w:cs="Arial"/>
          <w:b/>
          <w:color w:val="auto"/>
          <w:kern w:val="0"/>
          <w:sz w:val="24"/>
          <w:szCs w:val="22"/>
          <w:highlight w:val="none"/>
        </w:rPr>
        <w:t>对所有提交了最后报价的供应商的响应文件和最后报价进行综合评分。</w:t>
      </w:r>
      <w:r>
        <w:rPr>
          <w:rFonts w:ascii="仿宋" w:hAnsi="仿宋" w:eastAsia="仿宋" w:cs="Arial"/>
          <w:color w:val="auto"/>
          <w:kern w:val="0"/>
          <w:sz w:val="24"/>
          <w:szCs w:val="22"/>
          <w:highlight w:val="none"/>
        </w:rPr>
        <w:t>评分过程中采用四舍五入法，保留小数</w:t>
      </w:r>
      <w:r>
        <w:rPr>
          <w:rFonts w:hint="eastAsia" w:ascii="仿宋" w:hAnsi="仿宋" w:eastAsia="仿宋" w:cs="Arial"/>
          <w:color w:val="auto"/>
          <w:kern w:val="0"/>
          <w:sz w:val="24"/>
          <w:szCs w:val="22"/>
          <w:highlight w:val="none"/>
        </w:rPr>
        <w:t>二</w:t>
      </w:r>
      <w:r>
        <w:rPr>
          <w:rFonts w:ascii="仿宋" w:hAnsi="仿宋" w:eastAsia="仿宋" w:cs="Arial"/>
          <w:color w:val="auto"/>
          <w:kern w:val="0"/>
          <w:sz w:val="24"/>
          <w:szCs w:val="22"/>
          <w:highlight w:val="none"/>
        </w:rPr>
        <w:t>位</w:t>
      </w:r>
      <w:r>
        <w:rPr>
          <w:rFonts w:hint="eastAsia" w:ascii="仿宋" w:hAnsi="仿宋" w:eastAsia="仿宋" w:cs="Arial"/>
          <w:color w:val="auto"/>
          <w:kern w:val="0"/>
          <w:sz w:val="24"/>
          <w:szCs w:val="22"/>
          <w:highlight w:val="none"/>
        </w:rPr>
        <w:t>。</w:t>
      </w:r>
    </w:p>
    <w:p>
      <w:pPr>
        <w:spacing w:line="360" w:lineRule="auto"/>
        <w:ind w:firstLine="424" w:firstLineChars="176"/>
        <w:rPr>
          <w:rFonts w:ascii="Calibri" w:hAnsi="Calibri"/>
          <w:color w:val="auto"/>
          <w:highlight w:val="none"/>
        </w:rPr>
      </w:pPr>
      <w:r>
        <w:rPr>
          <w:rFonts w:ascii="仿宋" w:hAnsi="仿宋" w:eastAsia="仿宋" w:cs="Arial"/>
          <w:b/>
          <w:color w:val="auto"/>
          <w:sz w:val="24"/>
          <w:szCs w:val="22"/>
          <w:highlight w:val="none"/>
        </w:rPr>
        <w:t>综合得分</w:t>
      </w:r>
      <w:r>
        <w:rPr>
          <w:rFonts w:hint="eastAsia" w:ascii="仿宋" w:hAnsi="仿宋" w:eastAsia="仿宋" w:cs="Arial"/>
          <w:b/>
          <w:color w:val="auto"/>
          <w:sz w:val="24"/>
          <w:szCs w:val="22"/>
          <w:highlight w:val="none"/>
        </w:rPr>
        <w:t>=商务技术</w:t>
      </w:r>
      <w:r>
        <w:rPr>
          <w:rFonts w:ascii="仿宋" w:hAnsi="仿宋" w:eastAsia="仿宋" w:cs="Arial"/>
          <w:b/>
          <w:color w:val="auto"/>
          <w:sz w:val="24"/>
          <w:szCs w:val="22"/>
          <w:highlight w:val="none"/>
        </w:rPr>
        <w:t>得分</w:t>
      </w:r>
      <w:r>
        <w:rPr>
          <w:rFonts w:hint="eastAsia" w:ascii="仿宋" w:hAnsi="仿宋" w:eastAsia="仿宋" w:cs="Arial"/>
          <w:b/>
          <w:color w:val="auto"/>
          <w:sz w:val="24"/>
          <w:szCs w:val="22"/>
          <w:highlight w:val="none"/>
        </w:rPr>
        <w:t>+最后报价得分</w:t>
      </w:r>
    </w:p>
    <w:p>
      <w:pPr>
        <w:pStyle w:val="3"/>
        <w:rPr>
          <w:color w:val="auto"/>
          <w:highlight w:val="none"/>
        </w:rPr>
      </w:pPr>
      <w:bookmarkStart w:id="88" w:name="_Toc31410"/>
      <w:r>
        <w:rPr>
          <w:rFonts w:hint="eastAsia"/>
          <w:color w:val="auto"/>
          <w:highlight w:val="none"/>
        </w:rPr>
        <w:t>二、评审程序及内容</w:t>
      </w:r>
      <w:bookmarkEnd w:id="88"/>
    </w:p>
    <w:p>
      <w:pPr>
        <w:spacing w:line="360" w:lineRule="auto"/>
        <w:ind w:firstLine="424" w:firstLineChars="176"/>
        <w:rPr>
          <w:rFonts w:ascii="Calibri" w:hAnsi="Calibri"/>
          <w:color w:val="auto"/>
          <w:highlight w:val="none"/>
        </w:rPr>
      </w:pPr>
      <w:r>
        <w:rPr>
          <w:rFonts w:hint="eastAsia" w:ascii="仿宋" w:hAnsi="仿宋" w:eastAsia="仿宋" w:cs="Arial"/>
          <w:b/>
          <w:color w:val="auto"/>
          <w:kern w:val="0"/>
          <w:sz w:val="24"/>
          <w:szCs w:val="22"/>
          <w:highlight w:val="none"/>
        </w:rPr>
        <w:t>本项目具体的评审事务由磋商小组负责，评审程序及内容如下：</w:t>
      </w:r>
    </w:p>
    <w:p>
      <w:pPr>
        <w:pStyle w:val="4"/>
        <w:rPr>
          <w:color w:val="auto"/>
          <w:highlight w:val="none"/>
        </w:rPr>
      </w:pPr>
      <w:r>
        <w:rPr>
          <w:rFonts w:hint="eastAsia"/>
          <w:color w:val="auto"/>
          <w:highlight w:val="none"/>
        </w:rPr>
        <w:t>2.1 评审前准备</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2.1.1推选磋商小组组长。</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2.1.2磋商小组组长召集所有成员阅读磋商文件及相关补充、质疑、答复文件、项目书面说明等材料，熟悉采购项目基本情况、采购需求、合同条款、磋商响应文件无效情形、评审方法、评审标准，以及其他与评审有关的内容。</w:t>
      </w:r>
    </w:p>
    <w:p>
      <w:pPr>
        <w:pStyle w:val="4"/>
        <w:rPr>
          <w:color w:val="auto"/>
          <w:szCs w:val="22"/>
          <w:highlight w:val="none"/>
        </w:rPr>
      </w:pPr>
      <w:r>
        <w:rPr>
          <w:rFonts w:hint="eastAsia"/>
          <w:color w:val="auto"/>
          <w:highlight w:val="none"/>
        </w:rPr>
        <w:t>2.2 供应商资格审查</w:t>
      </w:r>
    </w:p>
    <w:p>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2.2.1磋商开始前，磋商小组首先</w:t>
      </w:r>
      <w:r>
        <w:rPr>
          <w:rFonts w:ascii="仿宋" w:hAnsi="仿宋" w:eastAsia="仿宋" w:cs="Arial"/>
          <w:b/>
          <w:color w:val="auto"/>
          <w:kern w:val="0"/>
          <w:sz w:val="24"/>
          <w:szCs w:val="22"/>
          <w:highlight w:val="none"/>
        </w:rPr>
        <w:t>依据法律法规和磋商文件的规定，对</w:t>
      </w:r>
      <w:r>
        <w:rPr>
          <w:rFonts w:hint="eastAsia" w:ascii="仿宋" w:hAnsi="仿宋" w:eastAsia="仿宋" w:cs="Arial"/>
          <w:b/>
          <w:color w:val="auto"/>
          <w:kern w:val="0"/>
          <w:sz w:val="24"/>
          <w:szCs w:val="22"/>
          <w:highlight w:val="none"/>
        </w:rPr>
        <w:t>各供应商</w:t>
      </w:r>
      <w:r>
        <w:rPr>
          <w:rFonts w:ascii="仿宋" w:hAnsi="仿宋" w:eastAsia="仿宋" w:cs="Arial"/>
          <w:b/>
          <w:color w:val="auto"/>
          <w:kern w:val="0"/>
          <w:sz w:val="24"/>
          <w:szCs w:val="22"/>
          <w:highlight w:val="none"/>
        </w:rPr>
        <w:t>磋商响应文件中的资格</w:t>
      </w:r>
      <w:r>
        <w:rPr>
          <w:rFonts w:hint="eastAsia" w:ascii="仿宋" w:hAnsi="仿宋" w:eastAsia="仿宋" w:cs="Arial"/>
          <w:b/>
          <w:color w:val="auto"/>
          <w:kern w:val="0"/>
          <w:sz w:val="24"/>
          <w:szCs w:val="22"/>
          <w:highlight w:val="none"/>
        </w:rPr>
        <w:t>文件</w:t>
      </w:r>
      <w:r>
        <w:rPr>
          <w:rFonts w:ascii="仿宋" w:hAnsi="仿宋" w:eastAsia="仿宋" w:cs="Arial"/>
          <w:b/>
          <w:color w:val="auto"/>
          <w:kern w:val="0"/>
          <w:sz w:val="24"/>
          <w:szCs w:val="22"/>
          <w:highlight w:val="none"/>
        </w:rPr>
        <w:t>进行审查，以确定供应商是否具备</w:t>
      </w:r>
      <w:r>
        <w:rPr>
          <w:rFonts w:hint="eastAsia" w:ascii="仿宋" w:hAnsi="仿宋" w:eastAsia="仿宋" w:cs="Arial"/>
          <w:b/>
          <w:color w:val="auto"/>
          <w:kern w:val="0"/>
          <w:sz w:val="24"/>
          <w:szCs w:val="22"/>
          <w:highlight w:val="none"/>
        </w:rPr>
        <w:t>磋商</w:t>
      </w:r>
      <w:r>
        <w:rPr>
          <w:rFonts w:ascii="仿宋" w:hAnsi="仿宋" w:eastAsia="仿宋" w:cs="Arial"/>
          <w:b/>
          <w:color w:val="auto"/>
          <w:kern w:val="0"/>
          <w:sz w:val="24"/>
          <w:szCs w:val="22"/>
          <w:highlight w:val="none"/>
        </w:rPr>
        <w:t>资格。</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2.2.2</w:t>
      </w:r>
      <w:r>
        <w:rPr>
          <w:rFonts w:hint="eastAsia" w:ascii="仿宋" w:hAnsi="仿宋" w:eastAsia="仿宋" w:cs="Arial"/>
          <w:b/>
          <w:color w:val="auto"/>
          <w:kern w:val="0"/>
          <w:sz w:val="24"/>
          <w:highlight w:val="none"/>
          <w:u w:val="single"/>
        </w:rPr>
        <w:t>磋商小组在资格审查时，发现供应商存在下列情形的，做资格审查不通过处理，不再与其进行后续磋商和评审</w:t>
      </w:r>
      <w:r>
        <w:rPr>
          <w:rFonts w:hint="eastAsia" w:ascii="仿宋" w:hAnsi="仿宋" w:eastAsia="仿宋" w:cs="Arial"/>
          <w:b/>
          <w:color w:val="auto"/>
          <w:kern w:val="0"/>
          <w:sz w:val="24"/>
          <w:highlight w:val="none"/>
        </w:rPr>
        <w:t>：</w:t>
      </w:r>
    </w:p>
    <w:p>
      <w:pPr>
        <w:spacing w:line="360" w:lineRule="auto"/>
        <w:ind w:firstLine="458" w:firstLineChars="191"/>
        <w:jc w:val="left"/>
        <w:rPr>
          <w:rFonts w:ascii="Calibri" w:hAnsi="Calibri"/>
          <w:color w:val="auto"/>
          <w:highlight w:val="none"/>
        </w:rPr>
      </w:pP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w:t>
      </w:r>
      <w:r>
        <w:rPr>
          <w:rFonts w:hint="eastAsia" w:ascii="仿宋" w:hAnsi="仿宋" w:eastAsia="仿宋" w:cs="Arial"/>
          <w:b/>
          <w:color w:val="auto"/>
          <w:kern w:val="0"/>
          <w:sz w:val="24"/>
          <w:highlight w:val="none"/>
          <w:u w:val="single"/>
        </w:rPr>
        <w:t>供应商不符合采购公告所列“申请人的资格要求”的，或者提交的</w:t>
      </w:r>
      <w:r>
        <w:rPr>
          <w:rFonts w:ascii="仿宋" w:hAnsi="仿宋" w:eastAsia="仿宋" w:cs="Arial"/>
          <w:b/>
          <w:color w:val="auto"/>
          <w:kern w:val="0"/>
          <w:sz w:val="24"/>
          <w:highlight w:val="none"/>
          <w:u w:val="single"/>
        </w:rPr>
        <w:t>资格证明文件不全的</w:t>
      </w:r>
      <w:r>
        <w:rPr>
          <w:rFonts w:hint="eastAsia" w:ascii="仿宋" w:hAnsi="仿宋" w:eastAsia="仿宋" w:cs="Arial"/>
          <w:color w:val="auto"/>
          <w:kern w:val="0"/>
          <w:sz w:val="24"/>
          <w:highlight w:val="none"/>
        </w:rPr>
        <w:t>。</w:t>
      </w:r>
    </w:p>
    <w:p>
      <w:pPr>
        <w:pStyle w:val="4"/>
        <w:rPr>
          <w:color w:val="auto"/>
          <w:highlight w:val="none"/>
        </w:rPr>
      </w:pPr>
      <w:r>
        <w:rPr>
          <w:rFonts w:hint="eastAsia"/>
          <w:color w:val="auto"/>
          <w:highlight w:val="none"/>
        </w:rPr>
        <w:t>2.3 磋商响应文件的符合性审查</w:t>
      </w:r>
    </w:p>
    <w:p>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b/>
          <w:color w:val="auto"/>
          <w:sz w:val="24"/>
          <w:highlight w:val="none"/>
        </w:rPr>
        <w:t>2.3.1</w:t>
      </w:r>
      <w:r>
        <w:rPr>
          <w:rFonts w:hint="eastAsia" w:ascii="仿宋" w:hAnsi="仿宋" w:eastAsia="仿宋" w:cs="Arial"/>
          <w:b/>
          <w:color w:val="auto"/>
          <w:kern w:val="0"/>
          <w:sz w:val="24"/>
          <w:szCs w:val="22"/>
          <w:highlight w:val="none"/>
        </w:rPr>
        <w:t>对各供应商的磋商响应文件的有效性、完整性和响应程度进行审查，确定是否对采购文件作出实质性响应</w:t>
      </w:r>
      <w:r>
        <w:rPr>
          <w:rFonts w:hint="eastAsia" w:ascii="仿宋" w:hAnsi="仿宋" w:eastAsia="仿宋"/>
          <w:color w:val="auto"/>
          <w:sz w:val="24"/>
          <w:highlight w:val="none"/>
        </w:rPr>
        <w:t>（</w:t>
      </w:r>
      <w:r>
        <w:rPr>
          <w:rFonts w:ascii="仿宋" w:hAnsi="仿宋" w:eastAsia="仿宋"/>
          <w:color w:val="auto"/>
          <w:sz w:val="24"/>
          <w:highlight w:val="none"/>
        </w:rPr>
        <w:t>实质性响应的磋商响应文件是指磋商响应文件符合磋商文件规定的实质性内容、条件和规定</w:t>
      </w:r>
      <w:r>
        <w:rPr>
          <w:rFonts w:hint="eastAsia" w:ascii="仿宋" w:hAnsi="仿宋" w:eastAsia="仿宋"/>
          <w:color w:val="auto"/>
          <w:sz w:val="24"/>
          <w:highlight w:val="none"/>
        </w:rPr>
        <w:t>）</w:t>
      </w:r>
      <w:r>
        <w:rPr>
          <w:rFonts w:hint="eastAsia" w:ascii="仿宋" w:hAnsi="仿宋" w:eastAsia="仿宋" w:cs="Arial"/>
          <w:b/>
          <w:color w:val="auto"/>
          <w:kern w:val="0"/>
          <w:sz w:val="24"/>
          <w:szCs w:val="22"/>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2.3.2磋商响应文件（商务技术文件）存在</w:t>
      </w:r>
      <w:r>
        <w:rPr>
          <w:rFonts w:ascii="仿宋" w:hAnsi="仿宋" w:eastAsia="仿宋" w:cs="Arial"/>
          <w:b/>
          <w:color w:val="auto"/>
          <w:kern w:val="0"/>
          <w:sz w:val="24"/>
          <w:highlight w:val="none"/>
        </w:rPr>
        <w:t>下列情形之一的，</w:t>
      </w:r>
      <w:r>
        <w:rPr>
          <w:rFonts w:hint="eastAsia" w:ascii="仿宋" w:hAnsi="仿宋" w:eastAsia="仿宋" w:cs="Arial"/>
          <w:b/>
          <w:color w:val="auto"/>
          <w:kern w:val="0"/>
          <w:sz w:val="24"/>
          <w:highlight w:val="none"/>
        </w:rPr>
        <w:t>经磋商小组认定后作无效响应处理</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未对采购文件作出实质性响应的，或不满足（不响应）本采购文件中</w:t>
      </w:r>
      <w:r>
        <w:rPr>
          <w:rFonts w:ascii="仿宋" w:hAnsi="仿宋" w:eastAsia="仿宋" w:cs="Arial"/>
          <w:b/>
          <w:color w:val="auto"/>
          <w:kern w:val="0"/>
          <w:sz w:val="24"/>
          <w:highlight w:val="none"/>
          <w:u w:val="single"/>
        </w:rPr>
        <w:t>标注 “▲”的实质性</w:t>
      </w:r>
      <w:r>
        <w:rPr>
          <w:rFonts w:hint="eastAsia" w:ascii="仿宋" w:hAnsi="仿宋" w:eastAsia="仿宋" w:cs="Arial"/>
          <w:b/>
          <w:color w:val="auto"/>
          <w:kern w:val="0"/>
          <w:sz w:val="24"/>
          <w:highlight w:val="none"/>
          <w:u w:val="single"/>
        </w:rPr>
        <w:t>要求</w:t>
      </w:r>
      <w:r>
        <w:rPr>
          <w:rFonts w:ascii="仿宋" w:hAnsi="仿宋" w:eastAsia="仿宋" w:cs="Arial"/>
          <w:b/>
          <w:color w:val="auto"/>
          <w:kern w:val="0"/>
          <w:sz w:val="24"/>
          <w:highlight w:val="none"/>
          <w:u w:val="single"/>
        </w:rPr>
        <w:t>条款</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w w:val="90"/>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存在一个或一个以上备选（替代）方案</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w:t>
      </w:r>
      <w:r>
        <w:rPr>
          <w:rFonts w:hint="eastAsia" w:ascii="仿宋" w:hAnsi="仿宋" w:eastAsia="仿宋"/>
          <w:b/>
          <w:color w:val="auto"/>
          <w:sz w:val="24"/>
          <w:highlight w:val="none"/>
          <w:u w:val="single"/>
        </w:rPr>
        <w:t>未按采购文件规定装订；</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hint="eastAsia" w:ascii="仿宋" w:hAnsi="仿宋" w:eastAsia="仿宋" w:cs="Arial"/>
          <w:b/>
          <w:color w:val="auto"/>
          <w:kern w:val="0"/>
          <w:sz w:val="24"/>
          <w:highlight w:val="none"/>
          <w:u w:val="single"/>
        </w:rPr>
        <w:t>以联合体形式参加磋商但未提交有效的联合投标（响应）协议书的</w:t>
      </w:r>
      <w:r>
        <w:rPr>
          <w:rFonts w:hint="eastAsia"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u w:val="single"/>
        </w:rPr>
        <w:t>未按</w:t>
      </w:r>
      <w:r>
        <w:rPr>
          <w:rFonts w:hint="eastAsia" w:ascii="仿宋" w:hAnsi="仿宋" w:eastAsia="仿宋" w:cs="Arial"/>
          <w:b/>
          <w:color w:val="auto"/>
          <w:kern w:val="0"/>
          <w:sz w:val="24"/>
          <w:highlight w:val="none"/>
          <w:u w:val="single"/>
        </w:rPr>
        <w:t>采购文件《第二章供应商须知》或《第六章磋商响应文件格式》标注的要求进行盖章或签署</w:t>
      </w:r>
      <w:r>
        <w:rPr>
          <w:rFonts w:ascii="仿宋" w:hAnsi="仿宋" w:eastAsia="仿宋" w:cs="Arial"/>
          <w:b/>
          <w:color w:val="auto"/>
          <w:kern w:val="0"/>
          <w:sz w:val="24"/>
          <w:highlight w:val="none"/>
          <w:u w:val="single"/>
        </w:rPr>
        <w:t>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响应文件内容组成内容不齐全，磋商文件规定必须提供而未提供的</w:t>
      </w:r>
      <w:r>
        <w:rPr>
          <w:rFonts w:ascii="仿宋" w:hAnsi="仿宋" w:eastAsia="仿宋" w:cs="Arial"/>
          <w:b/>
          <w:color w:val="auto"/>
          <w:kern w:val="0"/>
          <w:sz w:val="24"/>
          <w:highlight w:val="none"/>
        </w:rPr>
        <w:t>；</w:t>
      </w:r>
    </w:p>
    <w:p>
      <w:pPr>
        <w:pStyle w:val="36"/>
        <w:spacing w:line="360" w:lineRule="auto"/>
        <w:ind w:firstLine="482"/>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（7）</w:t>
      </w:r>
      <w:r>
        <w:rPr>
          <w:rFonts w:hint="eastAsia" w:ascii="仿宋" w:hAnsi="仿宋" w:eastAsia="仿宋" w:cs="Arial"/>
          <w:b/>
          <w:color w:val="auto"/>
          <w:kern w:val="0"/>
          <w:sz w:val="24"/>
          <w:highlight w:val="none"/>
          <w:u w:val="single"/>
        </w:rPr>
        <w:t>响应文件组成未按规定的格式编制或响应文件正、副本份数不足或内容不全或内容字迹模糊辨认不清的等而导致评标活动无法正常进行；</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8</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标注的响应或偏离情况与事实不符，或提供了虚假材料的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9</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磋商响应文件</w:t>
      </w:r>
      <w:r>
        <w:rPr>
          <w:rFonts w:ascii="仿宋" w:hAnsi="仿宋" w:eastAsia="仿宋" w:cs="Arial"/>
          <w:b/>
          <w:color w:val="auto"/>
          <w:kern w:val="0"/>
          <w:sz w:val="24"/>
          <w:highlight w:val="none"/>
          <w:u w:val="single"/>
        </w:rPr>
        <w:t>有效期</w:t>
      </w:r>
      <w:r>
        <w:rPr>
          <w:rFonts w:hint="eastAsia" w:ascii="仿宋" w:hAnsi="仿宋" w:eastAsia="仿宋" w:cs="Arial"/>
          <w:b/>
          <w:color w:val="auto"/>
          <w:kern w:val="0"/>
          <w:sz w:val="24"/>
          <w:highlight w:val="none"/>
          <w:u w:val="single"/>
        </w:rPr>
        <w:t>不符合采购文件</w:t>
      </w:r>
      <w:r>
        <w:rPr>
          <w:rFonts w:ascii="仿宋" w:hAnsi="仿宋" w:eastAsia="仿宋" w:cs="Arial"/>
          <w:b/>
          <w:color w:val="auto"/>
          <w:kern w:val="0"/>
          <w:sz w:val="24"/>
          <w:highlight w:val="none"/>
          <w:u w:val="single"/>
        </w:rPr>
        <w:t>要求的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不响应或擅自改变</w:t>
      </w:r>
      <w:r>
        <w:rPr>
          <w:rFonts w:hint="eastAsia" w:ascii="仿宋" w:hAnsi="仿宋" w:eastAsia="仿宋" w:cs="Arial"/>
          <w:b/>
          <w:color w:val="auto"/>
          <w:kern w:val="0"/>
          <w:sz w:val="24"/>
          <w:highlight w:val="none"/>
          <w:u w:val="single"/>
        </w:rPr>
        <w:t>采购文件</w:t>
      </w:r>
      <w:r>
        <w:rPr>
          <w:rFonts w:ascii="仿宋" w:hAnsi="仿宋" w:eastAsia="仿宋" w:cs="Arial"/>
          <w:b/>
          <w:color w:val="auto"/>
          <w:kern w:val="0"/>
          <w:sz w:val="24"/>
          <w:highlight w:val="none"/>
          <w:u w:val="single"/>
        </w:rPr>
        <w:t>要求或磋商响应文件有</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人不能接受的附加条件的</w:t>
      </w:r>
      <w:r>
        <w:rPr>
          <w:rFonts w:ascii="仿宋" w:hAnsi="仿宋" w:eastAsia="仿宋" w:cs="Arial"/>
          <w:b/>
          <w:color w:val="auto"/>
          <w:kern w:val="0"/>
          <w:sz w:val="24"/>
          <w:highlight w:val="none"/>
        </w:rPr>
        <w:t>；</w:t>
      </w:r>
    </w:p>
    <w:p>
      <w:pPr>
        <w:pStyle w:val="13"/>
        <w:rPr>
          <w:color w:val="auto"/>
          <w:highlight w:val="none"/>
        </w:rPr>
      </w:pPr>
      <w:r>
        <w:rPr>
          <w:rFonts w:hint="eastAsia" w:ascii="仿宋" w:hAnsi="仿宋" w:eastAsia="仿宋" w:cs="Arial"/>
          <w:b/>
          <w:color w:val="auto"/>
          <w:kern w:val="0"/>
          <w:highlight w:val="none"/>
        </w:rPr>
        <w:t>（11）</w:t>
      </w:r>
      <w:r>
        <w:rPr>
          <w:rFonts w:hint="eastAsia" w:ascii="仿宋" w:hAnsi="仿宋" w:eastAsia="仿宋" w:cs="Arial"/>
          <w:b/>
          <w:color w:val="auto"/>
          <w:kern w:val="0"/>
          <w:highlight w:val="none"/>
          <w:u w:val="single"/>
        </w:rPr>
        <w:t>参加同一合同项下采购活动的不同供应商之间存在采购文件第二章供应商须知第1.13.2款规定的利害关系的</w:t>
      </w:r>
      <w:r>
        <w:rPr>
          <w:rFonts w:hint="eastAsia" w:ascii="仿宋" w:hAnsi="仿宋" w:eastAsia="仿宋" w:cs="Arial"/>
          <w:b/>
          <w:color w:val="auto"/>
          <w:kern w:val="0"/>
          <w:highlight w:val="none"/>
        </w:rPr>
        <w:t>；</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hint="eastAsia" w:ascii="仿宋" w:hAnsi="仿宋" w:eastAsia="仿宋" w:cs="Arial"/>
          <w:b/>
          <w:color w:val="auto"/>
          <w:kern w:val="0"/>
          <w:sz w:val="24"/>
          <w:highlight w:val="none"/>
          <w:u w:val="single"/>
        </w:rPr>
        <w:t>存在法律、法规和采购文件规定的其他无效响应情形的</w:t>
      </w:r>
      <w:r>
        <w:rPr>
          <w:rFonts w:hint="eastAsia"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2.3.3</w:t>
      </w:r>
      <w:r>
        <w:rPr>
          <w:rFonts w:hint="eastAsia" w:ascii="仿宋" w:hAnsi="仿宋" w:eastAsia="仿宋" w:cs="Arial"/>
          <w:b/>
          <w:color w:val="auto"/>
          <w:kern w:val="0"/>
          <w:sz w:val="24"/>
          <w:highlight w:val="none"/>
          <w:u w:val="single"/>
        </w:rPr>
        <w:t>磋商响应文件（报价文件）存在</w:t>
      </w:r>
      <w:r>
        <w:rPr>
          <w:rFonts w:ascii="仿宋" w:hAnsi="仿宋" w:eastAsia="仿宋" w:cs="Arial"/>
          <w:b/>
          <w:color w:val="auto"/>
          <w:kern w:val="0"/>
          <w:sz w:val="24"/>
          <w:highlight w:val="none"/>
          <w:u w:val="single"/>
        </w:rPr>
        <w:t>下列情形之一的，</w:t>
      </w:r>
      <w:r>
        <w:rPr>
          <w:rFonts w:hint="eastAsia" w:ascii="仿宋" w:hAnsi="仿宋" w:eastAsia="仿宋" w:cs="Arial"/>
          <w:b/>
          <w:color w:val="auto"/>
          <w:kern w:val="0"/>
          <w:sz w:val="24"/>
          <w:highlight w:val="none"/>
          <w:u w:val="single"/>
        </w:rPr>
        <w:t>经磋商小组认定后作无效响应处理</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未对磋商文件作出实质性响应的，或不满足（不响应）采购文件中</w:t>
      </w:r>
      <w:r>
        <w:rPr>
          <w:rFonts w:ascii="仿宋" w:hAnsi="仿宋" w:eastAsia="仿宋" w:cs="Arial"/>
          <w:b/>
          <w:color w:val="auto"/>
          <w:kern w:val="0"/>
          <w:sz w:val="24"/>
          <w:highlight w:val="none"/>
          <w:u w:val="single"/>
        </w:rPr>
        <w:t>标注“▲”的实质性</w:t>
      </w:r>
      <w:r>
        <w:rPr>
          <w:rFonts w:hint="eastAsia" w:ascii="仿宋" w:hAnsi="仿宋" w:eastAsia="仿宋" w:cs="Arial"/>
          <w:b/>
          <w:color w:val="auto"/>
          <w:kern w:val="0"/>
          <w:sz w:val="24"/>
          <w:highlight w:val="none"/>
          <w:u w:val="single"/>
        </w:rPr>
        <w:t>要求</w:t>
      </w:r>
      <w:r>
        <w:rPr>
          <w:rFonts w:ascii="仿宋" w:hAnsi="仿宋" w:eastAsia="仿宋" w:cs="Arial"/>
          <w:b/>
          <w:color w:val="auto"/>
          <w:kern w:val="0"/>
          <w:sz w:val="24"/>
          <w:highlight w:val="none"/>
          <w:u w:val="single"/>
        </w:rPr>
        <w:t>条款</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w w:val="90"/>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最后报价超过采购预算（或最高限价）的，或者最后报价具有选择性且拒不接受采购文件规定的修订原则进行修订的</w:t>
      </w:r>
      <w:r>
        <w:rPr>
          <w:rFonts w:hint="eastAsia"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3</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未按照</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文件标明的币种报价的</w:t>
      </w:r>
      <w:r>
        <w:rPr>
          <w:rFonts w:hint="eastAsia" w:ascii="仿宋" w:hAnsi="仿宋" w:eastAsia="仿宋" w:cs="Arial"/>
          <w:b/>
          <w:color w:val="auto"/>
          <w:kern w:val="0"/>
          <w:sz w:val="24"/>
          <w:highlight w:val="none"/>
          <w:u w:val="single"/>
        </w:rPr>
        <w:t>，或者报价涵盖的范围不符合采购文件要求的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ascii="仿宋" w:hAnsi="仿宋" w:eastAsia="仿宋" w:cs="Arial"/>
          <w:b/>
          <w:color w:val="auto"/>
          <w:kern w:val="0"/>
          <w:sz w:val="24"/>
          <w:highlight w:val="none"/>
          <w:u w:val="single"/>
        </w:rPr>
        <w:t>未按</w:t>
      </w:r>
      <w:r>
        <w:rPr>
          <w:rFonts w:hint="eastAsia" w:ascii="仿宋" w:hAnsi="仿宋" w:eastAsia="仿宋" w:cs="Arial"/>
          <w:b/>
          <w:color w:val="auto"/>
          <w:kern w:val="0"/>
          <w:sz w:val="24"/>
          <w:highlight w:val="none"/>
          <w:u w:val="single"/>
        </w:rPr>
        <w:t>采购文件《第二章供应商须知》或《第六章磋商响应文件格式》标注的要求进行盖章或签署</w:t>
      </w:r>
      <w:r>
        <w:rPr>
          <w:rFonts w:ascii="仿宋" w:hAnsi="仿宋" w:eastAsia="仿宋" w:cs="Arial"/>
          <w:b/>
          <w:color w:val="auto"/>
          <w:kern w:val="0"/>
          <w:sz w:val="24"/>
          <w:highlight w:val="none"/>
          <w:u w:val="single"/>
        </w:rPr>
        <w:t>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响应文件组成内容不齐全，采购文件规定必须提供而未提供的</w:t>
      </w:r>
      <w:r>
        <w:rPr>
          <w:rFonts w:ascii="仿宋" w:hAnsi="仿宋" w:eastAsia="仿宋" w:cs="Arial"/>
          <w:b/>
          <w:color w:val="auto"/>
          <w:kern w:val="0"/>
          <w:sz w:val="24"/>
          <w:highlight w:val="none"/>
        </w:rPr>
        <w:t>；</w:t>
      </w:r>
    </w:p>
    <w:p>
      <w:pPr>
        <w:pStyle w:val="36"/>
        <w:spacing w:line="360" w:lineRule="auto"/>
        <w:ind w:firstLine="482"/>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（6）</w:t>
      </w:r>
      <w:r>
        <w:rPr>
          <w:rFonts w:hint="eastAsia" w:ascii="仿宋" w:hAnsi="仿宋" w:eastAsia="仿宋" w:cs="Arial"/>
          <w:b/>
          <w:color w:val="auto"/>
          <w:kern w:val="0"/>
          <w:sz w:val="24"/>
          <w:highlight w:val="none"/>
          <w:u w:val="single"/>
        </w:rPr>
        <w:t>响应文件组成未按规定的格式编制或响应文件正、副本份数不足或内容不全或内容字迹模糊辨认不清的等而导致评标活动无法正常进行；</w:t>
      </w:r>
    </w:p>
    <w:p>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（7）</w:t>
      </w:r>
      <w:r>
        <w:rPr>
          <w:rFonts w:hint="eastAsia" w:ascii="仿宋" w:hAnsi="仿宋" w:eastAsia="仿宋" w:cs="Arial"/>
          <w:b/>
          <w:color w:val="auto"/>
          <w:kern w:val="0"/>
          <w:sz w:val="24"/>
          <w:highlight w:val="none"/>
          <w:u w:val="single"/>
        </w:rPr>
        <w:t>标注的响应或偏离情况与事实不符，或提供了虚假材料的；</w:t>
      </w:r>
    </w:p>
    <w:p>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8</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不响应或擅自改变</w:t>
      </w:r>
      <w:r>
        <w:rPr>
          <w:rFonts w:hint="eastAsia" w:ascii="仿宋" w:hAnsi="仿宋" w:eastAsia="仿宋" w:cs="Arial"/>
          <w:b/>
          <w:color w:val="auto"/>
          <w:kern w:val="0"/>
          <w:sz w:val="24"/>
          <w:highlight w:val="none"/>
          <w:u w:val="single"/>
        </w:rPr>
        <w:t>采购文件</w:t>
      </w:r>
      <w:r>
        <w:rPr>
          <w:rFonts w:ascii="仿宋" w:hAnsi="仿宋" w:eastAsia="仿宋" w:cs="Arial"/>
          <w:b/>
          <w:color w:val="auto"/>
          <w:kern w:val="0"/>
          <w:sz w:val="24"/>
          <w:highlight w:val="none"/>
          <w:u w:val="single"/>
        </w:rPr>
        <w:t>要求或磋商响应文件有</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人不能接受的附加条件的</w:t>
      </w:r>
      <w:r>
        <w:rPr>
          <w:rFonts w:ascii="仿宋" w:hAnsi="仿宋" w:eastAsia="仿宋" w:cs="Arial"/>
          <w:b/>
          <w:color w:val="auto"/>
          <w:kern w:val="0"/>
          <w:sz w:val="24"/>
          <w:highlight w:val="none"/>
        </w:rPr>
        <w:t>；</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sz w:val="24"/>
          <w:szCs w:val="22"/>
          <w:highlight w:val="none"/>
        </w:rPr>
        <w:t>（9）</w:t>
      </w:r>
      <w:r>
        <w:rPr>
          <w:rFonts w:hint="eastAsia" w:ascii="仿宋" w:hAnsi="仿宋" w:eastAsia="仿宋" w:cs="Arial"/>
          <w:b/>
          <w:color w:val="auto"/>
          <w:sz w:val="24"/>
          <w:szCs w:val="22"/>
          <w:highlight w:val="none"/>
          <w:u w:val="single"/>
        </w:rPr>
        <w:t>磋商小组认为供应商的报价明显低于其他通过符合性审查的供应商的报价或报价低于项目预算50%的，有可能影响产品质量或者不能诚信履约时，未能按要求提供书面说明或者提交相关证明材料证明，不能证明其报价合理性的；</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w:t>
      </w:r>
      <w:r>
        <w:rPr>
          <w:rFonts w:hint="eastAsia" w:ascii="仿宋" w:hAnsi="仿宋" w:eastAsia="仿宋" w:cs="Arial"/>
          <w:b/>
          <w:color w:val="auto"/>
          <w:kern w:val="0"/>
          <w:sz w:val="24"/>
          <w:highlight w:val="none"/>
          <w:u w:val="single"/>
        </w:rPr>
        <w:t>存在法律、法规和采购文件规定的其他无效响应情形的</w:t>
      </w:r>
      <w:r>
        <w:rPr>
          <w:rFonts w:hint="eastAsia" w:ascii="仿宋" w:hAnsi="仿宋" w:eastAsia="仿宋" w:cs="Arial"/>
          <w:b/>
          <w:color w:val="auto"/>
          <w:kern w:val="0"/>
          <w:sz w:val="24"/>
          <w:highlight w:val="none"/>
        </w:rPr>
        <w:t>。</w:t>
      </w:r>
    </w:p>
    <w:p>
      <w:pPr>
        <w:pStyle w:val="4"/>
        <w:rPr>
          <w:color w:val="auto"/>
          <w:highlight w:val="none"/>
        </w:rPr>
      </w:pPr>
      <w:r>
        <w:rPr>
          <w:rFonts w:hint="eastAsia"/>
          <w:color w:val="auto"/>
          <w:highlight w:val="none"/>
        </w:rPr>
        <w:t>2.4 磋商响应文件的澄清、说明或补正</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2.4.1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更正不得超出磋商响应文件的范围或者改变磋商响应文件的实质性内容。</w:t>
      </w:r>
    </w:p>
    <w:p>
      <w:pPr>
        <w:spacing w:line="360" w:lineRule="auto"/>
        <w:ind w:firstLine="424" w:firstLineChars="177"/>
        <w:rPr>
          <w:rFonts w:ascii="仿宋" w:hAnsi="仿宋" w:eastAsia="仿宋"/>
          <w:color w:val="auto"/>
          <w:sz w:val="24"/>
          <w:szCs w:val="28"/>
          <w:highlight w:val="none"/>
        </w:rPr>
      </w:pPr>
      <w:r>
        <w:rPr>
          <w:rFonts w:hint="eastAsia" w:ascii="仿宋" w:hAnsi="仿宋" w:eastAsia="仿宋" w:cs="Arial"/>
          <w:color w:val="auto"/>
          <w:kern w:val="0"/>
          <w:sz w:val="24"/>
          <w:szCs w:val="22"/>
          <w:highlight w:val="none"/>
        </w:rPr>
        <w:t>2.4.2</w:t>
      </w:r>
      <w:r>
        <w:rPr>
          <w:rFonts w:ascii="仿宋" w:hAnsi="仿宋" w:eastAsia="仿宋"/>
          <w:color w:val="auto"/>
          <w:sz w:val="24"/>
          <w:szCs w:val="28"/>
          <w:highlight w:val="none"/>
        </w:rPr>
        <w:t>磋商小组要求供应商澄清、说明或者更正磋商响应文件</w:t>
      </w:r>
      <w:r>
        <w:rPr>
          <w:rFonts w:hint="eastAsia" w:ascii="仿宋" w:hAnsi="仿宋" w:eastAsia="仿宋"/>
          <w:color w:val="auto"/>
          <w:sz w:val="24"/>
          <w:szCs w:val="28"/>
          <w:highlight w:val="none"/>
        </w:rPr>
        <w:t>将</w:t>
      </w:r>
      <w:r>
        <w:rPr>
          <w:rFonts w:ascii="仿宋" w:hAnsi="仿宋" w:eastAsia="仿宋"/>
          <w:color w:val="auto"/>
          <w:sz w:val="24"/>
          <w:szCs w:val="28"/>
          <w:highlight w:val="none"/>
        </w:rPr>
        <w:t>以书面形式作出。</w:t>
      </w:r>
    </w:p>
    <w:p>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olor w:val="auto"/>
          <w:sz w:val="24"/>
          <w:szCs w:val="28"/>
          <w:highlight w:val="none"/>
        </w:rPr>
        <w:t>2.4.3</w:t>
      </w:r>
      <w:r>
        <w:rPr>
          <w:rFonts w:ascii="仿宋" w:hAnsi="仿宋" w:eastAsia="仿宋"/>
          <w:color w:val="auto"/>
          <w:sz w:val="24"/>
          <w:szCs w:val="28"/>
          <w:highlight w:val="none"/>
        </w:rPr>
        <w:t>供应商的澄清、说明或者更正应当由法定代表人或其授权代表签字或者加盖公章。由授权代表签字的，应当附</w:t>
      </w:r>
      <w:r>
        <w:rPr>
          <w:rFonts w:hint="eastAsia" w:ascii="仿宋" w:hAnsi="仿宋" w:eastAsia="仿宋"/>
          <w:color w:val="auto"/>
          <w:sz w:val="24"/>
          <w:szCs w:val="28"/>
          <w:highlight w:val="none"/>
        </w:rPr>
        <w:t>《法人（或单位）授权委托书》</w:t>
      </w:r>
      <w:r>
        <w:rPr>
          <w:rFonts w:ascii="仿宋" w:hAnsi="仿宋" w:eastAsia="仿宋"/>
          <w:color w:val="auto"/>
          <w:sz w:val="24"/>
          <w:szCs w:val="28"/>
          <w:highlight w:val="none"/>
        </w:rPr>
        <w:t>。供应商为自然人的，应当由本人签字并附身份证明。</w:t>
      </w:r>
    </w:p>
    <w:p>
      <w:pPr>
        <w:pStyle w:val="4"/>
        <w:rPr>
          <w:color w:val="auto"/>
          <w:highlight w:val="none"/>
        </w:rPr>
      </w:pPr>
      <w:r>
        <w:rPr>
          <w:rFonts w:hint="eastAsia"/>
          <w:color w:val="auto"/>
          <w:highlight w:val="none"/>
        </w:rPr>
        <w:t>2.5 磋商响应文件的错误修正</w:t>
      </w:r>
    </w:p>
    <w:p>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2.5.1最后报价出现前后不一致的，按照下列规定修正：</w:t>
      </w:r>
    </w:p>
    <w:p>
      <w:pPr>
        <w:spacing w:line="360" w:lineRule="auto"/>
        <w:ind w:firstLine="422" w:firstLineChars="175"/>
        <w:rPr>
          <w:rFonts w:ascii="仿宋" w:hAnsi="仿宋" w:eastAsia="仿宋" w:cs="Arial"/>
          <w:b/>
          <w:color w:val="auto"/>
          <w:kern w:val="0"/>
          <w:sz w:val="24"/>
          <w:szCs w:val="22"/>
          <w:highlight w:val="none"/>
        </w:rPr>
      </w:pPr>
      <w:r>
        <w:rPr>
          <w:rFonts w:ascii="仿宋" w:hAnsi="仿宋" w:eastAsia="仿宋" w:cs="Arial"/>
          <w:b/>
          <w:color w:val="auto"/>
          <w:kern w:val="0"/>
          <w:sz w:val="24"/>
          <w:szCs w:val="22"/>
          <w:highlight w:val="none"/>
        </w:rPr>
        <w:t>（1）</w:t>
      </w:r>
      <w:r>
        <w:rPr>
          <w:rFonts w:hint="eastAsia" w:ascii="仿宋" w:hAnsi="仿宋" w:eastAsia="仿宋" w:cs="Arial"/>
          <w:b/>
          <w:color w:val="auto"/>
          <w:kern w:val="0"/>
          <w:sz w:val="24"/>
          <w:szCs w:val="22"/>
          <w:highlight w:val="none"/>
        </w:rPr>
        <w:t>磋商响应文件中的</w:t>
      </w:r>
      <w:r>
        <w:rPr>
          <w:rFonts w:hint="eastAsia" w:ascii="仿宋" w:hAnsi="仿宋" w:eastAsia="仿宋" w:cs="Arial"/>
          <w:b/>
          <w:color w:val="auto"/>
          <w:kern w:val="0"/>
          <w:sz w:val="24"/>
          <w:szCs w:val="22"/>
          <w:highlight w:val="none"/>
          <w:lang w:val="en-US" w:eastAsia="zh-CN"/>
        </w:rPr>
        <w:t>投标函</w:t>
      </w:r>
      <w:r>
        <w:rPr>
          <w:rFonts w:hint="eastAsia" w:ascii="仿宋" w:hAnsi="仿宋" w:eastAsia="仿宋" w:cs="Arial"/>
          <w:b/>
          <w:color w:val="auto"/>
          <w:kern w:val="0"/>
          <w:sz w:val="24"/>
          <w:szCs w:val="22"/>
          <w:highlight w:val="none"/>
        </w:rPr>
        <w:t>内容</w:t>
      </w:r>
      <w:r>
        <w:rPr>
          <w:rFonts w:ascii="仿宋" w:hAnsi="仿宋" w:eastAsia="仿宋" w:cs="Arial"/>
          <w:b/>
          <w:color w:val="auto"/>
          <w:kern w:val="0"/>
          <w:sz w:val="24"/>
          <w:szCs w:val="22"/>
          <w:highlight w:val="none"/>
        </w:rPr>
        <w:t>与</w:t>
      </w:r>
      <w:r>
        <w:rPr>
          <w:rFonts w:hint="eastAsia" w:ascii="仿宋" w:hAnsi="仿宋" w:eastAsia="仿宋" w:cs="Arial"/>
          <w:b/>
          <w:color w:val="auto"/>
          <w:kern w:val="0"/>
          <w:sz w:val="24"/>
          <w:szCs w:val="22"/>
          <w:highlight w:val="none"/>
        </w:rPr>
        <w:t>响应文件中相应内容不一致的</w:t>
      </w:r>
      <w:r>
        <w:rPr>
          <w:rFonts w:ascii="仿宋" w:hAnsi="仿宋" w:eastAsia="仿宋" w:cs="Arial"/>
          <w:b/>
          <w:color w:val="auto"/>
          <w:kern w:val="0"/>
          <w:sz w:val="24"/>
          <w:szCs w:val="22"/>
          <w:highlight w:val="none"/>
        </w:rPr>
        <w:t>，以</w:t>
      </w:r>
      <w:r>
        <w:rPr>
          <w:rFonts w:hint="eastAsia" w:ascii="仿宋" w:hAnsi="仿宋" w:eastAsia="仿宋" w:cs="Arial"/>
          <w:b/>
          <w:color w:val="auto"/>
          <w:kern w:val="0"/>
          <w:sz w:val="24"/>
          <w:szCs w:val="22"/>
          <w:highlight w:val="none"/>
          <w:lang w:eastAsia="zh-CN"/>
        </w:rPr>
        <w:t>投标函</w:t>
      </w:r>
      <w:r>
        <w:rPr>
          <w:rFonts w:ascii="仿宋" w:hAnsi="仿宋" w:eastAsia="仿宋" w:cs="Arial"/>
          <w:b/>
          <w:color w:val="auto"/>
          <w:kern w:val="0"/>
          <w:sz w:val="24"/>
          <w:szCs w:val="22"/>
          <w:highlight w:val="none"/>
        </w:rPr>
        <w:t>为准</w:t>
      </w:r>
      <w:r>
        <w:rPr>
          <w:rFonts w:hint="eastAsia" w:ascii="仿宋" w:hAnsi="仿宋" w:eastAsia="仿宋" w:cs="Arial"/>
          <w:color w:val="auto"/>
          <w:kern w:val="0"/>
          <w:sz w:val="24"/>
          <w:szCs w:val="22"/>
          <w:highlight w:val="none"/>
        </w:rPr>
        <w:t>（</w:t>
      </w:r>
      <w:r>
        <w:rPr>
          <w:rFonts w:hint="eastAsia" w:ascii="仿宋" w:hAnsi="仿宋" w:eastAsia="仿宋" w:cs="Arial"/>
          <w:b/>
          <w:color w:val="auto"/>
          <w:kern w:val="0"/>
          <w:sz w:val="24"/>
          <w:szCs w:val="22"/>
          <w:highlight w:val="none"/>
        </w:rPr>
        <w:t>完工期/交货期/服务期/质保期除外</w:t>
      </w:r>
      <w:r>
        <w:rPr>
          <w:rFonts w:hint="eastAsia" w:ascii="仿宋" w:hAnsi="仿宋" w:eastAsia="仿宋" w:cs="Arial"/>
          <w:color w:val="auto"/>
          <w:kern w:val="0"/>
          <w:sz w:val="24"/>
          <w:szCs w:val="22"/>
          <w:highlight w:val="none"/>
        </w:rPr>
        <w:t>，</w:t>
      </w:r>
      <w:r>
        <w:rPr>
          <w:rFonts w:hint="eastAsia" w:ascii="仿宋" w:hAnsi="仿宋" w:eastAsia="仿宋" w:cs="Arial"/>
          <w:color w:val="auto"/>
          <w:kern w:val="0"/>
          <w:sz w:val="24"/>
          <w:szCs w:val="22"/>
          <w:highlight w:val="none"/>
          <w:lang w:eastAsia="zh-CN"/>
        </w:rPr>
        <w:t>投标函</w:t>
      </w:r>
      <w:r>
        <w:rPr>
          <w:rFonts w:hint="eastAsia" w:ascii="仿宋" w:hAnsi="仿宋" w:eastAsia="仿宋" w:cs="Arial"/>
          <w:color w:val="auto"/>
          <w:kern w:val="0"/>
          <w:sz w:val="24"/>
          <w:szCs w:val="22"/>
          <w:highlight w:val="none"/>
        </w:rPr>
        <w:t>中所列的完工期/交货期/服务期/质保期与《商务技术文件》中商务响应表所列的对应内容不一致时，以《商务技术文件》中商务响应表所列内容为准进行修正）；</w:t>
      </w:r>
    </w:p>
    <w:p>
      <w:pPr>
        <w:spacing w:line="360" w:lineRule="auto"/>
        <w:ind w:firstLine="420" w:firstLineChars="175"/>
        <w:rPr>
          <w:rFonts w:ascii="仿宋" w:hAnsi="仿宋" w:eastAsia="仿宋" w:cs="Arial"/>
          <w:color w:val="auto"/>
          <w:kern w:val="0"/>
          <w:sz w:val="24"/>
          <w:szCs w:val="22"/>
          <w:highlight w:val="none"/>
        </w:rPr>
      </w:pPr>
      <w:r>
        <w:rPr>
          <w:rFonts w:ascii="仿宋" w:hAnsi="仿宋" w:eastAsia="仿宋" w:cs="Arial"/>
          <w:color w:val="auto"/>
          <w:kern w:val="0"/>
          <w:sz w:val="24"/>
          <w:szCs w:val="22"/>
          <w:highlight w:val="none"/>
        </w:rPr>
        <w:t>（2）大写金额和小写金额不一致的，以大写金额为准；</w:t>
      </w:r>
    </w:p>
    <w:p>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（3）单价金额小数点或者百分比有明显错位的，应以总价为准，并修改单价；</w:t>
      </w:r>
    </w:p>
    <w:p>
      <w:pPr>
        <w:spacing w:line="360" w:lineRule="auto"/>
        <w:ind w:firstLine="420" w:firstLineChars="175"/>
        <w:rPr>
          <w:rFonts w:ascii="仿宋" w:hAnsi="仿宋" w:eastAsia="仿宋" w:cs="Arial"/>
          <w:color w:val="auto"/>
          <w:kern w:val="0"/>
          <w:sz w:val="24"/>
          <w:szCs w:val="22"/>
          <w:highlight w:val="none"/>
        </w:rPr>
      </w:pPr>
      <w:r>
        <w:rPr>
          <w:rFonts w:ascii="仿宋" w:hAnsi="仿宋" w:eastAsia="仿宋" w:cs="Arial"/>
          <w:color w:val="auto"/>
          <w:kern w:val="0"/>
          <w:sz w:val="24"/>
          <w:szCs w:val="22"/>
          <w:highlight w:val="none"/>
        </w:rPr>
        <w:t>（</w:t>
      </w:r>
      <w:r>
        <w:rPr>
          <w:rFonts w:hint="eastAsia" w:ascii="仿宋" w:hAnsi="仿宋" w:eastAsia="仿宋" w:cs="Arial"/>
          <w:color w:val="auto"/>
          <w:kern w:val="0"/>
          <w:sz w:val="24"/>
          <w:szCs w:val="22"/>
          <w:highlight w:val="none"/>
        </w:rPr>
        <w:t>4</w:t>
      </w:r>
      <w:r>
        <w:rPr>
          <w:rFonts w:ascii="仿宋" w:hAnsi="仿宋" w:eastAsia="仿宋" w:cs="Arial"/>
          <w:color w:val="auto"/>
          <w:kern w:val="0"/>
          <w:sz w:val="24"/>
          <w:szCs w:val="22"/>
          <w:highlight w:val="none"/>
        </w:rPr>
        <w:t>）总价金额与按单价汇总金额不一致的，以单价金额计算结果为准</w:t>
      </w:r>
      <w:r>
        <w:rPr>
          <w:rFonts w:hint="eastAsia" w:ascii="仿宋" w:hAnsi="仿宋" w:eastAsia="仿宋" w:cs="Arial"/>
          <w:color w:val="auto"/>
          <w:kern w:val="0"/>
          <w:sz w:val="24"/>
          <w:szCs w:val="22"/>
          <w:highlight w:val="none"/>
        </w:rPr>
        <w:t>。</w:t>
      </w:r>
    </w:p>
    <w:p>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同时出现两种以上不一致的，按照前款规定的顺序修正。修正后的报价按本章节第2.4.3款的规定经磋商供应商确认后产生约束力，磋商供应商不确认的，其响应无效。</w:t>
      </w:r>
    </w:p>
    <w:p>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2.5.2</w:t>
      </w:r>
      <w:r>
        <w:rPr>
          <w:rFonts w:ascii="仿宋" w:hAnsi="仿宋" w:eastAsia="仿宋" w:cs="Arial"/>
          <w:b/>
          <w:color w:val="auto"/>
          <w:kern w:val="0"/>
          <w:sz w:val="24"/>
          <w:szCs w:val="22"/>
          <w:highlight w:val="none"/>
        </w:rPr>
        <w:t>对不同文字文本《磋商响应文件》的解释发生异议的，以中文文本为准。</w:t>
      </w:r>
    </w:p>
    <w:p>
      <w:pPr>
        <w:pStyle w:val="4"/>
        <w:rPr>
          <w:color w:val="auto"/>
          <w:highlight w:val="none"/>
        </w:rPr>
      </w:pPr>
      <w:r>
        <w:rPr>
          <w:rFonts w:hint="eastAsia"/>
          <w:color w:val="auto"/>
          <w:highlight w:val="none"/>
        </w:rPr>
        <w:t>2.6 磋商响应文件的评估、评分</w:t>
      </w:r>
    </w:p>
    <w:p>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2.6.1磋商小组应当</w:t>
      </w:r>
      <w:r>
        <w:rPr>
          <w:rFonts w:hint="eastAsia" w:ascii="仿宋" w:hAnsi="仿宋" w:eastAsia="仿宋" w:cs="Arial"/>
          <w:color w:val="auto"/>
          <w:kern w:val="0"/>
          <w:sz w:val="24"/>
          <w:szCs w:val="22"/>
          <w:highlight w:val="none"/>
        </w:rPr>
        <w:t>按磋商文件约定的评分办法对提交最后报价的供应商的响应文件和最后报价进行综合评分。评分</w:t>
      </w:r>
      <w:r>
        <w:rPr>
          <w:rFonts w:hint="eastAsia" w:ascii="仿宋" w:hAnsi="仿宋" w:eastAsia="仿宋" w:cs="Arial"/>
          <w:color w:val="auto"/>
          <w:kern w:val="0"/>
          <w:sz w:val="24"/>
          <w:highlight w:val="none"/>
        </w:rPr>
        <w:t>时，磋商小组各成员将独立对每个磋商供应商的磋商响应文件进行</w:t>
      </w:r>
      <w:r>
        <w:rPr>
          <w:rFonts w:hint="eastAsia" w:ascii="仿宋" w:hAnsi="仿宋" w:eastAsia="仿宋" w:cs="Arial"/>
          <w:color w:val="auto"/>
          <w:kern w:val="0"/>
          <w:sz w:val="24"/>
          <w:szCs w:val="22"/>
          <w:highlight w:val="none"/>
        </w:rPr>
        <w:t>评分</w:t>
      </w:r>
      <w:r>
        <w:rPr>
          <w:rFonts w:hint="eastAsia" w:ascii="仿宋" w:hAnsi="仿宋" w:eastAsia="仿宋" w:cs="Arial"/>
          <w:color w:val="auto"/>
          <w:kern w:val="0"/>
          <w:sz w:val="24"/>
          <w:highlight w:val="none"/>
        </w:rPr>
        <w:t>，并汇总每个磋商供应商的得分。评审细则详见本章“三、评分细则”。</w:t>
      </w:r>
    </w:p>
    <w:p>
      <w:pPr>
        <w:spacing w:line="360" w:lineRule="auto"/>
        <w:ind w:firstLine="484" w:firstLineChars="202"/>
        <w:rPr>
          <w:rFonts w:ascii="仿宋_GB2312" w:hAnsi="仿宋" w:eastAsia="仿宋_GB2312"/>
          <w:b/>
          <w:color w:val="auto"/>
          <w:sz w:val="28"/>
          <w:szCs w:val="28"/>
          <w:highlight w:val="none"/>
        </w:rPr>
      </w:pPr>
      <w:r>
        <w:rPr>
          <w:rFonts w:hint="eastAsia" w:ascii="仿宋" w:hAnsi="仿宋" w:eastAsia="仿宋" w:cs="Arial"/>
          <w:color w:val="auto"/>
          <w:kern w:val="0"/>
          <w:sz w:val="24"/>
          <w:highlight w:val="none"/>
        </w:rPr>
        <w:t>2.6.2发现分值汇总计算错误、分项评分超出评分标准范围、客观评分不一致以及存在畸高、畸低（其总评分偏离平均分30%以上的）情形的，磋商小组组长（磋商小组主任委员）应提醒相关评审人员当场改正或书面说明理由，拒不改正又不作书面说明的，由现场监督员如实记载后存入项目档案资料。</w:t>
      </w:r>
    </w:p>
    <w:p>
      <w:pPr>
        <w:pStyle w:val="4"/>
        <w:rPr>
          <w:rFonts w:hint="eastAsia" w:eastAsia="华文中宋"/>
          <w:color w:val="auto"/>
          <w:highlight w:val="none"/>
          <w:lang w:eastAsia="zh-CN"/>
        </w:rPr>
      </w:pPr>
      <w:r>
        <w:rPr>
          <w:rFonts w:hint="eastAsia"/>
          <w:color w:val="auto"/>
          <w:highlight w:val="none"/>
        </w:rPr>
        <w:t>2.7 推荐成交候选供应商</w:t>
      </w:r>
      <w:r>
        <w:rPr>
          <w:rFonts w:hint="eastAsia"/>
          <w:color w:val="auto"/>
          <w:highlight w:val="none"/>
          <w:lang w:eastAsia="zh-CN"/>
        </w:rPr>
        <w:t>（</w:t>
      </w:r>
      <w:r>
        <w:rPr>
          <w:rFonts w:hint="eastAsia"/>
          <w:color w:val="auto"/>
          <w:highlight w:val="none"/>
          <w:lang w:val="en-US" w:eastAsia="zh-CN"/>
        </w:rPr>
        <w:t>3名</w:t>
      </w:r>
      <w:r>
        <w:rPr>
          <w:rFonts w:hint="eastAsia"/>
          <w:color w:val="auto"/>
          <w:highlight w:val="none"/>
          <w:lang w:eastAsia="zh-CN"/>
        </w:rPr>
        <w:t>）</w:t>
      </w:r>
    </w:p>
    <w:p>
      <w:pPr>
        <w:spacing w:line="360" w:lineRule="auto"/>
        <w:ind w:firstLine="465" w:firstLineChars="193"/>
        <w:rPr>
          <w:color w:val="auto"/>
          <w:highlight w:val="none"/>
        </w:rPr>
      </w:pPr>
      <w:r>
        <w:rPr>
          <w:rFonts w:hint="eastAsia" w:ascii="仿宋" w:hAnsi="仿宋" w:eastAsia="仿宋"/>
          <w:b/>
          <w:color w:val="auto"/>
          <w:kern w:val="0"/>
          <w:sz w:val="24"/>
          <w:highlight w:val="none"/>
        </w:rPr>
        <w:t>磋商小组将根据综合评分情况，按照评审得分由高到低顺序推荐3名成交候选供应商，并编写评审报告。</w:t>
      </w:r>
    </w:p>
    <w:p>
      <w:pPr>
        <w:pStyle w:val="4"/>
        <w:rPr>
          <w:rFonts w:cs="Arial"/>
          <w:color w:val="auto"/>
          <w:highlight w:val="none"/>
        </w:rPr>
      </w:pPr>
      <w:r>
        <w:rPr>
          <w:rFonts w:hint="eastAsia"/>
          <w:color w:val="auto"/>
          <w:highlight w:val="none"/>
        </w:rPr>
        <w:t>2.8 起草、签署评审报告</w:t>
      </w:r>
    </w:p>
    <w:p>
      <w:pPr>
        <w:spacing w:line="360" w:lineRule="auto"/>
        <w:ind w:firstLine="463" w:firstLineChars="193"/>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起草、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rPr>
          <w:color w:val="auto"/>
          <w:highlight w:val="none"/>
        </w:rPr>
      </w:pPr>
      <w:r>
        <w:rPr>
          <w:rFonts w:hint="eastAsia"/>
          <w:color w:val="auto"/>
          <w:highlight w:val="none"/>
        </w:rPr>
        <w:t>2.9评审特殊情况处理（如有）</w:t>
      </w:r>
    </w:p>
    <w:p>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szCs w:val="28"/>
          <w:highlight w:val="none"/>
        </w:rPr>
        <w:t>2.9.1评审结果修订</w:t>
      </w:r>
    </w:p>
    <w:p>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szCs w:val="28"/>
          <w:highlight w:val="none"/>
        </w:rPr>
        <w:t>评审报告签署前，结果经复核发现存在下列情形之一的，磋商小组将当场复核并修订评审结果，并在评审报告中记录。除下列情形以外，任何人不得修改评审结果。</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（1）资格性检查认定错误；</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（2）分值汇总计算错误的；</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（3）分项评分超出评分标准范围的；</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（4）客观分评分不一致的；</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（5）经磋商小组一致认定评分畸高、畸低的。</w:t>
      </w:r>
    </w:p>
    <w:p>
      <w:pPr>
        <w:spacing w:line="360" w:lineRule="auto"/>
        <w:ind w:firstLine="465" w:firstLineChars="193"/>
        <w:rPr>
          <w:rFonts w:ascii="仿宋" w:hAnsi="仿宋" w:eastAsia="仿宋"/>
          <w:b/>
          <w:color w:val="auto"/>
          <w:sz w:val="24"/>
          <w:szCs w:val="28"/>
          <w:highlight w:val="none"/>
        </w:rPr>
      </w:pPr>
      <w:r>
        <w:rPr>
          <w:rFonts w:hint="eastAsia" w:ascii="仿宋" w:hAnsi="仿宋" w:eastAsia="仿宋"/>
          <w:b/>
          <w:color w:val="auto"/>
          <w:sz w:val="24"/>
          <w:szCs w:val="28"/>
          <w:highlight w:val="none"/>
        </w:rPr>
        <w:t>2.9.2重新评审</w:t>
      </w:r>
    </w:p>
    <w:p>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highlight w:val="none"/>
        </w:rPr>
        <w:t>评审报告签署后，采购人或者采购代理机构发现存在下列情形之一的，将组织原磋商小组进行重新评审：</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（1）资格性检查认定错误；</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（2）分值汇总计算错误的；</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（3）分项评分超出评分标准范围的；</w:t>
      </w:r>
    </w:p>
    <w:p>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（4）客观分评分不一致的；</w:t>
      </w:r>
    </w:p>
    <w:p>
      <w:pPr>
        <w:spacing w:line="360" w:lineRule="auto"/>
        <w:ind w:firstLine="463" w:firstLineChars="193"/>
        <w:rPr>
          <w:rFonts w:ascii="仿宋" w:hAnsi="仿宋" w:eastAsia="仿宋"/>
          <w:color w:val="auto"/>
          <w:sz w:val="24"/>
          <w:szCs w:val="28"/>
          <w:highlight w:val="none"/>
        </w:rPr>
      </w:pPr>
      <w:r>
        <w:rPr>
          <w:rFonts w:hint="eastAsia" w:ascii="仿宋" w:hAnsi="仿宋" w:eastAsia="仿宋"/>
          <w:color w:val="auto"/>
          <w:sz w:val="24"/>
          <w:szCs w:val="28"/>
          <w:highlight w:val="none"/>
        </w:rPr>
        <w:t>（5）经磋商小组一致认定评分畸高、畸低的。</w:t>
      </w:r>
    </w:p>
    <w:p>
      <w:pPr>
        <w:spacing w:line="360" w:lineRule="auto"/>
        <w:ind w:firstLine="465" w:firstLineChars="193"/>
        <w:rPr>
          <w:color w:val="auto"/>
          <w:highlight w:val="none"/>
        </w:rPr>
      </w:pPr>
      <w:r>
        <w:rPr>
          <w:rFonts w:hint="eastAsia" w:ascii="仿宋" w:hAnsi="仿宋" w:eastAsia="仿宋"/>
          <w:b/>
          <w:color w:val="auto"/>
          <w:sz w:val="24"/>
          <w:szCs w:val="28"/>
          <w:highlight w:val="none"/>
        </w:rPr>
        <w:t>2.9.3采购人、采购代理机构发现磋商小组未按照磋商文件规定的评审标准进行评审的，将重新开展采购活动，</w:t>
      </w:r>
      <w:r>
        <w:rPr>
          <w:rFonts w:hint="eastAsia" w:ascii="仿宋" w:hAnsi="仿宋" w:eastAsia="仿宋" w:cs="Arial"/>
          <w:b/>
          <w:color w:val="auto"/>
          <w:kern w:val="0"/>
          <w:sz w:val="24"/>
          <w:highlight w:val="none"/>
        </w:rPr>
        <w:t>并书面报告本级财政部门</w:t>
      </w:r>
      <w:r>
        <w:rPr>
          <w:rFonts w:hint="eastAsia" w:ascii="仿宋" w:hAnsi="仿宋" w:eastAsia="仿宋"/>
          <w:b/>
          <w:color w:val="auto"/>
          <w:sz w:val="24"/>
          <w:szCs w:val="28"/>
          <w:highlight w:val="none"/>
        </w:rPr>
        <w:t>。</w:t>
      </w:r>
      <w:bookmarkEnd w:id="86"/>
      <w:bookmarkEnd w:id="87"/>
      <w:bookmarkStart w:id="89" w:name="_Toc424164164"/>
      <w:bookmarkStart w:id="90" w:name="_Toc440162796"/>
    </w:p>
    <w:p>
      <w:pPr>
        <w:pStyle w:val="3"/>
        <w:rPr>
          <w:color w:val="auto"/>
          <w:highlight w:val="none"/>
        </w:rPr>
      </w:pPr>
      <w:bookmarkStart w:id="91" w:name="_Toc8027"/>
      <w:r>
        <w:rPr>
          <w:rFonts w:hint="eastAsia"/>
          <w:color w:val="auto"/>
          <w:highlight w:val="none"/>
        </w:rPr>
        <w:t>三、</w:t>
      </w:r>
      <w:bookmarkEnd w:id="89"/>
      <w:r>
        <w:rPr>
          <w:rFonts w:hint="eastAsia"/>
          <w:color w:val="auto"/>
          <w:highlight w:val="none"/>
        </w:rPr>
        <w:t>评分细则</w:t>
      </w:r>
      <w:bookmarkEnd w:id="91"/>
    </w:p>
    <w:bookmarkEnd w:id="90"/>
    <w:p>
      <w:pPr>
        <w:pStyle w:val="4"/>
        <w:spacing w:after="0" w:line="360" w:lineRule="auto"/>
        <w:rPr>
          <w:color w:val="auto"/>
          <w:highlight w:val="none"/>
        </w:rPr>
      </w:pPr>
      <w:r>
        <w:rPr>
          <w:rFonts w:hint="eastAsia"/>
          <w:color w:val="auto"/>
          <w:highlight w:val="none"/>
        </w:rPr>
        <w:t>3.1 商务技术分</w:t>
      </w:r>
      <w:r>
        <w:rPr>
          <w:color w:val="auto"/>
          <w:highlight w:val="none"/>
        </w:rPr>
        <w:t>（</w:t>
      </w:r>
      <w:r>
        <w:rPr>
          <w:rFonts w:hint="eastAsia"/>
          <w:color w:val="auto"/>
          <w:highlight w:val="none"/>
          <w:lang w:val="en-US" w:eastAsia="zh-CN"/>
        </w:rPr>
        <w:t>70</w:t>
      </w:r>
      <w:r>
        <w:rPr>
          <w:color w:val="auto"/>
          <w:highlight w:val="none"/>
        </w:rPr>
        <w:t>分）</w:t>
      </w:r>
    </w:p>
    <w:p>
      <w:pPr>
        <w:rPr>
          <w:rFonts w:eastAsia="华文中宋"/>
          <w:color w:val="auto"/>
          <w:highlight w:val="none"/>
        </w:rPr>
      </w:pPr>
      <w:r>
        <w:rPr>
          <w:rFonts w:hint="eastAsia" w:ascii="华文中宋" w:hAnsi="华文中宋" w:eastAsia="华文中宋"/>
          <w:color w:val="auto"/>
          <w:sz w:val="24"/>
          <w:highlight w:val="none"/>
        </w:rPr>
        <w:t>3.1.1商务技术分评分细则</w:t>
      </w:r>
    </w:p>
    <w:tbl>
      <w:tblPr>
        <w:tblStyle w:val="23"/>
        <w:tblW w:w="9458" w:type="dxa"/>
        <w:tblInd w:w="0" w:type="dxa"/>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Layout w:type="fixed"/>
        <w:tblCellMar>
          <w:top w:w="0" w:type="dxa"/>
          <w:left w:w="108" w:type="dxa"/>
          <w:bottom w:w="0" w:type="dxa"/>
          <w:right w:w="108" w:type="dxa"/>
        </w:tblCellMar>
      </w:tblPr>
      <w:tblGrid>
        <w:gridCol w:w="675"/>
        <w:gridCol w:w="1668"/>
        <w:gridCol w:w="6321"/>
        <w:gridCol w:w="794"/>
      </w:tblGrid>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11" w:hRule="atLeast"/>
          <w:tblHeader/>
        </w:trPr>
        <w:tc>
          <w:tcPr>
            <w:tcW w:w="675" w:type="dxa"/>
            <w:tcBorders>
              <w:tl2br w:val="nil"/>
              <w:tr2bl w:val="nil"/>
            </w:tcBorders>
            <w:shd w:val="clear" w:color="auto" w:fill="FDE9D9"/>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8" w:type="dxa"/>
            <w:tcBorders>
              <w:tl2br w:val="nil"/>
              <w:tr2bl w:val="nil"/>
            </w:tcBorders>
            <w:shd w:val="clear" w:color="auto" w:fill="FDE9D9"/>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6321" w:type="dxa"/>
            <w:tcBorders>
              <w:tl2br w:val="nil"/>
              <w:tr2bl w:val="nil"/>
            </w:tcBorders>
            <w:shd w:val="clear" w:color="auto" w:fill="FDE9D9"/>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评审细则</w:t>
            </w:r>
          </w:p>
        </w:tc>
        <w:tc>
          <w:tcPr>
            <w:tcW w:w="794" w:type="dxa"/>
            <w:tcBorders>
              <w:tl2br w:val="nil"/>
              <w:tr2bl w:val="nil"/>
            </w:tcBorders>
            <w:shd w:val="clear" w:color="auto" w:fill="FDE9D9"/>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1817" w:hRule="atLeast"/>
        </w:trPr>
        <w:tc>
          <w:tcPr>
            <w:tcW w:w="675" w:type="dxa"/>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8" w:type="dxa"/>
            <w:tcBorders>
              <w:tl2br w:val="nil"/>
              <w:tr2bl w:val="nil"/>
            </w:tcBorders>
            <w:vAlign w:val="center"/>
          </w:tcPr>
          <w:p>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认证体系</w:t>
            </w:r>
          </w:p>
          <w:p>
            <w:pPr>
              <w:tabs>
                <w:tab w:val="left" w:pos="1500"/>
              </w:tabs>
              <w:adjustRightInd w:val="0"/>
              <w:snapToGrid w:val="0"/>
              <w:jc w:val="left"/>
              <w:rPr>
                <w:rFonts w:hint="default" w:ascii="仿宋" w:hAnsi="仿宋" w:eastAsia="仿宋" w:cs="仿宋"/>
                <w:color w:val="auto"/>
                <w:sz w:val="24"/>
                <w:highlight w:val="none"/>
                <w:lang w:val="en-US" w:eastAsia="zh-CN"/>
              </w:rPr>
            </w:pPr>
          </w:p>
        </w:tc>
        <w:tc>
          <w:tcPr>
            <w:tcW w:w="6321" w:type="dxa"/>
            <w:tcBorders>
              <w:tl2br w:val="nil"/>
              <w:tr2bl w:val="nil"/>
            </w:tcBorders>
            <w:vAlign w:val="top"/>
          </w:tcPr>
          <w:p>
            <w:pPr>
              <w:snapToGrid w:val="0"/>
              <w:spacing w:line="3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794" w:type="dxa"/>
            <w:tcBorders>
              <w:tl2br w:val="nil"/>
              <w:tr2bl w:val="nil"/>
            </w:tcBorders>
            <w:vAlign w:val="center"/>
          </w:tcPr>
          <w:p>
            <w:pPr>
              <w:snapToGrid w:val="0"/>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bCs/>
                <w:color w:val="auto"/>
                <w:kern w:val="0"/>
                <w:sz w:val="24"/>
                <w:szCs w:val="24"/>
                <w:highlight w:val="none"/>
                <w:lang w:val="en-US" w:eastAsia="zh-CN"/>
              </w:rPr>
              <w:t>3</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668" w:type="dxa"/>
            <w:tcBorders>
              <w:tl2br w:val="nil"/>
              <w:tr2bl w:val="nil"/>
            </w:tcBorders>
            <w:vAlign w:val="center"/>
          </w:tcPr>
          <w:p>
            <w:pPr>
              <w:tabs>
                <w:tab w:val="left" w:pos="1500"/>
              </w:tabs>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类似业绩</w:t>
            </w:r>
          </w:p>
        </w:tc>
        <w:tc>
          <w:tcPr>
            <w:tcW w:w="6321"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供应商自202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年1月1日以来有类似项目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指包含消防维修或消防改造内容的项目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业绩的，每个得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分，满分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分，没有的不得分。证明材料：合同复印件，加盖供应商公章。（业绩时间以合同签订时间为准，原件备查）</w:t>
            </w:r>
          </w:p>
        </w:tc>
        <w:tc>
          <w:tcPr>
            <w:tcW w:w="794"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3</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668" w:type="dxa"/>
            <w:tcBorders>
              <w:tl2br w:val="nil"/>
              <w:tr2bl w:val="nil"/>
            </w:tcBorders>
            <w:vAlign w:val="center"/>
          </w:tcPr>
          <w:p>
            <w:pPr>
              <w:jc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响应程度</w:t>
            </w:r>
          </w:p>
        </w:tc>
        <w:tc>
          <w:tcPr>
            <w:tcW w:w="6321"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供应商响应全部满足磋商文件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第三章 采购需求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明确的</w:t>
            </w:r>
            <w:r>
              <w:rPr>
                <w:rFonts w:hint="eastAsia" w:ascii="仿宋" w:hAnsi="仿宋" w:eastAsia="仿宋" w:cs="仿宋"/>
                <w:color w:val="auto"/>
                <w:sz w:val="24"/>
                <w:highlight w:val="none"/>
                <w:lang w:val="en-US" w:eastAsia="zh-CN"/>
              </w:rPr>
              <w:t>服务及技术条款</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分；允许偏离的条款低于采购文件要求（负偏离）的，每条扣1分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扣完为止。</w:t>
            </w:r>
          </w:p>
        </w:tc>
        <w:tc>
          <w:tcPr>
            <w:tcW w:w="79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319" w:hRule="atLeast"/>
        </w:trPr>
        <w:tc>
          <w:tcPr>
            <w:tcW w:w="675" w:type="dxa"/>
            <w:tcBorders>
              <w:tl2br w:val="nil"/>
              <w:tr2bl w:val="nil"/>
            </w:tcBorders>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668" w:type="dxa"/>
            <w:tcBorders>
              <w:tl2br w:val="nil"/>
              <w:tr2bl w:val="nil"/>
            </w:tcBorders>
            <w:vAlign w:val="center"/>
          </w:tcPr>
          <w:p>
            <w:pPr>
              <w:tabs>
                <w:tab w:val="left" w:pos="1500"/>
              </w:tabs>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人员配备情况</w:t>
            </w:r>
          </w:p>
        </w:tc>
        <w:tc>
          <w:tcPr>
            <w:tcW w:w="6321"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拟派项目负责人具有</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级建造师（机电工程专业）的得1分，拟派项目负责人具有</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级消防工程师的得1分</w:t>
            </w:r>
            <w:r>
              <w:rPr>
                <w:rFonts w:hint="eastAsia" w:ascii="仿宋" w:hAnsi="仿宋" w:eastAsia="仿宋" w:cs="仿宋"/>
                <w:color w:val="auto"/>
                <w:kern w:val="0"/>
                <w:sz w:val="24"/>
                <w:highlight w:val="none"/>
                <w:lang w:eastAsia="zh-CN"/>
              </w:rPr>
              <w:t>。</w:t>
            </w:r>
          </w:p>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拟派项目</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具有工程师职称及以上的得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分，高级工程师职称的得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pPr>
              <w:keepNext w:val="0"/>
              <w:keepLines w:val="0"/>
              <w:pageBreakBefore w:val="0"/>
              <w:kinsoku/>
              <w:wordWrap/>
              <w:overflowPunct/>
              <w:topLinePunct w:val="0"/>
              <w:autoSpaceDE/>
              <w:autoSpaceDN/>
              <w:bidi w:val="0"/>
              <w:snapToGrid w:val="0"/>
              <w:spacing w:line="240" w:lineRule="auto"/>
              <w:jc w:val="both"/>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证明材料：证书复印件，加盖供应商公章。</w:t>
            </w:r>
          </w:p>
        </w:tc>
        <w:tc>
          <w:tcPr>
            <w:tcW w:w="794"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822" w:hRule="atLeast"/>
        </w:trPr>
        <w:tc>
          <w:tcPr>
            <w:tcW w:w="675" w:type="dxa"/>
            <w:vMerge w:val="restart"/>
            <w:tcBorders>
              <w:tl2br w:val="nil"/>
              <w:tr2bl w:val="nil"/>
            </w:tcBorders>
            <w:vAlign w:val="center"/>
          </w:tcPr>
          <w:p>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1668" w:type="dxa"/>
            <w:vMerge w:val="restart"/>
            <w:tcBorders>
              <w:tl2br w:val="nil"/>
              <w:tr2bl w:val="nil"/>
            </w:tcBorders>
            <w:vAlign w:val="center"/>
          </w:tcPr>
          <w:p>
            <w:pPr>
              <w:tabs>
                <w:tab w:val="left" w:pos="1500"/>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施工</w:t>
            </w:r>
          </w:p>
          <w:p>
            <w:pPr>
              <w:tabs>
                <w:tab w:val="left" w:pos="1500"/>
              </w:tabs>
              <w:adjustRightInd w:val="0"/>
              <w:snapToGrid w:val="0"/>
              <w:jc w:val="center"/>
              <w:rPr>
                <w:rFonts w:ascii="仿宋" w:hAnsi="仿宋" w:eastAsia="仿宋" w:cs="仿宋"/>
                <w:strike/>
                <w:color w:val="auto"/>
                <w:sz w:val="24"/>
                <w:highlight w:val="none"/>
              </w:rPr>
            </w:pPr>
            <w:r>
              <w:rPr>
                <w:rFonts w:hint="eastAsia" w:ascii="仿宋" w:hAnsi="仿宋" w:eastAsia="仿宋" w:cs="仿宋"/>
                <w:color w:val="auto"/>
                <w:sz w:val="24"/>
                <w:highlight w:val="none"/>
              </w:rPr>
              <w:t>技术方案</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ind w:left="0" w:left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项目施工组织计划方案的详细性和周密性（包括临时设施及场地安排、施工用水用电等）。</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62" w:hRule="atLeast"/>
        </w:trPr>
        <w:tc>
          <w:tcPr>
            <w:tcW w:w="675" w:type="dxa"/>
            <w:vMerge w:val="continue"/>
            <w:tcBorders>
              <w:tl2br w:val="nil"/>
              <w:tr2bl w:val="nil"/>
            </w:tcBorders>
            <w:vAlign w:val="center"/>
          </w:tcPr>
          <w:p>
            <w:pPr>
              <w:jc w:val="center"/>
              <w:rPr>
                <w:rFonts w:ascii="仿宋" w:hAnsi="仿宋" w:eastAsia="仿宋" w:cs="仿宋"/>
                <w:color w:val="auto"/>
                <w:kern w:val="2"/>
                <w:sz w:val="24"/>
                <w:szCs w:val="24"/>
                <w:highlight w:val="none"/>
                <w:lang w:val="en-US" w:eastAsia="zh-CN" w:bidi="ar-SA"/>
              </w:rPr>
            </w:pPr>
          </w:p>
        </w:tc>
        <w:tc>
          <w:tcPr>
            <w:tcW w:w="1668" w:type="dxa"/>
            <w:vMerge w:val="continue"/>
            <w:tcBorders>
              <w:tl2br w:val="nil"/>
              <w:tr2bl w:val="nil"/>
            </w:tcBorders>
            <w:vAlign w:val="center"/>
          </w:tcPr>
          <w:p>
            <w:pPr>
              <w:rPr>
                <w:rFonts w:ascii="仿宋" w:hAnsi="仿宋" w:eastAsia="仿宋" w:cs="仿宋"/>
                <w:strike/>
                <w:color w:val="auto"/>
                <w:sz w:val="24"/>
                <w:highlight w:val="none"/>
              </w:rPr>
            </w:pP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施工方案的重难点分析以及控制措施，对校园区域特殊环境下施工措施的阐述。</w:t>
            </w:r>
            <w:r>
              <w:rPr>
                <w:rFonts w:hint="eastAsia" w:ascii="仿宋" w:hAnsi="仿宋" w:eastAsia="仿宋" w:cs="仿宋"/>
                <w:color w:val="auto"/>
                <w:sz w:val="24"/>
                <w:highlight w:val="none"/>
                <w:lang w:val="en-US" w:eastAsia="zh-CN"/>
              </w:rPr>
              <w:t>（分值4，3，2,1,0）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822" w:hRule="atLeast"/>
        </w:trPr>
        <w:tc>
          <w:tcPr>
            <w:tcW w:w="675" w:type="dxa"/>
            <w:vMerge w:val="restart"/>
            <w:tcBorders>
              <w:tl2br w:val="nil"/>
              <w:tr2bl w:val="nil"/>
            </w:tcBorders>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p>
            <w:pPr>
              <w:jc w:val="center"/>
              <w:rPr>
                <w:rFonts w:ascii="仿宋" w:hAnsi="仿宋" w:eastAsia="仿宋" w:cs="仿宋"/>
                <w:color w:val="auto"/>
                <w:kern w:val="2"/>
                <w:sz w:val="24"/>
                <w:szCs w:val="24"/>
                <w:highlight w:val="none"/>
                <w:lang w:val="en-US" w:eastAsia="zh-CN" w:bidi="ar-SA"/>
              </w:rPr>
            </w:pPr>
          </w:p>
        </w:tc>
        <w:tc>
          <w:tcPr>
            <w:tcW w:w="1668" w:type="dxa"/>
            <w:vMerge w:val="restart"/>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施工进度计划和保证措施</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进度保障措施：确保工程工期及节点工期技术组织措施；赶工期方案措施、材料安排、劳动力安排、技术等方面的具体措施。</w:t>
            </w:r>
            <w:r>
              <w:rPr>
                <w:rFonts w:hint="eastAsia" w:ascii="仿宋" w:hAnsi="仿宋" w:eastAsia="仿宋" w:cs="仿宋"/>
                <w:color w:val="auto"/>
                <w:sz w:val="24"/>
                <w:highlight w:val="none"/>
                <w:lang w:val="en-US" w:eastAsia="zh-CN"/>
              </w:rPr>
              <w:t>（分值4，3，2,1,0）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822" w:hRule="atLeast"/>
        </w:trPr>
        <w:tc>
          <w:tcPr>
            <w:tcW w:w="675" w:type="dxa"/>
            <w:vMerge w:val="continue"/>
            <w:tcBorders>
              <w:tl2br w:val="nil"/>
              <w:tr2bl w:val="nil"/>
            </w:tcBorders>
            <w:vAlign w:val="center"/>
          </w:tcPr>
          <w:p>
            <w:pPr>
              <w:jc w:val="center"/>
              <w:rPr>
                <w:rFonts w:ascii="仿宋" w:hAnsi="仿宋" w:eastAsia="仿宋" w:cs="仿宋"/>
                <w:color w:val="auto"/>
                <w:kern w:val="2"/>
                <w:sz w:val="24"/>
                <w:szCs w:val="24"/>
                <w:highlight w:val="none"/>
                <w:lang w:val="en-US" w:eastAsia="zh-CN" w:bidi="ar-SA"/>
              </w:rPr>
            </w:pPr>
          </w:p>
        </w:tc>
        <w:tc>
          <w:tcPr>
            <w:tcW w:w="1668" w:type="dxa"/>
            <w:vMerge w:val="continue"/>
            <w:tcBorders>
              <w:tl2br w:val="nil"/>
              <w:tr2bl w:val="nil"/>
            </w:tcBorders>
            <w:vAlign w:val="center"/>
          </w:tcPr>
          <w:p>
            <w:pPr>
              <w:jc w:val="center"/>
              <w:rPr>
                <w:rFonts w:ascii="仿宋" w:hAnsi="仿宋" w:eastAsia="仿宋" w:cs="仿宋"/>
                <w:color w:val="auto"/>
                <w:sz w:val="24"/>
                <w:highlight w:val="none"/>
              </w:rPr>
            </w:pP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各阶段劳动力及机械设备安排计划的合理性及相应保障措施。</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54" w:hRule="atLeast"/>
        </w:trPr>
        <w:tc>
          <w:tcPr>
            <w:tcW w:w="675" w:type="dxa"/>
            <w:vMerge w:val="restart"/>
            <w:tcBorders>
              <w:tl2br w:val="nil"/>
              <w:tr2bl w:val="nil"/>
            </w:tcBorders>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668" w:type="dxa"/>
            <w:vMerge w:val="restart"/>
            <w:tcBorders>
              <w:tl2br w:val="nil"/>
              <w:tr2bl w:val="nil"/>
            </w:tcBorders>
            <w:vAlign w:val="center"/>
          </w:tcPr>
          <w:p>
            <w:pPr>
              <w:tabs>
                <w:tab w:val="left" w:pos="1500"/>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w:t>
            </w:r>
          </w:p>
          <w:p>
            <w:pPr>
              <w:tabs>
                <w:tab w:val="left" w:pos="1500"/>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保证措施</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关键节点施工工艺或施工方法、关键节点施工保障措施，包括组织措施及技术措施等。</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vMerge w:val="continue"/>
            <w:tcBorders>
              <w:tl2br w:val="nil"/>
              <w:tr2bl w:val="nil"/>
            </w:tcBorders>
            <w:vAlign w:val="center"/>
          </w:tcPr>
          <w:p>
            <w:pPr>
              <w:jc w:val="center"/>
              <w:rPr>
                <w:rFonts w:hint="eastAsia" w:ascii="仿宋" w:hAnsi="仿宋" w:eastAsia="仿宋" w:cs="仿宋"/>
                <w:color w:val="auto"/>
                <w:sz w:val="24"/>
                <w:highlight w:val="none"/>
                <w:lang w:eastAsia="zh-CN"/>
              </w:rPr>
            </w:pPr>
          </w:p>
        </w:tc>
        <w:tc>
          <w:tcPr>
            <w:tcW w:w="1668" w:type="dxa"/>
            <w:vMerge w:val="continue"/>
            <w:tcBorders>
              <w:tl2br w:val="nil"/>
              <w:tr2bl w:val="nil"/>
            </w:tcBorders>
            <w:vAlign w:val="center"/>
          </w:tcPr>
          <w:p>
            <w:pPr>
              <w:tabs>
                <w:tab w:val="left" w:pos="1500"/>
              </w:tabs>
              <w:adjustRightInd w:val="0"/>
              <w:snapToGrid w:val="0"/>
              <w:jc w:val="center"/>
              <w:rPr>
                <w:rFonts w:ascii="仿宋" w:hAnsi="仿宋" w:eastAsia="仿宋" w:cs="仿宋"/>
                <w:color w:val="auto"/>
                <w:sz w:val="24"/>
                <w:highlight w:val="none"/>
              </w:rPr>
            </w:pP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质量管理体系和保障措施，主要工序质量技术保证措施及手段，自控体系完整，能有效保证技术质量，达到承诺的质量标准。</w:t>
            </w:r>
            <w:r>
              <w:rPr>
                <w:rFonts w:hint="eastAsia" w:ascii="仿宋" w:hAnsi="仿宋" w:eastAsia="仿宋" w:cs="仿宋"/>
                <w:color w:val="auto"/>
                <w:sz w:val="24"/>
                <w:highlight w:val="none"/>
                <w:lang w:val="en-US" w:eastAsia="zh-CN"/>
              </w:rPr>
              <w:t>（分值4，3，2,1,0）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vMerge w:val="continue"/>
            <w:tcBorders>
              <w:tl2br w:val="nil"/>
              <w:tr2bl w:val="nil"/>
            </w:tcBorders>
            <w:vAlign w:val="center"/>
          </w:tcPr>
          <w:p>
            <w:pPr>
              <w:jc w:val="center"/>
              <w:rPr>
                <w:rFonts w:hint="eastAsia" w:ascii="仿宋" w:hAnsi="仿宋" w:eastAsia="仿宋" w:cs="仿宋"/>
                <w:color w:val="auto"/>
                <w:sz w:val="24"/>
                <w:highlight w:val="none"/>
                <w:lang w:eastAsia="zh-CN"/>
              </w:rPr>
            </w:pPr>
          </w:p>
        </w:tc>
        <w:tc>
          <w:tcPr>
            <w:tcW w:w="1668" w:type="dxa"/>
            <w:vMerge w:val="continue"/>
            <w:tcBorders>
              <w:tl2br w:val="nil"/>
              <w:tr2bl w:val="nil"/>
            </w:tcBorders>
            <w:vAlign w:val="center"/>
          </w:tcPr>
          <w:p>
            <w:pPr>
              <w:jc w:val="center"/>
              <w:rPr>
                <w:rFonts w:ascii="仿宋" w:hAnsi="仿宋" w:eastAsia="仿宋" w:cs="仿宋"/>
                <w:color w:val="auto"/>
                <w:sz w:val="24"/>
                <w:highlight w:val="none"/>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highlight w:val="none"/>
                <w:lang w:val="en-GB"/>
              </w:rPr>
            </w:pPr>
            <w:r>
              <w:rPr>
                <w:rFonts w:hint="eastAsia" w:ascii="仿宋" w:hAnsi="仿宋" w:eastAsia="仿宋" w:cs="仿宋"/>
                <w:color w:val="auto"/>
                <w:kern w:val="0"/>
                <w:sz w:val="24"/>
                <w:highlight w:val="none"/>
              </w:rPr>
              <w:t>质量管理重点环节实施方案：原材料进场检测、原材料存储管理、中间环节检验、防水检测、联合检测及竣工验收是否完善。</w:t>
            </w:r>
            <w:r>
              <w:rPr>
                <w:rFonts w:hint="eastAsia" w:ascii="仿宋" w:hAnsi="仿宋" w:eastAsia="仿宋" w:cs="仿宋"/>
                <w:color w:val="auto"/>
                <w:sz w:val="24"/>
                <w:highlight w:val="none"/>
                <w:lang w:val="en-US" w:eastAsia="zh-CN"/>
              </w:rPr>
              <w:t>（分值4，3，2,1,0）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vMerge w:val="restart"/>
            <w:tcBorders>
              <w:tl2br w:val="nil"/>
              <w:tr2bl w:val="nil"/>
            </w:tcBorders>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668" w:type="dxa"/>
            <w:vMerge w:val="restart"/>
            <w:tcBorders>
              <w:tl2br w:val="nil"/>
              <w:tr2bl w:val="nil"/>
            </w:tcBorders>
            <w:vAlign w:val="center"/>
          </w:tcPr>
          <w:p>
            <w:pPr>
              <w:widowControl/>
              <w:snapToGrid w:val="0"/>
              <w:spacing w:line="32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安全保证体系及安全文明施工措施要点</w:t>
            </w: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highlight w:val="none"/>
                <w:lang w:val="en-GB"/>
              </w:rPr>
            </w:pPr>
            <w:r>
              <w:rPr>
                <w:rFonts w:hint="eastAsia" w:ascii="仿宋" w:hAnsi="仿宋" w:eastAsia="仿宋" w:cs="仿宋"/>
                <w:color w:val="auto"/>
                <w:kern w:val="0"/>
                <w:sz w:val="24"/>
                <w:highlight w:val="none"/>
              </w:rPr>
              <w:t>现场安全管理体系、安全施工措施、文明施工措施是否完善并有针对性。</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vMerge w:val="continue"/>
            <w:tcBorders>
              <w:tl2br w:val="nil"/>
              <w:tr2bl w:val="nil"/>
            </w:tcBorders>
            <w:vAlign w:val="center"/>
          </w:tcPr>
          <w:p>
            <w:pPr>
              <w:jc w:val="center"/>
              <w:rPr>
                <w:rFonts w:hint="default" w:ascii="仿宋" w:hAnsi="仿宋" w:eastAsia="仿宋" w:cs="仿宋"/>
                <w:color w:val="auto"/>
                <w:sz w:val="24"/>
                <w:highlight w:val="none"/>
                <w:lang w:val="en-US" w:eastAsia="zh-CN"/>
              </w:rPr>
            </w:pPr>
          </w:p>
        </w:tc>
        <w:tc>
          <w:tcPr>
            <w:tcW w:w="1668" w:type="dxa"/>
            <w:vMerge w:val="continue"/>
            <w:tcBorders>
              <w:tl2br w:val="nil"/>
              <w:tr2bl w:val="nil"/>
            </w:tcBorders>
            <w:vAlign w:val="center"/>
          </w:tcPr>
          <w:p>
            <w:pPr>
              <w:widowControl/>
              <w:snapToGrid w:val="0"/>
              <w:spacing w:line="320" w:lineRule="exact"/>
              <w:jc w:val="center"/>
              <w:rPr>
                <w:rFonts w:ascii="仿宋" w:hAnsi="仿宋" w:eastAsia="仿宋" w:cs="仿宋"/>
                <w:color w:val="auto"/>
                <w:kern w:val="0"/>
                <w:sz w:val="24"/>
                <w:highlight w:val="none"/>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环境保护措施、现场噪音控制措施科学性、合理性。</w:t>
            </w:r>
            <w:r>
              <w:rPr>
                <w:rFonts w:hint="eastAsia" w:ascii="仿宋" w:hAnsi="仿宋" w:eastAsia="仿宋" w:cs="仿宋"/>
                <w:color w:val="auto"/>
                <w:sz w:val="24"/>
                <w:highlight w:val="none"/>
                <w:lang w:val="en-US" w:eastAsia="zh-CN"/>
              </w:rPr>
              <w:t>（分值4，3，2,1,0）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738" w:hRule="atLeast"/>
        </w:trPr>
        <w:tc>
          <w:tcPr>
            <w:tcW w:w="675" w:type="dxa"/>
            <w:vMerge w:val="continue"/>
            <w:tcBorders>
              <w:tl2br w:val="nil"/>
              <w:tr2bl w:val="nil"/>
            </w:tcBorders>
            <w:vAlign w:val="center"/>
          </w:tcPr>
          <w:p>
            <w:pPr>
              <w:jc w:val="center"/>
              <w:rPr>
                <w:rFonts w:hint="eastAsia" w:ascii="仿宋" w:hAnsi="仿宋" w:eastAsia="仿宋" w:cs="仿宋"/>
                <w:color w:val="auto"/>
                <w:sz w:val="24"/>
                <w:highlight w:val="none"/>
                <w:lang w:eastAsia="zh-CN"/>
              </w:rPr>
            </w:pPr>
          </w:p>
        </w:tc>
        <w:tc>
          <w:tcPr>
            <w:tcW w:w="1668" w:type="dxa"/>
            <w:vMerge w:val="continue"/>
            <w:tcBorders>
              <w:tl2br w:val="nil"/>
              <w:tr2bl w:val="nil"/>
            </w:tcBorders>
          </w:tcPr>
          <w:p>
            <w:pPr>
              <w:widowControl/>
              <w:snapToGrid w:val="0"/>
              <w:spacing w:line="320" w:lineRule="exact"/>
              <w:jc w:val="left"/>
              <w:rPr>
                <w:rFonts w:ascii="仿宋" w:hAnsi="仿宋" w:eastAsia="仿宋" w:cs="仿宋"/>
                <w:color w:val="auto"/>
                <w:kern w:val="0"/>
                <w:sz w:val="24"/>
                <w:highlight w:val="none"/>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项目重大风险源识别及预防措施，安全生产事故应急处理预案的可行性。</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668" w:type="dxa"/>
            <w:tcBorders>
              <w:tl2br w:val="nil"/>
              <w:tr2bl w:val="nil"/>
            </w:tcBorders>
            <w:vAlign w:val="center"/>
          </w:tcPr>
          <w:p>
            <w:pPr>
              <w:widowControl/>
              <w:snapToGrid w:val="0"/>
              <w:spacing w:line="32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维保方案</w:t>
            </w:r>
          </w:p>
          <w:p>
            <w:pPr>
              <w:widowControl/>
              <w:snapToGrid w:val="0"/>
              <w:spacing w:line="32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及承诺</w:t>
            </w: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维保方案完善，有售后服务承诺，以及保修期响应情况。</w:t>
            </w:r>
            <w:r>
              <w:rPr>
                <w:rFonts w:hint="eastAsia" w:ascii="仿宋" w:hAnsi="仿宋" w:eastAsia="仿宋" w:cs="仿宋"/>
                <w:color w:val="auto"/>
                <w:sz w:val="24"/>
                <w:highlight w:val="none"/>
                <w:lang w:val="en-US" w:eastAsia="zh-CN"/>
              </w:rPr>
              <w:t>（分值5，4，3，2,1,0）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21" w:hRule="atLeast"/>
        </w:trPr>
        <w:tc>
          <w:tcPr>
            <w:tcW w:w="8664" w:type="dxa"/>
            <w:gridSpan w:val="3"/>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  计</w:t>
            </w:r>
          </w:p>
        </w:tc>
        <w:tc>
          <w:tcPr>
            <w:tcW w:w="794" w:type="dxa"/>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w:t>
            </w:r>
          </w:p>
        </w:tc>
      </w:tr>
    </w:tbl>
    <w:p>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3.1.2</w:t>
      </w:r>
      <w:r>
        <w:rPr>
          <w:rFonts w:ascii="仿宋" w:hAnsi="仿宋" w:eastAsia="仿宋" w:cs="Arial"/>
          <w:b/>
          <w:color w:val="auto"/>
          <w:sz w:val="24"/>
          <w:szCs w:val="22"/>
          <w:highlight w:val="none"/>
        </w:rPr>
        <w:t>磋商供应商的</w:t>
      </w:r>
      <w:r>
        <w:rPr>
          <w:rFonts w:hint="eastAsia" w:ascii="仿宋" w:hAnsi="仿宋" w:eastAsia="仿宋" w:cs="Arial"/>
          <w:b/>
          <w:color w:val="auto"/>
          <w:sz w:val="24"/>
          <w:szCs w:val="22"/>
          <w:highlight w:val="none"/>
        </w:rPr>
        <w:t>商务技术最终</w:t>
      </w:r>
      <w:r>
        <w:rPr>
          <w:rFonts w:ascii="仿宋" w:hAnsi="仿宋" w:eastAsia="仿宋" w:cs="Arial"/>
          <w:b/>
          <w:color w:val="auto"/>
          <w:sz w:val="24"/>
          <w:szCs w:val="22"/>
          <w:highlight w:val="none"/>
        </w:rPr>
        <w:t>得分为磋商小组各评委有效评分的算术平均值</w:t>
      </w:r>
      <w:r>
        <w:rPr>
          <w:rFonts w:hint="eastAsia" w:ascii="仿宋" w:hAnsi="仿宋" w:eastAsia="仿宋" w:cs="Arial"/>
          <w:b/>
          <w:color w:val="auto"/>
          <w:sz w:val="24"/>
          <w:szCs w:val="22"/>
          <w:highlight w:val="none"/>
        </w:rPr>
        <w:t>（计分过程中，四舍五入，保留二位小数）。</w:t>
      </w:r>
    </w:p>
    <w:p>
      <w:pPr>
        <w:pStyle w:val="4"/>
        <w:rPr>
          <w:color w:val="auto"/>
          <w:highlight w:val="none"/>
        </w:rPr>
      </w:pPr>
      <w:r>
        <w:rPr>
          <w:rFonts w:hint="eastAsia"/>
          <w:color w:val="auto"/>
          <w:highlight w:val="none"/>
        </w:rPr>
        <w:t>3.2 最后报价分（</w:t>
      </w:r>
      <w:r>
        <w:rPr>
          <w:rFonts w:hint="eastAsia"/>
          <w:color w:val="auto"/>
          <w:highlight w:val="none"/>
          <w:lang w:val="en-US" w:eastAsia="zh-CN"/>
        </w:rPr>
        <w:t>3</w:t>
      </w:r>
      <w:r>
        <w:rPr>
          <w:rFonts w:hint="eastAsia"/>
          <w:color w:val="auto"/>
          <w:kern w:val="28"/>
          <w:highlight w:val="none"/>
        </w:rPr>
        <w:t>0</w:t>
      </w:r>
      <w:r>
        <w:rPr>
          <w:color w:val="auto"/>
          <w:kern w:val="28"/>
          <w:highlight w:val="none"/>
        </w:rPr>
        <w:t>分</w:t>
      </w:r>
      <w:r>
        <w:rPr>
          <w:rFonts w:hint="eastAsia"/>
          <w:color w:val="auto"/>
          <w:kern w:val="28"/>
          <w:highlight w:val="none"/>
        </w:rPr>
        <w:t>）</w:t>
      </w:r>
    </w:p>
    <w:p>
      <w:pPr>
        <w:spacing w:line="360" w:lineRule="auto"/>
        <w:ind w:firstLine="482" w:firstLineChars="200"/>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3.2.1最后报价</w:t>
      </w:r>
      <w:r>
        <w:rPr>
          <w:rFonts w:ascii="仿宋" w:hAnsi="仿宋" w:eastAsia="仿宋" w:cs="Arial"/>
          <w:b/>
          <w:color w:val="auto"/>
          <w:sz w:val="24"/>
          <w:szCs w:val="22"/>
          <w:highlight w:val="none"/>
        </w:rPr>
        <w:t>的合理性</w:t>
      </w:r>
      <w:r>
        <w:rPr>
          <w:rFonts w:hint="eastAsia" w:ascii="仿宋" w:hAnsi="仿宋" w:eastAsia="仿宋" w:cs="Arial"/>
          <w:b/>
          <w:color w:val="auto"/>
          <w:sz w:val="24"/>
          <w:szCs w:val="22"/>
          <w:highlight w:val="none"/>
        </w:rPr>
        <w:t>审查</w:t>
      </w:r>
    </w:p>
    <w:p>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（1）</w:t>
      </w:r>
      <w:r>
        <w:rPr>
          <w:rFonts w:ascii="仿宋" w:hAnsi="仿宋" w:eastAsia="仿宋" w:cs="Arial"/>
          <w:b/>
          <w:color w:val="auto"/>
          <w:sz w:val="24"/>
          <w:szCs w:val="22"/>
          <w:highlight w:val="none"/>
          <w:u w:val="single"/>
        </w:rPr>
        <w:t>分析</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是否合理，</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范围是否完整，有否重大错漏项</w:t>
      </w:r>
      <w:r>
        <w:rPr>
          <w:rFonts w:hint="eastAsia" w:ascii="仿宋" w:hAnsi="仿宋" w:eastAsia="仿宋" w:cs="Arial"/>
          <w:b/>
          <w:color w:val="auto"/>
          <w:sz w:val="24"/>
          <w:szCs w:val="22"/>
          <w:highlight w:val="none"/>
          <w:u w:val="single"/>
        </w:rPr>
        <w:t>；</w:t>
      </w:r>
    </w:p>
    <w:p>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（2）</w:t>
      </w:r>
      <w:r>
        <w:rPr>
          <w:rFonts w:hint="eastAsia" w:ascii="仿宋" w:hAnsi="仿宋" w:eastAsia="仿宋" w:cs="Arial"/>
          <w:b/>
          <w:color w:val="auto"/>
          <w:sz w:val="24"/>
          <w:szCs w:val="22"/>
          <w:highlight w:val="none"/>
          <w:u w:val="single"/>
        </w:rPr>
        <w:t>为防止恶意竞标的行为，如磋商供应商报价低于项目预算50%的，应当在报价文件中详细阐述不影响产品质量或者诚信履约的具体原因以及相应证明材料，</w:t>
      </w:r>
      <w:r>
        <w:rPr>
          <w:rFonts w:hint="eastAsia" w:ascii="仿宋" w:hAnsi="仿宋" w:eastAsia="仿宋" w:cs="Arial"/>
          <w:b/>
          <w:color w:val="auto"/>
          <w:sz w:val="24"/>
          <w:szCs w:val="24"/>
          <w:u w:val="single"/>
        </w:rPr>
        <w:t>或如供应商最终报价低于项目预算50%的，应当在提交最终报价的同时提供详细阐述不影响产品质量或者诚信履约的具体原因及相应证明材料，</w:t>
      </w:r>
      <w:r>
        <w:rPr>
          <w:rFonts w:hint="eastAsia" w:ascii="仿宋" w:hAnsi="仿宋" w:eastAsia="仿宋" w:cs="Arial"/>
          <w:b/>
          <w:color w:val="auto"/>
          <w:sz w:val="24"/>
          <w:szCs w:val="22"/>
          <w:highlight w:val="none"/>
          <w:u w:val="single"/>
        </w:rPr>
        <w:t>以备磋商小组核查。如磋商小组认为磋商供应商的报价明显低于其他通过符合性审查的磋商供应商的报价，有可能影响产品质量或者不能诚信履约的，将要求磋商供应商在评审现场30分钟内提供书面说明，必要时提交相关证明材料。如磋商供应商未按要求提供相关说明及证明材料，或不能证明其报价合理性的，磋商小组将对其作为无效投标处理。</w:t>
      </w:r>
    </w:p>
    <w:p>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（3）</w:t>
      </w:r>
      <w:r>
        <w:rPr>
          <w:rFonts w:hint="eastAsia" w:ascii="仿宋" w:hAnsi="仿宋" w:eastAsia="仿宋" w:cs="Arial"/>
          <w:b/>
          <w:color w:val="auto"/>
          <w:sz w:val="24"/>
          <w:szCs w:val="22"/>
          <w:highlight w:val="none"/>
          <w:u w:val="single"/>
        </w:rPr>
        <w:t>磋商小组</w:t>
      </w:r>
      <w:r>
        <w:rPr>
          <w:rFonts w:ascii="仿宋" w:hAnsi="仿宋" w:eastAsia="仿宋" w:cs="Arial"/>
          <w:b/>
          <w:color w:val="auto"/>
          <w:sz w:val="24"/>
          <w:szCs w:val="22"/>
          <w:highlight w:val="none"/>
          <w:u w:val="single"/>
        </w:rPr>
        <w:t>（少数服从多数原则）认为磋商供应商不能证明其</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合理性的，将</w:t>
      </w:r>
      <w:r>
        <w:rPr>
          <w:rFonts w:hint="eastAsia" w:ascii="仿宋" w:hAnsi="仿宋" w:eastAsia="仿宋" w:cs="Arial"/>
          <w:b/>
          <w:color w:val="auto"/>
          <w:sz w:val="24"/>
          <w:szCs w:val="22"/>
          <w:highlight w:val="none"/>
          <w:u w:val="single"/>
        </w:rPr>
        <w:t>对</w:t>
      </w:r>
      <w:r>
        <w:rPr>
          <w:rFonts w:ascii="仿宋" w:hAnsi="仿宋" w:eastAsia="仿宋" w:cs="Arial"/>
          <w:b/>
          <w:color w:val="auto"/>
          <w:sz w:val="24"/>
          <w:szCs w:val="22"/>
          <w:highlight w:val="none"/>
          <w:u w:val="single"/>
        </w:rPr>
        <w:t>其作为无效响应处理</w:t>
      </w:r>
      <w:r>
        <w:rPr>
          <w:rFonts w:ascii="仿宋" w:hAnsi="仿宋" w:eastAsia="仿宋" w:cs="Arial"/>
          <w:color w:val="auto"/>
          <w:sz w:val="24"/>
          <w:szCs w:val="22"/>
          <w:highlight w:val="none"/>
        </w:rPr>
        <w:t>。</w:t>
      </w:r>
    </w:p>
    <w:p>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3.2.2最后报价</w:t>
      </w:r>
      <w:r>
        <w:rPr>
          <w:rFonts w:ascii="仿宋" w:hAnsi="仿宋" w:eastAsia="仿宋" w:cs="Arial"/>
          <w:b/>
          <w:color w:val="auto"/>
          <w:sz w:val="24"/>
          <w:szCs w:val="22"/>
          <w:highlight w:val="none"/>
        </w:rPr>
        <w:t>分计算方法</w:t>
      </w:r>
    </w:p>
    <w:p>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（1）</w:t>
      </w:r>
      <w:r>
        <w:rPr>
          <w:rFonts w:ascii="仿宋" w:hAnsi="仿宋" w:eastAsia="仿宋" w:cs="Arial"/>
          <w:b/>
          <w:color w:val="auto"/>
          <w:sz w:val="24"/>
          <w:szCs w:val="22"/>
          <w:highlight w:val="none"/>
        </w:rPr>
        <w:t>满足</w:t>
      </w:r>
      <w:r>
        <w:rPr>
          <w:rFonts w:hint="eastAsia" w:ascii="仿宋" w:hAnsi="仿宋" w:eastAsia="仿宋" w:cs="Arial"/>
          <w:b/>
          <w:color w:val="auto"/>
          <w:sz w:val="24"/>
          <w:szCs w:val="22"/>
          <w:highlight w:val="none"/>
        </w:rPr>
        <w:t>采购</w:t>
      </w:r>
      <w:r>
        <w:rPr>
          <w:rFonts w:ascii="仿宋" w:hAnsi="仿宋" w:eastAsia="仿宋" w:cs="Arial"/>
          <w:b/>
          <w:color w:val="auto"/>
          <w:sz w:val="24"/>
          <w:szCs w:val="22"/>
          <w:highlight w:val="none"/>
        </w:rPr>
        <w:t>文件要求</w:t>
      </w:r>
      <w:r>
        <w:rPr>
          <w:rFonts w:hint="eastAsia" w:ascii="仿宋" w:hAnsi="仿宋" w:eastAsia="仿宋" w:cs="Arial"/>
          <w:b/>
          <w:color w:val="auto"/>
          <w:sz w:val="24"/>
          <w:szCs w:val="22"/>
          <w:highlight w:val="none"/>
        </w:rPr>
        <w:t>的最低评审价</w:t>
      </w:r>
      <w:r>
        <w:rPr>
          <w:rFonts w:ascii="仿宋" w:hAnsi="仿宋" w:eastAsia="仿宋" w:cs="Arial"/>
          <w:b/>
          <w:color w:val="auto"/>
          <w:sz w:val="24"/>
          <w:szCs w:val="22"/>
          <w:highlight w:val="none"/>
        </w:rPr>
        <w:t>为评审基准价，其价格分为</w:t>
      </w:r>
      <w:r>
        <w:rPr>
          <w:rFonts w:hint="eastAsia" w:ascii="仿宋" w:hAnsi="仿宋" w:eastAsia="仿宋" w:cs="Arial"/>
          <w:b/>
          <w:color w:val="auto"/>
          <w:sz w:val="24"/>
          <w:szCs w:val="22"/>
          <w:highlight w:val="none"/>
        </w:rPr>
        <w:t>满</w:t>
      </w:r>
      <w:r>
        <w:rPr>
          <w:rFonts w:ascii="仿宋" w:hAnsi="仿宋" w:eastAsia="仿宋" w:cs="Arial"/>
          <w:b/>
          <w:color w:val="auto"/>
          <w:sz w:val="24"/>
          <w:szCs w:val="22"/>
          <w:highlight w:val="none"/>
        </w:rPr>
        <w:t>分。</w:t>
      </w:r>
    </w:p>
    <w:p>
      <w:pPr>
        <w:spacing w:line="360" w:lineRule="auto"/>
        <w:ind w:firstLine="424" w:firstLineChars="176"/>
        <w:rPr>
          <w:rFonts w:hint="eastAsia" w:ascii="仿宋" w:hAnsi="仿宋" w:eastAsia="仿宋" w:cs="Arial"/>
          <w:b/>
          <w:color w:val="auto"/>
          <w:sz w:val="24"/>
          <w:szCs w:val="22"/>
          <w:highlight w:val="none"/>
        </w:rPr>
      </w:pPr>
      <w:bookmarkStart w:id="92" w:name="_Toc32305"/>
      <w:r>
        <w:rPr>
          <w:rFonts w:hint="eastAsia" w:ascii="仿宋" w:hAnsi="仿宋" w:eastAsia="仿宋" w:cs="Arial"/>
          <w:b/>
          <w:color w:val="auto"/>
          <w:sz w:val="24"/>
          <w:szCs w:val="22"/>
          <w:highlight w:val="none"/>
        </w:rPr>
        <w:t>（2）其他磋商供应商的最后报价分统一按照下列公式计算（四舍五入，精确到小数点后二位）：最后报价得分=（评审基准价／供应商评审价）×价格权值×100</w:t>
      </w:r>
      <w:bookmarkEnd w:id="92"/>
    </w:p>
    <w:p>
      <w:pPr>
        <w:pStyle w:val="3"/>
        <w:spacing w:before="0" w:after="0" w:line="360" w:lineRule="auto"/>
        <w:rPr>
          <w:color w:val="auto"/>
          <w:highlight w:val="none"/>
        </w:rPr>
      </w:pPr>
      <w:bookmarkStart w:id="93" w:name="_Toc25076"/>
      <w:r>
        <w:rPr>
          <w:rFonts w:hint="eastAsia"/>
          <w:color w:val="auto"/>
          <w:highlight w:val="none"/>
        </w:rPr>
        <w:t>四、其他评审事项规定</w:t>
      </w:r>
      <w:bookmarkEnd w:id="93"/>
    </w:p>
    <w:p>
      <w:pPr>
        <w:pStyle w:val="4"/>
        <w:rPr>
          <w:color w:val="auto"/>
          <w:highlight w:val="none"/>
        </w:rPr>
      </w:pPr>
      <w:r>
        <w:rPr>
          <w:rFonts w:hint="eastAsia"/>
          <w:color w:val="auto"/>
          <w:highlight w:val="none"/>
        </w:rPr>
        <w:t>4.1 串通投标的认定</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4.1.1在评审过程中发现供应商存在以下情形之一的，将被视为串通投标的：</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不同磋商供应商的磋商响应文件由同一单位或个人编制</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w:t>
      </w:r>
      <w:r>
        <w:rPr>
          <w:rFonts w:hint="eastAsia" w:ascii="仿宋" w:hAnsi="仿宋" w:eastAsia="仿宋" w:cs="Arial"/>
          <w:b/>
          <w:color w:val="auto"/>
          <w:kern w:val="0"/>
          <w:sz w:val="24"/>
          <w:highlight w:val="none"/>
          <w:u w:val="single"/>
        </w:rPr>
        <w:t>不同磋商供应商委托同一单位或个人办理投标事宜</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w:t>
      </w:r>
      <w:r>
        <w:rPr>
          <w:rFonts w:hint="eastAsia" w:ascii="仿宋" w:hAnsi="仿宋" w:eastAsia="仿宋" w:cs="Arial"/>
          <w:b/>
          <w:color w:val="auto"/>
          <w:kern w:val="0"/>
          <w:sz w:val="24"/>
          <w:highlight w:val="none"/>
          <w:u w:val="single"/>
        </w:rPr>
        <w:t>不同磋商供应商的磋商响应文件载明的项目管理成员或联系人员为同一人</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hint="eastAsia" w:ascii="仿宋" w:hAnsi="仿宋" w:eastAsia="仿宋" w:cs="Arial"/>
          <w:b/>
          <w:color w:val="auto"/>
          <w:kern w:val="0"/>
          <w:sz w:val="24"/>
          <w:highlight w:val="none"/>
          <w:u w:val="single"/>
        </w:rPr>
        <w:t>不同磋商供应商的磋商响应文件异常一致或者投标报价呈规律性差异</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w:t>
      </w:r>
      <w:r>
        <w:rPr>
          <w:rFonts w:hint="eastAsia" w:ascii="仿宋" w:hAnsi="仿宋" w:eastAsia="仿宋" w:cs="Arial"/>
          <w:b/>
          <w:color w:val="auto"/>
          <w:kern w:val="0"/>
          <w:sz w:val="24"/>
          <w:highlight w:val="none"/>
          <w:u w:val="single"/>
        </w:rPr>
        <w:t>不同磋商供应商的磋商响应文件互相混装</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4.1.2磋商供应商应当遵循公平竞争的原则，不得恶意串通，不得妨碍其他磋商供应商的竞争行为，不得损害采购人或者其他磋商供应商的合法权益。在评审过程中，发现磋商供应商有上述串通投标情形的，磋商响应无效。</w:t>
      </w:r>
    </w:p>
    <w:p>
      <w:pPr>
        <w:pStyle w:val="4"/>
        <w:rPr>
          <w:color w:val="auto"/>
          <w:highlight w:val="none"/>
        </w:rPr>
      </w:pPr>
      <w:r>
        <w:rPr>
          <w:rFonts w:hint="eastAsia"/>
          <w:color w:val="auto"/>
          <w:highlight w:val="none"/>
        </w:rPr>
        <w:t>4.2 磋商供应商违法等重大事项的处理</w:t>
      </w:r>
    </w:p>
    <w:p>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磋商供应商</w:t>
      </w:r>
      <w:r>
        <w:rPr>
          <w:rFonts w:ascii="仿宋" w:hAnsi="仿宋" w:eastAsia="仿宋" w:cs="Arial"/>
          <w:b/>
          <w:color w:val="auto"/>
          <w:kern w:val="0"/>
          <w:sz w:val="24"/>
          <w:highlight w:val="none"/>
        </w:rPr>
        <w:t>有下列情形之一的，磋商响应无效且将《磋商响应文件》、《询标记录》等报有关职能部门查处：</w:t>
      </w:r>
    </w:p>
    <w:p>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（1）未如实提供债权债务、</w:t>
      </w:r>
      <w:r>
        <w:rPr>
          <w:rFonts w:hint="eastAsia" w:ascii="仿宋" w:hAnsi="仿宋" w:eastAsia="仿宋" w:cs="Arial"/>
          <w:color w:val="auto"/>
          <w:kern w:val="0"/>
          <w:sz w:val="24"/>
          <w:highlight w:val="none"/>
        </w:rPr>
        <w:t>重大</w:t>
      </w:r>
      <w:r>
        <w:rPr>
          <w:rFonts w:ascii="仿宋" w:hAnsi="仿宋" w:eastAsia="仿宋" w:cs="Arial"/>
          <w:color w:val="auto"/>
          <w:kern w:val="0"/>
          <w:sz w:val="24"/>
          <w:highlight w:val="none"/>
        </w:rPr>
        <w:t>违法记录</w:t>
      </w:r>
      <w:r>
        <w:rPr>
          <w:rFonts w:hint="eastAsia" w:ascii="仿宋" w:hAnsi="仿宋" w:eastAsia="仿宋" w:cs="Arial"/>
          <w:color w:val="auto"/>
          <w:kern w:val="0"/>
          <w:sz w:val="24"/>
          <w:highlight w:val="none"/>
        </w:rPr>
        <w:t>、利害关系等</w:t>
      </w:r>
      <w:r>
        <w:rPr>
          <w:rFonts w:ascii="仿宋" w:hAnsi="仿宋" w:eastAsia="仿宋" w:cs="Arial"/>
          <w:color w:val="auto"/>
          <w:kern w:val="0"/>
          <w:sz w:val="24"/>
          <w:highlight w:val="none"/>
        </w:rPr>
        <w:t>信息，影响或者可能影响</w:t>
      </w:r>
      <w:r>
        <w:rPr>
          <w:rFonts w:hint="eastAsia" w:ascii="仿宋" w:hAnsi="仿宋" w:eastAsia="仿宋" w:cs="Arial"/>
          <w:color w:val="auto"/>
          <w:kern w:val="0"/>
          <w:sz w:val="24"/>
          <w:highlight w:val="none"/>
        </w:rPr>
        <w:t>成交</w:t>
      </w:r>
      <w:r>
        <w:rPr>
          <w:rFonts w:ascii="仿宋" w:hAnsi="仿宋" w:eastAsia="仿宋" w:cs="Arial"/>
          <w:color w:val="auto"/>
          <w:kern w:val="0"/>
          <w:sz w:val="24"/>
          <w:highlight w:val="none"/>
        </w:rPr>
        <w:t>结果的；</w:t>
      </w:r>
    </w:p>
    <w:p>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（2）</w:t>
      </w:r>
      <w:r>
        <w:rPr>
          <w:rFonts w:hint="eastAsia" w:ascii="仿宋" w:hAnsi="仿宋" w:eastAsia="仿宋" w:cs="Arial"/>
          <w:color w:val="auto"/>
          <w:kern w:val="0"/>
          <w:sz w:val="24"/>
          <w:highlight w:val="none"/>
        </w:rPr>
        <w:t>不遵循公平竞争原则、恶意串通、妨碍其他磋商供应商的竞争、损害采购人或其他磋商供应商合法权益的；</w:t>
      </w:r>
    </w:p>
    <w:p>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w:t>
      </w:r>
      <w:r>
        <w:rPr>
          <w:rFonts w:ascii="仿宋" w:hAnsi="仿宋" w:eastAsia="仿宋" w:cs="Arial"/>
          <w:color w:val="auto"/>
          <w:kern w:val="0"/>
          <w:sz w:val="24"/>
          <w:highlight w:val="none"/>
        </w:rPr>
        <w:t>政府采购活动中存在违法行为的；</w:t>
      </w:r>
    </w:p>
    <w:p>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4</w:t>
      </w:r>
      <w:r>
        <w:rPr>
          <w:rFonts w:ascii="仿宋" w:hAnsi="仿宋" w:eastAsia="仿宋" w:cs="Arial"/>
          <w:color w:val="auto"/>
          <w:kern w:val="0"/>
          <w:sz w:val="24"/>
          <w:highlight w:val="none"/>
        </w:rPr>
        <w:t>）其他严重干扰招投标秩序的行为的。</w:t>
      </w:r>
    </w:p>
    <w:p>
      <w:pPr>
        <w:pStyle w:val="4"/>
        <w:rPr>
          <w:color w:val="auto"/>
          <w:highlight w:val="none"/>
        </w:rPr>
      </w:pPr>
      <w:r>
        <w:rPr>
          <w:rFonts w:hint="eastAsia"/>
          <w:color w:val="auto"/>
          <w:highlight w:val="none"/>
        </w:rPr>
        <w:t>4.3竞争性磋商采购活动终止</w:t>
      </w:r>
    </w:p>
    <w:p>
      <w:pPr>
        <w:pStyle w:val="37"/>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4.3.1出现下列情形之一的，采购人或者采购代理机构将终止竞争性磋商采购活动，发布项目终止公告并说明原因，重新开展采购活动：</w:t>
      </w:r>
    </w:p>
    <w:p>
      <w:pPr>
        <w:pStyle w:val="37"/>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（1）因情况变化，不再符合规定的竞争性磋商采购方式使用情形的；</w:t>
      </w:r>
    </w:p>
    <w:p>
      <w:pPr>
        <w:pStyle w:val="37"/>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（2）出现影响采购公正的违法、违规行为的；</w:t>
      </w:r>
    </w:p>
    <w:p>
      <w:pPr>
        <w:pStyle w:val="37"/>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3）除《政府采购竞争性磋商采购方式管理暂行办法》第二十一条第三款规定的情形（市场竞争不充分的科研项目、需要扶持的科技成果转化项目）外，在采购过程中符合要求的供应商或最后报价未超过采购预算的供应商不足3家的。</w:t>
      </w:r>
    </w:p>
    <w:p>
      <w:pPr>
        <w:pStyle w:val="37"/>
        <w:spacing w:line="360" w:lineRule="auto"/>
        <w:ind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4.3.2针对第4.3.1款第（3）条内容的特别补充说明：根据《财政部关于政府采购竞争性磋商采购方式管理暂行办法有关问题的补充通知（财库[2015]124号）》的相关规定，政府购买服务项目（含政府和社会资本合作项目）在采购过程中符合要求的供应商（社会资本）只有2家的，竞争性磋商采购活动可以继续进行；采购过程中符合要求的供应商（社会资本）只有1家的，采购人或者采购代理机构将终止竞争性磋商采购活动，发布项目终止公告，重新开展采购活动。</w:t>
      </w:r>
    </w:p>
    <w:p>
      <w:pPr>
        <w:pStyle w:val="37"/>
        <w:spacing w:line="360" w:lineRule="auto"/>
        <w:ind w:firstLine="482"/>
        <w:rPr>
          <w:rFonts w:ascii="仿宋" w:hAnsi="仿宋" w:eastAsia="仿宋"/>
          <w:b/>
          <w:color w:val="auto"/>
          <w:kern w:val="0"/>
          <w:sz w:val="24"/>
          <w:highlight w:val="none"/>
        </w:rPr>
      </w:pPr>
      <w:r>
        <w:rPr>
          <w:rFonts w:hint="eastAsia" w:ascii="仿宋" w:hAnsi="仿宋" w:eastAsia="仿宋" w:cs="Arial"/>
          <w:b/>
          <w:color w:val="auto"/>
          <w:kern w:val="0"/>
          <w:sz w:val="24"/>
          <w:szCs w:val="22"/>
          <w:highlight w:val="none"/>
        </w:rPr>
        <w:t>4.3.3</w:t>
      </w:r>
      <w:r>
        <w:rPr>
          <w:rFonts w:hint="eastAsia" w:ascii="仿宋" w:hAnsi="仿宋" w:eastAsia="仿宋"/>
          <w:b/>
          <w:color w:val="auto"/>
          <w:kern w:val="0"/>
          <w:sz w:val="24"/>
          <w:highlight w:val="none"/>
        </w:rPr>
        <w:t>在采购活动中因重大变故，采购任务取消的，采购人或者采购代理机构将终止采购活动，通知所有参加采购活动的供应商。</w:t>
      </w:r>
    </w:p>
    <w:p>
      <w:pPr>
        <w:spacing w:line="360" w:lineRule="auto"/>
        <w:rPr>
          <w:rFonts w:ascii="Arial" w:hAnsi="新宋体" w:eastAsia="新宋体" w:cs="Arial"/>
          <w:b/>
          <w:color w:val="auto"/>
          <w:sz w:val="22"/>
          <w:szCs w:val="22"/>
          <w:highlight w:val="none"/>
        </w:rPr>
        <w:sectPr>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rPr>
          <w:color w:val="auto"/>
          <w:highlight w:val="none"/>
        </w:rPr>
      </w:pPr>
      <w:bookmarkStart w:id="94" w:name="_Toc440162798"/>
      <w:bookmarkStart w:id="95" w:name="_Toc424164165"/>
      <w:bookmarkStart w:id="96" w:name="_Toc30038"/>
      <w:r>
        <w:rPr>
          <w:rFonts w:hint="eastAsia"/>
          <w:color w:val="auto"/>
          <w:highlight w:val="none"/>
        </w:rPr>
        <w:t>第五章</w:t>
      </w:r>
      <w:r>
        <w:rPr>
          <w:color w:val="auto"/>
          <w:highlight w:val="none"/>
        </w:rPr>
        <w:t xml:space="preserve"> </w:t>
      </w:r>
      <w:bookmarkEnd w:id="94"/>
      <w:bookmarkEnd w:id="95"/>
      <w:r>
        <w:rPr>
          <w:rFonts w:hint="eastAsia"/>
          <w:color w:val="auto"/>
          <w:highlight w:val="none"/>
        </w:rPr>
        <w:t>合同条款</w:t>
      </w:r>
      <w:bookmarkEnd w:id="96"/>
    </w:p>
    <w:p>
      <w:pPr>
        <w:spacing w:line="360" w:lineRule="auto"/>
        <w:rPr>
          <w:rFonts w:hint="eastAsia" w:ascii="仿宋" w:hAnsi="仿宋" w:eastAsia="仿宋" w:cs="仿宋"/>
          <w:b/>
          <w:color w:val="auto"/>
          <w:sz w:val="24"/>
          <w:highlight w:val="none"/>
          <w:lang w:eastAsia="zh-CN"/>
        </w:rPr>
      </w:pPr>
      <w:bookmarkStart w:id="97" w:name="_Hlk70081597"/>
      <w:bookmarkStart w:id="98" w:name="_Hlk62322485"/>
      <w:bookmarkStart w:id="99" w:name="_Toc440162799"/>
      <w:bookmarkStart w:id="100" w:name="_Toc424164166"/>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CTZB-2024060047</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确认书编号：</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甲方（全称）：</w:t>
      </w:r>
      <w:r>
        <w:rPr>
          <w:rFonts w:hint="eastAsia" w:ascii="仿宋" w:hAnsi="仿宋" w:eastAsia="仿宋" w:cs="仿宋"/>
          <w:b/>
          <w:color w:val="auto"/>
          <w:sz w:val="24"/>
          <w:highlight w:val="none"/>
          <w:u w:val="single"/>
        </w:rPr>
        <w:t>浙江中医药大学</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乙方（全称）：</w:t>
      </w:r>
      <w:bookmarkStart w:id="101" w:name="_Hlk106098821"/>
      <w:r>
        <w:rPr>
          <w:rFonts w:hint="eastAsia" w:ascii="仿宋" w:hAnsi="仿宋" w:eastAsia="仿宋" w:cs="仿宋"/>
          <w:b/>
          <w:color w:val="auto"/>
          <w:sz w:val="24"/>
          <w:highlight w:val="none"/>
          <w:u w:val="single"/>
        </w:rPr>
        <w:t xml:space="preserve">             </w:t>
      </w:r>
      <w:bookmarkEnd w:id="101"/>
      <w:r>
        <w:rPr>
          <w:rFonts w:hint="eastAsia" w:ascii="仿宋" w:hAnsi="仿宋" w:eastAsia="仿宋" w:cs="仿宋"/>
          <w:b/>
          <w:color w:val="auto"/>
          <w:sz w:val="24"/>
          <w:highlight w:val="none"/>
          <w:u w:val="single"/>
        </w:rPr>
        <w:t xml:space="preserve"> </w:t>
      </w:r>
    </w:p>
    <w:p>
      <w:pPr>
        <w:shd w:val="clear" w:color="auto" w:fill="FFFFFF"/>
        <w:snapToGrid w:val="0"/>
        <w:spacing w:line="360" w:lineRule="auto"/>
        <w:ind w:firstLine="420"/>
        <w:rPr>
          <w:rFonts w:ascii="仿宋" w:hAnsi="仿宋" w:eastAsia="仿宋" w:cs="仿宋"/>
          <w:color w:val="auto"/>
          <w:sz w:val="24"/>
          <w:highlight w:val="none"/>
          <w:shd w:val="clear" w:color="auto" w:fill="FFFFFF"/>
        </w:rPr>
      </w:pPr>
    </w:p>
    <w:p>
      <w:pPr>
        <w:shd w:val="clear" w:color="auto" w:fill="FFFFFF"/>
        <w:snapToGrid w:val="0"/>
        <w:spacing w:line="360" w:lineRule="auto"/>
        <w:ind w:firstLine="420"/>
        <w:rPr>
          <w:rFonts w:ascii="仿宋" w:hAnsi="仿宋" w:eastAsia="仿宋" w:cs="仿宋"/>
          <w:b/>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根据《中华人民共和国民法典》等有关法律规定，遵循平等、自愿、公平和诚实信用的原则，</w:t>
      </w:r>
      <w:r>
        <w:rPr>
          <w:rFonts w:hint="eastAsia" w:ascii="仿宋" w:hAnsi="仿宋" w:eastAsia="仿宋" w:cs="仿宋"/>
          <w:color w:val="auto"/>
          <w:kern w:val="0"/>
          <w:sz w:val="24"/>
          <w:highlight w:val="none"/>
        </w:rPr>
        <w:t>经招标代理机构浙江省成套招标代理有限公司对</w:t>
      </w:r>
      <w:r>
        <w:rPr>
          <w:rFonts w:hint="eastAsia" w:ascii="仿宋" w:hAnsi="仿宋" w:eastAsia="仿宋" w:cs="仿宋"/>
          <w:color w:val="auto"/>
          <w:kern w:val="0"/>
          <w:sz w:val="24"/>
          <w:highlight w:val="none"/>
          <w:u w:val="single"/>
        </w:rPr>
        <w:t xml:space="preserve"> </w:t>
      </w:r>
      <w:bookmarkStart w:id="102" w:name="_Hlk106098808"/>
      <w:r>
        <w:rPr>
          <w:rFonts w:hint="eastAsia" w:ascii="仿宋" w:hAnsi="仿宋" w:eastAsia="仿宋" w:cs="仿宋"/>
          <w:color w:val="auto"/>
          <w:kern w:val="0"/>
          <w:sz w:val="24"/>
          <w:highlight w:val="none"/>
          <w:u w:val="single"/>
          <w:lang w:eastAsia="zh-CN"/>
        </w:rPr>
        <w:t>浙江中医药大学富春校区及滨文南区消防设施设备日常零星维修改造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工程</w:t>
      </w:r>
      <w:bookmarkEnd w:id="102"/>
      <w:r>
        <w:rPr>
          <w:rFonts w:hint="eastAsia" w:ascii="仿宋" w:hAnsi="仿宋" w:eastAsia="仿宋" w:cs="仿宋"/>
          <w:color w:val="auto"/>
          <w:kern w:val="0"/>
          <w:sz w:val="24"/>
          <w:highlight w:val="none"/>
        </w:rPr>
        <w:t>通过</w:t>
      </w:r>
      <w:r>
        <w:rPr>
          <w:rFonts w:hint="eastAsia" w:ascii="仿宋" w:hAnsi="仿宋" w:eastAsia="仿宋" w:cs="仿宋"/>
          <w:color w:val="auto"/>
          <w:kern w:val="0"/>
          <w:sz w:val="24"/>
          <w:highlight w:val="none"/>
          <w:u w:val="single"/>
        </w:rPr>
        <w:t xml:space="preserve"> 竞争性磋商 </w:t>
      </w:r>
      <w:r>
        <w:rPr>
          <w:rFonts w:hint="eastAsia" w:ascii="仿宋" w:hAnsi="仿宋" w:eastAsia="仿宋" w:cs="仿宋"/>
          <w:color w:val="auto"/>
          <w:kern w:val="0"/>
          <w:sz w:val="24"/>
          <w:highlight w:val="none"/>
        </w:rPr>
        <w:t>方式采购，确定</w:t>
      </w:r>
      <w:r>
        <w:rPr>
          <w:rFonts w:hint="eastAsia" w:ascii="仿宋" w:hAnsi="仿宋" w:eastAsia="仿宋" w:cs="仿宋"/>
          <w:color w:val="auto"/>
          <w:kern w:val="0"/>
          <w:sz w:val="24"/>
          <w:highlight w:val="none"/>
          <w:u w:val="singl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bCs/>
          <w:snapToGrid w:val="0"/>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为本工程成交人，</w:t>
      </w:r>
      <w:r>
        <w:rPr>
          <w:rFonts w:hint="eastAsia" w:ascii="仿宋" w:hAnsi="仿宋" w:eastAsia="仿宋" w:cs="仿宋"/>
          <w:color w:val="auto"/>
          <w:kern w:val="0"/>
          <w:sz w:val="24"/>
          <w:highlight w:val="none"/>
          <w:shd w:val="clear" w:color="auto" w:fill="FFFFFF"/>
        </w:rPr>
        <w:t>双方协商一致，共同达成如下协议：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hd w:val="clear" w:color="auto" w:fill="FFFFFF"/>
        <w:snapToGrid w:val="0"/>
        <w:spacing w:line="360" w:lineRule="auto"/>
        <w:ind w:firstLine="420"/>
        <w:rPr>
          <w:rFonts w:ascii="仿宋" w:hAnsi="仿宋" w:eastAsia="仿宋" w:cs="仿宋"/>
          <w:b/>
          <w:color w:val="auto"/>
          <w:kern w:val="0"/>
          <w:sz w:val="24"/>
          <w:highlight w:val="none"/>
          <w:shd w:val="clear" w:color="auto" w:fill="FFFFFF"/>
        </w:rPr>
      </w:pPr>
      <w:r>
        <w:rPr>
          <w:rFonts w:hint="eastAsia" w:ascii="仿宋" w:hAnsi="仿宋" w:eastAsia="仿宋" w:cs="仿宋"/>
          <w:color w:val="auto"/>
          <w:sz w:val="24"/>
          <w:highlight w:val="none"/>
          <w:shd w:val="clear" w:color="auto" w:fill="FFFFFF"/>
        </w:rPr>
        <w:t>1.工程名称：</w:t>
      </w:r>
      <w:r>
        <w:rPr>
          <w:rFonts w:hint="eastAsia" w:ascii="仿宋" w:hAnsi="仿宋" w:eastAsia="仿宋" w:cs="仿宋"/>
          <w:color w:val="auto"/>
          <w:sz w:val="24"/>
          <w:highlight w:val="none"/>
          <w:u w:val="single"/>
          <w:shd w:val="clear" w:color="auto" w:fill="FFFFFF"/>
          <w:lang w:eastAsia="zh-CN"/>
        </w:rPr>
        <w:t>浙江中医药大学富春校区及滨文南区消防设施设备日常零星维修改造</w:t>
      </w:r>
      <w:r>
        <w:rPr>
          <w:rFonts w:hint="eastAsia" w:ascii="仿宋" w:hAnsi="仿宋" w:eastAsia="仿宋" w:cs="仿宋"/>
          <w:color w:val="auto"/>
          <w:sz w:val="24"/>
          <w:highlight w:val="none"/>
          <w:u w:val="single"/>
          <w:shd w:val="clear" w:color="auto" w:fill="FFFFFF"/>
        </w:rPr>
        <w:t xml:space="preserve"> </w:t>
      </w:r>
    </w:p>
    <w:p>
      <w:pPr>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2.工程范围：</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二、合同工程内容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服务内容为承担甲方20万元以内消防设施设备零星维修改造项目。</w:t>
      </w:r>
    </w:p>
    <w:p>
      <w:pPr>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服务期开始时间：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w:t>
      </w:r>
    </w:p>
    <w:p>
      <w:pPr>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服务期结束时间：</w:t>
      </w: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w:t>
      </w:r>
    </w:p>
    <w:p>
      <w:pPr>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服务期：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年 </w:t>
      </w:r>
      <w:r>
        <w:rPr>
          <w:rFonts w:hint="eastAsia" w:ascii="仿宋" w:hAnsi="仿宋" w:eastAsia="仿宋" w:cs="仿宋"/>
          <w:color w:val="auto"/>
          <w:sz w:val="24"/>
          <w:highlight w:val="none"/>
        </w:rPr>
        <w:t>，累计工程款结算金额至预算金额或服务期满后，则合同履行完毕。</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三、质量标准</w:t>
      </w:r>
    </w:p>
    <w:p>
      <w:pPr>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b/>
          <w:color w:val="auto"/>
          <w:sz w:val="24"/>
          <w:highlight w:val="none"/>
          <w:u w:val="single"/>
        </w:rPr>
        <w:t>国家验收规范合格</w:t>
      </w:r>
      <w:r>
        <w:rPr>
          <w:rFonts w:hint="eastAsia" w:ascii="仿宋" w:hAnsi="仿宋" w:eastAsia="仿宋" w:cs="仿宋"/>
          <w:color w:val="auto"/>
          <w:sz w:val="24"/>
          <w:highlight w:val="none"/>
        </w:rPr>
        <w:t>标准，达到国家有关技术标准、规范、规程要求。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四、承包方式</w:t>
      </w:r>
      <w:r>
        <w:rPr>
          <w:rFonts w:hint="eastAsia" w:ascii="仿宋" w:hAnsi="仿宋" w:eastAsia="仿宋" w:cs="仿宋"/>
          <w:b/>
          <w:color w:val="auto"/>
          <w:sz w:val="24"/>
          <w:highlight w:val="none"/>
        </w:rPr>
        <w:tab/>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1.乙方就本合同工程内容的质量、造价、工期、安全文明施工、完工后的保修等实行总承包。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2.对甲方另行发包的其他工程，可能纳入乙方的管理，乙方必须接受。其费用应在报价时明确。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3.本合同工程内的所有施工内容必须由具有相应资质等级的专业施工企业进行施工。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4.乙方必须服从甲方的监督和管理。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五、施工队伍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乙方投入本工程的具体施工队伍详</w:t>
      </w:r>
      <w:r>
        <w:rPr>
          <w:rFonts w:hint="eastAsia" w:ascii="仿宋" w:hAnsi="仿宋" w:eastAsia="仿宋" w:cs="仿宋"/>
          <w:color w:val="auto"/>
          <w:sz w:val="24"/>
          <w:highlight w:val="none"/>
          <w:u w:val="single"/>
        </w:rPr>
        <w:t xml:space="preserve">见附件5《项目班子成员》 </w:t>
      </w:r>
      <w:r>
        <w:rPr>
          <w:rFonts w:hint="eastAsia" w:ascii="仿宋" w:hAnsi="仿宋" w:eastAsia="仿宋" w:cs="仿宋"/>
          <w:color w:val="auto"/>
          <w:sz w:val="24"/>
          <w:highlight w:val="none"/>
        </w:rPr>
        <w:t xml:space="preserve"> 。</w:t>
      </w:r>
    </w:p>
    <w:p>
      <w:pPr>
        <w:autoSpaceDE w:val="0"/>
        <w:autoSpaceDN w:val="0"/>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乙方投入本工程施工队伍的素质、能力、力量和机械等必须符合投标时的承诺和满足工程的实际需要。</w:t>
      </w:r>
    </w:p>
    <w:p>
      <w:pPr>
        <w:autoSpaceDE w:val="0"/>
        <w:autoSpaceDN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如施工现场管理混乱，施工质量和进度明显达不到甲方或合同要求时，甲方有权要求其加强管理，调整和充实力量。乙方必须3天内整改完毕，否则甲方有权解除本合同，拒付该项目维修价款，并追究乙方的违约责任。</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六、工程造价</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工程费总折扣率为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本项目预算资金为人民币</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28</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万元/</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 xml:space="preserve">年； </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乙方累计工程款结算金额至预算金额或服务期满后，则本合同履行完毕。</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合同期内由甲方进行项目分配且工作量不设下限，乙方不得提出异议。</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单项工程项目预算金额是为按照合同主要条款的规定和要求，完成从施工准备、开工至工程完工、交工验收和保修期服务等承包内容的全部费用。除以下因素可调整项目预算金额外，不得以其他任何理由调整或变更：</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（1）工程设计变更：乙方在收到甲方签发的工程设计变更联系单后，可根据乙方及成交折扣率计算变更费用，交甲方审核确认后，作为调整项目预算金额的依据。</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（2）属于应该预见预防的因素，而因乙方没有及时预防或预防不力造成的损失，甲方不予补偿。属施工技术组织措施失误造成费用、工期的损失由乙方承担。</w:t>
      </w:r>
    </w:p>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七、质量保证及后续服务</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1.乙方应按磋商文件规定向甲方提供服务。</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2.乙方应设置质量检查机构，配备专职的质量检查人员，建立完善的质量保证体系、检查制度和登记制度。</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乙方必须严格按照国家现行的规范、规程和建安工程质量检验评定统一标准等有关规定，精心组织施工，对施工过程中的全部数据必须如实记录，并及时整理递交甲方，严格把好每道工序的质量关。保证工程质量符合《建筑工程施工质量验收统一标准》（GB50300）及相关质量验收规范的要求。</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4.甲方对工程的现场管理、施工质量和进度进行监督、检查和管理。</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5.乙方在施工过程中如发现设计、设备、材料、施工等质量问题应及时通知甲方。其处理方法必须经甲方认可。</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6.甲方代表如发现施工质量不符合要求者，有权通知乙方进行整改、停止施工或返工，乙方必须接受。且由此发生的费用和工期损失均由乙方承担。</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7.甲方有权对工程所有部位以及任何工艺、设备和材料进行检查和检验。乙方应为甲方的工作提供一切方便并提供必要的数据。</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8.甲方工程师的检查和检验不解除乙方按合同规定应负的责任。</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9.在服务质量保证期内，乙方应对出现的质量及安全问题负责处理解决并承担一切费用。</w:t>
      </w:r>
    </w:p>
    <w:p>
      <w:pPr>
        <w:widowControl/>
        <w:autoSpaceDE w:val="0"/>
        <w:autoSpaceDN w:val="0"/>
        <w:snapToGrid w:val="0"/>
        <w:spacing w:line="360" w:lineRule="auto"/>
        <w:ind w:firstLine="480" w:firstLineChars="200"/>
        <w:jc w:val="left"/>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有权定期对</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服务内容（包含服务响应、工程质量、工程进度、文明标化）进行考核，考核未能达到</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要求的（实际得分低于80分的），</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应无条件限期整改，直至符合</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要求，若出现三次整改后还未能达到</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要求的、出现重大安全质量问题或不服从</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管理的，</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有权解除本合同，同时有权要求</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赔偿</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的全部经济损失。</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sz w:val="24"/>
          <w:highlight w:val="none"/>
        </w:rPr>
      </w:pPr>
    </w:p>
    <w:p>
      <w:pPr>
        <w:widowControl/>
        <w:autoSpaceDE w:val="0"/>
        <w:autoSpaceDN w:val="0"/>
        <w:snapToGrid w:val="0"/>
        <w:spacing w:line="360" w:lineRule="auto"/>
        <w:jc w:val="left"/>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八、施工进度</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1.本工程合同工期为</w:t>
      </w:r>
      <w:r>
        <w:rPr>
          <w:rFonts w:hint="eastAsia" w:ascii="仿宋" w:hAnsi="仿宋" w:eastAsia="仿宋" w:cs="仿宋"/>
          <w:bCs/>
          <w:color w:val="auto"/>
          <w:kern w:val="0"/>
          <w:sz w:val="24"/>
          <w:highlight w:val="none"/>
          <w:u w:val="single"/>
        </w:rPr>
        <w:t xml:space="preserve">   /  </w:t>
      </w:r>
      <w:r>
        <w:rPr>
          <w:rFonts w:hint="eastAsia" w:ascii="仿宋" w:hAnsi="仿宋" w:eastAsia="仿宋" w:cs="仿宋"/>
          <w:bCs/>
          <w:color w:val="auto"/>
          <w:kern w:val="0"/>
          <w:sz w:val="24"/>
          <w:highlight w:val="none"/>
        </w:rPr>
        <w:t>个日历天。实际工期以开工日至工程验收合格签证日扣除非乙方原因等待验收时间加乙方整改修补的时间为准。</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2.本合同工期包括：</w:t>
      </w:r>
      <w:r>
        <w:rPr>
          <w:rFonts w:hint="eastAsia" w:ascii="仿宋" w:hAnsi="仿宋" w:eastAsia="仿宋" w:cs="仿宋"/>
          <w:bCs/>
          <w:color w:val="auto"/>
          <w:kern w:val="0"/>
          <w:sz w:val="24"/>
          <w:highlight w:val="none"/>
          <w:u w:val="single"/>
        </w:rPr>
        <w:t xml:space="preserve">  /  </w:t>
      </w:r>
      <w:r>
        <w:rPr>
          <w:rFonts w:hint="eastAsia" w:ascii="仿宋" w:hAnsi="仿宋" w:eastAsia="仿宋" w:cs="仿宋"/>
          <w:bCs/>
          <w:color w:val="auto"/>
          <w:kern w:val="0"/>
          <w:sz w:val="24"/>
          <w:highlight w:val="none"/>
        </w:rPr>
        <w:t>。</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3.如应乙方管理不力、计划不周、投入不足造成工期延误的，均由乙方负责。</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4.如施工进度不能满足合同及甲方的要求，甲方有权视实际情况作出减少承包范围直至要求撤场的处理。</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5.合同工期如遇下列情况，经双方在七天内协商签证（不能过后补签）可作相应顺延。</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（1）重大设计变更增加工程量而影响施工进度的；</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（2）因甲方提供的施工需求资料、设备、材料未能及时供应到位，而影响施工进度的；</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（3）因甲方未按约定的期限支付工程款，而使工程不能正常进行的；</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（4）不可抗力因素。</w:t>
      </w:r>
    </w:p>
    <w:p>
      <w:pPr>
        <w:widowControl/>
        <w:autoSpaceDE w:val="0"/>
        <w:autoSpaceDN w:val="0"/>
        <w:snapToGrid w:val="0"/>
        <w:spacing w:line="360" w:lineRule="auto"/>
        <w:jc w:val="left"/>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九、设备、材料供应 </w:t>
      </w:r>
    </w:p>
    <w:p>
      <w:pPr>
        <w:pStyle w:val="13"/>
        <w:rPr>
          <w:rFonts w:ascii="仿宋" w:hAnsi="仿宋" w:eastAsia="仿宋" w:cs="仿宋"/>
          <w:bCs/>
          <w:color w:val="auto"/>
          <w:kern w:val="0"/>
          <w:highlight w:val="none"/>
        </w:rPr>
      </w:pPr>
      <w:r>
        <w:rPr>
          <w:rFonts w:hint="eastAsia" w:ascii="仿宋" w:hAnsi="仿宋" w:eastAsia="仿宋" w:cs="仿宋"/>
          <w:bCs/>
          <w:snapToGrid/>
          <w:color w:val="auto"/>
          <w:kern w:val="0"/>
          <w:highlight w:val="none"/>
        </w:rPr>
        <w:t>1.本工程除甲供设备、材料外，所用的材料由乙方负责采购。在项目实施过程中</w:t>
      </w:r>
      <w:r>
        <w:rPr>
          <w:rFonts w:hint="eastAsia" w:ascii="仿宋" w:hAnsi="仿宋" w:eastAsia="仿宋" w:cs="仿宋"/>
          <w:bCs/>
          <w:color w:val="auto"/>
          <w:kern w:val="0"/>
          <w:highlight w:val="none"/>
        </w:rPr>
        <w:t>所有材料的品牌型号规格均由甲方审核同意后使用,乙方需将材料交甲方确认后再施工。</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甲乙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部分由甲方供应的设备、材料，可能委托乙方催交、运输、验收、保管，乙方必须接受，其费用按有关规定另行商定。乙方必须在设备进场时认真核验，如因乙方未认真核验而导致不合格甲供设备用于工程（设备本体原因除外），因此而引起的一切后果由乙方承担。</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4.材料品质货真价实，存在假冒伪劣材料的，一经发现可拒付该项目维修价款，并按该项目预算金额的20%支付违约金。</w:t>
      </w:r>
    </w:p>
    <w:p>
      <w:pPr>
        <w:widowControl/>
        <w:autoSpaceDE w:val="0"/>
        <w:autoSpaceDN w:val="0"/>
        <w:snapToGrid w:val="0"/>
        <w:spacing w:line="360" w:lineRule="auto"/>
        <w:jc w:val="left"/>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十、需求变更</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1.甲方发出的需求变更联系单，属合同的内容。乙方必须接受并实施。</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2.乙方在施工过程中如发现需求上的错误或不合理的情况，必须及时通知甲方，并按照甲方认可签字的设计变更联系单进行施工。乙方不得擅自修改设计图纸。</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3.由于需求变更影响工程承包造价的，按本合同结算方式办理。</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4.如为施工方便而提出要求改变设计的，必须征得甲方同意，其增加费用，甲方不予支付。</w:t>
      </w:r>
    </w:p>
    <w:p>
      <w:pPr>
        <w:widowControl/>
        <w:autoSpaceDE w:val="0"/>
        <w:autoSpaceDN w:val="0"/>
        <w:snapToGrid w:val="0"/>
        <w:spacing w:line="360" w:lineRule="auto"/>
        <w:jc w:val="left"/>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十一、安全文明施工</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1.乙方应遵守工程建设安全文明施工的有关规定，须按国家有关规定建立相应的安全保证体系。认真落实各项安全保护措施，并随时接受甲方及有关部门的监督检查。</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乙方应对进入施工现场的施工人员进行安全文明施工教育，配备必要的劳动保护用具，保证工程的施工安全和人身安全，需为施工人员购买商业保险，并向甲方提供特种作业人员的特种作业操作证（包括但不限于高处作业等）。在施工中造成的一切人身安全责任事故均由乙方负责。</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3.乙方在工程施工全过程中要认真做好成品保护。因管理不善造成的一切损失均由乙方负责，凡由此而损及甲方利益时，甲方将向乙方索赔。</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4.乙方应注意保护施工现场邻近建筑物、交通和附近居民的安全，防止因施工不当使附近居民的人身或财产遭受损失，因野蛮施工等违规操作造成损失的，由乙方承担违规责任，并赔偿相应损失。</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如由于乙方安全措施不力造成事故的责任和由此发生的费用，由乙方承担。</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5.施工时要尽量避开上课、办公的时间，师生如有意见则及时暂缓施工。</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6.施工现场应做到“落手清”，施工现场垃圾应及时清理并负责外运，或先堆放至甲方指定地点后再负责组织外运；保持施工场地整洁，做到工完料尽场地清。</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7.建筑材料应堆放整齐，不得随意堆放，甲方有偿配备仓库和管理用房，乙方应分类、分批、分规格堆放材料，做好标识，确保仓库整齐、整洁、安全，应自行配备灭火器等消防措施。</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8.乙方应负责涉及本工程施工的其他配合工作。</w:t>
      </w:r>
    </w:p>
    <w:p>
      <w:pPr>
        <w:widowControl/>
        <w:autoSpaceDE w:val="0"/>
        <w:autoSpaceDN w:val="0"/>
        <w:snapToGrid w:val="0"/>
        <w:spacing w:line="360" w:lineRule="auto"/>
        <w:jc w:val="left"/>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十二、环境保护</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1.甲乙双方在施工过程中应遵守国家有关环境保护的法律、法规。采取有效措施，保护好施工现场和周边地区的环境。</w:t>
      </w:r>
    </w:p>
    <w:p>
      <w:pPr>
        <w:widowControl/>
        <w:autoSpaceDE w:val="0"/>
        <w:autoSpaceDN w:val="0"/>
        <w:snapToGrid w:val="0"/>
        <w:spacing w:line="360" w:lineRule="auto"/>
        <w:ind w:firstLine="480" w:firstLineChars="200"/>
        <w:jc w:val="left"/>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2.乙方对施工和生活所产生的各种生产、生活垃圾和废弃物应进行妥善处置，防止对环境造成污染，并严格控制施工噪音。</w:t>
      </w:r>
    </w:p>
    <w:p>
      <w:pPr>
        <w:widowControl/>
        <w:autoSpaceDE w:val="0"/>
        <w:autoSpaceDN w:val="0"/>
        <w:snapToGrid w:val="0"/>
        <w:spacing w:line="360" w:lineRule="auto"/>
        <w:ind w:firstLine="480" w:firstLineChars="200"/>
        <w:jc w:val="left"/>
        <w:textAlignment w:val="bottom"/>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3.如乙方措施不力而造成环境破坏或人员、财产损失的，应承担全部责任。</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十三、工程造价结算方式</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计价依据：《浙江省建设工程计价规则》（2018版）、《浙江省房屋建筑与装饰工程预算定额》（2018版）、《浙江省通用安装工程预算定额》（2018版）、《浙江省市政工程预算定额》（2018版）、《浙江省园林绿化及仿古建筑工程预算定额》（2018版）及相关补充解释。政策性法规调整的口径按实计入结算（审计后结算）。</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本工程采用一般计税法结算。</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2.取费标准：</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房屋建筑与装饰工程：施工组织措施费（仅计安全文明施工费、二次搬运费）、利润、企业管理费按单独装饰工程取费中值计取，规费按单独装饰工程取费计取，税金按照9%计取；</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安装工程：施工组织措施费（仅计安全文明施工费、二次搬运费）、利润、企业管理费按水、电、暖通、消防、智能、自控及通信安装工程取费中值计取，规费按水、电、暖通、消防、智能、自控及通信安装工程取费计取，税金按照9%计取；</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材料单价按施工期间正刊信息价（除税价）平均值计取（市场价低于信息价的，按市场价计取），无信息价按照签证价计取；定额人工按施工期间杭州市信息价平均值计入（差价仅计算税金）。</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零星计日工参照施工期间当季度杭州市建筑工种人工工资信息平均值，如当季度未出建筑工种人工工资信息价，则参照上季度杭州市建筑工种人工工资信息平均值。</w:t>
      </w:r>
    </w:p>
    <w:p>
      <w:pPr>
        <w:widowControl/>
        <w:autoSpaceDE w:val="0"/>
        <w:autoSpaceDN w:val="0"/>
        <w:snapToGrid w:val="0"/>
        <w:spacing w:line="360" w:lineRule="auto"/>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2.5安全生产责任保险费按杭建招标造价中心[2021]84号文要求计入企业管理费中；</w:t>
      </w:r>
    </w:p>
    <w:p>
      <w:pPr>
        <w:widowControl/>
        <w:autoSpaceDE w:val="0"/>
        <w:autoSpaceDN w:val="0"/>
        <w:snapToGrid w:val="0"/>
        <w:spacing w:line="360" w:lineRule="auto"/>
        <w:ind w:firstLine="480" w:firstLineChars="200"/>
        <w:textAlignment w:val="bottom"/>
        <w:rPr>
          <w:rFonts w:ascii="仿宋" w:hAnsi="仿宋" w:eastAsia="仿宋" w:cs="仿宋"/>
          <w:bCs/>
          <w:color w:val="auto"/>
          <w:sz w:val="24"/>
          <w:highlight w:val="none"/>
        </w:rPr>
      </w:pPr>
      <w:r>
        <w:rPr>
          <w:rFonts w:hint="eastAsia" w:ascii="仿宋" w:hAnsi="仿宋" w:eastAsia="仿宋" w:cs="仿宋"/>
          <w:bCs/>
          <w:color w:val="auto"/>
          <w:sz w:val="24"/>
          <w:highlight w:val="none"/>
        </w:rPr>
        <w:t>2.6安全文明施工基本费增加的疫情常态化防控和“智慧工地”增加费两项费用按浙建建发[2022]37号文执行，按《浙江省建设工程计价规则（2018）版》的费率乘以1.15系数；</w:t>
      </w:r>
    </w:p>
    <w:p>
      <w:pPr>
        <w:widowControl/>
        <w:autoSpaceDE w:val="0"/>
        <w:autoSpaceDN w:val="0"/>
        <w:snapToGrid w:val="0"/>
        <w:spacing w:before="120" w:line="360"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十四、工程款支付与结算</w:t>
      </w:r>
    </w:p>
    <w:p>
      <w:pPr>
        <w:widowControl/>
        <w:autoSpaceDE w:val="0"/>
        <w:autoSpaceDN w:val="0"/>
        <w:snapToGrid w:val="0"/>
        <w:spacing w:before="120" w:line="360" w:lineRule="auto"/>
        <w:ind w:firstLine="480" w:firstLineChars="200"/>
        <w:textAlignment w:val="bottom"/>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1.施工工程在质保期内如有任何质量问题，甲方均可从工程款中扣除相应的款项，由此造成的损失由乙方承担。</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2.工程款和进度款的按以下方式支付：</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甲方下达工程任务单后，由乙方对相应工程进行施工，单项工程项目施工完成并验收合格后，经甲方委托第三方对工程造价决算审价完毕并收到乙方开具的正规发票后，甲方向乙方支付至审定价的100%（工程造价决算审价时间以甲方委托的第三方实际审价时间为准，不依通用条款规定时间执行。</w:t>
      </w:r>
    </w:p>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十五、工程验收与保修</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1.乙方应按照工程建设的有关规定，及时如实整理施工记录和技术资料，并由甲方进行检验和签证。</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2.当全部合同工程完工，准备交工验收前，乙方应将由施工引起的垃圾、废料或各种障碍物全部清除。并按甲方的要求，整理提交</w:t>
      </w:r>
      <w:r>
        <w:rPr>
          <w:rFonts w:hint="eastAsia" w:ascii="仿宋" w:hAnsi="仿宋" w:eastAsia="仿宋" w:cs="仿宋"/>
          <w:bCs/>
          <w:color w:val="auto"/>
          <w:sz w:val="24"/>
          <w:highlight w:val="none"/>
          <w:u w:val="single"/>
        </w:rPr>
        <w:t xml:space="preserve">  1   </w:t>
      </w:r>
      <w:r>
        <w:rPr>
          <w:rFonts w:hint="eastAsia" w:ascii="仿宋" w:hAnsi="仿宋" w:eastAsia="仿宋" w:cs="仿宋"/>
          <w:bCs/>
          <w:color w:val="auto"/>
          <w:sz w:val="24"/>
          <w:highlight w:val="none"/>
        </w:rPr>
        <w:t>套竣工资料。</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当具备交工验收条件时，乙方应提前3天提交工程交工验收报告，通知甲方组织验收。甲方自接到验收报告和上述主要竣工资料后3天内，应组织有关部门对工程进行验收。</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在验收中，如发现有不合格工程，乙方应无条件进行整改或返工，直到验收合格方能签署验收证书。由于施工原因进行整改或返工所增加的费用和延误的工期由乙方负责。</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全部工程验收合格，自签署工程验收证书之日起</w:t>
      </w:r>
      <w:r>
        <w:rPr>
          <w:rFonts w:hint="eastAsia" w:ascii="仿宋" w:hAnsi="仿宋" w:eastAsia="仿宋" w:cs="仿宋"/>
          <w:bCs/>
          <w:color w:val="auto"/>
          <w:sz w:val="24"/>
          <w:highlight w:val="none"/>
          <w:u w:val="single"/>
        </w:rPr>
        <w:t xml:space="preserve"> 3 </w:t>
      </w:r>
      <w:r>
        <w:rPr>
          <w:rFonts w:hint="eastAsia" w:ascii="仿宋" w:hAnsi="仿宋" w:eastAsia="仿宋" w:cs="仿宋"/>
          <w:bCs/>
          <w:color w:val="auto"/>
          <w:sz w:val="24"/>
          <w:highlight w:val="none"/>
        </w:rPr>
        <w:t>天内，乙方的人员、机具和材料必须全部退场，并按规定内容整理交齐全部竣工资料。</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3.若拖延清场，按拖延工期处罚。竣工资料不齐者，不予办理工程结算。</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rPr>
        <w:t>4.本工程按国家建设工程质量保修的有关规定实施保修，建设工程的保修期，自竣工验收合格之日起计算。</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十六、</w:t>
      </w:r>
      <w:bookmarkStart w:id="103" w:name="_Toc351203494"/>
      <w:bookmarkStart w:id="104" w:name="_Hlk74481263"/>
      <w:r>
        <w:rPr>
          <w:rFonts w:hint="eastAsia" w:ascii="仿宋" w:hAnsi="仿宋" w:eastAsia="仿宋" w:cs="仿宋"/>
          <w:b/>
          <w:color w:val="auto"/>
          <w:sz w:val="24"/>
          <w:highlight w:val="none"/>
        </w:rPr>
        <w:t>履约保证金</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履约保证金：人民币</w:t>
      </w:r>
      <w:r>
        <w:rPr>
          <w:rFonts w:hint="eastAsia" w:ascii="仿宋" w:hAnsi="仿宋" w:eastAsia="仿宋" w:cs="仿宋"/>
          <w:bCs/>
          <w:color w:val="auto"/>
          <w:sz w:val="24"/>
          <w:highlight w:val="none"/>
          <w:lang w:val="en-US" w:eastAsia="zh-CN"/>
        </w:rPr>
        <w:t>贰仟捌佰</w:t>
      </w:r>
      <w:r>
        <w:rPr>
          <w:rFonts w:hint="eastAsia" w:ascii="仿宋" w:hAnsi="仿宋" w:eastAsia="仿宋" w:cs="仿宋"/>
          <w:bCs/>
          <w:color w:val="auto"/>
          <w:sz w:val="24"/>
          <w:highlight w:val="none"/>
        </w:rPr>
        <w:t>元，合同签订前由乙方交入甲方账户。履约保证金在缺陷责任期满后一次性退还。</w:t>
      </w:r>
    </w:p>
    <w:p>
      <w:pPr>
        <w:spacing w:line="360" w:lineRule="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十七、</w:t>
      </w:r>
      <w:r>
        <w:rPr>
          <w:rFonts w:hint="eastAsia" w:ascii="仿宋" w:hAnsi="仿宋" w:eastAsia="仿宋" w:cs="仿宋"/>
          <w:b/>
          <w:color w:val="auto"/>
          <w:sz w:val="24"/>
          <w:highlight w:val="none"/>
          <w:lang w:val="en-US" w:eastAsia="zh-CN"/>
        </w:rPr>
        <w:t>双方的权利义务</w:t>
      </w:r>
    </w:p>
    <w:p>
      <w:pPr>
        <w:spacing w:line="360" w:lineRule="auto"/>
        <w:ind w:left="1140" w:leftChars="200" w:hanging="720" w:hangingChars="30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甲方的权利和义务</w:t>
      </w:r>
    </w:p>
    <w:p>
      <w:pPr>
        <w:tabs>
          <w:tab w:val="left" w:pos="482"/>
          <w:tab w:val="left" w:pos="2183"/>
          <w:tab w:val="left" w:pos="3884"/>
          <w:tab w:val="left" w:pos="5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1.甲方有权根据实际需要及乙方在响应文件和其他书面文件的承诺，确定最终维修改造的内容。</w:t>
      </w:r>
    </w:p>
    <w:p>
      <w:pPr>
        <w:tabs>
          <w:tab w:val="left" w:pos="482"/>
          <w:tab w:val="left" w:pos="2183"/>
          <w:tab w:val="left" w:pos="3884"/>
          <w:tab w:val="left" w:pos="5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按照本项目磋商文件、响应文件、本框架合同等文件对乙方履约行为进行监督和检查。如发现乙方违反磋商文件、响应文件、本框架合同的有关规定或其他承诺，甲方有权解除本合同并追究乙方的违约责任，同时有权通过媒体公告或其他形式披露乙方的违约行为。</w:t>
      </w:r>
    </w:p>
    <w:p>
      <w:pPr>
        <w:tabs>
          <w:tab w:val="left" w:pos="482"/>
          <w:tab w:val="left" w:pos="2183"/>
          <w:tab w:val="left" w:pos="3884"/>
          <w:tab w:val="left" w:pos="5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有权定期对乙方服务内容（包含服务响应、工程质量、工程进度、文明标化）进行考核（考核表见附件），考核未能达到甲方要求的（实际得分低于80分的），乙方应无条件限期整改，直至符合甲方要求，若整改后仍未能达到甲方要求的，甲方有权解除本合同、拒付（或要求乙方退还）合同价款，同时有权要求乙方赔偿甲方的全部经济损失。</w:t>
      </w:r>
    </w:p>
    <w:p>
      <w:pPr>
        <w:tabs>
          <w:tab w:val="left" w:pos="482"/>
          <w:tab w:val="left" w:pos="2183"/>
          <w:tab w:val="left" w:pos="3884"/>
          <w:tab w:val="left" w:pos="5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4.甲方应在维修改造工程验收合格，工程造价审定后，依照相关规章制度及支付流程及时支付价款。</w:t>
      </w:r>
    </w:p>
    <w:p>
      <w:pPr>
        <w:tabs>
          <w:tab w:val="left" w:pos="482"/>
          <w:tab w:val="left" w:pos="2183"/>
          <w:tab w:val="left" w:pos="3884"/>
          <w:tab w:val="left" w:pos="5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5.甲方保证依法履行本框架合同项下约定的全部义务。</w:t>
      </w:r>
    </w:p>
    <w:p>
      <w:pPr>
        <w:tabs>
          <w:tab w:val="left" w:pos="482"/>
          <w:tab w:val="left" w:pos="2183"/>
          <w:tab w:val="left" w:pos="3884"/>
          <w:tab w:val="left" w:pos="5585"/>
        </w:tabs>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乙方违约责任</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1.乙方获得甲方20万元以内零星</w:t>
      </w:r>
      <w:r>
        <w:rPr>
          <w:rFonts w:hint="eastAsia" w:ascii="仿宋" w:hAnsi="仿宋" w:eastAsia="仿宋" w:cs="仿宋"/>
          <w:color w:val="auto"/>
          <w:kern w:val="0"/>
          <w:sz w:val="24"/>
          <w:highlight w:val="none"/>
          <w:lang w:eastAsia="zh-CN"/>
        </w:rPr>
        <w:t>消防</w:t>
      </w:r>
      <w:r>
        <w:rPr>
          <w:rFonts w:hint="eastAsia" w:ascii="仿宋" w:hAnsi="仿宋" w:eastAsia="仿宋" w:cs="仿宋"/>
          <w:color w:val="auto"/>
          <w:kern w:val="0"/>
          <w:sz w:val="24"/>
          <w:highlight w:val="none"/>
        </w:rPr>
        <w:t>设备维修改造年度单位资格的供应商，服务范围为甲方20万元以内的零星</w:t>
      </w:r>
      <w:r>
        <w:rPr>
          <w:rFonts w:hint="eastAsia" w:ascii="仿宋" w:hAnsi="仿宋" w:eastAsia="仿宋" w:cs="仿宋"/>
          <w:color w:val="auto"/>
          <w:kern w:val="0"/>
          <w:sz w:val="24"/>
          <w:highlight w:val="none"/>
          <w:lang w:eastAsia="zh-CN"/>
        </w:rPr>
        <w:t>消防</w:t>
      </w:r>
      <w:r>
        <w:rPr>
          <w:rFonts w:hint="eastAsia" w:ascii="仿宋" w:hAnsi="仿宋" w:eastAsia="仿宋" w:cs="仿宋"/>
          <w:color w:val="auto"/>
          <w:kern w:val="0"/>
          <w:sz w:val="24"/>
          <w:highlight w:val="none"/>
        </w:rPr>
        <w:t>设备的各类维修改造项目。</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保证工程所需的材料质量必须符合国家相关标准和要求，施工必须符合国家相关规范，并符合磋商文件的要求。乙方保证依据磋商文件要求和乙方响应文件的承诺，及时向甲方各部门提供高质量维修改造服务，其价格不得高于成交价格，且不在本框架合同和磋商文件、响应文件内容之外提出任何附加条款；若实际存在任何附加或额外条款，无论签署的情形如何，均应当被视为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 乙方应对其维修改造的内容负全责，并在工程验收时随附工程验收合格证明、质检证明等其他必需文件，否则甲方有权拒绝验收。对甲方验收合格的工程，在验收后三个月内发现工程材料质量问题的，乙方应负责无条件免费更换，发现施工质量问题的，乙方应无条件按照甲方要求重新施工。对超过前述时间发现的质量问题，乙方应按承诺承担保修责任或负责维修。保修时间按照国家相关规定和标准执行。保修或维修的响应时间为1小时内，并在不超过24小时内完成修理。</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4.乙方违反磋商文件、响应文件、本合同以及其他书面承诺，均应依法承担违约责任。</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当甲方实际使用部门投诉乙方维修改造服务存在质量问题时，乙方承诺按照本框架合同及磋商文件、响应文件和其他相关约定及时处理；若乙方对投诉有异议或对产品和服务是否存在质量或服务问题不能与甲方达成一致书面意见的，乙方承诺在接到投诉后10天内请由甲方指定的具有相关资质的第三方进行检验并承担由此发生的检验费用。逾期检验视为乙方承认质量问题，甲方有权要求乙方按原价赔偿。</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保证严格遵守甲方的采购程序等相关规定，保证不会将合同及其中的权利、义务转让，保证不会转包、分包，否则甲方有权解除本合同并拒付货款。乙方转让或转包、分包的，甲方有权解除合同和拒付（或要求乙方退还）合同价款，并要求乙方支付合同价款20%的违约金。</w:t>
      </w:r>
    </w:p>
    <w:p>
      <w:pPr>
        <w:spacing w:line="360" w:lineRule="auto"/>
        <w:ind w:firstLine="480" w:firstLineChars="200"/>
        <w:rPr>
          <w:rFonts w:hint="eastAsia" w:ascii="仿宋" w:hAnsi="仿宋" w:eastAsia="仿宋" w:cs="仿宋"/>
          <w:color w:val="auto"/>
          <w:kern w:val="0"/>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十八、争议的解决</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本合同纠纷由双方协商解决，协商不成，由甲方所在地人民法院诉讼解决。</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十九、合同生效</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1.本合同经甲、乙双方法定代表人或其委托代理人签字并加盖单位印章后生效。</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2.本合同一式陆份，甲方执肆份，乙方和鉴证方各执壹份，具有同等法律效力。</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3.本合同附件及双方的招标文件、投标文件等系本合同的组成部分。</w:t>
      </w:r>
    </w:p>
    <w:p>
      <w:pPr>
        <w:spacing w:line="360" w:lineRule="auto"/>
        <w:rPr>
          <w:rFonts w:ascii="仿宋" w:hAnsi="仿宋" w:eastAsia="仿宋" w:cs="仿宋"/>
          <w:b/>
          <w:color w:val="auto"/>
          <w:sz w:val="24"/>
          <w:highlight w:val="none"/>
          <w:lang w:val="zh-CN"/>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甲方（公章）： </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法定代表人或其委托代理人：</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(签字）</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法定代表人或其委托代理人：</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地址：浙江省杭州市滨江滨文路548号</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邮编： </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电话：</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传真：</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电子邮箱：</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开户银行：工行景江苑支行</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帐号：1202023419100001174</w:t>
            </w:r>
          </w:p>
        </w:tc>
        <w:tc>
          <w:tcPr>
            <w:tcW w:w="23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签约地点：浙江省杭州市滨江滨文路548号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鉴证方：浙江省成套招标代理有限公司</w:t>
            </w:r>
          </w:p>
        </w:tc>
      </w:tr>
    </w:tbl>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color w:val="auto"/>
          <w:sz w:val="24"/>
          <w:highlight w:val="none"/>
        </w:rPr>
        <w:t>附件1：考核表</w:t>
      </w:r>
    </w:p>
    <w:p>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附件2：工程质量保修书</w:t>
      </w:r>
    </w:p>
    <w:p>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附件3：廉政建设合同</w:t>
      </w:r>
    </w:p>
    <w:p>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附件4：安全生产合同</w:t>
      </w:r>
    </w:p>
    <w:p>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附件5：项目班子成员</w:t>
      </w:r>
    </w:p>
    <w:p>
      <w:pPr>
        <w:autoSpaceDE w:val="0"/>
        <w:autoSpaceDN w:val="0"/>
        <w:adjustRightInd w:val="0"/>
        <w:rPr>
          <w:rFonts w:ascii="宋体" w:hAnsi="Calibri"/>
          <w:color w:val="auto"/>
          <w:sz w:val="24"/>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rPr>
          <w:rFonts w:ascii="宋体" w:hAnsi="宋体" w:cs="宋体"/>
          <w:b/>
          <w:color w:val="auto"/>
          <w:szCs w:val="21"/>
          <w:highlight w:val="none"/>
        </w:rPr>
      </w:pPr>
    </w:p>
    <w:p>
      <w:pPr>
        <w:spacing w:line="360" w:lineRule="auto"/>
        <w:jc w:val="left"/>
        <w:rPr>
          <w:rFonts w:ascii="宋体" w:hAnsi="宋体"/>
          <w:color w:val="auto"/>
          <w:sz w:val="30"/>
          <w:highlight w:val="none"/>
        </w:rPr>
      </w:pPr>
      <w:r>
        <w:rPr>
          <w:rFonts w:hint="eastAsia" w:ascii="宋体" w:hAnsi="宋体"/>
          <w:color w:val="auto"/>
          <w:sz w:val="30"/>
          <w:highlight w:val="none"/>
        </w:rPr>
        <w:t>附件1：</w:t>
      </w:r>
    </w:p>
    <w:p>
      <w:pPr>
        <w:spacing w:line="360" w:lineRule="auto"/>
        <w:jc w:val="center"/>
        <w:rPr>
          <w:rFonts w:ascii="宋体" w:hAnsi="宋体" w:cs="宋体"/>
          <w:b/>
          <w:color w:val="auto"/>
          <w:szCs w:val="21"/>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浙江中医药大学20万以内零星</w:t>
      </w:r>
      <w:r>
        <w:rPr>
          <w:rFonts w:hint="eastAsia" w:ascii="仿宋" w:hAnsi="仿宋" w:eastAsia="仿宋" w:cs="仿宋"/>
          <w:b/>
          <w:color w:val="auto"/>
          <w:sz w:val="24"/>
          <w:szCs w:val="24"/>
          <w:highlight w:val="none"/>
          <w:lang w:eastAsia="zh-CN"/>
        </w:rPr>
        <w:t>消防</w:t>
      </w:r>
      <w:r>
        <w:rPr>
          <w:rFonts w:hint="eastAsia" w:ascii="仿宋" w:hAnsi="仿宋" w:eastAsia="仿宋" w:cs="仿宋"/>
          <w:b/>
          <w:color w:val="auto"/>
          <w:sz w:val="24"/>
          <w:szCs w:val="24"/>
          <w:highlight w:val="none"/>
        </w:rPr>
        <w:t>设备维修改造年度单位考核表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5290"/>
        <w:gridCol w:w="113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04" w:type="pct"/>
            <w:tcBorders>
              <w:top w:val="single" w:color="auto" w:sz="4" w:space="0"/>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2848" w:type="pct"/>
            <w:tcBorders>
              <w:top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    分   说  明</w:t>
            </w:r>
          </w:p>
        </w:tc>
        <w:tc>
          <w:tcPr>
            <w:tcW w:w="611" w:type="pct"/>
            <w:tcBorders>
              <w:top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738" w:type="pct"/>
            <w:tcBorders>
              <w:top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服务响应</w:t>
            </w:r>
          </w:p>
        </w:tc>
        <w:tc>
          <w:tcPr>
            <w:tcW w:w="2848" w:type="pct"/>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比对派工后施工人员、材料机具等的组织效率；比对管理部门（使用部门）派工要求的实施能力</w:t>
            </w:r>
          </w:p>
        </w:tc>
        <w:tc>
          <w:tcPr>
            <w:tcW w:w="611"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738" w:type="pct"/>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工程质量</w:t>
            </w:r>
          </w:p>
        </w:tc>
        <w:tc>
          <w:tcPr>
            <w:tcW w:w="2848" w:type="pct"/>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比对全过程的施工质量及管理部门（使用部门）派工时的期望值</w:t>
            </w:r>
          </w:p>
        </w:tc>
        <w:tc>
          <w:tcPr>
            <w:tcW w:w="611"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738" w:type="pct"/>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工程进度</w:t>
            </w:r>
          </w:p>
        </w:tc>
        <w:tc>
          <w:tcPr>
            <w:tcW w:w="2848" w:type="pct"/>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比对管理部门（使用部门）派工时的计划工期或定额需要工期</w:t>
            </w:r>
          </w:p>
        </w:tc>
        <w:tc>
          <w:tcPr>
            <w:tcW w:w="611"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738" w:type="pct"/>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文明标化</w:t>
            </w:r>
          </w:p>
        </w:tc>
        <w:tc>
          <w:tcPr>
            <w:tcW w:w="2848"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比对全过程施工过程中文明施工、防尘降噪等措施布置</w:t>
            </w:r>
          </w:p>
        </w:tc>
        <w:tc>
          <w:tcPr>
            <w:tcW w:w="611"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738" w:type="pct"/>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4"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c>
          <w:tcPr>
            <w:tcW w:w="2848" w:type="pct"/>
            <w:vAlign w:val="center"/>
          </w:tcPr>
          <w:p>
            <w:pPr>
              <w:spacing w:line="360" w:lineRule="auto"/>
              <w:jc w:val="center"/>
              <w:rPr>
                <w:rFonts w:hint="eastAsia" w:ascii="仿宋" w:hAnsi="仿宋" w:eastAsia="仿宋" w:cs="仿宋"/>
                <w:color w:val="auto"/>
                <w:sz w:val="24"/>
                <w:szCs w:val="24"/>
                <w:highlight w:val="none"/>
              </w:rPr>
            </w:pPr>
          </w:p>
        </w:tc>
        <w:tc>
          <w:tcPr>
            <w:tcW w:w="611"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c>
          <w:tcPr>
            <w:tcW w:w="738" w:type="pct"/>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Cs/>
          <w:color w:val="auto"/>
          <w:sz w:val="24"/>
          <w:szCs w:val="24"/>
          <w:highlight w:val="none"/>
        </w:rPr>
      </w:pPr>
    </w:p>
    <w:p>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注：该考核表原则上于维修改造项目竣工验收时经验收成员综合讨论后打分。</w:t>
      </w:r>
    </w:p>
    <w:bookmarkEnd w:id="97"/>
    <w:bookmarkEnd w:id="103"/>
    <w:bookmarkEnd w:id="104"/>
    <w:p>
      <w:pPr>
        <w:adjustRightInd w:val="0"/>
        <w:snapToGrid w:val="0"/>
        <w:spacing w:line="360" w:lineRule="auto"/>
        <w:rPr>
          <w:rFonts w:ascii="宋体" w:hAnsi="宋体"/>
          <w:color w:val="auto"/>
          <w:sz w:val="30"/>
          <w:highlight w:val="none"/>
        </w:rPr>
      </w:pPr>
      <w:r>
        <w:rPr>
          <w:rFonts w:ascii="宋体" w:hAnsi="宋体"/>
          <w:color w:val="auto"/>
          <w:sz w:val="30"/>
          <w:highlight w:val="none"/>
        </w:rPr>
        <w:br w:type="page"/>
      </w:r>
      <w:r>
        <w:rPr>
          <w:rFonts w:hint="eastAsia" w:ascii="宋体" w:hAnsi="宋体"/>
          <w:color w:val="auto"/>
          <w:sz w:val="30"/>
          <w:highlight w:val="none"/>
        </w:rPr>
        <w:t>附件2：</w:t>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工程质量保修书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甲方（全称）：</w:t>
      </w:r>
      <w:r>
        <w:rPr>
          <w:rFonts w:hint="eastAsia" w:ascii="仿宋" w:hAnsi="仿宋" w:eastAsia="仿宋" w:cs="仿宋"/>
          <w:color w:val="auto"/>
          <w:sz w:val="24"/>
          <w:highlight w:val="none"/>
          <w:u w:val="single"/>
        </w:rPr>
        <w:t xml:space="preserve">    浙江中医药大学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乙方（全称）：</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甲方和乙方根据《中华人民共和国建筑法》和《建设工程质量管理条例》，经协商一致就</w:t>
      </w:r>
      <w:r>
        <w:rPr>
          <w:rFonts w:hint="eastAsia" w:ascii="仿宋" w:hAnsi="仿宋" w:eastAsia="仿宋" w:cs="仿宋"/>
          <w:bCs/>
          <w:color w:val="auto"/>
          <w:sz w:val="24"/>
          <w:highlight w:val="none"/>
          <w:u w:val="single"/>
          <w:lang w:eastAsia="zh-CN"/>
        </w:rPr>
        <w:t>浙江中医药大学富春校区及滨文南区消防设施设备日常零星维修改造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签订工程质量保修书。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乙方在质量保修期内，按照有关法律规定和合同约定，承担工程质量保修责任。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highlight w:val="none"/>
          <w:u w:val="single"/>
        </w:rPr>
        <w:t xml:space="preserve">  合同范围内所有工作内容   </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2．屋面防水工程、有防水要求的卫生间、房间和外墙面的防渗漏为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个采暖期、供冷期；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年；</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年 </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质量保修期自工程竣工验收合格之日起计算。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个月，缺陷责任期自服务起内最后一项工程通过竣工验收之日起计算。</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pPr>
        <w:spacing w:line="360" w:lineRule="auto"/>
        <w:ind w:left="105" w:leftChars="50" w:firstLine="489" w:firstLineChars="204"/>
        <w:rPr>
          <w:rFonts w:ascii="仿宋" w:hAnsi="仿宋" w:eastAsia="仿宋" w:cs="仿宋"/>
          <w:color w:val="auto"/>
          <w:sz w:val="24"/>
          <w:highlight w:val="none"/>
        </w:rPr>
      </w:pPr>
      <w:r>
        <w:rPr>
          <w:rFonts w:hint="eastAsia" w:ascii="仿宋" w:hAnsi="仿宋" w:eastAsia="仿宋" w:cs="仿宋"/>
          <w:color w:val="auto"/>
          <w:sz w:val="24"/>
          <w:highlight w:val="none"/>
        </w:rPr>
        <w:t>1．质保期内属于保修范围、内容的项目，乙方应当在接到保修通知之日起24小时内派人维修，紧急情况下2小时内派人维修。乙方不在约定期限内派人保修的，甲方可以委托他人修理。</w:t>
      </w:r>
    </w:p>
    <w:p>
      <w:pPr>
        <w:spacing w:line="360" w:lineRule="auto"/>
        <w:ind w:left="105" w:leftChars="50" w:firstLine="489" w:firstLineChars="204"/>
        <w:rPr>
          <w:rFonts w:ascii="仿宋" w:hAnsi="仿宋" w:eastAsia="仿宋" w:cs="仿宋"/>
          <w:color w:val="auto"/>
          <w:sz w:val="24"/>
          <w:highlight w:val="none"/>
        </w:rPr>
      </w:pPr>
      <w:r>
        <w:rPr>
          <w:rFonts w:hint="eastAsia" w:ascii="仿宋" w:hAnsi="仿宋" w:eastAsia="仿宋" w:cs="仿宋"/>
          <w:color w:val="auto"/>
          <w:sz w:val="24"/>
          <w:highlight w:val="none"/>
        </w:rPr>
        <w:t>2．发生紧急事故需抢修的，乙方在接到事故通知后，应当立即到达事故现场抢修。</w:t>
      </w:r>
    </w:p>
    <w:p>
      <w:pPr>
        <w:spacing w:line="360" w:lineRule="auto"/>
        <w:ind w:left="105" w:leftChars="50" w:firstLine="489" w:firstLineChars="204"/>
        <w:rPr>
          <w:rFonts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如有）提出保修方案，乙方实施保修。</w:t>
      </w:r>
    </w:p>
    <w:p>
      <w:pPr>
        <w:spacing w:line="360" w:lineRule="auto"/>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4．质量保修完成后，由甲方组织验收。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五、保修费用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pPr>
        <w:spacing w:line="360" w:lineRule="auto"/>
        <w:rPr>
          <w:rFonts w:ascii="仿宋" w:hAnsi="仿宋" w:eastAsia="仿宋" w:cs="仿宋"/>
          <w:color w:val="auto"/>
          <w:sz w:val="24"/>
          <w:highlight w:val="none"/>
          <w:u w:val="singl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六、双方约定的其他工程质量保修事项：</w:t>
      </w:r>
    </w:p>
    <w:p>
      <w:pPr>
        <w:spacing w:line="360" w:lineRule="auto"/>
        <w:ind w:firstLine="576" w:firstLineChars="240"/>
        <w:rPr>
          <w:rFonts w:ascii="仿宋" w:hAnsi="仿宋" w:eastAsia="仿宋" w:cs="仿宋"/>
          <w:color w:val="auto"/>
          <w:sz w:val="24"/>
          <w:highlight w:val="none"/>
        </w:rPr>
      </w:pPr>
      <w:r>
        <w:rPr>
          <w:rFonts w:hint="eastAsia" w:ascii="仿宋" w:hAnsi="仿宋" w:eastAsia="仿宋" w:cs="仿宋"/>
          <w:color w:val="auto"/>
          <w:sz w:val="24"/>
          <w:highlight w:val="none"/>
        </w:rPr>
        <w:t>工程质量保修书由甲方、乙方在工程竣工验收前共同签署，作为施工合同附件，其有效期限至保修期满。</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甲方(公章)：</w:t>
      </w:r>
      <w:r>
        <w:rPr>
          <w:rFonts w:hint="eastAsia" w:ascii="仿宋" w:hAnsi="仿宋" w:eastAsia="仿宋" w:cs="仿宋"/>
          <w:color w:val="auto"/>
          <w:sz w:val="24"/>
          <w:highlight w:val="none"/>
          <w:u w:val="single"/>
        </w:rPr>
        <w:t xml:space="preserve"> 浙江中医药大学    </w:t>
      </w:r>
      <w:r>
        <w:rPr>
          <w:rFonts w:hint="eastAsia" w:ascii="仿宋" w:hAnsi="仿宋" w:eastAsia="仿宋" w:cs="仿宋"/>
          <w:color w:val="auto"/>
          <w:sz w:val="24"/>
          <w:highlight w:val="none"/>
        </w:rPr>
        <w:t xml:space="preserve">     乙方(公章)：</w:t>
      </w:r>
      <w:r>
        <w:rPr>
          <w:rFonts w:hint="eastAsia" w:ascii="仿宋" w:hAnsi="仿宋" w:eastAsia="仿宋" w:cs="仿宋"/>
          <w:color w:val="auto"/>
          <w:sz w:val="24"/>
          <w:highlight w:val="none"/>
          <w:u w:val="single"/>
        </w:rPr>
        <w:t xml:space="preserve">                     </w:t>
      </w:r>
    </w:p>
    <w:p>
      <w:pPr>
        <w:spacing w:line="360" w:lineRule="auto"/>
        <w:ind w:left="6420" w:leftChars="200" w:right="-624" w:rightChars="-297" w:hanging="6000" w:hangingChars="25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杭州市滨江区滨文路548号</w:t>
      </w:r>
      <w:r>
        <w:rPr>
          <w:rFonts w:hint="eastAsia" w:ascii="仿宋" w:hAnsi="仿宋" w:eastAsia="仿宋" w:cs="仿宋"/>
          <w:color w:val="auto"/>
          <w:sz w:val="24"/>
          <w:highlight w:val="none"/>
        </w:rPr>
        <w:t xml:space="preserve">         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w:t>
      </w:r>
    </w:p>
    <w:p>
      <w:pPr>
        <w:spacing w:line="360" w:lineRule="auto"/>
        <w:ind w:left="6660" w:leftChars="200" w:right="-624" w:rightChars="-297" w:hanging="6240" w:hangingChars="26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工商银行景江苑支行</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p>
    <w:p>
      <w:pPr>
        <w:spacing w:line="360" w:lineRule="auto"/>
        <w:ind w:right="-624" w:rightChars="-297"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1202023419100001174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310053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360" w:lineRule="auto"/>
        <w:rPr>
          <w:rFonts w:ascii="宋体" w:hAnsi="宋体"/>
          <w:color w:val="auto"/>
          <w:sz w:val="30"/>
          <w:highlight w:val="none"/>
        </w:rPr>
      </w:pPr>
      <w:r>
        <w:rPr>
          <w:rFonts w:hint="eastAsia" w:ascii="仿宋" w:hAnsi="仿宋" w:eastAsia="仿宋" w:cs="仿宋"/>
          <w:color w:val="auto"/>
          <w:sz w:val="24"/>
          <w:highlight w:val="none"/>
        </w:rPr>
        <w:br w:type="page"/>
      </w:r>
      <w:bookmarkEnd w:id="98"/>
      <w:r>
        <w:rPr>
          <w:rFonts w:hint="eastAsia" w:ascii="宋体" w:hAnsi="宋体"/>
          <w:color w:val="auto"/>
          <w:sz w:val="30"/>
          <w:highlight w:val="none"/>
        </w:rPr>
        <w:t>附件3：</w:t>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廉政建设合同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根据有关工程建设、廉政建设的规定，为做好工程建设中的党风廉政建设，保证工程建设高效优质，保证建设资金的安全和有效使用以及投资效益，</w:t>
      </w:r>
      <w:r>
        <w:rPr>
          <w:rFonts w:hint="eastAsia" w:ascii="仿宋" w:hAnsi="仿宋" w:eastAsia="仿宋" w:cs="仿宋"/>
          <w:color w:val="auto"/>
          <w:sz w:val="24"/>
          <w:highlight w:val="none"/>
          <w:u w:val="single"/>
          <w:lang w:eastAsia="zh-CN"/>
        </w:rPr>
        <w:t>浙江中医药大学富春校区及滨文南区消防设施设备日常零星维修改造</w:t>
      </w:r>
      <w:r>
        <w:rPr>
          <w:rFonts w:hint="eastAsia" w:ascii="仿宋" w:hAnsi="仿宋" w:eastAsia="仿宋" w:cs="仿宋"/>
          <w:color w:val="auto"/>
          <w:sz w:val="24"/>
          <w:highlight w:val="none"/>
        </w:rPr>
        <w:t>的项目法人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浙江中医药大学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（以下简称甲方）与施工单位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（以下简称乙方），特订立如下合同。</w:t>
      </w:r>
    </w:p>
    <w:p>
      <w:pPr>
        <w:tabs>
          <w:tab w:val="left" w:pos="360"/>
        </w:tabs>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第一条 双方的权利和义务</w:t>
      </w:r>
    </w:p>
    <w:p>
      <w:pPr>
        <w:widowControl/>
        <w:numPr>
          <w:ilvl w:val="0"/>
          <w:numId w:val="3"/>
        </w:numPr>
        <w:tabs>
          <w:tab w:val="left" w:pos="360"/>
        </w:tabs>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严格遵守党和国家有关法律法规的有关规定。 </w:t>
      </w:r>
    </w:p>
    <w:p>
      <w:pPr>
        <w:tabs>
          <w:tab w:val="left" w:pos="36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（二）严格执行</w:t>
      </w:r>
      <w:r>
        <w:rPr>
          <w:rFonts w:hint="eastAsia" w:ascii="仿宋" w:hAnsi="仿宋" w:eastAsia="仿宋" w:cs="仿宋"/>
          <w:color w:val="auto"/>
          <w:sz w:val="24"/>
          <w:highlight w:val="none"/>
          <w:u w:val="single"/>
          <w:lang w:eastAsia="zh-CN"/>
        </w:rPr>
        <w:t>浙江中医药大学富春校区及滨文南区消防设施设备日常零星维修改造</w:t>
      </w:r>
      <w:r>
        <w:rPr>
          <w:rFonts w:hint="eastAsia" w:ascii="仿宋" w:hAnsi="仿宋" w:eastAsia="仿宋" w:cs="仿宋"/>
          <w:color w:val="auto"/>
          <w:sz w:val="24"/>
          <w:highlight w:val="none"/>
        </w:rPr>
        <w:t>的合同文件，自觉按合同办事。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（三）双方的业务活动坚持公开、公正、诚信、透明的原则（除法律认定的商业机密和合同文件另有规定之外），不得损害国家和集体利益，违反工程建设管理规章制度。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（四）建立健全廉政制度，开展廉政教育，设立廉政告示牌，公布举报电话，监督并认真查处违法违纪行为。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（五）发现对方在业务活动中有违反廉政规定的行为，有及时提醒对方纠正的权利和义务。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（六）发现对方严重违反本合同义务条款的行为，有向其上级有关部门举报、建议给予处分并要求告知处理结果的权利。</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第二条 甲方的义务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（一）甲方及其工作人员不得索要和接受乙方的礼金、有价证券和贵重物品，不得在乙方报销任何由甲方或个人支付的费用等。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（二）甲方工作人员不得参加乙方安排的超标准宴请和娱乐活动；不得接受乙方提供的通讯工具、交通工具和高档办公用品等。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（三）甲方及其工作人员不得要求或者接受乙方为其住房装修、婚丧嫁娶活动、配偶子女的工作安排以及出国出境、旅游等提供方便等。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（四）甲方工作人员的配偶、子女不得从事与甲方工程有关的材料设备供应、工程分包、劳务等经济活动。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（五）甲方及其工作人员不得以任何理由向乙方推荐分包单位，不得要求乙方购买合同规定外的材料和设备。</w:t>
      </w:r>
    </w:p>
    <w:p>
      <w:pPr>
        <w:tabs>
          <w:tab w:val="left" w:pos="720"/>
          <w:tab w:val="left" w:pos="900"/>
          <w:tab w:val="left" w:pos="2880"/>
        </w:tabs>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第三条 乙方义务</w:t>
      </w:r>
    </w:p>
    <w:p>
      <w:pPr>
        <w:tabs>
          <w:tab w:val="left" w:pos="720"/>
          <w:tab w:val="left" w:pos="900"/>
          <w:tab w:val="left" w:pos="28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（一）乙方不得以任何理由向甲方及其工作人员行贿或馈赠礼金、有价证券、贵重礼品。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（二）乙方不得以任何名义向甲方及其工作人员报销应由甲方或个人支付的任何费用。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（三）乙方不得以任何理由安排甲方及其工作人员参加超标准宴请及娱乐活动。乙方不得为甲方或个人购置或提供通讯工具、交通工具和高档办公用品等。</w:t>
      </w:r>
    </w:p>
    <w:p>
      <w:pPr>
        <w:tabs>
          <w:tab w:val="left" w:pos="1800"/>
          <w:tab w:val="left" w:pos="2160"/>
        </w:tabs>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第四条 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（一）甲方及其工作人员违反本合同第一、二条，按管理权限，根据有关规定，给予党纪、政纪或组织处理；涉嫌犯罪的移交司法机关追究刑事责任；给乙方造成经济损失的，应予以赔偿。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及其工作人员违反本合同第一、二条，按管理权限，根据有关规定，给予党纪、政纪或组织处理；给甲方造成经济损失的，应予以赔偿；情节严重的，甲方建议工程建设主管部门给予乙方一至三年内不得进入其主管的工程建设市场的处罚。</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第五条 双方约定：</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本合同由双方或双方上级单位的纪检监察机关负责监督。由甲方或甲方上级单位的纪检监察机关约请乙方或乙方上级单位的纪检监察机关对本合同履行情况进行检查，提出本合同规定范围内的裁定意见。</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第六条</w:t>
      </w:r>
      <w:r>
        <w:rPr>
          <w:rFonts w:hint="eastAsia" w:ascii="仿宋" w:hAnsi="仿宋" w:eastAsia="仿宋" w:cs="仿宋"/>
          <w:color w:val="auto"/>
          <w:sz w:val="24"/>
          <w:highlight w:val="none"/>
        </w:rPr>
        <w:t xml:space="preserve"> 本合同有效期为甲方与乙方双方签署之日起至该工程项目竣工验收后止。</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第七条 </w:t>
      </w:r>
      <w:r>
        <w:rPr>
          <w:rFonts w:hint="eastAsia" w:ascii="仿宋" w:hAnsi="仿宋" w:eastAsia="仿宋" w:cs="仿宋"/>
          <w:color w:val="auto"/>
          <w:sz w:val="24"/>
          <w:highlight w:val="none"/>
        </w:rPr>
        <w:t>本合同作为</w:t>
      </w:r>
      <w:r>
        <w:rPr>
          <w:rFonts w:hint="eastAsia" w:ascii="仿宋" w:hAnsi="仿宋" w:eastAsia="仿宋" w:cs="仿宋"/>
          <w:color w:val="auto"/>
          <w:sz w:val="24"/>
          <w:highlight w:val="none"/>
          <w:u w:val="single"/>
          <w:lang w:eastAsia="zh-CN"/>
        </w:rPr>
        <w:t>浙江中医药大学富春校区及滨文南区消防设施设备日常零星维修改造</w:t>
      </w:r>
      <w:r>
        <w:rPr>
          <w:rFonts w:hint="eastAsia" w:ascii="仿宋" w:hAnsi="仿宋" w:eastAsia="仿宋" w:cs="仿宋"/>
          <w:color w:val="auto"/>
          <w:sz w:val="24"/>
          <w:highlight w:val="none"/>
        </w:rPr>
        <w:t>施工合同的附件，与施工合同具有同等的法律效力，经合同双方签署立即生效。</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第八条 </w:t>
      </w:r>
      <w:r>
        <w:rPr>
          <w:rFonts w:hint="eastAsia" w:ascii="仿宋" w:hAnsi="仿宋" w:eastAsia="仿宋" w:cs="仿宋"/>
          <w:color w:val="auto"/>
          <w:sz w:val="24"/>
          <w:highlight w:val="none"/>
        </w:rPr>
        <w:t>本合同甲方与乙方双方各执三份。</w:t>
      </w:r>
    </w:p>
    <w:p>
      <w:pPr>
        <w:spacing w:line="360" w:lineRule="auto"/>
        <w:rPr>
          <w:rFonts w:ascii="仿宋" w:hAnsi="仿宋" w:eastAsia="仿宋" w:cs="仿宋"/>
          <w:color w:val="auto"/>
          <w:sz w:val="24"/>
          <w:highlight w:val="none"/>
          <w:u w:val="single"/>
        </w:rPr>
      </w:pPr>
      <w:bookmarkStart w:id="105" w:name="_Hlk74481593"/>
      <w:r>
        <w:rPr>
          <w:rFonts w:hint="eastAsia" w:ascii="仿宋" w:hAnsi="仿宋" w:eastAsia="仿宋" w:cs="仿宋"/>
          <w:color w:val="auto"/>
          <w:sz w:val="24"/>
          <w:highlight w:val="none"/>
        </w:rPr>
        <w:t>甲方：浙江中医药大学</w:t>
      </w:r>
      <w:r>
        <w:rPr>
          <w:rFonts w:hint="eastAsia" w:ascii="仿宋" w:hAnsi="仿宋" w:eastAsia="仿宋" w:cs="仿宋"/>
          <w:color w:val="auto"/>
          <w:sz w:val="24"/>
          <w:highlight w:val="none"/>
          <w:u w:val="single"/>
        </w:rPr>
        <w:t xml:space="preserve">（公章）    </w:t>
      </w: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法定代表人或委托代理人：                法定代表人或委托代理人：</w:t>
      </w:r>
    </w:p>
    <w:p>
      <w:pPr>
        <w:spacing w:line="360" w:lineRule="auto"/>
        <w:rPr>
          <w:rFonts w:ascii="仿宋" w:hAnsi="仿宋" w:eastAsia="仿宋" w:cs="仿宋"/>
          <w:color w:val="auto"/>
          <w:sz w:val="24"/>
          <w:highlight w:val="none"/>
        </w:rPr>
      </w:pPr>
      <w:bookmarkStart w:id="106" w:name="_Hlk74481629"/>
      <w:r>
        <w:rPr>
          <w:rFonts w:hint="eastAsia" w:ascii="仿宋" w:hAnsi="仿宋" w:eastAsia="仿宋" w:cs="仿宋"/>
          <w:color w:val="auto"/>
          <w:sz w:val="24"/>
          <w:highlight w:val="none"/>
        </w:rPr>
        <w:t>地    址：杭州市滨江区滨文路548号      地    址：</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邮政编码：310053                        邮政编码：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bookmarkEnd w:id="105"/>
      <w:bookmarkEnd w:id="106"/>
      <w:r>
        <w:rPr>
          <w:rFonts w:hint="eastAsia" w:ascii="仿宋" w:hAnsi="仿宋" w:eastAsia="仿宋" w:cs="仿宋"/>
          <w:color w:val="auto"/>
          <w:sz w:val="24"/>
          <w:highlight w:val="none"/>
        </w:rPr>
        <w:t xml:space="preserve"> </w:t>
      </w:r>
      <w:bookmarkStart w:id="107" w:name="_Toc237256590"/>
      <w:bookmarkStart w:id="108" w:name="_Toc237979988"/>
      <w:bookmarkStart w:id="109" w:name="_Toc276907132"/>
    </w:p>
    <w:p>
      <w:pPr>
        <w:spacing w:line="360" w:lineRule="auto"/>
        <w:rPr>
          <w:rFonts w:ascii="宋体" w:hAnsi="宋体"/>
          <w:color w:val="auto"/>
          <w:sz w:val="30"/>
          <w:highlight w:val="none"/>
        </w:rPr>
      </w:pPr>
      <w:r>
        <w:rPr>
          <w:rFonts w:hint="eastAsia" w:ascii="仿宋" w:hAnsi="仿宋" w:eastAsia="仿宋" w:cs="仿宋"/>
          <w:color w:val="auto"/>
          <w:sz w:val="24"/>
          <w:highlight w:val="none"/>
        </w:rPr>
        <w:br w:type="page"/>
      </w:r>
      <w:bookmarkEnd w:id="107"/>
      <w:bookmarkEnd w:id="108"/>
      <w:bookmarkEnd w:id="109"/>
      <w:r>
        <w:rPr>
          <w:rFonts w:hint="eastAsia" w:ascii="宋体" w:hAnsi="宋体"/>
          <w:color w:val="auto"/>
          <w:sz w:val="30"/>
          <w:highlight w:val="none"/>
        </w:rPr>
        <w:t>附件4：</w:t>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安全生产合同</w:t>
      </w:r>
    </w:p>
    <w:p>
      <w:pPr>
        <w:spacing w:line="360" w:lineRule="auto"/>
        <w:jc w:val="center"/>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为在</w:t>
      </w:r>
      <w:r>
        <w:rPr>
          <w:rFonts w:hint="eastAsia" w:ascii="仿宋" w:hAnsi="仿宋" w:eastAsia="仿宋" w:cs="仿宋"/>
          <w:bCs/>
          <w:color w:val="auto"/>
          <w:sz w:val="24"/>
          <w:highlight w:val="none"/>
          <w:u w:val="single"/>
          <w:lang w:eastAsia="zh-CN"/>
        </w:rPr>
        <w:t>浙江中医药大学富春校区及滨文南区消防设施设备日常零星维修改造</w:t>
      </w:r>
      <w:r>
        <w:rPr>
          <w:rFonts w:hint="eastAsia" w:ascii="仿宋" w:hAnsi="仿宋" w:eastAsia="仿宋" w:cs="仿宋"/>
          <w:color w:val="auto"/>
          <w:sz w:val="24"/>
          <w:highlight w:val="none"/>
        </w:rPr>
        <w:t>合同的实施过程中创造安全、高效的施工环境，搞好本项目的安全管理工作，本项目甲方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浙江中医药大学</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与乙方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特此签订安全生产合同：</w:t>
      </w:r>
    </w:p>
    <w:p>
      <w:pPr>
        <w:numPr>
          <w:ilvl w:val="1"/>
          <w:numId w:val="4"/>
        </w:numPr>
        <w:tabs>
          <w:tab w:val="left" w:pos="540"/>
          <w:tab w:val="left" w:pos="720"/>
          <w:tab w:val="left" w:pos="900"/>
        </w:tabs>
        <w:spacing w:line="360" w:lineRule="auto"/>
        <w:ind w:hanging="1140"/>
        <w:rPr>
          <w:rFonts w:ascii="仿宋" w:hAnsi="仿宋" w:eastAsia="仿宋" w:cs="仿宋"/>
          <w:b/>
          <w:color w:val="auto"/>
          <w:sz w:val="24"/>
          <w:highlight w:val="none"/>
        </w:rPr>
      </w:pPr>
      <w:r>
        <w:rPr>
          <w:rFonts w:hint="eastAsia" w:ascii="仿宋" w:hAnsi="仿宋" w:eastAsia="仿宋" w:cs="仿宋"/>
          <w:b/>
          <w:color w:val="auto"/>
          <w:sz w:val="24"/>
          <w:highlight w:val="none"/>
        </w:rPr>
        <w:t>甲方职责</w:t>
      </w:r>
    </w:p>
    <w:p>
      <w:pPr>
        <w:tabs>
          <w:tab w:val="left" w:pos="90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1．严格遵守国家有关安全生产的法律法规，认真执行工程承包合同中的有关安全要求。</w:t>
      </w:r>
    </w:p>
    <w:p>
      <w:pPr>
        <w:tabs>
          <w:tab w:val="left" w:pos="72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2.按照“安全第一、预防为主”和坚持“管生产必须管安全”的原则进行安全生产管理，做到生产与安全工作同时计划、布置、检查、总结和评比。</w:t>
      </w:r>
    </w:p>
    <w:p>
      <w:pPr>
        <w:spacing w:line="360" w:lineRule="auto"/>
        <w:ind w:left="271" w:leftChars="129"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3.重要的安全设施必须坚持与主体工程“三同时”的原则，即：同时设计、审批，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同时施工，同时验收，投入使用。</w:t>
      </w:r>
    </w:p>
    <w:p>
      <w:pPr>
        <w:tabs>
          <w:tab w:val="left" w:pos="72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4.组织对乙方施工现场安全生产检查，监督乙方及时处理发现的各种安全隐患。</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二、乙方职责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1.严格遵守国家有关安全生产的法律法规和有关安全生产的规定，认真执行工程承包合同中的有关安全要求。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4.施工期间，乙方应落实预防措施，防止其员工发生任何违法、违禁、暴力或妨碍治安的行为。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7.操作人员上岗，必须按规定穿戴防护用品。各专业施工负责人和安全检查员应随时检查劳动防护用品的穿戴情况，不按规定穿戴防护用品的人员不得上岗。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8.所有施工机具设备和高空作业的设备均应定期检查，并有安全员的签字记录，保证其经常处于完发状态；不合格的机具、设备和劳动保护用品严禁使用。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9.施工中采用新技术、新工艺、新设备、新材料时，必须制定相应的安全技术措施，施工现场必须具有相关的安全标志牌。</w:t>
      </w:r>
    </w:p>
    <w:p>
      <w:pPr>
        <w:tabs>
          <w:tab w:val="left" w:pos="360"/>
          <w:tab w:val="left" w:pos="540"/>
          <w:tab w:val="left" w:pos="90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tabs>
          <w:tab w:val="left" w:pos="360"/>
          <w:tab w:val="left" w:pos="540"/>
          <w:tab w:val="left" w:pos="900"/>
          <w:tab w:val="left" w:pos="108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三、违约责任</w:t>
      </w:r>
    </w:p>
    <w:p>
      <w:pPr>
        <w:tabs>
          <w:tab w:val="left" w:pos="360"/>
          <w:tab w:val="left" w:pos="540"/>
          <w:tab w:val="left" w:pos="720"/>
          <w:tab w:val="left" w:pos="90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如因甲方或乙方违约造成安全事故，将依法追究责任。</w:t>
      </w:r>
    </w:p>
    <w:p>
      <w:pPr>
        <w:tabs>
          <w:tab w:val="left" w:pos="0"/>
          <w:tab w:val="left" w:pos="540"/>
          <w:tab w:val="left" w:pos="720"/>
          <w:tab w:val="left" w:pos="90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本合同一式八份，双方各执四份。由双方法定代表人或授权代理人签字并加盖单位印章后生效。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浙江中医药大学 （盖章）</w:t>
      </w: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法定代表人或授权代表人：                法定代表人或授权代表人：</w:t>
      </w:r>
    </w:p>
    <w:p>
      <w:pPr>
        <w:spacing w:line="360" w:lineRule="auto"/>
        <w:ind w:left="6240" w:hanging="6240" w:hangingChars="2600"/>
        <w:rPr>
          <w:rFonts w:ascii="仿宋" w:hAnsi="仿宋" w:eastAsia="仿宋" w:cs="仿宋"/>
          <w:color w:val="auto"/>
          <w:sz w:val="24"/>
          <w:highlight w:val="none"/>
        </w:rPr>
      </w:pPr>
      <w:r>
        <w:rPr>
          <w:rFonts w:hint="eastAsia" w:ascii="仿宋" w:hAnsi="仿宋" w:eastAsia="仿宋" w:cs="仿宋"/>
          <w:color w:val="auto"/>
          <w:sz w:val="24"/>
          <w:highlight w:val="none"/>
        </w:rPr>
        <w:t>地    址：杭州市滨江区滨文路548号      地    址：</w:t>
      </w:r>
      <w:r>
        <w:rPr>
          <w:rFonts w:hint="eastAsia" w:ascii="仿宋" w:hAnsi="仿宋" w:eastAsia="仿宋" w:cs="仿宋"/>
          <w:b/>
          <w:bCs/>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szCs w:val="24"/>
          <w:highlight w:val="none"/>
        </w:rPr>
        <w:t>附件5：</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项目班子成员</w:t>
      </w:r>
    </w:p>
    <w:tbl>
      <w:tblPr>
        <w:tblStyle w:val="23"/>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154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218"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姓名/联系方式</w:t>
            </w:r>
          </w:p>
        </w:tc>
        <w:tc>
          <w:tcPr>
            <w:tcW w:w="1357"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职务/职称</w:t>
            </w:r>
          </w:p>
        </w:tc>
        <w:tc>
          <w:tcPr>
            <w:tcW w:w="1536"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性别/年龄</w:t>
            </w:r>
          </w:p>
        </w:tc>
        <w:tc>
          <w:tcPr>
            <w:tcW w:w="1544"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工种类别</w:t>
            </w:r>
          </w:p>
        </w:tc>
        <w:tc>
          <w:tcPr>
            <w:tcW w:w="1429"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restart"/>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ind w:firstLine="240" w:firstLineChars="100"/>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218" w:type="dxa"/>
            <w:vAlign w:val="center"/>
          </w:tcPr>
          <w:p>
            <w:pPr>
              <w:jc w:val="center"/>
              <w:rPr>
                <w:rFonts w:hint="eastAsia" w:ascii="仿宋" w:hAnsi="仿宋" w:eastAsia="仿宋" w:cs="仿宋"/>
                <w:color w:val="auto"/>
                <w:kern w:val="0"/>
                <w:sz w:val="24"/>
                <w:szCs w:val="24"/>
                <w:highlight w:val="none"/>
              </w:rPr>
            </w:pPr>
          </w:p>
        </w:tc>
        <w:tc>
          <w:tcPr>
            <w:tcW w:w="1357" w:type="dxa"/>
            <w:vAlign w:val="center"/>
          </w:tcPr>
          <w:p>
            <w:pPr>
              <w:jc w:val="center"/>
              <w:rPr>
                <w:rFonts w:hint="eastAsia" w:ascii="仿宋" w:hAnsi="仿宋" w:eastAsia="仿宋" w:cs="仿宋"/>
                <w:color w:val="auto"/>
                <w:kern w:val="0"/>
                <w:sz w:val="24"/>
                <w:szCs w:val="24"/>
                <w:highlight w:val="none"/>
              </w:rPr>
            </w:pPr>
          </w:p>
        </w:tc>
        <w:tc>
          <w:tcPr>
            <w:tcW w:w="1536" w:type="dxa"/>
            <w:vAlign w:val="center"/>
          </w:tcPr>
          <w:p>
            <w:pPr>
              <w:jc w:val="center"/>
              <w:rPr>
                <w:rFonts w:hint="eastAsia" w:ascii="仿宋" w:hAnsi="仿宋" w:eastAsia="仿宋" w:cs="仿宋"/>
                <w:color w:val="auto"/>
                <w:kern w:val="0"/>
                <w:sz w:val="24"/>
                <w:szCs w:val="24"/>
                <w:highlight w:val="none"/>
              </w:rPr>
            </w:pPr>
          </w:p>
        </w:tc>
        <w:tc>
          <w:tcPr>
            <w:tcW w:w="1544" w:type="dxa"/>
            <w:vAlign w:val="center"/>
          </w:tcPr>
          <w:p>
            <w:pPr>
              <w:jc w:val="center"/>
              <w:rPr>
                <w:rFonts w:hint="eastAsia" w:ascii="仿宋" w:hAnsi="仿宋" w:eastAsia="仿宋" w:cs="仿宋"/>
                <w:color w:val="auto"/>
                <w:kern w:val="0"/>
                <w:sz w:val="24"/>
                <w:szCs w:val="24"/>
                <w:highlight w:val="none"/>
              </w:rPr>
            </w:pPr>
          </w:p>
        </w:tc>
        <w:tc>
          <w:tcPr>
            <w:tcW w:w="1429" w:type="dxa"/>
            <w:vMerge w:val="continue"/>
            <w:vAlign w:val="center"/>
          </w:tcPr>
          <w:p>
            <w:pPr>
              <w:jc w:val="center"/>
              <w:rPr>
                <w:rFonts w:hint="eastAsia" w:ascii="仿宋" w:hAnsi="仿宋" w:eastAsia="仿宋" w:cs="仿宋"/>
                <w:color w:val="auto"/>
                <w:kern w:val="0"/>
                <w:sz w:val="24"/>
                <w:szCs w:val="24"/>
                <w:highlight w:val="none"/>
              </w:rPr>
            </w:pPr>
          </w:p>
        </w:tc>
      </w:tr>
    </w:tbl>
    <w:p>
      <w:pPr>
        <w:widowControl/>
        <w:jc w:val="left"/>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21"/>
        <w:rPr>
          <w:color w:val="auto"/>
          <w:highlight w:val="none"/>
        </w:rPr>
      </w:pPr>
      <w:bookmarkStart w:id="110" w:name="_Toc8923"/>
      <w:r>
        <w:rPr>
          <w:rFonts w:hint="eastAsia"/>
          <w:color w:val="auto"/>
          <w:highlight w:val="none"/>
        </w:rPr>
        <w:t>第六章</w:t>
      </w:r>
      <w:r>
        <w:rPr>
          <w:color w:val="auto"/>
          <w:highlight w:val="none"/>
        </w:rPr>
        <w:t xml:space="preserve"> </w:t>
      </w:r>
      <w:r>
        <w:rPr>
          <w:rFonts w:hint="eastAsia"/>
          <w:color w:val="auto"/>
          <w:highlight w:val="none"/>
        </w:rPr>
        <w:t>磋商响应文件的格式</w:t>
      </w:r>
      <w:bookmarkEnd w:id="99"/>
      <w:bookmarkEnd w:id="100"/>
      <w:bookmarkEnd w:id="110"/>
    </w:p>
    <w:p>
      <w:pPr>
        <w:spacing w:line="360" w:lineRule="auto"/>
        <w:jc w:val="center"/>
        <w:rPr>
          <w:rFonts w:ascii="Arial" w:hAnsi="新宋体" w:eastAsia="新宋体" w:cs="Arial"/>
          <w:b/>
          <w:color w:val="auto"/>
          <w:sz w:val="22"/>
          <w:szCs w:val="22"/>
          <w:highlight w:val="none"/>
          <w:u w:val="single"/>
        </w:rPr>
      </w:pPr>
    </w:p>
    <w:p>
      <w:pPr>
        <w:spacing w:line="360" w:lineRule="auto"/>
        <w:ind w:firstLine="665"/>
        <w:jc w:val="center"/>
        <w:rPr>
          <w:rFonts w:ascii="仿宋" w:hAnsi="仿宋" w:eastAsia="仿宋" w:cs="Arial"/>
          <w:b/>
          <w:color w:val="auto"/>
          <w:sz w:val="28"/>
          <w:szCs w:val="22"/>
          <w:highlight w:val="none"/>
          <w:u w:val="single"/>
        </w:rPr>
      </w:pPr>
      <w:r>
        <w:rPr>
          <w:rFonts w:ascii="华文中宋" w:hAnsi="华文中宋" w:eastAsia="华文中宋"/>
          <w:b/>
          <w:color w:val="auto"/>
          <w:sz w:val="44"/>
          <w:szCs w:val="44"/>
          <w:highlight w:val="none"/>
        </w:rPr>
        <w:t>重要提示</w:t>
      </w:r>
    </w:p>
    <w:p>
      <w:pPr>
        <w:spacing w:line="360" w:lineRule="auto"/>
        <w:ind w:firstLine="485" w:firstLineChars="151"/>
        <w:jc w:val="left"/>
        <w:rPr>
          <w:rFonts w:ascii="仿宋" w:hAnsi="仿宋" w:eastAsia="仿宋"/>
          <w:b/>
          <w:color w:val="auto"/>
          <w:sz w:val="32"/>
          <w:szCs w:val="28"/>
          <w:highlight w:val="none"/>
          <w:u w:val="single"/>
        </w:rPr>
      </w:pPr>
      <w:r>
        <w:rPr>
          <w:rFonts w:hint="eastAsia" w:ascii="仿宋" w:hAnsi="仿宋" w:eastAsia="仿宋"/>
          <w:b/>
          <w:color w:val="auto"/>
          <w:sz w:val="32"/>
          <w:szCs w:val="28"/>
          <w:highlight w:val="none"/>
        </w:rPr>
        <w:t>（1）</w:t>
      </w:r>
      <w:r>
        <w:rPr>
          <w:rFonts w:hint="eastAsia" w:ascii="仿宋" w:hAnsi="仿宋" w:eastAsia="仿宋"/>
          <w:b/>
          <w:color w:val="auto"/>
          <w:sz w:val="32"/>
          <w:szCs w:val="28"/>
          <w:highlight w:val="none"/>
          <w:u w:val="single"/>
        </w:rPr>
        <w:t>本章中有</w:t>
      </w:r>
      <w:r>
        <w:rPr>
          <w:rFonts w:ascii="仿宋" w:hAnsi="仿宋" w:eastAsia="仿宋"/>
          <w:b/>
          <w:color w:val="auto"/>
          <w:sz w:val="32"/>
          <w:szCs w:val="28"/>
          <w:highlight w:val="none"/>
          <w:u w:val="single"/>
        </w:rPr>
        <w:t>提供格式的，磋商供应商</w:t>
      </w:r>
      <w:r>
        <w:rPr>
          <w:rFonts w:hint="eastAsia" w:ascii="仿宋" w:hAnsi="仿宋" w:eastAsia="仿宋"/>
          <w:b/>
          <w:color w:val="auto"/>
          <w:sz w:val="32"/>
          <w:szCs w:val="28"/>
          <w:highlight w:val="none"/>
          <w:u w:val="single"/>
        </w:rPr>
        <w:t>须参</w:t>
      </w:r>
      <w:r>
        <w:rPr>
          <w:rFonts w:ascii="仿宋" w:hAnsi="仿宋" w:eastAsia="仿宋"/>
          <w:b/>
          <w:color w:val="auto"/>
          <w:sz w:val="32"/>
          <w:szCs w:val="28"/>
          <w:highlight w:val="none"/>
          <w:u w:val="single"/>
        </w:rPr>
        <w:t>照格式</w:t>
      </w:r>
      <w:r>
        <w:rPr>
          <w:rFonts w:hint="eastAsia" w:ascii="仿宋" w:hAnsi="仿宋" w:eastAsia="仿宋"/>
          <w:b/>
          <w:color w:val="auto"/>
          <w:sz w:val="32"/>
          <w:szCs w:val="28"/>
          <w:highlight w:val="none"/>
          <w:u w:val="single"/>
        </w:rPr>
        <w:t>进行编制（格式中要求提供相关证明材料的还需后附相关有效证明材料），并按格式要求签字、盖章，否则视为未提供；</w:t>
      </w:r>
    </w:p>
    <w:p>
      <w:pPr>
        <w:spacing w:line="360" w:lineRule="auto"/>
        <w:ind w:firstLine="485" w:firstLineChars="151"/>
        <w:jc w:val="left"/>
        <w:rPr>
          <w:rFonts w:ascii="仿宋" w:hAnsi="仿宋" w:eastAsia="仿宋"/>
          <w:b/>
          <w:color w:val="auto"/>
          <w:sz w:val="32"/>
          <w:szCs w:val="28"/>
          <w:highlight w:val="none"/>
          <w:u w:val="single"/>
        </w:rPr>
      </w:pPr>
      <w:r>
        <w:rPr>
          <w:rFonts w:hint="eastAsia" w:ascii="仿宋" w:hAnsi="仿宋" w:eastAsia="仿宋"/>
          <w:b/>
          <w:color w:val="auto"/>
          <w:sz w:val="32"/>
          <w:szCs w:val="28"/>
          <w:highlight w:val="none"/>
        </w:rPr>
        <w:t>（2）</w:t>
      </w:r>
      <w:r>
        <w:rPr>
          <w:rFonts w:hint="eastAsia" w:ascii="仿宋" w:hAnsi="仿宋" w:eastAsia="仿宋"/>
          <w:b/>
          <w:color w:val="auto"/>
          <w:sz w:val="32"/>
          <w:szCs w:val="28"/>
          <w:highlight w:val="none"/>
          <w:u w:val="single"/>
        </w:rPr>
        <w:t>本章</w:t>
      </w:r>
      <w:r>
        <w:rPr>
          <w:rFonts w:ascii="仿宋" w:hAnsi="仿宋" w:eastAsia="仿宋"/>
          <w:b/>
          <w:color w:val="auto"/>
          <w:sz w:val="32"/>
          <w:szCs w:val="28"/>
          <w:highlight w:val="none"/>
          <w:u w:val="single"/>
        </w:rPr>
        <w:t>未提供格式的，请</w:t>
      </w:r>
      <w:r>
        <w:rPr>
          <w:rFonts w:hint="eastAsia" w:ascii="仿宋" w:hAnsi="仿宋" w:eastAsia="仿宋"/>
          <w:b/>
          <w:color w:val="auto"/>
          <w:sz w:val="32"/>
          <w:szCs w:val="28"/>
          <w:highlight w:val="none"/>
          <w:u w:val="single"/>
        </w:rPr>
        <w:t>供应商</w:t>
      </w:r>
      <w:r>
        <w:rPr>
          <w:rFonts w:ascii="仿宋" w:hAnsi="仿宋" w:eastAsia="仿宋"/>
          <w:b/>
          <w:color w:val="auto"/>
          <w:sz w:val="32"/>
          <w:szCs w:val="28"/>
          <w:highlight w:val="none"/>
          <w:u w:val="single"/>
        </w:rPr>
        <w:t>自行拟定格式</w:t>
      </w:r>
      <w:r>
        <w:rPr>
          <w:rFonts w:hint="eastAsia" w:ascii="仿宋" w:hAnsi="仿宋" w:eastAsia="仿宋"/>
          <w:b/>
          <w:color w:val="auto"/>
          <w:sz w:val="32"/>
          <w:szCs w:val="28"/>
          <w:highlight w:val="none"/>
          <w:u w:val="single"/>
        </w:rPr>
        <w:t>，并加盖单位公章；</w:t>
      </w:r>
    </w:p>
    <w:p>
      <w:pPr>
        <w:spacing w:line="360" w:lineRule="auto"/>
        <w:ind w:firstLine="485" w:firstLineChars="151"/>
        <w:jc w:val="left"/>
        <w:rPr>
          <w:rFonts w:ascii="仿宋" w:hAnsi="仿宋" w:eastAsia="仿宋" w:cs="Arial"/>
          <w:b/>
          <w:color w:val="auto"/>
          <w:kern w:val="0"/>
          <w:sz w:val="32"/>
          <w:szCs w:val="28"/>
          <w:highlight w:val="none"/>
          <w:u w:val="single"/>
        </w:rPr>
      </w:pPr>
      <w:r>
        <w:rPr>
          <w:rFonts w:hint="eastAsia" w:ascii="仿宋" w:hAnsi="仿宋" w:eastAsia="仿宋"/>
          <w:b/>
          <w:color w:val="auto"/>
          <w:sz w:val="32"/>
          <w:szCs w:val="28"/>
          <w:highlight w:val="none"/>
        </w:rPr>
        <w:t>（3）</w:t>
      </w:r>
      <w:r>
        <w:rPr>
          <w:rFonts w:hint="eastAsia" w:ascii="仿宋" w:hAnsi="仿宋" w:eastAsia="仿宋"/>
          <w:b/>
          <w:color w:val="auto"/>
          <w:sz w:val="32"/>
          <w:szCs w:val="28"/>
          <w:highlight w:val="none"/>
          <w:u w:val="single"/>
        </w:rPr>
        <w:t>可以提供复印件的相关证明材料必须加盖供应商公章（例如：各类资格资质证书、业绩材料、许可材料、荣誉证书、产品注册登记材料、产品检测材料、验收材料等）；</w:t>
      </w:r>
    </w:p>
    <w:p>
      <w:pPr>
        <w:spacing w:line="360" w:lineRule="auto"/>
        <w:ind w:firstLine="485" w:firstLineChars="151"/>
        <w:rPr>
          <w:rFonts w:ascii="仿宋" w:hAnsi="仿宋" w:eastAsia="仿宋" w:cs="Arial"/>
          <w:b/>
          <w:color w:val="auto"/>
          <w:sz w:val="24"/>
          <w:szCs w:val="22"/>
          <w:highlight w:val="none"/>
        </w:rPr>
      </w:pPr>
      <w:r>
        <w:rPr>
          <w:rFonts w:hint="eastAsia" w:ascii="仿宋" w:hAnsi="仿宋" w:eastAsia="仿宋" w:cs="Arial"/>
          <w:b/>
          <w:color w:val="auto"/>
          <w:kern w:val="0"/>
          <w:sz w:val="32"/>
          <w:szCs w:val="28"/>
          <w:highlight w:val="none"/>
        </w:rPr>
        <w:t>（4）</w:t>
      </w:r>
      <w:r>
        <w:rPr>
          <w:rFonts w:hint="eastAsia" w:ascii="仿宋" w:hAnsi="仿宋" w:eastAsia="仿宋" w:cs="Arial"/>
          <w:b/>
          <w:color w:val="auto"/>
          <w:kern w:val="0"/>
          <w:sz w:val="32"/>
          <w:szCs w:val="28"/>
          <w:highlight w:val="none"/>
          <w:u w:val="single"/>
        </w:rPr>
        <w:t>第二章供应商须知第4.2.2款磋商响应文件内容组成清单中标注“</w:t>
      </w:r>
      <w:r>
        <w:rPr>
          <w:rFonts w:hint="eastAsia" w:ascii="仿宋" w:hAnsi="仿宋" w:eastAsia="仿宋" w:cs="Arial"/>
          <w:color w:val="auto"/>
          <w:kern w:val="0"/>
          <w:sz w:val="32"/>
          <w:szCs w:val="28"/>
          <w:highlight w:val="none"/>
          <w:u w:val="single"/>
        </w:rPr>
        <w:t>▲</w:t>
      </w:r>
      <w:r>
        <w:rPr>
          <w:rFonts w:hint="eastAsia" w:ascii="仿宋" w:hAnsi="仿宋" w:eastAsia="仿宋" w:cs="Arial"/>
          <w:b/>
          <w:color w:val="auto"/>
          <w:kern w:val="0"/>
          <w:sz w:val="32"/>
          <w:szCs w:val="28"/>
          <w:highlight w:val="none"/>
          <w:u w:val="single"/>
        </w:rPr>
        <w:t>”的内容为必须提供的内容，未提供的磋商响应无效。</w:t>
      </w:r>
    </w:p>
    <w:p>
      <w:pPr>
        <w:pStyle w:val="3"/>
        <w:rPr>
          <w:color w:val="auto"/>
          <w:highlight w:val="none"/>
        </w:rPr>
      </w:pPr>
      <w:r>
        <w:rPr>
          <w:rFonts w:ascii="仿宋" w:hAnsi="仿宋" w:eastAsia="仿宋" w:cs="Arial"/>
          <w:b w:val="0"/>
          <w:color w:val="auto"/>
          <w:sz w:val="24"/>
          <w:szCs w:val="22"/>
          <w:highlight w:val="none"/>
        </w:rPr>
        <w:br w:type="page"/>
      </w:r>
      <w:bookmarkStart w:id="111" w:name="_Toc23343"/>
      <w:bookmarkStart w:id="112" w:name="_Toc42656127"/>
      <w:bookmarkStart w:id="113" w:name="_Toc18550"/>
      <w:bookmarkStart w:id="114" w:name="_Toc14269"/>
      <w:bookmarkStart w:id="115" w:name="_Toc15002"/>
      <w:bookmarkStart w:id="116" w:name="_Toc57786005"/>
      <w:r>
        <w:rPr>
          <w:rFonts w:hint="eastAsia"/>
          <w:color w:val="auto"/>
          <w:highlight w:val="none"/>
        </w:rPr>
        <w:t>第一部分 “资信技术文件</w:t>
      </w:r>
      <w:r>
        <w:rPr>
          <w:color w:val="auto"/>
          <w:highlight w:val="none"/>
        </w:rPr>
        <w:t>”</w:t>
      </w:r>
      <w:r>
        <w:rPr>
          <w:rFonts w:hint="eastAsia"/>
          <w:color w:val="auto"/>
          <w:highlight w:val="none"/>
        </w:rPr>
        <w:t>格式</w:t>
      </w:r>
      <w:bookmarkEnd w:id="111"/>
      <w:bookmarkEnd w:id="112"/>
      <w:bookmarkEnd w:id="113"/>
      <w:bookmarkEnd w:id="114"/>
      <w:bookmarkEnd w:id="115"/>
      <w:bookmarkEnd w:id="116"/>
    </w:p>
    <w:p>
      <w:pPr>
        <w:spacing w:line="360" w:lineRule="auto"/>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lang w:val="en-US" w:eastAsia="zh-CN"/>
        </w:rPr>
        <w:t>1.</w:t>
      </w:r>
      <w:r>
        <w:rPr>
          <w:rFonts w:hint="eastAsia" w:ascii="华文中宋" w:hAnsi="华文中宋" w:eastAsia="华文中宋"/>
          <w:b/>
          <w:bCs/>
          <w:color w:val="auto"/>
          <w:kern w:val="0"/>
          <w:sz w:val="30"/>
          <w:highlight w:val="none"/>
        </w:rPr>
        <w:t>“资信技术文件”封面</w:t>
      </w:r>
    </w:p>
    <w:p>
      <w:pPr>
        <w:spacing w:line="360" w:lineRule="auto"/>
        <w:ind w:firstLine="424" w:firstLineChars="177"/>
        <w:rPr>
          <w:rFonts w:ascii="Calibri" w:hAnsi="Calibri"/>
          <w:color w:val="auto"/>
          <w:sz w:val="24"/>
          <w:szCs w:val="20"/>
          <w:highlight w:val="none"/>
        </w:rPr>
      </w:pPr>
    </w:p>
    <w:p>
      <w:pPr>
        <w:pStyle w:val="17"/>
        <w:jc w:val="center"/>
        <w:rPr>
          <w:rFonts w:hint="eastAsia" w:ascii="微软雅黑" w:hAnsi="微软雅黑" w:eastAsia="微软雅黑" w:cs="Arial"/>
          <w:color w:val="auto"/>
          <w:kern w:val="0"/>
          <w:sz w:val="52"/>
          <w:szCs w:val="90"/>
          <w:highlight w:val="none"/>
          <w:lang w:eastAsia="zh-CN"/>
        </w:rPr>
      </w:pPr>
      <w:r>
        <w:rPr>
          <w:rFonts w:hint="eastAsia" w:ascii="微软雅黑" w:hAnsi="微软雅黑" w:eastAsia="微软雅黑" w:cs="Arial"/>
          <w:color w:val="auto"/>
          <w:kern w:val="0"/>
          <w:sz w:val="52"/>
          <w:szCs w:val="90"/>
          <w:highlight w:val="none"/>
          <w:lang w:eastAsia="zh-CN"/>
        </w:rPr>
        <w:t>浙江中医药大学富春校区及滨文南区消防设施设备日常零星维修改造</w:t>
      </w:r>
    </w:p>
    <w:p>
      <w:pPr>
        <w:pStyle w:val="17"/>
        <w:jc w:val="center"/>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采购项目编号：</w:t>
      </w:r>
      <w:r>
        <w:rPr>
          <w:rFonts w:hint="eastAsia" w:ascii="仿宋" w:hAnsi="仿宋" w:eastAsia="仿宋"/>
          <w:color w:val="auto"/>
          <w:sz w:val="36"/>
          <w:szCs w:val="36"/>
          <w:highlight w:val="none"/>
          <w:lang w:eastAsia="zh-CN"/>
        </w:rPr>
        <w:t>CTZB-2024060047</w:t>
      </w:r>
    </w:p>
    <w:p>
      <w:pPr>
        <w:jc w:val="center"/>
        <w:rPr>
          <w:color w:val="auto"/>
          <w:highlight w:val="none"/>
        </w:rPr>
      </w:pPr>
      <w:r>
        <w:rPr>
          <w:rFonts w:hint="eastAsia" w:ascii="仿宋" w:hAnsi="仿宋" w:eastAsia="仿宋"/>
          <w:color w:val="auto"/>
          <w:sz w:val="36"/>
          <w:szCs w:val="36"/>
          <w:highlight w:val="none"/>
        </w:rPr>
        <w:t xml:space="preserve"> </w:t>
      </w:r>
    </w:p>
    <w:p>
      <w:pPr>
        <w:rPr>
          <w:color w:val="auto"/>
          <w:highlight w:val="none"/>
        </w:rPr>
      </w:pPr>
    </w:p>
    <w:p>
      <w:pPr>
        <w:pStyle w:val="17"/>
        <w:rPr>
          <w:color w:val="auto"/>
          <w:highlight w:val="none"/>
        </w:rPr>
      </w:pPr>
    </w:p>
    <w:p>
      <w:pPr>
        <w:spacing w:line="276" w:lineRule="auto"/>
        <w:jc w:val="center"/>
        <w:rPr>
          <w:rFonts w:ascii="宋体" w:hAnsi="宋体" w:cs="宋体"/>
          <w:b/>
          <w:color w:val="auto"/>
          <w:kern w:val="0"/>
          <w:sz w:val="96"/>
          <w:szCs w:val="144"/>
          <w:highlight w:val="none"/>
        </w:rPr>
      </w:pPr>
      <w:r>
        <w:rPr>
          <w:rFonts w:hint="eastAsia" w:ascii="宋体" w:hAnsi="宋体" w:cs="宋体"/>
          <w:b/>
          <w:color w:val="auto"/>
          <w:kern w:val="0"/>
          <w:sz w:val="96"/>
          <w:szCs w:val="144"/>
          <w:highlight w:val="none"/>
        </w:rPr>
        <w:t>磋商响应文件</w:t>
      </w:r>
    </w:p>
    <w:p>
      <w:pPr>
        <w:spacing w:line="360" w:lineRule="auto"/>
        <w:jc w:val="center"/>
        <w:rPr>
          <w:rFonts w:ascii="微软雅黑" w:hAnsi="微软雅黑" w:eastAsia="微软雅黑" w:cs="Arial"/>
          <w:b/>
          <w:color w:val="auto"/>
          <w:kern w:val="0"/>
          <w:sz w:val="48"/>
          <w:szCs w:val="84"/>
          <w:highlight w:val="none"/>
        </w:rPr>
      </w:pPr>
      <w:r>
        <w:rPr>
          <w:rFonts w:hint="eastAsia" w:ascii="微软雅黑" w:hAnsi="微软雅黑" w:eastAsia="微软雅黑" w:cs="Arial"/>
          <w:b/>
          <w:color w:val="auto"/>
          <w:kern w:val="0"/>
          <w:sz w:val="48"/>
          <w:szCs w:val="84"/>
          <w:highlight w:val="none"/>
        </w:rPr>
        <w:t>（资信技术文件）</w:t>
      </w:r>
    </w:p>
    <w:p>
      <w:pPr>
        <w:pStyle w:val="17"/>
        <w:rPr>
          <w:rFonts w:ascii="仿宋" w:hAnsi="仿宋" w:eastAsia="仿宋" w:cs="Times New Roman"/>
          <w:color w:val="auto"/>
          <w:sz w:val="24"/>
          <w:highlight w:val="none"/>
        </w:rPr>
      </w:pPr>
    </w:p>
    <w:p>
      <w:pPr>
        <w:rPr>
          <w:rFonts w:ascii="仿宋" w:hAnsi="仿宋" w:eastAsia="仿宋"/>
          <w:color w:val="auto"/>
          <w:sz w:val="24"/>
          <w:highlight w:val="none"/>
        </w:rPr>
      </w:pPr>
    </w:p>
    <w:p>
      <w:pPr>
        <w:pStyle w:val="17"/>
        <w:rPr>
          <w:color w:val="auto"/>
          <w:highlight w:val="none"/>
        </w:rPr>
      </w:pPr>
    </w:p>
    <w:tbl>
      <w:tblPr>
        <w:tblStyle w:val="23"/>
        <w:tblW w:w="0" w:type="auto"/>
        <w:tblInd w:w="392" w:type="dxa"/>
        <w:tblLayout w:type="fixed"/>
        <w:tblCellMar>
          <w:top w:w="0" w:type="dxa"/>
          <w:left w:w="108" w:type="dxa"/>
          <w:bottom w:w="0" w:type="dxa"/>
          <w:right w:w="108" w:type="dxa"/>
        </w:tblCellMar>
      </w:tblPr>
      <w:tblGrid>
        <w:gridCol w:w="8647"/>
      </w:tblGrid>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磋商供应商名称（盖章）：</w:t>
            </w:r>
            <w:r>
              <w:rPr>
                <w:rFonts w:ascii="仿宋" w:hAnsi="仿宋" w:eastAsia="仿宋" w:cs="Arial"/>
                <w:color w:val="auto"/>
                <w:w w:val="90"/>
                <w:kern w:val="0"/>
                <w:sz w:val="22"/>
                <w:szCs w:val="22"/>
                <w:highlight w:val="none"/>
              </w:rPr>
              <w:t>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ascii="仿宋" w:hAnsi="仿宋" w:eastAsia="仿宋" w:cs="Arial"/>
                <w:color w:val="auto"/>
                <w:w w:val="90"/>
                <w:kern w:val="0"/>
                <w:sz w:val="22"/>
                <w:szCs w:val="22"/>
                <w:highlight w:val="none"/>
              </w:rPr>
              <w:t>___________________________________________________________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w:t>
            </w:r>
            <w:r>
              <w:rPr>
                <w:rFonts w:hint="eastAsia" w:ascii="仿宋" w:hAnsi="仿宋" w:eastAsia="仿宋"/>
                <w:color w:val="auto"/>
                <w:sz w:val="28"/>
                <w:highlight w:val="none"/>
              </w:rPr>
              <w:t>供应商联系电话：</w:t>
            </w:r>
            <w:r>
              <w:rPr>
                <w:rFonts w:ascii="仿宋" w:hAnsi="仿宋" w:eastAsia="仿宋" w:cs="Arial"/>
                <w:color w:val="auto"/>
                <w:w w:val="90"/>
                <w:kern w:val="0"/>
                <w:sz w:val="28"/>
                <w:highlight w:val="none"/>
              </w:rPr>
              <w:t>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s="Arial"/>
                <w:color w:val="auto"/>
                <w:w w:val="90"/>
                <w:kern w:val="0"/>
                <w:sz w:val="22"/>
                <w:szCs w:val="22"/>
                <w:highlight w:val="none"/>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jc w:val="center"/>
              <w:rPr>
                <w:rFonts w:ascii="仿宋" w:hAnsi="仿宋" w:eastAsia="仿宋"/>
                <w:b/>
                <w:color w:val="auto"/>
                <w:sz w:val="28"/>
                <w:szCs w:val="28"/>
                <w:highlight w:val="none"/>
              </w:rPr>
            </w:pPr>
            <w:r>
              <w:rPr>
                <w:rFonts w:hint="eastAsia" w:ascii="仿宋" w:hAnsi="仿宋" w:eastAsia="仿宋"/>
                <w:color w:val="auto"/>
                <w:sz w:val="28"/>
                <w:highlight w:val="none"/>
              </w:rPr>
              <w:t>磋商响应文件提交截止时间前其他单位或个人不得开启</w:t>
            </w:r>
          </w:p>
        </w:tc>
      </w:tr>
    </w:tbl>
    <w:p>
      <w:pPr>
        <w:pStyle w:val="4"/>
        <w:rPr>
          <w:color w:val="auto"/>
          <w:highlight w:val="none"/>
        </w:rPr>
      </w:pPr>
      <w:r>
        <w:rPr>
          <w:rFonts w:ascii="仿宋" w:hAnsi="仿宋" w:eastAsia="仿宋" w:cs="Arial"/>
          <w:color w:val="auto"/>
          <w:sz w:val="24"/>
          <w:szCs w:val="22"/>
          <w:highlight w:val="none"/>
        </w:rPr>
        <w:br w:type="page"/>
      </w:r>
      <w:r>
        <w:rPr>
          <w:rFonts w:hint="eastAsia" w:eastAsia="仿宋"/>
          <w:color w:val="auto"/>
          <w:highlight w:val="none"/>
        </w:rPr>
        <w:t>1</w:t>
      </w:r>
      <w:r>
        <w:rPr>
          <w:rFonts w:hint="eastAsia"/>
          <w:color w:val="auto"/>
          <w:highlight w:val="none"/>
        </w:rPr>
        <w:t>-1 ▲符合“申请人的资格要求”第1条规定的证明文件</w:t>
      </w:r>
    </w:p>
    <w:p>
      <w:pPr>
        <w:pStyle w:val="5"/>
        <w:rPr>
          <w:rFonts w:ascii="Calibri" w:hAnsi="Calibri"/>
          <w:color w:val="auto"/>
          <w:highlight w:val="none"/>
        </w:rPr>
      </w:pPr>
      <w:r>
        <w:rPr>
          <w:rFonts w:hint="eastAsia"/>
          <w:color w:val="auto"/>
          <w:kern w:val="0"/>
          <w:highlight w:val="none"/>
        </w:rPr>
        <w:t>（1）营业执照等证明文件</w:t>
      </w:r>
    </w:p>
    <w:p>
      <w:pPr>
        <w:spacing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营业执照等证明文件</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145" w:type="dxa"/>
            <w:vAlign w:val="center"/>
          </w:tcPr>
          <w:p>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（提供复印件，加盖磋商供应商公章）</w:t>
            </w:r>
            <w:r>
              <w:rPr>
                <w:rFonts w:hint="eastAsia" w:ascii="仿宋" w:hAnsi="仿宋" w:eastAsia="仿宋"/>
                <w:color w:val="auto"/>
                <w:sz w:val="24"/>
                <w:highlight w:val="none"/>
              </w:rPr>
              <w:t>。</w:t>
            </w:r>
          </w:p>
          <w:p>
            <w:pPr>
              <w:spacing w:line="360" w:lineRule="auto"/>
              <w:jc w:val="left"/>
              <w:rPr>
                <w:rFonts w:ascii="仿宋" w:hAnsi="仿宋" w:eastAsia="仿宋"/>
                <w:i/>
                <w:color w:val="auto"/>
                <w:sz w:val="28"/>
                <w:highlight w:val="none"/>
              </w:rPr>
            </w:pPr>
          </w:p>
          <w:p>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提示和说明：</w:t>
            </w:r>
          </w:p>
          <w:p>
            <w:pPr>
              <w:spacing w:line="360" w:lineRule="auto"/>
              <w:ind w:firstLine="369" w:firstLineChars="132"/>
              <w:jc w:val="left"/>
              <w:rPr>
                <w:rFonts w:ascii="仿宋" w:hAnsi="仿宋" w:eastAsia="仿宋"/>
                <w:color w:val="auto"/>
                <w:sz w:val="28"/>
                <w:highlight w:val="none"/>
              </w:rPr>
            </w:pPr>
            <w:r>
              <w:rPr>
                <w:rFonts w:hint="eastAsia" w:ascii="仿宋" w:hAnsi="仿宋" w:eastAsia="仿宋"/>
                <w:color w:val="auto"/>
                <w:sz w:val="28"/>
                <w:highlight w:val="none"/>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pPr>
              <w:spacing w:line="360" w:lineRule="auto"/>
              <w:ind w:firstLine="422" w:firstLineChars="151"/>
              <w:jc w:val="left"/>
              <w:rPr>
                <w:rFonts w:ascii="仿宋" w:hAnsi="仿宋" w:eastAsia="仿宋" w:cs="Arial"/>
                <w:b/>
                <w:i/>
                <w:color w:val="auto"/>
                <w:kern w:val="0"/>
                <w:sz w:val="24"/>
                <w:highlight w:val="none"/>
              </w:rPr>
            </w:pPr>
            <w:r>
              <w:rPr>
                <w:rFonts w:hint="eastAsia" w:ascii="仿宋" w:hAnsi="仿宋" w:eastAsia="仿宋"/>
                <w:color w:val="auto"/>
                <w:sz w:val="28"/>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磋商供应商公章），以证明其具备实际承担责任的能力和法定的缔结合同能力。</w:t>
            </w:r>
          </w:p>
        </w:tc>
      </w:tr>
    </w:tbl>
    <w:p>
      <w:pPr>
        <w:spacing w:line="360" w:lineRule="auto"/>
        <w:ind w:firstLine="405" w:firstLineChars="193"/>
        <w:rPr>
          <w:rFonts w:ascii="仿宋" w:hAnsi="仿宋" w:eastAsia="仿宋" w:cs="仿宋"/>
          <w:b/>
          <w:bCs/>
          <w:color w:val="auto"/>
          <w:kern w:val="0"/>
          <w:sz w:val="28"/>
          <w:szCs w:val="28"/>
          <w:highlight w:val="none"/>
        </w:rPr>
      </w:pPr>
      <w:r>
        <w:rPr>
          <w:color w:val="auto"/>
          <w:highlight w:val="none"/>
        </w:rPr>
        <w:br w:type="page"/>
      </w:r>
      <w:r>
        <w:rPr>
          <w:rFonts w:hint="eastAsia" w:ascii="华文中宋" w:hAnsi="华文中宋" w:eastAsia="华文中宋"/>
          <w:b/>
          <w:bCs/>
          <w:color w:val="auto"/>
          <w:kern w:val="0"/>
          <w:sz w:val="28"/>
          <w:szCs w:val="28"/>
          <w:highlight w:val="none"/>
        </w:rPr>
        <w:t>（2）▲基本资格符合性承诺书</w:t>
      </w:r>
    </w:p>
    <w:p>
      <w:pPr>
        <w:spacing w:line="360" w:lineRule="auto"/>
        <w:ind w:firstLine="426" w:firstLineChars="193"/>
        <w:jc w:val="center"/>
        <w:rPr>
          <w:rFonts w:ascii="仿宋" w:hAnsi="仿宋" w:eastAsia="仿宋" w:cs="仿宋"/>
          <w:b/>
          <w:bCs/>
          <w:color w:val="auto"/>
          <w:kern w:val="0"/>
          <w:sz w:val="22"/>
          <w:szCs w:val="22"/>
          <w:highlight w:val="none"/>
        </w:rPr>
      </w:pPr>
    </w:p>
    <w:p>
      <w:pPr>
        <w:spacing w:line="360" w:lineRule="auto"/>
        <w:jc w:val="center"/>
        <w:rPr>
          <w:rFonts w:ascii="华文中宋" w:hAnsi="华文中宋" w:eastAsia="华文中宋" w:cs="Arial"/>
          <w:b/>
          <w:color w:val="auto"/>
          <w:kern w:val="0"/>
          <w:sz w:val="24"/>
          <w:szCs w:val="28"/>
          <w:highlight w:val="none"/>
          <w:u w:val="single"/>
        </w:rPr>
      </w:pPr>
      <w:r>
        <w:rPr>
          <w:rFonts w:hint="eastAsia" w:ascii="微软雅黑" w:hAnsi="微软雅黑" w:eastAsia="微软雅黑"/>
          <w:b/>
          <w:color w:val="auto"/>
          <w:sz w:val="40"/>
          <w:highlight w:val="none"/>
        </w:rPr>
        <w:t>基本资格符合性承诺书</w:t>
      </w:r>
    </w:p>
    <w:p>
      <w:pPr>
        <w:spacing w:line="360" w:lineRule="auto"/>
        <w:rPr>
          <w:rFonts w:ascii="仿宋" w:hAnsi="仿宋" w:eastAsia="仿宋" w:cs="Arial"/>
          <w:color w:val="auto"/>
          <w:kern w:val="0"/>
          <w:sz w:val="24"/>
          <w:highlight w:val="none"/>
        </w:rPr>
      </w:pPr>
      <w:r>
        <w:rPr>
          <w:rFonts w:hint="eastAsia" w:ascii="仿宋" w:hAnsi="仿宋" w:eastAsia="仿宋" w:cs="Arial"/>
          <w:b/>
          <w:color w:val="auto"/>
          <w:kern w:val="0"/>
          <w:sz w:val="24"/>
          <w:highlight w:val="none"/>
          <w:u w:val="single"/>
        </w:rPr>
        <w:t>浙江中医药大学、浙江省成套招标代理有限公司</w:t>
      </w:r>
      <w:r>
        <w:rPr>
          <w:rFonts w:hint="eastAsia" w:ascii="仿宋" w:hAnsi="仿宋" w:eastAsia="仿宋" w:cs="Arial"/>
          <w:b/>
          <w:color w:val="auto"/>
          <w:kern w:val="0"/>
          <w:sz w:val="24"/>
          <w:highlight w:val="none"/>
        </w:rPr>
        <w:t>：</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我方参加</w:t>
      </w:r>
      <w:r>
        <w:rPr>
          <w:rFonts w:hint="eastAsia" w:ascii="仿宋" w:hAnsi="仿宋" w:eastAsia="仿宋" w:cs="Arial"/>
          <w:b/>
          <w:color w:val="auto"/>
          <w:kern w:val="0"/>
          <w:sz w:val="24"/>
          <w:highlight w:val="none"/>
          <w:u w:val="single"/>
          <w:lang w:eastAsia="zh-CN"/>
        </w:rPr>
        <w:t>浙江中医药大学富春校区及滨文南区消防设施设备日常零星维修改造</w:t>
      </w:r>
      <w:r>
        <w:rPr>
          <w:rFonts w:hint="eastAsia" w:ascii="仿宋" w:hAnsi="仿宋" w:eastAsia="仿宋" w:cs="Arial"/>
          <w:b/>
          <w:color w:val="auto"/>
          <w:kern w:val="0"/>
          <w:sz w:val="24"/>
          <w:highlight w:val="none"/>
          <w:u w:val="single"/>
        </w:rPr>
        <w:t>（项目编号：</w:t>
      </w:r>
      <w:r>
        <w:rPr>
          <w:rFonts w:hint="eastAsia" w:ascii="仿宋" w:hAnsi="仿宋" w:eastAsia="仿宋" w:cs="Arial"/>
          <w:b/>
          <w:color w:val="auto"/>
          <w:kern w:val="0"/>
          <w:sz w:val="24"/>
          <w:highlight w:val="none"/>
          <w:u w:val="single"/>
          <w:lang w:eastAsia="zh-CN"/>
        </w:rPr>
        <w:t>CTZB-2024060047</w:t>
      </w:r>
      <w:r>
        <w:rPr>
          <w:rFonts w:hint="eastAsia"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rPr>
        <w:t>的采购活动，依据采购文件相关规定，郑重承诺如下：</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（1）我方具有独立承担民事责任的能力（营业执照附后）；</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（2）我方具有</w:t>
      </w:r>
      <w:r>
        <w:rPr>
          <w:rFonts w:ascii="仿宋" w:hAnsi="仿宋" w:eastAsia="仿宋" w:cs="Arial"/>
          <w:color w:val="auto"/>
          <w:kern w:val="0"/>
          <w:sz w:val="24"/>
          <w:highlight w:val="none"/>
        </w:rPr>
        <w:t>良好的商业信誉和健全的财务会计制度</w:t>
      </w:r>
      <w:r>
        <w:rPr>
          <w:rFonts w:hint="eastAsia" w:ascii="仿宋" w:hAnsi="仿宋" w:eastAsia="仿宋" w:cs="Arial"/>
          <w:color w:val="auto"/>
          <w:kern w:val="0"/>
          <w:sz w:val="24"/>
          <w:highlight w:val="none"/>
        </w:rPr>
        <w:t>；</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（3）我方具有履行本项目合同所必需的设备和专业技术能力；</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（4）我方</w:t>
      </w:r>
      <w:r>
        <w:rPr>
          <w:rFonts w:ascii="仿宋" w:hAnsi="仿宋" w:eastAsia="仿宋" w:cs="Arial"/>
          <w:color w:val="auto"/>
          <w:kern w:val="0"/>
          <w:sz w:val="24"/>
          <w:highlight w:val="none"/>
        </w:rPr>
        <w:t>有依法缴纳税收和社会保障资金的良好记录</w:t>
      </w:r>
      <w:r>
        <w:rPr>
          <w:rFonts w:hint="eastAsia" w:ascii="仿宋" w:hAnsi="仿宋" w:eastAsia="仿宋" w:cs="Arial"/>
          <w:color w:val="auto"/>
          <w:kern w:val="0"/>
          <w:sz w:val="24"/>
          <w:highlight w:val="none"/>
        </w:rPr>
        <w:t>；</w:t>
      </w:r>
    </w:p>
    <w:p>
      <w:pPr>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kern w:val="0"/>
          <w:sz w:val="24"/>
          <w:highlight w:val="none"/>
        </w:rPr>
        <w:t>（5）我方在参加本次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highlight w:val="none"/>
        </w:rPr>
        <w:t>；</w:t>
      </w:r>
    </w:p>
    <w:p>
      <w:pPr>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（6）我方符合法律、行政法规规定的其他条件；</w:t>
      </w:r>
    </w:p>
    <w:p>
      <w:pPr>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（7）</w:t>
      </w:r>
      <w:r>
        <w:rPr>
          <w:rFonts w:hint="eastAsia" w:ascii="仿宋" w:hAnsi="仿宋" w:eastAsia="仿宋" w:cs="Arial"/>
          <w:color w:val="auto"/>
          <w:kern w:val="0"/>
          <w:sz w:val="24"/>
          <w:highlight w:val="none"/>
        </w:rPr>
        <w:t>我方在投标文件递交前，未被</w:t>
      </w:r>
      <w:r>
        <w:rPr>
          <w:rFonts w:ascii="仿宋" w:hAnsi="仿宋" w:eastAsia="仿宋" w:cs="Arial"/>
          <w:color w:val="auto"/>
          <w:kern w:val="0"/>
          <w:sz w:val="24"/>
          <w:highlight w:val="none"/>
        </w:rPr>
        <w:t>“信用中国”</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www.creditchina.gov.cn</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中国政府采购网</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www.ccgp.gov.cn</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列入失信被执行人</w:t>
      </w:r>
      <w:r>
        <w:rPr>
          <w:rFonts w:hint="eastAsia" w:ascii="仿宋" w:hAnsi="仿宋" w:eastAsia="仿宋" w:cs="Arial"/>
          <w:color w:val="auto"/>
          <w:kern w:val="0"/>
          <w:sz w:val="24"/>
          <w:highlight w:val="none"/>
        </w:rPr>
        <w:t>名单</w:t>
      </w:r>
      <w:r>
        <w:rPr>
          <w:rFonts w:ascii="仿宋" w:hAnsi="仿宋" w:eastAsia="仿宋" w:cs="Arial"/>
          <w:color w:val="auto"/>
          <w:kern w:val="0"/>
          <w:sz w:val="24"/>
          <w:highlight w:val="none"/>
        </w:rPr>
        <w:t>、重大税收违法案件当事人名单、政府采购严重违法失信行为记录名单</w:t>
      </w:r>
      <w:r>
        <w:rPr>
          <w:rFonts w:hint="eastAsia" w:ascii="仿宋" w:hAnsi="仿宋" w:eastAsia="仿宋" w:cs="Arial"/>
          <w:color w:val="auto"/>
          <w:kern w:val="0"/>
          <w:sz w:val="24"/>
          <w:highlight w:val="none"/>
        </w:rPr>
        <w:t>（我方的信用信息记录以采购人或采购代理机构统一查询的结果为准）。</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以上承诺如有虚假或隐瞒，采购人可取消我方任何资格（投标</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中标</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签订合同），我方对此无任何异议，并愿意承担一切后果和责任。</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特此承诺</w:t>
      </w:r>
    </w:p>
    <w:p>
      <w:pPr>
        <w:spacing w:line="360" w:lineRule="auto"/>
        <w:ind w:firstLine="480" w:firstLineChars="200"/>
        <w:rPr>
          <w:rFonts w:ascii="仿宋" w:hAnsi="仿宋" w:eastAsia="仿宋" w:cs="Arial"/>
          <w:color w:val="auto"/>
          <w:sz w:val="24"/>
          <w:highlight w:val="none"/>
        </w:rPr>
      </w:pP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kern w:val="0"/>
          <w:sz w:val="24"/>
          <w:highlight w:val="none"/>
        </w:rPr>
        <w:t>__________________________________</w:t>
      </w:r>
    </w:p>
    <w:p>
      <w:pPr>
        <w:spacing w:line="360" w:lineRule="auto"/>
        <w:ind w:firstLine="424" w:firstLineChars="177"/>
        <w:rPr>
          <w:rFonts w:ascii="仿宋" w:hAnsi="仿宋" w:eastAsia="仿宋"/>
          <w:color w:val="auto"/>
          <w:sz w:val="24"/>
          <w:szCs w:val="20"/>
          <w:highlight w:val="none"/>
        </w:rPr>
      </w:pPr>
      <w:r>
        <w:rPr>
          <w:rFonts w:hint="eastAsia" w:ascii="仿宋" w:hAnsi="仿宋" w:eastAsia="仿宋" w:cs="Arial"/>
          <w:color w:val="auto"/>
          <w:sz w:val="24"/>
          <w:szCs w:val="20"/>
          <w:highlight w:val="none"/>
        </w:rPr>
        <w:t>日期：</w:t>
      </w:r>
      <w:r>
        <w:rPr>
          <w:rFonts w:ascii="仿宋" w:hAnsi="仿宋" w:eastAsia="仿宋" w:cs="Arial"/>
          <w:color w:val="auto"/>
          <w:sz w:val="24"/>
          <w:szCs w:val="20"/>
          <w:highlight w:val="none"/>
        </w:rPr>
        <w:t>________</w:t>
      </w:r>
      <w:r>
        <w:rPr>
          <w:rFonts w:hint="eastAsia" w:ascii="仿宋" w:hAnsi="仿宋" w:eastAsia="仿宋" w:cs="Arial"/>
          <w:color w:val="auto"/>
          <w:sz w:val="24"/>
          <w:szCs w:val="20"/>
          <w:highlight w:val="none"/>
        </w:rPr>
        <w:t>年</w:t>
      </w:r>
      <w:r>
        <w:rPr>
          <w:rFonts w:ascii="仿宋" w:hAnsi="仿宋" w:eastAsia="仿宋" w:cs="Arial"/>
          <w:color w:val="auto"/>
          <w:sz w:val="24"/>
          <w:szCs w:val="20"/>
          <w:highlight w:val="none"/>
        </w:rPr>
        <w:t>____</w:t>
      </w:r>
      <w:r>
        <w:rPr>
          <w:rFonts w:hint="eastAsia" w:ascii="仿宋" w:hAnsi="仿宋" w:eastAsia="仿宋" w:cs="Arial"/>
          <w:color w:val="auto"/>
          <w:sz w:val="24"/>
          <w:szCs w:val="20"/>
          <w:highlight w:val="none"/>
        </w:rPr>
        <w:t>月</w:t>
      </w:r>
      <w:r>
        <w:rPr>
          <w:rFonts w:ascii="仿宋" w:hAnsi="仿宋" w:eastAsia="仿宋" w:cs="Arial"/>
          <w:color w:val="auto"/>
          <w:sz w:val="24"/>
          <w:szCs w:val="20"/>
          <w:highlight w:val="none"/>
        </w:rPr>
        <w:t>____</w:t>
      </w:r>
      <w:r>
        <w:rPr>
          <w:rFonts w:hint="eastAsia" w:ascii="仿宋" w:hAnsi="仿宋" w:eastAsia="仿宋" w:cs="Arial"/>
          <w:color w:val="auto"/>
          <w:sz w:val="24"/>
          <w:szCs w:val="20"/>
          <w:highlight w:val="none"/>
        </w:rPr>
        <w:t>日</w:t>
      </w:r>
    </w:p>
    <w:p>
      <w:pPr>
        <w:pStyle w:val="4"/>
        <w:rPr>
          <w:rFonts w:ascii="微软雅黑" w:hAnsi="微软雅黑" w:eastAsia="微软雅黑"/>
          <w:color w:val="auto"/>
          <w:sz w:val="40"/>
          <w:szCs w:val="44"/>
          <w:highlight w:val="none"/>
        </w:rPr>
      </w:pPr>
      <w:r>
        <w:rPr>
          <w:rFonts w:ascii="仿宋" w:hAnsi="仿宋" w:eastAsia="仿宋"/>
          <w:color w:val="auto"/>
          <w:w w:val="90"/>
          <w:highlight w:val="none"/>
        </w:rPr>
        <w:br w:type="page"/>
      </w:r>
      <w:r>
        <w:rPr>
          <w:rFonts w:hint="eastAsia" w:eastAsia="仿宋"/>
          <w:color w:val="auto"/>
          <w:szCs w:val="24"/>
          <w:highlight w:val="none"/>
        </w:rPr>
        <w:t>1</w:t>
      </w:r>
      <w:r>
        <w:rPr>
          <w:rFonts w:hint="eastAsia"/>
          <w:color w:val="auto"/>
          <w:szCs w:val="24"/>
          <w:highlight w:val="none"/>
        </w:rPr>
        <w:t xml:space="preserve">-2   </w:t>
      </w:r>
      <w:r>
        <w:rPr>
          <w:rFonts w:hint="eastAsia" w:ascii="仿宋" w:hAnsi="仿宋" w:eastAsia="仿宋" w:cs="仿宋"/>
          <w:color w:val="auto"/>
          <w:szCs w:val="24"/>
          <w:highlight w:val="none"/>
        </w:rPr>
        <w:t>▲</w:t>
      </w:r>
      <w:r>
        <w:rPr>
          <w:rFonts w:hint="eastAsia"/>
          <w:color w:val="auto"/>
          <w:szCs w:val="24"/>
          <w:highlight w:val="none"/>
        </w:rPr>
        <w:t>符合“申请人的资格要求”第2条“落实采购政策需满足的资格要求”规定的证明文件</w:t>
      </w:r>
    </w:p>
    <w:p>
      <w:pPr>
        <w:keepNext/>
        <w:keepLines/>
        <w:spacing w:line="360" w:lineRule="auto"/>
        <w:jc w:val="left"/>
        <w:outlineLvl w:val="3"/>
        <w:rPr>
          <w:rFonts w:ascii="Calibri" w:hAnsi="Calibri"/>
          <w:b/>
          <w:bCs/>
          <w:color w:val="auto"/>
          <w:sz w:val="28"/>
          <w:szCs w:val="28"/>
          <w:highlight w:val="none"/>
        </w:rPr>
      </w:pPr>
      <w:r>
        <w:rPr>
          <w:rFonts w:hint="eastAsia" w:ascii="华文中宋" w:hAnsi="华文中宋" w:eastAsia="华文中宋"/>
          <w:b/>
          <w:bCs/>
          <w:color w:val="auto"/>
          <w:sz w:val="28"/>
          <w:szCs w:val="28"/>
          <w:highlight w:val="none"/>
        </w:rPr>
        <w:t>1-2-1</w:t>
      </w:r>
      <w:r>
        <w:rPr>
          <w:rFonts w:hint="eastAsia" w:ascii="仿宋" w:hAnsi="仿宋" w:eastAsia="仿宋" w:cs="仿宋"/>
          <w:b/>
          <w:bCs/>
          <w:color w:val="auto"/>
          <w:sz w:val="28"/>
          <w:szCs w:val="28"/>
          <w:highlight w:val="none"/>
        </w:rPr>
        <w:t>▲</w:t>
      </w:r>
      <w:r>
        <w:rPr>
          <w:rFonts w:hint="eastAsia" w:ascii="华文中宋" w:hAnsi="华文中宋" w:eastAsia="华文中宋"/>
          <w:b/>
          <w:bCs/>
          <w:color w:val="auto"/>
          <w:sz w:val="28"/>
          <w:szCs w:val="28"/>
          <w:highlight w:val="none"/>
        </w:rPr>
        <w:t>中小企业声明函</w:t>
      </w:r>
    </w:p>
    <w:p>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中小企业声明函</w:t>
      </w: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本公司郑重声明，根据《政府采购促进中小企业发展管理办法》（财库﹝2020﹞46 号）的规定，本公司参加浙江中医药大学的</w:t>
      </w:r>
      <w:r>
        <w:rPr>
          <w:rFonts w:hint="eastAsia" w:ascii="仿宋" w:hAnsi="仿宋" w:eastAsia="仿宋" w:cs="宋体"/>
          <w:color w:val="auto"/>
          <w:kern w:val="0"/>
          <w:sz w:val="28"/>
          <w:szCs w:val="28"/>
          <w:highlight w:val="none"/>
          <w:u w:val="single"/>
          <w:lang w:eastAsia="zh-CN"/>
        </w:rPr>
        <w:t>浙江中医药大学富春校区及滨文南区消防设施设备日常零星维修改造</w:t>
      </w:r>
      <w:r>
        <w:rPr>
          <w:rFonts w:hint="eastAsia" w:ascii="仿宋" w:hAnsi="仿宋" w:eastAsia="仿宋" w:cs="宋体"/>
          <w:color w:val="auto"/>
          <w:kern w:val="0"/>
          <w:sz w:val="28"/>
          <w:szCs w:val="28"/>
          <w:highlight w:val="none"/>
        </w:rPr>
        <w:t>采购活动，项目的实施单位全部为符合政策要求的中小企业。企业具体情况如下：</w:t>
      </w: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r>
        <w:rPr>
          <w:rFonts w:hint="eastAsia" w:ascii="仿宋" w:hAnsi="仿宋" w:eastAsia="仿宋" w:cs="宋体"/>
          <w:color w:val="auto"/>
          <w:kern w:val="0"/>
          <w:sz w:val="28"/>
          <w:szCs w:val="28"/>
          <w:highlight w:val="none"/>
          <w:u w:val="single"/>
          <w:lang w:eastAsia="zh-CN"/>
        </w:rPr>
        <w:t>浙江中医药大学富春校区及滨文南区消防设施设备日常零星维修改造</w:t>
      </w:r>
      <w:r>
        <w:rPr>
          <w:rFonts w:hint="eastAsia" w:ascii="仿宋" w:hAnsi="仿宋" w:eastAsia="仿宋" w:cs="宋体"/>
          <w:color w:val="auto"/>
          <w:kern w:val="0"/>
          <w:sz w:val="28"/>
          <w:szCs w:val="28"/>
          <w:highlight w:val="none"/>
        </w:rPr>
        <w:t>，属于</w:t>
      </w:r>
      <w:r>
        <w:rPr>
          <w:rFonts w:hint="eastAsia" w:ascii="仿宋" w:hAnsi="仿宋" w:eastAsia="仿宋" w:cs="宋体"/>
          <w:color w:val="auto"/>
          <w:kern w:val="0"/>
          <w:sz w:val="28"/>
          <w:szCs w:val="28"/>
          <w:highlight w:val="none"/>
          <w:u w:val="single"/>
        </w:rPr>
        <w:t xml:space="preserve"> 建筑业 </w:t>
      </w:r>
      <w:r>
        <w:rPr>
          <w:rFonts w:hint="eastAsia" w:ascii="仿宋" w:hAnsi="仿宋" w:eastAsia="仿宋" w:cs="宋体"/>
          <w:color w:val="auto"/>
          <w:kern w:val="0"/>
          <w:sz w:val="28"/>
          <w:szCs w:val="28"/>
          <w:highlight w:val="none"/>
        </w:rPr>
        <w:t>；承建（承接）企业为</w:t>
      </w:r>
      <w:r>
        <w:rPr>
          <w:rFonts w:hint="eastAsia" w:ascii="仿宋" w:hAnsi="仿宋" w:eastAsia="仿宋" w:cs="宋体"/>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color w:val="auto"/>
          <w:kern w:val="0"/>
          <w:sz w:val="28"/>
          <w:szCs w:val="28"/>
          <w:highlight w:val="none"/>
          <w:u w:val="single"/>
        </w:rPr>
        <w:t xml:space="preserve">            （中型企业、小型企业、微型企业）</w:t>
      </w:r>
      <w:r>
        <w:rPr>
          <w:rFonts w:hint="eastAsia" w:ascii="仿宋" w:hAnsi="仿宋" w:eastAsia="仿宋" w:cs="宋体"/>
          <w:color w:val="auto"/>
          <w:kern w:val="0"/>
          <w:sz w:val="28"/>
          <w:szCs w:val="28"/>
          <w:highlight w:val="none"/>
        </w:rPr>
        <w:t>；</w:t>
      </w: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本企业对上述声明内容的真实性负责。如有虚假，将依法承担相应责任。</w:t>
      </w:r>
    </w:p>
    <w:p>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p>
    <w:p>
      <w:pPr>
        <w:snapToGrid w:val="0"/>
        <w:spacing w:line="360" w:lineRule="auto"/>
        <w:rPr>
          <w:rFonts w:ascii="仿宋" w:hAnsi="仿宋" w:eastAsia="仿宋" w:cs="Arial"/>
          <w:color w:val="auto"/>
          <w:sz w:val="28"/>
          <w:szCs w:val="28"/>
          <w:highlight w:val="none"/>
          <w:u w:val="single"/>
        </w:rPr>
      </w:pPr>
      <w:r>
        <w:rPr>
          <w:rFonts w:hint="eastAsia" w:ascii="仿宋" w:hAnsi="仿宋" w:eastAsia="仿宋" w:cs="Arial"/>
          <w:color w:val="auto"/>
          <w:sz w:val="28"/>
          <w:szCs w:val="28"/>
          <w:highlight w:val="none"/>
        </w:rPr>
        <w:t>磋商供应商名称（盖章）：</w:t>
      </w:r>
      <w:r>
        <w:rPr>
          <w:rFonts w:hint="eastAsia" w:ascii="仿宋" w:hAnsi="仿宋" w:eastAsia="仿宋" w:cs="Arial"/>
          <w:color w:val="auto"/>
          <w:w w:val="90"/>
          <w:kern w:val="0"/>
          <w:sz w:val="28"/>
          <w:szCs w:val="28"/>
          <w:highlight w:val="none"/>
        </w:rPr>
        <w:t>____________________________________________</w:t>
      </w:r>
    </w:p>
    <w:p>
      <w:pPr>
        <w:spacing w:line="360" w:lineRule="auto"/>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日期：</w:t>
      </w:r>
      <w:r>
        <w:rPr>
          <w:rFonts w:hint="eastAsia" w:ascii="仿宋" w:hAnsi="仿宋" w:eastAsia="仿宋" w:cs="Arial"/>
          <w:color w:val="auto"/>
          <w:w w:val="90"/>
          <w:kern w:val="0"/>
          <w:sz w:val="28"/>
          <w:szCs w:val="28"/>
          <w:highlight w:val="none"/>
        </w:rPr>
        <w:t>________年____月____日</w:t>
      </w:r>
    </w:p>
    <w:p>
      <w:pPr>
        <w:autoSpaceDE w:val="0"/>
        <w:autoSpaceDN w:val="0"/>
        <w:adjustRightInd w:val="0"/>
        <w:spacing w:line="360" w:lineRule="auto"/>
        <w:jc w:val="left"/>
        <w:rPr>
          <w:rFonts w:ascii="仿宋" w:hAnsi="仿宋" w:eastAsia="仿宋" w:cs="宋体"/>
          <w:color w:val="auto"/>
          <w:kern w:val="0"/>
          <w:sz w:val="24"/>
          <w:szCs w:val="22"/>
          <w:highlight w:val="none"/>
        </w:rPr>
      </w:pPr>
      <w:r>
        <w:rPr>
          <w:rFonts w:hint="eastAsia" w:ascii="仿宋" w:hAnsi="仿宋" w:eastAsia="仿宋" w:cs="宋体"/>
          <w:b/>
          <w:color w:val="auto"/>
          <w:kern w:val="0"/>
          <w:sz w:val="28"/>
          <w:szCs w:val="22"/>
          <w:highlight w:val="none"/>
        </w:rPr>
        <w:t>提示：供应商应实事求是填写并提供本表，不符合的可不提供。</w:t>
      </w:r>
    </w:p>
    <w:p>
      <w:pPr>
        <w:pStyle w:val="4"/>
        <w:keepNext w:val="0"/>
        <w:keepLines w:val="0"/>
        <w:widowControl/>
        <w:autoSpaceDE w:val="0"/>
        <w:autoSpaceDN w:val="0"/>
        <w:spacing w:before="120" w:beforeLines="50" w:after="120" w:afterLines="50" w:line="300" w:lineRule="auto"/>
        <w:ind w:firstLine="280" w:firstLineChars="100"/>
        <w:rPr>
          <w:rFonts w:ascii="宋体" w:hAnsi="宋体" w:eastAsia="宋体"/>
          <w:color w:val="auto"/>
          <w:kern w:val="0"/>
          <w:sz w:val="28"/>
          <w:szCs w:val="28"/>
          <w:highlight w:val="none"/>
        </w:rPr>
      </w:pPr>
      <w:r>
        <w:rPr>
          <w:rFonts w:ascii="华文中宋" w:hAnsi="华文中宋" w:eastAsia="华文中宋"/>
          <w:b/>
          <w:bCs/>
          <w:color w:val="auto"/>
          <w:sz w:val="28"/>
          <w:szCs w:val="22"/>
          <w:highlight w:val="none"/>
        </w:rPr>
        <w:br w:type="page"/>
      </w:r>
      <w:bookmarkStart w:id="117" w:name="_Toc57786006"/>
      <w:bookmarkStart w:id="118" w:name="_Toc440162800"/>
      <w:bookmarkStart w:id="119" w:name="_Toc7988414"/>
      <w:bookmarkStart w:id="120" w:name="_Toc8008423"/>
      <w:bookmarkStart w:id="121" w:name="_Toc424164168"/>
      <w:bookmarkStart w:id="122" w:name="_Toc7988468"/>
      <w:r>
        <w:rPr>
          <w:rFonts w:hint="eastAsia"/>
          <w:color w:val="auto"/>
          <w:highlight w:val="none"/>
        </w:rPr>
        <w:t xml:space="preserve"> </w:t>
      </w:r>
      <w:bookmarkStart w:id="123" w:name="_Toc20946"/>
      <w:bookmarkStart w:id="124" w:name="_Toc7069"/>
      <w:bookmarkStart w:id="125" w:name="_Toc13917"/>
      <w:bookmarkStart w:id="126" w:name="_Toc2944"/>
      <w:bookmarkStart w:id="127" w:name="_Toc25585"/>
      <w:bookmarkStart w:id="128" w:name="_Toc13751"/>
      <w:bookmarkStart w:id="129" w:name="_Toc2342"/>
      <w:bookmarkStart w:id="130" w:name="_Toc15705"/>
      <w:bookmarkStart w:id="131" w:name="_Toc23589"/>
      <w:r>
        <w:rPr>
          <w:rFonts w:hint="eastAsia" w:eastAsia="仿宋"/>
          <w:color w:val="auto"/>
          <w:szCs w:val="24"/>
          <w:highlight w:val="none"/>
        </w:rPr>
        <w:t>1-3 ▲符合“申请人的资格要求”第3条“本项目的特定资格要求”的证明文件</w:t>
      </w:r>
    </w:p>
    <w:p>
      <w:pPr>
        <w:keepNext/>
        <w:keepLines/>
        <w:spacing w:line="360" w:lineRule="auto"/>
        <w:ind w:firstLine="561" w:firstLineChars="200"/>
        <w:jc w:val="left"/>
        <w:outlineLvl w:val="3"/>
        <w:rPr>
          <w:rFonts w:ascii="华文中宋" w:hAnsi="华文中宋" w:eastAsia="华文中宋"/>
          <w:b/>
          <w:bCs/>
          <w:color w:val="auto"/>
          <w:sz w:val="28"/>
          <w:szCs w:val="28"/>
          <w:highlight w:val="none"/>
        </w:rPr>
      </w:pPr>
      <w:r>
        <w:rPr>
          <w:rFonts w:hint="eastAsia" w:ascii="华文中宋" w:hAnsi="华文中宋" w:eastAsia="华文中宋"/>
          <w:b/>
          <w:bCs/>
          <w:color w:val="auto"/>
          <w:sz w:val="28"/>
          <w:szCs w:val="28"/>
          <w:highlight w:val="none"/>
        </w:rPr>
        <w:t>1-3-1▲“具有</w:t>
      </w:r>
      <w:r>
        <w:rPr>
          <w:rFonts w:hint="eastAsia" w:ascii="华文中宋" w:hAnsi="华文中宋" w:eastAsia="华文中宋"/>
          <w:b/>
          <w:bCs/>
          <w:color w:val="auto"/>
          <w:sz w:val="28"/>
          <w:szCs w:val="28"/>
          <w:highlight w:val="none"/>
          <w:lang w:val="en-US" w:eastAsia="zh-CN"/>
        </w:rPr>
        <w:t>消防设施工程专业承包二级及以上资质</w:t>
      </w:r>
      <w:r>
        <w:rPr>
          <w:rFonts w:hint="eastAsia" w:ascii="华文中宋" w:hAnsi="华文中宋" w:eastAsia="华文中宋"/>
          <w:b/>
          <w:bCs/>
          <w:color w:val="auto"/>
          <w:sz w:val="28"/>
          <w:szCs w:val="28"/>
          <w:highlight w:val="none"/>
        </w:rPr>
        <w:t>”的证明材料</w:t>
      </w:r>
    </w:p>
    <w:tbl>
      <w:tblPr>
        <w:tblStyle w:val="23"/>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spacing w:line="360" w:lineRule="auto"/>
              <w:ind w:firstLine="424" w:firstLineChars="151"/>
              <w:jc w:val="center"/>
              <w:rPr>
                <w:rFonts w:ascii="宋体" w:hAnsi="宋体" w:cs="Arial"/>
                <w:i/>
                <w:color w:val="auto"/>
                <w:kern w:val="0"/>
                <w:sz w:val="24"/>
                <w:highlight w:val="none"/>
              </w:rPr>
            </w:pPr>
            <w:r>
              <w:rPr>
                <w:rFonts w:hint="eastAsia" w:ascii="宋体" w:hAnsi="宋体"/>
                <w:b/>
                <w:color w:val="auto"/>
                <w:sz w:val="28"/>
                <w:highlight w:val="none"/>
              </w:rPr>
              <w:t>具有</w:t>
            </w:r>
            <w:r>
              <w:rPr>
                <w:rFonts w:hint="eastAsia" w:ascii="宋体" w:hAnsi="宋体"/>
                <w:b/>
                <w:color w:val="auto"/>
                <w:sz w:val="28"/>
                <w:highlight w:val="none"/>
                <w:lang w:val="en-US" w:eastAsia="zh-CN"/>
              </w:rPr>
              <w:t>消防设施工程专业承包二级及以上</w:t>
            </w:r>
            <w:r>
              <w:rPr>
                <w:rFonts w:hint="eastAsia" w:ascii="宋体" w:hAnsi="宋体"/>
                <w:b/>
                <w:color w:val="auto"/>
                <w:sz w:val="28"/>
                <w:highlight w:val="none"/>
              </w:rPr>
              <w:t>资质证书的复印件加盖磋商响应供应商公章。</w:t>
            </w:r>
          </w:p>
        </w:tc>
      </w:tr>
    </w:tbl>
    <w:p>
      <w:pPr>
        <w:ind w:firstLine="562"/>
        <w:jc w:val="left"/>
        <w:rPr>
          <w:rFonts w:ascii="宋体" w:hAnsi="宋体"/>
          <w:color w:val="auto"/>
          <w:highlight w:val="none"/>
        </w:rPr>
        <w:sectPr>
          <w:pgSz w:w="11906" w:h="16838"/>
          <w:pgMar w:top="1134" w:right="1417" w:bottom="850" w:left="1417" w:header="680" w:footer="567" w:gutter="0"/>
          <w:pgBorders>
            <w:top w:val="none" w:sz="0" w:space="0"/>
            <w:left w:val="none" w:sz="0" w:space="0"/>
            <w:bottom w:val="none" w:sz="0" w:space="0"/>
            <w:right w:val="none" w:sz="0" w:space="0"/>
          </w:pgBorders>
          <w:cols w:space="0" w:num="1"/>
          <w:rtlGutter w:val="0"/>
          <w:docGrid w:linePitch="312" w:charSpace="0"/>
        </w:sectPr>
      </w:pPr>
    </w:p>
    <w:p>
      <w:pPr>
        <w:keepNext/>
        <w:keepLines/>
        <w:spacing w:line="360" w:lineRule="auto"/>
        <w:ind w:firstLine="561" w:firstLineChars="200"/>
        <w:jc w:val="left"/>
        <w:outlineLvl w:val="3"/>
        <w:rPr>
          <w:rFonts w:ascii="华文中宋" w:hAnsi="华文中宋" w:eastAsia="华文中宋"/>
          <w:b/>
          <w:bCs/>
          <w:color w:val="auto"/>
          <w:sz w:val="28"/>
          <w:szCs w:val="28"/>
          <w:highlight w:val="none"/>
        </w:rPr>
      </w:pPr>
      <w:r>
        <w:rPr>
          <w:rFonts w:hint="eastAsia" w:ascii="华文中宋" w:hAnsi="华文中宋" w:eastAsia="华文中宋"/>
          <w:b/>
          <w:bCs/>
          <w:color w:val="auto"/>
          <w:sz w:val="28"/>
          <w:szCs w:val="28"/>
          <w:highlight w:val="none"/>
        </w:rPr>
        <w:t>1-3-2▲“企业《安全生产许可证》”的证明材料</w:t>
      </w:r>
    </w:p>
    <w:tbl>
      <w:tblPr>
        <w:tblStyle w:val="23"/>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spacing w:line="360" w:lineRule="auto"/>
              <w:ind w:firstLine="420"/>
              <w:rPr>
                <w:rFonts w:ascii="宋体" w:hAnsi="宋体"/>
                <w:color w:val="auto"/>
                <w:highlight w:val="none"/>
              </w:rPr>
            </w:pPr>
            <w:r>
              <w:rPr>
                <w:rFonts w:hint="eastAsia" w:ascii="宋体" w:hAnsi="宋体"/>
                <w:b/>
                <w:color w:val="auto"/>
                <w:sz w:val="28"/>
                <w:highlight w:val="none"/>
              </w:rPr>
              <w:t>企业《安全生产许可证》复印件加盖磋商响应供应商公章。</w:t>
            </w:r>
          </w:p>
        </w:tc>
      </w:tr>
    </w:tbl>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rPr>
          <w:color w:val="auto"/>
          <w:highlight w:val="none"/>
        </w:rPr>
      </w:pPr>
      <w:r>
        <w:rPr>
          <w:rFonts w:hint="eastAsia" w:ascii="华文中宋" w:hAnsi="华文中宋" w:eastAsia="华文中宋"/>
          <w:b/>
          <w:bCs/>
          <w:color w:val="auto"/>
          <w:sz w:val="30"/>
          <w:szCs w:val="30"/>
          <w:highlight w:val="none"/>
        </w:rPr>
        <w:t>2.“商务技术部分”格式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4"/>
        <w:rPr>
          <w:color w:val="auto"/>
          <w:highlight w:val="none"/>
        </w:rPr>
      </w:pPr>
      <w:r>
        <w:rPr>
          <w:rFonts w:hint="eastAsia"/>
          <w:color w:val="auto"/>
          <w:highlight w:val="none"/>
        </w:rPr>
        <w:t>2-1 关于磋商响应文件所有内容真实有效的承诺函</w:t>
      </w:r>
    </w:p>
    <w:p>
      <w:pPr>
        <w:spacing w:line="360" w:lineRule="auto"/>
        <w:rPr>
          <w:color w:val="auto"/>
          <w:highlight w:val="none"/>
        </w:rPr>
      </w:pPr>
    </w:p>
    <w:p>
      <w:pPr>
        <w:spacing w:line="360" w:lineRule="auto"/>
        <w:jc w:val="center"/>
        <w:rPr>
          <w:rFonts w:ascii="华文中宋" w:hAnsi="华文中宋" w:eastAsia="华文中宋" w:cs="Arial"/>
          <w:b/>
          <w:color w:val="auto"/>
          <w:kern w:val="0"/>
          <w:sz w:val="36"/>
          <w:szCs w:val="32"/>
          <w:highlight w:val="none"/>
        </w:rPr>
      </w:pPr>
    </w:p>
    <w:p>
      <w:pPr>
        <w:spacing w:line="360" w:lineRule="auto"/>
        <w:jc w:val="center"/>
        <w:rPr>
          <w:rFonts w:ascii="华文中宋" w:hAnsi="华文中宋" w:eastAsia="华文中宋" w:cs="Arial"/>
          <w:b/>
          <w:color w:val="auto"/>
          <w:kern w:val="0"/>
          <w:sz w:val="36"/>
          <w:szCs w:val="32"/>
          <w:highlight w:val="none"/>
        </w:rPr>
      </w:pPr>
      <w:r>
        <w:rPr>
          <w:rFonts w:hint="eastAsia" w:ascii="微软雅黑" w:hAnsi="微软雅黑" w:eastAsia="微软雅黑"/>
          <w:b/>
          <w:color w:val="auto"/>
          <w:sz w:val="40"/>
          <w:highlight w:val="none"/>
        </w:rPr>
        <w:t>关于磋商响应文件所有内容真实、有效的承诺函</w:t>
      </w:r>
    </w:p>
    <w:p>
      <w:pPr>
        <w:spacing w:line="360" w:lineRule="auto"/>
        <w:rPr>
          <w:rFonts w:ascii="Arial" w:hAnsi="新宋体" w:eastAsia="新宋体" w:cs="Arial"/>
          <w:b/>
          <w:color w:val="auto"/>
          <w:kern w:val="0"/>
          <w:sz w:val="28"/>
          <w:szCs w:val="28"/>
          <w:highlight w:val="none"/>
          <w:u w:val="single"/>
        </w:rPr>
      </w:pPr>
    </w:p>
    <w:p>
      <w:pPr>
        <w:spacing w:line="360" w:lineRule="auto"/>
        <w:rPr>
          <w:rFonts w:ascii="仿宋" w:hAnsi="仿宋" w:eastAsia="仿宋" w:cs="Arial"/>
          <w:b/>
          <w:color w:val="auto"/>
          <w:kern w:val="0"/>
          <w:sz w:val="32"/>
          <w:szCs w:val="28"/>
          <w:highlight w:val="none"/>
          <w:u w:val="single"/>
        </w:rPr>
      </w:pPr>
      <w:r>
        <w:rPr>
          <w:rFonts w:hint="eastAsia" w:ascii="仿宋" w:hAnsi="仿宋" w:eastAsia="仿宋" w:cs="Arial"/>
          <w:b/>
          <w:color w:val="auto"/>
          <w:w w:val="90"/>
          <w:kern w:val="0"/>
          <w:sz w:val="28"/>
          <w:szCs w:val="22"/>
          <w:highlight w:val="none"/>
          <w:u w:val="single"/>
        </w:rPr>
        <w:t>浙江中医药大学、浙江省成套招标代理有限公司：</w:t>
      </w:r>
    </w:p>
    <w:p>
      <w:pPr>
        <w:spacing w:line="360" w:lineRule="auto"/>
        <w:rPr>
          <w:rFonts w:ascii="仿宋" w:hAnsi="仿宋" w:eastAsia="仿宋" w:cs="Arial"/>
          <w:color w:val="auto"/>
          <w:kern w:val="0"/>
          <w:sz w:val="32"/>
          <w:szCs w:val="28"/>
          <w:highlight w:val="none"/>
        </w:rPr>
      </w:pPr>
    </w:p>
    <w:p>
      <w:pPr>
        <w:spacing w:line="360" w:lineRule="auto"/>
        <w:ind w:firstLine="560" w:firstLineChars="200"/>
        <w:rPr>
          <w:rFonts w:ascii="仿宋" w:hAnsi="仿宋" w:eastAsia="仿宋" w:cs="Arial"/>
          <w:color w:val="auto"/>
          <w:kern w:val="0"/>
          <w:sz w:val="28"/>
          <w:szCs w:val="22"/>
          <w:highlight w:val="none"/>
        </w:rPr>
      </w:pPr>
      <w:r>
        <w:rPr>
          <w:rFonts w:hint="eastAsia" w:ascii="仿宋" w:hAnsi="仿宋" w:eastAsia="仿宋" w:cs="Arial"/>
          <w:color w:val="auto"/>
          <w:kern w:val="0"/>
          <w:sz w:val="28"/>
          <w:szCs w:val="22"/>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szCs w:val="22"/>
          <w:highlight w:val="none"/>
        </w:rPr>
        <w:t>参加</w:t>
      </w:r>
      <w:r>
        <w:rPr>
          <w:rFonts w:hint="eastAsia" w:ascii="仿宋" w:hAnsi="仿宋" w:eastAsia="仿宋" w:cs="Arial"/>
          <w:b/>
          <w:color w:val="auto"/>
          <w:kern w:val="0"/>
          <w:sz w:val="28"/>
          <w:szCs w:val="22"/>
          <w:highlight w:val="none"/>
          <w:u w:val="single"/>
          <w:lang w:eastAsia="zh-CN"/>
        </w:rPr>
        <w:t>浙江中医药大学富春校区及滨文南区消防设施设备日常零星维修改造</w:t>
      </w:r>
      <w:r>
        <w:rPr>
          <w:rFonts w:hint="eastAsia" w:ascii="仿宋" w:hAnsi="仿宋" w:eastAsia="仿宋" w:cs="Arial"/>
          <w:b/>
          <w:color w:val="auto"/>
          <w:kern w:val="0"/>
          <w:sz w:val="28"/>
          <w:szCs w:val="22"/>
          <w:highlight w:val="none"/>
          <w:u w:val="single"/>
        </w:rPr>
        <w:t>（项目编号：</w:t>
      </w:r>
      <w:r>
        <w:rPr>
          <w:rFonts w:hint="eastAsia" w:ascii="仿宋" w:hAnsi="仿宋" w:eastAsia="仿宋" w:cs="Arial"/>
          <w:b/>
          <w:color w:val="auto"/>
          <w:kern w:val="0"/>
          <w:sz w:val="28"/>
          <w:szCs w:val="22"/>
          <w:highlight w:val="none"/>
          <w:u w:val="single"/>
          <w:lang w:eastAsia="zh-CN"/>
        </w:rPr>
        <w:t>CTZB-2024060047</w:t>
      </w:r>
      <w:r>
        <w:rPr>
          <w:rFonts w:hint="eastAsia" w:ascii="仿宋" w:hAnsi="仿宋" w:eastAsia="仿宋" w:cs="Arial"/>
          <w:b/>
          <w:color w:val="auto"/>
          <w:kern w:val="0"/>
          <w:sz w:val="28"/>
          <w:szCs w:val="22"/>
          <w:highlight w:val="none"/>
          <w:u w:val="single"/>
        </w:rPr>
        <w:t>）</w:t>
      </w:r>
      <w:r>
        <w:rPr>
          <w:rFonts w:hint="eastAsia" w:ascii="仿宋" w:hAnsi="仿宋" w:eastAsia="仿宋" w:cs="Arial"/>
          <w:color w:val="auto"/>
          <w:kern w:val="0"/>
          <w:sz w:val="28"/>
          <w:szCs w:val="22"/>
          <w:highlight w:val="none"/>
        </w:rPr>
        <w:t>的采购活动中所提交的磋商响应文件（包括资格文件、商务技术文件、报价文件）所有内容真实、有效，不存在虚假响应、资料造假等违法违规行为。如有虚假或隐瞒，采购人可取消我方任何资格（投标</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谈判</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中标（成交）</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签订合同），我方对此无任何异议，并愿意承担一切后果和责任。</w:t>
      </w:r>
    </w:p>
    <w:p>
      <w:pPr>
        <w:spacing w:line="360" w:lineRule="auto"/>
        <w:ind w:firstLine="560" w:firstLineChars="200"/>
        <w:rPr>
          <w:rFonts w:ascii="仿宋" w:hAnsi="仿宋" w:eastAsia="仿宋" w:cs="Arial"/>
          <w:color w:val="auto"/>
          <w:kern w:val="0"/>
          <w:sz w:val="28"/>
          <w:szCs w:val="22"/>
          <w:highlight w:val="none"/>
        </w:rPr>
      </w:pPr>
    </w:p>
    <w:p>
      <w:pPr>
        <w:spacing w:line="360" w:lineRule="auto"/>
        <w:ind w:firstLine="560" w:firstLineChars="200"/>
        <w:rPr>
          <w:rFonts w:ascii="仿宋" w:hAnsi="仿宋" w:eastAsia="仿宋" w:cs="Arial"/>
          <w:color w:val="auto"/>
          <w:kern w:val="0"/>
          <w:sz w:val="22"/>
          <w:szCs w:val="22"/>
          <w:highlight w:val="none"/>
        </w:rPr>
      </w:pPr>
      <w:r>
        <w:rPr>
          <w:rFonts w:hint="eastAsia" w:ascii="仿宋" w:hAnsi="仿宋" w:eastAsia="仿宋" w:cs="Arial"/>
          <w:color w:val="auto"/>
          <w:kern w:val="0"/>
          <w:sz w:val="28"/>
          <w:szCs w:val="22"/>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szCs w:val="22"/>
          <w:highlight w:val="none"/>
        </w:rPr>
        <w:t>！</w:t>
      </w:r>
    </w:p>
    <w:p>
      <w:pPr>
        <w:spacing w:line="360" w:lineRule="auto"/>
        <w:ind w:firstLine="420" w:firstLineChars="200"/>
        <w:rPr>
          <w:rFonts w:ascii="仿宋" w:hAnsi="仿宋" w:eastAsia="仿宋" w:cs="Arial"/>
          <w:color w:val="auto"/>
          <w:kern w:val="0"/>
          <w:szCs w:val="22"/>
          <w:highlight w:val="none"/>
        </w:rPr>
      </w:pPr>
    </w:p>
    <w:p>
      <w:pPr>
        <w:spacing w:line="360" w:lineRule="auto"/>
        <w:ind w:firstLine="420" w:firstLineChars="200"/>
        <w:rPr>
          <w:rFonts w:ascii="仿宋" w:hAnsi="仿宋" w:eastAsia="仿宋" w:cs="Arial"/>
          <w:color w:val="auto"/>
          <w:kern w:val="0"/>
          <w:szCs w:val="22"/>
          <w:highlight w:val="none"/>
        </w:rPr>
      </w:pPr>
    </w:p>
    <w:p>
      <w:pPr>
        <w:spacing w:line="360" w:lineRule="auto"/>
        <w:ind w:firstLine="420" w:firstLineChars="200"/>
        <w:rPr>
          <w:rFonts w:ascii="仿宋" w:hAnsi="仿宋" w:eastAsia="仿宋" w:cs="Arial"/>
          <w:color w:val="auto"/>
          <w:kern w:val="0"/>
          <w:szCs w:val="22"/>
          <w:highlight w:val="none"/>
        </w:rPr>
      </w:pPr>
    </w:p>
    <w:p>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磋商供应商名称</w:t>
      </w:r>
      <w:r>
        <w:rPr>
          <w:rFonts w:hint="eastAsia" w:ascii="仿宋" w:hAnsi="仿宋" w:eastAsia="仿宋" w:cs="Arial"/>
          <w:bCs/>
          <w:color w:val="auto"/>
          <w:sz w:val="28"/>
          <w:szCs w:val="28"/>
          <w:highlight w:val="none"/>
        </w:rPr>
        <w:t>（盖章）</w:t>
      </w:r>
      <w:r>
        <w:rPr>
          <w:rFonts w:hint="eastAsia" w:ascii="仿宋" w:hAnsi="仿宋" w:eastAsia="仿宋" w:cs="Arial"/>
          <w:color w:val="auto"/>
          <w:sz w:val="28"/>
          <w:szCs w:val="28"/>
          <w:highlight w:val="none"/>
        </w:rPr>
        <w:t>：</w:t>
      </w:r>
      <w:r>
        <w:rPr>
          <w:rFonts w:ascii="仿宋" w:hAnsi="仿宋" w:eastAsia="仿宋" w:cs="Arial"/>
          <w:color w:val="auto"/>
          <w:w w:val="90"/>
          <w:kern w:val="0"/>
          <w:sz w:val="28"/>
          <w:szCs w:val="28"/>
          <w:highlight w:val="none"/>
        </w:rPr>
        <w:t>____________________________________________</w:t>
      </w:r>
    </w:p>
    <w:p>
      <w:pPr>
        <w:spacing w:line="360" w:lineRule="auto"/>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日期：</w:t>
      </w:r>
      <w:r>
        <w:rPr>
          <w:rFonts w:ascii="仿宋" w:hAnsi="仿宋" w:eastAsia="仿宋" w:cs="Arial"/>
          <w:color w:val="auto"/>
          <w:w w:val="90"/>
          <w:kern w:val="0"/>
          <w:sz w:val="28"/>
          <w:szCs w:val="28"/>
          <w:highlight w:val="none"/>
        </w:rPr>
        <w:t>________</w:t>
      </w:r>
      <w:r>
        <w:rPr>
          <w:rFonts w:hint="eastAsia" w:ascii="仿宋" w:hAnsi="仿宋" w:eastAsia="仿宋" w:cs="Arial"/>
          <w:color w:val="auto"/>
          <w:w w:val="90"/>
          <w:kern w:val="0"/>
          <w:sz w:val="28"/>
          <w:szCs w:val="28"/>
          <w:highlight w:val="none"/>
        </w:rPr>
        <w:t>年</w:t>
      </w:r>
      <w:r>
        <w:rPr>
          <w:rFonts w:ascii="仿宋" w:hAnsi="仿宋" w:eastAsia="仿宋" w:cs="Arial"/>
          <w:color w:val="auto"/>
          <w:w w:val="90"/>
          <w:kern w:val="0"/>
          <w:sz w:val="28"/>
          <w:szCs w:val="28"/>
          <w:highlight w:val="none"/>
        </w:rPr>
        <w:t>____</w:t>
      </w:r>
      <w:r>
        <w:rPr>
          <w:rFonts w:hint="eastAsia" w:ascii="仿宋" w:hAnsi="仿宋" w:eastAsia="仿宋" w:cs="Arial"/>
          <w:color w:val="auto"/>
          <w:w w:val="90"/>
          <w:kern w:val="0"/>
          <w:sz w:val="28"/>
          <w:szCs w:val="28"/>
          <w:highlight w:val="none"/>
        </w:rPr>
        <w:t>月</w:t>
      </w:r>
      <w:r>
        <w:rPr>
          <w:rFonts w:ascii="仿宋" w:hAnsi="仿宋" w:eastAsia="仿宋" w:cs="Arial"/>
          <w:color w:val="auto"/>
          <w:w w:val="90"/>
          <w:kern w:val="0"/>
          <w:sz w:val="28"/>
          <w:szCs w:val="28"/>
          <w:highlight w:val="none"/>
        </w:rPr>
        <w:t>____</w:t>
      </w:r>
      <w:r>
        <w:rPr>
          <w:rFonts w:hint="eastAsia" w:ascii="仿宋" w:hAnsi="仿宋" w:eastAsia="仿宋" w:cs="Arial"/>
          <w:color w:val="auto"/>
          <w:w w:val="90"/>
          <w:kern w:val="0"/>
          <w:sz w:val="28"/>
          <w:szCs w:val="28"/>
          <w:highlight w:val="none"/>
        </w:rPr>
        <w:t>日</w:t>
      </w:r>
    </w:p>
    <w:p>
      <w:pPr>
        <w:pStyle w:val="4"/>
        <w:rPr>
          <w:color w:val="auto"/>
          <w:highlight w:val="none"/>
        </w:rPr>
      </w:pPr>
      <w:r>
        <w:rPr>
          <w:color w:val="auto"/>
          <w:highlight w:val="none"/>
        </w:rPr>
        <w:br w:type="page"/>
      </w:r>
      <w:r>
        <w:rPr>
          <w:rFonts w:hint="eastAsia"/>
          <w:color w:val="auto"/>
          <w:highlight w:val="none"/>
        </w:rPr>
        <w:t>2-2 磋商响应函</w:t>
      </w:r>
    </w:p>
    <w:p>
      <w:pPr>
        <w:spacing w:line="360" w:lineRule="auto"/>
        <w:jc w:val="center"/>
        <w:rPr>
          <w:rFonts w:ascii="微软雅黑" w:hAnsi="微软雅黑" w:eastAsia="微软雅黑"/>
          <w:b/>
          <w:color w:val="auto"/>
          <w:sz w:val="40"/>
          <w:szCs w:val="44"/>
          <w:highlight w:val="none"/>
        </w:rPr>
      </w:pPr>
      <w:r>
        <w:rPr>
          <w:rFonts w:ascii="微软雅黑" w:hAnsi="微软雅黑" w:eastAsia="微软雅黑"/>
          <w:b/>
          <w:color w:val="auto"/>
          <w:sz w:val="40"/>
          <w:szCs w:val="44"/>
          <w:highlight w:val="none"/>
        </w:rPr>
        <w:t>磋商响应函</w:t>
      </w:r>
    </w:p>
    <w:p>
      <w:pPr>
        <w:spacing w:line="360" w:lineRule="auto"/>
        <w:rPr>
          <w:rFonts w:ascii="仿宋" w:hAnsi="仿宋" w:eastAsia="仿宋" w:cs="Arial"/>
          <w:color w:val="auto"/>
          <w:kern w:val="0"/>
          <w:sz w:val="28"/>
          <w:highlight w:val="none"/>
        </w:rPr>
      </w:pPr>
      <w:r>
        <w:rPr>
          <w:rFonts w:hint="eastAsia" w:ascii="仿宋" w:hAnsi="仿宋" w:eastAsia="仿宋" w:cs="Arial"/>
          <w:b/>
          <w:color w:val="auto"/>
          <w:w w:val="90"/>
          <w:kern w:val="0"/>
          <w:sz w:val="24"/>
          <w:szCs w:val="21"/>
          <w:highlight w:val="none"/>
          <w:u w:val="single"/>
        </w:rPr>
        <w:t>浙江中医药大学、浙江省成套招标代理有限公司</w:t>
      </w:r>
      <w:r>
        <w:rPr>
          <w:rFonts w:ascii="仿宋" w:hAnsi="仿宋" w:eastAsia="仿宋" w:cs="Arial"/>
          <w:b/>
          <w:color w:val="auto"/>
          <w:kern w:val="0"/>
          <w:sz w:val="24"/>
          <w:szCs w:val="22"/>
          <w:highlight w:val="none"/>
        </w:rPr>
        <w:t>：</w:t>
      </w:r>
    </w:p>
    <w:p>
      <w:pPr>
        <w:spacing w:line="360" w:lineRule="auto"/>
        <w:ind w:firstLine="460" w:firstLineChars="192"/>
        <w:rPr>
          <w:rFonts w:ascii="仿宋" w:hAnsi="仿宋" w:eastAsia="仿宋" w:cs="Arial"/>
          <w:color w:val="auto"/>
          <w:kern w:val="0"/>
          <w:sz w:val="24"/>
          <w:highlight w:val="none"/>
        </w:rPr>
      </w:pPr>
      <w:r>
        <w:rPr>
          <w:rFonts w:ascii="仿宋" w:hAnsi="仿宋" w:eastAsia="仿宋" w:cs="Arial"/>
          <w:color w:val="auto"/>
          <w:kern w:val="0"/>
          <w:sz w:val="24"/>
          <w:highlight w:val="none"/>
        </w:rPr>
        <w:t>根据贵方为</w:t>
      </w:r>
      <w:r>
        <w:rPr>
          <w:rFonts w:hint="eastAsia" w:ascii="仿宋" w:hAnsi="仿宋" w:eastAsia="仿宋" w:cs="Arial"/>
          <w:b/>
          <w:color w:val="auto"/>
          <w:kern w:val="0"/>
          <w:sz w:val="24"/>
          <w:highlight w:val="none"/>
          <w:u w:val="single"/>
          <w:lang w:eastAsia="zh-CN"/>
        </w:rPr>
        <w:t>浙江中医药大学富春校区及滨文南区消防设施设备日常零星维修改造</w:t>
      </w:r>
      <w:r>
        <w:rPr>
          <w:rFonts w:ascii="仿宋" w:hAnsi="仿宋" w:eastAsia="仿宋" w:cs="Arial"/>
          <w:color w:val="auto"/>
          <w:kern w:val="0"/>
          <w:sz w:val="24"/>
          <w:highlight w:val="none"/>
        </w:rPr>
        <w:t>的</w:t>
      </w:r>
      <w:r>
        <w:rPr>
          <w:rFonts w:hint="eastAsia" w:ascii="仿宋" w:hAnsi="仿宋" w:eastAsia="仿宋" w:cs="Arial"/>
          <w:color w:val="auto"/>
          <w:kern w:val="0"/>
          <w:sz w:val="24"/>
          <w:highlight w:val="none"/>
        </w:rPr>
        <w:t>竞争性磋商公告</w:t>
      </w:r>
      <w:r>
        <w:rPr>
          <w:rFonts w:ascii="仿宋" w:hAnsi="仿宋" w:eastAsia="仿宋" w:cs="Arial"/>
          <w:color w:val="auto"/>
          <w:kern w:val="0"/>
          <w:sz w:val="24"/>
          <w:highlight w:val="none"/>
        </w:rPr>
        <w:t>（项目编号：</w:t>
      </w:r>
      <w:r>
        <w:rPr>
          <w:rFonts w:hint="eastAsia" w:ascii="仿宋" w:hAnsi="仿宋" w:eastAsia="仿宋" w:cs="Arial"/>
          <w:b/>
          <w:color w:val="auto"/>
          <w:kern w:val="0"/>
          <w:sz w:val="24"/>
          <w:highlight w:val="none"/>
          <w:u w:val="single"/>
          <w:lang w:eastAsia="zh-CN"/>
        </w:rPr>
        <w:t>CTZB-2024060047</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我方</w:t>
      </w:r>
      <w:r>
        <w:rPr>
          <w:rFonts w:ascii="仿宋" w:hAnsi="仿宋" w:eastAsia="仿宋" w:cs="Arial"/>
          <w:color w:val="auto"/>
          <w:kern w:val="0"/>
          <w:sz w:val="24"/>
          <w:highlight w:val="none"/>
        </w:rPr>
        <w:t>签字代表</w:t>
      </w:r>
      <w:r>
        <w:rPr>
          <w:rFonts w:hint="eastAsia" w:ascii="仿宋" w:hAnsi="仿宋" w:eastAsia="仿宋" w:cs="Arial"/>
          <w:color w:val="auto"/>
          <w:kern w:val="0"/>
          <w:sz w:val="24"/>
          <w:highlight w:val="none"/>
          <w:u w:val="single"/>
        </w:rPr>
        <w:t xml:space="preserve">        </w:t>
      </w:r>
      <w:r>
        <w:rPr>
          <w:rFonts w:ascii="仿宋" w:hAnsi="仿宋" w:eastAsia="仿宋" w:cs="Arial"/>
          <w:color w:val="auto"/>
          <w:kern w:val="0"/>
          <w:sz w:val="24"/>
          <w:highlight w:val="none"/>
        </w:rPr>
        <w:t>（全名）经正式授权并代表磋商供应商</w:t>
      </w:r>
      <w:r>
        <w:rPr>
          <w:rFonts w:hint="eastAsia" w:ascii="仿宋" w:hAnsi="仿宋" w:eastAsia="仿宋" w:cs="Arial"/>
          <w:color w:val="auto"/>
          <w:kern w:val="0"/>
          <w:sz w:val="24"/>
          <w:highlight w:val="none"/>
          <w:u w:val="single"/>
        </w:rPr>
        <w:t xml:space="preserve">  </w:t>
      </w:r>
      <w:r>
        <w:rPr>
          <w:rFonts w:ascii="仿宋" w:hAnsi="仿宋" w:eastAsia="仿宋" w:cs="Arial"/>
          <w:color w:val="auto"/>
          <w:kern w:val="0"/>
          <w:sz w:val="24"/>
          <w:highlight w:val="none"/>
          <w:u w:val="single"/>
        </w:rPr>
        <w:t>（磋商供应商名称）</w:t>
      </w:r>
      <w:r>
        <w:rPr>
          <w:rFonts w:hint="eastAsia" w:ascii="仿宋" w:hAnsi="仿宋" w:eastAsia="仿宋" w:cs="Arial"/>
          <w:color w:val="auto"/>
          <w:kern w:val="0"/>
          <w:sz w:val="24"/>
          <w:highlight w:val="none"/>
          <w:u w:val="single"/>
        </w:rPr>
        <w:t xml:space="preserve">  </w:t>
      </w:r>
      <w:r>
        <w:rPr>
          <w:rFonts w:ascii="仿宋" w:hAnsi="仿宋" w:eastAsia="仿宋" w:cs="Arial"/>
          <w:color w:val="auto"/>
          <w:kern w:val="0"/>
          <w:sz w:val="24"/>
          <w:highlight w:val="none"/>
        </w:rPr>
        <w:t>参与本次项目的</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，同时按磋商文件要求提交</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磋商响应文件</w:t>
      </w:r>
      <w:r>
        <w:rPr>
          <w:rFonts w:hint="eastAsia" w:ascii="仿宋" w:hAnsi="仿宋" w:eastAsia="仿宋" w:cs="Arial"/>
          <w:color w:val="auto"/>
          <w:kern w:val="0"/>
          <w:sz w:val="24"/>
          <w:highlight w:val="none"/>
        </w:rPr>
        <w:t>》</w:t>
      </w:r>
      <w:r>
        <w:rPr>
          <w:rFonts w:ascii="仿宋" w:hAnsi="仿宋" w:eastAsia="仿宋" w:cs="Arial"/>
          <w:b/>
          <w:color w:val="auto"/>
          <w:kern w:val="0"/>
          <w:sz w:val="24"/>
          <w:highlight w:val="none"/>
        </w:rPr>
        <w:t>（包括</w:t>
      </w:r>
      <w:r>
        <w:rPr>
          <w:rFonts w:hint="eastAsia" w:ascii="仿宋" w:hAnsi="仿宋" w:eastAsia="仿宋" w:cs="Arial"/>
          <w:b/>
          <w:color w:val="auto"/>
          <w:kern w:val="0"/>
          <w:sz w:val="24"/>
          <w:highlight w:val="none"/>
        </w:rPr>
        <w:t>资格文件、</w:t>
      </w:r>
      <w:r>
        <w:rPr>
          <w:rFonts w:ascii="仿宋" w:hAnsi="仿宋" w:eastAsia="仿宋" w:cs="Arial"/>
          <w:b/>
          <w:color w:val="auto"/>
          <w:kern w:val="0"/>
          <w:sz w:val="24"/>
          <w:highlight w:val="none"/>
        </w:rPr>
        <w:t>商务技术文件</w:t>
      </w:r>
      <w:r>
        <w:rPr>
          <w:rFonts w:hint="eastAsia" w:ascii="仿宋" w:hAnsi="仿宋" w:eastAsia="仿宋" w:cs="Arial"/>
          <w:b/>
          <w:color w:val="auto"/>
          <w:kern w:val="0"/>
          <w:sz w:val="24"/>
          <w:highlight w:val="none"/>
        </w:rPr>
        <w:t>、报价文件</w:t>
      </w:r>
      <w:r>
        <w:rPr>
          <w:rFonts w:ascii="仿宋" w:hAnsi="仿宋" w:eastAsia="仿宋" w:cs="Arial"/>
          <w:color w:val="auto"/>
          <w:kern w:val="0"/>
          <w:sz w:val="24"/>
          <w:highlight w:val="none"/>
        </w:rPr>
        <w:t>）。</w:t>
      </w:r>
      <w:r>
        <w:rPr>
          <w:rFonts w:ascii="仿宋" w:hAnsi="仿宋" w:eastAsia="仿宋" w:cs="Arial"/>
          <w:b/>
          <w:color w:val="auto"/>
          <w:kern w:val="0"/>
          <w:sz w:val="24"/>
          <w:highlight w:val="none"/>
        </w:rPr>
        <w:t>据此函，签字代表宣布同意如下：</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cs="Arial"/>
          <w:b/>
          <w:color w:val="auto"/>
          <w:kern w:val="0"/>
          <w:sz w:val="24"/>
          <w:highlight w:val="none"/>
        </w:rPr>
        <w:t>1、我方已详细</w:t>
      </w:r>
      <w:r>
        <w:rPr>
          <w:rFonts w:hint="eastAsia" w:ascii="仿宋" w:hAnsi="仿宋" w:eastAsia="仿宋" w:cs="Arial"/>
          <w:b/>
          <w:color w:val="auto"/>
          <w:kern w:val="0"/>
          <w:sz w:val="24"/>
          <w:highlight w:val="none"/>
        </w:rPr>
        <w:t>阅读</w:t>
      </w:r>
      <w:r>
        <w:rPr>
          <w:rFonts w:ascii="仿宋" w:hAnsi="仿宋" w:eastAsia="仿宋" w:cs="Arial"/>
          <w:b/>
          <w:color w:val="auto"/>
          <w:kern w:val="0"/>
          <w:sz w:val="24"/>
          <w:highlight w:val="none"/>
        </w:rPr>
        <w:t>全部</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文件，包括</w:t>
      </w:r>
      <w:r>
        <w:rPr>
          <w:rFonts w:hint="eastAsia" w:ascii="仿宋" w:hAnsi="仿宋" w:eastAsia="仿宋" w:cs="Arial"/>
          <w:b/>
          <w:color w:val="auto"/>
          <w:kern w:val="0"/>
          <w:sz w:val="24"/>
          <w:highlight w:val="none"/>
        </w:rPr>
        <w:t>澄清、修改文件（如有）</w:t>
      </w:r>
      <w:r>
        <w:rPr>
          <w:rFonts w:ascii="仿宋" w:hAnsi="仿宋" w:eastAsia="仿宋" w:cs="Arial"/>
          <w:b/>
          <w:color w:val="auto"/>
          <w:kern w:val="0"/>
          <w:sz w:val="24"/>
          <w:highlight w:val="none"/>
        </w:rPr>
        <w:t>以及全部参考资料和有关附件，我方已经了解对于</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文件、</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过程、</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结果有依法进行询问、质疑、投诉的权利及相关渠道和要求</w:t>
      </w:r>
      <w:r>
        <w:rPr>
          <w:rFonts w:hint="eastAsia" w:ascii="仿宋" w:hAnsi="仿宋" w:eastAsia="仿宋" w:cs="Arial"/>
          <w:b/>
          <w:color w:val="auto"/>
          <w:kern w:val="0"/>
          <w:sz w:val="24"/>
          <w:highlight w:val="none"/>
        </w:rPr>
        <w:t>；</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cs="Arial"/>
          <w:b/>
          <w:color w:val="auto"/>
          <w:kern w:val="0"/>
          <w:sz w:val="24"/>
          <w:highlight w:val="none"/>
        </w:rPr>
        <w:t>2、我方向贵方提交的所有《磋商响应文件》、资料都是准确</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真实的；</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cs="Arial"/>
          <w:b/>
          <w:color w:val="auto"/>
          <w:kern w:val="0"/>
          <w:sz w:val="24"/>
          <w:highlight w:val="none"/>
        </w:rPr>
        <w:t>3、我方不是</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人的附属机构</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在获知本项目采购信息后，与</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人聘请的为此项目提供咨询服务的公司及其附属机构没有任何</w:t>
      </w:r>
      <w:r>
        <w:rPr>
          <w:rFonts w:hint="eastAsia" w:ascii="仿宋" w:hAnsi="仿宋" w:eastAsia="仿宋" w:cs="Arial"/>
          <w:b/>
          <w:color w:val="auto"/>
          <w:kern w:val="0"/>
          <w:sz w:val="24"/>
          <w:highlight w:val="none"/>
        </w:rPr>
        <w:t>关系；</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cs="Arial"/>
          <w:b/>
          <w:color w:val="auto"/>
          <w:kern w:val="0"/>
          <w:sz w:val="24"/>
          <w:highlight w:val="none"/>
        </w:rPr>
        <w:t>4、我方在</w:t>
      </w:r>
      <w:r>
        <w:rPr>
          <w:rFonts w:hint="eastAsia" w:ascii="仿宋" w:hAnsi="仿宋" w:eastAsia="仿宋" w:cs="Arial"/>
          <w:b/>
          <w:color w:val="auto"/>
          <w:kern w:val="0"/>
          <w:sz w:val="24"/>
          <w:highlight w:val="none"/>
        </w:rPr>
        <w:t>参加磋商</w:t>
      </w:r>
      <w:r>
        <w:rPr>
          <w:rFonts w:ascii="仿宋" w:hAnsi="仿宋" w:eastAsia="仿宋" w:cs="Arial"/>
          <w:b/>
          <w:color w:val="auto"/>
          <w:kern w:val="0"/>
          <w:sz w:val="24"/>
          <w:highlight w:val="none"/>
        </w:rPr>
        <w:t>之前已经与贵方进行了充分的沟通，完全理解并接受磋商文件的各项规定和要求，对磋商文件的合理性、合法性不再有异议；</w:t>
      </w:r>
    </w:p>
    <w:p>
      <w:pPr>
        <w:spacing w:line="360" w:lineRule="auto"/>
        <w:ind w:firstLine="463" w:firstLineChars="192"/>
        <w:rPr>
          <w:rFonts w:ascii="仿宋" w:hAnsi="仿宋" w:eastAsia="仿宋" w:cs="Arial"/>
          <w:b/>
          <w:color w:val="auto"/>
          <w:kern w:val="0"/>
          <w:sz w:val="24"/>
          <w:highlight w:val="none"/>
        </w:rPr>
      </w:pPr>
      <w:r>
        <w:rPr>
          <w:rFonts w:ascii="仿宋" w:hAnsi="仿宋" w:eastAsia="仿宋" w:cs="Arial"/>
          <w:b/>
          <w:color w:val="auto"/>
          <w:kern w:val="0"/>
          <w:sz w:val="24"/>
          <w:highlight w:val="none"/>
        </w:rPr>
        <w:t>5、我方将按磋商文件的规定履行合同责任和义务；</w:t>
      </w:r>
    </w:p>
    <w:p>
      <w:pPr>
        <w:spacing w:line="360" w:lineRule="auto"/>
        <w:ind w:firstLine="463" w:firstLineChars="192"/>
        <w:rPr>
          <w:rFonts w:ascii="仿宋" w:hAnsi="仿宋" w:eastAsia="仿宋" w:cs="Arial"/>
          <w:color w:val="auto"/>
          <w:kern w:val="0"/>
          <w:sz w:val="24"/>
          <w:highlight w:val="none"/>
        </w:rPr>
      </w:pPr>
      <w:r>
        <w:rPr>
          <w:rFonts w:ascii="仿宋" w:hAnsi="仿宋" w:eastAsia="仿宋" w:cs="Arial"/>
          <w:b/>
          <w:color w:val="auto"/>
          <w:kern w:val="0"/>
          <w:sz w:val="24"/>
          <w:highlight w:val="none"/>
        </w:rPr>
        <w:t>6、我方此次报价以我方</w:t>
      </w:r>
      <w:r>
        <w:rPr>
          <w:rFonts w:hint="eastAsia" w:ascii="仿宋" w:hAnsi="仿宋" w:eastAsia="仿宋" w:cs="Arial"/>
          <w:b/>
          <w:color w:val="auto"/>
          <w:kern w:val="0"/>
          <w:sz w:val="24"/>
          <w:highlight w:val="none"/>
        </w:rPr>
        <w:t>提交的最后报价为准</w:t>
      </w:r>
      <w:r>
        <w:rPr>
          <w:rFonts w:ascii="仿宋" w:hAnsi="仿宋" w:eastAsia="仿宋" w:cs="Arial"/>
          <w:b/>
          <w:color w:val="auto"/>
          <w:kern w:val="0"/>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cs="Arial"/>
          <w:b/>
          <w:color w:val="auto"/>
          <w:kern w:val="0"/>
          <w:sz w:val="24"/>
          <w:highlight w:val="none"/>
        </w:rPr>
        <w:t>7、本</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磋商响应文件</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有效期</w:t>
      </w:r>
      <w:r>
        <w:rPr>
          <w:rFonts w:hint="eastAsia" w:ascii="仿宋" w:hAnsi="仿宋" w:eastAsia="仿宋" w:cs="Arial"/>
          <w:b/>
          <w:color w:val="auto"/>
          <w:kern w:val="0"/>
          <w:sz w:val="24"/>
          <w:highlight w:val="none"/>
        </w:rPr>
        <w:t>为</w:t>
      </w:r>
      <w:r>
        <w:rPr>
          <w:rFonts w:ascii="仿宋" w:hAnsi="仿宋" w:eastAsia="仿宋" w:cs="Arial"/>
          <w:b/>
          <w:color w:val="auto"/>
          <w:kern w:val="0"/>
          <w:sz w:val="24"/>
          <w:highlight w:val="none"/>
        </w:rPr>
        <w:t>自</w:t>
      </w:r>
      <w:r>
        <w:rPr>
          <w:rFonts w:hint="eastAsia" w:ascii="仿宋" w:hAnsi="仿宋" w:eastAsia="仿宋" w:cs="Arial"/>
          <w:b/>
          <w:color w:val="auto"/>
          <w:kern w:val="0"/>
          <w:sz w:val="24"/>
          <w:highlight w:val="none"/>
        </w:rPr>
        <w:t>响应文件递交</w:t>
      </w:r>
      <w:r>
        <w:rPr>
          <w:rFonts w:ascii="仿宋" w:hAnsi="仿宋" w:eastAsia="仿宋" w:cs="Arial"/>
          <w:b/>
          <w:color w:val="auto"/>
          <w:kern w:val="0"/>
          <w:sz w:val="24"/>
          <w:highlight w:val="none"/>
        </w:rPr>
        <w:t>截止之日起</w:t>
      </w:r>
      <w:r>
        <w:rPr>
          <w:rFonts w:ascii="仿宋" w:hAnsi="仿宋" w:eastAsia="仿宋" w:cs="Arial"/>
          <w:b/>
          <w:color w:val="auto"/>
          <w:kern w:val="0"/>
          <w:sz w:val="24"/>
          <w:highlight w:val="none"/>
          <w:u w:val="single"/>
        </w:rPr>
        <w:t xml:space="preserve"> </w:t>
      </w:r>
      <w:r>
        <w:rPr>
          <w:rFonts w:hint="eastAsia" w:ascii="仿宋" w:hAnsi="仿宋" w:eastAsia="仿宋" w:cs="Arial"/>
          <w:b/>
          <w:color w:val="auto"/>
          <w:kern w:val="0"/>
          <w:sz w:val="24"/>
          <w:highlight w:val="none"/>
          <w:u w:val="single"/>
        </w:rPr>
        <w:t>90</w:t>
      </w:r>
      <w:r>
        <w:rPr>
          <w:rFonts w:ascii="仿宋" w:hAnsi="仿宋" w:eastAsia="仿宋" w:cs="Arial"/>
          <w:b/>
          <w:color w:val="auto"/>
          <w:kern w:val="0"/>
          <w:sz w:val="24"/>
          <w:highlight w:val="none"/>
          <w:u w:val="single"/>
        </w:rPr>
        <w:t>个</w:t>
      </w:r>
      <w:r>
        <w:rPr>
          <w:rFonts w:ascii="仿宋" w:hAnsi="仿宋" w:eastAsia="仿宋" w:cs="Arial"/>
          <w:b/>
          <w:color w:val="auto"/>
          <w:kern w:val="0"/>
          <w:sz w:val="24"/>
          <w:highlight w:val="none"/>
        </w:rPr>
        <w:t>日历日。</w:t>
      </w:r>
      <w:r>
        <w:rPr>
          <w:rFonts w:hint="eastAsia" w:ascii="仿宋" w:hAnsi="仿宋" w:eastAsia="仿宋" w:cs="Arial"/>
          <w:b/>
          <w:color w:val="auto"/>
          <w:kern w:val="0"/>
          <w:sz w:val="24"/>
          <w:highlight w:val="none"/>
        </w:rPr>
        <w:t>我方承诺：</w:t>
      </w:r>
      <w:r>
        <w:rPr>
          <w:rFonts w:ascii="仿宋" w:hAnsi="仿宋" w:eastAsia="仿宋" w:cs="Arial"/>
          <w:color w:val="auto"/>
          <w:kern w:val="0"/>
          <w:sz w:val="24"/>
          <w:highlight w:val="none"/>
        </w:rPr>
        <w:t>磋商响应文件</w:t>
      </w:r>
      <w:r>
        <w:rPr>
          <w:rFonts w:hint="eastAsia" w:ascii="仿宋" w:hAnsi="仿宋" w:eastAsia="仿宋"/>
          <w:color w:val="auto"/>
          <w:sz w:val="24"/>
          <w:highlight w:val="none"/>
        </w:rPr>
        <w:t>有效期内不撤回（撤销）《磋商响应文件》；如撤回（撤销），承诺按采购文件第二章供应商须知相关规定向采购组织机构进行赔偿。</w:t>
      </w:r>
    </w:p>
    <w:p>
      <w:pPr>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8、如中标</w:t>
      </w:r>
      <w:r>
        <w:rPr>
          <w:rFonts w:hint="eastAsia" w:ascii="仿宋" w:hAnsi="仿宋" w:eastAsia="仿宋" w:cs="Arial"/>
          <w:b/>
          <w:color w:val="auto"/>
          <w:kern w:val="0"/>
          <w:sz w:val="24"/>
          <w:highlight w:val="none"/>
        </w:rPr>
        <w:t>（成交）</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我方承诺如下：</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本《磋商响应文件》</w:t>
      </w:r>
      <w:r>
        <w:rPr>
          <w:rFonts w:hint="eastAsia" w:ascii="仿宋" w:hAnsi="仿宋" w:eastAsia="仿宋" w:cs="Arial"/>
          <w:color w:val="auto"/>
          <w:kern w:val="0"/>
          <w:sz w:val="24"/>
          <w:highlight w:val="none"/>
        </w:rPr>
        <w:t>有效期将自动延长自</w:t>
      </w:r>
      <w:r>
        <w:rPr>
          <w:rFonts w:ascii="仿宋" w:hAnsi="仿宋" w:eastAsia="仿宋" w:cs="Arial"/>
          <w:color w:val="auto"/>
          <w:kern w:val="0"/>
          <w:sz w:val="24"/>
          <w:highlight w:val="none"/>
        </w:rPr>
        <w:t>本项目合同履行完毕止</w:t>
      </w:r>
      <w:r>
        <w:rPr>
          <w:rFonts w:hint="eastAsia" w:ascii="仿宋" w:hAnsi="仿宋" w:eastAsia="仿宋" w:cs="Arial"/>
          <w:color w:val="auto"/>
          <w:kern w:val="0"/>
          <w:sz w:val="24"/>
          <w:highlight w:val="none"/>
        </w:rPr>
        <w:t>；</w:t>
      </w:r>
    </w:p>
    <w:p>
      <w:pPr>
        <w:spacing w:line="360" w:lineRule="auto"/>
        <w:ind w:firstLine="482" w:firstLineChars="200"/>
        <w:rPr>
          <w:rFonts w:ascii="仿宋" w:hAnsi="仿宋" w:eastAsia="仿宋"/>
          <w:b/>
          <w:color w:val="auto"/>
          <w:sz w:val="24"/>
          <w:highlight w:val="none"/>
        </w:rPr>
      </w:pPr>
      <w:r>
        <w:rPr>
          <w:rFonts w:hint="eastAsia" w:ascii="仿宋" w:hAnsi="仿宋" w:eastAsia="仿宋" w:cs="Arial"/>
          <w:b/>
          <w:color w:val="auto"/>
          <w:kern w:val="0"/>
          <w:sz w:val="24"/>
          <w:highlight w:val="none"/>
        </w:rPr>
        <w:t>（2）</w:t>
      </w:r>
      <w:r>
        <w:rPr>
          <w:rFonts w:hint="eastAsia" w:ascii="仿宋" w:hAnsi="仿宋" w:eastAsia="仿宋" w:cs="Arial"/>
          <w:b/>
          <w:color w:val="auto"/>
          <w:kern w:val="0"/>
          <w:sz w:val="24"/>
          <w:highlight w:val="none"/>
          <w:u w:val="single"/>
        </w:rPr>
        <w:t>同意按采购文件</w:t>
      </w:r>
      <w:r>
        <w:rPr>
          <w:rFonts w:hint="eastAsia" w:ascii="仿宋" w:hAnsi="仿宋" w:eastAsia="仿宋"/>
          <w:b/>
          <w:color w:val="auto"/>
          <w:sz w:val="24"/>
          <w:highlight w:val="none"/>
          <w:u w:val="single"/>
        </w:rPr>
        <w:t>第二章供应商须知“采购代理服务费”所有规定，并按时向采购代理机构缴纳采购代理服务费</w:t>
      </w:r>
      <w:r>
        <w:rPr>
          <w:rFonts w:hint="eastAsia" w:ascii="仿宋" w:hAnsi="仿宋" w:eastAsia="仿宋"/>
          <w:b/>
          <w:color w:val="auto"/>
          <w:sz w:val="24"/>
          <w:highlight w:val="none"/>
        </w:rPr>
        <w:t>。</w:t>
      </w:r>
    </w:p>
    <w:p>
      <w:pPr>
        <w:spacing w:line="360" w:lineRule="auto"/>
        <w:ind w:firstLine="460" w:firstLineChars="192"/>
        <w:rPr>
          <w:rFonts w:ascii="仿宋" w:hAnsi="仿宋" w:eastAsia="仿宋" w:cs="Arial"/>
          <w:color w:val="auto"/>
          <w:kern w:val="0"/>
          <w:sz w:val="24"/>
          <w:highlight w:val="none"/>
        </w:rPr>
      </w:pPr>
      <w:r>
        <w:rPr>
          <w:rFonts w:hint="eastAsia" w:ascii="仿宋" w:hAnsi="仿宋" w:eastAsia="仿宋"/>
          <w:color w:val="auto"/>
          <w:sz w:val="24"/>
          <w:highlight w:val="none"/>
        </w:rPr>
        <w:t>（3）按照采购文件第二章供应商须知第12.1.2款规定与采购人签订合同，并</w:t>
      </w:r>
      <w:r>
        <w:rPr>
          <w:rFonts w:ascii="仿宋" w:hAnsi="仿宋" w:eastAsia="仿宋" w:cs="Arial"/>
          <w:color w:val="auto"/>
          <w:kern w:val="0"/>
          <w:sz w:val="24"/>
          <w:highlight w:val="none"/>
        </w:rPr>
        <w:t>将按</w:t>
      </w:r>
      <w:r>
        <w:rPr>
          <w:rFonts w:hint="eastAsia" w:ascii="仿宋" w:hAnsi="仿宋" w:eastAsia="仿宋"/>
          <w:color w:val="auto"/>
          <w:sz w:val="24"/>
          <w:highlight w:val="none"/>
        </w:rPr>
        <w:t>采购</w:t>
      </w:r>
      <w:r>
        <w:rPr>
          <w:rFonts w:ascii="仿宋" w:hAnsi="仿宋" w:eastAsia="仿宋" w:cs="Arial"/>
          <w:color w:val="auto"/>
          <w:kern w:val="0"/>
          <w:sz w:val="24"/>
          <w:highlight w:val="none"/>
        </w:rPr>
        <w:t>文件</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政府采购法律、法规的规定</w:t>
      </w:r>
      <w:r>
        <w:rPr>
          <w:rFonts w:hint="eastAsia" w:ascii="仿宋" w:hAnsi="仿宋" w:eastAsia="仿宋" w:cs="Arial"/>
          <w:color w:val="auto"/>
          <w:kern w:val="0"/>
          <w:sz w:val="24"/>
          <w:highlight w:val="none"/>
        </w:rPr>
        <w:t>以及我方《磋商响应文件》承诺</w:t>
      </w:r>
      <w:r>
        <w:rPr>
          <w:rFonts w:ascii="仿宋" w:hAnsi="仿宋" w:eastAsia="仿宋" w:cs="Arial"/>
          <w:color w:val="auto"/>
          <w:kern w:val="0"/>
          <w:sz w:val="24"/>
          <w:highlight w:val="none"/>
        </w:rPr>
        <w:t>履行合同责任和义务。</w:t>
      </w:r>
    </w:p>
    <w:p>
      <w:pPr>
        <w:spacing w:line="360" w:lineRule="auto"/>
        <w:ind w:firstLine="460" w:firstLineChars="192"/>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w:t>
      </w:r>
      <w:r>
        <w:rPr>
          <w:rFonts w:hint="eastAsia" w:ascii="仿宋" w:hAnsi="仿宋" w:eastAsia="仿宋" w:cs="Arial"/>
          <w:b/>
          <w:color w:val="auto"/>
          <w:kern w:val="0"/>
          <w:sz w:val="24"/>
          <w:highlight w:val="none"/>
          <w:u w:val="single"/>
        </w:rPr>
        <w:t>如我方拒绝签订合同，承诺按</w:t>
      </w:r>
      <w:r>
        <w:rPr>
          <w:rFonts w:hint="eastAsia" w:ascii="仿宋" w:hAnsi="仿宋" w:eastAsia="仿宋"/>
          <w:b/>
          <w:color w:val="auto"/>
          <w:sz w:val="24"/>
          <w:highlight w:val="none"/>
          <w:u w:val="single"/>
        </w:rPr>
        <w:t>磋商文件第二章供应商须知第</w:t>
      </w:r>
      <w:r>
        <w:rPr>
          <w:rFonts w:hint="eastAsia" w:ascii="仿宋" w:hAnsi="仿宋" w:eastAsia="仿宋" w:cs="Arial"/>
          <w:b/>
          <w:color w:val="auto"/>
          <w:kern w:val="0"/>
          <w:sz w:val="24"/>
          <w:highlight w:val="none"/>
          <w:u w:val="single"/>
        </w:rPr>
        <w:t>12.1</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4款相关规定对采购人进行赔偿</w:t>
      </w:r>
      <w:r>
        <w:rPr>
          <w:rFonts w:hint="eastAsia" w:ascii="仿宋" w:hAnsi="仿宋" w:eastAsia="仿宋" w:cs="Arial"/>
          <w:color w:val="auto"/>
          <w:kern w:val="0"/>
          <w:sz w:val="24"/>
          <w:highlight w:val="none"/>
        </w:rPr>
        <w:t>；</w:t>
      </w:r>
    </w:p>
    <w:p>
      <w:pPr>
        <w:spacing w:line="360" w:lineRule="auto"/>
        <w:ind w:firstLine="460" w:firstLineChars="192"/>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w:t>
      </w:r>
      <w:r>
        <w:rPr>
          <w:rFonts w:hint="eastAsia" w:ascii="仿宋" w:hAnsi="仿宋" w:eastAsia="仿宋" w:cs="Arial"/>
          <w:b/>
          <w:color w:val="auto"/>
          <w:kern w:val="0"/>
          <w:sz w:val="24"/>
          <w:highlight w:val="none"/>
          <w:u w:val="single"/>
        </w:rPr>
        <w:t>如我方未按合同履约，承诺接受采购人按</w:t>
      </w:r>
      <w:r>
        <w:rPr>
          <w:rFonts w:hint="eastAsia" w:ascii="仿宋" w:hAnsi="仿宋" w:eastAsia="仿宋"/>
          <w:b/>
          <w:color w:val="auto"/>
          <w:sz w:val="24"/>
          <w:highlight w:val="none"/>
          <w:u w:val="single"/>
        </w:rPr>
        <w:t>磋商文件第二章供应商须知第</w:t>
      </w:r>
      <w:r>
        <w:rPr>
          <w:rFonts w:hint="eastAsia" w:ascii="仿宋" w:hAnsi="仿宋" w:eastAsia="仿宋" w:cs="Arial"/>
          <w:b/>
          <w:color w:val="auto"/>
          <w:kern w:val="0"/>
          <w:sz w:val="24"/>
          <w:highlight w:val="none"/>
          <w:u w:val="single"/>
        </w:rPr>
        <w:t>12.2</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2款相关规定对我方所作出的处理</w:t>
      </w:r>
      <w:r>
        <w:rPr>
          <w:rFonts w:hint="eastAsia" w:ascii="仿宋" w:hAnsi="仿宋" w:eastAsia="仿宋" w:cs="Arial"/>
          <w:color w:val="auto"/>
          <w:kern w:val="0"/>
          <w:sz w:val="24"/>
          <w:highlight w:val="none"/>
        </w:rPr>
        <w:t>。</w:t>
      </w:r>
    </w:p>
    <w:p>
      <w:pPr>
        <w:spacing w:line="360" w:lineRule="auto"/>
        <w:ind w:firstLine="463" w:firstLineChars="192"/>
        <w:rPr>
          <w:rFonts w:ascii="仿宋" w:hAnsi="仿宋" w:eastAsia="仿宋" w:cs="Arial"/>
          <w:color w:val="auto"/>
          <w:kern w:val="0"/>
          <w:sz w:val="24"/>
          <w:highlight w:val="none"/>
        </w:rPr>
      </w:pPr>
      <w:r>
        <w:rPr>
          <w:rFonts w:ascii="仿宋" w:hAnsi="仿宋" w:eastAsia="仿宋" w:cs="Arial"/>
          <w:b/>
          <w:color w:val="auto"/>
          <w:kern w:val="0"/>
          <w:sz w:val="24"/>
          <w:highlight w:val="none"/>
        </w:rPr>
        <w:t>9、我方同意按照贵方要求提供与投标</w:t>
      </w:r>
      <w:r>
        <w:rPr>
          <w:rFonts w:hint="eastAsia" w:ascii="仿宋" w:hAnsi="仿宋" w:eastAsia="仿宋" w:cs="Arial"/>
          <w:b/>
          <w:color w:val="auto"/>
          <w:kern w:val="0"/>
          <w:sz w:val="24"/>
          <w:highlight w:val="none"/>
        </w:rPr>
        <w:t>（响应）</w:t>
      </w:r>
      <w:r>
        <w:rPr>
          <w:rFonts w:ascii="仿宋" w:hAnsi="仿宋" w:eastAsia="仿宋" w:cs="Arial"/>
          <w:b/>
          <w:color w:val="auto"/>
          <w:kern w:val="0"/>
          <w:sz w:val="24"/>
          <w:highlight w:val="none"/>
        </w:rPr>
        <w:t>有关的一切数据或资料。</w:t>
      </w:r>
    </w:p>
    <w:p>
      <w:pPr>
        <w:spacing w:line="360" w:lineRule="auto"/>
        <w:ind w:firstLine="414" w:firstLineChars="192"/>
        <w:rPr>
          <w:rFonts w:ascii="仿宋" w:hAnsi="仿宋" w:eastAsia="仿宋" w:cs="Arial"/>
          <w:color w:val="auto"/>
          <w:w w:val="90"/>
          <w:kern w:val="0"/>
          <w:sz w:val="24"/>
          <w:highlight w:val="none"/>
        </w:rPr>
      </w:pPr>
    </w:p>
    <w:p>
      <w:pPr>
        <w:spacing w:line="360" w:lineRule="auto"/>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磋商供应商</w:t>
      </w:r>
      <w:r>
        <w:rPr>
          <w:rFonts w:ascii="仿宋" w:hAnsi="仿宋" w:eastAsia="仿宋" w:cs="Arial"/>
          <w:b/>
          <w:color w:val="auto"/>
          <w:kern w:val="0"/>
          <w:sz w:val="24"/>
          <w:highlight w:val="none"/>
        </w:rPr>
        <w:t>名称</w:t>
      </w:r>
      <w:r>
        <w:rPr>
          <w:rFonts w:ascii="仿宋" w:hAnsi="仿宋" w:eastAsia="仿宋" w:cs="Arial"/>
          <w:b/>
          <w:color w:val="auto"/>
          <w:sz w:val="24"/>
          <w:highlight w:val="none"/>
        </w:rPr>
        <w:t>（</w:t>
      </w:r>
      <w:r>
        <w:rPr>
          <w:rFonts w:hint="eastAsia" w:ascii="仿宋" w:hAnsi="仿宋" w:eastAsia="仿宋" w:cs="Arial"/>
          <w:b/>
          <w:color w:val="auto"/>
          <w:sz w:val="24"/>
          <w:highlight w:val="none"/>
        </w:rPr>
        <w:t>盖</w:t>
      </w:r>
      <w:r>
        <w:rPr>
          <w:rFonts w:ascii="仿宋" w:hAnsi="仿宋" w:eastAsia="仿宋" w:cs="Arial"/>
          <w:b/>
          <w:color w:val="auto"/>
          <w:sz w:val="24"/>
          <w:highlight w:val="none"/>
        </w:rPr>
        <w:t>章）</w:t>
      </w:r>
      <w:r>
        <w:rPr>
          <w:rFonts w:ascii="仿宋" w:hAnsi="仿宋" w:eastAsia="仿宋" w:cs="Arial"/>
          <w:b/>
          <w:color w:val="auto"/>
          <w:kern w:val="0"/>
          <w:sz w:val="24"/>
          <w:highlight w:val="none"/>
        </w:rPr>
        <w:t>：______________________________________</w:t>
      </w:r>
    </w:p>
    <w:p>
      <w:pPr>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法定代表人</w:t>
      </w:r>
      <w:r>
        <w:rPr>
          <w:rFonts w:ascii="仿宋" w:hAnsi="仿宋" w:eastAsia="仿宋" w:cs="Arial"/>
          <w:color w:val="auto"/>
          <w:kern w:val="0"/>
          <w:sz w:val="24"/>
          <w:highlight w:val="none"/>
        </w:rPr>
        <w:t>或</w:t>
      </w:r>
      <w:r>
        <w:rPr>
          <w:rFonts w:hint="eastAsia" w:ascii="仿宋" w:hAnsi="仿宋" w:eastAsia="仿宋" w:cs="Arial"/>
          <w:color w:val="auto"/>
          <w:kern w:val="0"/>
          <w:sz w:val="24"/>
          <w:highlight w:val="none"/>
        </w:rPr>
        <w:t>其</w:t>
      </w:r>
      <w:r>
        <w:rPr>
          <w:rFonts w:ascii="仿宋" w:hAnsi="仿宋" w:eastAsia="仿宋" w:cs="Arial"/>
          <w:color w:val="auto"/>
          <w:kern w:val="0"/>
          <w:sz w:val="24"/>
          <w:highlight w:val="none"/>
        </w:rPr>
        <w:t>授权代表</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姓名</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：__________________________________</w:t>
      </w:r>
    </w:p>
    <w:p>
      <w:pPr>
        <w:spacing w:line="360" w:lineRule="auto"/>
        <w:rPr>
          <w:rFonts w:ascii="仿宋" w:hAnsi="仿宋" w:eastAsia="仿宋" w:cs="Arial"/>
          <w:color w:val="auto"/>
          <w:kern w:val="0"/>
          <w:sz w:val="24"/>
          <w:highlight w:val="none"/>
          <w:u w:val="single"/>
        </w:rPr>
      </w:pPr>
      <w:r>
        <w:rPr>
          <w:rFonts w:hint="eastAsia" w:ascii="仿宋" w:hAnsi="仿宋" w:eastAsia="仿宋" w:cs="Arial"/>
          <w:color w:val="auto"/>
          <w:kern w:val="0"/>
          <w:sz w:val="24"/>
          <w:highlight w:val="none"/>
        </w:rPr>
        <w:t>法定代表人</w:t>
      </w:r>
      <w:r>
        <w:rPr>
          <w:rFonts w:ascii="仿宋" w:hAnsi="仿宋" w:eastAsia="仿宋" w:cs="Arial"/>
          <w:color w:val="auto"/>
          <w:kern w:val="0"/>
          <w:sz w:val="24"/>
          <w:highlight w:val="none"/>
        </w:rPr>
        <w:t>或</w:t>
      </w:r>
      <w:r>
        <w:rPr>
          <w:rFonts w:hint="eastAsia" w:ascii="仿宋" w:hAnsi="仿宋" w:eastAsia="仿宋" w:cs="Arial"/>
          <w:color w:val="auto"/>
          <w:kern w:val="0"/>
          <w:sz w:val="24"/>
          <w:highlight w:val="none"/>
        </w:rPr>
        <w:t>其</w:t>
      </w:r>
      <w:r>
        <w:rPr>
          <w:rFonts w:ascii="仿宋" w:hAnsi="仿宋" w:eastAsia="仿宋" w:cs="Arial"/>
          <w:color w:val="auto"/>
          <w:kern w:val="0"/>
          <w:sz w:val="24"/>
          <w:highlight w:val="none"/>
        </w:rPr>
        <w:t>授权代表</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手机号码</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：______________________________</w:t>
      </w:r>
    </w:p>
    <w:p>
      <w:pPr>
        <w:spacing w:line="360" w:lineRule="auto"/>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单位地址：________________________</w:t>
      </w:r>
      <w:r>
        <w:rPr>
          <w:rFonts w:ascii="仿宋" w:hAnsi="仿宋" w:eastAsia="仿宋" w:cs="Arial"/>
          <w:color w:val="auto"/>
          <w:w w:val="90"/>
          <w:kern w:val="0"/>
          <w:sz w:val="24"/>
          <w:highlight w:val="none"/>
        </w:rPr>
        <w:t>_</w:t>
      </w:r>
      <w:r>
        <w:rPr>
          <w:rFonts w:ascii="仿宋" w:hAnsi="仿宋" w:eastAsia="仿宋" w:cs="Arial"/>
          <w:color w:val="auto"/>
          <w:kern w:val="0"/>
          <w:sz w:val="24"/>
          <w:highlight w:val="none"/>
        </w:rPr>
        <w:t>邮编：_______________________</w:t>
      </w:r>
    </w:p>
    <w:p>
      <w:pPr>
        <w:spacing w:line="360" w:lineRule="auto"/>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单位电话：____________________</w:t>
      </w:r>
      <w:r>
        <w:rPr>
          <w:rFonts w:ascii="仿宋" w:hAnsi="仿宋" w:eastAsia="仿宋" w:cs="Arial"/>
          <w:color w:val="auto"/>
          <w:w w:val="90"/>
          <w:kern w:val="0"/>
          <w:sz w:val="24"/>
          <w:highlight w:val="none"/>
        </w:rPr>
        <w:t>__</w:t>
      </w:r>
      <w:r>
        <w:rPr>
          <w:rFonts w:ascii="仿宋" w:hAnsi="仿宋" w:eastAsia="仿宋" w:cs="Arial"/>
          <w:color w:val="auto"/>
          <w:kern w:val="0"/>
          <w:sz w:val="24"/>
          <w:highlight w:val="none"/>
        </w:rPr>
        <w:t>_单位传真：___________________</w:t>
      </w:r>
      <w:r>
        <w:rPr>
          <w:rFonts w:ascii="仿宋" w:hAnsi="仿宋" w:eastAsia="仿宋" w:cs="Arial"/>
          <w:b/>
          <w:color w:val="auto"/>
          <w:kern w:val="0"/>
          <w:sz w:val="24"/>
          <w:highlight w:val="none"/>
        </w:rPr>
        <w:t>__</w:t>
      </w:r>
    </w:p>
    <w:p>
      <w:pPr>
        <w:spacing w:line="360" w:lineRule="auto"/>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开户银行：_______________________银行帐号：___________________</w:t>
      </w:r>
      <w:r>
        <w:rPr>
          <w:rFonts w:ascii="仿宋" w:hAnsi="仿宋" w:eastAsia="仿宋" w:cs="Arial"/>
          <w:b/>
          <w:color w:val="auto"/>
          <w:kern w:val="0"/>
          <w:sz w:val="24"/>
          <w:highlight w:val="none"/>
        </w:rPr>
        <w:t>__</w:t>
      </w:r>
    </w:p>
    <w:p>
      <w:pPr>
        <w:jc w:val="left"/>
        <w:rPr>
          <w:rFonts w:ascii="Calibri" w:hAnsi="Calibri"/>
          <w:color w:val="auto"/>
          <w:sz w:val="24"/>
          <w:highlight w:val="none"/>
        </w:rPr>
      </w:pPr>
      <w:r>
        <w:rPr>
          <w:rFonts w:ascii="仿宋" w:hAnsi="仿宋" w:eastAsia="仿宋" w:cs="Arial"/>
          <w:color w:val="auto"/>
          <w:kern w:val="0"/>
          <w:sz w:val="24"/>
          <w:highlight w:val="none"/>
        </w:rPr>
        <w:t>日</w:t>
      </w:r>
      <w:r>
        <w:rPr>
          <w:rFonts w:hint="eastAsia" w:ascii="仿宋" w:hAnsi="仿宋" w:eastAsia="仿宋" w:cs="Arial"/>
          <w:color w:val="auto"/>
          <w:kern w:val="0"/>
          <w:sz w:val="24"/>
          <w:highlight w:val="none"/>
        </w:rPr>
        <w:t xml:space="preserve">    </w:t>
      </w:r>
      <w:r>
        <w:rPr>
          <w:rFonts w:ascii="仿宋" w:hAnsi="仿宋" w:eastAsia="仿宋" w:cs="Arial"/>
          <w:color w:val="auto"/>
          <w:kern w:val="0"/>
          <w:sz w:val="24"/>
          <w:highlight w:val="none"/>
        </w:rPr>
        <w:t>期：_______年____月____日</w:t>
      </w:r>
    </w:p>
    <w:p>
      <w:pPr>
        <w:pStyle w:val="4"/>
        <w:rPr>
          <w:color w:val="auto"/>
          <w:highlight w:val="none"/>
        </w:rPr>
      </w:pPr>
      <w:r>
        <w:rPr>
          <w:rFonts w:ascii="Calibri" w:hAnsi="Calibri"/>
          <w:color w:val="auto"/>
          <w:highlight w:val="none"/>
        </w:rPr>
        <w:br w:type="page"/>
      </w:r>
      <w:r>
        <w:rPr>
          <w:rFonts w:hint="eastAsia"/>
          <w:color w:val="auto"/>
          <w:highlight w:val="none"/>
        </w:rPr>
        <w:t>2-3 法人（或单位）授权委托书</w:t>
      </w:r>
    </w:p>
    <w:p>
      <w:pPr>
        <w:spacing w:before="240" w:line="360" w:lineRule="auto"/>
        <w:jc w:val="center"/>
        <w:rPr>
          <w:rFonts w:ascii="华文中宋" w:hAnsi="华文中宋" w:eastAsia="华文中宋" w:cs="Times New Roman"/>
          <w:b/>
          <w:color w:val="auto"/>
          <w:sz w:val="44"/>
          <w:szCs w:val="44"/>
          <w:highlight w:val="none"/>
        </w:rPr>
      </w:pPr>
      <w:r>
        <w:rPr>
          <w:rFonts w:ascii="微软雅黑" w:hAnsi="微软雅黑" w:eastAsia="微软雅黑" w:cs="Times New Roman"/>
          <w:b/>
          <w:color w:val="auto"/>
          <w:sz w:val="40"/>
          <w:szCs w:val="44"/>
          <w:highlight w:val="none"/>
        </w:rPr>
        <w:t>法人</w:t>
      </w:r>
      <w:r>
        <w:rPr>
          <w:rFonts w:hint="eastAsia" w:ascii="微软雅黑" w:hAnsi="微软雅黑" w:eastAsia="微软雅黑" w:cs="Times New Roman"/>
          <w:b/>
          <w:color w:val="auto"/>
          <w:sz w:val="40"/>
          <w:szCs w:val="44"/>
          <w:highlight w:val="none"/>
        </w:rPr>
        <w:t>（或单位）</w:t>
      </w:r>
      <w:r>
        <w:rPr>
          <w:rFonts w:ascii="微软雅黑" w:hAnsi="微软雅黑" w:eastAsia="微软雅黑" w:cs="Times New Roman"/>
          <w:b/>
          <w:color w:val="auto"/>
          <w:sz w:val="40"/>
          <w:szCs w:val="44"/>
          <w:highlight w:val="none"/>
        </w:rPr>
        <w:t>授权委托书</w:t>
      </w:r>
    </w:p>
    <w:p>
      <w:pPr>
        <w:spacing w:line="480" w:lineRule="auto"/>
        <w:rPr>
          <w:rFonts w:ascii="仿宋" w:hAnsi="仿宋" w:eastAsia="仿宋" w:cs="Arial"/>
          <w:color w:val="auto"/>
          <w:kern w:val="0"/>
          <w:sz w:val="28"/>
          <w:szCs w:val="24"/>
          <w:highlight w:val="none"/>
        </w:rPr>
      </w:pPr>
      <w:r>
        <w:rPr>
          <w:rFonts w:hint="eastAsia" w:ascii="仿宋" w:hAnsi="仿宋" w:eastAsia="仿宋" w:cs="Arial"/>
          <w:b/>
          <w:color w:val="auto"/>
          <w:w w:val="90"/>
          <w:kern w:val="0"/>
          <w:sz w:val="28"/>
          <w:szCs w:val="24"/>
          <w:highlight w:val="none"/>
          <w:u w:val="single"/>
        </w:rPr>
        <w:t>浙江中医药大学、浙江省成套招标代理有限公司</w:t>
      </w:r>
      <w:r>
        <w:rPr>
          <w:rFonts w:ascii="仿宋" w:hAnsi="仿宋" w:eastAsia="仿宋" w:cs="Arial"/>
          <w:b/>
          <w:color w:val="auto"/>
          <w:kern w:val="0"/>
          <w:sz w:val="28"/>
          <w:szCs w:val="24"/>
          <w:highlight w:val="none"/>
        </w:rPr>
        <w:t>：</w:t>
      </w:r>
    </w:p>
    <w:p>
      <w:pPr>
        <w:spacing w:line="360" w:lineRule="auto"/>
        <w:ind w:firstLine="560" w:firstLineChars="200"/>
        <w:rPr>
          <w:rFonts w:ascii="仿宋" w:hAnsi="仿宋" w:eastAsia="仿宋" w:cs="Arial"/>
          <w:color w:val="auto"/>
          <w:kern w:val="0"/>
          <w:sz w:val="28"/>
          <w:szCs w:val="22"/>
          <w:highlight w:val="none"/>
        </w:rPr>
      </w:pPr>
      <w:r>
        <w:rPr>
          <w:rFonts w:ascii="仿宋" w:hAnsi="仿宋" w:eastAsia="仿宋" w:cs="Arial"/>
          <w:color w:val="auto"/>
          <w:kern w:val="0"/>
          <w:sz w:val="28"/>
          <w:szCs w:val="22"/>
          <w:highlight w:val="none"/>
        </w:rPr>
        <w:t>现授权委托本单位在职职工</w:t>
      </w:r>
      <w:r>
        <w:rPr>
          <w:rFonts w:ascii="仿宋" w:hAnsi="仿宋" w:eastAsia="仿宋" w:cs="Arial"/>
          <w:color w:val="auto"/>
          <w:kern w:val="0"/>
          <w:sz w:val="28"/>
          <w:szCs w:val="22"/>
          <w:highlight w:val="none"/>
          <w:u w:val="single"/>
        </w:rPr>
        <w:t>（姓名</w:t>
      </w:r>
      <w:r>
        <w:rPr>
          <w:rFonts w:hint="eastAsia" w:ascii="仿宋" w:hAnsi="仿宋" w:eastAsia="仿宋" w:cs="Arial"/>
          <w:color w:val="auto"/>
          <w:kern w:val="0"/>
          <w:sz w:val="28"/>
          <w:szCs w:val="22"/>
          <w:highlight w:val="none"/>
          <w:u w:val="single"/>
        </w:rPr>
        <w:t>、身份证号码</w:t>
      </w:r>
      <w:r>
        <w:rPr>
          <w:rFonts w:ascii="仿宋" w:hAnsi="仿宋" w:eastAsia="仿宋" w:cs="Arial"/>
          <w:color w:val="auto"/>
          <w:kern w:val="0"/>
          <w:sz w:val="28"/>
          <w:szCs w:val="22"/>
          <w:highlight w:val="none"/>
          <w:u w:val="single"/>
        </w:rPr>
        <w:t>）</w:t>
      </w:r>
      <w:r>
        <w:rPr>
          <w:rFonts w:ascii="仿宋" w:hAnsi="仿宋" w:eastAsia="仿宋" w:cs="Arial"/>
          <w:color w:val="auto"/>
          <w:kern w:val="0"/>
          <w:sz w:val="28"/>
          <w:szCs w:val="22"/>
          <w:highlight w:val="none"/>
        </w:rPr>
        <w:t>以我方的名义参加</w:t>
      </w:r>
      <w:r>
        <w:rPr>
          <w:rFonts w:hint="eastAsia" w:ascii="仿宋" w:hAnsi="仿宋" w:eastAsia="仿宋" w:cs="Arial"/>
          <w:b/>
          <w:color w:val="auto"/>
          <w:kern w:val="0"/>
          <w:sz w:val="28"/>
          <w:szCs w:val="22"/>
          <w:highlight w:val="none"/>
          <w:u w:val="single"/>
          <w:lang w:eastAsia="zh-CN"/>
        </w:rPr>
        <w:t>浙江中医药大学富春校区及滨文南区消防设施设备日常零星维修改造</w:t>
      </w:r>
      <w:r>
        <w:rPr>
          <w:rFonts w:ascii="仿宋" w:hAnsi="仿宋" w:eastAsia="仿宋" w:cs="Arial"/>
          <w:b/>
          <w:color w:val="auto"/>
          <w:kern w:val="0"/>
          <w:sz w:val="28"/>
          <w:szCs w:val="22"/>
          <w:highlight w:val="none"/>
          <w:u w:val="single"/>
        </w:rPr>
        <w:t>（项目编号：</w:t>
      </w:r>
      <w:r>
        <w:rPr>
          <w:rFonts w:hint="eastAsia" w:ascii="仿宋" w:hAnsi="仿宋" w:eastAsia="仿宋" w:cs="Arial"/>
          <w:b/>
          <w:color w:val="auto"/>
          <w:kern w:val="0"/>
          <w:sz w:val="28"/>
          <w:szCs w:val="22"/>
          <w:highlight w:val="none"/>
          <w:u w:val="single"/>
          <w:lang w:eastAsia="zh-CN"/>
        </w:rPr>
        <w:t>CTZB-2024060047</w:t>
      </w:r>
      <w:r>
        <w:rPr>
          <w:rFonts w:ascii="仿宋" w:hAnsi="仿宋" w:eastAsia="仿宋" w:cs="Arial"/>
          <w:b/>
          <w:color w:val="auto"/>
          <w:kern w:val="0"/>
          <w:sz w:val="28"/>
          <w:szCs w:val="22"/>
          <w:highlight w:val="none"/>
          <w:u w:val="single"/>
        </w:rPr>
        <w:t>）</w:t>
      </w:r>
      <w:r>
        <w:rPr>
          <w:rFonts w:ascii="仿宋" w:hAnsi="仿宋" w:eastAsia="仿宋" w:cs="Arial"/>
          <w:color w:val="auto"/>
          <w:kern w:val="0"/>
          <w:sz w:val="28"/>
          <w:szCs w:val="22"/>
          <w:highlight w:val="none"/>
        </w:rPr>
        <w:t>的投标活动，并代表我方全权办理针对上述项目的投标、开标、评标、签约等具体事务和签署相关文件</w:t>
      </w:r>
      <w:r>
        <w:rPr>
          <w:rFonts w:hint="eastAsia" w:ascii="仿宋" w:hAnsi="仿宋" w:eastAsia="仿宋" w:cs="Arial"/>
          <w:color w:val="auto"/>
          <w:kern w:val="0"/>
          <w:sz w:val="28"/>
          <w:szCs w:val="22"/>
          <w:highlight w:val="none"/>
        </w:rPr>
        <w:t>、材料</w:t>
      </w:r>
      <w:r>
        <w:rPr>
          <w:rFonts w:ascii="仿宋" w:hAnsi="仿宋" w:eastAsia="仿宋" w:cs="Arial"/>
          <w:color w:val="auto"/>
          <w:kern w:val="0"/>
          <w:sz w:val="28"/>
          <w:szCs w:val="22"/>
          <w:highlight w:val="none"/>
        </w:rPr>
        <w:t>。</w:t>
      </w:r>
    </w:p>
    <w:p>
      <w:pPr>
        <w:spacing w:line="360" w:lineRule="auto"/>
        <w:ind w:firstLine="560" w:firstLineChars="200"/>
        <w:rPr>
          <w:rFonts w:ascii="仿宋" w:hAnsi="仿宋" w:eastAsia="仿宋" w:cs="Arial"/>
          <w:color w:val="auto"/>
          <w:kern w:val="0"/>
          <w:sz w:val="28"/>
          <w:szCs w:val="22"/>
          <w:highlight w:val="none"/>
        </w:rPr>
      </w:pPr>
      <w:r>
        <w:rPr>
          <w:rFonts w:ascii="仿宋" w:hAnsi="仿宋" w:eastAsia="仿宋" w:cs="Arial"/>
          <w:color w:val="auto"/>
          <w:kern w:val="0"/>
          <w:sz w:val="28"/>
          <w:szCs w:val="22"/>
          <w:highlight w:val="none"/>
        </w:rPr>
        <w:t>我方对被授权人的签名负全部责任。在撤销授权的书面通知以前，本授权书一直有效。被授权人在授权书有效期内签署的所有文件不因授权的撤销而失效。</w:t>
      </w:r>
    </w:p>
    <w:p>
      <w:pPr>
        <w:spacing w:line="360" w:lineRule="auto"/>
        <w:ind w:firstLine="560" w:firstLineChars="200"/>
        <w:rPr>
          <w:rFonts w:ascii="仿宋" w:hAnsi="仿宋" w:eastAsia="仿宋" w:cs="Arial"/>
          <w:color w:val="auto"/>
          <w:kern w:val="0"/>
          <w:sz w:val="28"/>
          <w:szCs w:val="22"/>
          <w:highlight w:val="none"/>
        </w:rPr>
      </w:pPr>
      <w:r>
        <w:rPr>
          <w:rFonts w:ascii="仿宋" w:hAnsi="仿宋" w:eastAsia="仿宋" w:cs="Arial"/>
          <w:color w:val="auto"/>
          <w:kern w:val="0"/>
          <w:sz w:val="28"/>
          <w:szCs w:val="22"/>
          <w:highlight w:val="none"/>
        </w:rPr>
        <w:t>被授权人无转委托权，特此委托。</w:t>
      </w:r>
    </w:p>
    <w:p>
      <w:pPr>
        <w:spacing w:line="360" w:lineRule="auto"/>
        <w:ind w:firstLine="562" w:firstLineChars="200"/>
        <w:rPr>
          <w:rFonts w:ascii="仿宋" w:hAnsi="仿宋" w:eastAsia="仿宋" w:cs="Arial"/>
          <w:b/>
          <w:color w:val="auto"/>
          <w:kern w:val="0"/>
          <w:sz w:val="28"/>
          <w:szCs w:val="22"/>
          <w:highlight w:val="none"/>
        </w:rPr>
      </w:pPr>
    </w:p>
    <w:p>
      <w:pPr>
        <w:spacing w:line="360" w:lineRule="auto"/>
        <w:ind w:firstLine="562" w:firstLineChars="200"/>
        <w:jc w:val="left"/>
        <w:rPr>
          <w:rFonts w:ascii="仿宋" w:hAnsi="仿宋" w:eastAsia="仿宋" w:cs="Arial"/>
          <w:color w:val="auto"/>
          <w:kern w:val="0"/>
          <w:sz w:val="28"/>
          <w:szCs w:val="22"/>
          <w:highlight w:val="none"/>
        </w:rPr>
      </w:pPr>
      <w:r>
        <w:rPr>
          <w:rFonts w:hint="eastAsia" w:ascii="仿宋" w:hAnsi="仿宋" w:eastAsia="仿宋" w:cs="Arial"/>
          <w:b/>
          <w:color w:val="auto"/>
          <w:kern w:val="0"/>
          <w:sz w:val="28"/>
          <w:szCs w:val="22"/>
          <w:highlight w:val="none"/>
        </w:rPr>
        <w:t>磋商</w:t>
      </w:r>
      <w:r>
        <w:rPr>
          <w:rFonts w:ascii="仿宋" w:hAnsi="仿宋" w:eastAsia="仿宋" w:cs="Arial"/>
          <w:b/>
          <w:color w:val="auto"/>
          <w:kern w:val="0"/>
          <w:sz w:val="28"/>
          <w:szCs w:val="22"/>
          <w:highlight w:val="none"/>
        </w:rPr>
        <w:t>供应商</w:t>
      </w:r>
      <w:r>
        <w:rPr>
          <w:rFonts w:hint="eastAsia" w:ascii="仿宋" w:hAnsi="仿宋" w:eastAsia="仿宋" w:cs="Arial"/>
          <w:b/>
          <w:color w:val="auto"/>
          <w:kern w:val="0"/>
          <w:sz w:val="28"/>
          <w:szCs w:val="22"/>
          <w:highlight w:val="none"/>
        </w:rPr>
        <w:t>（</w:t>
      </w:r>
      <w:r>
        <w:rPr>
          <w:rFonts w:ascii="仿宋" w:hAnsi="仿宋" w:eastAsia="仿宋" w:cs="Arial"/>
          <w:b/>
          <w:color w:val="auto"/>
          <w:kern w:val="0"/>
          <w:sz w:val="28"/>
          <w:szCs w:val="22"/>
          <w:highlight w:val="none"/>
        </w:rPr>
        <w:t>盖章</w:t>
      </w:r>
      <w:r>
        <w:rPr>
          <w:rFonts w:hint="eastAsia" w:ascii="仿宋" w:hAnsi="仿宋" w:eastAsia="仿宋" w:cs="Arial"/>
          <w:b/>
          <w:color w:val="auto"/>
          <w:kern w:val="0"/>
          <w:sz w:val="28"/>
          <w:szCs w:val="22"/>
          <w:highlight w:val="none"/>
        </w:rPr>
        <w:t>）</w:t>
      </w:r>
      <w:r>
        <w:rPr>
          <w:rFonts w:ascii="仿宋" w:hAnsi="仿宋" w:eastAsia="仿宋" w:cs="Arial"/>
          <w:color w:val="auto"/>
          <w:kern w:val="0"/>
          <w:sz w:val="28"/>
          <w:szCs w:val="22"/>
          <w:highlight w:val="none"/>
        </w:rPr>
        <w:t>：____________________________________</w:t>
      </w:r>
    </w:p>
    <w:p>
      <w:pPr>
        <w:spacing w:line="360" w:lineRule="auto"/>
        <w:ind w:firstLine="560" w:firstLineChars="200"/>
        <w:rPr>
          <w:rFonts w:ascii="仿宋" w:hAnsi="仿宋" w:eastAsia="仿宋" w:cs="Arial"/>
          <w:color w:val="auto"/>
          <w:kern w:val="0"/>
          <w:sz w:val="28"/>
          <w:szCs w:val="22"/>
          <w:highlight w:val="none"/>
        </w:rPr>
      </w:pPr>
      <w:r>
        <w:rPr>
          <w:rFonts w:hint="eastAsia" w:ascii="仿宋" w:hAnsi="仿宋" w:eastAsia="仿宋" w:cs="Arial"/>
          <w:color w:val="auto"/>
          <w:kern w:val="0"/>
          <w:sz w:val="28"/>
          <w:szCs w:val="22"/>
          <w:highlight w:val="none"/>
        </w:rPr>
        <w:t>日期</w:t>
      </w:r>
      <w:r>
        <w:rPr>
          <w:rFonts w:ascii="仿宋" w:hAnsi="仿宋" w:eastAsia="仿宋" w:cs="Arial"/>
          <w:color w:val="auto"/>
          <w:kern w:val="0"/>
          <w:sz w:val="28"/>
          <w:szCs w:val="22"/>
          <w:highlight w:val="none"/>
        </w:rPr>
        <w:t>：______年______月______日</w:t>
      </w:r>
    </w:p>
    <w:p>
      <w:pPr>
        <w:spacing w:line="360" w:lineRule="auto"/>
        <w:ind w:firstLine="560" w:firstLineChars="200"/>
        <w:rPr>
          <w:rFonts w:ascii="仿宋" w:hAnsi="仿宋" w:eastAsia="仿宋" w:cs="Arial"/>
          <w:color w:val="auto"/>
          <w:kern w:val="0"/>
          <w:sz w:val="28"/>
          <w:szCs w:val="22"/>
          <w:highlight w:val="none"/>
        </w:rPr>
      </w:pPr>
    </w:p>
    <w:p>
      <w:pPr>
        <w:spacing w:line="360" w:lineRule="auto"/>
        <w:rPr>
          <w:rFonts w:ascii="仿宋" w:hAnsi="仿宋" w:eastAsia="仿宋" w:cs="Arial"/>
          <w:color w:val="auto"/>
          <w:kern w:val="0"/>
          <w:sz w:val="28"/>
          <w:szCs w:val="22"/>
          <w:highlight w:val="none"/>
        </w:rPr>
      </w:pPr>
    </w:p>
    <w:p>
      <w:pPr>
        <w:spacing w:line="360" w:lineRule="auto"/>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后附证明材料（证明材料不齐全的，视为无效授权）：</w:t>
      </w:r>
    </w:p>
    <w:p>
      <w:pPr>
        <w:spacing w:line="360" w:lineRule="auto"/>
        <w:ind w:firstLine="482" w:firstLineChars="200"/>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1、被授权人（授权代表）身份证复印件（正反面均须提供）；</w:t>
      </w:r>
    </w:p>
    <w:p>
      <w:pPr>
        <w:pStyle w:val="4"/>
        <w:rPr>
          <w:color w:val="auto"/>
          <w:highlight w:val="none"/>
        </w:rPr>
      </w:pPr>
      <w:r>
        <w:rPr>
          <w:rFonts w:ascii="Calibri" w:hAnsi="Calibri" w:eastAsia="华文中宋" w:cs="Times New Roman"/>
          <w:b/>
          <w:bCs/>
          <w:color w:val="auto"/>
          <w:kern w:val="2"/>
          <w:sz w:val="30"/>
          <w:szCs w:val="30"/>
          <w:highlight w:val="none"/>
          <w:lang w:val="en-US" w:eastAsia="zh-CN" w:bidi="ar-SA"/>
        </w:rPr>
        <w:br w:type="page"/>
      </w:r>
      <w:r>
        <w:rPr>
          <w:rFonts w:hint="eastAsia"/>
          <w:color w:val="auto"/>
          <w:highlight w:val="none"/>
        </w:rPr>
        <w:t>2-4磋商供应商基本情况说明</w:t>
      </w:r>
    </w:p>
    <w:p>
      <w:pPr>
        <w:spacing w:line="360" w:lineRule="auto"/>
        <w:jc w:val="center"/>
        <w:rPr>
          <w:rFonts w:ascii="微软雅黑" w:hAnsi="微软雅黑" w:eastAsia="微软雅黑"/>
          <w:b/>
          <w:color w:val="auto"/>
          <w:sz w:val="40"/>
          <w:szCs w:val="44"/>
          <w:highlight w:val="none"/>
        </w:rPr>
      </w:pPr>
      <w:r>
        <w:rPr>
          <w:rFonts w:ascii="微软雅黑" w:hAnsi="微软雅黑" w:eastAsia="微软雅黑"/>
          <w:b/>
          <w:color w:val="auto"/>
          <w:sz w:val="40"/>
          <w:szCs w:val="44"/>
          <w:highlight w:val="none"/>
        </w:rPr>
        <w:t>磋商供应商</w:t>
      </w:r>
      <w:r>
        <w:rPr>
          <w:rFonts w:hint="eastAsia" w:ascii="微软雅黑" w:hAnsi="微软雅黑" w:eastAsia="微软雅黑"/>
          <w:b/>
          <w:color w:val="auto"/>
          <w:sz w:val="40"/>
          <w:szCs w:val="44"/>
          <w:highlight w:val="none"/>
        </w:rPr>
        <w:t>基本</w:t>
      </w:r>
      <w:r>
        <w:rPr>
          <w:rFonts w:ascii="微软雅黑" w:hAnsi="微软雅黑" w:eastAsia="微软雅黑"/>
          <w:b/>
          <w:color w:val="auto"/>
          <w:sz w:val="40"/>
          <w:szCs w:val="44"/>
          <w:highlight w:val="none"/>
        </w:rPr>
        <w:t>情况</w:t>
      </w:r>
      <w:r>
        <w:rPr>
          <w:rFonts w:hint="eastAsia" w:ascii="微软雅黑" w:hAnsi="微软雅黑" w:eastAsia="微软雅黑"/>
          <w:b/>
          <w:color w:val="auto"/>
          <w:sz w:val="40"/>
          <w:szCs w:val="44"/>
          <w:highlight w:val="none"/>
        </w:rPr>
        <w:t>说明（后附企业介绍）</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43"/>
        <w:gridCol w:w="3828"/>
        <w:gridCol w:w="1417"/>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3828" w:type="dxa"/>
            <w:vAlign w:val="center"/>
          </w:tcPr>
          <w:p>
            <w:pPr>
              <w:jc w:val="center"/>
              <w:rPr>
                <w:rFonts w:ascii="仿宋" w:hAnsi="仿宋" w:eastAsia="仿宋"/>
                <w:color w:val="auto"/>
                <w:sz w:val="24"/>
                <w:highlight w:val="none"/>
              </w:rPr>
            </w:pPr>
          </w:p>
        </w:tc>
        <w:tc>
          <w:tcPr>
            <w:tcW w:w="141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成立时间</w:t>
            </w:r>
          </w:p>
        </w:tc>
        <w:tc>
          <w:tcPr>
            <w:tcW w:w="2977"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注册地址</w:t>
            </w:r>
          </w:p>
        </w:tc>
        <w:tc>
          <w:tcPr>
            <w:tcW w:w="3828" w:type="dxa"/>
            <w:vAlign w:val="center"/>
          </w:tcPr>
          <w:p>
            <w:pPr>
              <w:jc w:val="center"/>
              <w:rPr>
                <w:rFonts w:ascii="仿宋" w:hAnsi="仿宋" w:eastAsia="仿宋"/>
                <w:color w:val="auto"/>
                <w:sz w:val="24"/>
                <w:highlight w:val="none"/>
              </w:rPr>
            </w:pPr>
          </w:p>
        </w:tc>
        <w:tc>
          <w:tcPr>
            <w:tcW w:w="141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统一社会</w:t>
            </w:r>
          </w:p>
          <w:p>
            <w:pPr>
              <w:jc w:val="center"/>
              <w:rPr>
                <w:rFonts w:ascii="仿宋" w:hAnsi="仿宋" w:eastAsia="仿宋"/>
                <w:color w:val="auto"/>
                <w:sz w:val="24"/>
                <w:highlight w:val="none"/>
              </w:rPr>
            </w:pPr>
            <w:r>
              <w:rPr>
                <w:rFonts w:hint="eastAsia" w:ascii="仿宋" w:hAnsi="仿宋" w:eastAsia="仿宋"/>
                <w:color w:val="auto"/>
                <w:sz w:val="24"/>
                <w:highlight w:val="none"/>
              </w:rPr>
              <w:t>信用代码</w:t>
            </w:r>
          </w:p>
        </w:tc>
        <w:tc>
          <w:tcPr>
            <w:tcW w:w="2977"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生产经营</w:t>
            </w:r>
          </w:p>
          <w:p>
            <w:pPr>
              <w:jc w:val="center"/>
              <w:rPr>
                <w:rFonts w:ascii="仿宋" w:hAnsi="仿宋" w:eastAsia="仿宋"/>
                <w:color w:val="auto"/>
                <w:sz w:val="24"/>
                <w:highlight w:val="none"/>
              </w:rPr>
            </w:pPr>
            <w:r>
              <w:rPr>
                <w:rFonts w:hint="eastAsia" w:ascii="仿宋" w:hAnsi="仿宋" w:eastAsia="仿宋"/>
                <w:color w:val="auto"/>
                <w:sz w:val="24"/>
                <w:highlight w:val="none"/>
              </w:rPr>
              <w:t>场所</w:t>
            </w:r>
          </w:p>
        </w:tc>
        <w:tc>
          <w:tcPr>
            <w:tcW w:w="3828" w:type="dxa"/>
            <w:vAlign w:val="center"/>
          </w:tcPr>
          <w:p>
            <w:pPr>
              <w:jc w:val="center"/>
              <w:rPr>
                <w:rFonts w:ascii="仿宋" w:hAnsi="仿宋" w:eastAsia="仿宋"/>
                <w:color w:val="auto"/>
                <w:sz w:val="24"/>
                <w:highlight w:val="none"/>
              </w:rPr>
            </w:pPr>
          </w:p>
        </w:tc>
        <w:tc>
          <w:tcPr>
            <w:tcW w:w="141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法定代表人</w:t>
            </w:r>
          </w:p>
          <w:p>
            <w:pP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2977"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有效资质证书</w:t>
            </w:r>
          </w:p>
          <w:p>
            <w:pPr>
              <w:jc w:val="center"/>
              <w:rPr>
                <w:rFonts w:ascii="仿宋" w:hAnsi="仿宋" w:eastAsia="仿宋"/>
                <w:color w:val="auto"/>
                <w:sz w:val="24"/>
                <w:highlight w:val="none"/>
              </w:rPr>
            </w:pPr>
            <w:r>
              <w:rPr>
                <w:rFonts w:hint="eastAsia" w:ascii="仿宋" w:hAnsi="仿宋" w:eastAsia="仿宋"/>
                <w:color w:val="auto"/>
                <w:sz w:val="24"/>
                <w:highlight w:val="none"/>
              </w:rPr>
              <w:t>（名称、编号）</w:t>
            </w:r>
          </w:p>
        </w:tc>
        <w:tc>
          <w:tcPr>
            <w:tcW w:w="3828" w:type="dxa"/>
            <w:vAlign w:val="center"/>
          </w:tcPr>
          <w:p>
            <w:pPr>
              <w:jc w:val="center"/>
              <w:rPr>
                <w:rFonts w:ascii="仿宋" w:hAnsi="仿宋" w:eastAsia="仿宋"/>
                <w:color w:val="auto"/>
                <w:sz w:val="24"/>
                <w:highlight w:val="none"/>
              </w:rPr>
            </w:pPr>
          </w:p>
        </w:tc>
        <w:tc>
          <w:tcPr>
            <w:tcW w:w="141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主要负责人</w:t>
            </w:r>
          </w:p>
          <w:p>
            <w:pP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2977"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股东信息</w:t>
            </w:r>
          </w:p>
        </w:tc>
        <w:tc>
          <w:tcPr>
            <w:tcW w:w="8222" w:type="dxa"/>
            <w:gridSpan w:val="3"/>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（股东姓名、持股比例、任职情况）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注册资本</w:t>
            </w:r>
          </w:p>
        </w:tc>
        <w:tc>
          <w:tcPr>
            <w:tcW w:w="3828" w:type="dxa"/>
            <w:vAlign w:val="center"/>
          </w:tcPr>
          <w:p>
            <w:pPr>
              <w:jc w:val="center"/>
              <w:rPr>
                <w:rFonts w:ascii="仿宋" w:hAnsi="仿宋" w:eastAsia="仿宋"/>
                <w:color w:val="auto"/>
                <w:sz w:val="24"/>
                <w:highlight w:val="none"/>
              </w:rPr>
            </w:pPr>
          </w:p>
        </w:tc>
        <w:tc>
          <w:tcPr>
            <w:tcW w:w="141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企业信用</w:t>
            </w:r>
          </w:p>
          <w:p>
            <w:pPr>
              <w:jc w:val="center"/>
              <w:rPr>
                <w:rFonts w:ascii="仿宋" w:hAnsi="仿宋" w:eastAsia="仿宋"/>
                <w:color w:val="auto"/>
                <w:sz w:val="24"/>
                <w:highlight w:val="none"/>
              </w:rPr>
            </w:pPr>
            <w:r>
              <w:rPr>
                <w:rFonts w:hint="eastAsia" w:ascii="仿宋" w:hAnsi="仿宋" w:eastAsia="仿宋"/>
                <w:color w:val="auto"/>
                <w:sz w:val="24"/>
                <w:highlight w:val="none"/>
              </w:rPr>
              <w:t>等级</w:t>
            </w:r>
          </w:p>
        </w:tc>
        <w:tc>
          <w:tcPr>
            <w:tcW w:w="2977"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专业技术力量</w:t>
            </w:r>
          </w:p>
        </w:tc>
        <w:tc>
          <w:tcPr>
            <w:tcW w:w="8222" w:type="dxa"/>
            <w:gridSpan w:val="3"/>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（与本项目合同履约有关的专业技术力量情况说明）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专业设备</w:t>
            </w:r>
          </w:p>
        </w:tc>
        <w:tc>
          <w:tcPr>
            <w:tcW w:w="8222" w:type="dxa"/>
            <w:gridSpan w:val="3"/>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（与本项目合同履约有关的专业设备情况说明）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售后服务机构</w:t>
            </w:r>
          </w:p>
        </w:tc>
        <w:tc>
          <w:tcPr>
            <w:tcW w:w="8222" w:type="dxa"/>
            <w:gridSpan w:val="3"/>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（售后服务机构名称、地址等情况说明。如有，请说明）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其他说明</w:t>
            </w:r>
          </w:p>
        </w:tc>
        <w:tc>
          <w:tcPr>
            <w:tcW w:w="8222" w:type="dxa"/>
            <w:gridSpan w:val="3"/>
            <w:vAlign w:val="center"/>
          </w:tcPr>
          <w:p>
            <w:pPr>
              <w:jc w:val="center"/>
              <w:rPr>
                <w:rFonts w:ascii="仿宋" w:hAnsi="仿宋" w:eastAsia="仿宋"/>
                <w:color w:val="auto"/>
                <w:sz w:val="24"/>
                <w:highlight w:val="none"/>
              </w:rPr>
            </w:pPr>
          </w:p>
        </w:tc>
      </w:tr>
    </w:tbl>
    <w:p>
      <w:pPr>
        <w:spacing w:line="360" w:lineRule="auto"/>
        <w:jc w:val="left"/>
        <w:rPr>
          <w:rFonts w:ascii="仿宋" w:hAnsi="仿宋" w:eastAsia="仿宋" w:cs="Arial"/>
          <w:color w:val="auto"/>
          <w:sz w:val="24"/>
          <w:highlight w:val="none"/>
        </w:rPr>
      </w:pPr>
    </w:p>
    <w:p>
      <w:pPr>
        <w:spacing w:line="360" w:lineRule="auto"/>
        <w:jc w:val="left"/>
        <w:rPr>
          <w:rFonts w:ascii="仿宋" w:hAnsi="仿宋" w:eastAsia="仿宋" w:cs="Arial"/>
          <w:color w:val="auto"/>
          <w:sz w:val="24"/>
          <w:highlight w:val="none"/>
        </w:rPr>
      </w:pPr>
      <w:r>
        <w:rPr>
          <w:rFonts w:ascii="仿宋" w:hAnsi="仿宋" w:eastAsia="仿宋" w:cs="Arial"/>
          <w:color w:val="auto"/>
          <w:sz w:val="24"/>
          <w:highlight w:val="none"/>
        </w:rPr>
        <w:t>磋商供应商名称</w:t>
      </w:r>
      <w:r>
        <w:rPr>
          <w:rFonts w:hint="eastAsia" w:ascii="仿宋" w:hAnsi="仿宋" w:eastAsia="仿宋" w:cs="Arial"/>
          <w:color w:val="auto"/>
          <w:sz w:val="24"/>
          <w:highlight w:val="none"/>
        </w:rPr>
        <w:t>（盖章）：</w:t>
      </w:r>
      <w:r>
        <w:rPr>
          <w:rFonts w:ascii="仿宋" w:hAnsi="仿宋" w:eastAsia="仿宋" w:cs="Arial"/>
          <w:color w:val="auto"/>
          <w:kern w:val="0"/>
          <w:sz w:val="24"/>
          <w:highlight w:val="none"/>
        </w:rPr>
        <w:t>___________________________________________</w:t>
      </w:r>
    </w:p>
    <w:p>
      <w:pPr>
        <w:spacing w:line="360" w:lineRule="auto"/>
        <w:jc w:val="left"/>
        <w:rPr>
          <w:rFonts w:ascii="Calibri" w:hAnsi="Calibri"/>
          <w:color w:val="auto"/>
          <w:highlight w:val="none"/>
        </w:rPr>
      </w:pPr>
      <w:r>
        <w:rPr>
          <w:rFonts w:ascii="仿宋" w:hAnsi="仿宋" w:eastAsia="仿宋" w:cs="Arial"/>
          <w:color w:val="auto"/>
          <w:sz w:val="24"/>
          <w:highlight w:val="none"/>
        </w:rPr>
        <w:t>日期</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日</w:t>
      </w:r>
    </w:p>
    <w:p>
      <w:pPr>
        <w:pStyle w:val="4"/>
        <w:rPr>
          <w:color w:val="auto"/>
          <w:highlight w:val="none"/>
        </w:rPr>
      </w:pPr>
      <w:r>
        <w:rPr>
          <w:rFonts w:ascii="仿宋" w:hAnsi="仿宋" w:eastAsia="仿宋" w:cs="Arial"/>
          <w:color w:val="auto"/>
          <w:highlight w:val="none"/>
        </w:rPr>
        <w:br w:type="page"/>
      </w:r>
      <w:r>
        <w:rPr>
          <w:rFonts w:hint="eastAsia" w:eastAsia="仿宋"/>
          <w:color w:val="auto"/>
          <w:highlight w:val="none"/>
        </w:rPr>
        <w:t>2</w:t>
      </w:r>
      <w:r>
        <w:rPr>
          <w:rFonts w:hint="eastAsia"/>
          <w:color w:val="auto"/>
          <w:highlight w:val="none"/>
        </w:rPr>
        <w:t xml:space="preserve">-5 </w:t>
      </w:r>
      <w:r>
        <w:rPr>
          <w:rFonts w:hint="eastAsia"/>
          <w:color w:val="auto"/>
          <w:highlight w:val="none"/>
          <w:lang w:val="en-US" w:eastAsia="zh-CN"/>
        </w:rPr>
        <w:t>磋商</w:t>
      </w:r>
      <w:r>
        <w:rPr>
          <w:rFonts w:hint="eastAsia"/>
          <w:color w:val="auto"/>
          <w:highlight w:val="none"/>
        </w:rPr>
        <w:t>供应商业绩汇总表及证明材料</w:t>
      </w:r>
    </w:p>
    <w:p>
      <w:pPr>
        <w:spacing w:before="240" w:line="360" w:lineRule="auto"/>
        <w:jc w:val="center"/>
        <w:rPr>
          <w:rFonts w:hint="eastAsia" w:ascii="微软雅黑" w:hAnsi="微软雅黑" w:eastAsia="微软雅黑"/>
          <w:b/>
          <w:color w:val="auto"/>
          <w:sz w:val="22"/>
          <w:szCs w:val="24"/>
          <w:highlight w:val="none"/>
        </w:rPr>
      </w:pPr>
    </w:p>
    <w:p>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供应商类似业绩汇总表及</w:t>
      </w:r>
      <w:r>
        <w:rPr>
          <w:rFonts w:ascii="微软雅黑" w:hAnsi="微软雅黑" w:eastAsia="微软雅黑"/>
          <w:b/>
          <w:color w:val="auto"/>
          <w:sz w:val="40"/>
          <w:szCs w:val="44"/>
          <w:highlight w:val="none"/>
        </w:rPr>
        <w:t>证明</w:t>
      </w:r>
      <w:r>
        <w:rPr>
          <w:rFonts w:hint="eastAsia" w:ascii="微软雅黑" w:hAnsi="微软雅黑" w:eastAsia="微软雅黑"/>
          <w:b/>
          <w:color w:val="auto"/>
          <w:sz w:val="40"/>
          <w:szCs w:val="44"/>
          <w:highlight w:val="none"/>
        </w:rPr>
        <w:t>材料</w:t>
      </w:r>
    </w:p>
    <w:p>
      <w:pPr>
        <w:jc w:val="center"/>
        <w:rPr>
          <w:rFonts w:ascii="华文中宋" w:hAnsi="华文中宋" w:eastAsia="华文中宋"/>
          <w:b/>
          <w:color w:val="auto"/>
          <w:kern w:val="0"/>
          <w:sz w:val="20"/>
          <w:szCs w:val="28"/>
          <w:highlight w:val="none"/>
        </w:rPr>
      </w:pPr>
    </w:p>
    <w:p>
      <w:pPr>
        <w:spacing w:line="360" w:lineRule="auto"/>
        <w:ind w:right="-2"/>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rPr>
        <w:t>项目</w:t>
      </w:r>
      <w:r>
        <w:rPr>
          <w:rFonts w:ascii="仿宋" w:hAnsi="仿宋" w:eastAsia="仿宋" w:cs="Arial"/>
          <w:b/>
          <w:color w:val="auto"/>
          <w:sz w:val="24"/>
          <w:highlight w:val="none"/>
        </w:rPr>
        <w:t>名称：</w:t>
      </w:r>
      <w:r>
        <w:rPr>
          <w:rFonts w:hint="eastAsia" w:ascii="仿宋" w:hAnsi="仿宋" w:eastAsia="仿宋" w:cs="Arial"/>
          <w:b/>
          <w:color w:val="auto"/>
          <w:sz w:val="24"/>
          <w:highlight w:val="none"/>
          <w:u w:val="single"/>
          <w:lang w:eastAsia="zh-CN"/>
        </w:rPr>
        <w:t>浙江中医药大学富春校区及滨文南区消防设施设备日常零星维修改造</w:t>
      </w:r>
    </w:p>
    <w:p>
      <w:pPr>
        <w:pStyle w:val="29"/>
        <w:rPr>
          <w:rFonts w:hint="eastAsia" w:eastAsia="仿宋"/>
          <w:color w:val="auto"/>
          <w:highlight w:val="none"/>
          <w:lang w:eastAsia="zh-CN"/>
        </w:rPr>
      </w:pPr>
      <w:r>
        <w:rPr>
          <w:rFonts w:ascii="仿宋" w:hAnsi="仿宋" w:eastAsia="仿宋"/>
          <w:b/>
          <w:color w:val="auto"/>
          <w:highlight w:val="none"/>
        </w:rPr>
        <w:t>项目编号：</w:t>
      </w:r>
      <w:r>
        <w:rPr>
          <w:rFonts w:hint="eastAsia" w:ascii="仿宋" w:hAnsi="仿宋" w:eastAsia="仿宋"/>
          <w:b/>
          <w:color w:val="auto"/>
          <w:highlight w:val="none"/>
          <w:u w:val="single"/>
          <w:lang w:eastAsia="zh-CN"/>
        </w:rPr>
        <w:t>CTZB-2024060047</w:t>
      </w:r>
    </w:p>
    <w:tbl>
      <w:tblPr>
        <w:tblStyle w:val="23"/>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1873"/>
        <w:gridCol w:w="23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spacing w:line="400" w:lineRule="exact"/>
              <w:jc w:val="center"/>
              <w:rPr>
                <w:rFonts w:ascii="仿宋" w:hAnsi="仿宋" w:eastAsia="仿宋" w:cs="Arial"/>
                <w:b/>
                <w:color w:val="auto"/>
                <w:kern w:val="0"/>
                <w:sz w:val="22"/>
                <w:szCs w:val="22"/>
                <w:highlight w:val="none"/>
              </w:rPr>
            </w:pPr>
            <w:r>
              <w:rPr>
                <w:rFonts w:ascii="仿宋" w:hAnsi="仿宋" w:eastAsia="仿宋" w:cs="Arial"/>
                <w:b/>
                <w:color w:val="auto"/>
                <w:kern w:val="0"/>
                <w:sz w:val="22"/>
                <w:szCs w:val="22"/>
                <w:highlight w:val="none"/>
              </w:rPr>
              <w:t>序号</w:t>
            </w:r>
          </w:p>
        </w:tc>
        <w:tc>
          <w:tcPr>
            <w:tcW w:w="1699" w:type="dxa"/>
            <w:shd w:val="clear" w:color="auto" w:fill="auto"/>
            <w:vAlign w:val="center"/>
          </w:tcPr>
          <w:p>
            <w:pPr>
              <w:spacing w:line="400" w:lineRule="exact"/>
              <w:jc w:val="center"/>
              <w:rPr>
                <w:rFonts w:ascii="仿宋" w:hAnsi="仿宋" w:eastAsia="仿宋" w:cs="Arial"/>
                <w:b/>
                <w:color w:val="auto"/>
                <w:kern w:val="0"/>
                <w:sz w:val="22"/>
                <w:szCs w:val="22"/>
                <w:highlight w:val="none"/>
              </w:rPr>
            </w:pPr>
            <w:r>
              <w:rPr>
                <w:rFonts w:ascii="仿宋" w:hAnsi="仿宋" w:eastAsia="仿宋" w:cs="Arial"/>
                <w:b/>
                <w:color w:val="auto"/>
                <w:kern w:val="0"/>
                <w:sz w:val="22"/>
                <w:szCs w:val="22"/>
                <w:highlight w:val="none"/>
              </w:rPr>
              <w:t>用户单位</w:t>
            </w:r>
          </w:p>
        </w:tc>
        <w:tc>
          <w:tcPr>
            <w:tcW w:w="1873" w:type="dxa"/>
            <w:shd w:val="clear" w:color="auto" w:fill="auto"/>
            <w:vAlign w:val="center"/>
          </w:tcPr>
          <w:p>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合同内容</w:t>
            </w:r>
          </w:p>
        </w:tc>
        <w:tc>
          <w:tcPr>
            <w:tcW w:w="2320" w:type="dxa"/>
            <w:shd w:val="clear" w:color="auto" w:fill="auto"/>
            <w:vAlign w:val="center"/>
          </w:tcPr>
          <w:p>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用户</w:t>
            </w:r>
            <w:r>
              <w:rPr>
                <w:rFonts w:ascii="仿宋" w:hAnsi="仿宋" w:eastAsia="仿宋" w:cs="Arial"/>
                <w:b/>
                <w:color w:val="auto"/>
                <w:kern w:val="0"/>
                <w:sz w:val="22"/>
                <w:szCs w:val="22"/>
                <w:highlight w:val="none"/>
              </w:rPr>
              <w:t>联系</w:t>
            </w:r>
            <w:r>
              <w:rPr>
                <w:rFonts w:hint="eastAsia" w:ascii="仿宋" w:hAnsi="仿宋" w:eastAsia="仿宋" w:cs="Arial"/>
                <w:b/>
                <w:color w:val="auto"/>
                <w:kern w:val="0"/>
                <w:sz w:val="22"/>
                <w:szCs w:val="22"/>
                <w:highlight w:val="none"/>
              </w:rPr>
              <w:t>人及</w:t>
            </w:r>
            <w:r>
              <w:rPr>
                <w:rFonts w:ascii="仿宋" w:hAnsi="仿宋" w:eastAsia="仿宋" w:cs="Arial"/>
                <w:b/>
                <w:color w:val="auto"/>
                <w:kern w:val="0"/>
                <w:sz w:val="22"/>
                <w:szCs w:val="22"/>
                <w:highlight w:val="none"/>
              </w:rPr>
              <w:t>电话</w:t>
            </w:r>
          </w:p>
        </w:tc>
        <w:tc>
          <w:tcPr>
            <w:tcW w:w="1860" w:type="dxa"/>
            <w:shd w:val="clear" w:color="auto" w:fill="auto"/>
            <w:vAlign w:val="center"/>
          </w:tcPr>
          <w:p>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color w:val="auto"/>
                <w:highlight w:val="none"/>
              </w:rPr>
            </w:pPr>
          </w:p>
        </w:tc>
        <w:tc>
          <w:tcPr>
            <w:tcW w:w="1699" w:type="dxa"/>
            <w:shd w:val="clear" w:color="auto" w:fill="auto"/>
            <w:vAlign w:val="center"/>
          </w:tcPr>
          <w:p>
            <w:pPr>
              <w:jc w:val="center"/>
              <w:rPr>
                <w:rFonts w:ascii="仿宋" w:hAnsi="仿宋" w:eastAsia="仿宋"/>
                <w:color w:val="auto"/>
                <w:highlight w:val="none"/>
              </w:rPr>
            </w:pPr>
          </w:p>
        </w:tc>
        <w:tc>
          <w:tcPr>
            <w:tcW w:w="1873" w:type="dxa"/>
            <w:shd w:val="clear" w:color="auto" w:fill="auto"/>
            <w:vAlign w:val="center"/>
          </w:tcPr>
          <w:p>
            <w:pPr>
              <w:jc w:val="center"/>
              <w:rPr>
                <w:rFonts w:ascii="仿宋" w:hAnsi="仿宋" w:eastAsia="仿宋"/>
                <w:color w:val="auto"/>
                <w:highlight w:val="none"/>
              </w:rPr>
            </w:pPr>
          </w:p>
        </w:tc>
        <w:tc>
          <w:tcPr>
            <w:tcW w:w="2320" w:type="dxa"/>
            <w:shd w:val="clear" w:color="auto" w:fill="auto"/>
            <w:vAlign w:val="center"/>
          </w:tcPr>
          <w:p>
            <w:pPr>
              <w:jc w:val="center"/>
              <w:rPr>
                <w:rFonts w:ascii="仿宋" w:hAnsi="仿宋" w:eastAsia="仿宋"/>
                <w:color w:val="auto"/>
                <w:highlight w:val="none"/>
              </w:rPr>
            </w:pPr>
          </w:p>
        </w:tc>
        <w:tc>
          <w:tcPr>
            <w:tcW w:w="1860" w:type="dxa"/>
            <w:shd w:val="clear" w:color="auto" w:fill="auto"/>
            <w:vAlign w:val="center"/>
          </w:tcPr>
          <w:p>
            <w:pPr>
              <w:jc w:val="center"/>
              <w:rPr>
                <w:rFonts w:ascii="仿宋" w:hAnsi="仿宋" w:eastAsia="仿宋"/>
                <w:color w:val="auto"/>
                <w:highlight w:val="none"/>
              </w:rPr>
            </w:pPr>
          </w:p>
        </w:tc>
      </w:tr>
    </w:tbl>
    <w:p>
      <w:pPr>
        <w:rPr>
          <w:rFonts w:ascii="Calibri" w:hAnsi="Calibri"/>
          <w:color w:val="auto"/>
          <w:highlight w:val="none"/>
        </w:rPr>
      </w:pPr>
    </w:p>
    <w:p>
      <w:pPr>
        <w:spacing w:line="360" w:lineRule="auto"/>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备注：证明材料见评审要求。</w:t>
      </w:r>
    </w:p>
    <w:p>
      <w:pPr>
        <w:spacing w:line="360" w:lineRule="auto"/>
        <w:rPr>
          <w:rFonts w:ascii="仿宋" w:hAnsi="仿宋" w:eastAsia="仿宋" w:cs="Arial"/>
          <w:color w:val="auto"/>
          <w:sz w:val="24"/>
          <w:szCs w:val="22"/>
          <w:highlight w:val="none"/>
        </w:rPr>
      </w:pPr>
    </w:p>
    <w:p>
      <w:pPr>
        <w:spacing w:line="360" w:lineRule="auto"/>
        <w:rPr>
          <w:rFonts w:ascii="仿宋" w:hAnsi="仿宋" w:eastAsia="仿宋" w:cs="Arial"/>
          <w:color w:val="auto"/>
          <w:sz w:val="24"/>
          <w:szCs w:val="22"/>
          <w:highlight w:val="none"/>
        </w:rPr>
      </w:pPr>
    </w:p>
    <w:p>
      <w:pPr>
        <w:spacing w:line="360" w:lineRule="auto"/>
        <w:rPr>
          <w:rFonts w:ascii="仿宋" w:hAnsi="仿宋" w:eastAsia="仿宋" w:cs="Arial"/>
          <w:color w:val="auto"/>
          <w:sz w:val="22"/>
          <w:szCs w:val="22"/>
          <w:highlight w:val="none"/>
        </w:rPr>
      </w:pPr>
    </w:p>
    <w:p>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kern w:val="0"/>
          <w:sz w:val="24"/>
          <w:highlight w:val="none"/>
        </w:rPr>
        <w:t>____________________________________________</w:t>
      </w:r>
    </w:p>
    <w:p>
      <w:pPr>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pPr>
        <w:rPr>
          <w:rFonts w:ascii="仿宋" w:hAnsi="仿宋" w:eastAsia="仿宋" w:cs="Arial"/>
          <w:color w:val="auto"/>
          <w:kern w:val="0"/>
          <w:sz w:val="24"/>
          <w:highlight w:val="none"/>
        </w:rPr>
      </w:pPr>
    </w:p>
    <w:p>
      <w:pPr>
        <w:rPr>
          <w:rFonts w:ascii="Calibri" w:hAnsi="Calibri"/>
          <w:color w:val="auto"/>
          <w:highlight w:val="none"/>
        </w:rPr>
      </w:pPr>
    </w:p>
    <w:p>
      <w:pPr>
        <w:rPr>
          <w:rFonts w:ascii="Calibri" w:hAnsi="Calibri"/>
          <w:color w:val="auto"/>
          <w:highlight w:val="none"/>
        </w:rPr>
      </w:pPr>
    </w:p>
    <w:p>
      <w:pPr>
        <w:pStyle w:val="4"/>
        <w:rPr>
          <w:color w:val="auto"/>
          <w:highlight w:val="none"/>
        </w:rPr>
        <w:sectPr>
          <w:headerReference r:id="rId25" w:type="first"/>
          <w:headerReference r:id="rId23" w:type="default"/>
          <w:footerReference r:id="rId26" w:type="default"/>
          <w:headerReference r:id="rId24" w:type="even"/>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4"/>
        <w:rPr>
          <w:color w:val="auto"/>
          <w:highlight w:val="none"/>
        </w:rPr>
      </w:pPr>
      <w:r>
        <w:rPr>
          <w:rFonts w:hint="eastAsia"/>
          <w:color w:val="auto"/>
          <w:highlight w:val="none"/>
        </w:rPr>
        <w:t xml:space="preserve">2-6 </w:t>
      </w:r>
      <w:r>
        <w:rPr>
          <w:rFonts w:hint="eastAsia"/>
          <w:color w:val="auto"/>
          <w:highlight w:val="none"/>
          <w:lang w:val="en-US" w:eastAsia="zh-CN"/>
        </w:rPr>
        <w:t>磋商</w:t>
      </w:r>
      <w:r>
        <w:rPr>
          <w:rFonts w:hint="eastAsia"/>
          <w:color w:val="auto"/>
          <w:highlight w:val="none"/>
        </w:rPr>
        <w:t>响应表</w:t>
      </w:r>
    </w:p>
    <w:p>
      <w:pPr>
        <w:spacing w:line="360" w:lineRule="auto"/>
        <w:ind w:firstLine="4"/>
        <w:jc w:val="center"/>
        <w:rPr>
          <w:rFonts w:hint="eastAsia"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lang w:val="en-US" w:eastAsia="zh-CN"/>
        </w:rPr>
        <w:t>磋商</w:t>
      </w:r>
      <w:r>
        <w:rPr>
          <w:rFonts w:hint="eastAsia" w:ascii="微软雅黑" w:hAnsi="微软雅黑" w:eastAsia="微软雅黑"/>
          <w:b/>
          <w:color w:val="auto"/>
          <w:sz w:val="40"/>
          <w:szCs w:val="44"/>
          <w:highlight w:val="none"/>
        </w:rPr>
        <w:t>响应表</w:t>
      </w:r>
    </w:p>
    <w:p>
      <w:pPr>
        <w:spacing w:line="360" w:lineRule="auto"/>
        <w:ind w:firstLine="4"/>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浙江中医药大学富春校区及滨文南区消防设施设备日常零星维修改造</w:t>
      </w:r>
    </w:p>
    <w:p>
      <w:pPr>
        <w:spacing w:line="360" w:lineRule="auto"/>
        <w:ind w:firstLine="4"/>
        <w:rPr>
          <w:color w:val="auto"/>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CTZB-2024060047</w:t>
      </w:r>
      <w:r>
        <w:rPr>
          <w:rFonts w:hint="eastAsia" w:ascii="仿宋" w:hAnsi="仿宋" w:eastAsia="仿宋" w:cs="Arial"/>
          <w:b/>
          <w:color w:val="auto"/>
          <w:kern w:val="0"/>
          <w:sz w:val="24"/>
          <w:highlight w:val="none"/>
          <w:u w:val="single"/>
        </w:rPr>
        <w:t xml:space="preserve"> </w:t>
      </w:r>
    </w:p>
    <w:p>
      <w:pPr>
        <w:pStyle w:val="29"/>
        <w:rPr>
          <w:color w:val="auto"/>
          <w:highlight w:val="none"/>
        </w:rPr>
      </w:pPr>
    </w:p>
    <w:tbl>
      <w:tblPr>
        <w:tblStyle w:val="23"/>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63"/>
        <w:gridCol w:w="3477"/>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b/>
                <w:color w:val="auto"/>
                <w:szCs w:val="21"/>
                <w:highlight w:val="none"/>
              </w:rPr>
            </w:pPr>
            <w:r>
              <w:rPr>
                <w:rFonts w:ascii="仿宋" w:hAnsi="仿宋" w:eastAsia="仿宋"/>
                <w:b/>
                <w:color w:val="auto"/>
                <w:szCs w:val="21"/>
                <w:highlight w:val="none"/>
              </w:rPr>
              <w:t>序号</w:t>
            </w:r>
          </w:p>
        </w:tc>
        <w:tc>
          <w:tcPr>
            <w:tcW w:w="2163" w:type="dxa"/>
            <w:tcBorders>
              <w:left w:val="single" w:color="auto" w:sz="4" w:space="0"/>
            </w:tcBorders>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采购要求</w:t>
            </w:r>
          </w:p>
        </w:tc>
        <w:tc>
          <w:tcPr>
            <w:tcW w:w="3477" w:type="dxa"/>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响应（逐一对应）</w:t>
            </w:r>
          </w:p>
        </w:tc>
        <w:tc>
          <w:tcPr>
            <w:tcW w:w="1952" w:type="dxa"/>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2163" w:type="dxa"/>
            <w:tcBorders>
              <w:left w:val="single" w:color="auto" w:sz="4" w:space="0"/>
            </w:tcBorders>
            <w:vAlign w:val="center"/>
          </w:tcPr>
          <w:p>
            <w:pPr>
              <w:rPr>
                <w:rFonts w:ascii="仿宋" w:hAnsi="仿宋" w:eastAsia="仿宋"/>
                <w:color w:val="auto"/>
                <w:szCs w:val="21"/>
                <w:highlight w:val="none"/>
              </w:rPr>
            </w:pPr>
          </w:p>
        </w:tc>
        <w:tc>
          <w:tcPr>
            <w:tcW w:w="3477" w:type="dxa"/>
            <w:vAlign w:val="center"/>
          </w:tcPr>
          <w:p>
            <w:pPr>
              <w:rPr>
                <w:rFonts w:ascii="仿宋" w:hAnsi="仿宋" w:eastAsia="仿宋"/>
                <w:color w:val="auto"/>
                <w:szCs w:val="21"/>
                <w:highlight w:val="none"/>
              </w:rPr>
            </w:pPr>
          </w:p>
        </w:tc>
        <w:tc>
          <w:tcPr>
            <w:tcW w:w="1952" w:type="dxa"/>
            <w:vAlign w:val="center"/>
          </w:tcPr>
          <w:p>
            <w:pPr>
              <w:rPr>
                <w:rFonts w:ascii="仿宋" w:hAnsi="仿宋" w:eastAsia="仿宋"/>
                <w:color w:val="auto"/>
                <w:szCs w:val="21"/>
                <w:highlight w:val="none"/>
              </w:rPr>
            </w:pPr>
          </w:p>
        </w:tc>
      </w:tr>
    </w:tbl>
    <w:p>
      <w:pPr>
        <w:snapToGrid w:val="0"/>
        <w:spacing w:line="360" w:lineRule="auto"/>
        <w:ind w:left="-8" w:right="-924" w:rightChars="-440" w:firstLine="9"/>
        <w:rPr>
          <w:rFonts w:ascii="仿宋" w:hAnsi="仿宋" w:eastAsia="仿宋" w:cs="Arial"/>
          <w:color w:val="auto"/>
          <w:sz w:val="24"/>
          <w:highlight w:val="none"/>
        </w:rPr>
      </w:pPr>
    </w:p>
    <w:p>
      <w:pPr>
        <w:snapToGrid w:val="0"/>
        <w:spacing w:line="360" w:lineRule="auto"/>
        <w:ind w:right="-924" w:rightChars="-440"/>
        <w:rPr>
          <w:rFonts w:ascii="仿宋" w:hAnsi="仿宋" w:eastAsia="仿宋" w:cs="Arial"/>
          <w:b/>
          <w:iCs/>
          <w:color w:val="auto"/>
          <w:sz w:val="24"/>
          <w:highlight w:val="none"/>
        </w:rPr>
      </w:pPr>
      <w:r>
        <w:rPr>
          <w:rFonts w:hint="eastAsia" w:ascii="仿宋" w:hAnsi="仿宋" w:eastAsia="仿宋" w:cs="Arial"/>
          <w:color w:val="auto"/>
          <w:sz w:val="24"/>
          <w:highlight w:val="none"/>
        </w:rPr>
        <w:t>填写说明：</w:t>
      </w:r>
      <w:r>
        <w:rPr>
          <w:rFonts w:hint="eastAsia" w:ascii="仿宋" w:hAnsi="仿宋" w:eastAsia="仿宋" w:cs="Arial"/>
          <w:b/>
          <w:color w:val="auto"/>
          <w:sz w:val="24"/>
          <w:highlight w:val="none"/>
        </w:rPr>
        <w:t>1</w:t>
      </w:r>
      <w:r>
        <w:rPr>
          <w:rFonts w:ascii="仿宋" w:hAnsi="仿宋" w:eastAsia="仿宋" w:cs="Arial"/>
          <w:b/>
          <w:iCs/>
          <w:color w:val="auto"/>
          <w:sz w:val="24"/>
          <w:highlight w:val="none"/>
        </w:rPr>
        <w:t>、</w:t>
      </w:r>
      <w:r>
        <w:rPr>
          <w:rFonts w:hint="eastAsia" w:ascii="仿宋" w:hAnsi="仿宋" w:eastAsia="仿宋" w:cs="Arial"/>
          <w:b/>
          <w:iCs/>
          <w:color w:val="auto"/>
          <w:sz w:val="24"/>
          <w:highlight w:val="none"/>
          <w:u w:val="single"/>
        </w:rPr>
        <w:t>对照第三章采购需求中各个部分逐一进行响应</w:t>
      </w:r>
      <w:r>
        <w:rPr>
          <w:rFonts w:ascii="仿宋" w:hAnsi="仿宋" w:eastAsia="仿宋" w:cs="Arial"/>
          <w:b/>
          <w:iCs/>
          <w:color w:val="auto"/>
          <w:sz w:val="24"/>
          <w:highlight w:val="none"/>
        </w:rPr>
        <w:t>；</w:t>
      </w:r>
    </w:p>
    <w:p>
      <w:pPr>
        <w:snapToGrid w:val="0"/>
        <w:spacing w:line="360" w:lineRule="auto"/>
        <w:ind w:right="-924" w:rightChars="-440" w:firstLine="1200" w:firstLineChars="500"/>
        <w:rPr>
          <w:rFonts w:ascii="仿宋" w:hAnsi="仿宋" w:eastAsia="仿宋" w:cs="Arial"/>
          <w:iCs/>
          <w:color w:val="auto"/>
          <w:sz w:val="24"/>
          <w:highlight w:val="none"/>
        </w:rPr>
      </w:pPr>
      <w:r>
        <w:rPr>
          <w:rFonts w:hint="eastAsia" w:ascii="仿宋" w:hAnsi="仿宋" w:eastAsia="仿宋" w:cs="Arial"/>
          <w:iCs/>
          <w:color w:val="auto"/>
          <w:sz w:val="24"/>
          <w:highlight w:val="none"/>
        </w:rPr>
        <w:t>2、</w:t>
      </w:r>
      <w:r>
        <w:rPr>
          <w:rFonts w:ascii="仿宋" w:hAnsi="仿宋" w:eastAsia="仿宋" w:cs="Arial"/>
          <w:iCs/>
          <w:color w:val="auto"/>
          <w:sz w:val="24"/>
          <w:highlight w:val="none"/>
        </w:rPr>
        <w:t>“偏离情况”栏填写：“正偏离”或“负偏离”或“</w:t>
      </w:r>
      <w:r>
        <w:rPr>
          <w:rFonts w:hint="eastAsia" w:ascii="仿宋" w:hAnsi="仿宋" w:eastAsia="仿宋" w:cs="Arial"/>
          <w:iCs/>
          <w:color w:val="auto"/>
          <w:sz w:val="24"/>
          <w:highlight w:val="none"/>
        </w:rPr>
        <w:t>无偏离</w:t>
      </w:r>
      <w:r>
        <w:rPr>
          <w:rFonts w:ascii="仿宋" w:hAnsi="仿宋" w:eastAsia="仿宋" w:cs="Arial"/>
          <w:iCs/>
          <w:color w:val="auto"/>
          <w:sz w:val="24"/>
          <w:highlight w:val="none"/>
        </w:rPr>
        <w:t>”</w:t>
      </w:r>
      <w:r>
        <w:rPr>
          <w:rFonts w:hint="eastAsia" w:ascii="仿宋" w:hAnsi="仿宋" w:eastAsia="仿宋" w:cs="Arial"/>
          <w:iCs/>
          <w:color w:val="auto"/>
          <w:sz w:val="24"/>
          <w:highlight w:val="none"/>
        </w:rPr>
        <w:t>。</w:t>
      </w:r>
    </w:p>
    <w:p>
      <w:pPr>
        <w:snapToGrid w:val="0"/>
        <w:spacing w:line="360" w:lineRule="auto"/>
        <w:ind w:left="-848" w:leftChars="-404" w:right="-924" w:rightChars="-440" w:firstLine="1995" w:firstLineChars="828"/>
        <w:rPr>
          <w:rFonts w:ascii="仿宋" w:hAnsi="仿宋" w:eastAsia="仿宋" w:cs="Arial"/>
          <w:b/>
          <w:bCs/>
          <w:iCs/>
          <w:color w:val="auto"/>
          <w:sz w:val="24"/>
          <w:highlight w:val="none"/>
        </w:rPr>
      </w:pPr>
      <w:r>
        <w:rPr>
          <w:rFonts w:hint="eastAsia" w:ascii="仿宋" w:hAnsi="仿宋" w:eastAsia="仿宋" w:cs="Arial"/>
          <w:b/>
          <w:bCs/>
          <w:iCs/>
          <w:color w:val="auto"/>
          <w:sz w:val="24"/>
          <w:highlight w:val="none"/>
          <w:u w:val="single"/>
        </w:rPr>
        <w:t>3、▲未提供本表的投标视为未实质性响应招标要求，投标无效</w:t>
      </w:r>
    </w:p>
    <w:p>
      <w:pPr>
        <w:snapToGrid w:val="0"/>
        <w:spacing w:line="360" w:lineRule="auto"/>
        <w:ind w:left="199" w:leftChars="95" w:right="109" w:rightChars="52" w:firstLine="964" w:firstLineChars="400"/>
        <w:rPr>
          <w:rFonts w:ascii="仿宋" w:hAnsi="仿宋" w:eastAsia="仿宋" w:cs="Arial"/>
          <w:b/>
          <w:bCs/>
          <w:iCs/>
          <w:color w:val="auto"/>
          <w:sz w:val="24"/>
          <w:highlight w:val="none"/>
          <w:u w:val="single"/>
          <w:lang w:val="zh-CN"/>
        </w:rPr>
      </w:pPr>
    </w:p>
    <w:p>
      <w:pPr>
        <w:snapToGrid w:val="0"/>
        <w:spacing w:line="360" w:lineRule="auto"/>
        <w:ind w:right="-924" w:rightChars="-440" w:firstLine="241" w:firstLineChars="100"/>
        <w:rPr>
          <w:rFonts w:ascii="仿宋" w:hAnsi="仿宋" w:eastAsia="仿宋" w:cs="Arial"/>
          <w:b/>
          <w:bCs/>
          <w:iCs/>
          <w:color w:val="auto"/>
          <w:sz w:val="24"/>
          <w:highlight w:val="none"/>
        </w:rPr>
      </w:pPr>
    </w:p>
    <w:p>
      <w:pPr>
        <w:snapToGrid w:val="0"/>
        <w:spacing w:line="360" w:lineRule="auto"/>
        <w:ind w:right="-783" w:rightChars="-373"/>
        <w:rPr>
          <w:rFonts w:ascii="仿宋" w:hAnsi="仿宋" w:eastAsia="仿宋"/>
          <w:color w:val="auto"/>
          <w:sz w:val="24"/>
          <w:highlight w:val="none"/>
        </w:rPr>
      </w:pPr>
      <w:r>
        <w:rPr>
          <w:rFonts w:hint="eastAsia" w:ascii="仿宋" w:hAnsi="仿宋" w:eastAsia="仿宋"/>
          <w:color w:val="auto"/>
          <w:sz w:val="24"/>
          <w:highlight w:val="none"/>
        </w:rPr>
        <w:t>磋商供应商名称（盖章）：</w:t>
      </w:r>
      <w:r>
        <w:rPr>
          <w:rFonts w:ascii="仿宋" w:hAnsi="仿宋" w:eastAsia="仿宋"/>
          <w:color w:val="auto"/>
          <w:sz w:val="24"/>
          <w:highlight w:val="none"/>
        </w:rPr>
        <w:t>____________________</w:t>
      </w:r>
    </w:p>
    <w:p>
      <w:pPr>
        <w:snapToGrid w:val="0"/>
        <w:spacing w:line="360" w:lineRule="auto"/>
        <w:ind w:right="-783" w:rightChars="-373"/>
        <w:rPr>
          <w:color w:val="auto"/>
          <w:highlight w:val="none"/>
        </w:rPr>
        <w:sectPr>
          <w:headerReference r:id="rId29" w:type="first"/>
          <w:headerReference r:id="rId27" w:type="default"/>
          <w:headerReference r:id="rId28" w:type="even"/>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仿宋" w:hAnsi="仿宋" w:eastAsia="仿宋"/>
          <w:color w:val="auto"/>
          <w:sz w:val="24"/>
          <w:highlight w:val="none"/>
        </w:rPr>
        <w:t>日期：</w:t>
      </w:r>
      <w:r>
        <w:rPr>
          <w:rFonts w:ascii="仿宋" w:hAnsi="仿宋" w:eastAsia="仿宋"/>
          <w:color w:val="auto"/>
          <w:sz w:val="24"/>
          <w:highlight w:val="none"/>
        </w:rPr>
        <w:t>______</w:t>
      </w:r>
      <w:r>
        <w:rPr>
          <w:rFonts w:hint="eastAsia" w:ascii="仿宋" w:hAnsi="仿宋" w:eastAsia="仿宋"/>
          <w:color w:val="auto"/>
          <w:sz w:val="24"/>
          <w:highlight w:val="none"/>
        </w:rPr>
        <w:t>年</w:t>
      </w:r>
      <w:r>
        <w:rPr>
          <w:rFonts w:ascii="仿宋" w:hAnsi="仿宋" w:eastAsia="仿宋"/>
          <w:color w:val="auto"/>
          <w:sz w:val="24"/>
          <w:highlight w:val="none"/>
        </w:rPr>
        <w:t>____</w:t>
      </w:r>
      <w:r>
        <w:rPr>
          <w:rFonts w:hint="eastAsia" w:ascii="仿宋" w:hAnsi="仿宋" w:eastAsia="仿宋"/>
          <w:color w:val="auto"/>
          <w:sz w:val="24"/>
          <w:highlight w:val="none"/>
        </w:rPr>
        <w:t>月</w:t>
      </w:r>
      <w:r>
        <w:rPr>
          <w:rFonts w:ascii="仿宋" w:hAnsi="仿宋" w:eastAsia="仿宋"/>
          <w:color w:val="auto"/>
          <w:sz w:val="24"/>
          <w:highlight w:val="none"/>
        </w:rPr>
        <w:t>____</w:t>
      </w:r>
      <w:r>
        <w:rPr>
          <w:rFonts w:hint="eastAsia" w:ascii="仿宋" w:hAnsi="仿宋" w:eastAsia="仿宋"/>
          <w:color w:val="auto"/>
          <w:sz w:val="24"/>
          <w:highlight w:val="none"/>
        </w:rPr>
        <w:t>日</w:t>
      </w:r>
    </w:p>
    <w:p>
      <w:pPr>
        <w:widowControl/>
        <w:autoSpaceDE w:val="0"/>
        <w:autoSpaceDN w:val="0"/>
        <w:spacing w:before="120" w:beforeLines="50" w:after="120" w:afterLines="50" w:line="300" w:lineRule="auto"/>
        <w:ind w:firstLine="300" w:firstLineChars="100"/>
        <w:outlineLvl w:val="2"/>
        <w:rPr>
          <w:rFonts w:ascii="华文中宋" w:hAnsi="华文中宋" w:eastAsia="华文中宋"/>
          <w:b/>
          <w:bCs/>
          <w:color w:val="auto"/>
          <w:sz w:val="30"/>
          <w:szCs w:val="30"/>
          <w:highlight w:val="none"/>
        </w:rPr>
      </w:pPr>
      <w:r>
        <w:rPr>
          <w:rFonts w:hint="eastAsia" w:ascii="华文中宋" w:hAnsi="华文中宋" w:eastAsia="华文中宋"/>
          <w:b/>
          <w:bCs/>
          <w:color w:val="auto"/>
          <w:sz w:val="30"/>
          <w:szCs w:val="30"/>
          <w:highlight w:val="none"/>
        </w:rPr>
        <w:t>2-7 施工组织设计</w:t>
      </w:r>
    </w:p>
    <w:p>
      <w:pPr>
        <w:tabs>
          <w:tab w:val="left" w:pos="72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2、施工组织设计除采用文字表述外可附下列图表，图表及格式要求附后。</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附表一  拟投入的主要施工设备表</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附表二  拟配备的试验和检测仪器设备表</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附表三  项目管理班子配备情况表</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附表四、项目经理简历表</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附表五、技术负责人简历表</w:t>
      </w:r>
    </w:p>
    <w:p>
      <w:pPr>
        <w:tabs>
          <w:tab w:val="left" w:pos="720"/>
        </w:tabs>
        <w:spacing w:line="440" w:lineRule="exact"/>
        <w:ind w:firstLine="864" w:firstLineChars="360"/>
        <w:rPr>
          <w:rFonts w:ascii="仿宋" w:hAnsi="仿宋" w:eastAsia="仿宋" w:cs="仿宋"/>
          <w:color w:val="auto"/>
          <w:sz w:val="24"/>
          <w:highlight w:val="none"/>
        </w:rPr>
      </w:pPr>
      <w:r>
        <w:rPr>
          <w:rFonts w:hint="eastAsia" w:ascii="仿宋" w:hAnsi="仿宋" w:eastAsia="仿宋" w:cs="仿宋"/>
          <w:color w:val="auto"/>
          <w:sz w:val="24"/>
          <w:highlight w:val="none"/>
        </w:rPr>
        <w:t>附表六：进度计划及劳动力计划表</w:t>
      </w:r>
    </w:p>
    <w:p>
      <w:pPr>
        <w:tabs>
          <w:tab w:val="left" w:pos="720"/>
        </w:tabs>
        <w:spacing w:line="44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附表一：拟投入的主要施工设备表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94"/>
        <w:gridCol w:w="776"/>
        <w:gridCol w:w="645"/>
        <w:gridCol w:w="841"/>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5" w:type="dxa"/>
            <w:noWrap/>
            <w:vAlign w:val="center"/>
          </w:tcPr>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4"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776"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型号</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645"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41"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国别</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754"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年份</w:t>
            </w:r>
          </w:p>
        </w:tc>
        <w:tc>
          <w:tcPr>
            <w:tcW w:w="1098"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额定功率（KW）</w:t>
            </w:r>
          </w:p>
        </w:tc>
        <w:tc>
          <w:tcPr>
            <w:tcW w:w="892"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能力</w:t>
            </w:r>
          </w:p>
        </w:tc>
        <w:tc>
          <w:tcPr>
            <w:tcW w:w="1035"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用于施工部位</w:t>
            </w:r>
          </w:p>
        </w:tc>
        <w:tc>
          <w:tcPr>
            <w:tcW w:w="699"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noWrap/>
            <w:vAlign w:val="center"/>
          </w:tcPr>
          <w:p>
            <w:pPr>
              <w:spacing w:line="440" w:lineRule="exact"/>
              <w:jc w:val="center"/>
              <w:rPr>
                <w:rFonts w:ascii="仿宋" w:hAnsi="仿宋" w:eastAsia="仿宋" w:cs="仿宋"/>
                <w:color w:val="auto"/>
                <w:sz w:val="24"/>
                <w:highlight w:val="none"/>
              </w:rPr>
            </w:pPr>
          </w:p>
        </w:tc>
        <w:tc>
          <w:tcPr>
            <w:tcW w:w="1294" w:type="dxa"/>
            <w:noWrap/>
            <w:vAlign w:val="center"/>
          </w:tcPr>
          <w:p>
            <w:pPr>
              <w:spacing w:line="440" w:lineRule="exact"/>
              <w:jc w:val="center"/>
              <w:rPr>
                <w:rFonts w:ascii="仿宋" w:hAnsi="仿宋" w:eastAsia="仿宋" w:cs="仿宋"/>
                <w:color w:val="auto"/>
                <w:sz w:val="24"/>
                <w:highlight w:val="none"/>
              </w:rPr>
            </w:pPr>
          </w:p>
        </w:tc>
        <w:tc>
          <w:tcPr>
            <w:tcW w:w="776" w:type="dxa"/>
            <w:noWrap/>
            <w:vAlign w:val="center"/>
          </w:tcPr>
          <w:p>
            <w:pPr>
              <w:spacing w:line="440" w:lineRule="exact"/>
              <w:jc w:val="center"/>
              <w:rPr>
                <w:rFonts w:ascii="仿宋" w:hAnsi="仿宋" w:eastAsia="仿宋" w:cs="仿宋"/>
                <w:color w:val="auto"/>
                <w:sz w:val="24"/>
                <w:highlight w:val="none"/>
              </w:rPr>
            </w:pPr>
          </w:p>
        </w:tc>
        <w:tc>
          <w:tcPr>
            <w:tcW w:w="645" w:type="dxa"/>
            <w:noWrap/>
            <w:vAlign w:val="center"/>
          </w:tcPr>
          <w:p>
            <w:pPr>
              <w:spacing w:line="440" w:lineRule="exact"/>
              <w:jc w:val="center"/>
              <w:rPr>
                <w:rFonts w:ascii="仿宋" w:hAnsi="仿宋" w:eastAsia="仿宋" w:cs="仿宋"/>
                <w:color w:val="auto"/>
                <w:sz w:val="24"/>
                <w:highlight w:val="none"/>
              </w:rPr>
            </w:pPr>
          </w:p>
        </w:tc>
        <w:tc>
          <w:tcPr>
            <w:tcW w:w="841" w:type="dxa"/>
            <w:noWrap/>
            <w:vAlign w:val="center"/>
          </w:tcPr>
          <w:p>
            <w:pPr>
              <w:spacing w:line="440" w:lineRule="exact"/>
              <w:jc w:val="center"/>
              <w:rPr>
                <w:rFonts w:ascii="仿宋" w:hAnsi="仿宋" w:eastAsia="仿宋" w:cs="仿宋"/>
                <w:color w:val="auto"/>
                <w:sz w:val="24"/>
                <w:highlight w:val="none"/>
              </w:rPr>
            </w:pPr>
          </w:p>
        </w:tc>
        <w:tc>
          <w:tcPr>
            <w:tcW w:w="754" w:type="dxa"/>
            <w:noWrap/>
            <w:vAlign w:val="center"/>
          </w:tcPr>
          <w:p>
            <w:pPr>
              <w:spacing w:line="440" w:lineRule="exact"/>
              <w:jc w:val="center"/>
              <w:rPr>
                <w:rFonts w:ascii="仿宋" w:hAnsi="仿宋" w:eastAsia="仿宋" w:cs="仿宋"/>
                <w:color w:val="auto"/>
                <w:sz w:val="24"/>
                <w:highlight w:val="none"/>
              </w:rPr>
            </w:pPr>
          </w:p>
        </w:tc>
        <w:tc>
          <w:tcPr>
            <w:tcW w:w="1098" w:type="dxa"/>
            <w:noWrap/>
            <w:vAlign w:val="center"/>
          </w:tcPr>
          <w:p>
            <w:pPr>
              <w:spacing w:line="440" w:lineRule="exact"/>
              <w:jc w:val="center"/>
              <w:rPr>
                <w:rFonts w:ascii="仿宋" w:hAnsi="仿宋" w:eastAsia="仿宋" w:cs="仿宋"/>
                <w:color w:val="auto"/>
                <w:sz w:val="24"/>
                <w:highlight w:val="none"/>
              </w:rPr>
            </w:pPr>
          </w:p>
        </w:tc>
        <w:tc>
          <w:tcPr>
            <w:tcW w:w="892" w:type="dxa"/>
            <w:noWrap/>
            <w:vAlign w:val="center"/>
          </w:tcPr>
          <w:p>
            <w:pPr>
              <w:spacing w:line="440" w:lineRule="exact"/>
              <w:jc w:val="center"/>
              <w:rPr>
                <w:rFonts w:ascii="仿宋" w:hAnsi="仿宋" w:eastAsia="仿宋" w:cs="仿宋"/>
                <w:color w:val="auto"/>
                <w:sz w:val="24"/>
                <w:highlight w:val="none"/>
              </w:rPr>
            </w:pPr>
          </w:p>
        </w:tc>
        <w:tc>
          <w:tcPr>
            <w:tcW w:w="1035" w:type="dxa"/>
            <w:noWrap/>
            <w:vAlign w:val="center"/>
          </w:tcPr>
          <w:p>
            <w:pPr>
              <w:spacing w:line="440" w:lineRule="exact"/>
              <w:jc w:val="center"/>
              <w:rPr>
                <w:rFonts w:ascii="仿宋" w:hAnsi="仿宋" w:eastAsia="仿宋" w:cs="仿宋"/>
                <w:color w:val="auto"/>
                <w:sz w:val="24"/>
                <w:highlight w:val="none"/>
              </w:rPr>
            </w:pPr>
          </w:p>
        </w:tc>
        <w:tc>
          <w:tcPr>
            <w:tcW w:w="699"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noWrap/>
            <w:vAlign w:val="center"/>
          </w:tcPr>
          <w:p>
            <w:pPr>
              <w:spacing w:line="440" w:lineRule="exact"/>
              <w:jc w:val="center"/>
              <w:rPr>
                <w:rFonts w:ascii="仿宋" w:hAnsi="仿宋" w:eastAsia="仿宋" w:cs="仿宋"/>
                <w:color w:val="auto"/>
                <w:sz w:val="24"/>
                <w:highlight w:val="none"/>
              </w:rPr>
            </w:pPr>
          </w:p>
        </w:tc>
        <w:tc>
          <w:tcPr>
            <w:tcW w:w="1294" w:type="dxa"/>
            <w:noWrap/>
            <w:vAlign w:val="center"/>
          </w:tcPr>
          <w:p>
            <w:pPr>
              <w:spacing w:line="440" w:lineRule="exact"/>
              <w:jc w:val="center"/>
              <w:rPr>
                <w:rFonts w:ascii="仿宋" w:hAnsi="仿宋" w:eastAsia="仿宋" w:cs="仿宋"/>
                <w:color w:val="auto"/>
                <w:sz w:val="24"/>
                <w:highlight w:val="none"/>
              </w:rPr>
            </w:pPr>
          </w:p>
        </w:tc>
        <w:tc>
          <w:tcPr>
            <w:tcW w:w="776" w:type="dxa"/>
            <w:noWrap/>
            <w:vAlign w:val="center"/>
          </w:tcPr>
          <w:p>
            <w:pPr>
              <w:spacing w:line="440" w:lineRule="exact"/>
              <w:jc w:val="center"/>
              <w:rPr>
                <w:rFonts w:ascii="仿宋" w:hAnsi="仿宋" w:eastAsia="仿宋" w:cs="仿宋"/>
                <w:color w:val="auto"/>
                <w:sz w:val="24"/>
                <w:highlight w:val="none"/>
              </w:rPr>
            </w:pPr>
          </w:p>
        </w:tc>
        <w:tc>
          <w:tcPr>
            <w:tcW w:w="645" w:type="dxa"/>
            <w:noWrap/>
            <w:vAlign w:val="center"/>
          </w:tcPr>
          <w:p>
            <w:pPr>
              <w:spacing w:line="440" w:lineRule="exact"/>
              <w:jc w:val="center"/>
              <w:rPr>
                <w:rFonts w:ascii="仿宋" w:hAnsi="仿宋" w:eastAsia="仿宋" w:cs="仿宋"/>
                <w:color w:val="auto"/>
                <w:sz w:val="24"/>
                <w:highlight w:val="none"/>
              </w:rPr>
            </w:pPr>
          </w:p>
        </w:tc>
        <w:tc>
          <w:tcPr>
            <w:tcW w:w="841" w:type="dxa"/>
            <w:noWrap/>
            <w:vAlign w:val="center"/>
          </w:tcPr>
          <w:p>
            <w:pPr>
              <w:spacing w:line="440" w:lineRule="exact"/>
              <w:jc w:val="center"/>
              <w:rPr>
                <w:rFonts w:ascii="仿宋" w:hAnsi="仿宋" w:eastAsia="仿宋" w:cs="仿宋"/>
                <w:color w:val="auto"/>
                <w:sz w:val="24"/>
                <w:highlight w:val="none"/>
              </w:rPr>
            </w:pPr>
          </w:p>
        </w:tc>
        <w:tc>
          <w:tcPr>
            <w:tcW w:w="754" w:type="dxa"/>
            <w:noWrap/>
            <w:vAlign w:val="center"/>
          </w:tcPr>
          <w:p>
            <w:pPr>
              <w:spacing w:line="440" w:lineRule="exact"/>
              <w:jc w:val="center"/>
              <w:rPr>
                <w:rFonts w:ascii="仿宋" w:hAnsi="仿宋" w:eastAsia="仿宋" w:cs="仿宋"/>
                <w:color w:val="auto"/>
                <w:sz w:val="24"/>
                <w:highlight w:val="none"/>
              </w:rPr>
            </w:pPr>
          </w:p>
        </w:tc>
        <w:tc>
          <w:tcPr>
            <w:tcW w:w="1098" w:type="dxa"/>
            <w:noWrap/>
            <w:vAlign w:val="center"/>
          </w:tcPr>
          <w:p>
            <w:pPr>
              <w:spacing w:line="440" w:lineRule="exact"/>
              <w:jc w:val="center"/>
              <w:rPr>
                <w:rFonts w:ascii="仿宋" w:hAnsi="仿宋" w:eastAsia="仿宋" w:cs="仿宋"/>
                <w:color w:val="auto"/>
                <w:sz w:val="24"/>
                <w:highlight w:val="none"/>
              </w:rPr>
            </w:pPr>
          </w:p>
        </w:tc>
        <w:tc>
          <w:tcPr>
            <w:tcW w:w="892" w:type="dxa"/>
            <w:noWrap/>
            <w:vAlign w:val="center"/>
          </w:tcPr>
          <w:p>
            <w:pPr>
              <w:spacing w:line="440" w:lineRule="exact"/>
              <w:jc w:val="center"/>
              <w:rPr>
                <w:rFonts w:ascii="仿宋" w:hAnsi="仿宋" w:eastAsia="仿宋" w:cs="仿宋"/>
                <w:color w:val="auto"/>
                <w:sz w:val="24"/>
                <w:highlight w:val="none"/>
              </w:rPr>
            </w:pPr>
          </w:p>
        </w:tc>
        <w:tc>
          <w:tcPr>
            <w:tcW w:w="1035" w:type="dxa"/>
            <w:noWrap/>
            <w:vAlign w:val="center"/>
          </w:tcPr>
          <w:p>
            <w:pPr>
              <w:spacing w:line="440" w:lineRule="exact"/>
              <w:jc w:val="center"/>
              <w:rPr>
                <w:rFonts w:ascii="仿宋" w:hAnsi="仿宋" w:eastAsia="仿宋" w:cs="仿宋"/>
                <w:color w:val="auto"/>
                <w:sz w:val="24"/>
                <w:highlight w:val="none"/>
              </w:rPr>
            </w:pPr>
          </w:p>
        </w:tc>
        <w:tc>
          <w:tcPr>
            <w:tcW w:w="699"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5" w:type="dxa"/>
            <w:noWrap/>
          </w:tcPr>
          <w:p>
            <w:pPr>
              <w:spacing w:line="440" w:lineRule="exact"/>
              <w:jc w:val="center"/>
              <w:rPr>
                <w:rFonts w:ascii="仿宋" w:hAnsi="仿宋" w:eastAsia="仿宋" w:cs="仿宋"/>
                <w:color w:val="auto"/>
                <w:sz w:val="24"/>
                <w:highlight w:val="none"/>
              </w:rPr>
            </w:pPr>
          </w:p>
        </w:tc>
        <w:tc>
          <w:tcPr>
            <w:tcW w:w="1294" w:type="dxa"/>
            <w:noWrap/>
          </w:tcPr>
          <w:p>
            <w:pPr>
              <w:spacing w:line="440" w:lineRule="exact"/>
              <w:jc w:val="center"/>
              <w:rPr>
                <w:rFonts w:ascii="仿宋" w:hAnsi="仿宋" w:eastAsia="仿宋" w:cs="仿宋"/>
                <w:color w:val="auto"/>
                <w:sz w:val="24"/>
                <w:highlight w:val="none"/>
              </w:rPr>
            </w:pPr>
          </w:p>
        </w:tc>
        <w:tc>
          <w:tcPr>
            <w:tcW w:w="776" w:type="dxa"/>
            <w:noWrap/>
          </w:tcPr>
          <w:p>
            <w:pPr>
              <w:spacing w:line="440" w:lineRule="exact"/>
              <w:jc w:val="center"/>
              <w:rPr>
                <w:rFonts w:ascii="仿宋" w:hAnsi="仿宋" w:eastAsia="仿宋" w:cs="仿宋"/>
                <w:color w:val="auto"/>
                <w:sz w:val="24"/>
                <w:highlight w:val="none"/>
              </w:rPr>
            </w:pPr>
          </w:p>
        </w:tc>
        <w:tc>
          <w:tcPr>
            <w:tcW w:w="645" w:type="dxa"/>
            <w:noWrap/>
          </w:tcPr>
          <w:p>
            <w:pPr>
              <w:spacing w:line="440" w:lineRule="exact"/>
              <w:jc w:val="center"/>
              <w:rPr>
                <w:rFonts w:ascii="仿宋" w:hAnsi="仿宋" w:eastAsia="仿宋" w:cs="仿宋"/>
                <w:color w:val="auto"/>
                <w:sz w:val="24"/>
                <w:highlight w:val="none"/>
              </w:rPr>
            </w:pPr>
          </w:p>
        </w:tc>
        <w:tc>
          <w:tcPr>
            <w:tcW w:w="841" w:type="dxa"/>
            <w:noWrap/>
          </w:tcPr>
          <w:p>
            <w:pPr>
              <w:spacing w:line="440" w:lineRule="exact"/>
              <w:jc w:val="center"/>
              <w:rPr>
                <w:rFonts w:ascii="仿宋" w:hAnsi="仿宋" w:eastAsia="仿宋" w:cs="仿宋"/>
                <w:color w:val="auto"/>
                <w:sz w:val="24"/>
                <w:highlight w:val="none"/>
              </w:rPr>
            </w:pPr>
          </w:p>
        </w:tc>
        <w:tc>
          <w:tcPr>
            <w:tcW w:w="754" w:type="dxa"/>
            <w:noWrap/>
          </w:tcPr>
          <w:p>
            <w:pPr>
              <w:spacing w:line="440" w:lineRule="exact"/>
              <w:jc w:val="center"/>
              <w:rPr>
                <w:rFonts w:ascii="仿宋" w:hAnsi="仿宋" w:eastAsia="仿宋" w:cs="仿宋"/>
                <w:color w:val="auto"/>
                <w:sz w:val="24"/>
                <w:highlight w:val="none"/>
              </w:rPr>
            </w:pPr>
          </w:p>
        </w:tc>
        <w:tc>
          <w:tcPr>
            <w:tcW w:w="1098" w:type="dxa"/>
            <w:noWrap/>
          </w:tcPr>
          <w:p>
            <w:pPr>
              <w:spacing w:line="440" w:lineRule="exact"/>
              <w:jc w:val="center"/>
              <w:rPr>
                <w:rFonts w:ascii="仿宋" w:hAnsi="仿宋" w:eastAsia="仿宋" w:cs="仿宋"/>
                <w:color w:val="auto"/>
                <w:sz w:val="24"/>
                <w:highlight w:val="none"/>
              </w:rPr>
            </w:pPr>
          </w:p>
        </w:tc>
        <w:tc>
          <w:tcPr>
            <w:tcW w:w="892" w:type="dxa"/>
            <w:noWrap/>
          </w:tcPr>
          <w:p>
            <w:pPr>
              <w:spacing w:line="440" w:lineRule="exact"/>
              <w:jc w:val="center"/>
              <w:rPr>
                <w:rFonts w:ascii="仿宋" w:hAnsi="仿宋" w:eastAsia="仿宋" w:cs="仿宋"/>
                <w:color w:val="auto"/>
                <w:sz w:val="24"/>
                <w:highlight w:val="none"/>
              </w:rPr>
            </w:pPr>
          </w:p>
        </w:tc>
        <w:tc>
          <w:tcPr>
            <w:tcW w:w="1035" w:type="dxa"/>
            <w:noWrap/>
          </w:tcPr>
          <w:p>
            <w:pPr>
              <w:spacing w:line="440" w:lineRule="exact"/>
              <w:jc w:val="center"/>
              <w:rPr>
                <w:rFonts w:ascii="仿宋" w:hAnsi="仿宋" w:eastAsia="仿宋" w:cs="仿宋"/>
                <w:color w:val="auto"/>
                <w:sz w:val="24"/>
                <w:highlight w:val="none"/>
              </w:rPr>
            </w:pPr>
          </w:p>
        </w:tc>
        <w:tc>
          <w:tcPr>
            <w:tcW w:w="699" w:type="dxa"/>
            <w:noWrap/>
          </w:tcPr>
          <w:p>
            <w:pPr>
              <w:spacing w:line="440" w:lineRule="exact"/>
              <w:jc w:val="center"/>
              <w:rPr>
                <w:rFonts w:ascii="仿宋" w:hAnsi="仿宋" w:eastAsia="仿宋" w:cs="仿宋"/>
                <w:color w:val="auto"/>
                <w:sz w:val="24"/>
                <w:highlight w:val="none"/>
              </w:rPr>
            </w:pPr>
          </w:p>
        </w:tc>
      </w:tr>
    </w:tbl>
    <w:p>
      <w:pPr>
        <w:spacing w:line="440" w:lineRule="exact"/>
        <w:rPr>
          <w:rFonts w:ascii="仿宋" w:hAnsi="仿宋" w:eastAsia="仿宋" w:cs="仿宋"/>
          <w:color w:val="auto"/>
          <w:sz w:val="24"/>
          <w:highlight w:val="none"/>
        </w:rPr>
      </w:pPr>
    </w:p>
    <w:p>
      <w:pPr>
        <w:tabs>
          <w:tab w:val="left" w:pos="720"/>
        </w:tabs>
        <w:spacing w:line="44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附表二：拟配备的试验和检测仪器设备表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45"/>
        <w:gridCol w:w="840"/>
        <w:gridCol w:w="885"/>
        <w:gridCol w:w="870"/>
        <w:gridCol w:w="96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5" w:type="dxa"/>
            <w:noWrap/>
            <w:vAlign w:val="center"/>
          </w:tcPr>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45"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仪器设备名称</w:t>
            </w:r>
          </w:p>
        </w:tc>
        <w:tc>
          <w:tcPr>
            <w:tcW w:w="840"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型号</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885"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70"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国别</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960"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年份</w:t>
            </w:r>
          </w:p>
        </w:tc>
        <w:tc>
          <w:tcPr>
            <w:tcW w:w="1312"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已使用台时数</w:t>
            </w:r>
          </w:p>
        </w:tc>
        <w:tc>
          <w:tcPr>
            <w:tcW w:w="1151"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用途</w:t>
            </w:r>
          </w:p>
        </w:tc>
        <w:tc>
          <w:tcPr>
            <w:tcW w:w="742"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vAlign w:val="center"/>
          </w:tcPr>
          <w:p>
            <w:pPr>
              <w:spacing w:line="440" w:lineRule="exact"/>
              <w:jc w:val="center"/>
              <w:rPr>
                <w:rFonts w:ascii="仿宋" w:hAnsi="仿宋" w:eastAsia="仿宋" w:cs="仿宋"/>
                <w:color w:val="auto"/>
                <w:sz w:val="24"/>
                <w:highlight w:val="none"/>
              </w:rPr>
            </w:pPr>
          </w:p>
        </w:tc>
        <w:tc>
          <w:tcPr>
            <w:tcW w:w="1245" w:type="dxa"/>
            <w:noWrap/>
            <w:vAlign w:val="center"/>
          </w:tcPr>
          <w:p>
            <w:pPr>
              <w:spacing w:line="440" w:lineRule="exact"/>
              <w:jc w:val="center"/>
              <w:rPr>
                <w:rFonts w:ascii="仿宋" w:hAnsi="仿宋" w:eastAsia="仿宋" w:cs="仿宋"/>
                <w:color w:val="auto"/>
                <w:sz w:val="24"/>
                <w:highlight w:val="none"/>
              </w:rPr>
            </w:pPr>
          </w:p>
        </w:tc>
        <w:tc>
          <w:tcPr>
            <w:tcW w:w="840" w:type="dxa"/>
            <w:noWrap/>
            <w:vAlign w:val="center"/>
          </w:tcPr>
          <w:p>
            <w:pPr>
              <w:spacing w:line="440" w:lineRule="exact"/>
              <w:jc w:val="center"/>
              <w:rPr>
                <w:rFonts w:ascii="仿宋" w:hAnsi="仿宋" w:eastAsia="仿宋" w:cs="仿宋"/>
                <w:color w:val="auto"/>
                <w:sz w:val="24"/>
                <w:highlight w:val="none"/>
              </w:rPr>
            </w:pPr>
          </w:p>
        </w:tc>
        <w:tc>
          <w:tcPr>
            <w:tcW w:w="885" w:type="dxa"/>
            <w:noWrap/>
            <w:vAlign w:val="center"/>
          </w:tcPr>
          <w:p>
            <w:pPr>
              <w:spacing w:line="440" w:lineRule="exact"/>
              <w:jc w:val="center"/>
              <w:rPr>
                <w:rFonts w:ascii="仿宋" w:hAnsi="仿宋" w:eastAsia="仿宋" w:cs="仿宋"/>
                <w:color w:val="auto"/>
                <w:sz w:val="24"/>
                <w:highlight w:val="none"/>
              </w:rPr>
            </w:pPr>
          </w:p>
        </w:tc>
        <w:tc>
          <w:tcPr>
            <w:tcW w:w="870" w:type="dxa"/>
            <w:noWrap/>
            <w:vAlign w:val="center"/>
          </w:tcPr>
          <w:p>
            <w:pPr>
              <w:spacing w:line="440" w:lineRule="exact"/>
              <w:jc w:val="center"/>
              <w:rPr>
                <w:rFonts w:ascii="仿宋" w:hAnsi="仿宋" w:eastAsia="仿宋" w:cs="仿宋"/>
                <w:color w:val="auto"/>
                <w:sz w:val="24"/>
                <w:highlight w:val="none"/>
              </w:rPr>
            </w:pPr>
          </w:p>
        </w:tc>
        <w:tc>
          <w:tcPr>
            <w:tcW w:w="960" w:type="dxa"/>
            <w:noWrap/>
            <w:vAlign w:val="center"/>
          </w:tcPr>
          <w:p>
            <w:pPr>
              <w:spacing w:line="440" w:lineRule="exact"/>
              <w:jc w:val="center"/>
              <w:rPr>
                <w:rFonts w:ascii="仿宋" w:hAnsi="仿宋" w:eastAsia="仿宋" w:cs="仿宋"/>
                <w:color w:val="auto"/>
                <w:sz w:val="24"/>
                <w:highlight w:val="none"/>
              </w:rPr>
            </w:pPr>
          </w:p>
        </w:tc>
        <w:tc>
          <w:tcPr>
            <w:tcW w:w="1312" w:type="dxa"/>
            <w:noWrap/>
            <w:vAlign w:val="center"/>
          </w:tcPr>
          <w:p>
            <w:pPr>
              <w:spacing w:line="440" w:lineRule="exact"/>
              <w:jc w:val="center"/>
              <w:rPr>
                <w:rFonts w:ascii="仿宋" w:hAnsi="仿宋" w:eastAsia="仿宋" w:cs="仿宋"/>
                <w:color w:val="auto"/>
                <w:sz w:val="24"/>
                <w:highlight w:val="none"/>
              </w:rPr>
            </w:pPr>
          </w:p>
        </w:tc>
        <w:tc>
          <w:tcPr>
            <w:tcW w:w="1151" w:type="dxa"/>
            <w:noWrap/>
            <w:vAlign w:val="center"/>
          </w:tcPr>
          <w:p>
            <w:pPr>
              <w:spacing w:line="440" w:lineRule="exact"/>
              <w:jc w:val="center"/>
              <w:rPr>
                <w:rFonts w:ascii="仿宋" w:hAnsi="仿宋" w:eastAsia="仿宋" w:cs="仿宋"/>
                <w:color w:val="auto"/>
                <w:sz w:val="24"/>
                <w:highlight w:val="none"/>
              </w:rPr>
            </w:pPr>
          </w:p>
        </w:tc>
        <w:tc>
          <w:tcPr>
            <w:tcW w:w="742"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vAlign w:val="center"/>
          </w:tcPr>
          <w:p>
            <w:pPr>
              <w:spacing w:line="440" w:lineRule="exact"/>
              <w:jc w:val="center"/>
              <w:rPr>
                <w:rFonts w:ascii="仿宋" w:hAnsi="仿宋" w:eastAsia="仿宋" w:cs="仿宋"/>
                <w:color w:val="auto"/>
                <w:sz w:val="24"/>
                <w:highlight w:val="none"/>
              </w:rPr>
            </w:pPr>
          </w:p>
        </w:tc>
        <w:tc>
          <w:tcPr>
            <w:tcW w:w="1245" w:type="dxa"/>
            <w:noWrap/>
            <w:vAlign w:val="center"/>
          </w:tcPr>
          <w:p>
            <w:pPr>
              <w:spacing w:line="440" w:lineRule="exact"/>
              <w:jc w:val="center"/>
              <w:rPr>
                <w:rFonts w:ascii="仿宋" w:hAnsi="仿宋" w:eastAsia="仿宋" w:cs="仿宋"/>
                <w:color w:val="auto"/>
                <w:sz w:val="24"/>
                <w:highlight w:val="none"/>
              </w:rPr>
            </w:pPr>
          </w:p>
        </w:tc>
        <w:tc>
          <w:tcPr>
            <w:tcW w:w="840" w:type="dxa"/>
            <w:noWrap/>
            <w:vAlign w:val="center"/>
          </w:tcPr>
          <w:p>
            <w:pPr>
              <w:spacing w:line="440" w:lineRule="exact"/>
              <w:jc w:val="center"/>
              <w:rPr>
                <w:rFonts w:ascii="仿宋" w:hAnsi="仿宋" w:eastAsia="仿宋" w:cs="仿宋"/>
                <w:color w:val="auto"/>
                <w:sz w:val="24"/>
                <w:highlight w:val="none"/>
              </w:rPr>
            </w:pPr>
          </w:p>
        </w:tc>
        <w:tc>
          <w:tcPr>
            <w:tcW w:w="885" w:type="dxa"/>
            <w:noWrap/>
            <w:vAlign w:val="center"/>
          </w:tcPr>
          <w:p>
            <w:pPr>
              <w:spacing w:line="440" w:lineRule="exact"/>
              <w:jc w:val="center"/>
              <w:rPr>
                <w:rFonts w:ascii="仿宋" w:hAnsi="仿宋" w:eastAsia="仿宋" w:cs="仿宋"/>
                <w:color w:val="auto"/>
                <w:sz w:val="24"/>
                <w:highlight w:val="none"/>
              </w:rPr>
            </w:pPr>
          </w:p>
        </w:tc>
        <w:tc>
          <w:tcPr>
            <w:tcW w:w="870" w:type="dxa"/>
            <w:noWrap/>
            <w:vAlign w:val="center"/>
          </w:tcPr>
          <w:p>
            <w:pPr>
              <w:spacing w:line="440" w:lineRule="exact"/>
              <w:jc w:val="center"/>
              <w:rPr>
                <w:rFonts w:ascii="仿宋" w:hAnsi="仿宋" w:eastAsia="仿宋" w:cs="仿宋"/>
                <w:color w:val="auto"/>
                <w:sz w:val="24"/>
                <w:highlight w:val="none"/>
              </w:rPr>
            </w:pPr>
          </w:p>
        </w:tc>
        <w:tc>
          <w:tcPr>
            <w:tcW w:w="960" w:type="dxa"/>
            <w:noWrap/>
            <w:vAlign w:val="center"/>
          </w:tcPr>
          <w:p>
            <w:pPr>
              <w:spacing w:line="440" w:lineRule="exact"/>
              <w:jc w:val="center"/>
              <w:rPr>
                <w:rFonts w:ascii="仿宋" w:hAnsi="仿宋" w:eastAsia="仿宋" w:cs="仿宋"/>
                <w:color w:val="auto"/>
                <w:sz w:val="24"/>
                <w:highlight w:val="none"/>
              </w:rPr>
            </w:pPr>
          </w:p>
        </w:tc>
        <w:tc>
          <w:tcPr>
            <w:tcW w:w="1312" w:type="dxa"/>
            <w:noWrap/>
            <w:vAlign w:val="center"/>
          </w:tcPr>
          <w:p>
            <w:pPr>
              <w:spacing w:line="440" w:lineRule="exact"/>
              <w:jc w:val="center"/>
              <w:rPr>
                <w:rFonts w:ascii="仿宋" w:hAnsi="仿宋" w:eastAsia="仿宋" w:cs="仿宋"/>
                <w:color w:val="auto"/>
                <w:sz w:val="24"/>
                <w:highlight w:val="none"/>
              </w:rPr>
            </w:pPr>
          </w:p>
        </w:tc>
        <w:tc>
          <w:tcPr>
            <w:tcW w:w="1151" w:type="dxa"/>
            <w:noWrap/>
            <w:vAlign w:val="center"/>
          </w:tcPr>
          <w:p>
            <w:pPr>
              <w:spacing w:line="440" w:lineRule="exact"/>
              <w:jc w:val="center"/>
              <w:rPr>
                <w:rFonts w:ascii="仿宋" w:hAnsi="仿宋" w:eastAsia="仿宋" w:cs="仿宋"/>
                <w:color w:val="auto"/>
                <w:sz w:val="24"/>
                <w:highlight w:val="none"/>
              </w:rPr>
            </w:pPr>
          </w:p>
        </w:tc>
        <w:tc>
          <w:tcPr>
            <w:tcW w:w="742"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tcPr>
          <w:p>
            <w:pPr>
              <w:spacing w:line="440" w:lineRule="exact"/>
              <w:jc w:val="center"/>
              <w:rPr>
                <w:rFonts w:ascii="仿宋" w:hAnsi="仿宋" w:eastAsia="仿宋" w:cs="仿宋"/>
                <w:color w:val="auto"/>
                <w:sz w:val="24"/>
                <w:highlight w:val="none"/>
              </w:rPr>
            </w:pPr>
          </w:p>
        </w:tc>
        <w:tc>
          <w:tcPr>
            <w:tcW w:w="1245" w:type="dxa"/>
            <w:noWrap/>
          </w:tcPr>
          <w:p>
            <w:pPr>
              <w:spacing w:line="440" w:lineRule="exact"/>
              <w:jc w:val="center"/>
              <w:rPr>
                <w:rFonts w:ascii="仿宋" w:hAnsi="仿宋" w:eastAsia="仿宋" w:cs="仿宋"/>
                <w:color w:val="auto"/>
                <w:sz w:val="24"/>
                <w:highlight w:val="none"/>
              </w:rPr>
            </w:pPr>
          </w:p>
        </w:tc>
        <w:tc>
          <w:tcPr>
            <w:tcW w:w="840" w:type="dxa"/>
            <w:noWrap/>
          </w:tcPr>
          <w:p>
            <w:pPr>
              <w:spacing w:line="440" w:lineRule="exact"/>
              <w:jc w:val="center"/>
              <w:rPr>
                <w:rFonts w:ascii="仿宋" w:hAnsi="仿宋" w:eastAsia="仿宋" w:cs="仿宋"/>
                <w:color w:val="auto"/>
                <w:sz w:val="24"/>
                <w:highlight w:val="none"/>
              </w:rPr>
            </w:pPr>
          </w:p>
        </w:tc>
        <w:tc>
          <w:tcPr>
            <w:tcW w:w="885" w:type="dxa"/>
            <w:noWrap/>
          </w:tcPr>
          <w:p>
            <w:pPr>
              <w:spacing w:line="440" w:lineRule="exact"/>
              <w:jc w:val="center"/>
              <w:rPr>
                <w:rFonts w:ascii="仿宋" w:hAnsi="仿宋" w:eastAsia="仿宋" w:cs="仿宋"/>
                <w:color w:val="auto"/>
                <w:sz w:val="24"/>
                <w:highlight w:val="none"/>
              </w:rPr>
            </w:pPr>
          </w:p>
        </w:tc>
        <w:tc>
          <w:tcPr>
            <w:tcW w:w="870" w:type="dxa"/>
            <w:noWrap/>
          </w:tcPr>
          <w:p>
            <w:pPr>
              <w:spacing w:line="440" w:lineRule="exact"/>
              <w:jc w:val="center"/>
              <w:rPr>
                <w:rFonts w:ascii="仿宋" w:hAnsi="仿宋" w:eastAsia="仿宋" w:cs="仿宋"/>
                <w:color w:val="auto"/>
                <w:sz w:val="24"/>
                <w:highlight w:val="none"/>
              </w:rPr>
            </w:pPr>
          </w:p>
        </w:tc>
        <w:tc>
          <w:tcPr>
            <w:tcW w:w="960" w:type="dxa"/>
            <w:noWrap/>
          </w:tcPr>
          <w:p>
            <w:pPr>
              <w:spacing w:line="440" w:lineRule="exact"/>
              <w:jc w:val="center"/>
              <w:rPr>
                <w:rFonts w:ascii="仿宋" w:hAnsi="仿宋" w:eastAsia="仿宋" w:cs="仿宋"/>
                <w:color w:val="auto"/>
                <w:sz w:val="24"/>
                <w:highlight w:val="none"/>
              </w:rPr>
            </w:pPr>
          </w:p>
        </w:tc>
        <w:tc>
          <w:tcPr>
            <w:tcW w:w="1312" w:type="dxa"/>
            <w:noWrap/>
          </w:tcPr>
          <w:p>
            <w:pPr>
              <w:spacing w:line="440" w:lineRule="exact"/>
              <w:jc w:val="center"/>
              <w:rPr>
                <w:rFonts w:ascii="仿宋" w:hAnsi="仿宋" w:eastAsia="仿宋" w:cs="仿宋"/>
                <w:color w:val="auto"/>
                <w:sz w:val="24"/>
                <w:highlight w:val="none"/>
              </w:rPr>
            </w:pPr>
          </w:p>
        </w:tc>
        <w:tc>
          <w:tcPr>
            <w:tcW w:w="1151" w:type="dxa"/>
            <w:noWrap/>
          </w:tcPr>
          <w:p>
            <w:pPr>
              <w:spacing w:line="440" w:lineRule="exact"/>
              <w:jc w:val="center"/>
              <w:rPr>
                <w:rFonts w:ascii="仿宋" w:hAnsi="仿宋" w:eastAsia="仿宋" w:cs="仿宋"/>
                <w:color w:val="auto"/>
                <w:sz w:val="24"/>
                <w:highlight w:val="none"/>
              </w:rPr>
            </w:pPr>
          </w:p>
        </w:tc>
        <w:tc>
          <w:tcPr>
            <w:tcW w:w="742" w:type="dxa"/>
            <w:noWrap/>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65" w:type="dxa"/>
            <w:noWrap/>
          </w:tcPr>
          <w:p>
            <w:pPr>
              <w:spacing w:line="440" w:lineRule="exact"/>
              <w:jc w:val="center"/>
              <w:rPr>
                <w:rFonts w:ascii="仿宋" w:hAnsi="仿宋" w:eastAsia="仿宋" w:cs="仿宋"/>
                <w:color w:val="auto"/>
                <w:sz w:val="24"/>
                <w:highlight w:val="none"/>
              </w:rPr>
            </w:pPr>
          </w:p>
        </w:tc>
        <w:tc>
          <w:tcPr>
            <w:tcW w:w="1245" w:type="dxa"/>
            <w:noWrap/>
          </w:tcPr>
          <w:p>
            <w:pPr>
              <w:spacing w:line="440" w:lineRule="exact"/>
              <w:jc w:val="center"/>
              <w:rPr>
                <w:rFonts w:ascii="仿宋" w:hAnsi="仿宋" w:eastAsia="仿宋" w:cs="仿宋"/>
                <w:color w:val="auto"/>
                <w:sz w:val="24"/>
                <w:highlight w:val="none"/>
              </w:rPr>
            </w:pPr>
          </w:p>
        </w:tc>
        <w:tc>
          <w:tcPr>
            <w:tcW w:w="840" w:type="dxa"/>
            <w:noWrap/>
          </w:tcPr>
          <w:p>
            <w:pPr>
              <w:spacing w:line="440" w:lineRule="exact"/>
              <w:jc w:val="center"/>
              <w:rPr>
                <w:rFonts w:ascii="仿宋" w:hAnsi="仿宋" w:eastAsia="仿宋" w:cs="仿宋"/>
                <w:color w:val="auto"/>
                <w:sz w:val="24"/>
                <w:highlight w:val="none"/>
              </w:rPr>
            </w:pPr>
          </w:p>
        </w:tc>
        <w:tc>
          <w:tcPr>
            <w:tcW w:w="885" w:type="dxa"/>
            <w:noWrap/>
          </w:tcPr>
          <w:p>
            <w:pPr>
              <w:spacing w:line="440" w:lineRule="exact"/>
              <w:jc w:val="center"/>
              <w:rPr>
                <w:rFonts w:ascii="仿宋" w:hAnsi="仿宋" w:eastAsia="仿宋" w:cs="仿宋"/>
                <w:color w:val="auto"/>
                <w:sz w:val="24"/>
                <w:highlight w:val="none"/>
              </w:rPr>
            </w:pPr>
          </w:p>
        </w:tc>
        <w:tc>
          <w:tcPr>
            <w:tcW w:w="870" w:type="dxa"/>
            <w:noWrap/>
          </w:tcPr>
          <w:p>
            <w:pPr>
              <w:spacing w:line="440" w:lineRule="exact"/>
              <w:jc w:val="center"/>
              <w:rPr>
                <w:rFonts w:ascii="仿宋" w:hAnsi="仿宋" w:eastAsia="仿宋" w:cs="仿宋"/>
                <w:color w:val="auto"/>
                <w:sz w:val="24"/>
                <w:highlight w:val="none"/>
              </w:rPr>
            </w:pPr>
          </w:p>
        </w:tc>
        <w:tc>
          <w:tcPr>
            <w:tcW w:w="960" w:type="dxa"/>
            <w:noWrap/>
          </w:tcPr>
          <w:p>
            <w:pPr>
              <w:spacing w:line="440" w:lineRule="exact"/>
              <w:jc w:val="center"/>
              <w:rPr>
                <w:rFonts w:ascii="仿宋" w:hAnsi="仿宋" w:eastAsia="仿宋" w:cs="仿宋"/>
                <w:color w:val="auto"/>
                <w:sz w:val="24"/>
                <w:highlight w:val="none"/>
              </w:rPr>
            </w:pPr>
          </w:p>
        </w:tc>
        <w:tc>
          <w:tcPr>
            <w:tcW w:w="1312" w:type="dxa"/>
            <w:noWrap/>
          </w:tcPr>
          <w:p>
            <w:pPr>
              <w:spacing w:line="440" w:lineRule="exact"/>
              <w:jc w:val="center"/>
              <w:rPr>
                <w:rFonts w:ascii="仿宋" w:hAnsi="仿宋" w:eastAsia="仿宋" w:cs="仿宋"/>
                <w:color w:val="auto"/>
                <w:sz w:val="24"/>
                <w:highlight w:val="none"/>
              </w:rPr>
            </w:pPr>
          </w:p>
        </w:tc>
        <w:tc>
          <w:tcPr>
            <w:tcW w:w="1151" w:type="dxa"/>
            <w:noWrap/>
          </w:tcPr>
          <w:p>
            <w:pPr>
              <w:spacing w:line="440" w:lineRule="exact"/>
              <w:jc w:val="center"/>
              <w:rPr>
                <w:rFonts w:ascii="仿宋" w:hAnsi="仿宋" w:eastAsia="仿宋" w:cs="仿宋"/>
                <w:color w:val="auto"/>
                <w:sz w:val="24"/>
                <w:highlight w:val="none"/>
              </w:rPr>
            </w:pPr>
          </w:p>
        </w:tc>
        <w:tc>
          <w:tcPr>
            <w:tcW w:w="742" w:type="dxa"/>
            <w:noWrap/>
          </w:tcPr>
          <w:p>
            <w:pPr>
              <w:spacing w:line="440" w:lineRule="exact"/>
              <w:jc w:val="center"/>
              <w:rPr>
                <w:rFonts w:ascii="仿宋" w:hAnsi="仿宋" w:eastAsia="仿宋" w:cs="仿宋"/>
                <w:color w:val="auto"/>
                <w:sz w:val="24"/>
                <w:highlight w:val="none"/>
              </w:rPr>
            </w:pPr>
          </w:p>
        </w:tc>
      </w:tr>
    </w:tbl>
    <w:p>
      <w:pPr>
        <w:spacing w:line="440" w:lineRule="exact"/>
        <w:rPr>
          <w:rFonts w:ascii="宋体" w:hAnsi="宋体"/>
          <w:color w:val="auto"/>
          <w:sz w:val="22"/>
          <w:szCs w:val="22"/>
          <w:highlight w:val="none"/>
        </w:rPr>
      </w:pPr>
    </w:p>
    <w:p>
      <w:pPr>
        <w:spacing w:line="440" w:lineRule="exact"/>
        <w:rPr>
          <w:rFonts w:ascii="仿宋" w:hAnsi="仿宋" w:eastAsia="仿宋" w:cs="仿宋"/>
          <w:b/>
          <w:bCs/>
          <w:color w:val="auto"/>
          <w:sz w:val="24"/>
          <w:highlight w:val="none"/>
        </w:rPr>
      </w:pPr>
      <w:r>
        <w:rPr>
          <w:rFonts w:ascii="宋体" w:hAnsi="宋体"/>
          <w:b/>
          <w:bCs/>
          <w:color w:val="auto"/>
          <w:sz w:val="22"/>
          <w:szCs w:val="22"/>
          <w:highlight w:val="none"/>
        </w:rPr>
        <w:br w:type="page"/>
      </w:r>
      <w:r>
        <w:rPr>
          <w:rFonts w:hint="eastAsia" w:ascii="仿宋" w:hAnsi="仿宋" w:eastAsia="仿宋" w:cs="仿宋"/>
          <w:b/>
          <w:bCs/>
          <w:color w:val="auto"/>
          <w:sz w:val="24"/>
          <w:highlight w:val="none"/>
        </w:rPr>
        <w:t>附表三、</w:t>
      </w:r>
      <w:r>
        <w:rPr>
          <w:rFonts w:hint="eastAsia" w:ascii="仿宋" w:hAnsi="仿宋" w:eastAsia="仿宋" w:cs="仿宋"/>
          <w:b/>
          <w:bCs/>
          <w:color w:val="auto"/>
          <w:kern w:val="0"/>
          <w:sz w:val="24"/>
          <w:highlight w:val="none"/>
        </w:rPr>
        <w:t>项目管理班子配备情况表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职务</w:t>
            </w:r>
          </w:p>
        </w:tc>
        <w:tc>
          <w:tcPr>
            <w:tcW w:w="720" w:type="dxa"/>
            <w:vMerge w:val="restart"/>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p>
        </w:tc>
        <w:tc>
          <w:tcPr>
            <w:tcW w:w="720" w:type="dxa"/>
            <w:vMerge w:val="restart"/>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职称</w:t>
            </w:r>
          </w:p>
        </w:tc>
        <w:tc>
          <w:tcPr>
            <w:tcW w:w="5040" w:type="dxa"/>
            <w:gridSpan w:val="5"/>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上岗资格证明</w:t>
            </w:r>
          </w:p>
        </w:tc>
        <w:tc>
          <w:tcPr>
            <w:tcW w:w="1800" w:type="dxa"/>
            <w:gridSpan w:val="2"/>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pPr>
              <w:spacing w:line="360" w:lineRule="auto"/>
              <w:rPr>
                <w:rFonts w:ascii="仿宋" w:hAnsi="仿宋" w:eastAsia="仿宋" w:cs="仿宋"/>
                <w:color w:val="auto"/>
                <w:kern w:val="0"/>
                <w:sz w:val="24"/>
                <w:highlight w:val="none"/>
              </w:rPr>
            </w:pPr>
          </w:p>
        </w:tc>
        <w:tc>
          <w:tcPr>
            <w:tcW w:w="720" w:type="dxa"/>
            <w:vMerge w:val="continue"/>
            <w:noWrap/>
          </w:tcPr>
          <w:p>
            <w:pPr>
              <w:spacing w:line="360" w:lineRule="auto"/>
              <w:rPr>
                <w:rFonts w:ascii="仿宋" w:hAnsi="仿宋" w:eastAsia="仿宋" w:cs="仿宋"/>
                <w:color w:val="auto"/>
                <w:kern w:val="0"/>
                <w:sz w:val="24"/>
                <w:highlight w:val="none"/>
              </w:rPr>
            </w:pPr>
          </w:p>
        </w:tc>
        <w:tc>
          <w:tcPr>
            <w:tcW w:w="720" w:type="dxa"/>
            <w:vMerge w:val="continue"/>
            <w:noWrap/>
          </w:tcPr>
          <w:p>
            <w:pPr>
              <w:spacing w:line="360" w:lineRule="auto"/>
              <w:rPr>
                <w:rFonts w:ascii="仿宋" w:hAnsi="仿宋" w:eastAsia="仿宋" w:cs="仿宋"/>
                <w:color w:val="auto"/>
                <w:kern w:val="0"/>
                <w:sz w:val="24"/>
                <w:highlight w:val="none"/>
              </w:rPr>
            </w:pPr>
          </w:p>
        </w:tc>
        <w:tc>
          <w:tcPr>
            <w:tcW w:w="888"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证书</w:t>
            </w:r>
          </w:p>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888"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级别</w:t>
            </w:r>
          </w:p>
        </w:tc>
        <w:tc>
          <w:tcPr>
            <w:tcW w:w="888"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证号</w:t>
            </w:r>
          </w:p>
        </w:tc>
        <w:tc>
          <w:tcPr>
            <w:tcW w:w="888"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专业</w:t>
            </w:r>
          </w:p>
        </w:tc>
        <w:tc>
          <w:tcPr>
            <w:tcW w:w="1488"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原服务单位</w:t>
            </w:r>
          </w:p>
        </w:tc>
        <w:tc>
          <w:tcPr>
            <w:tcW w:w="889"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项目数</w:t>
            </w:r>
          </w:p>
        </w:tc>
        <w:tc>
          <w:tcPr>
            <w:tcW w:w="911" w:type="dxa"/>
            <w:noWrap/>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1488" w:type="dxa"/>
            <w:noWrap/>
          </w:tcPr>
          <w:p>
            <w:pPr>
              <w:spacing w:line="360" w:lineRule="auto"/>
              <w:rPr>
                <w:rFonts w:ascii="仿宋" w:hAnsi="仿宋" w:eastAsia="仿宋" w:cs="仿宋"/>
                <w:color w:val="auto"/>
                <w:kern w:val="0"/>
                <w:sz w:val="24"/>
                <w:highlight w:val="none"/>
              </w:rPr>
            </w:pPr>
          </w:p>
        </w:tc>
        <w:tc>
          <w:tcPr>
            <w:tcW w:w="889" w:type="dxa"/>
            <w:noWrap/>
          </w:tcPr>
          <w:p>
            <w:pPr>
              <w:spacing w:line="360" w:lineRule="auto"/>
              <w:rPr>
                <w:rFonts w:ascii="仿宋" w:hAnsi="仿宋" w:eastAsia="仿宋" w:cs="仿宋"/>
                <w:color w:val="auto"/>
                <w:kern w:val="0"/>
                <w:sz w:val="24"/>
                <w:highlight w:val="none"/>
              </w:rPr>
            </w:pPr>
          </w:p>
        </w:tc>
        <w:tc>
          <w:tcPr>
            <w:tcW w:w="91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1488" w:type="dxa"/>
            <w:noWrap/>
          </w:tcPr>
          <w:p>
            <w:pPr>
              <w:spacing w:line="360" w:lineRule="auto"/>
              <w:rPr>
                <w:rFonts w:ascii="仿宋" w:hAnsi="仿宋" w:eastAsia="仿宋" w:cs="仿宋"/>
                <w:color w:val="auto"/>
                <w:kern w:val="0"/>
                <w:sz w:val="24"/>
                <w:highlight w:val="none"/>
              </w:rPr>
            </w:pPr>
          </w:p>
        </w:tc>
        <w:tc>
          <w:tcPr>
            <w:tcW w:w="889" w:type="dxa"/>
            <w:noWrap/>
          </w:tcPr>
          <w:p>
            <w:pPr>
              <w:spacing w:line="360" w:lineRule="auto"/>
              <w:rPr>
                <w:rFonts w:ascii="仿宋" w:hAnsi="仿宋" w:eastAsia="仿宋" w:cs="仿宋"/>
                <w:color w:val="auto"/>
                <w:kern w:val="0"/>
                <w:sz w:val="24"/>
                <w:highlight w:val="none"/>
              </w:rPr>
            </w:pPr>
          </w:p>
        </w:tc>
        <w:tc>
          <w:tcPr>
            <w:tcW w:w="91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1488" w:type="dxa"/>
            <w:noWrap/>
          </w:tcPr>
          <w:p>
            <w:pPr>
              <w:spacing w:line="360" w:lineRule="auto"/>
              <w:rPr>
                <w:rFonts w:ascii="仿宋" w:hAnsi="仿宋" w:eastAsia="仿宋" w:cs="仿宋"/>
                <w:color w:val="auto"/>
                <w:kern w:val="0"/>
                <w:sz w:val="24"/>
                <w:highlight w:val="none"/>
              </w:rPr>
            </w:pPr>
          </w:p>
        </w:tc>
        <w:tc>
          <w:tcPr>
            <w:tcW w:w="889" w:type="dxa"/>
            <w:noWrap/>
          </w:tcPr>
          <w:p>
            <w:pPr>
              <w:spacing w:line="360" w:lineRule="auto"/>
              <w:rPr>
                <w:rFonts w:ascii="仿宋" w:hAnsi="仿宋" w:eastAsia="仿宋" w:cs="仿宋"/>
                <w:color w:val="auto"/>
                <w:kern w:val="0"/>
                <w:sz w:val="24"/>
                <w:highlight w:val="none"/>
              </w:rPr>
            </w:pPr>
          </w:p>
        </w:tc>
        <w:tc>
          <w:tcPr>
            <w:tcW w:w="91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trPr>
        <w:tc>
          <w:tcPr>
            <w:tcW w:w="648"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720"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888" w:type="dxa"/>
            <w:noWrap/>
          </w:tcPr>
          <w:p>
            <w:pPr>
              <w:spacing w:line="360" w:lineRule="auto"/>
              <w:rPr>
                <w:rFonts w:ascii="仿宋" w:hAnsi="仿宋" w:eastAsia="仿宋" w:cs="仿宋"/>
                <w:color w:val="auto"/>
                <w:kern w:val="0"/>
                <w:sz w:val="24"/>
                <w:highlight w:val="none"/>
              </w:rPr>
            </w:pPr>
          </w:p>
        </w:tc>
        <w:tc>
          <w:tcPr>
            <w:tcW w:w="1488" w:type="dxa"/>
            <w:noWrap/>
          </w:tcPr>
          <w:p>
            <w:pPr>
              <w:spacing w:line="360" w:lineRule="auto"/>
              <w:rPr>
                <w:rFonts w:ascii="仿宋" w:hAnsi="仿宋" w:eastAsia="仿宋" w:cs="仿宋"/>
                <w:color w:val="auto"/>
                <w:kern w:val="0"/>
                <w:sz w:val="24"/>
                <w:highlight w:val="none"/>
              </w:rPr>
            </w:pPr>
          </w:p>
        </w:tc>
        <w:tc>
          <w:tcPr>
            <w:tcW w:w="889" w:type="dxa"/>
            <w:noWrap/>
          </w:tcPr>
          <w:p>
            <w:pPr>
              <w:spacing w:line="360" w:lineRule="auto"/>
              <w:rPr>
                <w:rFonts w:ascii="仿宋" w:hAnsi="仿宋" w:eastAsia="仿宋" w:cs="仿宋"/>
                <w:color w:val="auto"/>
                <w:kern w:val="0"/>
                <w:sz w:val="24"/>
                <w:highlight w:val="none"/>
              </w:rPr>
            </w:pPr>
          </w:p>
        </w:tc>
        <w:tc>
          <w:tcPr>
            <w:tcW w:w="91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pPr>
              <w:spacing w:line="360" w:lineRule="auto"/>
              <w:ind w:firstLine="540" w:firstLineChars="22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spacing w:line="440" w:lineRule="exact"/>
        <w:rPr>
          <w:rFonts w:ascii="仿宋" w:hAnsi="仿宋" w:eastAsia="仿宋" w:cs="仿宋"/>
          <w:b/>
          <w:bCs/>
          <w:color w:val="auto"/>
          <w:sz w:val="24"/>
          <w:highlight w:val="none"/>
        </w:rPr>
      </w:pPr>
    </w:p>
    <w:p>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附表四、</w:t>
      </w:r>
      <w:r>
        <w:rPr>
          <w:rFonts w:hint="eastAsia" w:ascii="仿宋" w:hAnsi="仿宋" w:eastAsia="仿宋" w:cs="仿宋"/>
          <w:b/>
          <w:bCs/>
          <w:color w:val="auto"/>
          <w:kern w:val="0"/>
          <w:sz w:val="24"/>
          <w:highlight w:val="none"/>
        </w:rPr>
        <w:t>项目经理简历表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p>
        </w:tc>
        <w:tc>
          <w:tcPr>
            <w:tcW w:w="1480" w:type="dxa"/>
            <w:noWrap/>
          </w:tcPr>
          <w:p>
            <w:pPr>
              <w:spacing w:line="360" w:lineRule="auto"/>
              <w:jc w:val="center"/>
              <w:rPr>
                <w:rFonts w:ascii="仿宋" w:hAnsi="仿宋" w:eastAsia="仿宋" w:cs="仿宋"/>
                <w:color w:val="auto"/>
                <w:kern w:val="0"/>
                <w:sz w:val="24"/>
                <w:highlight w:val="none"/>
              </w:rPr>
            </w:pP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性别</w:t>
            </w:r>
          </w:p>
        </w:tc>
        <w:tc>
          <w:tcPr>
            <w:tcW w:w="1608" w:type="dxa"/>
            <w:noWrap/>
          </w:tcPr>
          <w:p>
            <w:pPr>
              <w:spacing w:line="360" w:lineRule="auto"/>
              <w:jc w:val="center"/>
              <w:rPr>
                <w:rFonts w:ascii="仿宋" w:hAnsi="仿宋" w:eastAsia="仿宋" w:cs="仿宋"/>
                <w:color w:val="auto"/>
                <w:kern w:val="0"/>
                <w:sz w:val="24"/>
                <w:highlight w:val="none"/>
              </w:rPr>
            </w:pP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年龄</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职务</w:t>
            </w:r>
          </w:p>
        </w:tc>
        <w:tc>
          <w:tcPr>
            <w:tcW w:w="1480" w:type="dxa"/>
            <w:noWrap/>
          </w:tcPr>
          <w:p>
            <w:pPr>
              <w:spacing w:line="360" w:lineRule="auto"/>
              <w:jc w:val="center"/>
              <w:rPr>
                <w:rFonts w:ascii="仿宋" w:hAnsi="仿宋" w:eastAsia="仿宋" w:cs="仿宋"/>
                <w:color w:val="auto"/>
                <w:kern w:val="0"/>
                <w:sz w:val="24"/>
                <w:highlight w:val="none"/>
              </w:rPr>
            </w:pP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职称</w:t>
            </w:r>
          </w:p>
        </w:tc>
        <w:tc>
          <w:tcPr>
            <w:tcW w:w="1608" w:type="dxa"/>
            <w:noWrap/>
          </w:tcPr>
          <w:p>
            <w:pPr>
              <w:spacing w:line="360" w:lineRule="auto"/>
              <w:jc w:val="center"/>
              <w:rPr>
                <w:rFonts w:ascii="仿宋" w:hAnsi="仿宋" w:eastAsia="仿宋" w:cs="仿宋"/>
                <w:color w:val="auto"/>
                <w:kern w:val="0"/>
                <w:sz w:val="24"/>
                <w:highlight w:val="none"/>
              </w:rPr>
            </w:pP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学历</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参加工作时间</w:t>
            </w:r>
          </w:p>
        </w:tc>
        <w:tc>
          <w:tcPr>
            <w:tcW w:w="1480" w:type="dxa"/>
            <w:noWrap/>
          </w:tcPr>
          <w:p>
            <w:pPr>
              <w:spacing w:line="360" w:lineRule="auto"/>
              <w:jc w:val="center"/>
              <w:rPr>
                <w:rFonts w:ascii="仿宋" w:hAnsi="仿宋" w:eastAsia="仿宋" w:cs="仿宋"/>
                <w:color w:val="auto"/>
                <w:kern w:val="0"/>
                <w:sz w:val="24"/>
                <w:highlight w:val="none"/>
              </w:rPr>
            </w:pPr>
          </w:p>
        </w:tc>
        <w:tc>
          <w:tcPr>
            <w:tcW w:w="3089"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从事项目经理年限</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项目经理资格证书编号</w:t>
            </w:r>
          </w:p>
        </w:tc>
        <w:tc>
          <w:tcPr>
            <w:tcW w:w="6050" w:type="dxa"/>
            <w:gridSpan w:val="4"/>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建设单位</w:t>
            </w: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建设规模</w:t>
            </w:r>
          </w:p>
        </w:tc>
        <w:tc>
          <w:tcPr>
            <w:tcW w:w="1608"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开、竣工日期</w:t>
            </w: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在建或已完</w:t>
            </w: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bl>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备注：后附项目经理注册证书、B证、职称证等</w:t>
      </w:r>
    </w:p>
    <w:p>
      <w:pPr>
        <w:spacing w:line="360" w:lineRule="auto"/>
        <w:jc w:val="left"/>
        <w:rPr>
          <w:rFonts w:ascii="仿宋" w:hAnsi="仿宋" w:eastAsia="仿宋" w:cs="仿宋"/>
          <w:b/>
          <w:bCs/>
          <w:color w:val="auto"/>
          <w:kern w:val="0"/>
          <w:sz w:val="24"/>
          <w:highlight w:val="none"/>
        </w:rPr>
      </w:pPr>
      <w:r>
        <w:rPr>
          <w:rFonts w:ascii="宋体" w:hAnsi="宋体"/>
          <w:color w:val="auto"/>
          <w:sz w:val="22"/>
          <w:szCs w:val="22"/>
          <w:highlight w:val="none"/>
        </w:rPr>
        <w:br w:type="page"/>
      </w:r>
      <w:r>
        <w:rPr>
          <w:rFonts w:hint="eastAsia" w:ascii="仿宋" w:hAnsi="仿宋" w:eastAsia="仿宋" w:cs="仿宋"/>
          <w:b/>
          <w:bCs/>
          <w:color w:val="auto"/>
          <w:sz w:val="24"/>
          <w:highlight w:val="none"/>
        </w:rPr>
        <w:t>附表五、</w:t>
      </w:r>
      <w:r>
        <w:rPr>
          <w:rFonts w:hint="eastAsia" w:ascii="仿宋" w:hAnsi="仿宋" w:eastAsia="仿宋" w:cs="仿宋"/>
          <w:b/>
          <w:bCs/>
          <w:color w:val="auto"/>
          <w:kern w:val="0"/>
          <w:sz w:val="24"/>
          <w:highlight w:val="none"/>
        </w:rPr>
        <w:t>技术负责人简历表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p>
        </w:tc>
        <w:tc>
          <w:tcPr>
            <w:tcW w:w="1480" w:type="dxa"/>
            <w:noWrap/>
          </w:tcPr>
          <w:p>
            <w:pPr>
              <w:spacing w:line="360" w:lineRule="auto"/>
              <w:jc w:val="center"/>
              <w:rPr>
                <w:rFonts w:ascii="仿宋" w:hAnsi="仿宋" w:eastAsia="仿宋" w:cs="仿宋"/>
                <w:color w:val="auto"/>
                <w:kern w:val="0"/>
                <w:sz w:val="24"/>
                <w:highlight w:val="none"/>
              </w:rPr>
            </w:pP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性别</w:t>
            </w:r>
          </w:p>
        </w:tc>
        <w:tc>
          <w:tcPr>
            <w:tcW w:w="1608" w:type="dxa"/>
            <w:noWrap/>
          </w:tcPr>
          <w:p>
            <w:pPr>
              <w:spacing w:line="360" w:lineRule="auto"/>
              <w:jc w:val="center"/>
              <w:rPr>
                <w:rFonts w:ascii="仿宋" w:hAnsi="仿宋" w:eastAsia="仿宋" w:cs="仿宋"/>
                <w:color w:val="auto"/>
                <w:kern w:val="0"/>
                <w:sz w:val="24"/>
                <w:highlight w:val="none"/>
              </w:rPr>
            </w:pP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年龄</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职务</w:t>
            </w:r>
          </w:p>
        </w:tc>
        <w:tc>
          <w:tcPr>
            <w:tcW w:w="1480" w:type="dxa"/>
            <w:noWrap/>
          </w:tcPr>
          <w:p>
            <w:pPr>
              <w:spacing w:line="360" w:lineRule="auto"/>
              <w:jc w:val="center"/>
              <w:rPr>
                <w:rFonts w:ascii="仿宋" w:hAnsi="仿宋" w:eastAsia="仿宋" w:cs="仿宋"/>
                <w:color w:val="auto"/>
                <w:kern w:val="0"/>
                <w:sz w:val="24"/>
                <w:highlight w:val="none"/>
              </w:rPr>
            </w:pP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职称</w:t>
            </w:r>
          </w:p>
        </w:tc>
        <w:tc>
          <w:tcPr>
            <w:tcW w:w="1608" w:type="dxa"/>
            <w:noWrap/>
          </w:tcPr>
          <w:p>
            <w:pPr>
              <w:spacing w:line="360" w:lineRule="auto"/>
              <w:jc w:val="center"/>
              <w:rPr>
                <w:rFonts w:ascii="仿宋" w:hAnsi="仿宋" w:eastAsia="仿宋" w:cs="仿宋"/>
                <w:color w:val="auto"/>
                <w:kern w:val="0"/>
                <w:sz w:val="24"/>
                <w:highlight w:val="none"/>
              </w:rPr>
            </w:pP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学历</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参加工作时间</w:t>
            </w:r>
          </w:p>
        </w:tc>
        <w:tc>
          <w:tcPr>
            <w:tcW w:w="1480" w:type="dxa"/>
            <w:noWrap/>
          </w:tcPr>
          <w:p>
            <w:pPr>
              <w:spacing w:line="360" w:lineRule="auto"/>
              <w:jc w:val="center"/>
              <w:rPr>
                <w:rFonts w:ascii="仿宋" w:hAnsi="仿宋" w:eastAsia="仿宋" w:cs="仿宋"/>
                <w:color w:val="auto"/>
                <w:kern w:val="0"/>
                <w:sz w:val="24"/>
                <w:highlight w:val="none"/>
              </w:rPr>
            </w:pPr>
          </w:p>
        </w:tc>
        <w:tc>
          <w:tcPr>
            <w:tcW w:w="3089"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从事技术负责人年限</w:t>
            </w:r>
          </w:p>
        </w:tc>
        <w:tc>
          <w:tcPr>
            <w:tcW w:w="1481" w:type="dxa"/>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资格证书名称及编号</w:t>
            </w:r>
          </w:p>
        </w:tc>
        <w:tc>
          <w:tcPr>
            <w:tcW w:w="6050" w:type="dxa"/>
            <w:gridSpan w:val="4"/>
            <w:noWrap/>
          </w:tcPr>
          <w:p>
            <w:pPr>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建设单位</w:t>
            </w: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1480"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建设规模</w:t>
            </w:r>
          </w:p>
        </w:tc>
        <w:tc>
          <w:tcPr>
            <w:tcW w:w="1608"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开、竣工日期</w:t>
            </w: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在建或已完</w:t>
            </w:r>
          </w:p>
        </w:tc>
        <w:tc>
          <w:tcPr>
            <w:tcW w:w="1481" w:type="dxa"/>
            <w:noWrap/>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480" w:type="dxa"/>
            <w:noWrap/>
          </w:tcPr>
          <w:p>
            <w:pPr>
              <w:spacing w:line="360" w:lineRule="auto"/>
              <w:rPr>
                <w:rFonts w:ascii="仿宋" w:hAnsi="仿宋" w:eastAsia="仿宋" w:cs="仿宋"/>
                <w:color w:val="auto"/>
                <w:kern w:val="0"/>
                <w:sz w:val="24"/>
                <w:highlight w:val="none"/>
              </w:rPr>
            </w:pPr>
          </w:p>
        </w:tc>
        <w:tc>
          <w:tcPr>
            <w:tcW w:w="1608"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c>
          <w:tcPr>
            <w:tcW w:w="1481" w:type="dxa"/>
            <w:noWrap/>
          </w:tcPr>
          <w:p>
            <w:pPr>
              <w:spacing w:line="360" w:lineRule="auto"/>
              <w:rPr>
                <w:rFonts w:ascii="仿宋" w:hAnsi="仿宋" w:eastAsia="仿宋" w:cs="仿宋"/>
                <w:color w:val="auto"/>
                <w:kern w:val="0"/>
                <w:sz w:val="24"/>
                <w:highlight w:val="none"/>
              </w:rPr>
            </w:pPr>
          </w:p>
        </w:tc>
      </w:tr>
    </w:tbl>
    <w:p>
      <w:pPr>
        <w:spacing w:line="360" w:lineRule="auto"/>
        <w:rPr>
          <w:rFonts w:ascii="仿宋" w:hAnsi="仿宋" w:eastAsia="仿宋" w:cs="仿宋"/>
          <w:b/>
          <w:bCs/>
          <w:color w:val="auto"/>
          <w:kern w:val="0"/>
          <w:sz w:val="24"/>
          <w:highlight w:val="none"/>
        </w:rPr>
      </w:pPr>
    </w:p>
    <w:p>
      <w:pPr>
        <w:tabs>
          <w:tab w:val="left" w:pos="720"/>
        </w:tabs>
        <w:spacing w:line="44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附表六：进度计划及劳动力计划表</w:t>
      </w:r>
    </w:p>
    <w:p>
      <w:pPr>
        <w:spacing w:line="440" w:lineRule="exact"/>
        <w:ind w:right="410"/>
        <w:jc w:val="right"/>
        <w:rPr>
          <w:rFonts w:ascii="仿宋" w:hAnsi="仿宋" w:eastAsia="仿宋" w:cs="仿宋"/>
          <w:color w:val="auto"/>
          <w:sz w:val="24"/>
          <w:highlight w:val="none"/>
        </w:rPr>
      </w:pPr>
      <w:r>
        <w:rPr>
          <w:rFonts w:hint="eastAsia" w:ascii="仿宋" w:hAnsi="仿宋" w:eastAsia="仿宋" w:cs="仿宋"/>
          <w:color w:val="auto"/>
          <w:sz w:val="24"/>
          <w:highlight w:val="none"/>
        </w:rPr>
        <w:t>单位：人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工种</w:t>
            </w:r>
          </w:p>
        </w:tc>
        <w:tc>
          <w:tcPr>
            <w:tcW w:w="7622" w:type="dxa"/>
            <w:gridSpan w:val="7"/>
            <w:noWrap/>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color w:val="auto"/>
                <w:sz w:val="24"/>
                <w:highlight w:val="none"/>
              </w:rPr>
            </w:pPr>
          </w:p>
        </w:tc>
        <w:tc>
          <w:tcPr>
            <w:tcW w:w="872"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875"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343"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color w:val="auto"/>
                <w:sz w:val="24"/>
                <w:highlight w:val="none"/>
              </w:rPr>
            </w:pPr>
          </w:p>
        </w:tc>
        <w:tc>
          <w:tcPr>
            <w:tcW w:w="872"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875"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133" w:type="dxa"/>
            <w:noWrap/>
            <w:vAlign w:val="center"/>
          </w:tcPr>
          <w:p>
            <w:pPr>
              <w:spacing w:line="440" w:lineRule="exact"/>
              <w:jc w:val="center"/>
              <w:rPr>
                <w:rFonts w:ascii="仿宋" w:hAnsi="仿宋" w:eastAsia="仿宋" w:cs="仿宋"/>
                <w:color w:val="auto"/>
                <w:sz w:val="24"/>
                <w:highlight w:val="none"/>
              </w:rPr>
            </w:pPr>
          </w:p>
        </w:tc>
        <w:tc>
          <w:tcPr>
            <w:tcW w:w="1343" w:type="dxa"/>
            <w:noWrap/>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color w:val="auto"/>
                <w:sz w:val="24"/>
                <w:highlight w:val="none"/>
              </w:rPr>
            </w:pPr>
          </w:p>
        </w:tc>
        <w:tc>
          <w:tcPr>
            <w:tcW w:w="872"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875"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343" w:type="dxa"/>
            <w:noWrap/>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color w:val="auto"/>
                <w:sz w:val="24"/>
                <w:highlight w:val="none"/>
              </w:rPr>
            </w:pPr>
          </w:p>
        </w:tc>
        <w:tc>
          <w:tcPr>
            <w:tcW w:w="872"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875"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343" w:type="dxa"/>
            <w:noWrap/>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color w:val="auto"/>
                <w:sz w:val="24"/>
                <w:highlight w:val="none"/>
              </w:rPr>
            </w:pPr>
          </w:p>
        </w:tc>
        <w:tc>
          <w:tcPr>
            <w:tcW w:w="872"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875"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133" w:type="dxa"/>
            <w:noWrap/>
          </w:tcPr>
          <w:p>
            <w:pPr>
              <w:spacing w:line="440" w:lineRule="exact"/>
              <w:jc w:val="center"/>
              <w:rPr>
                <w:rFonts w:ascii="仿宋" w:hAnsi="仿宋" w:eastAsia="仿宋" w:cs="仿宋"/>
                <w:color w:val="auto"/>
                <w:sz w:val="24"/>
                <w:highlight w:val="none"/>
              </w:rPr>
            </w:pPr>
          </w:p>
        </w:tc>
        <w:tc>
          <w:tcPr>
            <w:tcW w:w="1343" w:type="dxa"/>
            <w:noWrap/>
          </w:tcPr>
          <w:p>
            <w:pPr>
              <w:spacing w:line="440" w:lineRule="exact"/>
              <w:jc w:val="center"/>
              <w:rPr>
                <w:rFonts w:ascii="仿宋" w:hAnsi="仿宋" w:eastAsia="仿宋" w:cs="仿宋"/>
                <w:color w:val="auto"/>
                <w:sz w:val="24"/>
                <w:highlight w:val="none"/>
              </w:rPr>
            </w:pPr>
          </w:p>
        </w:tc>
      </w:tr>
    </w:tbl>
    <w:p>
      <w:pPr>
        <w:topLinePunct/>
        <w:spacing w:line="440" w:lineRule="exact"/>
        <w:jc w:val="center"/>
        <w:rPr>
          <w:rFonts w:ascii="仿宋" w:hAnsi="仿宋" w:eastAsia="仿宋" w:cs="仿宋"/>
          <w:color w:val="auto"/>
          <w:sz w:val="24"/>
          <w:highlight w:val="none"/>
        </w:rPr>
      </w:pP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磋商响应供应商根据项目情况编制进度计划，说明施工项目的大致施工时间及进度安排。进度计划可采用网络图（或横道图）表示。</w:t>
      </w:r>
    </w:p>
    <w:p>
      <w:pPr>
        <w:widowControl/>
        <w:autoSpaceDE w:val="0"/>
        <w:autoSpaceDN w:val="0"/>
        <w:spacing w:before="120" w:beforeLines="50" w:after="120" w:afterLines="50" w:line="300" w:lineRule="auto"/>
        <w:ind w:firstLine="241" w:firstLineChars="100"/>
        <w:outlineLvl w:val="2"/>
        <w:rPr>
          <w:rFonts w:ascii="宋体" w:hAnsi="宋体"/>
          <w:b/>
          <w:bCs/>
          <w:color w:val="auto"/>
          <w:kern w:val="0"/>
          <w:sz w:val="24"/>
          <w:highlight w:val="none"/>
        </w:rPr>
      </w:pPr>
      <w:r>
        <w:rPr>
          <w:rFonts w:hint="eastAsia" w:ascii="宋体" w:hAnsi="宋体"/>
          <w:b/>
          <w:bCs/>
          <w:color w:val="auto"/>
          <w:kern w:val="0"/>
          <w:sz w:val="24"/>
          <w:highlight w:val="none"/>
        </w:rPr>
        <w:br w:type="page"/>
      </w:r>
      <w:bookmarkStart w:id="132" w:name="_Toc22276"/>
      <w:r>
        <w:rPr>
          <w:rFonts w:hint="eastAsia" w:ascii="华文中宋" w:hAnsi="华文中宋" w:eastAsia="华文中宋"/>
          <w:b/>
          <w:bCs/>
          <w:color w:val="auto"/>
          <w:sz w:val="30"/>
          <w:szCs w:val="30"/>
          <w:highlight w:val="none"/>
        </w:rPr>
        <w:t>2-8 技术（服务）方案</w:t>
      </w:r>
      <w:bookmarkEnd w:id="132"/>
    </w:p>
    <w:p>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技术（服务）方案</w:t>
      </w:r>
    </w:p>
    <w:p>
      <w:pPr>
        <w:spacing w:line="360" w:lineRule="auto"/>
        <w:rPr>
          <w:rFonts w:hint="eastAsia" w:ascii="仿宋" w:hAnsi="仿宋" w:eastAsia="仿宋" w:cs="仿宋"/>
          <w:b/>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u w:val="single"/>
          <w:lang w:eastAsia="zh-CN"/>
        </w:rPr>
        <w:t>浙江中医药大学富春校区及滨文南区消防设施设备日常零星维修改造</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u w:val="single"/>
          <w:lang w:eastAsia="zh-CN"/>
        </w:rPr>
        <w:t>CTZB-2024060047</w:t>
      </w:r>
    </w:p>
    <w:tbl>
      <w:tblPr>
        <w:tblStyle w:val="23"/>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vAlign w:val="center"/>
          </w:tcPr>
          <w:p>
            <w:pPr>
              <w:spacing w:line="360" w:lineRule="auto"/>
              <w:jc w:val="both"/>
              <w:rPr>
                <w:rFonts w:hint="eastAsia" w:ascii="仿宋" w:hAnsi="仿宋" w:eastAsia="仿宋" w:cs="Arial"/>
                <w:color w:val="auto"/>
                <w:sz w:val="32"/>
                <w:highlight w:val="none"/>
              </w:rPr>
            </w:pPr>
            <w:r>
              <w:rPr>
                <w:rFonts w:hint="eastAsia" w:ascii="仿宋" w:hAnsi="仿宋" w:eastAsia="仿宋" w:cs="Arial"/>
                <w:color w:val="auto"/>
                <w:sz w:val="32"/>
                <w:highlight w:val="none"/>
              </w:rPr>
              <w:t>（1）评分细则中要求的相关技术服务方案；</w:t>
            </w:r>
          </w:p>
          <w:p>
            <w:pPr>
              <w:spacing w:line="360" w:lineRule="auto"/>
              <w:jc w:val="both"/>
              <w:rPr>
                <w:rFonts w:ascii="仿宋" w:hAnsi="仿宋" w:eastAsia="仿宋" w:cs="仿宋"/>
                <w:color w:val="auto"/>
                <w:sz w:val="24"/>
                <w:highlight w:val="none"/>
              </w:rPr>
            </w:pPr>
            <w:r>
              <w:rPr>
                <w:rFonts w:hint="eastAsia" w:ascii="仿宋" w:hAnsi="仿宋" w:eastAsia="仿宋" w:cs="Arial"/>
                <w:color w:val="auto"/>
                <w:sz w:val="32"/>
                <w:highlight w:val="none"/>
              </w:rPr>
              <w:t>（2）采购文件要求提供的，以及磋商供应商认为有必要提供的其他技术服务方案或承诺。</w:t>
            </w:r>
          </w:p>
        </w:tc>
      </w:tr>
    </w:tbl>
    <w:p>
      <w:pPr>
        <w:rPr>
          <w:rFonts w:hint="eastAsia" w:eastAsia="仿宋"/>
          <w:color w:val="auto"/>
          <w:highlight w:val="none"/>
        </w:rPr>
      </w:pPr>
      <w:r>
        <w:rPr>
          <w:rFonts w:hint="eastAsia" w:eastAsia="仿宋"/>
          <w:color w:val="auto"/>
          <w:highlight w:val="none"/>
        </w:rPr>
        <w:br w:type="page"/>
      </w:r>
    </w:p>
    <w:p>
      <w:pPr>
        <w:pStyle w:val="4"/>
        <w:rPr>
          <w:color w:val="auto"/>
          <w:highlight w:val="none"/>
        </w:rPr>
      </w:pPr>
      <w:r>
        <w:rPr>
          <w:rFonts w:hint="eastAsia" w:eastAsia="仿宋"/>
          <w:color w:val="auto"/>
          <w:highlight w:val="none"/>
        </w:rPr>
        <w:t>2-9</w:t>
      </w:r>
      <w:r>
        <w:rPr>
          <w:rFonts w:hint="eastAsia"/>
          <w:color w:val="auto"/>
          <w:highlight w:val="none"/>
        </w:rPr>
        <w:t>关于对磋商文件中有关条款的拒绝声明</w:t>
      </w:r>
    </w:p>
    <w:p>
      <w:pPr>
        <w:spacing w:before="240"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关于对磋商文件中有关条款的拒绝声明</w:t>
      </w:r>
    </w:p>
    <w:p>
      <w:pPr>
        <w:spacing w:line="360" w:lineRule="auto"/>
        <w:ind w:right="-426" w:rightChars="-203"/>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浙江中医药大学富春校区及滨文南区消防设施设备日常零星维修改造</w:t>
      </w:r>
    </w:p>
    <w:p>
      <w:pPr>
        <w:spacing w:line="360" w:lineRule="auto"/>
        <w:ind w:left="-141" w:leftChars="-67"/>
        <w:rPr>
          <w:rFonts w:hint="eastAsia" w:eastAsia="仿宋"/>
          <w:color w:val="auto"/>
          <w:highlight w:val="none"/>
          <w:lang w:eastAsia="zh-CN"/>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CTZB-2024060047</w:t>
      </w:r>
    </w:p>
    <w:p>
      <w:pPr>
        <w:pStyle w:val="29"/>
        <w:rPr>
          <w:color w:val="auto"/>
          <w:highlight w:val="none"/>
        </w:rPr>
      </w:pP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301" w:hRule="atLeast"/>
        </w:trPr>
        <w:tc>
          <w:tcPr>
            <w:tcW w:w="9214" w:type="dxa"/>
            <w:vAlign w:val="center"/>
          </w:tcPr>
          <w:p>
            <w:pPr>
              <w:spacing w:line="360" w:lineRule="auto"/>
              <w:jc w:val="center"/>
              <w:rPr>
                <w:rFonts w:ascii="Arial" w:hAnsi="新宋体" w:eastAsia="新宋体" w:cs="Arial"/>
                <w:i/>
                <w:color w:val="auto"/>
                <w:szCs w:val="21"/>
                <w:highlight w:val="none"/>
              </w:rPr>
            </w:pPr>
            <w:r>
              <w:rPr>
                <w:rFonts w:hint="eastAsia" w:ascii="仿宋" w:hAnsi="仿宋" w:eastAsia="仿宋" w:cs="Arial"/>
                <w:i/>
                <w:color w:val="auto"/>
                <w:kern w:val="0"/>
                <w:sz w:val="36"/>
                <w:szCs w:val="22"/>
                <w:highlight w:val="none"/>
              </w:rPr>
              <w:t>（标注“▲”的实质性条款不得拒绝，否则投标无效）</w:t>
            </w:r>
          </w:p>
        </w:tc>
      </w:tr>
    </w:tbl>
    <w:p>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kern w:val="0"/>
          <w:sz w:val="24"/>
          <w:highlight w:val="none"/>
        </w:rPr>
        <w:t>____________________________________________</w:t>
      </w:r>
    </w:p>
    <w:p>
      <w:pPr>
        <w:rPr>
          <w:rFonts w:ascii="仿宋" w:hAnsi="仿宋" w:eastAsia="仿宋" w:cs="Arial"/>
          <w:color w:val="auto"/>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pPr>
        <w:keepNext/>
        <w:keepLines/>
        <w:spacing w:line="360" w:lineRule="auto"/>
        <w:jc w:val="left"/>
        <w:outlineLvl w:val="2"/>
        <w:rPr>
          <w:rFonts w:ascii="华文中宋" w:hAnsi="华文中宋" w:eastAsia="华文中宋"/>
          <w:b/>
          <w:bCs/>
          <w:color w:val="auto"/>
          <w:kern w:val="0"/>
          <w:sz w:val="30"/>
          <w:highlight w:val="none"/>
        </w:rPr>
      </w:pPr>
      <w:r>
        <w:rPr>
          <w:rFonts w:ascii="仿宋" w:hAnsi="仿宋" w:eastAsia="仿宋" w:cs="Arial"/>
          <w:b/>
          <w:bCs/>
          <w:color w:val="auto"/>
          <w:kern w:val="0"/>
          <w:sz w:val="24"/>
          <w:highlight w:val="none"/>
        </w:rPr>
        <w:br w:type="page"/>
      </w:r>
      <w:r>
        <w:rPr>
          <w:rFonts w:hint="eastAsia" w:ascii="华文中宋" w:hAnsi="华文中宋" w:eastAsia="华文中宋"/>
          <w:b/>
          <w:bCs/>
          <w:color w:val="auto"/>
          <w:kern w:val="0"/>
          <w:sz w:val="30"/>
          <w:highlight w:val="none"/>
        </w:rPr>
        <w:t>2-10</w:t>
      </w:r>
      <w:r>
        <w:rPr>
          <w:rFonts w:ascii="华文中宋" w:hAnsi="华文中宋" w:eastAsia="华文中宋"/>
          <w:b/>
          <w:bCs/>
          <w:color w:val="auto"/>
          <w:kern w:val="0"/>
          <w:sz w:val="30"/>
          <w:highlight w:val="none"/>
        </w:rPr>
        <w:t>其他</w:t>
      </w:r>
      <w:r>
        <w:rPr>
          <w:rFonts w:hint="eastAsia" w:ascii="华文中宋" w:hAnsi="华文中宋" w:eastAsia="华文中宋"/>
          <w:b/>
          <w:bCs/>
          <w:color w:val="auto"/>
          <w:kern w:val="0"/>
          <w:sz w:val="30"/>
          <w:highlight w:val="none"/>
        </w:rPr>
        <w:t>与技术服务有关的资料</w:t>
      </w:r>
      <w:r>
        <w:rPr>
          <w:rFonts w:ascii="华文中宋" w:hAnsi="华文中宋" w:eastAsia="华文中宋"/>
          <w:b/>
          <w:bCs/>
          <w:color w:val="auto"/>
          <w:kern w:val="0"/>
          <w:sz w:val="30"/>
          <w:highlight w:val="none"/>
        </w:rPr>
        <w:t>或说明</w:t>
      </w:r>
      <w:r>
        <w:rPr>
          <w:rFonts w:hint="eastAsia" w:ascii="华文中宋" w:hAnsi="华文中宋" w:eastAsia="华文中宋"/>
          <w:b/>
          <w:bCs/>
          <w:color w:val="auto"/>
          <w:kern w:val="0"/>
          <w:sz w:val="30"/>
          <w:highlight w:val="none"/>
        </w:rPr>
        <w:t>（如有）</w:t>
      </w:r>
    </w:p>
    <w:p>
      <w:pPr>
        <w:spacing w:before="240"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其他资料或说明</w:t>
      </w: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535" w:hRule="atLeast"/>
        </w:trPr>
        <w:tc>
          <w:tcPr>
            <w:tcW w:w="9214" w:type="dxa"/>
            <w:vAlign w:val="center"/>
          </w:tcPr>
          <w:p>
            <w:pPr>
              <w:spacing w:line="360" w:lineRule="auto"/>
              <w:jc w:val="center"/>
              <w:rPr>
                <w:rFonts w:ascii="Arial" w:hAnsi="新宋体" w:eastAsia="新宋体" w:cs="Arial"/>
                <w:color w:val="auto"/>
                <w:szCs w:val="21"/>
                <w:highlight w:val="none"/>
              </w:rPr>
            </w:pPr>
            <w:r>
              <w:rPr>
                <w:rFonts w:hint="eastAsia" w:ascii="仿宋" w:hAnsi="仿宋" w:eastAsia="仿宋" w:cs="Arial"/>
                <w:i/>
                <w:color w:val="auto"/>
                <w:sz w:val="36"/>
                <w:szCs w:val="21"/>
                <w:highlight w:val="none"/>
              </w:rPr>
              <w:t>（加盖公章，否则视为未提供）</w:t>
            </w:r>
          </w:p>
        </w:tc>
      </w:tr>
    </w:tbl>
    <w:p>
      <w:pPr>
        <w:jc w:val="left"/>
        <w:rPr>
          <w:rFonts w:ascii="Arial" w:hAnsi="Arial" w:eastAsia="新宋体" w:cs="Arial"/>
          <w:color w:val="auto"/>
          <w:kern w:val="0"/>
          <w:szCs w:val="21"/>
          <w:highlight w:val="none"/>
          <w:u w:val="single"/>
        </w:rPr>
      </w:pPr>
    </w:p>
    <w:p>
      <w:pPr>
        <w:pStyle w:val="3"/>
        <w:rPr>
          <w:color w:val="auto"/>
          <w:highlight w:val="none"/>
        </w:rPr>
      </w:pPr>
      <w:r>
        <w:rPr>
          <w:color w:val="auto"/>
          <w:highlight w:val="none"/>
        </w:rPr>
        <w:br w:type="page"/>
      </w:r>
      <w:bookmarkStart w:id="133" w:name="_Toc30794"/>
      <w:bookmarkStart w:id="134" w:name="_Toc8008424"/>
      <w:bookmarkStart w:id="135" w:name="_Toc57786007"/>
      <w:bookmarkStart w:id="136" w:name="_Toc25460"/>
      <w:bookmarkStart w:id="137" w:name="_Toc7988415"/>
      <w:bookmarkStart w:id="138" w:name="_Toc2230"/>
      <w:bookmarkStart w:id="139" w:name="_Toc26638"/>
      <w:bookmarkStart w:id="140" w:name="_Toc7988469"/>
      <w:bookmarkStart w:id="141" w:name="_Toc440162801"/>
      <w:r>
        <w:rPr>
          <w:rFonts w:hint="eastAsia"/>
          <w:color w:val="auto"/>
          <w:highlight w:val="none"/>
        </w:rPr>
        <w:t>第二部分 “报价文件（初次）</w:t>
      </w:r>
      <w:r>
        <w:rPr>
          <w:rFonts w:ascii="Arial" w:hAnsi="Arial" w:cs="Arial"/>
          <w:color w:val="auto"/>
          <w:highlight w:val="none"/>
        </w:rPr>
        <w:t>”</w:t>
      </w:r>
      <w:r>
        <w:rPr>
          <w:rFonts w:hint="eastAsia"/>
          <w:color w:val="auto"/>
          <w:highlight w:val="none"/>
        </w:rPr>
        <w:t>格式</w:t>
      </w:r>
      <w:bookmarkEnd w:id="133"/>
      <w:bookmarkEnd w:id="134"/>
      <w:bookmarkEnd w:id="135"/>
      <w:bookmarkEnd w:id="136"/>
      <w:bookmarkEnd w:id="137"/>
      <w:bookmarkEnd w:id="138"/>
      <w:bookmarkEnd w:id="139"/>
      <w:bookmarkEnd w:id="140"/>
      <w:bookmarkEnd w:id="141"/>
    </w:p>
    <w:p>
      <w:pPr>
        <w:pStyle w:val="4"/>
        <w:rPr>
          <w:color w:val="auto"/>
          <w:highlight w:val="none"/>
        </w:rPr>
      </w:pPr>
      <w:r>
        <w:rPr>
          <w:rFonts w:hint="eastAsia"/>
          <w:color w:val="auto"/>
          <w:highlight w:val="none"/>
        </w:rPr>
        <w:t>3-1 “初次报价文件”封面</w:t>
      </w:r>
    </w:p>
    <w:p>
      <w:pPr>
        <w:spacing w:line="360" w:lineRule="auto"/>
        <w:ind w:firstLine="424" w:firstLineChars="177"/>
        <w:rPr>
          <w:rFonts w:ascii="Calibri" w:hAnsi="Calibri"/>
          <w:color w:val="auto"/>
          <w:sz w:val="24"/>
          <w:szCs w:val="20"/>
          <w:highlight w:val="none"/>
        </w:rPr>
      </w:pPr>
    </w:p>
    <w:p>
      <w:pPr>
        <w:spacing w:line="276" w:lineRule="auto"/>
        <w:jc w:val="center"/>
        <w:rPr>
          <w:rFonts w:hint="eastAsia" w:ascii="微软雅黑" w:hAnsi="微软雅黑" w:eastAsia="微软雅黑" w:cs="Arial"/>
          <w:color w:val="auto"/>
          <w:w w:val="90"/>
          <w:sz w:val="144"/>
          <w:szCs w:val="90"/>
          <w:highlight w:val="none"/>
          <w:lang w:eastAsia="zh-CN"/>
        </w:rPr>
      </w:pPr>
      <w:r>
        <w:rPr>
          <w:rFonts w:hint="eastAsia" w:ascii="微软雅黑" w:hAnsi="微软雅黑" w:eastAsia="微软雅黑" w:cs="Arial"/>
          <w:b/>
          <w:color w:val="auto"/>
          <w:kern w:val="0"/>
          <w:sz w:val="52"/>
          <w:szCs w:val="90"/>
          <w:highlight w:val="none"/>
          <w:lang w:eastAsia="zh-CN"/>
        </w:rPr>
        <w:t>浙江中医药大学富春校区及滨文南区消防设施设备日常零星维修改造</w:t>
      </w:r>
    </w:p>
    <w:p>
      <w:pPr>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采购项目编号：</w:t>
      </w:r>
      <w:r>
        <w:rPr>
          <w:rFonts w:hint="eastAsia" w:ascii="仿宋" w:hAnsi="仿宋" w:eastAsia="仿宋"/>
          <w:b/>
          <w:bCs/>
          <w:color w:val="auto"/>
          <w:sz w:val="30"/>
          <w:szCs w:val="30"/>
          <w:highlight w:val="none"/>
          <w:lang w:eastAsia="zh-CN"/>
        </w:rPr>
        <w:t>CTZB-2024060047</w:t>
      </w:r>
    </w:p>
    <w:p>
      <w:pPr>
        <w:rPr>
          <w:color w:val="auto"/>
          <w:highlight w:val="none"/>
        </w:rPr>
      </w:pPr>
    </w:p>
    <w:p>
      <w:pPr>
        <w:pStyle w:val="22"/>
        <w:ind w:firstLine="420"/>
        <w:rPr>
          <w:color w:val="auto"/>
          <w:highlight w:val="none"/>
        </w:rPr>
      </w:pPr>
    </w:p>
    <w:p>
      <w:pPr>
        <w:spacing w:line="276" w:lineRule="auto"/>
        <w:jc w:val="center"/>
        <w:rPr>
          <w:rFonts w:ascii="微软雅黑" w:hAnsi="微软雅黑" w:eastAsia="微软雅黑" w:cs="Arial"/>
          <w:b/>
          <w:color w:val="auto"/>
          <w:kern w:val="0"/>
          <w:sz w:val="96"/>
          <w:szCs w:val="120"/>
          <w:highlight w:val="none"/>
        </w:rPr>
      </w:pPr>
      <w:r>
        <w:rPr>
          <w:rFonts w:hint="eastAsia" w:ascii="微软雅黑" w:hAnsi="微软雅黑" w:eastAsia="微软雅黑" w:cs="Arial"/>
          <w:b/>
          <w:color w:val="auto"/>
          <w:kern w:val="0"/>
          <w:sz w:val="96"/>
          <w:szCs w:val="120"/>
          <w:highlight w:val="none"/>
        </w:rPr>
        <w:t>磋商响应文件</w:t>
      </w:r>
    </w:p>
    <w:p>
      <w:pPr>
        <w:spacing w:line="360" w:lineRule="auto"/>
        <w:jc w:val="center"/>
        <w:rPr>
          <w:rFonts w:ascii="微软雅黑" w:hAnsi="微软雅黑" w:eastAsia="微软雅黑" w:cs="Arial"/>
          <w:b/>
          <w:color w:val="auto"/>
          <w:kern w:val="0"/>
          <w:sz w:val="48"/>
          <w:szCs w:val="84"/>
          <w:highlight w:val="none"/>
        </w:rPr>
      </w:pPr>
      <w:r>
        <w:rPr>
          <w:rFonts w:hint="eastAsia" w:ascii="微软雅黑" w:hAnsi="微软雅黑" w:eastAsia="微软雅黑" w:cs="Arial"/>
          <w:b/>
          <w:color w:val="auto"/>
          <w:kern w:val="0"/>
          <w:sz w:val="48"/>
          <w:szCs w:val="84"/>
          <w:highlight w:val="none"/>
        </w:rPr>
        <w:t>（初次报价文件）</w:t>
      </w:r>
    </w:p>
    <w:p>
      <w:pPr>
        <w:spacing w:line="360" w:lineRule="auto"/>
        <w:jc w:val="center"/>
        <w:rPr>
          <w:rFonts w:ascii="微软雅黑" w:hAnsi="微软雅黑" w:eastAsia="微软雅黑" w:cs="Arial"/>
          <w:b/>
          <w:color w:val="auto"/>
          <w:kern w:val="0"/>
          <w:sz w:val="48"/>
          <w:szCs w:val="84"/>
          <w:highlight w:val="none"/>
        </w:rPr>
      </w:pPr>
    </w:p>
    <w:p>
      <w:pPr>
        <w:pStyle w:val="17"/>
        <w:rPr>
          <w:color w:val="auto"/>
          <w:highlight w:val="none"/>
        </w:rPr>
      </w:pPr>
    </w:p>
    <w:tbl>
      <w:tblPr>
        <w:tblStyle w:val="23"/>
        <w:tblW w:w="0" w:type="auto"/>
        <w:tblInd w:w="108"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磋商供应商名称（盖章）：</w:t>
            </w:r>
            <w:r>
              <w:rPr>
                <w:rFonts w:ascii="仿宋" w:hAnsi="仿宋" w:eastAsia="仿宋" w:cs="Arial"/>
                <w:color w:val="auto"/>
                <w:w w:val="90"/>
                <w:kern w:val="0"/>
                <w:sz w:val="22"/>
                <w:szCs w:val="22"/>
                <w:highlight w:val="none"/>
              </w:rPr>
              <w:t>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ascii="仿宋" w:hAnsi="仿宋" w:eastAsia="仿宋" w:cs="Arial"/>
                <w:color w:val="auto"/>
                <w:w w:val="90"/>
                <w:kern w:val="0"/>
                <w:sz w:val="22"/>
                <w:szCs w:val="22"/>
                <w:highlight w:val="none"/>
              </w:rPr>
              <w:t>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磋商</w:t>
            </w:r>
            <w:r>
              <w:rPr>
                <w:rFonts w:hint="eastAsia" w:ascii="仿宋" w:hAnsi="仿宋" w:eastAsia="仿宋"/>
                <w:color w:val="auto"/>
                <w:sz w:val="28"/>
                <w:highlight w:val="none"/>
              </w:rPr>
              <w:t>供应商联系电话：</w:t>
            </w:r>
            <w:r>
              <w:rPr>
                <w:rFonts w:ascii="仿宋" w:hAnsi="仿宋" w:eastAsia="仿宋" w:cs="Arial"/>
                <w:color w:val="auto"/>
                <w:w w:val="90"/>
                <w:kern w:val="0"/>
                <w:sz w:val="28"/>
                <w:highlight w:val="none"/>
              </w:rPr>
              <w:t>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s="Arial"/>
                <w:color w:val="auto"/>
                <w:w w:val="90"/>
                <w:kern w:val="0"/>
                <w:sz w:val="22"/>
                <w:szCs w:val="22"/>
                <w:highlight w:val="none"/>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jc w:val="center"/>
              <w:rPr>
                <w:rFonts w:ascii="仿宋" w:hAnsi="仿宋" w:eastAsia="仿宋"/>
                <w:b/>
                <w:color w:val="auto"/>
                <w:sz w:val="28"/>
                <w:szCs w:val="28"/>
                <w:highlight w:val="none"/>
              </w:rPr>
            </w:pPr>
            <w:r>
              <w:rPr>
                <w:rFonts w:hint="eastAsia" w:ascii="仿宋" w:hAnsi="仿宋" w:eastAsia="仿宋"/>
                <w:color w:val="auto"/>
                <w:sz w:val="28"/>
                <w:highlight w:val="none"/>
              </w:rPr>
              <w:t>磋商响应文件提交截止时间前其他单位或个人不得开启</w:t>
            </w:r>
          </w:p>
        </w:tc>
      </w:tr>
    </w:tbl>
    <w:p>
      <w:pPr>
        <w:pStyle w:val="4"/>
        <w:keepNext w:val="0"/>
        <w:keepLines w:val="0"/>
        <w:widowControl/>
        <w:autoSpaceDE w:val="0"/>
        <w:autoSpaceDN w:val="0"/>
        <w:spacing w:before="120" w:beforeLines="50" w:after="120" w:afterLines="50" w:line="324" w:lineRule="auto"/>
        <w:ind w:firstLine="300" w:firstLineChars="100"/>
        <w:rPr>
          <w:rFonts w:ascii="宋体" w:hAnsi="宋体" w:eastAsia="宋体"/>
          <w:color w:val="auto"/>
          <w:kern w:val="0"/>
          <w:sz w:val="24"/>
          <w:szCs w:val="24"/>
          <w:highlight w:val="none"/>
        </w:rPr>
      </w:pPr>
      <w:r>
        <w:rPr>
          <w:color w:val="auto"/>
          <w:highlight w:val="none"/>
        </w:rPr>
        <w:br w:type="page"/>
      </w:r>
      <w:r>
        <w:rPr>
          <w:rFonts w:hint="eastAsia"/>
          <w:color w:val="auto"/>
          <w:highlight w:val="none"/>
        </w:rPr>
        <w:t>3-2▲投标函</w:t>
      </w:r>
    </w:p>
    <w:p>
      <w:pPr>
        <w:spacing w:line="360" w:lineRule="auto"/>
        <w:jc w:val="center"/>
        <w:rPr>
          <w:rFonts w:ascii="华文中宋" w:hAnsi="华文中宋" w:eastAsia="华文中宋"/>
          <w:b/>
          <w:color w:val="auto"/>
          <w:kern w:val="0"/>
          <w:sz w:val="44"/>
          <w:szCs w:val="22"/>
          <w:highlight w:val="none"/>
        </w:rPr>
      </w:pPr>
      <w:r>
        <w:rPr>
          <w:rFonts w:hint="eastAsia" w:ascii="华文中宋" w:hAnsi="华文中宋" w:eastAsia="华文中宋"/>
          <w:b/>
          <w:color w:val="auto"/>
          <w:kern w:val="0"/>
          <w:sz w:val="44"/>
          <w:szCs w:val="22"/>
          <w:highlight w:val="none"/>
        </w:rPr>
        <w:t>投标函</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浙江中医药大学</w:t>
      </w:r>
      <w:r>
        <w:rPr>
          <w:rFonts w:hint="eastAsia" w:ascii="仿宋" w:hAnsi="仿宋" w:eastAsia="仿宋" w:cs="仿宋"/>
          <w:b/>
          <w:bCs/>
          <w:color w:val="auto"/>
          <w:sz w:val="24"/>
          <w:highlight w:val="none"/>
        </w:rPr>
        <w:t>：</w:t>
      </w:r>
    </w:p>
    <w:p>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1．我方已仔细研究了</w:t>
      </w:r>
      <w:r>
        <w:rPr>
          <w:rFonts w:hint="eastAsia" w:ascii="仿宋" w:hAnsi="仿宋" w:eastAsia="仿宋" w:cs="仿宋"/>
          <w:color w:val="auto"/>
          <w:kern w:val="0"/>
          <w:sz w:val="24"/>
          <w:highlight w:val="none"/>
          <w:u w:val="single"/>
          <w:lang w:eastAsia="zh-CN"/>
        </w:rPr>
        <w:t>浙江中医药大学富春校区及滨文南区消防设施设备日常零星维修改造</w:t>
      </w:r>
      <w:r>
        <w:rPr>
          <w:rFonts w:hint="eastAsia" w:ascii="仿宋" w:hAnsi="仿宋" w:eastAsia="仿宋" w:cs="仿宋"/>
          <w:color w:val="auto"/>
          <w:kern w:val="0"/>
          <w:sz w:val="24"/>
          <w:highlight w:val="none"/>
          <w:u w:val="single"/>
        </w:rPr>
        <w:t>（项目编号：</w:t>
      </w:r>
      <w:r>
        <w:rPr>
          <w:rFonts w:hint="eastAsia" w:ascii="仿宋" w:hAnsi="仿宋" w:eastAsia="仿宋" w:cs="仿宋"/>
          <w:color w:val="auto"/>
          <w:kern w:val="0"/>
          <w:sz w:val="24"/>
          <w:highlight w:val="none"/>
          <w:u w:val="single"/>
          <w:lang w:eastAsia="zh-CN"/>
        </w:rPr>
        <w:t>CTZB-2024060047</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施工磋商文件的全部内容，愿意以工程费总折扣率：百分之</w:t>
      </w:r>
      <w:r>
        <w:rPr>
          <w:rFonts w:hint="eastAsia" w:ascii="仿宋" w:hAnsi="仿宋" w:eastAsia="仿宋" w:cs="仿宋"/>
          <w:color w:val="auto"/>
          <w:kern w:val="0"/>
          <w:sz w:val="24"/>
          <w:highlight w:val="none"/>
          <w:u w:val="single"/>
        </w:rPr>
        <w:t xml:space="preserve">  （大写）</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）的磋商报价，服务期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 项目负责人：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，按合同约定实施和完成承包工程，</w:t>
      </w:r>
      <w:r>
        <w:rPr>
          <w:rFonts w:hint="eastAsia" w:ascii="仿宋" w:hAnsi="仿宋" w:eastAsia="仿宋" w:cs="仿宋"/>
          <w:color w:val="auto"/>
          <w:kern w:val="0"/>
          <w:sz w:val="24"/>
          <w:highlight w:val="none"/>
          <w:lang w:val="en-US" w:eastAsia="zh-CN"/>
        </w:rPr>
        <w:t>维修</w:t>
      </w:r>
      <w:r>
        <w:rPr>
          <w:rFonts w:hint="eastAsia" w:ascii="仿宋" w:hAnsi="仿宋" w:eastAsia="仿宋" w:cs="仿宋"/>
          <w:color w:val="auto"/>
          <w:kern w:val="0"/>
          <w:sz w:val="24"/>
          <w:highlight w:val="none"/>
        </w:rPr>
        <w:t>工程中的任何缺陷，工程质量达到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2．我方承诺在竞争性磋商有效期内不修改、撤销磋商响应文件。</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3．如我方成交：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（1）我方承诺在收到成交通知书后，在成交通知书规定的期限内与你方签订合同。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（2）我方承诺按照磋商文件规定向你方递交预付款担保。</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（3）我方承诺在合同约定的期限内完成并移交全部合同工程。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4．我方在此声明，所递交的磋商响应文件及有关资料内容完整、真实和准确。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u w:val="single"/>
        </w:rPr>
        <w:t>（其他补充说明）</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磋商响应供应商（盖章）：</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keepNext/>
        <w:keepLines/>
        <w:spacing w:before="240" w:after="240"/>
        <w:jc w:val="left"/>
        <w:outlineLvl w:val="2"/>
        <w:rPr>
          <w:rFonts w:ascii="华文中宋" w:hAnsi="华文中宋" w:eastAsia="华文中宋"/>
          <w:b/>
          <w:bCs/>
          <w:color w:val="auto"/>
          <w:kern w:val="0"/>
          <w:sz w:val="30"/>
          <w:szCs w:val="30"/>
          <w:highlight w:val="none"/>
        </w:rPr>
      </w:pPr>
      <w:r>
        <w:rPr>
          <w:rFonts w:hint="eastAsia" w:ascii="华文中宋" w:hAnsi="华文中宋" w:eastAsia="华文中宋"/>
          <w:b/>
          <w:bCs/>
          <w:color w:val="auto"/>
          <w:kern w:val="0"/>
          <w:sz w:val="30"/>
          <w:szCs w:val="30"/>
          <w:highlight w:val="none"/>
        </w:rPr>
        <w:t>3-3 ▲初次报价明细表</w:t>
      </w:r>
    </w:p>
    <w:p>
      <w:pPr>
        <w:spacing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初次报价明细表</w:t>
      </w:r>
    </w:p>
    <w:p>
      <w:pPr>
        <w:spacing w:line="360" w:lineRule="auto"/>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浙江中医药大学富春校区及滨文南区消防设施设备日常零星维修改造</w:t>
      </w:r>
    </w:p>
    <w:p>
      <w:pPr>
        <w:spacing w:line="360" w:lineRule="auto"/>
        <w:jc w:val="left"/>
        <w:rPr>
          <w:rFonts w:hint="eastAsia" w:ascii="仿宋" w:hAnsi="仿宋" w:eastAsia="仿宋" w:cs="仿宋"/>
          <w:b/>
          <w:color w:val="auto"/>
          <w:sz w:val="24"/>
          <w:highlight w:val="none"/>
          <w:lang w:eastAsia="zh-CN"/>
        </w:rPr>
      </w:pPr>
      <w:r>
        <w:rPr>
          <w:rFonts w:ascii="仿宋" w:hAnsi="仿宋" w:eastAsia="仿宋" w:cs="Arial"/>
          <w:b/>
          <w:bCs/>
          <w:caps/>
          <w:color w:val="auto"/>
          <w:sz w:val="24"/>
          <w:szCs w:val="22"/>
          <w:highlight w:val="none"/>
        </w:rPr>
        <w:t>项目编号：</w:t>
      </w:r>
      <w:r>
        <w:rPr>
          <w:rFonts w:hint="eastAsia" w:ascii="仿宋" w:hAnsi="仿宋" w:eastAsia="仿宋" w:cs="Arial"/>
          <w:b/>
          <w:bCs/>
          <w:caps/>
          <w:color w:val="auto"/>
          <w:kern w:val="0"/>
          <w:sz w:val="24"/>
          <w:szCs w:val="22"/>
          <w:highlight w:val="none"/>
          <w:u w:val="single"/>
          <w:lang w:eastAsia="zh-CN"/>
        </w:rPr>
        <w:t>CTZB-2024060047</w:t>
      </w:r>
    </w:p>
    <w:p>
      <w:pPr>
        <w:wordWrap w:val="0"/>
        <w:ind w:left="2550"/>
        <w:rPr>
          <w:rFonts w:ascii="仿宋" w:hAnsi="仿宋" w:eastAsia="仿宋" w:cs="仿宋"/>
          <w:color w:val="auto"/>
          <w:sz w:val="24"/>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6"/>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54"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报价内容</w:t>
            </w:r>
          </w:p>
        </w:tc>
        <w:tc>
          <w:tcPr>
            <w:tcW w:w="2945"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054" w:type="pc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工程费总折扣率</w:t>
            </w:r>
          </w:p>
        </w:tc>
        <w:tc>
          <w:tcPr>
            <w:tcW w:w="2945" w:type="pc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u w:val="single"/>
              </w:rPr>
              <w:t xml:space="preserve">       %</w:t>
            </w:r>
          </w:p>
        </w:tc>
      </w:tr>
    </w:tbl>
    <w:p>
      <w:pPr>
        <w:widowControl/>
        <w:spacing w:before="113"/>
        <w:jc w:val="left"/>
        <w:rPr>
          <w:rFonts w:ascii="仿宋" w:hAnsi="仿宋" w:eastAsia="仿宋" w:cs="仿宋"/>
          <w:color w:val="auto"/>
          <w:sz w:val="24"/>
          <w:highlight w:val="none"/>
        </w:rPr>
      </w:pPr>
    </w:p>
    <w:p>
      <w:pPr>
        <w:widowControl/>
        <w:spacing w:line="288"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注: 1、供应商按上表要求填报折扣率，单个工程的最终结算价格=审计审定后工程价款*折扣率；（如报价九折，则填报90%）。</w:t>
      </w:r>
    </w:p>
    <w:p>
      <w:pPr>
        <w:widowControl/>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2、报价一经涂改，应在涂改处加盖单位公章或者由法定代表人或授权委托人签字或盖章，否则其响应文件作无效处理。</w:t>
      </w:r>
    </w:p>
    <w:p>
      <w:pPr>
        <w:widowControl/>
        <w:autoSpaceDE w:val="0"/>
        <w:autoSpaceDN w:val="0"/>
        <w:snapToGrid w:val="0"/>
        <w:ind w:firstLine="482" w:firstLineChars="200"/>
        <w:textAlignment w:val="bottom"/>
        <w:rPr>
          <w:rFonts w:ascii="仿宋" w:hAnsi="仿宋" w:eastAsia="仿宋" w:cs="仿宋"/>
          <w:b/>
          <w:bCs/>
          <w:color w:val="auto"/>
          <w:sz w:val="24"/>
          <w:highlight w:val="none"/>
        </w:rPr>
      </w:pPr>
      <w:r>
        <w:rPr>
          <w:rFonts w:hint="eastAsia" w:ascii="仿宋" w:hAnsi="仿宋" w:eastAsia="仿宋" w:cs="仿宋"/>
          <w:b/>
          <w:bCs/>
          <w:color w:val="auto"/>
          <w:sz w:val="24"/>
          <w:highlight w:val="none"/>
        </w:rPr>
        <w:t>3、以上报价均不得出现0元（0%）；且折扣率应≤100%。</w:t>
      </w:r>
    </w:p>
    <w:p>
      <w:pPr>
        <w:snapToGrid w:val="0"/>
        <w:spacing w:line="360" w:lineRule="auto"/>
        <w:rPr>
          <w:rFonts w:ascii="仿宋" w:hAnsi="仿宋" w:eastAsia="仿宋" w:cs="Arial"/>
          <w:color w:val="auto"/>
          <w:sz w:val="24"/>
          <w:highlight w:val="none"/>
        </w:rPr>
      </w:pPr>
    </w:p>
    <w:p>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kern w:val="0"/>
          <w:sz w:val="24"/>
          <w:highlight w:val="none"/>
        </w:rPr>
        <w:t>____________________________________________</w:t>
      </w:r>
    </w:p>
    <w:p>
      <w:pPr>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pPr>
        <w:rPr>
          <w:color w:val="auto"/>
          <w:highlight w:val="none"/>
        </w:rPr>
      </w:pPr>
    </w:p>
    <w:p>
      <w:pPr>
        <w:rPr>
          <w:color w:val="auto"/>
          <w:highlight w:val="none"/>
        </w:rPr>
      </w:pPr>
    </w:p>
    <w:p>
      <w:pP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br w:type="page"/>
      </w:r>
    </w:p>
    <w:p>
      <w:pPr>
        <w:pStyle w:val="4"/>
        <w:rPr>
          <w:color w:val="auto"/>
          <w:highlight w:val="none"/>
        </w:rPr>
      </w:pPr>
      <w:r>
        <w:rPr>
          <w:rFonts w:hint="eastAsia"/>
          <w:color w:val="auto"/>
          <w:highlight w:val="none"/>
        </w:rPr>
        <w:t>3-4</w:t>
      </w:r>
      <w:r>
        <w:rPr>
          <w:color w:val="auto"/>
          <w:highlight w:val="none"/>
        </w:rPr>
        <w:t>其他</w:t>
      </w:r>
      <w:r>
        <w:rPr>
          <w:rFonts w:hint="eastAsia"/>
          <w:color w:val="auto"/>
          <w:highlight w:val="none"/>
        </w:rPr>
        <w:t>与报价有关的资料</w:t>
      </w:r>
      <w:r>
        <w:rPr>
          <w:color w:val="auto"/>
          <w:highlight w:val="none"/>
        </w:rPr>
        <w:t>或说明</w:t>
      </w:r>
      <w:r>
        <w:rPr>
          <w:rFonts w:hint="eastAsia"/>
          <w:color w:val="auto"/>
          <w:highlight w:val="none"/>
        </w:rPr>
        <w:t>（如有）</w:t>
      </w:r>
    </w:p>
    <w:p>
      <w:pPr>
        <w:spacing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其他资料或说明</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95" w:hRule="atLeast"/>
        </w:trPr>
        <w:tc>
          <w:tcPr>
            <w:tcW w:w="9145" w:type="dxa"/>
            <w:vAlign w:val="center"/>
          </w:tcPr>
          <w:p>
            <w:pPr>
              <w:spacing w:line="360" w:lineRule="auto"/>
              <w:jc w:val="center"/>
              <w:rPr>
                <w:rFonts w:ascii="Arial" w:hAnsi="新宋体" w:eastAsia="新宋体" w:cs="Arial"/>
                <w:color w:val="auto"/>
                <w:szCs w:val="21"/>
                <w:highlight w:val="none"/>
              </w:rPr>
            </w:pPr>
            <w:r>
              <w:rPr>
                <w:rFonts w:hint="eastAsia" w:ascii="仿宋" w:hAnsi="仿宋" w:eastAsia="仿宋" w:cs="Arial"/>
                <w:i/>
                <w:color w:val="auto"/>
                <w:sz w:val="36"/>
                <w:szCs w:val="21"/>
                <w:highlight w:val="none"/>
              </w:rPr>
              <w:t>（加盖公章，否则视为未提供）</w:t>
            </w:r>
          </w:p>
        </w:tc>
      </w:tr>
    </w:tbl>
    <w:p>
      <w:pPr>
        <w:spacing w:line="360" w:lineRule="auto"/>
        <w:ind w:right="-426" w:rightChars="-203"/>
        <w:jc w:val="left"/>
        <w:rPr>
          <w:rFonts w:ascii="仿宋" w:hAnsi="仿宋" w:eastAsia="仿宋" w:cs="Arial"/>
          <w:color w:val="auto"/>
          <w:kern w:val="0"/>
          <w:sz w:val="24"/>
          <w:highlight w:val="none"/>
        </w:rPr>
      </w:pPr>
    </w:p>
    <w:p>
      <w:pPr>
        <w:spacing w:line="360" w:lineRule="auto"/>
        <w:ind w:right="-426" w:rightChars="-203"/>
        <w:jc w:val="left"/>
        <w:rPr>
          <w:rFonts w:ascii="仿宋" w:hAnsi="仿宋" w:eastAsia="仿宋" w:cs="Arial"/>
          <w:color w:val="auto"/>
          <w:kern w:val="0"/>
          <w:sz w:val="24"/>
          <w:highlight w:val="none"/>
        </w:rPr>
        <w:sectPr>
          <w:headerReference r:id="rId32" w:type="first"/>
          <w:headerReference r:id="rId30" w:type="default"/>
          <w:headerReference r:id="rId31" w:type="even"/>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
        <w:rPr>
          <w:color w:val="auto"/>
          <w:highlight w:val="none"/>
        </w:rPr>
      </w:pPr>
      <w:bookmarkStart w:id="142" w:name="_Toc522830350"/>
      <w:bookmarkStart w:id="143" w:name="_Toc7988416"/>
      <w:bookmarkStart w:id="144" w:name="_Toc6440"/>
      <w:r>
        <w:rPr>
          <w:rFonts w:hint="eastAsia"/>
          <w:color w:val="auto"/>
          <w:highlight w:val="none"/>
        </w:rPr>
        <w:t>第七章 附件</w:t>
      </w:r>
      <w:bookmarkEnd w:id="142"/>
      <w:bookmarkEnd w:id="143"/>
      <w:bookmarkEnd w:id="144"/>
    </w:p>
    <w:p>
      <w:pPr>
        <w:spacing w:line="360" w:lineRule="auto"/>
        <w:jc w:val="center"/>
        <w:rPr>
          <w:rFonts w:hint="eastAsia" w:ascii="微软雅黑" w:hAnsi="微软雅黑" w:eastAsia="微软雅黑"/>
          <w:b/>
          <w:color w:val="auto"/>
          <w:sz w:val="40"/>
          <w:szCs w:val="44"/>
          <w:highlight w:val="none"/>
        </w:rPr>
      </w:pPr>
      <w:bookmarkStart w:id="145" w:name="_Toc15291"/>
      <w:bookmarkStart w:id="146" w:name="_Toc28806"/>
      <w:bookmarkStart w:id="147" w:name="_Toc28717"/>
      <w:bookmarkStart w:id="148" w:name="_Toc6447"/>
      <w:r>
        <w:rPr>
          <w:rFonts w:hint="eastAsia" w:ascii="微软雅黑" w:hAnsi="微软雅黑" w:eastAsia="微软雅黑"/>
          <w:b/>
          <w:color w:val="auto"/>
          <w:sz w:val="40"/>
          <w:szCs w:val="44"/>
          <w:highlight w:val="none"/>
        </w:rPr>
        <w:t>残疾人福利性单位声明函</w:t>
      </w:r>
      <w:bookmarkEnd w:id="145"/>
      <w:bookmarkEnd w:id="146"/>
      <w:bookmarkEnd w:id="147"/>
      <w:bookmarkEnd w:id="148"/>
    </w:p>
    <w:p>
      <w:pPr>
        <w:spacing w:line="360" w:lineRule="auto"/>
        <w:ind w:firstLine="584" w:firstLineChars="200"/>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本单位郑重声明，根据《财政部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民政部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中国残疾人联合会关于促进残疾人就业政府采购政策的通知》（财库</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2017</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141</w:t>
      </w:r>
      <w:r>
        <w:rPr>
          <w:rFonts w:hint="eastAsia" w:ascii="仿宋" w:hAnsi="仿宋" w:eastAsia="仿宋" w:cs="Times New Roman"/>
          <w:color w:val="auto"/>
          <w:spacing w:val="6"/>
          <w:sz w:val="28"/>
          <w:highlight w:val="none"/>
        </w:rPr>
        <w:t>号）的规定，本单位为符合条件的残疾人福利性单位，且本单位参加</w:t>
      </w:r>
      <w:r>
        <w:rPr>
          <w:rFonts w:hint="eastAsia" w:ascii="仿宋" w:hAnsi="仿宋" w:eastAsia="仿宋" w:cs="Arial"/>
          <w:b/>
          <w:color w:val="auto"/>
          <w:kern w:val="0"/>
          <w:sz w:val="28"/>
          <w:szCs w:val="28"/>
          <w:highlight w:val="none"/>
          <w:u w:val="single"/>
          <w:lang w:eastAsia="zh-CN"/>
        </w:rPr>
        <w:t>浙江中医药大学富春校区及滨文南区消防设施设备日常零星维修改造</w:t>
      </w:r>
      <w:r>
        <w:rPr>
          <w:rFonts w:hint="eastAsia" w:ascii="仿宋" w:hAnsi="仿宋" w:eastAsia="仿宋" w:cs="Arial"/>
          <w:b/>
          <w:color w:val="auto"/>
          <w:kern w:val="0"/>
          <w:sz w:val="28"/>
          <w:szCs w:val="28"/>
          <w:highlight w:val="none"/>
          <w:u w:val="single"/>
        </w:rPr>
        <w:t>（项目编号：</w:t>
      </w:r>
      <w:r>
        <w:rPr>
          <w:rFonts w:hint="eastAsia" w:ascii="仿宋" w:hAnsi="仿宋" w:eastAsia="仿宋" w:cs="Arial"/>
          <w:b/>
          <w:color w:val="auto"/>
          <w:kern w:val="0"/>
          <w:sz w:val="28"/>
          <w:szCs w:val="28"/>
          <w:highlight w:val="none"/>
          <w:u w:val="single"/>
          <w:lang w:eastAsia="zh-CN"/>
        </w:rPr>
        <w:t>CTZB-2024060047</w:t>
      </w:r>
      <w:r>
        <w:rPr>
          <w:rFonts w:hint="eastAsia" w:ascii="仿宋" w:hAnsi="仿宋" w:eastAsia="仿宋" w:cs="Arial"/>
          <w:b/>
          <w:color w:val="auto"/>
          <w:kern w:val="0"/>
          <w:sz w:val="28"/>
          <w:szCs w:val="28"/>
          <w:highlight w:val="none"/>
          <w:u w:val="single"/>
        </w:rPr>
        <w:t>）</w:t>
      </w:r>
      <w:r>
        <w:rPr>
          <w:rFonts w:hint="eastAsia" w:ascii="仿宋" w:hAnsi="仿宋" w:eastAsia="仿宋" w:cs="Times New Roman"/>
          <w:color w:val="auto"/>
          <w:spacing w:val="6"/>
          <w:sz w:val="28"/>
          <w:highlight w:val="none"/>
        </w:rPr>
        <w:t>的采购活动提供本单位制造的货物（由本单位承担工程</w:t>
      </w:r>
      <w:r>
        <w:rPr>
          <w:rFonts w:ascii="仿宋" w:hAnsi="仿宋" w:eastAsia="仿宋" w:cs="Times New Roman"/>
          <w:color w:val="auto"/>
          <w:spacing w:val="6"/>
          <w:sz w:val="28"/>
          <w:highlight w:val="none"/>
        </w:rPr>
        <w:t>/</w:t>
      </w:r>
      <w:r>
        <w:rPr>
          <w:rFonts w:hint="eastAsia" w:ascii="仿宋" w:hAnsi="仿宋" w:eastAsia="仿宋" w:cs="Times New Roman"/>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s="Times New Roman"/>
          <w:color w:val="auto"/>
          <w:spacing w:val="6"/>
          <w:sz w:val="24"/>
          <w:highlight w:val="none"/>
        </w:rPr>
      </w:pPr>
      <w:r>
        <w:rPr>
          <w:rFonts w:hint="eastAsia" w:ascii="仿宋" w:hAnsi="仿宋" w:eastAsia="仿宋" w:cs="Times New Roman"/>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s="Times New Roman"/>
          <w:color w:val="auto"/>
          <w:spacing w:val="6"/>
          <w:sz w:val="24"/>
          <w:highlight w:val="none"/>
        </w:rPr>
      </w:pPr>
    </w:p>
    <w:p>
      <w:pPr>
        <w:spacing w:line="360" w:lineRule="auto"/>
        <w:ind w:firstLine="504" w:firstLineChars="200"/>
        <w:rPr>
          <w:rFonts w:ascii="仿宋" w:hAnsi="仿宋" w:eastAsia="仿宋" w:cs="Times New Roman"/>
          <w:color w:val="auto"/>
          <w:spacing w:val="6"/>
          <w:sz w:val="24"/>
          <w:highlight w:val="none"/>
        </w:rPr>
      </w:pPr>
    </w:p>
    <w:p>
      <w:pPr>
        <w:tabs>
          <w:tab w:val="left" w:pos="4860"/>
        </w:tabs>
        <w:spacing w:line="360" w:lineRule="auto"/>
        <w:ind w:right="1560"/>
        <w:jc w:val="left"/>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单位名称（盖章）：</w:t>
      </w:r>
      <w:r>
        <w:rPr>
          <w:rFonts w:ascii="仿宋" w:hAnsi="仿宋" w:eastAsia="仿宋" w:cs="Arial"/>
          <w:color w:val="auto"/>
          <w:w w:val="90"/>
          <w:kern w:val="0"/>
          <w:sz w:val="28"/>
          <w:highlight w:val="none"/>
        </w:rPr>
        <w:t>__________________________________</w:t>
      </w:r>
    </w:p>
    <w:p>
      <w:pPr>
        <w:spacing w:line="360" w:lineRule="auto"/>
        <w:rPr>
          <w:rFonts w:ascii="仿宋" w:hAnsi="仿宋" w:eastAsia="仿宋" w:cs="Arial"/>
          <w:color w:val="auto"/>
          <w:w w:val="90"/>
          <w:kern w:val="0"/>
          <w:sz w:val="28"/>
          <w:highlight w:val="none"/>
        </w:rPr>
      </w:pPr>
      <w:r>
        <w:rPr>
          <w:rFonts w:hint="eastAsia" w:ascii="仿宋" w:hAnsi="仿宋" w:eastAsia="仿宋" w:cs="Times New Roman"/>
          <w:color w:val="auto"/>
          <w:spacing w:val="6"/>
          <w:sz w:val="28"/>
          <w:highlight w:val="none"/>
        </w:rPr>
        <w:t>日期：</w:t>
      </w:r>
      <w:r>
        <w:rPr>
          <w:rFonts w:ascii="仿宋" w:hAnsi="仿宋" w:eastAsia="仿宋" w:cs="Arial"/>
          <w:color w:val="auto"/>
          <w:w w:val="90"/>
          <w:kern w:val="0"/>
          <w:sz w:val="28"/>
          <w:highlight w:val="none"/>
        </w:rPr>
        <w:t>____________________________________________</w:t>
      </w:r>
    </w:p>
    <w:p>
      <w:pPr>
        <w:spacing w:line="360" w:lineRule="auto"/>
        <w:rPr>
          <w:rFonts w:ascii="仿宋" w:hAnsi="仿宋" w:eastAsia="仿宋" w:cs="Arial"/>
          <w:color w:val="auto"/>
          <w:w w:val="90"/>
          <w:kern w:val="0"/>
          <w:sz w:val="28"/>
          <w:highlight w:val="none"/>
        </w:rPr>
      </w:pPr>
    </w:p>
    <w:p>
      <w:pPr>
        <w:spacing w:line="360" w:lineRule="auto"/>
        <w:rPr>
          <w:rFonts w:ascii="仿宋" w:hAnsi="仿宋" w:eastAsia="仿宋" w:cs="Arial"/>
          <w:color w:val="auto"/>
          <w:w w:val="90"/>
          <w:kern w:val="0"/>
          <w:sz w:val="28"/>
          <w:highlight w:val="none"/>
        </w:rPr>
      </w:pPr>
    </w:p>
    <w:p>
      <w:pPr>
        <w:widowControl/>
        <w:jc w:val="left"/>
        <w:rPr>
          <w:rFonts w:ascii="新宋体" w:hAnsi="新宋体" w:eastAsia="新宋体" w:cs="宋体"/>
          <w:b/>
          <w:color w:val="auto"/>
          <w:kern w:val="0"/>
          <w:highlight w:val="none"/>
        </w:rPr>
      </w:pPr>
      <w:r>
        <w:rPr>
          <w:rFonts w:hint="eastAsia" w:ascii="仿宋" w:hAnsi="仿宋" w:eastAsia="仿宋" w:cs="Arial"/>
          <w:b/>
          <w:color w:val="auto"/>
          <w:sz w:val="24"/>
          <w:highlight w:val="none"/>
        </w:rPr>
        <w:t>填写</w:t>
      </w:r>
      <w:r>
        <w:rPr>
          <w:rFonts w:hint="eastAsia" w:ascii="仿宋" w:hAnsi="仿宋" w:eastAsia="仿宋" w:cs="宋体"/>
          <w:b/>
          <w:color w:val="auto"/>
          <w:kern w:val="0"/>
          <w:sz w:val="24"/>
          <w:highlight w:val="none"/>
        </w:rPr>
        <w:t>提示：磋商供应商应实事求是填写并提供本表，不符合的可不提供。</w:t>
      </w:r>
    </w:p>
    <w:p>
      <w:pPr>
        <w:bidi w:val="0"/>
        <w:rPr>
          <w:rFonts w:ascii="Times New Roman" w:hAnsi="Times New Roman" w:eastAsia="宋体" w:cs="Times New Roman"/>
          <w:color w:val="auto"/>
          <w:highlight w:val="none"/>
          <w:lang w:val="en-US" w:eastAsia="zh-CN"/>
        </w:rPr>
      </w:pPr>
    </w:p>
    <w:p>
      <w:pPr>
        <w:bidi w:val="0"/>
        <w:rPr>
          <w:rFonts w:ascii="Times New Roman" w:hAnsi="Times New Roman" w:eastAsia="宋体" w:cs="Times New Roman"/>
          <w:color w:val="auto"/>
          <w:highlight w:val="none"/>
          <w:lang w:val="en-US" w:eastAsia="zh-CN"/>
        </w:rPr>
      </w:pPr>
    </w:p>
    <w:p>
      <w:pPr>
        <w:bidi w:val="0"/>
        <w:rPr>
          <w:rFonts w:ascii="Times New Roman" w:hAnsi="Times New Roman" w:eastAsia="宋体" w:cs="Times New Roman"/>
          <w:color w:val="auto"/>
          <w:highlight w:val="none"/>
          <w:lang w:val="en-US" w:eastAsia="zh-CN"/>
        </w:rPr>
      </w:pPr>
    </w:p>
    <w:p>
      <w:pPr>
        <w:bidi w:val="0"/>
        <w:rPr>
          <w:rFonts w:ascii="Times New Roman" w:hAnsi="Times New Roman" w:eastAsia="宋体" w:cs="Times New Roman"/>
          <w:color w:val="auto"/>
          <w:highlight w:val="none"/>
          <w:lang w:val="en-US" w:eastAsia="zh-CN"/>
        </w:rPr>
      </w:pPr>
    </w:p>
    <w:p>
      <w:pPr>
        <w:bidi w:val="0"/>
        <w:rPr>
          <w:rFonts w:ascii="Times New Roman" w:hAnsi="Times New Roman" w:eastAsia="宋体" w:cs="Times New Roman"/>
          <w:color w:val="auto"/>
          <w:highlight w:val="none"/>
          <w:lang w:val="en-US" w:eastAsia="zh-CN"/>
        </w:rPr>
      </w:pPr>
    </w:p>
    <w:p>
      <w:pPr>
        <w:rPr>
          <w:color w:val="auto"/>
          <w:highlight w:val="none"/>
        </w:rPr>
      </w:pPr>
    </w:p>
    <w:sectPr>
      <w:pgSz w:w="11906" w:h="16838"/>
      <w:pgMar w:top="1134" w:right="1417" w:bottom="850" w:left="1417" w:header="680" w:footer="567"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rPr>
    </w:pPr>
    <w:r>
      <w:rPr>
        <w:rFonts w:ascii="仿宋" w:hAnsi="仿宋" w:eastAsia="仿宋"/>
        <w:b/>
        <w:sz w:val="24"/>
        <w:szCs w:val="24"/>
      </w:rPr>
      <w:fldChar w:fldCharType="begin"/>
    </w:r>
    <w:r>
      <w:rPr>
        <w:rStyle w:val="26"/>
        <w:rFonts w:ascii="仿宋" w:hAnsi="仿宋" w:eastAsia="仿宋"/>
        <w:b/>
        <w:sz w:val="24"/>
        <w:szCs w:val="24"/>
      </w:rPr>
      <w:instrText xml:space="preserve"> PAGE </w:instrText>
    </w:r>
    <w:r>
      <w:rPr>
        <w:rFonts w:ascii="仿宋" w:hAnsi="仿宋" w:eastAsia="仿宋"/>
        <w:b/>
        <w:sz w:val="24"/>
        <w:szCs w:val="24"/>
      </w:rPr>
      <w:fldChar w:fldCharType="separate"/>
    </w:r>
    <w:r>
      <w:rPr>
        <w:rStyle w:val="26"/>
        <w:rFonts w:ascii="仿宋" w:hAnsi="仿宋" w:eastAsia="仿宋"/>
        <w:b/>
        <w:sz w:val="24"/>
        <w:szCs w:val="24"/>
      </w:rPr>
      <w:t>75</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楷体_GB2312" w:cs="宋体"/>
        <w:sz w:val="18"/>
        <w:szCs w:val="21"/>
      </w:rPr>
    </w:pPr>
    <w:r>
      <w:rPr>
        <w:rFonts w:ascii="Calibri" w:hAnsi="Calibri" w:cs="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tabs>
                              <w:tab w:val="center" w:pos="4153"/>
                              <w:tab w:val="right" w:pos="8306"/>
                            </w:tabs>
                            <w:snapToGrid w:val="0"/>
                            <w:jc w:val="center"/>
                            <w:rPr>
                              <w:rFonts w:ascii="Calibri" w:hAnsi="Calibri" w:cs="宋体"/>
                              <w:sz w:val="18"/>
                              <w:szCs w:val="18"/>
                            </w:rPr>
                          </w:pPr>
                          <w:r>
                            <w:rPr>
                              <w:rFonts w:ascii="Calibri" w:hAnsi="Calibri" w:cs="宋体"/>
                              <w:sz w:val="18"/>
                              <w:szCs w:val="18"/>
                            </w:rPr>
                            <w:fldChar w:fldCharType="begin"/>
                          </w:r>
                          <w:r>
                            <w:rPr>
                              <w:rFonts w:ascii="Calibri" w:hAnsi="Calibri" w:cs="宋体"/>
                              <w:sz w:val="18"/>
                              <w:szCs w:val="18"/>
                            </w:rPr>
                            <w:instrText xml:space="preserve"> PAGE  \* MERGEFORMAT </w:instrText>
                          </w:r>
                          <w:r>
                            <w:rPr>
                              <w:rFonts w:ascii="Calibri" w:hAnsi="Calibri" w:cs="宋体"/>
                              <w:sz w:val="18"/>
                              <w:szCs w:val="18"/>
                            </w:rPr>
                            <w:fldChar w:fldCharType="separate"/>
                          </w:r>
                          <w:r>
                            <w:rPr>
                              <w:rFonts w:ascii="Calibri" w:hAnsi="Calibri" w:cs="宋体"/>
                              <w:sz w:val="18"/>
                              <w:szCs w:val="18"/>
                            </w:rPr>
                            <w:t>- 95 -</w:t>
                          </w:r>
                          <w:r>
                            <w:rPr>
                              <w:rFonts w:ascii="Calibri" w:hAnsi="Calibri" w:cs="宋体"/>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9uWx0gAAAAQBAAAPAAAAAAAAAAEAIAAAACIAAABkcnMv&#10;ZG93bnJldi54bWxQSwECFAAUAAAACACHTuJAxonhtQkCAAACBAAADgAAAAAAAAABACAAAAAhAQAA&#10;ZHJzL2Uyb0RvYy54bWxQSwUGAAAAAAYABgBZAQAAnAUAAAAA&#10;">
              <v:fill on="f" focussize="0,0"/>
              <v:stroke on="f"/>
              <v:imagedata o:title=""/>
              <o:lock v:ext="edit" aspectratio="f"/>
              <v:textbox inset="0mm,0mm,0mm,0mm" style="mso-fit-shape-to-text:t;">
                <w:txbxContent>
                  <w:p>
                    <w:pPr>
                      <w:tabs>
                        <w:tab w:val="center" w:pos="4153"/>
                        <w:tab w:val="right" w:pos="8306"/>
                      </w:tabs>
                      <w:snapToGrid w:val="0"/>
                      <w:jc w:val="center"/>
                      <w:rPr>
                        <w:rFonts w:ascii="Calibri" w:hAnsi="Calibri" w:cs="宋体"/>
                        <w:sz w:val="18"/>
                        <w:szCs w:val="18"/>
                      </w:rPr>
                    </w:pPr>
                    <w:r>
                      <w:rPr>
                        <w:rFonts w:ascii="Calibri" w:hAnsi="Calibri" w:cs="宋体"/>
                        <w:sz w:val="18"/>
                        <w:szCs w:val="18"/>
                      </w:rPr>
                      <w:fldChar w:fldCharType="begin"/>
                    </w:r>
                    <w:r>
                      <w:rPr>
                        <w:rFonts w:ascii="Calibri" w:hAnsi="Calibri" w:cs="宋体"/>
                        <w:sz w:val="18"/>
                        <w:szCs w:val="18"/>
                      </w:rPr>
                      <w:instrText xml:space="preserve"> PAGE  \* MERGEFORMAT </w:instrText>
                    </w:r>
                    <w:r>
                      <w:rPr>
                        <w:rFonts w:ascii="Calibri" w:hAnsi="Calibri" w:cs="宋体"/>
                        <w:sz w:val="18"/>
                        <w:szCs w:val="18"/>
                      </w:rPr>
                      <w:fldChar w:fldCharType="separate"/>
                    </w:r>
                    <w:r>
                      <w:rPr>
                        <w:rFonts w:ascii="Calibri" w:hAnsi="Calibri" w:cs="宋体"/>
                        <w:sz w:val="18"/>
                        <w:szCs w:val="18"/>
                      </w:rPr>
                      <w:t>- 95 -</w:t>
                    </w:r>
                    <w:r>
                      <w:rPr>
                        <w:rFonts w:ascii="Calibri" w:hAnsi="Calibri" w:cs="宋体"/>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浙江省成套招标代理有限公司                                 诚实信用 专业规范 科学严谨 服务社会</w: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9"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y+F71AAAAAUBAAAP&#10;AAAAAAAAAAEAIAAAACIAAABkcnMvZG93bnJldi54bWxQSwECFAAUAAAACACHTuJAQl4Y4BwCAAA4&#10;BAAADgAAAAAAAAABACAAAAAjAQAAZHJzL2Uyb0RvYy54bWxQSwUGAAAAAAYABgBZAQAAsQ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w:rPr>
        <w:rFonts w:hint="eastAsia"/>
      </w:rPr>
      <w:drawing>
        <wp:inline distT="0" distB="0" distL="114300" distR="114300">
          <wp:extent cx="391160" cy="388620"/>
          <wp:effectExtent l="0" t="0" r="8890" b="11430"/>
          <wp:docPr id="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2"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083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cUzZcRkCAAA5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浙江省成套招标代理有限公司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06" o:spid="_x0000_s3079"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05" o:spid="_x0000_s3078"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w:rPr>
        <w:rFonts w:hint="eastAsia"/>
      </w:rPr>
      <w:drawing>
        <wp:inline distT="0" distB="0" distL="114300" distR="114300">
          <wp:extent cx="391160" cy="388620"/>
          <wp:effectExtent l="0" t="0" r="8890" b="11430"/>
          <wp:docPr id="4"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0"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9" o:spid="_x0000_s1026" o:spt="202" type="#_x0000_t202" style="position:absolute;left:0pt;height:44.95pt;width:584.4pt;mso-position-horizontal:center;mso-position-horizontal-relative:margin;mso-position-vertical:center;mso-position-vertical-relative:margin;rotation:-2949120f;z-index:-25164595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3j4sxkCAAA5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浙江省成套招标代理有限公司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2" o:spid="_x0000_s3081"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height:44.95pt;width:584.4pt;mso-position-horizontal:center;mso-position-horizontal-relative:margin;mso-position-vertical:center;mso-position-vertical-relative:margin;rotation:-2949120f;z-index:-25164697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y+F71AAAAAUBAAAP&#10;AAAAAAAAAAEAIAAAACIAAABkcnMvZG93bnJldi54bWxQSwECFAAUAAAACACHTuJAHRvQeBwCAAA5&#10;BAAADgAAAAAAAAABACAAAAAjAQAAZHJzL2Uyb0RvYy54bWxQSwUGAAAAAAYABgBZAQAAsQ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1" o:spid="_x0000_s3080"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89"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height:44.95pt;width:584.4pt;mso-position-horizontal:center;mso-position-horizontal-relative:margin;mso-position-vertical:center;mso-position-vertical-relative:margin;rotation:-2949120f;z-index:-25164800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F0ybghkCAAA5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w:rPr>
        <w:rFonts w:hint="eastAsia"/>
      </w:rPr>
      <w:drawing>
        <wp:inline distT="0" distB="0" distL="114300" distR="114300">
          <wp:extent cx="391160" cy="388620"/>
          <wp:effectExtent l="0" t="0" r="8890" b="11430"/>
          <wp:docPr id="37"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75" name="WordArt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4" o:spid="_x0000_s1026" o:spt="202" type="#_x0000_t202" style="position:absolute;left:0pt;height:44.95pt;width:584.4pt;mso-position-horizontal:center;mso-position-horizontal-relative:margin;mso-position-vertical:center;mso-position-vertical-relative:margin;rotation:-2949120f;z-index:-25164288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EmemoBkCAAA5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浙江省成套招标代理有限公司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8" o:spid="_x0000_s3083"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88" name="WordArt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6" o:spid="_x0000_s1026" o:spt="202" type="#_x0000_t202" style="position:absolute;left:0pt;height:44.95pt;width:584.4pt;mso-position-horizontal:center;mso-position-horizontal-relative:margin;mso-position-vertical:center;mso-position-vertical-relative:margin;rotation:-2949120f;z-index:-25164390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a10L6GAIAADkEAAAO&#10;AAAAAAAAAAEAIAAAACMBAABkcnMvZTJvRG9jLnhtbFBLBQYAAAAABgAGAFkBAACtBQ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7" o:spid="_x0000_s3082"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63"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3" o:spid="_x0000_s1026" o:spt="202" type="#_x0000_t202" style="position:absolute;left:0pt;height:44.95pt;width:584.4pt;mso-position-horizontal:center;mso-position-horizontal-relative:margin;mso-position-vertical:center;mso-position-vertical-relative:margin;rotation:-2949120f;z-index:-25164492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AuFv1IaAgAAOQQA&#10;AA4AAAAAAAAAAQAgAAAAIwEAAGRycy9lMm9Eb2MueG1sUEsFBgAAAAAGAAYAWQEAAK8FA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mc:AlternateContent>
        <mc:Choice Requires="wps">
          <w:drawing>
            <wp:anchor distT="0" distB="0" distL="114300" distR="114300" simplePos="0" relativeHeight="251674624" behindDoc="1" locked="0" layoutInCell="0" allowOverlap="1">
              <wp:simplePos x="0" y="0"/>
              <wp:positionH relativeFrom="margin">
                <wp:posOffset>730250</wp:posOffset>
              </wp:positionH>
              <wp:positionV relativeFrom="margin">
                <wp:posOffset>2672080</wp:posOffset>
              </wp:positionV>
              <wp:extent cx="7421880" cy="570865"/>
              <wp:effectExtent l="0" t="2500630" r="0" b="2500630"/>
              <wp:wrapNone/>
              <wp:docPr id="152" name="WordArt 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8" o:spid="_x0000_s1026" o:spt="202" type="#_x0000_t202" style="position:absolute;left:0pt;margin-left:57.5pt;margin-top:210.4pt;height:44.95pt;width:584.4pt;mso-position-horizontal-relative:margin;mso-position-vertical-relative:margin;rotation:-2949120f;z-index:-251641856;mso-width-relative:page;mso-height-relative:page;" filled="f" stroked="f" coordsize="21600,21600" o:allowincell="f" o:gfxdata="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y3283ZAAAADAEA&#10;AA8AAAAAAAAAAQAgAAAAIgAAAGRycy9kb3ducmV2LnhtbFBLAQIUABQAAAAIAIdO4kBHpnfKGQIA&#10;ADkEAAAOAAAAAAAAAAEAIAAAACgBAABkcnMvZTJvRG9jLnhtbFBLBQYAAAAABgAGAFkBAACzBQAA&#10;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6"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791" o:spid="_x0000_s3073"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0"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eoFYEGAIAADgEAAAO&#10;AAAAAAAAAAEAIAAAACMBAABkcnMvZTJvRG9jLnhtbFBLBQYAAAAABgAGAFkBAACtBQ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24" o:spid="_x0000_s3085" o:spt="136" type="#_x0000_t136" style="position:absolute;left:0pt;height:44.95pt;width:584.4pt;mso-position-horizontal:center;mso-position-horizontal-relative:margin;mso-position-vertical:center;mso-position-vertical-relative:margin;rotation:20643840f;z-index:-25162752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23" o:spid="_x0000_s3084" o:spt="136" type="#_x0000_t136" style="position:absolute;left:0pt;height:44.95pt;width:584.4pt;mso-position-horizontal:center;mso-position-horizontal-relative:margin;mso-position-vertical:center;mso-position-vertical-relative:margin;rotation:20643840f;z-index:-25162854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w:rPr>
        <w:rFonts w:hint="eastAsia"/>
      </w:rPr>
      <w:drawing>
        <wp:inline distT="0" distB="0" distL="114300" distR="114300">
          <wp:extent cx="391160" cy="388620"/>
          <wp:effectExtent l="0" t="0" r="8890" b="11430"/>
          <wp:docPr id="35"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49"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height:44.95pt;width:584.4pt;mso-position-horizontal:center;mso-position-horizontal-relative:margin;mso-position-vertical:center;mso-position-vertical-relative:margin;rotation:-2949120f;z-index:-25164083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8vhe9QAAAAFAQAA&#10;DwAAAAAAAAABACAAAAAiAAAAZHJzL2Rvd25yZXYueG1sUEsBAhQAFAAAAAgAh07iQHSXCBcdAgAA&#10;OQQAAA4AAAAAAAAAAQAgAAAAIwEAAGRycy9lMm9Eb2MueG1sUEsFBgAAAAAGAAYAWQEAALIFAAAA&#10;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浙江省成套招标代理有限公司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27" o:spid="_x0000_s3087" o:spt="136" type="#_x0000_t136" style="position:absolute;left:0pt;height:44.95pt;width:584.4pt;mso-position-horizontal:center;mso-position-horizontal-relative:margin;mso-position-vertical:center;mso-position-vertical-relative:margin;rotation:20643840f;z-index:-25162547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26" o:spid="_x0000_s3086" o:spt="136" type="#_x0000_t136" style="position:absolute;left:0pt;height:44.95pt;width:584.4pt;mso-position-horizontal:center;mso-position-horizontal-relative:margin;mso-position-vertical:center;mso-position-vertical-relative:margin;rotation:20643840f;z-index:-25162649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浙江省成套招标代理有限公司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jc w:val="both"/>
    </w:pPr>
    <w:r>
      <w:rPr>
        <w:rFonts w:hint="eastAsia"/>
      </w:rPr>
      <w:drawing>
        <wp:inline distT="0" distB="0" distL="114300" distR="114300">
          <wp:extent cx="391160" cy="388620"/>
          <wp:effectExtent l="0" t="0" r="8890" b="11430"/>
          <wp:docPr id="3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7"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47frMhkCAAA4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浙江省成套招标代理有限公司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3075"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8"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jO9y3GAIAADgEAAAO&#10;AAAAAAAAAAEAIAAAACMBAABkcnMvZTJvRG9jLnhtbFBLBQYAAAAABgAGAFkBAACtBQ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3074"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6"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44.95pt;width:584.4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st1MahkCAAA4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w:rPr>
        <w:rFonts w:hint="eastAsia"/>
      </w:rPr>
      <w:drawing>
        <wp:inline distT="0" distB="0" distL="114300" distR="114300">
          <wp:extent cx="391160" cy="388620"/>
          <wp:effectExtent l="0" t="0" r="8890" b="11430"/>
          <wp:docPr id="2"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4"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1"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y+F71AAAAAUBAAAP&#10;AAAAAAAAAAEAIAAAACIAAABkcnMvZG93bnJldi54bWxQSwECFAAUAAAACACHTuJAN1qDmRwCAAA5&#10;BAAADgAAAAAAAAABACAAAAAjAQAAZHJzL2Uyb0RvYy54bWxQSwUGAAAAAAYABgBZAQAAsQ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浙江省成套招标代理有限公司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3077"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5"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IWSHZMaAgAAOQQA&#10;AA4AAAAAAAAAAQAgAAAAIwEAAGRycy9lMm9Eb2MueG1sUEsFBgAAAAAGAAYAWQEAAK8FA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3076"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height:44.95pt;width:584.4pt;mso-position-horizontal:center;mso-position-horizontal-relative:margin;mso-position-vertical:center;mso-position-vertical-relative:margin;rotation:-2949120f;z-index:-25165107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EGpiaQaAgAAOQQA&#10;AA4AAAAAAAAAAQAgAAAAIwEAAGRycy9lMm9Eb2MueG1sUEsFBgAAAAAGAAYAWQEAAK8FA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9697"/>
    <w:multiLevelType w:val="singleLevel"/>
    <w:tmpl w:val="B1719697"/>
    <w:lvl w:ilvl="0" w:tentative="0">
      <w:start w:val="2"/>
      <w:numFmt w:val="decimal"/>
      <w:suff w:val="space"/>
      <w:lvlText w:val="（%1）"/>
      <w:lvlJc w:val="left"/>
      <w:pPr>
        <w:ind w:left="-4"/>
      </w:pPr>
    </w:lvl>
  </w:abstractNum>
  <w:abstractNum w:abstractNumId="1">
    <w:nsid w:val="544AF96E"/>
    <w:multiLevelType w:val="singleLevel"/>
    <w:tmpl w:val="544AF96E"/>
    <w:lvl w:ilvl="0" w:tentative="0">
      <w:start w:val="1"/>
      <w:numFmt w:val="decimal"/>
      <w:suff w:val="space"/>
      <w:lvlText w:val="（%1）"/>
      <w:lvlJc w:val="left"/>
    </w:lvl>
  </w:abstractNum>
  <w:abstractNum w:abstractNumId="2">
    <w:nsid w:val="5B6C0D47"/>
    <w:multiLevelType w:val="singleLevel"/>
    <w:tmpl w:val="5B6C0D47"/>
    <w:lvl w:ilvl="0" w:tentative="0">
      <w:start w:val="1"/>
      <w:numFmt w:val="chineseCounting"/>
      <w:suff w:val="nothing"/>
      <w:lvlText w:val="（%1）"/>
      <w:lvlJc w:val="left"/>
    </w:lvl>
  </w:abstractNum>
  <w:abstractNum w:abstractNumId="3">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ZTJmM2RmM2ZkOWY3NmQ3ZmY4YWYyNzgyNjQzYzUifQ=="/>
    <w:docVar w:name="KSO_WPS_MARK_KEY" w:val="657236ea-553d-4bbd-be6d-c215b348f965"/>
  </w:docVars>
  <w:rsids>
    <w:rsidRoot w:val="00172A27"/>
    <w:rsid w:val="00052504"/>
    <w:rsid w:val="0006234B"/>
    <w:rsid w:val="00082189"/>
    <w:rsid w:val="000879F4"/>
    <w:rsid w:val="000C7658"/>
    <w:rsid w:val="000D39A1"/>
    <w:rsid w:val="00111535"/>
    <w:rsid w:val="00171402"/>
    <w:rsid w:val="00172A27"/>
    <w:rsid w:val="0018393B"/>
    <w:rsid w:val="00190B23"/>
    <w:rsid w:val="001A6284"/>
    <w:rsid w:val="001B5898"/>
    <w:rsid w:val="001E6A9E"/>
    <w:rsid w:val="00265B5A"/>
    <w:rsid w:val="002A0EA9"/>
    <w:rsid w:val="002A23D4"/>
    <w:rsid w:val="002C40E5"/>
    <w:rsid w:val="002F035A"/>
    <w:rsid w:val="00316331"/>
    <w:rsid w:val="00334E08"/>
    <w:rsid w:val="003412BE"/>
    <w:rsid w:val="00363646"/>
    <w:rsid w:val="003B538E"/>
    <w:rsid w:val="0042144F"/>
    <w:rsid w:val="005329E0"/>
    <w:rsid w:val="00564D7F"/>
    <w:rsid w:val="00586A3E"/>
    <w:rsid w:val="00593AC5"/>
    <w:rsid w:val="00684D1C"/>
    <w:rsid w:val="006C3C14"/>
    <w:rsid w:val="006E34CD"/>
    <w:rsid w:val="00740140"/>
    <w:rsid w:val="00756BFE"/>
    <w:rsid w:val="00797C4C"/>
    <w:rsid w:val="007B541F"/>
    <w:rsid w:val="00806C7B"/>
    <w:rsid w:val="00807AE0"/>
    <w:rsid w:val="00826C3E"/>
    <w:rsid w:val="008305F6"/>
    <w:rsid w:val="00852725"/>
    <w:rsid w:val="0086217C"/>
    <w:rsid w:val="008A5446"/>
    <w:rsid w:val="008B5364"/>
    <w:rsid w:val="00963EEA"/>
    <w:rsid w:val="009645E5"/>
    <w:rsid w:val="009B6A06"/>
    <w:rsid w:val="009D1A74"/>
    <w:rsid w:val="00A33F81"/>
    <w:rsid w:val="00AE2C2D"/>
    <w:rsid w:val="00BA5CC2"/>
    <w:rsid w:val="00BD1660"/>
    <w:rsid w:val="00C25C7C"/>
    <w:rsid w:val="00C33AAD"/>
    <w:rsid w:val="00C672C1"/>
    <w:rsid w:val="00C74FBA"/>
    <w:rsid w:val="00CD551D"/>
    <w:rsid w:val="00CE7D0F"/>
    <w:rsid w:val="00D07F44"/>
    <w:rsid w:val="00D61042"/>
    <w:rsid w:val="00D65EBB"/>
    <w:rsid w:val="00DB0B68"/>
    <w:rsid w:val="00DC41E7"/>
    <w:rsid w:val="00DF4197"/>
    <w:rsid w:val="00E50541"/>
    <w:rsid w:val="00EB5242"/>
    <w:rsid w:val="00EC24B8"/>
    <w:rsid w:val="00EF6EB2"/>
    <w:rsid w:val="00F1797D"/>
    <w:rsid w:val="00F64EEA"/>
    <w:rsid w:val="00F92A5D"/>
    <w:rsid w:val="00FF09E6"/>
    <w:rsid w:val="017078B1"/>
    <w:rsid w:val="01E27CBA"/>
    <w:rsid w:val="02247BA0"/>
    <w:rsid w:val="02DD0DFA"/>
    <w:rsid w:val="03637C27"/>
    <w:rsid w:val="04651CD8"/>
    <w:rsid w:val="04F5676E"/>
    <w:rsid w:val="06EE6FE9"/>
    <w:rsid w:val="080C5D7A"/>
    <w:rsid w:val="08B270AD"/>
    <w:rsid w:val="08BB4200"/>
    <w:rsid w:val="09A336F0"/>
    <w:rsid w:val="0B230F24"/>
    <w:rsid w:val="0BA033B7"/>
    <w:rsid w:val="0BFB010C"/>
    <w:rsid w:val="0D2D56B3"/>
    <w:rsid w:val="0D6A6CF7"/>
    <w:rsid w:val="0D901EB6"/>
    <w:rsid w:val="0DB07E8E"/>
    <w:rsid w:val="0F703CE9"/>
    <w:rsid w:val="111D665E"/>
    <w:rsid w:val="12432F1C"/>
    <w:rsid w:val="158C7F93"/>
    <w:rsid w:val="16AF1049"/>
    <w:rsid w:val="16D358DE"/>
    <w:rsid w:val="16FC5337"/>
    <w:rsid w:val="1784590C"/>
    <w:rsid w:val="191479B4"/>
    <w:rsid w:val="196C5ED7"/>
    <w:rsid w:val="19940704"/>
    <w:rsid w:val="19AE4ECD"/>
    <w:rsid w:val="1AD24BF3"/>
    <w:rsid w:val="1B023644"/>
    <w:rsid w:val="1B397A33"/>
    <w:rsid w:val="1B78489A"/>
    <w:rsid w:val="1C5841A4"/>
    <w:rsid w:val="1D5A19DC"/>
    <w:rsid w:val="1E574E55"/>
    <w:rsid w:val="1F170D8C"/>
    <w:rsid w:val="1F1A12BF"/>
    <w:rsid w:val="1FCB60B8"/>
    <w:rsid w:val="204A5C14"/>
    <w:rsid w:val="21195E39"/>
    <w:rsid w:val="212474CA"/>
    <w:rsid w:val="21625B39"/>
    <w:rsid w:val="21703375"/>
    <w:rsid w:val="22472E8A"/>
    <w:rsid w:val="226A165A"/>
    <w:rsid w:val="22E15F29"/>
    <w:rsid w:val="231F04D5"/>
    <w:rsid w:val="23697FF9"/>
    <w:rsid w:val="240C05AA"/>
    <w:rsid w:val="25181E0B"/>
    <w:rsid w:val="270E15F0"/>
    <w:rsid w:val="282136B0"/>
    <w:rsid w:val="28A51719"/>
    <w:rsid w:val="29304992"/>
    <w:rsid w:val="29A43937"/>
    <w:rsid w:val="2A047CA5"/>
    <w:rsid w:val="2A5D7EDF"/>
    <w:rsid w:val="2A84294D"/>
    <w:rsid w:val="2B456468"/>
    <w:rsid w:val="2BFE4F5B"/>
    <w:rsid w:val="2C682B01"/>
    <w:rsid w:val="2EAE1479"/>
    <w:rsid w:val="2EBA4FAC"/>
    <w:rsid w:val="2F003546"/>
    <w:rsid w:val="30130831"/>
    <w:rsid w:val="30661CB6"/>
    <w:rsid w:val="308568D6"/>
    <w:rsid w:val="30B75A4C"/>
    <w:rsid w:val="31196F14"/>
    <w:rsid w:val="31B2243A"/>
    <w:rsid w:val="33625F74"/>
    <w:rsid w:val="34AE1C4F"/>
    <w:rsid w:val="34B8556F"/>
    <w:rsid w:val="34D7606D"/>
    <w:rsid w:val="36860855"/>
    <w:rsid w:val="36DB0798"/>
    <w:rsid w:val="372B3878"/>
    <w:rsid w:val="37AA5D9D"/>
    <w:rsid w:val="37CC5132"/>
    <w:rsid w:val="38B25A5E"/>
    <w:rsid w:val="39071B6C"/>
    <w:rsid w:val="3AB22E83"/>
    <w:rsid w:val="3AB2351B"/>
    <w:rsid w:val="3B4C2CCE"/>
    <w:rsid w:val="3C822811"/>
    <w:rsid w:val="3CB80B7B"/>
    <w:rsid w:val="3D614D46"/>
    <w:rsid w:val="3DF9098C"/>
    <w:rsid w:val="3DFC5505"/>
    <w:rsid w:val="3E620104"/>
    <w:rsid w:val="40AE5C2E"/>
    <w:rsid w:val="40B1396E"/>
    <w:rsid w:val="40E03634"/>
    <w:rsid w:val="411D5F8E"/>
    <w:rsid w:val="41E13F57"/>
    <w:rsid w:val="429C0182"/>
    <w:rsid w:val="42F51C15"/>
    <w:rsid w:val="43B6561A"/>
    <w:rsid w:val="43E512E8"/>
    <w:rsid w:val="442B1F5B"/>
    <w:rsid w:val="44E06C18"/>
    <w:rsid w:val="4521072D"/>
    <w:rsid w:val="45826F85"/>
    <w:rsid w:val="45AF50AD"/>
    <w:rsid w:val="465F7152"/>
    <w:rsid w:val="46A828D9"/>
    <w:rsid w:val="47F12394"/>
    <w:rsid w:val="48704BDE"/>
    <w:rsid w:val="48DC624F"/>
    <w:rsid w:val="494170AE"/>
    <w:rsid w:val="49B41E17"/>
    <w:rsid w:val="49C75CF3"/>
    <w:rsid w:val="4A63605A"/>
    <w:rsid w:val="4AA62B30"/>
    <w:rsid w:val="4AB616FA"/>
    <w:rsid w:val="4B0A6208"/>
    <w:rsid w:val="4B7F43B2"/>
    <w:rsid w:val="4C9D7808"/>
    <w:rsid w:val="4D0B796F"/>
    <w:rsid w:val="4D1D0CA0"/>
    <w:rsid w:val="4D4E26A0"/>
    <w:rsid w:val="4EC92A0E"/>
    <w:rsid w:val="4ECA372F"/>
    <w:rsid w:val="4FD31AD1"/>
    <w:rsid w:val="50A54567"/>
    <w:rsid w:val="511A14F7"/>
    <w:rsid w:val="516F0998"/>
    <w:rsid w:val="51D07E83"/>
    <w:rsid w:val="525028C0"/>
    <w:rsid w:val="53552E48"/>
    <w:rsid w:val="539A1B58"/>
    <w:rsid w:val="55687F6F"/>
    <w:rsid w:val="55E17332"/>
    <w:rsid w:val="57216F1F"/>
    <w:rsid w:val="57432FC0"/>
    <w:rsid w:val="57445384"/>
    <w:rsid w:val="574B49E4"/>
    <w:rsid w:val="5783586C"/>
    <w:rsid w:val="57C53EE8"/>
    <w:rsid w:val="586B3692"/>
    <w:rsid w:val="587D5EAA"/>
    <w:rsid w:val="591F5FCD"/>
    <w:rsid w:val="59387AF0"/>
    <w:rsid w:val="59F35C21"/>
    <w:rsid w:val="5A001417"/>
    <w:rsid w:val="5ADB210A"/>
    <w:rsid w:val="5B0132B9"/>
    <w:rsid w:val="5D192388"/>
    <w:rsid w:val="5D437250"/>
    <w:rsid w:val="5EE9438F"/>
    <w:rsid w:val="5F3848CF"/>
    <w:rsid w:val="5F4E5E06"/>
    <w:rsid w:val="5FDC1759"/>
    <w:rsid w:val="6076540D"/>
    <w:rsid w:val="62D701C0"/>
    <w:rsid w:val="6458652A"/>
    <w:rsid w:val="64BF60CA"/>
    <w:rsid w:val="65037BC7"/>
    <w:rsid w:val="65C80060"/>
    <w:rsid w:val="6739131D"/>
    <w:rsid w:val="674D42B9"/>
    <w:rsid w:val="677443EB"/>
    <w:rsid w:val="685E0257"/>
    <w:rsid w:val="68820019"/>
    <w:rsid w:val="6991098A"/>
    <w:rsid w:val="69E35648"/>
    <w:rsid w:val="6A7C4EAA"/>
    <w:rsid w:val="6AB03C8B"/>
    <w:rsid w:val="6AB43110"/>
    <w:rsid w:val="6AC81AC2"/>
    <w:rsid w:val="6B2A0509"/>
    <w:rsid w:val="6BFA1011"/>
    <w:rsid w:val="6C054CAA"/>
    <w:rsid w:val="6E702C20"/>
    <w:rsid w:val="6F3D19B1"/>
    <w:rsid w:val="6F4B3044"/>
    <w:rsid w:val="70056FEE"/>
    <w:rsid w:val="701C5CE0"/>
    <w:rsid w:val="70791A00"/>
    <w:rsid w:val="70A43718"/>
    <w:rsid w:val="71175612"/>
    <w:rsid w:val="71593C3B"/>
    <w:rsid w:val="71B83D9C"/>
    <w:rsid w:val="74791296"/>
    <w:rsid w:val="74800781"/>
    <w:rsid w:val="749B2829"/>
    <w:rsid w:val="753832A3"/>
    <w:rsid w:val="756C0549"/>
    <w:rsid w:val="75EE481A"/>
    <w:rsid w:val="766E2F56"/>
    <w:rsid w:val="76EB51C4"/>
    <w:rsid w:val="78647762"/>
    <w:rsid w:val="79BE65ED"/>
    <w:rsid w:val="7AC3519F"/>
    <w:rsid w:val="7B183994"/>
    <w:rsid w:val="7B4B356D"/>
    <w:rsid w:val="7B61554E"/>
    <w:rsid w:val="7C21016E"/>
    <w:rsid w:val="7C3A68B1"/>
    <w:rsid w:val="7C3D7BA2"/>
    <w:rsid w:val="7C6D6553"/>
    <w:rsid w:val="7C7B000D"/>
    <w:rsid w:val="7CB023B6"/>
    <w:rsid w:val="7E2D53FB"/>
    <w:rsid w:val="7F0B6F07"/>
    <w:rsid w:val="7F5A4911"/>
    <w:rsid w:val="7F6368EC"/>
    <w:rsid w:val="7F77520A"/>
    <w:rsid w:val="7FD1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1"/>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qFormat/>
    <w:uiPriority w:val="0"/>
    <w:pPr>
      <w:keepNext/>
      <w:keepLines/>
      <w:spacing w:before="240" w:after="240"/>
      <w:outlineLvl w:val="2"/>
    </w:pPr>
    <w:rPr>
      <w:rFonts w:ascii="华文中宋" w:hAnsi="华文中宋" w:eastAsia="华文中宋"/>
      <w:b/>
      <w:bCs/>
      <w:color w:val="000000"/>
      <w:sz w:val="30"/>
      <w:szCs w:val="30"/>
    </w:rPr>
  </w:style>
  <w:style w:type="paragraph" w:styleId="5">
    <w:name w:val="heading 4"/>
    <w:basedOn w:val="1"/>
    <w:next w:val="6"/>
    <w:qFormat/>
    <w:uiPriority w:val="0"/>
    <w:pPr>
      <w:keepNext/>
      <w:keepLines/>
      <w:widowControl w:val="0"/>
      <w:spacing w:before="160" w:after="170"/>
      <w:ind w:firstLine="426" w:firstLineChars="152"/>
      <w:outlineLvl w:val="3"/>
    </w:pPr>
    <w:rPr>
      <w:rFonts w:ascii="华文中宋" w:hAnsi="华文中宋" w:eastAsia="华文中宋" w:cs="Times New Roman"/>
      <w:b/>
      <w:bCs/>
      <w:color w:val="000000"/>
      <w:kern w:val="2"/>
      <w:sz w:val="28"/>
      <w:szCs w:val="28"/>
      <w:lang w:val="en-US" w:eastAsia="zh-CN" w:bidi="ar-SA"/>
    </w:rPr>
  </w:style>
  <w:style w:type="paragraph" w:styleId="7">
    <w:name w:val="heading 5"/>
    <w:next w:val="1"/>
    <w:qFormat/>
    <w:uiPriority w:val="9"/>
    <w:pPr>
      <w:keepNext/>
      <w:keepLines/>
      <w:widowControl w:val="0"/>
      <w:spacing w:before="120" w:after="120"/>
      <w:ind w:firstLine="425" w:firstLineChars="177"/>
      <w:outlineLvl w:val="4"/>
    </w:pPr>
    <w:rPr>
      <w:rFonts w:ascii="华文中宋" w:hAnsi="华文中宋" w:eastAsia="华文中宋" w:cs="Times New Roman"/>
      <w:b/>
      <w:bCs/>
      <w:sz w:val="24"/>
      <w:szCs w:val="28"/>
      <w:lang w:val="en-US" w:eastAsia="zh-CN" w:bidi="ar-SA"/>
    </w:rPr>
  </w:style>
  <w:style w:type="paragraph" w:styleId="8">
    <w:name w:val="heading 6"/>
    <w:next w:val="1"/>
    <w:qFormat/>
    <w:uiPriority w:val="9"/>
    <w:pPr>
      <w:keepNext/>
      <w:keepLines/>
      <w:tabs>
        <w:tab w:val="left" w:pos="0"/>
      </w:tabs>
      <w:spacing w:line="360" w:lineRule="auto"/>
      <w:ind w:firstLine="426"/>
      <w:outlineLvl w:val="5"/>
    </w:pPr>
    <w:rPr>
      <w:rFonts w:ascii="仿宋" w:hAnsi="仿宋" w:eastAsia="仿宋" w:cs="Times New Roman"/>
      <w:b/>
      <w:bCs/>
      <w:kern w:val="2"/>
      <w:sz w:val="24"/>
      <w:szCs w:val="24"/>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Plain Text"/>
    <w:basedOn w:val="1"/>
    <w:qFormat/>
    <w:uiPriority w:val="99"/>
    <w:rPr>
      <w:rFonts w:ascii="宋体" w:hAnsi="Courier New"/>
      <w:kern w:val="0"/>
      <w:sz w:val="20"/>
      <w:szCs w:val="21"/>
    </w:rPr>
  </w:style>
  <w:style w:type="paragraph" w:styleId="9">
    <w:name w:val="toc 7"/>
    <w:next w:val="1"/>
    <w:unhideWhenUsed/>
    <w:qFormat/>
    <w:uiPriority w:val="0"/>
    <w:pPr>
      <w:wordWrap w:val="0"/>
      <w:ind w:left="2550"/>
      <w:jc w:val="both"/>
    </w:pPr>
    <w:rPr>
      <w:rFonts w:ascii="Times New Roman" w:hAnsi="Times New Roman" w:eastAsia="宋体" w:cs="Times New Roman"/>
      <w:sz w:val="21"/>
      <w:szCs w:val="24"/>
      <w:lang w:val="en-US" w:eastAsia="zh-CN" w:bidi="ar-SA"/>
    </w:rPr>
  </w:style>
  <w:style w:type="paragraph" w:styleId="10">
    <w:name w:val="Normal Indent"/>
    <w:basedOn w:val="1"/>
    <w:next w:val="1"/>
    <w:qFormat/>
    <w:uiPriority w:val="0"/>
    <w:pPr>
      <w:spacing w:beforeLines="25" w:after="60" w:line="0" w:lineRule="atLeast"/>
      <w:ind w:firstLine="200" w:firstLineChars="200"/>
    </w:pPr>
  </w:style>
  <w:style w:type="paragraph" w:styleId="11">
    <w:name w:val="annotation text"/>
    <w:basedOn w:val="1"/>
    <w:qFormat/>
    <w:uiPriority w:val="0"/>
    <w:pPr>
      <w:jc w:val="left"/>
    </w:pPr>
  </w:style>
  <w:style w:type="paragraph" w:styleId="1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Indent"/>
    <w:basedOn w:val="1"/>
    <w:next w:val="10"/>
    <w:qFormat/>
    <w:uiPriority w:val="0"/>
    <w:pPr>
      <w:adjustRightInd w:val="0"/>
      <w:spacing w:line="360" w:lineRule="auto"/>
      <w:ind w:firstLine="490"/>
      <w:jc w:val="left"/>
    </w:pPr>
    <w:rPr>
      <w:rFonts w:ascii="宋体" w:hAnsi="宋体"/>
      <w:snapToGrid w:val="0"/>
      <w:sz w:val="24"/>
    </w:rPr>
  </w:style>
  <w:style w:type="paragraph" w:styleId="14">
    <w:name w:val="Balloon Text"/>
    <w:basedOn w:val="1"/>
    <w:link w:val="44"/>
    <w:qFormat/>
    <w:uiPriority w:val="0"/>
    <w:rPr>
      <w:sz w:val="18"/>
      <w:szCs w:val="18"/>
    </w:rPr>
  </w:style>
  <w:style w:type="paragraph" w:styleId="15">
    <w:name w:val="footer"/>
    <w:qFormat/>
    <w:uiPriority w:val="99"/>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6">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17">
    <w:name w:val="toc 1"/>
    <w:basedOn w:val="1"/>
    <w:next w:val="1"/>
    <w:qFormat/>
    <w:uiPriority w:val="39"/>
    <w:pPr>
      <w:spacing w:before="120" w:after="120"/>
    </w:pPr>
    <w:rPr>
      <w:rFonts w:ascii="Calibri" w:hAnsi="Calibri" w:cs="Calibri"/>
      <w:b/>
      <w:bCs/>
      <w:caps/>
    </w:rPr>
  </w:style>
  <w:style w:type="paragraph" w:styleId="18">
    <w:name w:val="Subtitle"/>
    <w:next w:val="1"/>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19">
    <w:name w:val="toc 2"/>
    <w:next w:val="1"/>
    <w:qFormat/>
    <w:uiPriority w:val="39"/>
    <w:pPr>
      <w:widowControl w:val="0"/>
      <w:tabs>
        <w:tab w:val="right" w:leader="dot" w:pos="8931"/>
      </w:tabs>
      <w:spacing w:line="276" w:lineRule="auto"/>
      <w:ind w:left="851"/>
    </w:pPr>
    <w:rPr>
      <w:rFonts w:ascii="Calibri" w:hAnsi="Calibri" w:eastAsia="宋体" w:cs="Calibri"/>
      <w:smallCaps/>
      <w:kern w:val="2"/>
      <w:lang w:val="en-US" w:eastAsia="zh-CN" w:bidi="ar-SA"/>
    </w:rPr>
  </w:style>
  <w:style w:type="paragraph" w:styleId="20">
    <w:name w:val="Normal (Web)"/>
    <w:basedOn w:val="1"/>
    <w:qFormat/>
    <w:uiPriority w:val="99"/>
    <w:pPr>
      <w:spacing w:beforeAutospacing="1" w:afterAutospacing="1"/>
      <w:jc w:val="left"/>
    </w:pPr>
    <w:rPr>
      <w:kern w:val="0"/>
      <w:sz w:val="24"/>
    </w:rPr>
  </w:style>
  <w:style w:type="paragraph" w:styleId="21">
    <w:name w:val="Title"/>
    <w:basedOn w:val="1"/>
    <w:next w:val="1"/>
    <w:qFormat/>
    <w:uiPriority w:val="0"/>
    <w:pPr>
      <w:spacing w:before="360" w:after="180" w:line="360" w:lineRule="auto"/>
      <w:jc w:val="center"/>
      <w:outlineLvl w:val="0"/>
    </w:pPr>
    <w:rPr>
      <w:rFonts w:ascii="Cambria" w:hAnsi="Cambria" w:eastAsia="华文中宋"/>
      <w:b/>
      <w:bCs/>
      <w:sz w:val="44"/>
      <w:szCs w:val="32"/>
    </w:rPr>
  </w:style>
  <w:style w:type="paragraph" w:styleId="22">
    <w:name w:val="Body Text First Indent 2"/>
    <w:basedOn w:val="13"/>
    <w:next w:val="1"/>
    <w:qFormat/>
    <w:uiPriority w:val="0"/>
    <w:pPr>
      <w:widowControl w:val="0"/>
      <w:spacing w:after="120"/>
      <w:ind w:left="420" w:leftChars="200" w:firstLine="210" w:firstLineChars="200"/>
      <w:jc w:val="both"/>
    </w:pPr>
    <w:rPr>
      <w:rFonts w:ascii="宋体" w:hAnsi="宋体" w:eastAsia="宋体" w:cs="Times New Roman"/>
      <w:kern w:val="2"/>
      <w:sz w:val="21"/>
      <w:szCs w:val="24"/>
      <w:lang w:val="en-US" w:eastAsia="zh-CN" w:bidi="ar-SA"/>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99"/>
    <w:rPr>
      <w:rFonts w:ascii="Calibri" w:hAnsi="Calibri" w:eastAsia="宋体" w:cs="Times New Roman"/>
    </w:rPr>
  </w:style>
  <w:style w:type="character" w:styleId="27">
    <w:name w:val="Hyperlink"/>
    <w:qFormat/>
    <w:uiPriority w:val="99"/>
    <w:rPr>
      <w:rFonts w:ascii="Calibri" w:hAnsi="Calibri" w:eastAsia="宋体" w:cs="Times New Roman"/>
      <w:color w:val="0000FF"/>
      <w:u w:val="single"/>
    </w:rPr>
  </w:style>
  <w:style w:type="character" w:styleId="28">
    <w:name w:val="annotation reference"/>
    <w:basedOn w:val="25"/>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首行缩进"/>
    <w:basedOn w:val="1"/>
    <w:unhideWhenUsed/>
    <w:qFormat/>
    <w:uiPriority w:val="0"/>
    <w:rPr>
      <w:rFonts w:hint="eastAsia"/>
      <w:lang w:val="zh-CN"/>
    </w:rPr>
  </w:style>
  <w:style w:type="paragraph" w:customStyle="1" w:styleId="31">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32">
    <w:name w:val="目录 71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DAS正文"/>
    <w:basedOn w:val="1"/>
    <w:qFormat/>
    <w:uiPriority w:val="0"/>
    <w:pPr>
      <w:ind w:right="181" w:firstLine="480" w:firstLineChars="200"/>
    </w:pPr>
    <w:rPr>
      <w:rFonts w:ascii="Verdana" w:hAnsi="Verdana"/>
    </w:rPr>
  </w:style>
  <w:style w:type="paragraph" w:customStyle="1" w:styleId="37">
    <w:name w:val="样式1"/>
    <w:qFormat/>
    <w:uiPriority w:val="0"/>
    <w:pPr>
      <w:widowControl w:val="0"/>
      <w:spacing w:line="360" w:lineRule="exact"/>
      <w:ind w:firstLine="200" w:firstLineChars="200"/>
      <w:jc w:val="both"/>
    </w:pPr>
    <w:rPr>
      <w:rFonts w:ascii="Arial" w:hAnsi="Arial" w:eastAsia="宋体" w:cs="Times New Roman"/>
      <w:kern w:val="2"/>
      <w:sz w:val="21"/>
      <w:szCs w:val="24"/>
      <w:lang w:val="en-US" w:eastAsia="zh-CN" w:bidi="ar-SA"/>
    </w:rPr>
  </w:style>
  <w:style w:type="paragraph" w:customStyle="1" w:styleId="38">
    <w:name w:val="清單段落"/>
    <w:basedOn w:val="1"/>
    <w:qFormat/>
    <w:uiPriority w:val="34"/>
    <w:pPr>
      <w:ind w:firstLine="420" w:firstLineChars="200"/>
    </w:pPr>
  </w:style>
  <w:style w:type="paragraph" w:customStyle="1" w:styleId="39">
    <w:name w:val="标准文本"/>
    <w:basedOn w:val="1"/>
    <w:qFormat/>
    <w:uiPriority w:val="0"/>
    <w:pPr>
      <w:spacing w:line="360" w:lineRule="auto"/>
      <w:ind w:firstLine="480" w:firstLineChars="200"/>
    </w:pPr>
    <w:rPr>
      <w:sz w:val="24"/>
    </w:rPr>
  </w:style>
  <w:style w:type="paragraph" w:customStyle="1" w:styleId="40">
    <w:name w:val="style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無間距"/>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2">
    <w:name w:val="font31"/>
    <w:qFormat/>
    <w:uiPriority w:val="0"/>
    <w:rPr>
      <w:rFonts w:hint="eastAsia" w:ascii="宋体" w:hAnsi="宋体" w:eastAsia="宋体" w:cs="宋体"/>
      <w:color w:val="000000"/>
      <w:sz w:val="24"/>
      <w:szCs w:val="24"/>
      <w:u w:val="none"/>
    </w:rPr>
  </w:style>
  <w:style w:type="paragraph" w:customStyle="1" w:styleId="43">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4">
    <w:name w:val="批注框文本 Char"/>
    <w:basedOn w:val="25"/>
    <w:link w:val="14"/>
    <w:qFormat/>
    <w:uiPriority w:val="0"/>
    <w:rPr>
      <w:kern w:val="2"/>
      <w:sz w:val="18"/>
      <w:szCs w:val="18"/>
    </w:rPr>
  </w:style>
  <w:style w:type="character" w:customStyle="1" w:styleId="45">
    <w:name w:val="font01"/>
    <w:basedOn w:val="25"/>
    <w:qFormat/>
    <w:uiPriority w:val="0"/>
    <w:rPr>
      <w:rFonts w:hint="eastAsia" w:ascii="宋体" w:hAnsi="宋体" w:eastAsia="宋体" w:cs="宋体"/>
      <w:color w:val="000000"/>
      <w:sz w:val="20"/>
      <w:szCs w:val="20"/>
      <w:u w:val="none"/>
    </w:rPr>
  </w:style>
  <w:style w:type="character" w:customStyle="1" w:styleId="46">
    <w:name w:val="font51"/>
    <w:basedOn w:val="25"/>
    <w:qFormat/>
    <w:uiPriority w:val="0"/>
    <w:rPr>
      <w:rFonts w:hint="default" w:ascii="Times New Roman" w:hAnsi="Times New Roman" w:cs="Times New Roman"/>
      <w:color w:val="000000"/>
      <w:sz w:val="20"/>
      <w:szCs w:val="20"/>
      <w:u w:val="none"/>
    </w:rPr>
  </w:style>
  <w:style w:type="character" w:customStyle="1" w:styleId="47">
    <w:name w:val="font21"/>
    <w:basedOn w:val="25"/>
    <w:qFormat/>
    <w:uiPriority w:val="0"/>
    <w:rPr>
      <w:rFonts w:hint="eastAsia" w:ascii="宋体" w:hAnsi="宋体" w:eastAsia="宋体" w:cs="宋体"/>
      <w:color w:val="000000"/>
      <w:sz w:val="20"/>
      <w:szCs w:val="20"/>
      <w:u w:val="none"/>
    </w:rPr>
  </w:style>
  <w:style w:type="character" w:customStyle="1" w:styleId="48">
    <w:name w:val="NormalCharacter"/>
    <w:qFormat/>
    <w:uiPriority w:val="0"/>
  </w:style>
  <w:style w:type="paragraph" w:customStyle="1" w:styleId="49">
    <w:name w:val="PlainText"/>
    <w:basedOn w:val="1"/>
    <w:qFormat/>
    <w:uiPriority w:val="0"/>
    <w:pPr>
      <w:spacing w:line="400" w:lineRule="atLeast"/>
    </w:pPr>
    <w:rPr>
      <w:rFonts w:ascii="宋体" w:hAnsi="Courier New"/>
    </w:rPr>
  </w:style>
  <w:style w:type="paragraph" w:customStyle="1" w:styleId="50">
    <w:name w:val="UserStyle_18"/>
    <w:next w:val="51"/>
    <w:qFormat/>
    <w:uiPriority w:val="0"/>
    <w:pPr>
      <w:textAlignment w:val="baseline"/>
    </w:pPr>
    <w:rPr>
      <w:rFonts w:ascii="黑体" w:hAnsi="Times New Roman" w:eastAsia="黑体" w:cs="Times New Roman"/>
      <w:color w:val="000000"/>
      <w:sz w:val="24"/>
      <w:szCs w:val="24"/>
      <w:lang w:val="en-US" w:eastAsia="zh-CN" w:bidi="ar-SA"/>
    </w:rPr>
  </w:style>
  <w:style w:type="paragraph" w:customStyle="1" w:styleId="51">
    <w:name w:val="UserStyle_17"/>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52">
    <w:name w:val="纯文本_5_0"/>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theme" Target="theme/theme1.xml"/><Relationship Id="rId32" Type="http://schemas.openxmlformats.org/officeDocument/2006/relationships/header" Target="header24.xml"/><Relationship Id="rId31" Type="http://schemas.openxmlformats.org/officeDocument/2006/relationships/header" Target="header23.xml"/><Relationship Id="rId30" Type="http://schemas.openxmlformats.org/officeDocument/2006/relationships/header" Target="header22.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footer" Target="footer6.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3073"/>
    <customShpInfo spid="_x0000_s3075"/>
    <customShpInfo spid="_x0000_s3074"/>
    <customShpInfo spid="_x0000_s3077"/>
    <customShpInfo spid="_x0000_s3076"/>
    <customShpInfo spid="_x0000_s3079"/>
    <customShpInfo spid="_x0000_s3078"/>
    <customShpInfo spid="_x0000_s3081"/>
    <customShpInfo spid="_x0000_s3080"/>
    <customShpInfo spid="_x0000_s3083"/>
    <customShpInfo spid="_x0000_s3082"/>
    <customShpInfo spid="_x0000_s3085"/>
    <customShpInfo spid="_x0000_s3084"/>
    <customShpInfo spid="_x0000_s3087"/>
    <customShpInfo spid="_x0000_s30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9B8A4-7E67-413D-8498-4E571135C5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47931</Words>
  <Characters>51752</Characters>
  <Lines>428</Lines>
  <Paragraphs>120</Paragraphs>
  <TotalTime>10</TotalTime>
  <ScaleCrop>false</ScaleCrop>
  <LinksUpToDate>false</LinksUpToDate>
  <CharactersWithSpaces>53115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2023-05-15T00:48:00Z</dcterms:created>
  <dc:creator>Mr.Z</dc:creator>
  <cp:lastModifiedBy>花花</cp:lastModifiedBy>
  <dcterms:modified xsi:type="dcterms:W3CDTF">2024-06-13T02:20:32Z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7820042BE75F4A5FA7CDC211DB982C32</vt:lpwstr>
  </property>
  <property fmtid="{D5CDD505-2E9C-101B-9397-08002B2CF9AE}" pid="4" name="commondata">
    <vt:lpwstr>eyJoZGlkIjoiMDc4MjBhOWU5Y2U0MGEzZWE1YTkzNjBiMzc4OTkwNDMifQ==</vt:lpwstr>
  </property>
</Properties>
</file>