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B9F01">
      <w:pPr>
        <w:snapToGrid w:val="0"/>
        <w:spacing w:line="360" w:lineRule="exact"/>
        <w:rPr>
          <w:rFonts w:hint="eastAsia" w:ascii="宋体" w:hAnsi="宋体" w:cs="宋体"/>
          <w:b/>
          <w:color w:val="auto"/>
          <w:spacing w:val="-6"/>
          <w:sz w:val="22"/>
          <w:szCs w:val="22"/>
          <w:highlight w:val="none"/>
        </w:rPr>
      </w:pPr>
    </w:p>
    <w:p w14:paraId="172AAD50">
      <w:pPr>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采购需求</w:t>
      </w:r>
    </w:p>
    <w:p w14:paraId="1D7B1E11">
      <w:p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一、采购内容及数量</w:t>
      </w:r>
    </w:p>
    <w:tbl>
      <w:tblPr>
        <w:tblStyle w:val="12"/>
        <w:tblW w:w="9658" w:type="dxa"/>
        <w:jc w:val="center"/>
        <w:tblLayout w:type="fixed"/>
        <w:tblCellMar>
          <w:top w:w="0" w:type="dxa"/>
          <w:left w:w="108" w:type="dxa"/>
          <w:bottom w:w="0" w:type="dxa"/>
          <w:right w:w="108" w:type="dxa"/>
        </w:tblCellMar>
      </w:tblPr>
      <w:tblGrid>
        <w:gridCol w:w="677"/>
        <w:gridCol w:w="1837"/>
        <w:gridCol w:w="1180"/>
        <w:gridCol w:w="4291"/>
        <w:gridCol w:w="1673"/>
      </w:tblGrid>
      <w:tr w14:paraId="40A43AC4">
        <w:tblPrEx>
          <w:tblCellMar>
            <w:top w:w="0" w:type="dxa"/>
            <w:left w:w="108" w:type="dxa"/>
            <w:bottom w:w="0" w:type="dxa"/>
            <w:right w:w="108" w:type="dxa"/>
          </w:tblCellMar>
        </w:tblPrEx>
        <w:trPr>
          <w:trHeight w:val="898" w:hRule="atLeast"/>
          <w:jc w:val="center"/>
        </w:trPr>
        <w:tc>
          <w:tcPr>
            <w:tcW w:w="6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86C899">
            <w:pPr>
              <w:keepNext w:val="0"/>
              <w:keepLines w:val="0"/>
              <w:pageBreakBefore w:val="0"/>
              <w:widowControl/>
              <w:kinsoku/>
              <w:wordWrap/>
              <w:topLinePunct w:val="0"/>
              <w:bidi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8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E3C00A">
            <w:pPr>
              <w:keepNext w:val="0"/>
              <w:keepLines w:val="0"/>
              <w:pageBreakBefore w:val="0"/>
              <w:widowControl/>
              <w:kinsoku/>
              <w:wordWrap/>
              <w:topLinePunct w:val="0"/>
              <w:bidi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项目名称</w:t>
            </w:r>
          </w:p>
        </w:tc>
        <w:tc>
          <w:tcPr>
            <w:tcW w:w="1180" w:type="dxa"/>
            <w:tcBorders>
              <w:top w:val="single" w:color="auto" w:sz="4" w:space="0"/>
              <w:left w:val="nil"/>
              <w:bottom w:val="single" w:color="auto" w:sz="4" w:space="0"/>
              <w:right w:val="single" w:color="auto" w:sz="4" w:space="0"/>
            </w:tcBorders>
            <w:shd w:val="clear" w:color="000000" w:fill="FFFFFF"/>
            <w:noWrap w:val="0"/>
            <w:vAlign w:val="center"/>
          </w:tcPr>
          <w:p w14:paraId="261245C1">
            <w:pPr>
              <w:keepNext w:val="0"/>
              <w:keepLines w:val="0"/>
              <w:pageBreakBefore w:val="0"/>
              <w:widowControl/>
              <w:kinsoku/>
              <w:wordWrap/>
              <w:topLinePunct w:val="0"/>
              <w:bidi w:val="0"/>
              <w:spacing w:line="44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单人预算</w:t>
            </w:r>
          </w:p>
        </w:tc>
        <w:tc>
          <w:tcPr>
            <w:tcW w:w="4291" w:type="dxa"/>
            <w:tcBorders>
              <w:top w:val="single" w:color="auto" w:sz="4" w:space="0"/>
              <w:left w:val="nil"/>
              <w:bottom w:val="single" w:color="auto" w:sz="4" w:space="0"/>
              <w:right w:val="single" w:color="auto" w:sz="4" w:space="0"/>
            </w:tcBorders>
            <w:shd w:val="clear" w:color="000000" w:fill="FFFFFF"/>
            <w:noWrap w:val="0"/>
            <w:vAlign w:val="center"/>
          </w:tcPr>
          <w:p w14:paraId="354A64ED">
            <w:pPr>
              <w:keepNext w:val="0"/>
              <w:keepLines w:val="0"/>
              <w:pageBreakBefore w:val="0"/>
              <w:widowControl/>
              <w:kinsoku/>
              <w:wordWrap/>
              <w:topLinePunct w:val="0"/>
              <w:bidi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采购内容及要求</w:t>
            </w:r>
          </w:p>
        </w:tc>
        <w:tc>
          <w:tcPr>
            <w:tcW w:w="1673" w:type="dxa"/>
            <w:tcBorders>
              <w:top w:val="single" w:color="auto" w:sz="4" w:space="0"/>
              <w:left w:val="nil"/>
              <w:bottom w:val="single" w:color="auto" w:sz="4" w:space="0"/>
              <w:right w:val="single" w:color="auto" w:sz="4" w:space="0"/>
            </w:tcBorders>
            <w:shd w:val="clear" w:color="000000" w:fill="FFFFFF"/>
            <w:noWrap w:val="0"/>
            <w:vAlign w:val="center"/>
          </w:tcPr>
          <w:p w14:paraId="3106E77E">
            <w:pPr>
              <w:keepNext w:val="0"/>
              <w:keepLines w:val="0"/>
              <w:pageBreakBefore w:val="0"/>
              <w:kinsoku/>
              <w:wordWrap/>
              <w:topLinePunct w:val="0"/>
              <w:bidi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58538BC2">
        <w:tblPrEx>
          <w:tblCellMar>
            <w:top w:w="0" w:type="dxa"/>
            <w:left w:w="108" w:type="dxa"/>
            <w:bottom w:w="0" w:type="dxa"/>
            <w:right w:w="108" w:type="dxa"/>
          </w:tblCellMar>
        </w:tblPrEx>
        <w:trPr>
          <w:trHeight w:val="1737" w:hRule="atLeast"/>
          <w:jc w:val="center"/>
        </w:trPr>
        <w:tc>
          <w:tcPr>
            <w:tcW w:w="6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66794B">
            <w:pPr>
              <w:keepNext w:val="0"/>
              <w:keepLines w:val="0"/>
              <w:pageBreakBefore w:val="0"/>
              <w:widowControl/>
              <w:kinsoku/>
              <w:wordWrap/>
              <w:topLinePunct w:val="0"/>
              <w:bidi w:val="0"/>
              <w:spacing w:line="440" w:lineRule="exac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18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658E7C">
            <w:pPr>
              <w:keepNext w:val="0"/>
              <w:keepLines w:val="0"/>
              <w:pageBreakBefore w:val="0"/>
              <w:widowControl/>
              <w:kinsoku/>
              <w:wordWrap/>
              <w:topLinePunct w:val="0"/>
              <w:bidi w:val="0"/>
              <w:spacing w:line="440" w:lineRule="exact"/>
              <w:jc w:val="center"/>
              <w:rPr>
                <w:rFonts w:hint="eastAsia" w:ascii="新宋体" w:hAnsi="新宋体" w:eastAsia="新宋体" w:cs="新宋体"/>
                <w:color w:val="auto"/>
                <w:kern w:val="0"/>
                <w:sz w:val="22"/>
                <w:szCs w:val="22"/>
                <w:highlight w:val="none"/>
                <w:lang w:val="zh-CN" w:eastAsia="zh-CN"/>
              </w:rPr>
            </w:pPr>
            <w:r>
              <w:rPr>
                <w:rFonts w:hint="eastAsia" w:ascii="新宋体" w:hAnsi="新宋体" w:eastAsia="新宋体" w:cs="新宋体"/>
                <w:color w:val="auto"/>
                <w:sz w:val="22"/>
                <w:szCs w:val="22"/>
                <w:highlight w:val="none"/>
                <w:shd w:val="clear" w:color="auto" w:fill="FFFFFF"/>
                <w:lang w:eastAsia="zh-CN"/>
              </w:rPr>
              <w:t>2024级新生体检</w:t>
            </w:r>
          </w:p>
        </w:tc>
        <w:tc>
          <w:tcPr>
            <w:tcW w:w="1180" w:type="dxa"/>
            <w:tcBorders>
              <w:top w:val="single" w:color="auto" w:sz="4" w:space="0"/>
              <w:left w:val="nil"/>
              <w:bottom w:val="single" w:color="auto" w:sz="4" w:space="0"/>
              <w:right w:val="single" w:color="auto" w:sz="4" w:space="0"/>
            </w:tcBorders>
            <w:shd w:val="clear" w:color="000000" w:fill="FFFFFF"/>
            <w:noWrap w:val="0"/>
            <w:vAlign w:val="center"/>
          </w:tcPr>
          <w:p w14:paraId="04F28B1E">
            <w:pPr>
              <w:keepNext w:val="0"/>
              <w:keepLines w:val="0"/>
              <w:pageBreakBefore w:val="0"/>
              <w:widowControl/>
              <w:kinsoku/>
              <w:wordWrap/>
              <w:topLinePunct w:val="0"/>
              <w:bidi w:val="0"/>
              <w:spacing w:line="440" w:lineRule="exact"/>
              <w:jc w:val="center"/>
              <w:rPr>
                <w:rFonts w:hint="default" w:ascii="新宋体" w:hAnsi="新宋体" w:eastAsia="新宋体" w:cs="新宋体"/>
                <w:color w:val="auto"/>
                <w:sz w:val="22"/>
                <w:szCs w:val="22"/>
                <w:highlight w:val="none"/>
                <w:shd w:val="clear" w:color="auto" w:fill="FFFFFF"/>
                <w:lang w:val="en-US" w:eastAsia="zh-CN"/>
              </w:rPr>
            </w:pPr>
            <w:r>
              <w:rPr>
                <w:rFonts w:hint="eastAsia" w:ascii="新宋体" w:hAnsi="新宋体" w:eastAsia="新宋体" w:cs="新宋体"/>
                <w:color w:val="auto"/>
                <w:sz w:val="22"/>
                <w:szCs w:val="22"/>
                <w:highlight w:val="none"/>
                <w:shd w:val="clear" w:color="auto" w:fill="FFFFFF"/>
                <w:lang w:val="en-US" w:eastAsia="zh-CN"/>
              </w:rPr>
              <w:t xml:space="preserve">60元 </w:t>
            </w:r>
          </w:p>
        </w:tc>
        <w:tc>
          <w:tcPr>
            <w:tcW w:w="4291" w:type="dxa"/>
            <w:tcBorders>
              <w:top w:val="single" w:color="auto" w:sz="4" w:space="0"/>
              <w:left w:val="nil"/>
              <w:bottom w:val="single" w:color="auto" w:sz="4" w:space="0"/>
              <w:right w:val="single" w:color="auto" w:sz="4" w:space="0"/>
            </w:tcBorders>
            <w:shd w:val="clear" w:color="000000" w:fill="FFFFFF"/>
            <w:noWrap w:val="0"/>
            <w:vAlign w:val="center"/>
          </w:tcPr>
          <w:p w14:paraId="4ABEBE1A">
            <w:pPr>
              <w:keepNext w:val="0"/>
              <w:keepLines w:val="0"/>
              <w:pageBreakBefore w:val="0"/>
              <w:widowControl/>
              <w:kinsoku/>
              <w:wordWrap/>
              <w:topLinePunct w:val="0"/>
              <w:bidi w:val="0"/>
              <w:spacing w:line="440" w:lineRule="exact"/>
              <w:jc w:val="left"/>
              <w:rPr>
                <w:rFonts w:hint="eastAsia" w:ascii="新宋体" w:hAnsi="新宋体" w:eastAsia="新宋体" w:cs="新宋体"/>
                <w:color w:val="auto"/>
                <w:sz w:val="22"/>
                <w:szCs w:val="22"/>
                <w:highlight w:val="none"/>
              </w:rPr>
            </w:pPr>
            <w:r>
              <w:rPr>
                <w:rFonts w:hint="eastAsia" w:ascii="宋体" w:hAnsi="宋体"/>
                <w:color w:val="auto"/>
                <w:spacing w:val="-6"/>
                <w:szCs w:val="21"/>
                <w:highlight w:val="none"/>
              </w:rPr>
              <w:t>根据学生处2024年招生计划数据，瓯江口校区2</w:t>
            </w:r>
            <w:r>
              <w:rPr>
                <w:rFonts w:ascii="宋体" w:hAnsi="宋体"/>
                <w:color w:val="auto"/>
                <w:spacing w:val="-6"/>
                <w:szCs w:val="21"/>
                <w:highlight w:val="none"/>
              </w:rPr>
              <w:t>2</w:t>
            </w:r>
            <w:r>
              <w:rPr>
                <w:rFonts w:hint="eastAsia" w:ascii="宋体" w:hAnsi="宋体"/>
                <w:color w:val="auto"/>
                <w:spacing w:val="-6"/>
                <w:szCs w:val="21"/>
                <w:highlight w:val="none"/>
              </w:rPr>
              <w:t>56人，府东路校区3</w:t>
            </w:r>
            <w:r>
              <w:rPr>
                <w:rFonts w:ascii="宋体" w:hAnsi="宋体"/>
                <w:color w:val="auto"/>
                <w:spacing w:val="-6"/>
                <w:szCs w:val="21"/>
                <w:highlight w:val="none"/>
              </w:rPr>
              <w:t>0</w:t>
            </w:r>
            <w:r>
              <w:rPr>
                <w:rFonts w:hint="eastAsia" w:ascii="宋体" w:hAnsi="宋体"/>
                <w:color w:val="auto"/>
                <w:spacing w:val="-6"/>
                <w:szCs w:val="21"/>
                <w:highlight w:val="none"/>
              </w:rPr>
              <w:t>71人，最终以实际人数为准。</w:t>
            </w:r>
          </w:p>
        </w:tc>
        <w:tc>
          <w:tcPr>
            <w:tcW w:w="1673" w:type="dxa"/>
            <w:tcBorders>
              <w:top w:val="single" w:color="auto" w:sz="4" w:space="0"/>
              <w:left w:val="nil"/>
              <w:bottom w:val="single" w:color="auto" w:sz="4" w:space="0"/>
              <w:right w:val="single" w:color="auto" w:sz="4" w:space="0"/>
            </w:tcBorders>
            <w:shd w:val="clear" w:color="000000" w:fill="FFFFFF"/>
            <w:noWrap w:val="0"/>
            <w:vAlign w:val="center"/>
          </w:tcPr>
          <w:p w14:paraId="1D49489B">
            <w:pPr>
              <w:keepNext w:val="0"/>
              <w:keepLines w:val="0"/>
              <w:pageBreakBefore w:val="0"/>
              <w:kinsoku/>
              <w:wordWrap/>
              <w:topLinePunct w:val="0"/>
              <w:bidi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lang w:eastAsia="zh-CN"/>
              </w:rPr>
              <w:t>供应商报价</w:t>
            </w:r>
            <w:r>
              <w:rPr>
                <w:rFonts w:hint="eastAsia" w:ascii="新宋体" w:hAnsi="新宋体" w:eastAsia="新宋体" w:cs="新宋体"/>
                <w:color w:val="auto"/>
                <w:spacing w:val="-6"/>
                <w:sz w:val="22"/>
                <w:szCs w:val="22"/>
                <w:highlight w:val="none"/>
              </w:rPr>
              <w:t>不得超过</w:t>
            </w:r>
            <w:r>
              <w:rPr>
                <w:rFonts w:hint="eastAsia" w:ascii="新宋体" w:hAnsi="新宋体" w:eastAsia="新宋体" w:cs="新宋体"/>
                <w:color w:val="auto"/>
                <w:sz w:val="22"/>
                <w:szCs w:val="22"/>
                <w:highlight w:val="none"/>
              </w:rPr>
              <w:t>最高限价单人综合单价：</w:t>
            </w:r>
            <w:r>
              <w:rPr>
                <w:rFonts w:hint="eastAsia" w:ascii="新宋体" w:hAnsi="新宋体" w:eastAsia="新宋体" w:cs="新宋体"/>
                <w:color w:val="auto"/>
                <w:sz w:val="22"/>
                <w:szCs w:val="22"/>
                <w:highlight w:val="none"/>
                <w:lang w:eastAsia="zh-CN"/>
              </w:rPr>
              <w:t>60元/人</w:t>
            </w:r>
            <w:r>
              <w:rPr>
                <w:rFonts w:hint="eastAsia" w:ascii="新宋体" w:hAnsi="新宋体" w:eastAsia="新宋体" w:cs="新宋体"/>
                <w:color w:val="auto"/>
                <w:sz w:val="22"/>
                <w:szCs w:val="22"/>
                <w:highlight w:val="none"/>
              </w:rPr>
              <w:t>。</w:t>
            </w:r>
          </w:p>
        </w:tc>
      </w:tr>
      <w:tr w14:paraId="04DEB6A2">
        <w:tblPrEx>
          <w:tblCellMar>
            <w:top w:w="0" w:type="dxa"/>
            <w:left w:w="108" w:type="dxa"/>
            <w:bottom w:w="0" w:type="dxa"/>
            <w:right w:w="108" w:type="dxa"/>
          </w:tblCellMar>
        </w:tblPrEx>
        <w:trPr>
          <w:trHeight w:val="756" w:hRule="atLeast"/>
          <w:jc w:val="center"/>
        </w:trPr>
        <w:tc>
          <w:tcPr>
            <w:tcW w:w="9658" w:type="dxa"/>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EA7B2E">
            <w:pPr>
              <w:keepNext w:val="0"/>
              <w:keepLines w:val="0"/>
              <w:pageBreakBefore w:val="0"/>
              <w:kinsoku/>
              <w:wordWrap/>
              <w:topLinePunct w:val="0"/>
              <w:bidi w:val="0"/>
              <w:spacing w:line="440" w:lineRule="exact"/>
              <w:jc w:val="left"/>
              <w:rPr>
                <w:rFonts w:hint="eastAsia" w:ascii="新宋体" w:hAnsi="新宋体" w:eastAsia="新宋体" w:cs="新宋体"/>
                <w:b/>
                <w:bCs/>
                <w:color w:val="auto"/>
                <w:sz w:val="22"/>
                <w:szCs w:val="22"/>
                <w:highlight w:val="none"/>
                <w:u w:val="single"/>
                <w:lang w:val="en-US" w:eastAsia="zh-CN"/>
              </w:rPr>
            </w:pPr>
            <w:r>
              <w:rPr>
                <w:rFonts w:hint="eastAsia" w:ascii="宋体" w:hAnsi="宋体"/>
                <w:b/>
                <w:bCs/>
                <w:color w:val="auto"/>
                <w:spacing w:val="-6"/>
                <w:szCs w:val="21"/>
                <w:highlight w:val="none"/>
              </w:rPr>
              <w:t>实际</w:t>
            </w:r>
            <w:r>
              <w:rPr>
                <w:rFonts w:hint="eastAsia" w:ascii="宋体" w:hAnsi="宋体"/>
                <w:b/>
                <w:bCs/>
                <w:color w:val="auto"/>
                <w:spacing w:val="-6"/>
                <w:szCs w:val="21"/>
                <w:highlight w:val="none"/>
                <w:lang w:eastAsia="zh-CN"/>
              </w:rPr>
              <w:t>支付</w:t>
            </w:r>
            <w:r>
              <w:rPr>
                <w:rFonts w:hint="eastAsia" w:ascii="宋体" w:hAnsi="宋体"/>
                <w:b/>
                <w:bCs/>
                <w:color w:val="auto"/>
                <w:spacing w:val="-6"/>
                <w:szCs w:val="21"/>
                <w:highlight w:val="none"/>
              </w:rPr>
              <w:t>金额按中标价与实际人数结算</w:t>
            </w:r>
          </w:p>
        </w:tc>
      </w:tr>
    </w:tbl>
    <w:p w14:paraId="2DD4C9EC">
      <w:pPr>
        <w:rPr>
          <w:rFonts w:hint="eastAsia"/>
          <w:color w:val="auto"/>
          <w:highlight w:val="none"/>
        </w:rPr>
      </w:pPr>
    </w:p>
    <w:p w14:paraId="19B7F30F">
      <w:pPr>
        <w:numPr>
          <w:ilvl w:val="0"/>
          <w:numId w:val="1"/>
        </w:num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商务要求（技术要求里另有注明的以技术要求为准）</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2"/>
        <w:gridCol w:w="8549"/>
      </w:tblGrid>
      <w:tr w14:paraId="14F1A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14:paraId="2E2D07CC">
            <w:pPr>
              <w:spacing w:line="400" w:lineRule="exact"/>
              <w:jc w:val="center"/>
              <w:rPr>
                <w:rFonts w:hint="eastAsia" w:ascii="宋体" w:hAnsi="宋体" w:cs="宋体"/>
                <w:b/>
                <w:bCs/>
                <w:color w:val="auto"/>
                <w:sz w:val="22"/>
                <w:szCs w:val="22"/>
                <w:highlight w:val="none"/>
              </w:rPr>
            </w:pPr>
            <w:r>
              <w:rPr>
                <w:rFonts w:hint="eastAsia" w:ascii="宋体" w:hAnsi="宋体" w:cs="宋体"/>
                <w:color w:val="auto"/>
                <w:spacing w:val="-6"/>
                <w:sz w:val="22"/>
                <w:szCs w:val="22"/>
                <w:highlight w:val="none"/>
                <w:u w:val="single"/>
              </w:rPr>
              <w:t>▲</w:t>
            </w:r>
            <w:r>
              <w:rPr>
                <w:rFonts w:hint="eastAsia" w:ascii="宋体" w:hAnsi="宋体" w:cs="宋体"/>
                <w:color w:val="auto"/>
                <w:sz w:val="22"/>
                <w:szCs w:val="22"/>
                <w:highlight w:val="none"/>
                <w:u w:val="single"/>
              </w:rPr>
              <w:t>付款条件</w:t>
            </w:r>
          </w:p>
        </w:tc>
        <w:tc>
          <w:tcPr>
            <w:tcW w:w="8549" w:type="dxa"/>
            <w:tcBorders>
              <w:top w:val="single" w:color="auto" w:sz="4" w:space="0"/>
              <w:left w:val="single" w:color="auto" w:sz="4" w:space="0"/>
              <w:bottom w:val="single" w:color="auto" w:sz="4" w:space="0"/>
              <w:right w:val="single" w:color="auto" w:sz="4" w:space="0"/>
            </w:tcBorders>
            <w:noWrap w:val="0"/>
            <w:vAlign w:val="center"/>
          </w:tcPr>
          <w:p w14:paraId="1B8F6CF1">
            <w:pPr>
              <w:snapToGrid w:val="0"/>
              <w:spacing w:line="400" w:lineRule="exact"/>
              <w:rPr>
                <w:rFonts w:ascii="宋体" w:hAnsi="宋体" w:cs="宋体"/>
                <w:color w:val="auto"/>
                <w:kern w:val="0"/>
                <w:sz w:val="22"/>
                <w:szCs w:val="22"/>
                <w:highlight w:val="none"/>
                <w:u w:val="single"/>
              </w:rPr>
            </w:pPr>
            <w:r>
              <w:rPr>
                <w:rFonts w:hint="eastAsia" w:ascii="宋体" w:hAnsi="宋体" w:cs="宋体"/>
                <w:color w:val="auto"/>
                <w:kern w:val="0"/>
                <w:sz w:val="22"/>
                <w:szCs w:val="22"/>
                <w:highlight w:val="none"/>
                <w:u w:val="single"/>
              </w:rPr>
              <w:t>1.中标方在合同签订后</w:t>
            </w:r>
            <w:r>
              <w:rPr>
                <w:rFonts w:hint="eastAsia" w:ascii="宋体" w:hAnsi="宋体" w:cs="宋体"/>
                <w:color w:val="auto"/>
                <w:kern w:val="0"/>
                <w:sz w:val="22"/>
                <w:szCs w:val="22"/>
                <w:highlight w:val="none"/>
                <w:u w:val="single"/>
                <w:lang w:val="en-US" w:eastAsia="zh-CN"/>
              </w:rPr>
              <w:t>7</w:t>
            </w:r>
            <w:r>
              <w:rPr>
                <w:rFonts w:hint="eastAsia" w:ascii="宋体" w:hAnsi="宋体" w:cs="宋体"/>
                <w:color w:val="auto"/>
                <w:kern w:val="0"/>
                <w:sz w:val="22"/>
                <w:szCs w:val="22"/>
                <w:highlight w:val="none"/>
                <w:u w:val="single"/>
              </w:rPr>
              <w:t>个工作日内向采购人提供</w:t>
            </w:r>
            <w:r>
              <w:rPr>
                <w:rFonts w:hint="eastAsia" w:ascii="宋体" w:hAnsi="宋体" w:cs="宋体"/>
                <w:color w:val="auto"/>
                <w:kern w:val="0"/>
                <w:sz w:val="22"/>
                <w:szCs w:val="22"/>
                <w:highlight w:val="none"/>
                <w:u w:val="single"/>
                <w:lang w:val="en-US" w:eastAsia="zh-CN"/>
              </w:rPr>
              <w:t>1%元（按5327人*60元的预估金额）</w:t>
            </w:r>
            <w:r>
              <w:rPr>
                <w:rFonts w:hint="eastAsia" w:ascii="宋体" w:hAnsi="宋体" w:cs="宋体"/>
                <w:color w:val="auto"/>
                <w:kern w:val="0"/>
                <w:sz w:val="22"/>
                <w:szCs w:val="22"/>
                <w:highlight w:val="none"/>
                <w:u w:val="single"/>
              </w:rPr>
              <w:t>的履约保证金（以银行转账/转帐支票/银行汇票/银行、保险公司出具的保函形式）；履约保证金待整体项目完成后</w:t>
            </w:r>
            <w:r>
              <w:rPr>
                <w:rFonts w:hint="eastAsia" w:ascii="宋体" w:hAnsi="宋体" w:cs="宋体"/>
                <w:color w:val="auto"/>
                <w:kern w:val="0"/>
                <w:sz w:val="22"/>
                <w:szCs w:val="22"/>
                <w:highlight w:val="none"/>
                <w:u w:val="single"/>
                <w:lang w:val="en-US" w:eastAsia="zh-CN"/>
              </w:rPr>
              <w:t>7</w:t>
            </w:r>
            <w:r>
              <w:rPr>
                <w:rFonts w:hint="eastAsia" w:ascii="宋体" w:hAnsi="宋体" w:cs="宋体"/>
                <w:color w:val="auto"/>
                <w:kern w:val="0"/>
                <w:sz w:val="22"/>
                <w:szCs w:val="22"/>
                <w:highlight w:val="none"/>
                <w:u w:val="single"/>
              </w:rPr>
              <w:t>个工作日内无息退还。</w:t>
            </w:r>
          </w:p>
          <w:p w14:paraId="61872C62">
            <w:pPr>
              <w:tabs>
                <w:tab w:val="left" w:pos="3870"/>
                <w:tab w:val="left" w:pos="4085"/>
              </w:tabs>
              <w:snapToGrid w:val="0"/>
              <w:spacing w:line="400" w:lineRule="exac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u w:val="single"/>
              </w:rPr>
              <w:t>2.结款方式</w:t>
            </w:r>
            <w:r>
              <w:rPr>
                <w:rFonts w:hint="eastAsia" w:ascii="宋体" w:hAnsi="宋体" w:eastAsia="宋体" w:cs="宋体"/>
                <w:color w:val="auto"/>
                <w:kern w:val="0"/>
                <w:sz w:val="22"/>
                <w:szCs w:val="22"/>
                <w:highlight w:val="none"/>
                <w:u w:val="single"/>
              </w:rPr>
              <w:t>：实际总价按实际体检人员计算，体检结束，采购人收到成交供应商提交的报告等相关资料后通知成交供应商开具结算发票。采购人接收成交供应商提交的结算发票后</w:t>
            </w:r>
            <w:r>
              <w:rPr>
                <w:rFonts w:hint="eastAsia" w:ascii="宋体" w:hAnsi="宋体" w:eastAsia="宋体" w:cs="宋体"/>
                <w:color w:val="auto"/>
                <w:kern w:val="0"/>
                <w:sz w:val="22"/>
                <w:szCs w:val="22"/>
                <w:highlight w:val="none"/>
                <w:u w:val="single"/>
                <w:lang w:val="en-US" w:eastAsia="zh-CN"/>
              </w:rPr>
              <w:t>7个工作日</w:t>
            </w:r>
            <w:r>
              <w:rPr>
                <w:rFonts w:hint="eastAsia" w:ascii="宋体" w:hAnsi="宋体" w:eastAsia="宋体" w:cs="宋体"/>
                <w:color w:val="auto"/>
                <w:kern w:val="0"/>
                <w:sz w:val="22"/>
                <w:szCs w:val="22"/>
                <w:highlight w:val="none"/>
                <w:u w:val="single"/>
              </w:rPr>
              <w:t>内支付。</w:t>
            </w:r>
          </w:p>
        </w:tc>
      </w:tr>
      <w:tr w14:paraId="73298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14:paraId="4D0014AD">
            <w:pPr>
              <w:spacing w:line="440" w:lineRule="exact"/>
              <w:jc w:val="center"/>
              <w:rPr>
                <w:rFonts w:hint="eastAsia" w:ascii="宋体" w:hAnsi="宋体" w:cs="宋体"/>
                <w:b/>
                <w:bCs/>
                <w:color w:val="auto"/>
                <w:sz w:val="22"/>
                <w:szCs w:val="22"/>
                <w:highlight w:val="none"/>
              </w:rPr>
            </w:pPr>
            <w:r>
              <w:rPr>
                <w:rFonts w:hint="eastAsia" w:ascii="新宋体" w:hAnsi="新宋体" w:eastAsia="新宋体" w:cs="新宋体"/>
                <w:b/>
                <w:bCs/>
                <w:color w:val="auto"/>
                <w:szCs w:val="21"/>
                <w:highlight w:val="none"/>
              </w:rPr>
              <w:t>服务时间</w:t>
            </w:r>
          </w:p>
        </w:tc>
        <w:tc>
          <w:tcPr>
            <w:tcW w:w="8549" w:type="dxa"/>
            <w:tcBorders>
              <w:top w:val="single" w:color="auto" w:sz="4" w:space="0"/>
              <w:left w:val="single" w:color="auto" w:sz="4" w:space="0"/>
              <w:bottom w:val="single" w:color="auto" w:sz="4" w:space="0"/>
              <w:right w:val="single" w:color="auto" w:sz="4" w:space="0"/>
            </w:tcBorders>
            <w:noWrap w:val="0"/>
            <w:vAlign w:val="center"/>
          </w:tcPr>
          <w:p w14:paraId="10BE9818">
            <w:pPr>
              <w:pStyle w:val="6"/>
              <w:spacing w:line="440" w:lineRule="exact"/>
              <w:rPr>
                <w:rFonts w:hint="eastAsia" w:ascii="宋体" w:hAnsi="宋体" w:cs="宋体"/>
                <w:color w:val="auto"/>
                <w:kern w:val="0"/>
                <w:sz w:val="22"/>
                <w:szCs w:val="22"/>
                <w:highlight w:val="none"/>
              </w:rPr>
            </w:pPr>
            <w:r>
              <w:rPr>
                <w:rFonts w:hint="eastAsia" w:ascii="新宋体" w:hAnsi="新宋体" w:eastAsia="新宋体" w:cs="新宋体"/>
                <w:bCs/>
                <w:color w:val="auto"/>
                <w:szCs w:val="21"/>
                <w:highlight w:val="none"/>
              </w:rPr>
              <w:t>新生体检</w:t>
            </w:r>
            <w:r>
              <w:rPr>
                <w:rFonts w:hint="eastAsia" w:ascii="新宋体" w:hAnsi="新宋体" w:eastAsia="新宋体" w:cs="新宋体"/>
                <w:bCs/>
                <w:color w:val="auto"/>
                <w:szCs w:val="21"/>
                <w:highlight w:val="none"/>
                <w:lang w:eastAsia="zh-CN"/>
              </w:rPr>
              <w:t>暂定2024年9月19、20、26、27号（时间若有变化以校方安排为主）</w:t>
            </w:r>
          </w:p>
        </w:tc>
      </w:tr>
      <w:tr w14:paraId="34CCE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14:paraId="07F387C2">
            <w:pPr>
              <w:spacing w:line="440" w:lineRule="exact"/>
              <w:jc w:val="center"/>
              <w:rPr>
                <w:rFonts w:hint="eastAsia" w:ascii="宋体" w:hAnsi="宋体" w:eastAsia="宋体" w:cs="宋体"/>
                <w:color w:val="auto"/>
                <w:szCs w:val="21"/>
                <w:highlight w:val="none"/>
              </w:rPr>
            </w:pPr>
            <w:r>
              <w:rPr>
                <w:rFonts w:hint="eastAsia" w:ascii="新宋体" w:hAnsi="新宋体" w:eastAsia="新宋体" w:cs="新宋体"/>
                <w:b/>
                <w:bCs/>
                <w:color w:val="auto"/>
                <w:szCs w:val="21"/>
                <w:highlight w:val="none"/>
              </w:rPr>
              <w:t>服务地点</w:t>
            </w:r>
          </w:p>
        </w:tc>
        <w:tc>
          <w:tcPr>
            <w:tcW w:w="8549" w:type="dxa"/>
            <w:tcBorders>
              <w:top w:val="single" w:color="auto" w:sz="4" w:space="0"/>
              <w:left w:val="single" w:color="auto" w:sz="4" w:space="0"/>
              <w:bottom w:val="single" w:color="auto" w:sz="4" w:space="0"/>
              <w:right w:val="single" w:color="auto" w:sz="4" w:space="0"/>
            </w:tcBorders>
            <w:noWrap w:val="0"/>
            <w:vAlign w:val="center"/>
          </w:tcPr>
          <w:p w14:paraId="50326DC9">
            <w:pPr>
              <w:pStyle w:val="6"/>
              <w:spacing w:line="440" w:lineRule="exact"/>
              <w:rPr>
                <w:rFonts w:hint="eastAsia" w:ascii="宋体" w:hAnsi="宋体" w:eastAsia="宋体" w:cs="宋体"/>
                <w:color w:val="auto"/>
                <w:szCs w:val="21"/>
                <w:highlight w:val="none"/>
              </w:rPr>
            </w:pPr>
            <w:r>
              <w:rPr>
                <w:rFonts w:hint="eastAsia" w:ascii="新宋体" w:hAnsi="新宋体" w:eastAsia="新宋体" w:cs="新宋体"/>
                <w:color w:val="auto"/>
                <w:szCs w:val="21"/>
                <w:highlight w:val="none"/>
              </w:rPr>
              <w:t>2024年新生健康体检由乙方上门体检，到学校体检，学校提供体检场所。</w:t>
            </w:r>
          </w:p>
        </w:tc>
      </w:tr>
    </w:tbl>
    <w:p w14:paraId="269470F2">
      <w:pPr>
        <w:snapToGrid w:val="0"/>
        <w:spacing w:line="360" w:lineRule="exact"/>
        <w:outlineLvl w:val="0"/>
        <w:rPr>
          <w:rFonts w:hint="eastAsia" w:ascii="宋体" w:hAnsi="宋体" w:cs="宋体"/>
          <w:b/>
          <w:color w:val="auto"/>
          <w:spacing w:val="-6"/>
          <w:sz w:val="22"/>
          <w:szCs w:val="22"/>
          <w:highlight w:val="none"/>
        </w:rPr>
      </w:pPr>
    </w:p>
    <w:p w14:paraId="5714C003">
      <w:pPr>
        <w:numPr>
          <w:ilvl w:val="0"/>
          <w:numId w:val="2"/>
        </w:num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技术要求</w:t>
      </w:r>
    </w:p>
    <w:p w14:paraId="1E921359">
      <w:pPr>
        <w:pStyle w:val="11"/>
        <w:rPr>
          <w:rFonts w:hint="default"/>
          <w:color w:val="auto"/>
          <w:highlight w:val="none"/>
          <w:lang w:val="en-US" w:eastAsia="zh-CN"/>
        </w:rPr>
      </w:pPr>
      <w:r>
        <w:rPr>
          <w:rFonts w:hint="eastAsia"/>
          <w:color w:val="auto"/>
          <w:highlight w:val="none"/>
          <w:lang w:val="en-US" w:eastAsia="zh-CN"/>
        </w:rPr>
        <w:t xml:space="preserve"> </w:t>
      </w:r>
    </w:p>
    <w:tbl>
      <w:tblPr>
        <w:tblStyle w:val="12"/>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0"/>
      </w:tblGrid>
      <w:tr w14:paraId="0CD5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trPr>
        <w:tc>
          <w:tcPr>
            <w:tcW w:w="9110" w:type="dxa"/>
            <w:noWrap w:val="0"/>
            <w:vAlign w:val="top"/>
          </w:tcPr>
          <w:p w14:paraId="37E001F0">
            <w:pPr>
              <w:pStyle w:val="2"/>
              <w:ind w:left="0" w:leftChars="0" w:firstLine="0" w:firstLineChars="0"/>
              <w:rPr>
                <w:color w:val="auto"/>
                <w:sz w:val="21"/>
                <w:szCs w:val="21"/>
                <w:highlight w:val="none"/>
              </w:rPr>
            </w:pPr>
            <w:r>
              <w:rPr>
                <w:rFonts w:hint="eastAsia"/>
                <w:color w:val="auto"/>
                <w:sz w:val="21"/>
                <w:szCs w:val="21"/>
                <w:highlight w:val="none"/>
              </w:rPr>
              <w:t>一、安排计划</w:t>
            </w:r>
          </w:p>
          <w:p w14:paraId="00F7C59B">
            <w:pPr>
              <w:rPr>
                <w:color w:val="auto"/>
                <w:szCs w:val="21"/>
                <w:highlight w:val="none"/>
              </w:rPr>
            </w:pPr>
            <w:r>
              <w:rPr>
                <w:rFonts w:hint="eastAsia"/>
                <w:color w:val="auto"/>
                <w:szCs w:val="21"/>
                <w:highlight w:val="none"/>
              </w:rPr>
              <w:t>1. 浙江工贸职业技术学院新生入学体检，据2024年招生计划数据，瓯江口校区2256人，府东路校区3071人，体检具体时间和地点根据学校安排调整。</w:t>
            </w:r>
          </w:p>
          <w:p w14:paraId="72600B05">
            <w:pPr>
              <w:rPr>
                <w:rFonts w:hint="eastAsia"/>
                <w:color w:val="auto"/>
                <w:szCs w:val="21"/>
                <w:highlight w:val="none"/>
              </w:rPr>
            </w:pPr>
          </w:p>
          <w:p w14:paraId="29E84515">
            <w:pPr>
              <w:pStyle w:val="2"/>
              <w:ind w:left="0" w:leftChars="0" w:firstLine="0" w:firstLineChars="0"/>
              <w:rPr>
                <w:color w:val="auto"/>
                <w:sz w:val="21"/>
                <w:szCs w:val="21"/>
                <w:highlight w:val="none"/>
              </w:rPr>
            </w:pPr>
            <w:r>
              <w:rPr>
                <w:rFonts w:hint="eastAsia"/>
                <w:color w:val="auto"/>
                <w:sz w:val="21"/>
                <w:szCs w:val="21"/>
                <w:highlight w:val="none"/>
              </w:rPr>
              <w:t>二、体检项目</w:t>
            </w:r>
          </w:p>
          <w:p w14:paraId="5475EA59">
            <w:pPr>
              <w:pStyle w:val="2"/>
              <w:numPr>
                <w:ilvl w:val="0"/>
                <w:numId w:val="3"/>
              </w:numPr>
              <w:ind w:leftChars="0" w:firstLineChars="0"/>
              <w:rPr>
                <w:rFonts w:hint="eastAsia"/>
                <w:color w:val="auto"/>
                <w:sz w:val="21"/>
                <w:szCs w:val="21"/>
                <w:highlight w:val="none"/>
              </w:rPr>
            </w:pPr>
            <w:r>
              <w:rPr>
                <w:rFonts w:hint="eastAsia"/>
                <w:color w:val="auto"/>
                <w:sz w:val="21"/>
                <w:szCs w:val="21"/>
                <w:highlight w:val="none"/>
              </w:rPr>
              <w:t>一般：身高、体重、血压、其他</w:t>
            </w:r>
          </w:p>
          <w:p w14:paraId="52008D35">
            <w:pPr>
              <w:pStyle w:val="2"/>
              <w:numPr>
                <w:ilvl w:val="0"/>
                <w:numId w:val="3"/>
              </w:numPr>
              <w:ind w:leftChars="0" w:firstLineChars="0"/>
              <w:rPr>
                <w:rFonts w:hint="eastAsia"/>
                <w:color w:val="auto"/>
                <w:sz w:val="21"/>
                <w:szCs w:val="21"/>
                <w:highlight w:val="none"/>
              </w:rPr>
            </w:pPr>
            <w:r>
              <w:rPr>
                <w:rFonts w:hint="eastAsia"/>
                <w:color w:val="auto"/>
                <w:sz w:val="21"/>
                <w:szCs w:val="21"/>
                <w:highlight w:val="none"/>
              </w:rPr>
              <w:t>内科：心、肺、肝胆脾、腹部、其他</w:t>
            </w:r>
          </w:p>
          <w:p w14:paraId="7E63D229">
            <w:pPr>
              <w:pStyle w:val="2"/>
              <w:numPr>
                <w:ilvl w:val="0"/>
                <w:numId w:val="3"/>
              </w:numPr>
              <w:ind w:leftChars="0" w:firstLineChars="0"/>
              <w:rPr>
                <w:rFonts w:hint="eastAsia"/>
                <w:color w:val="auto"/>
                <w:sz w:val="21"/>
                <w:szCs w:val="21"/>
                <w:highlight w:val="none"/>
              </w:rPr>
            </w:pPr>
            <w:r>
              <w:rPr>
                <w:rFonts w:hint="eastAsia"/>
                <w:color w:val="auto"/>
                <w:sz w:val="21"/>
                <w:szCs w:val="21"/>
                <w:highlight w:val="none"/>
              </w:rPr>
              <w:t>外科：皮肤、甲状腺、脊柱、淋巴、四肢、关节、其他</w:t>
            </w:r>
          </w:p>
          <w:p w14:paraId="1C7B5452">
            <w:pPr>
              <w:pStyle w:val="2"/>
              <w:numPr>
                <w:ilvl w:val="0"/>
                <w:numId w:val="3"/>
              </w:numPr>
              <w:ind w:leftChars="0" w:firstLineChars="0"/>
              <w:rPr>
                <w:color w:val="auto"/>
                <w:sz w:val="21"/>
                <w:szCs w:val="21"/>
                <w:highlight w:val="none"/>
              </w:rPr>
            </w:pPr>
            <w:r>
              <w:rPr>
                <w:rFonts w:hint="eastAsia"/>
                <w:color w:val="auto"/>
                <w:sz w:val="21"/>
                <w:szCs w:val="21"/>
                <w:highlight w:val="none"/>
              </w:rPr>
              <w:t>五官科：耳、鼻、咽、喉、其他</w:t>
            </w:r>
          </w:p>
          <w:p w14:paraId="78B58042">
            <w:pPr>
              <w:pStyle w:val="2"/>
              <w:numPr>
                <w:ilvl w:val="0"/>
                <w:numId w:val="3"/>
              </w:numPr>
              <w:ind w:leftChars="0" w:firstLineChars="0"/>
              <w:rPr>
                <w:rFonts w:hint="eastAsia"/>
                <w:color w:val="auto"/>
                <w:sz w:val="21"/>
                <w:szCs w:val="21"/>
                <w:highlight w:val="none"/>
              </w:rPr>
            </w:pPr>
            <w:r>
              <w:rPr>
                <w:rFonts w:hint="eastAsia"/>
                <w:color w:val="auto"/>
                <w:sz w:val="21"/>
                <w:szCs w:val="21"/>
                <w:highlight w:val="none"/>
              </w:rPr>
              <w:t>眼科及辨色</w:t>
            </w:r>
          </w:p>
          <w:p w14:paraId="2EEA560E">
            <w:pPr>
              <w:pStyle w:val="2"/>
              <w:numPr>
                <w:ilvl w:val="0"/>
                <w:numId w:val="3"/>
              </w:numPr>
              <w:ind w:leftChars="0" w:firstLineChars="0"/>
              <w:rPr>
                <w:rFonts w:hint="eastAsia"/>
                <w:color w:val="auto"/>
                <w:sz w:val="21"/>
                <w:szCs w:val="21"/>
                <w:highlight w:val="none"/>
              </w:rPr>
            </w:pPr>
            <w:r>
              <w:rPr>
                <w:rFonts w:hint="eastAsia"/>
                <w:color w:val="auto"/>
                <w:sz w:val="21"/>
                <w:szCs w:val="21"/>
                <w:highlight w:val="none"/>
              </w:rPr>
              <w:t>胸片检查（DR）</w:t>
            </w:r>
          </w:p>
          <w:p w14:paraId="27B5B480">
            <w:pPr>
              <w:pStyle w:val="2"/>
              <w:numPr>
                <w:ilvl w:val="0"/>
                <w:numId w:val="3"/>
              </w:numPr>
              <w:ind w:leftChars="0" w:firstLineChars="0"/>
              <w:rPr>
                <w:rFonts w:hint="eastAsia"/>
                <w:color w:val="auto"/>
                <w:sz w:val="21"/>
                <w:szCs w:val="21"/>
                <w:highlight w:val="none"/>
              </w:rPr>
            </w:pPr>
            <w:r>
              <w:rPr>
                <w:rFonts w:hint="eastAsia"/>
                <w:color w:val="auto"/>
                <w:sz w:val="21"/>
                <w:szCs w:val="21"/>
                <w:highlight w:val="none"/>
              </w:rPr>
              <w:t>肝功能：谷草转氨酶（AST）、谷丙转氨酶（ALT）、AST /ALT</w:t>
            </w:r>
          </w:p>
          <w:p w14:paraId="631D2C79">
            <w:pPr>
              <w:numPr>
                <w:ilvl w:val="0"/>
                <w:numId w:val="3"/>
              </w:numPr>
              <w:rPr>
                <w:color w:val="auto"/>
                <w:szCs w:val="21"/>
                <w:highlight w:val="none"/>
              </w:rPr>
            </w:pPr>
            <w:r>
              <w:rPr>
                <w:rFonts w:hint="eastAsia"/>
                <w:color w:val="auto"/>
                <w:szCs w:val="21"/>
                <w:highlight w:val="none"/>
              </w:rPr>
              <w:t>肾功能：肌酐（Cr）、尿素氮、尿酸</w:t>
            </w:r>
          </w:p>
          <w:p w14:paraId="61493CB9">
            <w:pPr>
              <w:numPr>
                <w:ilvl w:val="0"/>
                <w:numId w:val="3"/>
              </w:numPr>
              <w:rPr>
                <w:rFonts w:hint="eastAsia"/>
                <w:color w:val="auto"/>
                <w:szCs w:val="21"/>
                <w:highlight w:val="none"/>
              </w:rPr>
            </w:pPr>
            <w:r>
              <w:rPr>
                <w:rFonts w:hint="eastAsia"/>
                <w:color w:val="auto"/>
                <w:szCs w:val="21"/>
                <w:highlight w:val="none"/>
              </w:rPr>
              <w:t xml:space="preserve">血常规 </w:t>
            </w:r>
          </w:p>
          <w:p w14:paraId="5D7A9046">
            <w:pPr>
              <w:pStyle w:val="2"/>
              <w:numPr>
                <w:ilvl w:val="0"/>
                <w:numId w:val="3"/>
              </w:numPr>
              <w:ind w:leftChars="0" w:firstLineChars="0"/>
              <w:rPr>
                <w:color w:val="auto"/>
                <w:sz w:val="21"/>
                <w:szCs w:val="21"/>
                <w:highlight w:val="none"/>
              </w:rPr>
            </w:pPr>
            <w:r>
              <w:rPr>
                <w:rFonts w:hint="eastAsia"/>
                <w:color w:val="auto"/>
                <w:sz w:val="21"/>
                <w:szCs w:val="21"/>
                <w:highlight w:val="none"/>
              </w:rPr>
              <w:t>心电图检查</w:t>
            </w:r>
          </w:p>
          <w:p w14:paraId="707F60CF">
            <w:pPr>
              <w:rPr>
                <w:rFonts w:hint="eastAsia"/>
                <w:color w:val="auto"/>
                <w:szCs w:val="21"/>
                <w:highlight w:val="none"/>
              </w:rPr>
            </w:pPr>
          </w:p>
          <w:p w14:paraId="051AB9AF">
            <w:pPr>
              <w:pStyle w:val="2"/>
              <w:ind w:left="0" w:leftChars="0" w:firstLine="0" w:firstLineChars="0"/>
              <w:rPr>
                <w:color w:val="auto"/>
                <w:sz w:val="21"/>
                <w:szCs w:val="21"/>
                <w:highlight w:val="none"/>
              </w:rPr>
            </w:pPr>
            <w:r>
              <w:rPr>
                <w:rFonts w:hint="eastAsia"/>
                <w:color w:val="auto"/>
                <w:sz w:val="21"/>
                <w:szCs w:val="21"/>
                <w:highlight w:val="none"/>
              </w:rPr>
              <w:t>三、技术要求</w:t>
            </w:r>
          </w:p>
          <w:p w14:paraId="1373941E">
            <w:pPr>
              <w:numPr>
                <w:ilvl w:val="0"/>
                <w:numId w:val="4"/>
              </w:numPr>
              <w:rPr>
                <w:color w:val="auto"/>
                <w:szCs w:val="21"/>
                <w:highlight w:val="none"/>
              </w:rPr>
            </w:pPr>
            <w:r>
              <w:rPr>
                <w:rFonts w:hint="eastAsia"/>
                <w:color w:val="auto"/>
                <w:szCs w:val="21"/>
                <w:highlight w:val="none"/>
              </w:rPr>
              <w:t>胸部检查需用DR机器并且要求上门现场进行检测。发现可疑异常影像做好登记，立刻汇报学校医务联系人，安排CT复查（复查项目均免费）。</w:t>
            </w:r>
          </w:p>
          <w:p w14:paraId="5B32B032">
            <w:pPr>
              <w:numPr>
                <w:ilvl w:val="0"/>
                <w:numId w:val="4"/>
              </w:numPr>
              <w:rPr>
                <w:rFonts w:hint="eastAsia"/>
                <w:color w:val="auto"/>
                <w:szCs w:val="21"/>
                <w:highlight w:val="none"/>
              </w:rPr>
            </w:pPr>
            <w:r>
              <w:rPr>
                <w:rFonts w:hint="eastAsia"/>
                <w:color w:val="auto"/>
                <w:szCs w:val="21"/>
                <w:highlight w:val="none"/>
              </w:rPr>
              <w:t>体检结果实行信息化管理；所有异常情况信息汇总时需含有院系、班级、姓名、学号等学生个人信息。</w:t>
            </w:r>
          </w:p>
          <w:p w14:paraId="3CC3B18D">
            <w:pPr>
              <w:numPr>
                <w:ilvl w:val="0"/>
                <w:numId w:val="4"/>
              </w:numPr>
              <w:rPr>
                <w:color w:val="auto"/>
                <w:szCs w:val="21"/>
                <w:highlight w:val="none"/>
              </w:rPr>
            </w:pPr>
            <w:r>
              <w:rPr>
                <w:rFonts w:hint="eastAsia"/>
                <w:color w:val="auto"/>
                <w:szCs w:val="21"/>
                <w:highlight w:val="none"/>
              </w:rPr>
              <w:t>供应商有承担大型体检任务的技术力量，并自有体检所需一切仪器、设备、物品及检验所需设备。</w:t>
            </w:r>
          </w:p>
          <w:p w14:paraId="6B774594">
            <w:pPr>
              <w:ind w:left="440"/>
              <w:rPr>
                <w:rFonts w:hint="eastAsia"/>
                <w:color w:val="auto"/>
                <w:szCs w:val="21"/>
                <w:highlight w:val="none"/>
              </w:rPr>
            </w:pPr>
          </w:p>
          <w:p w14:paraId="110DD206">
            <w:pPr>
              <w:pStyle w:val="2"/>
              <w:ind w:left="0" w:leftChars="0" w:firstLine="0" w:firstLineChars="0"/>
              <w:rPr>
                <w:color w:val="auto"/>
                <w:sz w:val="21"/>
                <w:szCs w:val="21"/>
                <w:highlight w:val="none"/>
              </w:rPr>
            </w:pPr>
            <w:r>
              <w:rPr>
                <w:rFonts w:hint="eastAsia"/>
                <w:color w:val="auto"/>
                <w:sz w:val="21"/>
                <w:szCs w:val="21"/>
                <w:highlight w:val="none"/>
              </w:rPr>
              <w:t>四、参与体检医务人员要求</w:t>
            </w:r>
          </w:p>
          <w:p w14:paraId="3C81B7AF">
            <w:pPr>
              <w:pStyle w:val="2"/>
              <w:numPr>
                <w:ilvl w:val="0"/>
                <w:numId w:val="5"/>
              </w:numPr>
              <w:ind w:leftChars="0" w:firstLineChars="0"/>
              <w:rPr>
                <w:rFonts w:hint="eastAsia"/>
                <w:color w:val="auto"/>
                <w:sz w:val="21"/>
                <w:szCs w:val="21"/>
                <w:highlight w:val="none"/>
              </w:rPr>
            </w:pPr>
            <w:r>
              <w:rPr>
                <w:rFonts w:hint="eastAsia"/>
                <w:color w:val="auto"/>
                <w:sz w:val="21"/>
                <w:szCs w:val="21"/>
                <w:highlight w:val="none"/>
              </w:rPr>
              <w:t xml:space="preserve">主检医生中高级职称比例不少于50%。 </w:t>
            </w:r>
            <w:r>
              <w:rPr>
                <w:rFonts w:hint="eastAsia"/>
                <w:color w:val="auto"/>
                <w:sz w:val="21"/>
                <w:szCs w:val="21"/>
                <w:highlight w:val="none"/>
              </w:rPr>
              <w:tab/>
            </w:r>
          </w:p>
          <w:p w14:paraId="7047DDFE">
            <w:pPr>
              <w:pStyle w:val="2"/>
              <w:numPr>
                <w:ilvl w:val="0"/>
                <w:numId w:val="5"/>
              </w:numPr>
              <w:ind w:leftChars="0" w:firstLineChars="0"/>
              <w:rPr>
                <w:rFonts w:hint="eastAsia"/>
                <w:color w:val="auto"/>
                <w:sz w:val="21"/>
                <w:szCs w:val="21"/>
                <w:highlight w:val="none"/>
              </w:rPr>
            </w:pPr>
            <w:r>
              <w:rPr>
                <w:rFonts w:hint="eastAsia"/>
                <w:color w:val="auto"/>
                <w:sz w:val="21"/>
                <w:szCs w:val="21"/>
                <w:highlight w:val="none"/>
              </w:rPr>
              <w:t>放射科医师需具有中级及以上影像专业职称资质。</w:t>
            </w:r>
          </w:p>
          <w:p w14:paraId="0D74B4F7">
            <w:pPr>
              <w:pStyle w:val="2"/>
              <w:numPr>
                <w:ilvl w:val="0"/>
                <w:numId w:val="5"/>
              </w:numPr>
              <w:ind w:leftChars="0" w:firstLineChars="0"/>
              <w:rPr>
                <w:rFonts w:hint="eastAsia"/>
                <w:color w:val="auto"/>
                <w:sz w:val="21"/>
                <w:szCs w:val="21"/>
                <w:highlight w:val="none"/>
              </w:rPr>
            </w:pPr>
            <w:r>
              <w:rPr>
                <w:rFonts w:hint="eastAsia"/>
                <w:color w:val="auto"/>
                <w:sz w:val="21"/>
                <w:szCs w:val="21"/>
                <w:highlight w:val="none"/>
              </w:rPr>
              <w:t>内科、外科、五官科医师具有相应专业执业医师证，各专业每日至少有一名中级及以上职称专业人员。</w:t>
            </w:r>
          </w:p>
          <w:p w14:paraId="2E7161BD">
            <w:pPr>
              <w:pStyle w:val="2"/>
              <w:numPr>
                <w:ilvl w:val="0"/>
                <w:numId w:val="5"/>
              </w:numPr>
              <w:ind w:leftChars="0" w:firstLineChars="0"/>
              <w:rPr>
                <w:rFonts w:hint="eastAsia"/>
                <w:color w:val="auto"/>
                <w:sz w:val="21"/>
                <w:szCs w:val="21"/>
                <w:highlight w:val="none"/>
              </w:rPr>
            </w:pPr>
            <w:r>
              <w:rPr>
                <w:rFonts w:hint="eastAsia"/>
                <w:color w:val="auto"/>
                <w:sz w:val="21"/>
                <w:szCs w:val="21"/>
                <w:highlight w:val="none"/>
              </w:rPr>
              <w:t>体检医师与设备均要符合响应文件所写内容,若更换医师要同级别及以上职称，更换人员，需提前三天报备（提供承诺函）。</w:t>
            </w:r>
          </w:p>
          <w:p w14:paraId="18523B40">
            <w:pPr>
              <w:pStyle w:val="2"/>
              <w:numPr>
                <w:ilvl w:val="0"/>
                <w:numId w:val="5"/>
              </w:numPr>
              <w:ind w:leftChars="0" w:firstLineChars="0"/>
              <w:rPr>
                <w:color w:val="auto"/>
                <w:sz w:val="21"/>
                <w:szCs w:val="21"/>
                <w:highlight w:val="none"/>
              </w:rPr>
            </w:pPr>
            <w:r>
              <w:rPr>
                <w:rFonts w:hint="eastAsia"/>
                <w:color w:val="auto"/>
                <w:sz w:val="21"/>
                <w:szCs w:val="21"/>
                <w:highlight w:val="none"/>
              </w:rPr>
              <w:t>采血、测量血压、视力等护士要操作熟练。</w:t>
            </w:r>
          </w:p>
          <w:p w14:paraId="6A1EC08B">
            <w:pPr>
              <w:pStyle w:val="2"/>
              <w:numPr>
                <w:ilvl w:val="0"/>
                <w:numId w:val="5"/>
              </w:numPr>
              <w:ind w:leftChars="0" w:firstLineChars="0"/>
              <w:rPr>
                <w:color w:val="auto"/>
                <w:sz w:val="21"/>
                <w:szCs w:val="21"/>
                <w:highlight w:val="none"/>
              </w:rPr>
            </w:pPr>
            <w:r>
              <w:rPr>
                <w:rFonts w:hint="eastAsia"/>
                <w:color w:val="auto"/>
                <w:sz w:val="21"/>
                <w:szCs w:val="21"/>
                <w:highlight w:val="none"/>
              </w:rPr>
              <w:t>每日参与体检人数要求：根据学校每日安排的体检学生数量体检单位要合理安排各岗位医生护士人数。</w:t>
            </w:r>
          </w:p>
          <w:p w14:paraId="23B02BDF">
            <w:pPr>
              <w:pStyle w:val="2"/>
              <w:ind w:left="440" w:leftChars="0" w:firstLine="0" w:firstLineChars="0"/>
              <w:rPr>
                <w:rFonts w:hint="eastAsia"/>
                <w:color w:val="auto"/>
                <w:sz w:val="21"/>
                <w:szCs w:val="21"/>
                <w:highlight w:val="none"/>
              </w:rPr>
            </w:pPr>
          </w:p>
          <w:p w14:paraId="01628A91">
            <w:pPr>
              <w:rPr>
                <w:rFonts w:hint="eastAsia"/>
                <w:color w:val="auto"/>
                <w:szCs w:val="21"/>
                <w:highlight w:val="none"/>
              </w:rPr>
            </w:pPr>
            <w:r>
              <w:rPr>
                <w:rFonts w:hint="eastAsia"/>
                <w:color w:val="auto"/>
                <w:szCs w:val="21"/>
                <w:highlight w:val="none"/>
              </w:rPr>
              <w:t>五、体检时间与场地安排</w:t>
            </w:r>
          </w:p>
          <w:p w14:paraId="416A838F">
            <w:pPr>
              <w:numPr>
                <w:ilvl w:val="0"/>
                <w:numId w:val="6"/>
              </w:numPr>
              <w:rPr>
                <w:rFonts w:hint="eastAsia"/>
                <w:color w:val="auto"/>
                <w:szCs w:val="21"/>
                <w:highlight w:val="none"/>
              </w:rPr>
            </w:pPr>
            <w:r>
              <w:rPr>
                <w:rFonts w:hint="eastAsia"/>
                <w:color w:val="auto"/>
                <w:szCs w:val="21"/>
                <w:highlight w:val="none"/>
              </w:rPr>
              <w:t>体检时间：由学校各部门沟通协商后，体检单位在体检前一周以学院班级为单位分时分段安排，尽力满足学院班级时间调整。体检时间安排及体检注意事项提前3-5天发交付校医务室，医务室负责协调与通知。</w:t>
            </w:r>
          </w:p>
          <w:p w14:paraId="64CF7B85">
            <w:pPr>
              <w:numPr>
                <w:ilvl w:val="0"/>
                <w:numId w:val="6"/>
              </w:numPr>
              <w:rPr>
                <w:color w:val="auto"/>
                <w:szCs w:val="21"/>
                <w:highlight w:val="none"/>
              </w:rPr>
            </w:pPr>
            <w:r>
              <w:rPr>
                <w:rFonts w:hint="eastAsia"/>
                <w:color w:val="auto"/>
                <w:szCs w:val="21"/>
                <w:highlight w:val="none"/>
              </w:rPr>
              <w:t>体检场地：学校提供体检场所，体检单位上门服务，桌椅自带或向学校借用，搬运费、场所布置、保洁费用、医疗垃圾处置等由体检单位负责。</w:t>
            </w:r>
          </w:p>
          <w:p w14:paraId="1D13F0D7">
            <w:pPr>
              <w:rPr>
                <w:color w:val="auto"/>
                <w:szCs w:val="21"/>
                <w:highlight w:val="none"/>
              </w:rPr>
            </w:pPr>
          </w:p>
          <w:p w14:paraId="78E022CA">
            <w:pPr>
              <w:rPr>
                <w:color w:val="auto"/>
                <w:szCs w:val="21"/>
                <w:highlight w:val="none"/>
              </w:rPr>
            </w:pPr>
            <w:r>
              <w:rPr>
                <w:rFonts w:hint="eastAsia"/>
                <w:color w:val="auto"/>
                <w:szCs w:val="21"/>
                <w:highlight w:val="none"/>
              </w:rPr>
              <w:t>六、报价与结算要求</w:t>
            </w:r>
          </w:p>
          <w:p w14:paraId="50740135">
            <w:pPr>
              <w:numPr>
                <w:ilvl w:val="0"/>
                <w:numId w:val="7"/>
              </w:numPr>
              <w:rPr>
                <w:rFonts w:hint="eastAsia"/>
                <w:color w:val="auto"/>
                <w:szCs w:val="21"/>
                <w:highlight w:val="none"/>
              </w:rPr>
            </w:pPr>
            <w:r>
              <w:rPr>
                <w:rFonts w:hint="eastAsia"/>
                <w:color w:val="auto"/>
                <w:szCs w:val="21"/>
                <w:highlight w:val="none"/>
              </w:rPr>
              <w:t>新生体检单价不能超过浙江省物价局、财政厅、浙价费（2014）49号文件规定的招生体检费每人每次60元。</w:t>
            </w:r>
          </w:p>
          <w:p w14:paraId="697F6749">
            <w:pPr>
              <w:numPr>
                <w:ilvl w:val="0"/>
                <w:numId w:val="7"/>
              </w:numPr>
              <w:rPr>
                <w:color w:val="auto"/>
                <w:szCs w:val="21"/>
                <w:highlight w:val="none"/>
              </w:rPr>
            </w:pPr>
            <w:r>
              <w:rPr>
                <w:rFonts w:hint="eastAsia"/>
                <w:color w:val="auto"/>
                <w:szCs w:val="21"/>
                <w:highlight w:val="none"/>
              </w:rPr>
              <w:t>按照中标单价和实际人数计算，完成新生体检。</w:t>
            </w:r>
          </w:p>
          <w:p w14:paraId="2090F6AB">
            <w:pPr>
              <w:ind w:left="440"/>
              <w:rPr>
                <w:rFonts w:hint="eastAsia"/>
                <w:color w:val="auto"/>
                <w:szCs w:val="21"/>
                <w:highlight w:val="none"/>
              </w:rPr>
            </w:pPr>
          </w:p>
          <w:p w14:paraId="3563142E">
            <w:pPr>
              <w:rPr>
                <w:rFonts w:hint="eastAsia"/>
                <w:color w:val="auto"/>
                <w:szCs w:val="21"/>
                <w:highlight w:val="none"/>
              </w:rPr>
            </w:pPr>
            <w:r>
              <w:rPr>
                <w:rFonts w:hint="eastAsia"/>
                <w:color w:val="auto"/>
                <w:szCs w:val="21"/>
                <w:highlight w:val="none"/>
              </w:rPr>
              <w:t>七、其他要求</w:t>
            </w:r>
          </w:p>
          <w:p w14:paraId="1CBFB6D8">
            <w:pPr>
              <w:numPr>
                <w:ilvl w:val="0"/>
                <w:numId w:val="8"/>
              </w:numPr>
              <w:rPr>
                <w:rFonts w:hint="eastAsia"/>
                <w:color w:val="auto"/>
                <w:szCs w:val="21"/>
                <w:highlight w:val="none"/>
              </w:rPr>
            </w:pPr>
            <w:r>
              <w:rPr>
                <w:rFonts w:hint="eastAsia"/>
                <w:color w:val="auto"/>
                <w:szCs w:val="21"/>
                <w:highlight w:val="none"/>
              </w:rPr>
              <w:t>医疗机构需提供紧急预案（设备意外故障、人员不能到岗、现场紧急医疗等）。</w:t>
            </w:r>
          </w:p>
          <w:p w14:paraId="01DC8384">
            <w:pPr>
              <w:numPr>
                <w:ilvl w:val="0"/>
                <w:numId w:val="8"/>
              </w:numPr>
              <w:rPr>
                <w:color w:val="auto"/>
                <w:szCs w:val="21"/>
                <w:highlight w:val="none"/>
              </w:rPr>
            </w:pPr>
            <w:r>
              <w:rPr>
                <w:rFonts w:hint="eastAsia"/>
                <w:color w:val="auto"/>
                <w:szCs w:val="21"/>
                <w:highlight w:val="none"/>
              </w:rPr>
              <w:t>中标单位根据项目内容需求安排体检人员、设备、车辆等进入校园满足学生体检要求。</w:t>
            </w:r>
          </w:p>
          <w:p w14:paraId="76F6685E">
            <w:pPr>
              <w:numPr>
                <w:ilvl w:val="0"/>
                <w:numId w:val="8"/>
              </w:numPr>
              <w:rPr>
                <w:rFonts w:hint="eastAsia"/>
                <w:color w:val="auto"/>
                <w:szCs w:val="21"/>
                <w:highlight w:val="none"/>
              </w:rPr>
            </w:pPr>
            <w:r>
              <w:rPr>
                <w:rFonts w:hint="eastAsia"/>
                <w:color w:val="auto"/>
                <w:szCs w:val="21"/>
                <w:highlight w:val="none"/>
              </w:rPr>
              <w:t>体检结束需提供学生体检单（纸质）、检查结果汇总电子版，均需按照院系班级整理，检查结果中需对结果有问题的学生提供具体处理意见。</w:t>
            </w:r>
          </w:p>
          <w:p w14:paraId="54DE2609">
            <w:pPr>
              <w:numPr>
                <w:ilvl w:val="0"/>
                <w:numId w:val="8"/>
              </w:numPr>
              <w:rPr>
                <w:rFonts w:hint="eastAsia"/>
                <w:color w:val="auto"/>
                <w:szCs w:val="21"/>
                <w:highlight w:val="none"/>
              </w:rPr>
            </w:pPr>
            <w:r>
              <w:rPr>
                <w:rFonts w:hint="eastAsia"/>
                <w:color w:val="auto"/>
                <w:szCs w:val="21"/>
                <w:highlight w:val="none"/>
              </w:rPr>
              <w:t>不能将体检数据外泄。</w:t>
            </w:r>
          </w:p>
        </w:tc>
      </w:tr>
    </w:tbl>
    <w:p w14:paraId="347DE088">
      <w:pPr>
        <w:pStyle w:val="11"/>
        <w:rPr>
          <w:rFonts w:hint="default"/>
          <w:color w:val="auto"/>
          <w:highlight w:val="none"/>
          <w:lang w:val="en-US" w:eastAsia="zh-CN"/>
        </w:rPr>
      </w:pPr>
    </w:p>
    <w:p w14:paraId="4A8A4B8B">
      <w:pPr>
        <w:pStyle w:val="11"/>
        <w:rPr>
          <w:rFonts w:hint="default"/>
          <w:color w:val="auto"/>
          <w:highlight w:val="none"/>
          <w:lang w:val="en-US" w:eastAsia="zh-CN"/>
        </w:rPr>
      </w:pPr>
    </w:p>
    <w:p w14:paraId="58DB56F0">
      <w:pPr>
        <w:numPr>
          <w:ilvl w:val="0"/>
          <w:numId w:val="2"/>
        </w:numPr>
        <w:snapToGrid w:val="0"/>
        <w:spacing w:line="360" w:lineRule="exact"/>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其他</w:t>
      </w:r>
    </w:p>
    <w:p w14:paraId="6EBDD940">
      <w:pPr>
        <w:adjustRightInd w:val="0"/>
        <w:snapToGrid w:val="0"/>
        <w:spacing w:line="380" w:lineRule="exact"/>
        <w:ind w:firstLine="418" w:firstLineChars="200"/>
        <w:rPr>
          <w:rFonts w:hint="eastAsia" w:ascii="宋体" w:hAnsi="宋体" w:eastAsia="宋体" w:cs="宋体"/>
          <w:b/>
          <w:bCs/>
          <w:color w:val="auto"/>
          <w:kern w:val="0"/>
          <w:sz w:val="22"/>
          <w:szCs w:val="22"/>
          <w:highlight w:val="none"/>
          <w:lang w:eastAsia="zh-CN" w:bidi="ar"/>
        </w:rPr>
      </w:pPr>
      <w:r>
        <w:rPr>
          <w:rFonts w:hint="eastAsia" w:ascii="宋体" w:hAnsi="宋体" w:cs="宋体"/>
          <w:b/>
          <w:color w:val="auto"/>
          <w:spacing w:val="-6"/>
          <w:sz w:val="22"/>
          <w:szCs w:val="22"/>
          <w:highlight w:val="none"/>
        </w:rPr>
        <w:t>1、标“▲且加下划线”的有关技术和商务要求为实质性条款，响应供应商必须做出实质性响应</w:t>
      </w:r>
      <w:r>
        <w:rPr>
          <w:rFonts w:hint="eastAsia" w:ascii="宋体" w:hAnsi="宋体" w:cs="宋体"/>
          <w:b/>
          <w:bCs/>
          <w:color w:val="auto"/>
          <w:spacing w:val="-6"/>
          <w:sz w:val="22"/>
          <w:szCs w:val="22"/>
          <w:highlight w:val="none"/>
        </w:rPr>
        <w:t>，否则视为无效响应文件。</w:t>
      </w:r>
      <w:r>
        <w:rPr>
          <w:rFonts w:hint="eastAsia" w:ascii="宋体" w:hAnsi="宋体" w:cs="宋体"/>
          <w:b/>
          <w:color w:val="auto"/>
          <w:spacing w:val="-6"/>
          <w:sz w:val="22"/>
          <w:szCs w:val="22"/>
          <w:highlight w:val="none"/>
          <w:lang w:val="en-US" w:eastAsia="zh-CN"/>
        </w:rPr>
        <w:t xml:space="preserve"> </w:t>
      </w:r>
    </w:p>
    <w:p w14:paraId="7613FF2F">
      <w:pPr>
        <w:spacing w:line="360" w:lineRule="exact"/>
        <w:ind w:firstLine="418" w:firstLineChars="200"/>
        <w:rPr>
          <w:rFonts w:hint="eastAsia" w:ascii="宋体" w:hAnsi="宋体" w:cs="宋体"/>
          <w:b/>
          <w:bCs/>
          <w:color w:val="auto"/>
          <w:kern w:val="0"/>
          <w:sz w:val="22"/>
          <w:szCs w:val="22"/>
          <w:highlight w:val="none"/>
        </w:rPr>
      </w:pPr>
      <w:r>
        <w:rPr>
          <w:rFonts w:hint="eastAsia" w:ascii="宋体" w:hAnsi="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color w:val="auto"/>
          <w:kern w:val="0"/>
          <w:sz w:val="22"/>
          <w:szCs w:val="22"/>
          <w:highlight w:val="none"/>
        </w:rPr>
        <w:t>。</w:t>
      </w:r>
    </w:p>
    <w:p w14:paraId="2DA07C6A">
      <w:pPr>
        <w:snapToGrid w:val="0"/>
        <w:spacing w:line="360" w:lineRule="exact"/>
        <w:ind w:firstLine="418" w:firstLineChars="200"/>
        <w:jc w:val="left"/>
        <w:rPr>
          <w:rFonts w:hint="eastAsia" w:ascii="宋体" w:hAnsi="宋体" w:cs="宋体"/>
          <w:b/>
          <w:color w:val="auto"/>
          <w:sz w:val="30"/>
          <w:szCs w:val="30"/>
          <w:highlight w:val="none"/>
        </w:rPr>
      </w:pPr>
      <w:r>
        <w:rPr>
          <w:rFonts w:hint="eastAsia" w:ascii="宋体" w:hAnsi="宋体" w:cs="宋体"/>
          <w:b/>
          <w:color w:val="auto"/>
          <w:spacing w:val="-6"/>
          <w:sz w:val="22"/>
          <w:szCs w:val="22"/>
          <w:highlight w:val="none"/>
        </w:rPr>
        <w:t>3.如技术部分中未特别注明需执行的国家相关标准、行业标准、地方标准或者其他标准、规范，则统一执行最新标准、规范。</w:t>
      </w:r>
    </w:p>
    <w:p w14:paraId="42A4D235">
      <w:pPr>
        <w:pStyle w:val="9"/>
        <w:ind w:left="0" w:right="-252"/>
        <w:rPr>
          <w:rFonts w:hint="eastAsia"/>
          <w:color w:val="auto"/>
          <w:highlight w:val="none"/>
        </w:rPr>
      </w:pPr>
    </w:p>
    <w:p w14:paraId="6B810960">
      <w:pPr>
        <w:pStyle w:val="9"/>
        <w:ind w:left="0" w:right="-252"/>
        <w:rPr>
          <w:rFonts w:hint="eastAsia"/>
          <w:color w:val="auto"/>
          <w:highlight w:val="none"/>
        </w:rPr>
      </w:pPr>
    </w:p>
    <w:p w14:paraId="628AFBD9">
      <w:pPr>
        <w:pStyle w:val="9"/>
        <w:ind w:left="0" w:right="-252"/>
        <w:rPr>
          <w:rFonts w:hint="eastAsia"/>
          <w:color w:val="auto"/>
          <w:highlight w:val="none"/>
        </w:rPr>
      </w:pPr>
    </w:p>
    <w:p w14:paraId="4B54A426">
      <w:pPr>
        <w:snapToGrid w:val="0"/>
        <w:spacing w:line="360" w:lineRule="exact"/>
        <w:rPr>
          <w:rFonts w:hint="eastAsia" w:ascii="宋体" w:hAnsi="宋体" w:cs="宋体"/>
          <w:b/>
          <w:color w:val="auto"/>
          <w:spacing w:val="-6"/>
          <w:sz w:val="22"/>
          <w:szCs w:val="22"/>
          <w:highlight w:val="none"/>
        </w:rPr>
      </w:pPr>
      <w:bookmarkStart w:id="0" w:name="_GoBack"/>
      <w:bookmarkEnd w:id="0"/>
    </w:p>
    <w:p w14:paraId="555C21C9">
      <w:pPr>
        <w:snapToGrid w:val="0"/>
        <w:spacing w:line="360" w:lineRule="exact"/>
        <w:rPr>
          <w:rFonts w:hint="eastAsia" w:ascii="宋体" w:hAnsi="宋体" w:cs="宋体"/>
          <w:b/>
          <w:color w:val="auto"/>
          <w:spacing w:val="-6"/>
          <w:sz w:val="22"/>
          <w:szCs w:val="22"/>
          <w:highlight w:val="none"/>
        </w:rPr>
      </w:pPr>
    </w:p>
    <w:p w14:paraId="332B3203">
      <w:pPr>
        <w:snapToGrid w:val="0"/>
        <w:spacing w:line="360" w:lineRule="exact"/>
        <w:rPr>
          <w:rFonts w:hint="eastAsia" w:ascii="宋体" w:hAnsi="宋体" w:cs="宋体"/>
          <w:b/>
          <w:color w:val="auto"/>
          <w:spacing w:val="-6"/>
          <w:sz w:val="22"/>
          <w:szCs w:val="22"/>
          <w:highlight w:val="none"/>
        </w:rPr>
      </w:pPr>
    </w:p>
    <w:p w14:paraId="0DFE91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abstractNum w:abstractNumId="1">
    <w:nsid w:val="0FD21AB3"/>
    <w:multiLevelType w:val="multilevel"/>
    <w:tmpl w:val="0FD21AB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9EC393E"/>
    <w:multiLevelType w:val="multilevel"/>
    <w:tmpl w:val="19EC393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48B271E"/>
    <w:multiLevelType w:val="multilevel"/>
    <w:tmpl w:val="248B271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951C00E"/>
    <w:multiLevelType w:val="singleLevel"/>
    <w:tmpl w:val="3951C00E"/>
    <w:lvl w:ilvl="0" w:tentative="0">
      <w:start w:val="2"/>
      <w:numFmt w:val="chineseCounting"/>
      <w:suff w:val="nothing"/>
      <w:lvlText w:val="%1、"/>
      <w:lvlJc w:val="left"/>
      <w:rPr>
        <w:rFonts w:hint="eastAsia"/>
      </w:rPr>
    </w:lvl>
  </w:abstractNum>
  <w:abstractNum w:abstractNumId="5">
    <w:nsid w:val="4D033E04"/>
    <w:multiLevelType w:val="multilevel"/>
    <w:tmpl w:val="4D033E0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600D2784"/>
    <w:multiLevelType w:val="multilevel"/>
    <w:tmpl w:val="600D278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6D2874F9"/>
    <w:multiLevelType w:val="multilevel"/>
    <w:tmpl w:val="6D2874F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18744863"/>
    <w:rsid w:val="3E355F49"/>
    <w:rsid w:val="73703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before="260" w:after="260" w:line="408" w:lineRule="auto"/>
      <w:outlineLvl w:val="1"/>
    </w:pPr>
    <w:rPr>
      <w:rFonts w:ascii="Arial" w:hAnsi="Arial" w:eastAsia="黑体"/>
      <w:sz w:val="28"/>
      <w:szCs w:val="32"/>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autoSpaceDE w:val="0"/>
      <w:autoSpaceDN w:val="0"/>
      <w:adjustRightInd w:val="0"/>
      <w:spacing w:after="120" w:line="240" w:lineRule="auto"/>
      <w:ind w:left="420" w:leftChars="200" w:firstLine="420" w:firstLineChars="200"/>
      <w:textAlignment w:val="baseline"/>
    </w:pPr>
    <w:rPr>
      <w:rFonts w:ascii="Times New Roman" w:hAnsi="Times New Roman"/>
      <w:spacing w:val="0"/>
      <w:kern w:val="0"/>
      <w:sz w:val="28"/>
    </w:rPr>
  </w:style>
  <w:style w:type="paragraph" w:styleId="3">
    <w:name w:val="Body Text Indent"/>
    <w:basedOn w:val="1"/>
    <w:next w:val="4"/>
    <w:uiPriority w:val="0"/>
    <w:pPr>
      <w:adjustRightInd w:val="0"/>
      <w:spacing w:line="360" w:lineRule="auto"/>
      <w:ind w:firstLine="490"/>
      <w:jc w:val="left"/>
    </w:pPr>
    <w:rPr>
      <w:rFonts w:ascii="宋体" w:hAnsi="宋体"/>
      <w:sz w:val="24"/>
    </w:rPr>
  </w:style>
  <w:style w:type="paragraph" w:styleId="4">
    <w:name w:val="envelope return"/>
    <w:basedOn w:val="1"/>
    <w:qFormat/>
    <w:uiPriority w:val="0"/>
    <w:pPr>
      <w:snapToGrid w:val="0"/>
    </w:pPr>
    <w:rPr>
      <w:rFonts w:ascii="Arial" w:hAnsi="Arial"/>
    </w:rPr>
  </w:style>
  <w:style w:type="paragraph" w:styleId="6">
    <w:name w:val="annotation text"/>
    <w:basedOn w:val="1"/>
    <w:semiHidden/>
    <w:uiPriority w:val="0"/>
    <w:pPr>
      <w:jc w:val="left"/>
    </w:pPr>
  </w:style>
  <w:style w:type="paragraph" w:styleId="7">
    <w:name w:val="Body Text"/>
    <w:basedOn w:val="1"/>
    <w:next w:val="8"/>
    <w:uiPriority w:val="0"/>
    <w:pPr>
      <w:spacing w:after="120"/>
    </w:pPr>
  </w:style>
  <w:style w:type="paragraph" w:styleId="8">
    <w:name w:val="toc 4"/>
    <w:basedOn w:val="1"/>
    <w:next w:val="1"/>
    <w:semiHidden/>
    <w:qFormat/>
    <w:uiPriority w:val="0"/>
    <w:pPr>
      <w:ind w:left="630"/>
      <w:jc w:val="left"/>
    </w:pPr>
    <w:rPr>
      <w:sz w:val="18"/>
      <w:szCs w:val="18"/>
    </w:rPr>
  </w:style>
  <w:style w:type="paragraph" w:styleId="9">
    <w:name w:val="Block Text"/>
    <w:basedOn w:val="1"/>
    <w:uiPriority w:val="0"/>
    <w:pPr>
      <w:adjustRightInd w:val="0"/>
      <w:spacing w:line="300" w:lineRule="auto"/>
      <w:ind w:left="958" w:rightChars="-120"/>
      <w:jc w:val="left"/>
    </w:pPr>
    <w:rPr>
      <w:rFonts w:ascii="宋体" w:hAnsi="宋体"/>
      <w:sz w:val="28"/>
    </w:rPr>
  </w:style>
  <w:style w:type="paragraph" w:styleId="10">
    <w:name w:val="toc 6"/>
    <w:basedOn w:val="1"/>
    <w:next w:val="1"/>
    <w:semiHidden/>
    <w:qFormat/>
    <w:uiPriority w:val="0"/>
    <w:pPr>
      <w:ind w:left="1050"/>
      <w:jc w:val="left"/>
    </w:pPr>
    <w:rPr>
      <w:sz w:val="18"/>
      <w:szCs w:val="18"/>
    </w:rPr>
  </w:style>
  <w:style w:type="paragraph" w:styleId="11">
    <w:name w:val="Body Text First Indent"/>
    <w:basedOn w:val="7"/>
    <w:next w:val="10"/>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2394</Words>
  <Characters>2441</Characters>
  <Lines>0</Lines>
  <Paragraphs>0</Paragraphs>
  <TotalTime>0</TotalTime>
  <ScaleCrop>false</ScaleCrop>
  <LinksUpToDate>false</LinksUpToDate>
  <CharactersWithSpaces>2448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2024-08-19T07:35:47Z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8C16DC8F75EC45BB93F31831B34EF18D_12</vt:lpwstr>
  </property>
</Properties>
</file>