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auto"/>
          <w:spacing w:val="-8"/>
          <w:sz w:val="52"/>
          <w:szCs w:val="52"/>
          <w:highlight w:val="none"/>
        </w:rPr>
      </w:pPr>
      <w:r>
        <w:rPr>
          <w:rFonts w:hint="eastAsia" w:ascii="宋体" w:hAnsi="宋体" w:cs="宋体"/>
          <w:b/>
          <w:color w:val="auto"/>
          <w:spacing w:val="-8"/>
          <w:sz w:val="52"/>
          <w:szCs w:val="52"/>
          <w:highlight w:val="none"/>
          <w:lang w:eastAsia="zh-CN"/>
        </w:rPr>
        <w:t>建德市长运物资有限公司6.5米级纯电动站立位公交车采购项目</w:t>
      </w:r>
    </w:p>
    <w:p>
      <w:pPr>
        <w:rPr>
          <w:rFonts w:ascii="宋体" w:hAnsi="宋体" w:cs="宋体"/>
          <w:b/>
          <w:color w:val="auto"/>
          <w:szCs w:val="21"/>
          <w:highlight w:val="none"/>
        </w:rPr>
      </w:pPr>
    </w:p>
    <w:p>
      <w:pPr>
        <w:spacing w:line="6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招标编号：</w:t>
      </w:r>
      <w:r>
        <w:rPr>
          <w:rFonts w:hint="eastAsia" w:ascii="宋体" w:hAnsi="宋体" w:cs="宋体"/>
          <w:b/>
          <w:color w:val="auto"/>
          <w:sz w:val="32"/>
          <w:szCs w:val="32"/>
          <w:highlight w:val="none"/>
          <w:lang w:eastAsia="zh-CN"/>
        </w:rPr>
        <w:t>JDOBCG2024B-035</w:t>
      </w:r>
      <w:r>
        <w:rPr>
          <w:rFonts w:hint="eastAsia" w:ascii="宋体" w:hAnsi="宋体" w:cs="宋体"/>
          <w:b/>
          <w:color w:val="auto"/>
          <w:sz w:val="32"/>
          <w:szCs w:val="32"/>
          <w:highlight w:val="none"/>
        </w:rPr>
        <w:t xml:space="preserve">  </w:t>
      </w:r>
    </w:p>
    <w:p>
      <w:pPr>
        <w:pStyle w:val="55"/>
        <w:ind w:firstLine="420"/>
        <w:rPr>
          <w:rFonts w:hAnsi="宋体" w:cs="宋体"/>
          <w:color w:val="auto"/>
          <w:highlight w:val="none"/>
        </w:rPr>
      </w:pPr>
    </w:p>
    <w:p>
      <w:pPr>
        <w:spacing w:line="1360" w:lineRule="exact"/>
        <w:jc w:val="center"/>
        <w:rPr>
          <w:rFonts w:ascii="宋体" w:hAnsi="宋体" w:cs="宋体"/>
          <w:b/>
          <w:color w:val="auto"/>
          <w:sz w:val="84"/>
          <w:highlight w:val="none"/>
        </w:rPr>
      </w:pPr>
      <w:r>
        <w:rPr>
          <w:rFonts w:hint="eastAsia" w:ascii="宋体" w:hAnsi="宋体" w:cs="宋体"/>
          <w:b/>
          <w:color w:val="auto"/>
          <w:sz w:val="84"/>
          <w:highlight w:val="none"/>
        </w:rPr>
        <w:t>招</w:t>
      </w:r>
    </w:p>
    <w:p>
      <w:pPr>
        <w:spacing w:line="1360" w:lineRule="exact"/>
        <w:jc w:val="center"/>
        <w:rPr>
          <w:rFonts w:ascii="宋体" w:hAnsi="宋体" w:cs="宋体"/>
          <w:b/>
          <w:color w:val="auto"/>
          <w:sz w:val="84"/>
          <w:highlight w:val="none"/>
        </w:rPr>
      </w:pPr>
      <w:r>
        <w:rPr>
          <w:rFonts w:hint="eastAsia" w:ascii="宋体" w:hAnsi="宋体" w:cs="宋体"/>
          <w:b/>
          <w:color w:val="auto"/>
          <w:sz w:val="84"/>
          <w:highlight w:val="none"/>
        </w:rPr>
        <w:t>标</w:t>
      </w:r>
    </w:p>
    <w:p>
      <w:pPr>
        <w:spacing w:line="1360" w:lineRule="exact"/>
        <w:jc w:val="center"/>
        <w:rPr>
          <w:rFonts w:ascii="宋体" w:hAnsi="宋体" w:cs="宋体"/>
          <w:b/>
          <w:color w:val="auto"/>
          <w:sz w:val="84"/>
          <w:highlight w:val="none"/>
        </w:rPr>
      </w:pPr>
      <w:r>
        <w:rPr>
          <w:rFonts w:hint="eastAsia" w:ascii="宋体" w:hAnsi="宋体" w:cs="宋体"/>
          <w:b/>
          <w:color w:val="auto"/>
          <w:sz w:val="84"/>
          <w:highlight w:val="none"/>
        </w:rPr>
        <w:t>文</w:t>
      </w:r>
    </w:p>
    <w:p>
      <w:pPr>
        <w:spacing w:line="1360" w:lineRule="exact"/>
        <w:jc w:val="center"/>
        <w:rPr>
          <w:rFonts w:hint="eastAsia" w:ascii="宋体" w:hAnsi="宋体" w:cs="宋体"/>
          <w:b/>
          <w:color w:val="auto"/>
          <w:sz w:val="84"/>
          <w:highlight w:val="none"/>
        </w:rPr>
      </w:pPr>
      <w:r>
        <w:rPr>
          <w:rFonts w:hint="eastAsia" w:ascii="宋体" w:hAnsi="宋体" w:cs="宋体"/>
          <w:b/>
          <w:color w:val="auto"/>
          <w:sz w:val="84"/>
          <w:highlight w:val="none"/>
        </w:rPr>
        <w:t>件</w:t>
      </w:r>
    </w:p>
    <w:p>
      <w:pPr>
        <w:widowControl/>
        <w:spacing w:line="360" w:lineRule="auto"/>
        <w:jc w:val="center"/>
        <w:rPr>
          <w:rFonts w:ascii="宋体" w:hAnsi="宋体" w:cs="宋体"/>
          <w:b/>
          <w:color w:val="auto"/>
          <w:sz w:val="15"/>
          <w:szCs w:val="15"/>
          <w:highlight w:val="none"/>
        </w:rPr>
      </w:pPr>
    </w:p>
    <w:p>
      <w:pPr>
        <w:widowControl/>
        <w:spacing w:line="240" w:lineRule="auto"/>
        <w:jc w:val="center"/>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建德市长运物资有限公司</w:t>
      </w:r>
    </w:p>
    <w:p>
      <w:pPr>
        <w:pStyle w:val="26"/>
        <w:spacing w:line="240" w:lineRule="auto"/>
        <w:ind w:left="1"/>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招标代理机构：</w:t>
      </w:r>
      <w:r>
        <w:rPr>
          <w:rFonts w:hint="eastAsia" w:ascii="宋体" w:hAnsi="宋体" w:cs="宋体"/>
          <w:b/>
          <w:color w:val="auto"/>
          <w:sz w:val="32"/>
          <w:szCs w:val="32"/>
          <w:highlight w:val="none"/>
          <w:lang w:eastAsia="zh-CN"/>
        </w:rPr>
        <w:t>欧邦工程管理集团有限公司</w:t>
      </w:r>
    </w:p>
    <w:p>
      <w:pPr>
        <w:pStyle w:val="26"/>
        <w:spacing w:line="240" w:lineRule="auto"/>
        <w:ind w:left="1"/>
        <w:jc w:val="center"/>
        <w:rPr>
          <w:rFonts w:ascii="宋体" w:hAnsi="宋体" w:cs="宋体"/>
          <w:color w:val="auto"/>
          <w:highlight w:val="none"/>
        </w:rPr>
      </w:pPr>
      <w:r>
        <w:rPr>
          <w:rFonts w:hint="eastAsia" w:ascii="宋体" w:hAnsi="宋体" w:cs="宋体"/>
          <w:b/>
          <w:color w:val="auto"/>
          <w:sz w:val="32"/>
          <w:szCs w:val="32"/>
          <w:highlight w:val="none"/>
        </w:rPr>
        <w:t>2024年4月12日</w:t>
      </w:r>
    </w:p>
    <w:tbl>
      <w:tblPr>
        <w:tblStyle w:val="4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8"/>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4798" w:type="dxa"/>
            <w:vAlign w:val="center"/>
          </w:tcPr>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采购单位确认（公章）：</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该采购文件已经我单位审核确认。</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经办人（签名）：</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日期：2024年4月12日</w:t>
            </w:r>
          </w:p>
        </w:tc>
        <w:tc>
          <w:tcPr>
            <w:tcW w:w="4621" w:type="dxa"/>
            <w:vAlign w:val="center"/>
          </w:tcPr>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代理机构审批（章）：</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同意发布。</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经办人（签名）：</w:t>
            </w:r>
          </w:p>
          <w:p>
            <w:pPr>
              <w:autoSpaceDE w:val="0"/>
              <w:adjustRightInd w:val="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日期：2024年4月12日</w:t>
            </w:r>
          </w:p>
        </w:tc>
      </w:tr>
    </w:tbl>
    <w:p>
      <w:pPr>
        <w:autoSpaceDE w:val="0"/>
        <w:adjustRightInd w:val="0"/>
        <w:spacing w:after="100" w:afterAutospacing="1"/>
        <w:rPr>
          <w:rFonts w:ascii="宋体" w:hAnsi="宋体" w:cs="宋体"/>
          <w:b/>
          <w:bCs/>
          <w:color w:val="auto"/>
          <w:kern w:val="0"/>
          <w:sz w:val="36"/>
          <w:szCs w:val="36"/>
          <w:highlight w:val="none"/>
        </w:rPr>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pgNumType w:start="0"/>
          <w:cols w:space="720" w:num="1"/>
          <w:titlePg/>
          <w:docGrid w:type="lines" w:linePitch="312" w:charSpace="0"/>
        </w:sectPr>
      </w:pPr>
    </w:p>
    <w:p>
      <w:pPr>
        <w:rPr>
          <w:rFonts w:ascii="宋体" w:hAnsi="宋体" w:cs="宋体"/>
          <w:color w:val="auto"/>
          <w:highlight w:val="none"/>
        </w:rPr>
      </w:pPr>
    </w:p>
    <w:p>
      <w:pPr>
        <w:rPr>
          <w:rFonts w:ascii="宋体" w:hAnsi="宋体" w:cs="宋体"/>
          <w:color w:val="auto"/>
          <w:highlight w:val="none"/>
        </w:rPr>
      </w:pPr>
    </w:p>
    <w:p>
      <w:pPr>
        <w:spacing w:line="480" w:lineRule="auto"/>
        <w:jc w:val="center"/>
        <w:rPr>
          <w:rFonts w:ascii="宋体" w:hAnsi="宋体" w:cs="宋体"/>
          <w:b/>
          <w:color w:val="auto"/>
          <w:sz w:val="44"/>
          <w:highlight w:val="none"/>
        </w:rPr>
      </w:pPr>
      <w:r>
        <w:rPr>
          <w:rFonts w:hint="eastAsia" w:ascii="宋体" w:hAnsi="宋体" w:cs="宋体"/>
          <w:b/>
          <w:color w:val="auto"/>
          <w:sz w:val="44"/>
          <w:highlight w:val="none"/>
        </w:rPr>
        <w:t>目  录</w:t>
      </w:r>
    </w:p>
    <w:p>
      <w:pPr>
        <w:spacing w:line="480" w:lineRule="auto"/>
        <w:jc w:val="center"/>
        <w:rPr>
          <w:rFonts w:ascii="宋体" w:hAnsi="宋体" w:cs="宋体"/>
          <w:b/>
          <w:color w:val="auto"/>
          <w:sz w:val="44"/>
          <w:highlight w:val="none"/>
        </w:rPr>
      </w:pPr>
    </w:p>
    <w:p>
      <w:pPr>
        <w:spacing w:line="800" w:lineRule="exact"/>
        <w:rPr>
          <w:rFonts w:ascii="宋体" w:hAnsi="宋体" w:cs="宋体"/>
          <w:color w:val="auto"/>
          <w:sz w:val="36"/>
          <w:highlight w:val="none"/>
        </w:rPr>
      </w:pPr>
      <w:r>
        <w:rPr>
          <w:rFonts w:hint="eastAsia" w:ascii="宋体" w:hAnsi="宋体" w:cs="宋体"/>
          <w:color w:val="auto"/>
          <w:sz w:val="36"/>
          <w:highlight w:val="none"/>
        </w:rPr>
        <w:t>第一章、招标公告……………………………………2</w:t>
      </w:r>
    </w:p>
    <w:p>
      <w:pPr>
        <w:spacing w:line="800" w:lineRule="exact"/>
        <w:rPr>
          <w:rFonts w:hint="eastAsia" w:ascii="宋体" w:hAnsi="宋体" w:eastAsia="宋体" w:cs="宋体"/>
          <w:color w:val="auto"/>
          <w:sz w:val="36"/>
          <w:highlight w:val="none"/>
          <w:lang w:eastAsia="zh-CN"/>
        </w:rPr>
      </w:pPr>
      <w:r>
        <w:rPr>
          <w:rFonts w:hint="eastAsia" w:ascii="宋体" w:hAnsi="宋体" w:cs="宋体"/>
          <w:color w:val="auto"/>
          <w:sz w:val="36"/>
          <w:highlight w:val="none"/>
        </w:rPr>
        <w:t>第二章、投标须知……………………………………</w:t>
      </w:r>
      <w:r>
        <w:rPr>
          <w:rFonts w:hint="eastAsia" w:ascii="宋体" w:hAnsi="宋体" w:cs="宋体"/>
          <w:color w:val="auto"/>
          <w:sz w:val="36"/>
          <w:highlight w:val="none"/>
          <w:lang w:val="en-US" w:eastAsia="zh-CN"/>
        </w:rPr>
        <w:t>5</w:t>
      </w:r>
    </w:p>
    <w:p>
      <w:pPr>
        <w:spacing w:line="800" w:lineRule="exact"/>
        <w:rPr>
          <w:rFonts w:hint="eastAsia" w:ascii="宋体" w:hAnsi="宋体" w:eastAsia="宋体" w:cs="宋体"/>
          <w:color w:val="auto"/>
          <w:sz w:val="36"/>
          <w:highlight w:val="none"/>
          <w:lang w:eastAsia="zh-CN"/>
        </w:rPr>
      </w:pPr>
      <w:r>
        <w:rPr>
          <w:rFonts w:hint="eastAsia" w:ascii="宋体" w:hAnsi="宋体" w:cs="宋体"/>
          <w:color w:val="auto"/>
          <w:sz w:val="36"/>
          <w:highlight w:val="none"/>
        </w:rPr>
        <w:t>第三章、开标和评标须知……………………………1</w:t>
      </w:r>
      <w:r>
        <w:rPr>
          <w:rFonts w:hint="eastAsia" w:ascii="宋体" w:hAnsi="宋体" w:cs="宋体"/>
          <w:color w:val="auto"/>
          <w:sz w:val="36"/>
          <w:highlight w:val="none"/>
          <w:lang w:val="en-US" w:eastAsia="zh-CN"/>
        </w:rPr>
        <w:t>3</w:t>
      </w:r>
    </w:p>
    <w:p>
      <w:pPr>
        <w:spacing w:line="800" w:lineRule="exact"/>
        <w:rPr>
          <w:rFonts w:hint="eastAsia" w:ascii="宋体" w:hAnsi="宋体" w:eastAsia="宋体" w:cs="宋体"/>
          <w:color w:val="auto"/>
          <w:sz w:val="36"/>
          <w:highlight w:val="none"/>
          <w:lang w:eastAsia="zh-CN"/>
        </w:rPr>
      </w:pPr>
      <w:r>
        <w:rPr>
          <w:rFonts w:hint="eastAsia" w:ascii="宋体" w:hAnsi="宋体" w:cs="宋体"/>
          <w:color w:val="auto"/>
          <w:sz w:val="36"/>
          <w:highlight w:val="none"/>
        </w:rPr>
        <w:t>第四章、评分标准……………………………………1</w:t>
      </w:r>
      <w:r>
        <w:rPr>
          <w:rFonts w:hint="eastAsia" w:ascii="宋体" w:hAnsi="宋体" w:cs="宋体"/>
          <w:color w:val="auto"/>
          <w:sz w:val="36"/>
          <w:highlight w:val="none"/>
          <w:lang w:val="en-US" w:eastAsia="zh-CN"/>
        </w:rPr>
        <w:t>5</w:t>
      </w:r>
    </w:p>
    <w:p>
      <w:pPr>
        <w:spacing w:line="800" w:lineRule="exact"/>
        <w:rPr>
          <w:rFonts w:hint="eastAsia" w:ascii="宋体" w:hAnsi="宋体" w:eastAsia="宋体" w:cs="宋体"/>
          <w:color w:val="auto"/>
          <w:sz w:val="36"/>
          <w:highlight w:val="none"/>
          <w:lang w:eastAsia="zh-CN"/>
        </w:rPr>
      </w:pPr>
      <w:r>
        <w:rPr>
          <w:rFonts w:hint="eastAsia" w:ascii="宋体" w:hAnsi="宋体" w:cs="宋体"/>
          <w:color w:val="auto"/>
          <w:sz w:val="36"/>
          <w:highlight w:val="none"/>
        </w:rPr>
        <w:t>第五章、招标内容与技术要求………………………1</w:t>
      </w:r>
      <w:r>
        <w:rPr>
          <w:rFonts w:hint="eastAsia" w:ascii="宋体" w:hAnsi="宋体" w:cs="宋体"/>
          <w:color w:val="auto"/>
          <w:sz w:val="36"/>
          <w:highlight w:val="none"/>
          <w:lang w:val="en-US" w:eastAsia="zh-CN"/>
        </w:rPr>
        <w:t>7</w:t>
      </w:r>
    </w:p>
    <w:p>
      <w:pPr>
        <w:spacing w:line="800" w:lineRule="exact"/>
        <w:rPr>
          <w:rFonts w:hint="default" w:ascii="宋体" w:hAnsi="宋体" w:eastAsia="宋体" w:cs="宋体"/>
          <w:color w:val="auto"/>
          <w:sz w:val="36"/>
          <w:highlight w:val="none"/>
          <w:lang w:val="en-US" w:eastAsia="zh-CN"/>
        </w:rPr>
      </w:pPr>
      <w:r>
        <w:rPr>
          <w:rFonts w:hint="eastAsia" w:ascii="宋体" w:hAnsi="宋体" w:cs="宋体"/>
          <w:color w:val="auto"/>
          <w:sz w:val="36"/>
          <w:highlight w:val="none"/>
        </w:rPr>
        <w:t>第六章、商务条款……………………………………</w:t>
      </w:r>
      <w:r>
        <w:rPr>
          <w:rFonts w:hint="eastAsia" w:ascii="宋体" w:hAnsi="宋体" w:cs="宋体"/>
          <w:color w:val="auto"/>
          <w:sz w:val="36"/>
          <w:highlight w:val="none"/>
          <w:lang w:val="en-US" w:eastAsia="zh-CN"/>
        </w:rPr>
        <w:t>24</w:t>
      </w:r>
    </w:p>
    <w:p>
      <w:pPr>
        <w:spacing w:line="800" w:lineRule="exact"/>
        <w:rPr>
          <w:rFonts w:hint="default" w:ascii="宋体" w:hAnsi="宋体" w:eastAsia="宋体" w:cs="宋体"/>
          <w:color w:val="auto"/>
          <w:sz w:val="36"/>
          <w:highlight w:val="none"/>
          <w:lang w:val="en-US" w:eastAsia="zh-CN"/>
        </w:rPr>
      </w:pPr>
      <w:r>
        <w:rPr>
          <w:rFonts w:hint="eastAsia" w:ascii="宋体" w:hAnsi="宋体" w:cs="宋体"/>
          <w:color w:val="auto"/>
          <w:sz w:val="36"/>
          <w:highlight w:val="none"/>
        </w:rPr>
        <w:t>第七章、财务结算程序………………………………</w:t>
      </w:r>
      <w:r>
        <w:rPr>
          <w:rFonts w:hint="eastAsia" w:ascii="宋体" w:hAnsi="宋体" w:cs="宋体"/>
          <w:color w:val="auto"/>
          <w:sz w:val="36"/>
          <w:highlight w:val="none"/>
          <w:lang w:val="en-US" w:eastAsia="zh-CN"/>
        </w:rPr>
        <w:t>26</w:t>
      </w:r>
    </w:p>
    <w:p>
      <w:pPr>
        <w:spacing w:line="800" w:lineRule="exact"/>
        <w:rPr>
          <w:rFonts w:hint="default" w:ascii="宋体" w:hAnsi="宋体" w:eastAsia="宋体" w:cs="宋体"/>
          <w:color w:val="auto"/>
          <w:sz w:val="36"/>
          <w:highlight w:val="none"/>
          <w:lang w:val="en-US" w:eastAsia="zh-CN"/>
        </w:rPr>
      </w:pPr>
      <w:r>
        <w:rPr>
          <w:rFonts w:hint="eastAsia" w:ascii="宋体" w:hAnsi="宋体" w:cs="宋体"/>
          <w:color w:val="auto"/>
          <w:sz w:val="36"/>
          <w:highlight w:val="none"/>
        </w:rPr>
        <w:t>第八章、合同范本……………………………………</w:t>
      </w:r>
      <w:r>
        <w:rPr>
          <w:rFonts w:hint="eastAsia" w:ascii="宋体" w:hAnsi="宋体" w:cs="宋体"/>
          <w:color w:val="auto"/>
          <w:sz w:val="36"/>
          <w:highlight w:val="none"/>
          <w:lang w:val="en-US" w:eastAsia="zh-CN"/>
        </w:rPr>
        <w:t>27</w:t>
      </w:r>
    </w:p>
    <w:p>
      <w:pPr>
        <w:spacing w:line="800" w:lineRule="exact"/>
        <w:rPr>
          <w:rFonts w:hint="default" w:ascii="宋体" w:hAnsi="宋体" w:eastAsia="宋体" w:cs="宋体"/>
          <w:color w:val="auto"/>
          <w:sz w:val="36"/>
          <w:highlight w:val="none"/>
          <w:lang w:val="en-US" w:eastAsia="zh-CN"/>
        </w:rPr>
      </w:pPr>
      <w:r>
        <w:rPr>
          <w:rFonts w:hint="eastAsia" w:ascii="宋体" w:hAnsi="宋体" w:cs="宋体"/>
          <w:color w:val="auto"/>
          <w:sz w:val="36"/>
          <w:highlight w:val="none"/>
        </w:rPr>
        <w:t>第九章、附件…………………………………………</w:t>
      </w:r>
      <w:r>
        <w:rPr>
          <w:rFonts w:hint="eastAsia" w:ascii="宋体" w:hAnsi="宋体" w:cs="宋体"/>
          <w:color w:val="auto"/>
          <w:sz w:val="36"/>
          <w:highlight w:val="none"/>
          <w:lang w:val="en-US" w:eastAsia="zh-CN"/>
        </w:rPr>
        <w:t>31</w:t>
      </w:r>
    </w:p>
    <w:p>
      <w:pPr>
        <w:spacing w:line="800" w:lineRule="exact"/>
        <w:ind w:firstLine="727" w:firstLineChars="202"/>
        <w:rPr>
          <w:rFonts w:ascii="宋体" w:hAnsi="宋体" w:cs="宋体"/>
          <w:color w:val="auto"/>
          <w:sz w:val="36"/>
          <w:highlight w:val="none"/>
        </w:rPr>
      </w:pPr>
    </w:p>
    <w:p>
      <w:pPr>
        <w:spacing w:line="720" w:lineRule="auto"/>
        <w:ind w:left="2682"/>
        <w:rPr>
          <w:rFonts w:ascii="宋体" w:hAnsi="宋体" w:cs="宋体"/>
          <w:color w:val="auto"/>
          <w:sz w:val="36"/>
          <w:highlight w:val="none"/>
        </w:rPr>
      </w:pPr>
    </w:p>
    <w:p>
      <w:pPr>
        <w:spacing w:line="720" w:lineRule="auto"/>
        <w:ind w:left="2682"/>
        <w:rPr>
          <w:rFonts w:ascii="宋体" w:hAnsi="宋体" w:cs="宋体"/>
          <w:color w:val="auto"/>
          <w:sz w:val="36"/>
          <w:highlight w:val="none"/>
        </w:rPr>
      </w:pPr>
    </w:p>
    <w:p>
      <w:pPr>
        <w:spacing w:line="360" w:lineRule="auto"/>
        <w:jc w:val="center"/>
        <w:rPr>
          <w:rStyle w:val="97"/>
          <w:rFonts w:ascii="宋体" w:hAnsi="宋体" w:cs="宋体"/>
          <w:color w:val="auto"/>
          <w:sz w:val="36"/>
          <w:szCs w:val="36"/>
          <w:highlight w:val="none"/>
        </w:rPr>
        <w:sectPr>
          <w:footerReference r:id="rId8" w:type="default"/>
          <w:pgSz w:w="11906" w:h="16838"/>
          <w:pgMar w:top="1247" w:right="1247" w:bottom="1559" w:left="1247" w:header="851" w:footer="851" w:gutter="170"/>
          <w:pgNumType w:start="1"/>
          <w:cols w:space="720" w:num="1"/>
          <w:docGrid w:type="lines" w:linePitch="312" w:charSpace="0"/>
        </w:sectPr>
      </w:pPr>
    </w:p>
    <w:p>
      <w:pPr>
        <w:spacing w:line="348" w:lineRule="auto"/>
        <w:jc w:val="center"/>
        <w:rPr>
          <w:rFonts w:hint="eastAsia" w:ascii="宋体" w:hAnsi="宋体" w:cs="宋体"/>
          <w:color w:val="auto"/>
          <w:sz w:val="24"/>
          <w:szCs w:val="24"/>
          <w:highlight w:val="none"/>
        </w:rPr>
      </w:pPr>
      <w:r>
        <w:rPr>
          <w:rStyle w:val="97"/>
          <w:rFonts w:hint="eastAsia" w:ascii="宋体" w:hAnsi="宋体" w:cs="宋体"/>
          <w:b/>
          <w:bCs/>
          <w:color w:val="auto"/>
          <w:sz w:val="36"/>
          <w:szCs w:val="36"/>
          <w:highlight w:val="none"/>
        </w:rPr>
        <w:t>第一章   招标公告</w:t>
      </w:r>
    </w:p>
    <w:p>
      <w:pPr>
        <w:keepNext w:val="0"/>
        <w:keepLines w:val="0"/>
        <w:pageBreakBefore w:val="0"/>
        <w:widowControl/>
        <w:kinsoku/>
        <w:wordWrap/>
        <w:overflowPunct/>
        <w:topLinePunct w:val="0"/>
        <w:bidi w:val="0"/>
        <w:adjustRightInd/>
        <w:spacing w:line="360" w:lineRule="auto"/>
        <w:ind w:firstLine="480" w:firstLineChars="200"/>
        <w:jc w:val="left"/>
        <w:textAlignment w:val="auto"/>
        <w:rPr>
          <w:rFonts w:ascii="宋体" w:hAnsi="宋体" w:cs="宋体"/>
          <w:b/>
          <w:color w:val="auto"/>
          <w:sz w:val="24"/>
          <w:szCs w:val="24"/>
          <w:highlight w:val="none"/>
        </w:rPr>
      </w:pPr>
      <w:r>
        <w:rPr>
          <w:rFonts w:hint="eastAsia" w:ascii="宋体" w:hAnsi="宋体" w:cs="宋体"/>
          <w:color w:val="auto"/>
          <w:sz w:val="24"/>
          <w:szCs w:val="24"/>
          <w:highlight w:val="none"/>
        </w:rPr>
        <w:t>依据《中华人民共和国招标投标法》、《建德市非政府采购管理办法（试行）》，参照《中华人民共和国政府采购法》、《政府采购货物和服务招标投标管理办法》等有关法律法规规定，</w:t>
      </w:r>
      <w:r>
        <w:rPr>
          <w:rFonts w:hint="eastAsia" w:ascii="宋体" w:hAnsi="宋体" w:cs="宋体"/>
          <w:color w:val="auto"/>
          <w:sz w:val="24"/>
          <w:szCs w:val="24"/>
          <w:highlight w:val="none"/>
          <w:lang w:eastAsia="zh-CN"/>
        </w:rPr>
        <w:t>欧邦工程管理集团有限公司</w:t>
      </w:r>
      <w:r>
        <w:rPr>
          <w:rFonts w:hint="eastAsia" w:ascii="宋体" w:hAnsi="宋体" w:cs="宋体"/>
          <w:color w:val="auto"/>
          <w:sz w:val="24"/>
          <w:szCs w:val="24"/>
          <w:highlight w:val="none"/>
        </w:rPr>
        <w:t>就</w:t>
      </w:r>
      <w:r>
        <w:rPr>
          <w:rFonts w:hint="eastAsia" w:ascii="宋体" w:hAnsi="宋体" w:cs="宋体"/>
          <w:color w:val="auto"/>
          <w:sz w:val="24"/>
          <w:szCs w:val="24"/>
          <w:highlight w:val="none"/>
          <w:lang w:eastAsia="zh-CN"/>
        </w:rPr>
        <w:t>建德市长运物资有限公司6.5米级纯电动站立位公交车采购项目</w:t>
      </w:r>
      <w:r>
        <w:rPr>
          <w:rFonts w:hint="eastAsia" w:ascii="宋体" w:hAnsi="宋体" w:cs="宋体"/>
          <w:color w:val="auto"/>
          <w:sz w:val="24"/>
          <w:szCs w:val="24"/>
          <w:highlight w:val="none"/>
        </w:rPr>
        <w:t>进行公开招标，欢迎国内符合要求的供应商前来投标。</w:t>
      </w:r>
    </w:p>
    <w:p>
      <w:pPr>
        <w:keepNext w:val="0"/>
        <w:keepLines w:val="0"/>
        <w:pageBreakBefore w:val="0"/>
        <w:kinsoku/>
        <w:wordWrap/>
        <w:overflowPunct/>
        <w:topLinePunct w:val="0"/>
        <w:bidi w:val="0"/>
        <w:adjustRightInd/>
        <w:spacing w:line="360" w:lineRule="auto"/>
        <w:ind w:firstLine="482" w:firstLineChars="200"/>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一、项目编号：</w:t>
      </w:r>
      <w:r>
        <w:rPr>
          <w:rFonts w:hint="eastAsia" w:ascii="宋体" w:hAnsi="宋体" w:cs="宋体"/>
          <w:b/>
          <w:color w:val="auto"/>
          <w:sz w:val="24"/>
          <w:szCs w:val="24"/>
          <w:highlight w:val="none"/>
          <w:lang w:eastAsia="zh-CN"/>
        </w:rPr>
        <w:t>JDOBCG2024B-035</w:t>
      </w:r>
      <w:r>
        <w:rPr>
          <w:rFonts w:hint="eastAsia" w:ascii="宋体" w:hAnsi="宋体" w:cs="宋体"/>
          <w:b/>
          <w:color w:val="auto"/>
          <w:sz w:val="24"/>
          <w:szCs w:val="24"/>
          <w:highlight w:val="none"/>
        </w:rPr>
        <w:t xml:space="preserve">   </w:t>
      </w:r>
    </w:p>
    <w:p>
      <w:pPr>
        <w:keepNext w:val="0"/>
        <w:keepLines w:val="0"/>
        <w:pageBreakBefore w:val="0"/>
        <w:kinsoku/>
        <w:wordWrap/>
        <w:overflowPunct/>
        <w:topLinePunct w:val="0"/>
        <w:bidi w:val="0"/>
        <w:adjustRightInd/>
        <w:spacing w:line="360" w:lineRule="auto"/>
        <w:ind w:firstLine="482" w:firstLineChars="200"/>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二、招标内容：</w:t>
      </w:r>
    </w:p>
    <w:p>
      <w:pPr>
        <w:keepNext w:val="0"/>
        <w:keepLines w:val="0"/>
        <w:pageBreakBefore w:val="0"/>
        <w:kinsoku/>
        <w:wordWrap/>
        <w:overflowPunct/>
        <w:topLinePunct w:val="0"/>
        <w:bidi w:val="0"/>
        <w:adjustRightInd/>
        <w:snapToGrid w:val="0"/>
        <w:spacing w:line="360" w:lineRule="auto"/>
        <w:ind w:firstLine="600" w:firstLineChars="2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采购</w:t>
      </w:r>
      <w:r>
        <w:rPr>
          <w:rFonts w:hint="eastAsia" w:ascii="宋体" w:hAnsi="宋体" w:cs="宋体"/>
          <w:color w:val="auto"/>
          <w:sz w:val="24"/>
          <w:szCs w:val="24"/>
          <w:highlight w:val="none"/>
          <w:lang w:val="en-US" w:eastAsia="zh-CN"/>
        </w:rPr>
        <w:t>6.5米级纯电动站立位公交车</w:t>
      </w:r>
      <w:r>
        <w:rPr>
          <w:rFonts w:hint="eastAsia" w:ascii="宋体" w:hAnsi="宋体" w:cs="宋体"/>
          <w:color w:val="auto"/>
          <w:sz w:val="24"/>
          <w:szCs w:val="24"/>
          <w:highlight w:val="none"/>
        </w:rPr>
        <w:t>一批（包括设备的设计、制作、供货、包装、装卸运输、安装调试、</w:t>
      </w:r>
      <w:r>
        <w:rPr>
          <w:rFonts w:hint="eastAsia" w:ascii="宋体" w:hAnsi="宋体" w:cs="宋体"/>
          <w:color w:val="auto"/>
          <w:sz w:val="24"/>
          <w:szCs w:val="24"/>
          <w:highlight w:val="none"/>
          <w:lang w:val="en-US" w:eastAsia="zh-CN"/>
        </w:rPr>
        <w:t>附件、辅材、</w:t>
      </w:r>
      <w:r>
        <w:rPr>
          <w:rFonts w:hint="eastAsia" w:ascii="宋体" w:hAnsi="宋体" w:cs="宋体"/>
          <w:color w:val="auto"/>
          <w:sz w:val="24"/>
          <w:szCs w:val="24"/>
          <w:highlight w:val="none"/>
        </w:rPr>
        <w:t>备品备件、专用工具、税金、验收、辅助工作及售后服务等），具体内容详见《招标内容与技术要求》。</w:t>
      </w:r>
    </w:p>
    <w:p>
      <w:pPr>
        <w:keepNext w:val="0"/>
        <w:keepLines w:val="0"/>
        <w:pageBreakBefore w:val="0"/>
        <w:numPr>
          <w:ilvl w:val="0"/>
          <w:numId w:val="11"/>
        </w:numPr>
        <w:kinsoku/>
        <w:wordWrap/>
        <w:overflowPunct/>
        <w:topLinePunct w:val="0"/>
        <w:bidi w:val="0"/>
        <w:adjustRightInd/>
        <w:spacing w:line="360" w:lineRule="auto"/>
        <w:ind w:firstLine="482" w:firstLineChars="200"/>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投标供应商的资格要求：</w:t>
      </w:r>
    </w:p>
    <w:p>
      <w:pPr>
        <w:keepNext w:val="0"/>
        <w:keepLines w:val="0"/>
        <w:pageBreakBefore w:val="0"/>
        <w:kinsoku/>
        <w:wordWrap/>
        <w:overflowPunct/>
        <w:topLinePunct w:val="0"/>
        <w:bidi w:val="0"/>
        <w:adjustRightInd/>
        <w:snapToGrid w:val="0"/>
        <w:spacing w:line="360" w:lineRule="auto"/>
        <w:ind w:firstLine="600" w:firstLineChars="2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1、符合《中华人民共和国政府采购法》第二十二条对投标主体的要求；</w:t>
      </w:r>
    </w:p>
    <w:p>
      <w:pPr>
        <w:keepNext w:val="0"/>
        <w:keepLines w:val="0"/>
        <w:pageBreakBefore w:val="0"/>
        <w:kinsoku/>
        <w:wordWrap/>
        <w:overflowPunct/>
        <w:topLinePunct w:val="0"/>
        <w:bidi w:val="0"/>
        <w:adjustRightInd/>
        <w:snapToGrid w:val="0"/>
        <w:spacing w:line="360" w:lineRule="auto"/>
        <w:ind w:firstLine="600" w:firstLineChars="2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2、本项目不接受联合体投标；</w:t>
      </w:r>
    </w:p>
    <w:p>
      <w:pPr>
        <w:keepNext w:val="0"/>
        <w:keepLines w:val="0"/>
        <w:pageBreakBefore w:val="0"/>
        <w:kinsoku/>
        <w:wordWrap/>
        <w:overflowPunct/>
        <w:topLinePunct w:val="0"/>
        <w:bidi w:val="0"/>
        <w:adjustRightInd/>
        <w:snapToGrid w:val="0"/>
        <w:spacing w:line="360" w:lineRule="auto"/>
        <w:ind w:firstLine="600" w:firstLineChars="2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3、本项目不允许转包、分包。</w:t>
      </w:r>
    </w:p>
    <w:p>
      <w:pPr>
        <w:keepNext w:val="0"/>
        <w:keepLines w:val="0"/>
        <w:pageBreakBefore w:val="0"/>
        <w:kinsoku/>
        <w:wordWrap/>
        <w:overflowPunct/>
        <w:topLinePunct w:val="0"/>
        <w:bidi w:val="0"/>
        <w:adjustRightInd/>
        <w:snapToGrid w:val="0"/>
        <w:spacing w:line="360" w:lineRule="auto"/>
        <w:ind w:firstLine="600" w:firstLineChars="25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4、代理商需提供厂家授权委托书扫描件。</w:t>
      </w:r>
    </w:p>
    <w:p>
      <w:pPr>
        <w:keepNext w:val="0"/>
        <w:keepLines w:val="0"/>
        <w:pageBreakBefore w:val="0"/>
        <w:numPr>
          <w:ilvl w:val="0"/>
          <w:numId w:val="11"/>
        </w:numPr>
        <w:kinsoku/>
        <w:wordWrap/>
        <w:overflowPunct/>
        <w:topLinePunct w:val="0"/>
        <w:bidi w:val="0"/>
        <w:adjustRightInd/>
        <w:spacing w:line="360" w:lineRule="auto"/>
        <w:ind w:firstLine="482" w:firstLineChars="200"/>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本项目的报名、招标文件的发售时间、地址、售价：</w:t>
      </w:r>
    </w:p>
    <w:p>
      <w:pPr>
        <w:keepNext w:val="0"/>
        <w:keepLines w:val="0"/>
        <w:pageBreakBefore w:val="0"/>
        <w:kinsoku/>
        <w:wordWrap/>
        <w:overflowPunct/>
        <w:topLinePunct w:val="0"/>
        <w:bidi w:val="0"/>
        <w:adjustRightInd/>
        <w:spacing w:line="360" w:lineRule="auto"/>
        <w:ind w:firstLine="482" w:firstLineChars="200"/>
        <w:textAlignment w:val="auto"/>
        <w:rPr>
          <w:rStyle w:val="303"/>
          <w:rFonts w:ascii="宋体" w:hAnsi="宋体" w:cs="宋体"/>
          <w:color w:val="auto"/>
          <w:sz w:val="24"/>
          <w:szCs w:val="24"/>
          <w:highlight w:val="none"/>
        </w:rPr>
      </w:pPr>
      <w:r>
        <w:rPr>
          <w:rFonts w:hint="eastAsia" w:ascii="宋体" w:hAnsi="宋体" w:cs="宋体"/>
          <w:b/>
          <w:color w:val="auto"/>
          <w:sz w:val="24"/>
          <w:szCs w:val="24"/>
          <w:highlight w:val="none"/>
        </w:rPr>
        <w:t xml:space="preserve"> </w:t>
      </w:r>
      <w:r>
        <w:rPr>
          <w:rStyle w:val="303"/>
          <w:rFonts w:hint="eastAsia" w:ascii="宋体" w:hAnsi="宋体" w:cs="宋体"/>
          <w:color w:val="auto"/>
          <w:sz w:val="24"/>
          <w:szCs w:val="24"/>
          <w:highlight w:val="none"/>
        </w:rPr>
        <w:t>1、本项目无需报名。</w:t>
      </w:r>
    </w:p>
    <w:p>
      <w:pPr>
        <w:keepNext w:val="0"/>
        <w:keepLines w:val="0"/>
        <w:pageBreakBefore w:val="0"/>
        <w:kinsoku/>
        <w:wordWrap/>
        <w:overflowPunct/>
        <w:topLinePunct w:val="0"/>
        <w:bidi w:val="0"/>
        <w:adjustRightInd/>
        <w:spacing w:line="360" w:lineRule="auto"/>
        <w:ind w:firstLine="480" w:firstLineChars="200"/>
        <w:textAlignment w:val="auto"/>
        <w:rPr>
          <w:rStyle w:val="303"/>
          <w:rFonts w:ascii="宋体" w:hAnsi="宋体" w:cs="宋体"/>
          <w:color w:val="auto"/>
          <w:sz w:val="24"/>
          <w:szCs w:val="24"/>
          <w:highlight w:val="none"/>
        </w:rPr>
      </w:pPr>
      <w:r>
        <w:rPr>
          <w:rStyle w:val="303"/>
          <w:rFonts w:hint="eastAsia" w:ascii="宋体" w:hAnsi="宋体" w:cs="宋体"/>
          <w:color w:val="auto"/>
          <w:sz w:val="24"/>
          <w:szCs w:val="24"/>
          <w:highlight w:val="none"/>
        </w:rPr>
        <w:t xml:space="preserve"> 2、发售/获取地址：浙江政府采购网(</w:t>
      </w:r>
      <w:r>
        <w:rPr>
          <w:rStyle w:val="303"/>
          <w:rFonts w:hint="eastAsia" w:ascii="宋体" w:hAnsi="宋体" w:cs="宋体"/>
          <w:color w:val="auto"/>
          <w:sz w:val="24"/>
          <w:szCs w:val="24"/>
          <w:highlight w:val="none"/>
          <w:lang w:eastAsia="zh-CN"/>
        </w:rPr>
        <w:t>https://zfcg.czt.zj.gov.cn/</w:t>
      </w:r>
      <w:r>
        <w:rPr>
          <w:rStyle w:val="303"/>
          <w:rFonts w:hint="eastAsia" w:ascii="宋体" w:hAnsi="宋体" w:cs="宋体"/>
          <w:color w:val="auto"/>
          <w:sz w:val="24"/>
          <w:szCs w:val="24"/>
          <w:highlight w:val="none"/>
        </w:rPr>
        <w:t>)和建德市门户网站公共资源交易网址（http://www.jiande.gov.cn/col/col1229346101/index.html）。</w:t>
      </w:r>
    </w:p>
    <w:p>
      <w:pPr>
        <w:keepNext w:val="0"/>
        <w:keepLines w:val="0"/>
        <w:pageBreakBefore w:val="0"/>
        <w:kinsoku/>
        <w:wordWrap/>
        <w:overflowPunct/>
        <w:topLinePunct w:val="0"/>
        <w:bidi w:val="0"/>
        <w:adjustRightInd/>
        <w:spacing w:line="360" w:lineRule="auto"/>
        <w:ind w:firstLine="480" w:firstLineChars="200"/>
        <w:textAlignment w:val="auto"/>
        <w:rPr>
          <w:rStyle w:val="303"/>
          <w:rFonts w:hint="eastAsia" w:ascii="宋体" w:hAnsi="宋体" w:cs="宋体"/>
          <w:color w:val="auto"/>
          <w:sz w:val="24"/>
          <w:szCs w:val="24"/>
          <w:highlight w:val="none"/>
        </w:rPr>
      </w:pPr>
      <w:r>
        <w:rPr>
          <w:rStyle w:val="303"/>
          <w:rFonts w:hint="eastAsia" w:ascii="宋体" w:hAnsi="宋体" w:cs="宋体"/>
          <w:color w:val="auto"/>
          <w:sz w:val="24"/>
          <w:szCs w:val="24"/>
          <w:highlight w:val="none"/>
        </w:rPr>
        <w:t xml:space="preserve"> 3、招标文件费用：免费下载。</w:t>
      </w:r>
    </w:p>
    <w:p>
      <w:pPr>
        <w:keepNext w:val="0"/>
        <w:keepLines w:val="0"/>
        <w:pageBreakBefore w:val="0"/>
        <w:widowControl w:val="0"/>
        <w:kinsoku/>
        <w:wordWrap/>
        <w:overflowPunct/>
        <w:topLinePunct w:val="0"/>
        <w:autoSpaceDE/>
        <w:autoSpaceDN/>
        <w:bidi w:val="0"/>
        <w:adjustRightInd/>
        <w:snapToGrid/>
        <w:spacing w:line="360" w:lineRule="auto"/>
        <w:ind w:firstLine="593" w:firstLineChars="246"/>
        <w:textAlignment w:val="auto"/>
        <w:rPr>
          <w:rFonts w:hint="eastAsia" w:ascii="仿宋" w:hAnsi="仿宋" w:eastAsia="仿宋" w:cs="仿宋"/>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cs="宋体"/>
          <w:b/>
          <w:color w:val="auto"/>
          <w:sz w:val="24"/>
          <w:szCs w:val="24"/>
          <w:highlight w:val="none"/>
          <w:lang w:val="en-US" w:eastAsia="zh-CN"/>
        </w:rPr>
        <w:t>投标</w:t>
      </w:r>
      <w:r>
        <w:rPr>
          <w:rFonts w:hint="eastAsia" w:ascii="宋体" w:hAnsi="宋体" w:eastAsia="宋体" w:cs="宋体"/>
          <w:b/>
          <w:color w:val="auto"/>
          <w:sz w:val="24"/>
          <w:szCs w:val="24"/>
          <w:highlight w:val="none"/>
        </w:rPr>
        <w:t>保证金：</w:t>
      </w:r>
      <w:r>
        <w:rPr>
          <w:rStyle w:val="303"/>
          <w:rFonts w:hint="eastAsia" w:ascii="宋体" w:hAnsi="宋体" w:eastAsia="宋体" w:cs="宋体"/>
          <w:color w:val="auto"/>
          <w:sz w:val="24"/>
          <w:szCs w:val="24"/>
          <w:highlight w:val="none"/>
          <w:lang w:eastAsia="zh-CN"/>
        </w:rPr>
        <w:t>人民币</w:t>
      </w:r>
      <w:r>
        <w:rPr>
          <w:rStyle w:val="303"/>
          <w:rFonts w:hint="eastAsia" w:ascii="宋体" w:hAnsi="宋体" w:eastAsia="宋体" w:cs="宋体"/>
          <w:color w:val="auto"/>
          <w:sz w:val="24"/>
          <w:szCs w:val="24"/>
          <w:highlight w:val="none"/>
          <w:lang w:val="en-US" w:eastAsia="zh-CN"/>
        </w:rPr>
        <w:fldChar w:fldCharType="begin"/>
      </w:r>
      <w:r>
        <w:rPr>
          <w:rStyle w:val="303"/>
          <w:rFonts w:hint="eastAsia" w:ascii="宋体" w:hAnsi="宋体" w:eastAsia="宋体" w:cs="宋体"/>
          <w:color w:val="auto"/>
          <w:sz w:val="24"/>
          <w:szCs w:val="24"/>
          <w:highlight w:val="none"/>
          <w:lang w:val="en-US" w:eastAsia="zh-CN"/>
        </w:rPr>
        <w:instrText xml:space="preserve"> = 138000 \* CHINESENUM2 \* MERGEFORMAT </w:instrText>
      </w:r>
      <w:r>
        <w:rPr>
          <w:rStyle w:val="303"/>
          <w:rFonts w:hint="eastAsia" w:ascii="宋体" w:hAnsi="宋体" w:eastAsia="宋体" w:cs="宋体"/>
          <w:color w:val="auto"/>
          <w:sz w:val="24"/>
          <w:szCs w:val="24"/>
          <w:highlight w:val="none"/>
          <w:lang w:val="en-US" w:eastAsia="zh-CN"/>
        </w:rPr>
        <w:fldChar w:fldCharType="separate"/>
      </w:r>
      <w:r>
        <w:rPr>
          <w:rStyle w:val="303"/>
          <w:rFonts w:hint="eastAsia" w:ascii="宋体" w:hAnsi="宋体" w:cs="宋体"/>
          <w:color w:val="auto"/>
          <w:sz w:val="24"/>
          <w:szCs w:val="24"/>
          <w:highlight w:val="none"/>
          <w:lang w:eastAsia="zh-CN"/>
        </w:rPr>
        <w:t>陆万</w:t>
      </w:r>
      <w:r>
        <w:rPr>
          <w:rStyle w:val="303"/>
          <w:rFonts w:hint="eastAsia" w:ascii="宋体" w:hAnsi="宋体" w:eastAsia="宋体" w:cs="宋体"/>
          <w:color w:val="auto"/>
          <w:sz w:val="24"/>
          <w:szCs w:val="24"/>
          <w:highlight w:val="none"/>
          <w:lang w:val="en-US" w:eastAsia="zh-CN"/>
        </w:rPr>
        <w:fldChar w:fldCharType="end"/>
      </w:r>
      <w:r>
        <w:rPr>
          <w:rStyle w:val="303"/>
          <w:rFonts w:hint="eastAsia" w:ascii="宋体" w:hAnsi="宋体" w:eastAsia="宋体" w:cs="宋体"/>
          <w:color w:val="auto"/>
          <w:sz w:val="24"/>
          <w:szCs w:val="24"/>
          <w:highlight w:val="none"/>
          <w:lang w:eastAsia="zh-CN"/>
        </w:rPr>
        <w:t>元整（￥：</w:t>
      </w:r>
      <w:r>
        <w:rPr>
          <w:rStyle w:val="303"/>
          <w:rFonts w:hint="eastAsia" w:ascii="宋体" w:hAnsi="宋体" w:cs="宋体"/>
          <w:color w:val="auto"/>
          <w:sz w:val="24"/>
          <w:szCs w:val="24"/>
          <w:highlight w:val="none"/>
          <w:lang w:val="en-US" w:eastAsia="zh-CN"/>
        </w:rPr>
        <w:t>60000.00</w:t>
      </w:r>
      <w:r>
        <w:rPr>
          <w:rStyle w:val="303"/>
          <w:rFonts w:hint="eastAsia" w:ascii="宋体" w:hAnsi="宋体" w:eastAsia="宋体" w:cs="宋体"/>
          <w:color w:val="auto"/>
          <w:sz w:val="24"/>
          <w:szCs w:val="24"/>
          <w:highlight w:val="none"/>
          <w:lang w:eastAsia="zh-CN"/>
        </w:rPr>
        <w:t>元）。</w:t>
      </w:r>
    </w:p>
    <w:p>
      <w:pPr>
        <w:keepNext w:val="0"/>
        <w:keepLines w:val="0"/>
        <w:pageBreakBefore w:val="0"/>
        <w:kinsoku/>
        <w:wordWrap/>
        <w:overflowPunct/>
        <w:topLinePunct w:val="0"/>
        <w:bidi w:val="0"/>
        <w:adjustRightInd/>
        <w:spacing w:line="360" w:lineRule="auto"/>
        <w:ind w:firstLine="480" w:firstLineChars="200"/>
        <w:textAlignment w:val="auto"/>
        <w:rPr>
          <w:rStyle w:val="303"/>
          <w:rFonts w:hint="eastAsia" w:ascii="宋体" w:hAnsi="宋体" w:eastAsia="宋体" w:cs="宋体"/>
          <w:color w:val="auto"/>
          <w:sz w:val="24"/>
          <w:szCs w:val="24"/>
          <w:highlight w:val="none"/>
        </w:rPr>
      </w:pPr>
      <w:r>
        <w:rPr>
          <w:rStyle w:val="303"/>
          <w:rFonts w:hint="eastAsia" w:ascii="宋体" w:hAnsi="宋体" w:eastAsia="宋体" w:cs="宋体"/>
          <w:color w:val="auto"/>
          <w:sz w:val="24"/>
          <w:szCs w:val="24"/>
          <w:highlight w:val="none"/>
        </w:rPr>
        <w:t>各</w:t>
      </w:r>
      <w:r>
        <w:rPr>
          <w:rStyle w:val="303"/>
          <w:rFonts w:hint="eastAsia" w:ascii="宋体" w:hAnsi="宋体" w:eastAsia="宋体" w:cs="宋体"/>
          <w:color w:val="auto"/>
          <w:sz w:val="24"/>
          <w:szCs w:val="24"/>
          <w:highlight w:val="none"/>
          <w:lang w:eastAsia="zh-CN"/>
        </w:rPr>
        <w:t>投标</w:t>
      </w:r>
      <w:r>
        <w:rPr>
          <w:rStyle w:val="303"/>
          <w:rFonts w:hint="eastAsia" w:ascii="宋体" w:hAnsi="宋体" w:eastAsia="宋体" w:cs="宋体"/>
          <w:color w:val="auto"/>
          <w:sz w:val="24"/>
          <w:szCs w:val="24"/>
          <w:highlight w:val="none"/>
        </w:rPr>
        <w:t>供应商应于202</w:t>
      </w:r>
      <w:r>
        <w:rPr>
          <w:rStyle w:val="303"/>
          <w:rFonts w:hint="eastAsia" w:ascii="宋体" w:hAnsi="宋体" w:cs="宋体"/>
          <w:color w:val="auto"/>
          <w:sz w:val="24"/>
          <w:szCs w:val="24"/>
          <w:highlight w:val="none"/>
          <w:lang w:val="en-US" w:eastAsia="zh-CN"/>
        </w:rPr>
        <w:t>4</w:t>
      </w:r>
      <w:r>
        <w:rPr>
          <w:rStyle w:val="303"/>
          <w:rFonts w:hint="eastAsia" w:ascii="宋体" w:hAnsi="宋体" w:eastAsia="宋体" w:cs="宋体"/>
          <w:color w:val="auto"/>
          <w:sz w:val="24"/>
          <w:szCs w:val="24"/>
          <w:highlight w:val="none"/>
        </w:rPr>
        <w:t>年</w:t>
      </w:r>
      <w:r>
        <w:rPr>
          <w:rStyle w:val="303"/>
          <w:rFonts w:hint="eastAsia" w:ascii="宋体" w:hAnsi="宋体" w:cs="宋体"/>
          <w:color w:val="auto"/>
          <w:sz w:val="24"/>
          <w:szCs w:val="24"/>
          <w:highlight w:val="none"/>
          <w:lang w:val="en-US" w:eastAsia="zh-CN"/>
        </w:rPr>
        <w:t>5</w:t>
      </w:r>
      <w:r>
        <w:rPr>
          <w:rStyle w:val="303"/>
          <w:rFonts w:hint="eastAsia" w:ascii="宋体" w:hAnsi="宋体" w:eastAsia="宋体" w:cs="宋体"/>
          <w:color w:val="auto"/>
          <w:sz w:val="24"/>
          <w:szCs w:val="24"/>
          <w:highlight w:val="none"/>
        </w:rPr>
        <w:t>月</w:t>
      </w:r>
      <w:r>
        <w:rPr>
          <w:rStyle w:val="303"/>
          <w:rFonts w:hint="eastAsia" w:ascii="宋体" w:hAnsi="宋体" w:cs="宋体"/>
          <w:color w:val="auto"/>
          <w:sz w:val="24"/>
          <w:szCs w:val="24"/>
          <w:highlight w:val="none"/>
          <w:lang w:val="en-US" w:eastAsia="zh-CN"/>
        </w:rPr>
        <w:t>7</w:t>
      </w:r>
      <w:r>
        <w:rPr>
          <w:rStyle w:val="303"/>
          <w:rFonts w:hint="eastAsia" w:ascii="宋体" w:hAnsi="宋体" w:eastAsia="宋体" w:cs="宋体"/>
          <w:color w:val="auto"/>
          <w:sz w:val="24"/>
          <w:szCs w:val="24"/>
          <w:highlight w:val="none"/>
        </w:rPr>
        <w:t>日17</w:t>
      </w:r>
      <w:r>
        <w:rPr>
          <w:rStyle w:val="303"/>
          <w:rFonts w:hint="eastAsia" w:ascii="宋体" w:hAnsi="宋体" w:eastAsia="宋体" w:cs="宋体"/>
          <w:color w:val="auto"/>
          <w:sz w:val="24"/>
          <w:szCs w:val="24"/>
          <w:highlight w:val="none"/>
          <w:lang w:eastAsia="zh-CN"/>
        </w:rPr>
        <w:t>：</w:t>
      </w:r>
      <w:r>
        <w:rPr>
          <w:rStyle w:val="303"/>
          <w:rFonts w:hint="eastAsia" w:ascii="宋体" w:hAnsi="宋体" w:eastAsia="宋体" w:cs="宋体"/>
          <w:color w:val="auto"/>
          <w:sz w:val="24"/>
          <w:szCs w:val="24"/>
          <w:highlight w:val="none"/>
          <w:lang w:val="en-US" w:eastAsia="zh-CN"/>
        </w:rPr>
        <w:t>00</w:t>
      </w:r>
      <w:r>
        <w:rPr>
          <w:rStyle w:val="303"/>
          <w:rFonts w:hint="eastAsia" w:ascii="宋体" w:hAnsi="宋体" w:eastAsia="宋体" w:cs="宋体"/>
          <w:color w:val="auto"/>
          <w:sz w:val="24"/>
          <w:szCs w:val="24"/>
          <w:highlight w:val="none"/>
        </w:rPr>
        <w:t>时前将</w:t>
      </w:r>
      <w:r>
        <w:rPr>
          <w:rStyle w:val="303"/>
          <w:rFonts w:hint="eastAsia" w:ascii="宋体" w:hAnsi="宋体" w:eastAsia="宋体" w:cs="宋体"/>
          <w:color w:val="auto"/>
          <w:sz w:val="24"/>
          <w:szCs w:val="24"/>
          <w:highlight w:val="none"/>
          <w:lang w:eastAsia="zh-CN"/>
        </w:rPr>
        <w:t>投标保证金</w:t>
      </w:r>
      <w:r>
        <w:rPr>
          <w:rStyle w:val="303"/>
          <w:rFonts w:hint="eastAsia" w:ascii="宋体" w:hAnsi="宋体" w:eastAsia="宋体" w:cs="宋体"/>
          <w:color w:val="auto"/>
          <w:sz w:val="24"/>
          <w:szCs w:val="24"/>
          <w:highlight w:val="none"/>
        </w:rPr>
        <w:t>以银行汇票、电汇、网银形式到账至以下账户：</w:t>
      </w:r>
    </w:p>
    <w:p>
      <w:pPr>
        <w:keepNext w:val="0"/>
        <w:keepLines w:val="0"/>
        <w:pageBreakBefore w:val="0"/>
        <w:kinsoku/>
        <w:wordWrap/>
        <w:overflowPunct/>
        <w:topLinePunct w:val="0"/>
        <w:bidi w:val="0"/>
        <w:adjustRightInd/>
        <w:spacing w:line="360" w:lineRule="auto"/>
        <w:ind w:firstLine="480" w:firstLineChars="200"/>
        <w:textAlignment w:val="auto"/>
        <w:rPr>
          <w:rStyle w:val="303"/>
          <w:rFonts w:hint="eastAsia" w:ascii="宋体" w:hAnsi="宋体" w:eastAsia="宋体" w:cs="宋体"/>
          <w:color w:val="auto"/>
          <w:sz w:val="24"/>
          <w:szCs w:val="24"/>
          <w:highlight w:val="none"/>
        </w:rPr>
      </w:pPr>
      <w:r>
        <w:rPr>
          <w:rStyle w:val="303"/>
          <w:rFonts w:hint="eastAsia" w:ascii="宋体" w:hAnsi="宋体" w:eastAsia="宋体" w:cs="宋体"/>
          <w:color w:val="auto"/>
          <w:sz w:val="24"/>
          <w:szCs w:val="24"/>
          <w:highlight w:val="none"/>
        </w:rPr>
        <w:t>账户名称：</w:t>
      </w:r>
      <w:r>
        <w:rPr>
          <w:rStyle w:val="303"/>
          <w:rFonts w:hint="eastAsia" w:ascii="宋体" w:hAnsi="宋体" w:cs="宋体"/>
          <w:color w:val="auto"/>
          <w:sz w:val="24"/>
          <w:szCs w:val="24"/>
          <w:highlight w:val="none"/>
          <w:lang w:eastAsia="zh-CN"/>
        </w:rPr>
        <w:t>欧邦工程管理集团有限公司</w:t>
      </w:r>
      <w:r>
        <w:rPr>
          <w:rStyle w:val="303"/>
          <w:rFonts w:hint="eastAsia" w:ascii="宋体" w:hAnsi="宋体" w:eastAsia="宋体" w:cs="宋体"/>
          <w:color w:val="auto"/>
          <w:sz w:val="24"/>
          <w:szCs w:val="24"/>
          <w:highlight w:val="none"/>
        </w:rPr>
        <w:t>建德分公司</w:t>
      </w:r>
    </w:p>
    <w:p>
      <w:pPr>
        <w:keepNext w:val="0"/>
        <w:keepLines w:val="0"/>
        <w:pageBreakBefore w:val="0"/>
        <w:kinsoku/>
        <w:wordWrap/>
        <w:overflowPunct/>
        <w:topLinePunct w:val="0"/>
        <w:bidi w:val="0"/>
        <w:adjustRightInd/>
        <w:spacing w:line="360" w:lineRule="auto"/>
        <w:ind w:firstLine="480" w:firstLineChars="200"/>
        <w:textAlignment w:val="auto"/>
        <w:rPr>
          <w:rStyle w:val="303"/>
          <w:rFonts w:hint="eastAsia" w:ascii="宋体" w:hAnsi="宋体" w:eastAsia="宋体" w:cs="宋体"/>
          <w:color w:val="auto"/>
          <w:sz w:val="24"/>
          <w:szCs w:val="24"/>
          <w:highlight w:val="none"/>
        </w:rPr>
      </w:pPr>
      <w:r>
        <w:rPr>
          <w:rStyle w:val="303"/>
          <w:rFonts w:hint="eastAsia" w:ascii="宋体" w:hAnsi="宋体" w:eastAsia="宋体" w:cs="宋体"/>
          <w:color w:val="auto"/>
          <w:sz w:val="24"/>
          <w:szCs w:val="24"/>
          <w:highlight w:val="none"/>
        </w:rPr>
        <w:t>开户银行：</w:t>
      </w:r>
      <w:r>
        <w:rPr>
          <w:rStyle w:val="303"/>
          <w:rFonts w:hint="eastAsia" w:ascii="宋体" w:hAnsi="宋体" w:eastAsia="宋体" w:cs="宋体"/>
          <w:color w:val="auto"/>
          <w:sz w:val="24"/>
          <w:szCs w:val="24"/>
          <w:highlight w:val="none"/>
          <w:lang w:val="en-US" w:eastAsia="zh-CN"/>
        </w:rPr>
        <w:t>杭州银行股份有限公司建德支行</w:t>
      </w:r>
    </w:p>
    <w:p>
      <w:pPr>
        <w:keepNext w:val="0"/>
        <w:keepLines w:val="0"/>
        <w:pageBreakBefore w:val="0"/>
        <w:kinsoku/>
        <w:wordWrap/>
        <w:overflowPunct/>
        <w:topLinePunct w:val="0"/>
        <w:bidi w:val="0"/>
        <w:adjustRightInd/>
        <w:spacing w:line="360" w:lineRule="auto"/>
        <w:ind w:firstLine="480" w:firstLineChars="200"/>
        <w:textAlignment w:val="auto"/>
        <w:rPr>
          <w:rStyle w:val="303"/>
          <w:rFonts w:hint="eastAsia" w:ascii="宋体" w:hAnsi="宋体" w:eastAsia="宋体" w:cs="宋体"/>
          <w:color w:val="auto"/>
          <w:sz w:val="24"/>
          <w:szCs w:val="24"/>
          <w:highlight w:val="none"/>
        </w:rPr>
      </w:pPr>
      <w:r>
        <w:rPr>
          <w:rStyle w:val="303"/>
          <w:rFonts w:hint="eastAsia" w:ascii="宋体" w:hAnsi="宋体" w:eastAsia="宋体" w:cs="宋体"/>
          <w:color w:val="auto"/>
          <w:sz w:val="24"/>
          <w:szCs w:val="24"/>
          <w:highlight w:val="none"/>
        </w:rPr>
        <w:t xml:space="preserve">银行账号：3301040160013044253 </w:t>
      </w:r>
    </w:p>
    <w:p>
      <w:pPr>
        <w:keepNext w:val="0"/>
        <w:keepLines w:val="0"/>
        <w:pageBreakBefore w:val="0"/>
        <w:kinsoku/>
        <w:wordWrap/>
        <w:overflowPunct/>
        <w:topLinePunct w:val="0"/>
        <w:bidi w:val="0"/>
        <w:adjustRightInd/>
        <w:spacing w:line="360" w:lineRule="auto"/>
        <w:ind w:firstLine="480" w:firstLineChars="200"/>
        <w:textAlignment w:val="auto"/>
        <w:rPr>
          <w:rFonts w:hint="eastAsia" w:eastAsia="宋体"/>
          <w:color w:val="auto"/>
          <w:highlight w:val="none"/>
          <w:lang w:eastAsia="zh-CN"/>
        </w:rPr>
      </w:pPr>
      <w:r>
        <w:rPr>
          <w:rStyle w:val="303"/>
          <w:rFonts w:hint="eastAsia" w:ascii="宋体" w:hAnsi="宋体" w:eastAsia="宋体" w:cs="宋体"/>
          <w:color w:val="auto"/>
          <w:sz w:val="24"/>
          <w:szCs w:val="24"/>
          <w:highlight w:val="none"/>
        </w:rPr>
        <w:t>保证金若以电汇、网银方式交纳的</w:t>
      </w:r>
      <w:r>
        <w:rPr>
          <w:rStyle w:val="303"/>
          <w:rFonts w:hint="eastAsia" w:ascii="宋体" w:hAnsi="宋体" w:cs="宋体"/>
          <w:color w:val="auto"/>
          <w:sz w:val="24"/>
          <w:szCs w:val="24"/>
          <w:highlight w:val="none"/>
          <w:lang w:eastAsia="zh-CN"/>
        </w:rPr>
        <w:t>，</w:t>
      </w:r>
      <w:r>
        <w:rPr>
          <w:rStyle w:val="303"/>
          <w:rFonts w:hint="eastAsia" w:ascii="宋体" w:hAnsi="宋体" w:eastAsia="宋体" w:cs="宋体"/>
          <w:color w:val="auto"/>
          <w:sz w:val="24"/>
          <w:szCs w:val="24"/>
          <w:highlight w:val="none"/>
        </w:rPr>
        <w:t>请将电汇底单、网银电脑打印凭证写上所投项目名称或招标编号。要求从各磋商响应供应商账户汇入，不接受现金形式。</w:t>
      </w:r>
    </w:p>
    <w:p>
      <w:pPr>
        <w:keepNext w:val="0"/>
        <w:keepLines w:val="0"/>
        <w:pageBreakBefore w:val="0"/>
        <w:kinsoku/>
        <w:wordWrap/>
        <w:overflowPunct/>
        <w:topLinePunct w:val="0"/>
        <w:bidi w:val="0"/>
        <w:adjustRightInd/>
        <w:spacing w:line="360" w:lineRule="auto"/>
        <w:ind w:firstLine="482" w:firstLineChars="200"/>
        <w:textAlignment w:val="auto"/>
        <w:rPr>
          <w:rFonts w:ascii="宋体" w:hAnsi="宋体" w:cs="宋体"/>
          <w:color w:val="auto"/>
          <w:sz w:val="24"/>
          <w:szCs w:val="24"/>
          <w:highlight w:val="none"/>
        </w:rPr>
      </w:pPr>
      <w:r>
        <w:rPr>
          <w:rFonts w:hint="eastAsia" w:ascii="宋体" w:hAnsi="宋体" w:cs="宋体"/>
          <w:b/>
          <w:color w:val="auto"/>
          <w:sz w:val="24"/>
          <w:szCs w:val="24"/>
          <w:highlight w:val="none"/>
          <w:lang w:eastAsia="zh-CN"/>
        </w:rPr>
        <w:t>六</w:t>
      </w:r>
      <w:r>
        <w:rPr>
          <w:rFonts w:hint="eastAsia" w:ascii="宋体" w:hAnsi="宋体" w:cs="宋体"/>
          <w:b/>
          <w:color w:val="auto"/>
          <w:sz w:val="24"/>
          <w:szCs w:val="24"/>
          <w:highlight w:val="none"/>
        </w:rPr>
        <w:t>、投标截止时间和地点：</w:t>
      </w:r>
      <w:r>
        <w:rPr>
          <w:rFonts w:hint="eastAsia" w:ascii="宋体" w:hAnsi="宋体" w:cs="宋体"/>
          <w:color w:val="auto"/>
          <w:sz w:val="24"/>
          <w:szCs w:val="24"/>
          <w:highlight w:val="none"/>
          <w:lang w:eastAsia="zh-CN"/>
        </w:rPr>
        <w:t>投标供应商</w:t>
      </w:r>
      <w:r>
        <w:rPr>
          <w:rFonts w:hint="eastAsia" w:ascii="宋体" w:hAnsi="宋体" w:cs="宋体"/>
          <w:bCs/>
          <w:color w:val="auto"/>
          <w:sz w:val="24"/>
          <w:szCs w:val="24"/>
          <w:highlight w:val="none"/>
        </w:rPr>
        <w:t>应于</w:t>
      </w:r>
      <w:r>
        <w:rPr>
          <w:rFonts w:hint="eastAsia" w:ascii="宋体" w:hAnsi="宋体" w:cs="宋体"/>
          <w:b/>
          <w:color w:val="auto"/>
          <w:sz w:val="24"/>
          <w:szCs w:val="24"/>
          <w:highlight w:val="none"/>
          <w:lang w:eastAsia="zh-CN"/>
        </w:rPr>
        <w:t>2024年5月8日9:30</w:t>
      </w:r>
      <w:r>
        <w:rPr>
          <w:rFonts w:hint="eastAsia" w:ascii="宋体" w:hAnsi="宋体" w:cs="宋体"/>
          <w:b/>
          <w:color w:val="auto"/>
          <w:sz w:val="24"/>
          <w:szCs w:val="24"/>
          <w:highlight w:val="none"/>
        </w:rPr>
        <w:t>前</w:t>
      </w:r>
      <w:r>
        <w:rPr>
          <w:rFonts w:hint="eastAsia" w:ascii="宋体" w:hAnsi="宋体" w:cs="宋体"/>
          <w:color w:val="auto"/>
          <w:sz w:val="24"/>
          <w:szCs w:val="24"/>
          <w:highlight w:val="none"/>
        </w:rPr>
        <w:t>将投标文件密封送交到杭州市公共资源交易中心建德分中心（洋安社区荷映路113号3楼）</w:t>
      </w:r>
      <w:r>
        <w:rPr>
          <w:rFonts w:hint="eastAsia" w:ascii="宋体" w:hAnsi="宋体" w:cs="宋体"/>
          <w:b/>
          <w:bCs/>
          <w:color w:val="auto"/>
          <w:sz w:val="24"/>
          <w:szCs w:val="24"/>
          <w:highlight w:val="none"/>
          <w:lang w:val="en-US" w:eastAsia="zh-CN"/>
        </w:rPr>
        <w:t>2</w:t>
      </w:r>
      <w:r>
        <w:rPr>
          <w:rFonts w:hint="eastAsia" w:ascii="宋体" w:hAnsi="宋体" w:cs="宋体"/>
          <w:b/>
          <w:bCs/>
          <w:color w:val="auto"/>
          <w:sz w:val="24"/>
          <w:szCs w:val="24"/>
          <w:highlight w:val="none"/>
        </w:rPr>
        <w:t>号开标室，</w:t>
      </w:r>
      <w:r>
        <w:rPr>
          <w:rFonts w:hint="eastAsia" w:ascii="宋体" w:hAnsi="宋体" w:cs="宋体"/>
          <w:color w:val="auto"/>
          <w:sz w:val="24"/>
          <w:szCs w:val="24"/>
          <w:highlight w:val="none"/>
        </w:rPr>
        <w:t>逾期送达或未密封将予以拒收。</w:t>
      </w:r>
    </w:p>
    <w:p>
      <w:pPr>
        <w:keepNext w:val="0"/>
        <w:keepLines w:val="0"/>
        <w:pageBreakBefore w:val="0"/>
        <w:kinsoku/>
        <w:wordWrap/>
        <w:overflowPunct/>
        <w:topLinePunct w:val="0"/>
        <w:bidi w:val="0"/>
        <w:adjustRightInd/>
        <w:spacing w:line="360" w:lineRule="auto"/>
        <w:ind w:firstLine="463" w:firstLineChars="192"/>
        <w:textAlignment w:val="auto"/>
        <w:rPr>
          <w:rFonts w:ascii="宋体" w:hAnsi="宋体" w:cs="宋体"/>
          <w:color w:val="auto"/>
          <w:sz w:val="24"/>
          <w:szCs w:val="24"/>
          <w:highlight w:val="none"/>
        </w:rPr>
      </w:pPr>
      <w:r>
        <w:rPr>
          <w:rFonts w:hint="eastAsia" w:ascii="宋体" w:hAnsi="宋体" w:cs="宋体"/>
          <w:b/>
          <w:color w:val="auto"/>
          <w:sz w:val="24"/>
          <w:szCs w:val="24"/>
          <w:highlight w:val="none"/>
          <w:lang w:eastAsia="zh-CN"/>
        </w:rPr>
        <w:t>七</w:t>
      </w:r>
      <w:r>
        <w:rPr>
          <w:rFonts w:hint="eastAsia" w:ascii="宋体" w:hAnsi="宋体" w:cs="宋体"/>
          <w:b/>
          <w:color w:val="auto"/>
          <w:sz w:val="24"/>
          <w:szCs w:val="24"/>
          <w:highlight w:val="none"/>
        </w:rPr>
        <w:t>、开标时间及地点：</w:t>
      </w:r>
      <w:r>
        <w:rPr>
          <w:rFonts w:hint="eastAsia" w:ascii="宋体" w:hAnsi="宋体" w:cs="宋体"/>
          <w:color w:val="auto"/>
          <w:sz w:val="24"/>
          <w:szCs w:val="24"/>
          <w:highlight w:val="none"/>
        </w:rPr>
        <w:t>本次招标将于</w:t>
      </w:r>
      <w:r>
        <w:rPr>
          <w:rFonts w:hint="eastAsia" w:ascii="宋体" w:hAnsi="宋体" w:cs="宋体"/>
          <w:b/>
          <w:bCs w:val="0"/>
          <w:color w:val="auto"/>
          <w:sz w:val="24"/>
          <w:szCs w:val="24"/>
          <w:highlight w:val="none"/>
          <w:lang w:eastAsia="zh-CN"/>
        </w:rPr>
        <w:t>2024年5月8日9:30</w:t>
      </w:r>
      <w:r>
        <w:rPr>
          <w:rFonts w:hint="eastAsia" w:ascii="宋体" w:hAnsi="宋体" w:cs="宋体"/>
          <w:b/>
          <w:bCs w:val="0"/>
          <w:color w:val="auto"/>
          <w:sz w:val="24"/>
          <w:szCs w:val="24"/>
          <w:highlight w:val="none"/>
        </w:rPr>
        <w:t>时</w:t>
      </w:r>
      <w:r>
        <w:rPr>
          <w:rFonts w:hint="eastAsia" w:ascii="宋体" w:hAnsi="宋体" w:cs="宋体"/>
          <w:color w:val="auto"/>
          <w:sz w:val="24"/>
          <w:szCs w:val="24"/>
          <w:highlight w:val="none"/>
        </w:rPr>
        <w:t>在杭州市公共资源交易中心建德分中心（洋安社区荷映路113号3楼）</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号开标室开标，全权代表出席开标会议（</w:t>
      </w:r>
      <w:r>
        <w:rPr>
          <w:rFonts w:hint="eastAsia" w:hAnsi="宋体" w:cs="宋体"/>
          <w:color w:val="auto"/>
          <w:sz w:val="24"/>
          <w:szCs w:val="24"/>
          <w:highlight w:val="none"/>
        </w:rPr>
        <w:t>全权代表若是授权委托人的须携带身份证、授权委托书原件参加；若是法定代表人须携带身份证等有效证明出席</w:t>
      </w:r>
      <w:r>
        <w:rPr>
          <w:rFonts w:hint="eastAsia" w:ascii="宋体" w:hAnsi="宋体" w:cs="宋体"/>
          <w:color w:val="auto"/>
          <w:sz w:val="24"/>
          <w:szCs w:val="24"/>
          <w:highlight w:val="none"/>
        </w:rPr>
        <w:t>）。</w:t>
      </w:r>
    </w:p>
    <w:p>
      <w:pPr>
        <w:keepNext w:val="0"/>
        <w:keepLines w:val="0"/>
        <w:pageBreakBefore w:val="0"/>
        <w:kinsoku/>
        <w:wordWrap/>
        <w:overflowPunct/>
        <w:topLinePunct w:val="0"/>
        <w:bidi w:val="0"/>
        <w:adjustRightInd/>
        <w:spacing w:line="360" w:lineRule="auto"/>
        <w:ind w:firstLine="463" w:firstLineChars="192"/>
        <w:textAlignment w:val="auto"/>
        <w:rPr>
          <w:rFonts w:ascii="宋体" w:hAnsi="宋体" w:cs="宋体"/>
          <w:b/>
          <w:color w:val="auto"/>
          <w:sz w:val="24"/>
          <w:szCs w:val="24"/>
          <w:highlight w:val="none"/>
        </w:rPr>
      </w:pPr>
      <w:r>
        <w:rPr>
          <w:rFonts w:hint="eastAsia" w:ascii="宋体" w:hAnsi="宋体" w:cs="宋体"/>
          <w:b/>
          <w:color w:val="auto"/>
          <w:sz w:val="24"/>
          <w:szCs w:val="24"/>
          <w:highlight w:val="none"/>
          <w:lang w:eastAsia="zh-CN"/>
        </w:rPr>
        <w:t>八</w:t>
      </w:r>
      <w:r>
        <w:rPr>
          <w:rFonts w:hint="eastAsia" w:ascii="宋体" w:hAnsi="宋体" w:cs="宋体"/>
          <w:b/>
          <w:color w:val="auto"/>
          <w:sz w:val="24"/>
          <w:szCs w:val="24"/>
          <w:highlight w:val="none"/>
        </w:rPr>
        <w:t>、发布媒体：</w:t>
      </w:r>
    </w:p>
    <w:p>
      <w:pPr>
        <w:keepNext w:val="0"/>
        <w:keepLines w:val="0"/>
        <w:pageBreakBefore w:val="0"/>
        <w:kinsoku/>
        <w:wordWrap/>
        <w:overflowPunct/>
        <w:topLinePunct w:val="0"/>
        <w:bidi w:val="0"/>
        <w:adjustRightInd/>
        <w:spacing w:line="360" w:lineRule="auto"/>
        <w:ind w:firstLine="460" w:firstLineChars="192"/>
        <w:textAlignment w:val="auto"/>
        <w:rPr>
          <w:rFonts w:ascii="宋体" w:hAnsi="宋体" w:cs="宋体"/>
          <w:color w:val="auto"/>
          <w:sz w:val="24"/>
          <w:szCs w:val="24"/>
          <w:highlight w:val="none"/>
        </w:rPr>
      </w:pPr>
      <w:r>
        <w:rPr>
          <w:rFonts w:hint="eastAsia" w:ascii="宋体" w:hAnsi="宋体" w:cs="宋体"/>
          <w:color w:val="auto"/>
          <w:sz w:val="24"/>
          <w:szCs w:val="24"/>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s="宋体"/>
          <w:color w:val="auto"/>
          <w:sz w:val="24"/>
          <w:szCs w:val="24"/>
          <w:highlight w:val="none"/>
          <w:lang w:eastAsia="zh-CN"/>
        </w:rPr>
        <w:t>https://zfcg.czt.zj.gov.cn/</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和</w:t>
      </w:r>
      <w:r>
        <w:rPr>
          <w:rFonts w:hint="eastAsia" w:ascii="宋体" w:hAnsi="宋体" w:cs="宋体"/>
          <w:color w:val="auto"/>
          <w:sz w:val="24"/>
          <w:szCs w:val="24"/>
          <w:highlight w:val="none"/>
        </w:rPr>
        <w:t>建德市门户网站公共资源交易网（http://www.jiande.gov.cn/col/col1229346101/index.html）。</w:t>
      </w:r>
    </w:p>
    <w:p>
      <w:pPr>
        <w:keepNext w:val="0"/>
        <w:keepLines w:val="0"/>
        <w:pageBreakBefore w:val="0"/>
        <w:kinsoku/>
        <w:wordWrap/>
        <w:overflowPunct/>
        <w:topLinePunct w:val="0"/>
        <w:bidi w:val="0"/>
        <w:adjustRightInd/>
        <w:spacing w:line="360" w:lineRule="auto"/>
        <w:ind w:firstLine="463" w:firstLineChars="192"/>
        <w:textAlignment w:val="auto"/>
        <w:rPr>
          <w:rFonts w:ascii="宋体" w:hAnsi="宋体" w:cs="宋体"/>
          <w:b/>
          <w:color w:val="auto"/>
          <w:sz w:val="24"/>
          <w:szCs w:val="24"/>
          <w:highlight w:val="none"/>
        </w:rPr>
      </w:pPr>
      <w:r>
        <w:rPr>
          <w:rFonts w:hint="eastAsia" w:ascii="宋体" w:hAnsi="宋体" w:cs="宋体"/>
          <w:b/>
          <w:color w:val="auto"/>
          <w:sz w:val="24"/>
          <w:szCs w:val="24"/>
          <w:highlight w:val="none"/>
          <w:lang w:eastAsia="zh-CN"/>
        </w:rPr>
        <w:t>九</w:t>
      </w:r>
      <w:r>
        <w:rPr>
          <w:rFonts w:hint="eastAsia" w:ascii="宋体" w:hAnsi="宋体" w:cs="宋体"/>
          <w:b/>
          <w:color w:val="auto"/>
          <w:sz w:val="24"/>
          <w:szCs w:val="24"/>
          <w:highlight w:val="none"/>
        </w:rPr>
        <w:t>、信用记录</w:t>
      </w:r>
    </w:p>
    <w:p>
      <w:pPr>
        <w:keepNext w:val="0"/>
        <w:keepLines w:val="0"/>
        <w:pageBreakBefore w:val="0"/>
        <w:kinsoku/>
        <w:wordWrap/>
        <w:overflowPunct/>
        <w:topLinePunct w:val="0"/>
        <w:bidi w:val="0"/>
        <w:adjustRightInd/>
        <w:spacing w:line="360" w:lineRule="auto"/>
        <w:ind w:firstLine="482" w:firstLineChars="200"/>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w:t>
      </w:r>
      <w:r>
        <w:rPr>
          <w:rFonts w:hint="eastAsia" w:ascii="宋体" w:hAnsi="宋体" w:cs="宋体"/>
          <w:b/>
          <w:color w:val="auto"/>
          <w:sz w:val="24"/>
          <w:szCs w:val="24"/>
          <w:highlight w:val="none"/>
          <w:lang w:eastAsia="zh-CN"/>
        </w:rPr>
        <w:t>重大税收违法失信主体</w:t>
      </w:r>
      <w:r>
        <w:rPr>
          <w:rFonts w:hint="eastAsia" w:ascii="宋体" w:hAnsi="宋体" w:cs="宋体"/>
          <w:b/>
          <w:color w:val="auto"/>
          <w:sz w:val="24"/>
          <w:szCs w:val="24"/>
          <w:highlight w:val="none"/>
        </w:rPr>
        <w:t>、政府采购严重违法失信行为记录名单或浙江政府采购网曝光台中尚在行政处罚期内的）</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1、信用信息查询的截止时点：投标截止时间；</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2、查询渠道：</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中国政府采购网（www.ccgp.gov.cn）；</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浙江政府采购网（https://zfcg.czt.zj.gov.cn/）。</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信用中国（</w:t>
      </w:r>
      <w:r>
        <w:rPr>
          <w:color w:val="auto"/>
          <w:highlight w:val="none"/>
        </w:rPr>
        <w:fldChar w:fldCharType="begin"/>
      </w:r>
      <w:r>
        <w:rPr>
          <w:color w:val="auto"/>
          <w:highlight w:val="none"/>
        </w:rPr>
        <w:instrText xml:space="preserve"> HYPERLINK "http://www.creditchina.gov.cn/）和企业所在的省、市、区（县）四级信用平台查询投标截止日期前7天之内（不含投标当天）的信用信息，打印查询结果页面内容并加盖投标单位公章。信用信息查询因网站原因无法提供记录的，到所在区（县）信用办开具相关证明。" </w:instrText>
      </w:r>
      <w:r>
        <w:rPr>
          <w:color w:val="auto"/>
          <w:highlight w:val="none"/>
        </w:rPr>
        <w:fldChar w:fldCharType="separate"/>
      </w:r>
      <w:r>
        <w:rPr>
          <w:rFonts w:hint="eastAsia" w:ascii="宋体" w:hAnsi="宋体" w:cs="宋体"/>
          <w:b/>
          <w:color w:val="auto"/>
          <w:sz w:val="24"/>
          <w:szCs w:val="24"/>
          <w:highlight w:val="none"/>
        </w:rPr>
        <w:t>http://www.creditchina.gov.cn/）和企业所在的省级信用查询平台</w:t>
      </w:r>
      <w:r>
        <w:rPr>
          <w:rFonts w:hint="eastAsia" w:ascii="宋体" w:hAnsi="宋体" w:cs="宋体"/>
          <w:b/>
          <w:color w:val="auto"/>
          <w:sz w:val="24"/>
          <w:szCs w:val="24"/>
          <w:highlight w:val="none"/>
        </w:rPr>
        <w:fldChar w:fldCharType="end"/>
      </w:r>
      <w:r>
        <w:rPr>
          <w:rFonts w:hint="eastAsia" w:ascii="宋体" w:hAnsi="宋体" w:cs="宋体"/>
          <w:b/>
          <w:color w:val="auto"/>
          <w:sz w:val="24"/>
          <w:szCs w:val="24"/>
          <w:highlight w:val="none"/>
        </w:rPr>
        <w:t>。</w:t>
      </w:r>
    </w:p>
    <w:p>
      <w:pPr>
        <w:keepNext w:val="0"/>
        <w:keepLines w:val="0"/>
        <w:pageBreakBefore w:val="0"/>
        <w:kinsoku/>
        <w:wordWrap/>
        <w:overflowPunct/>
        <w:topLinePunct w:val="0"/>
        <w:bidi w:val="0"/>
        <w:adjustRightInd/>
        <w:spacing w:line="360" w:lineRule="auto"/>
        <w:ind w:firstLine="354" w:firstLineChars="147"/>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3、信用信息查询记录和证据留存具体方式：采购代理机构经办人和现场管理员将查询网页打印、签字与其他采购文件一并保存。</w:t>
      </w:r>
    </w:p>
    <w:p>
      <w:pPr>
        <w:keepNext w:val="0"/>
        <w:keepLines w:val="0"/>
        <w:pageBreakBefore w:val="0"/>
        <w:kinsoku/>
        <w:wordWrap/>
        <w:overflowPunct/>
        <w:topLinePunct w:val="0"/>
        <w:bidi w:val="0"/>
        <w:adjustRightInd/>
        <w:spacing w:line="360" w:lineRule="auto"/>
        <w:ind w:firstLine="463" w:firstLineChars="192"/>
        <w:textAlignment w:val="auto"/>
        <w:rPr>
          <w:rFonts w:ascii="宋体" w:hAnsi="宋体" w:cs="宋体"/>
          <w:b/>
          <w:color w:val="auto"/>
          <w:sz w:val="24"/>
          <w:szCs w:val="24"/>
          <w:highlight w:val="none"/>
        </w:rPr>
      </w:pPr>
      <w:r>
        <w:rPr>
          <w:rFonts w:hint="eastAsia" w:ascii="宋体" w:hAnsi="宋体" w:cs="宋体"/>
          <w:b/>
          <w:color w:val="auto"/>
          <w:sz w:val="24"/>
          <w:szCs w:val="24"/>
          <w:highlight w:val="none"/>
          <w:lang w:eastAsia="zh-CN"/>
        </w:rPr>
        <w:t>十</w:t>
      </w:r>
      <w:r>
        <w:rPr>
          <w:rFonts w:hint="eastAsia" w:ascii="宋体" w:hAnsi="宋体" w:cs="宋体"/>
          <w:b/>
          <w:color w:val="auto"/>
          <w:sz w:val="24"/>
          <w:szCs w:val="24"/>
          <w:highlight w:val="none"/>
        </w:rPr>
        <w:t>、本项目为非政府采购项目。</w:t>
      </w:r>
    </w:p>
    <w:p>
      <w:pPr>
        <w:keepNext w:val="0"/>
        <w:keepLines w:val="0"/>
        <w:pageBreakBefore w:val="0"/>
        <w:kinsoku/>
        <w:wordWrap/>
        <w:overflowPunct/>
        <w:topLinePunct w:val="0"/>
        <w:bidi w:val="0"/>
        <w:adjustRightInd/>
        <w:spacing w:line="360" w:lineRule="auto"/>
        <w:ind w:firstLine="463" w:firstLineChars="192"/>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一</w:t>
      </w:r>
      <w:r>
        <w:rPr>
          <w:rFonts w:hint="eastAsia" w:ascii="宋体" w:hAnsi="宋体" w:cs="宋体"/>
          <w:b/>
          <w:color w:val="auto"/>
          <w:sz w:val="24"/>
          <w:szCs w:val="24"/>
          <w:highlight w:val="none"/>
        </w:rPr>
        <w:t>、业务咨询：</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采购单位</w:t>
      </w:r>
      <w:r>
        <w:rPr>
          <w:rFonts w:hint="eastAsia" w:ascii="宋体" w:hAnsi="宋体" w:cs="宋体"/>
          <w:color w:val="auto"/>
          <w:sz w:val="24"/>
          <w:szCs w:val="24"/>
          <w:highlight w:val="none"/>
          <w:lang w:eastAsia="zh-CN"/>
        </w:rPr>
        <w:t>：</w:t>
      </w:r>
      <w:r>
        <w:rPr>
          <w:rFonts w:hint="eastAsia" w:ascii="宋体" w:hAnsi="宋体" w:cs="宋体"/>
          <w:color w:val="auto"/>
          <w:kern w:val="0"/>
          <w:sz w:val="24"/>
          <w:szCs w:val="24"/>
          <w:highlight w:val="none"/>
          <w:lang w:eastAsia="zh-CN"/>
        </w:rPr>
        <w:t>建德市长运物资有限公司</w:t>
      </w:r>
    </w:p>
    <w:p>
      <w:pPr>
        <w:keepNext w:val="0"/>
        <w:keepLines w:val="0"/>
        <w:pageBreakBefore w:val="0"/>
        <w:kinsoku/>
        <w:wordWrap/>
        <w:overflowPunct/>
        <w:topLinePunct w:val="0"/>
        <w:bidi w:val="0"/>
        <w:adjustRightIn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余工</w:t>
      </w:r>
      <w:r>
        <w:rPr>
          <w:rFonts w:hint="eastAsia" w:ascii="宋体" w:hAnsi="宋体" w:cs="宋体"/>
          <w:color w:val="auto"/>
          <w:sz w:val="24"/>
          <w:szCs w:val="24"/>
          <w:highlight w:val="none"/>
          <w:lang w:val="en-US" w:eastAsia="zh-CN"/>
        </w:rPr>
        <w:t xml:space="preserve">  </w:t>
      </w:r>
      <w:bookmarkStart w:id="4" w:name="_GoBack"/>
      <w:bookmarkEnd w:id="4"/>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 xml:space="preserve">13362177505 </w:t>
      </w:r>
    </w:p>
    <w:p>
      <w:pPr>
        <w:pStyle w:val="55"/>
        <w:keepNext w:val="0"/>
        <w:keepLines w:val="0"/>
        <w:pageBreakBefore w:val="0"/>
        <w:kinsoku/>
        <w:wordWrap/>
        <w:overflowPunct/>
        <w:topLinePunct w:val="0"/>
        <w:bidi w:val="0"/>
        <w:adjustRightInd/>
        <w:spacing w:line="360" w:lineRule="auto"/>
        <w:ind w:firstLine="480"/>
        <w:textAlignment w:val="auto"/>
        <w:rPr>
          <w:rFonts w:hint="eastAsia" w:hAnsi="宋体" w:eastAsia="宋体" w:cs="宋体"/>
          <w:color w:val="auto"/>
          <w:kern w:val="2"/>
          <w:sz w:val="24"/>
          <w:szCs w:val="24"/>
          <w:highlight w:val="none"/>
          <w:lang w:eastAsia="zh-CN"/>
        </w:rPr>
      </w:pPr>
      <w:r>
        <w:rPr>
          <w:rFonts w:hint="eastAsia" w:hAnsi="宋体" w:cs="宋体"/>
          <w:color w:val="auto"/>
          <w:kern w:val="2"/>
          <w:sz w:val="24"/>
          <w:szCs w:val="24"/>
          <w:highlight w:val="none"/>
        </w:rPr>
        <w:t>质疑联系人：</w:t>
      </w:r>
      <w:r>
        <w:rPr>
          <w:rFonts w:hint="eastAsia" w:hAnsi="宋体" w:cs="宋体"/>
          <w:color w:val="auto"/>
          <w:kern w:val="2"/>
          <w:sz w:val="24"/>
          <w:szCs w:val="24"/>
          <w:highlight w:val="none"/>
          <w:lang w:eastAsia="zh-CN"/>
        </w:rPr>
        <w:t>钱工</w:t>
      </w:r>
      <w:r>
        <w:rPr>
          <w:rFonts w:hint="eastAsia" w:hAnsi="宋体" w:cs="宋体"/>
          <w:color w:val="auto"/>
          <w:kern w:val="2"/>
          <w:sz w:val="24"/>
          <w:szCs w:val="24"/>
          <w:highlight w:val="none"/>
          <w:lang w:val="en-US" w:eastAsia="zh-CN"/>
        </w:rPr>
        <w:t xml:space="preserve">  </w:t>
      </w:r>
      <w:r>
        <w:rPr>
          <w:rFonts w:hint="eastAsia" w:hAnsi="宋体" w:cs="宋体"/>
          <w:color w:val="auto"/>
          <w:sz w:val="24"/>
          <w:szCs w:val="24"/>
          <w:highlight w:val="none"/>
          <w:lang w:val="en-US" w:eastAsia="zh-CN"/>
        </w:rPr>
        <w:t xml:space="preserve"> </w:t>
      </w:r>
      <w:r>
        <w:rPr>
          <w:rFonts w:hint="eastAsia" w:hAnsi="宋体" w:cs="宋体"/>
          <w:color w:val="auto"/>
          <w:kern w:val="2"/>
          <w:sz w:val="24"/>
          <w:szCs w:val="24"/>
          <w:highlight w:val="none"/>
          <w:lang w:val="en-US" w:eastAsia="zh-CN"/>
        </w:rPr>
        <w:t xml:space="preserve">  </w:t>
      </w:r>
      <w:r>
        <w:rPr>
          <w:rFonts w:hint="eastAsia" w:hAnsi="宋体" w:cs="宋体"/>
          <w:color w:val="auto"/>
          <w:kern w:val="2"/>
          <w:sz w:val="24"/>
          <w:szCs w:val="24"/>
          <w:highlight w:val="none"/>
        </w:rPr>
        <w:t xml:space="preserve">  联系电话：</w:t>
      </w:r>
      <w:r>
        <w:rPr>
          <w:rFonts w:hint="eastAsia" w:hAnsi="宋体" w:cs="宋体"/>
          <w:color w:val="auto"/>
          <w:kern w:val="2"/>
          <w:sz w:val="24"/>
          <w:szCs w:val="24"/>
          <w:highlight w:val="none"/>
          <w:lang w:val="en-US" w:eastAsia="zh-CN"/>
        </w:rPr>
        <w:t xml:space="preserve">15167173729  </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招标代理单位：</w:t>
      </w:r>
      <w:r>
        <w:rPr>
          <w:rFonts w:hint="eastAsia" w:ascii="宋体" w:hAnsi="宋体" w:cs="宋体"/>
          <w:color w:val="auto"/>
          <w:sz w:val="24"/>
          <w:szCs w:val="24"/>
          <w:highlight w:val="none"/>
          <w:lang w:eastAsia="zh-CN"/>
        </w:rPr>
        <w:t>欧邦工程管理集团有限公司</w:t>
      </w:r>
    </w:p>
    <w:p>
      <w:pPr>
        <w:keepNext w:val="0"/>
        <w:keepLines w:val="0"/>
        <w:pageBreakBefore w:val="0"/>
        <w:kinsoku/>
        <w:wordWrap/>
        <w:overflowPunct/>
        <w:topLinePunct w:val="0"/>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 xml:space="preserve">李工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 xml:space="preserve">15372041892 </w:t>
      </w:r>
      <w:r>
        <w:rPr>
          <w:rFonts w:hint="eastAsia" w:ascii="宋体" w:hAnsi="宋体" w:cs="宋体"/>
          <w:color w:val="auto"/>
          <w:sz w:val="24"/>
          <w:szCs w:val="24"/>
          <w:highlight w:val="none"/>
        </w:rPr>
        <w:t xml:space="preserve"> </w:t>
      </w:r>
    </w:p>
    <w:p>
      <w:pPr>
        <w:keepNext w:val="0"/>
        <w:keepLines w:val="0"/>
        <w:pageBreakBefore w:val="0"/>
        <w:kinsoku/>
        <w:wordWrap/>
        <w:overflowPunct/>
        <w:topLinePunct w:val="0"/>
        <w:bidi w:val="0"/>
        <w:adjustRightInd/>
        <w:spacing w:line="360" w:lineRule="auto"/>
        <w:ind w:firstLine="520" w:firstLineChars="217"/>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质疑联系人：</w:t>
      </w:r>
      <w:r>
        <w:rPr>
          <w:rFonts w:hint="eastAsia" w:ascii="宋体" w:hAnsi="宋体" w:cs="宋体"/>
          <w:color w:val="auto"/>
          <w:sz w:val="24"/>
          <w:szCs w:val="24"/>
          <w:highlight w:val="none"/>
          <w:lang w:val="en-US" w:eastAsia="zh-CN"/>
        </w:rPr>
        <w:t xml:space="preserve">陈工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联系电话</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18258679015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监督投诉机构：建德市新安旅游投资有限公司纪监室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联系人：饶工         联系电话：15967138876      </w:t>
      </w:r>
    </w:p>
    <w:p>
      <w:pPr>
        <w:ind w:firstLine="480" w:firstLineChars="200"/>
        <w:rPr>
          <w:rFonts w:hint="eastAsia"/>
          <w:color w:val="auto"/>
          <w:highlight w:val="none"/>
          <w:lang w:val="en-US" w:eastAsia="zh-CN"/>
        </w:rPr>
      </w:pPr>
      <w:r>
        <w:rPr>
          <w:rFonts w:hint="eastAsia" w:ascii="宋体" w:hAnsi="宋体" w:eastAsia="宋体" w:cs="宋体"/>
          <w:color w:val="auto"/>
          <w:sz w:val="24"/>
          <w:szCs w:val="24"/>
          <w:highlight w:val="none"/>
          <w:lang w:val="en-US" w:eastAsia="zh-CN"/>
        </w:rPr>
        <w:t xml:space="preserve">地址：浙江省杭州市建德市新安江街道江滨中路678号 </w:t>
      </w:r>
    </w:p>
    <w:p>
      <w:pPr>
        <w:pStyle w:val="26"/>
        <w:keepNext w:val="0"/>
        <w:keepLines w:val="0"/>
        <w:pageBreakBefore w:val="0"/>
        <w:kinsoku/>
        <w:wordWrap/>
        <w:overflowPunct/>
        <w:topLinePunct w:val="0"/>
        <w:bidi w:val="0"/>
        <w:adjustRightInd/>
        <w:spacing w:line="360" w:lineRule="auto"/>
        <w:ind w:left="0"/>
        <w:jc w:val="right"/>
        <w:textAlignment w:val="auto"/>
        <w:rPr>
          <w:rFonts w:ascii="宋体" w:hAnsi="宋体" w:cs="宋体"/>
          <w:color w:val="auto"/>
          <w:sz w:val="24"/>
          <w:szCs w:val="24"/>
          <w:highlight w:val="none"/>
        </w:rPr>
      </w:pPr>
    </w:p>
    <w:p>
      <w:pPr>
        <w:pStyle w:val="26"/>
        <w:keepNext w:val="0"/>
        <w:keepLines w:val="0"/>
        <w:pageBreakBefore w:val="0"/>
        <w:kinsoku/>
        <w:wordWrap/>
        <w:overflowPunct/>
        <w:topLinePunct w:val="0"/>
        <w:bidi w:val="0"/>
        <w:adjustRightInd/>
        <w:spacing w:line="360" w:lineRule="auto"/>
        <w:ind w:left="0"/>
        <w:jc w:val="right"/>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202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日</w:t>
      </w:r>
    </w:p>
    <w:p>
      <w:pPr>
        <w:pStyle w:val="26"/>
        <w:spacing w:line="440" w:lineRule="exact"/>
        <w:ind w:left="0"/>
        <w:jc w:val="center"/>
        <w:rPr>
          <w:rStyle w:val="97"/>
          <w:rFonts w:hint="eastAsia" w:ascii="宋体" w:hAnsi="宋体" w:cs="宋体"/>
          <w:b/>
          <w:bCs/>
          <w:color w:val="auto"/>
          <w:sz w:val="36"/>
          <w:szCs w:val="36"/>
          <w:highlight w:val="none"/>
        </w:rPr>
      </w:pPr>
    </w:p>
    <w:p>
      <w:pPr>
        <w:pStyle w:val="26"/>
        <w:spacing w:line="440" w:lineRule="exact"/>
        <w:ind w:left="0"/>
        <w:jc w:val="both"/>
        <w:rPr>
          <w:rStyle w:val="97"/>
          <w:rFonts w:hint="eastAsia" w:ascii="宋体" w:hAnsi="宋体" w:cs="宋体"/>
          <w:b/>
          <w:bCs/>
          <w:color w:val="auto"/>
          <w:sz w:val="36"/>
          <w:szCs w:val="36"/>
          <w:highlight w:val="none"/>
        </w:rPr>
      </w:pPr>
    </w:p>
    <w:p>
      <w:pPr>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7"/>
        <w:rPr>
          <w:rStyle w:val="97"/>
          <w:rFonts w:hint="eastAsia" w:ascii="宋体" w:hAnsi="宋体" w:cs="宋体"/>
          <w:b/>
          <w:bCs/>
          <w:color w:val="auto"/>
          <w:sz w:val="36"/>
          <w:szCs w:val="36"/>
          <w:highlight w:val="none"/>
        </w:rPr>
      </w:pPr>
    </w:p>
    <w:p>
      <w:pPr>
        <w:pStyle w:val="26"/>
        <w:spacing w:line="440" w:lineRule="exact"/>
        <w:ind w:left="0"/>
        <w:jc w:val="center"/>
        <w:rPr>
          <w:rStyle w:val="97"/>
          <w:rFonts w:hint="eastAsia" w:ascii="宋体" w:hAnsi="宋体" w:cs="宋体"/>
          <w:b/>
          <w:bCs/>
          <w:color w:val="auto"/>
          <w:sz w:val="36"/>
          <w:szCs w:val="36"/>
          <w:highlight w:val="none"/>
        </w:rPr>
      </w:pPr>
    </w:p>
    <w:p>
      <w:pPr>
        <w:pStyle w:val="26"/>
        <w:spacing w:line="440" w:lineRule="exact"/>
        <w:ind w:left="0"/>
        <w:jc w:val="center"/>
        <w:rPr>
          <w:rStyle w:val="97"/>
          <w:rFonts w:ascii="宋体" w:hAnsi="宋体" w:cs="宋体"/>
          <w:color w:val="auto"/>
          <w:sz w:val="36"/>
          <w:szCs w:val="36"/>
          <w:highlight w:val="none"/>
        </w:rPr>
      </w:pPr>
      <w:r>
        <w:rPr>
          <w:rStyle w:val="97"/>
          <w:rFonts w:hint="eastAsia" w:ascii="宋体" w:hAnsi="宋体" w:cs="宋体"/>
          <w:b/>
          <w:bCs/>
          <w:color w:val="auto"/>
          <w:sz w:val="36"/>
          <w:szCs w:val="36"/>
          <w:highlight w:val="none"/>
        </w:rPr>
        <w:t>第二章   投标须知</w:t>
      </w:r>
    </w:p>
    <w:p>
      <w:pPr>
        <w:spacing w:line="500" w:lineRule="exact"/>
        <w:jc w:val="center"/>
        <w:rPr>
          <w:rStyle w:val="97"/>
          <w:rFonts w:ascii="宋体" w:hAnsi="宋体" w:cs="宋体"/>
          <w:b/>
          <w:bCs/>
          <w:color w:val="auto"/>
          <w:sz w:val="36"/>
          <w:szCs w:val="36"/>
          <w:highlight w:val="none"/>
        </w:rPr>
      </w:pPr>
      <w:r>
        <w:rPr>
          <w:rStyle w:val="97"/>
          <w:rFonts w:hint="eastAsia" w:ascii="宋体" w:hAnsi="宋体" w:cs="宋体"/>
          <w:b/>
          <w:bCs/>
          <w:color w:val="auto"/>
          <w:sz w:val="36"/>
          <w:szCs w:val="36"/>
          <w:highlight w:val="none"/>
        </w:rPr>
        <w:t>前附表</w:t>
      </w:r>
    </w:p>
    <w:tbl>
      <w:tblPr>
        <w:tblStyle w:val="46"/>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序号</w:t>
            </w:r>
          </w:p>
        </w:tc>
        <w:tc>
          <w:tcPr>
            <w:tcW w:w="8664"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lang w:eastAsia="zh-CN"/>
              </w:rPr>
            </w:pPr>
            <w:r>
              <w:rPr>
                <w:rStyle w:val="97"/>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建德市长运物资有限公司6.5米级纯电动站立位公交车采购项目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2</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项目编号：</w:t>
            </w:r>
            <w:r>
              <w:rPr>
                <w:rStyle w:val="97"/>
                <w:rFonts w:hint="eastAsia" w:ascii="宋体" w:hAnsi="宋体" w:eastAsia="宋体" w:cs="宋体"/>
                <w:bCs/>
                <w:color w:val="auto"/>
                <w:sz w:val="24"/>
                <w:szCs w:val="24"/>
                <w:highlight w:val="none"/>
              </w:rPr>
              <w:t xml:space="preserve">JDOBCG2024B-035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3</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投标报价及费用：</w:t>
            </w:r>
            <w:r>
              <w:rPr>
                <w:rStyle w:val="97"/>
                <w:rFonts w:hint="eastAsia" w:ascii="宋体" w:hAnsi="宋体" w:eastAsia="宋体" w:cs="宋体"/>
                <w:bCs/>
                <w:color w:val="auto"/>
                <w:sz w:val="24"/>
                <w:szCs w:val="24"/>
                <w:highlight w:val="none"/>
              </w:rPr>
              <w:t>1、本项目投标应以人民币报价；2、不论投标结果如何，投标供应商均应自行承担所有与投标有关的全部费用。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4</w:t>
            </w:r>
          </w:p>
        </w:tc>
        <w:tc>
          <w:tcPr>
            <w:tcW w:w="8664" w:type="dxa"/>
            <w:vAlign w:val="center"/>
          </w:tcPr>
          <w:p>
            <w:pPr>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答疑与澄清：</w:t>
            </w:r>
            <w:r>
              <w:rPr>
                <w:rStyle w:val="97"/>
                <w:rFonts w:hint="eastAsia" w:ascii="宋体" w:hAnsi="宋体" w:eastAsia="宋体" w:cs="宋体"/>
                <w:bCs/>
                <w:color w:val="auto"/>
                <w:sz w:val="24"/>
                <w:szCs w:val="24"/>
                <w:highlight w:val="none"/>
              </w:rPr>
              <w:t>投标供应商如认为招标文件表述不清晰、存在歧视性或者其他违法内容的，应当于202</w:t>
            </w:r>
            <w:r>
              <w:rPr>
                <w:rStyle w:val="97"/>
                <w:rFonts w:hint="eastAsia" w:ascii="宋体" w:hAnsi="宋体" w:eastAsia="宋体" w:cs="宋体"/>
                <w:bCs/>
                <w:color w:val="auto"/>
                <w:sz w:val="24"/>
                <w:szCs w:val="24"/>
                <w:highlight w:val="none"/>
                <w:lang w:val="en-US"/>
              </w:rPr>
              <w:t>4</w:t>
            </w:r>
            <w:r>
              <w:rPr>
                <w:rStyle w:val="97"/>
                <w:rFonts w:hint="eastAsia" w:ascii="宋体" w:hAnsi="宋体" w:eastAsia="宋体" w:cs="宋体"/>
                <w:bCs/>
                <w:color w:val="auto"/>
                <w:sz w:val="24"/>
                <w:szCs w:val="24"/>
                <w:highlight w:val="none"/>
              </w:rPr>
              <w:t>年</w:t>
            </w:r>
            <w:r>
              <w:rPr>
                <w:rStyle w:val="97"/>
                <w:rFonts w:hint="eastAsia" w:ascii="宋体" w:hAnsi="宋体" w:eastAsia="宋体" w:cs="宋体"/>
                <w:bCs/>
                <w:color w:val="auto"/>
                <w:sz w:val="24"/>
                <w:szCs w:val="24"/>
                <w:highlight w:val="none"/>
                <w:lang w:val="en-US"/>
              </w:rPr>
              <w:t>4</w:t>
            </w:r>
            <w:r>
              <w:rPr>
                <w:rStyle w:val="97"/>
                <w:rFonts w:hint="eastAsia" w:ascii="宋体" w:hAnsi="宋体" w:eastAsia="宋体" w:cs="宋体"/>
                <w:bCs/>
                <w:color w:val="auto"/>
                <w:sz w:val="24"/>
                <w:szCs w:val="24"/>
                <w:highlight w:val="none"/>
              </w:rPr>
              <w:t>月</w:t>
            </w:r>
            <w:r>
              <w:rPr>
                <w:rStyle w:val="97"/>
                <w:rFonts w:hint="eastAsia" w:ascii="宋体" w:hAnsi="宋体" w:eastAsia="宋体" w:cs="宋体"/>
                <w:bCs/>
                <w:color w:val="auto"/>
                <w:sz w:val="24"/>
                <w:szCs w:val="24"/>
                <w:highlight w:val="none"/>
                <w:lang w:val="en-US"/>
              </w:rPr>
              <w:t>25</w:t>
            </w:r>
            <w:r>
              <w:rPr>
                <w:rStyle w:val="97"/>
                <w:rFonts w:hint="eastAsia" w:ascii="宋体" w:hAnsi="宋体" w:eastAsia="宋体" w:cs="宋体"/>
                <w:bCs/>
                <w:color w:val="auto"/>
                <w:sz w:val="24"/>
                <w:szCs w:val="24"/>
                <w:highlight w:val="none"/>
              </w:rPr>
              <w:t>日1</w:t>
            </w:r>
            <w:r>
              <w:rPr>
                <w:rStyle w:val="97"/>
                <w:rFonts w:hint="eastAsia" w:ascii="宋体" w:hAnsi="宋体" w:eastAsia="宋体" w:cs="宋体"/>
                <w:bCs/>
                <w:color w:val="auto"/>
                <w:sz w:val="24"/>
                <w:szCs w:val="24"/>
                <w:highlight w:val="none"/>
                <w:lang w:val="en-US"/>
              </w:rPr>
              <w:t>7:</w:t>
            </w:r>
            <w:r>
              <w:rPr>
                <w:rStyle w:val="97"/>
                <w:rFonts w:hint="eastAsia" w:ascii="宋体" w:hAnsi="宋体" w:eastAsia="宋体" w:cs="宋体"/>
                <w:bCs/>
                <w:color w:val="auto"/>
                <w:sz w:val="24"/>
                <w:szCs w:val="24"/>
                <w:highlight w:val="none"/>
              </w:rPr>
              <w:t>00前，以书面形式要求招标采购单位作出书面解释、澄清或者向招标采购单位提出书面质疑；如有投标供应商提出质疑的，招标采购单位将于202</w:t>
            </w:r>
            <w:r>
              <w:rPr>
                <w:rStyle w:val="97"/>
                <w:rFonts w:hint="eastAsia" w:ascii="宋体" w:hAnsi="宋体" w:eastAsia="宋体" w:cs="宋体"/>
                <w:bCs/>
                <w:color w:val="auto"/>
                <w:sz w:val="24"/>
                <w:szCs w:val="24"/>
                <w:highlight w:val="none"/>
                <w:lang w:val="en-US"/>
              </w:rPr>
              <w:t>4</w:t>
            </w:r>
            <w:r>
              <w:rPr>
                <w:rStyle w:val="97"/>
                <w:rFonts w:hint="eastAsia" w:ascii="宋体" w:hAnsi="宋体" w:eastAsia="宋体" w:cs="宋体"/>
                <w:bCs/>
                <w:color w:val="auto"/>
                <w:sz w:val="24"/>
                <w:szCs w:val="24"/>
                <w:highlight w:val="none"/>
              </w:rPr>
              <w:t>年</w:t>
            </w:r>
            <w:r>
              <w:rPr>
                <w:rStyle w:val="97"/>
                <w:rFonts w:hint="eastAsia" w:ascii="宋体" w:hAnsi="宋体" w:eastAsia="宋体" w:cs="宋体"/>
                <w:bCs/>
                <w:color w:val="auto"/>
                <w:sz w:val="24"/>
                <w:szCs w:val="24"/>
                <w:highlight w:val="none"/>
                <w:lang w:val="en-US"/>
              </w:rPr>
              <w:t>4</w:t>
            </w:r>
            <w:r>
              <w:rPr>
                <w:rStyle w:val="97"/>
                <w:rFonts w:hint="eastAsia" w:ascii="宋体" w:hAnsi="宋体" w:eastAsia="宋体" w:cs="宋体"/>
                <w:bCs/>
                <w:color w:val="auto"/>
                <w:sz w:val="24"/>
                <w:szCs w:val="24"/>
                <w:highlight w:val="none"/>
              </w:rPr>
              <w:t>月</w:t>
            </w:r>
            <w:r>
              <w:rPr>
                <w:rStyle w:val="97"/>
                <w:rFonts w:hint="eastAsia" w:ascii="宋体" w:hAnsi="宋体" w:eastAsia="宋体" w:cs="宋体"/>
                <w:bCs/>
                <w:color w:val="auto"/>
                <w:sz w:val="24"/>
                <w:szCs w:val="24"/>
                <w:highlight w:val="none"/>
                <w:lang w:val="en-US"/>
              </w:rPr>
              <w:t>26</w:t>
            </w:r>
            <w:r>
              <w:rPr>
                <w:rStyle w:val="97"/>
                <w:rFonts w:hint="eastAsia" w:ascii="宋体" w:hAnsi="宋体" w:eastAsia="宋体" w:cs="宋体"/>
                <w:bCs/>
                <w:color w:val="auto"/>
                <w:sz w:val="24"/>
                <w:szCs w:val="24"/>
                <w:highlight w:val="none"/>
              </w:rPr>
              <w:t>日17:</w:t>
            </w:r>
            <w:r>
              <w:rPr>
                <w:rStyle w:val="97"/>
                <w:rFonts w:hint="eastAsia" w:ascii="宋体" w:hAnsi="宋体" w:eastAsia="宋体" w:cs="宋体"/>
                <w:bCs/>
                <w:color w:val="auto"/>
                <w:sz w:val="24"/>
                <w:szCs w:val="24"/>
                <w:highlight w:val="none"/>
                <w:lang w:val="en-US"/>
              </w:rPr>
              <w:t>3</w:t>
            </w:r>
            <w:r>
              <w:rPr>
                <w:rStyle w:val="97"/>
                <w:rFonts w:hint="eastAsia" w:ascii="宋体" w:hAnsi="宋体" w:eastAsia="宋体" w:cs="宋体"/>
                <w:bCs/>
                <w:color w:val="auto"/>
                <w:sz w:val="24"/>
                <w:szCs w:val="24"/>
                <w:highlight w:val="none"/>
              </w:rPr>
              <w:t>0时统一组织答疑；答疑内容是招标文件的组成部分，将在招标文件发售的网站进行发布。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5</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bCs/>
                <w:color w:val="auto"/>
                <w:sz w:val="24"/>
                <w:szCs w:val="24"/>
                <w:highlight w:val="none"/>
              </w:rPr>
              <w:t>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6</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lang w:val="en-US" w:eastAsia="zh-CN"/>
              </w:rPr>
            </w:pPr>
            <w:r>
              <w:rPr>
                <w:rFonts w:hint="eastAsia" w:ascii="宋体" w:hAnsi="宋体" w:eastAsia="宋体" w:cs="宋体"/>
                <w:bCs/>
                <w:color w:val="auto"/>
                <w:spacing w:val="-2"/>
                <w:sz w:val="24"/>
                <w:szCs w:val="24"/>
                <w:highlight w:val="none"/>
              </w:rPr>
              <w:t>现场踏勘：各潜在供应商自行与采购单位联系，不统一组织。</w:t>
            </w:r>
            <w:r>
              <w:rPr>
                <w:rFonts w:hint="eastAsia" w:ascii="宋体" w:hAnsi="宋体" w:eastAsia="宋体" w:cs="宋体"/>
                <w:bCs/>
                <w:color w:val="auto"/>
                <w:spacing w:val="-2"/>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7</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b/>
                <w:bCs w:val="0"/>
                <w:color w:val="auto"/>
                <w:sz w:val="24"/>
                <w:szCs w:val="24"/>
                <w:highlight w:val="none"/>
                <w:lang w:val="en-US"/>
              </w:rPr>
              <w:t>现场演示：有，未提供演示视频或提供演示视频为空白的作无效标处理。演示部分以U盘形式包封在商务技术标文件中，概不退还。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8</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投标文件的组成：</w:t>
            </w:r>
            <w:r>
              <w:rPr>
                <w:rStyle w:val="97"/>
                <w:rFonts w:hint="eastAsia" w:ascii="宋体" w:hAnsi="宋体" w:eastAsia="宋体" w:cs="宋体"/>
                <w:b/>
                <w:color w:val="auto"/>
                <w:sz w:val="24"/>
                <w:szCs w:val="24"/>
                <w:highlight w:val="none"/>
              </w:rPr>
              <w:t>由报价文件、技术文件、商务资信文件各正本1份，副本7份（副本可为正本的复印件，投标文件封面必须加盖投标供应商公章）及资格审查文件正本1份组成</w:t>
            </w:r>
            <w:r>
              <w:rPr>
                <w:rStyle w:val="97"/>
                <w:rFonts w:hint="eastAsia" w:ascii="宋体" w:hAnsi="宋体" w:eastAsia="宋体" w:cs="宋体"/>
                <w:bCs/>
                <w:color w:val="auto"/>
                <w:sz w:val="24"/>
                <w:szCs w:val="24"/>
                <w:highlight w:val="none"/>
              </w:rPr>
              <w:t>（详见第二章第十条）。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9</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提供的样品：</w:t>
            </w:r>
            <w:r>
              <w:rPr>
                <w:rStyle w:val="97"/>
                <w:rFonts w:hint="eastAsia" w:ascii="宋体" w:hAnsi="宋体" w:eastAsia="宋体" w:cs="宋体"/>
                <w:bCs/>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10</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投标截止时间：</w:t>
            </w:r>
            <w:r>
              <w:rPr>
                <w:rFonts w:hint="eastAsia" w:ascii="宋体" w:hAnsi="宋体" w:eastAsia="宋体" w:cs="宋体"/>
                <w:b/>
                <w:color w:val="auto"/>
                <w:sz w:val="24"/>
                <w:szCs w:val="24"/>
                <w:highlight w:val="none"/>
                <w:lang w:eastAsia="zh-CN"/>
              </w:rPr>
              <w:t>2024年5月8日9:30</w:t>
            </w:r>
            <w:r>
              <w:rPr>
                <w:rStyle w:val="97"/>
                <w:rFonts w:hint="eastAsia" w:ascii="宋体" w:hAnsi="宋体" w:eastAsia="宋体" w:cs="宋体"/>
                <w:bCs/>
                <w:color w:val="auto"/>
                <w:sz w:val="24"/>
                <w:szCs w:val="24"/>
                <w:highlight w:val="none"/>
              </w:rPr>
              <w:t xml:space="preserve">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11</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投标地点：</w:t>
            </w:r>
            <w:r>
              <w:rPr>
                <w:rStyle w:val="97"/>
                <w:rFonts w:hint="eastAsia" w:ascii="宋体" w:hAnsi="宋体" w:eastAsia="宋体" w:cs="宋体"/>
                <w:bCs/>
                <w:color w:val="auto"/>
                <w:sz w:val="24"/>
                <w:szCs w:val="24"/>
                <w:highlight w:val="none"/>
              </w:rPr>
              <w:t>杭州市公共资源交易中心建德分中心</w:t>
            </w:r>
            <w:r>
              <w:rPr>
                <w:rStyle w:val="97"/>
                <w:rFonts w:hint="eastAsia" w:ascii="宋体" w:hAnsi="宋体" w:eastAsia="宋体" w:cs="宋体"/>
                <w:bCs/>
                <w:color w:val="auto"/>
                <w:sz w:val="24"/>
                <w:szCs w:val="24"/>
                <w:highlight w:val="none"/>
                <w:lang w:val="en-US"/>
              </w:rPr>
              <w:t>2</w:t>
            </w:r>
            <w:r>
              <w:rPr>
                <w:rStyle w:val="97"/>
                <w:rFonts w:hint="eastAsia" w:ascii="宋体" w:hAnsi="宋体" w:eastAsia="宋体" w:cs="宋体"/>
                <w:bCs/>
                <w:color w:val="auto"/>
                <w:sz w:val="24"/>
                <w:szCs w:val="24"/>
                <w:highlight w:val="none"/>
              </w:rPr>
              <w:t>号开标室（洋安社区荷映路113号3楼）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12</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开标时间及地点：</w:t>
            </w:r>
            <w:r>
              <w:rPr>
                <w:rFonts w:hint="eastAsia" w:ascii="宋体" w:hAnsi="宋体" w:eastAsia="宋体" w:cs="宋体"/>
                <w:b/>
                <w:color w:val="auto"/>
                <w:sz w:val="24"/>
                <w:szCs w:val="24"/>
                <w:highlight w:val="none"/>
                <w:lang w:eastAsia="zh-CN"/>
              </w:rPr>
              <w:t>2024年5月8日9:30</w:t>
            </w:r>
            <w:r>
              <w:rPr>
                <w:rStyle w:val="97"/>
                <w:rFonts w:hint="eastAsia" w:ascii="宋体" w:hAnsi="宋体" w:eastAsia="宋体" w:cs="宋体"/>
                <w:bCs/>
                <w:color w:val="auto"/>
                <w:sz w:val="24"/>
                <w:szCs w:val="24"/>
                <w:highlight w:val="none"/>
              </w:rPr>
              <w:t>时，杭州市公共资源交易中心建德分中心</w:t>
            </w:r>
            <w:r>
              <w:rPr>
                <w:rStyle w:val="97"/>
                <w:rFonts w:hint="eastAsia" w:ascii="宋体" w:hAnsi="宋体" w:eastAsia="宋体" w:cs="宋体"/>
                <w:bCs/>
                <w:color w:val="auto"/>
                <w:sz w:val="24"/>
                <w:szCs w:val="24"/>
                <w:highlight w:val="none"/>
                <w:lang w:val="en-US"/>
              </w:rPr>
              <w:t>2</w:t>
            </w:r>
            <w:r>
              <w:rPr>
                <w:rStyle w:val="97"/>
                <w:rFonts w:hint="eastAsia" w:ascii="宋体" w:hAnsi="宋体" w:eastAsia="宋体" w:cs="宋体"/>
                <w:bCs/>
                <w:color w:val="auto"/>
                <w:sz w:val="24"/>
                <w:szCs w:val="24"/>
                <w:highlight w:val="none"/>
              </w:rPr>
              <w:t>号开标室（洋安社区荷映路113号3楼）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13</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bCs/>
                <w:color w:val="auto"/>
                <w:sz w:val="24"/>
                <w:szCs w:val="24"/>
                <w:highlight w:val="none"/>
              </w:rPr>
              <w:t>评标结果公示：</w:t>
            </w:r>
            <w:r>
              <w:rPr>
                <w:rStyle w:val="97"/>
                <w:rFonts w:hint="eastAsia" w:ascii="宋体" w:hAnsi="宋体" w:eastAsia="宋体" w:cs="宋体"/>
                <w:color w:val="auto"/>
                <w:sz w:val="24"/>
                <w:szCs w:val="24"/>
                <w:highlight w:val="none"/>
              </w:rPr>
              <w:t>评标结果公示于建德市门户网站公共资源交易网址（http://www.jiande.gov.cn/col/col1229346101/index.html）和浙江政府采购网(</w:t>
            </w:r>
            <w:r>
              <w:rPr>
                <w:rFonts w:hint="eastAsia" w:ascii="宋体" w:hAnsi="宋体" w:eastAsia="宋体" w:cs="宋体"/>
                <w:color w:val="auto"/>
                <w:spacing w:val="-2"/>
                <w:sz w:val="24"/>
                <w:szCs w:val="24"/>
                <w:highlight w:val="none"/>
                <w:lang w:eastAsia="zh-CN"/>
              </w:rPr>
              <w:t>https://zfcg.czt.zj.gov.cn/</w:t>
            </w:r>
            <w:r>
              <w:rPr>
                <w:rStyle w:val="97"/>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14</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lang w:val="en-US" w:eastAsia="zh-CN"/>
              </w:rPr>
            </w:pPr>
            <w:r>
              <w:rPr>
                <w:rStyle w:val="97"/>
                <w:rFonts w:hint="eastAsia" w:ascii="宋体" w:hAnsi="宋体" w:eastAsia="宋体" w:cs="宋体"/>
                <w:color w:val="auto"/>
                <w:sz w:val="24"/>
                <w:szCs w:val="24"/>
                <w:highlight w:val="none"/>
              </w:rPr>
              <w:t>评标办法及标准：</w:t>
            </w:r>
            <w:r>
              <w:rPr>
                <w:rStyle w:val="97"/>
                <w:rFonts w:hint="eastAsia" w:ascii="宋体" w:hAnsi="宋体" w:eastAsia="宋体" w:cs="宋体"/>
                <w:bCs/>
                <w:color w:val="auto"/>
                <w:sz w:val="24"/>
                <w:szCs w:val="24"/>
                <w:highlight w:val="none"/>
              </w:rPr>
              <w:t>按照招标文件第四章评标办法及评分标准</w:t>
            </w:r>
            <w:r>
              <w:rPr>
                <w:rStyle w:val="97"/>
                <w:rFonts w:hint="eastAsia" w:ascii="宋体" w:hAnsi="宋体" w:eastAsia="宋体" w:cs="宋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15</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中标通知书：</w:t>
            </w:r>
            <w:r>
              <w:rPr>
                <w:rStyle w:val="348"/>
                <w:rFonts w:hint="eastAsia" w:ascii="宋体" w:hAnsi="宋体" w:eastAsia="宋体" w:cs="宋体"/>
                <w:bCs/>
                <w:color w:val="auto"/>
                <w:sz w:val="24"/>
                <w:szCs w:val="24"/>
                <w:highlight w:val="none"/>
              </w:rPr>
              <w:t>自</w:t>
            </w:r>
            <w:r>
              <w:rPr>
                <w:rStyle w:val="348"/>
                <w:rFonts w:hint="eastAsia" w:ascii="宋体" w:hAnsi="宋体" w:eastAsia="宋体" w:cs="宋体"/>
                <w:bCs/>
                <w:color w:val="auto"/>
                <w:sz w:val="24"/>
                <w:szCs w:val="24"/>
                <w:highlight w:val="none"/>
                <w:lang w:eastAsia="zh-CN"/>
              </w:rPr>
              <w:t>中标</w:t>
            </w:r>
            <w:r>
              <w:rPr>
                <w:rStyle w:val="348"/>
                <w:rFonts w:hint="eastAsia" w:ascii="宋体" w:hAnsi="宋体" w:eastAsia="宋体" w:cs="宋体"/>
                <w:bCs/>
                <w:color w:val="auto"/>
                <w:sz w:val="24"/>
                <w:szCs w:val="24"/>
                <w:highlight w:val="none"/>
                <w:lang w:val="en-US" w:eastAsia="zh-CN"/>
              </w:rPr>
              <w:t>供应商</w:t>
            </w:r>
            <w:r>
              <w:rPr>
                <w:rStyle w:val="348"/>
                <w:rFonts w:hint="eastAsia" w:ascii="宋体" w:hAnsi="宋体" w:eastAsia="宋体" w:cs="宋体"/>
                <w:bCs/>
                <w:color w:val="auto"/>
                <w:sz w:val="24"/>
                <w:szCs w:val="24"/>
                <w:highlight w:val="none"/>
              </w:rPr>
              <w:t>确定2个工作日内签发中标通知书。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16</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签订合同：</w:t>
            </w:r>
            <w:r>
              <w:rPr>
                <w:rStyle w:val="97"/>
                <w:rFonts w:hint="eastAsia" w:ascii="宋体" w:hAnsi="宋体" w:eastAsia="宋体" w:cs="宋体"/>
                <w:bCs/>
                <w:color w:val="auto"/>
                <w:sz w:val="24"/>
                <w:szCs w:val="24"/>
                <w:highlight w:val="none"/>
              </w:rPr>
              <w:t>中标通知书发出后30日内（具体时间按中标通知书）。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17</w:t>
            </w:r>
          </w:p>
        </w:tc>
        <w:tc>
          <w:tcPr>
            <w:tcW w:w="8664" w:type="dxa"/>
            <w:vAlign w:val="center"/>
          </w:tcPr>
          <w:p>
            <w:pPr>
              <w:snapToGrid w:val="0"/>
              <w:spacing w:line="240" w:lineRule="auto"/>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接受投标文件时间：</w:t>
            </w:r>
            <w:r>
              <w:rPr>
                <w:rStyle w:val="97"/>
                <w:rFonts w:hint="eastAsia" w:ascii="宋体" w:hAnsi="宋体" w:eastAsia="宋体" w:cs="宋体"/>
                <w:bCs/>
                <w:color w:val="auto"/>
                <w:sz w:val="24"/>
                <w:szCs w:val="24"/>
                <w:highlight w:val="none"/>
              </w:rPr>
              <w:t>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18</w:t>
            </w:r>
          </w:p>
        </w:tc>
        <w:tc>
          <w:tcPr>
            <w:tcW w:w="8664" w:type="dxa"/>
            <w:vAlign w:val="center"/>
          </w:tcPr>
          <w:p>
            <w:pPr>
              <w:pageBreakBefore w:val="0"/>
              <w:widowControl w:val="0"/>
              <w:kinsoku/>
              <w:wordWrap/>
              <w:overflowPunct/>
              <w:topLinePunct w:val="0"/>
              <w:autoSpaceDE/>
              <w:autoSpaceDN/>
              <w:bidi w:val="0"/>
              <w:adjustRightInd/>
              <w:snapToGrid w:val="0"/>
              <w:spacing w:line="240" w:lineRule="auto"/>
              <w:ind w:left="0" w:hanging="240" w:hanging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最高限价：本项目最高限价（预算总价）为人民币</w:t>
            </w:r>
            <w:r>
              <w:rPr>
                <w:rFonts w:hint="eastAsia" w:ascii="宋体" w:hAnsi="宋体" w:eastAsia="宋体" w:cs="宋体"/>
                <w:b/>
                <w:bCs/>
                <w:color w:val="auto"/>
                <w:sz w:val="24"/>
                <w:szCs w:val="24"/>
                <w:highlight w:val="none"/>
                <w:lang w:val="en-US" w:eastAsia="zh-CN"/>
              </w:rPr>
              <w:t>叁佰陆拾万</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val="en-US" w:eastAsia="zh-CN"/>
              </w:rPr>
              <w:t>整</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3600000.00</w:t>
            </w:r>
            <w:r>
              <w:rPr>
                <w:rFonts w:hint="eastAsia" w:ascii="宋体" w:hAnsi="宋体" w:eastAsia="宋体" w:cs="宋体"/>
                <w:b/>
                <w:bCs/>
                <w:color w:val="auto"/>
                <w:sz w:val="24"/>
                <w:szCs w:val="24"/>
                <w:highlight w:val="none"/>
              </w:rPr>
              <w:t>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投标报价超过最高限价（预算总价）的，按无效标处理。</w:t>
            </w:r>
          </w:p>
          <w:p>
            <w:pPr>
              <w:pStyle w:val="2"/>
              <w:pageBreakBefore w:val="0"/>
              <w:widowControl w:val="0"/>
              <w:numPr>
                <w:ilvl w:val="1"/>
                <w:numId w:val="0"/>
              </w:numPr>
              <w:tabs>
                <w:tab w:val="clear" w:pos="720"/>
              </w:tabs>
              <w:kinsoku/>
              <w:wordWrap/>
              <w:overflowPunct/>
              <w:topLinePunct w:val="0"/>
              <w:autoSpaceDE/>
              <w:autoSpaceDN/>
              <w:bidi w:val="0"/>
              <w:adjustRightInd/>
              <w:spacing w:before="0" w:after="0" w:line="240" w:lineRule="auto"/>
              <w:ind w:left="0" w:leftChars="0"/>
              <w:jc w:val="left"/>
              <w:textAlignment w:val="auto"/>
              <w:rPr>
                <w:rFonts w:hint="eastAsia" w:ascii="宋体" w:hAnsi="宋体" w:eastAsia="宋体" w:cs="宋体"/>
                <w:color w:val="auto"/>
                <w:sz w:val="24"/>
                <w:szCs w:val="24"/>
                <w:highlight w:val="none"/>
              </w:rPr>
            </w:pPr>
            <w:r>
              <w:rPr>
                <w:rStyle w:val="97"/>
                <w:rFonts w:hint="eastAsia" w:ascii="宋体" w:hAnsi="宋体" w:eastAsia="宋体" w:cs="宋体"/>
                <w:b/>
                <w:bCs/>
                <w:color w:val="auto"/>
                <w:sz w:val="24"/>
                <w:szCs w:val="24"/>
                <w:highlight w:val="none"/>
              </w:rPr>
              <w:t>特别说明：为避免出现恶意低价竞争的情况，导致项目无法保质保量完成，故本项目设定投标供应商的投标报价低于满足招标文件全部实质性要求的所有投标供应商平均报价的9</w:t>
            </w:r>
            <w:r>
              <w:rPr>
                <w:rStyle w:val="97"/>
                <w:rFonts w:hint="eastAsia" w:ascii="宋体" w:hAnsi="宋体" w:eastAsia="宋体" w:cs="宋体"/>
                <w:b/>
                <w:bCs/>
                <w:color w:val="auto"/>
                <w:sz w:val="24"/>
                <w:szCs w:val="24"/>
                <w:highlight w:val="none"/>
                <w:lang w:val="en-US"/>
              </w:rPr>
              <w:t>4</w:t>
            </w:r>
            <w:r>
              <w:rPr>
                <w:rStyle w:val="97"/>
                <w:rFonts w:hint="eastAsia" w:ascii="宋体" w:hAnsi="宋体" w:eastAsia="宋体" w:cs="宋体"/>
                <w:b/>
                <w:bCs/>
                <w:color w:val="auto"/>
                <w:sz w:val="24"/>
                <w:szCs w:val="24"/>
                <w:highlight w:val="none"/>
              </w:rPr>
              <w:t>%，作无效标处理。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19</w:t>
            </w:r>
          </w:p>
        </w:tc>
        <w:tc>
          <w:tcPr>
            <w:tcW w:w="8664" w:type="dxa"/>
            <w:vAlign w:val="center"/>
          </w:tcPr>
          <w:p>
            <w:pPr>
              <w:snapToGrid w:val="0"/>
              <w:spacing w:line="240" w:lineRule="auto"/>
              <w:rPr>
                <w:rStyle w:val="97"/>
                <w:rFonts w:hint="eastAsia" w:ascii="宋体" w:hAnsi="宋体" w:eastAsia="宋体" w:cs="宋体"/>
                <w:b w:val="0"/>
                <w:bCs w:val="0"/>
                <w:color w:val="auto"/>
                <w:sz w:val="24"/>
                <w:szCs w:val="24"/>
                <w:highlight w:val="none"/>
              </w:rPr>
            </w:pPr>
            <w:r>
              <w:rPr>
                <w:rStyle w:val="97"/>
                <w:rFonts w:hint="eastAsia" w:ascii="宋体" w:hAnsi="宋体" w:eastAsia="宋体" w:cs="宋体"/>
                <w:b w:val="0"/>
                <w:bCs/>
                <w:color w:val="auto"/>
                <w:sz w:val="24"/>
                <w:szCs w:val="24"/>
                <w:highlight w:val="none"/>
              </w:rPr>
              <w:t>在合同签订后7日内由中标供应商按合同总金额的5%交至采购单位指定账户（可采用银行、保险公司出具保函形式提交）。验收合格且质保期满后经回访无质量问题由采购单位无息退还。因供应商所供商品质量原因造成采购单位损失的，采购单位有权要求供应商以其履约保证金作出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20</w:t>
            </w:r>
          </w:p>
        </w:tc>
        <w:tc>
          <w:tcPr>
            <w:tcW w:w="8664" w:type="dxa"/>
            <w:vAlign w:val="center"/>
          </w:tcPr>
          <w:p>
            <w:pPr>
              <w:snapToGrid w:val="0"/>
              <w:spacing w:line="240" w:lineRule="auto"/>
              <w:rPr>
                <w:rStyle w:val="97"/>
                <w:rFonts w:hint="eastAsia" w:ascii="宋体" w:hAnsi="宋体" w:eastAsia="宋体" w:cs="宋体"/>
                <w:b w:val="0"/>
                <w:bCs w:val="0"/>
                <w:color w:val="auto"/>
                <w:sz w:val="24"/>
                <w:szCs w:val="24"/>
                <w:highlight w:val="none"/>
              </w:rPr>
            </w:pPr>
            <w:r>
              <w:rPr>
                <w:rStyle w:val="97"/>
                <w:rFonts w:hint="eastAsia" w:ascii="宋体" w:hAnsi="宋体" w:eastAsia="宋体" w:cs="宋体"/>
                <w:b w:val="0"/>
                <w:bCs w:val="0"/>
                <w:color w:val="auto"/>
                <w:sz w:val="24"/>
                <w:szCs w:val="24"/>
                <w:highlight w:val="none"/>
              </w:rPr>
              <w:t>付款方式：按财务结算要求，通过银行划账方式结算。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21</w:t>
            </w:r>
          </w:p>
        </w:tc>
        <w:tc>
          <w:tcPr>
            <w:tcW w:w="8664" w:type="dxa"/>
            <w:vAlign w:val="center"/>
          </w:tcPr>
          <w:p>
            <w:pPr>
              <w:snapToGrid w:val="0"/>
              <w:spacing w:line="240" w:lineRule="auto"/>
              <w:rPr>
                <w:rStyle w:val="97"/>
                <w:rFonts w:hint="eastAsia" w:ascii="宋体" w:hAnsi="宋体" w:eastAsia="宋体" w:cs="宋体"/>
                <w:b w:val="0"/>
                <w:bCs w:val="0"/>
                <w:color w:val="auto"/>
                <w:sz w:val="24"/>
                <w:szCs w:val="24"/>
                <w:highlight w:val="none"/>
              </w:rPr>
            </w:pPr>
            <w:r>
              <w:rPr>
                <w:rStyle w:val="97"/>
                <w:rFonts w:hint="eastAsia" w:ascii="宋体" w:hAnsi="宋体" w:eastAsia="宋体" w:cs="宋体"/>
                <w:b w:val="0"/>
                <w:bCs w:val="0"/>
                <w:color w:val="auto"/>
                <w:sz w:val="24"/>
                <w:szCs w:val="24"/>
                <w:highlight w:val="none"/>
              </w:rPr>
              <w:t>投标文件的有效期：90天。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95" w:type="dxa"/>
            <w:vAlign w:val="center"/>
          </w:tcPr>
          <w:p>
            <w:pPr>
              <w:snapToGrid w:val="0"/>
              <w:spacing w:line="240" w:lineRule="auto"/>
              <w:jc w:val="center"/>
              <w:rPr>
                <w:rStyle w:val="97"/>
                <w:rFonts w:hint="eastAsia" w:ascii="宋体" w:hAnsi="宋体" w:eastAsia="宋体" w:cs="宋体"/>
                <w:color w:val="auto"/>
                <w:sz w:val="24"/>
                <w:szCs w:val="24"/>
                <w:highlight w:val="none"/>
              </w:rPr>
            </w:pPr>
            <w:r>
              <w:rPr>
                <w:rStyle w:val="97"/>
                <w:rFonts w:hint="eastAsia" w:ascii="宋体" w:hAnsi="宋体" w:eastAsia="宋体" w:cs="宋体"/>
                <w:color w:val="auto"/>
                <w:sz w:val="24"/>
                <w:szCs w:val="24"/>
                <w:highlight w:val="none"/>
              </w:rPr>
              <w:t>22</w:t>
            </w:r>
          </w:p>
        </w:tc>
        <w:tc>
          <w:tcPr>
            <w:tcW w:w="8664" w:type="dxa"/>
            <w:vAlign w:val="center"/>
          </w:tcPr>
          <w:p>
            <w:pPr>
              <w:snapToGrid w:val="0"/>
              <w:spacing w:line="240" w:lineRule="auto"/>
              <w:rPr>
                <w:rStyle w:val="97"/>
                <w:rFonts w:hint="eastAsia" w:ascii="宋体" w:hAnsi="宋体" w:eastAsia="宋体" w:cs="宋体"/>
                <w:b w:val="0"/>
                <w:bCs w:val="0"/>
                <w:color w:val="auto"/>
                <w:sz w:val="24"/>
                <w:szCs w:val="24"/>
                <w:highlight w:val="none"/>
              </w:rPr>
            </w:pPr>
            <w:r>
              <w:rPr>
                <w:rStyle w:val="97"/>
                <w:rFonts w:hint="eastAsia" w:ascii="宋体" w:hAnsi="宋体" w:eastAsia="宋体" w:cs="宋体"/>
                <w:b w:val="0"/>
                <w:bCs w:val="0"/>
                <w:color w:val="auto"/>
                <w:sz w:val="24"/>
                <w:szCs w:val="24"/>
                <w:highlight w:val="none"/>
              </w:rPr>
              <w:t>解释：本招标文件的解释权属于招标采购单位。</w:t>
            </w:r>
          </w:p>
        </w:tc>
      </w:tr>
    </w:tbl>
    <w:p>
      <w:pPr>
        <w:keepNext w:val="0"/>
        <w:keepLines w:val="0"/>
        <w:pageBreakBefore w:val="0"/>
        <w:kinsoku/>
        <w:wordWrap/>
        <w:topLinePunct w:val="0"/>
        <w:bidi w:val="0"/>
        <w:spacing w:line="400" w:lineRule="exact"/>
        <w:ind w:left="0" w:leftChars="0" w:right="0" w:firstLine="523" w:firstLineChars="217"/>
        <w:rPr>
          <w:rFonts w:ascii="宋体" w:hAnsi="宋体" w:cs="宋体"/>
          <w:b/>
          <w:color w:val="auto"/>
          <w:sz w:val="24"/>
          <w:szCs w:val="24"/>
          <w:highlight w:val="none"/>
        </w:rPr>
      </w:pPr>
      <w:r>
        <w:rPr>
          <w:rFonts w:hint="eastAsia" w:ascii="宋体" w:hAnsi="宋体" w:cs="宋体"/>
          <w:b/>
          <w:color w:val="auto"/>
          <w:sz w:val="24"/>
          <w:szCs w:val="24"/>
          <w:highlight w:val="none"/>
        </w:rPr>
        <w:t>一、适用范围</w:t>
      </w:r>
    </w:p>
    <w:p>
      <w:pPr>
        <w:keepNext w:val="0"/>
        <w:keepLines w:val="0"/>
        <w:pageBreakBefore w:val="0"/>
        <w:kinsoku/>
        <w:wordWrap/>
        <w:topLinePunct w:val="0"/>
        <w:bidi w:val="0"/>
        <w:spacing w:line="400" w:lineRule="exact"/>
        <w:ind w:left="0" w:leftChars="0" w:right="0" w:firstLine="520" w:firstLineChars="217"/>
        <w:rPr>
          <w:rFonts w:ascii="宋体" w:hAnsi="宋体" w:cs="宋体"/>
          <w:color w:val="auto"/>
          <w:sz w:val="24"/>
          <w:szCs w:val="24"/>
          <w:highlight w:val="none"/>
        </w:rPr>
      </w:pPr>
      <w:r>
        <w:rPr>
          <w:rFonts w:hint="eastAsia" w:ascii="宋体" w:hAnsi="宋体" w:cs="宋体"/>
          <w:color w:val="auto"/>
          <w:sz w:val="24"/>
          <w:szCs w:val="24"/>
          <w:highlight w:val="none"/>
        </w:rPr>
        <w:t>本招标文件仅适用于本项目的招标、评标、定标、验收、合同履约、付款等（法律、法规另有规定的，从其规定）。</w:t>
      </w:r>
    </w:p>
    <w:p>
      <w:pPr>
        <w:keepNext w:val="0"/>
        <w:keepLines w:val="0"/>
        <w:pageBreakBefore w:val="0"/>
        <w:kinsoku/>
        <w:wordWrap/>
        <w:topLinePunct w:val="0"/>
        <w:bidi w:val="0"/>
        <w:spacing w:line="400" w:lineRule="exact"/>
        <w:ind w:left="0" w:leftChars="0" w:right="0" w:firstLine="523" w:firstLineChars="217"/>
        <w:rPr>
          <w:rFonts w:ascii="宋体" w:hAnsi="宋体" w:cs="宋体"/>
          <w:b/>
          <w:bCs/>
          <w:color w:val="auto"/>
          <w:sz w:val="24"/>
          <w:szCs w:val="24"/>
          <w:highlight w:val="none"/>
        </w:rPr>
      </w:pPr>
      <w:r>
        <w:rPr>
          <w:rFonts w:hint="eastAsia" w:ascii="宋体" w:hAnsi="宋体" w:cs="宋体"/>
          <w:b/>
          <w:bCs/>
          <w:color w:val="auto"/>
          <w:sz w:val="24"/>
          <w:szCs w:val="24"/>
          <w:highlight w:val="none"/>
        </w:rPr>
        <w:t>二、定义</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（一）“招标方”系指组织本次招标的</w:t>
      </w:r>
      <w:r>
        <w:rPr>
          <w:rFonts w:hint="eastAsia" w:ascii="宋体" w:hAnsi="宋体" w:cs="宋体"/>
          <w:color w:val="auto"/>
          <w:sz w:val="24"/>
          <w:szCs w:val="24"/>
          <w:highlight w:val="none"/>
          <w:lang w:eastAsia="zh-CN"/>
        </w:rPr>
        <w:t>欧邦工程管理集团有限公司</w:t>
      </w:r>
      <w:r>
        <w:rPr>
          <w:rFonts w:hint="eastAsia" w:ascii="宋体" w:hAnsi="宋体" w:cs="宋体"/>
          <w:color w:val="auto"/>
          <w:sz w:val="24"/>
          <w:szCs w:val="24"/>
          <w:highlight w:val="none"/>
        </w:rPr>
        <w:t>。</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”系指向招标方提交投标文件的</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（三）“</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”系指委托招标方采购本次项目的</w:t>
      </w:r>
      <w:r>
        <w:rPr>
          <w:rFonts w:hint="eastAsia" w:ascii="宋体" w:hAnsi="宋体" w:cs="宋体"/>
          <w:color w:val="auto"/>
          <w:sz w:val="24"/>
          <w:szCs w:val="24"/>
          <w:highlight w:val="none"/>
          <w:lang w:eastAsia="zh-CN"/>
        </w:rPr>
        <w:t>建德市长运物资有限公司</w:t>
      </w:r>
      <w:r>
        <w:rPr>
          <w:rFonts w:hint="eastAsia" w:ascii="宋体" w:hAnsi="宋体" w:cs="宋体"/>
          <w:color w:val="auto"/>
          <w:sz w:val="24"/>
          <w:szCs w:val="24"/>
          <w:highlight w:val="none"/>
        </w:rPr>
        <w:t>。</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（四）“产品”系指供方按招标文件规定，须向</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提供的一切设备、备品备件、工具、手册及其它有关技术资料和材料。</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（五）“服务”系指招标文件规定</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须承担的供货、运输、安装、调试、技术协助、校准、培训、技术指导以及其他类似的义务。</w:t>
      </w:r>
    </w:p>
    <w:p>
      <w:pPr>
        <w:keepNext w:val="0"/>
        <w:keepLines w:val="0"/>
        <w:pageBreakBefore w:val="0"/>
        <w:kinsoku/>
        <w:wordWrap/>
        <w:topLinePunct w:val="0"/>
        <w:bidi w:val="0"/>
        <w:snapToGrid w:val="0"/>
        <w:spacing w:line="400" w:lineRule="exact"/>
        <w:ind w:left="0" w:leftChars="0" w:right="0" w:firstLine="573"/>
        <w:jc w:val="left"/>
        <w:rPr>
          <w:rFonts w:ascii="宋体" w:hAnsi="宋体" w:cs="宋体"/>
          <w:color w:val="auto"/>
          <w:sz w:val="24"/>
          <w:szCs w:val="24"/>
          <w:highlight w:val="none"/>
        </w:rPr>
      </w:pPr>
      <w:r>
        <w:rPr>
          <w:rFonts w:hint="eastAsia" w:ascii="宋体" w:hAnsi="宋体" w:cs="宋体"/>
          <w:color w:val="auto"/>
          <w:sz w:val="24"/>
          <w:szCs w:val="24"/>
          <w:highlight w:val="none"/>
        </w:rPr>
        <w:t>（六）“项目”系指</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按招标文件规定向</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提供的产品和服务。</w:t>
      </w:r>
    </w:p>
    <w:p>
      <w:pPr>
        <w:keepNext w:val="0"/>
        <w:keepLines w:val="0"/>
        <w:pageBreakBefore w:val="0"/>
        <w:kinsoku/>
        <w:wordWrap/>
        <w:topLinePunct w:val="0"/>
        <w:bidi w:val="0"/>
        <w:spacing w:line="400" w:lineRule="exact"/>
        <w:ind w:left="0" w:leftChars="0" w:right="0" w:firstLine="523" w:firstLineChars="217"/>
        <w:rPr>
          <w:rFonts w:ascii="宋体" w:hAnsi="宋体" w:cs="宋体"/>
          <w:b/>
          <w:color w:val="auto"/>
          <w:sz w:val="24"/>
          <w:szCs w:val="24"/>
          <w:highlight w:val="none"/>
        </w:rPr>
      </w:pPr>
      <w:r>
        <w:rPr>
          <w:rFonts w:hint="eastAsia" w:ascii="宋体" w:hAnsi="宋体" w:cs="宋体"/>
          <w:b/>
          <w:color w:val="auto"/>
          <w:sz w:val="24"/>
          <w:szCs w:val="24"/>
          <w:highlight w:val="none"/>
        </w:rPr>
        <w:t>三、投标委托</w:t>
      </w:r>
    </w:p>
    <w:p>
      <w:pPr>
        <w:keepNext w:val="0"/>
        <w:keepLines w:val="0"/>
        <w:pageBreakBefore w:val="0"/>
        <w:kinsoku/>
        <w:wordWrap/>
        <w:topLinePunct w:val="0"/>
        <w:bidi w:val="0"/>
        <w:spacing w:line="400" w:lineRule="exact"/>
        <w:ind w:left="0" w:leftChars="0" w:right="0" w:firstLine="537" w:firstLineChars="224"/>
        <w:rPr>
          <w:rFonts w:ascii="宋体" w:hAnsi="宋体" w:cs="宋体"/>
          <w:color w:val="auto"/>
          <w:sz w:val="24"/>
          <w:szCs w:val="24"/>
          <w:highlight w:val="none"/>
        </w:rPr>
      </w:pPr>
      <w:r>
        <w:rPr>
          <w:rFonts w:hint="eastAsia" w:ascii="宋体" w:hAnsi="宋体" w:cs="宋体"/>
          <w:color w:val="auto"/>
          <w:sz w:val="24"/>
          <w:szCs w:val="24"/>
          <w:highlight w:val="none"/>
        </w:rPr>
        <w:t>全权代表须携带有效身份证件。如全权代表不是法定代表人，须有法定代表人出具的授权委托书（格式见第九章附件八）。</w:t>
      </w:r>
    </w:p>
    <w:p>
      <w:pPr>
        <w:keepNext w:val="0"/>
        <w:keepLines w:val="0"/>
        <w:pageBreakBefore w:val="0"/>
        <w:kinsoku/>
        <w:wordWrap/>
        <w:topLinePunct w:val="0"/>
        <w:bidi w:val="0"/>
        <w:spacing w:line="400" w:lineRule="exact"/>
        <w:ind w:left="0" w:leftChars="0" w:right="0" w:firstLine="523" w:firstLineChars="217"/>
        <w:rPr>
          <w:rFonts w:ascii="宋体" w:hAnsi="宋体" w:cs="宋体"/>
          <w:b/>
          <w:color w:val="auto"/>
          <w:sz w:val="24"/>
          <w:szCs w:val="24"/>
          <w:highlight w:val="none"/>
        </w:rPr>
      </w:pPr>
      <w:r>
        <w:rPr>
          <w:rFonts w:hint="eastAsia" w:ascii="宋体" w:hAnsi="宋体" w:cs="宋体"/>
          <w:b/>
          <w:color w:val="auto"/>
          <w:sz w:val="24"/>
          <w:szCs w:val="24"/>
          <w:highlight w:val="none"/>
        </w:rPr>
        <w:t>四、投标费用</w:t>
      </w:r>
    </w:p>
    <w:p>
      <w:pPr>
        <w:keepNext w:val="0"/>
        <w:keepLines w:val="0"/>
        <w:pageBreakBefore w:val="0"/>
        <w:kinsoku/>
        <w:wordWrap/>
        <w:topLinePunct w:val="0"/>
        <w:bidi w:val="0"/>
        <w:spacing w:line="400" w:lineRule="exact"/>
        <w:ind w:left="0" w:leftChars="0" w:right="0" w:firstLine="570"/>
        <w:jc w:val="left"/>
        <w:rPr>
          <w:rFonts w:ascii="宋体" w:hAnsi="宋体" w:cs="宋体"/>
          <w:color w:val="auto"/>
          <w:sz w:val="24"/>
          <w:szCs w:val="24"/>
          <w:highlight w:val="none"/>
        </w:rPr>
      </w:pPr>
      <w:r>
        <w:rPr>
          <w:rFonts w:hint="eastAsia" w:ascii="宋体" w:hAnsi="宋体" w:cs="宋体"/>
          <w:color w:val="auto"/>
          <w:sz w:val="24"/>
          <w:szCs w:val="24"/>
          <w:highlight w:val="none"/>
        </w:rPr>
        <w:t>无论投标过程和结果如何，投标方自行承担与投标有关的全部费用（招标文件有其他相反规定除外）。</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rPr>
      </w:pPr>
      <w:r>
        <w:rPr>
          <w:rFonts w:hint="eastAsia" w:ascii="宋体" w:hAnsi="宋体" w:cs="宋体"/>
          <w:b/>
          <w:color w:val="auto"/>
          <w:sz w:val="24"/>
          <w:szCs w:val="24"/>
          <w:highlight w:val="none"/>
        </w:rPr>
        <w:t>五、投标报价及修正</w:t>
      </w:r>
    </w:p>
    <w:p>
      <w:pPr>
        <w:keepNext w:val="0"/>
        <w:keepLines w:val="0"/>
        <w:pageBreakBefore w:val="0"/>
        <w:kinsoku/>
        <w:wordWrap/>
        <w:topLinePunct w:val="0"/>
        <w:bidi w:val="0"/>
        <w:snapToGrid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（一）投标报价以人民币为结算货币。</w:t>
      </w:r>
    </w:p>
    <w:p>
      <w:pPr>
        <w:keepNext w:val="0"/>
        <w:keepLines w:val="0"/>
        <w:pageBreakBefore w:val="0"/>
        <w:kinsoku/>
        <w:wordWrap/>
        <w:topLinePunct w:val="0"/>
        <w:bidi w:val="0"/>
        <w:snapToGrid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二）供应商应按招标文件要求认真填写《开标一览表》，开标时，投标文件中开标一览表内容与投标文件中明细表内容不一致的，以开标一览表为准。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keepNext w:val="0"/>
        <w:keepLines w:val="0"/>
        <w:pageBreakBefore w:val="0"/>
        <w:kinsoku/>
        <w:wordWrap/>
        <w:topLinePunct w:val="0"/>
        <w:bidi w:val="0"/>
        <w:snapToGrid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（三）供应商的报价是供应商响应招标项目要求的全部工作内容的价格体现，包括设备的设计、制作、供货、包装、装卸运输、安装调试、</w:t>
      </w:r>
      <w:r>
        <w:rPr>
          <w:rFonts w:hint="eastAsia" w:ascii="宋体" w:hAnsi="宋体" w:cs="宋体"/>
          <w:color w:val="auto"/>
          <w:sz w:val="24"/>
          <w:szCs w:val="24"/>
          <w:highlight w:val="none"/>
          <w:lang w:val="en-US" w:eastAsia="zh-CN"/>
        </w:rPr>
        <w:t>附件、辅材、</w:t>
      </w:r>
      <w:r>
        <w:rPr>
          <w:rFonts w:hint="eastAsia" w:ascii="宋体" w:hAnsi="宋体" w:cs="宋体"/>
          <w:color w:val="auto"/>
          <w:sz w:val="24"/>
          <w:szCs w:val="24"/>
          <w:highlight w:val="none"/>
        </w:rPr>
        <w:t>备品备件、专用工具、税金、验收、辅助工作及售后服务等完成整个项目所需的一切费用，以及招标文件未列明</w:t>
      </w:r>
      <w:r>
        <w:rPr>
          <w:rFonts w:hint="eastAsia" w:ascii="宋体" w:hAnsi="宋体" w:cs="宋体"/>
          <w:color w:val="auto"/>
          <w:sz w:val="24"/>
          <w:szCs w:val="24"/>
          <w:highlight w:val="none"/>
          <w:lang w:eastAsia="zh-CN"/>
        </w:rPr>
        <w:t>，而</w:t>
      </w:r>
      <w:r>
        <w:rPr>
          <w:rFonts w:hint="eastAsia" w:ascii="宋体" w:hAnsi="宋体" w:cs="宋体"/>
          <w:color w:val="auto"/>
          <w:sz w:val="24"/>
          <w:szCs w:val="24"/>
          <w:highlight w:val="none"/>
        </w:rPr>
        <w:t>投标单位认为必需的费用也需列入报价。</w:t>
      </w:r>
    </w:p>
    <w:p>
      <w:pPr>
        <w:keepNext w:val="0"/>
        <w:keepLines w:val="0"/>
        <w:pageBreakBefore w:val="0"/>
        <w:kinsoku/>
        <w:wordWrap/>
        <w:topLinePunct w:val="0"/>
        <w:bidi w:val="0"/>
        <w:snapToGrid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（四）供应商只允许有一个报价，并且在合同履行过程中是固定不变的，任何有选择或可调整的报价将不予接受，并按无效投标处理。</w:t>
      </w:r>
    </w:p>
    <w:p>
      <w:pPr>
        <w:keepNext w:val="0"/>
        <w:keepLines w:val="0"/>
        <w:pageBreakBefore w:val="0"/>
        <w:kinsoku/>
        <w:wordWrap/>
        <w:topLinePunct w:val="0"/>
        <w:bidi w:val="0"/>
        <w:spacing w:line="400" w:lineRule="exact"/>
        <w:ind w:left="0" w:leftChars="0" w:right="0"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、投标保证金</w:t>
      </w:r>
    </w:p>
    <w:p>
      <w:pPr>
        <w:keepNext w:val="0"/>
        <w:keepLines w:val="0"/>
        <w:pageBreakBefore w:val="0"/>
        <w:kinsoku/>
        <w:wordWrap/>
        <w:topLinePunct w:val="0"/>
        <w:bidi w:val="0"/>
        <w:snapToGrid w:val="0"/>
        <w:spacing w:line="400" w:lineRule="exact"/>
        <w:ind w:left="0" w:leftChars="0" w:right="0" w:firstLine="360" w:firstLineChars="150"/>
        <w:jc w:val="left"/>
        <w:rPr>
          <w:rFonts w:hint="eastAsia" w:ascii="宋体" w:eastAsia="宋体" w:cs="宋体"/>
          <w:color w:val="auto"/>
          <w:sz w:val="24"/>
          <w:szCs w:val="24"/>
          <w:highlight w:val="none"/>
        </w:rPr>
      </w:pPr>
      <w:r>
        <w:rPr>
          <w:rFonts w:hint="eastAsia" w:ascii="宋体" w:hAnsi="宋体" w:cs="宋体"/>
          <w:color w:val="auto"/>
          <w:sz w:val="24"/>
          <w:szCs w:val="24"/>
          <w:highlight w:val="none"/>
        </w:rPr>
        <w:t>（一）</w:t>
      </w:r>
      <w:r>
        <w:rPr>
          <w:rFonts w:hint="eastAsia" w:ascii="宋体" w:eastAsia="宋体" w:cs="宋体"/>
          <w:color w:val="auto"/>
          <w:sz w:val="24"/>
          <w:szCs w:val="24"/>
          <w:highlight w:val="none"/>
        </w:rPr>
        <w:t>投标保证金以银行汇票、电汇、网银形式按招标公告的规定时间、地点、账号交纳并</w:t>
      </w:r>
      <w:r>
        <w:rPr>
          <w:rFonts w:hint="eastAsia" w:ascii="宋体" w:cs="宋体"/>
          <w:color w:val="auto"/>
          <w:sz w:val="24"/>
          <w:szCs w:val="24"/>
          <w:highlight w:val="none"/>
          <w:lang w:eastAsia="zh-CN"/>
        </w:rPr>
        <w:t>到账</w:t>
      </w:r>
      <w:r>
        <w:rPr>
          <w:rFonts w:hint="eastAsia" w:ascii="宋体" w:eastAsia="宋体" w:cs="宋体"/>
          <w:color w:val="auto"/>
          <w:sz w:val="24"/>
          <w:szCs w:val="24"/>
          <w:highlight w:val="none"/>
        </w:rPr>
        <w:t>。</w:t>
      </w:r>
    </w:p>
    <w:p>
      <w:pPr>
        <w:keepNext w:val="0"/>
        <w:keepLines w:val="0"/>
        <w:pageBreakBefore w:val="0"/>
        <w:kinsoku/>
        <w:wordWrap/>
        <w:topLinePunct w:val="0"/>
        <w:bidi w:val="0"/>
        <w:snapToGrid w:val="0"/>
        <w:spacing w:line="400" w:lineRule="exact"/>
        <w:ind w:left="0" w:leftChars="0" w:right="0" w:firstLine="360" w:firstLineChars="150"/>
        <w:jc w:val="left"/>
        <w:rPr>
          <w:rFonts w:hint="eastAsia" w:ascii="宋体" w:eastAsia="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w:t>
      </w:r>
      <w:r>
        <w:rPr>
          <w:rFonts w:hint="eastAsia" w:ascii="宋体" w:eastAsia="宋体" w:cs="宋体"/>
          <w:color w:val="auto"/>
          <w:sz w:val="24"/>
          <w:szCs w:val="24"/>
          <w:highlight w:val="none"/>
        </w:rPr>
        <w:t>未按规定提交投标保证金的投标，拒绝接收投标文件。</w:t>
      </w:r>
    </w:p>
    <w:p>
      <w:pPr>
        <w:keepNext w:val="0"/>
        <w:keepLines w:val="0"/>
        <w:pageBreakBefore w:val="0"/>
        <w:kinsoku/>
        <w:wordWrap/>
        <w:topLinePunct w:val="0"/>
        <w:bidi w:val="0"/>
        <w:snapToGrid w:val="0"/>
        <w:spacing w:line="400" w:lineRule="exact"/>
        <w:ind w:left="0" w:leftChars="0" w:right="0" w:firstLine="360" w:firstLineChars="150"/>
        <w:jc w:val="left"/>
        <w:rPr>
          <w:rFonts w:hint="eastAsia" w:ascii="宋体" w:eastAsia="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w:t>
      </w:r>
      <w:r>
        <w:rPr>
          <w:rFonts w:hint="eastAsia" w:ascii="宋体" w:eastAsia="宋体" w:cs="宋体"/>
          <w:color w:val="auto"/>
          <w:sz w:val="24"/>
          <w:szCs w:val="24"/>
          <w:highlight w:val="none"/>
        </w:rPr>
        <w:t>投标截止日后，投标方撤回投标书的，投标保证金不予退还。</w:t>
      </w:r>
      <w:r>
        <w:rPr>
          <w:rFonts w:hint="eastAsia" w:ascii="宋体" w:eastAsia="宋体" w:cs="宋体"/>
          <w:color w:val="auto"/>
          <w:sz w:val="24"/>
          <w:szCs w:val="24"/>
          <w:highlight w:val="none"/>
          <w:lang w:eastAsia="zh-CN"/>
        </w:rPr>
        <w:t>中标供应商</w:t>
      </w:r>
      <w:r>
        <w:rPr>
          <w:rFonts w:hint="eastAsia" w:ascii="宋体" w:eastAsia="宋体" w:cs="宋体"/>
          <w:color w:val="auto"/>
          <w:sz w:val="24"/>
          <w:szCs w:val="24"/>
          <w:highlight w:val="none"/>
        </w:rPr>
        <w:t>不按规定签订政府采购合同的，将没收投标保证金</w:t>
      </w:r>
      <w:r>
        <w:rPr>
          <w:rFonts w:hint="eastAsia" w:ascii="宋体" w:eastAsia="宋体" w:cs="宋体"/>
          <w:color w:val="auto"/>
          <w:sz w:val="24"/>
          <w:szCs w:val="24"/>
          <w:highlight w:val="none"/>
          <w:lang w:eastAsia="zh-CN"/>
        </w:rPr>
        <w:t>。</w:t>
      </w:r>
    </w:p>
    <w:p>
      <w:pPr>
        <w:keepNext w:val="0"/>
        <w:keepLines w:val="0"/>
        <w:pageBreakBefore w:val="0"/>
        <w:kinsoku/>
        <w:wordWrap/>
        <w:topLinePunct w:val="0"/>
        <w:bidi w:val="0"/>
        <w:spacing w:line="400" w:lineRule="exact"/>
        <w:ind w:left="0" w:leftChars="0" w:right="0" w:firstLine="472" w:firstLineChars="196"/>
        <w:jc w:val="left"/>
        <w:rPr>
          <w:rFonts w:ascii="宋体" w:hAnsi="宋体" w:cs="宋体"/>
          <w:b/>
          <w:color w:val="auto"/>
          <w:sz w:val="24"/>
          <w:szCs w:val="24"/>
          <w:highlight w:val="none"/>
        </w:rPr>
      </w:pPr>
      <w:r>
        <w:rPr>
          <w:rFonts w:hint="eastAsia" w:ascii="宋体" w:hAnsi="宋体" w:cs="宋体"/>
          <w:b/>
          <w:color w:val="auto"/>
          <w:sz w:val="24"/>
          <w:szCs w:val="24"/>
          <w:highlight w:val="none"/>
          <w:lang w:eastAsia="zh-CN"/>
        </w:rPr>
        <w:t>七</w:t>
      </w:r>
      <w:r>
        <w:rPr>
          <w:rFonts w:hint="eastAsia" w:ascii="宋体" w:hAnsi="宋体" w:cs="宋体"/>
          <w:b/>
          <w:color w:val="auto"/>
          <w:sz w:val="24"/>
          <w:szCs w:val="24"/>
          <w:highlight w:val="none"/>
        </w:rPr>
        <w:t>、投标有效期</w:t>
      </w:r>
    </w:p>
    <w:p>
      <w:pPr>
        <w:keepNext w:val="0"/>
        <w:keepLines w:val="0"/>
        <w:pageBreakBefore w:val="0"/>
        <w:kinsoku/>
        <w:wordWrap/>
        <w:topLinePunct w:val="0"/>
        <w:bidi w:val="0"/>
        <w:spacing w:line="400" w:lineRule="exact"/>
        <w:ind w:left="0" w:leftChars="0" w:right="0"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（一）投标文件从开标之日起，投标有效期为</w:t>
      </w:r>
      <w:r>
        <w:rPr>
          <w:rFonts w:hint="eastAsia" w:ascii="宋体" w:hAnsi="宋体" w:cs="宋体"/>
          <w:b/>
          <w:color w:val="auto"/>
          <w:sz w:val="24"/>
          <w:szCs w:val="24"/>
          <w:highlight w:val="none"/>
        </w:rPr>
        <w:t>90日</w:t>
      </w:r>
      <w:r>
        <w:rPr>
          <w:rFonts w:hint="eastAsia" w:ascii="宋体" w:hAnsi="宋体" w:cs="宋体"/>
          <w:color w:val="auto"/>
          <w:sz w:val="24"/>
          <w:szCs w:val="24"/>
          <w:highlight w:val="none"/>
        </w:rPr>
        <w:t>。</w:t>
      </w:r>
    </w:p>
    <w:p>
      <w:pPr>
        <w:keepNext w:val="0"/>
        <w:keepLines w:val="0"/>
        <w:pageBreakBefore w:val="0"/>
        <w:kinsoku/>
        <w:wordWrap/>
        <w:topLinePunct w:val="0"/>
        <w:bidi w:val="0"/>
        <w:spacing w:line="400" w:lineRule="exact"/>
        <w:ind w:left="0" w:leftChars="0" w:right="0"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）特殊情况下，招标方可与投标方协商延缓投标书的有效期，这种要求和答复均以书面形式进行。</w:t>
      </w:r>
    </w:p>
    <w:p>
      <w:pPr>
        <w:keepNext w:val="0"/>
        <w:keepLines w:val="0"/>
        <w:pageBreakBefore w:val="0"/>
        <w:kinsoku/>
        <w:wordWrap/>
        <w:topLinePunct w:val="0"/>
        <w:bidi w:val="0"/>
        <w:spacing w:line="400" w:lineRule="exact"/>
        <w:ind w:left="0" w:leftChars="0" w:right="0" w:firstLine="482" w:firstLineChars="200"/>
        <w:jc w:val="left"/>
        <w:rPr>
          <w:rFonts w:ascii="宋体" w:hAnsi="宋体" w:cs="宋体"/>
          <w:b/>
          <w:color w:val="auto"/>
          <w:sz w:val="24"/>
          <w:szCs w:val="24"/>
          <w:highlight w:val="none"/>
        </w:rPr>
      </w:pPr>
      <w:bookmarkStart w:id="0" w:name="_Toc177870542"/>
      <w:r>
        <w:rPr>
          <w:rFonts w:hint="eastAsia" w:ascii="宋体" w:hAnsi="宋体" w:cs="宋体"/>
          <w:b/>
          <w:color w:val="auto"/>
          <w:sz w:val="24"/>
          <w:szCs w:val="24"/>
          <w:highlight w:val="none"/>
          <w:lang w:eastAsia="zh-CN"/>
        </w:rPr>
        <w:t>八</w:t>
      </w:r>
      <w:r>
        <w:rPr>
          <w:rFonts w:hint="eastAsia" w:ascii="宋体" w:hAnsi="宋体" w:cs="宋体"/>
          <w:b/>
          <w:color w:val="auto"/>
          <w:sz w:val="24"/>
          <w:szCs w:val="24"/>
          <w:highlight w:val="none"/>
        </w:rPr>
        <w:t>、特别说明：</w:t>
      </w:r>
      <w:bookmarkEnd w:id="0"/>
    </w:p>
    <w:p>
      <w:pPr>
        <w:pStyle w:val="24"/>
        <w:keepNext w:val="0"/>
        <w:keepLines w:val="0"/>
        <w:pageBreakBefore w:val="0"/>
        <w:widowControl/>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（一）</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不得为本次采购进行设计或编制规范和其他文件的当事人；也不得直接或间接地与为本次采购进行设计或编制规范、其他文件的个人、企业、采购代理机构或其附属机构有任何关联。</w:t>
      </w:r>
    </w:p>
    <w:p>
      <w:pPr>
        <w:pStyle w:val="24"/>
        <w:keepNext w:val="0"/>
        <w:keepLines w:val="0"/>
        <w:pageBreakBefore w:val="0"/>
        <w:widowControl/>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投标所使用的采购项目实施人员可以为其控股公司的工作人员。</w:t>
      </w:r>
    </w:p>
    <w:p>
      <w:pPr>
        <w:pStyle w:val="24"/>
        <w:keepNext w:val="0"/>
        <w:keepLines w:val="0"/>
        <w:pageBreakBefore w:val="0"/>
        <w:widowControl/>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在投标活动中提供任何虚假材料或从事其他违法活动的</w:t>
      </w:r>
      <w:r>
        <w:rPr>
          <w:rFonts w:hint="eastAsia" w:hAnsi="宋体" w:cs="宋体"/>
          <w:color w:val="auto"/>
          <w:sz w:val="24"/>
          <w:szCs w:val="24"/>
          <w:highlight w:val="none"/>
          <w:lang w:eastAsia="zh-CN"/>
        </w:rPr>
        <w:t>，</w:t>
      </w:r>
      <w:r>
        <w:rPr>
          <w:rFonts w:hint="eastAsia" w:hAnsi="宋体" w:cs="宋体"/>
          <w:color w:val="auto"/>
          <w:sz w:val="24"/>
          <w:szCs w:val="24"/>
          <w:highlight w:val="none"/>
        </w:rPr>
        <w:t>其投标无效，并报监管部门查处；中标后发现的</w:t>
      </w:r>
      <w:r>
        <w:rPr>
          <w:rFonts w:hint="eastAsia" w:hAnsi="宋体" w:cs="宋体"/>
          <w:color w:val="auto"/>
          <w:sz w:val="24"/>
          <w:szCs w:val="24"/>
          <w:highlight w:val="none"/>
          <w:lang w:eastAsia="zh-CN"/>
        </w:rPr>
        <w:t>，中标供应商</w:t>
      </w:r>
      <w:r>
        <w:rPr>
          <w:rFonts w:hint="eastAsia" w:hAnsi="宋体" w:cs="宋体"/>
          <w:color w:val="auto"/>
          <w:sz w:val="24"/>
          <w:szCs w:val="24"/>
          <w:highlight w:val="none"/>
        </w:rPr>
        <w:t>须依照《中华人民共和国消费者权益保护法》第49条之规定双倍赔偿</w:t>
      </w:r>
      <w:r>
        <w:rPr>
          <w:rFonts w:hint="eastAsia" w:hAnsi="宋体" w:cs="宋体"/>
          <w:color w:val="auto"/>
          <w:sz w:val="24"/>
          <w:szCs w:val="24"/>
          <w:highlight w:val="none"/>
          <w:lang w:eastAsia="zh-CN"/>
        </w:rPr>
        <w:t>采购单位</w:t>
      </w:r>
      <w:r>
        <w:rPr>
          <w:rFonts w:hint="eastAsia" w:hAnsi="宋体" w:cs="宋体"/>
          <w:color w:val="auto"/>
          <w:sz w:val="24"/>
          <w:szCs w:val="24"/>
          <w:highlight w:val="none"/>
        </w:rPr>
        <w:t>。且民事赔偿并不免除违法</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的行政与刑事责任。</w:t>
      </w:r>
    </w:p>
    <w:p>
      <w:pPr>
        <w:keepNext w:val="0"/>
        <w:keepLines w:val="0"/>
        <w:pageBreakBefore w:val="0"/>
        <w:widowControl/>
        <w:kinsoku/>
        <w:wordWrap/>
        <w:topLinePunct w:val="0"/>
        <w:bidi w:val="0"/>
        <w:spacing w:line="400" w:lineRule="exact"/>
        <w:ind w:left="0" w:leftChars="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keepNext w:val="0"/>
        <w:keepLines w:val="0"/>
        <w:pageBreakBefore w:val="0"/>
        <w:widowControl/>
        <w:kinsoku/>
        <w:wordWrap/>
        <w:topLinePunct w:val="0"/>
        <w:bidi w:val="0"/>
        <w:spacing w:line="400" w:lineRule="exact"/>
        <w:ind w:left="0" w:leftChars="0" w:right="0" w:firstLine="240" w:firstLineChars="1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多家代理商或经销商参加投标，如其中两家或两家以上供应商存在分级代理或代销关系，且提供的是其所代理品牌产品的，评审时，按上述规定确定其中一家为有效供应商。</w:t>
      </w:r>
    </w:p>
    <w:p>
      <w:pPr>
        <w:pStyle w:val="24"/>
        <w:keepNext w:val="0"/>
        <w:keepLines w:val="0"/>
        <w:pageBreakBefore w:val="0"/>
        <w:widowControl/>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hAnsi="宋体" w:cs="宋体"/>
          <w:color w:val="auto"/>
          <w:sz w:val="24"/>
          <w:szCs w:val="24"/>
          <w:highlight w:val="none"/>
        </w:rPr>
        <w:t>同一家原生产厂商授权多家代理商参加投标的，评审时，按上述规定确定其中一家为有效供应商。</w:t>
      </w:r>
    </w:p>
    <w:p>
      <w:pPr>
        <w:pStyle w:val="24"/>
        <w:keepNext w:val="0"/>
        <w:keepLines w:val="0"/>
        <w:pageBreakBefore w:val="0"/>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五</w:t>
      </w:r>
      <w:r>
        <w:rPr>
          <w:rFonts w:hint="eastAsia" w:ascii="宋体" w:hAnsi="宋体" w:cs="宋体"/>
          <w:color w:val="auto"/>
          <w:sz w:val="24"/>
          <w:szCs w:val="24"/>
          <w:highlight w:val="none"/>
        </w:rPr>
        <w:t>）</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应仔细阅读招标文件的所有内容，按照招标文件的要求提交投标文件。投标文件应对招标文件的要求作出实质性响应，并对所提供的全部资料的真实性承担法律责任。</w:t>
      </w:r>
    </w:p>
    <w:p>
      <w:pPr>
        <w:keepNext w:val="0"/>
        <w:keepLines w:val="0"/>
        <w:pageBreakBefore w:val="0"/>
        <w:widowControl/>
        <w:kinsoku/>
        <w:wordWrap/>
        <w:topLinePunct w:val="0"/>
        <w:bidi w:val="0"/>
        <w:spacing w:line="400" w:lineRule="exact"/>
        <w:ind w:left="0" w:leftChars="0" w:right="0" w:firstLine="241" w:firstLineChars="100"/>
        <w:jc w:val="left"/>
        <w:rPr>
          <w:rFonts w:ascii="宋体" w:hAnsi="宋体" w:cs="宋体"/>
          <w:b/>
          <w:color w:val="auto"/>
          <w:sz w:val="24"/>
          <w:szCs w:val="24"/>
          <w:highlight w:val="none"/>
        </w:rPr>
      </w:pPr>
      <w:bookmarkStart w:id="1" w:name="_Toc177870543"/>
      <w:r>
        <w:rPr>
          <w:rFonts w:hint="eastAsia" w:ascii="宋体" w:hAnsi="宋体" w:cs="宋体"/>
          <w:b/>
          <w:color w:val="auto"/>
          <w:sz w:val="24"/>
          <w:szCs w:val="24"/>
          <w:highlight w:val="none"/>
        </w:rPr>
        <w:t xml:space="preserve">  </w:t>
      </w:r>
      <w:r>
        <w:rPr>
          <w:rFonts w:hint="eastAsia" w:ascii="宋体" w:hAnsi="宋体" w:cs="宋体"/>
          <w:b/>
          <w:color w:val="auto"/>
          <w:sz w:val="24"/>
          <w:szCs w:val="24"/>
          <w:highlight w:val="none"/>
          <w:lang w:eastAsia="zh-CN"/>
        </w:rPr>
        <w:t>九</w:t>
      </w:r>
      <w:r>
        <w:rPr>
          <w:rFonts w:hint="eastAsia" w:ascii="宋体" w:hAnsi="宋体" w:cs="宋体"/>
          <w:b/>
          <w:color w:val="auto"/>
          <w:sz w:val="24"/>
          <w:szCs w:val="24"/>
          <w:highlight w:val="none"/>
        </w:rPr>
        <w:t>、质疑</w:t>
      </w:r>
      <w:bookmarkEnd w:id="1"/>
    </w:p>
    <w:p>
      <w:pPr>
        <w:keepNext w:val="0"/>
        <w:keepLines w:val="0"/>
        <w:pageBreakBefore w:val="0"/>
        <w:widowControl/>
        <w:kinsoku/>
        <w:wordWrap/>
        <w:topLinePunct w:val="0"/>
        <w:bidi w:val="0"/>
        <w:spacing w:line="400" w:lineRule="exact"/>
        <w:ind w:left="0" w:leftChars="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认为招标文件、招标过程和中标结果使自己的合法权益受到损害的，应当在知道或者应知其权益受到损害之日起七个工作日内，以书面形式向</w:t>
      </w:r>
      <w:r>
        <w:rPr>
          <w:rFonts w:hint="eastAsia" w:ascii="宋体" w:hAnsi="宋体" w:cs="宋体"/>
          <w:color w:val="auto"/>
          <w:sz w:val="24"/>
          <w:szCs w:val="24"/>
          <w:highlight w:val="none"/>
          <w:lang w:eastAsia="zh-CN"/>
        </w:rPr>
        <w:t>欧邦工程管理集团有限公司</w:t>
      </w:r>
      <w:r>
        <w:rPr>
          <w:rFonts w:hint="eastAsia" w:ascii="宋体" w:hAnsi="宋体" w:cs="宋体"/>
          <w:color w:val="auto"/>
          <w:sz w:val="24"/>
          <w:szCs w:val="24"/>
          <w:highlight w:val="none"/>
        </w:rPr>
        <w:t>提出质疑。</w:t>
      </w:r>
    </w:p>
    <w:p>
      <w:pPr>
        <w:pStyle w:val="13"/>
        <w:keepNext w:val="0"/>
        <w:keepLines w:val="0"/>
        <w:pageBreakBefore w:val="0"/>
        <w:kinsoku/>
        <w:wordWrap/>
        <w:topLinePunct w:val="0"/>
        <w:bidi w:val="0"/>
        <w:snapToGrid w:val="0"/>
        <w:spacing w:line="400" w:lineRule="exact"/>
        <w:ind w:left="0" w:leftChars="0" w:right="0"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提出质疑期限的计算，依照下列规定办理：</w:t>
      </w:r>
    </w:p>
    <w:p>
      <w:pPr>
        <w:pStyle w:val="13"/>
        <w:keepNext w:val="0"/>
        <w:keepLines w:val="0"/>
        <w:pageBreakBefore w:val="0"/>
        <w:kinsoku/>
        <w:wordWrap/>
        <w:topLinePunct w:val="0"/>
        <w:bidi w:val="0"/>
        <w:snapToGrid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（1）对采购文件提出质疑的，应当在前附表规定的时间前提出。</w:t>
      </w:r>
    </w:p>
    <w:p>
      <w:pPr>
        <w:pStyle w:val="13"/>
        <w:keepNext w:val="0"/>
        <w:keepLines w:val="0"/>
        <w:pageBreakBefore w:val="0"/>
        <w:kinsoku/>
        <w:wordWrap/>
        <w:topLinePunct w:val="0"/>
        <w:bidi w:val="0"/>
        <w:snapToGrid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（2）对采购过程提出质疑的，自采购程序环节结束之日起计算。</w:t>
      </w:r>
    </w:p>
    <w:p>
      <w:pPr>
        <w:pStyle w:val="24"/>
        <w:keepNext w:val="0"/>
        <w:keepLines w:val="0"/>
        <w:pageBreakBefore w:val="0"/>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hAnsi="宋体" w:cs="宋体"/>
          <w:color w:val="auto"/>
          <w:sz w:val="24"/>
          <w:szCs w:val="24"/>
          <w:highlight w:val="none"/>
        </w:rPr>
        <w:t>（3）对中标结果以及评标委员会组成人员提出质疑的，自中标结果公告之日起计算。</w:t>
      </w:r>
    </w:p>
    <w:p>
      <w:pPr>
        <w:keepNext w:val="0"/>
        <w:keepLines w:val="0"/>
        <w:pageBreakBefore w:val="0"/>
        <w:widowControl/>
        <w:kinsoku/>
        <w:wordWrap/>
        <w:topLinePunct w:val="0"/>
        <w:bidi w:val="0"/>
        <w:spacing w:line="400" w:lineRule="exact"/>
        <w:ind w:left="0" w:leftChars="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）质疑应当采用加盖</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公章的书面形式，质疑书应明确阐述招标过程或中标结果中使自己合法权益受到损害的实质性内容，提供相关事实、依据和证据及其来源或线索，便于有关单位调查、答复和处理，否则，</w:t>
      </w:r>
      <w:r>
        <w:rPr>
          <w:rFonts w:hint="eastAsia" w:ascii="宋体" w:hAnsi="宋体" w:cs="宋体"/>
          <w:color w:val="auto"/>
          <w:sz w:val="24"/>
          <w:szCs w:val="24"/>
          <w:highlight w:val="none"/>
          <w:lang w:eastAsia="zh-CN"/>
        </w:rPr>
        <w:t>欧邦工程管理集团有限公司</w:t>
      </w:r>
      <w:r>
        <w:rPr>
          <w:rFonts w:hint="eastAsia" w:ascii="宋体" w:hAnsi="宋体" w:cs="宋体"/>
          <w:color w:val="auto"/>
          <w:sz w:val="24"/>
          <w:szCs w:val="24"/>
          <w:highlight w:val="none"/>
        </w:rPr>
        <w:t>将不予受理。</w:t>
      </w:r>
    </w:p>
    <w:p>
      <w:pPr>
        <w:keepNext w:val="0"/>
        <w:keepLines w:val="0"/>
        <w:pageBreakBefore w:val="0"/>
        <w:kinsoku/>
        <w:wordWrap/>
        <w:topLinePunct w:val="0"/>
        <w:bidi w:val="0"/>
        <w:spacing w:line="400" w:lineRule="exact"/>
        <w:ind w:left="0" w:leftChars="0" w:right="0"/>
        <w:jc w:val="left"/>
        <w:rPr>
          <w:rFonts w:ascii="宋体" w:hAnsi="宋体" w:cs="宋体"/>
          <w:b/>
          <w:color w:val="auto"/>
          <w:sz w:val="24"/>
          <w:szCs w:val="24"/>
          <w:highlight w:val="none"/>
        </w:rPr>
      </w:pPr>
      <w:r>
        <w:rPr>
          <w:rFonts w:hint="eastAsia" w:ascii="宋体" w:hAnsi="宋体" w:cs="宋体"/>
          <w:b/>
          <w:color w:val="auto"/>
          <w:sz w:val="24"/>
          <w:szCs w:val="24"/>
          <w:highlight w:val="none"/>
        </w:rPr>
        <w:t xml:space="preserve">   </w:t>
      </w:r>
      <w:r>
        <w:rPr>
          <w:rFonts w:hint="eastAsia" w:ascii="宋体" w:hAnsi="宋体" w:cs="宋体"/>
          <w:b/>
          <w:color w:val="auto"/>
          <w:sz w:val="24"/>
          <w:szCs w:val="24"/>
          <w:highlight w:val="none"/>
          <w:lang w:eastAsia="zh-CN"/>
        </w:rPr>
        <w:t>十</w:t>
      </w:r>
      <w:r>
        <w:rPr>
          <w:rFonts w:hint="eastAsia" w:ascii="宋体" w:hAnsi="宋体" w:cs="宋体"/>
          <w:b/>
          <w:color w:val="auto"/>
          <w:sz w:val="24"/>
          <w:szCs w:val="24"/>
          <w:highlight w:val="none"/>
        </w:rPr>
        <w:t>、招标文件的澄清和修改</w:t>
      </w:r>
    </w:p>
    <w:p>
      <w:pPr>
        <w:pStyle w:val="24"/>
        <w:keepNext w:val="0"/>
        <w:keepLines w:val="0"/>
        <w:pageBreakBefore w:val="0"/>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应认真阅读本招标文件，发现其中有误或有要求不合理的，</w:t>
      </w:r>
      <w:r>
        <w:rPr>
          <w:rFonts w:hint="eastAsia" w:hAnsi="宋体" w:cs="宋体"/>
          <w:color w:val="auto"/>
          <w:sz w:val="24"/>
          <w:szCs w:val="24"/>
          <w:highlight w:val="none"/>
          <w:lang w:eastAsia="zh-CN"/>
        </w:rPr>
        <w:t>投标供应商</w:t>
      </w:r>
      <w:r>
        <w:rPr>
          <w:rFonts w:hint="eastAsia" w:hAnsi="宋体" w:cs="宋体"/>
          <w:color w:val="auto"/>
          <w:sz w:val="24"/>
          <w:szCs w:val="24"/>
          <w:highlight w:val="none"/>
        </w:rPr>
        <w:t>必须在前附表规定的时间内以书面形式向</w:t>
      </w:r>
      <w:r>
        <w:rPr>
          <w:rFonts w:hint="eastAsia" w:hAnsi="宋体" w:cs="宋体"/>
          <w:color w:val="auto"/>
          <w:sz w:val="24"/>
          <w:szCs w:val="24"/>
          <w:highlight w:val="none"/>
          <w:lang w:eastAsia="zh-CN"/>
        </w:rPr>
        <w:t>欧邦工程管理集团有限公司</w:t>
      </w:r>
      <w:r>
        <w:rPr>
          <w:rFonts w:hint="eastAsia" w:hAnsi="宋体" w:cs="宋体"/>
          <w:color w:val="auto"/>
          <w:sz w:val="24"/>
          <w:szCs w:val="24"/>
          <w:highlight w:val="none"/>
        </w:rPr>
        <w:t>提出。</w:t>
      </w:r>
    </w:p>
    <w:p>
      <w:pPr>
        <w:pStyle w:val="24"/>
        <w:keepNext w:val="0"/>
        <w:keepLines w:val="0"/>
        <w:pageBreakBefore w:val="0"/>
        <w:kinsoku/>
        <w:wordWrap/>
        <w:topLinePunct w:val="0"/>
        <w:bidi w:val="0"/>
        <w:snapToGrid w:val="0"/>
        <w:spacing w:line="400" w:lineRule="exact"/>
        <w:ind w:left="0" w:leftChars="0" w:right="0" w:firstLine="480" w:firstLineChars="200"/>
        <w:rPr>
          <w:rFonts w:hAnsi="宋体" w:cs="宋体"/>
          <w:b/>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r>
        <w:rPr>
          <w:rFonts w:hint="eastAsia" w:hAnsi="宋体" w:cs="宋体"/>
          <w:b/>
          <w:color w:val="auto"/>
          <w:sz w:val="24"/>
          <w:szCs w:val="24"/>
          <w:highlight w:val="none"/>
          <w:lang w:eastAsia="zh-CN"/>
        </w:rPr>
        <w:t>欧邦工程管理集团有限公司</w:t>
      </w:r>
      <w:r>
        <w:rPr>
          <w:rFonts w:hint="eastAsia" w:hAnsi="宋体" w:cs="宋体"/>
          <w:b/>
          <w:color w:val="auto"/>
          <w:sz w:val="24"/>
          <w:szCs w:val="24"/>
          <w:highlight w:val="none"/>
        </w:rPr>
        <w:t>对已发出的招标文件进行必要澄清、答复、修改或补充的，应当在前附表规定的统一组织答疑时间前，在政府采购信息发布媒体上发布更正公告，否则将延期组织开标，请在投标前关注相关信息。</w:t>
      </w:r>
    </w:p>
    <w:p>
      <w:pPr>
        <w:pStyle w:val="24"/>
        <w:keepNext w:val="0"/>
        <w:keepLines w:val="0"/>
        <w:pageBreakBefore w:val="0"/>
        <w:kinsoku/>
        <w:wordWrap/>
        <w:topLinePunct w:val="0"/>
        <w:bidi w:val="0"/>
        <w:snapToGrid w:val="0"/>
        <w:spacing w:line="400" w:lineRule="exact"/>
        <w:ind w:left="0" w:leftChars="0" w:right="0" w:firstLine="480" w:firstLineChars="200"/>
        <w:rPr>
          <w:rFonts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w:t>
      </w:r>
      <w:r>
        <w:rPr>
          <w:rFonts w:hint="eastAsia" w:hAnsi="宋体" w:cs="宋体"/>
          <w:color w:val="auto"/>
          <w:sz w:val="24"/>
          <w:szCs w:val="24"/>
          <w:highlight w:val="none"/>
        </w:rPr>
        <w:t>招标文件澄清、答复、修改、补充的内容为招标文件的组成部分。当招标文件与招标文件的答复、澄清、修改、补充通知就同一内容的表述不一致时，以最后发出的书面文件为准。</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一</w:t>
      </w:r>
      <w:r>
        <w:rPr>
          <w:rFonts w:hint="eastAsia" w:ascii="宋体" w:hAnsi="宋体" w:cs="宋体"/>
          <w:b/>
          <w:color w:val="auto"/>
          <w:sz w:val="24"/>
          <w:szCs w:val="24"/>
          <w:highlight w:val="none"/>
        </w:rPr>
        <w:t>、投标文件的组成</w:t>
      </w:r>
    </w:p>
    <w:p>
      <w:pPr>
        <w:keepNext w:val="0"/>
        <w:keepLines w:val="0"/>
        <w:pageBreakBefore w:val="0"/>
        <w:kinsoku/>
        <w:wordWrap/>
        <w:topLinePunct w:val="0"/>
        <w:bidi w:val="0"/>
        <w:spacing w:line="400" w:lineRule="exact"/>
        <w:ind w:left="0" w:leftChars="0" w:right="0" w:firstLine="523" w:firstLineChars="217"/>
        <w:rPr>
          <w:rFonts w:ascii="宋体" w:hAnsi="宋体" w:cs="宋体"/>
          <w:b/>
          <w:color w:val="auto"/>
          <w:sz w:val="24"/>
          <w:szCs w:val="24"/>
          <w:highlight w:val="none"/>
        </w:rPr>
      </w:pPr>
      <w:r>
        <w:rPr>
          <w:rFonts w:hint="eastAsia" w:ascii="宋体" w:hAnsi="宋体" w:cs="宋体"/>
          <w:b/>
          <w:color w:val="auto"/>
          <w:sz w:val="24"/>
          <w:szCs w:val="24"/>
          <w:highlight w:val="none"/>
        </w:rPr>
        <w:t>A</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rPr>
        <w:t>资格审查文件内容（单独包封递交）；</w:t>
      </w:r>
    </w:p>
    <w:p>
      <w:pPr>
        <w:keepNext w:val="0"/>
        <w:keepLines w:val="0"/>
        <w:pageBreakBefore w:val="0"/>
        <w:kinsoku/>
        <w:wordWrap/>
        <w:topLinePunct w:val="0"/>
        <w:autoSpaceDN w:val="0"/>
        <w:bidi w:val="0"/>
        <w:spacing w:line="400" w:lineRule="exact"/>
        <w:ind w:left="0" w:leftChars="0" w:right="0" w:firstLine="600" w:firstLineChars="250"/>
        <w:jc w:val="left"/>
        <w:rPr>
          <w:rFonts w:ascii="宋体" w:hAnsi="宋体" w:cs="宋体"/>
          <w:color w:val="auto"/>
          <w:sz w:val="24"/>
          <w:szCs w:val="24"/>
          <w:highlight w:val="none"/>
        </w:rPr>
      </w:pPr>
      <w:r>
        <w:rPr>
          <w:rFonts w:hint="eastAsia" w:ascii="宋体" w:hAnsi="宋体" w:cs="宋体"/>
          <w:color w:val="auto"/>
          <w:sz w:val="24"/>
          <w:szCs w:val="24"/>
          <w:highlight w:val="none"/>
        </w:rPr>
        <w:t>〈一〉法定代表人授权委托书原件</w:t>
      </w:r>
      <w:r>
        <w:rPr>
          <w:rFonts w:hint="eastAsia" w:ascii="宋体" w:hAnsi="宋体" w:cs="宋体"/>
          <w:b/>
          <w:bCs/>
          <w:color w:val="auto"/>
          <w:sz w:val="24"/>
          <w:szCs w:val="24"/>
          <w:highlight w:val="none"/>
        </w:rPr>
        <w:t>（如法定代表人参加开标，无需提供此项）；</w:t>
      </w:r>
    </w:p>
    <w:p>
      <w:pPr>
        <w:keepNext w:val="0"/>
        <w:keepLines w:val="0"/>
        <w:pageBreakBefore w:val="0"/>
        <w:kinsoku/>
        <w:wordWrap/>
        <w:topLinePunct w:val="0"/>
        <w:autoSpaceDN w:val="0"/>
        <w:bidi w:val="0"/>
        <w:spacing w:line="400" w:lineRule="exact"/>
        <w:ind w:left="0" w:leftChars="0" w:right="0" w:firstLine="600" w:firstLineChars="250"/>
        <w:jc w:val="left"/>
        <w:rPr>
          <w:rFonts w:hint="eastAsia" w:ascii="宋体" w:hAnsi="宋体" w:cs="宋体"/>
          <w:b/>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〉有效的营业执照复</w:t>
      </w:r>
      <w:r>
        <w:rPr>
          <w:rFonts w:hint="eastAsia" w:ascii="宋体" w:hAnsi="宋体" w:cs="宋体"/>
          <w:bCs/>
          <w:color w:val="auto"/>
          <w:sz w:val="24"/>
          <w:szCs w:val="24"/>
          <w:highlight w:val="none"/>
        </w:rPr>
        <w:t>印件</w:t>
      </w:r>
      <w:r>
        <w:rPr>
          <w:rFonts w:hint="eastAsia" w:ascii="宋体" w:hAnsi="宋体" w:cs="宋体"/>
          <w:color w:val="auto"/>
          <w:sz w:val="24"/>
          <w:szCs w:val="24"/>
          <w:highlight w:val="none"/>
        </w:rPr>
        <w:t>并加盖公章</w:t>
      </w:r>
      <w:r>
        <w:rPr>
          <w:rFonts w:hint="eastAsia" w:ascii="宋体" w:hAnsi="宋体" w:cs="宋体"/>
          <w:b/>
          <w:bCs/>
          <w:color w:val="auto"/>
          <w:sz w:val="24"/>
          <w:szCs w:val="24"/>
          <w:highlight w:val="none"/>
        </w:rPr>
        <w:t>（原件备查）；</w:t>
      </w:r>
    </w:p>
    <w:p>
      <w:pPr>
        <w:keepNext w:val="0"/>
        <w:keepLines w:val="0"/>
        <w:pageBreakBefore w:val="0"/>
        <w:kinsoku/>
        <w:wordWrap/>
        <w:topLinePunct w:val="0"/>
        <w:autoSpaceDN w:val="0"/>
        <w:bidi w:val="0"/>
        <w:spacing w:line="400" w:lineRule="exact"/>
        <w:ind w:left="0" w:leftChars="0" w:right="0" w:firstLine="600" w:firstLineChars="25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全权代表（</w:t>
      </w:r>
      <w:r>
        <w:rPr>
          <w:rFonts w:hint="eastAsia" w:ascii="宋体" w:hAnsi="宋体" w:cs="宋体"/>
          <w:color w:val="auto"/>
          <w:sz w:val="24"/>
          <w:szCs w:val="24"/>
          <w:highlight w:val="none"/>
        </w:rPr>
        <w:t>被授权人或法定代表人）身份证复印件并加盖公章</w:t>
      </w:r>
      <w:r>
        <w:rPr>
          <w:rFonts w:hint="eastAsia" w:ascii="宋体" w:hAnsi="宋体" w:cs="宋体"/>
          <w:b/>
          <w:bCs/>
          <w:color w:val="auto"/>
          <w:sz w:val="24"/>
          <w:szCs w:val="24"/>
          <w:highlight w:val="none"/>
        </w:rPr>
        <w:t>（原件备查）（若法定代表人参加的，提供法定代表人身份证复印件；若被授权人参加的，提供被授权代表身份证复印件）</w:t>
      </w:r>
      <w:r>
        <w:rPr>
          <w:rFonts w:hint="eastAsia" w:ascii="宋体" w:hAnsi="宋体" w:cs="宋体"/>
          <w:color w:val="auto"/>
          <w:sz w:val="24"/>
          <w:szCs w:val="24"/>
          <w:highlight w:val="none"/>
        </w:rPr>
        <w:t>；</w:t>
      </w:r>
      <w:r>
        <w:rPr>
          <w:rFonts w:hint="eastAsia" w:ascii="宋体" w:hAnsi="宋体" w:cs="宋体"/>
          <w:bCs/>
          <w:color w:val="auto"/>
          <w:sz w:val="24"/>
          <w:szCs w:val="24"/>
          <w:highlight w:val="none"/>
        </w:rPr>
        <w:t xml:space="preserve"> </w:t>
      </w:r>
    </w:p>
    <w:p>
      <w:pPr>
        <w:keepNext w:val="0"/>
        <w:keepLines w:val="0"/>
        <w:pageBreakBefore w:val="0"/>
        <w:kinsoku/>
        <w:wordWrap/>
        <w:topLinePunct w:val="0"/>
        <w:autoSpaceDN w:val="0"/>
        <w:bidi w:val="0"/>
        <w:spacing w:line="400" w:lineRule="exact"/>
        <w:ind w:left="0" w:leftChars="0" w:right="0"/>
        <w:jc w:val="left"/>
        <w:rPr>
          <w:rFonts w:hint="eastAsia" w:ascii="宋体" w:hAnsi="宋体" w:cs="宋体"/>
          <w:b/>
          <w:bCs/>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〉由社保部门出具的被授权人在投标单位缴纳近一个月社保的证明材料复印件并加盖公章（</w:t>
      </w:r>
      <w:r>
        <w:rPr>
          <w:rFonts w:hint="eastAsia" w:ascii="宋体" w:hAnsi="宋体" w:cs="宋体"/>
          <w:b/>
          <w:bCs/>
          <w:color w:val="auto"/>
          <w:sz w:val="24"/>
          <w:szCs w:val="24"/>
          <w:highlight w:val="none"/>
        </w:rPr>
        <w:t>原件备查，如法定代表人参加开标，无需提供此项）；</w:t>
      </w:r>
    </w:p>
    <w:p>
      <w:pPr>
        <w:keepNext w:val="0"/>
        <w:keepLines w:val="0"/>
        <w:pageBreakBefore w:val="0"/>
        <w:kinsoku/>
        <w:wordWrap/>
        <w:topLinePunct w:val="0"/>
        <w:autoSpaceDN w:val="0"/>
        <w:bidi w:val="0"/>
        <w:spacing w:line="400" w:lineRule="exact"/>
        <w:ind w:left="0" w:leftChars="0" w:right="0" w:firstLine="720" w:firstLineChars="300"/>
        <w:jc w:val="left"/>
        <w:rPr>
          <w:color w:val="auto"/>
          <w:highlight w:val="none"/>
        </w:rPr>
      </w:pPr>
      <w:r>
        <w:rPr>
          <w:rFonts w:hint="eastAsia" w:ascii="宋体" w:hAnsi="宋体" w:cs="宋体"/>
          <w:color w:val="auto"/>
          <w:sz w:val="24"/>
          <w:szCs w:val="24"/>
          <w:highlight w:val="none"/>
        </w:rPr>
        <w:t>〈五〉厂家授权委托书扫描件（</w:t>
      </w:r>
      <w:r>
        <w:rPr>
          <w:rFonts w:hint="eastAsia" w:ascii="宋体" w:hAnsi="宋体" w:cs="宋体"/>
          <w:b/>
          <w:bCs/>
          <w:color w:val="auto"/>
          <w:sz w:val="24"/>
          <w:szCs w:val="24"/>
          <w:highlight w:val="none"/>
        </w:rPr>
        <w:t>代理商提供，若不是代理商无需提供此项</w:t>
      </w:r>
      <w:r>
        <w:rPr>
          <w:rFonts w:hint="eastAsia" w:ascii="宋体" w:hAnsi="宋体" w:cs="宋体"/>
          <w:color w:val="auto"/>
          <w:sz w:val="24"/>
          <w:szCs w:val="24"/>
          <w:highlight w:val="none"/>
        </w:rPr>
        <w:t>）。</w:t>
      </w:r>
    </w:p>
    <w:p>
      <w:pPr>
        <w:keepNext w:val="0"/>
        <w:keepLines w:val="0"/>
        <w:pageBreakBefore w:val="0"/>
        <w:kinsoku/>
        <w:wordWrap/>
        <w:topLinePunct w:val="0"/>
        <w:bidi w:val="0"/>
        <w:snapToGrid w:val="0"/>
        <w:spacing w:line="400" w:lineRule="exact"/>
        <w:ind w:left="0" w:leftChars="0" w:right="0" w:firstLine="482" w:firstLineChars="200"/>
        <w:rPr>
          <w:rFonts w:ascii="宋体" w:hAnsi="宋体" w:cs="宋体"/>
          <w:b/>
          <w:color w:val="auto"/>
          <w:sz w:val="24"/>
          <w:szCs w:val="24"/>
          <w:highlight w:val="none"/>
          <w:u w:val="single"/>
        </w:rPr>
      </w:pPr>
      <w:r>
        <w:rPr>
          <w:rFonts w:hint="eastAsia" w:ascii="宋体" w:hAnsi="宋体" w:cs="宋体"/>
          <w:b/>
          <w:color w:val="auto"/>
          <w:sz w:val="24"/>
          <w:szCs w:val="24"/>
          <w:highlight w:val="none"/>
          <w:u w:val="single"/>
        </w:rPr>
        <w:t>资格审查文件注意点：</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u w:val="single"/>
        </w:rPr>
      </w:pPr>
      <w:r>
        <w:rPr>
          <w:rFonts w:hint="eastAsia" w:ascii="宋体" w:hAnsi="宋体" w:cs="宋体"/>
          <w:b/>
          <w:color w:val="auto"/>
          <w:sz w:val="24"/>
          <w:szCs w:val="24"/>
          <w:highlight w:val="none"/>
          <w:u w:val="single"/>
        </w:rPr>
        <w:t>1、已经在浙江省供应商库注册的且上传了相关营业执照、资质证书资料的供应商可以不提供备查文件原件，但需在浙江政府采购外网上能够正常查询；</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u w:val="single"/>
        </w:rPr>
      </w:pPr>
      <w:r>
        <w:rPr>
          <w:rFonts w:hint="eastAsia" w:ascii="宋体" w:hAnsi="宋体" w:cs="宋体"/>
          <w:b/>
          <w:color w:val="auto"/>
          <w:sz w:val="24"/>
          <w:szCs w:val="24"/>
          <w:highlight w:val="none"/>
          <w:u w:val="single"/>
        </w:rPr>
        <w:t>2、非浙江省供应商库注册单位或未上传相关资质证书的单位需随身携带相关原件备查（无需密封入资格审查文件内）；</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u w:val="single"/>
        </w:rPr>
      </w:pPr>
      <w:r>
        <w:rPr>
          <w:rFonts w:hint="eastAsia" w:ascii="宋体" w:hAnsi="宋体" w:cs="宋体"/>
          <w:b/>
          <w:color w:val="auto"/>
          <w:sz w:val="24"/>
          <w:szCs w:val="24"/>
          <w:highlight w:val="none"/>
          <w:u w:val="single"/>
        </w:rPr>
        <w:t>3、未按以上要求提供资格审查文件及备查原件的，按未提供合格的资格文件处理。</w:t>
      </w:r>
    </w:p>
    <w:p>
      <w:pPr>
        <w:keepNext w:val="0"/>
        <w:keepLines w:val="0"/>
        <w:pageBreakBefore w:val="0"/>
        <w:kinsoku/>
        <w:wordWrap/>
        <w:topLinePunct w:val="0"/>
        <w:bidi w:val="0"/>
        <w:spacing w:line="400" w:lineRule="exact"/>
        <w:ind w:left="0" w:leftChars="0" w:right="0" w:firstLine="570"/>
        <w:jc w:val="left"/>
        <w:rPr>
          <w:rFonts w:ascii="宋体" w:hAnsi="宋体" w:cs="宋体"/>
          <w:color w:val="auto"/>
          <w:highlight w:val="none"/>
        </w:rPr>
      </w:pPr>
      <w:r>
        <w:rPr>
          <w:rFonts w:hint="eastAsia" w:ascii="宋体" w:hAnsi="宋体" w:cs="宋体"/>
          <w:b/>
          <w:color w:val="auto"/>
          <w:sz w:val="24"/>
          <w:szCs w:val="24"/>
          <w:highlight w:val="none"/>
        </w:rPr>
        <w:t>以上资格审查文件正本1份单独密封成1包，密封处须加盖投标供应商的单位公章（外包封封面格式参考“附件十</w:t>
      </w: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(2) ”）</w:t>
      </w:r>
    </w:p>
    <w:p>
      <w:pPr>
        <w:keepNext w:val="0"/>
        <w:keepLines w:val="0"/>
        <w:pageBreakBefore w:val="0"/>
        <w:kinsoku/>
        <w:wordWrap/>
        <w:topLinePunct w:val="0"/>
        <w:bidi w:val="0"/>
        <w:spacing w:line="400" w:lineRule="exact"/>
        <w:ind w:left="0" w:leftChars="0" w:right="0" w:firstLine="570"/>
        <w:jc w:val="left"/>
        <w:rPr>
          <w:rFonts w:ascii="宋体" w:hAnsi="宋体" w:cs="宋体"/>
          <w:b/>
          <w:color w:val="auto"/>
          <w:sz w:val="24"/>
          <w:szCs w:val="24"/>
          <w:highlight w:val="none"/>
        </w:rPr>
      </w:pPr>
      <w:r>
        <w:rPr>
          <w:rFonts w:hint="eastAsia" w:ascii="宋体" w:hAnsi="宋体" w:cs="宋体"/>
          <w:b/>
          <w:color w:val="auto"/>
          <w:sz w:val="24"/>
          <w:szCs w:val="24"/>
          <w:highlight w:val="none"/>
        </w:rPr>
        <w:t>B</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rPr>
        <w:t>报价文件包括：</w:t>
      </w:r>
    </w:p>
    <w:p>
      <w:pPr>
        <w:keepNext w:val="0"/>
        <w:keepLines w:val="0"/>
        <w:pageBreakBefore w:val="0"/>
        <w:numPr>
          <w:ilvl w:val="0"/>
          <w:numId w:val="0"/>
        </w:numPr>
        <w:kinsoku/>
        <w:wordWrap/>
        <w:topLinePunct w:val="0"/>
        <w:autoSpaceDN w:val="0"/>
        <w:bidi w:val="0"/>
        <w:spacing w:line="400" w:lineRule="exact"/>
        <w:ind w:left="0" w:leftChars="0" w:right="0" w:rightChars="0" w:firstLine="960" w:firstLineChars="400"/>
        <w:jc w:val="left"/>
        <w:rPr>
          <w:rFonts w:ascii="宋体" w:hAnsi="宋体" w:cs="宋体"/>
          <w:color w:val="auto"/>
          <w:sz w:val="24"/>
          <w:szCs w:val="24"/>
          <w:highlight w:val="none"/>
        </w:rPr>
      </w:pPr>
      <w:r>
        <w:rPr>
          <w:rFonts w:hint="eastAsia" w:ascii="宋体" w:hAnsi="宋体" w:cs="宋体"/>
          <w:color w:val="auto"/>
          <w:sz w:val="24"/>
          <w:szCs w:val="24"/>
          <w:highlight w:val="none"/>
        </w:rPr>
        <w:t>〈一〉投标报价函（附件一）</w:t>
      </w:r>
    </w:p>
    <w:p>
      <w:pPr>
        <w:keepNext w:val="0"/>
        <w:keepLines w:val="0"/>
        <w:pageBreakBefore w:val="0"/>
        <w:numPr>
          <w:ilvl w:val="0"/>
          <w:numId w:val="0"/>
        </w:numPr>
        <w:kinsoku/>
        <w:wordWrap/>
        <w:topLinePunct w:val="0"/>
        <w:autoSpaceDN w:val="0"/>
        <w:bidi w:val="0"/>
        <w:spacing w:line="400" w:lineRule="exact"/>
        <w:ind w:left="0" w:leftChars="0" w:right="0" w:rightChars="0" w:firstLine="960" w:firstLineChars="40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〉开标一览表（附件二）</w:t>
      </w:r>
    </w:p>
    <w:p>
      <w:pPr>
        <w:keepNext w:val="0"/>
        <w:keepLines w:val="0"/>
        <w:pageBreakBefore w:val="0"/>
        <w:numPr>
          <w:ilvl w:val="0"/>
          <w:numId w:val="0"/>
        </w:numPr>
        <w:kinsoku/>
        <w:wordWrap/>
        <w:topLinePunct w:val="0"/>
        <w:autoSpaceDN w:val="0"/>
        <w:bidi w:val="0"/>
        <w:spacing w:line="400" w:lineRule="exact"/>
        <w:ind w:left="0" w:leftChars="0" w:right="0" w:rightChars="0" w:firstLine="960" w:firstLineChars="40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针对报价需要说明的其他文件和说明（格式自拟）</w:t>
      </w:r>
    </w:p>
    <w:p>
      <w:pPr>
        <w:keepNext w:val="0"/>
        <w:keepLines w:val="0"/>
        <w:pageBreakBefore w:val="0"/>
        <w:kinsoku/>
        <w:wordWrap/>
        <w:topLinePunct w:val="0"/>
        <w:bidi w:val="0"/>
        <w:spacing w:line="400" w:lineRule="exact"/>
        <w:ind w:left="723" w:leftChars="0" w:right="0" w:hanging="723" w:hangingChars="300"/>
        <w:jc w:val="left"/>
        <w:rPr>
          <w:rFonts w:ascii="宋体" w:hAnsi="宋体" w:cs="宋体"/>
          <w:b/>
          <w:bCs/>
          <w:color w:val="auto"/>
          <w:sz w:val="24"/>
          <w:szCs w:val="24"/>
          <w:highlight w:val="none"/>
        </w:rPr>
      </w:pPr>
      <w:r>
        <w:rPr>
          <w:rFonts w:hint="eastAsia" w:ascii="宋体" w:hAnsi="宋体" w:cs="宋体"/>
          <w:b/>
          <w:color w:val="auto"/>
          <w:sz w:val="24"/>
          <w:szCs w:val="24"/>
          <w:highlight w:val="none"/>
        </w:rPr>
        <w:t>注：1、将报价文件正本1份、副本</w:t>
      </w:r>
      <w:r>
        <w:rPr>
          <w:rFonts w:hint="eastAsia" w:ascii="宋体" w:hAnsi="宋体" w:cs="宋体"/>
          <w:b/>
          <w:color w:val="auto"/>
          <w:sz w:val="24"/>
          <w:szCs w:val="24"/>
          <w:highlight w:val="none"/>
          <w:lang w:eastAsia="zh-CN"/>
        </w:rPr>
        <w:t>7份</w:t>
      </w:r>
      <w:r>
        <w:rPr>
          <w:rFonts w:hint="eastAsia" w:ascii="宋体" w:hAnsi="宋体" w:cs="宋体"/>
          <w:b/>
          <w:color w:val="auto"/>
          <w:sz w:val="24"/>
          <w:szCs w:val="24"/>
          <w:highlight w:val="none"/>
        </w:rPr>
        <w:t>同时</w:t>
      </w:r>
      <w:r>
        <w:rPr>
          <w:rFonts w:hint="eastAsia" w:ascii="宋体" w:hAnsi="宋体" w:cs="宋体"/>
          <w:b/>
          <w:color w:val="auto"/>
          <w:kern w:val="0"/>
          <w:sz w:val="24"/>
          <w:szCs w:val="24"/>
          <w:highlight w:val="none"/>
        </w:rPr>
        <w:t>密封于一个密封袋内，并在密封袋上标明《报价文件》字样。资格审查文件、</w:t>
      </w:r>
      <w:r>
        <w:rPr>
          <w:rFonts w:hint="eastAsia" w:ascii="宋体" w:hAnsi="宋体" w:cs="宋体"/>
          <w:b/>
          <w:bCs/>
          <w:color w:val="auto"/>
          <w:sz w:val="24"/>
          <w:szCs w:val="24"/>
          <w:highlight w:val="none"/>
        </w:rPr>
        <w:t>商务资信</w:t>
      </w:r>
      <w:r>
        <w:rPr>
          <w:rFonts w:hint="eastAsia" w:ascii="宋体" w:hAnsi="宋体" w:cs="宋体"/>
          <w:b/>
          <w:bCs/>
          <w:color w:val="auto"/>
          <w:sz w:val="24"/>
          <w:szCs w:val="24"/>
          <w:highlight w:val="none"/>
          <w:lang w:val="en-US" w:eastAsia="zh-CN"/>
        </w:rPr>
        <w:t>文件、</w:t>
      </w:r>
      <w:r>
        <w:rPr>
          <w:rFonts w:hint="eastAsia" w:ascii="宋体" w:hAnsi="宋体" w:cs="宋体"/>
          <w:b/>
          <w:bCs/>
          <w:color w:val="auto"/>
          <w:sz w:val="24"/>
          <w:szCs w:val="24"/>
          <w:highlight w:val="none"/>
        </w:rPr>
        <w:t>技术文件中不得出现价格信息。</w:t>
      </w:r>
    </w:p>
    <w:p>
      <w:pPr>
        <w:keepNext w:val="0"/>
        <w:keepLines w:val="0"/>
        <w:pageBreakBefore w:val="0"/>
        <w:kinsoku/>
        <w:wordWrap/>
        <w:topLinePunct w:val="0"/>
        <w:bidi w:val="0"/>
        <w:spacing w:line="400" w:lineRule="exact"/>
        <w:ind w:left="0" w:leftChars="0" w:right="0" w:firstLine="241" w:firstLineChars="100"/>
        <w:jc w:val="left"/>
        <w:rPr>
          <w:rFonts w:ascii="宋体" w:hAnsi="宋体" w:cs="宋体"/>
          <w:color w:val="auto"/>
          <w:sz w:val="24"/>
          <w:szCs w:val="24"/>
          <w:highlight w:val="none"/>
        </w:rPr>
      </w:pPr>
      <w:r>
        <w:rPr>
          <w:rFonts w:hint="eastAsia" w:ascii="宋体" w:hAnsi="宋体" w:cs="宋体"/>
          <w:b/>
          <w:bCs/>
          <w:color w:val="auto"/>
          <w:sz w:val="24"/>
          <w:szCs w:val="24"/>
          <w:highlight w:val="none"/>
        </w:rPr>
        <w:t>2、本项目的投标总报价应含采购服务费，采购服务费为人民币</w:t>
      </w:r>
      <w:r>
        <w:rPr>
          <w:rFonts w:hint="eastAsia" w:ascii="宋体" w:hAnsi="宋体" w:cs="宋体"/>
          <w:b/>
          <w:bCs/>
          <w:color w:val="auto"/>
          <w:sz w:val="24"/>
          <w:szCs w:val="24"/>
          <w:highlight w:val="none"/>
          <w:lang w:val="en-US" w:eastAsia="zh-CN"/>
        </w:rPr>
        <w:fldChar w:fldCharType="begin"/>
      </w:r>
      <w:r>
        <w:rPr>
          <w:rFonts w:hint="eastAsia" w:ascii="宋体" w:hAnsi="宋体" w:cs="宋体"/>
          <w:b/>
          <w:bCs/>
          <w:color w:val="auto"/>
          <w:sz w:val="24"/>
          <w:szCs w:val="24"/>
          <w:highlight w:val="none"/>
          <w:lang w:val="en-US" w:eastAsia="zh-CN"/>
        </w:rPr>
        <w:instrText xml:space="preserve"> = 68416 \* CHINESENUM2 \* MERGEFORMAT </w:instrText>
      </w:r>
      <w:r>
        <w:rPr>
          <w:rFonts w:hint="eastAsia" w:ascii="宋体" w:hAnsi="宋体" w:cs="宋体"/>
          <w:b/>
          <w:bCs/>
          <w:color w:val="auto"/>
          <w:sz w:val="24"/>
          <w:szCs w:val="24"/>
          <w:highlight w:val="none"/>
          <w:lang w:val="en-US" w:eastAsia="zh-CN"/>
        </w:rPr>
        <w:fldChar w:fldCharType="separate"/>
      </w:r>
      <w:r>
        <w:rPr>
          <w:rFonts w:hint="eastAsia" w:ascii="宋体" w:hAnsi="宋体" w:cs="宋体"/>
          <w:b/>
          <w:bCs/>
          <w:color w:val="auto"/>
          <w:sz w:val="24"/>
          <w:szCs w:val="24"/>
          <w:highlight w:val="none"/>
          <w:lang w:eastAsia="zh-CN"/>
        </w:rPr>
        <w:t>贰万柒仟柒佰柒拾玖</w:t>
      </w:r>
      <w:r>
        <w:rPr>
          <w:rFonts w:hint="eastAsia" w:ascii="宋体" w:hAnsi="宋体" w:cs="宋体"/>
          <w:b/>
          <w:bCs/>
          <w:color w:val="auto"/>
          <w:sz w:val="24"/>
          <w:szCs w:val="24"/>
          <w:highlight w:val="none"/>
          <w:lang w:val="en-US" w:eastAsia="zh-CN"/>
        </w:rPr>
        <w:fldChar w:fldCharType="end"/>
      </w:r>
      <w:r>
        <w:rPr>
          <w:rFonts w:hint="eastAsia" w:ascii="宋体" w:hAnsi="宋体" w:cs="宋体"/>
          <w:b/>
          <w:bCs/>
          <w:color w:val="auto"/>
          <w:sz w:val="24"/>
          <w:szCs w:val="24"/>
          <w:highlight w:val="none"/>
        </w:rPr>
        <w:t>元整（￥：</w:t>
      </w:r>
      <w:r>
        <w:rPr>
          <w:rFonts w:hint="eastAsia" w:ascii="宋体" w:hAnsi="宋体" w:cs="宋体"/>
          <w:b/>
          <w:bCs/>
          <w:color w:val="auto"/>
          <w:sz w:val="24"/>
          <w:szCs w:val="24"/>
          <w:highlight w:val="none"/>
          <w:lang w:val="en-US" w:eastAsia="zh-CN"/>
        </w:rPr>
        <w:t>27779.00</w:t>
      </w:r>
      <w:r>
        <w:rPr>
          <w:rFonts w:hint="eastAsia" w:ascii="宋体" w:hAnsi="宋体" w:cs="宋体"/>
          <w:b/>
          <w:bCs/>
          <w:color w:val="auto"/>
          <w:sz w:val="24"/>
          <w:szCs w:val="24"/>
          <w:highlight w:val="none"/>
        </w:rPr>
        <w:t>元），由</w:t>
      </w:r>
      <w:r>
        <w:rPr>
          <w:rFonts w:hint="eastAsia" w:ascii="宋体" w:hAnsi="宋体" w:cs="宋体"/>
          <w:b/>
          <w:bCs/>
          <w:color w:val="auto"/>
          <w:sz w:val="24"/>
          <w:szCs w:val="24"/>
          <w:highlight w:val="none"/>
          <w:lang w:eastAsia="zh-CN"/>
        </w:rPr>
        <w:t>中标供应商</w:t>
      </w:r>
      <w:r>
        <w:rPr>
          <w:rFonts w:hint="eastAsia" w:ascii="宋体" w:hAnsi="宋体" w:cs="宋体"/>
          <w:b/>
          <w:bCs/>
          <w:color w:val="auto"/>
          <w:sz w:val="24"/>
          <w:szCs w:val="24"/>
          <w:highlight w:val="none"/>
        </w:rPr>
        <w:t>在领取中标通知书时支付给采购代理公司。投标供应商在报价时应考虑包含上述费用。</w:t>
      </w:r>
    </w:p>
    <w:p>
      <w:pPr>
        <w:keepNext w:val="0"/>
        <w:keepLines w:val="0"/>
        <w:pageBreakBefore w:val="0"/>
        <w:kinsoku/>
        <w:wordWrap/>
        <w:topLinePunct w:val="0"/>
        <w:bidi w:val="0"/>
        <w:spacing w:line="400" w:lineRule="exact"/>
        <w:ind w:left="0" w:leftChars="0" w:right="0" w:firstLine="463" w:firstLineChars="192"/>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C</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技术文件包括：</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〈一〉投标函（附件三）；</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〈二〉投标方的技术文件：</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投标方技术文件由投标方视需要自行编制。技术文件应能够证明投标方提供的设备且符合招标文件规定。技术（参数）文件应包含以下内容：</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sz w:val="24"/>
          <w:szCs w:val="24"/>
          <w:highlight w:val="none"/>
        </w:rPr>
      </w:pPr>
      <w:r>
        <w:rPr>
          <w:rFonts w:hint="eastAsia" w:ascii="宋体" w:hAnsi="宋体" w:cs="宋体"/>
          <w:color w:val="auto"/>
          <w:sz w:val="24"/>
          <w:szCs w:val="24"/>
          <w:highlight w:val="none"/>
        </w:rPr>
        <w:t>1、技术参数对照表（附件四）；</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sz w:val="24"/>
          <w:szCs w:val="24"/>
          <w:highlight w:val="none"/>
        </w:rPr>
      </w:pPr>
      <w:r>
        <w:rPr>
          <w:rFonts w:hint="eastAsia" w:ascii="宋体" w:hAnsi="宋体" w:cs="宋体"/>
          <w:color w:val="auto"/>
          <w:sz w:val="24"/>
          <w:szCs w:val="24"/>
          <w:highlight w:val="none"/>
        </w:rPr>
        <w:t>2、现有经营场地、服务机构等情况资料；</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sz w:val="24"/>
          <w:szCs w:val="24"/>
          <w:highlight w:val="none"/>
        </w:rPr>
      </w:pPr>
      <w:r>
        <w:rPr>
          <w:rFonts w:hint="eastAsia" w:ascii="宋体" w:hAnsi="宋体" w:cs="宋体"/>
          <w:color w:val="auto"/>
          <w:sz w:val="24"/>
          <w:szCs w:val="24"/>
          <w:highlight w:val="none"/>
        </w:rPr>
        <w:t>3、保证供货及服务项目实施方案；</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highlight w:val="none"/>
        </w:rPr>
      </w:pPr>
      <w:r>
        <w:rPr>
          <w:rFonts w:hint="eastAsia" w:ascii="宋体" w:hAnsi="宋体" w:cs="宋体"/>
          <w:color w:val="auto"/>
          <w:sz w:val="24"/>
          <w:szCs w:val="24"/>
          <w:highlight w:val="none"/>
        </w:rPr>
        <w:t>4、项目实施人员一览表（附件五）；</w:t>
      </w:r>
    </w:p>
    <w:p>
      <w:pPr>
        <w:keepNext w:val="0"/>
        <w:keepLines w:val="0"/>
        <w:pageBreakBefore w:val="0"/>
        <w:widowControl/>
        <w:kinsoku/>
        <w:wordWrap/>
        <w:topLinePunct w:val="0"/>
        <w:bidi w:val="0"/>
        <w:snapToGrid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5、对本次招标项目需提供技术方案以及设备情况，技术方案包括硬件、投标产品的详细技术参数、印刷产品等（产品及原材料的品牌、产地、规格）、备品备件清单（若有）； </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r>
        <w:rPr>
          <w:rFonts w:hint="eastAsia" w:ascii="宋体" w:hAnsi="宋体" w:cs="宋体"/>
          <w:color w:val="auto"/>
          <w:sz w:val="24"/>
          <w:szCs w:val="24"/>
          <w:highlight w:val="none"/>
        </w:rPr>
        <w:t>项目实施计划等</w:t>
      </w:r>
      <w:r>
        <w:rPr>
          <w:rFonts w:hint="eastAsia" w:ascii="宋体" w:hAnsi="宋体" w:cs="宋体"/>
          <w:color w:val="auto"/>
          <w:kern w:val="0"/>
          <w:sz w:val="24"/>
          <w:szCs w:val="24"/>
          <w:highlight w:val="none"/>
        </w:rPr>
        <w:t>。</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sz w:val="24"/>
          <w:szCs w:val="24"/>
          <w:highlight w:val="none"/>
        </w:rPr>
      </w:pPr>
      <w:r>
        <w:rPr>
          <w:rFonts w:hint="eastAsia" w:ascii="宋体" w:hAnsi="宋体" w:cs="宋体"/>
          <w:color w:val="auto"/>
          <w:sz w:val="24"/>
          <w:szCs w:val="24"/>
          <w:highlight w:val="none"/>
        </w:rPr>
        <w:t>〈三〉商务条款应对表（附件六）；</w:t>
      </w:r>
    </w:p>
    <w:p>
      <w:pPr>
        <w:keepNext w:val="0"/>
        <w:keepLines w:val="0"/>
        <w:pageBreakBefore w:val="0"/>
        <w:widowControl/>
        <w:kinsoku/>
        <w:wordWrap/>
        <w:topLinePunct w:val="0"/>
        <w:bidi w:val="0"/>
        <w:snapToGrid w:val="0"/>
        <w:spacing w:line="400" w:lineRule="exact"/>
        <w:ind w:left="0" w:leftChars="0" w:right="0" w:firstLine="525" w:firstLineChars="219"/>
        <w:rPr>
          <w:rFonts w:ascii="宋体" w:hAnsi="宋体" w:cs="宋体"/>
          <w:color w:val="auto"/>
          <w:sz w:val="24"/>
          <w:szCs w:val="24"/>
          <w:highlight w:val="none"/>
        </w:rPr>
      </w:pPr>
      <w:r>
        <w:rPr>
          <w:rFonts w:hint="eastAsia" w:ascii="宋体" w:hAnsi="宋体" w:cs="宋体"/>
          <w:color w:val="auto"/>
          <w:sz w:val="24"/>
          <w:szCs w:val="24"/>
          <w:highlight w:val="none"/>
        </w:rPr>
        <w:t>〈四〉售后服务及培训承诺；</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格式由投标供应商自定，以不低于技术规格及服务要求中提出的标准填写，原则上由两部分组成：</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1、标准服务，按行业常规服务填列；</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2、特色（或特殊）服务，按每个投标厂商的实际情况，针对本次招标项目进行售后服务特别承诺。</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〈五〉服务计划表（附件七）；</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〈六〉评分规则中涉及的所需提交的材料；</w:t>
      </w:r>
    </w:p>
    <w:p>
      <w:pPr>
        <w:keepNext w:val="0"/>
        <w:keepLines w:val="0"/>
        <w:pageBreakBefore w:val="0"/>
        <w:kinsoku/>
        <w:wordWrap/>
        <w:topLinePunct w:val="0"/>
        <w:bidi w:val="0"/>
        <w:spacing w:line="400" w:lineRule="exact"/>
        <w:ind w:left="0" w:leftChars="0" w:right="0" w:firstLine="460" w:firstLineChars="192"/>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〈七〉</w:t>
      </w: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车辆外观与内饰</w:t>
      </w:r>
      <w:r>
        <w:rPr>
          <w:rFonts w:hint="eastAsia" w:ascii="宋体" w:hAnsi="宋体" w:cs="宋体"/>
          <w:color w:val="auto"/>
          <w:sz w:val="24"/>
          <w:szCs w:val="24"/>
          <w:highlight w:val="none"/>
          <w:lang w:val="en-US" w:eastAsia="zh-CN"/>
        </w:rPr>
        <w:t>的解说演示视频U盘（U盘包封在技术文件中，概不退回），录制的视频必须为MP4格式（若视频为其他格式导致评审中不能正常播放的，责任自负）；</w:t>
      </w:r>
    </w:p>
    <w:p>
      <w:pPr>
        <w:keepNext w:val="0"/>
        <w:keepLines w:val="0"/>
        <w:pageBreakBefore w:val="0"/>
        <w:kinsoku/>
        <w:wordWrap/>
        <w:topLinePunct w:val="0"/>
        <w:bidi w:val="0"/>
        <w:spacing w:line="400" w:lineRule="exact"/>
        <w:ind w:left="0" w:leftChars="0" w:right="0"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〉投标方认为需要的其他文件资料。</w:t>
      </w:r>
    </w:p>
    <w:p>
      <w:pPr>
        <w:keepNext w:val="0"/>
        <w:keepLines w:val="0"/>
        <w:pageBreakBefore w:val="0"/>
        <w:numPr>
          <w:ilvl w:val="0"/>
          <w:numId w:val="12"/>
        </w:numPr>
        <w:kinsoku/>
        <w:wordWrap/>
        <w:topLinePunct w:val="0"/>
        <w:bidi w:val="0"/>
        <w:spacing w:line="400" w:lineRule="exact"/>
        <w:ind w:left="0" w:leftChars="0" w:right="0" w:firstLine="236" w:firstLineChars="98"/>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商务资信文件包括：</w:t>
      </w:r>
    </w:p>
    <w:p>
      <w:pPr>
        <w:keepNext w:val="0"/>
        <w:keepLines w:val="0"/>
        <w:pageBreakBefore w:val="0"/>
        <w:kinsoku/>
        <w:wordWrap/>
        <w:topLinePunct w:val="0"/>
        <w:bidi w:val="0"/>
        <w:spacing w:line="400" w:lineRule="exact"/>
        <w:ind w:left="0" w:leftChars="0" w:right="0" w:firstLine="360" w:firstLineChars="15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〈一〉投标保证金</w:t>
      </w:r>
      <w:r>
        <w:rPr>
          <w:rFonts w:hint="eastAsia" w:ascii="宋体" w:hAnsi="宋体" w:eastAsia="宋体" w:cs="宋体"/>
          <w:color w:val="auto"/>
          <w:sz w:val="24"/>
          <w:szCs w:val="24"/>
          <w:highlight w:val="none"/>
          <w:lang w:eastAsia="zh-CN"/>
        </w:rPr>
        <w:t>回单或汇款凭证</w:t>
      </w:r>
    </w:p>
    <w:p>
      <w:pPr>
        <w:keepNext w:val="0"/>
        <w:keepLines w:val="0"/>
        <w:pageBreakBefore w:val="0"/>
        <w:kinsoku/>
        <w:wordWrap/>
        <w:topLinePunct w:val="0"/>
        <w:bidi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〉法定代表人授权书（附件八）和授权代表身份证复印件；</w:t>
      </w:r>
    </w:p>
    <w:p>
      <w:pPr>
        <w:keepNext w:val="0"/>
        <w:keepLines w:val="0"/>
        <w:pageBreakBefore w:val="0"/>
        <w:kinsoku/>
        <w:wordWrap/>
        <w:topLinePunct w:val="0"/>
        <w:bidi w:val="0"/>
        <w:spacing w:line="400" w:lineRule="exact"/>
        <w:ind w:left="0" w:leftChars="0" w:right="0"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〉关于资格的声明函（附件九）；</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〉投标方一般情况（附件十）；</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〉营业执照复印件[若在建德有分支机构，还需提供在建德的分支机构营业执照复印件]（加盖公章）；</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〉产品销售许可证复印件（加盖公章）（若有）；</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〉产品代理资格证明文件复印件（加盖单位公章）（若有）；</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八</w:t>
      </w:r>
      <w:r>
        <w:rPr>
          <w:rFonts w:hint="eastAsia" w:ascii="宋体" w:hAnsi="宋体" w:cs="宋体"/>
          <w:color w:val="auto"/>
          <w:sz w:val="24"/>
          <w:szCs w:val="24"/>
          <w:highlight w:val="none"/>
        </w:rPr>
        <w:t>〉成功案例和业绩证明（</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类似项目实施情况一览表、合同复印件）（附件十一）；</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九</w:t>
      </w:r>
      <w:r>
        <w:rPr>
          <w:rFonts w:hint="eastAsia" w:ascii="宋体" w:hAnsi="宋体" w:cs="宋体"/>
          <w:color w:val="auto"/>
          <w:sz w:val="24"/>
          <w:szCs w:val="24"/>
          <w:highlight w:val="none"/>
        </w:rPr>
        <w:t>〉节能、环保等方面的资质证书（若有）；</w:t>
      </w:r>
    </w:p>
    <w:p>
      <w:pPr>
        <w:keepNext w:val="0"/>
        <w:keepLines w:val="0"/>
        <w:pageBreakBefore w:val="0"/>
        <w:kinsoku/>
        <w:wordWrap/>
        <w:topLinePunct w:val="0"/>
        <w:bidi w:val="0"/>
        <w:spacing w:line="400" w:lineRule="exact"/>
        <w:ind w:left="0" w:leftChars="0" w:right="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十</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的信誉证书（若有）；</w:t>
      </w:r>
    </w:p>
    <w:p>
      <w:pPr>
        <w:keepNext w:val="0"/>
        <w:keepLines w:val="0"/>
        <w:pageBreakBefore w:val="0"/>
        <w:kinsoku/>
        <w:wordWrap/>
        <w:topLinePunct w:val="0"/>
        <w:bidi w:val="0"/>
        <w:spacing w:line="400" w:lineRule="exact"/>
        <w:ind w:left="0" w:leftChars="0" w:right="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〈十一〉投标供应商质量管理、质量保证体系、产品安全性认证等方面的认证证书（若有）；</w:t>
      </w:r>
    </w:p>
    <w:p>
      <w:pPr>
        <w:keepNext w:val="0"/>
        <w:keepLines w:val="0"/>
        <w:pageBreakBefore w:val="0"/>
        <w:kinsoku/>
        <w:wordWrap/>
        <w:topLinePunct w:val="0"/>
        <w:bidi w:val="0"/>
        <w:spacing w:line="400" w:lineRule="exact"/>
        <w:ind w:left="0" w:leftChars="0" w:right="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〈十二〉距采购单位最近的服务网点情况表（若有）；</w:t>
      </w:r>
    </w:p>
    <w:p>
      <w:pPr>
        <w:keepNext w:val="0"/>
        <w:keepLines w:val="0"/>
        <w:pageBreakBefore w:val="0"/>
        <w:kinsoku/>
        <w:wordWrap/>
        <w:topLinePunct w:val="0"/>
        <w:bidi w:val="0"/>
        <w:spacing w:line="400" w:lineRule="exact"/>
        <w:ind w:left="0" w:leftChars="0" w:right="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〈十三〉投标供应商认为可以证明其能力或业绩的其他材料；</w:t>
      </w:r>
    </w:p>
    <w:p>
      <w:pPr>
        <w:keepNext w:val="0"/>
        <w:keepLines w:val="0"/>
        <w:pageBreakBefore w:val="0"/>
        <w:kinsoku/>
        <w:wordWrap/>
        <w:topLinePunct w:val="0"/>
        <w:bidi w:val="0"/>
        <w:spacing w:line="400" w:lineRule="exact"/>
        <w:ind w:left="0" w:leftChars="0" w:right="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〈十四〉评分规则中涉及的所需提交的材料；</w:t>
      </w:r>
    </w:p>
    <w:p>
      <w:pPr>
        <w:keepNext w:val="0"/>
        <w:keepLines w:val="0"/>
        <w:pageBreakBefore w:val="0"/>
        <w:kinsoku/>
        <w:wordWrap/>
        <w:topLinePunct w:val="0"/>
        <w:bidi w:val="0"/>
        <w:spacing w:line="400" w:lineRule="exact"/>
        <w:ind w:left="0" w:leftChars="0" w:right="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〈十五〉其他相关资质证明材料。</w:t>
      </w:r>
    </w:p>
    <w:p>
      <w:pPr>
        <w:keepNext w:val="0"/>
        <w:keepLines w:val="0"/>
        <w:pageBreakBefore w:val="0"/>
        <w:kinsoku/>
        <w:wordWrap/>
        <w:topLinePunct w:val="0"/>
        <w:bidi w:val="0"/>
        <w:spacing w:line="4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以上投标文件由资格审查文件、报价文件、技术文件和商务资信文件组成，</w:t>
      </w:r>
      <w:r>
        <w:rPr>
          <w:rFonts w:hint="eastAsia" w:ascii="宋体" w:hAnsi="宋体" w:cs="宋体"/>
          <w:b/>
          <w:color w:val="auto"/>
          <w:sz w:val="24"/>
          <w:szCs w:val="24"/>
          <w:highlight w:val="none"/>
          <w:lang w:eastAsia="zh-CN"/>
        </w:rPr>
        <w:t>投标供应商</w:t>
      </w:r>
      <w:r>
        <w:rPr>
          <w:rFonts w:hint="eastAsia" w:ascii="宋体" w:hAnsi="宋体" w:cs="宋体"/>
          <w:b/>
          <w:color w:val="auto"/>
          <w:sz w:val="24"/>
          <w:szCs w:val="24"/>
          <w:highlight w:val="none"/>
        </w:rPr>
        <w:t>应分别装订、单独密封封装，即将资格审查文件1份密封成一包，报价文件1份正本</w:t>
      </w:r>
      <w:r>
        <w:rPr>
          <w:rFonts w:hint="eastAsia" w:ascii="宋体" w:hAnsi="宋体" w:cs="宋体"/>
          <w:b/>
          <w:color w:val="auto"/>
          <w:sz w:val="24"/>
          <w:szCs w:val="24"/>
          <w:highlight w:val="none"/>
          <w:lang w:eastAsia="zh-CN"/>
        </w:rPr>
        <w:t>7份</w:t>
      </w:r>
      <w:r>
        <w:rPr>
          <w:rFonts w:hint="eastAsia" w:ascii="宋体" w:hAnsi="宋体" w:cs="宋体"/>
          <w:b/>
          <w:color w:val="auto"/>
          <w:sz w:val="24"/>
          <w:szCs w:val="24"/>
          <w:highlight w:val="none"/>
        </w:rPr>
        <w:t>副本合袋密封成一包，技术文件1份正本</w:t>
      </w:r>
      <w:r>
        <w:rPr>
          <w:rFonts w:hint="eastAsia" w:ascii="宋体" w:hAnsi="宋体" w:cs="宋体"/>
          <w:b/>
          <w:color w:val="auto"/>
          <w:sz w:val="24"/>
          <w:szCs w:val="24"/>
          <w:highlight w:val="none"/>
          <w:lang w:eastAsia="zh-CN"/>
        </w:rPr>
        <w:t>7份</w:t>
      </w:r>
      <w:r>
        <w:rPr>
          <w:rFonts w:hint="eastAsia" w:ascii="宋体" w:hAnsi="宋体" w:cs="宋体"/>
          <w:b/>
          <w:color w:val="auto"/>
          <w:sz w:val="24"/>
          <w:szCs w:val="24"/>
          <w:highlight w:val="none"/>
        </w:rPr>
        <w:t>副本合袋密封成一包，商务资信文件1份正本</w:t>
      </w:r>
      <w:r>
        <w:rPr>
          <w:rFonts w:hint="eastAsia" w:ascii="宋体" w:hAnsi="宋体" w:cs="宋体"/>
          <w:b/>
          <w:color w:val="auto"/>
          <w:sz w:val="24"/>
          <w:szCs w:val="24"/>
          <w:highlight w:val="none"/>
          <w:lang w:eastAsia="zh-CN"/>
        </w:rPr>
        <w:t>7份</w:t>
      </w:r>
      <w:r>
        <w:rPr>
          <w:rFonts w:hint="eastAsia" w:ascii="宋体" w:hAnsi="宋体" w:cs="宋体"/>
          <w:b/>
          <w:color w:val="auto"/>
          <w:sz w:val="24"/>
          <w:szCs w:val="24"/>
          <w:highlight w:val="none"/>
        </w:rPr>
        <w:t>副本合袋密封成一包，共递交4个密封包。</w:t>
      </w:r>
    </w:p>
    <w:p>
      <w:pPr>
        <w:keepNext w:val="0"/>
        <w:keepLines w:val="0"/>
        <w:pageBreakBefore w:val="0"/>
        <w:kinsoku/>
        <w:wordWrap/>
        <w:topLinePunct w:val="0"/>
        <w:bidi w:val="0"/>
        <w:spacing w:line="400" w:lineRule="exact"/>
        <w:ind w:left="0" w:leftChars="0" w:right="0" w:firstLine="463" w:firstLineChars="192"/>
        <w:rPr>
          <w:rFonts w:ascii="宋体" w:hAnsi="宋体" w:cs="宋体"/>
          <w:b/>
          <w:color w:val="auto"/>
          <w:sz w:val="24"/>
          <w:szCs w:val="24"/>
          <w:highlight w:val="none"/>
        </w:rPr>
      </w:pPr>
      <w:r>
        <w:rPr>
          <w:rFonts w:hint="eastAsia" w:ascii="宋体" w:hAnsi="宋体" w:cs="宋体"/>
          <w:b/>
          <w:color w:val="auto"/>
          <w:sz w:val="24"/>
          <w:szCs w:val="24"/>
          <w:highlight w:val="none"/>
        </w:rPr>
        <w:t>在密封袋封面上注明</w:t>
      </w:r>
      <w:r>
        <w:rPr>
          <w:rFonts w:hint="eastAsia" w:ascii="宋体" w:hAnsi="宋体" w:cs="宋体"/>
          <w:b/>
          <w:color w:val="auto"/>
          <w:sz w:val="24"/>
          <w:szCs w:val="24"/>
          <w:highlight w:val="none"/>
          <w:lang w:eastAsia="zh-CN"/>
        </w:rPr>
        <w:t>投标供应商</w:t>
      </w:r>
      <w:r>
        <w:rPr>
          <w:rFonts w:hint="eastAsia" w:ascii="宋体" w:hAnsi="宋体" w:cs="宋体"/>
          <w:b/>
          <w:color w:val="auto"/>
          <w:sz w:val="24"/>
          <w:szCs w:val="24"/>
          <w:highlight w:val="none"/>
        </w:rPr>
        <w:t>名称、投标文件名称（资格审查文件、报价文件、技术文件或商务资信文件）、投标项目名称等内容，并加盖</w:t>
      </w:r>
      <w:r>
        <w:rPr>
          <w:rFonts w:hint="eastAsia" w:ascii="宋体" w:hAnsi="宋体" w:cs="宋体"/>
          <w:b/>
          <w:color w:val="auto"/>
          <w:sz w:val="24"/>
          <w:szCs w:val="24"/>
          <w:highlight w:val="none"/>
          <w:lang w:eastAsia="zh-CN"/>
        </w:rPr>
        <w:t>投标供应商</w:t>
      </w:r>
      <w:r>
        <w:rPr>
          <w:rFonts w:hint="eastAsia" w:ascii="宋体" w:hAnsi="宋体" w:cs="宋体"/>
          <w:b/>
          <w:color w:val="auto"/>
          <w:sz w:val="24"/>
          <w:szCs w:val="24"/>
          <w:highlight w:val="none"/>
        </w:rPr>
        <w:t>公章。</w:t>
      </w:r>
      <w:r>
        <w:rPr>
          <w:rFonts w:hint="eastAsia" w:ascii="宋体" w:hAnsi="宋体" w:cs="宋体"/>
          <w:b/>
          <w:color w:val="auto"/>
          <w:kern w:val="0"/>
          <w:sz w:val="24"/>
          <w:szCs w:val="24"/>
          <w:highlight w:val="none"/>
        </w:rPr>
        <w:t>(注：备查的原件由供应商自行保管不需密封，根据需要提供)</w:t>
      </w:r>
      <w:r>
        <w:rPr>
          <w:rFonts w:hint="eastAsia" w:ascii="宋体" w:hAnsi="宋体" w:cs="宋体"/>
          <w:b/>
          <w:color w:val="auto"/>
          <w:sz w:val="24"/>
          <w:szCs w:val="24"/>
          <w:highlight w:val="none"/>
        </w:rPr>
        <w:t>。资格审查文件、技术文件、商务资信文件中不得出现报价文件的相关报价内容。</w:t>
      </w:r>
    </w:p>
    <w:p>
      <w:pPr>
        <w:keepNext w:val="0"/>
        <w:keepLines w:val="0"/>
        <w:pageBreakBefore w:val="0"/>
        <w:kinsoku/>
        <w:wordWrap/>
        <w:topLinePunct w:val="0"/>
        <w:bidi w:val="0"/>
        <w:spacing w:line="400" w:lineRule="exact"/>
        <w:ind w:left="0" w:leftChars="0" w:right="0" w:firstLine="619" w:firstLineChars="257"/>
        <w:jc w:val="left"/>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、投标文件的签署</w:t>
      </w:r>
    </w:p>
    <w:p>
      <w:pPr>
        <w:keepNext w:val="0"/>
        <w:keepLines w:val="0"/>
        <w:pageBreakBefore w:val="0"/>
        <w:tabs>
          <w:tab w:val="left" w:pos="900"/>
        </w:tabs>
        <w:kinsoku/>
        <w:wordWrap/>
        <w:topLinePunct w:val="0"/>
        <w:bidi w:val="0"/>
        <w:spacing w:line="400" w:lineRule="exact"/>
        <w:ind w:left="0" w:leftChars="0" w:right="0"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〈一〉投标文件需打印或用不褪色的墨水填写。投标文件的装订顺序应按本章第十</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条所叙顺序分别装订成册。</w:t>
      </w:r>
      <w:r>
        <w:rPr>
          <w:rFonts w:hint="eastAsia" w:ascii="宋体" w:hAnsi="宋体" w:cs="宋体"/>
          <w:b/>
          <w:bCs/>
          <w:color w:val="auto"/>
          <w:sz w:val="24"/>
          <w:szCs w:val="24"/>
          <w:highlight w:val="none"/>
        </w:rPr>
        <w:t>资格审查文件、</w:t>
      </w:r>
      <w:r>
        <w:rPr>
          <w:rFonts w:hint="eastAsia" w:ascii="宋体" w:hAnsi="宋体" w:cs="宋体"/>
          <w:b/>
          <w:color w:val="auto"/>
          <w:sz w:val="24"/>
          <w:szCs w:val="24"/>
          <w:highlight w:val="none"/>
        </w:rPr>
        <w:t>报价文件、技术文件和商务资信文件采用非胶印装订（是指用卡条、抽杆夹、订书机等形式装订，使标书可以拆卸或者在翻动过程中易脱落的一种装订方式）的投标文件按未装订处理。</w:t>
      </w:r>
    </w:p>
    <w:p>
      <w:pPr>
        <w:keepNext w:val="0"/>
        <w:keepLines w:val="0"/>
        <w:pageBreakBefore w:val="0"/>
        <w:tabs>
          <w:tab w:val="left" w:pos="900"/>
        </w:tabs>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〈二〉所有投标文件均须由投标供应商盖章，并由法定代表人或法定代表人授权代表签署。投标供应商应写全称。</w:t>
      </w:r>
    </w:p>
    <w:p>
      <w:pPr>
        <w:keepNext w:val="0"/>
        <w:keepLines w:val="0"/>
        <w:pageBreakBefore w:val="0"/>
        <w:kinsoku/>
        <w:wordWrap/>
        <w:topLinePunct w:val="0"/>
        <w:bidi w:val="0"/>
        <w:snapToGrid w:val="0"/>
        <w:spacing w:line="400" w:lineRule="exact"/>
        <w:ind w:left="0" w:leftChars="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〈三〉投标文件不得涂改，若有修改错漏处，须加盖单位公章或者法定代表人或授权委托人签字或盖章。投标</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因字迹潦草或表达不清所引起的后果由投标供应商负责。</w:t>
      </w:r>
    </w:p>
    <w:p>
      <w:pPr>
        <w:keepNext w:val="0"/>
        <w:keepLines w:val="0"/>
        <w:pageBreakBefore w:val="0"/>
        <w:kinsoku/>
        <w:wordWrap/>
        <w:topLinePunct w:val="0"/>
        <w:bidi w:val="0"/>
        <w:snapToGrid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&lt;四&gt;投标文件填写字迹必须清楚、工整，对在投标文件中的不同文字文本的解释发生异议的，以中文文本为准。</w:t>
      </w:r>
    </w:p>
    <w:p>
      <w:pPr>
        <w:keepNext w:val="0"/>
        <w:keepLines w:val="0"/>
        <w:pageBreakBefore w:val="0"/>
        <w:kinsoku/>
        <w:wordWrap/>
        <w:topLinePunct w:val="0"/>
        <w:bidi w:val="0"/>
        <w:spacing w:line="400" w:lineRule="exact"/>
        <w:ind w:left="0" w:leftChars="0" w:right="0" w:firstLine="491" w:firstLineChars="205"/>
        <w:jc w:val="left"/>
        <w:rPr>
          <w:rFonts w:ascii="宋体" w:hAnsi="宋体" w:cs="宋体"/>
          <w:b/>
          <w:color w:val="auto"/>
          <w:sz w:val="24"/>
          <w:szCs w:val="24"/>
          <w:highlight w:val="none"/>
        </w:rPr>
      </w:pPr>
      <w:r>
        <w:rPr>
          <w:rFonts w:hint="eastAsia" w:ascii="宋体" w:hAnsi="宋体" w:cs="宋体"/>
          <w:color w:val="auto"/>
          <w:sz w:val="24"/>
          <w:szCs w:val="24"/>
          <w:highlight w:val="none"/>
        </w:rPr>
        <w:t>&lt;五&gt;投标文件的组成：投标文件由相应的</w:t>
      </w:r>
      <w:r>
        <w:rPr>
          <w:rFonts w:hint="eastAsia" w:ascii="宋体" w:hAnsi="宋体" w:cs="宋体"/>
          <w:b/>
          <w:color w:val="auto"/>
          <w:sz w:val="24"/>
          <w:szCs w:val="24"/>
          <w:highlight w:val="none"/>
        </w:rPr>
        <w:t>报价文件、技术文件、商务资信文件各正本1份，副本</w:t>
      </w:r>
      <w:r>
        <w:rPr>
          <w:rFonts w:hint="eastAsia" w:ascii="宋体" w:hAnsi="宋体" w:cs="宋体"/>
          <w:b/>
          <w:color w:val="auto"/>
          <w:sz w:val="24"/>
          <w:szCs w:val="24"/>
          <w:highlight w:val="none"/>
          <w:lang w:eastAsia="zh-CN"/>
        </w:rPr>
        <w:t>7份</w:t>
      </w:r>
      <w:r>
        <w:rPr>
          <w:rFonts w:hint="eastAsia" w:ascii="宋体" w:hAnsi="宋体" w:cs="宋体"/>
          <w:b/>
          <w:color w:val="auto"/>
          <w:sz w:val="24"/>
          <w:szCs w:val="24"/>
          <w:highlight w:val="none"/>
        </w:rPr>
        <w:t>（副本可为正本的复印件，标书封面加盖公章）及资格审查文件正本1份组成。</w:t>
      </w:r>
    </w:p>
    <w:p>
      <w:pPr>
        <w:keepNext w:val="0"/>
        <w:keepLines w:val="0"/>
        <w:pageBreakBefore w:val="0"/>
        <w:kinsoku/>
        <w:wordWrap/>
        <w:topLinePunct w:val="0"/>
        <w:bidi w:val="0"/>
        <w:spacing w:line="400" w:lineRule="exact"/>
        <w:ind w:left="0" w:leftChars="0" w:right="0" w:firstLine="491" w:firstLineChars="205"/>
        <w:jc w:val="left"/>
        <w:rPr>
          <w:rFonts w:ascii="宋体" w:hAnsi="宋体" w:cs="宋体"/>
          <w:color w:val="auto"/>
          <w:sz w:val="24"/>
          <w:szCs w:val="24"/>
          <w:highlight w:val="none"/>
        </w:rPr>
      </w:pPr>
      <w:r>
        <w:rPr>
          <w:rFonts w:hint="eastAsia" w:ascii="宋体" w:hAnsi="宋体" w:cs="宋体"/>
          <w:color w:val="auto"/>
          <w:sz w:val="24"/>
          <w:szCs w:val="24"/>
          <w:highlight w:val="none"/>
        </w:rPr>
        <w:t>&lt;六&gt;投标方应将投标文件的资格审查文件、报价文件、技术文件和商务资信文件分别密封，并标明项目名称，投标货物名称。标书封面统一格式详见“第九章附件十二（1）”。</w:t>
      </w:r>
    </w:p>
    <w:p>
      <w:pPr>
        <w:keepNext w:val="0"/>
        <w:keepLines w:val="0"/>
        <w:pageBreakBefore w:val="0"/>
        <w:kinsoku/>
        <w:wordWrap/>
        <w:topLinePunct w:val="0"/>
        <w:bidi w:val="0"/>
        <w:spacing w:line="400" w:lineRule="exact"/>
        <w:ind w:left="0" w:leftChars="0" w:right="0" w:firstLine="547" w:firstLineChars="227"/>
        <w:jc w:val="left"/>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三</w:t>
      </w:r>
      <w:r>
        <w:rPr>
          <w:rFonts w:hint="eastAsia" w:ascii="宋体" w:hAnsi="宋体" w:cs="宋体"/>
          <w:b/>
          <w:color w:val="auto"/>
          <w:sz w:val="24"/>
          <w:szCs w:val="24"/>
          <w:highlight w:val="none"/>
        </w:rPr>
        <w:t>、投标文件的递交、修改和撤回</w:t>
      </w:r>
    </w:p>
    <w:p>
      <w:pPr>
        <w:keepNext w:val="0"/>
        <w:keepLines w:val="0"/>
        <w:pageBreakBefore w:val="0"/>
        <w:kinsoku/>
        <w:wordWrap/>
        <w:topLinePunct w:val="0"/>
        <w:bidi w:val="0"/>
        <w:spacing w:line="400" w:lineRule="exact"/>
        <w:ind w:left="0" w:leftChars="0" w:right="0"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应将</w:t>
      </w:r>
      <w:r>
        <w:rPr>
          <w:rFonts w:hint="eastAsia" w:ascii="宋体" w:hAnsi="宋体" w:cs="宋体"/>
          <w:b/>
          <w:bCs/>
          <w:color w:val="auto"/>
          <w:sz w:val="24"/>
          <w:szCs w:val="24"/>
          <w:highlight w:val="none"/>
        </w:rPr>
        <w:t>资格审查文件、报价文件、技术文件、商务资信文件</w:t>
      </w:r>
      <w:r>
        <w:rPr>
          <w:rFonts w:hint="eastAsia" w:ascii="宋体" w:hAnsi="宋体" w:cs="宋体"/>
          <w:b/>
          <w:color w:val="auto"/>
          <w:sz w:val="24"/>
          <w:szCs w:val="24"/>
          <w:highlight w:val="none"/>
        </w:rPr>
        <w:t>分别装订、单独密封封装，即资格审查文件1份密封成一包，报价文件一正</w:t>
      </w:r>
      <w:r>
        <w:rPr>
          <w:rFonts w:hint="eastAsia" w:ascii="宋体" w:hAnsi="宋体" w:cs="宋体"/>
          <w:b/>
          <w:color w:val="auto"/>
          <w:sz w:val="24"/>
          <w:szCs w:val="24"/>
          <w:highlight w:val="none"/>
          <w:lang w:eastAsia="zh-CN"/>
        </w:rPr>
        <w:t>柒</w:t>
      </w:r>
      <w:r>
        <w:rPr>
          <w:rFonts w:hint="eastAsia" w:ascii="宋体" w:hAnsi="宋体" w:cs="宋体"/>
          <w:b/>
          <w:color w:val="auto"/>
          <w:sz w:val="24"/>
          <w:szCs w:val="24"/>
          <w:highlight w:val="none"/>
        </w:rPr>
        <w:t>副合袋密封成一包，技术文件一正</w:t>
      </w:r>
      <w:r>
        <w:rPr>
          <w:rFonts w:hint="eastAsia" w:ascii="宋体" w:hAnsi="宋体" w:cs="宋体"/>
          <w:b/>
          <w:color w:val="auto"/>
          <w:sz w:val="24"/>
          <w:szCs w:val="24"/>
          <w:highlight w:val="none"/>
          <w:lang w:eastAsia="zh-CN"/>
        </w:rPr>
        <w:t>柒</w:t>
      </w:r>
      <w:r>
        <w:rPr>
          <w:rFonts w:hint="eastAsia" w:ascii="宋体" w:hAnsi="宋体" w:cs="宋体"/>
          <w:b/>
          <w:color w:val="auto"/>
          <w:sz w:val="24"/>
          <w:szCs w:val="24"/>
          <w:highlight w:val="none"/>
        </w:rPr>
        <w:t>副合袋密封成一包，商务资信文件一正</w:t>
      </w:r>
      <w:r>
        <w:rPr>
          <w:rFonts w:hint="eastAsia" w:ascii="宋体" w:hAnsi="宋体" w:cs="宋体"/>
          <w:b/>
          <w:color w:val="auto"/>
          <w:sz w:val="24"/>
          <w:szCs w:val="24"/>
          <w:highlight w:val="none"/>
          <w:lang w:eastAsia="zh-CN"/>
        </w:rPr>
        <w:t>柒</w:t>
      </w:r>
      <w:r>
        <w:rPr>
          <w:rFonts w:hint="eastAsia" w:ascii="宋体" w:hAnsi="宋体" w:cs="宋体"/>
          <w:b/>
          <w:color w:val="auto"/>
          <w:sz w:val="24"/>
          <w:szCs w:val="24"/>
          <w:highlight w:val="none"/>
        </w:rPr>
        <w:t>副合袋密封成一包， 共递交4个密封包，封口处须密封并加盖</w:t>
      </w:r>
      <w:r>
        <w:rPr>
          <w:rFonts w:hint="eastAsia" w:ascii="宋体" w:hAnsi="宋体" w:cs="宋体"/>
          <w:b/>
          <w:color w:val="auto"/>
          <w:sz w:val="24"/>
          <w:szCs w:val="24"/>
          <w:highlight w:val="none"/>
          <w:lang w:eastAsia="zh-CN"/>
        </w:rPr>
        <w:t>投标供应商</w:t>
      </w:r>
      <w:r>
        <w:rPr>
          <w:rFonts w:hint="eastAsia" w:ascii="宋体" w:hAnsi="宋体" w:cs="宋体"/>
          <w:b/>
          <w:color w:val="auto"/>
          <w:sz w:val="24"/>
          <w:szCs w:val="24"/>
          <w:highlight w:val="none"/>
        </w:rPr>
        <w:t>公章，并在各外包封封面上写明：</w:t>
      </w:r>
    </w:p>
    <w:p>
      <w:pPr>
        <w:keepNext w:val="0"/>
        <w:keepLines w:val="0"/>
        <w:pageBreakBefore w:val="0"/>
        <w:kinsoku/>
        <w:wordWrap/>
        <w:topLinePunct w:val="0"/>
        <w:bidi w:val="0"/>
        <w:spacing w:line="400" w:lineRule="exact"/>
        <w:ind w:left="0" w:leftChars="0" w:right="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 xml:space="preserve">  采购单位名称、项目名称、项目编号</w:t>
      </w:r>
    </w:p>
    <w:p>
      <w:pPr>
        <w:keepNext w:val="0"/>
        <w:keepLines w:val="0"/>
        <w:pageBreakBefore w:val="0"/>
        <w:kinsoku/>
        <w:wordWrap/>
        <w:topLinePunct w:val="0"/>
        <w:bidi w:val="0"/>
        <w:spacing w:line="400" w:lineRule="exact"/>
        <w:ind w:left="0" w:leftChars="0" w:right="0"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投标供应商名称、通讯地址、邮政编码、投寄人。</w:t>
      </w:r>
      <w:r>
        <w:rPr>
          <w:rFonts w:hint="eastAsia" w:ascii="宋体" w:hAnsi="宋体" w:cs="宋体"/>
          <w:b/>
          <w:bCs/>
          <w:color w:val="auto"/>
          <w:sz w:val="24"/>
          <w:szCs w:val="24"/>
          <w:highlight w:val="none"/>
        </w:rPr>
        <w:t>（外包封封面格式参考“附件十二（2）”）未按招标文件规定密封的投标文件，采购代理机构将拒收。</w:t>
      </w:r>
    </w:p>
    <w:p>
      <w:pPr>
        <w:keepNext w:val="0"/>
        <w:keepLines w:val="0"/>
        <w:pageBreakBefore w:val="0"/>
        <w:kinsoku/>
        <w:wordWrap/>
        <w:topLinePunct w:val="0"/>
        <w:bidi w:val="0"/>
        <w:spacing w:line="400" w:lineRule="exact"/>
        <w:ind w:left="0" w:leftChars="0" w:right="0" w:firstLine="524" w:firstLineChars="226"/>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〈二〉如果投标方未加写标记，招标方对投标文件的误投和提前启封不负责任。</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〈三〉投标文件的补充和修改</w:t>
      </w:r>
    </w:p>
    <w:p>
      <w:pPr>
        <w:pStyle w:val="13"/>
        <w:keepNext w:val="0"/>
        <w:keepLines w:val="0"/>
        <w:pageBreakBefore w:val="0"/>
        <w:kinsoku/>
        <w:wordWrap/>
        <w:topLinePunct w:val="0"/>
        <w:bidi w:val="0"/>
        <w:spacing w:line="400" w:lineRule="exact"/>
        <w:ind w:left="0" w:leftChars="0" w:right="0" w:firstLine="544" w:firstLineChars="227"/>
        <w:rPr>
          <w:rFonts w:ascii="宋体" w:hAnsi="宋体" w:cs="宋体"/>
          <w:color w:val="auto"/>
          <w:sz w:val="24"/>
          <w:szCs w:val="24"/>
          <w:highlight w:val="none"/>
        </w:rPr>
      </w:pPr>
      <w:r>
        <w:rPr>
          <w:rFonts w:hint="eastAsia" w:ascii="宋体" w:hAnsi="宋体" w:cs="宋体"/>
          <w:color w:val="auto"/>
          <w:sz w:val="24"/>
          <w:szCs w:val="24"/>
          <w:highlight w:val="none"/>
        </w:rPr>
        <w:t>投标截止时间前，投标方可以书面向招标方已递交的投标文件提出补充和修改，相应部分以最后的补充和修改为准。该书面材料应密封，由投标方代表签字并加盖公章。</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〈四〉招标方接受投标方标书时间：</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投标文件于开标现场在投标截止时间前半小时内递交。</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〈五〉投标文件填写字迹必须清楚、工整，对不同文字文本投标文件的解释发生异议的，以中文文本为准。</w:t>
      </w:r>
    </w:p>
    <w:p>
      <w:pPr>
        <w:keepNext w:val="0"/>
        <w:keepLines w:val="0"/>
        <w:pageBreakBefore w:val="0"/>
        <w:kinsoku/>
        <w:wordWrap/>
        <w:topLinePunct w:val="0"/>
        <w:bidi w:val="0"/>
        <w:spacing w:line="400" w:lineRule="exact"/>
        <w:ind w:left="0" w:leftChars="0" w:right="0" w:firstLine="619" w:firstLineChars="257"/>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四</w:t>
      </w:r>
      <w:r>
        <w:rPr>
          <w:rFonts w:hint="eastAsia" w:ascii="宋体" w:hAnsi="宋体" w:cs="宋体"/>
          <w:b/>
          <w:color w:val="auto"/>
          <w:sz w:val="24"/>
          <w:szCs w:val="24"/>
          <w:highlight w:val="none"/>
        </w:rPr>
        <w:t>、无效投标</w:t>
      </w:r>
    </w:p>
    <w:p>
      <w:pPr>
        <w:keepNext w:val="0"/>
        <w:keepLines w:val="0"/>
        <w:pageBreakBefore w:val="0"/>
        <w:kinsoku/>
        <w:wordWrap/>
        <w:topLinePunct w:val="0"/>
        <w:bidi w:val="0"/>
        <w:spacing w:line="400" w:lineRule="exact"/>
        <w:ind w:left="0" w:leftChars="0" w:right="0" w:firstLine="619" w:firstLineChars="257"/>
        <w:rPr>
          <w:rFonts w:ascii="宋体" w:hAnsi="宋体" w:cs="宋体"/>
          <w:b/>
          <w:color w:val="auto"/>
          <w:sz w:val="24"/>
          <w:szCs w:val="24"/>
          <w:highlight w:val="none"/>
        </w:rPr>
      </w:pPr>
      <w:r>
        <w:rPr>
          <w:rFonts w:hint="eastAsia" w:ascii="宋体" w:hAnsi="宋体" w:cs="宋体"/>
          <w:b/>
          <w:color w:val="auto"/>
          <w:sz w:val="24"/>
          <w:szCs w:val="24"/>
          <w:highlight w:val="none"/>
        </w:rPr>
        <w:t>发生下列情况之一的投标文件被视为无效：</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〈一〉在招标文件递交截止时间以后送达的投标文件；</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〈二〉由于未按规定进行装订、包装或在送交途中严重破损或失散的投标文件；</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〈三〉仅以非纸</w:t>
      </w:r>
      <w:r>
        <w:rPr>
          <w:rFonts w:hint="eastAsia" w:ascii="宋体" w:hAnsi="宋体" w:cs="宋体"/>
          <w:color w:val="auto"/>
          <w:sz w:val="24"/>
          <w:szCs w:val="24"/>
          <w:highlight w:val="none"/>
          <w:lang w:eastAsia="zh-CN"/>
        </w:rPr>
        <w:t>质</w:t>
      </w:r>
      <w:r>
        <w:rPr>
          <w:rFonts w:hint="eastAsia" w:ascii="宋体" w:hAnsi="宋体" w:cs="宋体"/>
          <w:color w:val="auto"/>
          <w:sz w:val="24"/>
          <w:szCs w:val="24"/>
          <w:highlight w:val="none"/>
        </w:rPr>
        <w:t>文本形式的投标文件；</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〈四〉投标方未能提供合格的资格审查文件；</w:t>
      </w:r>
    </w:p>
    <w:p>
      <w:pPr>
        <w:keepNext w:val="0"/>
        <w:keepLines w:val="0"/>
        <w:pageBreakBefore w:val="0"/>
        <w:kinsoku/>
        <w:wordWrap/>
        <w:topLinePunct w:val="0"/>
        <w:bidi w:val="0"/>
        <w:spacing w:line="400" w:lineRule="exact"/>
        <w:ind w:left="0" w:leftChars="0" w:right="0" w:firstLine="489" w:firstLineChars="204"/>
        <w:rPr>
          <w:rFonts w:ascii="宋体" w:hAnsi="宋体" w:cs="宋体"/>
          <w:color w:val="auto"/>
          <w:sz w:val="24"/>
          <w:szCs w:val="24"/>
          <w:highlight w:val="none"/>
        </w:rPr>
      </w:pPr>
      <w:r>
        <w:rPr>
          <w:rFonts w:hint="eastAsia" w:ascii="宋体" w:hAnsi="宋体" w:cs="宋体"/>
          <w:color w:val="auto"/>
          <w:sz w:val="24"/>
          <w:szCs w:val="24"/>
          <w:highlight w:val="none"/>
        </w:rPr>
        <w:t>〈五〉标项以赠送方式投标的，提供两个投标方案的；</w:t>
      </w:r>
    </w:p>
    <w:p>
      <w:pPr>
        <w:keepNext w:val="0"/>
        <w:keepLines w:val="0"/>
        <w:pageBreakBefore w:val="0"/>
        <w:kinsoku/>
        <w:wordWrap/>
        <w:topLinePunct w:val="0"/>
        <w:bidi w:val="0"/>
        <w:spacing w:line="400" w:lineRule="exact"/>
        <w:ind w:left="0" w:leftChars="0" w:right="0" w:firstLine="489" w:firstLineChars="204"/>
        <w:rPr>
          <w:rFonts w:ascii="宋体" w:hAnsi="宋体" w:cs="宋体"/>
          <w:color w:val="auto"/>
          <w:sz w:val="24"/>
          <w:szCs w:val="24"/>
          <w:highlight w:val="none"/>
        </w:rPr>
      </w:pPr>
      <w:r>
        <w:rPr>
          <w:rFonts w:hint="eastAsia" w:ascii="宋体" w:hAnsi="宋体" w:cs="宋体"/>
          <w:color w:val="auto"/>
          <w:sz w:val="24"/>
          <w:szCs w:val="24"/>
          <w:highlight w:val="none"/>
        </w:rPr>
        <w:t>〈六〉未注明投标品牌及详细型号的或投标产品的品牌档次、质量标准和技术指标的、主要功能等与招标文件有重大偏离的投标文件（</w:t>
      </w:r>
      <w:r>
        <w:rPr>
          <w:rFonts w:hint="eastAsia" w:ascii="宋体" w:hAnsi="宋体" w:cs="宋体"/>
          <w:b/>
          <w:bCs/>
          <w:color w:val="auto"/>
          <w:sz w:val="24"/>
          <w:szCs w:val="24"/>
          <w:highlight w:val="none"/>
        </w:rPr>
        <w:t>技术参数中打</w:t>
      </w:r>
      <w:r>
        <w:rPr>
          <w:rFonts w:hint="eastAsia" w:ascii="宋体" w:hAnsi="宋体" w:cs="宋体"/>
          <w:color w:val="auto"/>
          <w:szCs w:val="21"/>
          <w:highlight w:val="none"/>
        </w:rPr>
        <w:t>“▲”</w:t>
      </w:r>
      <w:r>
        <w:rPr>
          <w:rFonts w:hint="eastAsia" w:ascii="宋体" w:hAnsi="宋体" w:cs="宋体"/>
          <w:b/>
          <w:bCs/>
          <w:color w:val="auto"/>
          <w:sz w:val="24"/>
          <w:szCs w:val="24"/>
          <w:highlight w:val="none"/>
        </w:rPr>
        <w:t>号的条件不满足按技术指标与招标文件有重大偏离处理）</w:t>
      </w:r>
      <w:r>
        <w:rPr>
          <w:rFonts w:hint="eastAsia" w:ascii="宋体" w:hAnsi="宋体" w:cs="宋体"/>
          <w:color w:val="auto"/>
          <w:sz w:val="24"/>
          <w:szCs w:val="24"/>
          <w:highlight w:val="none"/>
        </w:rPr>
        <w:t>；</w:t>
      </w:r>
    </w:p>
    <w:p>
      <w:pPr>
        <w:keepNext w:val="0"/>
        <w:keepLines w:val="0"/>
        <w:pageBreakBefore w:val="0"/>
        <w:kinsoku/>
        <w:wordWrap/>
        <w:topLinePunct w:val="0"/>
        <w:bidi w:val="0"/>
        <w:spacing w:line="400" w:lineRule="exact"/>
        <w:ind w:left="0" w:leftChars="0" w:right="0" w:firstLine="491" w:firstLineChars="205"/>
        <w:rPr>
          <w:rFonts w:hint="eastAsia" w:ascii="宋体" w:hAnsi="宋体" w:cs="宋体"/>
          <w:color w:val="auto"/>
          <w:sz w:val="24"/>
          <w:szCs w:val="24"/>
          <w:highlight w:val="none"/>
        </w:rPr>
      </w:pPr>
      <w:r>
        <w:rPr>
          <w:rFonts w:hint="eastAsia" w:ascii="宋体" w:hAnsi="宋体" w:cs="宋体"/>
          <w:color w:val="auto"/>
          <w:sz w:val="24"/>
          <w:szCs w:val="24"/>
          <w:highlight w:val="none"/>
        </w:rPr>
        <w:t>〈七〉标书有盖非公司公章的、未按招标文件要求签字的、标书份数不符合招标文件要求的、未装订（资格审查文件、报价文件、商务资信文件、技术文件采用活页装订的投标文件（是指用卡条、抽杆夹、订书机等形式装订的投标文件）、未密封、未有效授权、注册资金不符，投标书、法定代表人授权书、资格声明函等填写不完整的；</w:t>
      </w:r>
    </w:p>
    <w:p>
      <w:pPr>
        <w:keepNext w:val="0"/>
        <w:keepLines w:val="0"/>
        <w:pageBreakBefore w:val="0"/>
        <w:kinsoku/>
        <w:wordWrap/>
        <w:topLinePunct w:val="0"/>
        <w:bidi w:val="0"/>
        <w:spacing w:line="400" w:lineRule="exact"/>
        <w:ind w:left="0" w:leftChars="0" w:right="0" w:firstLine="491" w:firstLineChars="205"/>
        <w:rPr>
          <w:color w:val="auto"/>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〉未按规定交纳投标保证金并到账的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九</w:t>
      </w:r>
      <w:r>
        <w:rPr>
          <w:rFonts w:hint="eastAsia" w:ascii="宋体" w:hAnsi="宋体" w:cs="宋体"/>
          <w:color w:val="auto"/>
          <w:sz w:val="24"/>
          <w:szCs w:val="24"/>
          <w:highlight w:val="none"/>
        </w:rPr>
        <w:t>〉投标文件正本与副本实质性内容不一致的；</w:t>
      </w:r>
    </w:p>
    <w:p>
      <w:pPr>
        <w:keepNext w:val="0"/>
        <w:keepLines w:val="0"/>
        <w:pageBreakBefore w:val="0"/>
        <w:kinsoku/>
        <w:wordWrap/>
        <w:topLinePunct w:val="0"/>
        <w:bidi w:val="0"/>
        <w:spacing w:line="400" w:lineRule="exact"/>
        <w:ind w:left="0" w:leftChars="0" w:right="0" w:firstLine="467" w:firstLineChars="205"/>
        <w:rPr>
          <w:rFonts w:ascii="宋体" w:hAnsi="宋体" w:cs="宋体"/>
          <w:color w:val="auto"/>
          <w:sz w:val="24"/>
          <w:szCs w:val="24"/>
          <w:highlight w:val="none"/>
        </w:rPr>
      </w:pPr>
      <w:r>
        <w:rPr>
          <w:rFonts w:hint="eastAsia" w:ascii="宋体" w:hAnsi="宋体" w:cs="宋体"/>
          <w:color w:val="auto"/>
          <w:spacing w:val="-6"/>
          <w:sz w:val="24"/>
          <w:szCs w:val="24"/>
          <w:highlight w:val="none"/>
        </w:rPr>
        <w:t>〈</w:t>
      </w:r>
      <w:r>
        <w:rPr>
          <w:rFonts w:hint="eastAsia" w:ascii="宋体" w:hAnsi="宋体" w:cs="宋体"/>
          <w:color w:val="auto"/>
          <w:spacing w:val="-6"/>
          <w:sz w:val="24"/>
          <w:szCs w:val="24"/>
          <w:highlight w:val="none"/>
          <w:lang w:eastAsia="zh-CN"/>
        </w:rPr>
        <w:t>十</w:t>
      </w:r>
      <w:r>
        <w:rPr>
          <w:rFonts w:hint="eastAsia" w:ascii="宋体" w:hAnsi="宋体" w:cs="宋体"/>
          <w:color w:val="auto"/>
          <w:spacing w:val="-6"/>
          <w:sz w:val="24"/>
          <w:szCs w:val="24"/>
          <w:highlight w:val="none"/>
        </w:rPr>
        <w:t>〉投标有效期、交货时间（工期）、质保期等商务条款不能满足招标文件要求的；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〉不响应或者擅自改变招标文件要求或者投标文件有招标文件不能接受的附加条件的；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〉投标文件的实质性内容未使用中文表述、意思表述不明确、前后矛盾或者使用计量单位不符合招标文件要求的（经评标委员会认定允许其当场更正的笔误除外）</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〉投标文件的关键内容字迹模糊、无法辨认的,或者投标文件中经修正的内容字迹模糊</w:t>
      </w:r>
      <w:r>
        <w:rPr>
          <w:rFonts w:hint="eastAsia" w:ascii="宋体" w:hAnsi="宋体" w:cs="宋体"/>
          <w:color w:val="auto"/>
          <w:sz w:val="24"/>
          <w:szCs w:val="24"/>
          <w:highlight w:val="none"/>
          <w:lang w:eastAsia="zh-CN"/>
        </w:rPr>
        <w:t>难以辨认</w:t>
      </w:r>
      <w:r>
        <w:rPr>
          <w:rFonts w:hint="eastAsia" w:ascii="宋体" w:hAnsi="宋体" w:cs="宋体"/>
          <w:color w:val="auto"/>
          <w:sz w:val="24"/>
          <w:szCs w:val="24"/>
          <w:highlight w:val="none"/>
        </w:rPr>
        <w:t>或者修改处未按规定签名盖章的；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〉投标文件内容不完整，缺少投标文件组成部分中必须提供的内容的；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〉未提供或未如实提供投标货物的技术参数，或者投标文件标明的响应或偏离与事实不符的；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kern w:val="0"/>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未提供《报价文件》以及在</w:t>
      </w:r>
      <w:r>
        <w:rPr>
          <w:rFonts w:hint="eastAsia" w:ascii="宋体" w:hAnsi="宋体" w:cs="宋体"/>
          <w:color w:val="auto"/>
          <w:kern w:val="0"/>
          <w:sz w:val="24"/>
          <w:szCs w:val="24"/>
          <w:highlight w:val="none"/>
          <w:lang w:val="en-US" w:eastAsia="zh-CN"/>
        </w:rPr>
        <w:t>资格审查文件、</w:t>
      </w:r>
      <w:r>
        <w:rPr>
          <w:rFonts w:hint="eastAsia" w:ascii="宋体" w:hAnsi="宋体" w:cs="宋体"/>
          <w:bCs/>
          <w:color w:val="auto"/>
          <w:sz w:val="24"/>
          <w:szCs w:val="24"/>
          <w:highlight w:val="none"/>
        </w:rPr>
        <w:t>技术文件、商务资信文件</w:t>
      </w:r>
      <w:r>
        <w:rPr>
          <w:rFonts w:hint="eastAsia" w:ascii="宋体" w:hAnsi="宋体" w:cs="宋体"/>
          <w:color w:val="auto"/>
          <w:kern w:val="0"/>
          <w:sz w:val="24"/>
          <w:szCs w:val="24"/>
          <w:highlight w:val="none"/>
        </w:rPr>
        <w:t>正副本中出现与《报价文件》的投标报价有关内容或标记的投标文件；</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kern w:val="0"/>
          <w:sz w:val="24"/>
          <w:szCs w:val="24"/>
          <w:highlight w:val="none"/>
        </w:rPr>
      </w:pPr>
      <w:r>
        <w:rPr>
          <w:rFonts w:hint="eastAsia" w:ascii="宋体" w:hAnsi="宋体" w:cs="宋体"/>
          <w:color w:val="auto"/>
          <w:kern w:val="0"/>
          <w:sz w:val="24"/>
          <w:szCs w:val="24"/>
          <w:highlight w:val="none"/>
        </w:rPr>
        <w:t>〈十</w:t>
      </w:r>
      <w:r>
        <w:rPr>
          <w:rFonts w:hint="eastAsia" w:ascii="宋体" w:hAnsi="宋体" w:cs="宋体"/>
          <w:color w:val="auto"/>
          <w:kern w:val="0"/>
          <w:sz w:val="24"/>
          <w:szCs w:val="24"/>
          <w:highlight w:val="none"/>
          <w:lang w:eastAsia="zh-CN"/>
        </w:rPr>
        <w:t>七</w:t>
      </w:r>
      <w:r>
        <w:rPr>
          <w:rFonts w:hint="eastAsia" w:ascii="宋体" w:hAnsi="宋体" w:cs="宋体"/>
          <w:color w:val="auto"/>
          <w:kern w:val="0"/>
          <w:sz w:val="24"/>
          <w:szCs w:val="24"/>
          <w:highlight w:val="none"/>
        </w:rPr>
        <w:t>〉未按前附表要求提供演示的或演示内容不齐的（若有）；</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kern w:val="0"/>
          <w:sz w:val="24"/>
          <w:szCs w:val="24"/>
          <w:highlight w:val="none"/>
        </w:rPr>
      </w:pPr>
      <w:r>
        <w:rPr>
          <w:rFonts w:hint="eastAsia" w:ascii="宋体" w:hAnsi="宋体" w:cs="宋体"/>
          <w:color w:val="auto"/>
          <w:kern w:val="0"/>
          <w:sz w:val="24"/>
          <w:szCs w:val="24"/>
          <w:highlight w:val="none"/>
        </w:rPr>
        <w:t>〈十</w:t>
      </w:r>
      <w:r>
        <w:rPr>
          <w:rFonts w:hint="eastAsia" w:ascii="宋体" w:hAnsi="宋体" w:cs="宋体"/>
          <w:color w:val="auto"/>
          <w:kern w:val="0"/>
          <w:sz w:val="24"/>
          <w:szCs w:val="24"/>
          <w:highlight w:val="none"/>
          <w:lang w:eastAsia="zh-CN"/>
        </w:rPr>
        <w:t>八</w:t>
      </w:r>
      <w:r>
        <w:rPr>
          <w:rFonts w:hint="eastAsia" w:ascii="宋体" w:hAnsi="宋体" w:cs="宋体"/>
          <w:color w:val="auto"/>
          <w:kern w:val="0"/>
          <w:sz w:val="24"/>
          <w:szCs w:val="24"/>
          <w:highlight w:val="none"/>
        </w:rPr>
        <w:t>〉投标报价超过最高限价（预算总价）的；</w:t>
      </w:r>
    </w:p>
    <w:p>
      <w:pPr>
        <w:keepNext w:val="0"/>
        <w:keepLines w:val="0"/>
        <w:pageBreakBefore w:val="0"/>
        <w:kinsoku/>
        <w:wordWrap/>
        <w:topLinePunct w:val="0"/>
        <w:bidi w:val="0"/>
        <w:spacing w:line="400" w:lineRule="exact"/>
        <w:ind w:left="0" w:leftChars="0" w:right="0" w:firstLine="491" w:firstLineChars="205"/>
        <w:rPr>
          <w:rFonts w:ascii="宋体" w:hAnsi="宋体" w:cs="宋体"/>
          <w:color w:val="auto"/>
          <w:kern w:val="0"/>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eastAsia="zh-CN"/>
        </w:rPr>
        <w:t>九</w:t>
      </w:r>
      <w:r>
        <w:rPr>
          <w:rFonts w:hint="eastAsia" w:ascii="宋体" w:hAnsi="宋体" w:cs="宋体"/>
          <w:color w:val="auto"/>
          <w:sz w:val="24"/>
          <w:szCs w:val="24"/>
          <w:highlight w:val="none"/>
        </w:rPr>
        <w:t>〉不符合法律、法规和本招标文件规定的其他实质性要求的。</w:t>
      </w:r>
    </w:p>
    <w:p>
      <w:pPr>
        <w:keepNext w:val="0"/>
        <w:keepLines w:val="0"/>
        <w:pageBreakBefore w:val="0"/>
        <w:kinsoku/>
        <w:wordWrap/>
        <w:topLinePunct w:val="0"/>
        <w:bidi w:val="0"/>
        <w:spacing w:line="400" w:lineRule="exact"/>
        <w:ind w:left="0" w:leftChars="0" w:right="0" w:firstLine="12" w:firstLineChars="5"/>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五</w:t>
      </w:r>
      <w:r>
        <w:rPr>
          <w:rFonts w:hint="eastAsia" w:ascii="宋体" w:hAnsi="宋体" w:cs="宋体"/>
          <w:b/>
          <w:color w:val="auto"/>
          <w:sz w:val="24"/>
          <w:szCs w:val="24"/>
          <w:highlight w:val="none"/>
        </w:rPr>
        <w:t>、标书答疑：</w:t>
      </w:r>
    </w:p>
    <w:p>
      <w:pPr>
        <w:keepNext w:val="0"/>
        <w:keepLines w:val="0"/>
        <w:pageBreakBefore w:val="0"/>
        <w:kinsoku/>
        <w:wordWrap/>
        <w:topLinePunct w:val="0"/>
        <w:bidi w:val="0"/>
        <w:spacing w:line="4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如对本次招标文件存在疑问，请将书面文件在前附表规定的时间之前，送至</w:t>
      </w:r>
      <w:r>
        <w:rPr>
          <w:rFonts w:hint="eastAsia" w:ascii="宋体" w:hAnsi="宋体" w:cs="宋体"/>
          <w:color w:val="auto"/>
          <w:sz w:val="24"/>
          <w:szCs w:val="24"/>
          <w:highlight w:val="none"/>
          <w:lang w:eastAsia="zh-CN"/>
        </w:rPr>
        <w:t>欧邦工程管理集团有限公司</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浙江省建德市新安江街道红枫商场15号二层</w:t>
      </w:r>
      <w:r>
        <w:rPr>
          <w:rFonts w:hint="eastAsia" w:ascii="宋体" w:hAnsi="宋体" w:cs="宋体"/>
          <w:color w:val="auto"/>
          <w:sz w:val="24"/>
          <w:szCs w:val="24"/>
          <w:highlight w:val="none"/>
        </w:rPr>
        <w:t>），招标方将做统一答复，如规定时间内未收到任何质疑，则视为各投标方均对此无异议。</w:t>
      </w:r>
    </w:p>
    <w:p>
      <w:pPr>
        <w:keepNext w:val="0"/>
        <w:keepLines w:val="0"/>
        <w:pageBreakBefore w:val="0"/>
        <w:widowControl/>
        <w:kinsoku/>
        <w:wordWrap/>
        <w:topLinePunct w:val="0"/>
        <w:bidi w:val="0"/>
        <w:spacing w:line="400" w:lineRule="exact"/>
        <w:ind w:left="0" w:leftChars="0" w:right="0"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六</w:t>
      </w:r>
      <w:r>
        <w:rPr>
          <w:rFonts w:hint="eastAsia" w:ascii="宋体" w:hAnsi="宋体" w:cs="宋体"/>
          <w:b/>
          <w:color w:val="auto"/>
          <w:sz w:val="24"/>
          <w:szCs w:val="24"/>
          <w:highlight w:val="none"/>
        </w:rPr>
        <w:t>、特别声明：</w:t>
      </w:r>
    </w:p>
    <w:p>
      <w:pPr>
        <w:keepNext w:val="0"/>
        <w:keepLines w:val="0"/>
        <w:pageBreakBefore w:val="0"/>
        <w:tabs>
          <w:tab w:val="left" w:pos="1395"/>
        </w:tabs>
        <w:kinsoku/>
        <w:wordWrap/>
        <w:topLinePunct w:val="0"/>
        <w:autoSpaceDE w:val="0"/>
        <w:autoSpaceDN w:val="0"/>
        <w:bidi w:val="0"/>
        <w:adjustRightInd w:val="0"/>
        <w:spacing w:line="400" w:lineRule="exact"/>
        <w:ind w:left="0" w:leftChars="0" w:right="0"/>
        <w:jc w:val="left"/>
        <w:rPr>
          <w:rFonts w:ascii="宋体" w:hAnsi="宋体" w:cs="宋体"/>
          <w:b/>
          <w:color w:val="auto"/>
          <w:sz w:val="24"/>
          <w:szCs w:val="24"/>
          <w:highlight w:val="none"/>
        </w:rPr>
      </w:pPr>
      <w:r>
        <w:rPr>
          <w:rFonts w:hint="eastAsia" w:ascii="宋体" w:hAnsi="宋体" w:cs="宋体"/>
          <w:b/>
          <w:color w:val="auto"/>
          <w:sz w:val="24"/>
          <w:szCs w:val="24"/>
          <w:highlight w:val="none"/>
        </w:rPr>
        <w:t xml:space="preserve">    &lt;一&gt;价格是评标的重要因素之一，但最低报价不是中标的唯一依据。</w:t>
      </w:r>
    </w:p>
    <w:p>
      <w:pPr>
        <w:keepNext w:val="0"/>
        <w:keepLines w:val="0"/>
        <w:pageBreakBefore w:val="0"/>
        <w:tabs>
          <w:tab w:val="left" w:pos="1395"/>
        </w:tabs>
        <w:kinsoku/>
        <w:wordWrap/>
        <w:topLinePunct w:val="0"/>
        <w:autoSpaceDE w:val="0"/>
        <w:autoSpaceDN w:val="0"/>
        <w:bidi w:val="0"/>
        <w:adjustRightInd w:val="0"/>
        <w:spacing w:line="400" w:lineRule="exact"/>
        <w:ind w:left="0" w:leftChars="0" w:right="0"/>
        <w:jc w:val="left"/>
        <w:rPr>
          <w:rFonts w:ascii="宋体" w:hAnsi="宋体" w:cs="宋体"/>
          <w:b/>
          <w:color w:val="auto"/>
          <w:sz w:val="24"/>
          <w:szCs w:val="24"/>
          <w:highlight w:val="none"/>
        </w:rPr>
      </w:pPr>
      <w:r>
        <w:rPr>
          <w:rFonts w:hint="eastAsia" w:ascii="宋体" w:hAnsi="宋体" w:cs="宋体"/>
          <w:b/>
          <w:color w:val="auto"/>
          <w:sz w:val="24"/>
          <w:szCs w:val="24"/>
          <w:highlight w:val="none"/>
        </w:rPr>
        <w:t xml:space="preserve">    &lt;二&gt;本项目设有最高限价（预算总价），最高限价为</w:t>
      </w:r>
      <w:r>
        <w:rPr>
          <w:rFonts w:hint="eastAsia" w:ascii="宋体" w:hAnsi="宋体" w:cs="宋体"/>
          <w:b/>
          <w:bCs/>
          <w:color w:val="auto"/>
          <w:sz w:val="24"/>
          <w:szCs w:val="24"/>
          <w:highlight w:val="none"/>
        </w:rPr>
        <w:t>人民币</w:t>
      </w:r>
      <w:r>
        <w:rPr>
          <w:rFonts w:hint="eastAsia" w:ascii="宋体" w:hAnsi="宋体" w:cs="宋体"/>
          <w:b/>
          <w:bCs/>
          <w:color w:val="auto"/>
          <w:sz w:val="24"/>
          <w:szCs w:val="24"/>
          <w:highlight w:val="none"/>
          <w:lang w:val="en-US" w:eastAsia="zh-CN"/>
        </w:rPr>
        <w:t>叁佰陆拾万元</w:t>
      </w:r>
      <w:r>
        <w:rPr>
          <w:rFonts w:hint="eastAsia" w:ascii="宋体" w:hAnsi="宋体" w:cs="宋体"/>
          <w:b/>
          <w:bCs/>
          <w:color w:val="auto"/>
          <w:sz w:val="24"/>
          <w:szCs w:val="24"/>
          <w:highlight w:val="none"/>
        </w:rPr>
        <w:t>整（￥：</w:t>
      </w:r>
      <w:r>
        <w:rPr>
          <w:rFonts w:hint="eastAsia" w:ascii="宋体" w:hAnsi="宋体" w:cs="宋体"/>
          <w:b/>
          <w:bCs/>
          <w:color w:val="auto"/>
          <w:sz w:val="24"/>
          <w:szCs w:val="24"/>
          <w:highlight w:val="none"/>
          <w:lang w:val="en-US" w:eastAsia="zh-CN"/>
        </w:rPr>
        <w:t>3600000</w:t>
      </w:r>
      <w:r>
        <w:rPr>
          <w:rFonts w:hint="eastAsia" w:ascii="宋体" w:hAnsi="宋体" w:cs="宋体"/>
          <w:b/>
          <w:bCs/>
          <w:i w:val="0"/>
          <w:iCs w:val="0"/>
          <w:color w:val="auto"/>
          <w:kern w:val="0"/>
          <w:sz w:val="22"/>
          <w:szCs w:val="22"/>
          <w:highlight w:val="none"/>
          <w:u w:val="none"/>
          <w:lang w:val="en-US" w:eastAsia="zh-CN" w:bidi="ar"/>
        </w:rPr>
        <w:t>.00</w:t>
      </w:r>
      <w:r>
        <w:rPr>
          <w:rFonts w:hint="eastAsia" w:ascii="宋体" w:hAnsi="宋体" w:cs="宋体"/>
          <w:b/>
          <w:bCs/>
          <w:color w:val="auto"/>
          <w:sz w:val="24"/>
          <w:szCs w:val="24"/>
          <w:highlight w:val="none"/>
        </w:rPr>
        <w:t>元）</w:t>
      </w:r>
      <w:r>
        <w:rPr>
          <w:rFonts w:hint="eastAsia" w:ascii="宋体" w:hAnsi="宋体" w:cs="宋体"/>
          <w:b/>
          <w:color w:val="auto"/>
          <w:sz w:val="24"/>
          <w:szCs w:val="24"/>
          <w:highlight w:val="none"/>
        </w:rPr>
        <w:t>，投标报价超过最高限价（预算总价）的，按无效标处理。</w:t>
      </w:r>
    </w:p>
    <w:p>
      <w:pPr>
        <w:keepNext w:val="0"/>
        <w:keepLines w:val="0"/>
        <w:pageBreakBefore w:val="0"/>
        <w:kinsoku/>
        <w:wordWrap/>
        <w:topLinePunct w:val="0"/>
        <w:bidi w:val="0"/>
        <w:spacing w:line="400" w:lineRule="exact"/>
        <w:ind w:left="0" w:leftChars="0" w:right="0" w:firstLine="474" w:firstLineChars="200"/>
        <w:jc w:val="left"/>
        <w:rPr>
          <w:rFonts w:hint="eastAsia" w:ascii="宋体" w:hAnsi="宋体" w:cs="宋体"/>
          <w:b/>
          <w:color w:val="auto"/>
          <w:sz w:val="24"/>
          <w:szCs w:val="24"/>
          <w:highlight w:val="none"/>
        </w:rPr>
      </w:pPr>
      <w:r>
        <w:rPr>
          <w:rStyle w:val="97"/>
          <w:rFonts w:hint="eastAsia" w:ascii="宋体" w:hAnsi="宋体" w:cs="宋体"/>
          <w:b/>
          <w:bCs/>
          <w:color w:val="auto"/>
          <w:sz w:val="24"/>
          <w:szCs w:val="24"/>
          <w:highlight w:val="none"/>
        </w:rPr>
        <w:t>特别说明：为避免出现恶意低价竞争的情况，导致项目无法保质保量完成，故本项目设定投标供应商的投标报价低于满足招标文件全部实质性要求的所有投标供应商平均报价的9</w:t>
      </w:r>
      <w:r>
        <w:rPr>
          <w:rStyle w:val="97"/>
          <w:rFonts w:hint="eastAsia" w:ascii="宋体" w:hAnsi="宋体" w:cs="宋体"/>
          <w:b/>
          <w:bCs/>
          <w:color w:val="auto"/>
          <w:sz w:val="24"/>
          <w:szCs w:val="24"/>
          <w:highlight w:val="none"/>
          <w:lang w:val="en-US"/>
        </w:rPr>
        <w:t>4</w:t>
      </w:r>
      <w:r>
        <w:rPr>
          <w:rStyle w:val="97"/>
          <w:rFonts w:hint="eastAsia" w:ascii="宋体" w:hAnsi="宋体" w:cs="宋体"/>
          <w:b/>
          <w:bCs/>
          <w:color w:val="auto"/>
          <w:sz w:val="24"/>
          <w:szCs w:val="24"/>
          <w:highlight w:val="none"/>
        </w:rPr>
        <w:t>%，作无效标处理。</w:t>
      </w:r>
    </w:p>
    <w:p>
      <w:pPr>
        <w:keepNext w:val="0"/>
        <w:keepLines w:val="0"/>
        <w:pageBreakBefore w:val="0"/>
        <w:kinsoku/>
        <w:wordWrap/>
        <w:topLinePunct w:val="0"/>
        <w:bidi w:val="0"/>
        <w:spacing w:line="400" w:lineRule="exact"/>
        <w:ind w:left="0" w:leftChars="0" w:right="0"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&lt;三&gt;</w:t>
      </w:r>
      <w:r>
        <w:rPr>
          <w:rFonts w:hint="eastAsia" w:ascii="宋体" w:hAnsi="宋体" w:cs="宋体"/>
          <w:b/>
          <w:bCs/>
          <w:color w:val="auto"/>
          <w:sz w:val="24"/>
          <w:szCs w:val="24"/>
          <w:highlight w:val="none"/>
        </w:rPr>
        <w:t>本项目的投标报价应含采购服务费，采购服务费为人民币</w:t>
      </w:r>
      <w:r>
        <w:rPr>
          <w:rFonts w:hint="eastAsia" w:ascii="宋体" w:hAnsi="宋体" w:cs="宋体"/>
          <w:b/>
          <w:bCs/>
          <w:color w:val="auto"/>
          <w:sz w:val="24"/>
          <w:szCs w:val="24"/>
          <w:highlight w:val="none"/>
          <w:lang w:val="en-US" w:eastAsia="zh-CN"/>
        </w:rPr>
        <w:fldChar w:fldCharType="begin"/>
      </w:r>
      <w:r>
        <w:rPr>
          <w:rFonts w:hint="eastAsia" w:ascii="宋体" w:hAnsi="宋体" w:cs="宋体"/>
          <w:b/>
          <w:bCs/>
          <w:color w:val="auto"/>
          <w:sz w:val="24"/>
          <w:szCs w:val="24"/>
          <w:highlight w:val="none"/>
          <w:lang w:val="en-US" w:eastAsia="zh-CN"/>
        </w:rPr>
        <w:instrText xml:space="preserve"> = 68416 \* CHINESENUM2 \* MERGEFORMAT </w:instrText>
      </w:r>
      <w:r>
        <w:rPr>
          <w:rFonts w:hint="eastAsia" w:ascii="宋体" w:hAnsi="宋体" w:cs="宋体"/>
          <w:b/>
          <w:bCs/>
          <w:color w:val="auto"/>
          <w:sz w:val="24"/>
          <w:szCs w:val="24"/>
          <w:highlight w:val="none"/>
          <w:lang w:val="en-US" w:eastAsia="zh-CN"/>
        </w:rPr>
        <w:fldChar w:fldCharType="separate"/>
      </w:r>
      <w:r>
        <w:rPr>
          <w:rFonts w:hint="eastAsia" w:ascii="宋体" w:hAnsi="宋体" w:cs="宋体"/>
          <w:b/>
          <w:bCs/>
          <w:color w:val="auto"/>
          <w:sz w:val="24"/>
          <w:szCs w:val="24"/>
          <w:highlight w:val="none"/>
          <w:lang w:eastAsia="zh-CN"/>
        </w:rPr>
        <w:t>贰万柒仟柒佰柒拾玖</w:t>
      </w:r>
      <w:r>
        <w:rPr>
          <w:rFonts w:hint="eastAsia" w:ascii="宋体" w:hAnsi="宋体" w:cs="宋体"/>
          <w:b/>
          <w:bCs/>
          <w:color w:val="auto"/>
          <w:sz w:val="24"/>
          <w:szCs w:val="24"/>
          <w:highlight w:val="none"/>
          <w:lang w:val="en-US" w:eastAsia="zh-CN"/>
        </w:rPr>
        <w:fldChar w:fldCharType="end"/>
      </w:r>
      <w:r>
        <w:rPr>
          <w:rFonts w:hint="eastAsia" w:ascii="宋体" w:hAnsi="宋体" w:cs="宋体"/>
          <w:b/>
          <w:bCs/>
          <w:color w:val="auto"/>
          <w:sz w:val="24"/>
          <w:szCs w:val="24"/>
          <w:highlight w:val="none"/>
        </w:rPr>
        <w:t>元整（￥：</w:t>
      </w:r>
      <w:r>
        <w:rPr>
          <w:rFonts w:hint="eastAsia" w:ascii="宋体" w:hAnsi="宋体" w:cs="宋体"/>
          <w:b/>
          <w:bCs/>
          <w:color w:val="auto"/>
          <w:sz w:val="24"/>
          <w:szCs w:val="24"/>
          <w:highlight w:val="none"/>
          <w:lang w:val="en-US" w:eastAsia="zh-CN"/>
        </w:rPr>
        <w:t>27779.00</w:t>
      </w:r>
      <w:r>
        <w:rPr>
          <w:rFonts w:hint="eastAsia" w:ascii="宋体" w:hAnsi="宋体" w:cs="宋体"/>
          <w:b/>
          <w:bCs/>
          <w:color w:val="auto"/>
          <w:sz w:val="24"/>
          <w:szCs w:val="24"/>
          <w:highlight w:val="none"/>
        </w:rPr>
        <w:t>元），由</w:t>
      </w:r>
      <w:r>
        <w:rPr>
          <w:rFonts w:hint="eastAsia" w:ascii="宋体" w:hAnsi="宋体" w:cs="宋体"/>
          <w:b/>
          <w:bCs/>
          <w:color w:val="auto"/>
          <w:sz w:val="24"/>
          <w:szCs w:val="24"/>
          <w:highlight w:val="none"/>
          <w:lang w:eastAsia="zh-CN"/>
        </w:rPr>
        <w:t>中标供应商</w:t>
      </w:r>
      <w:r>
        <w:rPr>
          <w:rFonts w:hint="eastAsia" w:ascii="宋体" w:hAnsi="宋体" w:cs="宋体"/>
          <w:b/>
          <w:bCs/>
          <w:color w:val="auto"/>
          <w:sz w:val="24"/>
          <w:szCs w:val="24"/>
          <w:highlight w:val="none"/>
        </w:rPr>
        <w:t>在领取中标通知书时支付给采购代理公司，各投标供应商在报价时应考虑包含上述费用。</w:t>
      </w:r>
    </w:p>
    <w:p>
      <w:pPr>
        <w:keepNext w:val="0"/>
        <w:keepLines w:val="0"/>
        <w:pageBreakBefore w:val="0"/>
        <w:kinsoku/>
        <w:wordWrap/>
        <w:topLinePunct w:val="0"/>
        <w:bidi w:val="0"/>
        <w:spacing w:line="400" w:lineRule="exact"/>
        <w:ind w:left="0" w:leftChars="0" w:right="0" w:firstLine="494" w:firstLineChars="205"/>
        <w:jc w:val="left"/>
        <w:rPr>
          <w:rFonts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eastAsia="zh-CN"/>
        </w:rPr>
        <w:t>七</w:t>
      </w:r>
      <w:r>
        <w:rPr>
          <w:rFonts w:hint="eastAsia" w:ascii="宋体" w:hAnsi="宋体" w:cs="宋体"/>
          <w:b/>
          <w:color w:val="auto"/>
          <w:sz w:val="24"/>
          <w:szCs w:val="24"/>
          <w:highlight w:val="none"/>
        </w:rPr>
        <w:t>、其他</w:t>
      </w:r>
    </w:p>
    <w:p>
      <w:pPr>
        <w:keepNext w:val="0"/>
        <w:keepLines w:val="0"/>
        <w:pageBreakBefore w:val="0"/>
        <w:kinsoku/>
        <w:wordWrap/>
        <w:topLinePunct w:val="0"/>
        <w:autoSpaceDE w:val="0"/>
        <w:autoSpaceDN w:val="0"/>
        <w:bidi w:val="0"/>
        <w:adjustRightInd w:val="0"/>
        <w:spacing w:line="400" w:lineRule="exact"/>
        <w:ind w:left="0" w:leftChars="0" w:right="0" w:firstLine="491" w:firstLineChars="205"/>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〈一〉如果有确凿证据证明各投标方之间存在串标等舞弊、违法行为，认为将损害自身利益，有权拒绝存在此行为的投标方投标或投标作废。</w:t>
      </w:r>
    </w:p>
    <w:p>
      <w:pPr>
        <w:keepNext w:val="0"/>
        <w:keepLines w:val="0"/>
        <w:pageBreakBefore w:val="0"/>
        <w:kinsoku/>
        <w:wordWrap/>
        <w:topLinePunct w:val="0"/>
        <w:autoSpaceDE w:val="0"/>
        <w:autoSpaceDN w:val="0"/>
        <w:bidi w:val="0"/>
        <w:adjustRightInd w:val="0"/>
        <w:spacing w:line="400" w:lineRule="exact"/>
        <w:ind w:left="0" w:leftChars="0" w:right="0" w:firstLine="491" w:firstLineChars="205"/>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〈二〉本文件未及事项，在签订合同时供需及使用方友好商定。</w:t>
      </w:r>
    </w:p>
    <w:p>
      <w:pPr>
        <w:pStyle w:val="26"/>
        <w:spacing w:line="440" w:lineRule="exact"/>
        <w:ind w:left="0"/>
        <w:jc w:val="center"/>
        <w:rPr>
          <w:rStyle w:val="97"/>
          <w:rFonts w:ascii="宋体" w:hAnsi="宋体" w:cs="宋体"/>
          <w:b/>
          <w:bCs/>
          <w:color w:val="auto"/>
          <w:sz w:val="36"/>
          <w:szCs w:val="36"/>
          <w:highlight w:val="none"/>
        </w:rPr>
      </w:pPr>
    </w:p>
    <w:p>
      <w:pPr>
        <w:rPr>
          <w:rFonts w:hint="eastAsia"/>
          <w:color w:val="auto"/>
          <w:highlight w:val="none"/>
        </w:rPr>
      </w:pPr>
    </w:p>
    <w:p>
      <w:pPr>
        <w:pStyle w:val="26"/>
        <w:spacing w:line="440" w:lineRule="exact"/>
        <w:ind w:left="0"/>
        <w:jc w:val="center"/>
        <w:rPr>
          <w:rStyle w:val="97"/>
          <w:rFonts w:ascii="宋体" w:hAnsi="宋体" w:cs="宋体"/>
          <w:b/>
          <w:bCs/>
          <w:color w:val="auto"/>
          <w:sz w:val="36"/>
          <w:szCs w:val="36"/>
          <w:highlight w:val="none"/>
        </w:rPr>
      </w:pPr>
      <w:r>
        <w:rPr>
          <w:rStyle w:val="97"/>
          <w:rFonts w:hint="eastAsia" w:ascii="宋体" w:hAnsi="宋体" w:cs="宋体"/>
          <w:b/>
          <w:bCs/>
          <w:color w:val="auto"/>
          <w:sz w:val="36"/>
          <w:szCs w:val="36"/>
          <w:highlight w:val="none"/>
        </w:rPr>
        <w:t>第三章  开标和评标须知</w:t>
      </w:r>
    </w:p>
    <w:p>
      <w:pPr>
        <w:keepNext w:val="0"/>
        <w:keepLines w:val="0"/>
        <w:pageBreakBefore w:val="0"/>
        <w:kinsoku/>
        <w:wordWrap/>
        <w:topLinePunct w:val="0"/>
        <w:bidi w:val="0"/>
        <w:snapToGrid/>
        <w:spacing w:line="400" w:lineRule="exact"/>
        <w:ind w:left="0" w:leftChars="0" w:right="0" w:rightChars="0" w:firstLine="472" w:firstLineChars="196"/>
        <w:rPr>
          <w:rFonts w:ascii="宋体" w:hAnsi="宋体" w:cs="宋体"/>
          <w:b/>
          <w:color w:val="auto"/>
          <w:sz w:val="24"/>
          <w:szCs w:val="24"/>
          <w:highlight w:val="none"/>
        </w:rPr>
      </w:pPr>
      <w:r>
        <w:rPr>
          <w:rFonts w:hint="eastAsia" w:ascii="宋体" w:hAnsi="宋体" w:cs="宋体"/>
          <w:b/>
          <w:color w:val="auto"/>
          <w:sz w:val="24"/>
          <w:szCs w:val="24"/>
          <w:highlight w:val="none"/>
        </w:rPr>
        <w:t>一、开标</w:t>
      </w:r>
    </w:p>
    <w:p>
      <w:pPr>
        <w:keepNext w:val="0"/>
        <w:keepLines w:val="0"/>
        <w:pageBreakBefore w:val="0"/>
        <w:kinsoku/>
        <w:wordWrap/>
        <w:topLinePunct w:val="0"/>
        <w:bidi w:val="0"/>
        <w:snapToGrid/>
        <w:spacing w:line="400" w:lineRule="exact"/>
        <w:ind w:left="0" w:leftChars="0" w:right="0" w:rightChars="0"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〈一〉招标方在招标文件规定的时间和地点公开开标，投标方授权代表必须参加并签到。</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的法定代表人或其委托代理人未按时签到的，视同放弃开标监督权利、默认开标结果。</w:t>
      </w:r>
    </w:p>
    <w:p>
      <w:pPr>
        <w:pStyle w:val="24"/>
        <w:keepNext w:val="0"/>
        <w:keepLines w:val="0"/>
        <w:pageBreakBefore w:val="0"/>
        <w:kinsoku/>
        <w:wordWrap/>
        <w:topLinePunct w:val="0"/>
        <w:bidi w:val="0"/>
        <w:snapToGrid/>
        <w:spacing w:line="400" w:lineRule="exact"/>
        <w:ind w:left="0" w:leftChars="0" w:right="0" w:rightChars="0" w:firstLine="241" w:firstLineChars="100"/>
        <w:rPr>
          <w:rFonts w:hAnsi="宋体" w:cs="宋体"/>
          <w:b/>
          <w:bCs/>
          <w:color w:val="auto"/>
          <w:sz w:val="24"/>
          <w:szCs w:val="24"/>
          <w:highlight w:val="none"/>
        </w:rPr>
      </w:pPr>
      <w:r>
        <w:rPr>
          <w:rFonts w:hint="eastAsia" w:hAnsi="宋体" w:cs="宋体"/>
          <w:b/>
          <w:bCs/>
          <w:color w:val="auto"/>
          <w:sz w:val="24"/>
          <w:szCs w:val="24"/>
          <w:highlight w:val="none"/>
        </w:rPr>
        <w:t>〈二〉开标程序：</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由采购组织机构工作人员或公证人员对</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信用记录进行查询并甄别，采购代理机构经办人和现场管理员将查询网页打印、签字。</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存在不良信用记录的，其投标文件将被拒绝；</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2、开标会由代理公司工作人员主持，主持人宣布开标会议开始；</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3、介绍参加开标会</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人员名单；</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4、宣布评标期间的有关事项，告知应当回避的情形,提请有关人员回避；</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5、由采购组织机构工作人员或公证人员核对验证</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全权代表的本人身份证或护照等能证明其有效身份的证件原件</w:t>
      </w:r>
      <w:r>
        <w:rPr>
          <w:rFonts w:hint="eastAsia" w:ascii="宋体" w:hAnsi="宋体" w:cs="宋体"/>
          <w:color w:val="auto"/>
          <w:sz w:val="24"/>
          <w:szCs w:val="24"/>
          <w:highlight w:val="none"/>
          <w:lang w:eastAsia="zh-CN"/>
        </w:rPr>
        <w:t>；</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6、由</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代表或公证人员检验投标文件密封的完整性并当场宣布检验结果；</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7、由代理公司工作人员对资格审查文件进行审查，审查不合格的</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，退还其他投标文件，审查合格的供应商进入下一轮开标程序；</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8、打开技术/商务资信文件外包装，清点投标文件正本、副本数量，符合招标文件要求的送评标室评审；不符合要求的，当场退还</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，并由投标单位代表签字确认。开标顺序按各投标单位提交投标文件时间的先后顺序进行；</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9、商务资信、技术评分结束后，由主持人公布无效投标的投标单位名单、投标无效的原因及其他有效投标的评分结果；</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10、由主持人宣读报价文件中的投标单位名称及在其投标文件中承诺的投标报价、投标内容（投标项目名称、规格型号或者工程/服务项目名称），以及认为有必要宣读的其他内容</w:t>
      </w:r>
      <w:r>
        <w:rPr>
          <w:rFonts w:hint="eastAsia" w:ascii="宋体" w:hAnsi="宋体" w:cs="宋体"/>
          <w:color w:val="auto"/>
          <w:sz w:val="24"/>
          <w:szCs w:val="24"/>
          <w:highlight w:val="none"/>
          <w:lang w:eastAsia="zh-CN"/>
        </w:rPr>
        <w:t>；</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11、代理公司工作人员做好开标记录, 投标单位代表对开标记录进行当场校核及勘误，并签字确认；并同时由记录人、监督人当场签字确认。投标单位代表未到场签字确认的，不影响评标过程</w:t>
      </w:r>
      <w:r>
        <w:rPr>
          <w:rFonts w:hint="eastAsia" w:ascii="宋体" w:hAnsi="宋体" w:cs="宋体"/>
          <w:color w:val="auto"/>
          <w:sz w:val="24"/>
          <w:szCs w:val="24"/>
          <w:highlight w:val="none"/>
          <w:lang w:eastAsia="zh-CN"/>
        </w:rPr>
        <w:t>；</w:t>
      </w:r>
    </w:p>
    <w:p>
      <w:pPr>
        <w:keepNext w:val="0"/>
        <w:keepLines w:val="0"/>
        <w:pageBreakBefore w:val="0"/>
        <w:kinsoku/>
        <w:wordWrap/>
        <w:topLinePunct w:val="0"/>
        <w:bidi w:val="0"/>
        <w:snapToGrid/>
        <w:spacing w:line="400" w:lineRule="exact"/>
        <w:ind w:left="0" w:leftChars="0" w:right="0" w:rightChars="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12、开标会议结束。</w:t>
      </w:r>
    </w:p>
    <w:p>
      <w:pPr>
        <w:keepNext w:val="0"/>
        <w:keepLines w:val="0"/>
        <w:pageBreakBefore w:val="0"/>
        <w:kinsoku/>
        <w:wordWrap/>
        <w:topLinePunct w:val="0"/>
        <w:bidi w:val="0"/>
        <w:snapToGrid/>
        <w:spacing w:line="400" w:lineRule="exact"/>
        <w:ind w:left="0" w:leftChars="0" w:right="0" w:rightChars="0" w:firstLine="472" w:firstLineChars="196"/>
        <w:rPr>
          <w:rFonts w:ascii="宋体" w:hAnsi="宋体" w:cs="宋体"/>
          <w:b/>
          <w:color w:val="auto"/>
          <w:sz w:val="24"/>
          <w:szCs w:val="24"/>
          <w:highlight w:val="none"/>
        </w:rPr>
      </w:pPr>
      <w:r>
        <w:rPr>
          <w:rFonts w:hint="eastAsia" w:ascii="宋体" w:hAnsi="宋体" w:cs="宋体"/>
          <w:b/>
          <w:color w:val="auto"/>
          <w:sz w:val="24"/>
          <w:szCs w:val="24"/>
          <w:highlight w:val="none"/>
        </w:rPr>
        <w:t>二、评标委员会</w:t>
      </w:r>
    </w:p>
    <w:p>
      <w:pPr>
        <w:keepNext w:val="0"/>
        <w:keepLines w:val="0"/>
        <w:pageBreakBefore w:val="0"/>
        <w:kinsoku/>
        <w:wordWrap/>
        <w:topLinePunct w:val="0"/>
        <w:bidi w:val="0"/>
        <w:snapToGrid/>
        <w:spacing w:line="400" w:lineRule="exact"/>
        <w:ind w:left="0" w:leftChars="0" w:right="0" w:rightChars="0"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评标委员会依法由5人或以上人员组成，评标委员会对投标文件进行审查、质疑、评估和比较。质询期间，投标方法人代表或法人委托人必须在场，负责解答有关事宜。</w:t>
      </w:r>
    </w:p>
    <w:p>
      <w:pPr>
        <w:keepNext w:val="0"/>
        <w:keepLines w:val="0"/>
        <w:pageBreakBefore w:val="0"/>
        <w:kinsoku/>
        <w:wordWrap/>
        <w:topLinePunct w:val="0"/>
        <w:bidi w:val="0"/>
        <w:snapToGrid/>
        <w:spacing w:line="400" w:lineRule="exact"/>
        <w:ind w:left="0" w:leftChars="0" w:right="0" w:rightChars="0" w:firstLine="472" w:firstLineChars="196"/>
        <w:rPr>
          <w:rFonts w:ascii="宋体" w:hAnsi="宋体" w:cs="宋体"/>
          <w:color w:val="auto"/>
          <w:sz w:val="24"/>
          <w:szCs w:val="24"/>
          <w:highlight w:val="none"/>
        </w:rPr>
      </w:pPr>
      <w:r>
        <w:rPr>
          <w:rFonts w:hint="eastAsia" w:ascii="宋体" w:hAnsi="宋体" w:cs="宋体"/>
          <w:b/>
          <w:color w:val="auto"/>
          <w:sz w:val="24"/>
          <w:szCs w:val="24"/>
          <w:highlight w:val="none"/>
        </w:rPr>
        <w:t>三、对投标文件的审查和响应性的确定</w:t>
      </w:r>
    </w:p>
    <w:p>
      <w:pPr>
        <w:keepNext w:val="0"/>
        <w:keepLines w:val="0"/>
        <w:pageBreakBefore w:val="0"/>
        <w:kinsoku/>
        <w:wordWrap/>
        <w:topLinePunct w:val="0"/>
        <w:bidi w:val="0"/>
        <w:snapToGrid/>
        <w:spacing w:line="400" w:lineRule="exact"/>
        <w:ind w:left="0" w:leftChars="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〈一〉开标时，投标文件中开标一览表内容与投标文件中明细表内容不一致的，以开标一览表为准。</w:t>
      </w:r>
    </w:p>
    <w:p>
      <w:pPr>
        <w:keepNext w:val="0"/>
        <w:keepLines w:val="0"/>
        <w:pageBreakBefore w:val="0"/>
        <w:kinsoku/>
        <w:wordWrap/>
        <w:topLinePunct w:val="0"/>
        <w:bidi w:val="0"/>
        <w:snapToGrid/>
        <w:spacing w:line="400" w:lineRule="exact"/>
        <w:ind w:left="0" w:leftChars="0" w:right="0" w:rightChars="0" w:firstLine="360" w:firstLineChars="150"/>
        <w:rPr>
          <w:rFonts w:ascii="宋体" w:hAnsi="宋体" w:cs="宋体"/>
          <w:b/>
          <w:bCs/>
          <w:color w:val="auto"/>
          <w:sz w:val="24"/>
          <w:szCs w:val="24"/>
          <w:highlight w:val="none"/>
        </w:rPr>
      </w:pPr>
      <w:r>
        <w:rPr>
          <w:rFonts w:hint="eastAsia" w:ascii="宋体" w:hAnsi="宋体" w:cs="宋体"/>
          <w:color w:val="auto"/>
          <w:sz w:val="24"/>
          <w:szCs w:val="24"/>
          <w:highlight w:val="none"/>
        </w:rPr>
        <w:t>〈二〉标后，评标委员会审查投标文件是否完整，是否发现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keepNext w:val="0"/>
        <w:keepLines w:val="0"/>
        <w:pageBreakBefore w:val="0"/>
        <w:kinsoku/>
        <w:wordWrap/>
        <w:topLinePunct w:val="0"/>
        <w:bidi w:val="0"/>
        <w:snapToGrid/>
        <w:spacing w:line="400" w:lineRule="exact"/>
        <w:ind w:left="0" w:leftChars="0" w:right="0" w:rightChars="0" w:firstLine="426" w:firstLineChars="177"/>
        <w:rPr>
          <w:rFonts w:ascii="宋体" w:hAnsi="宋体" w:cs="宋体"/>
          <w:b/>
          <w:bCs/>
          <w:color w:val="auto"/>
          <w:sz w:val="24"/>
          <w:szCs w:val="24"/>
          <w:highlight w:val="none"/>
        </w:rPr>
      </w:pPr>
      <w:r>
        <w:rPr>
          <w:rFonts w:hint="eastAsia" w:ascii="宋体" w:hAnsi="宋体" w:cs="宋体"/>
          <w:b/>
          <w:bCs/>
          <w:color w:val="auto"/>
          <w:sz w:val="24"/>
          <w:szCs w:val="24"/>
          <w:highlight w:val="none"/>
        </w:rPr>
        <w:t>四、评标原则与方法</w:t>
      </w:r>
    </w:p>
    <w:p>
      <w:pPr>
        <w:keepNext w:val="0"/>
        <w:keepLines w:val="0"/>
        <w:pageBreakBefore w:val="0"/>
        <w:kinsoku/>
        <w:wordWrap/>
        <w:topLinePunct w:val="0"/>
        <w:bidi w:val="0"/>
        <w:snapToGrid/>
        <w:spacing w:line="400" w:lineRule="exact"/>
        <w:ind w:left="0" w:leftChars="0" w:right="0" w:rightChars="0" w:firstLine="307" w:firstLineChars="128"/>
        <w:rPr>
          <w:rFonts w:ascii="宋体" w:hAnsi="宋体" w:cs="宋体"/>
          <w:color w:val="auto"/>
          <w:sz w:val="24"/>
          <w:szCs w:val="24"/>
          <w:highlight w:val="none"/>
        </w:rPr>
      </w:pPr>
      <w:r>
        <w:rPr>
          <w:rFonts w:hint="eastAsia" w:ascii="宋体" w:hAnsi="宋体" w:cs="宋体"/>
          <w:color w:val="auto"/>
          <w:sz w:val="24"/>
          <w:szCs w:val="24"/>
          <w:highlight w:val="none"/>
        </w:rPr>
        <w:t>〈一〉评标的依据是招标文件和投标文件。</w:t>
      </w:r>
    </w:p>
    <w:p>
      <w:pPr>
        <w:keepNext w:val="0"/>
        <w:keepLines w:val="0"/>
        <w:pageBreakBefore w:val="0"/>
        <w:kinsoku/>
        <w:wordWrap/>
        <w:topLinePunct w:val="0"/>
        <w:bidi w:val="0"/>
        <w:snapToGrid/>
        <w:spacing w:line="400" w:lineRule="exact"/>
        <w:ind w:left="0" w:leftChars="0" w:right="0" w:rightChars="0" w:firstLine="307" w:firstLineChars="128"/>
        <w:rPr>
          <w:rFonts w:ascii="宋体" w:hAnsi="宋体" w:cs="宋体"/>
          <w:color w:val="auto"/>
          <w:sz w:val="24"/>
          <w:szCs w:val="24"/>
          <w:highlight w:val="none"/>
        </w:rPr>
      </w:pPr>
      <w:r>
        <w:rPr>
          <w:rFonts w:hint="eastAsia" w:ascii="宋体" w:hAnsi="宋体" w:cs="宋体"/>
          <w:color w:val="auto"/>
          <w:sz w:val="24"/>
          <w:szCs w:val="24"/>
          <w:highlight w:val="none"/>
        </w:rPr>
        <w:t>〈二〉评标方法和定标原则。评标委员会将遵循公开、公平、公正的原则，对投标者提供货物的技术性能、产品质量、交货期限、资信情况、履约能力、售后服务、资信情况等进行综合分析考评，由评委按照招标文件规定的评标规则（附后）记名并独立打分，按得分高低推荐中标单位。</w:t>
      </w:r>
      <w:r>
        <w:rPr>
          <w:rFonts w:hint="eastAsia" w:ascii="宋体" w:hAnsi="宋体" w:cs="宋体"/>
          <w:b/>
          <w:bCs/>
          <w:color w:val="auto"/>
          <w:sz w:val="24"/>
          <w:szCs w:val="24"/>
          <w:highlight w:val="none"/>
        </w:rPr>
        <w:t>技术、商务资信的评审由评标委员会成员独立打分，技术、商务资信得分为各评标委员会成员分值之和的算术平均值。评分值保留小数点后两位。</w:t>
      </w:r>
    </w:p>
    <w:p>
      <w:pPr>
        <w:keepNext w:val="0"/>
        <w:keepLines w:val="0"/>
        <w:pageBreakBefore w:val="0"/>
        <w:kinsoku/>
        <w:wordWrap/>
        <w:topLinePunct w:val="0"/>
        <w:bidi w:val="0"/>
        <w:snapToGrid/>
        <w:spacing w:line="400" w:lineRule="exact"/>
        <w:ind w:left="0" w:leftChars="0" w:right="0" w:rightChars="0" w:firstLine="307" w:firstLineChars="128"/>
        <w:rPr>
          <w:rFonts w:ascii="宋体" w:hAnsi="宋体" w:cs="宋体"/>
          <w:color w:val="auto"/>
          <w:sz w:val="24"/>
          <w:szCs w:val="24"/>
          <w:highlight w:val="none"/>
        </w:rPr>
      </w:pPr>
      <w:r>
        <w:rPr>
          <w:rFonts w:hint="eastAsia" w:ascii="宋体" w:hAnsi="宋体" w:cs="宋体"/>
          <w:color w:val="auto"/>
          <w:sz w:val="24"/>
          <w:szCs w:val="24"/>
          <w:highlight w:val="none"/>
        </w:rPr>
        <w:t>〈三〉客观、公正的对待所有投标方，对所有投标评价，均采用相同的程序和标准。在开标、评标期间，投标方不得向评标委员会成员询问评标情况，不得进行旨在影响评标结果的活动，否则将废除其投标资格</w:t>
      </w:r>
      <w:r>
        <w:rPr>
          <w:rFonts w:hint="eastAsia" w:ascii="宋体" w:hAnsi="宋体" w:eastAsia="宋体" w:cs="宋体"/>
          <w:color w:val="auto"/>
          <w:sz w:val="24"/>
          <w:szCs w:val="24"/>
          <w:highlight w:val="none"/>
        </w:rPr>
        <w:t>并不再返还投标保证金</w:t>
      </w:r>
      <w:r>
        <w:rPr>
          <w:rFonts w:hint="eastAsia" w:ascii="宋体" w:hAnsi="宋体" w:cs="宋体"/>
          <w:color w:val="auto"/>
          <w:sz w:val="24"/>
          <w:szCs w:val="24"/>
          <w:highlight w:val="none"/>
        </w:rPr>
        <w:t>。</w:t>
      </w:r>
    </w:p>
    <w:p>
      <w:pPr>
        <w:keepNext w:val="0"/>
        <w:keepLines w:val="0"/>
        <w:pageBreakBefore w:val="0"/>
        <w:kinsoku/>
        <w:wordWrap/>
        <w:topLinePunct w:val="0"/>
        <w:bidi w:val="0"/>
        <w:snapToGrid/>
        <w:spacing w:line="400" w:lineRule="exact"/>
        <w:ind w:left="0" w:leftChars="0" w:right="0" w:rightChars="0" w:firstLine="544" w:firstLineChars="227"/>
        <w:rPr>
          <w:rFonts w:ascii="宋体" w:hAnsi="宋体" w:cs="宋体"/>
          <w:color w:val="auto"/>
          <w:sz w:val="24"/>
          <w:szCs w:val="24"/>
          <w:highlight w:val="none"/>
        </w:rPr>
      </w:pPr>
      <w:r>
        <w:rPr>
          <w:rFonts w:hint="eastAsia" w:ascii="宋体" w:hAnsi="宋体" w:cs="宋体"/>
          <w:color w:val="auto"/>
          <w:sz w:val="24"/>
          <w:szCs w:val="24"/>
          <w:highlight w:val="none"/>
        </w:rPr>
        <w:t>在评标过程中，评标成员不得与投标方私下交换意见，在招标工作结束后，凡与评标情况有接触的人不得将评标情况扩散出评标成员之外。</w:t>
      </w:r>
    </w:p>
    <w:p>
      <w:pPr>
        <w:keepNext w:val="0"/>
        <w:keepLines w:val="0"/>
        <w:pageBreakBefore w:val="0"/>
        <w:kinsoku/>
        <w:wordWrap/>
        <w:topLinePunct w:val="0"/>
        <w:bidi w:val="0"/>
        <w:snapToGrid/>
        <w:spacing w:line="400" w:lineRule="exact"/>
        <w:ind w:left="0" w:leftChars="0" w:right="0" w:rightChars="0" w:firstLine="307" w:firstLineChars="128"/>
        <w:rPr>
          <w:rFonts w:ascii="宋体" w:hAnsi="宋体" w:cs="宋体"/>
          <w:b/>
          <w:color w:val="auto"/>
          <w:sz w:val="24"/>
          <w:szCs w:val="24"/>
          <w:highlight w:val="none"/>
        </w:rPr>
      </w:pPr>
      <w:r>
        <w:rPr>
          <w:rFonts w:hint="eastAsia" w:ascii="宋体" w:hAnsi="宋体" w:cs="宋体"/>
          <w:color w:val="auto"/>
          <w:sz w:val="24"/>
          <w:szCs w:val="24"/>
          <w:highlight w:val="none"/>
        </w:rPr>
        <w:t>〈四〉招标方不向落标方解释落标原因，不退还投标文件。</w:t>
      </w:r>
    </w:p>
    <w:p>
      <w:pPr>
        <w:keepNext w:val="0"/>
        <w:keepLines w:val="0"/>
        <w:pageBreakBefore w:val="0"/>
        <w:kinsoku/>
        <w:wordWrap/>
        <w:topLinePunct w:val="0"/>
        <w:bidi w:val="0"/>
        <w:snapToGrid/>
        <w:spacing w:line="400" w:lineRule="exact"/>
        <w:ind w:left="0" w:leftChars="0" w:right="0" w:rightChars="0" w:firstLine="570"/>
        <w:rPr>
          <w:rFonts w:ascii="宋体" w:hAnsi="宋体" w:cs="宋体"/>
          <w:b/>
          <w:color w:val="auto"/>
          <w:sz w:val="24"/>
          <w:szCs w:val="24"/>
          <w:highlight w:val="none"/>
        </w:rPr>
      </w:pPr>
      <w:r>
        <w:rPr>
          <w:rFonts w:hint="eastAsia" w:ascii="宋体" w:hAnsi="宋体" w:cs="宋体"/>
          <w:b/>
          <w:color w:val="auto"/>
          <w:sz w:val="24"/>
          <w:szCs w:val="24"/>
          <w:highlight w:val="none"/>
        </w:rPr>
        <w:t>五、定标和签发中标通知书：</w:t>
      </w:r>
    </w:p>
    <w:p>
      <w:pPr>
        <w:keepNext w:val="0"/>
        <w:keepLines w:val="0"/>
        <w:pageBreakBefore w:val="0"/>
        <w:kinsoku/>
        <w:wordWrap/>
        <w:topLinePunct w:val="0"/>
        <w:bidi w:val="0"/>
        <w:snapToGrid/>
        <w:spacing w:line="400" w:lineRule="exact"/>
        <w:ind w:left="0" w:leftChars="0" w:right="0" w:rightChars="0"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本项目由</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事先授权评标委员会确定预中标单位，自中标、成交</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确定之日起2个工作日内，由采购代理机构和</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签发《中标通知书》，并在浙江政府采购网和建德市门户网站公共资源交易网站上进行公示。</w:t>
      </w:r>
    </w:p>
    <w:p>
      <w:pPr>
        <w:keepNext w:val="0"/>
        <w:keepLines w:val="0"/>
        <w:pageBreakBefore w:val="0"/>
        <w:kinsoku/>
        <w:wordWrap/>
        <w:topLinePunct w:val="0"/>
        <w:bidi w:val="0"/>
        <w:snapToGrid/>
        <w:spacing w:line="400" w:lineRule="exact"/>
        <w:ind w:left="0" w:leftChars="0" w:right="0" w:rightChars="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六、合同授予：</w:t>
      </w:r>
    </w:p>
    <w:p>
      <w:pPr>
        <w:keepNext w:val="0"/>
        <w:keepLines w:val="0"/>
        <w:pageBreakBefore w:val="0"/>
        <w:kinsoku/>
        <w:wordWrap/>
        <w:topLinePunct w:val="0"/>
        <w:bidi w:val="0"/>
        <w:snapToGrid/>
        <w:spacing w:line="400" w:lineRule="exact"/>
        <w:ind w:left="0" w:leftChars="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应自接到中标通知书后按中标通知书规定的时间内与</w:t>
      </w:r>
      <w:r>
        <w:rPr>
          <w:rFonts w:hint="eastAsia" w:ascii="宋体" w:hAnsi="宋体" w:cs="宋体"/>
          <w:color w:val="auto"/>
          <w:sz w:val="24"/>
          <w:szCs w:val="24"/>
          <w:highlight w:val="none"/>
          <w:lang w:eastAsia="zh-CN"/>
        </w:rPr>
        <w:t>采购单位签订合同</w:t>
      </w:r>
      <w:r>
        <w:rPr>
          <w:rFonts w:hint="eastAsia" w:ascii="宋体" w:hAnsi="宋体" w:cs="宋体"/>
          <w:color w:val="auto"/>
          <w:sz w:val="24"/>
          <w:szCs w:val="24"/>
          <w:highlight w:val="none"/>
        </w:rPr>
        <w:t>。同时，招标代理机构对合同内容进行审查，如发现与采购结果和投标承诺内容不一致的，应予以纠正。</w:t>
      </w:r>
    </w:p>
    <w:p>
      <w:pPr>
        <w:keepNext w:val="0"/>
        <w:keepLines w:val="0"/>
        <w:pageBreakBefore w:val="0"/>
        <w:kinsoku/>
        <w:wordWrap/>
        <w:topLinePunct w:val="0"/>
        <w:bidi w:val="0"/>
        <w:snapToGrid/>
        <w:spacing w:line="400" w:lineRule="exact"/>
        <w:ind w:left="0" w:leftChars="0" w:right="0" w:rightChars="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拖延、拒签合同的,将被取消中标资格。</w:t>
      </w:r>
    </w:p>
    <w:p>
      <w:pPr>
        <w:jc w:val="center"/>
        <w:rPr>
          <w:rStyle w:val="97"/>
          <w:rFonts w:hint="eastAsia" w:ascii="宋体" w:hAnsi="宋体" w:cs="宋体"/>
          <w:b/>
          <w:bCs/>
          <w:color w:val="auto"/>
          <w:sz w:val="36"/>
          <w:szCs w:val="36"/>
          <w:highlight w:val="none"/>
        </w:rPr>
      </w:pPr>
    </w:p>
    <w:p>
      <w:pPr>
        <w:jc w:val="center"/>
        <w:rPr>
          <w:rStyle w:val="97"/>
          <w:rFonts w:hint="eastAsia" w:ascii="宋体" w:hAnsi="宋体" w:cs="宋体"/>
          <w:b/>
          <w:bCs/>
          <w:color w:val="auto"/>
          <w:sz w:val="36"/>
          <w:szCs w:val="36"/>
          <w:highlight w:val="none"/>
        </w:rPr>
      </w:pPr>
    </w:p>
    <w:p>
      <w:pPr>
        <w:jc w:val="center"/>
        <w:rPr>
          <w:rStyle w:val="97"/>
          <w:rFonts w:hint="eastAsia" w:ascii="宋体" w:hAnsi="宋体" w:cs="宋体"/>
          <w:b/>
          <w:bCs/>
          <w:color w:val="auto"/>
          <w:sz w:val="36"/>
          <w:szCs w:val="36"/>
          <w:highlight w:val="none"/>
        </w:rPr>
      </w:pPr>
    </w:p>
    <w:p>
      <w:pPr>
        <w:jc w:val="both"/>
        <w:rPr>
          <w:rStyle w:val="97"/>
          <w:rFonts w:hint="eastAsia" w:ascii="宋体" w:hAnsi="宋体" w:cs="宋体"/>
          <w:b/>
          <w:bCs/>
          <w:color w:val="auto"/>
          <w:sz w:val="36"/>
          <w:szCs w:val="36"/>
          <w:highlight w:val="none"/>
        </w:rPr>
      </w:pPr>
    </w:p>
    <w:p>
      <w:pPr>
        <w:jc w:val="center"/>
        <w:rPr>
          <w:rFonts w:ascii="宋体" w:hAnsi="宋体" w:cs="宋体"/>
          <w:color w:val="auto"/>
          <w:highlight w:val="none"/>
        </w:rPr>
      </w:pPr>
      <w:r>
        <w:rPr>
          <w:rStyle w:val="97"/>
          <w:rFonts w:hint="eastAsia" w:ascii="宋体" w:hAnsi="宋体" w:cs="宋体"/>
          <w:b/>
          <w:bCs/>
          <w:color w:val="auto"/>
          <w:sz w:val="36"/>
          <w:szCs w:val="36"/>
          <w:highlight w:val="none"/>
        </w:rPr>
        <w:t>第四章  评分标准</w:t>
      </w:r>
    </w:p>
    <w:tbl>
      <w:tblPr>
        <w:tblStyle w:val="46"/>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939"/>
        <w:gridCol w:w="956"/>
        <w:gridCol w:w="563"/>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评分项目</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824"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价格分（30）</w:t>
            </w:r>
          </w:p>
        </w:tc>
        <w:tc>
          <w:tcPr>
            <w:tcW w:w="1895" w:type="dxa"/>
            <w:gridSpan w:val="2"/>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投标报价（30）</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6824" w:type="dxa"/>
            <w:vAlign w:val="center"/>
          </w:tcPr>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满足招标文件要求且投标报价最低的投标报价为评标基准价，其价格分为满分。其他投标人的价格分统一按照下列公式计算：投标报价得分=（评标基准价/投标报价）*30</w:t>
            </w:r>
          </w:p>
          <w:p>
            <w:pPr>
              <w:pStyle w:val="2"/>
              <w:pageBreakBefore w:val="0"/>
              <w:widowControl w:val="0"/>
              <w:numPr>
                <w:ilvl w:val="1"/>
                <w:numId w:val="0"/>
              </w:numPr>
              <w:tabs>
                <w:tab w:val="clear" w:pos="720"/>
              </w:tabs>
              <w:kinsoku/>
              <w:wordWrap/>
              <w:overflowPunct/>
              <w:topLinePunct w:val="0"/>
              <w:autoSpaceDE/>
              <w:autoSpaceDN/>
              <w:bidi w:val="0"/>
              <w:adjustRightInd/>
              <w:snapToGrid/>
              <w:spacing w:before="0" w:after="0" w:line="240"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b/>
                <w:bCs w:val="0"/>
                <w:color w:val="auto"/>
                <w:sz w:val="21"/>
                <w:szCs w:val="21"/>
                <w:highlight w:val="none"/>
              </w:rPr>
              <w:t>特别说明：为避免出现恶意低价竞争的情况，导致项目无法保质保量完成，故本项目设定投标供应商的投标报价低于满足招标文件全部实质性要求的所有投标供应商平均报价的9</w:t>
            </w:r>
            <w:r>
              <w:rPr>
                <w:rFonts w:hint="eastAsia" w:ascii="宋体" w:hAnsi="宋体" w:eastAsia="宋体" w:cs="宋体"/>
                <w:b/>
                <w:bCs w:val="0"/>
                <w:color w:val="auto"/>
                <w:sz w:val="21"/>
                <w:szCs w:val="21"/>
                <w:highlight w:val="none"/>
                <w:lang w:val="en-US"/>
              </w:rPr>
              <w:t>4</w:t>
            </w:r>
            <w:r>
              <w:rPr>
                <w:rFonts w:hint="eastAsia" w:ascii="宋体" w:hAnsi="宋体" w:eastAsia="宋体" w:cs="宋体"/>
                <w:b/>
                <w:bCs w:val="0"/>
                <w:color w:val="auto"/>
                <w:sz w:val="21"/>
                <w:szCs w:val="21"/>
                <w:highlight w:val="none"/>
              </w:rPr>
              <w:t>%，作无效标处理。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restart"/>
            <w:vAlign w:val="center"/>
          </w:tcPr>
          <w:p>
            <w:pPr>
              <w:spacing w:line="280" w:lineRule="exact"/>
              <w:jc w:val="center"/>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技术部分</w:t>
            </w:r>
            <w:r>
              <w:rPr>
                <w:rFonts w:hint="eastAsia" w:ascii="宋体" w:hAnsi="宋体" w:eastAsia="宋体" w:cs="宋体"/>
                <w:color w:val="auto"/>
                <w:sz w:val="21"/>
                <w:szCs w:val="21"/>
                <w:highlight w:val="none"/>
              </w:rPr>
              <w:t>（52）</w:t>
            </w: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符合明确指标参数得1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分。投标产品关键技术指标（标有“▲”的指标）必须满足，负偏离废标；对非关键的性能指标及技术参数属负偏离或缺漏项的每项扣2分，扣完为止。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对性能指标、技术参数属正偏或高配的、有先进程度的正偏离每项加1分，无实质性意义的正偏离不加分，最高分为</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根据投标人提供的投标车辆按工信部公告显示续航里程数进行打分，以公告显示从高到低，</w:t>
            </w:r>
            <w:r>
              <w:rPr>
                <w:rFonts w:hint="eastAsia" w:ascii="宋体" w:hAnsi="宋体" w:eastAsia="宋体" w:cs="宋体"/>
                <w:color w:val="auto"/>
                <w:kern w:val="0"/>
                <w:sz w:val="21"/>
                <w:szCs w:val="21"/>
                <w:highlight w:val="none"/>
              </w:rPr>
              <w:t>有效投标人中排名</w:t>
            </w:r>
            <w:r>
              <w:rPr>
                <w:rFonts w:hint="eastAsia" w:ascii="宋体" w:hAnsi="宋体" w:eastAsia="宋体" w:cs="宋体"/>
                <w:color w:val="auto"/>
                <w:sz w:val="21"/>
                <w:szCs w:val="21"/>
                <w:highlight w:val="none"/>
              </w:rPr>
              <w:t>前三名分别给予1分、</w:t>
            </w:r>
            <w:r>
              <w:rPr>
                <w:rFonts w:hint="eastAsia" w:ascii="宋体" w:hAnsi="宋体" w:eastAsia="宋体" w:cs="宋体"/>
                <w:color w:val="auto"/>
                <w:sz w:val="21"/>
                <w:szCs w:val="21"/>
                <w:highlight w:val="none"/>
                <w:lang w:val="en-US" w:eastAsia="zh-CN"/>
              </w:rPr>
              <w:t>0.75</w:t>
            </w:r>
            <w:r>
              <w:rPr>
                <w:rFonts w:hint="eastAsia" w:ascii="宋体" w:hAnsi="宋体" w:eastAsia="宋体" w:cs="宋体"/>
                <w:color w:val="auto"/>
                <w:sz w:val="21"/>
                <w:szCs w:val="21"/>
                <w:highlight w:val="none"/>
              </w:rPr>
              <w:t>分、0.5分，其他的不得分。</w:t>
            </w:r>
          </w:p>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注：投标文件中提供产品以《新能源汽车推广应用推荐车型目录》或《免征车辆购置税的新能源汽车车型目录》等相关证明材料为依据。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根据投标人提供的投标车辆按工信部公告显示最大允许装载质量（最大允许装载质量=最大允许总质量-整车最大整备质量）进行打分，最高得1分。</w:t>
            </w:r>
          </w:p>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注：投标文件中提供产品以《新能源汽车推广应用推荐车型目录》或《免征车辆购置税的新能源汽车车型目录》等相关证明材料为依据。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整车制造商已投入整车阴极电泳设备和技术，承诺全金属车身并采用整车阴极电泳技术，终身免费维护的，得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分。投标文件中需提供电泳设备采购合同的复印件并加盖整车制造商公章及承诺书，未提供或提供不全的得分不予计取。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82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动力</w:t>
            </w:r>
            <w:r>
              <w:rPr>
                <w:rFonts w:hint="eastAsia" w:ascii="宋体" w:hAnsi="宋体" w:eastAsia="宋体" w:cs="宋体"/>
                <w:color w:val="auto"/>
                <w:sz w:val="21"/>
                <w:szCs w:val="21"/>
                <w:highlight w:val="none"/>
              </w:rPr>
              <w:t>电池：</w:t>
            </w:r>
          </w:p>
          <w:p>
            <w:pPr>
              <w:pStyle w:val="327"/>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整车</w:t>
            </w:r>
            <w:r>
              <w:rPr>
                <w:rFonts w:hint="eastAsia" w:ascii="宋体" w:hAnsi="宋体" w:eastAsia="宋体" w:cs="宋体"/>
                <w:color w:val="auto"/>
                <w:sz w:val="21"/>
                <w:szCs w:val="21"/>
                <w:highlight w:val="none"/>
                <w:lang w:eastAsia="zh-CN"/>
              </w:rPr>
              <w:t>动力</w:t>
            </w:r>
            <w:r>
              <w:rPr>
                <w:rFonts w:hint="eastAsia" w:ascii="宋体" w:hAnsi="宋体" w:eastAsia="宋体" w:cs="宋体"/>
                <w:color w:val="auto"/>
                <w:sz w:val="21"/>
                <w:szCs w:val="21"/>
                <w:highlight w:val="none"/>
              </w:rPr>
              <w:t>电池容量等于125kwh的不得分，动力电池容量每超1kwh的得0.12分，最高的得2分。</w:t>
            </w:r>
          </w:p>
          <w:p>
            <w:pPr>
              <w:pStyle w:val="327"/>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根据中汽协开具的2023年度储能电池装机</w:t>
            </w:r>
            <w:r>
              <w:rPr>
                <w:rFonts w:hint="eastAsia" w:ascii="宋体" w:hAnsi="宋体" w:eastAsia="宋体" w:cs="宋体"/>
                <w:color w:val="auto"/>
                <w:sz w:val="21"/>
                <w:szCs w:val="21"/>
                <w:highlight w:val="none"/>
                <w:lang w:eastAsia="zh-CN"/>
              </w:rPr>
              <w:t>量</w:t>
            </w:r>
            <w:r>
              <w:rPr>
                <w:rFonts w:hint="eastAsia" w:ascii="宋体" w:hAnsi="宋体" w:eastAsia="宋体" w:cs="宋体"/>
                <w:color w:val="auto"/>
                <w:sz w:val="21"/>
                <w:szCs w:val="21"/>
                <w:highlight w:val="none"/>
              </w:rPr>
              <w:t>排名，投标车型采用的储能电池品牌，装机量为第一名的得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分，第二名的得2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分，第三名的得1分，其他不得分。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注：投标文件中提供产品以《新能源汽车推广应用推荐车型目录》或《免征车辆购置税的新能源汽车车型目录》等相关证明材料为依据。</w:t>
            </w:r>
            <w:r>
              <w:rPr>
                <w:rFonts w:hint="eastAsia" w:ascii="宋体" w:hAnsi="宋体" w:eastAsia="宋体" w:cs="宋体"/>
                <w:color w:val="auto"/>
                <w:sz w:val="21"/>
                <w:szCs w:val="21"/>
                <w:highlight w:val="none"/>
                <w:lang w:eastAsia="zh-CN"/>
              </w:rPr>
              <w:t>储能电池即为动力电池。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防护等级：整车控制器和电机防护等级，防护等级IP68的不得分，防护等级IP69（IP6K9K）的得2分，其余不得分。投标文件中需提供第三方检测报告加盖投标人公章，未提供不得分。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根据所投产品电机的峰值功率进行打分，大于</w:t>
            </w:r>
            <w:r>
              <w:rPr>
                <w:rFonts w:hint="eastAsia" w:ascii="宋体" w:hAnsi="宋体" w:eastAsia="宋体" w:cs="宋体"/>
                <w:color w:val="auto"/>
                <w:sz w:val="21"/>
                <w:szCs w:val="21"/>
                <w:highlight w:val="none"/>
                <w:lang w:eastAsia="zh-CN"/>
              </w:rPr>
              <w:t>等于</w:t>
            </w:r>
            <w:r>
              <w:rPr>
                <w:rFonts w:hint="eastAsia" w:ascii="宋体" w:hAnsi="宋体" w:eastAsia="宋体" w:cs="宋体"/>
                <w:color w:val="auto"/>
                <w:sz w:val="21"/>
                <w:szCs w:val="21"/>
                <w:highlight w:val="none"/>
              </w:rPr>
              <w:t>150Kw的得1分，其他的不得分。</w:t>
            </w:r>
          </w:p>
          <w:p>
            <w:pPr>
              <w:spacing w:line="28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注：投标文件中提供产品以《新能源汽车推广应用推荐车型目录》或《免征车辆购置税的新能源汽车车型目录》等相关证明材料为依据。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电池系统能量密度：根据投标车型的新能源汽车推广应用推荐车型目录技术参数或车载能源能量密度检验报告数据，电池系统能量密度（wh/kg）值等于160wh/kg的不得分，大于160wh/kg的得1分，最高得1分。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824"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悬架系统：采用空气悬架+前后进口气囊（总成质保8年，含易损易耗件，出具承诺函）的得1分，采用空气悬架+前后国产气囊（总成质保8年，含易损易耗件，出具承诺函）的得0.5分，其他不得分。</w:t>
            </w:r>
          </w:p>
          <w:p>
            <w:pPr>
              <w:pStyle w:val="2"/>
              <w:numPr>
                <w:ilvl w:val="1"/>
                <w:numId w:val="0"/>
              </w:numPr>
              <w:spacing w:before="0" w:after="0" w:line="240" w:lineRule="auto"/>
              <w:rPr>
                <w:rFonts w:hint="eastAsia" w:ascii="宋体" w:hAnsi="宋体" w:eastAsia="宋体" w:cs="宋体"/>
                <w:color w:val="auto"/>
                <w:sz w:val="21"/>
                <w:szCs w:val="21"/>
                <w:highlight w:val="none"/>
              </w:rPr>
            </w:pPr>
            <w:r>
              <w:rPr>
                <w:rFonts w:hint="eastAsia" w:ascii="宋体" w:hAnsi="宋体" w:eastAsia="宋体" w:cs="宋体"/>
                <w:bCs w:val="0"/>
                <w:color w:val="auto"/>
                <w:sz w:val="21"/>
                <w:szCs w:val="21"/>
                <w:highlight w:val="none"/>
              </w:rPr>
              <w:t>注：投标文件中提供产品</w:t>
            </w:r>
            <w:r>
              <w:rPr>
                <w:rFonts w:hint="eastAsia" w:ascii="宋体" w:hAnsi="宋体" w:eastAsia="宋体" w:cs="宋体"/>
                <w:bCs w:val="0"/>
                <w:color w:val="auto"/>
                <w:sz w:val="21"/>
                <w:szCs w:val="21"/>
                <w:highlight w:val="none"/>
                <w:lang w:eastAsia="zh-CN"/>
              </w:rPr>
              <w:t>以</w:t>
            </w:r>
            <w:r>
              <w:rPr>
                <w:rFonts w:hint="eastAsia" w:ascii="宋体" w:hAnsi="宋体" w:eastAsia="宋体" w:cs="宋体"/>
                <w:color w:val="auto"/>
                <w:sz w:val="21"/>
                <w:szCs w:val="21"/>
                <w:highlight w:val="none"/>
              </w:rPr>
              <w:t>《新能源汽车推广应用推荐车型目录》或《免征车辆购置税的新能源汽车车型目录》等相关证明材料为依据。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6824" w:type="dxa"/>
            <w:vAlign w:val="center"/>
          </w:tcPr>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外观与内饰：外观要美观大方，经典耐看，维修简便、材料轻量化、操作简便、内饰材料耐脏易清洗布置合理、色彩搭配柔和、人性化设计等（提供车辆外型图片（左前、右前、正前、正后、左侧、右侧）、内部图片（驾驶区、仪表台、上客区、下客区、台阶区）、电机仓、各电气设备箱、检修工艺门彩色图片各一张）由评委进行打分，最高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pStyle w:val="2"/>
              <w:pageBreakBefore w:val="0"/>
              <w:widowControl w:val="0"/>
              <w:numPr>
                <w:ilvl w:val="1"/>
                <w:numId w:val="0"/>
              </w:numPr>
              <w:tabs>
                <w:tab w:val="clear" w:pos="720"/>
              </w:tabs>
              <w:kinsoku/>
              <w:wordWrap/>
              <w:overflowPunct/>
              <w:topLinePunct w:val="0"/>
              <w:autoSpaceDE/>
              <w:autoSpaceDN/>
              <w:bidi w:val="0"/>
              <w:adjustRightInd/>
              <w:snapToGrid/>
              <w:spacing w:before="0" w:after="0" w:line="240"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注：投标人需同时提供投标</w:t>
            </w:r>
            <w:r>
              <w:rPr>
                <w:rFonts w:hint="eastAsia" w:ascii="宋体" w:hAnsi="宋体" w:eastAsia="宋体" w:cs="宋体"/>
                <w:color w:val="auto"/>
                <w:sz w:val="21"/>
                <w:szCs w:val="21"/>
                <w:highlight w:val="none"/>
              </w:rPr>
              <w:t>车辆外观与内饰</w:t>
            </w:r>
            <w:r>
              <w:rPr>
                <w:rFonts w:hint="eastAsia" w:ascii="宋体" w:hAnsi="宋体" w:eastAsia="宋体" w:cs="宋体"/>
                <w:color w:val="auto"/>
                <w:sz w:val="21"/>
                <w:szCs w:val="21"/>
                <w:highlight w:val="none"/>
                <w:lang w:val="en-US" w:eastAsia="zh-CN"/>
              </w:rPr>
              <w:t>的解说演示视频，图片与视频缺一不可，否则不得分。视频制作成U盘（U盘包封在技术文件中，概不退回），录制的视频必须为MP4格式（若提供的视频为其他格式导致评审中不能正常播放的本项不得分）。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根据投标人提供的实施方案（包含实施计划、供货方案、人员安排、质量管理等）的完整性、合理性和科学性等进行打分，最高得5分。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所投同类型车辆用户反馈情况打分，一个案例得1分，最高得4分。投标文件中提供用户反馈相关证明材料复印件并加盖公章。相同单位出具的用户反馈材料按1个案例计取。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2" w:type="dxa"/>
            <w:gridSpan w:val="3"/>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投标人针对项目提出合理化建议与增值服务进行综合评分，最高得2分。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restart"/>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资信</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及商</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务</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939" w:type="dxa"/>
            <w:vMerge w:val="restart"/>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售后服务、培训及供货时间（1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服务网点</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或整车制造商承诺在中标后合同签订前在建德市范围内（或已有）设立售后服务网点的得2分；在杭州市范围内设立售后服务网点的得1分；售后服务点设在杭州市范围以外的不得分。投标文件中须提供相关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w:t>
            </w:r>
          </w:p>
        </w:tc>
        <w:tc>
          <w:tcPr>
            <w:tcW w:w="563" w:type="dxa"/>
            <w:vAlign w:val="center"/>
          </w:tcPr>
          <w:p>
            <w:pPr>
              <w:spacing w:line="2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售后服务方案、项目维护计划（对用户故障的响应、处理、定期巡检等情况）的有效性等情况，最高得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配件</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优惠</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提供的</w:t>
            </w:r>
            <w:r>
              <w:rPr>
                <w:rFonts w:hint="eastAsia" w:ascii="宋体" w:hAnsi="宋体" w:eastAsia="宋体" w:cs="宋体"/>
                <w:color w:val="auto"/>
                <w:sz w:val="21"/>
                <w:szCs w:val="21"/>
                <w:highlight w:val="none"/>
              </w:rPr>
              <w:t>投标车型配件</w:t>
            </w:r>
            <w:r>
              <w:rPr>
                <w:rFonts w:hint="eastAsia" w:ascii="宋体" w:hAnsi="宋体" w:eastAsia="宋体" w:cs="宋体"/>
                <w:color w:val="auto"/>
                <w:sz w:val="21"/>
                <w:szCs w:val="21"/>
                <w:highlight w:val="none"/>
                <w:lang w:val="en-US" w:eastAsia="zh-CN"/>
              </w:rPr>
              <w:t>折扣率由高到低进行排名，排名第一的得2分，排名第二的得1.5分，排名第三的得1分，其余不得分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例如：投标人1</w:t>
            </w:r>
            <w:r>
              <w:rPr>
                <w:rFonts w:hint="eastAsia" w:ascii="宋体" w:hAnsi="宋体" w:eastAsia="宋体" w:cs="宋体"/>
                <w:color w:val="auto"/>
                <w:sz w:val="21"/>
                <w:szCs w:val="21"/>
                <w:highlight w:val="none"/>
              </w:rPr>
              <w:t>配件</w:t>
            </w:r>
            <w:r>
              <w:rPr>
                <w:rFonts w:hint="eastAsia" w:ascii="宋体" w:hAnsi="宋体" w:eastAsia="宋体" w:cs="宋体"/>
                <w:color w:val="auto"/>
                <w:sz w:val="21"/>
                <w:szCs w:val="21"/>
                <w:highlight w:val="none"/>
                <w:lang w:val="en-US" w:eastAsia="zh-CN"/>
              </w:rPr>
              <w:t>折扣率为80%、投标人2</w:t>
            </w:r>
            <w:r>
              <w:rPr>
                <w:rFonts w:hint="eastAsia" w:ascii="宋体" w:hAnsi="宋体" w:eastAsia="宋体" w:cs="宋体"/>
                <w:color w:val="auto"/>
                <w:sz w:val="21"/>
                <w:szCs w:val="21"/>
                <w:highlight w:val="none"/>
              </w:rPr>
              <w:t>配件</w:t>
            </w:r>
            <w:r>
              <w:rPr>
                <w:rFonts w:hint="eastAsia" w:ascii="宋体" w:hAnsi="宋体" w:eastAsia="宋体" w:cs="宋体"/>
                <w:color w:val="auto"/>
                <w:sz w:val="21"/>
                <w:szCs w:val="21"/>
                <w:highlight w:val="none"/>
                <w:lang w:val="en-US" w:eastAsia="zh-CN"/>
              </w:rPr>
              <w:t>折扣率为70%、投标人3</w:t>
            </w:r>
            <w:r>
              <w:rPr>
                <w:rFonts w:hint="eastAsia" w:ascii="宋体" w:hAnsi="宋体" w:eastAsia="宋体" w:cs="宋体"/>
                <w:color w:val="auto"/>
                <w:sz w:val="21"/>
                <w:szCs w:val="21"/>
                <w:highlight w:val="none"/>
              </w:rPr>
              <w:t>配件</w:t>
            </w:r>
            <w:r>
              <w:rPr>
                <w:rFonts w:hint="eastAsia" w:ascii="宋体" w:hAnsi="宋体" w:eastAsia="宋体" w:cs="宋体"/>
                <w:color w:val="auto"/>
                <w:sz w:val="21"/>
                <w:szCs w:val="21"/>
                <w:highlight w:val="none"/>
                <w:lang w:val="en-US" w:eastAsia="zh-CN"/>
              </w:rPr>
              <w:t>折扣率为60%，则由高到低排序第一名为60%、第二名为70%、第三名为80%</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整车质保5年、润滑装置质保8年、冷空调质保8年的不得分，整车、润滑装置、冷空调全部增加1年得1分，最高得3分。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restart"/>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投标企业情况</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情况</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投标人或整车制造商</w:t>
            </w:r>
            <w:r>
              <w:rPr>
                <w:rFonts w:hint="eastAsia" w:ascii="宋体" w:hAnsi="宋体" w:eastAsia="宋体" w:cs="宋体"/>
                <w:color w:val="auto"/>
                <w:sz w:val="21"/>
                <w:szCs w:val="21"/>
                <w:highlight w:val="none"/>
              </w:rPr>
              <w:t>具有质量管理体系认证证书、环境管理体系认证证书、职业健康管理体系认证证书、能源管理体系认证证书且证书有效期内的，每提供一个得1分，最高得4分。</w:t>
            </w:r>
            <w:r>
              <w:rPr>
                <w:rFonts w:hint="eastAsia" w:ascii="宋体" w:hAnsi="宋体" w:eastAsia="宋体" w:cs="宋体"/>
                <w:color w:val="auto"/>
                <w:sz w:val="21"/>
                <w:szCs w:val="21"/>
                <w:highlight w:val="none"/>
                <w:lang w:eastAsia="zh-CN"/>
              </w:rPr>
              <w:t>投标文件中</w:t>
            </w:r>
            <w:r>
              <w:rPr>
                <w:rFonts w:hint="eastAsia" w:ascii="宋体" w:hAnsi="宋体" w:eastAsia="宋体" w:cs="宋体"/>
                <w:color w:val="auto"/>
                <w:sz w:val="21"/>
                <w:szCs w:val="21"/>
                <w:highlight w:val="none"/>
              </w:rPr>
              <w:t>须提供相关</w:t>
            </w:r>
            <w:r>
              <w:rPr>
                <w:rFonts w:hint="eastAsia" w:ascii="宋体" w:hAnsi="宋体" w:eastAsia="宋体" w:cs="宋体"/>
                <w:color w:val="auto"/>
                <w:sz w:val="21"/>
                <w:szCs w:val="21"/>
                <w:highlight w:val="none"/>
                <w:lang w:eastAsia="zh-CN"/>
              </w:rPr>
              <w:t>证书复印件</w:t>
            </w:r>
            <w:r>
              <w:rPr>
                <w:rFonts w:hint="eastAsia" w:ascii="宋体" w:hAnsi="宋体" w:eastAsia="宋体" w:cs="宋体"/>
                <w:color w:val="auto"/>
                <w:sz w:val="21"/>
                <w:szCs w:val="21"/>
                <w:highlight w:val="none"/>
              </w:rPr>
              <w:t>并加盖公章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continue"/>
            <w:vAlign w:val="center"/>
          </w:tcPr>
          <w:p>
            <w:pPr>
              <w:spacing w:line="280" w:lineRule="exact"/>
              <w:jc w:val="center"/>
              <w:rPr>
                <w:rFonts w:hint="eastAsia" w:ascii="宋体" w:hAnsi="宋体" w:eastAsia="宋体" w:cs="宋体"/>
                <w:color w:val="auto"/>
                <w:sz w:val="21"/>
                <w:szCs w:val="21"/>
                <w:highlight w:val="none"/>
              </w:rPr>
            </w:pP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经验及</w:t>
            </w:r>
          </w:p>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824" w:type="dxa"/>
            <w:vAlign w:val="center"/>
          </w:tcPr>
          <w:p>
            <w:pPr>
              <w:pStyle w:val="45"/>
              <w:spacing w:after="0"/>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投标人或整车制造商提供202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年1月1日（以合同签订日期为准）以来的同类项目成功案例，每提供一个案例得0.2分，最高得1分。投标文件中须提供合同复印件等证明材料并加盖公章。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continue"/>
            <w:vAlign w:val="center"/>
          </w:tcPr>
          <w:p>
            <w:pPr>
              <w:widowControl/>
              <w:spacing w:line="280" w:lineRule="exact"/>
              <w:jc w:val="center"/>
              <w:rPr>
                <w:rFonts w:hint="eastAsia" w:ascii="宋体" w:hAnsi="宋体" w:eastAsia="宋体" w:cs="宋体"/>
                <w:color w:val="auto"/>
                <w:sz w:val="21"/>
                <w:szCs w:val="21"/>
                <w:highlight w:val="none"/>
              </w:rPr>
            </w:pPr>
          </w:p>
        </w:tc>
        <w:tc>
          <w:tcPr>
            <w:tcW w:w="939" w:type="dxa"/>
            <w:vMerge w:val="continue"/>
            <w:vAlign w:val="center"/>
          </w:tcPr>
          <w:p>
            <w:pPr>
              <w:spacing w:line="280" w:lineRule="exact"/>
              <w:jc w:val="center"/>
              <w:rPr>
                <w:rFonts w:hint="eastAsia" w:ascii="宋体" w:hAnsi="宋体" w:eastAsia="宋体" w:cs="宋体"/>
                <w:color w:val="auto"/>
                <w:sz w:val="21"/>
                <w:szCs w:val="21"/>
                <w:highlight w:val="none"/>
              </w:rPr>
            </w:pPr>
          </w:p>
        </w:tc>
        <w:tc>
          <w:tcPr>
            <w:tcW w:w="956"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投标文件制作</w:t>
            </w:r>
          </w:p>
        </w:tc>
        <w:tc>
          <w:tcPr>
            <w:tcW w:w="563" w:type="dxa"/>
            <w:vAlign w:val="center"/>
          </w:tcPr>
          <w:p>
            <w:pPr>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824" w:type="dxa"/>
            <w:vAlign w:val="center"/>
          </w:tcPr>
          <w:p>
            <w:pPr>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投标文件编制完整，格式规范、符合招标文件要求的，得2分；投标文件有关内容前后矛盾、与招标文件要求不一致等存在其他错漏的，酌情扣分。</w:t>
            </w:r>
          </w:p>
        </w:tc>
      </w:tr>
    </w:tbl>
    <w:p>
      <w:pPr>
        <w:rPr>
          <w:color w:val="auto"/>
          <w:highlight w:val="none"/>
        </w:rPr>
      </w:pPr>
    </w:p>
    <w:p>
      <w:pPr>
        <w:spacing w:line="360" w:lineRule="auto"/>
        <w:jc w:val="center"/>
        <w:rPr>
          <w:rStyle w:val="97"/>
          <w:rFonts w:hint="eastAsia" w:ascii="宋体" w:hAnsi="宋体" w:cs="宋体"/>
          <w:b/>
          <w:bCs/>
          <w:color w:val="auto"/>
          <w:sz w:val="36"/>
          <w:szCs w:val="36"/>
          <w:highlight w:val="none"/>
        </w:rPr>
      </w:pPr>
    </w:p>
    <w:p>
      <w:pPr>
        <w:spacing w:line="360" w:lineRule="auto"/>
        <w:jc w:val="center"/>
        <w:rPr>
          <w:color w:val="auto"/>
          <w:highlight w:val="none"/>
        </w:rPr>
      </w:pPr>
      <w:r>
        <w:rPr>
          <w:rStyle w:val="97"/>
          <w:rFonts w:hint="eastAsia" w:ascii="宋体" w:hAnsi="宋体" w:cs="宋体"/>
          <w:b/>
          <w:bCs/>
          <w:color w:val="auto"/>
          <w:sz w:val="36"/>
          <w:szCs w:val="36"/>
          <w:highlight w:val="none"/>
        </w:rPr>
        <w:t>第五章 招标内容与技术要求</w:t>
      </w:r>
    </w:p>
    <w:p>
      <w:pPr>
        <w:numPr>
          <w:ilvl w:val="0"/>
          <w:numId w:val="13"/>
        </w:numPr>
        <w:spacing w:before="120" w:beforeLines="50" w:after="120" w:afterLines="50" w:line="500" w:lineRule="exact"/>
        <w:rPr>
          <w:rFonts w:ascii="宋体" w:hAnsi="宋体" w:cs="宋体"/>
          <w:b/>
          <w:color w:val="auto"/>
          <w:sz w:val="24"/>
          <w:szCs w:val="24"/>
          <w:highlight w:val="none"/>
        </w:rPr>
      </w:pPr>
      <w:r>
        <w:rPr>
          <w:rFonts w:hint="eastAsia" w:ascii="宋体" w:hAnsi="宋体" w:cs="宋体"/>
          <w:b/>
          <w:color w:val="auto"/>
          <w:sz w:val="24"/>
          <w:szCs w:val="24"/>
          <w:highlight w:val="none"/>
        </w:rPr>
        <w:t>采购预算</w:t>
      </w:r>
    </w:p>
    <w:tbl>
      <w:tblPr>
        <w:tblStyle w:val="46"/>
        <w:tblpPr w:leftFromText="180" w:rightFromText="180" w:vertAnchor="text" w:horzAnchor="page" w:tblpXSpec="center" w:tblpY="100"/>
        <w:tblOverlap w:val="never"/>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858"/>
        <w:gridCol w:w="2412"/>
        <w:gridCol w:w="766"/>
        <w:gridCol w:w="767"/>
        <w:gridCol w:w="1480"/>
        <w:gridCol w:w="1480"/>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0"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1858"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品名</w:t>
            </w:r>
          </w:p>
        </w:tc>
        <w:tc>
          <w:tcPr>
            <w:tcW w:w="2412"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技术规格和配置要求</w:t>
            </w:r>
          </w:p>
        </w:tc>
        <w:tc>
          <w:tcPr>
            <w:tcW w:w="766"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单位</w:t>
            </w:r>
          </w:p>
        </w:tc>
        <w:tc>
          <w:tcPr>
            <w:tcW w:w="767"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数量</w:t>
            </w:r>
          </w:p>
        </w:tc>
        <w:tc>
          <w:tcPr>
            <w:tcW w:w="1480"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预算单价（</w:t>
            </w:r>
            <w:r>
              <w:rPr>
                <w:rFonts w:hint="eastAsia" w:ascii="宋体" w:hAnsi="宋体" w:cs="宋体"/>
                <w:b/>
                <w:color w:val="auto"/>
                <w:sz w:val="24"/>
                <w:szCs w:val="24"/>
                <w:highlight w:val="none"/>
                <w:lang w:eastAsia="zh-CN"/>
              </w:rPr>
              <w:t>万元</w:t>
            </w:r>
            <w:r>
              <w:rPr>
                <w:rFonts w:hint="eastAsia" w:ascii="宋体" w:hAnsi="宋体" w:cs="宋体"/>
                <w:b/>
                <w:color w:val="auto"/>
                <w:sz w:val="24"/>
                <w:szCs w:val="24"/>
                <w:highlight w:val="none"/>
              </w:rPr>
              <w:t>）</w:t>
            </w:r>
          </w:p>
        </w:tc>
        <w:tc>
          <w:tcPr>
            <w:tcW w:w="1480"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预算总价（</w:t>
            </w:r>
            <w:r>
              <w:rPr>
                <w:rFonts w:hint="eastAsia" w:ascii="宋体" w:hAnsi="宋体" w:cs="宋体"/>
                <w:b/>
                <w:color w:val="auto"/>
                <w:sz w:val="24"/>
                <w:szCs w:val="24"/>
                <w:highlight w:val="none"/>
                <w:lang w:eastAsia="zh-CN"/>
              </w:rPr>
              <w:t>万</w:t>
            </w:r>
            <w:r>
              <w:rPr>
                <w:rFonts w:hint="eastAsia" w:ascii="宋体" w:hAnsi="宋体" w:cs="宋体"/>
                <w:b/>
                <w:color w:val="auto"/>
                <w:sz w:val="24"/>
                <w:szCs w:val="24"/>
                <w:highlight w:val="none"/>
              </w:rPr>
              <w:t>元）</w:t>
            </w:r>
          </w:p>
        </w:tc>
        <w:tc>
          <w:tcPr>
            <w:tcW w:w="773"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40"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kern w:val="0"/>
                <w:sz w:val="24"/>
                <w:szCs w:val="24"/>
                <w:highlight w:val="none"/>
              </w:rPr>
              <w:t>1</w:t>
            </w:r>
          </w:p>
        </w:tc>
        <w:tc>
          <w:tcPr>
            <w:tcW w:w="1858" w:type="dxa"/>
            <w:vAlign w:val="center"/>
          </w:tcPr>
          <w:p>
            <w:pPr>
              <w:jc w:val="center"/>
              <w:rPr>
                <w:rFonts w:ascii="宋体" w:hAnsi="宋体" w:cs="宋体"/>
                <w:b/>
                <w:color w:val="auto"/>
                <w:sz w:val="24"/>
                <w:szCs w:val="24"/>
                <w:highlight w:val="none"/>
              </w:rPr>
            </w:pPr>
            <w:r>
              <w:rPr>
                <w:rFonts w:ascii="宋体" w:hAnsi="宋体" w:cs="宋体"/>
                <w:b/>
                <w:color w:val="auto"/>
                <w:sz w:val="24"/>
                <w:szCs w:val="24"/>
                <w:highlight w:val="none"/>
              </w:rPr>
              <w:t>6</w:t>
            </w: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米级纯电动站立位公交车</w:t>
            </w:r>
          </w:p>
        </w:tc>
        <w:tc>
          <w:tcPr>
            <w:tcW w:w="2412" w:type="dxa"/>
            <w:vAlign w:val="center"/>
          </w:tcPr>
          <w:p>
            <w:pPr>
              <w:widowControl/>
              <w:jc w:val="center"/>
              <w:rPr>
                <w:rFonts w:ascii="宋体" w:hAnsi="宋体" w:cs="宋体"/>
                <w:b/>
                <w:color w:val="auto"/>
                <w:sz w:val="24"/>
                <w:szCs w:val="24"/>
                <w:highlight w:val="none"/>
              </w:rPr>
            </w:pPr>
            <w:r>
              <w:rPr>
                <w:rFonts w:hint="eastAsia" w:ascii="宋体" w:hAnsi="宋体" w:cs="宋体"/>
                <w:b/>
                <w:color w:val="auto"/>
                <w:sz w:val="24"/>
                <w:szCs w:val="24"/>
                <w:highlight w:val="none"/>
              </w:rPr>
              <w:t>详见“二、主要技术指标参数及要求”</w:t>
            </w:r>
          </w:p>
        </w:tc>
        <w:tc>
          <w:tcPr>
            <w:tcW w:w="766"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辆</w:t>
            </w:r>
          </w:p>
        </w:tc>
        <w:tc>
          <w:tcPr>
            <w:tcW w:w="767" w:type="dxa"/>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6</w:t>
            </w:r>
          </w:p>
        </w:tc>
        <w:tc>
          <w:tcPr>
            <w:tcW w:w="1480" w:type="dxa"/>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60</w:t>
            </w:r>
          </w:p>
        </w:tc>
        <w:tc>
          <w:tcPr>
            <w:tcW w:w="1480" w:type="dxa"/>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360.00</w:t>
            </w:r>
          </w:p>
        </w:tc>
        <w:tc>
          <w:tcPr>
            <w:tcW w:w="773" w:type="dxa"/>
            <w:vAlign w:val="center"/>
          </w:tcPr>
          <w:p>
            <w:pPr>
              <w:widowControl/>
              <w:jc w:val="center"/>
              <w:rPr>
                <w:rFonts w:ascii="宋体" w:hAnsi="宋体" w:cs="宋体"/>
                <w:b/>
                <w:color w:val="auto"/>
                <w:sz w:val="24"/>
                <w:szCs w:val="24"/>
                <w:highlight w:val="none"/>
              </w:rPr>
            </w:pPr>
          </w:p>
        </w:tc>
      </w:tr>
    </w:tbl>
    <w:p>
      <w:pPr>
        <w:pStyle w:val="54"/>
        <w:spacing w:beforeLines="0" w:after="0" w:line="240" w:lineRule="auto"/>
        <w:ind w:firstLine="240" w:firstLineChars="100"/>
        <w:rPr>
          <w:b/>
          <w:bCs/>
          <w:color w:val="auto"/>
          <w:sz w:val="28"/>
          <w:szCs w:val="28"/>
          <w:highlight w:val="none"/>
        </w:rPr>
      </w:pPr>
      <w:r>
        <w:rPr>
          <w:rFonts w:hint="eastAsia"/>
          <w:color w:val="auto"/>
          <w:highlight w:val="none"/>
        </w:rPr>
        <w:t>备注：以上金额包括</w:t>
      </w:r>
      <w:r>
        <w:rPr>
          <w:rFonts w:hint="eastAsia" w:ascii="宋体" w:hAnsi="宋体" w:cs="宋体"/>
          <w:color w:val="auto"/>
          <w:kern w:val="0"/>
          <w:szCs w:val="24"/>
          <w:highlight w:val="none"/>
        </w:rPr>
        <w:t>设备的设计、制作、供货、包装、装卸运输、安装调试、</w:t>
      </w:r>
      <w:r>
        <w:rPr>
          <w:rFonts w:hint="eastAsia" w:ascii="宋体" w:hAnsi="宋体" w:cs="宋体"/>
          <w:color w:val="auto"/>
          <w:kern w:val="0"/>
          <w:szCs w:val="24"/>
          <w:highlight w:val="none"/>
          <w:lang w:val="en-US" w:eastAsia="zh-CN"/>
        </w:rPr>
        <w:t>附件、辅材、</w:t>
      </w:r>
      <w:r>
        <w:rPr>
          <w:rFonts w:hint="eastAsia" w:ascii="宋体" w:hAnsi="宋体" w:cs="宋体"/>
          <w:color w:val="auto"/>
          <w:kern w:val="0"/>
          <w:szCs w:val="24"/>
          <w:highlight w:val="none"/>
        </w:rPr>
        <w:t>备品备件、专用工具、保险、培训、税金、验收、辅助工作及售后服务等完成该项目的所有费用。</w:t>
      </w:r>
    </w:p>
    <w:p>
      <w:pPr>
        <w:pStyle w:val="54"/>
        <w:spacing w:before="120"/>
        <w:ind w:firstLine="0"/>
        <w:rPr>
          <w:b/>
          <w:bCs/>
          <w:color w:val="auto"/>
          <w:sz w:val="28"/>
          <w:szCs w:val="28"/>
          <w:highlight w:val="none"/>
        </w:rPr>
      </w:pPr>
      <w:r>
        <w:rPr>
          <w:rFonts w:hint="eastAsia"/>
          <w:b/>
          <w:bCs/>
          <w:color w:val="auto"/>
          <w:sz w:val="28"/>
          <w:szCs w:val="28"/>
          <w:highlight w:val="none"/>
        </w:rPr>
        <w:t>二、</w:t>
      </w:r>
      <w:r>
        <w:rPr>
          <w:rFonts w:hint="eastAsia" w:ascii="宋体" w:hAnsi="宋体" w:cs="宋体"/>
          <w:b/>
          <w:color w:val="auto"/>
          <w:highlight w:val="none"/>
        </w:rPr>
        <w:t>主要技术指标参数及要求</w:t>
      </w:r>
    </w:p>
    <w:p>
      <w:pPr>
        <w:pStyle w:val="302"/>
        <w:spacing w:line="520" w:lineRule="exact"/>
        <w:ind w:firstLine="0" w:firstLineChars="0"/>
        <w:jc w:val="center"/>
        <w:outlineLvl w:val="2"/>
        <w:rPr>
          <w:rFonts w:ascii="宋体" w:hAnsi="宋体" w:cs="宋体"/>
          <w:b/>
          <w:color w:val="auto"/>
          <w:spacing w:val="40"/>
          <w:kern w:val="0"/>
          <w:sz w:val="24"/>
          <w:szCs w:val="24"/>
          <w:highlight w:val="none"/>
        </w:rPr>
      </w:pPr>
      <w:r>
        <w:rPr>
          <w:rFonts w:hint="eastAsia" w:ascii="宋体" w:hAnsi="宋体" w:cs="宋体"/>
          <w:b/>
          <w:color w:val="auto"/>
          <w:spacing w:val="40"/>
          <w:kern w:val="0"/>
          <w:sz w:val="28"/>
          <w:szCs w:val="28"/>
          <w:highlight w:val="none"/>
        </w:rPr>
        <w:t xml:space="preserve"> </w:t>
      </w:r>
      <w:r>
        <w:rPr>
          <w:rFonts w:hint="eastAsia" w:ascii="宋体" w:hAnsi="宋体" w:eastAsia="宋体" w:cs="宋体"/>
          <w:b/>
          <w:color w:val="auto"/>
          <w:spacing w:val="40"/>
          <w:kern w:val="0"/>
          <w:sz w:val="24"/>
          <w:szCs w:val="24"/>
          <w:highlight w:val="none"/>
        </w:rPr>
        <w:t xml:space="preserve"> </w:t>
      </w:r>
      <w:r>
        <w:rPr>
          <w:rFonts w:hint="eastAsia" w:ascii="宋体" w:hAnsi="宋体" w:cs="宋体"/>
          <w:b/>
          <w:color w:val="auto"/>
          <w:spacing w:val="40"/>
          <w:kern w:val="0"/>
          <w:sz w:val="24"/>
          <w:szCs w:val="24"/>
          <w:highlight w:val="none"/>
        </w:rPr>
        <w:t xml:space="preserve"> </w:t>
      </w:r>
      <w:r>
        <w:rPr>
          <w:rFonts w:ascii="宋体" w:hAnsi="宋体" w:cs="宋体"/>
          <w:b/>
          <w:color w:val="auto"/>
          <w:spacing w:val="40"/>
          <w:kern w:val="0"/>
          <w:sz w:val="24"/>
          <w:szCs w:val="24"/>
          <w:highlight w:val="none"/>
        </w:rPr>
        <w:t>6</w:t>
      </w:r>
      <w:r>
        <w:rPr>
          <w:rFonts w:hint="eastAsia" w:ascii="宋体" w:hAnsi="宋体" w:cs="宋体"/>
          <w:b/>
          <w:color w:val="auto"/>
          <w:spacing w:val="40"/>
          <w:kern w:val="0"/>
          <w:sz w:val="24"/>
          <w:szCs w:val="24"/>
          <w:highlight w:val="none"/>
          <w:lang w:val="en-US" w:eastAsia="zh-CN"/>
        </w:rPr>
        <w:t>.5</w:t>
      </w:r>
      <w:r>
        <w:rPr>
          <w:rFonts w:hint="eastAsia" w:ascii="宋体" w:hAnsi="宋体" w:cs="宋体"/>
          <w:b/>
          <w:color w:val="auto"/>
          <w:spacing w:val="40"/>
          <w:kern w:val="0"/>
          <w:sz w:val="24"/>
          <w:szCs w:val="24"/>
          <w:highlight w:val="none"/>
        </w:rPr>
        <w:t>米级纯电动站立位公交车采购需求</w:t>
      </w:r>
    </w:p>
    <w:p>
      <w:pPr>
        <w:jc w:val="center"/>
        <w:outlineLvl w:val="1"/>
        <w:rPr>
          <w:color w:val="auto"/>
          <w:highlight w:val="none"/>
        </w:rPr>
      </w:pPr>
      <w:r>
        <w:rPr>
          <w:rFonts w:hint="eastAsia" w:ascii="宋体" w:hAnsi="宋体" w:cs="宋体"/>
          <w:color w:val="auto"/>
          <w:sz w:val="24"/>
          <w:szCs w:val="24"/>
          <w:highlight w:val="none"/>
        </w:rPr>
        <w:t>技术配置表</w:t>
      </w:r>
    </w:p>
    <w:tbl>
      <w:tblPr>
        <w:tblStyle w:val="4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5807"/>
        <w:gridCol w:w="12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项目</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主要技术要求与描述</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推荐品牌</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车型要求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车辆类型</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w:t>
            </w:r>
            <w:r>
              <w:rPr>
                <w:rFonts w:hint="eastAsia"/>
                <w:color w:val="auto"/>
                <w:sz w:val="18"/>
                <w:szCs w:val="18"/>
                <w:highlight w:val="none"/>
                <w:lang w:val="en-US" w:eastAsia="zh-CN"/>
              </w:rPr>
              <w:t>.5</w:t>
            </w:r>
            <w:r>
              <w:rPr>
                <w:rFonts w:hint="eastAsia"/>
                <w:color w:val="auto"/>
                <w:sz w:val="18"/>
                <w:szCs w:val="18"/>
                <w:highlight w:val="none"/>
              </w:rPr>
              <w:t>米级纯电动站立位公交车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restart"/>
            <w:tcBorders>
              <w:top w:val="single" w:color="auto" w:sz="4" w:space="0"/>
              <w:left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车辆数量</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lang w:val="en-US" w:eastAsia="zh-CN"/>
              </w:rPr>
              <w:t>6</w:t>
            </w:r>
            <w:r>
              <w:rPr>
                <w:rFonts w:hint="eastAsia"/>
                <w:color w:val="auto"/>
                <w:sz w:val="18"/>
                <w:szCs w:val="18"/>
                <w:highlight w:val="none"/>
              </w:rPr>
              <w:t>辆</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left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 xml:space="preserve"> 车型公告及免税目录</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提供车辆公告批次及免税目录</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left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车辆尺寸</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提供投标车型的车辆参数</w:t>
            </w:r>
          </w:p>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长6.5米≤区间</w:t>
            </w:r>
            <w:r>
              <w:rPr>
                <w:rFonts w:hint="eastAsia" w:cs="宋体" w:asciiTheme="minorEastAsia" w:hAnsiTheme="minorEastAsia" w:eastAsiaTheme="minorEastAsia"/>
                <w:color w:val="auto"/>
                <w:sz w:val="18"/>
                <w:szCs w:val="18"/>
                <w:highlight w:val="none"/>
              </w:rPr>
              <w:t>﹤</w:t>
            </w:r>
            <w:r>
              <w:rPr>
                <w:rFonts w:cs="宋体" w:asciiTheme="minorEastAsia" w:hAnsiTheme="minorEastAsia" w:eastAsiaTheme="minorEastAsia"/>
                <w:color w:val="auto"/>
                <w:sz w:val="18"/>
                <w:szCs w:val="18"/>
                <w:highlight w:val="none"/>
              </w:rPr>
              <w:t>6</w:t>
            </w:r>
            <w:r>
              <w:rPr>
                <w:rFonts w:hint="eastAsia" w:cs="宋体" w:asciiTheme="minorEastAsia" w:hAnsiTheme="minorEastAsia" w:eastAsiaTheme="minorEastAsia"/>
                <w:color w:val="auto"/>
                <w:sz w:val="18"/>
                <w:szCs w:val="18"/>
                <w:highlight w:val="none"/>
              </w:rPr>
              <w:t>.8</w:t>
            </w:r>
            <w:r>
              <w:rPr>
                <w:rFonts w:hint="eastAsia" w:asciiTheme="minorEastAsia" w:hAnsiTheme="minorEastAsia" w:eastAsiaTheme="minorEastAsia"/>
                <w:color w:val="auto"/>
                <w:sz w:val="18"/>
                <w:szCs w:val="18"/>
                <w:highlight w:val="none"/>
              </w:rPr>
              <w:t>米</w:t>
            </w:r>
          </w:p>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宽2.1米≤区间</w:t>
            </w:r>
            <w:r>
              <w:rPr>
                <w:rFonts w:hint="eastAsia" w:cs="宋体"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4米</w:t>
            </w:r>
          </w:p>
          <w:p>
            <w:pPr>
              <w:jc w:val="center"/>
              <w:rPr>
                <w:color w:val="auto"/>
                <w:sz w:val="18"/>
                <w:szCs w:val="18"/>
                <w:highlight w:val="none"/>
              </w:rPr>
            </w:pPr>
            <w:r>
              <w:rPr>
                <w:rFonts w:hint="eastAsia" w:asciiTheme="minorEastAsia" w:hAnsiTheme="minorEastAsia" w:eastAsiaTheme="minorEastAsia"/>
                <w:color w:val="auto"/>
                <w:sz w:val="18"/>
                <w:szCs w:val="18"/>
                <w:highlight w:val="none"/>
              </w:rPr>
              <w:t>高</w:t>
            </w: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lang w:val="en-US" w:eastAsia="zh-CN"/>
              </w:rPr>
              <w:t>89</w:t>
            </w:r>
            <w:r>
              <w:rPr>
                <w:rFonts w:hint="eastAsia" w:asciiTheme="minorEastAsia" w:hAnsiTheme="minorEastAsia" w:eastAsiaTheme="minorEastAsia"/>
                <w:color w:val="auto"/>
                <w:sz w:val="18"/>
                <w:szCs w:val="18"/>
                <w:highlight w:val="none"/>
              </w:rPr>
              <w:t>米≤区间</w:t>
            </w:r>
            <w:r>
              <w:rPr>
                <w:rFonts w:hint="eastAsia" w:cs="宋体"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3.15</w:t>
            </w:r>
            <w:r>
              <w:rPr>
                <w:rFonts w:hint="eastAsia" w:asciiTheme="minorEastAsia" w:hAnsiTheme="minorEastAsia" w:eastAsiaTheme="minorEastAsia"/>
                <w:color w:val="auto"/>
                <w:sz w:val="18"/>
                <w:szCs w:val="18"/>
                <w:highlight w:val="none"/>
              </w:rPr>
              <w:t>米</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left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color w:val="auto"/>
                <w:sz w:val="18"/>
                <w:szCs w:val="18"/>
                <w:highlight w:val="none"/>
              </w:rPr>
              <w:t>座位数</w:t>
            </w:r>
          </w:p>
        </w:tc>
        <w:tc>
          <w:tcPr>
            <w:tcW w:w="5807" w:type="dxa"/>
            <w:tcBorders>
              <w:top w:val="single" w:color="auto" w:sz="4" w:space="0"/>
              <w:left w:val="single" w:color="auto" w:sz="4" w:space="0"/>
              <w:bottom w:val="single" w:color="auto" w:sz="4" w:space="0"/>
              <w:right w:val="single" w:color="auto" w:sz="4" w:space="0"/>
            </w:tcBorders>
            <w:vAlign w:val="center"/>
          </w:tcPr>
          <w:p>
            <w:pPr>
              <w:tabs>
                <w:tab w:val="left" w:pos="2077"/>
              </w:tabs>
              <w:jc w:val="center"/>
              <w:rPr>
                <w:color w:val="auto"/>
                <w:sz w:val="18"/>
                <w:szCs w:val="18"/>
                <w:highlight w:val="none"/>
              </w:rPr>
            </w:pPr>
            <w:r>
              <w:rPr>
                <w:rFonts w:hint="eastAsia"/>
                <w:color w:val="auto"/>
                <w:sz w:val="18"/>
                <w:szCs w:val="18"/>
                <w:highlight w:val="none"/>
              </w:rPr>
              <w:t>载客人数按车辆公告，座位按标配</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rPr>
              <w:t>整车质保</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rPr>
              <w:t>5年</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车辆设计</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新颖美观，节能环保，适应现代城市，技术性能和结构工艺体现国内先进水平，经济实用，安全舒适，维护简便，质量可靠，人性化。整车材料符合相关标准和节能环保要求。符合</w:t>
            </w:r>
            <w:r>
              <w:rPr>
                <w:color w:val="auto"/>
                <w:sz w:val="18"/>
                <w:szCs w:val="18"/>
                <w:highlight w:val="none"/>
              </w:rPr>
              <w:t>GB7258-2017</w:t>
            </w:r>
            <w:r>
              <w:rPr>
                <w:rFonts w:hint="eastAsia"/>
                <w:color w:val="auto"/>
                <w:sz w:val="18"/>
                <w:szCs w:val="18"/>
                <w:highlight w:val="none"/>
              </w:rPr>
              <w:t>标准要求。提供车辆外型图片（左前、右前、正前、正后、左侧、右侧）、内部图片（驾驶区、仪表台、上客区、下客区、台阶区）、电机仓、各电气设备箱、检修工艺门等彩色图片各一张。</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注册登记</w:t>
            </w:r>
          </w:p>
        </w:tc>
        <w:tc>
          <w:tcPr>
            <w:tcW w:w="580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车辆必须符合杭州地区的注册登记（上牌）要求，若无法注册登记的，中标厂家无条件退车、退款；车辆注册登记（上牌）工作由中标厂家负责，采购人提供驾驶员、各类材料等必要的协助。</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生产地</w:t>
            </w:r>
          </w:p>
        </w:tc>
        <w:tc>
          <w:tcPr>
            <w:tcW w:w="5807"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1、注明生产地，车辆焊接、电泳、总装、完检等重点生产工艺必须在车辆制造商的总厂完成，不得委外加工；验车时发现不符合要求的，采购人有权拒绝接车，按废标处理并追究全部责任；投标人必须书面承诺：如不符合要求而引起一切法律责任，由投标人无条件承担。</w:t>
            </w:r>
          </w:p>
          <w:p>
            <w:pPr>
              <w:jc w:val="left"/>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2、总厂的判定：总厂的地址，必须在车辆制造商总厂的营业执照的登记地所在的地级市行政区域内。</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防尘防水</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车辆防尘、防水及密封性能良好</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隔热阻燃</w:t>
            </w:r>
          </w:p>
          <w:p>
            <w:pPr>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降噪限制</w:t>
            </w:r>
          </w:p>
        </w:tc>
        <w:tc>
          <w:tcPr>
            <w:tcW w:w="580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color w:val="auto"/>
                <w:sz w:val="18"/>
                <w:szCs w:val="18"/>
                <w:highlight w:val="none"/>
              </w:rPr>
              <w:t>优于或符合国家标准。</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储能（电池）系统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1"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ascii="宋体" w:hAnsi="宋体"/>
                <w:color w:val="auto"/>
                <w:sz w:val="24"/>
                <w:highlight w:val="none"/>
              </w:rPr>
              <w:t>▲</w:t>
            </w:r>
            <w:r>
              <w:rPr>
                <w:rFonts w:hint="eastAsia"/>
                <w:color w:val="auto"/>
                <w:sz w:val="18"/>
                <w:szCs w:val="18"/>
                <w:highlight w:val="none"/>
              </w:rPr>
              <w:t>动力电池</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1.</w:t>
            </w:r>
            <w:r>
              <w:rPr>
                <w:rFonts w:hint="eastAsia"/>
                <w:color w:val="auto"/>
                <w:sz w:val="18"/>
                <w:szCs w:val="18"/>
                <w:highlight w:val="none"/>
              </w:rPr>
              <w:t>提供投标车型的电池容量及参数以投标车型</w:t>
            </w:r>
            <w:r>
              <w:rPr>
                <w:rFonts w:hint="eastAsia"/>
                <w:color w:val="auto"/>
                <w:sz w:val="18"/>
                <w:szCs w:val="18"/>
                <w:highlight w:val="none"/>
                <w:lang w:val="en-US" w:eastAsia="zh-CN"/>
              </w:rPr>
              <w:t>的新能源汽车推广应用推荐车型目录技术参数或车辆检验报告数据</w:t>
            </w:r>
            <w:r>
              <w:rPr>
                <w:rFonts w:hint="eastAsia"/>
                <w:color w:val="auto"/>
                <w:sz w:val="18"/>
                <w:szCs w:val="18"/>
                <w:highlight w:val="none"/>
              </w:rPr>
              <w:t>为准。</w:t>
            </w:r>
          </w:p>
          <w:p>
            <w:pPr>
              <w:pStyle w:val="24"/>
              <w:snapToGrid w:val="0"/>
              <w:rPr>
                <w:color w:val="auto"/>
                <w:sz w:val="18"/>
                <w:szCs w:val="18"/>
                <w:highlight w:val="none"/>
              </w:rPr>
            </w:pPr>
            <w:r>
              <w:rPr>
                <w:rFonts w:hint="eastAsia"/>
                <w:color w:val="auto"/>
                <w:sz w:val="18"/>
                <w:szCs w:val="18"/>
                <w:highlight w:val="none"/>
              </w:rPr>
              <w:t>2.动力电池：使用总容量≥</w:t>
            </w:r>
            <w:r>
              <w:rPr>
                <w:rFonts w:hint="eastAsia"/>
                <w:b/>
                <w:bCs/>
                <w:color w:val="auto"/>
                <w:sz w:val="18"/>
                <w:szCs w:val="18"/>
                <w:highlight w:val="none"/>
              </w:rPr>
              <w:t>1</w:t>
            </w:r>
            <w:r>
              <w:rPr>
                <w:b/>
                <w:bCs/>
                <w:color w:val="auto"/>
                <w:sz w:val="18"/>
                <w:szCs w:val="18"/>
                <w:highlight w:val="none"/>
              </w:rPr>
              <w:t>2</w:t>
            </w:r>
            <w:r>
              <w:rPr>
                <w:rFonts w:hint="eastAsia"/>
                <w:b/>
                <w:bCs/>
                <w:color w:val="auto"/>
                <w:sz w:val="18"/>
                <w:szCs w:val="18"/>
                <w:highlight w:val="none"/>
                <w:lang w:val="en-US" w:eastAsia="zh-CN"/>
              </w:rPr>
              <w:t>5</w:t>
            </w:r>
            <w:r>
              <w:rPr>
                <w:b/>
                <w:bCs/>
                <w:color w:val="auto"/>
                <w:sz w:val="18"/>
                <w:szCs w:val="18"/>
                <w:highlight w:val="none"/>
              </w:rPr>
              <w:t>kwh</w:t>
            </w:r>
            <w:r>
              <w:rPr>
                <w:rFonts w:hint="eastAsia" w:hAnsi="宋体" w:cs="宋体"/>
                <w:bCs/>
                <w:color w:val="auto"/>
                <w:sz w:val="18"/>
                <w:szCs w:val="18"/>
                <w:highlight w:val="none"/>
              </w:rPr>
              <w:t>磷酸铁锂液冷动力电池</w:t>
            </w:r>
            <w:r>
              <w:rPr>
                <w:rFonts w:hint="eastAsia"/>
                <w:color w:val="auto"/>
                <w:sz w:val="18"/>
                <w:szCs w:val="18"/>
                <w:highlight w:val="none"/>
              </w:rPr>
              <w:t>，电芯和</w:t>
            </w:r>
            <w:r>
              <w:rPr>
                <w:color w:val="auto"/>
                <w:sz w:val="18"/>
                <w:szCs w:val="18"/>
                <w:highlight w:val="none"/>
              </w:rPr>
              <w:t>PACK</w:t>
            </w:r>
            <w:r>
              <w:rPr>
                <w:rFonts w:hint="eastAsia"/>
                <w:color w:val="auto"/>
                <w:sz w:val="18"/>
                <w:szCs w:val="18"/>
                <w:highlight w:val="none"/>
              </w:rPr>
              <w:t>为同一品牌，液冷电池必须满足招标方公交线路运行需求。符合国家安全性，并提供试验检测合格报告、相关标准和规范。</w:t>
            </w:r>
          </w:p>
          <w:p>
            <w:pPr>
              <w:rPr>
                <w:color w:val="auto"/>
                <w:sz w:val="18"/>
                <w:szCs w:val="18"/>
                <w:highlight w:val="none"/>
              </w:rPr>
            </w:pPr>
            <w:r>
              <w:rPr>
                <w:color w:val="auto"/>
                <w:sz w:val="18"/>
                <w:szCs w:val="18"/>
                <w:highlight w:val="none"/>
              </w:rPr>
              <w:t>3.</w:t>
            </w:r>
            <w:r>
              <w:rPr>
                <w:rFonts w:hint="eastAsia"/>
                <w:color w:val="auto"/>
                <w:sz w:val="18"/>
                <w:szCs w:val="18"/>
                <w:highlight w:val="none"/>
              </w:rPr>
              <w:t>整个电池系统及每组电池箱安装快断器，并设有故障报警装置，具有过流、过压、欠压、短路自动保护与报警和自动切断供电等保护功能；电池管理系统（</w:t>
            </w:r>
            <w:r>
              <w:rPr>
                <w:color w:val="auto"/>
                <w:sz w:val="18"/>
                <w:szCs w:val="18"/>
                <w:highlight w:val="none"/>
              </w:rPr>
              <w:t>BMS</w:t>
            </w:r>
            <w:r>
              <w:rPr>
                <w:rFonts w:hint="eastAsia"/>
                <w:color w:val="auto"/>
                <w:sz w:val="18"/>
                <w:szCs w:val="18"/>
                <w:highlight w:val="none"/>
              </w:rPr>
              <w:t>）可以监控单体的温度以及电压，可以监控电池系统的电流以及电量，并有相应预警功能，满足各种极端工况要求。电池舱与乘客舱完全隔离，并在电池舱体内壁加装防火隔热的纳能材料，电池与乘客舱之间形成空间和热量隔离，电池即使发生起火也不会对乘客舱造成威胁。（提供实车照片并且出具书面说明函为准）</w:t>
            </w:r>
          </w:p>
          <w:p>
            <w:pPr>
              <w:rPr>
                <w:color w:val="auto"/>
                <w:sz w:val="18"/>
                <w:szCs w:val="18"/>
                <w:highlight w:val="none"/>
              </w:rPr>
            </w:pPr>
            <w:r>
              <w:rPr>
                <w:color w:val="auto"/>
                <w:sz w:val="18"/>
                <w:szCs w:val="18"/>
                <w:highlight w:val="none"/>
              </w:rPr>
              <w:t>4</w:t>
            </w:r>
            <w:r>
              <w:rPr>
                <w:rFonts w:hint="eastAsia"/>
                <w:color w:val="auto"/>
                <w:sz w:val="18"/>
                <w:szCs w:val="18"/>
                <w:highlight w:val="none"/>
              </w:rPr>
              <w:t>、有专用的控制器，对锂电池进行保护。</w:t>
            </w:r>
          </w:p>
          <w:p>
            <w:pPr>
              <w:rPr>
                <w:color w:val="auto"/>
                <w:sz w:val="18"/>
                <w:szCs w:val="18"/>
                <w:highlight w:val="none"/>
              </w:rPr>
            </w:pPr>
            <w:r>
              <w:rPr>
                <w:rFonts w:hint="eastAsia"/>
                <w:color w:val="auto"/>
                <w:sz w:val="18"/>
                <w:szCs w:val="18"/>
                <w:highlight w:val="none"/>
              </w:rPr>
              <w:t>5、续航里程：投标车型公告续航里程</w:t>
            </w:r>
            <w:r>
              <w:rPr>
                <w:rFonts w:hint="eastAsia"/>
                <w:b/>
                <w:bCs/>
                <w:color w:val="auto"/>
                <w:sz w:val="18"/>
                <w:szCs w:val="18"/>
                <w:highlight w:val="none"/>
              </w:rPr>
              <w:t>≥</w:t>
            </w:r>
            <w:r>
              <w:rPr>
                <w:rFonts w:hint="eastAsia"/>
                <w:b/>
                <w:bCs/>
                <w:color w:val="auto"/>
                <w:sz w:val="18"/>
                <w:szCs w:val="18"/>
                <w:highlight w:val="none"/>
                <w:lang w:val="en-US" w:eastAsia="zh-CN"/>
              </w:rPr>
              <w:t>4</w:t>
            </w:r>
            <w:r>
              <w:rPr>
                <w:b/>
                <w:bCs/>
                <w:color w:val="auto"/>
                <w:sz w:val="18"/>
                <w:szCs w:val="18"/>
                <w:highlight w:val="none"/>
              </w:rPr>
              <w:t>0</w:t>
            </w:r>
            <w:r>
              <w:rPr>
                <w:rFonts w:hint="eastAsia"/>
                <w:b/>
                <w:bCs/>
                <w:color w:val="auto"/>
                <w:sz w:val="18"/>
                <w:szCs w:val="18"/>
                <w:highlight w:val="none"/>
              </w:rPr>
              <w:t>0</w:t>
            </w:r>
            <w:r>
              <w:rPr>
                <w:b/>
                <w:bCs/>
                <w:color w:val="auto"/>
                <w:sz w:val="18"/>
                <w:szCs w:val="18"/>
                <w:highlight w:val="none"/>
              </w:rPr>
              <w:t>km</w:t>
            </w:r>
            <w:r>
              <w:rPr>
                <w:rFonts w:hint="eastAsia"/>
                <w:color w:val="auto"/>
                <w:sz w:val="18"/>
                <w:szCs w:val="18"/>
                <w:highlight w:val="none"/>
              </w:rPr>
              <w:t>，以投标车型</w:t>
            </w:r>
            <w:r>
              <w:rPr>
                <w:rFonts w:hint="eastAsia"/>
                <w:color w:val="auto"/>
                <w:sz w:val="18"/>
                <w:szCs w:val="18"/>
                <w:highlight w:val="none"/>
                <w:lang w:val="en-US" w:eastAsia="zh-CN"/>
              </w:rPr>
              <w:t>的新能源汽车推广应用推荐车型目录技术参数或车辆检验报告数据</w:t>
            </w:r>
            <w:r>
              <w:rPr>
                <w:rFonts w:hint="eastAsia"/>
                <w:color w:val="auto"/>
                <w:sz w:val="18"/>
                <w:szCs w:val="18"/>
                <w:highlight w:val="none"/>
              </w:rPr>
              <w:t>为准。晚上采用慢充方式充电，实际</w:t>
            </w:r>
            <w:r>
              <w:rPr>
                <w:color w:val="auto"/>
                <w:sz w:val="18"/>
                <w:szCs w:val="18"/>
                <w:highlight w:val="none"/>
              </w:rPr>
              <w:t>1</w:t>
            </w:r>
            <w:r>
              <w:rPr>
                <w:rFonts w:hint="eastAsia"/>
                <w:color w:val="auto"/>
                <w:sz w:val="18"/>
                <w:szCs w:val="18"/>
                <w:highlight w:val="none"/>
              </w:rPr>
              <w:t>次充电满足整车满载、空调开启状态、城市道路公交工况下续航</w:t>
            </w:r>
            <w:r>
              <w:rPr>
                <w:rFonts w:hint="eastAsia"/>
                <w:b/>
                <w:bCs/>
                <w:color w:val="auto"/>
                <w:sz w:val="18"/>
                <w:szCs w:val="18"/>
                <w:highlight w:val="none"/>
              </w:rPr>
              <w:t>≥</w:t>
            </w:r>
            <w:r>
              <w:rPr>
                <w:color w:val="auto"/>
                <w:sz w:val="18"/>
                <w:szCs w:val="18"/>
                <w:highlight w:val="none"/>
              </w:rPr>
              <w:t>250 km</w:t>
            </w:r>
            <w:r>
              <w:rPr>
                <w:rFonts w:hint="eastAsia"/>
                <w:color w:val="auto"/>
                <w:sz w:val="18"/>
                <w:szCs w:val="18"/>
                <w:highlight w:val="none"/>
              </w:rPr>
              <w:t>的运行。</w:t>
            </w:r>
          </w:p>
          <w:p>
            <w:pPr>
              <w:rPr>
                <w:b/>
                <w:bCs/>
                <w:color w:val="auto"/>
                <w:sz w:val="18"/>
                <w:szCs w:val="18"/>
                <w:highlight w:val="none"/>
              </w:rPr>
            </w:pPr>
            <w:r>
              <w:rPr>
                <w:rFonts w:hint="eastAsia"/>
                <w:color w:val="auto"/>
                <w:sz w:val="18"/>
                <w:szCs w:val="18"/>
                <w:highlight w:val="none"/>
              </w:rPr>
              <w:t>6、能量衰减：动力电池能量衰减要求：电池免费质保</w:t>
            </w:r>
            <w:r>
              <w:rPr>
                <w:color w:val="auto"/>
                <w:sz w:val="18"/>
                <w:szCs w:val="18"/>
                <w:highlight w:val="none"/>
              </w:rPr>
              <w:t>8</w:t>
            </w:r>
            <w:r>
              <w:rPr>
                <w:rFonts w:hint="eastAsia"/>
                <w:color w:val="auto"/>
                <w:sz w:val="18"/>
                <w:szCs w:val="18"/>
                <w:highlight w:val="none"/>
              </w:rPr>
              <w:t>年，在质保期内无偿每年定期质量检测，并对有问题的电池进行临时检测，上牌之日起质保期内电池组容量衰减不得超过</w:t>
            </w:r>
            <w:r>
              <w:rPr>
                <w:color w:val="auto"/>
                <w:sz w:val="18"/>
                <w:szCs w:val="18"/>
                <w:highlight w:val="none"/>
              </w:rPr>
              <w:t>20%</w:t>
            </w:r>
            <w:r>
              <w:rPr>
                <w:rFonts w:hint="eastAsia"/>
                <w:color w:val="auto"/>
                <w:sz w:val="18"/>
                <w:szCs w:val="18"/>
                <w:highlight w:val="none"/>
              </w:rPr>
              <w:t>，否则须无条件免费更换新电池。</w:t>
            </w:r>
            <w:r>
              <w:rPr>
                <w:rFonts w:hint="eastAsia"/>
                <w:b/>
                <w:bCs/>
                <w:color w:val="auto"/>
                <w:sz w:val="18"/>
                <w:szCs w:val="18"/>
                <w:highlight w:val="none"/>
              </w:rPr>
              <w:t>附承诺书。</w:t>
            </w:r>
          </w:p>
          <w:p>
            <w:pPr>
              <w:rPr>
                <w:color w:val="auto"/>
                <w:sz w:val="18"/>
                <w:szCs w:val="18"/>
                <w:highlight w:val="none"/>
              </w:rPr>
            </w:pPr>
            <w:r>
              <w:rPr>
                <w:rFonts w:hint="eastAsia"/>
                <w:b/>
                <w:bCs/>
                <w:color w:val="auto"/>
                <w:sz w:val="18"/>
                <w:szCs w:val="18"/>
                <w:highlight w:val="none"/>
              </w:rPr>
              <w:t>7、</w:t>
            </w:r>
            <w:r>
              <w:rPr>
                <w:rFonts w:hint="eastAsia"/>
                <w:color w:val="auto"/>
                <w:sz w:val="18"/>
                <w:szCs w:val="18"/>
                <w:highlight w:val="none"/>
              </w:rPr>
              <w:t>电池仓灭火装置：配置优质自动灭火装置， 符合《JT/T1240-2019 城市公共汽电车车辆专用安全设施技术要求》等相关规定和要求，驾驶区配手动开关，按钮带保护盒。质保10年（产品过保质期由中标方负责免费更换）。</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电池品牌</w:t>
            </w:r>
          </w:p>
        </w:tc>
        <w:tc>
          <w:tcPr>
            <w:tcW w:w="580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lang w:eastAsia="zh-CN"/>
              </w:rPr>
              <w:t>国内优质品牌</w:t>
            </w:r>
            <w:r>
              <w:rPr>
                <w:rFonts w:hint="eastAsia" w:cs="宋体" w:asciiTheme="minorEastAsia" w:hAnsiTheme="minorEastAsia" w:eastAsiaTheme="minorEastAsia"/>
                <w:bCs/>
                <w:color w:val="auto"/>
                <w:sz w:val="18"/>
                <w:szCs w:val="18"/>
                <w:highlight w:val="none"/>
              </w:rPr>
              <w:t>磷酸铁锂液冷动力电池</w:t>
            </w:r>
            <w:r>
              <w:rPr>
                <w:rFonts w:hint="eastAsia" w:asciiTheme="minorEastAsia" w:hAnsiTheme="minorEastAsia" w:eastAsiaTheme="minorEastAsia"/>
                <w:color w:val="auto"/>
                <w:sz w:val="18"/>
                <w:szCs w:val="18"/>
                <w:highlight w:val="none"/>
              </w:rPr>
              <w:t>，电芯和PACK为同一品牌</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18"/>
                <w:szCs w:val="18"/>
                <w:highlight w:val="none"/>
              </w:rPr>
            </w:pPr>
            <w:r>
              <w:rPr>
                <w:rFonts w:hint="eastAsia"/>
                <w:bCs/>
                <w:color w:val="auto"/>
                <w:sz w:val="18"/>
                <w:szCs w:val="18"/>
                <w:highlight w:val="none"/>
              </w:rPr>
              <w:t>电能消耗率</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提供投标车型的</w:t>
            </w:r>
            <w:r>
              <w:rPr>
                <w:rFonts w:hint="eastAsia"/>
                <w:bCs/>
                <w:color w:val="auto"/>
                <w:sz w:val="18"/>
                <w:szCs w:val="18"/>
                <w:highlight w:val="none"/>
              </w:rPr>
              <w:t>电能消耗率，</w:t>
            </w:r>
            <w:r>
              <w:rPr>
                <w:rFonts w:hint="eastAsia"/>
                <w:color w:val="auto"/>
                <w:sz w:val="18"/>
                <w:szCs w:val="18"/>
                <w:highlight w:val="none"/>
              </w:rPr>
              <w:t>电动汽车</w:t>
            </w:r>
            <w:r>
              <w:rPr>
                <w:color w:val="auto"/>
                <w:sz w:val="18"/>
                <w:szCs w:val="18"/>
                <w:highlight w:val="none"/>
              </w:rPr>
              <w:t>GB/T 18386</w:t>
            </w:r>
            <w:r>
              <w:rPr>
                <w:rFonts w:hint="eastAsia"/>
                <w:color w:val="auto"/>
                <w:sz w:val="18"/>
                <w:szCs w:val="18"/>
                <w:highlight w:val="none"/>
              </w:rPr>
              <w:t>《电动汽车能量消耗率和续驶里程试验方法》试验中消耗的电能除以行驶里程所得的值，单位</w:t>
            </w:r>
            <w:r>
              <w:rPr>
                <w:color w:val="auto"/>
                <w:sz w:val="18"/>
                <w:szCs w:val="18"/>
                <w:highlight w:val="none"/>
              </w:rPr>
              <w:t>Wh/km</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18"/>
                <w:szCs w:val="18"/>
                <w:highlight w:val="none"/>
              </w:rPr>
            </w:pPr>
            <w:r>
              <w:rPr>
                <w:rFonts w:hint="eastAsia"/>
                <w:bCs/>
                <w:color w:val="auto"/>
                <w:sz w:val="18"/>
                <w:szCs w:val="18"/>
                <w:highlight w:val="none"/>
              </w:rPr>
              <w:t>电池系统</w:t>
            </w:r>
            <w:r>
              <w:rPr>
                <w:bCs/>
                <w:color w:val="auto"/>
                <w:sz w:val="18"/>
                <w:szCs w:val="18"/>
                <w:highlight w:val="none"/>
              </w:rPr>
              <w:t xml:space="preserve">    </w:t>
            </w:r>
            <w:r>
              <w:rPr>
                <w:rFonts w:hint="eastAsia"/>
                <w:bCs/>
                <w:color w:val="auto"/>
                <w:sz w:val="18"/>
                <w:szCs w:val="18"/>
                <w:highlight w:val="none"/>
              </w:rPr>
              <w:t>能量密度</w:t>
            </w:r>
          </w:p>
        </w:tc>
        <w:tc>
          <w:tcPr>
            <w:tcW w:w="5807" w:type="dxa"/>
            <w:tcBorders>
              <w:top w:val="single" w:color="auto" w:sz="4" w:space="0"/>
              <w:left w:val="single" w:color="auto" w:sz="4" w:space="0"/>
              <w:bottom w:val="single" w:color="auto" w:sz="4" w:space="0"/>
              <w:right w:val="single" w:color="auto" w:sz="4" w:space="0"/>
            </w:tcBorders>
            <w:vAlign w:val="center"/>
          </w:tcPr>
          <w:p>
            <w:pPr>
              <w:rPr>
                <w:bCs/>
                <w:color w:val="auto"/>
                <w:sz w:val="18"/>
                <w:szCs w:val="18"/>
                <w:highlight w:val="none"/>
              </w:rPr>
            </w:pPr>
            <w:r>
              <w:rPr>
                <w:rFonts w:hint="eastAsia"/>
                <w:color w:val="auto"/>
                <w:sz w:val="18"/>
                <w:szCs w:val="18"/>
                <w:highlight w:val="none"/>
              </w:rPr>
              <w:t>投标车型的</w:t>
            </w:r>
            <w:r>
              <w:rPr>
                <w:rFonts w:hint="eastAsia"/>
                <w:bCs/>
                <w:color w:val="auto"/>
                <w:sz w:val="18"/>
                <w:szCs w:val="18"/>
                <w:highlight w:val="none"/>
              </w:rPr>
              <w:t>电池系统能量密度</w:t>
            </w:r>
            <w:r>
              <w:rPr>
                <w:rFonts w:hint="eastAsia"/>
                <w:b/>
                <w:bCs/>
                <w:color w:val="auto"/>
                <w:sz w:val="18"/>
                <w:szCs w:val="18"/>
                <w:highlight w:val="none"/>
              </w:rPr>
              <w:t>≥</w:t>
            </w:r>
            <w:r>
              <w:rPr>
                <w:b/>
                <w:bCs/>
                <w:color w:val="auto"/>
                <w:sz w:val="18"/>
                <w:szCs w:val="18"/>
                <w:highlight w:val="none"/>
              </w:rPr>
              <w:t>1</w:t>
            </w:r>
            <w:r>
              <w:rPr>
                <w:rFonts w:hint="eastAsia"/>
                <w:b/>
                <w:bCs/>
                <w:color w:val="auto"/>
                <w:sz w:val="18"/>
                <w:szCs w:val="18"/>
                <w:highlight w:val="none"/>
                <w:lang w:val="en-US" w:eastAsia="zh-CN"/>
              </w:rPr>
              <w:t>60</w:t>
            </w:r>
            <w:r>
              <w:rPr>
                <w:b/>
                <w:bCs/>
                <w:color w:val="auto"/>
                <w:sz w:val="18"/>
                <w:szCs w:val="18"/>
                <w:highlight w:val="none"/>
              </w:rPr>
              <w:t>Wh/kg</w:t>
            </w:r>
            <w:r>
              <w:rPr>
                <w:rFonts w:hint="eastAsia"/>
                <w:bCs/>
                <w:color w:val="auto"/>
                <w:sz w:val="18"/>
                <w:szCs w:val="18"/>
                <w:highlight w:val="none"/>
              </w:rPr>
              <w: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pStyle w:val="24"/>
              <w:snapToGrid w:val="0"/>
              <w:spacing w:line="400" w:lineRule="exact"/>
              <w:rPr>
                <w:rFonts w:ascii="Times New Roman" w:hAnsi="Times New Roman"/>
                <w:color w:val="auto"/>
                <w:sz w:val="18"/>
                <w:szCs w:val="18"/>
                <w:highlight w:val="none"/>
              </w:rPr>
            </w:pPr>
            <w:r>
              <w:rPr>
                <w:rFonts w:hint="eastAsia" w:ascii="Times New Roman" w:hAnsi="Times New Roman"/>
                <w:color w:val="auto"/>
                <w:sz w:val="18"/>
                <w:szCs w:val="18"/>
                <w:highlight w:val="none"/>
              </w:rPr>
              <w:t>高压安全要求</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1.</w:t>
            </w:r>
            <w:r>
              <w:rPr>
                <w:rFonts w:hint="eastAsia"/>
                <w:color w:val="auto"/>
                <w:sz w:val="18"/>
                <w:szCs w:val="18"/>
                <w:highlight w:val="none"/>
              </w:rPr>
              <w:t>具有绝缘电阻检测设备，能实时监控车辆绝缘电阻，具备分级报警机制；</w:t>
            </w:r>
          </w:p>
          <w:p>
            <w:pPr>
              <w:rPr>
                <w:color w:val="auto"/>
                <w:sz w:val="18"/>
                <w:szCs w:val="18"/>
                <w:highlight w:val="none"/>
              </w:rPr>
            </w:pPr>
            <w:r>
              <w:rPr>
                <w:color w:val="auto"/>
                <w:sz w:val="18"/>
                <w:szCs w:val="18"/>
                <w:highlight w:val="none"/>
              </w:rPr>
              <w:t>2.</w:t>
            </w:r>
            <w:r>
              <w:rPr>
                <w:rFonts w:hint="eastAsia"/>
                <w:color w:val="auto"/>
                <w:sz w:val="18"/>
                <w:szCs w:val="18"/>
                <w:highlight w:val="none"/>
              </w:rPr>
              <w:t>高压部件安装具有通风、散热、防水设计，确保高压部件的工作温度；</w:t>
            </w:r>
          </w:p>
          <w:p>
            <w:pPr>
              <w:rPr>
                <w:color w:val="auto"/>
                <w:sz w:val="18"/>
                <w:szCs w:val="18"/>
                <w:highlight w:val="none"/>
              </w:rPr>
            </w:pPr>
            <w:r>
              <w:rPr>
                <w:color w:val="auto"/>
                <w:sz w:val="18"/>
                <w:szCs w:val="18"/>
                <w:highlight w:val="none"/>
              </w:rPr>
              <w:t>3.</w:t>
            </w:r>
            <w:r>
              <w:rPr>
                <w:rFonts w:hint="eastAsia"/>
                <w:color w:val="auto"/>
                <w:sz w:val="18"/>
                <w:szCs w:val="18"/>
                <w:highlight w:val="none"/>
              </w:rPr>
              <w:t>锂电池安装快断器，检修时方便断电，保证人员安全；</w:t>
            </w:r>
          </w:p>
          <w:p>
            <w:pPr>
              <w:rPr>
                <w:color w:val="auto"/>
                <w:sz w:val="18"/>
                <w:szCs w:val="18"/>
                <w:highlight w:val="none"/>
              </w:rPr>
            </w:pPr>
            <w:r>
              <w:rPr>
                <w:color w:val="auto"/>
                <w:sz w:val="18"/>
                <w:szCs w:val="18"/>
                <w:highlight w:val="none"/>
              </w:rPr>
              <w:t>4.</w:t>
            </w:r>
            <w:r>
              <w:rPr>
                <w:rFonts w:hint="eastAsia"/>
                <w:color w:val="auto"/>
                <w:sz w:val="18"/>
                <w:szCs w:val="18"/>
                <w:highlight w:val="none"/>
              </w:rPr>
              <w:t>高低压线束、油路、气路分开走线，防止安全事故发生；</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pStyle w:val="24"/>
              <w:snapToGrid w:val="0"/>
              <w:spacing w:line="400" w:lineRule="exact"/>
              <w:rPr>
                <w:rFonts w:ascii="Times New Roman" w:hAnsi="Times New Roman"/>
                <w:color w:val="auto"/>
                <w:sz w:val="18"/>
                <w:szCs w:val="18"/>
                <w:highlight w:val="none"/>
              </w:rPr>
            </w:pPr>
            <w:r>
              <w:rPr>
                <w:rFonts w:hint="eastAsia" w:ascii="Times New Roman" w:hAnsi="Times New Roman"/>
                <w:color w:val="auto"/>
                <w:sz w:val="18"/>
                <w:szCs w:val="18"/>
                <w:highlight w:val="none"/>
              </w:rPr>
              <w:t>性能要求</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1.</w:t>
            </w:r>
            <w:r>
              <w:rPr>
                <w:rFonts w:hint="eastAsia"/>
                <w:color w:val="auto"/>
                <w:sz w:val="18"/>
                <w:szCs w:val="18"/>
                <w:highlight w:val="none"/>
              </w:rPr>
              <w:t>有车辆远程监控系统，可实时查看车辆状态，包括电机、锂电池信息及故障信息，具备短信报警功。</w:t>
            </w:r>
          </w:p>
          <w:p>
            <w:pPr>
              <w:rPr>
                <w:color w:val="auto"/>
                <w:sz w:val="18"/>
                <w:szCs w:val="18"/>
                <w:highlight w:val="none"/>
              </w:rPr>
            </w:pPr>
            <w:r>
              <w:rPr>
                <w:color w:val="auto"/>
                <w:sz w:val="18"/>
                <w:szCs w:val="18"/>
                <w:highlight w:val="none"/>
              </w:rPr>
              <w:t>2.</w:t>
            </w:r>
            <w:r>
              <w:rPr>
                <w:rFonts w:hint="eastAsia"/>
                <w:color w:val="auto"/>
                <w:sz w:val="18"/>
                <w:szCs w:val="18"/>
                <w:highlight w:val="none"/>
              </w:rPr>
              <w:t>无条件向招标方提供车辆实时监控平台。</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充电系统要求</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1.</w:t>
            </w:r>
            <w:r>
              <w:rPr>
                <w:rFonts w:hint="eastAsia"/>
                <w:color w:val="auto"/>
                <w:sz w:val="18"/>
                <w:szCs w:val="18"/>
                <w:highlight w:val="none"/>
              </w:rPr>
              <w:t>充电方式：采用直流充电、慢充快补。多枪充电时有自动转换、充满电后自动断电功能。</w:t>
            </w:r>
          </w:p>
          <w:p>
            <w:pPr>
              <w:rPr>
                <w:color w:val="auto"/>
                <w:sz w:val="18"/>
                <w:szCs w:val="18"/>
                <w:highlight w:val="none"/>
              </w:rPr>
            </w:pPr>
            <w:r>
              <w:rPr>
                <w:color w:val="auto"/>
                <w:sz w:val="18"/>
                <w:szCs w:val="18"/>
                <w:highlight w:val="none"/>
              </w:rPr>
              <w:t>2.</w:t>
            </w:r>
            <w:r>
              <w:rPr>
                <w:rFonts w:hint="eastAsia"/>
                <w:color w:val="auto"/>
                <w:sz w:val="18"/>
                <w:szCs w:val="18"/>
                <w:highlight w:val="none"/>
              </w:rPr>
              <w:t>充电倍率：白天安排一次快充补电，快充充电倍率≥</w:t>
            </w:r>
            <w:r>
              <w:rPr>
                <w:color w:val="auto"/>
                <w:sz w:val="18"/>
                <w:szCs w:val="18"/>
                <w:highlight w:val="none"/>
              </w:rPr>
              <w:t>1C</w:t>
            </w:r>
            <w:r>
              <w:rPr>
                <w:rFonts w:hint="eastAsia"/>
                <w:color w:val="auto"/>
                <w:sz w:val="18"/>
                <w:szCs w:val="18"/>
                <w:highlight w:val="none"/>
              </w:rPr>
              <w:t>。</w:t>
            </w:r>
          </w:p>
          <w:p>
            <w:pPr>
              <w:rPr>
                <w:color w:val="auto"/>
                <w:sz w:val="18"/>
                <w:szCs w:val="18"/>
                <w:highlight w:val="none"/>
              </w:rPr>
            </w:pPr>
            <w:r>
              <w:rPr>
                <w:color w:val="auto"/>
                <w:sz w:val="18"/>
                <w:szCs w:val="18"/>
                <w:highlight w:val="none"/>
              </w:rPr>
              <w:t>3.</w:t>
            </w:r>
            <w:r>
              <w:rPr>
                <w:rFonts w:hint="eastAsia"/>
                <w:color w:val="auto"/>
                <w:sz w:val="18"/>
                <w:szCs w:val="18"/>
                <w:highlight w:val="none"/>
              </w:rPr>
              <w:t>充电连接装置需符合新国标充电接口要求。</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控制系统</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提供投标车型的控制系统详细资料。电池管理系统（</w:t>
            </w:r>
            <w:r>
              <w:rPr>
                <w:color w:val="auto"/>
                <w:sz w:val="18"/>
                <w:szCs w:val="18"/>
                <w:highlight w:val="none"/>
              </w:rPr>
              <w:t>BMS</w:t>
            </w:r>
            <w:r>
              <w:rPr>
                <w:rFonts w:hint="eastAsia"/>
                <w:color w:val="auto"/>
                <w:sz w:val="18"/>
                <w:szCs w:val="18"/>
                <w:highlight w:val="none"/>
              </w:rPr>
              <w:t>）可以监控每个单体的温度、电压、并有相应预警功能，采用被动均衡技术，满足各种极端工况要求。采用集成式控制器（电机控制器、高压配电柜、转向电机控制器、</w:t>
            </w:r>
            <w:r>
              <w:rPr>
                <w:color w:val="auto"/>
                <w:sz w:val="18"/>
                <w:szCs w:val="18"/>
                <w:highlight w:val="none"/>
              </w:rPr>
              <w:t>ISG</w:t>
            </w:r>
            <w:r>
              <w:rPr>
                <w:rFonts w:hint="eastAsia"/>
                <w:color w:val="auto"/>
                <w:sz w:val="18"/>
                <w:szCs w:val="18"/>
                <w:highlight w:val="none"/>
              </w:rPr>
              <w:t>电机控制器、</w:t>
            </w:r>
            <w:r>
              <w:rPr>
                <w:color w:val="auto"/>
                <w:sz w:val="18"/>
                <w:szCs w:val="18"/>
                <w:highlight w:val="none"/>
              </w:rPr>
              <w:t>DC-DC</w:t>
            </w:r>
            <w:r>
              <w:rPr>
                <w:rFonts w:hint="eastAsia"/>
                <w:color w:val="auto"/>
                <w:sz w:val="18"/>
                <w:szCs w:val="18"/>
                <w:highlight w:val="none"/>
              </w:rPr>
              <w:t>）</w:t>
            </w:r>
            <w:r>
              <w:rPr>
                <w:rFonts w:hint="eastAsia"/>
                <w:b/>
                <w:color w:val="auto"/>
                <w:sz w:val="18"/>
                <w:szCs w:val="18"/>
                <w:highlight w:val="none"/>
              </w:rPr>
              <w:t>免费质保</w:t>
            </w:r>
            <w:r>
              <w:rPr>
                <w:b/>
                <w:color w:val="auto"/>
                <w:sz w:val="18"/>
                <w:szCs w:val="18"/>
                <w:highlight w:val="none"/>
              </w:rPr>
              <w:t>8</w:t>
            </w:r>
            <w:r>
              <w:rPr>
                <w:rFonts w:hint="eastAsia"/>
                <w:b/>
                <w:color w:val="auto"/>
                <w:sz w:val="18"/>
                <w:szCs w:val="18"/>
                <w:highlight w:val="none"/>
              </w:rPr>
              <w:t>年（含易损、易耗件）</w:t>
            </w:r>
            <w:r>
              <w:rPr>
                <w:rFonts w:hint="eastAsia"/>
                <w:b/>
                <w:bCs/>
                <w:color w:val="auto"/>
                <w:sz w:val="18"/>
                <w:szCs w:val="18"/>
                <w:highlight w:val="none"/>
              </w:rPr>
              <w:t>附承诺书</w:t>
            </w:r>
            <w:r>
              <w:rPr>
                <w:rFonts w:hint="eastAsia"/>
                <w:color w:val="auto"/>
                <w:sz w:val="18"/>
                <w:szCs w:val="18"/>
                <w:highlight w:val="none"/>
              </w:rPr>
              <w: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驱动电机</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提供投标车型的驱动电机峰值功率</w:t>
            </w:r>
            <w:r>
              <w:rPr>
                <w:color w:val="auto"/>
                <w:sz w:val="18"/>
                <w:szCs w:val="18"/>
                <w:highlight w:val="none"/>
              </w:rPr>
              <w:t>/</w:t>
            </w:r>
            <w:r>
              <w:rPr>
                <w:rFonts w:hint="eastAsia"/>
                <w:color w:val="auto"/>
                <w:sz w:val="18"/>
                <w:szCs w:val="18"/>
                <w:highlight w:val="none"/>
              </w:rPr>
              <w:t>转速</w:t>
            </w:r>
            <w:r>
              <w:rPr>
                <w:color w:val="auto"/>
                <w:sz w:val="18"/>
                <w:szCs w:val="18"/>
                <w:highlight w:val="none"/>
              </w:rPr>
              <w:t>/</w:t>
            </w:r>
            <w:r>
              <w:rPr>
                <w:rFonts w:hint="eastAsia"/>
                <w:color w:val="auto"/>
                <w:sz w:val="18"/>
                <w:szCs w:val="18"/>
                <w:highlight w:val="none"/>
              </w:rPr>
              <w:t>转矩，以投标车型《新能源汽车推广应用推荐车型目录》或第三方检测报告等相关证明材料为准。</w:t>
            </w:r>
          </w:p>
          <w:p>
            <w:pPr>
              <w:rPr>
                <w:color w:val="auto"/>
                <w:sz w:val="18"/>
                <w:szCs w:val="18"/>
                <w:highlight w:val="none"/>
              </w:rPr>
            </w:pPr>
            <w:r>
              <w:rPr>
                <w:rFonts w:hint="eastAsia"/>
                <w:color w:val="auto"/>
                <w:sz w:val="18"/>
                <w:szCs w:val="18"/>
                <w:highlight w:val="none"/>
              </w:rPr>
              <w:t>选用质量稳定性好、效率高、噪音低的优秀品牌的永磁同步电机，水冷驱动电机，冷却方式，标配智能散热系统。选配无刷风机，铜制水箱、高端优质水泵。</w:t>
            </w:r>
          </w:p>
          <w:p>
            <w:pPr>
              <w:rPr>
                <w:color w:val="auto"/>
                <w:sz w:val="18"/>
                <w:szCs w:val="18"/>
                <w:highlight w:val="none"/>
              </w:rPr>
            </w:pPr>
            <w:r>
              <w:rPr>
                <w:rFonts w:hint="eastAsia"/>
                <w:color w:val="auto"/>
                <w:sz w:val="18"/>
                <w:szCs w:val="18"/>
                <w:highlight w:val="none"/>
              </w:rPr>
              <w:t>电机额定功率≧</w:t>
            </w:r>
            <w:r>
              <w:rPr>
                <w:color w:val="auto"/>
                <w:sz w:val="18"/>
                <w:szCs w:val="18"/>
                <w:highlight w:val="none"/>
              </w:rPr>
              <w:t>60KW</w:t>
            </w:r>
            <w:r>
              <w:rPr>
                <w:rFonts w:hint="eastAsia"/>
                <w:color w:val="auto"/>
                <w:sz w:val="18"/>
                <w:szCs w:val="18"/>
                <w:highlight w:val="none"/>
              </w:rPr>
              <w:t>/峰值功率≧100kw，具备过温、过压、欠压、过流保护功能；</w:t>
            </w:r>
            <w:r>
              <w:rPr>
                <w:rFonts w:hint="eastAsia"/>
                <w:b/>
                <w:bCs/>
                <w:color w:val="auto"/>
                <w:sz w:val="18"/>
                <w:szCs w:val="18"/>
                <w:highlight w:val="none"/>
              </w:rPr>
              <w:t>免费质保</w:t>
            </w:r>
            <w:r>
              <w:rPr>
                <w:b/>
                <w:bCs/>
                <w:color w:val="auto"/>
                <w:sz w:val="18"/>
                <w:szCs w:val="18"/>
                <w:highlight w:val="none"/>
              </w:rPr>
              <w:t>8</w:t>
            </w:r>
            <w:r>
              <w:rPr>
                <w:rFonts w:hint="eastAsia"/>
                <w:b/>
                <w:bCs/>
                <w:color w:val="auto"/>
                <w:sz w:val="18"/>
                <w:szCs w:val="18"/>
                <w:highlight w:val="none"/>
              </w:rPr>
              <w:t>年（含易损、易耗件）。附承诺书。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18"/>
                <w:szCs w:val="18"/>
                <w:highlight w:val="none"/>
              </w:rPr>
            </w:pPr>
            <w:r>
              <w:rPr>
                <w:rFonts w:hint="eastAsia"/>
                <w:color w:val="auto"/>
                <w:sz w:val="18"/>
                <w:szCs w:val="18"/>
                <w:highlight w:val="none"/>
              </w:rPr>
              <w:t>空调系统</w:t>
            </w:r>
          </w:p>
        </w:tc>
        <w:tc>
          <w:tcPr>
            <w:tcW w:w="5807"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18"/>
                <w:szCs w:val="18"/>
                <w:highlight w:val="none"/>
              </w:rPr>
            </w:pPr>
            <w:r>
              <w:rPr>
                <w:rFonts w:hint="eastAsia"/>
                <w:color w:val="auto"/>
                <w:sz w:val="18"/>
                <w:szCs w:val="18"/>
                <w:highlight w:val="none"/>
              </w:rPr>
              <w:t>智能变频单冷+</w:t>
            </w:r>
            <w:r>
              <w:rPr>
                <w:color w:val="auto"/>
                <w:sz w:val="18"/>
                <w:szCs w:val="18"/>
                <w:highlight w:val="none"/>
              </w:rPr>
              <w:t>PTC</w:t>
            </w:r>
            <w:r>
              <w:rPr>
                <w:rFonts w:hint="eastAsia"/>
                <w:color w:val="auto"/>
                <w:sz w:val="18"/>
                <w:szCs w:val="18"/>
                <w:highlight w:val="none"/>
              </w:rPr>
              <w:t>制热空调+动力电池热管理系统；制冷量≥</w:t>
            </w:r>
            <w:r>
              <w:rPr>
                <w:color w:val="auto"/>
                <w:sz w:val="18"/>
                <w:szCs w:val="18"/>
                <w:highlight w:val="none"/>
              </w:rPr>
              <w:t>14000</w:t>
            </w:r>
            <w:r>
              <w:rPr>
                <w:rFonts w:hint="eastAsia"/>
                <w:color w:val="auto"/>
                <w:sz w:val="18"/>
                <w:szCs w:val="18"/>
                <w:highlight w:val="none"/>
              </w:rPr>
              <w:t>大卡；空调机组安装牢固可靠，整机性能稳定，拆装清洁方便。前、后车厢及驾驶区各部位温度均匀一致。风道内增设导流板，确保冷风有效引入车厢。冷凝、蒸发风机采用</w:t>
            </w:r>
            <w:r>
              <w:rPr>
                <w:rFonts w:hint="eastAsia"/>
                <w:bCs/>
                <w:color w:val="auto"/>
                <w:sz w:val="18"/>
                <w:szCs w:val="18"/>
                <w:highlight w:val="none"/>
              </w:rPr>
              <w:t>空调厂家标配</w:t>
            </w:r>
            <w:r>
              <w:rPr>
                <w:rFonts w:hint="eastAsia"/>
                <w:color w:val="auto"/>
                <w:sz w:val="18"/>
                <w:szCs w:val="18"/>
                <w:highlight w:val="none"/>
              </w:rPr>
              <w:t>无刷风机，</w:t>
            </w:r>
            <w:r>
              <w:rPr>
                <w:rFonts w:hint="eastAsia"/>
                <w:b/>
                <w:color w:val="auto"/>
                <w:sz w:val="18"/>
                <w:szCs w:val="18"/>
                <w:highlight w:val="none"/>
              </w:rPr>
              <w:t>进口或国产</w:t>
            </w:r>
            <w:r>
              <w:rPr>
                <w:rFonts w:hint="eastAsia"/>
                <w:color w:val="auto"/>
                <w:sz w:val="18"/>
                <w:szCs w:val="18"/>
                <w:highlight w:val="none"/>
              </w:rPr>
              <w:t>膨胀阀、干燥过滤器、电磁阀、视液镜、离合器；</w:t>
            </w:r>
            <w:r>
              <w:rPr>
                <w:rFonts w:hint="eastAsia"/>
                <w:b/>
                <w:color w:val="auto"/>
                <w:sz w:val="18"/>
                <w:szCs w:val="18"/>
                <w:highlight w:val="none"/>
              </w:rPr>
              <w:t>进口或国产</w:t>
            </w:r>
            <w:r>
              <w:rPr>
                <w:rFonts w:hint="eastAsia"/>
                <w:color w:val="auto"/>
                <w:sz w:val="18"/>
                <w:szCs w:val="18"/>
                <w:highlight w:val="none"/>
              </w:rPr>
              <w:t>卧式全封闭变频涡旋压缩机；空调保险采用防松保险，空调管道采用紫铜管，空调底座采用铝合金材料，</w:t>
            </w:r>
            <w:r>
              <w:rPr>
                <w:rFonts w:hint="eastAsia"/>
                <w:b/>
                <w:bCs/>
                <w:color w:val="auto"/>
                <w:sz w:val="18"/>
                <w:szCs w:val="18"/>
                <w:highlight w:val="none"/>
              </w:rPr>
              <w:t>空调及热管理系统免费质保</w:t>
            </w:r>
            <w:r>
              <w:rPr>
                <w:b/>
                <w:bCs/>
                <w:color w:val="auto"/>
                <w:sz w:val="18"/>
                <w:szCs w:val="18"/>
                <w:highlight w:val="none"/>
              </w:rPr>
              <w:t>8</w:t>
            </w:r>
            <w:r>
              <w:rPr>
                <w:rFonts w:hint="eastAsia"/>
                <w:b/>
                <w:bCs/>
                <w:color w:val="auto"/>
                <w:sz w:val="18"/>
                <w:szCs w:val="18"/>
                <w:highlight w:val="none"/>
              </w:rPr>
              <w:t>年（含空调易损、易耗件，水箱、水泵、热管理系统模块）附承诺书。</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rPr>
              <w:t>暖风系统</w:t>
            </w:r>
          </w:p>
        </w:tc>
        <w:tc>
          <w:tcPr>
            <w:tcW w:w="5807"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18"/>
                <w:szCs w:val="18"/>
                <w:highlight w:val="none"/>
              </w:rPr>
            </w:pPr>
            <w:r>
              <w:rPr>
                <w:rFonts w:hint="eastAsia"/>
                <w:color w:val="auto"/>
                <w:sz w:val="18"/>
                <w:szCs w:val="18"/>
                <w:highlight w:val="none"/>
              </w:rPr>
              <w:t>司机处增设一个出风口（便于司机脚部取暖），前挡风玻璃处安装除霜机。</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18"/>
                <w:szCs w:val="18"/>
                <w:highlight w:val="none"/>
              </w:rPr>
              <w:t>/</w:t>
            </w:r>
          </w:p>
        </w:tc>
        <w:tc>
          <w:tcPr>
            <w:tcW w:w="136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ascii="宋体" w:hAnsi="宋体"/>
                <w:color w:val="auto"/>
                <w:sz w:val="24"/>
                <w:highlight w:val="none"/>
              </w:rPr>
              <w:t>▲</w:t>
            </w:r>
            <w:r>
              <w:rPr>
                <w:rFonts w:hint="eastAsia"/>
                <w:color w:val="auto"/>
                <w:sz w:val="18"/>
                <w:szCs w:val="18"/>
                <w:highlight w:val="none"/>
              </w:rPr>
              <w:t xml:space="preserve"> 电驱空气压缩机</w:t>
            </w:r>
          </w:p>
        </w:tc>
        <w:tc>
          <w:tcPr>
            <w:tcW w:w="580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300" w:lineRule="exact"/>
              <w:rPr>
                <w:b/>
                <w:bCs/>
                <w:color w:val="auto"/>
                <w:sz w:val="18"/>
                <w:szCs w:val="18"/>
                <w:highlight w:val="none"/>
              </w:rPr>
            </w:pPr>
            <w:r>
              <w:rPr>
                <w:rFonts w:hint="eastAsia"/>
                <w:color w:val="auto"/>
                <w:sz w:val="18"/>
                <w:szCs w:val="18"/>
                <w:highlight w:val="none"/>
              </w:rPr>
              <w:t>无油电驱空气压缩机，防护等级≧</w:t>
            </w:r>
            <w:r>
              <w:rPr>
                <w:color w:val="auto"/>
                <w:sz w:val="18"/>
                <w:szCs w:val="18"/>
                <w:highlight w:val="none"/>
              </w:rPr>
              <w:t>IP68</w:t>
            </w:r>
            <w:r>
              <w:rPr>
                <w:rFonts w:hint="eastAsia"/>
                <w:color w:val="auto"/>
                <w:sz w:val="18"/>
                <w:szCs w:val="18"/>
                <w:highlight w:val="none"/>
              </w:rPr>
              <w:t>认证，国家一级能效标识，</w:t>
            </w:r>
            <w:r>
              <w:rPr>
                <w:color w:val="auto"/>
                <w:sz w:val="18"/>
                <w:szCs w:val="18"/>
                <w:highlight w:val="none"/>
              </w:rPr>
              <w:t>EMC</w:t>
            </w:r>
            <w:r>
              <w:rPr>
                <w:rFonts w:hint="eastAsia"/>
                <w:color w:val="auto"/>
                <w:sz w:val="18"/>
                <w:szCs w:val="18"/>
                <w:highlight w:val="none"/>
              </w:rPr>
              <w:t>电磁干扰认证，轻量环保静音，符合车辆营运要求，</w:t>
            </w:r>
            <w:r>
              <w:rPr>
                <w:rFonts w:hint="eastAsia"/>
                <w:b/>
                <w:bCs/>
                <w:color w:val="auto"/>
                <w:sz w:val="18"/>
                <w:szCs w:val="18"/>
                <w:highlight w:val="none"/>
              </w:rPr>
              <w:t>免费质保</w:t>
            </w:r>
            <w:r>
              <w:rPr>
                <w:b/>
                <w:bCs/>
                <w:color w:val="auto"/>
                <w:sz w:val="18"/>
                <w:szCs w:val="18"/>
                <w:highlight w:val="none"/>
              </w:rPr>
              <w:t>8</w:t>
            </w:r>
            <w:r>
              <w:rPr>
                <w:rFonts w:hint="eastAsia"/>
                <w:b/>
                <w:bCs/>
                <w:color w:val="auto"/>
                <w:sz w:val="18"/>
                <w:szCs w:val="18"/>
                <w:highlight w:val="none"/>
              </w:rPr>
              <w:t>年（含易损、易耗件）。附承诺书。</w:t>
            </w:r>
          </w:p>
          <w:p>
            <w:pPr>
              <w:numPr>
                <w:ilvl w:val="0"/>
                <w:numId w:val="14"/>
              </w:numPr>
              <w:spacing w:line="300" w:lineRule="exact"/>
              <w:rPr>
                <w:color w:val="auto"/>
                <w:sz w:val="18"/>
                <w:szCs w:val="18"/>
                <w:highlight w:val="none"/>
              </w:rPr>
            </w:pPr>
            <w:r>
              <w:rPr>
                <w:rFonts w:hint="eastAsia"/>
                <w:color w:val="auto"/>
                <w:sz w:val="18"/>
                <w:szCs w:val="18"/>
                <w:highlight w:val="none"/>
              </w:rPr>
              <w:t>整车电气安全性：电池、电机防尘、水性的防护级别，防护等级≥</w:t>
            </w:r>
            <w:r>
              <w:rPr>
                <w:color w:val="auto"/>
                <w:sz w:val="18"/>
                <w:szCs w:val="18"/>
                <w:highlight w:val="none"/>
              </w:rPr>
              <w:t>IP68</w:t>
            </w:r>
            <w:r>
              <w:rPr>
                <w:rFonts w:hint="eastAsia"/>
                <w:color w:val="auto"/>
                <w:sz w:val="18"/>
                <w:szCs w:val="18"/>
                <w:highlight w:val="none"/>
              </w:rPr>
              <w:t>；高压电缆，耐压≥</w:t>
            </w:r>
            <w:r>
              <w:rPr>
                <w:color w:val="auto"/>
                <w:sz w:val="18"/>
                <w:szCs w:val="18"/>
                <w:highlight w:val="none"/>
              </w:rPr>
              <w:t>700V</w:t>
            </w:r>
            <w:r>
              <w:rPr>
                <w:rFonts w:hint="eastAsia"/>
                <w:color w:val="auto"/>
                <w:sz w:val="18"/>
                <w:szCs w:val="18"/>
                <w:highlight w:val="none"/>
              </w:rPr>
              <w:t>；涉水深度（</w:t>
            </w:r>
            <w:r>
              <w:rPr>
                <w:color w:val="auto"/>
                <w:sz w:val="18"/>
                <w:szCs w:val="18"/>
                <w:highlight w:val="none"/>
              </w:rPr>
              <w:t>m</w:t>
            </w:r>
            <w:r>
              <w:rPr>
                <w:rFonts w:hint="eastAsia"/>
                <w:color w:val="auto"/>
                <w:sz w:val="18"/>
                <w:szCs w:val="18"/>
                <w:highlight w:val="none"/>
              </w:rPr>
              <w:t>）≥</w:t>
            </w:r>
            <w:r>
              <w:rPr>
                <w:color w:val="auto"/>
                <w:sz w:val="18"/>
                <w:szCs w:val="18"/>
                <w:highlight w:val="none"/>
              </w:rPr>
              <w:t>0.30</w:t>
            </w:r>
            <w:r>
              <w:rPr>
                <w:rFonts w:hint="eastAsia"/>
                <w:color w:val="auto"/>
                <w:sz w:val="18"/>
                <w:szCs w:val="18"/>
                <w:highlight w:val="none"/>
              </w:rPr>
              <w:t>。</w:t>
            </w:r>
          </w:p>
          <w:p>
            <w:pPr>
              <w:spacing w:line="300" w:lineRule="exact"/>
              <w:rPr>
                <w:color w:val="auto"/>
                <w:sz w:val="18"/>
                <w:szCs w:val="18"/>
                <w:highlight w:val="none"/>
              </w:rPr>
            </w:pPr>
            <w:r>
              <w:rPr>
                <w:rFonts w:hint="eastAsia"/>
                <w:color w:val="auto"/>
                <w:sz w:val="18"/>
                <w:szCs w:val="18"/>
                <w:highlight w:val="none"/>
              </w:rPr>
              <w:t>3、电驱转向油泵：优选高压</w:t>
            </w:r>
            <w:r>
              <w:rPr>
                <w:color w:val="auto"/>
                <w:sz w:val="18"/>
                <w:szCs w:val="18"/>
                <w:highlight w:val="none"/>
              </w:rPr>
              <w:t>600V/</w:t>
            </w:r>
            <w:r>
              <w:rPr>
                <w:rFonts w:hint="eastAsia"/>
                <w:color w:val="auto"/>
                <w:sz w:val="18"/>
                <w:szCs w:val="18"/>
                <w:highlight w:val="none"/>
              </w:rPr>
              <w:t>低压</w:t>
            </w:r>
            <w:r>
              <w:rPr>
                <w:color w:val="auto"/>
                <w:sz w:val="18"/>
                <w:szCs w:val="18"/>
                <w:highlight w:val="none"/>
              </w:rPr>
              <w:t>24V</w:t>
            </w:r>
            <w:r>
              <w:rPr>
                <w:rFonts w:hint="eastAsia"/>
                <w:color w:val="auto"/>
                <w:sz w:val="18"/>
                <w:szCs w:val="18"/>
                <w:highlight w:val="none"/>
              </w:rPr>
              <w:t>双源助力转向系统，要求一体化双源控制器，一体双绕组转向电机。可选单源电动助力转向系统。产品质量稳定性好、效率高、噪音低的优秀品牌，符合车辆营运要求，</w:t>
            </w:r>
            <w:r>
              <w:rPr>
                <w:rFonts w:hint="eastAsia"/>
                <w:b/>
                <w:bCs/>
                <w:color w:val="auto"/>
                <w:sz w:val="18"/>
                <w:szCs w:val="18"/>
                <w:highlight w:val="none"/>
              </w:rPr>
              <w:t>免费质保</w:t>
            </w:r>
            <w:r>
              <w:rPr>
                <w:b/>
                <w:bCs/>
                <w:color w:val="auto"/>
                <w:sz w:val="18"/>
                <w:szCs w:val="18"/>
                <w:highlight w:val="none"/>
              </w:rPr>
              <w:t>8</w:t>
            </w:r>
            <w:r>
              <w:rPr>
                <w:rFonts w:hint="eastAsia"/>
                <w:b/>
                <w:bCs/>
                <w:color w:val="auto"/>
                <w:sz w:val="18"/>
                <w:szCs w:val="18"/>
                <w:highlight w:val="none"/>
              </w:rPr>
              <w:t>年（含易损、易耗件）。附承诺书。</w:t>
            </w:r>
          </w:p>
        </w:tc>
        <w:tc>
          <w:tcPr>
            <w:tcW w:w="1281"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 xml:space="preserve"> </w:t>
            </w:r>
            <w:r>
              <w:rPr>
                <w:color w:val="auto"/>
                <w:highlight w:val="none"/>
              </w:rPr>
              <w:t xml:space="preserve">   /</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b/>
                <w:color w:val="auto"/>
                <w:sz w:val="18"/>
                <w:szCs w:val="18"/>
                <w:highlight w:val="none"/>
              </w:rPr>
            </w:pPr>
            <w:r>
              <w:rPr>
                <w:rFonts w:hint="eastAsia"/>
                <w:b/>
                <w:color w:val="auto"/>
                <w:sz w:val="18"/>
                <w:szCs w:val="18"/>
                <w:highlight w:val="none"/>
              </w:rPr>
              <w:t>车身系统、底盘部分要求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rPr>
              <w:t>前转向桥</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核载≥3</w:t>
            </w:r>
            <w:r>
              <w:rPr>
                <w:color w:val="auto"/>
                <w:sz w:val="18"/>
                <w:szCs w:val="18"/>
                <w:highlight w:val="none"/>
              </w:rPr>
              <w:t>T</w:t>
            </w:r>
            <w:r>
              <w:rPr>
                <w:rFonts w:hint="eastAsia"/>
                <w:color w:val="auto"/>
                <w:sz w:val="18"/>
                <w:szCs w:val="18"/>
                <w:highlight w:val="none"/>
              </w:rPr>
              <w:t>；整体锻钢件、端掌式；盘式制动器；脂润滑免维护轮毂专用车桥，车桥必须与免维护轮毂总成相匹配，便于制动盘、制动蹄铁总成的拆卸和安装，</w:t>
            </w:r>
            <w:r>
              <w:rPr>
                <w:rFonts w:hint="eastAsia"/>
                <w:b/>
                <w:color w:val="auto"/>
                <w:sz w:val="18"/>
                <w:szCs w:val="18"/>
                <w:highlight w:val="none"/>
              </w:rPr>
              <w:t>脂润滑免维护轮毂总成要求免费质保</w:t>
            </w:r>
            <w:r>
              <w:rPr>
                <w:b/>
                <w:color w:val="auto"/>
                <w:sz w:val="18"/>
                <w:szCs w:val="18"/>
                <w:highlight w:val="none"/>
              </w:rPr>
              <w:t>8</w:t>
            </w:r>
            <w:r>
              <w:rPr>
                <w:rFonts w:hint="eastAsia"/>
                <w:b/>
                <w:color w:val="auto"/>
                <w:sz w:val="18"/>
                <w:szCs w:val="18"/>
                <w:highlight w:val="none"/>
              </w:rPr>
              <w:t>年,</w:t>
            </w:r>
            <w:r>
              <w:rPr>
                <w:rFonts w:hint="eastAsia"/>
                <w:b/>
                <w:bCs/>
                <w:color w:val="auto"/>
                <w:sz w:val="18"/>
                <w:szCs w:val="18"/>
                <w:highlight w:val="none"/>
              </w:rPr>
              <w:t>附承诺书</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lang w:eastAsia="zh-CN"/>
              </w:rPr>
              <w:t>方盛、东风、汉德、精益达</w:t>
            </w:r>
          </w:p>
        </w:tc>
        <w:tc>
          <w:tcPr>
            <w:tcW w:w="1366" w:type="dxa"/>
            <w:vMerge w:val="restart"/>
            <w:tcBorders>
              <w:top w:val="single" w:color="auto" w:sz="4" w:space="0"/>
              <w:left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rPr>
              <w:t>后驱动桥</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核载≥5</w:t>
            </w:r>
            <w:r>
              <w:rPr>
                <w:color w:val="auto"/>
                <w:sz w:val="18"/>
                <w:szCs w:val="18"/>
                <w:highlight w:val="none"/>
              </w:rPr>
              <w:t>T</w:t>
            </w:r>
            <w:r>
              <w:rPr>
                <w:rFonts w:hint="eastAsia"/>
                <w:color w:val="auto"/>
                <w:sz w:val="18"/>
                <w:szCs w:val="18"/>
                <w:highlight w:val="none"/>
              </w:rPr>
              <w:t>；脂润滑免维护轮毂整体式精磨齿全浮式后桥，盘式制动器，车桥必须与免维护轮毂总成相匹配，便于制动盘、制动蹄铁总成的拆卸和安装，</w:t>
            </w:r>
            <w:r>
              <w:rPr>
                <w:rFonts w:hint="eastAsia"/>
                <w:b/>
                <w:bCs/>
                <w:color w:val="auto"/>
                <w:sz w:val="18"/>
                <w:szCs w:val="18"/>
                <w:highlight w:val="none"/>
              </w:rPr>
              <w:t>脂润滑</w:t>
            </w:r>
            <w:r>
              <w:rPr>
                <w:rFonts w:hint="eastAsia"/>
                <w:b/>
                <w:color w:val="auto"/>
                <w:sz w:val="18"/>
                <w:szCs w:val="18"/>
                <w:highlight w:val="none"/>
              </w:rPr>
              <w:t>免维护轮毂总成要求免费质保</w:t>
            </w:r>
            <w:r>
              <w:rPr>
                <w:b/>
                <w:color w:val="auto"/>
                <w:sz w:val="18"/>
                <w:szCs w:val="18"/>
                <w:highlight w:val="none"/>
              </w:rPr>
              <w:t>8</w:t>
            </w:r>
            <w:r>
              <w:rPr>
                <w:rFonts w:hint="eastAsia"/>
                <w:b/>
                <w:color w:val="auto"/>
                <w:sz w:val="18"/>
                <w:szCs w:val="18"/>
                <w:highlight w:val="none"/>
              </w:rPr>
              <w:t>年,</w:t>
            </w:r>
            <w:r>
              <w:rPr>
                <w:rFonts w:hint="eastAsia"/>
                <w:b/>
                <w:bCs/>
                <w:color w:val="auto"/>
                <w:sz w:val="18"/>
                <w:szCs w:val="18"/>
                <w:highlight w:val="none"/>
              </w:rPr>
              <w:t>附承诺书</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lang w:eastAsia="zh-CN"/>
              </w:rPr>
              <w:t>方盛、东风、汉德、精益达</w:t>
            </w:r>
          </w:p>
        </w:tc>
        <w:tc>
          <w:tcPr>
            <w:tcW w:w="1366" w:type="dxa"/>
            <w:vMerge w:val="continue"/>
            <w:tcBorders>
              <w:left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sz w:val="18"/>
                <w:szCs w:val="18"/>
                <w:highlight w:val="none"/>
              </w:rPr>
              <w:t>悬架系统、制动系统、承载方式</w:t>
            </w:r>
          </w:p>
        </w:tc>
        <w:tc>
          <w:tcPr>
            <w:tcW w:w="5807" w:type="dxa"/>
            <w:tcBorders>
              <w:top w:val="single" w:color="auto" w:sz="4" w:space="0"/>
              <w:left w:val="single" w:color="auto" w:sz="4" w:space="0"/>
              <w:bottom w:val="single" w:color="auto" w:sz="4" w:space="0"/>
              <w:right w:val="single" w:color="auto" w:sz="4" w:space="0"/>
            </w:tcBorders>
            <w:vAlign w:val="center"/>
          </w:tcPr>
          <w:p>
            <w:pPr>
              <w:numPr>
                <w:ilvl w:val="0"/>
                <w:numId w:val="15"/>
              </w:numPr>
              <w:rPr>
                <w:b/>
                <w:bCs/>
                <w:color w:val="auto"/>
                <w:sz w:val="18"/>
                <w:szCs w:val="18"/>
                <w:highlight w:val="none"/>
              </w:rPr>
            </w:pPr>
            <w:r>
              <w:rPr>
                <w:rFonts w:hint="eastAsia"/>
                <w:color w:val="auto"/>
                <w:sz w:val="18"/>
                <w:szCs w:val="18"/>
                <w:highlight w:val="none"/>
              </w:rPr>
              <w:t>板簧或更优</w:t>
            </w:r>
          </w:p>
          <w:p>
            <w:pPr>
              <w:numPr>
                <w:ilvl w:val="0"/>
                <w:numId w:val="15"/>
              </w:numPr>
              <w:rPr>
                <w:color w:val="auto"/>
                <w:sz w:val="18"/>
                <w:szCs w:val="18"/>
                <w:highlight w:val="none"/>
              </w:rPr>
            </w:pPr>
            <w:r>
              <w:rPr>
                <w:rFonts w:hint="eastAsia"/>
                <w:color w:val="auto"/>
                <w:sz w:val="18"/>
                <w:szCs w:val="18"/>
                <w:highlight w:val="none"/>
              </w:rPr>
              <w:t>用双管路气制动，主要管路用优质铜管，部分用亚太管，应有干燥冷却功能，并能自动排气净化油水；制动总阀的制动灯应安装继电器保护开关；要求总泵安装位置拆卸方便。带</w:t>
            </w:r>
            <w:r>
              <w:rPr>
                <w:color w:val="auto"/>
                <w:sz w:val="18"/>
                <w:szCs w:val="18"/>
                <w:highlight w:val="none"/>
              </w:rPr>
              <w:t>ABS</w:t>
            </w:r>
            <w:r>
              <w:rPr>
                <w:rFonts w:hint="eastAsia"/>
                <w:color w:val="auto"/>
                <w:sz w:val="18"/>
                <w:szCs w:val="18"/>
                <w:highlight w:val="none"/>
              </w:rPr>
              <w:t>防抱死制动系统。</w:t>
            </w:r>
          </w:p>
          <w:p>
            <w:pPr>
              <w:numPr>
                <w:ilvl w:val="0"/>
                <w:numId w:val="15"/>
              </w:numPr>
              <w:rPr>
                <w:b/>
                <w:color w:val="auto"/>
                <w:sz w:val="18"/>
                <w:szCs w:val="18"/>
                <w:highlight w:val="none"/>
              </w:rPr>
            </w:pPr>
            <w:r>
              <w:rPr>
                <w:rFonts w:hint="eastAsia"/>
                <w:color w:val="auto"/>
                <w:sz w:val="18"/>
                <w:szCs w:val="18"/>
                <w:highlight w:val="none"/>
              </w:rPr>
              <w:t>配制动钳高温报警系统，</w:t>
            </w:r>
            <w:r>
              <w:rPr>
                <w:rFonts w:hint="eastAsia"/>
                <w:b/>
                <w:color w:val="auto"/>
                <w:sz w:val="18"/>
                <w:szCs w:val="18"/>
                <w:highlight w:val="none"/>
              </w:rPr>
              <w:t>免费质保</w:t>
            </w:r>
            <w:r>
              <w:rPr>
                <w:b/>
                <w:color w:val="auto"/>
                <w:sz w:val="18"/>
                <w:szCs w:val="18"/>
                <w:highlight w:val="none"/>
              </w:rPr>
              <w:t>8</w:t>
            </w:r>
            <w:r>
              <w:rPr>
                <w:rFonts w:hint="eastAsia"/>
                <w:b/>
                <w:color w:val="auto"/>
                <w:sz w:val="18"/>
                <w:szCs w:val="18"/>
                <w:highlight w:val="none"/>
              </w:rPr>
              <w:t>年（含易损、易耗件）,附承诺书。</w:t>
            </w:r>
          </w:p>
          <w:p>
            <w:pPr>
              <w:rPr>
                <w:color w:val="auto"/>
                <w:szCs w:val="21"/>
                <w:highlight w:val="none"/>
              </w:rPr>
            </w:pPr>
            <w:r>
              <w:rPr>
                <w:rFonts w:hint="eastAsia"/>
                <w:b/>
                <w:color w:val="auto"/>
                <w:sz w:val="18"/>
                <w:szCs w:val="18"/>
                <w:highlight w:val="none"/>
              </w:rPr>
              <w:t>4、</w:t>
            </w:r>
            <w:r>
              <w:rPr>
                <w:rFonts w:hint="eastAsia"/>
                <w:color w:val="auto"/>
                <w:sz w:val="18"/>
                <w:szCs w:val="18"/>
                <w:highlight w:val="none"/>
              </w:rPr>
              <w:t>全承载</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 w:val="18"/>
                <w:szCs w:val="18"/>
                <w:highlight w:val="none"/>
              </w:rPr>
              <w:t>/</w:t>
            </w:r>
          </w:p>
        </w:tc>
        <w:tc>
          <w:tcPr>
            <w:tcW w:w="1366" w:type="dxa"/>
            <w:vMerge w:val="continue"/>
            <w:tcBorders>
              <w:left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18"/>
                <w:szCs w:val="18"/>
                <w:highlight w:val="none"/>
              </w:rPr>
            </w:pPr>
            <w:r>
              <w:rPr>
                <w:rFonts w:hint="eastAsia"/>
                <w:color w:val="auto"/>
                <w:sz w:val="18"/>
                <w:szCs w:val="18"/>
                <w:highlight w:val="none"/>
              </w:rPr>
              <w:t>集中润滑</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lang w:eastAsia="zh-CN"/>
              </w:rPr>
              <w:t>脂润滑，</w:t>
            </w:r>
            <w:r>
              <w:rPr>
                <w:rFonts w:hint="eastAsia"/>
                <w:color w:val="auto"/>
                <w:sz w:val="18"/>
                <w:szCs w:val="18"/>
                <w:highlight w:val="none"/>
              </w:rPr>
              <w:t>最高压力达到</w:t>
            </w:r>
            <w:r>
              <w:rPr>
                <w:color w:val="auto"/>
                <w:sz w:val="18"/>
                <w:szCs w:val="18"/>
                <w:highlight w:val="none"/>
              </w:rPr>
              <w:t>6.3-8.0MPa</w:t>
            </w:r>
            <w:r>
              <w:rPr>
                <w:rFonts w:hint="eastAsia"/>
                <w:color w:val="auto"/>
                <w:sz w:val="18"/>
                <w:szCs w:val="18"/>
                <w:highlight w:val="none"/>
              </w:rPr>
              <w:t>，</w:t>
            </w:r>
            <w:r>
              <w:rPr>
                <w:rFonts w:hint="eastAsia"/>
                <w:b/>
                <w:color w:val="auto"/>
                <w:sz w:val="18"/>
                <w:szCs w:val="18"/>
                <w:highlight w:val="none"/>
              </w:rPr>
              <w:t>免费质保</w:t>
            </w:r>
            <w:r>
              <w:rPr>
                <w:b/>
                <w:color w:val="auto"/>
                <w:sz w:val="18"/>
                <w:szCs w:val="18"/>
                <w:highlight w:val="none"/>
              </w:rPr>
              <w:t>8</w:t>
            </w:r>
            <w:r>
              <w:rPr>
                <w:rFonts w:hint="eastAsia"/>
                <w:b/>
                <w:color w:val="auto"/>
                <w:sz w:val="18"/>
                <w:szCs w:val="18"/>
                <w:highlight w:val="none"/>
              </w:rPr>
              <w:t>年（含易损、易耗件）,附承诺书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left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轮胎</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知名品牌公交车专用真空胎，备胎</w:t>
            </w:r>
            <w:r>
              <w:rPr>
                <w:color w:val="auto"/>
                <w:sz w:val="18"/>
                <w:szCs w:val="18"/>
                <w:highlight w:val="none"/>
              </w:rPr>
              <w:t>1</w:t>
            </w:r>
            <w:r>
              <w:rPr>
                <w:rFonts w:hint="eastAsia"/>
                <w:color w:val="auto"/>
                <w:sz w:val="18"/>
                <w:szCs w:val="18"/>
                <w:highlight w:val="none"/>
              </w:rPr>
              <w:t>只(同尺寸</w:t>
            </w:r>
            <w:r>
              <w:rPr>
                <w:rFonts w:hint="eastAsia"/>
                <w:b w:val="0"/>
                <w:bCs w:val="0"/>
                <w:color w:val="auto"/>
                <w:sz w:val="18"/>
                <w:szCs w:val="18"/>
                <w:highlight w:val="none"/>
                <w:lang w:eastAsia="zh-CN"/>
              </w:rPr>
              <w:t>同品牌</w:t>
            </w:r>
            <w:r>
              <w:rPr>
                <w:rFonts w:hint="eastAsia"/>
                <w:color w:val="auto"/>
                <w:sz w:val="18"/>
                <w:szCs w:val="18"/>
                <w:highlight w:val="none"/>
              </w:rPr>
              <w: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 xml:space="preserve">   /</w:t>
            </w:r>
          </w:p>
        </w:tc>
        <w:tc>
          <w:tcPr>
            <w:tcW w:w="1366" w:type="dxa"/>
            <w:vMerge w:val="continue"/>
            <w:tcBorders>
              <w:left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轮辋</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锻造铝合金车轮表面必须有经强化处理工艺（提高产品表面硬度）</w:t>
            </w:r>
            <w:r>
              <w:rPr>
                <w:rFonts w:hint="eastAsia"/>
                <w:color w:val="auto"/>
                <w:sz w:val="18"/>
                <w:szCs w:val="18"/>
                <w:highlight w:val="none"/>
                <w:lang w:eastAsia="zh-CN"/>
              </w:rPr>
              <w:t>，</w:t>
            </w:r>
            <w:r>
              <w:rPr>
                <w:rFonts w:hint="eastAsia"/>
                <w:b/>
                <w:bCs/>
                <w:color w:val="auto"/>
                <w:sz w:val="18"/>
                <w:szCs w:val="18"/>
                <w:highlight w:val="none"/>
              </w:rPr>
              <w:t>免费质保8年附承诺书。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18"/>
                <w:szCs w:val="18"/>
                <w:highlight w:val="none"/>
              </w:rPr>
              <w:t>/</w:t>
            </w:r>
          </w:p>
        </w:tc>
        <w:tc>
          <w:tcPr>
            <w:tcW w:w="1366" w:type="dxa"/>
            <w:vMerge w:val="continue"/>
            <w:tcBorders>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踏步型式</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b/>
                <w:bCs/>
                <w:color w:val="auto"/>
                <w:sz w:val="18"/>
                <w:szCs w:val="18"/>
                <w:highlight w:val="none"/>
              </w:rPr>
              <w:t>二级踏步或更优</w:t>
            </w:r>
            <w:r>
              <w:rPr>
                <w:rFonts w:hint="eastAsia"/>
                <w:color w:val="auto"/>
                <w:sz w:val="18"/>
                <w:szCs w:val="18"/>
                <w:highlight w:val="none"/>
              </w:rPr>
              <w:t>，第一级踏步高度</w:t>
            </w:r>
            <w:r>
              <w:rPr>
                <w:rFonts w:hint="eastAsia" w:ascii="宋体" w:hAnsi="宋体" w:cs="宋体"/>
                <w:color w:val="auto"/>
                <w:sz w:val="18"/>
                <w:szCs w:val="18"/>
                <w:highlight w:val="none"/>
              </w:rPr>
              <w:t>≦</w:t>
            </w:r>
            <w:r>
              <w:rPr>
                <w:color w:val="auto"/>
                <w:sz w:val="18"/>
                <w:szCs w:val="18"/>
                <w:highlight w:val="none"/>
              </w:rPr>
              <w:t>365mm</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车身防腐</w:t>
            </w:r>
          </w:p>
          <w:p>
            <w:pPr>
              <w:jc w:val="center"/>
              <w:rPr>
                <w:color w:val="auto"/>
                <w:sz w:val="18"/>
                <w:szCs w:val="18"/>
                <w:highlight w:val="none"/>
              </w:rPr>
            </w:pPr>
            <w:r>
              <w:rPr>
                <w:rFonts w:hint="eastAsia"/>
                <w:color w:val="auto"/>
                <w:sz w:val="18"/>
                <w:szCs w:val="18"/>
                <w:highlight w:val="none"/>
              </w:rPr>
              <w:t>要求</w:t>
            </w:r>
          </w:p>
        </w:tc>
        <w:tc>
          <w:tcPr>
            <w:tcW w:w="5807" w:type="dxa"/>
            <w:tcBorders>
              <w:top w:val="single" w:color="auto" w:sz="4" w:space="0"/>
              <w:left w:val="single" w:color="auto" w:sz="4" w:space="0"/>
              <w:bottom w:val="single" w:color="auto" w:sz="4" w:space="0"/>
              <w:right w:val="single" w:color="auto" w:sz="4" w:space="0"/>
            </w:tcBorders>
            <w:vAlign w:val="center"/>
          </w:tcPr>
          <w:p>
            <w:pPr>
              <w:rPr>
                <w:bCs/>
                <w:color w:val="auto"/>
                <w:sz w:val="18"/>
                <w:szCs w:val="18"/>
                <w:highlight w:val="none"/>
              </w:rPr>
            </w:pPr>
            <w:r>
              <w:rPr>
                <w:rFonts w:hint="eastAsia"/>
                <w:color w:val="auto"/>
                <w:sz w:val="18"/>
                <w:szCs w:val="18"/>
                <w:highlight w:val="none"/>
              </w:rPr>
              <w:t>采用整车电泳工艺，全车采用优质防腐蚀技术，骨架与蒙皮、骨架与地板等接合缝处采用聚氨酯密封胶进行密封防水防锈处理，</w:t>
            </w:r>
            <w:r>
              <w:rPr>
                <w:rFonts w:hint="eastAsia"/>
                <w:b/>
                <w:color w:val="auto"/>
                <w:sz w:val="18"/>
                <w:szCs w:val="18"/>
                <w:highlight w:val="none"/>
              </w:rPr>
              <w:t>整车防腐效果达到</w:t>
            </w:r>
            <w:r>
              <w:rPr>
                <w:b/>
                <w:color w:val="auto"/>
                <w:sz w:val="18"/>
                <w:szCs w:val="18"/>
                <w:highlight w:val="none"/>
              </w:rPr>
              <w:t>8</w:t>
            </w:r>
            <w:r>
              <w:rPr>
                <w:rFonts w:hint="eastAsia"/>
                <w:b/>
                <w:color w:val="auto"/>
                <w:sz w:val="18"/>
                <w:szCs w:val="18"/>
                <w:highlight w:val="none"/>
              </w:rPr>
              <w:t>年以上。</w:t>
            </w:r>
            <w:r>
              <w:rPr>
                <w:rFonts w:hint="eastAsia"/>
                <w:b/>
                <w:bCs/>
                <w:color w:val="auto"/>
                <w:sz w:val="18"/>
                <w:szCs w:val="18"/>
                <w:highlight w:val="none"/>
              </w:rPr>
              <w:t>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车身结构</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车辆采用轻量化设计，全承载式车身，车辆纵梁前部适当位置应设置拖钩，拖钩及连接部位骨架、连接方式应满足车辆拖动施救的需求，要求使用方便，拖拉固定可靠。同时纵梁前部区域的各类管路、线束的布置应充分考虑拖车时的运动干涉，以免损坏。车厢两边及乘客门上配流水槽。</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tcBorders>
              <w:top w:val="single" w:color="auto" w:sz="4" w:space="0"/>
              <w:left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驾驶室</w:t>
            </w:r>
            <w:r>
              <w:rPr>
                <w:color w:val="auto"/>
                <w:sz w:val="18"/>
                <w:szCs w:val="18"/>
                <w:highlight w:val="none"/>
              </w:rPr>
              <w:t xml:space="preserve">     </w:t>
            </w:r>
            <w:r>
              <w:rPr>
                <w:rFonts w:hint="eastAsia"/>
                <w:color w:val="auto"/>
                <w:sz w:val="18"/>
                <w:szCs w:val="18"/>
                <w:highlight w:val="none"/>
              </w:rPr>
              <w:t>仪表台</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精美、平整、软化处理；仪表台可靠耐用，与整车内饰协调</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车厢布局</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布局合理，空间最大化</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车厢侧围及</w:t>
            </w:r>
          </w:p>
          <w:p>
            <w:pPr>
              <w:jc w:val="center"/>
              <w:rPr>
                <w:color w:val="auto"/>
                <w:sz w:val="18"/>
                <w:szCs w:val="18"/>
                <w:highlight w:val="none"/>
              </w:rPr>
            </w:pPr>
            <w:r>
              <w:rPr>
                <w:rFonts w:hint="eastAsia"/>
                <w:color w:val="auto"/>
                <w:sz w:val="18"/>
                <w:szCs w:val="18"/>
                <w:highlight w:val="none"/>
              </w:rPr>
              <w:t>车顶装饰</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PVC</w:t>
            </w:r>
            <w:r>
              <w:rPr>
                <w:rFonts w:hint="eastAsia"/>
                <w:color w:val="auto"/>
                <w:sz w:val="18"/>
                <w:szCs w:val="18"/>
                <w:highlight w:val="none"/>
              </w:rPr>
              <w:t>侧围装饰板、铝塑打孔板顶板</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电风扇</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配驾驶员软叶小电风扇</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安全天窗</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带换气扇安全出口</w:t>
            </w:r>
            <w:r>
              <w:rPr>
                <w:b/>
                <w:color w:val="auto"/>
                <w:sz w:val="18"/>
                <w:szCs w:val="18"/>
                <w:highlight w:val="none"/>
              </w:rPr>
              <w:t>1</w:t>
            </w:r>
            <w:r>
              <w:rPr>
                <w:rFonts w:hint="eastAsia"/>
                <w:color w:val="auto"/>
                <w:sz w:val="18"/>
                <w:szCs w:val="18"/>
                <w:highlight w:val="none"/>
              </w:rPr>
              <w:t>只</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风道</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采用智能铝合金节能风道，灯箱式广告牌左右各</w:t>
            </w:r>
            <w:r>
              <w:rPr>
                <w:rFonts w:hint="eastAsia"/>
                <w:color w:val="auto"/>
                <w:sz w:val="18"/>
                <w:szCs w:val="18"/>
                <w:highlight w:val="none"/>
                <w:lang w:eastAsia="zh-CN"/>
              </w:rPr>
              <w:t>三个</w:t>
            </w:r>
            <w:r>
              <w:rPr>
                <w:rFonts w:hint="eastAsia"/>
                <w:color w:val="auto"/>
                <w:sz w:val="18"/>
                <w:szCs w:val="18"/>
                <w:highlight w:val="none"/>
              </w:rPr>
              <w:t>。出风口能自动调节大小和开关，实现车内温度均匀，节能8%以上，需要有第三方检测报告</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驾驶员座椅</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高靠背可调空气悬浮式座椅</w:t>
            </w:r>
            <w:r>
              <w:rPr>
                <w:color w:val="auto"/>
                <w:sz w:val="18"/>
                <w:szCs w:val="18"/>
                <w:highlight w:val="none"/>
              </w:rPr>
              <w:t>+</w:t>
            </w:r>
            <w:r>
              <w:rPr>
                <w:rFonts w:hint="eastAsia"/>
                <w:color w:val="auto"/>
                <w:sz w:val="18"/>
                <w:szCs w:val="18"/>
                <w:highlight w:val="none"/>
              </w:rPr>
              <w:t>三点式安全带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驾驶舱隔离设施</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驾驶舱全包围，包围符合JT/T1241-2019标准要求；隔离设施醒目位置设置提醒标识，标识内容及位置按 JT/T1240-2019中8.9条规定。质保8年。</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乘客座椅</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采用整体优质公交乘客座椅，座椅支架固定可靠，</w:t>
            </w:r>
            <w:r>
              <w:rPr>
                <w:color w:val="auto"/>
                <w:sz w:val="18"/>
                <w:szCs w:val="18"/>
                <w:highlight w:val="none"/>
              </w:rPr>
              <w:t>4</w:t>
            </w:r>
            <w:r>
              <w:rPr>
                <w:rFonts w:hint="eastAsia"/>
                <w:color w:val="auto"/>
                <w:sz w:val="18"/>
                <w:szCs w:val="18"/>
                <w:highlight w:val="none"/>
              </w:rPr>
              <w:t>只照顾专座，照顾专座贴“照顾专座”字样。座椅阻燃等级要求达</w:t>
            </w:r>
            <w:r>
              <w:rPr>
                <w:color w:val="auto"/>
                <w:sz w:val="18"/>
                <w:szCs w:val="18"/>
                <w:highlight w:val="none"/>
              </w:rPr>
              <w:t>V-0</w:t>
            </w:r>
            <w:r>
              <w:rPr>
                <w:rFonts w:hint="eastAsia"/>
                <w:color w:val="auto"/>
                <w:sz w:val="18"/>
                <w:szCs w:val="18"/>
                <w:highlight w:val="none"/>
              </w:rPr>
              <w:t>。</w:t>
            </w:r>
            <w:r>
              <w:rPr>
                <w:rFonts w:hint="eastAsia"/>
                <w:b/>
                <w:bCs/>
                <w:color w:val="auto"/>
                <w:sz w:val="18"/>
                <w:szCs w:val="18"/>
                <w:highlight w:val="none"/>
              </w:rPr>
              <w:t>座椅免费质保,8年，附承诺书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乘客门</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前、中门，设内外应急阀，有速度和缓冲调节装置，性能可靠、维护方便</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公交标识</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上客门、下客门、爱心专座等标识按实施的新版《城市公共交通标志》标准制作；</w:t>
            </w:r>
            <w:r>
              <w:rPr>
                <w:rFonts w:hint="eastAsia" w:ascii="宋体" w:hAnsi="宋体" w:cs="宋体"/>
                <w:color w:val="auto"/>
                <w:kern w:val="0"/>
                <w:sz w:val="18"/>
                <w:szCs w:val="18"/>
                <w:highlight w:val="none"/>
                <w:lang w:bidi="ar"/>
              </w:rPr>
              <w:t>车辆前轮后方离地 30CM 处印制红色涉水深度警戒线；车辆后方中间和司机包围侧面恰当位置粘贴“车厢内禁止吸烟， 请勿饮食”；踏步处采用带“站立禁区”字样的黄色耐磨型石英砂地板革。</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驾驶员、车门内、外应急开关</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前后车门内“紧急开门应急阀”装在驾驶区，前后车门内外各</w:t>
            </w:r>
            <w:r>
              <w:rPr>
                <w:color w:val="auto"/>
                <w:sz w:val="18"/>
                <w:szCs w:val="18"/>
                <w:highlight w:val="none"/>
              </w:rPr>
              <w:t>1</w:t>
            </w:r>
            <w:r>
              <w:rPr>
                <w:rFonts w:hint="eastAsia"/>
                <w:color w:val="auto"/>
                <w:sz w:val="18"/>
                <w:szCs w:val="18"/>
                <w:highlight w:val="none"/>
              </w:rPr>
              <w:t>只，“紧急开门应急阀”应设明显使用标识</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紧急停车门铃</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配下车门紧急停车门铃按钮，</w:t>
            </w:r>
            <w:r>
              <w:rPr>
                <w:rFonts w:hint="eastAsia" w:ascii="宋体" w:hAnsi="宋体" w:cs="宋体"/>
                <w:color w:val="auto"/>
                <w:kern w:val="0"/>
                <w:sz w:val="18"/>
                <w:szCs w:val="18"/>
                <w:highlight w:val="none"/>
                <w:lang w:bidi="ar"/>
              </w:rPr>
              <w:t>门铃旁边位置印有“下车请按铃”提示，门铃按响后5秒内自动停止。</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安全提示灯箱</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车内明显位置安装“坐好扶稳”（带英文）安全提示灯箱。</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喇叭</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车前部安装电、气喇叭，尾部安装倒车语音喇叭</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前／后挡风玻璃、侧车窗</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前挡为双层夹胶防紫外线隔热全景玻璃；后挡为隔热钢化玻璃；均采用粘接式结构。侧窗：内嵌式防紫外线隔热推拉式车窗玻璃，满足上牌要求，安装侧车窗窗帘。</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自动破窗装置</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1、安装符合国标要求的手自一体、一拖四自动破窗器。</w:t>
            </w:r>
          </w:p>
          <w:p>
            <w:pPr>
              <w:rPr>
                <w:color w:val="auto"/>
                <w:sz w:val="18"/>
                <w:szCs w:val="18"/>
                <w:highlight w:val="none"/>
              </w:rPr>
            </w:pPr>
            <w:r>
              <w:rPr>
                <w:rFonts w:hint="eastAsia"/>
                <w:color w:val="auto"/>
                <w:sz w:val="18"/>
                <w:szCs w:val="18"/>
                <w:highlight w:val="none"/>
              </w:rPr>
              <w:t>2、生产企业需通过IATF16949:2016汽车质量管理体系认证，具备国家客车质量监督检验中心《客车自动破窗装置》的检验报告，装置符合国家交通运输部行业JT/T1030-2016《客车电磁击窗器标准》。</w:t>
            </w:r>
          </w:p>
          <w:p>
            <w:pPr>
              <w:rPr>
                <w:color w:val="auto"/>
                <w:sz w:val="18"/>
                <w:szCs w:val="18"/>
                <w:highlight w:val="none"/>
              </w:rPr>
            </w:pPr>
            <w:r>
              <w:rPr>
                <w:rFonts w:hint="eastAsia"/>
                <w:color w:val="auto"/>
                <w:sz w:val="18"/>
                <w:szCs w:val="18"/>
                <w:highlight w:val="none"/>
              </w:rPr>
              <w:t>3、破窗装置需采用电动机作为动能破窗，具备手自一体破窗，并有手动破窗防误触碰报警功能。</w:t>
            </w:r>
          </w:p>
          <w:p>
            <w:pPr>
              <w:rPr>
                <w:color w:val="auto"/>
                <w:sz w:val="18"/>
                <w:szCs w:val="18"/>
                <w:highlight w:val="none"/>
              </w:rPr>
            </w:pPr>
            <w:r>
              <w:rPr>
                <w:rFonts w:hint="eastAsia"/>
                <w:color w:val="auto"/>
                <w:sz w:val="18"/>
                <w:szCs w:val="18"/>
                <w:highlight w:val="none"/>
              </w:rPr>
              <w:t>4、破窗装置采用翻盖防误触碰报警，单个破窗装置破窗工作时的电流应不大于1安倍；破窗装置重要功能应符合国家交通运输行业《城市公共汽电车辆专用安全设施技术要求JT/T1391-2021》中相关标准。</w:t>
            </w:r>
          </w:p>
          <w:p>
            <w:pPr>
              <w:rPr>
                <w:color w:val="auto"/>
                <w:sz w:val="18"/>
                <w:szCs w:val="18"/>
                <w:highlight w:val="none"/>
              </w:rPr>
            </w:pPr>
            <w:r>
              <w:rPr>
                <w:rFonts w:hint="eastAsia"/>
                <w:color w:val="auto"/>
                <w:sz w:val="18"/>
                <w:szCs w:val="18"/>
                <w:highlight w:val="none"/>
              </w:rPr>
              <w:t>5、破窗装置采用的控制开关应同时具备自动检测故障和防误触碰报警保护功能；应具备24小时全程（主动）自动检测故障报警提示功能，且同时具有单个及多个破窗器线路故障提示功能，便于及时发现故障及时检修。</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易燃挥发物 监测报警仪</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车辆应配备符合JT/T1240-2019标准的易燃挥发物监测报警仪，质保8年（含易损、易耗件）。</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车载酒精检测设备</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驾驶室内安装酒精检测设备，具备人脸识别，安全宣教，酒精检测等功能，免费提供后台管理软件，</w:t>
            </w:r>
            <w:r>
              <w:rPr>
                <w:rFonts w:hint="eastAsia" w:ascii="宋体" w:hAnsi="宋体" w:cs="宋体"/>
                <w:b/>
                <w:bCs/>
                <w:color w:val="auto"/>
                <w:kern w:val="0"/>
                <w:sz w:val="18"/>
                <w:szCs w:val="18"/>
                <w:highlight w:val="none"/>
                <w:lang w:bidi="ar"/>
              </w:rPr>
              <w:t>免费提供设备的8年流量及8年质保（含易损、易耗件）</w:t>
            </w:r>
            <w:r>
              <w:rPr>
                <w:rFonts w:hint="eastAsia" w:ascii="宋体" w:hAnsi="宋体" w:cs="宋体"/>
                <w:color w:val="auto"/>
                <w:kern w:val="0"/>
                <w:sz w:val="18"/>
                <w:szCs w:val="18"/>
                <w:highlight w:val="none"/>
                <w:lang w:bidi="ar"/>
              </w:rPr>
              <w: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多媒体视频</w:t>
            </w:r>
          </w:p>
          <w:p>
            <w:pPr>
              <w:jc w:val="center"/>
              <w:rPr>
                <w:color w:val="auto"/>
                <w:sz w:val="18"/>
                <w:szCs w:val="18"/>
                <w:highlight w:val="none"/>
              </w:rPr>
            </w:pP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多媒体电视机：一台，规格22寸，安装在驾驶座背后司机包围上（如因车内结构原因需更换规格或安装位置的，需经采购方确认）；多媒体视频支持现有系统平台并具备远程更新视频功能，具体安装方案、功能要求和数据符合采购方现有多媒体视频系统对接要求。（质保 8 年）</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USB 插座</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侧围合适位置安装USB插座，每个插座带2个USB插口。</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lang w:eastAsia="zh-CN"/>
              </w:rPr>
              <w:t>前挡</w:t>
            </w:r>
            <w:r>
              <w:rPr>
                <w:rFonts w:hint="eastAsia"/>
                <w:color w:val="auto"/>
                <w:sz w:val="18"/>
                <w:szCs w:val="18"/>
                <w:highlight w:val="none"/>
              </w:rPr>
              <w:t>遮阳帘</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手动单幅下拉自锁式</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司机遮阳帘</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下拉自锁式司机遮阳帘</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全车窗帘</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垂直折叠片式窗帘</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雨刮器</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两速雨刮电机或更优产品</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车外后视镜</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普通杆式无盲区左短右长后视镜或更优产品</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扶手杆</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顶扶手采用铝合金扶手加吊环，直扶手加套防寒套。质保 8 年（包括防寒套）。</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灭火器</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前、后</w:t>
            </w:r>
            <w:r>
              <w:rPr>
                <w:color w:val="auto"/>
                <w:sz w:val="18"/>
                <w:szCs w:val="18"/>
                <w:highlight w:val="none"/>
              </w:rPr>
              <w:t>4</w:t>
            </w:r>
            <w:r>
              <w:rPr>
                <w:rFonts w:hint="eastAsia"/>
                <w:color w:val="auto"/>
                <w:sz w:val="18"/>
                <w:szCs w:val="18"/>
                <w:highlight w:val="none"/>
              </w:rPr>
              <w:t>公斤灭火器各</w:t>
            </w:r>
            <w:r>
              <w:rPr>
                <w:b/>
                <w:color w:val="auto"/>
                <w:sz w:val="18"/>
                <w:szCs w:val="18"/>
                <w:highlight w:val="none"/>
              </w:rPr>
              <w:t>1</w:t>
            </w:r>
            <w:r>
              <w:rPr>
                <w:rFonts w:hint="eastAsia"/>
                <w:color w:val="auto"/>
                <w:sz w:val="18"/>
                <w:szCs w:val="18"/>
                <w:highlight w:val="none"/>
              </w:rPr>
              <w:t>只</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安全锤</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配</w:t>
            </w:r>
            <w:r>
              <w:rPr>
                <w:b/>
                <w:color w:val="auto"/>
                <w:sz w:val="18"/>
                <w:szCs w:val="18"/>
                <w:highlight w:val="none"/>
              </w:rPr>
              <w:t>5</w:t>
            </w:r>
            <w:r>
              <w:rPr>
                <w:rFonts w:hint="eastAsia"/>
                <w:color w:val="auto"/>
                <w:sz w:val="18"/>
                <w:szCs w:val="18"/>
                <w:highlight w:val="none"/>
              </w:rPr>
              <w:t>只（带防盗自动报警型）安全锤，其中司机旁安装</w:t>
            </w:r>
            <w:r>
              <w:rPr>
                <w:b/>
                <w:color w:val="auto"/>
                <w:sz w:val="18"/>
                <w:szCs w:val="18"/>
                <w:highlight w:val="none"/>
              </w:rPr>
              <w:t>1</w:t>
            </w:r>
            <w:r>
              <w:rPr>
                <w:rFonts w:hint="eastAsia"/>
                <w:color w:val="auto"/>
                <w:sz w:val="18"/>
                <w:szCs w:val="18"/>
                <w:highlight w:val="none"/>
              </w:rPr>
              <w:t>只，符合</w:t>
            </w:r>
            <w:r>
              <w:rPr>
                <w:color w:val="auto"/>
                <w:sz w:val="18"/>
                <w:szCs w:val="18"/>
                <w:highlight w:val="none"/>
              </w:rPr>
              <w:t>GB7258-2017</w:t>
            </w:r>
            <w:r>
              <w:rPr>
                <w:rFonts w:hint="eastAsia"/>
                <w:color w:val="auto"/>
                <w:sz w:val="18"/>
                <w:szCs w:val="18"/>
                <w:highlight w:val="none"/>
              </w:rPr>
              <w:t>《机动车运行安全技术条件》要求</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PVC</w:t>
            </w:r>
            <w:r>
              <w:rPr>
                <w:rFonts w:hint="eastAsia"/>
                <w:color w:val="auto"/>
                <w:sz w:val="18"/>
                <w:szCs w:val="18"/>
                <w:highlight w:val="none"/>
              </w:rPr>
              <w:t>地板</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lang w:val="en-US" w:eastAsia="zh-CN"/>
              </w:rPr>
              <w:t>安装车用PVC高品质耐高温阻燃专用、防腐、环保地板，符合国标。厚度≥18mm，地板铺设工艺需按照地板生产厂家工艺要求，</w:t>
            </w:r>
            <w:r>
              <w:rPr>
                <w:rFonts w:hint="eastAsia"/>
                <w:b/>
                <w:bCs/>
                <w:color w:val="auto"/>
                <w:sz w:val="18"/>
                <w:szCs w:val="18"/>
                <w:highlight w:val="none"/>
                <w:lang w:val="en-US" w:eastAsia="zh-CN"/>
              </w:rPr>
              <w:t>免费质保8年</w:t>
            </w:r>
            <w:r>
              <w:rPr>
                <w:rFonts w:hint="eastAsia"/>
                <w:color w:val="auto"/>
                <w:sz w:val="18"/>
                <w:szCs w:val="18"/>
                <w:highlight w:val="none"/>
                <w:lang w:val="en-US" w:eastAsia="zh-CN"/>
              </w:rPr>
              <w:t>。加密加大地板下纵、横支撑梁，防止地板悬空断裂、下沉。</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地板革</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lang w:val="en-US" w:eastAsia="zh-CN"/>
              </w:rPr>
              <w:t>铺设灰色优质地板革，阻燃、环保、耐脏、石英砂、防滑，平整无明显凸起，地板革需符合GB38262-2019标准，幅宽3米整张铺装，平面无焊接，地板革与车厢内连接工艺应采用地板革延伸到内旁板上低于150mm，防滑等级R11，耐磨等级T级，质保八年。前后乘客门区域须设有站立（黄色）标志。</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整车防火隔热降噪处理</w:t>
            </w:r>
          </w:p>
        </w:tc>
        <w:tc>
          <w:tcPr>
            <w:tcW w:w="58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18"/>
                <w:szCs w:val="18"/>
                <w:highlight w:val="none"/>
              </w:rPr>
            </w:pPr>
            <w:r>
              <w:rPr>
                <w:rFonts w:hint="eastAsia" w:ascii="宋体" w:hAnsi="宋体"/>
                <w:color w:val="auto"/>
                <w:sz w:val="18"/>
                <w:szCs w:val="18"/>
                <w:highlight w:val="none"/>
              </w:rPr>
              <w:t>整车使用防火阻燃隔音环保材料，符合国家相关标准和要求。</w:t>
            </w:r>
          </w:p>
          <w:p>
            <w:pPr>
              <w:rPr>
                <w:rFonts w:ascii="宋体" w:hAnsi="宋体"/>
                <w:color w:val="auto"/>
                <w:sz w:val="18"/>
                <w:szCs w:val="18"/>
                <w:highlight w:val="none"/>
              </w:rPr>
            </w:pPr>
            <w:r>
              <w:rPr>
                <w:rFonts w:hint="eastAsia" w:ascii="宋体" w:hAnsi="宋体"/>
                <w:color w:val="auto"/>
                <w:sz w:val="18"/>
                <w:szCs w:val="18"/>
                <w:highlight w:val="none"/>
              </w:rPr>
              <w:t>车顶棚骨架、侧围骨架使用阻燃隔热环保闭泡材料；底盘使用乙烯基隔声降噪材料。技术性能必须达到 GB38262-2019《汽车内饰材料燃烧特性》，防火等级A0级，内饰材料须提供国家认可机构报告。防火要求：车顶、侧围和电池舱阻燃材料氧指数≧39%，底盘隔音阻燃材料氧指数≧32%。产品要求抗菌、防潮、防霉、环保 ，整车使用防火隔热降噪材料。</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地板检修舱口</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充分考虑维修的方便性，检修盖板拉手隐性结构；地板上的检修舱口盖压边框为整体式铝型材，采用双层密封结构</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电子钟</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电子钟（带温度计显示）</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蓄电池</w:t>
            </w:r>
          </w:p>
        </w:tc>
        <w:tc>
          <w:tcPr>
            <w:tcW w:w="5807" w:type="dxa"/>
            <w:tcBorders>
              <w:top w:val="single" w:color="auto" w:sz="4" w:space="0"/>
              <w:left w:val="single" w:color="auto" w:sz="4" w:space="0"/>
              <w:bottom w:val="single" w:color="auto" w:sz="4" w:space="0"/>
              <w:right w:val="single" w:color="auto" w:sz="4" w:space="0"/>
            </w:tcBorders>
            <w:vAlign w:val="center"/>
          </w:tcPr>
          <w:p>
            <w:pPr>
              <w:rPr>
                <w:rFonts w:hint="eastAsia"/>
                <w:color w:val="auto"/>
                <w:sz w:val="18"/>
                <w:szCs w:val="18"/>
                <w:highlight w:val="none"/>
              </w:rPr>
            </w:pPr>
            <w:r>
              <w:rPr>
                <w:rFonts w:hint="eastAsia"/>
                <w:color w:val="auto"/>
                <w:sz w:val="18"/>
                <w:szCs w:val="18"/>
                <w:highlight w:val="none"/>
              </w:rPr>
              <w:t>1</w:t>
            </w:r>
            <w:r>
              <w:rPr>
                <w:rFonts w:hint="eastAsia"/>
                <w:color w:val="auto"/>
                <w:sz w:val="18"/>
                <w:szCs w:val="18"/>
                <w:highlight w:val="none"/>
                <w:lang w:val="en-US" w:eastAsia="zh-CN"/>
              </w:rPr>
              <w:t>.</w:t>
            </w:r>
            <w:r>
              <w:rPr>
                <w:rFonts w:hint="eastAsia"/>
                <w:color w:val="auto"/>
                <w:sz w:val="18"/>
                <w:szCs w:val="18"/>
                <w:highlight w:val="none"/>
              </w:rPr>
              <w:t>配备低压锂电池系统，电压24V，容量80AH，采用磷酸铁锂电芯，电池系统质保</w:t>
            </w:r>
            <w:r>
              <w:rPr>
                <w:rFonts w:hint="eastAsia"/>
                <w:color w:val="auto"/>
                <w:sz w:val="18"/>
                <w:szCs w:val="18"/>
                <w:highlight w:val="none"/>
                <w:lang w:val="en-US" w:eastAsia="zh-CN"/>
              </w:rPr>
              <w:t>5</w:t>
            </w:r>
            <w:r>
              <w:rPr>
                <w:rFonts w:hint="eastAsia"/>
                <w:color w:val="auto"/>
                <w:sz w:val="18"/>
                <w:szCs w:val="18"/>
                <w:highlight w:val="none"/>
              </w:rPr>
              <w:t>年。</w:t>
            </w:r>
          </w:p>
          <w:p>
            <w:pPr>
              <w:rPr>
                <w:rFonts w:hint="eastAsia"/>
                <w:color w:val="auto"/>
                <w:sz w:val="18"/>
                <w:szCs w:val="18"/>
                <w:highlight w:val="none"/>
              </w:rPr>
            </w:pPr>
            <w:r>
              <w:rPr>
                <w:rFonts w:hint="eastAsia"/>
                <w:color w:val="auto"/>
                <w:sz w:val="18"/>
                <w:szCs w:val="18"/>
                <w:highlight w:val="none"/>
              </w:rPr>
              <w:t>2</w:t>
            </w:r>
            <w:r>
              <w:rPr>
                <w:rFonts w:hint="eastAsia"/>
                <w:color w:val="auto"/>
                <w:sz w:val="18"/>
                <w:szCs w:val="18"/>
                <w:highlight w:val="none"/>
                <w:lang w:val="en-US" w:eastAsia="zh-CN"/>
              </w:rPr>
              <w:t>.</w:t>
            </w:r>
            <w:r>
              <w:rPr>
                <w:rFonts w:hint="eastAsia"/>
                <w:color w:val="auto"/>
                <w:sz w:val="18"/>
                <w:szCs w:val="18"/>
                <w:highlight w:val="none"/>
              </w:rPr>
              <w:t>电池整体防水等级IP68，防火阻燃V-0等级。</w:t>
            </w:r>
          </w:p>
          <w:p>
            <w:pPr>
              <w:rPr>
                <w:rFonts w:hint="eastAsia"/>
                <w:color w:val="auto"/>
                <w:sz w:val="18"/>
                <w:szCs w:val="18"/>
                <w:highlight w:val="none"/>
              </w:rPr>
            </w:pPr>
            <w:r>
              <w:rPr>
                <w:rFonts w:hint="eastAsia"/>
                <w:color w:val="auto"/>
                <w:sz w:val="18"/>
                <w:szCs w:val="18"/>
                <w:highlight w:val="none"/>
              </w:rPr>
              <w:t>3</w:t>
            </w:r>
            <w:r>
              <w:rPr>
                <w:rFonts w:hint="eastAsia"/>
                <w:color w:val="auto"/>
                <w:sz w:val="18"/>
                <w:szCs w:val="18"/>
                <w:highlight w:val="none"/>
                <w:lang w:val="en-US" w:eastAsia="zh-CN"/>
              </w:rPr>
              <w:t>.</w:t>
            </w:r>
            <w:r>
              <w:rPr>
                <w:rFonts w:hint="eastAsia"/>
                <w:color w:val="auto"/>
                <w:sz w:val="18"/>
                <w:szCs w:val="18"/>
                <w:highlight w:val="none"/>
              </w:rPr>
              <w:t>电池自带电源管理系统（BMS），具有智慧管理，应急启动，过流保护，温度保护，短路保护，充电均衡功能。</w:t>
            </w:r>
          </w:p>
          <w:p>
            <w:pPr>
              <w:rPr>
                <w:rFonts w:hint="eastAsia"/>
                <w:color w:val="auto"/>
                <w:sz w:val="18"/>
                <w:szCs w:val="18"/>
                <w:highlight w:val="none"/>
              </w:rPr>
            </w:pPr>
            <w:r>
              <w:rPr>
                <w:rFonts w:hint="eastAsia"/>
                <w:color w:val="auto"/>
                <w:sz w:val="18"/>
                <w:szCs w:val="18"/>
                <w:highlight w:val="none"/>
                <w:lang w:val="en-US" w:eastAsia="zh-CN"/>
              </w:rPr>
              <w:t>4.</w:t>
            </w:r>
            <w:r>
              <w:rPr>
                <w:rFonts w:hint="eastAsia"/>
                <w:color w:val="auto"/>
                <w:sz w:val="18"/>
                <w:szCs w:val="18"/>
                <w:highlight w:val="none"/>
              </w:rPr>
              <w:t>产品预留CAN接口，能与整车CAN进行通信。</w:t>
            </w:r>
          </w:p>
          <w:p>
            <w:pPr>
              <w:rPr>
                <w:rFonts w:hint="eastAsia"/>
                <w:color w:val="auto"/>
                <w:sz w:val="18"/>
                <w:szCs w:val="18"/>
                <w:highlight w:val="none"/>
              </w:rPr>
            </w:pPr>
            <w:r>
              <w:rPr>
                <w:rFonts w:hint="eastAsia"/>
                <w:color w:val="auto"/>
                <w:sz w:val="18"/>
                <w:szCs w:val="18"/>
                <w:highlight w:val="none"/>
              </w:rPr>
              <w:t>5.BMS具有休眠及唤醒功能</w:t>
            </w:r>
          </w:p>
          <w:p>
            <w:pPr>
              <w:rPr>
                <w:color w:val="auto"/>
                <w:sz w:val="18"/>
                <w:szCs w:val="18"/>
                <w:highlight w:val="none"/>
              </w:rPr>
            </w:pPr>
            <w:r>
              <w:rPr>
                <w:rFonts w:hint="eastAsia"/>
                <w:color w:val="auto"/>
                <w:sz w:val="18"/>
                <w:szCs w:val="18"/>
                <w:highlight w:val="none"/>
              </w:rPr>
              <w:t>6.产品通过UN38.3，CE及EMC测试认证。</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油漆图案</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国产素色漆，图案投标方提供方案由招标单位选择</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b/>
                <w:color w:val="auto"/>
                <w:sz w:val="18"/>
                <w:szCs w:val="18"/>
                <w:highlight w:val="none"/>
              </w:rPr>
              <w:t>辅助设施要求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投币机</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r>
              <w:rPr>
                <w:rFonts w:hint="eastAsia" w:ascii="宋体" w:hAnsi="宋体" w:cs="宋体"/>
                <w:color w:val="auto"/>
                <w:kern w:val="0"/>
                <w:sz w:val="18"/>
                <w:szCs w:val="18"/>
                <w:highlight w:val="none"/>
                <w:lang w:bidi="ar"/>
              </w:rPr>
              <w:t>不锈钢材质，外观小巧精致，安装在合适位置（投币机款式和安装位置需经采购方确认），投币箱接线设置独立电源保险丝，具有可靠的防盗功能及与门联动功能。投币机配</w:t>
            </w:r>
            <w:r>
              <w:rPr>
                <w:rFonts w:hint="eastAsia" w:ascii="宋体" w:hAnsi="宋体" w:cs="宋体"/>
                <w:color w:val="auto"/>
                <w:kern w:val="0"/>
                <w:sz w:val="18"/>
                <w:szCs w:val="18"/>
                <w:highlight w:val="none"/>
                <w:lang w:val="en-US" w:eastAsia="zh-CN" w:bidi="ar"/>
              </w:rPr>
              <w:t>2.5</w:t>
            </w:r>
            <w:r>
              <w:rPr>
                <w:rFonts w:hint="eastAsia" w:ascii="宋体" w:hAnsi="宋体" w:cs="宋体"/>
                <w:color w:val="auto"/>
                <w:kern w:val="0"/>
                <w:sz w:val="18"/>
                <w:szCs w:val="18"/>
                <w:highlight w:val="none"/>
                <w:lang w:bidi="ar"/>
              </w:rPr>
              <w:t>个内胆。</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车载智能设备</w:t>
            </w:r>
          </w:p>
        </w:tc>
        <w:tc>
          <w:tcPr>
            <w:tcW w:w="5807" w:type="dxa"/>
            <w:tcBorders>
              <w:top w:val="single" w:color="auto" w:sz="4" w:space="0"/>
              <w:left w:val="single" w:color="auto" w:sz="4" w:space="0"/>
              <w:bottom w:val="single" w:color="auto" w:sz="4" w:space="0"/>
              <w:right w:val="single" w:color="auto" w:sz="4" w:space="0"/>
            </w:tcBorders>
            <w:vAlign w:val="center"/>
          </w:tcPr>
          <w:p>
            <w:pPr>
              <w:rPr>
                <w:bCs/>
                <w:color w:val="auto"/>
                <w:sz w:val="18"/>
                <w:szCs w:val="18"/>
                <w:highlight w:val="none"/>
              </w:rPr>
            </w:pPr>
            <w:r>
              <w:rPr>
                <w:rFonts w:hint="eastAsia" w:asciiTheme="minorEastAsia" w:hAnsiTheme="minorEastAsia" w:eastAsiaTheme="minorEastAsia"/>
                <w:color w:val="auto"/>
                <w:sz w:val="18"/>
                <w:szCs w:val="18"/>
                <w:highlight w:val="none"/>
              </w:rPr>
              <w:t>车载智能设备线路须要预埋，线缆型号、数量及位置以采购单位实际使用的设备型号为准。</w:t>
            </w:r>
            <w:r>
              <w:rPr>
                <w:rFonts w:hint="eastAsia" w:asciiTheme="minorEastAsia" w:hAnsiTheme="minorEastAsia" w:eastAsiaTheme="minorEastAsia"/>
                <w:color w:val="auto"/>
                <w:sz w:val="18"/>
                <w:szCs w:val="18"/>
                <w:highlight w:val="none"/>
                <w:lang w:val="en-US" w:eastAsia="zh-CN"/>
              </w:rPr>
              <w:t>配备弱电箱，方便安装</w:t>
            </w:r>
            <w:r>
              <w:rPr>
                <w:rFonts w:hint="eastAsia" w:asciiTheme="minorEastAsia" w:hAnsiTheme="minorEastAsia" w:eastAsiaTheme="minorEastAsia"/>
                <w:color w:val="auto"/>
                <w:sz w:val="18"/>
                <w:szCs w:val="18"/>
                <w:highlight w:val="none"/>
              </w:rPr>
              <w:t>车载智能设备</w:t>
            </w:r>
            <w:r>
              <w:rPr>
                <w:rFonts w:hint="eastAsia" w:asciiTheme="minorEastAsia" w:hAnsiTheme="minorEastAsia" w:eastAsiaTheme="minorEastAsia"/>
                <w:color w:val="auto"/>
                <w:sz w:val="18"/>
                <w:szCs w:val="18"/>
                <w:highlight w:val="none"/>
                <w:lang w:eastAsia="zh-CN"/>
              </w:rPr>
              <w:t>。</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下客门、倒车视频显示</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asciiTheme="minorEastAsia" w:hAnsiTheme="minorEastAsia" w:eastAsiaTheme="minorEastAsia"/>
                <w:color w:val="auto"/>
                <w:sz w:val="18"/>
                <w:szCs w:val="18"/>
                <w:highlight w:val="none"/>
              </w:rPr>
              <w:t>下客门探头及3</w:t>
            </w:r>
            <w:r>
              <w:rPr>
                <w:rFonts w:asciiTheme="minorEastAsia" w:hAnsiTheme="minorEastAsia" w:eastAsiaTheme="minorEastAsia"/>
                <w:color w:val="auto"/>
                <w:sz w:val="18"/>
                <w:szCs w:val="18"/>
                <w:highlight w:val="none"/>
              </w:rPr>
              <w:t>60</w:t>
            </w:r>
            <w:r>
              <w:rPr>
                <w:rFonts w:hint="eastAsia" w:asciiTheme="minorEastAsia" w:hAnsiTheme="minorEastAsia" w:eastAsiaTheme="minorEastAsia"/>
                <w:color w:val="auto"/>
                <w:sz w:val="18"/>
                <w:szCs w:val="18"/>
                <w:highlight w:val="none"/>
              </w:rPr>
              <w:t>环视接入中控显示屏，</w:t>
            </w:r>
            <w:r>
              <w:rPr>
                <w:rFonts w:hint="eastAsia" w:asciiTheme="minorEastAsia" w:hAnsiTheme="minorEastAsia" w:eastAsiaTheme="minorEastAsia"/>
                <w:b/>
                <w:bCs/>
                <w:color w:val="auto"/>
                <w:sz w:val="18"/>
                <w:szCs w:val="18"/>
                <w:highlight w:val="none"/>
              </w:rPr>
              <w:t>3</w:t>
            </w:r>
            <w:r>
              <w:rPr>
                <w:rFonts w:asciiTheme="minorEastAsia" w:hAnsiTheme="minorEastAsia" w:eastAsiaTheme="minorEastAsia"/>
                <w:b/>
                <w:bCs/>
                <w:color w:val="auto"/>
                <w:sz w:val="18"/>
                <w:szCs w:val="18"/>
                <w:highlight w:val="none"/>
              </w:rPr>
              <w:t>60</w:t>
            </w:r>
            <w:r>
              <w:rPr>
                <w:rFonts w:hint="eastAsia" w:asciiTheme="minorEastAsia" w:hAnsiTheme="minorEastAsia" w:eastAsiaTheme="minorEastAsia"/>
                <w:b/>
                <w:bCs/>
                <w:color w:val="auto"/>
                <w:sz w:val="18"/>
                <w:szCs w:val="18"/>
                <w:highlight w:val="none"/>
              </w:rPr>
              <w:t>环视系统免费质保8年</w:t>
            </w:r>
            <w:r>
              <w:rPr>
                <w:rFonts w:hint="eastAsia"/>
                <w:b/>
                <w:bCs/>
                <w:color w:val="auto"/>
                <w:sz w:val="18"/>
                <w:szCs w:val="18"/>
                <w:highlight w:val="none"/>
              </w:rPr>
              <w:t>（含易损、易耗件）</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b/>
                <w:bCs/>
                <w:color w:val="auto"/>
                <w:sz w:val="18"/>
                <w:szCs w:val="18"/>
                <w:highlight w:val="none"/>
              </w:rPr>
              <w:t>出具质保承诺函</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IC</w:t>
            </w:r>
            <w:r>
              <w:rPr>
                <w:rFonts w:hint="eastAsia"/>
                <w:color w:val="auto"/>
                <w:sz w:val="18"/>
                <w:szCs w:val="18"/>
                <w:highlight w:val="none"/>
              </w:rPr>
              <w:t>卡机</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IC</w:t>
            </w:r>
            <w:r>
              <w:rPr>
                <w:rFonts w:hint="eastAsia"/>
                <w:color w:val="auto"/>
                <w:sz w:val="18"/>
                <w:szCs w:val="18"/>
                <w:highlight w:val="none"/>
              </w:rPr>
              <w:t>卡杆（电源为常通电）安装卡机</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lang w:eastAsia="zh-CN"/>
              </w:rPr>
              <w:t>垃圾桶</w:t>
            </w:r>
            <w:r>
              <w:rPr>
                <w:rFonts w:hint="eastAsia"/>
                <w:color w:val="auto"/>
                <w:sz w:val="18"/>
                <w:szCs w:val="18"/>
                <w:highlight w:val="none"/>
              </w:rPr>
              <w:t>及支架</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配不锈钢垃圾桶</w:t>
            </w:r>
            <w:r>
              <w:rPr>
                <w:color w:val="auto"/>
                <w:sz w:val="18"/>
                <w:szCs w:val="18"/>
                <w:highlight w:val="none"/>
              </w:rPr>
              <w:t>2</w:t>
            </w:r>
            <w:r>
              <w:rPr>
                <w:rFonts w:hint="eastAsia"/>
                <w:color w:val="auto"/>
                <w:sz w:val="18"/>
                <w:szCs w:val="18"/>
                <w:highlight w:val="none"/>
              </w:rPr>
              <w:t>只（分别标注可回收、其他垃圾标识），配安装固定扫把、畚箕、拖把装置</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线路显示牌</w:t>
            </w:r>
          </w:p>
        </w:tc>
        <w:tc>
          <w:tcPr>
            <w:tcW w:w="5807" w:type="dxa"/>
            <w:tcBorders>
              <w:top w:val="single" w:color="auto" w:sz="4" w:space="0"/>
              <w:left w:val="single" w:color="auto" w:sz="4" w:space="0"/>
              <w:bottom w:val="single" w:color="auto" w:sz="4" w:space="0"/>
              <w:right w:val="single" w:color="auto" w:sz="4" w:space="0"/>
            </w:tcBorders>
            <w:vAlign w:val="center"/>
          </w:tcPr>
          <w:p>
            <w:pPr>
              <w:rPr>
                <w:rFonts w:hint="eastAsia"/>
                <w:color w:val="auto"/>
                <w:sz w:val="18"/>
                <w:szCs w:val="18"/>
                <w:highlight w:val="none"/>
              </w:rPr>
            </w:pPr>
            <w:r>
              <w:rPr>
                <w:rFonts w:hint="eastAsia"/>
                <w:color w:val="auto"/>
                <w:sz w:val="18"/>
                <w:szCs w:val="18"/>
                <w:highlight w:val="none"/>
              </w:rPr>
              <w:t>1、前、后、侧屏采用全彩型电子路牌，前后牌采用32点阵像素：32*192，最多可显示2*12字，侧牌采用64点阵像素64*192，字体可显示16点阵、24点阵、32点阵路牌设有光感探头，可随外界亮度变化自动调节亮度。静止、滚动等多种显示方式。可显示残疾人标识、文本等，颜色可任意配置，侧牌需显示</w:t>
            </w:r>
            <w:r>
              <w:rPr>
                <w:rFonts w:hint="eastAsia"/>
                <w:color w:val="auto"/>
                <w:sz w:val="18"/>
                <w:szCs w:val="18"/>
                <w:highlight w:val="none"/>
                <w:lang w:eastAsia="zh-CN"/>
              </w:rPr>
              <w:t>途经站点</w:t>
            </w:r>
            <w:r>
              <w:rPr>
                <w:rFonts w:hint="eastAsia"/>
                <w:color w:val="auto"/>
                <w:sz w:val="18"/>
                <w:szCs w:val="18"/>
                <w:highlight w:val="none"/>
              </w:rPr>
              <w:t>信息（安装在上客门左侧玻璃窗的上端位置）,客车厂预埋一根（3芯）左转向，右转向，刹车与后路牌对接显示相关车辆状态信息。</w:t>
            </w:r>
          </w:p>
          <w:p>
            <w:pPr>
              <w:rPr>
                <w:rFonts w:hint="eastAsia"/>
                <w:color w:val="auto"/>
                <w:sz w:val="18"/>
                <w:szCs w:val="18"/>
                <w:highlight w:val="none"/>
              </w:rPr>
            </w:pPr>
            <w:r>
              <w:rPr>
                <w:rFonts w:hint="eastAsia"/>
                <w:color w:val="auto"/>
                <w:sz w:val="18"/>
                <w:szCs w:val="18"/>
                <w:highlight w:val="none"/>
              </w:rPr>
              <w:t>2、车内屏：汉化8字，红色，与报站器联动，显示当前站及下一站信息，也可显示相关文明用语信息，安装在前顶处。</w:t>
            </w:r>
          </w:p>
          <w:p>
            <w:pPr>
              <w:rPr>
                <w:color w:val="auto"/>
                <w:sz w:val="18"/>
                <w:szCs w:val="18"/>
                <w:highlight w:val="none"/>
              </w:rPr>
            </w:pPr>
            <w:r>
              <w:rPr>
                <w:rFonts w:hint="eastAsia"/>
                <w:color w:val="auto"/>
                <w:sz w:val="18"/>
                <w:szCs w:val="18"/>
                <w:highlight w:val="none"/>
              </w:rPr>
              <w:t>3、仪表台设有独立电源开关，共计4块电子显示牌，前、侧、后、车内。（在司机打开一键报警开关时，前、后、侧路牌同时显示SOS求救信号）；</w:t>
            </w:r>
            <w:r>
              <w:rPr>
                <w:rFonts w:hint="eastAsia"/>
                <w:b/>
                <w:bCs/>
                <w:color w:val="auto"/>
                <w:sz w:val="18"/>
                <w:szCs w:val="18"/>
                <w:highlight w:val="none"/>
              </w:rPr>
              <w:t>免费质保8年（含易损、易耗件），附承诺书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CAN</w:t>
            </w:r>
          </w:p>
          <w:p>
            <w:pPr>
              <w:jc w:val="center"/>
              <w:rPr>
                <w:color w:val="auto"/>
                <w:sz w:val="18"/>
                <w:szCs w:val="18"/>
                <w:highlight w:val="none"/>
              </w:rPr>
            </w:pPr>
            <w:r>
              <w:rPr>
                <w:rFonts w:hint="eastAsia"/>
                <w:color w:val="auto"/>
                <w:sz w:val="18"/>
                <w:szCs w:val="18"/>
                <w:highlight w:val="none"/>
              </w:rPr>
              <w:t>总线</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仪表具有</w:t>
            </w:r>
            <w:r>
              <w:rPr>
                <w:color w:val="auto"/>
                <w:sz w:val="18"/>
                <w:szCs w:val="18"/>
                <w:highlight w:val="none"/>
              </w:rPr>
              <w:t>CAN</w:t>
            </w:r>
            <w:r>
              <w:rPr>
                <w:rFonts w:hint="eastAsia"/>
                <w:color w:val="auto"/>
                <w:sz w:val="18"/>
                <w:szCs w:val="18"/>
                <w:highlight w:val="none"/>
              </w:rPr>
              <w:t>，可以独立工作，无需外置处理器控制，且通过诊断界面能直观看到每个管脚控制的具体设备，故障用中文直接显示。对模块控制的所有电器设备和电器线路，具有预防过流、过热功能。</w:t>
            </w:r>
            <w:r>
              <w:rPr>
                <w:rFonts w:hint="eastAsia"/>
                <w:b/>
                <w:bCs/>
                <w:color w:val="auto"/>
                <w:sz w:val="18"/>
                <w:szCs w:val="18"/>
                <w:highlight w:val="none"/>
              </w:rPr>
              <w:t>免费质保</w:t>
            </w:r>
            <w:r>
              <w:rPr>
                <w:b/>
                <w:bCs/>
                <w:color w:val="auto"/>
                <w:sz w:val="18"/>
                <w:szCs w:val="18"/>
                <w:highlight w:val="none"/>
              </w:rPr>
              <w:t>8</w:t>
            </w:r>
            <w:r>
              <w:rPr>
                <w:rFonts w:hint="eastAsia"/>
                <w:b/>
                <w:bCs/>
                <w:color w:val="auto"/>
                <w:sz w:val="18"/>
                <w:szCs w:val="18"/>
                <w:highlight w:val="none"/>
              </w:rPr>
              <w:t>年，附承诺书</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主线束</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1</w:t>
            </w:r>
            <w:r>
              <w:rPr>
                <w:rFonts w:hint="eastAsia"/>
                <w:color w:val="auto"/>
                <w:sz w:val="18"/>
                <w:szCs w:val="18"/>
                <w:highlight w:val="none"/>
              </w:rPr>
              <w:t>、导线要求：导线的采用辐照交联低烟无卤耐高温镀锡铜薄壁绝缘低压阻燃电线；温度特性等级为</w:t>
            </w:r>
            <w:r>
              <w:rPr>
                <w:color w:val="auto"/>
                <w:sz w:val="18"/>
                <w:szCs w:val="18"/>
                <w:highlight w:val="none"/>
              </w:rPr>
              <w:t>C</w:t>
            </w:r>
            <w:r>
              <w:rPr>
                <w:rFonts w:hint="eastAsia"/>
                <w:color w:val="auto"/>
                <w:sz w:val="18"/>
                <w:szCs w:val="18"/>
                <w:highlight w:val="none"/>
              </w:rPr>
              <w:t>或者</w:t>
            </w:r>
            <w:r>
              <w:rPr>
                <w:color w:val="auto"/>
                <w:sz w:val="18"/>
                <w:szCs w:val="18"/>
                <w:highlight w:val="none"/>
              </w:rPr>
              <w:t>D</w:t>
            </w:r>
            <w:r>
              <w:rPr>
                <w:rFonts w:hint="eastAsia"/>
                <w:color w:val="auto"/>
                <w:sz w:val="18"/>
                <w:szCs w:val="18"/>
                <w:highlight w:val="none"/>
              </w:rPr>
              <w:t>（</w:t>
            </w:r>
            <w:r>
              <w:rPr>
                <w:color w:val="auto"/>
                <w:sz w:val="18"/>
                <w:szCs w:val="18"/>
                <w:highlight w:val="none"/>
              </w:rPr>
              <w:t>-40</w:t>
            </w:r>
            <w:r>
              <w:rPr>
                <w:rFonts w:hint="eastAsia"/>
                <w:color w:val="auto"/>
                <w:sz w:val="18"/>
                <w:szCs w:val="18"/>
                <w:highlight w:val="none"/>
              </w:rPr>
              <w:t>℃到</w:t>
            </w:r>
            <w:r>
              <w:rPr>
                <w:color w:val="auto"/>
                <w:sz w:val="18"/>
                <w:szCs w:val="18"/>
                <w:highlight w:val="none"/>
              </w:rPr>
              <w:t>125</w:t>
            </w:r>
            <w:r>
              <w:rPr>
                <w:rFonts w:hint="eastAsia"/>
                <w:color w:val="auto"/>
                <w:sz w:val="18"/>
                <w:szCs w:val="18"/>
                <w:highlight w:val="none"/>
              </w:rPr>
              <w:t>℃、</w:t>
            </w:r>
            <w:r>
              <w:rPr>
                <w:color w:val="auto"/>
                <w:sz w:val="18"/>
                <w:szCs w:val="18"/>
                <w:highlight w:val="none"/>
              </w:rPr>
              <w:t>150</w:t>
            </w:r>
            <w:r>
              <w:rPr>
                <w:rFonts w:hint="eastAsia"/>
                <w:color w:val="auto"/>
                <w:sz w:val="18"/>
                <w:szCs w:val="18"/>
                <w:highlight w:val="none"/>
              </w:rPr>
              <w:t>℃），导线允许最大电流，要在所有用电设备最大电流基础上留有</w:t>
            </w:r>
            <w:r>
              <w:rPr>
                <w:color w:val="auto"/>
                <w:sz w:val="18"/>
                <w:szCs w:val="18"/>
                <w:highlight w:val="none"/>
              </w:rPr>
              <w:t>1.5</w:t>
            </w:r>
            <w:r>
              <w:rPr>
                <w:rFonts w:hint="eastAsia"/>
                <w:color w:val="auto"/>
                <w:sz w:val="18"/>
                <w:szCs w:val="18"/>
                <w:highlight w:val="none"/>
              </w:rPr>
              <w:t>倍的安全系数；</w:t>
            </w:r>
          </w:p>
          <w:p>
            <w:pPr>
              <w:rPr>
                <w:color w:val="auto"/>
                <w:sz w:val="18"/>
                <w:szCs w:val="18"/>
                <w:highlight w:val="none"/>
              </w:rPr>
            </w:pPr>
            <w:r>
              <w:rPr>
                <w:color w:val="auto"/>
                <w:sz w:val="18"/>
                <w:szCs w:val="18"/>
                <w:highlight w:val="none"/>
              </w:rPr>
              <w:t>2</w:t>
            </w:r>
            <w:r>
              <w:rPr>
                <w:rFonts w:hint="eastAsia"/>
                <w:color w:val="auto"/>
                <w:sz w:val="18"/>
                <w:szCs w:val="18"/>
                <w:highlight w:val="none"/>
              </w:rPr>
              <w:t>、波纹管、热缩管材质要求：波纹管采用</w:t>
            </w:r>
            <w:r>
              <w:rPr>
                <w:color w:val="auto"/>
                <w:sz w:val="18"/>
                <w:szCs w:val="18"/>
                <w:highlight w:val="none"/>
              </w:rPr>
              <w:t>PA</w:t>
            </w:r>
            <w:r>
              <w:rPr>
                <w:rFonts w:hint="eastAsia"/>
                <w:color w:val="auto"/>
                <w:sz w:val="18"/>
                <w:szCs w:val="18"/>
                <w:highlight w:val="none"/>
              </w:rPr>
              <w:t>、</w:t>
            </w:r>
            <w:r>
              <w:rPr>
                <w:color w:val="auto"/>
                <w:sz w:val="18"/>
                <w:szCs w:val="18"/>
                <w:highlight w:val="none"/>
              </w:rPr>
              <w:t>PP</w:t>
            </w:r>
            <w:r>
              <w:rPr>
                <w:rFonts w:hint="eastAsia"/>
                <w:color w:val="auto"/>
                <w:sz w:val="18"/>
                <w:szCs w:val="18"/>
                <w:highlight w:val="none"/>
              </w:rPr>
              <w:t>材质，具有防水、防油、防酸等特性；工作温度为</w:t>
            </w:r>
            <w:r>
              <w:rPr>
                <w:color w:val="auto"/>
                <w:sz w:val="18"/>
                <w:szCs w:val="18"/>
                <w:highlight w:val="none"/>
              </w:rPr>
              <w:t>-40</w:t>
            </w:r>
            <w:r>
              <w:rPr>
                <w:rFonts w:hint="eastAsia"/>
                <w:color w:val="auto"/>
                <w:sz w:val="18"/>
                <w:szCs w:val="18"/>
                <w:highlight w:val="none"/>
              </w:rPr>
              <w:t>℃</w:t>
            </w:r>
            <w:r>
              <w:rPr>
                <w:color w:val="auto"/>
                <w:sz w:val="18"/>
                <w:szCs w:val="18"/>
                <w:highlight w:val="none"/>
              </w:rPr>
              <w:t>~125</w:t>
            </w:r>
            <w:r>
              <w:rPr>
                <w:rFonts w:hint="eastAsia"/>
                <w:color w:val="auto"/>
                <w:sz w:val="18"/>
                <w:szCs w:val="18"/>
                <w:highlight w:val="none"/>
              </w:rPr>
              <w:t>℃，耐磨，阻燃（</w:t>
            </w:r>
            <w:r>
              <w:rPr>
                <w:color w:val="auto"/>
                <w:sz w:val="18"/>
                <w:szCs w:val="18"/>
                <w:highlight w:val="none"/>
              </w:rPr>
              <w:t>V-0</w:t>
            </w:r>
            <w:r>
              <w:rPr>
                <w:rFonts w:hint="eastAsia"/>
                <w:color w:val="auto"/>
                <w:sz w:val="18"/>
                <w:szCs w:val="18"/>
                <w:highlight w:val="none"/>
              </w:rPr>
              <w:t>）级；</w:t>
            </w:r>
          </w:p>
          <w:p>
            <w:pPr>
              <w:rPr>
                <w:color w:val="auto"/>
                <w:sz w:val="18"/>
                <w:szCs w:val="18"/>
                <w:highlight w:val="none"/>
              </w:rPr>
            </w:pPr>
            <w:r>
              <w:rPr>
                <w:color w:val="auto"/>
                <w:sz w:val="18"/>
                <w:szCs w:val="18"/>
                <w:highlight w:val="none"/>
              </w:rPr>
              <w:t>3</w:t>
            </w:r>
            <w:r>
              <w:rPr>
                <w:rFonts w:hint="eastAsia"/>
                <w:color w:val="auto"/>
                <w:sz w:val="18"/>
                <w:szCs w:val="18"/>
                <w:highlight w:val="none"/>
              </w:rPr>
              <w:t>、插接器要求：优先使用进口插件</w:t>
            </w:r>
            <w:r>
              <w:rPr>
                <w:color w:val="auto"/>
                <w:sz w:val="18"/>
                <w:szCs w:val="18"/>
                <w:highlight w:val="none"/>
              </w:rPr>
              <w:t>Amp</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工具箱</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车厢内安装一个固定工具箱，提供</w:t>
            </w:r>
            <w:r>
              <w:rPr>
                <w:color w:val="auto"/>
                <w:sz w:val="18"/>
                <w:szCs w:val="18"/>
                <w:highlight w:val="none"/>
              </w:rPr>
              <w:t>1</w:t>
            </w:r>
            <w:r>
              <w:rPr>
                <w:rFonts w:hint="eastAsia"/>
                <w:color w:val="auto"/>
                <w:sz w:val="18"/>
                <w:szCs w:val="18"/>
                <w:highlight w:val="none"/>
              </w:rPr>
              <w:t>车</w:t>
            </w:r>
            <w:r>
              <w:rPr>
                <w:color w:val="auto"/>
                <w:sz w:val="18"/>
                <w:szCs w:val="18"/>
                <w:highlight w:val="none"/>
              </w:rPr>
              <w:t>1</w:t>
            </w:r>
            <w:r>
              <w:rPr>
                <w:rFonts w:hint="eastAsia"/>
                <w:color w:val="auto"/>
                <w:sz w:val="18"/>
                <w:szCs w:val="18"/>
                <w:highlight w:val="none"/>
              </w:rPr>
              <w:t>套随车工具及专用工具，工具箱式样及安装位置与招标单位对接后确认</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765"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b/>
                <w:color w:val="auto"/>
                <w:sz w:val="18"/>
                <w:szCs w:val="18"/>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国标行标</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本表未注明配置和质量必须符合国家及行业相关标准，并确保上牌</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rFonts w:hint="eastAsia"/>
                <w:color w:val="auto"/>
                <w:sz w:val="18"/>
                <w:szCs w:val="18"/>
                <w:highlight w:val="none"/>
              </w:rPr>
              <w:t>随车证件</w:t>
            </w:r>
          </w:p>
        </w:tc>
        <w:tc>
          <w:tcPr>
            <w:tcW w:w="5807" w:type="dxa"/>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提供整车合格证、按合同规定开具的销售发票、其它相关证件证书资料</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r>
    </w:tbl>
    <w:p>
      <w:pPr>
        <w:rPr>
          <w:color w:val="auto"/>
          <w:szCs w:val="21"/>
          <w:highlight w:val="none"/>
        </w:rPr>
      </w:pPr>
      <w:r>
        <w:rPr>
          <w:rFonts w:hint="eastAsia"/>
          <w:color w:val="auto"/>
          <w:szCs w:val="21"/>
          <w:highlight w:val="none"/>
        </w:rPr>
        <w:t>说明：</w:t>
      </w:r>
    </w:p>
    <w:p>
      <w:pPr>
        <w:ind w:firstLine="420" w:firstLineChars="200"/>
        <w:rPr>
          <w:rFonts w:ascii="宋体" w:hAnsi="宋体"/>
          <w:b/>
          <w:color w:val="auto"/>
          <w:sz w:val="28"/>
          <w:szCs w:val="28"/>
          <w:highlight w:val="none"/>
        </w:rPr>
      </w:pPr>
      <w:r>
        <w:rPr>
          <w:rFonts w:hint="eastAsia"/>
          <w:color w:val="auto"/>
          <w:szCs w:val="21"/>
          <w:highlight w:val="none"/>
        </w:rPr>
        <w:t>中标车辆必须符合杭州地区车辆上牌要求，由中标厂家完成车辆上牌工作，其正常检测上牌费用凭发票由招标单位支付；招标单位负责联系车管人员上门服务工作，相关费用由中标厂家支付。</w:t>
      </w:r>
    </w:p>
    <w:p>
      <w:pPr>
        <w:spacing w:line="360" w:lineRule="auto"/>
        <w:ind w:right="-176" w:rightChars="-84"/>
        <w:rPr>
          <w:rFonts w:ascii="宋体" w:hAnsi="宋体"/>
          <w:b/>
          <w:color w:val="auto"/>
          <w:sz w:val="28"/>
          <w:szCs w:val="28"/>
          <w:highlight w:val="none"/>
        </w:rPr>
      </w:pPr>
      <w:r>
        <w:rPr>
          <w:rFonts w:hint="eastAsia" w:ascii="宋体" w:hAnsi="宋体"/>
          <w:b/>
          <w:color w:val="auto"/>
          <w:sz w:val="28"/>
          <w:szCs w:val="28"/>
          <w:highlight w:val="none"/>
        </w:rPr>
        <w:t>二、其他要求</w:t>
      </w:r>
    </w:p>
    <w:p>
      <w:pPr>
        <w:spacing w:line="360" w:lineRule="auto"/>
        <w:ind w:firstLine="120" w:firstLineChars="50"/>
        <w:rPr>
          <w:rFonts w:ascii="宋体"/>
          <w:bCs/>
          <w:color w:val="auto"/>
          <w:sz w:val="24"/>
          <w:szCs w:val="24"/>
          <w:highlight w:val="none"/>
        </w:rPr>
      </w:pPr>
      <w:bookmarkStart w:id="2" w:name="_Toc252602130"/>
      <w:r>
        <w:rPr>
          <w:rFonts w:hint="eastAsia" w:ascii="宋体"/>
          <w:b/>
          <w:bCs/>
          <w:color w:val="auto"/>
          <w:sz w:val="24"/>
          <w:szCs w:val="24"/>
          <w:highlight w:val="none"/>
        </w:rPr>
        <w:t>(一)质量保证及产品的验收</w:t>
      </w:r>
      <w:bookmarkEnd w:id="2"/>
    </w:p>
    <w:p>
      <w:pPr>
        <w:spacing w:line="360" w:lineRule="auto"/>
        <w:ind w:left="480" w:leftChars="57" w:hanging="360" w:hangingChars="150"/>
        <w:rPr>
          <w:rFonts w:ascii="宋体"/>
          <w:bCs/>
          <w:color w:val="auto"/>
          <w:sz w:val="24"/>
          <w:szCs w:val="24"/>
          <w:highlight w:val="none"/>
        </w:rPr>
      </w:pPr>
      <w:r>
        <w:rPr>
          <w:rFonts w:hint="eastAsia" w:ascii="宋体"/>
          <w:bCs/>
          <w:color w:val="auto"/>
          <w:sz w:val="24"/>
          <w:szCs w:val="24"/>
          <w:highlight w:val="none"/>
        </w:rPr>
        <w:t>1、中标供应商应提供已注册品牌制造商原装、全新、符合国家及招标文件中有关质量标准规定的设备；</w:t>
      </w:r>
    </w:p>
    <w:p>
      <w:pPr>
        <w:spacing w:line="360" w:lineRule="auto"/>
        <w:ind w:left="480" w:leftChars="57" w:hanging="360" w:hangingChars="150"/>
        <w:rPr>
          <w:rFonts w:ascii="宋体"/>
          <w:bCs/>
          <w:color w:val="auto"/>
          <w:sz w:val="24"/>
          <w:szCs w:val="24"/>
          <w:highlight w:val="none"/>
        </w:rPr>
      </w:pPr>
      <w:r>
        <w:rPr>
          <w:rFonts w:hint="eastAsia" w:ascii="宋体"/>
          <w:bCs/>
          <w:color w:val="auto"/>
          <w:sz w:val="24"/>
          <w:szCs w:val="24"/>
          <w:highlight w:val="none"/>
        </w:rPr>
        <w:t>2、投标文件所有设备必须提供详细的配置清单、附件清单，清单中应包含设备的型号、规格、产地、制造商以及设备的技术说明书、能达到的性能、技术指标及功能。如使用或验收中出现配件不齐，或未达到与标书要求相符的配置数量或性能，由中标供应商负责免费添置更换。</w:t>
      </w:r>
    </w:p>
    <w:p>
      <w:pPr>
        <w:spacing w:line="360" w:lineRule="auto"/>
        <w:ind w:firstLine="120" w:firstLineChars="50"/>
        <w:rPr>
          <w:rFonts w:ascii="宋体"/>
          <w:bCs/>
          <w:color w:val="auto"/>
          <w:sz w:val="24"/>
          <w:szCs w:val="24"/>
          <w:highlight w:val="none"/>
        </w:rPr>
      </w:pPr>
      <w:r>
        <w:rPr>
          <w:rFonts w:hint="eastAsia" w:ascii="宋体"/>
          <w:b/>
          <w:bCs/>
          <w:color w:val="auto"/>
          <w:sz w:val="24"/>
          <w:szCs w:val="24"/>
          <w:highlight w:val="none"/>
        </w:rPr>
        <w:t>（二）保修及售后服务</w:t>
      </w:r>
    </w:p>
    <w:p>
      <w:pPr>
        <w:spacing w:line="360" w:lineRule="auto"/>
        <w:ind w:firstLine="120" w:firstLineChars="50"/>
        <w:rPr>
          <w:rFonts w:ascii="宋体"/>
          <w:bCs/>
          <w:color w:val="auto"/>
          <w:sz w:val="24"/>
          <w:szCs w:val="24"/>
          <w:highlight w:val="none"/>
        </w:rPr>
      </w:pPr>
      <w:r>
        <w:rPr>
          <w:rFonts w:hint="eastAsia" w:ascii="宋体"/>
          <w:bCs/>
          <w:color w:val="auto"/>
          <w:sz w:val="24"/>
          <w:szCs w:val="24"/>
          <w:highlight w:val="none"/>
        </w:rPr>
        <w:t>1、</w:t>
      </w:r>
      <w:r>
        <w:rPr>
          <w:rFonts w:hint="eastAsia" w:ascii="宋体"/>
          <w:bCs/>
          <w:color w:val="auto"/>
          <w:sz w:val="24"/>
          <w:szCs w:val="24"/>
          <w:highlight w:val="none"/>
          <w:lang w:val="zh-CN"/>
        </w:rPr>
        <w:t>应具有完善的售后服务体系，有固定专业维修机构及维修人员；</w:t>
      </w:r>
    </w:p>
    <w:p>
      <w:pPr>
        <w:spacing w:line="360" w:lineRule="auto"/>
        <w:ind w:firstLine="120" w:firstLineChars="50"/>
        <w:rPr>
          <w:rFonts w:ascii="宋体"/>
          <w:bCs/>
          <w:color w:val="auto"/>
          <w:sz w:val="24"/>
          <w:szCs w:val="24"/>
          <w:highlight w:val="none"/>
        </w:rPr>
      </w:pPr>
      <w:r>
        <w:rPr>
          <w:rFonts w:hint="eastAsia" w:ascii="宋体"/>
          <w:bCs/>
          <w:color w:val="auto"/>
          <w:sz w:val="24"/>
          <w:szCs w:val="24"/>
          <w:highlight w:val="none"/>
        </w:rPr>
        <w:t>2、备品备件服务：中标供应商应有备品备件，为项目及时提供备件更换服务；</w:t>
      </w:r>
    </w:p>
    <w:p>
      <w:pPr>
        <w:spacing w:line="360" w:lineRule="auto"/>
        <w:ind w:left="480" w:leftChars="57" w:hanging="360" w:hangingChars="150"/>
        <w:rPr>
          <w:rFonts w:ascii="宋体"/>
          <w:bCs/>
          <w:color w:val="auto"/>
          <w:sz w:val="24"/>
          <w:szCs w:val="24"/>
          <w:highlight w:val="none"/>
        </w:rPr>
      </w:pPr>
      <w:r>
        <w:rPr>
          <w:rFonts w:hint="eastAsia" w:ascii="宋体"/>
          <w:bCs/>
          <w:color w:val="auto"/>
          <w:sz w:val="24"/>
          <w:szCs w:val="24"/>
          <w:highlight w:val="none"/>
        </w:rPr>
        <w:t>3、保修期内，非采购单位的人为原因而出现产品质量及安装问题，由中标供应商负责包修、包换，并承担因此而产生的一切费用；但人为因素、自然因素（如火灾、雷击等）造成的故障可适当收取元件的更换费用。中标供应商应在投标文件中提供详细具体的售后服务承诺条款，就设备的保修、维护期予以说明；</w:t>
      </w:r>
    </w:p>
    <w:p>
      <w:pPr>
        <w:spacing w:line="360" w:lineRule="auto"/>
        <w:ind w:left="523" w:leftChars="57" w:hanging="403" w:hangingChars="168"/>
        <w:rPr>
          <w:rFonts w:ascii="宋体"/>
          <w:b/>
          <w:bCs/>
          <w:color w:val="auto"/>
          <w:sz w:val="24"/>
          <w:szCs w:val="24"/>
          <w:highlight w:val="none"/>
        </w:rPr>
      </w:pPr>
      <w:r>
        <w:rPr>
          <w:rFonts w:hint="eastAsia" w:ascii="宋体"/>
          <w:bCs/>
          <w:color w:val="auto"/>
          <w:sz w:val="24"/>
          <w:szCs w:val="24"/>
          <w:highlight w:val="none"/>
        </w:rPr>
        <w:t>4、所有设备保修服务方式均为中标供应商上门保修，即由中标供应商派技术人员到招标方设备使用现场维修，由此产生的一切费用均由中标供应商承担。</w:t>
      </w:r>
    </w:p>
    <w:p>
      <w:pPr>
        <w:spacing w:line="360" w:lineRule="auto"/>
        <w:ind w:firstLine="120" w:firstLineChars="50"/>
        <w:rPr>
          <w:rFonts w:ascii="宋体"/>
          <w:bCs/>
          <w:color w:val="auto"/>
          <w:sz w:val="24"/>
          <w:szCs w:val="24"/>
          <w:highlight w:val="none"/>
        </w:rPr>
      </w:pPr>
      <w:bookmarkStart w:id="3" w:name="OLE_LINK1"/>
      <w:r>
        <w:rPr>
          <w:rFonts w:hint="eastAsia" w:ascii="宋体"/>
          <w:b/>
          <w:bCs/>
          <w:color w:val="auto"/>
          <w:sz w:val="24"/>
          <w:szCs w:val="24"/>
          <w:highlight w:val="none"/>
        </w:rPr>
        <w:t>（三）</w:t>
      </w:r>
      <w:bookmarkEnd w:id="3"/>
      <w:r>
        <w:rPr>
          <w:rFonts w:hint="eastAsia" w:ascii="宋体"/>
          <w:b/>
          <w:bCs/>
          <w:color w:val="auto"/>
          <w:sz w:val="24"/>
          <w:szCs w:val="24"/>
          <w:highlight w:val="none"/>
        </w:rPr>
        <w:t>产品质保期满后服务</w:t>
      </w:r>
    </w:p>
    <w:p>
      <w:pPr>
        <w:spacing w:line="360" w:lineRule="auto"/>
        <w:ind w:left="480" w:leftChars="57" w:hanging="360" w:hangingChars="150"/>
        <w:rPr>
          <w:rFonts w:ascii="宋体"/>
          <w:color w:val="auto"/>
          <w:sz w:val="24"/>
          <w:szCs w:val="24"/>
          <w:highlight w:val="none"/>
        </w:rPr>
      </w:pPr>
      <w:r>
        <w:rPr>
          <w:rFonts w:hint="eastAsia" w:ascii="宋体"/>
          <w:bCs/>
          <w:color w:val="auto"/>
          <w:sz w:val="24"/>
          <w:szCs w:val="24"/>
          <w:highlight w:val="none"/>
        </w:rPr>
        <w:t>1、故障响应：</w:t>
      </w:r>
      <w:r>
        <w:rPr>
          <w:rFonts w:hint="eastAsia" w:ascii="宋体"/>
          <w:color w:val="auto"/>
          <w:sz w:val="24"/>
          <w:szCs w:val="24"/>
          <w:highlight w:val="none"/>
        </w:rPr>
        <w:t>在设备（或系统）整个使用期内，卖方应确保正常使用，在接到用户维修要求后在0.5小时内响应并提出解决方案，2小时内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pStyle w:val="26"/>
        <w:tabs>
          <w:tab w:val="left" w:pos="1425"/>
        </w:tabs>
        <w:spacing w:line="440" w:lineRule="exact"/>
        <w:ind w:left="480" w:hanging="480" w:hangingChars="200"/>
        <w:jc w:val="left"/>
        <w:rPr>
          <w:rFonts w:hint="eastAsia" w:ascii="宋体"/>
          <w:bCs/>
          <w:color w:val="auto"/>
          <w:sz w:val="24"/>
          <w:szCs w:val="24"/>
          <w:highlight w:val="none"/>
        </w:rPr>
      </w:pPr>
      <w:r>
        <w:rPr>
          <w:rFonts w:hint="eastAsia" w:ascii="宋体"/>
          <w:bCs/>
          <w:color w:val="auto"/>
          <w:sz w:val="24"/>
          <w:szCs w:val="24"/>
          <w:highlight w:val="none"/>
        </w:rPr>
        <w:t>2、</w:t>
      </w:r>
      <w:r>
        <w:rPr>
          <w:rFonts w:hint="eastAsia" w:ascii="宋体" w:hAnsi="Times New Roman" w:eastAsia="宋体" w:cs="Times New Roman"/>
          <w:bCs/>
          <w:color w:val="auto"/>
          <w:kern w:val="2"/>
          <w:sz w:val="24"/>
          <w:szCs w:val="24"/>
          <w:highlight w:val="none"/>
          <w:lang w:val="en-US" w:eastAsia="zh-CN" w:bidi="ar-SA"/>
        </w:rPr>
        <w:t>中标供应商应保证提供本项目所有设备所需配件至少8年的备件和技术支持服务，如因生产厂商停产，可用同品牌更高型号的兼容设备代替，其价格参考中标价格。</w:t>
      </w: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hint="eastAsia" w:ascii="宋体"/>
          <w:bCs/>
          <w:color w:val="auto"/>
          <w:sz w:val="24"/>
          <w:szCs w:val="24"/>
          <w:highlight w:val="none"/>
        </w:rPr>
      </w:pPr>
    </w:p>
    <w:p>
      <w:pPr>
        <w:pStyle w:val="26"/>
        <w:tabs>
          <w:tab w:val="left" w:pos="1425"/>
        </w:tabs>
        <w:spacing w:line="440" w:lineRule="exact"/>
        <w:ind w:left="0"/>
        <w:jc w:val="center"/>
        <w:rPr>
          <w:rFonts w:ascii="宋体" w:hAnsi="宋体" w:cs="宋体"/>
          <w:b/>
          <w:bCs/>
          <w:color w:val="auto"/>
          <w:spacing w:val="-2"/>
          <w:sz w:val="36"/>
          <w:szCs w:val="36"/>
          <w:highlight w:val="none"/>
        </w:rPr>
      </w:pPr>
      <w:r>
        <w:rPr>
          <w:rStyle w:val="97"/>
          <w:rFonts w:hint="eastAsia" w:ascii="宋体" w:hAnsi="宋体" w:cs="宋体"/>
          <w:b/>
          <w:bCs/>
          <w:color w:val="auto"/>
          <w:sz w:val="36"/>
          <w:szCs w:val="36"/>
          <w:highlight w:val="none"/>
        </w:rPr>
        <w:t>第六章 商务条款</w:t>
      </w:r>
    </w:p>
    <w:p>
      <w:pPr>
        <w:autoSpaceDE w:val="0"/>
        <w:autoSpaceDN w:val="0"/>
        <w:adjustRightInd w:val="0"/>
        <w:spacing w:line="44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一、总体要求</w:t>
      </w:r>
    </w:p>
    <w:p>
      <w:pPr>
        <w:spacing w:line="44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必须符合招标文件</w:t>
      </w:r>
      <w:r>
        <w:rPr>
          <w:rFonts w:ascii="宋体" w:hAnsi="宋体" w:cs="宋体"/>
          <w:color w:val="auto"/>
          <w:sz w:val="24"/>
          <w:szCs w:val="24"/>
          <w:highlight w:val="none"/>
        </w:rPr>
        <w:t>(</w:t>
      </w:r>
      <w:r>
        <w:rPr>
          <w:rFonts w:hint="eastAsia" w:ascii="宋体" w:hAnsi="宋体" w:cs="宋体"/>
          <w:color w:val="auto"/>
          <w:sz w:val="24"/>
          <w:szCs w:val="24"/>
          <w:highlight w:val="none"/>
        </w:rPr>
        <w:t>包括补充更正，如有</w:t>
      </w:r>
      <w:r>
        <w:rPr>
          <w:rFonts w:ascii="宋体" w:hAnsi="宋体" w:cs="宋体"/>
          <w:color w:val="auto"/>
          <w:sz w:val="24"/>
          <w:szCs w:val="24"/>
          <w:highlight w:val="none"/>
        </w:rPr>
        <w:t>)</w:t>
      </w:r>
      <w:r>
        <w:rPr>
          <w:rFonts w:hint="eastAsia" w:ascii="宋体" w:hAnsi="宋体" w:cs="宋体"/>
          <w:color w:val="auto"/>
          <w:sz w:val="24"/>
          <w:szCs w:val="24"/>
          <w:highlight w:val="none"/>
        </w:rPr>
        <w:t>的技术要求和配置；必须是国内相应制造厂商生产并提供的原装合格产品；必须是</w:t>
      </w:r>
      <w:r>
        <w:rPr>
          <w:rFonts w:ascii="宋体" w:hAnsi="宋体" w:cs="宋体"/>
          <w:color w:val="auto"/>
          <w:sz w:val="24"/>
          <w:szCs w:val="24"/>
          <w:highlight w:val="none"/>
        </w:rPr>
        <w:t>20</w:t>
      </w: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月</w:t>
      </w:r>
      <w:r>
        <w:rPr>
          <w:rFonts w:ascii="宋体" w:hAnsi="宋体" w:cs="宋体"/>
          <w:color w:val="auto"/>
          <w:sz w:val="24"/>
          <w:szCs w:val="24"/>
          <w:highlight w:val="none"/>
        </w:rPr>
        <w:t>1</w:t>
      </w:r>
      <w:r>
        <w:rPr>
          <w:rFonts w:hint="eastAsia" w:ascii="宋体" w:hAnsi="宋体" w:cs="宋体"/>
          <w:color w:val="auto"/>
          <w:sz w:val="24"/>
          <w:szCs w:val="24"/>
          <w:highlight w:val="none"/>
        </w:rPr>
        <w:t>日以后生产的、符合国家质量技术标准的设备。</w:t>
      </w:r>
    </w:p>
    <w:p>
      <w:pPr>
        <w:autoSpaceDE w:val="0"/>
        <w:adjustRightInd w:val="0"/>
        <w:spacing w:line="44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售后服务按</w:t>
      </w:r>
      <w:r>
        <w:rPr>
          <w:rFonts w:hint="eastAsia" w:ascii="宋体" w:hAnsi="宋体" w:cs="宋体"/>
          <w:bCs/>
          <w:color w:val="auto"/>
          <w:sz w:val="24"/>
          <w:highlight w:val="none"/>
        </w:rPr>
        <w:t>国家市场监督管理总局</w:t>
      </w:r>
      <w:r>
        <w:rPr>
          <w:rFonts w:hint="eastAsia" w:ascii="宋体" w:hAnsi="宋体" w:cs="宋体"/>
          <w:color w:val="auto"/>
          <w:sz w:val="24"/>
          <w:szCs w:val="24"/>
          <w:highlight w:val="none"/>
        </w:rPr>
        <w:t>和国家其他有关规定执行，国家没有规定的按厂商规定执行。国家规定标准低于厂商标准的按厂商标准执行。</w:t>
      </w:r>
    </w:p>
    <w:p>
      <w:pPr>
        <w:autoSpaceDE w:val="0"/>
        <w:autoSpaceDN w:val="0"/>
        <w:adjustRightInd w:val="0"/>
        <w:snapToGrid w:val="0"/>
        <w:spacing w:line="440" w:lineRule="exact"/>
        <w:ind w:left="-181" w:leftChars="-86" w:right="-178" w:rightChars="-85" w:firstLine="720" w:firstLineChars="299"/>
        <w:textAlignment w:val="bottom"/>
        <w:rPr>
          <w:rFonts w:ascii="宋体" w:cs="宋体"/>
          <w:b/>
          <w:bCs/>
          <w:color w:val="auto"/>
          <w:sz w:val="24"/>
          <w:szCs w:val="24"/>
          <w:highlight w:val="none"/>
        </w:rPr>
      </w:pPr>
      <w:r>
        <w:rPr>
          <w:rFonts w:hint="eastAsia" w:ascii="宋体" w:hAnsi="宋体" w:cs="宋体"/>
          <w:b/>
          <w:bCs/>
          <w:color w:val="auto"/>
          <w:sz w:val="24"/>
          <w:szCs w:val="24"/>
          <w:highlight w:val="none"/>
        </w:rPr>
        <w:t>二、付款方式</w:t>
      </w:r>
    </w:p>
    <w:p>
      <w:pPr>
        <w:autoSpaceDE w:val="0"/>
        <w:autoSpaceDN w:val="0"/>
        <w:adjustRightInd w:val="0"/>
        <w:snapToGrid w:val="0"/>
        <w:spacing w:line="440" w:lineRule="exact"/>
        <w:ind w:left="-181" w:leftChars="-86" w:right="-178" w:rightChars="-85" w:firstLine="720" w:firstLineChars="300"/>
        <w:textAlignment w:val="bottom"/>
        <w:rPr>
          <w:rFonts w:ascii="宋体" w:cs="宋体"/>
          <w:color w:val="auto"/>
          <w:sz w:val="24"/>
          <w:szCs w:val="24"/>
          <w:highlight w:val="none"/>
        </w:rPr>
      </w:pPr>
      <w:r>
        <w:rPr>
          <w:rFonts w:hint="eastAsia" w:ascii="宋体" w:hAnsi="宋体" w:cs="宋体"/>
          <w:color w:val="auto"/>
          <w:sz w:val="24"/>
          <w:szCs w:val="24"/>
          <w:highlight w:val="none"/>
        </w:rPr>
        <w:t>按财务结算要求，通过银行</w:t>
      </w:r>
      <w:r>
        <w:rPr>
          <w:rFonts w:hint="eastAsia" w:ascii="宋体" w:hAnsi="宋体" w:cs="宋体"/>
          <w:color w:val="auto"/>
          <w:sz w:val="24"/>
          <w:szCs w:val="24"/>
          <w:highlight w:val="none"/>
          <w:lang w:eastAsia="zh-CN"/>
        </w:rPr>
        <w:t>划账</w:t>
      </w:r>
      <w:r>
        <w:rPr>
          <w:rFonts w:hint="eastAsia" w:ascii="宋体" w:hAnsi="宋体" w:cs="宋体"/>
          <w:color w:val="auto"/>
          <w:sz w:val="24"/>
          <w:szCs w:val="24"/>
          <w:highlight w:val="none"/>
        </w:rPr>
        <w:t>方式结算。</w:t>
      </w:r>
    </w:p>
    <w:p>
      <w:pPr>
        <w:widowControl/>
        <w:autoSpaceDE w:val="0"/>
        <w:autoSpaceDN w:val="0"/>
        <w:spacing w:line="440" w:lineRule="exact"/>
        <w:ind w:firstLine="472" w:firstLineChars="196"/>
        <w:textAlignment w:val="bottom"/>
        <w:rPr>
          <w:rFonts w:ascii="宋体" w:cs="宋体"/>
          <w:b/>
          <w:bCs/>
          <w:color w:val="auto"/>
          <w:sz w:val="24"/>
          <w:szCs w:val="24"/>
          <w:highlight w:val="none"/>
        </w:rPr>
      </w:pPr>
      <w:r>
        <w:rPr>
          <w:rFonts w:hint="eastAsia" w:ascii="宋体" w:hAnsi="宋体" w:cs="宋体"/>
          <w:b/>
          <w:bCs/>
          <w:color w:val="auto"/>
          <w:sz w:val="24"/>
          <w:szCs w:val="24"/>
          <w:highlight w:val="none"/>
          <w:lang w:eastAsia="zh-CN"/>
        </w:rPr>
        <w:t>三</w:t>
      </w:r>
      <w:r>
        <w:rPr>
          <w:rFonts w:hint="eastAsia" w:ascii="宋体" w:hAnsi="宋体" w:cs="宋体"/>
          <w:b/>
          <w:bCs/>
          <w:color w:val="auto"/>
          <w:sz w:val="24"/>
          <w:szCs w:val="24"/>
          <w:highlight w:val="none"/>
        </w:rPr>
        <w:t>、</w:t>
      </w:r>
      <w:r>
        <w:rPr>
          <w:rFonts w:hint="eastAsia" w:ascii="宋体" w:hAnsi="宋体"/>
          <w:b/>
          <w:color w:val="auto"/>
          <w:sz w:val="24"/>
          <w:szCs w:val="24"/>
          <w:highlight w:val="none"/>
        </w:rPr>
        <w:t>完成时间及安装调试</w:t>
      </w:r>
    </w:p>
    <w:p>
      <w:pPr>
        <w:autoSpaceDE w:val="0"/>
        <w:adjustRightInd w:val="0"/>
        <w:spacing w:line="480" w:lineRule="exact"/>
        <w:ind w:firstLine="501" w:firstLineChars="209"/>
        <w:jc w:val="left"/>
        <w:rPr>
          <w:rFonts w:ascii="宋体"/>
          <w:color w:val="auto"/>
          <w:sz w:val="24"/>
          <w:szCs w:val="24"/>
          <w:highlight w:val="none"/>
        </w:rPr>
      </w:pPr>
      <w:r>
        <w:rPr>
          <w:rFonts w:hint="eastAsia" w:ascii="宋体"/>
          <w:color w:val="auto"/>
          <w:sz w:val="24"/>
          <w:szCs w:val="24"/>
          <w:highlight w:val="none"/>
        </w:rPr>
        <w:t xml:space="preserve">1. </w:t>
      </w:r>
      <w:r>
        <w:rPr>
          <w:rFonts w:hint="eastAsia" w:ascii="宋体"/>
          <w:color w:val="auto"/>
          <w:sz w:val="24"/>
          <w:szCs w:val="24"/>
          <w:highlight w:val="none"/>
          <w:lang w:eastAsia="zh-CN"/>
        </w:rPr>
        <w:t>中标供应商</w:t>
      </w:r>
      <w:r>
        <w:rPr>
          <w:rFonts w:hint="eastAsia" w:ascii="宋体"/>
          <w:color w:val="auto"/>
          <w:sz w:val="24"/>
          <w:szCs w:val="24"/>
          <w:highlight w:val="none"/>
        </w:rPr>
        <w:t>在签订合同生效</w:t>
      </w:r>
      <w:r>
        <w:rPr>
          <w:rFonts w:hint="eastAsia" w:ascii="宋体"/>
          <w:color w:val="auto"/>
          <w:sz w:val="24"/>
          <w:szCs w:val="24"/>
          <w:highlight w:val="none"/>
          <w:lang w:val="en-US" w:eastAsia="zh-CN"/>
        </w:rPr>
        <w:t>之日起</w:t>
      </w:r>
      <w:r>
        <w:rPr>
          <w:rFonts w:hint="eastAsia" w:hAnsi="宋体"/>
          <w:b/>
          <w:bCs/>
          <w:color w:val="auto"/>
          <w:sz w:val="24"/>
          <w:szCs w:val="24"/>
          <w:highlight w:val="none"/>
          <w:u w:val="single"/>
          <w:lang w:val="en-US" w:eastAsia="zh-CN"/>
        </w:rPr>
        <w:t xml:space="preserve"> 45</w:t>
      </w:r>
      <w:r>
        <w:rPr>
          <w:rFonts w:hint="eastAsia" w:hAnsi="宋体"/>
          <w:b/>
          <w:bCs/>
          <w:color w:val="auto"/>
          <w:sz w:val="24"/>
          <w:szCs w:val="24"/>
          <w:highlight w:val="none"/>
          <w:u w:val="single"/>
        </w:rPr>
        <w:t>日历天</w:t>
      </w:r>
      <w:r>
        <w:rPr>
          <w:rFonts w:hint="eastAsia" w:ascii="宋体"/>
          <w:color w:val="auto"/>
          <w:sz w:val="24"/>
          <w:szCs w:val="24"/>
          <w:highlight w:val="none"/>
        </w:rPr>
        <w:t>内按</w:t>
      </w:r>
      <w:r>
        <w:rPr>
          <w:rFonts w:hint="eastAsia" w:ascii="宋体"/>
          <w:color w:val="auto"/>
          <w:sz w:val="24"/>
          <w:szCs w:val="24"/>
          <w:highlight w:val="none"/>
          <w:lang w:eastAsia="zh-CN"/>
        </w:rPr>
        <w:t>采购单位</w:t>
      </w:r>
      <w:r>
        <w:rPr>
          <w:rFonts w:hint="eastAsia" w:ascii="宋体"/>
          <w:color w:val="auto"/>
          <w:sz w:val="24"/>
          <w:szCs w:val="24"/>
          <w:highlight w:val="none"/>
        </w:rPr>
        <w:t>要求完成交货、调试并</w:t>
      </w:r>
      <w:r>
        <w:rPr>
          <w:rFonts w:hint="eastAsia" w:ascii="宋体"/>
          <w:color w:val="auto"/>
          <w:sz w:val="24"/>
          <w:szCs w:val="24"/>
          <w:highlight w:val="none"/>
          <w:lang w:eastAsia="zh-CN"/>
        </w:rPr>
        <w:t>验收通过后</w:t>
      </w:r>
      <w:r>
        <w:rPr>
          <w:rFonts w:hint="eastAsia" w:ascii="宋体"/>
          <w:color w:val="auto"/>
          <w:sz w:val="24"/>
          <w:szCs w:val="24"/>
          <w:highlight w:val="none"/>
        </w:rPr>
        <w:t>交付使用。如在规定的时间内由于供应商的原因不能完成交货的，供应商应承担由此给</w:t>
      </w:r>
      <w:r>
        <w:rPr>
          <w:rFonts w:hint="eastAsia" w:ascii="宋体"/>
          <w:color w:val="auto"/>
          <w:sz w:val="24"/>
          <w:szCs w:val="24"/>
          <w:highlight w:val="none"/>
          <w:lang w:eastAsia="zh-CN"/>
        </w:rPr>
        <w:t>采购单位</w:t>
      </w:r>
      <w:r>
        <w:rPr>
          <w:rFonts w:hint="eastAsia" w:ascii="宋体"/>
          <w:color w:val="auto"/>
          <w:sz w:val="24"/>
          <w:szCs w:val="24"/>
          <w:highlight w:val="none"/>
        </w:rPr>
        <w:t>造成的损失。</w:t>
      </w:r>
    </w:p>
    <w:p>
      <w:pPr>
        <w:autoSpaceDE w:val="0"/>
        <w:adjustRightInd w:val="0"/>
        <w:spacing w:line="480" w:lineRule="exact"/>
        <w:ind w:firstLine="501" w:firstLineChars="209"/>
        <w:jc w:val="left"/>
        <w:rPr>
          <w:rFonts w:ascii="宋体"/>
          <w:color w:val="auto"/>
          <w:sz w:val="24"/>
          <w:szCs w:val="24"/>
          <w:highlight w:val="none"/>
        </w:rPr>
      </w:pPr>
      <w:r>
        <w:rPr>
          <w:rFonts w:hint="eastAsia" w:ascii="宋体"/>
          <w:color w:val="auto"/>
          <w:sz w:val="24"/>
          <w:szCs w:val="24"/>
          <w:highlight w:val="none"/>
        </w:rPr>
        <w:t>2. 安装地点：由</w:t>
      </w:r>
      <w:r>
        <w:rPr>
          <w:rFonts w:hint="eastAsia" w:ascii="宋体"/>
          <w:color w:val="auto"/>
          <w:sz w:val="24"/>
          <w:szCs w:val="24"/>
          <w:highlight w:val="none"/>
          <w:lang w:eastAsia="zh-CN"/>
        </w:rPr>
        <w:t>采购单位</w:t>
      </w:r>
      <w:r>
        <w:rPr>
          <w:rFonts w:hint="eastAsia" w:ascii="宋体"/>
          <w:color w:val="auto"/>
          <w:sz w:val="24"/>
          <w:szCs w:val="24"/>
          <w:highlight w:val="none"/>
        </w:rPr>
        <w:t>指定。</w:t>
      </w:r>
    </w:p>
    <w:p>
      <w:pPr>
        <w:autoSpaceDE w:val="0"/>
        <w:adjustRightInd w:val="0"/>
        <w:spacing w:line="480" w:lineRule="exact"/>
        <w:ind w:firstLine="501" w:firstLineChars="209"/>
        <w:jc w:val="left"/>
        <w:rPr>
          <w:rFonts w:ascii="宋体"/>
          <w:color w:val="auto"/>
          <w:sz w:val="24"/>
          <w:szCs w:val="24"/>
          <w:highlight w:val="none"/>
        </w:rPr>
      </w:pPr>
      <w:r>
        <w:rPr>
          <w:rFonts w:hint="eastAsia" w:ascii="宋体"/>
          <w:color w:val="auto"/>
          <w:sz w:val="24"/>
          <w:szCs w:val="24"/>
          <w:highlight w:val="none"/>
        </w:rPr>
        <w:t>3. 安装标准：符合我国国家有关技术规范要求和技术标准，所有的软件和硬件必须保证同时安装到位。</w:t>
      </w:r>
    </w:p>
    <w:p>
      <w:pPr>
        <w:autoSpaceDE w:val="0"/>
        <w:adjustRightInd w:val="0"/>
        <w:spacing w:line="480" w:lineRule="exact"/>
        <w:ind w:firstLine="501" w:firstLineChars="209"/>
        <w:jc w:val="left"/>
        <w:rPr>
          <w:rFonts w:ascii="宋体"/>
          <w:color w:val="auto"/>
          <w:sz w:val="24"/>
          <w:szCs w:val="24"/>
          <w:highlight w:val="none"/>
        </w:rPr>
      </w:pPr>
      <w:r>
        <w:rPr>
          <w:rFonts w:hint="eastAsia" w:ascii="宋体"/>
          <w:color w:val="auto"/>
          <w:sz w:val="24"/>
          <w:szCs w:val="24"/>
          <w:highlight w:val="none"/>
        </w:rPr>
        <w:t xml:space="preserve">4. </w:t>
      </w:r>
      <w:r>
        <w:rPr>
          <w:rFonts w:hint="eastAsia" w:ascii="宋体"/>
          <w:color w:val="auto"/>
          <w:sz w:val="24"/>
          <w:szCs w:val="24"/>
          <w:highlight w:val="none"/>
          <w:lang w:eastAsia="zh-CN"/>
        </w:rPr>
        <w:t>中标供应商</w:t>
      </w:r>
      <w:r>
        <w:rPr>
          <w:rFonts w:hint="eastAsia" w:ascii="宋体"/>
          <w:color w:val="auto"/>
          <w:sz w:val="24"/>
          <w:szCs w:val="24"/>
          <w:highlight w:val="none"/>
        </w:rPr>
        <w:t>免费提供中标设备的安装调试服务。</w:t>
      </w:r>
    </w:p>
    <w:p>
      <w:pPr>
        <w:autoSpaceDE w:val="0"/>
        <w:autoSpaceDN w:val="0"/>
        <w:adjustRightInd w:val="0"/>
        <w:snapToGrid w:val="0"/>
        <w:spacing w:line="440" w:lineRule="exact"/>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5. 投标方应在投标文件中应提供安装计划、对安装场地和环境的要求。</w:t>
      </w:r>
    </w:p>
    <w:p>
      <w:pPr>
        <w:autoSpaceDE w:val="0"/>
        <w:autoSpaceDN w:val="0"/>
        <w:adjustRightInd w:val="0"/>
        <w:snapToGrid w:val="0"/>
        <w:spacing w:line="440" w:lineRule="exact"/>
        <w:ind w:firstLine="595" w:firstLineChars="247"/>
        <w:textAlignment w:val="bottom"/>
        <w:rPr>
          <w:rFonts w:ascii="宋体" w:cs="宋体"/>
          <w:b/>
          <w:bCs/>
          <w:color w:val="auto"/>
          <w:sz w:val="24"/>
          <w:szCs w:val="24"/>
          <w:highlight w:val="none"/>
        </w:rPr>
      </w:pPr>
      <w:r>
        <w:rPr>
          <w:rFonts w:hint="eastAsia" w:ascii="宋体" w:hAnsi="宋体" w:cs="宋体"/>
          <w:b/>
          <w:bCs/>
          <w:color w:val="auto"/>
          <w:sz w:val="24"/>
          <w:szCs w:val="24"/>
          <w:highlight w:val="none"/>
          <w:lang w:eastAsia="zh-CN"/>
        </w:rPr>
        <w:t>四</w:t>
      </w:r>
      <w:r>
        <w:rPr>
          <w:rFonts w:hint="eastAsia" w:ascii="宋体" w:hAnsi="宋体" w:cs="宋体"/>
          <w:b/>
          <w:bCs/>
          <w:color w:val="auto"/>
          <w:sz w:val="24"/>
          <w:szCs w:val="24"/>
          <w:highlight w:val="none"/>
        </w:rPr>
        <w:t>、售后服务</w:t>
      </w:r>
    </w:p>
    <w:p>
      <w:pPr>
        <w:autoSpaceDE w:val="0"/>
        <w:adjustRightInd w:val="0"/>
        <w:spacing w:line="480" w:lineRule="exact"/>
        <w:ind w:firstLine="480" w:firstLineChars="200"/>
        <w:jc w:val="left"/>
        <w:rPr>
          <w:color w:val="auto"/>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、本项目所有设备的原厂质量保修期≥</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年（招标规格参数内有注明的以招标规格参数要求为准）。合同标的质量保修期自标的验收合格并签字盖章后开始计算。</w:t>
      </w:r>
      <w:r>
        <w:rPr>
          <w:rFonts w:hint="eastAsia" w:ascii="宋体" w:hAnsi="宋体"/>
          <w:color w:val="auto"/>
          <w:sz w:val="24"/>
          <w:highlight w:val="none"/>
        </w:rPr>
        <w:t>质保期内因不能排除的故障而影响工作的情况每发生一次，其质保期相应延长</w:t>
      </w:r>
      <w:r>
        <w:rPr>
          <w:rFonts w:ascii="宋体" w:hAnsi="宋体"/>
          <w:color w:val="auto"/>
          <w:sz w:val="24"/>
          <w:highlight w:val="none"/>
        </w:rPr>
        <w:t>60</w:t>
      </w:r>
      <w:r>
        <w:rPr>
          <w:rFonts w:hint="eastAsia" w:ascii="宋体" w:hAnsi="宋体"/>
          <w:color w:val="auto"/>
          <w:sz w:val="24"/>
          <w:highlight w:val="none"/>
        </w:rPr>
        <w:t>天，质保期内因货物本身缺陷造成各种故障应由卖方免费技术服务和维修。</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zh-CN" w:eastAsia="zh-CN"/>
        </w:rPr>
        <w:t>应具有完善的售后服务体系，有固定专业维修机构及维修人员；</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lang w:eastAsia="zh-CN"/>
        </w:rPr>
        <w:t>、备品备件服务：中标供应商应有备品备件，为项目及时提供备件更换服务；</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eastAsia="zh-CN"/>
        </w:rPr>
        <w:t>、保修期内，非采购单位的人为原因而出现产品质量及安装问题，由中标供应商负责包修、包换，并承担因此而产生的一切费用；但人为因素、自然因素（如火灾、雷击等）造成的故障可适当收取元件的更换费用。中标供应商应在投标文件中提供详细具体的售后服务承诺条款，就设备的保修、维护期予以说明；</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5</w:t>
      </w:r>
      <w:r>
        <w:rPr>
          <w:rFonts w:hint="eastAsia" w:ascii="宋体" w:hAnsi="宋体" w:cs="宋体"/>
          <w:b w:val="0"/>
          <w:bCs w:val="0"/>
          <w:color w:val="auto"/>
          <w:sz w:val="24"/>
          <w:szCs w:val="24"/>
          <w:highlight w:val="none"/>
          <w:lang w:eastAsia="zh-CN"/>
        </w:rPr>
        <w:t>、所有设备保修服务方式均为中标供应商上门保修，即由中标供应商派技术人员到招标方设备使用现场维修，由此产生的一切费用均由中标供应商承担。</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lang w:eastAsia="zh-CN"/>
        </w:rPr>
        <w:t>故障响应：在设备（或系统）整个使用期内，卖方应确保正常使用，在接到用户维修要求后在0.5小时内响应并提出解决方案，2小时内对故障进行处理，维修过程中所需材料中标供应商在接到通知后应及时提供，最长不超过24小时必须送达买方。若24小时内无法修复的，应48小时内提供相应备用设备并负责安装调试。</w:t>
      </w:r>
    </w:p>
    <w:p>
      <w:pPr>
        <w:autoSpaceDE w:val="0"/>
        <w:autoSpaceDN w:val="0"/>
        <w:adjustRightInd w:val="0"/>
        <w:snapToGrid w:val="0"/>
        <w:spacing w:line="440" w:lineRule="exact"/>
        <w:ind w:left="-181" w:leftChars="-86" w:right="-178" w:rightChars="-85" w:firstLine="720" w:firstLineChars="300"/>
        <w:textAlignment w:val="bottom"/>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7、</w:t>
      </w:r>
      <w:r>
        <w:rPr>
          <w:rFonts w:hint="eastAsia" w:ascii="宋体" w:hAnsi="宋体" w:cs="宋体"/>
          <w:b w:val="0"/>
          <w:bCs w:val="0"/>
          <w:color w:val="auto"/>
          <w:sz w:val="24"/>
          <w:szCs w:val="24"/>
          <w:highlight w:val="none"/>
          <w:lang w:eastAsia="zh-CN"/>
        </w:rPr>
        <w:t>中标供应商应保证提供本项目所有设备所需配件至少8年的备件和技术支持服务，如因生产厂商停产，可用同品牌更高型号的兼容设备代替，其价格参考中标价格。</w:t>
      </w:r>
    </w:p>
    <w:p>
      <w:pPr>
        <w:autoSpaceDE w:val="0"/>
        <w:adjustRightInd w:val="0"/>
        <w:spacing w:line="480" w:lineRule="exact"/>
        <w:ind w:firstLine="501" w:firstLineChars="209"/>
        <w:jc w:val="left"/>
        <w:rPr>
          <w:rFonts w:ascii="宋体"/>
          <w:color w:val="auto"/>
          <w:sz w:val="24"/>
          <w:szCs w:val="24"/>
          <w:highlight w:val="none"/>
        </w:rPr>
      </w:pPr>
      <w:r>
        <w:rPr>
          <w:rFonts w:hint="eastAsia" w:ascii="宋体" w:hAnsi="宋体" w:cs="宋体"/>
          <w:b w:val="0"/>
          <w:bCs w:val="0"/>
          <w:color w:val="auto"/>
          <w:sz w:val="24"/>
          <w:szCs w:val="24"/>
          <w:highlight w:val="none"/>
          <w:lang w:eastAsia="zh-CN"/>
        </w:rPr>
        <w:t>以上</w:t>
      </w:r>
      <w:r>
        <w:rPr>
          <w:rFonts w:hint="eastAsia" w:ascii="宋体" w:hAnsi="宋体" w:cs="宋体"/>
          <w:b w:val="0"/>
          <w:bCs w:val="0"/>
          <w:color w:val="auto"/>
          <w:sz w:val="24"/>
          <w:szCs w:val="24"/>
          <w:highlight w:val="none"/>
          <w:lang w:val="en-US" w:eastAsia="zh-CN"/>
        </w:rPr>
        <w:t>1-7条，</w:t>
      </w:r>
      <w:r>
        <w:rPr>
          <w:rFonts w:hint="eastAsia" w:ascii="宋体" w:hAnsi="宋体" w:cs="宋体"/>
          <w:b w:val="0"/>
          <w:bCs w:val="0"/>
          <w:color w:val="auto"/>
          <w:sz w:val="24"/>
          <w:szCs w:val="24"/>
          <w:highlight w:val="none"/>
          <w:lang w:eastAsia="zh-CN"/>
        </w:rPr>
        <w:t>投标供应商应提供相应承诺书。</w:t>
      </w:r>
    </w:p>
    <w:p>
      <w:pPr>
        <w:autoSpaceDE w:val="0"/>
        <w:autoSpaceDN w:val="0"/>
        <w:adjustRightInd w:val="0"/>
        <w:snapToGrid w:val="0"/>
        <w:spacing w:line="440" w:lineRule="exact"/>
        <w:ind w:left="-181" w:leftChars="-86" w:right="-178" w:rightChars="-85" w:firstLine="723" w:firstLineChars="300"/>
        <w:textAlignment w:val="bottom"/>
        <w:rPr>
          <w:rFonts w:ascii="宋体" w:cs="宋体"/>
          <w:b/>
          <w:bCs/>
          <w:color w:val="auto"/>
          <w:sz w:val="24"/>
          <w:szCs w:val="24"/>
          <w:highlight w:val="none"/>
        </w:rPr>
      </w:pPr>
      <w:r>
        <w:rPr>
          <w:rFonts w:hint="eastAsia" w:ascii="宋体" w:hAnsi="宋体" w:cs="宋体"/>
          <w:b/>
          <w:bCs/>
          <w:color w:val="auto"/>
          <w:sz w:val="24"/>
          <w:szCs w:val="24"/>
          <w:highlight w:val="none"/>
          <w:lang w:eastAsia="zh-CN"/>
        </w:rPr>
        <w:t>五</w:t>
      </w:r>
      <w:r>
        <w:rPr>
          <w:rFonts w:hint="eastAsia" w:ascii="宋体" w:hAnsi="宋体" w:cs="宋体"/>
          <w:b/>
          <w:bCs/>
          <w:color w:val="auto"/>
          <w:sz w:val="24"/>
          <w:szCs w:val="24"/>
          <w:highlight w:val="none"/>
        </w:rPr>
        <w:t>、培训</w:t>
      </w:r>
    </w:p>
    <w:p>
      <w:pPr>
        <w:autoSpaceDE w:val="0"/>
        <w:autoSpaceDN w:val="0"/>
        <w:adjustRightInd w:val="0"/>
        <w:snapToGrid w:val="0"/>
        <w:spacing w:line="440" w:lineRule="exact"/>
        <w:ind w:firstLine="480" w:firstLineChars="200"/>
        <w:textAlignment w:val="bottom"/>
        <w:rPr>
          <w:rFonts w:ascii="宋体" w:cs="宋体"/>
          <w:color w:val="auto"/>
          <w:sz w:val="24"/>
          <w:szCs w:val="24"/>
          <w:highlight w:val="none"/>
        </w:rPr>
      </w:pPr>
      <w:r>
        <w:rPr>
          <w:rFonts w:hint="eastAsia" w:ascii="宋体" w:hAnsi="宋体" w:cs="宋体"/>
          <w:snapToGrid w:val="0"/>
          <w:color w:val="auto"/>
          <w:kern w:val="0"/>
          <w:sz w:val="24"/>
          <w:szCs w:val="24"/>
          <w:highlight w:val="none"/>
        </w:rPr>
        <w:t>投标方应提供相应的培训计划，详细说明培训的方式、地点、人数、</w:t>
      </w:r>
      <w:r>
        <w:rPr>
          <w:rFonts w:hint="eastAsia" w:ascii="宋体" w:hAnsi="宋体" w:cs="宋体"/>
          <w:color w:val="auto"/>
          <w:sz w:val="24"/>
          <w:szCs w:val="24"/>
          <w:highlight w:val="none"/>
        </w:rPr>
        <w:t>时间等实质性内容。</w:t>
      </w:r>
    </w:p>
    <w:p>
      <w:pPr>
        <w:widowControl/>
        <w:autoSpaceDE w:val="0"/>
        <w:autoSpaceDN w:val="0"/>
        <w:spacing w:line="440" w:lineRule="exact"/>
        <w:ind w:firstLine="482" w:firstLineChars="200"/>
        <w:textAlignment w:val="bottom"/>
        <w:rPr>
          <w:rFonts w:ascii="宋体" w:cs="宋体"/>
          <w:b/>
          <w:bCs/>
          <w:color w:val="auto"/>
          <w:sz w:val="24"/>
          <w:szCs w:val="24"/>
          <w:highlight w:val="none"/>
        </w:rPr>
      </w:pPr>
      <w:r>
        <w:rPr>
          <w:rFonts w:hint="eastAsia" w:ascii="宋体" w:hAnsi="宋体" w:cs="宋体"/>
          <w:b/>
          <w:bCs/>
          <w:color w:val="auto"/>
          <w:sz w:val="24"/>
          <w:szCs w:val="24"/>
          <w:highlight w:val="none"/>
        </w:rPr>
        <w:t>六、验收</w:t>
      </w:r>
    </w:p>
    <w:p>
      <w:pPr>
        <w:widowControl/>
        <w:autoSpaceDE w:val="0"/>
        <w:autoSpaceDN w:val="0"/>
        <w:spacing w:line="440" w:lineRule="exact"/>
        <w:ind w:left="-181" w:leftChars="-86" w:right="-178" w:rightChars="-85" w:firstLine="600" w:firstLineChars="250"/>
        <w:textAlignment w:val="bottom"/>
        <w:rPr>
          <w:rFonts w:ascii="宋体" w:cs="宋体"/>
          <w:color w:val="auto"/>
          <w:sz w:val="24"/>
          <w:szCs w:val="24"/>
          <w:highlight w:val="none"/>
        </w:rPr>
      </w:pPr>
      <w:r>
        <w:rPr>
          <w:rFonts w:hint="eastAsia" w:ascii="宋体" w:cs="宋体"/>
          <w:color w:val="auto"/>
          <w:sz w:val="24"/>
          <w:szCs w:val="24"/>
          <w:highlight w:val="none"/>
        </w:rPr>
        <w:t>1. </w:t>
      </w:r>
      <w:r>
        <w:rPr>
          <w:rFonts w:hint="eastAsia" w:ascii="宋体"/>
          <w:color w:val="auto"/>
          <w:sz w:val="24"/>
          <w:szCs w:val="24"/>
          <w:highlight w:val="none"/>
          <w:lang w:eastAsia="zh-CN"/>
        </w:rPr>
        <w:t>中标供应商</w:t>
      </w:r>
      <w:r>
        <w:rPr>
          <w:rFonts w:hint="eastAsia" w:ascii="宋体" w:cs="宋体"/>
          <w:color w:val="auto"/>
          <w:sz w:val="24"/>
          <w:szCs w:val="24"/>
          <w:highlight w:val="none"/>
        </w:rPr>
        <w:t>应提供系统设备的有效检验材料，经</w:t>
      </w:r>
      <w:r>
        <w:rPr>
          <w:rFonts w:hint="eastAsia" w:ascii="宋体" w:cs="宋体"/>
          <w:color w:val="auto"/>
          <w:sz w:val="24"/>
          <w:szCs w:val="24"/>
          <w:highlight w:val="none"/>
          <w:lang w:eastAsia="zh-CN"/>
        </w:rPr>
        <w:t>采购单位</w:t>
      </w:r>
      <w:r>
        <w:rPr>
          <w:rFonts w:hint="eastAsia" w:ascii="宋体" w:cs="宋体"/>
          <w:color w:val="auto"/>
          <w:sz w:val="24"/>
          <w:szCs w:val="24"/>
          <w:highlight w:val="none"/>
        </w:rPr>
        <w:t>认可后，与合同的技术指标一起作为验收标准。</w:t>
      </w:r>
      <w:r>
        <w:rPr>
          <w:rFonts w:hint="eastAsia" w:ascii="宋体" w:cs="宋体"/>
          <w:color w:val="auto"/>
          <w:sz w:val="24"/>
          <w:szCs w:val="24"/>
          <w:highlight w:val="none"/>
          <w:lang w:eastAsia="zh-CN"/>
        </w:rPr>
        <w:t>采购单位</w:t>
      </w:r>
      <w:r>
        <w:rPr>
          <w:rFonts w:hint="eastAsia" w:ascii="宋体" w:cs="宋体"/>
          <w:color w:val="auto"/>
          <w:sz w:val="24"/>
          <w:szCs w:val="24"/>
          <w:highlight w:val="none"/>
        </w:rPr>
        <w:t>对系统设备验收合格后，在《建德市政府采购验收反馈表》上签署意见并加盖单位公章。验收中发现系统设备达不到验收标准或合同规定的技术指标，卖方必须更换，并负担由此给用户造成的损失，直到验收合格为止。</w:t>
      </w:r>
    </w:p>
    <w:p>
      <w:pPr>
        <w:widowControl/>
        <w:autoSpaceDE w:val="0"/>
        <w:autoSpaceDN w:val="0"/>
        <w:spacing w:line="440" w:lineRule="exact"/>
        <w:ind w:left="-181" w:leftChars="-86" w:right="-178" w:rightChars="-85" w:firstLine="600" w:firstLineChars="250"/>
        <w:textAlignment w:val="bottom"/>
        <w:rPr>
          <w:rFonts w:ascii="宋体" w:cs="宋体"/>
          <w:color w:val="auto"/>
          <w:sz w:val="24"/>
          <w:szCs w:val="24"/>
          <w:highlight w:val="none"/>
        </w:rPr>
      </w:pPr>
      <w:r>
        <w:rPr>
          <w:rFonts w:hint="eastAsia" w:ascii="宋体" w:cs="宋体"/>
          <w:color w:val="auto"/>
          <w:sz w:val="24"/>
          <w:szCs w:val="24"/>
          <w:highlight w:val="none"/>
        </w:rPr>
        <w:t>2. </w:t>
      </w:r>
      <w:r>
        <w:rPr>
          <w:rFonts w:hint="eastAsia" w:ascii="宋体" w:cs="宋体"/>
          <w:color w:val="auto"/>
          <w:sz w:val="24"/>
          <w:szCs w:val="24"/>
          <w:highlight w:val="none"/>
          <w:lang w:val="en-US" w:eastAsia="zh-CN"/>
        </w:rPr>
        <w:t>投标供应商</w:t>
      </w:r>
      <w:r>
        <w:rPr>
          <w:rFonts w:hint="eastAsia" w:ascii="宋体" w:cs="宋体"/>
          <w:color w:val="auto"/>
          <w:sz w:val="24"/>
          <w:szCs w:val="24"/>
          <w:highlight w:val="none"/>
        </w:rPr>
        <w:t>应于投标书中提供系统设备的验收标准和检测办法，并在验收中提供买方认可的相应检测手段，验收标准应符合中国有关的国家、地方、行业的标准，如若中标，经买方确认后作为验收的依据。</w:t>
      </w:r>
    </w:p>
    <w:p>
      <w:pPr>
        <w:widowControl/>
        <w:autoSpaceDE w:val="0"/>
        <w:autoSpaceDN w:val="0"/>
        <w:spacing w:line="440" w:lineRule="exact"/>
        <w:ind w:left="-181" w:leftChars="-86" w:right="-178" w:rightChars="-85" w:firstLine="600" w:firstLineChars="250"/>
        <w:textAlignment w:val="bottom"/>
        <w:rPr>
          <w:rFonts w:hint="eastAsia" w:ascii="宋体" w:cs="宋体"/>
          <w:color w:val="auto"/>
          <w:sz w:val="24"/>
          <w:szCs w:val="24"/>
          <w:highlight w:val="none"/>
        </w:rPr>
      </w:pPr>
      <w:r>
        <w:rPr>
          <w:rFonts w:hint="eastAsia" w:ascii="宋体" w:cs="宋体"/>
          <w:color w:val="auto"/>
          <w:sz w:val="24"/>
          <w:szCs w:val="24"/>
          <w:highlight w:val="none"/>
        </w:rPr>
        <w:t>3. 验收费用由</w:t>
      </w:r>
      <w:r>
        <w:rPr>
          <w:rFonts w:hint="eastAsia" w:ascii="宋体"/>
          <w:color w:val="auto"/>
          <w:sz w:val="24"/>
          <w:szCs w:val="24"/>
          <w:highlight w:val="none"/>
          <w:lang w:eastAsia="zh-CN"/>
        </w:rPr>
        <w:t>中标供应商</w:t>
      </w:r>
      <w:r>
        <w:rPr>
          <w:rFonts w:hint="eastAsia" w:ascii="宋体" w:cs="宋体"/>
          <w:color w:val="auto"/>
          <w:sz w:val="24"/>
          <w:szCs w:val="24"/>
          <w:highlight w:val="none"/>
        </w:rPr>
        <w:t>承担。</w:t>
      </w:r>
    </w:p>
    <w:p>
      <w:pPr>
        <w:pStyle w:val="55"/>
        <w:rPr>
          <w:rFonts w:hint="eastAsia" w:ascii="宋体" w:cs="宋体"/>
          <w:color w:val="auto"/>
          <w:sz w:val="24"/>
          <w:szCs w:val="24"/>
          <w:highlight w:val="none"/>
        </w:rPr>
      </w:pPr>
    </w:p>
    <w:p>
      <w:pPr>
        <w:rPr>
          <w:rStyle w:val="97"/>
          <w:rFonts w:ascii="宋体" w:hAnsi="宋体" w:cs="宋体"/>
          <w:b/>
          <w:bCs/>
          <w:color w:val="auto"/>
          <w:sz w:val="36"/>
          <w:szCs w:val="36"/>
          <w:highlight w:val="none"/>
        </w:rPr>
      </w:pPr>
      <w:r>
        <w:rPr>
          <w:rStyle w:val="97"/>
          <w:rFonts w:hint="eastAsia" w:ascii="宋体" w:hAnsi="宋体" w:cs="宋体"/>
          <w:b/>
          <w:bCs/>
          <w:color w:val="auto"/>
          <w:sz w:val="36"/>
          <w:szCs w:val="36"/>
          <w:highlight w:val="none"/>
        </w:rPr>
        <w:br w:type="page"/>
      </w:r>
    </w:p>
    <w:p>
      <w:pPr>
        <w:pStyle w:val="26"/>
        <w:tabs>
          <w:tab w:val="left" w:pos="1425"/>
        </w:tabs>
        <w:spacing w:line="440" w:lineRule="exact"/>
        <w:jc w:val="center"/>
        <w:rPr>
          <w:rStyle w:val="97"/>
          <w:rFonts w:ascii="宋体" w:hAnsi="宋体" w:cs="宋体"/>
          <w:color w:val="auto"/>
          <w:sz w:val="36"/>
          <w:szCs w:val="36"/>
          <w:highlight w:val="none"/>
        </w:rPr>
      </w:pPr>
      <w:r>
        <w:rPr>
          <w:rStyle w:val="97"/>
          <w:rFonts w:hint="eastAsia" w:ascii="宋体" w:hAnsi="宋体" w:cs="宋体"/>
          <w:b/>
          <w:bCs/>
          <w:color w:val="auto"/>
          <w:sz w:val="36"/>
          <w:szCs w:val="36"/>
          <w:highlight w:val="none"/>
        </w:rPr>
        <w:t>第七章 财务结算</w:t>
      </w:r>
    </w:p>
    <w:p>
      <w:pPr>
        <w:rPr>
          <w:rFonts w:ascii="宋体" w:hAnsi="宋体" w:cs="宋体"/>
          <w:color w:val="auto"/>
          <w:highlight w:val="none"/>
        </w:rPr>
      </w:pPr>
    </w:p>
    <w:p>
      <w:pPr>
        <w:spacing w:line="360" w:lineRule="auto"/>
        <w:ind w:right="-178" w:rightChars="-85"/>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一、未中标</w:t>
      </w:r>
      <w:r>
        <w:rPr>
          <w:rFonts w:hint="eastAsia" w:ascii="宋体" w:hAnsi="宋体" w:eastAsia="宋体" w:cs="宋体"/>
          <w:b/>
          <w:bCs/>
          <w:color w:val="auto"/>
          <w:sz w:val="24"/>
          <w:szCs w:val="24"/>
          <w:highlight w:val="none"/>
          <w:lang w:eastAsia="zh-CN"/>
        </w:rPr>
        <w:t>投标保证金</w:t>
      </w:r>
    </w:p>
    <w:p>
      <w:pPr>
        <w:autoSpaceDE w:val="0"/>
        <w:adjustRightInd w:val="0"/>
        <w:spacing w:line="360" w:lineRule="auto"/>
        <w:ind w:right="113" w:rightChars="54" w:firstLine="501" w:firstLineChars="209"/>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自中标公告发出5个工作日后，若无其他问题，携带往来款收据到</w:t>
      </w:r>
      <w:r>
        <w:rPr>
          <w:rFonts w:hint="eastAsia" w:ascii="宋体" w:hAnsi="宋体" w:cs="宋体"/>
          <w:bCs/>
          <w:color w:val="auto"/>
          <w:sz w:val="24"/>
          <w:highlight w:val="none"/>
          <w:lang w:eastAsia="zh-CN"/>
        </w:rPr>
        <w:t>欧邦工程管理集团有限公司</w:t>
      </w:r>
      <w:r>
        <w:rPr>
          <w:rFonts w:hint="eastAsia" w:ascii="宋体" w:hAnsi="宋体" w:eastAsia="宋体" w:cs="宋体"/>
          <w:bCs/>
          <w:color w:val="auto"/>
          <w:sz w:val="24"/>
          <w:highlight w:val="none"/>
        </w:rPr>
        <w:t>财务室办理。（联系电话：0571-</w:t>
      </w:r>
      <w:r>
        <w:rPr>
          <w:rFonts w:hint="eastAsia" w:ascii="宋体" w:hAnsi="宋体" w:cs="宋体"/>
          <w:bCs/>
          <w:color w:val="auto"/>
          <w:sz w:val="24"/>
          <w:highlight w:val="none"/>
          <w:lang w:eastAsia="zh-CN"/>
        </w:rPr>
        <w:t>64797180</w:t>
      </w:r>
      <w:r>
        <w:rPr>
          <w:rFonts w:hint="eastAsia" w:ascii="宋体" w:hAnsi="宋体" w:eastAsia="宋体" w:cs="宋体"/>
          <w:bCs/>
          <w:color w:val="auto"/>
          <w:sz w:val="24"/>
          <w:highlight w:val="none"/>
        </w:rPr>
        <w:t>）</w:t>
      </w:r>
    </w:p>
    <w:p>
      <w:pPr>
        <w:spacing w:line="360" w:lineRule="auto"/>
        <w:ind w:right="-178" w:rightChars="-85"/>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中标供应商投标保证金</w:t>
      </w:r>
    </w:p>
    <w:p>
      <w:pPr>
        <w:autoSpaceDE w:val="0"/>
        <w:adjustRightInd w:val="0"/>
        <w:spacing w:line="360" w:lineRule="auto"/>
        <w:ind w:right="113" w:rightChars="54" w:firstLine="501" w:firstLineChars="209"/>
        <w:jc w:val="left"/>
        <w:rPr>
          <w:rFonts w:hint="eastAsia" w:ascii="宋体" w:hAnsi="宋体" w:cs="宋体"/>
          <w:b/>
          <w:bCs/>
          <w:color w:val="auto"/>
          <w:sz w:val="24"/>
          <w:szCs w:val="24"/>
          <w:highlight w:val="none"/>
        </w:rPr>
      </w:pPr>
      <w:r>
        <w:rPr>
          <w:rFonts w:hint="eastAsia" w:ascii="宋体" w:hAnsi="宋体" w:eastAsia="宋体" w:cs="宋体"/>
          <w:bCs/>
          <w:color w:val="auto"/>
          <w:sz w:val="24"/>
          <w:highlight w:val="none"/>
          <w:lang w:eastAsia="zh-CN"/>
        </w:rPr>
        <w:t>中标供应商</w:t>
      </w:r>
      <w:r>
        <w:rPr>
          <w:rFonts w:hint="eastAsia" w:ascii="宋体" w:hAnsi="宋体" w:eastAsia="宋体" w:cs="宋体"/>
          <w:bCs/>
          <w:color w:val="auto"/>
          <w:sz w:val="24"/>
          <w:highlight w:val="none"/>
        </w:rPr>
        <w:t>的</w:t>
      </w:r>
      <w:r>
        <w:rPr>
          <w:rFonts w:hint="eastAsia" w:ascii="宋体" w:hAnsi="宋体" w:eastAsia="宋体" w:cs="宋体"/>
          <w:bCs/>
          <w:color w:val="auto"/>
          <w:sz w:val="24"/>
          <w:highlight w:val="none"/>
          <w:lang w:eastAsia="zh-CN"/>
        </w:rPr>
        <w:t>投标保证金</w:t>
      </w:r>
      <w:r>
        <w:rPr>
          <w:rFonts w:hint="eastAsia" w:ascii="宋体" w:hAnsi="宋体" w:eastAsia="宋体" w:cs="宋体"/>
          <w:bCs/>
          <w:color w:val="auto"/>
          <w:sz w:val="24"/>
          <w:highlight w:val="none"/>
        </w:rPr>
        <w:t>，在合同签订后凭合同复印件到</w:t>
      </w:r>
      <w:r>
        <w:rPr>
          <w:rFonts w:hint="eastAsia" w:ascii="宋体" w:hAnsi="宋体" w:cs="宋体"/>
          <w:bCs/>
          <w:color w:val="auto"/>
          <w:sz w:val="24"/>
          <w:highlight w:val="none"/>
          <w:lang w:eastAsia="zh-CN"/>
        </w:rPr>
        <w:t>欧邦工程管理集团有限公司</w:t>
      </w:r>
      <w:r>
        <w:rPr>
          <w:rFonts w:hint="eastAsia" w:ascii="宋体" w:hAnsi="宋体" w:eastAsia="宋体" w:cs="宋体"/>
          <w:bCs/>
          <w:color w:val="auto"/>
          <w:sz w:val="24"/>
          <w:highlight w:val="none"/>
        </w:rPr>
        <w:t>建德分公司办理退还手续，将在5个工作日内无息退，由于</w:t>
      </w:r>
      <w:r>
        <w:rPr>
          <w:rFonts w:hint="eastAsia" w:ascii="宋体" w:hAnsi="宋体" w:eastAsia="宋体" w:cs="宋体"/>
          <w:bCs/>
          <w:color w:val="auto"/>
          <w:sz w:val="24"/>
          <w:highlight w:val="none"/>
          <w:lang w:eastAsia="zh-CN"/>
        </w:rPr>
        <w:t>中标供应商</w:t>
      </w:r>
      <w:r>
        <w:rPr>
          <w:rFonts w:hint="eastAsia" w:ascii="宋体" w:hAnsi="宋体" w:eastAsia="宋体" w:cs="宋体"/>
          <w:bCs/>
          <w:color w:val="auto"/>
          <w:sz w:val="24"/>
          <w:highlight w:val="none"/>
        </w:rPr>
        <w:t>迟迟不提出退还保证金致使保证金逾期退还的，责任由</w:t>
      </w:r>
      <w:r>
        <w:rPr>
          <w:rFonts w:hint="eastAsia" w:ascii="宋体" w:hAnsi="宋体" w:eastAsia="宋体" w:cs="宋体"/>
          <w:bCs/>
          <w:color w:val="auto"/>
          <w:sz w:val="24"/>
          <w:highlight w:val="none"/>
          <w:lang w:eastAsia="zh-CN"/>
        </w:rPr>
        <w:t>中标供应商</w:t>
      </w:r>
      <w:r>
        <w:rPr>
          <w:rFonts w:hint="eastAsia" w:ascii="宋体" w:hAnsi="宋体" w:eastAsia="宋体" w:cs="宋体"/>
          <w:bCs/>
          <w:color w:val="auto"/>
          <w:sz w:val="24"/>
          <w:highlight w:val="none"/>
        </w:rPr>
        <w:t>自负</w:t>
      </w:r>
      <w:r>
        <w:rPr>
          <w:rFonts w:hint="eastAsia" w:ascii="宋体" w:hAnsi="宋体" w:eastAsia="宋体" w:cs="宋体"/>
          <w:bCs/>
          <w:color w:val="auto"/>
          <w:sz w:val="24"/>
          <w:highlight w:val="none"/>
          <w:lang w:eastAsia="zh-CN"/>
        </w:rPr>
        <w:t>。</w:t>
      </w:r>
    </w:p>
    <w:p>
      <w:pPr>
        <w:spacing w:line="360" w:lineRule="auto"/>
        <w:ind w:right="-178" w:rightChars="-85"/>
        <w:rPr>
          <w:rFonts w:ascii="宋体" w:hAnsi="宋体" w:cs="宋体"/>
          <w:b/>
          <w:bCs/>
          <w:color w:val="auto"/>
          <w:sz w:val="24"/>
          <w:szCs w:val="24"/>
          <w:highlight w:val="none"/>
        </w:rPr>
      </w:pPr>
      <w:r>
        <w:rPr>
          <w:rFonts w:hint="eastAsia" w:ascii="宋体" w:hAnsi="宋体" w:cs="宋体"/>
          <w:b/>
          <w:bCs/>
          <w:color w:val="auto"/>
          <w:sz w:val="24"/>
          <w:szCs w:val="24"/>
          <w:highlight w:val="none"/>
          <w:lang w:eastAsia="zh-CN"/>
        </w:rPr>
        <w:t>三</w:t>
      </w:r>
      <w:r>
        <w:rPr>
          <w:rFonts w:hint="eastAsia" w:ascii="宋体" w:hAnsi="宋体" w:cs="宋体"/>
          <w:b/>
          <w:bCs/>
          <w:color w:val="auto"/>
          <w:sz w:val="24"/>
          <w:szCs w:val="24"/>
          <w:highlight w:val="none"/>
        </w:rPr>
        <w:t>、项目款的结算</w:t>
      </w:r>
    </w:p>
    <w:p>
      <w:pPr>
        <w:spacing w:line="360" w:lineRule="auto"/>
        <w:ind w:left="-181" w:leftChars="-86" w:right="-178" w:rightChars="-85" w:firstLine="700" w:firstLineChars="292"/>
        <w:rPr>
          <w:rFonts w:ascii="宋体" w:hAnsi="宋体" w:cs="宋体"/>
          <w:bCs/>
          <w:color w:val="auto"/>
          <w:sz w:val="24"/>
          <w:szCs w:val="24"/>
          <w:highlight w:val="none"/>
        </w:rPr>
      </w:pPr>
      <w:r>
        <w:rPr>
          <w:rFonts w:hint="eastAsia" w:ascii="宋体" w:hAnsi="宋体" w:cs="宋体"/>
          <w:bCs/>
          <w:color w:val="auto"/>
          <w:sz w:val="24"/>
          <w:szCs w:val="24"/>
          <w:highlight w:val="none"/>
          <w:lang w:eastAsia="zh-CN"/>
        </w:rPr>
        <w:t>采购单位</w:t>
      </w:r>
      <w:r>
        <w:rPr>
          <w:rFonts w:hint="eastAsia" w:ascii="宋体" w:hAnsi="宋体" w:cs="宋体"/>
          <w:bCs/>
          <w:color w:val="auto"/>
          <w:sz w:val="24"/>
          <w:szCs w:val="24"/>
          <w:highlight w:val="none"/>
        </w:rPr>
        <w:t>根据合同、投标文件等资料进行验收。</w:t>
      </w:r>
    </w:p>
    <w:p>
      <w:pPr>
        <w:spacing w:line="360" w:lineRule="auto"/>
        <w:ind w:left="-181" w:leftChars="-86" w:right="-178" w:rightChars="-85" w:firstLine="700" w:firstLineChars="292"/>
        <w:rPr>
          <w:rFonts w:ascii="宋体" w:hAnsi="宋体" w:cs="宋体"/>
          <w:bCs/>
          <w:color w:val="auto"/>
          <w:sz w:val="24"/>
          <w:szCs w:val="24"/>
          <w:highlight w:val="none"/>
        </w:rPr>
      </w:pPr>
      <w:r>
        <w:rPr>
          <w:rFonts w:hint="eastAsia" w:ascii="宋体" w:hAnsi="宋体" w:cs="宋体"/>
          <w:bCs/>
          <w:color w:val="auto"/>
          <w:sz w:val="24"/>
          <w:szCs w:val="24"/>
          <w:highlight w:val="none"/>
        </w:rPr>
        <w:t>项目款结算采取分期付款方式。</w:t>
      </w:r>
    </w:p>
    <w:p>
      <w:pPr>
        <w:autoSpaceDE w:val="0"/>
        <w:adjustRightInd w:val="0"/>
        <w:spacing w:line="360" w:lineRule="auto"/>
        <w:ind w:right="113" w:rightChars="54" w:firstLine="501" w:firstLineChars="209"/>
        <w:jc w:val="left"/>
        <w:rPr>
          <w:rFonts w:ascii="宋体" w:hAnsi="宋体" w:cs="宋体"/>
          <w:bCs/>
          <w:color w:val="auto"/>
          <w:sz w:val="24"/>
          <w:highlight w:val="none"/>
        </w:rPr>
      </w:pPr>
      <w:r>
        <w:rPr>
          <w:rFonts w:hint="eastAsia" w:ascii="宋体" w:hAnsi="宋体" w:cs="宋体"/>
          <w:bCs/>
          <w:color w:val="auto"/>
          <w:sz w:val="24"/>
          <w:highlight w:val="none"/>
        </w:rPr>
        <w:t>合同签订后，货物到场后10日历天内由</w:t>
      </w:r>
      <w:r>
        <w:rPr>
          <w:rFonts w:hint="eastAsia" w:ascii="宋体" w:hAnsi="宋体" w:cs="宋体"/>
          <w:bCs/>
          <w:color w:val="auto"/>
          <w:sz w:val="24"/>
          <w:szCs w:val="24"/>
          <w:highlight w:val="none"/>
          <w:lang w:eastAsia="zh-CN"/>
        </w:rPr>
        <w:t>采购单位</w:t>
      </w:r>
      <w:r>
        <w:rPr>
          <w:rFonts w:hint="eastAsia" w:ascii="宋体" w:hAnsi="宋体" w:cs="宋体"/>
          <w:bCs/>
          <w:color w:val="auto"/>
          <w:sz w:val="24"/>
          <w:highlight w:val="none"/>
        </w:rPr>
        <w:t>向中标供应商支付合同总价的</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0%</w:t>
      </w:r>
      <w:r>
        <w:rPr>
          <w:rFonts w:hint="eastAsia" w:ascii="宋体" w:hAnsi="宋体"/>
          <w:color w:val="auto"/>
          <w:sz w:val="24"/>
          <w:szCs w:val="24"/>
          <w:highlight w:val="none"/>
        </w:rPr>
        <w:t>，</w:t>
      </w:r>
      <w:r>
        <w:rPr>
          <w:rFonts w:hint="eastAsia" w:ascii="宋体" w:hAnsi="宋体" w:cs="宋体"/>
          <w:bCs/>
          <w:color w:val="auto"/>
          <w:sz w:val="24"/>
          <w:highlight w:val="none"/>
        </w:rPr>
        <w:t>安装调试完毕并验收合格后，中标供应商向</w:t>
      </w:r>
      <w:r>
        <w:rPr>
          <w:rFonts w:hint="eastAsia" w:ascii="宋体" w:hAnsi="宋体" w:cs="宋体"/>
          <w:bCs/>
          <w:color w:val="auto"/>
          <w:sz w:val="24"/>
          <w:highlight w:val="none"/>
          <w:lang w:eastAsia="zh-CN"/>
        </w:rPr>
        <w:t>采购单位</w:t>
      </w:r>
      <w:r>
        <w:rPr>
          <w:rFonts w:hint="eastAsia" w:ascii="宋体" w:hAnsi="宋体" w:cs="宋体"/>
          <w:bCs/>
          <w:color w:val="auto"/>
          <w:sz w:val="24"/>
          <w:highlight w:val="none"/>
        </w:rPr>
        <w:t>提交相关资料后，由</w:t>
      </w:r>
      <w:r>
        <w:rPr>
          <w:rFonts w:hint="eastAsia" w:ascii="宋体" w:hAnsi="宋体" w:cs="宋体"/>
          <w:bCs/>
          <w:color w:val="auto"/>
          <w:sz w:val="24"/>
          <w:highlight w:val="none"/>
          <w:lang w:eastAsia="zh-CN"/>
        </w:rPr>
        <w:t>采购单位</w:t>
      </w:r>
      <w:r>
        <w:rPr>
          <w:rFonts w:hint="eastAsia" w:ascii="宋体" w:hAnsi="宋体" w:cs="宋体"/>
          <w:bCs/>
          <w:color w:val="auto"/>
          <w:sz w:val="24"/>
          <w:highlight w:val="none"/>
        </w:rPr>
        <w:t>向中标供应商支付结算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0%货款。</w:t>
      </w:r>
    </w:p>
    <w:p>
      <w:pPr>
        <w:widowControl/>
        <w:autoSpaceDE w:val="0"/>
        <w:autoSpaceDN w:val="0"/>
        <w:spacing w:line="360" w:lineRule="auto"/>
        <w:ind w:right="-178" w:rightChars="-85" w:firstLine="480" w:firstLineChars="200"/>
        <w:textAlignment w:val="bottom"/>
        <w:rPr>
          <w:rFonts w:ascii="宋体" w:hAnsi="宋体" w:cs="宋体"/>
          <w:color w:val="auto"/>
          <w:sz w:val="24"/>
          <w:szCs w:val="24"/>
          <w:highlight w:val="none"/>
        </w:rPr>
      </w:pPr>
      <w:r>
        <w:rPr>
          <w:rFonts w:hint="eastAsia" w:ascii="宋体" w:hAnsi="宋体" w:cs="宋体"/>
          <w:bCs/>
          <w:color w:val="auto"/>
          <w:sz w:val="24"/>
          <w:highlight w:val="none"/>
        </w:rPr>
        <w:t>支付项目款时，中标供应商将结款申请1份、增值税专用全额发票及复印件1份、合同复印件1份、货物设备清单和经</w:t>
      </w:r>
      <w:r>
        <w:rPr>
          <w:rFonts w:hint="eastAsia" w:ascii="宋体" w:hAnsi="宋体" w:cs="宋体"/>
          <w:bCs/>
          <w:color w:val="auto"/>
          <w:sz w:val="24"/>
          <w:highlight w:val="none"/>
          <w:lang w:eastAsia="zh-CN"/>
        </w:rPr>
        <w:t>采购单位</w:t>
      </w:r>
      <w:r>
        <w:rPr>
          <w:rFonts w:hint="eastAsia" w:ascii="宋体" w:hAnsi="宋体" w:cs="宋体"/>
          <w:bCs/>
          <w:color w:val="auto"/>
          <w:sz w:val="24"/>
          <w:highlight w:val="none"/>
        </w:rPr>
        <w:t>验收确认的《验收反馈表》和验收报告提交</w:t>
      </w:r>
      <w:r>
        <w:rPr>
          <w:rFonts w:hint="eastAsia" w:ascii="宋体" w:hAnsi="宋体" w:cs="宋体"/>
          <w:bCs/>
          <w:color w:val="auto"/>
          <w:sz w:val="24"/>
          <w:highlight w:val="none"/>
          <w:lang w:eastAsia="zh-CN"/>
        </w:rPr>
        <w:t>采购单位</w:t>
      </w:r>
      <w:r>
        <w:rPr>
          <w:rFonts w:hint="eastAsia" w:ascii="宋体" w:hAnsi="宋体" w:cs="宋体"/>
          <w:bCs/>
          <w:color w:val="auto"/>
          <w:sz w:val="24"/>
          <w:highlight w:val="none"/>
        </w:rPr>
        <w:t>，由</w:t>
      </w:r>
      <w:r>
        <w:rPr>
          <w:rFonts w:hint="eastAsia" w:ascii="宋体" w:hAnsi="宋体" w:cs="宋体"/>
          <w:bCs/>
          <w:color w:val="auto"/>
          <w:sz w:val="24"/>
          <w:highlight w:val="none"/>
          <w:lang w:eastAsia="zh-CN"/>
        </w:rPr>
        <w:t>采购单位</w:t>
      </w:r>
      <w:r>
        <w:rPr>
          <w:rFonts w:hint="eastAsia" w:ascii="宋体" w:hAnsi="宋体" w:cs="宋体"/>
          <w:bCs/>
          <w:color w:val="auto"/>
          <w:sz w:val="24"/>
          <w:highlight w:val="none"/>
        </w:rPr>
        <w:t>向中标供应商支付结算当期项目款。</w:t>
      </w:r>
    </w:p>
    <w:p>
      <w:pPr>
        <w:spacing w:line="360" w:lineRule="auto"/>
        <w:ind w:right="-178" w:rightChars="-85"/>
        <w:rPr>
          <w:rFonts w:ascii="宋体" w:hAnsi="宋体" w:cs="宋体"/>
          <w:bCs/>
          <w:color w:val="auto"/>
          <w:sz w:val="24"/>
          <w:szCs w:val="24"/>
          <w:highlight w:val="none"/>
        </w:rPr>
      </w:pPr>
      <w:r>
        <w:rPr>
          <w:rFonts w:hint="eastAsia" w:ascii="宋体" w:hAnsi="宋体" w:cs="宋体"/>
          <w:b/>
          <w:bCs/>
          <w:color w:val="auto"/>
          <w:sz w:val="24"/>
          <w:szCs w:val="24"/>
          <w:highlight w:val="none"/>
          <w:lang w:eastAsia="zh-CN"/>
        </w:rPr>
        <w:t>四</w:t>
      </w:r>
      <w:r>
        <w:rPr>
          <w:rFonts w:hint="eastAsia" w:ascii="宋体" w:hAnsi="宋体" w:cs="宋体"/>
          <w:b/>
          <w:bCs/>
          <w:color w:val="auto"/>
          <w:sz w:val="24"/>
          <w:szCs w:val="24"/>
          <w:highlight w:val="none"/>
        </w:rPr>
        <w:t>、履约保证金：</w:t>
      </w:r>
    </w:p>
    <w:p>
      <w:pPr>
        <w:keepNext w:val="0"/>
        <w:keepLines w:val="0"/>
        <w:pageBreakBefore w:val="0"/>
        <w:widowControl w:val="0"/>
        <w:kinsoku/>
        <w:wordWrap/>
        <w:overflowPunct/>
        <w:topLinePunct w:val="0"/>
        <w:autoSpaceDE/>
        <w:autoSpaceDN/>
        <w:bidi w:val="0"/>
        <w:adjustRightInd/>
        <w:snapToGrid/>
        <w:spacing w:line="360" w:lineRule="auto"/>
        <w:ind w:firstLine="472" w:firstLineChars="200"/>
        <w:textAlignment w:val="auto"/>
        <w:rPr>
          <w:rStyle w:val="97"/>
          <w:rFonts w:ascii="宋体" w:hAnsi="宋体" w:cs="宋体"/>
          <w:b/>
          <w:bCs/>
          <w:color w:val="auto"/>
          <w:sz w:val="36"/>
          <w:szCs w:val="36"/>
          <w:highlight w:val="none"/>
        </w:rPr>
      </w:pPr>
      <w:r>
        <w:rPr>
          <w:rStyle w:val="97"/>
          <w:rFonts w:hint="eastAsia" w:ascii="宋体" w:hAnsi="宋体" w:eastAsia="宋体" w:cs="宋体"/>
          <w:b w:val="0"/>
          <w:bCs/>
          <w:color w:val="auto"/>
          <w:sz w:val="24"/>
          <w:szCs w:val="24"/>
          <w:highlight w:val="none"/>
        </w:rPr>
        <w:t>在合同签订后7日内由中标供应商按合同总金额的5%交至采购单位</w:t>
      </w:r>
      <w:r>
        <w:rPr>
          <w:rStyle w:val="97"/>
          <w:rFonts w:hint="eastAsia" w:ascii="宋体" w:hAnsi="宋体" w:cs="宋体"/>
          <w:b w:val="0"/>
          <w:bCs/>
          <w:color w:val="auto"/>
          <w:sz w:val="24"/>
          <w:szCs w:val="24"/>
          <w:highlight w:val="none"/>
        </w:rPr>
        <w:t>指定账户</w:t>
      </w:r>
      <w:r>
        <w:rPr>
          <w:rStyle w:val="97"/>
          <w:rFonts w:hint="eastAsia" w:ascii="宋体" w:hAnsi="宋体" w:eastAsia="宋体" w:cs="宋体"/>
          <w:b w:val="0"/>
          <w:bCs/>
          <w:color w:val="auto"/>
          <w:sz w:val="24"/>
          <w:szCs w:val="24"/>
          <w:highlight w:val="none"/>
        </w:rPr>
        <w:t>（可采用银行、保险公司出具保函形式提交）。验收合格且质保期满后经回访无质量问题由采购单位无息退还。因供应商所供商品质量原因造成采购单位损失的，采购单位有权要求供应商以其履约保证金作出补偿。</w:t>
      </w:r>
      <w:r>
        <w:rPr>
          <w:rStyle w:val="97"/>
          <w:rFonts w:hint="eastAsia" w:ascii="宋体" w:hAnsi="宋体" w:cs="宋体"/>
          <w:b/>
          <w:bCs/>
          <w:color w:val="auto"/>
          <w:sz w:val="36"/>
          <w:szCs w:val="36"/>
          <w:highlight w:val="none"/>
        </w:rPr>
        <w:br w:type="page"/>
      </w:r>
    </w:p>
    <w:p>
      <w:pPr>
        <w:spacing w:line="500" w:lineRule="exact"/>
        <w:jc w:val="center"/>
        <w:rPr>
          <w:rStyle w:val="97"/>
          <w:rFonts w:ascii="宋体" w:hAnsi="宋体" w:cs="宋体"/>
          <w:b/>
          <w:bCs/>
          <w:color w:val="auto"/>
          <w:sz w:val="36"/>
          <w:szCs w:val="36"/>
          <w:highlight w:val="none"/>
        </w:rPr>
      </w:pPr>
      <w:r>
        <w:rPr>
          <w:rStyle w:val="97"/>
          <w:rFonts w:hint="eastAsia" w:ascii="宋体" w:hAnsi="宋体" w:cs="宋体"/>
          <w:b/>
          <w:bCs/>
          <w:color w:val="auto"/>
          <w:sz w:val="36"/>
          <w:szCs w:val="36"/>
          <w:highlight w:val="none"/>
        </w:rPr>
        <w:t>第八章  建德市政府采购合同</w:t>
      </w:r>
    </w:p>
    <w:p>
      <w:pPr>
        <w:pStyle w:val="24"/>
        <w:snapToGrid w:val="0"/>
        <w:spacing w:line="336" w:lineRule="auto"/>
        <w:jc w:val="center"/>
        <w:rPr>
          <w:rFonts w:hAnsi="宋体" w:cs="宋体"/>
          <w:b/>
          <w:color w:val="auto"/>
          <w:sz w:val="24"/>
          <w:szCs w:val="24"/>
          <w:highlight w:val="none"/>
        </w:rPr>
      </w:pPr>
      <w:r>
        <w:rPr>
          <w:rFonts w:hint="eastAsia" w:hAnsi="宋体" w:cs="宋体"/>
          <w:b/>
          <w:color w:val="auto"/>
          <w:sz w:val="24"/>
          <w:szCs w:val="24"/>
          <w:highlight w:val="none"/>
        </w:rPr>
        <w:t>（本合同为合同样稿，最终稿由三方协商后确定）</w:t>
      </w:r>
    </w:p>
    <w:p>
      <w:pPr>
        <w:pStyle w:val="24"/>
        <w:snapToGrid w:val="0"/>
        <w:spacing w:line="440" w:lineRule="exact"/>
        <w:jc w:val="center"/>
        <w:rPr>
          <w:rFonts w:hAnsi="宋体" w:cs="宋体"/>
          <w:color w:val="auto"/>
          <w:sz w:val="24"/>
          <w:highlight w:val="none"/>
        </w:rPr>
      </w:pPr>
      <w:r>
        <w:rPr>
          <w:rFonts w:hint="eastAsia" w:hAnsi="宋体" w:cs="宋体"/>
          <w:b/>
          <w:color w:val="auto"/>
          <w:sz w:val="24"/>
          <w:szCs w:val="24"/>
          <w:highlight w:val="none"/>
        </w:rPr>
        <w:t>合同编号：</w:t>
      </w:r>
      <w:r>
        <w:rPr>
          <w:rFonts w:hint="eastAsia" w:hAnsi="宋体" w:cs="宋体"/>
          <w:b/>
          <w:color w:val="auto"/>
          <w:sz w:val="24"/>
          <w:szCs w:val="24"/>
          <w:highlight w:val="none"/>
          <w:lang w:eastAsia="zh-CN"/>
        </w:rPr>
        <w:t>JDOBCG2024B-035</w:t>
      </w:r>
      <w:r>
        <w:rPr>
          <w:rFonts w:hint="eastAsia" w:hAnsi="宋体" w:cs="宋体"/>
          <w:b/>
          <w:color w:val="auto"/>
          <w:sz w:val="24"/>
          <w:szCs w:val="24"/>
          <w:highlight w:val="none"/>
        </w:rPr>
        <w:t xml:space="preserve">    </w:t>
      </w:r>
    </w:p>
    <w:p>
      <w:pPr>
        <w:spacing w:after="156"/>
        <w:jc w:val="left"/>
        <w:rPr>
          <w:rFonts w:ascii="宋体" w:hAnsi="宋体" w:cs="宋体"/>
          <w:color w:val="auto"/>
          <w:sz w:val="24"/>
          <w:highlight w:val="none"/>
        </w:rPr>
      </w:pPr>
    </w:p>
    <w:p>
      <w:pPr>
        <w:pStyle w:val="24"/>
        <w:snapToGrid w:val="0"/>
        <w:spacing w:line="440" w:lineRule="exact"/>
        <w:rPr>
          <w:rFonts w:hint="eastAsia" w:hAnsi="宋体" w:eastAsia="宋体" w:cs="宋体"/>
          <w:b/>
          <w:color w:val="auto"/>
          <w:sz w:val="24"/>
          <w:szCs w:val="24"/>
          <w:highlight w:val="none"/>
          <w:lang w:eastAsia="zh-CN"/>
        </w:rPr>
      </w:pPr>
      <w:r>
        <w:rPr>
          <w:rFonts w:hint="eastAsia" w:hAnsi="宋体" w:cs="宋体"/>
          <w:b/>
          <w:color w:val="auto"/>
          <w:sz w:val="24"/>
          <w:szCs w:val="24"/>
          <w:highlight w:val="none"/>
        </w:rPr>
        <w:t>甲方（使用方）：</w:t>
      </w:r>
      <w:r>
        <w:rPr>
          <w:rFonts w:hint="eastAsia" w:hAnsi="宋体" w:cs="宋体"/>
          <w:b/>
          <w:color w:val="auto"/>
          <w:sz w:val="24"/>
          <w:szCs w:val="24"/>
          <w:highlight w:val="none"/>
          <w:lang w:eastAsia="zh-CN"/>
        </w:rPr>
        <w:t>建德市长运物资有限公司</w:t>
      </w:r>
    </w:p>
    <w:p>
      <w:pPr>
        <w:pStyle w:val="24"/>
        <w:snapToGrid w:val="0"/>
        <w:spacing w:line="440" w:lineRule="exact"/>
        <w:rPr>
          <w:rFonts w:hAnsi="宋体" w:cs="宋体"/>
          <w:b/>
          <w:color w:val="auto"/>
          <w:sz w:val="24"/>
          <w:szCs w:val="24"/>
          <w:highlight w:val="none"/>
        </w:rPr>
      </w:pPr>
      <w:r>
        <w:rPr>
          <w:rFonts w:hint="eastAsia" w:hAnsi="宋体" w:cs="宋体"/>
          <w:b/>
          <w:color w:val="auto"/>
          <w:sz w:val="24"/>
          <w:szCs w:val="24"/>
          <w:highlight w:val="none"/>
        </w:rPr>
        <w:t>乙方（供应商）:</w:t>
      </w:r>
    </w:p>
    <w:p>
      <w:pPr>
        <w:pStyle w:val="24"/>
        <w:snapToGrid w:val="0"/>
        <w:spacing w:line="500" w:lineRule="exact"/>
        <w:rPr>
          <w:rFonts w:hAnsi="宋体"/>
          <w:b/>
          <w:bCs/>
          <w:color w:val="auto"/>
          <w:sz w:val="24"/>
          <w:szCs w:val="24"/>
          <w:highlight w:val="none"/>
        </w:rPr>
      </w:pPr>
      <w:r>
        <w:rPr>
          <w:rFonts w:hint="eastAsia" w:hAnsi="宋体" w:cs="宋体"/>
          <w:b/>
          <w:color w:val="auto"/>
          <w:sz w:val="24"/>
          <w:szCs w:val="24"/>
          <w:highlight w:val="none"/>
        </w:rPr>
        <w:t>见证方（代理机构）：</w:t>
      </w:r>
    </w:p>
    <w:p>
      <w:pPr>
        <w:pStyle w:val="24"/>
        <w:snapToGrid w:val="0"/>
        <w:spacing w:line="440" w:lineRule="exact"/>
        <w:rPr>
          <w:rFonts w:hAnsi="宋体" w:cs="宋体"/>
          <w:color w:val="auto"/>
          <w:sz w:val="24"/>
          <w:szCs w:val="24"/>
          <w:highlight w:val="none"/>
        </w:rPr>
      </w:pPr>
    </w:p>
    <w:p>
      <w:pPr>
        <w:pStyle w:val="24"/>
        <w:snapToGrid w:val="0"/>
        <w:spacing w:line="440" w:lineRule="exact"/>
        <w:ind w:firstLine="480" w:firstLineChars="200"/>
        <w:rPr>
          <w:rFonts w:hAnsi="宋体" w:cs="宋体"/>
          <w:b/>
          <w:color w:val="auto"/>
          <w:sz w:val="24"/>
          <w:szCs w:val="24"/>
          <w:highlight w:val="none"/>
        </w:rPr>
      </w:pPr>
      <w:r>
        <w:rPr>
          <w:rFonts w:hint="eastAsia" w:hAnsi="宋体" w:cs="宋体"/>
          <w:color w:val="auto"/>
          <w:sz w:val="24"/>
          <w:szCs w:val="24"/>
          <w:highlight w:val="none"/>
        </w:rPr>
        <w:t>根据《中华人民共和国政府采购法》、《中华人民共和国民法典》的规定，经</w:t>
      </w:r>
      <w:r>
        <w:rPr>
          <w:rFonts w:hint="eastAsia" w:hAnsi="宋体" w:cs="宋体"/>
          <w:color w:val="auto"/>
          <w:sz w:val="24"/>
          <w:szCs w:val="24"/>
          <w:highlight w:val="none"/>
          <w:u w:val="single"/>
          <w:lang w:val="en-US" w:eastAsia="zh-CN"/>
        </w:rPr>
        <w:t>公开招标</w:t>
      </w:r>
      <w:r>
        <w:rPr>
          <w:rFonts w:hint="eastAsia" w:hAnsi="宋体" w:cs="宋体"/>
          <w:color w:val="auto"/>
          <w:sz w:val="24"/>
          <w:szCs w:val="24"/>
          <w:highlight w:val="none"/>
        </w:rPr>
        <w:t>（采购方式），确定乙方为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（项目全称）的中标单位。为明确双方的权利和义务，经甲乙双方协商达成合同如下：</w:t>
      </w:r>
    </w:p>
    <w:p>
      <w:pPr>
        <w:pStyle w:val="24"/>
        <w:snapToGrid w:val="0"/>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第一条：货物内容、数量、价款</w:t>
      </w:r>
    </w:p>
    <w:tbl>
      <w:tblPr>
        <w:tblStyle w:val="4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85"/>
        <w:gridCol w:w="720"/>
        <w:gridCol w:w="3600"/>
        <w:gridCol w:w="720"/>
        <w:gridCol w:w="720"/>
        <w:gridCol w:w="1080"/>
        <w:gridCol w:w="12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185"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项目（货物）名称</w:t>
            </w:r>
          </w:p>
        </w:tc>
        <w:tc>
          <w:tcPr>
            <w:tcW w:w="72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品牌</w:t>
            </w:r>
          </w:p>
        </w:tc>
        <w:tc>
          <w:tcPr>
            <w:tcW w:w="360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规格型号（或配置）及主要技术参数</w:t>
            </w:r>
          </w:p>
        </w:tc>
        <w:tc>
          <w:tcPr>
            <w:tcW w:w="72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单位</w:t>
            </w:r>
          </w:p>
        </w:tc>
        <w:tc>
          <w:tcPr>
            <w:tcW w:w="72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数量</w:t>
            </w:r>
          </w:p>
        </w:tc>
        <w:tc>
          <w:tcPr>
            <w:tcW w:w="108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单价（元）</w:t>
            </w:r>
          </w:p>
        </w:tc>
        <w:tc>
          <w:tcPr>
            <w:tcW w:w="126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hAnsi="宋体"/>
                <w:color w:val="auto"/>
                <w:highlight w:val="none"/>
              </w:rPr>
            </w:pPr>
            <w:r>
              <w:rPr>
                <w:rFonts w:hint="eastAsia" w:ascii="宋体" w:hAnsi="宋体"/>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5" w:type="dxa"/>
            <w:vAlign w:val="center"/>
          </w:tcPr>
          <w:p>
            <w:pPr>
              <w:adjustRightInd w:val="0"/>
              <w:snapToGrid w:val="0"/>
              <w:spacing w:line="240" w:lineRule="atLeast"/>
              <w:rPr>
                <w:rFonts w:ascii="宋体" w:hAnsi="宋体"/>
                <w:color w:val="auto"/>
                <w:highlight w:val="none"/>
              </w:rPr>
            </w:pPr>
          </w:p>
        </w:tc>
        <w:tc>
          <w:tcPr>
            <w:tcW w:w="720" w:type="dxa"/>
            <w:vAlign w:val="center"/>
          </w:tcPr>
          <w:p>
            <w:pPr>
              <w:adjustRightInd w:val="0"/>
              <w:snapToGrid w:val="0"/>
              <w:spacing w:line="240" w:lineRule="atLeast"/>
              <w:rPr>
                <w:rFonts w:ascii="宋体" w:hAnsi="宋体"/>
                <w:color w:val="auto"/>
                <w:highlight w:val="none"/>
              </w:rPr>
            </w:pPr>
          </w:p>
        </w:tc>
        <w:tc>
          <w:tcPr>
            <w:tcW w:w="3600" w:type="dxa"/>
            <w:vAlign w:val="center"/>
          </w:tcPr>
          <w:p>
            <w:pPr>
              <w:adjustRightInd w:val="0"/>
              <w:snapToGrid w:val="0"/>
              <w:spacing w:line="240" w:lineRule="atLeast"/>
              <w:rPr>
                <w:rFonts w:ascii="宋体" w:hAnsi="宋体"/>
                <w:color w:val="auto"/>
                <w:highlight w:val="none"/>
              </w:rPr>
            </w:pPr>
          </w:p>
        </w:tc>
        <w:tc>
          <w:tcPr>
            <w:tcW w:w="720" w:type="dxa"/>
            <w:vAlign w:val="center"/>
          </w:tcPr>
          <w:p>
            <w:pPr>
              <w:adjustRightInd w:val="0"/>
              <w:snapToGrid w:val="0"/>
              <w:spacing w:line="240" w:lineRule="atLeast"/>
              <w:jc w:val="center"/>
              <w:rPr>
                <w:rFonts w:ascii="宋体" w:hAnsi="宋体"/>
                <w:color w:val="auto"/>
                <w:highlight w:val="none"/>
              </w:rPr>
            </w:pPr>
          </w:p>
        </w:tc>
        <w:tc>
          <w:tcPr>
            <w:tcW w:w="720" w:type="dxa"/>
            <w:vAlign w:val="center"/>
          </w:tcPr>
          <w:p>
            <w:pPr>
              <w:adjustRightInd w:val="0"/>
              <w:snapToGrid w:val="0"/>
              <w:spacing w:line="240" w:lineRule="atLeast"/>
              <w:jc w:val="center"/>
              <w:rPr>
                <w:rFonts w:ascii="宋体" w:hAnsi="宋体"/>
                <w:color w:val="auto"/>
                <w:highlight w:val="none"/>
              </w:rPr>
            </w:pPr>
          </w:p>
        </w:tc>
        <w:tc>
          <w:tcPr>
            <w:tcW w:w="1080" w:type="dxa"/>
            <w:vAlign w:val="center"/>
          </w:tcPr>
          <w:p>
            <w:pPr>
              <w:adjustRightInd w:val="0"/>
              <w:snapToGrid w:val="0"/>
              <w:spacing w:line="240" w:lineRule="atLeast"/>
              <w:rPr>
                <w:rFonts w:ascii="宋体" w:hAnsi="宋体"/>
                <w:color w:val="auto"/>
                <w:highlight w:val="none"/>
              </w:rPr>
            </w:pPr>
          </w:p>
        </w:tc>
        <w:tc>
          <w:tcPr>
            <w:tcW w:w="1260" w:type="dxa"/>
            <w:vAlign w:val="center"/>
          </w:tcPr>
          <w:p>
            <w:pPr>
              <w:adjustRightInd w:val="0"/>
              <w:snapToGrid w:val="0"/>
              <w:spacing w:line="240" w:lineRule="atLeast"/>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694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color w:val="auto"/>
                <w:highlight w:val="none"/>
              </w:rPr>
            </w:pPr>
            <w:r>
              <w:rPr>
                <w:rFonts w:hint="eastAsia" w:ascii="宋体" w:hAnsi="宋体"/>
                <w:color w:val="auto"/>
                <w:kern w:val="0"/>
                <w:highlight w:val="none"/>
              </w:rPr>
              <w:t>合计：人民币</w:t>
            </w:r>
            <w:r>
              <w:rPr>
                <w:rFonts w:hint="eastAsia" w:ascii="宋体" w:hAnsi="宋体"/>
                <w:color w:val="auto"/>
                <w:kern w:val="0"/>
                <w:highlight w:val="none"/>
                <w:u w:val="single"/>
              </w:rPr>
              <w:t xml:space="preserve">                         </w:t>
            </w:r>
            <w:r>
              <w:rPr>
                <w:rFonts w:hint="eastAsia" w:ascii="宋体" w:hAnsi="宋体"/>
                <w:color w:val="auto"/>
                <w:kern w:val="0"/>
                <w:highlight w:val="none"/>
              </w:rPr>
              <w:t xml:space="preserve"> 整</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27"/>
              <w:rPr>
                <w:rFonts w:ascii="宋体" w:hAnsi="宋体"/>
                <w:color w:val="auto"/>
                <w:highlight w:val="none"/>
                <w:u w:val="single"/>
              </w:rPr>
            </w:pPr>
            <w:r>
              <w:rPr>
                <w:rFonts w:hint="eastAsia" w:ascii="宋体" w:hAnsi="宋体"/>
                <w:color w:val="auto"/>
                <w:kern w:val="0"/>
                <w:highlight w:val="none"/>
              </w:rPr>
              <w:t>￥</w:t>
            </w:r>
            <w:r>
              <w:rPr>
                <w:rFonts w:hint="eastAsia" w:ascii="宋体" w:hAnsi="宋体"/>
                <w:color w:val="auto"/>
                <w:kern w:val="0"/>
                <w:highlight w:val="none"/>
                <w:u w:val="single"/>
              </w:rPr>
              <w:t xml:space="preserve">       </w:t>
            </w:r>
            <w:r>
              <w:rPr>
                <w:rFonts w:hint="eastAsia" w:ascii="宋体" w:hAnsi="宋体"/>
                <w:color w:val="auto"/>
                <w:kern w:val="0"/>
                <w:highlight w:val="none"/>
              </w:rPr>
              <w:t>元</w:t>
            </w:r>
          </w:p>
        </w:tc>
      </w:tr>
    </w:tbl>
    <w:p>
      <w:pPr>
        <w:autoSpaceDE w:val="0"/>
        <w:autoSpaceDN w:val="0"/>
        <w:adjustRightInd w:val="0"/>
        <w:jc w:val="left"/>
        <w:rPr>
          <w:rFonts w:hint="eastAsia" w:ascii="宋体" w:hAnsi="宋体" w:cs="宋体"/>
          <w:color w:val="auto"/>
          <w:kern w:val="0"/>
          <w:szCs w:val="24"/>
          <w:highlight w:val="none"/>
        </w:rPr>
      </w:pPr>
      <w:r>
        <w:rPr>
          <w:rFonts w:hint="eastAsia" w:ascii="宋体" w:hAnsi="宋体" w:cs="宋体"/>
          <w:color w:val="auto"/>
          <w:kern w:val="0"/>
          <w:szCs w:val="24"/>
          <w:highlight w:val="none"/>
        </w:rPr>
        <w:t>注：1、以上金额包括设备的设计、制作、供货、包装、装卸运输、安装调试、</w:t>
      </w:r>
      <w:r>
        <w:rPr>
          <w:rFonts w:hint="eastAsia" w:ascii="宋体" w:hAnsi="宋体" w:cs="宋体"/>
          <w:color w:val="auto"/>
          <w:kern w:val="0"/>
          <w:szCs w:val="24"/>
          <w:highlight w:val="none"/>
          <w:lang w:val="en-US" w:eastAsia="zh-CN"/>
        </w:rPr>
        <w:t>附件、辅材、</w:t>
      </w:r>
      <w:r>
        <w:rPr>
          <w:rFonts w:hint="eastAsia" w:ascii="宋体" w:hAnsi="宋体" w:cs="宋体"/>
          <w:color w:val="auto"/>
          <w:kern w:val="0"/>
          <w:szCs w:val="24"/>
          <w:highlight w:val="none"/>
        </w:rPr>
        <w:t>备品备件、专用工具、保险、培训、税金、验收、辅助工作及售后服务等完成该项目的所有费用。（合同后附上所投产品明细报价表）</w:t>
      </w:r>
    </w:p>
    <w:p>
      <w:pPr>
        <w:tabs>
          <w:tab w:val="left" w:pos="5500"/>
        </w:tabs>
        <w:autoSpaceDE w:val="0"/>
        <w:adjustRightInd w:val="0"/>
        <w:snapToGrid w:val="0"/>
        <w:spacing w:line="440" w:lineRule="exact"/>
        <w:ind w:firstLine="48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第二条：质量要求：</w:t>
      </w:r>
    </w:p>
    <w:p>
      <w:p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1、乙方保证所供商品(包括商品部件、配件)是202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月1日以后生产的、未使用过的，符合国家规定的技术规格和质量标准的出厂原装合格产品，并且是完全符合本次招标文件(包括补充更正，如有)中采购货物要求所规定的技术参数和质量要求。</w:t>
      </w:r>
    </w:p>
    <w:p>
      <w:p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2、售后服务按</w:t>
      </w:r>
      <w:r>
        <w:rPr>
          <w:rFonts w:hint="eastAsia" w:ascii="宋体" w:hAnsi="宋体" w:cs="宋体"/>
          <w:bCs/>
          <w:color w:val="auto"/>
          <w:sz w:val="24"/>
          <w:highlight w:val="none"/>
        </w:rPr>
        <w:t>国家市场监督管理总局</w:t>
      </w:r>
      <w:r>
        <w:rPr>
          <w:rFonts w:hint="eastAsia" w:ascii="宋体" w:hAnsi="宋体" w:cs="宋体"/>
          <w:color w:val="auto"/>
          <w:sz w:val="24"/>
          <w:szCs w:val="24"/>
          <w:highlight w:val="none"/>
        </w:rPr>
        <w:t>和国家其他有关规定执行，国家没有规定的按厂商规定执行。国家规定标准低于厂商标准的按厂商标准执行。</w:t>
      </w:r>
    </w:p>
    <w:p>
      <w:pPr>
        <w:tabs>
          <w:tab w:val="left" w:pos="5500"/>
        </w:tabs>
        <w:autoSpaceDE w:val="0"/>
        <w:adjustRightInd w:val="0"/>
        <w:snapToGrid w:val="0"/>
        <w:spacing w:line="440" w:lineRule="exact"/>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第三条：合同履行时间、地点</w:t>
      </w:r>
    </w:p>
    <w:p>
      <w:pPr>
        <w:autoSpaceDE w:val="0"/>
        <w:adjustRightInd w:val="0"/>
        <w:snapToGrid w:val="0"/>
        <w:spacing w:line="440" w:lineRule="exact"/>
        <w:ind w:firstLine="501" w:firstLineChars="2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1、合同履行时间：</w:t>
      </w:r>
      <w:r>
        <w:rPr>
          <w:rFonts w:hint="eastAsia" w:ascii="宋体"/>
          <w:color w:val="auto"/>
          <w:sz w:val="24"/>
          <w:szCs w:val="24"/>
          <w:highlight w:val="none"/>
          <w:lang w:val="en-US" w:eastAsia="zh-CN"/>
        </w:rPr>
        <w:t>乙方</w:t>
      </w:r>
      <w:r>
        <w:rPr>
          <w:rFonts w:hint="eastAsia" w:ascii="宋体"/>
          <w:color w:val="auto"/>
          <w:sz w:val="24"/>
          <w:szCs w:val="24"/>
          <w:highlight w:val="none"/>
        </w:rPr>
        <w:t>在签订合同生效</w:t>
      </w:r>
      <w:r>
        <w:rPr>
          <w:rFonts w:hint="eastAsia" w:ascii="宋体"/>
          <w:color w:val="auto"/>
          <w:sz w:val="24"/>
          <w:szCs w:val="24"/>
          <w:highlight w:val="none"/>
          <w:lang w:val="en-US" w:eastAsia="zh-CN"/>
        </w:rPr>
        <w:t>之日起</w:t>
      </w:r>
      <w:r>
        <w:rPr>
          <w:rFonts w:hint="eastAsia" w:hAnsi="宋体"/>
          <w:b/>
          <w:bCs/>
          <w:color w:val="auto"/>
          <w:sz w:val="24"/>
          <w:szCs w:val="24"/>
          <w:highlight w:val="none"/>
          <w:u w:val="single"/>
          <w:lang w:val="en-US" w:eastAsia="zh-CN"/>
        </w:rPr>
        <w:t xml:space="preserve">   </w:t>
      </w:r>
      <w:r>
        <w:rPr>
          <w:rFonts w:hint="eastAsia" w:hAnsi="宋体"/>
          <w:b/>
          <w:bCs/>
          <w:color w:val="auto"/>
          <w:sz w:val="24"/>
          <w:szCs w:val="24"/>
          <w:highlight w:val="none"/>
          <w:u w:val="single"/>
        </w:rPr>
        <w:t>日历天</w:t>
      </w:r>
      <w:r>
        <w:rPr>
          <w:rFonts w:hint="eastAsia" w:ascii="宋体"/>
          <w:color w:val="auto"/>
          <w:sz w:val="24"/>
          <w:szCs w:val="24"/>
          <w:highlight w:val="none"/>
        </w:rPr>
        <w:t>内按</w:t>
      </w:r>
      <w:r>
        <w:rPr>
          <w:rFonts w:hint="eastAsia" w:ascii="宋体"/>
          <w:color w:val="auto"/>
          <w:sz w:val="24"/>
          <w:szCs w:val="24"/>
          <w:highlight w:val="none"/>
          <w:lang w:val="en-US" w:eastAsia="zh-CN"/>
        </w:rPr>
        <w:t>甲方</w:t>
      </w:r>
      <w:r>
        <w:rPr>
          <w:rFonts w:hint="eastAsia" w:ascii="宋体"/>
          <w:color w:val="auto"/>
          <w:sz w:val="24"/>
          <w:szCs w:val="24"/>
          <w:highlight w:val="none"/>
        </w:rPr>
        <w:t>要求完成交货、调试并</w:t>
      </w:r>
      <w:r>
        <w:rPr>
          <w:rFonts w:hint="eastAsia" w:ascii="宋体"/>
          <w:color w:val="auto"/>
          <w:sz w:val="24"/>
          <w:szCs w:val="24"/>
          <w:highlight w:val="none"/>
          <w:lang w:eastAsia="zh-CN"/>
        </w:rPr>
        <w:t>验收通过后</w:t>
      </w:r>
      <w:r>
        <w:rPr>
          <w:rFonts w:hint="eastAsia" w:ascii="宋体"/>
          <w:color w:val="auto"/>
          <w:sz w:val="24"/>
          <w:szCs w:val="24"/>
          <w:highlight w:val="none"/>
        </w:rPr>
        <w:t>交付使用</w:t>
      </w:r>
      <w:r>
        <w:rPr>
          <w:rFonts w:hint="eastAsia" w:ascii="宋体" w:hAnsi="宋体" w:cs="宋体"/>
          <w:snapToGrid w:val="0"/>
          <w:color w:val="auto"/>
          <w:kern w:val="0"/>
          <w:sz w:val="24"/>
          <w:szCs w:val="24"/>
          <w:highlight w:val="none"/>
        </w:rPr>
        <w:t>。</w:t>
      </w:r>
      <w:r>
        <w:rPr>
          <w:rFonts w:hint="eastAsia" w:ascii="宋体" w:hAnsi="宋体" w:cs="宋体"/>
          <w:color w:val="auto"/>
          <w:sz w:val="24"/>
          <w:szCs w:val="24"/>
          <w:highlight w:val="none"/>
        </w:rPr>
        <w:t>如在规定的时间内由于乙方的原因不能完成交货的，乙方应承担由此给甲方造成的损失</w:t>
      </w:r>
      <w:r>
        <w:rPr>
          <w:rFonts w:hint="eastAsia" w:ascii="宋体" w:hAnsi="宋体" w:cs="宋体"/>
          <w:color w:val="auto"/>
          <w:kern w:val="0"/>
          <w:sz w:val="24"/>
          <w:szCs w:val="24"/>
          <w:highlight w:val="none"/>
        </w:rPr>
        <w:t>。</w:t>
      </w:r>
    </w:p>
    <w:p>
      <w:pPr>
        <w:autoSpaceDE w:val="0"/>
        <w:adjustRightInd w:val="0"/>
        <w:snapToGrid w:val="0"/>
        <w:spacing w:line="440" w:lineRule="exact"/>
        <w:ind w:firstLine="501" w:firstLineChars="2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2、合同履行地点：根据</w:t>
      </w:r>
      <w:r>
        <w:rPr>
          <w:rFonts w:hint="eastAsia" w:ascii="宋体" w:hAnsi="宋体" w:cs="宋体"/>
          <w:color w:val="auto"/>
          <w:sz w:val="24"/>
          <w:szCs w:val="24"/>
          <w:highlight w:val="none"/>
        </w:rPr>
        <w:t>甲</w:t>
      </w:r>
      <w:r>
        <w:rPr>
          <w:rFonts w:hint="eastAsia" w:ascii="宋体" w:hAnsi="宋体" w:cs="宋体"/>
          <w:color w:val="auto"/>
          <w:kern w:val="0"/>
          <w:sz w:val="24"/>
          <w:szCs w:val="24"/>
          <w:highlight w:val="none"/>
        </w:rPr>
        <w:t>方实际要求确定。</w:t>
      </w:r>
    </w:p>
    <w:p>
      <w:pPr>
        <w:autoSpaceDE w:val="0"/>
        <w:adjustRightInd w:val="0"/>
        <w:snapToGrid w:val="0"/>
        <w:spacing w:line="440" w:lineRule="exact"/>
        <w:ind w:firstLine="501" w:firstLineChars="2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3、凡合同所列机型停产或市场断货，乙方可在不改变品牌、机型、档次、基本功能等前提下，提供相应配置高于原配置的商品。</w:t>
      </w:r>
    </w:p>
    <w:p>
      <w:pPr>
        <w:autoSpaceDE w:val="0"/>
        <w:adjustRightInd w:val="0"/>
        <w:snapToGrid w:val="0"/>
        <w:spacing w:line="440" w:lineRule="exact"/>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第四条：验收时间、组织</w:t>
      </w:r>
    </w:p>
    <w:p>
      <w:pPr>
        <w:numPr>
          <w:ilvl w:val="0"/>
          <w:numId w:val="16"/>
        </w:numPr>
        <w:autoSpaceDE w:val="0"/>
        <w:adjustRightInd w:val="0"/>
        <w:spacing w:line="480" w:lineRule="exact"/>
        <w:ind w:left="45" w:right="-95" w:firstLine="585"/>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将合同标的运至甲方指定地点后，由甲方组织专业技术人员进行验收，符合招标要求及满足合同标的的方可接收。若货物不符合招标文件要求或不满足合同标的要求的，甲方作退货处理，直至乙方提供的货物符合要求为止，因此产生的费用由乙方承担。</w:t>
      </w:r>
    </w:p>
    <w:p>
      <w:pPr>
        <w:numPr>
          <w:ilvl w:val="0"/>
          <w:numId w:val="16"/>
        </w:numPr>
        <w:autoSpaceDE w:val="0"/>
        <w:adjustRightInd w:val="0"/>
        <w:spacing w:line="480" w:lineRule="exact"/>
        <w:ind w:left="45" w:firstLine="585"/>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无论验收是否通过，均由乙方承担所有的验收费用。</w:t>
      </w:r>
    </w:p>
    <w:p>
      <w:pPr>
        <w:autoSpaceDE w:val="0"/>
        <w:adjustRightInd w:val="0"/>
        <w:snapToGrid w:val="0"/>
        <w:spacing w:line="440" w:lineRule="exact"/>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第五条：项目款支付</w:t>
      </w:r>
    </w:p>
    <w:p>
      <w:pPr>
        <w:spacing w:line="360" w:lineRule="auto"/>
        <w:ind w:left="-181" w:leftChars="-86" w:right="-178" w:rightChars="-85" w:firstLine="700" w:firstLineChars="292"/>
        <w:rPr>
          <w:rFonts w:ascii="宋体" w:hAnsi="宋体" w:cs="宋体"/>
          <w:bCs/>
          <w:color w:val="auto"/>
          <w:sz w:val="24"/>
          <w:szCs w:val="24"/>
          <w:highlight w:val="none"/>
        </w:rPr>
      </w:pPr>
      <w:r>
        <w:rPr>
          <w:rFonts w:hint="eastAsia" w:ascii="宋体" w:hAnsi="宋体" w:cs="宋体"/>
          <w:bCs/>
          <w:color w:val="auto"/>
          <w:sz w:val="24"/>
          <w:szCs w:val="24"/>
          <w:highlight w:val="none"/>
        </w:rPr>
        <w:t>甲方根据合同、投标文件等资料进行验收。</w:t>
      </w:r>
    </w:p>
    <w:p>
      <w:pPr>
        <w:spacing w:line="360" w:lineRule="auto"/>
        <w:ind w:left="-181" w:leftChars="-86" w:right="-178" w:rightChars="-85" w:firstLine="700" w:firstLineChars="292"/>
        <w:rPr>
          <w:rFonts w:ascii="宋体" w:hAnsi="宋体" w:cs="宋体"/>
          <w:bCs/>
          <w:color w:val="auto"/>
          <w:sz w:val="24"/>
          <w:szCs w:val="24"/>
          <w:highlight w:val="none"/>
        </w:rPr>
      </w:pPr>
      <w:r>
        <w:rPr>
          <w:rFonts w:hint="eastAsia" w:ascii="宋体" w:hAnsi="宋体" w:cs="宋体"/>
          <w:bCs/>
          <w:color w:val="auto"/>
          <w:sz w:val="24"/>
          <w:szCs w:val="24"/>
          <w:highlight w:val="none"/>
        </w:rPr>
        <w:t>项目款结算采取分期付款方式。</w:t>
      </w:r>
    </w:p>
    <w:p>
      <w:pPr>
        <w:widowControl/>
        <w:autoSpaceDE w:val="0"/>
        <w:autoSpaceDN w:val="0"/>
        <w:spacing w:line="480" w:lineRule="exact"/>
        <w:ind w:right="-178" w:rightChars="-85" w:firstLine="480" w:firstLineChars="200"/>
        <w:textAlignment w:val="bottom"/>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合同签订后，货物到场后10日历天内由</w:t>
      </w:r>
      <w:r>
        <w:rPr>
          <w:rFonts w:hint="eastAsia" w:ascii="宋体" w:hAnsi="宋体" w:cs="宋体"/>
          <w:bCs/>
          <w:color w:val="auto"/>
          <w:sz w:val="24"/>
          <w:szCs w:val="24"/>
          <w:highlight w:val="none"/>
          <w:lang w:val="en-US" w:eastAsia="zh-CN"/>
        </w:rPr>
        <w:t>甲方</w:t>
      </w:r>
      <w:r>
        <w:rPr>
          <w:rFonts w:hint="eastAsia" w:ascii="宋体" w:hAnsi="宋体" w:cs="宋体"/>
          <w:bCs/>
          <w:color w:val="auto"/>
          <w:sz w:val="24"/>
          <w:highlight w:val="none"/>
        </w:rPr>
        <w:t>向</w:t>
      </w:r>
      <w:r>
        <w:rPr>
          <w:rFonts w:hint="eastAsia" w:ascii="宋体" w:hAnsi="宋体" w:cs="宋体"/>
          <w:bCs/>
          <w:color w:val="auto"/>
          <w:sz w:val="24"/>
          <w:highlight w:val="none"/>
          <w:lang w:val="en-US" w:eastAsia="zh-CN"/>
        </w:rPr>
        <w:t>乙方</w:t>
      </w:r>
      <w:r>
        <w:rPr>
          <w:rFonts w:hint="eastAsia" w:ascii="宋体" w:hAnsi="宋体" w:cs="宋体"/>
          <w:bCs/>
          <w:color w:val="auto"/>
          <w:sz w:val="24"/>
          <w:highlight w:val="none"/>
        </w:rPr>
        <w:t>商支付合同总价的</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0%</w:t>
      </w:r>
      <w:r>
        <w:rPr>
          <w:rFonts w:hint="eastAsia" w:ascii="宋体" w:hAnsi="宋体"/>
          <w:color w:val="auto"/>
          <w:sz w:val="24"/>
          <w:szCs w:val="24"/>
          <w:highlight w:val="none"/>
        </w:rPr>
        <w:t>，</w:t>
      </w:r>
      <w:r>
        <w:rPr>
          <w:rFonts w:hint="eastAsia" w:ascii="宋体" w:hAnsi="宋体" w:cs="宋体"/>
          <w:bCs/>
          <w:color w:val="auto"/>
          <w:sz w:val="24"/>
          <w:highlight w:val="none"/>
        </w:rPr>
        <w:t>安装调试完毕并验收合格后，</w:t>
      </w:r>
      <w:r>
        <w:rPr>
          <w:rFonts w:hint="eastAsia" w:ascii="宋体" w:hAnsi="宋体" w:cs="宋体"/>
          <w:bCs/>
          <w:color w:val="auto"/>
          <w:sz w:val="24"/>
          <w:highlight w:val="none"/>
          <w:lang w:val="en-US" w:eastAsia="zh-CN"/>
        </w:rPr>
        <w:t>乙方</w:t>
      </w:r>
      <w:r>
        <w:rPr>
          <w:rFonts w:hint="eastAsia" w:ascii="宋体" w:hAnsi="宋体" w:cs="宋体"/>
          <w:bCs/>
          <w:color w:val="auto"/>
          <w:sz w:val="24"/>
          <w:highlight w:val="none"/>
        </w:rPr>
        <w:t>向</w:t>
      </w:r>
      <w:r>
        <w:rPr>
          <w:rFonts w:hint="eastAsia" w:ascii="宋体" w:hAnsi="宋体" w:cs="宋体"/>
          <w:bCs/>
          <w:color w:val="auto"/>
          <w:sz w:val="24"/>
          <w:highlight w:val="none"/>
          <w:lang w:val="en-US" w:eastAsia="zh-CN"/>
        </w:rPr>
        <w:t>甲方</w:t>
      </w:r>
      <w:r>
        <w:rPr>
          <w:rFonts w:hint="eastAsia" w:ascii="宋体" w:hAnsi="宋体" w:cs="宋体"/>
          <w:bCs/>
          <w:color w:val="auto"/>
          <w:sz w:val="24"/>
          <w:highlight w:val="none"/>
        </w:rPr>
        <w:t>提交相关资料后，由</w:t>
      </w:r>
      <w:r>
        <w:rPr>
          <w:rFonts w:hint="eastAsia" w:ascii="宋体" w:hAnsi="宋体" w:cs="宋体"/>
          <w:bCs/>
          <w:color w:val="auto"/>
          <w:sz w:val="24"/>
          <w:highlight w:val="none"/>
          <w:lang w:val="en-US" w:eastAsia="zh-CN"/>
        </w:rPr>
        <w:t>甲方</w:t>
      </w:r>
      <w:r>
        <w:rPr>
          <w:rFonts w:hint="eastAsia" w:ascii="宋体" w:hAnsi="宋体" w:cs="宋体"/>
          <w:bCs/>
          <w:color w:val="auto"/>
          <w:sz w:val="24"/>
          <w:highlight w:val="none"/>
        </w:rPr>
        <w:t>向</w:t>
      </w:r>
      <w:r>
        <w:rPr>
          <w:rFonts w:hint="eastAsia" w:ascii="宋体" w:hAnsi="宋体" w:cs="宋体"/>
          <w:bCs/>
          <w:color w:val="auto"/>
          <w:sz w:val="24"/>
          <w:highlight w:val="none"/>
          <w:lang w:val="en-US" w:eastAsia="zh-CN"/>
        </w:rPr>
        <w:t>乙方</w:t>
      </w:r>
      <w:r>
        <w:rPr>
          <w:rFonts w:hint="eastAsia" w:ascii="宋体" w:hAnsi="宋体" w:cs="宋体"/>
          <w:bCs/>
          <w:color w:val="auto"/>
          <w:sz w:val="24"/>
          <w:highlight w:val="none"/>
        </w:rPr>
        <w:t>支付结算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0%货款</w:t>
      </w:r>
      <w:r>
        <w:rPr>
          <w:rFonts w:hint="eastAsia" w:ascii="宋体" w:hAnsi="宋体" w:cs="宋体"/>
          <w:bCs/>
          <w:color w:val="auto"/>
          <w:sz w:val="24"/>
          <w:highlight w:val="none"/>
          <w:lang w:eastAsia="zh-CN"/>
        </w:rPr>
        <w:t>。</w:t>
      </w:r>
    </w:p>
    <w:p>
      <w:pPr>
        <w:widowControl/>
        <w:autoSpaceDE w:val="0"/>
        <w:autoSpaceDN w:val="0"/>
        <w:spacing w:line="480" w:lineRule="exact"/>
        <w:ind w:right="-178" w:rightChars="-85" w:firstLine="480" w:firstLineChars="200"/>
        <w:textAlignment w:val="bottom"/>
        <w:rPr>
          <w:rFonts w:ascii="宋体" w:hAnsi="宋体"/>
          <w:color w:val="auto"/>
          <w:sz w:val="24"/>
          <w:szCs w:val="24"/>
          <w:highlight w:val="none"/>
        </w:rPr>
      </w:pPr>
      <w:r>
        <w:rPr>
          <w:rFonts w:hint="eastAsia" w:ascii="宋体" w:hAnsi="宋体" w:cs="宋体"/>
          <w:bCs/>
          <w:color w:val="auto"/>
          <w:sz w:val="24"/>
          <w:highlight w:val="none"/>
        </w:rPr>
        <w:t>支付项目款时，乙方将结款申请1份、增值税专用全额发票及复印件1份、合同复印件1份、货物设备清单和经甲方验收确认的《验收反馈表》和验收报告提交甲方，由甲方向乙方支付结算当期项目款。</w:t>
      </w:r>
    </w:p>
    <w:p>
      <w:pPr>
        <w:autoSpaceDE w:val="0"/>
        <w:adjustRightInd w:val="0"/>
        <w:spacing w:line="480" w:lineRule="exact"/>
        <w:ind w:right="113" w:rightChars="54" w:firstLine="504" w:firstLineChars="209"/>
        <w:jc w:val="left"/>
        <w:rPr>
          <w:rFonts w:ascii="宋体" w:hAnsi="宋体" w:cs="宋体"/>
          <w:b/>
          <w:color w:val="auto"/>
          <w:sz w:val="24"/>
          <w:highlight w:val="none"/>
        </w:rPr>
      </w:pPr>
      <w:r>
        <w:rPr>
          <w:rFonts w:hint="eastAsia" w:ascii="宋体" w:hAnsi="宋体" w:cs="宋体"/>
          <w:b/>
          <w:color w:val="auto"/>
          <w:sz w:val="24"/>
          <w:highlight w:val="none"/>
        </w:rPr>
        <w:t>第六条：履约保证金</w:t>
      </w:r>
    </w:p>
    <w:p>
      <w:pPr>
        <w:autoSpaceDE w:val="0"/>
        <w:adjustRightInd w:val="0"/>
        <w:snapToGrid w:val="0"/>
        <w:spacing w:line="440" w:lineRule="exact"/>
        <w:ind w:firstLine="501" w:firstLineChars="209"/>
        <w:jc w:val="left"/>
        <w:rPr>
          <w:rStyle w:val="97"/>
          <w:rFonts w:hint="eastAsia" w:ascii="宋体" w:hAnsi="宋体"/>
          <w:color w:val="auto"/>
          <w:szCs w:val="24"/>
          <w:highlight w:val="none"/>
        </w:rPr>
      </w:pPr>
      <w:r>
        <w:rPr>
          <w:rFonts w:hint="eastAsia" w:ascii="宋体" w:hAnsi="宋体" w:eastAsia="宋体" w:cs="宋体"/>
          <w:color w:val="auto"/>
          <w:kern w:val="0"/>
          <w:sz w:val="24"/>
          <w:szCs w:val="24"/>
          <w:highlight w:val="none"/>
        </w:rPr>
        <w:t>在合同签订后</w:t>
      </w:r>
      <w:r>
        <w:rPr>
          <w:rFonts w:hint="eastAsia" w:ascii="宋体" w:hAnsi="宋体" w:eastAsia="宋体" w:cs="宋体"/>
          <w:color w:val="auto"/>
          <w:kern w:val="0"/>
          <w:sz w:val="24"/>
          <w:szCs w:val="24"/>
          <w:highlight w:val="none"/>
          <w:lang w:val="en-US"/>
        </w:rPr>
        <w:t>7日内</w:t>
      </w:r>
      <w:r>
        <w:rPr>
          <w:rFonts w:hint="eastAsia" w:ascii="宋体" w:hAnsi="宋体" w:eastAsia="宋体" w:cs="宋体"/>
          <w:color w:val="auto"/>
          <w:kern w:val="0"/>
          <w:sz w:val="24"/>
          <w:szCs w:val="24"/>
          <w:highlight w:val="none"/>
        </w:rPr>
        <w:t>由</w:t>
      </w:r>
      <w:r>
        <w:rPr>
          <w:rFonts w:hint="eastAsia" w:ascii="宋体" w:hAnsi="宋体" w:eastAsia="宋体" w:cs="宋体"/>
          <w:color w:val="auto"/>
          <w:kern w:val="0"/>
          <w:sz w:val="24"/>
          <w:szCs w:val="24"/>
          <w:highlight w:val="none"/>
          <w:lang w:val="en-US" w:eastAsia="zh-CN"/>
        </w:rPr>
        <w:t>乙方</w:t>
      </w:r>
      <w:r>
        <w:rPr>
          <w:rFonts w:hint="eastAsia" w:ascii="宋体" w:hAnsi="宋体" w:eastAsia="宋体" w:cs="宋体"/>
          <w:color w:val="auto"/>
          <w:kern w:val="0"/>
          <w:sz w:val="24"/>
          <w:szCs w:val="24"/>
          <w:highlight w:val="none"/>
        </w:rPr>
        <w:t>按合同总金额的5%交至</w:t>
      </w:r>
      <w:r>
        <w:rPr>
          <w:rFonts w:hint="eastAsia" w:ascii="宋体" w:hAnsi="宋体" w:eastAsia="宋体" w:cs="宋体"/>
          <w:color w:val="auto"/>
          <w:kern w:val="0"/>
          <w:sz w:val="24"/>
          <w:szCs w:val="24"/>
          <w:highlight w:val="none"/>
          <w:lang w:val="en-US" w:eastAsia="zh-CN"/>
        </w:rPr>
        <w:t>甲方</w:t>
      </w:r>
      <w:r>
        <w:rPr>
          <w:rFonts w:hint="eastAsia" w:ascii="宋体" w:hAnsi="宋体" w:cs="宋体"/>
          <w:color w:val="auto"/>
          <w:kern w:val="0"/>
          <w:sz w:val="24"/>
          <w:szCs w:val="24"/>
          <w:highlight w:val="none"/>
          <w:lang w:val="en-US" w:eastAsia="zh-CN"/>
        </w:rPr>
        <w:t>指定账户</w:t>
      </w:r>
      <w:r>
        <w:rPr>
          <w:rFonts w:hint="eastAsia" w:ascii="宋体" w:hAnsi="宋体" w:eastAsia="宋体" w:cs="宋体"/>
          <w:color w:val="auto"/>
          <w:kern w:val="0"/>
          <w:sz w:val="24"/>
          <w:szCs w:val="24"/>
          <w:highlight w:val="none"/>
        </w:rPr>
        <w:t>（可采用银行、保险公司出具保函形式提交）。</w:t>
      </w:r>
      <w:r>
        <w:rPr>
          <w:rStyle w:val="97"/>
          <w:rFonts w:hint="eastAsia" w:ascii="宋体" w:hAnsi="宋体" w:cs="宋体"/>
          <w:color w:val="auto"/>
          <w:sz w:val="24"/>
          <w:szCs w:val="24"/>
          <w:highlight w:val="none"/>
        </w:rPr>
        <w:t>经验收合格后且回访无质量问题</w:t>
      </w:r>
      <w:r>
        <w:rPr>
          <w:rFonts w:hint="eastAsia" w:ascii="宋体" w:hAnsi="宋体" w:eastAsia="宋体" w:cs="宋体"/>
          <w:color w:val="auto"/>
          <w:kern w:val="0"/>
          <w:sz w:val="24"/>
          <w:szCs w:val="24"/>
          <w:highlight w:val="none"/>
        </w:rPr>
        <w:t>由</w:t>
      </w:r>
      <w:r>
        <w:rPr>
          <w:rFonts w:hint="eastAsia" w:ascii="宋体" w:hAnsi="宋体" w:eastAsia="宋体" w:cs="宋体"/>
          <w:color w:val="auto"/>
          <w:kern w:val="0"/>
          <w:sz w:val="24"/>
          <w:szCs w:val="24"/>
          <w:highlight w:val="none"/>
          <w:lang w:val="en-US" w:eastAsia="zh-CN"/>
        </w:rPr>
        <w:t>甲方</w:t>
      </w:r>
      <w:r>
        <w:rPr>
          <w:rFonts w:hint="eastAsia" w:ascii="宋体" w:hAnsi="宋体" w:eastAsia="宋体" w:cs="宋体"/>
          <w:color w:val="auto"/>
          <w:kern w:val="0"/>
          <w:sz w:val="24"/>
          <w:szCs w:val="24"/>
          <w:highlight w:val="none"/>
        </w:rPr>
        <w:t>无息退还。因</w:t>
      </w:r>
      <w:r>
        <w:rPr>
          <w:rFonts w:hint="eastAsia" w:ascii="宋体" w:hAnsi="宋体" w:eastAsia="宋体" w:cs="宋体"/>
          <w:color w:val="auto"/>
          <w:kern w:val="0"/>
          <w:sz w:val="24"/>
          <w:szCs w:val="24"/>
          <w:highlight w:val="none"/>
          <w:lang w:val="en-US" w:eastAsia="zh-CN"/>
        </w:rPr>
        <w:t>乙方</w:t>
      </w:r>
      <w:r>
        <w:rPr>
          <w:rFonts w:hint="eastAsia" w:ascii="宋体" w:hAnsi="宋体" w:eastAsia="宋体" w:cs="宋体"/>
          <w:color w:val="auto"/>
          <w:kern w:val="0"/>
          <w:sz w:val="24"/>
          <w:szCs w:val="24"/>
          <w:highlight w:val="none"/>
        </w:rPr>
        <w:t>所供商品质量原因造成</w:t>
      </w:r>
      <w:r>
        <w:rPr>
          <w:rFonts w:hint="eastAsia" w:ascii="宋体" w:hAnsi="宋体" w:eastAsia="宋体" w:cs="宋体"/>
          <w:color w:val="auto"/>
          <w:kern w:val="0"/>
          <w:sz w:val="24"/>
          <w:szCs w:val="24"/>
          <w:highlight w:val="none"/>
          <w:lang w:val="en-US" w:eastAsia="zh-CN"/>
        </w:rPr>
        <w:t>甲方</w:t>
      </w:r>
      <w:r>
        <w:rPr>
          <w:rFonts w:hint="eastAsia" w:ascii="宋体" w:hAnsi="宋体" w:eastAsia="宋体" w:cs="宋体"/>
          <w:color w:val="auto"/>
          <w:kern w:val="0"/>
          <w:sz w:val="24"/>
          <w:szCs w:val="24"/>
          <w:highlight w:val="none"/>
        </w:rPr>
        <w:t>损失的，</w:t>
      </w:r>
      <w:r>
        <w:rPr>
          <w:rFonts w:hint="eastAsia" w:ascii="宋体" w:hAnsi="宋体" w:eastAsia="宋体" w:cs="宋体"/>
          <w:color w:val="auto"/>
          <w:kern w:val="0"/>
          <w:sz w:val="24"/>
          <w:szCs w:val="24"/>
          <w:highlight w:val="none"/>
          <w:lang w:val="en-US" w:eastAsia="zh-CN"/>
        </w:rPr>
        <w:t>甲方</w:t>
      </w:r>
      <w:r>
        <w:rPr>
          <w:rFonts w:hint="eastAsia" w:ascii="宋体" w:hAnsi="宋体" w:eastAsia="宋体" w:cs="宋体"/>
          <w:color w:val="auto"/>
          <w:kern w:val="0"/>
          <w:sz w:val="24"/>
          <w:szCs w:val="24"/>
          <w:highlight w:val="none"/>
        </w:rPr>
        <w:t>有权要求</w:t>
      </w:r>
      <w:r>
        <w:rPr>
          <w:rFonts w:hint="eastAsia" w:ascii="宋体" w:hAnsi="宋体" w:eastAsia="宋体" w:cs="宋体"/>
          <w:color w:val="auto"/>
          <w:kern w:val="0"/>
          <w:sz w:val="24"/>
          <w:szCs w:val="24"/>
          <w:highlight w:val="none"/>
          <w:lang w:val="en-US" w:eastAsia="zh-CN"/>
        </w:rPr>
        <w:t>乙方</w:t>
      </w:r>
      <w:r>
        <w:rPr>
          <w:rFonts w:hint="eastAsia" w:ascii="宋体" w:hAnsi="宋体" w:eastAsia="宋体" w:cs="宋体"/>
          <w:color w:val="auto"/>
          <w:kern w:val="0"/>
          <w:sz w:val="24"/>
          <w:szCs w:val="24"/>
          <w:highlight w:val="none"/>
        </w:rPr>
        <w:t>以其</w:t>
      </w:r>
      <w:r>
        <w:rPr>
          <w:rFonts w:hint="eastAsia" w:ascii="宋体" w:hAnsi="宋体" w:eastAsia="宋体" w:cs="宋体"/>
          <w:color w:val="auto"/>
          <w:kern w:val="0"/>
          <w:sz w:val="24"/>
          <w:szCs w:val="24"/>
          <w:highlight w:val="none"/>
          <w:lang w:eastAsia="zh-CN"/>
        </w:rPr>
        <w:t>履约保证金</w:t>
      </w:r>
      <w:r>
        <w:rPr>
          <w:rFonts w:hint="eastAsia" w:ascii="宋体" w:hAnsi="宋体" w:eastAsia="宋体" w:cs="宋体"/>
          <w:color w:val="auto"/>
          <w:kern w:val="0"/>
          <w:sz w:val="24"/>
          <w:szCs w:val="24"/>
          <w:highlight w:val="none"/>
        </w:rPr>
        <w:t>作出补偿</w:t>
      </w:r>
      <w:r>
        <w:rPr>
          <w:rStyle w:val="97"/>
          <w:rFonts w:hint="eastAsia" w:ascii="宋体" w:hAnsi="宋体"/>
          <w:color w:val="auto"/>
          <w:szCs w:val="24"/>
          <w:highlight w:val="none"/>
        </w:rPr>
        <w:t>。</w:t>
      </w:r>
    </w:p>
    <w:p>
      <w:pPr>
        <w:autoSpaceDE w:val="0"/>
        <w:adjustRightInd w:val="0"/>
        <w:snapToGrid w:val="0"/>
        <w:spacing w:line="440" w:lineRule="exact"/>
        <w:ind w:firstLine="504" w:firstLineChars="209"/>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第七条：售后服务</w:t>
      </w:r>
    </w:p>
    <w:p>
      <w:p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kern w:val="0"/>
          <w:sz w:val="24"/>
          <w:szCs w:val="24"/>
          <w:highlight w:val="none"/>
        </w:rPr>
        <w:t>售后服务按不低于</w:t>
      </w:r>
      <w:r>
        <w:rPr>
          <w:rFonts w:hint="eastAsia" w:ascii="宋体" w:hAnsi="宋体" w:cs="宋体"/>
          <w:bCs/>
          <w:color w:val="auto"/>
          <w:sz w:val="24"/>
          <w:highlight w:val="none"/>
        </w:rPr>
        <w:t>国家市场监督管理总局</w:t>
      </w:r>
      <w:r>
        <w:rPr>
          <w:rFonts w:hint="eastAsia" w:ascii="宋体" w:hAnsi="宋体" w:cs="宋体"/>
          <w:color w:val="auto"/>
          <w:kern w:val="0"/>
          <w:sz w:val="24"/>
          <w:szCs w:val="24"/>
          <w:highlight w:val="none"/>
        </w:rPr>
        <w:t>和国家其他有关规定执行，国家没有规</w:t>
      </w:r>
      <w:r>
        <w:rPr>
          <w:rFonts w:hint="eastAsia" w:ascii="宋体" w:hAnsi="宋体" w:cs="宋体"/>
          <w:color w:val="auto"/>
          <w:sz w:val="24"/>
          <w:szCs w:val="24"/>
          <w:highlight w:val="none"/>
        </w:rPr>
        <w:t>定的按厂商规定执行。国家规定标准低于厂商标准的按厂商标准执行。</w:t>
      </w:r>
    </w:p>
    <w:p>
      <w:pPr>
        <w:numPr>
          <w:ilvl w:val="0"/>
          <w:numId w:val="17"/>
        </w:num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本项目所有设备质量保修期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 （招标规格参数内有注明的以招标规格参数要求为准）。合同标的质量保修期自标的验收合格并签字盖章后开始计算。在设备及软件（或系统）整个使用期内，乙方应确保正常使用，在接到甲方维修要求后在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小时内响应并提出解决方案，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小时内到达现场对故障进行处理，维修过程中所需材料乙方在接到通知后应及时提供，最长不超过</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小时必须送达甲方。若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小时内无法修复的，应及时提供相应备用设备并负责安装调试，为此，乙方应提供相应承诺书。</w:t>
      </w:r>
    </w:p>
    <w:p>
      <w:pPr>
        <w:numPr>
          <w:ilvl w:val="0"/>
          <w:numId w:val="17"/>
        </w:num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质保期内因不能排除的故障而影响工作的情况每发生一次，其质保期相应延长60天，保质期内因设备本身缺陷造成各种故障应由乙方免费技术服务和维修。</w:t>
      </w:r>
    </w:p>
    <w:p>
      <w:pPr>
        <w:autoSpaceDE w:val="0"/>
        <w:adjustRightInd w:val="0"/>
        <w:snapToGrid w:val="0"/>
        <w:spacing w:line="440" w:lineRule="exact"/>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第八条：</w:t>
      </w:r>
      <w:r>
        <w:rPr>
          <w:rFonts w:hint="eastAsia" w:ascii="宋体" w:hAnsi="宋体" w:cs="宋体"/>
          <w:color w:val="auto"/>
          <w:sz w:val="24"/>
          <w:szCs w:val="24"/>
          <w:highlight w:val="none"/>
        </w:rPr>
        <w:t>乙</w:t>
      </w:r>
      <w:r>
        <w:rPr>
          <w:rFonts w:hint="eastAsia" w:ascii="宋体" w:hAnsi="宋体" w:cs="宋体"/>
          <w:color w:val="auto"/>
          <w:kern w:val="0"/>
          <w:sz w:val="24"/>
          <w:szCs w:val="24"/>
          <w:highlight w:val="none"/>
        </w:rPr>
        <w:t>方承担合同标的供货、安装调试及交付前的一切费用(包括不可预见费用)和市场风险。</w:t>
      </w:r>
    </w:p>
    <w:p>
      <w:pPr>
        <w:autoSpaceDE w:val="0"/>
        <w:adjustRightInd w:val="0"/>
        <w:snapToGrid w:val="0"/>
        <w:spacing w:line="440" w:lineRule="exact"/>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第九条：其他约定：</w:t>
      </w:r>
    </w:p>
    <w:p>
      <w:pPr>
        <w:autoSpaceDE w:val="0"/>
        <w:adjustRightInd w:val="0"/>
        <w:snapToGrid w:val="0"/>
        <w:spacing w:line="440" w:lineRule="exact"/>
        <w:ind w:firstLine="480" w:firstLineChars="200"/>
        <w:jc w:val="left"/>
        <w:rPr>
          <w:rFonts w:ascii="宋体" w:hAnsi="宋体" w:cs="宋体"/>
          <w:b/>
          <w:bCs/>
          <w:color w:val="auto"/>
          <w:sz w:val="24"/>
          <w:szCs w:val="24"/>
          <w:highlight w:val="none"/>
        </w:rPr>
      </w:pPr>
      <w:r>
        <w:rPr>
          <w:rFonts w:hint="eastAsia" w:ascii="宋体" w:hAnsi="宋体" w:cs="宋体"/>
          <w:color w:val="auto"/>
          <w:sz w:val="24"/>
          <w:szCs w:val="24"/>
          <w:highlight w:val="none"/>
        </w:rPr>
        <w:t xml:space="preserve">按招标文件要求及投标文件内容提供设备及服务。  </w:t>
      </w:r>
      <w:r>
        <w:rPr>
          <w:rFonts w:hint="eastAsia" w:ascii="宋体" w:hAnsi="宋体" w:cs="宋体"/>
          <w:b/>
          <w:bCs/>
          <w:color w:val="auto"/>
          <w:sz w:val="24"/>
          <w:szCs w:val="24"/>
          <w:highlight w:val="none"/>
        </w:rPr>
        <w:t xml:space="preserve">     </w:t>
      </w:r>
    </w:p>
    <w:p>
      <w:pPr>
        <w:autoSpaceDE w:val="0"/>
        <w:adjustRightInd w:val="0"/>
        <w:snapToGrid w:val="0"/>
        <w:spacing w:line="440" w:lineRule="exact"/>
        <w:ind w:firstLine="504" w:firstLineChars="209"/>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第十条：违约责任</w:t>
      </w:r>
    </w:p>
    <w:p>
      <w:p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由于乙方原因(除不可抗力外)不能按期交付合同标的，对超出交付期的每一天，乙方应按合同总价款的千分之三承担违约金，在合同货款支付时一次性扣除。若超出交付期十天(含十天)以上的，甲方有权终止合同并提请监管部门按照政府采购的有关规定对乙方进行处理。</w:t>
      </w:r>
    </w:p>
    <w:p>
      <w:pPr>
        <w:autoSpaceDE w:val="0"/>
        <w:adjustRightInd w:val="0"/>
        <w:snapToGrid w:val="0"/>
        <w:spacing w:line="440" w:lineRule="exact"/>
        <w:ind w:firstLine="501" w:firstLineChars="209"/>
        <w:jc w:val="left"/>
        <w:rPr>
          <w:rFonts w:ascii="宋体" w:hAnsi="宋体" w:cs="宋体"/>
          <w:color w:val="auto"/>
          <w:sz w:val="24"/>
          <w:szCs w:val="24"/>
          <w:highlight w:val="none"/>
        </w:rPr>
      </w:pPr>
      <w:r>
        <w:rPr>
          <w:rFonts w:hint="eastAsia" w:ascii="宋体" w:hAnsi="宋体" w:cs="宋体"/>
          <w:color w:val="auto"/>
          <w:sz w:val="24"/>
          <w:szCs w:val="24"/>
          <w:highlight w:val="none"/>
        </w:rPr>
        <w:t>乙方按合同要求将货物送达甲方后，经验收合格后，甲方超出付款期支付货款的，每逾一天，甲方应向乙方支付合同货物金额的千分之三的滞纳金。如遇特殊情况甲方要求推迟供货或验收的，必须事先征得乙方的同意，否则应承担由此给乙方造成的损失。</w:t>
      </w:r>
    </w:p>
    <w:p>
      <w:pPr>
        <w:autoSpaceDE w:val="0"/>
        <w:adjustRightInd w:val="0"/>
        <w:snapToGrid w:val="0"/>
        <w:spacing w:line="440" w:lineRule="exact"/>
        <w:ind w:firstLine="504" w:firstLineChars="209"/>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第十一条：争议的解决</w:t>
      </w:r>
    </w:p>
    <w:p>
      <w:pPr>
        <w:autoSpaceDE w:val="0"/>
        <w:adjustRightInd w:val="0"/>
        <w:snapToGrid w:val="0"/>
        <w:spacing w:line="440" w:lineRule="exact"/>
        <w:ind w:firstLine="501" w:firstLineChars="2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1、因质量问题发生争议的，由</w:t>
      </w:r>
      <w:r>
        <w:rPr>
          <w:rFonts w:hint="eastAsia" w:ascii="宋体" w:hAnsi="宋体" w:cs="宋体"/>
          <w:color w:val="auto"/>
          <w:sz w:val="24"/>
          <w:szCs w:val="24"/>
          <w:highlight w:val="none"/>
        </w:rPr>
        <w:t>甲</w:t>
      </w:r>
      <w:r>
        <w:rPr>
          <w:rFonts w:hint="eastAsia" w:ascii="宋体" w:hAnsi="宋体" w:cs="宋体"/>
          <w:color w:val="auto"/>
          <w:kern w:val="0"/>
          <w:sz w:val="24"/>
          <w:szCs w:val="24"/>
          <w:highlight w:val="none"/>
        </w:rPr>
        <w:t>方委托有关技术部门进行质量鉴定，该鉴定的结论</w:t>
      </w:r>
      <w:r>
        <w:rPr>
          <w:rFonts w:hint="eastAsia" w:ascii="宋体" w:hAnsi="宋体" w:cs="宋体"/>
          <w:color w:val="auto"/>
          <w:sz w:val="24"/>
          <w:szCs w:val="24"/>
          <w:highlight w:val="none"/>
        </w:rPr>
        <w:t>甲</w:t>
      </w:r>
      <w:r>
        <w:rPr>
          <w:rFonts w:hint="eastAsia" w:ascii="宋体" w:hAnsi="宋体" w:cs="宋体"/>
          <w:bCs/>
          <w:color w:val="auto"/>
          <w:kern w:val="0"/>
          <w:sz w:val="24"/>
          <w:szCs w:val="24"/>
          <w:highlight w:val="none"/>
        </w:rPr>
        <w:t>乙</w:t>
      </w:r>
      <w:r>
        <w:rPr>
          <w:rFonts w:hint="eastAsia" w:ascii="宋体" w:hAnsi="宋体" w:cs="宋体"/>
          <w:color w:val="auto"/>
          <w:kern w:val="0"/>
          <w:sz w:val="24"/>
          <w:szCs w:val="24"/>
          <w:highlight w:val="none"/>
        </w:rPr>
        <w:t>双方应当接受，各方均有权直接向对方索赔，并签订书面处理协议书，报见证方备案。</w:t>
      </w:r>
    </w:p>
    <w:p>
      <w:pPr>
        <w:adjustRightInd w:val="0"/>
        <w:snapToGrid w:val="0"/>
        <w:spacing w:line="440" w:lineRule="exact"/>
        <w:ind w:firstLine="6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2、双方无法通过协商解决合同争议的，任何一方有权向建德市人民法院提出诉讼。</w:t>
      </w:r>
    </w:p>
    <w:p>
      <w:pPr>
        <w:adjustRightInd w:val="0"/>
        <w:snapToGrid w:val="0"/>
        <w:spacing w:line="440" w:lineRule="exact"/>
        <w:ind w:firstLine="600"/>
        <w:rPr>
          <w:rFonts w:ascii="宋体" w:hAnsi="宋体" w:cs="宋体"/>
          <w:b/>
          <w:color w:val="auto"/>
          <w:sz w:val="24"/>
          <w:szCs w:val="24"/>
          <w:highlight w:val="none"/>
        </w:rPr>
      </w:pPr>
      <w:r>
        <w:rPr>
          <w:rFonts w:hint="eastAsia" w:ascii="宋体" w:hAnsi="宋体" w:cs="宋体"/>
          <w:b/>
          <w:color w:val="auto"/>
          <w:sz w:val="24"/>
          <w:szCs w:val="24"/>
          <w:highlight w:val="none"/>
        </w:rPr>
        <w:t>第十二条：合同的生效</w:t>
      </w:r>
    </w:p>
    <w:p>
      <w:pPr>
        <w:autoSpaceDE w:val="0"/>
        <w:adjustRightInd w:val="0"/>
        <w:spacing w:line="480" w:lineRule="exact"/>
        <w:ind w:firstLine="501" w:firstLineChars="209"/>
        <w:jc w:val="left"/>
        <w:rPr>
          <w:rFonts w:ascii="宋体"/>
          <w:color w:val="auto"/>
          <w:kern w:val="0"/>
          <w:sz w:val="24"/>
          <w:szCs w:val="24"/>
          <w:highlight w:val="none"/>
        </w:rPr>
      </w:pPr>
      <w:r>
        <w:rPr>
          <w:rFonts w:hint="eastAsia" w:ascii="宋体" w:hAnsi="宋体" w:cs="宋体"/>
          <w:color w:val="auto"/>
          <w:kern w:val="0"/>
          <w:sz w:val="24"/>
          <w:szCs w:val="24"/>
          <w:highlight w:val="none"/>
        </w:rPr>
        <w:t>1、</w:t>
      </w:r>
      <w:r>
        <w:rPr>
          <w:rFonts w:hint="eastAsia" w:ascii="宋体" w:hAnsi="宋体"/>
          <w:color w:val="auto"/>
          <w:kern w:val="0"/>
          <w:sz w:val="24"/>
          <w:szCs w:val="24"/>
          <w:highlight w:val="none"/>
        </w:rPr>
        <w:t>本合同一式陆份，甲、乙双方各执二份，见证单位一份，监管部门一份。</w:t>
      </w:r>
    </w:p>
    <w:p>
      <w:pPr>
        <w:autoSpaceDE w:val="0"/>
        <w:adjustRightInd w:val="0"/>
        <w:snapToGrid w:val="0"/>
        <w:spacing w:line="440" w:lineRule="exact"/>
        <w:ind w:firstLine="600" w:firstLineChars="25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2、本合同经</w:t>
      </w:r>
      <w:r>
        <w:rPr>
          <w:rFonts w:hint="eastAsia" w:ascii="宋体" w:hAnsi="宋体" w:cs="宋体"/>
          <w:color w:val="auto"/>
          <w:sz w:val="24"/>
          <w:szCs w:val="24"/>
          <w:highlight w:val="none"/>
        </w:rPr>
        <w:t>甲</w:t>
      </w:r>
      <w:r>
        <w:rPr>
          <w:rFonts w:hint="eastAsia" w:ascii="宋体" w:hAnsi="宋体" w:cs="宋体"/>
          <w:bCs/>
          <w:color w:val="auto"/>
          <w:kern w:val="0"/>
          <w:sz w:val="24"/>
          <w:szCs w:val="24"/>
          <w:highlight w:val="none"/>
        </w:rPr>
        <w:t>乙</w:t>
      </w:r>
      <w:r>
        <w:rPr>
          <w:rFonts w:hint="eastAsia" w:ascii="宋体" w:hAnsi="宋体" w:cs="宋体"/>
          <w:color w:val="auto"/>
          <w:kern w:val="0"/>
          <w:sz w:val="24"/>
          <w:szCs w:val="24"/>
          <w:highlight w:val="none"/>
        </w:rPr>
        <w:t>双方法定代表人或委托代理人签字并加盖公章（或合同章）后生效。</w:t>
      </w:r>
    </w:p>
    <w:p>
      <w:pPr>
        <w:pStyle w:val="24"/>
        <w:snapToGrid w:val="0"/>
        <w:spacing w:line="440" w:lineRule="exact"/>
        <w:ind w:firstLine="600" w:firstLineChars="250"/>
        <w:rPr>
          <w:rFonts w:hAnsi="宋体" w:cs="宋体"/>
          <w:color w:val="auto"/>
          <w:sz w:val="24"/>
          <w:szCs w:val="24"/>
          <w:highlight w:val="none"/>
        </w:rPr>
      </w:pPr>
      <w:r>
        <w:rPr>
          <w:rFonts w:hint="eastAsia" w:hAnsi="宋体" w:cs="宋体"/>
          <w:color w:val="auto"/>
          <w:sz w:val="24"/>
          <w:szCs w:val="24"/>
          <w:highlight w:val="none"/>
        </w:rPr>
        <w:t>3、本合同未尽事宜，经双方商议可续签补充协议。该补充协议与本合同具有相同法律效力，但该补充协议的内容不能实质性修改招标文件的主要条款。</w:t>
      </w:r>
    </w:p>
    <w:p>
      <w:pPr>
        <w:pStyle w:val="24"/>
        <w:snapToGrid w:val="0"/>
        <w:spacing w:line="440" w:lineRule="exact"/>
        <w:ind w:firstLine="600" w:firstLineChars="250"/>
        <w:rPr>
          <w:rFonts w:hAnsi="宋体" w:cs="宋体"/>
          <w:color w:val="auto"/>
          <w:sz w:val="24"/>
          <w:szCs w:val="24"/>
          <w:highlight w:val="none"/>
        </w:rPr>
      </w:pPr>
      <w:r>
        <w:rPr>
          <w:rFonts w:hint="eastAsia" w:hAnsi="宋体" w:cs="宋体"/>
          <w:color w:val="auto"/>
          <w:sz w:val="24"/>
          <w:szCs w:val="24"/>
          <w:highlight w:val="none"/>
        </w:rPr>
        <w:t>4、本合同未涉及的部分以招标文件（招标编号：    ）(包括补充更正，如有)为准，上述招标文件与乙方针对本项目投标文件及记录是本合同的附件，与本合同具有同等法律效力，但附件与主合同的规定不一致时，以主合同为准。</w:t>
      </w:r>
    </w:p>
    <w:p>
      <w:pPr>
        <w:pStyle w:val="24"/>
        <w:snapToGrid w:val="0"/>
        <w:spacing w:line="440" w:lineRule="exact"/>
        <w:rPr>
          <w:rFonts w:hAnsi="宋体" w:cs="宋体"/>
          <w:b/>
          <w:color w:val="auto"/>
          <w:sz w:val="24"/>
          <w:szCs w:val="24"/>
          <w:highlight w:val="none"/>
        </w:rPr>
      </w:pPr>
      <w:r>
        <w:rPr>
          <w:rFonts w:hint="eastAsia" w:hAnsi="宋体" w:cs="宋体"/>
          <w:b/>
          <w:color w:val="auto"/>
          <w:sz w:val="24"/>
          <w:szCs w:val="24"/>
          <w:highlight w:val="none"/>
        </w:rPr>
        <w:t>（以下无正文）</w:t>
      </w:r>
    </w:p>
    <w:p>
      <w:pPr>
        <w:pStyle w:val="24"/>
        <w:snapToGrid w:val="0"/>
        <w:spacing w:line="440" w:lineRule="exact"/>
        <w:rPr>
          <w:rFonts w:hAnsi="宋体" w:cs="宋体"/>
          <w:b/>
          <w:color w:val="auto"/>
          <w:sz w:val="24"/>
          <w:szCs w:val="24"/>
          <w:highlight w:val="none"/>
        </w:rPr>
      </w:pPr>
    </w:p>
    <w:p>
      <w:pPr>
        <w:pStyle w:val="24"/>
        <w:snapToGrid w:val="0"/>
        <w:spacing w:line="440" w:lineRule="exact"/>
        <w:rPr>
          <w:rFonts w:hAnsi="宋体" w:cs="宋体"/>
          <w:b/>
          <w:color w:val="auto"/>
          <w:sz w:val="24"/>
          <w:szCs w:val="24"/>
          <w:highlight w:val="none"/>
        </w:rPr>
      </w:pPr>
      <w:r>
        <w:rPr>
          <w:rFonts w:hint="eastAsia" w:hAnsi="宋体" w:cs="宋体"/>
          <w:b/>
          <w:color w:val="auto"/>
          <w:sz w:val="24"/>
          <w:szCs w:val="24"/>
          <w:highlight w:val="none"/>
        </w:rPr>
        <w:t>甲方（盖章）：                               乙方（盖章）：</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法定代表人或受委托人                         法定代表人或受委托人</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（签字）                                     （签字）</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地址：                                       地址：</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邮编：                                       邮编：</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电话：                                       电话：</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传真：                                       传真：</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签约时间：     年   月   日</w:t>
      </w:r>
    </w:p>
    <w:p>
      <w:pPr>
        <w:pStyle w:val="24"/>
        <w:snapToGrid w:val="0"/>
        <w:spacing w:line="440" w:lineRule="exact"/>
        <w:ind w:left="180" w:hanging="180" w:hangingChars="75"/>
        <w:rPr>
          <w:rFonts w:hAnsi="宋体" w:cs="宋体"/>
          <w:color w:val="auto"/>
          <w:sz w:val="24"/>
          <w:szCs w:val="24"/>
          <w:highlight w:val="none"/>
        </w:rPr>
      </w:pPr>
      <w:r>
        <w:rPr>
          <w:rFonts w:hint="eastAsia" w:hAnsi="宋体" w:cs="宋体"/>
          <w:color w:val="auto"/>
          <w:sz w:val="24"/>
          <w:szCs w:val="24"/>
          <w:highlight w:val="none"/>
        </w:rPr>
        <w:t>签约地点：</w:t>
      </w:r>
    </w:p>
    <w:p>
      <w:pPr>
        <w:pStyle w:val="24"/>
        <w:snapToGrid w:val="0"/>
        <w:spacing w:line="440" w:lineRule="exact"/>
        <w:ind w:left="180" w:hanging="180" w:hangingChars="75"/>
        <w:rPr>
          <w:rFonts w:hAnsi="宋体" w:cs="宋体"/>
          <w:color w:val="auto"/>
          <w:sz w:val="24"/>
          <w:szCs w:val="24"/>
          <w:highlight w:val="none"/>
        </w:rPr>
      </w:pPr>
    </w:p>
    <w:p>
      <w:pPr>
        <w:pStyle w:val="24"/>
        <w:snapToGrid w:val="0"/>
        <w:spacing w:line="440" w:lineRule="exact"/>
        <w:ind w:left="180" w:hanging="180" w:hangingChars="75"/>
        <w:rPr>
          <w:rFonts w:hint="eastAsia" w:hAnsi="宋体" w:cs="宋体"/>
          <w:color w:val="auto"/>
          <w:sz w:val="24"/>
          <w:szCs w:val="24"/>
          <w:highlight w:val="none"/>
        </w:rPr>
      </w:pPr>
      <w:r>
        <w:rPr>
          <w:rFonts w:hint="eastAsia" w:hAnsi="宋体" w:cs="宋体"/>
          <w:color w:val="auto"/>
          <w:sz w:val="24"/>
          <w:szCs w:val="24"/>
          <w:highlight w:val="none"/>
        </w:rPr>
        <w:t>见证单位：（盖章）</w:t>
      </w:r>
    </w:p>
    <w:p>
      <w:pPr>
        <w:pStyle w:val="24"/>
        <w:snapToGrid w:val="0"/>
        <w:spacing w:line="440" w:lineRule="exact"/>
        <w:ind w:left="180" w:hanging="180" w:hangingChars="75"/>
        <w:rPr>
          <w:rFonts w:hint="eastAsia" w:hAnsi="宋体" w:cs="宋体"/>
          <w:color w:val="auto"/>
          <w:sz w:val="24"/>
          <w:szCs w:val="24"/>
          <w:highlight w:val="none"/>
        </w:rPr>
      </w:pPr>
      <w:r>
        <w:rPr>
          <w:rFonts w:hint="eastAsia" w:hAnsi="宋体" w:cs="宋体"/>
          <w:color w:val="auto"/>
          <w:sz w:val="24"/>
          <w:szCs w:val="24"/>
          <w:highlight w:val="none"/>
        </w:rPr>
        <w:t>法定代表人或委托代理人（签字或盖章）:</w:t>
      </w:r>
    </w:p>
    <w:p>
      <w:pPr>
        <w:pStyle w:val="24"/>
        <w:snapToGrid w:val="0"/>
        <w:spacing w:line="440" w:lineRule="exact"/>
        <w:ind w:left="180" w:hanging="180" w:hangingChars="75"/>
        <w:rPr>
          <w:rFonts w:hint="eastAsia" w:hAnsi="宋体" w:cs="宋体"/>
          <w:color w:val="auto"/>
          <w:sz w:val="24"/>
          <w:szCs w:val="24"/>
          <w:highlight w:val="none"/>
        </w:rPr>
      </w:pPr>
      <w:r>
        <w:rPr>
          <w:rFonts w:hint="eastAsia" w:hAnsi="宋体" w:cs="宋体"/>
          <w:color w:val="auto"/>
          <w:sz w:val="24"/>
          <w:szCs w:val="24"/>
          <w:highlight w:val="none"/>
        </w:rPr>
        <w:t>时间：</w:t>
      </w:r>
      <w:r>
        <w:rPr>
          <w:rFonts w:hint="eastAsia" w:hAnsi="宋体" w:cs="宋体"/>
          <w:color w:val="auto"/>
          <w:sz w:val="24"/>
          <w:szCs w:val="24"/>
          <w:highlight w:val="none"/>
          <w:lang w:eastAsia="zh-CN"/>
        </w:rPr>
        <w:t>202</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年   月   日</w:t>
      </w: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ind w:left="180" w:hanging="180" w:hangingChars="75"/>
        <w:rPr>
          <w:rFonts w:hAnsi="宋体" w:cs="宋体"/>
          <w:color w:val="auto"/>
          <w:sz w:val="24"/>
          <w:szCs w:val="24"/>
          <w:highlight w:val="none"/>
        </w:rPr>
      </w:pPr>
    </w:p>
    <w:p>
      <w:pPr>
        <w:pStyle w:val="24"/>
        <w:snapToGrid w:val="0"/>
        <w:spacing w:line="360" w:lineRule="auto"/>
        <w:rPr>
          <w:rFonts w:hAnsi="宋体" w:cs="宋体"/>
          <w:color w:val="auto"/>
          <w:sz w:val="24"/>
          <w:szCs w:val="24"/>
          <w:highlight w:val="none"/>
        </w:rPr>
      </w:pPr>
    </w:p>
    <w:p>
      <w:pPr>
        <w:pStyle w:val="26"/>
        <w:numPr>
          <w:ilvl w:val="0"/>
          <w:numId w:val="18"/>
        </w:numPr>
        <w:spacing w:line="440" w:lineRule="exact"/>
        <w:ind w:left="0"/>
        <w:jc w:val="center"/>
        <w:rPr>
          <w:rStyle w:val="97"/>
          <w:rFonts w:ascii="宋体" w:hAnsi="宋体" w:cs="宋体"/>
          <w:b/>
          <w:bCs/>
          <w:color w:val="auto"/>
          <w:sz w:val="36"/>
          <w:szCs w:val="36"/>
          <w:highlight w:val="none"/>
        </w:rPr>
      </w:pPr>
      <w:r>
        <w:rPr>
          <w:rStyle w:val="97"/>
          <w:rFonts w:hint="eastAsia" w:ascii="宋体" w:hAnsi="宋体" w:cs="宋体"/>
          <w:b/>
          <w:bCs/>
          <w:color w:val="auto"/>
          <w:sz w:val="36"/>
          <w:szCs w:val="36"/>
          <w:highlight w:val="none"/>
        </w:rPr>
        <w:t xml:space="preserve"> 附 件</w:t>
      </w:r>
    </w:p>
    <w:p>
      <w:pPr>
        <w:rPr>
          <w:rFonts w:ascii="宋体" w:hAnsi="宋体" w:cs="宋体"/>
          <w:color w:val="auto"/>
          <w:highlight w:val="none"/>
        </w:rPr>
      </w:pPr>
    </w:p>
    <w:p>
      <w:pPr>
        <w:widowControl/>
        <w:snapToGrid w:val="0"/>
        <w:ind w:left="420" w:hanging="420"/>
        <w:rPr>
          <w:rFonts w:ascii="宋体" w:hAnsi="宋体" w:cs="宋体"/>
          <w:b/>
          <w:bCs/>
          <w:color w:val="auto"/>
          <w:kern w:val="0"/>
          <w:sz w:val="32"/>
          <w:szCs w:val="32"/>
          <w:highlight w:val="none"/>
        </w:rPr>
      </w:pPr>
      <w:r>
        <w:rPr>
          <w:rStyle w:val="97"/>
          <w:rFonts w:hint="eastAsia" w:ascii="宋体" w:hAnsi="宋体" w:cs="宋体"/>
          <w:color w:val="auto"/>
          <w:sz w:val="30"/>
          <w:szCs w:val="30"/>
          <w:highlight w:val="none"/>
        </w:rPr>
        <w:t>附件一</w:t>
      </w:r>
      <w:r>
        <w:rPr>
          <w:rFonts w:hint="eastAsia" w:ascii="宋体" w:hAnsi="宋体" w:cs="宋体"/>
          <w:b/>
          <w:bCs/>
          <w:color w:val="auto"/>
          <w:kern w:val="0"/>
          <w:sz w:val="32"/>
          <w:szCs w:val="32"/>
          <w:highlight w:val="none"/>
        </w:rPr>
        <w:t>、</w:t>
      </w:r>
    </w:p>
    <w:p>
      <w:pPr>
        <w:widowControl/>
        <w:snapToGrid w:val="0"/>
        <w:ind w:left="420" w:hanging="42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投标报价函</w:t>
      </w:r>
    </w:p>
    <w:p>
      <w:pPr>
        <w:widowControl/>
        <w:snapToGrid w:val="0"/>
        <w:ind w:left="420" w:hanging="420"/>
        <w:jc w:val="center"/>
        <w:rPr>
          <w:rFonts w:ascii="宋体" w:hAnsi="宋体" w:cs="宋体"/>
          <w:b/>
          <w:color w:val="auto"/>
          <w:kern w:val="0"/>
          <w:sz w:val="32"/>
          <w:szCs w:val="32"/>
          <w:highlight w:val="none"/>
        </w:rPr>
      </w:pPr>
    </w:p>
    <w:p>
      <w:pPr>
        <w:pStyle w:val="42"/>
        <w:autoSpaceDE w:val="0"/>
        <w:adjustRightInd w:val="0"/>
        <w:snapToGrid w:val="0"/>
        <w:spacing w:before="0" w:beforeAutospacing="0" w:after="0" w:afterAutospacing="0" w:line="420" w:lineRule="exact"/>
        <w:jc w:val="both"/>
        <w:rPr>
          <w:rFonts w:cs="宋体"/>
          <w:b/>
          <w:bCs/>
          <w:color w:val="auto"/>
          <w:highlight w:val="none"/>
        </w:rPr>
      </w:pPr>
      <w:r>
        <w:rPr>
          <w:rFonts w:hint="eastAsia" w:cs="宋体"/>
          <w:b/>
          <w:bCs/>
          <w:color w:val="auto"/>
          <w:highlight w:val="none"/>
          <w:lang w:eastAsia="zh-CN"/>
        </w:rPr>
        <w:t>欧邦工程管理集团有限公司</w:t>
      </w:r>
      <w:r>
        <w:rPr>
          <w:rFonts w:hint="eastAsia" w:cs="宋体"/>
          <w:b/>
          <w:bCs/>
          <w:color w:val="auto"/>
          <w:highlight w:val="none"/>
        </w:rPr>
        <w:t>：</w:t>
      </w:r>
    </w:p>
    <w:p>
      <w:pPr>
        <w:pStyle w:val="42"/>
        <w:autoSpaceDE w:val="0"/>
        <w:adjustRightInd w:val="0"/>
        <w:snapToGrid w:val="0"/>
        <w:spacing w:before="0" w:beforeAutospacing="0" w:after="0" w:afterAutospacing="0" w:line="420" w:lineRule="exact"/>
        <w:ind w:firstLine="480"/>
        <w:rPr>
          <w:rFonts w:hint="eastAsia" w:cs="宋体"/>
          <w:color w:val="auto"/>
          <w:highlight w:val="none"/>
        </w:rPr>
      </w:pPr>
    </w:p>
    <w:p>
      <w:pPr>
        <w:pStyle w:val="42"/>
        <w:autoSpaceDE w:val="0"/>
        <w:adjustRightInd w:val="0"/>
        <w:snapToGrid w:val="0"/>
        <w:spacing w:before="0" w:beforeAutospacing="0" w:after="0" w:afterAutospacing="0" w:line="420" w:lineRule="exact"/>
        <w:ind w:firstLine="480"/>
        <w:rPr>
          <w:rFonts w:cs="宋体"/>
          <w:color w:val="auto"/>
          <w:highlight w:val="none"/>
        </w:rPr>
      </w:pPr>
      <w:r>
        <w:rPr>
          <w:rFonts w:hint="eastAsia" w:cs="宋体"/>
          <w:color w:val="auto"/>
          <w:highlight w:val="none"/>
        </w:rPr>
        <w:t>贵单位</w:t>
      </w:r>
      <w:r>
        <w:rPr>
          <w:rFonts w:hint="eastAsia" w:cs="宋体"/>
          <w:color w:val="auto"/>
          <w:highlight w:val="none"/>
          <w:lang w:eastAsia="zh-CN"/>
        </w:rPr>
        <w:t>JDBWCG2023</w:t>
      </w:r>
      <w:r>
        <w:rPr>
          <w:rFonts w:hint="eastAsia" w:cs="宋体"/>
          <w:color w:val="auto"/>
          <w:highlight w:val="none"/>
          <w:lang w:val="en-US" w:eastAsia="zh-CN"/>
        </w:rPr>
        <w:t xml:space="preserve"> </w:t>
      </w:r>
      <w:r>
        <w:rPr>
          <w:rFonts w:hint="eastAsia" w:cs="宋体"/>
          <w:color w:val="auto"/>
          <w:highlight w:val="none"/>
          <w:lang w:eastAsia="zh-CN"/>
        </w:rPr>
        <w:t>-</w:t>
      </w:r>
      <w:r>
        <w:rPr>
          <w:rFonts w:hint="eastAsia" w:cs="宋体"/>
          <w:color w:val="auto"/>
          <w:highlight w:val="none"/>
          <w:lang w:val="en-US" w:eastAsia="zh-CN"/>
        </w:rPr>
        <w:t xml:space="preserve"> </w:t>
      </w:r>
      <w:r>
        <w:rPr>
          <w:rFonts w:hint="eastAsia" w:cs="宋体"/>
          <w:color w:val="auto"/>
          <w:highlight w:val="none"/>
        </w:rPr>
        <w:t>号招标文件(包括补充更正，如有)收悉，我们经详细审阅和研究，现决定参加</w:t>
      </w:r>
      <w:r>
        <w:rPr>
          <w:rFonts w:hint="eastAsia" w:cs="宋体"/>
          <w:bCs/>
          <w:color w:val="auto"/>
          <w:highlight w:val="none"/>
          <w:u w:val="single"/>
          <w:lang w:eastAsia="zh-CN"/>
        </w:rPr>
        <w:t>建德市长运物资有限公司6.5米级纯电动站立位公交车采购项目</w:t>
      </w:r>
      <w:r>
        <w:rPr>
          <w:rFonts w:hint="eastAsia" w:cs="宋体"/>
          <w:color w:val="auto"/>
          <w:highlight w:val="none"/>
        </w:rPr>
        <w:t>公开招标的报价，并提供报价文件正本1份副本</w:t>
      </w:r>
      <w:r>
        <w:rPr>
          <w:rFonts w:hint="eastAsia" w:cs="宋体"/>
          <w:color w:val="auto"/>
          <w:highlight w:val="none"/>
          <w:lang w:eastAsia="zh-CN"/>
        </w:rPr>
        <w:t>7份</w:t>
      </w:r>
      <w:r>
        <w:rPr>
          <w:rFonts w:hint="eastAsia" w:cs="宋体"/>
          <w:color w:val="auto"/>
          <w:highlight w:val="none"/>
        </w:rPr>
        <w:t>。我公司决定无保留地接受招标文件(包括补充更正，如有)所有条款和报价文件所有承诺，并按合同履行全部责任。</w:t>
      </w:r>
    </w:p>
    <w:p>
      <w:pPr>
        <w:pStyle w:val="42"/>
        <w:autoSpaceDE w:val="0"/>
        <w:adjustRightInd w:val="0"/>
        <w:snapToGrid w:val="0"/>
        <w:spacing w:before="0" w:beforeAutospacing="0" w:after="0" w:afterAutospacing="0" w:line="420" w:lineRule="exact"/>
        <w:ind w:firstLine="480"/>
        <w:rPr>
          <w:rFonts w:cs="宋体"/>
          <w:color w:val="auto"/>
          <w:highlight w:val="none"/>
        </w:rPr>
      </w:pPr>
    </w:p>
    <w:p>
      <w:pPr>
        <w:autoSpaceDE w:val="0"/>
        <w:adjustRightInd w:val="0"/>
        <w:snapToGrid w:val="0"/>
        <w:spacing w:line="420" w:lineRule="exact"/>
        <w:ind w:firstLine="960" w:firstLineChars="400"/>
        <w:jc w:val="left"/>
        <w:rPr>
          <w:rFonts w:ascii="宋体" w:hAnsi="宋体" w:cs="宋体"/>
          <w:color w:val="auto"/>
          <w:kern w:val="0"/>
          <w:sz w:val="24"/>
          <w:highlight w:val="none"/>
        </w:rPr>
      </w:pPr>
      <w:r>
        <w:rPr>
          <w:rFonts w:hint="eastAsia" w:ascii="宋体" w:hAnsi="宋体" w:cs="宋体"/>
          <w:color w:val="auto"/>
          <w:kern w:val="0"/>
          <w:sz w:val="24"/>
          <w:highlight w:val="none"/>
        </w:rPr>
        <w:t>本项目愿按人民币(大写</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元（￥：</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元）</w:t>
      </w:r>
    </w:p>
    <w:p>
      <w:pPr>
        <w:autoSpaceDE w:val="0"/>
        <w:adjustRightInd w:val="0"/>
        <w:snapToGrid w:val="0"/>
        <w:spacing w:line="420" w:lineRule="exact"/>
        <w:jc w:val="left"/>
        <w:rPr>
          <w:rFonts w:ascii="宋体" w:hAnsi="宋体" w:cs="宋体"/>
          <w:color w:val="auto"/>
          <w:kern w:val="0"/>
          <w:sz w:val="24"/>
          <w:highlight w:val="none"/>
        </w:rPr>
      </w:pPr>
    </w:p>
    <w:p>
      <w:pPr>
        <w:autoSpaceDE w:val="0"/>
        <w:adjustRightInd w:val="0"/>
        <w:snapToGrid w:val="0"/>
        <w:spacing w:line="420" w:lineRule="exact"/>
        <w:ind w:firstLine="600" w:firstLineChars="250"/>
        <w:jc w:val="left"/>
        <w:rPr>
          <w:rFonts w:ascii="宋体" w:hAnsi="宋体" w:cs="宋体"/>
          <w:color w:val="auto"/>
          <w:kern w:val="0"/>
          <w:sz w:val="24"/>
          <w:highlight w:val="none"/>
        </w:rPr>
      </w:pPr>
      <w:r>
        <w:rPr>
          <w:rFonts w:hint="eastAsia" w:ascii="宋体" w:hAnsi="宋体" w:cs="宋体"/>
          <w:color w:val="auto"/>
          <w:kern w:val="0"/>
          <w:sz w:val="24"/>
          <w:highlight w:val="none"/>
        </w:rPr>
        <w:t>本报价</w:t>
      </w:r>
      <w:r>
        <w:rPr>
          <w:rFonts w:hint="eastAsia" w:ascii="宋体" w:hAnsi="宋体" w:cs="宋体"/>
          <w:color w:val="auto"/>
          <w:kern w:val="0"/>
          <w:sz w:val="24"/>
          <w:highlight w:val="none"/>
          <w:u w:val="single"/>
        </w:rPr>
        <w:t>90</w:t>
      </w:r>
      <w:r>
        <w:rPr>
          <w:rFonts w:hint="eastAsia" w:ascii="宋体" w:hAnsi="宋体" w:cs="宋体"/>
          <w:color w:val="auto"/>
          <w:kern w:val="0"/>
          <w:sz w:val="24"/>
          <w:highlight w:val="none"/>
        </w:rPr>
        <w:t>天内有效。</w:t>
      </w:r>
    </w:p>
    <w:p>
      <w:pPr>
        <w:autoSpaceDE w:val="0"/>
        <w:adjustRightInd w:val="0"/>
        <w:snapToGrid w:val="0"/>
        <w:spacing w:line="4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一旦我公司成交，保证按</w:t>
      </w:r>
      <w:r>
        <w:rPr>
          <w:rFonts w:hint="eastAsia" w:ascii="宋体" w:hAnsi="宋体" w:cs="宋体"/>
          <w:color w:val="auto"/>
          <w:kern w:val="0"/>
          <w:sz w:val="24"/>
          <w:highlight w:val="none"/>
          <w:lang w:val="en-US" w:eastAsia="zh-CN"/>
        </w:rPr>
        <w:t>中标</w:t>
      </w:r>
      <w:r>
        <w:rPr>
          <w:rFonts w:hint="eastAsia" w:ascii="宋体" w:hAnsi="宋体" w:cs="宋体"/>
          <w:color w:val="auto"/>
          <w:kern w:val="0"/>
          <w:sz w:val="24"/>
          <w:highlight w:val="none"/>
        </w:rPr>
        <w:t>通知书规定时间与</w:t>
      </w:r>
      <w:r>
        <w:rPr>
          <w:rFonts w:hint="eastAsia" w:ascii="宋体" w:hAnsi="宋体" w:cs="宋体"/>
          <w:color w:val="auto"/>
          <w:kern w:val="0"/>
          <w:sz w:val="24"/>
          <w:highlight w:val="none"/>
          <w:lang w:eastAsia="zh-CN"/>
        </w:rPr>
        <w:t>采购单位</w:t>
      </w:r>
      <w:r>
        <w:rPr>
          <w:rFonts w:hint="eastAsia" w:ascii="宋体" w:hAnsi="宋体" w:cs="宋体"/>
          <w:color w:val="auto"/>
          <w:kern w:val="0"/>
          <w:sz w:val="24"/>
          <w:highlight w:val="none"/>
        </w:rPr>
        <w:t>签订合同，按招标文件(包括补充更正，如有)供货时间要求和我公司报价文件承诺的供货时间准时完成</w:t>
      </w:r>
      <w:r>
        <w:rPr>
          <w:rFonts w:hint="eastAsia" w:ascii="宋体" w:hAnsi="宋体" w:cs="宋体"/>
          <w:color w:val="auto"/>
          <w:kern w:val="0"/>
          <w:sz w:val="24"/>
          <w:highlight w:val="none"/>
          <w:lang w:val="en-US" w:eastAsia="zh-CN"/>
        </w:rPr>
        <w:t>设备安装</w:t>
      </w:r>
      <w:r>
        <w:rPr>
          <w:rFonts w:hint="eastAsia" w:ascii="宋体" w:hAnsi="宋体" w:cs="宋体"/>
          <w:color w:val="auto"/>
          <w:kern w:val="0"/>
          <w:sz w:val="24"/>
          <w:highlight w:val="none"/>
        </w:rPr>
        <w:t>并交付使用。</w:t>
      </w:r>
      <w:r>
        <w:rPr>
          <w:rFonts w:hint="eastAsia" w:ascii="宋体" w:hAnsi="宋体" w:eastAsia="宋体" w:cs="宋体"/>
          <w:color w:val="auto"/>
          <w:kern w:val="0"/>
          <w:sz w:val="24"/>
          <w:szCs w:val="24"/>
          <w:highlight w:val="none"/>
        </w:rPr>
        <w:t>否则招标代理机构和采购单位可以不予退还我公司的投标保证金，如我单位成交后放弃</w:t>
      </w:r>
      <w:r>
        <w:rPr>
          <w:rFonts w:hint="eastAsia" w:ascii="宋体" w:hAnsi="宋体" w:eastAsia="宋体" w:cs="宋体"/>
          <w:color w:val="auto"/>
          <w:kern w:val="0"/>
          <w:sz w:val="24"/>
          <w:szCs w:val="24"/>
          <w:highlight w:val="none"/>
          <w:lang w:eastAsia="zh-CN"/>
        </w:rPr>
        <w:t>中标</w:t>
      </w:r>
      <w:r>
        <w:rPr>
          <w:rFonts w:hint="eastAsia" w:ascii="宋体" w:hAnsi="宋体" w:eastAsia="宋体" w:cs="宋体"/>
          <w:color w:val="auto"/>
          <w:kern w:val="0"/>
          <w:sz w:val="24"/>
          <w:szCs w:val="24"/>
          <w:highlight w:val="none"/>
        </w:rPr>
        <w:t>资格造成采购</w:t>
      </w:r>
      <w:r>
        <w:rPr>
          <w:rFonts w:hint="eastAsia" w:ascii="宋体" w:hAnsi="宋体" w:eastAsia="宋体" w:cs="宋体"/>
          <w:color w:val="auto"/>
          <w:kern w:val="0"/>
          <w:sz w:val="24"/>
          <w:szCs w:val="24"/>
          <w:highlight w:val="none"/>
          <w:lang w:eastAsia="zh-CN"/>
        </w:rPr>
        <w:t>单位</w:t>
      </w:r>
      <w:r>
        <w:rPr>
          <w:rFonts w:hint="eastAsia" w:ascii="宋体" w:hAnsi="宋体" w:eastAsia="宋体" w:cs="宋体"/>
          <w:color w:val="auto"/>
          <w:kern w:val="0"/>
          <w:sz w:val="24"/>
          <w:szCs w:val="24"/>
          <w:highlight w:val="none"/>
        </w:rPr>
        <w:t>的损失额超过投标保证金的，我单位愿意对超过部分作出完全赔偿。</w:t>
      </w:r>
    </w:p>
    <w:p>
      <w:pPr>
        <w:autoSpaceDE w:val="0"/>
        <w:adjustRightInd w:val="0"/>
        <w:snapToGrid w:val="0"/>
        <w:spacing w:line="420" w:lineRule="exact"/>
        <w:jc w:val="left"/>
        <w:rPr>
          <w:rFonts w:ascii="宋体" w:hAnsi="宋体" w:cs="宋体"/>
          <w:color w:val="auto"/>
          <w:kern w:val="0"/>
          <w:sz w:val="24"/>
          <w:highlight w:val="none"/>
        </w:rPr>
      </w:pPr>
    </w:p>
    <w:p>
      <w:pPr>
        <w:autoSpaceDE w:val="0"/>
        <w:adjustRightInd w:val="0"/>
        <w:snapToGrid w:val="0"/>
        <w:spacing w:line="420" w:lineRule="exact"/>
        <w:ind w:firstLine="484" w:firstLineChars="202"/>
        <w:jc w:val="left"/>
        <w:rPr>
          <w:rFonts w:ascii="宋体" w:hAnsi="宋体" w:cs="宋体"/>
          <w:color w:val="auto"/>
          <w:kern w:val="0"/>
          <w:sz w:val="24"/>
          <w:highlight w:val="none"/>
        </w:rPr>
      </w:pPr>
      <w:r>
        <w:rPr>
          <w:rFonts w:hint="eastAsia" w:ascii="宋体" w:hAnsi="宋体" w:cs="宋体"/>
          <w:color w:val="auto"/>
          <w:kern w:val="0"/>
          <w:sz w:val="24"/>
          <w:highlight w:val="none"/>
        </w:rPr>
        <w:t>我公司对报价文件所有内容的真实性负全部责任，由此产生的一切后果由本公司承担。</w:t>
      </w:r>
    </w:p>
    <w:p>
      <w:pPr>
        <w:pStyle w:val="42"/>
        <w:autoSpaceDE w:val="0"/>
        <w:adjustRightInd w:val="0"/>
        <w:snapToGrid w:val="0"/>
        <w:spacing w:before="0" w:beforeAutospacing="0" w:after="0" w:afterAutospacing="0" w:line="420" w:lineRule="exact"/>
        <w:jc w:val="both"/>
        <w:rPr>
          <w:rFonts w:cs="宋体"/>
          <w:b/>
          <w:bCs/>
          <w:color w:val="auto"/>
          <w:highlight w:val="none"/>
          <w:u w:val="single"/>
        </w:rPr>
      </w:pPr>
      <w:r>
        <w:rPr>
          <w:rFonts w:hint="eastAsia" w:cs="宋体"/>
          <w:b/>
          <w:bCs/>
          <w:color w:val="auto"/>
          <w:highlight w:val="none"/>
          <w:u w:val="single"/>
        </w:rPr>
        <w:t>特别提醒：本函的商务报价内容不能出现在资格审查文件、技术</w:t>
      </w:r>
      <w:r>
        <w:rPr>
          <w:rFonts w:hint="eastAsia" w:cs="宋体"/>
          <w:b/>
          <w:bCs/>
          <w:color w:val="auto"/>
          <w:highlight w:val="none"/>
          <w:u w:val="single"/>
          <w:lang w:val="en-US" w:eastAsia="zh-CN"/>
        </w:rPr>
        <w:t>文件</w:t>
      </w:r>
      <w:r>
        <w:rPr>
          <w:rFonts w:hint="eastAsia" w:cs="宋体"/>
          <w:b/>
          <w:bCs/>
          <w:color w:val="auto"/>
          <w:highlight w:val="none"/>
          <w:u w:val="single"/>
        </w:rPr>
        <w:t>、商务资信文件正副本中。</w:t>
      </w:r>
    </w:p>
    <w:p>
      <w:pPr>
        <w:autoSpaceDE w:val="0"/>
        <w:adjustRightInd w:val="0"/>
        <w:snapToGrid w:val="0"/>
        <w:spacing w:line="4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单位名称：</w:t>
      </w:r>
    </w:p>
    <w:p>
      <w:pPr>
        <w:autoSpaceDE w:val="0"/>
        <w:adjustRightInd w:val="0"/>
        <w:snapToGrid w:val="0"/>
        <w:spacing w:line="420" w:lineRule="exact"/>
        <w:jc w:val="left"/>
        <w:rPr>
          <w:rFonts w:ascii="宋体" w:hAnsi="宋体" w:cs="宋体"/>
          <w:color w:val="auto"/>
          <w:kern w:val="0"/>
          <w:sz w:val="24"/>
          <w:highlight w:val="none"/>
          <w:u w:val="single"/>
        </w:rPr>
      </w:pPr>
      <w:r>
        <w:rPr>
          <w:rFonts w:hint="eastAsia" w:ascii="宋体" w:hAnsi="宋体" w:cs="宋体"/>
          <w:color w:val="auto"/>
          <w:kern w:val="0"/>
          <w:sz w:val="24"/>
          <w:highlight w:val="none"/>
        </w:rPr>
        <w:t>联系人：                电话：</w:t>
      </w:r>
    </w:p>
    <w:p>
      <w:pPr>
        <w:autoSpaceDE w:val="0"/>
        <w:adjustRightInd w:val="0"/>
        <w:snapToGrid w:val="0"/>
        <w:spacing w:line="420" w:lineRule="exact"/>
        <w:jc w:val="left"/>
        <w:rPr>
          <w:rFonts w:ascii="宋体" w:hAnsi="宋体" w:cs="宋体"/>
          <w:color w:val="auto"/>
          <w:kern w:val="0"/>
          <w:sz w:val="24"/>
          <w:highlight w:val="none"/>
          <w:u w:val="single"/>
        </w:rPr>
      </w:pPr>
      <w:r>
        <w:rPr>
          <w:rFonts w:hint="eastAsia" w:ascii="宋体" w:hAnsi="宋体" w:cs="宋体"/>
          <w:color w:val="auto"/>
          <w:kern w:val="0"/>
          <w:sz w:val="24"/>
          <w:highlight w:val="none"/>
        </w:rPr>
        <w:t>手机：                   传真：</w:t>
      </w:r>
    </w:p>
    <w:p>
      <w:pPr>
        <w:autoSpaceDE w:val="0"/>
        <w:adjustRightInd w:val="0"/>
        <w:snapToGrid w:val="0"/>
        <w:spacing w:line="420" w:lineRule="exact"/>
        <w:ind w:firstLine="4320" w:firstLineChars="1800"/>
        <w:rPr>
          <w:rFonts w:ascii="宋体" w:hAnsi="宋体" w:cs="宋体"/>
          <w:color w:val="auto"/>
          <w:kern w:val="0"/>
          <w:sz w:val="24"/>
          <w:highlight w:val="none"/>
        </w:rPr>
      </w:pPr>
    </w:p>
    <w:p>
      <w:pPr>
        <w:autoSpaceDE w:val="0"/>
        <w:adjustRightInd w:val="0"/>
        <w:snapToGrid w:val="0"/>
        <w:spacing w:line="420" w:lineRule="exact"/>
        <w:ind w:firstLine="4340" w:firstLineChars="1550"/>
        <w:rPr>
          <w:rFonts w:ascii="宋体" w:hAnsi="宋体" w:cs="宋体"/>
          <w:color w:val="auto"/>
          <w:kern w:val="0"/>
          <w:sz w:val="28"/>
          <w:szCs w:val="28"/>
          <w:highlight w:val="none"/>
        </w:rPr>
      </w:pPr>
    </w:p>
    <w:p>
      <w:pPr>
        <w:widowControl/>
        <w:snapToGrid w:val="0"/>
        <w:spacing w:line="360" w:lineRule="auto"/>
        <w:ind w:firstLine="5880" w:firstLineChars="2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80" w:firstLineChars="2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80" w:firstLineChars="2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autoSpaceDE w:val="0"/>
        <w:adjustRightInd w:val="0"/>
        <w:snapToGrid w:val="0"/>
        <w:ind w:firstLine="218" w:firstLineChars="78"/>
        <w:rPr>
          <w:rFonts w:ascii="宋体" w:hAnsi="宋体" w:cs="宋体"/>
          <w:color w:val="auto"/>
          <w:kern w:val="0"/>
          <w:sz w:val="28"/>
          <w:szCs w:val="28"/>
          <w:highlight w:val="none"/>
        </w:rPr>
      </w:pPr>
    </w:p>
    <w:p>
      <w:pPr>
        <w:jc w:val="left"/>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 xml:space="preserve">附件二 </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开标一览表</w:t>
      </w:r>
    </w:p>
    <w:p>
      <w:pPr>
        <w:ind w:firstLine="241" w:firstLineChars="100"/>
        <w:rPr>
          <w:rFonts w:ascii="宋体" w:hAnsi="宋体" w:cs="宋体"/>
          <w:b/>
          <w:color w:val="auto"/>
          <w:sz w:val="24"/>
          <w:szCs w:val="24"/>
          <w:highlight w:val="none"/>
        </w:rPr>
      </w:pPr>
    </w:p>
    <w:p>
      <w:pPr>
        <w:ind w:firstLine="241" w:firstLineChars="100"/>
        <w:rPr>
          <w:rFonts w:ascii="宋体" w:hAnsi="宋体" w:cs="宋体"/>
          <w:b/>
          <w:color w:val="auto"/>
          <w:sz w:val="24"/>
          <w:szCs w:val="24"/>
          <w:highlight w:val="none"/>
        </w:rPr>
      </w:pPr>
      <w:r>
        <w:rPr>
          <w:rFonts w:hint="eastAsia" w:ascii="宋体" w:hAnsi="宋体" w:cs="宋体"/>
          <w:b/>
          <w:color w:val="auto"/>
          <w:sz w:val="24"/>
          <w:szCs w:val="24"/>
          <w:highlight w:val="none"/>
        </w:rPr>
        <w:t>招标编号：</w:t>
      </w:r>
      <w:r>
        <w:rPr>
          <w:rFonts w:hint="eastAsia" w:ascii="宋体" w:hAnsi="宋体" w:cs="宋体"/>
          <w:b/>
          <w:color w:val="auto"/>
          <w:sz w:val="24"/>
          <w:szCs w:val="24"/>
          <w:highlight w:val="none"/>
          <w:lang w:eastAsia="zh-CN"/>
        </w:rPr>
        <w:t>JDOBCG2024B-035</w:t>
      </w:r>
    </w:p>
    <w:tbl>
      <w:tblPr>
        <w:tblStyle w:val="46"/>
        <w:tblpPr w:leftFromText="180" w:rightFromText="180" w:vertAnchor="text" w:horzAnchor="page" w:tblpXSpec="center" w:tblpY="481"/>
        <w:tblOverlap w:val="never"/>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96"/>
        <w:gridCol w:w="2046"/>
        <w:gridCol w:w="1185"/>
        <w:gridCol w:w="795"/>
        <w:gridCol w:w="855"/>
        <w:gridCol w:w="163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8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96"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设备名称</w:t>
            </w:r>
          </w:p>
        </w:tc>
        <w:tc>
          <w:tcPr>
            <w:tcW w:w="2046"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主要技术参数</w:t>
            </w:r>
          </w:p>
        </w:tc>
        <w:tc>
          <w:tcPr>
            <w:tcW w:w="118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投标品牌</w:t>
            </w:r>
          </w:p>
        </w:tc>
        <w:tc>
          <w:tcPr>
            <w:tcW w:w="7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单位</w:t>
            </w:r>
          </w:p>
        </w:tc>
        <w:tc>
          <w:tcPr>
            <w:tcW w:w="85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数量</w:t>
            </w:r>
          </w:p>
        </w:tc>
        <w:tc>
          <w:tcPr>
            <w:tcW w:w="163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投标单价（元）</w:t>
            </w:r>
          </w:p>
        </w:tc>
        <w:tc>
          <w:tcPr>
            <w:tcW w:w="162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投标总价</w:t>
            </w:r>
          </w:p>
          <w:p>
            <w:pPr>
              <w:jc w:val="center"/>
              <w:rPr>
                <w:rFonts w:ascii="宋体" w:hAnsi="宋体" w:cs="宋体"/>
                <w:color w:val="auto"/>
                <w:sz w:val="24"/>
                <w:highlight w:val="none"/>
              </w:rPr>
            </w:pPr>
            <w:r>
              <w:rPr>
                <w:rFonts w:hint="eastAsia" w:ascii="宋体" w:hAnsi="宋体" w:cs="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hint="eastAsia" w:ascii="宋体" w:hAnsi="宋体" w:cs="宋体"/>
                <w:color w:val="auto"/>
                <w:sz w:val="24"/>
                <w:highlight w:val="none"/>
                <w:lang w:val="en-US" w:eastAsia="zh-CN"/>
              </w:rPr>
            </w:pPr>
          </w:p>
        </w:tc>
        <w:tc>
          <w:tcPr>
            <w:tcW w:w="2046" w:type="dxa"/>
            <w:vAlign w:val="center"/>
          </w:tcPr>
          <w:p>
            <w:pPr>
              <w:jc w:val="center"/>
              <w:rPr>
                <w:rFonts w:hint="eastAsia" w:ascii="宋体" w:hAnsi="宋体" w:cs="宋体"/>
                <w:color w:val="auto"/>
                <w:sz w:val="24"/>
                <w:highlight w:val="none"/>
                <w:lang w:val="en-US" w:eastAsia="zh-CN"/>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ascii="宋体" w:hAnsi="宋体" w:cs="宋体"/>
                <w:color w:val="auto"/>
                <w:sz w:val="24"/>
                <w:highlight w:val="none"/>
              </w:rPr>
            </w:pP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8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1496" w:type="dxa"/>
            <w:vAlign w:val="center"/>
          </w:tcPr>
          <w:p>
            <w:pPr>
              <w:jc w:val="center"/>
              <w:rPr>
                <w:rFonts w:ascii="宋体" w:hAnsi="宋体" w:cs="宋体"/>
                <w:color w:val="auto"/>
                <w:sz w:val="24"/>
                <w:highlight w:val="none"/>
              </w:rPr>
            </w:pPr>
          </w:p>
        </w:tc>
        <w:tc>
          <w:tcPr>
            <w:tcW w:w="2046" w:type="dxa"/>
            <w:vAlign w:val="center"/>
          </w:tcPr>
          <w:p>
            <w:pPr>
              <w:jc w:val="center"/>
              <w:rPr>
                <w:rFonts w:ascii="宋体" w:hAnsi="宋体" w:cs="宋体"/>
                <w:color w:val="auto"/>
                <w:sz w:val="24"/>
                <w:highlight w:val="none"/>
              </w:rPr>
            </w:pPr>
          </w:p>
        </w:tc>
        <w:tc>
          <w:tcPr>
            <w:tcW w:w="1185" w:type="dxa"/>
            <w:vAlign w:val="center"/>
          </w:tcPr>
          <w:p>
            <w:pPr>
              <w:jc w:val="center"/>
              <w:rPr>
                <w:rFonts w:ascii="宋体" w:hAnsi="宋体" w:cs="宋体"/>
                <w:color w:val="auto"/>
                <w:sz w:val="24"/>
                <w:highlight w:val="none"/>
              </w:rPr>
            </w:pPr>
          </w:p>
        </w:tc>
        <w:tc>
          <w:tcPr>
            <w:tcW w:w="795" w:type="dxa"/>
            <w:vAlign w:val="center"/>
          </w:tcPr>
          <w:p>
            <w:pPr>
              <w:jc w:val="center"/>
              <w:rPr>
                <w:rFonts w:ascii="宋体" w:hAnsi="宋体" w:cs="宋体"/>
                <w:color w:val="auto"/>
                <w:sz w:val="24"/>
                <w:highlight w:val="none"/>
              </w:rPr>
            </w:pPr>
          </w:p>
        </w:tc>
        <w:tc>
          <w:tcPr>
            <w:tcW w:w="855" w:type="dxa"/>
            <w:vAlign w:val="center"/>
          </w:tcPr>
          <w:p>
            <w:pPr>
              <w:jc w:val="center"/>
              <w:rPr>
                <w:rFonts w:ascii="宋体" w:hAnsi="宋体" w:cs="宋体"/>
                <w:color w:val="auto"/>
                <w:sz w:val="24"/>
                <w:highlight w:val="none"/>
              </w:rPr>
            </w:pPr>
          </w:p>
        </w:tc>
        <w:tc>
          <w:tcPr>
            <w:tcW w:w="1637" w:type="dxa"/>
            <w:vAlign w:val="center"/>
          </w:tcPr>
          <w:p>
            <w:pPr>
              <w:jc w:val="center"/>
              <w:rPr>
                <w:rFonts w:ascii="宋体" w:hAnsi="宋体" w:cs="宋体"/>
                <w:color w:val="auto"/>
                <w:sz w:val="24"/>
                <w:highlight w:val="none"/>
              </w:rPr>
            </w:pPr>
          </w:p>
        </w:tc>
        <w:tc>
          <w:tcPr>
            <w:tcW w:w="162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698" w:type="dxa"/>
            <w:gridSpan w:val="7"/>
            <w:vAlign w:val="center"/>
          </w:tcPr>
          <w:p>
            <w:pPr>
              <w:rPr>
                <w:rFonts w:ascii="宋体" w:hAnsi="宋体" w:cs="宋体"/>
                <w:color w:val="auto"/>
                <w:sz w:val="24"/>
                <w:highlight w:val="none"/>
                <w:u w:val="single"/>
              </w:rPr>
            </w:pPr>
            <w:r>
              <w:rPr>
                <w:rFonts w:hint="eastAsia" w:ascii="宋体" w:hAnsi="宋体" w:cs="宋体"/>
                <w:color w:val="auto"/>
                <w:sz w:val="24"/>
                <w:highlight w:val="none"/>
              </w:rPr>
              <w:t>投标总报价：人民币（大写）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元整</w:t>
            </w:r>
          </w:p>
        </w:tc>
        <w:tc>
          <w:tcPr>
            <w:tcW w:w="1620" w:type="dxa"/>
            <w:vAlign w:val="center"/>
          </w:tcPr>
          <w:p>
            <w:pPr>
              <w:rPr>
                <w:rFonts w:ascii="宋体" w:hAnsi="宋体" w:cs="宋体"/>
                <w:color w:val="auto"/>
                <w:sz w:val="24"/>
                <w:highlight w:val="none"/>
                <w:u w:val="single"/>
              </w:rPr>
            </w:pP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tc>
      </w:tr>
    </w:tbl>
    <w:p>
      <w:pPr>
        <w:spacing w:line="360" w:lineRule="auto"/>
        <w:rPr>
          <w:rFonts w:ascii="宋体" w:hAnsi="宋体" w:cs="宋体"/>
          <w:color w:val="auto"/>
          <w:sz w:val="28"/>
          <w:szCs w:val="28"/>
          <w:highlight w:val="none"/>
        </w:rPr>
      </w:pPr>
    </w:p>
    <w:p>
      <w:pPr>
        <w:spacing w:line="360" w:lineRule="auto"/>
        <w:ind w:firstLine="280" w:firstLineChars="100"/>
        <w:rPr>
          <w:rFonts w:hAnsi="宋体" w:cs="宋体"/>
          <w:color w:val="auto"/>
          <w:highlight w:val="none"/>
        </w:rPr>
      </w:pPr>
      <w:r>
        <w:rPr>
          <w:rFonts w:hint="eastAsia" w:ascii="宋体" w:hAnsi="宋体" w:cs="宋体"/>
          <w:color w:val="auto"/>
          <w:sz w:val="28"/>
          <w:szCs w:val="28"/>
          <w:highlight w:val="none"/>
        </w:rPr>
        <w:t>投标供应商全称（单位公章）：</w:t>
      </w:r>
    </w:p>
    <w:p>
      <w:pPr>
        <w:spacing w:line="360" w:lineRule="auto"/>
        <w:ind w:firstLine="280" w:firstLineChars="100"/>
        <w:rPr>
          <w:rFonts w:ascii="宋体" w:hAnsi="宋体" w:cs="宋体"/>
          <w:b/>
          <w:color w:val="auto"/>
          <w:sz w:val="24"/>
          <w:szCs w:val="24"/>
          <w:highlight w:val="none"/>
        </w:rPr>
      </w:pPr>
      <w:r>
        <w:rPr>
          <w:rFonts w:hint="eastAsia" w:ascii="宋体" w:hAnsi="宋体" w:cs="宋体"/>
          <w:color w:val="auto"/>
          <w:sz w:val="28"/>
          <w:szCs w:val="28"/>
          <w:highlight w:val="none"/>
        </w:rPr>
        <w:t>全权代表签字：</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职务：</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日期：</w:t>
      </w:r>
      <w:r>
        <w:rPr>
          <w:rFonts w:hint="eastAsia" w:ascii="宋体" w:hAnsi="宋体" w:cs="宋体"/>
          <w:color w:val="auto"/>
          <w:sz w:val="28"/>
          <w:szCs w:val="28"/>
          <w:highlight w:val="none"/>
          <w:u w:val="single"/>
        </w:rPr>
        <w:t xml:space="preserve">             </w:t>
      </w:r>
    </w:p>
    <w:p>
      <w:pPr>
        <w:tabs>
          <w:tab w:val="left" w:pos="9180"/>
        </w:tabs>
        <w:snapToGrid w:val="0"/>
        <w:spacing w:line="360" w:lineRule="auto"/>
        <w:ind w:firstLine="705" w:firstLineChars="294"/>
        <w:rPr>
          <w:rFonts w:hint="eastAsia" w:ascii="宋体" w:hAnsi="宋体" w:cs="宋体"/>
          <w:color w:val="auto"/>
          <w:sz w:val="24"/>
          <w:szCs w:val="24"/>
          <w:highlight w:val="none"/>
        </w:rPr>
      </w:pPr>
      <w:r>
        <w:rPr>
          <w:rFonts w:hint="eastAsia" w:ascii="宋体" w:hAnsi="宋体" w:cs="宋体"/>
          <w:color w:val="auto"/>
          <w:sz w:val="24"/>
          <w:szCs w:val="24"/>
          <w:highlight w:val="none"/>
        </w:rPr>
        <w:t>备注：1.以上金额包括设备的设计、制作、供货、包装、装卸运输、安装调试、</w:t>
      </w:r>
      <w:r>
        <w:rPr>
          <w:rFonts w:hint="eastAsia" w:ascii="宋体" w:hAnsi="宋体" w:cs="宋体"/>
          <w:color w:val="auto"/>
          <w:sz w:val="24"/>
          <w:szCs w:val="24"/>
          <w:highlight w:val="none"/>
          <w:lang w:val="en-US" w:eastAsia="zh-CN"/>
        </w:rPr>
        <w:t>附件、辅材、</w:t>
      </w:r>
      <w:r>
        <w:rPr>
          <w:rFonts w:hint="eastAsia" w:ascii="宋体" w:hAnsi="宋体" w:cs="宋体"/>
          <w:color w:val="auto"/>
          <w:sz w:val="24"/>
          <w:szCs w:val="24"/>
          <w:highlight w:val="none"/>
        </w:rPr>
        <w:t>备品备件、专用工具、保险、培训、税金、验收、辅助工作售后服务等完成该项目的所有费用。</w:t>
      </w:r>
    </w:p>
    <w:p>
      <w:pPr>
        <w:tabs>
          <w:tab w:val="left" w:pos="9180"/>
        </w:tabs>
        <w:snapToGrid w:val="0"/>
        <w:spacing w:line="360" w:lineRule="auto"/>
        <w:ind w:firstLine="708" w:firstLineChars="294"/>
        <w:rPr>
          <w:rFonts w:ascii="宋体" w:hAnsi="宋体" w:cs="宋体"/>
          <w:color w:val="auto"/>
          <w:sz w:val="24"/>
          <w:szCs w:val="24"/>
          <w:highlight w:val="none"/>
        </w:rPr>
      </w:pPr>
      <w:r>
        <w:rPr>
          <w:rFonts w:hint="eastAsia" w:ascii="宋体" w:hAnsi="宋体" w:cs="宋体"/>
          <w:b/>
          <w:color w:val="auto"/>
          <w:sz w:val="24"/>
          <w:szCs w:val="24"/>
          <w:highlight w:val="none"/>
        </w:rPr>
        <w:t>2.</w:t>
      </w:r>
      <w:r>
        <w:rPr>
          <w:rFonts w:hint="eastAsia" w:ascii="宋体" w:hAnsi="宋体" w:cs="宋体"/>
          <w:color w:val="auto"/>
          <w:sz w:val="24"/>
          <w:szCs w:val="24"/>
          <w:highlight w:val="none"/>
        </w:rPr>
        <w:t xml:space="preserve">此表在不改变表式的情况下，可自行制作，必须加盖公章。          </w:t>
      </w:r>
    </w:p>
    <w:p>
      <w:pPr>
        <w:snapToGrid w:val="0"/>
        <w:spacing w:line="360" w:lineRule="auto"/>
        <w:ind w:firstLine="696" w:firstLineChars="290"/>
        <w:rPr>
          <w:rFonts w:ascii="宋体" w:hAnsi="宋体" w:cs="宋体"/>
          <w:color w:val="auto"/>
          <w:sz w:val="24"/>
          <w:szCs w:val="24"/>
          <w:highlight w:val="none"/>
        </w:rPr>
      </w:pPr>
      <w:r>
        <w:rPr>
          <w:rFonts w:hint="eastAsia" w:ascii="宋体" w:hAnsi="宋体" w:cs="宋体"/>
          <w:color w:val="auto"/>
          <w:sz w:val="24"/>
          <w:szCs w:val="24"/>
          <w:highlight w:val="none"/>
        </w:rPr>
        <w:t>3.投标方不能拆分标项内容投标。</w:t>
      </w:r>
    </w:p>
    <w:p>
      <w:pPr>
        <w:snapToGrid w:val="0"/>
        <w:spacing w:line="360" w:lineRule="auto"/>
        <w:ind w:firstLine="699" w:firstLineChars="290"/>
        <w:rPr>
          <w:rFonts w:ascii="宋体" w:hAnsi="宋体" w:cs="宋体"/>
          <w:b/>
          <w:color w:val="auto"/>
          <w:sz w:val="24"/>
          <w:szCs w:val="24"/>
          <w:highlight w:val="none"/>
        </w:rPr>
      </w:pPr>
      <w:r>
        <w:rPr>
          <w:rFonts w:hint="eastAsia" w:ascii="宋体" w:hAnsi="宋体" w:cs="宋体"/>
          <w:b/>
          <w:color w:val="auto"/>
          <w:sz w:val="24"/>
          <w:szCs w:val="24"/>
          <w:highlight w:val="none"/>
        </w:rPr>
        <w:t>4.投标产品的具体技术参数内容可另附在该表后。</w:t>
      </w:r>
    </w:p>
    <w:p>
      <w:pPr>
        <w:snapToGrid w:val="0"/>
        <w:spacing w:line="360" w:lineRule="auto"/>
        <w:ind w:firstLine="711" w:firstLineChars="295"/>
        <w:jc w:val="left"/>
        <w:rPr>
          <w:rFonts w:ascii="宋体" w:hAnsi="宋体" w:cs="宋体"/>
          <w:b/>
          <w:color w:val="auto"/>
          <w:sz w:val="24"/>
          <w:szCs w:val="24"/>
          <w:highlight w:val="none"/>
        </w:rPr>
      </w:pPr>
      <w:r>
        <w:rPr>
          <w:rFonts w:hint="eastAsia" w:ascii="宋体" w:hAnsi="宋体" w:cs="宋体"/>
          <w:b/>
          <w:color w:val="auto"/>
          <w:sz w:val="24"/>
          <w:szCs w:val="24"/>
          <w:highlight w:val="none"/>
        </w:rPr>
        <w:t>5.</w:t>
      </w:r>
      <w:r>
        <w:rPr>
          <w:rFonts w:hint="eastAsia" w:ascii="宋体" w:hAnsi="宋体" w:cs="宋体"/>
          <w:b/>
          <w:color w:val="auto"/>
          <w:sz w:val="24"/>
          <w:szCs w:val="24"/>
          <w:highlight w:val="none"/>
          <w:u w:val="single"/>
        </w:rPr>
        <w:t>特别提醒：本函的商务报价内容不能出现在</w:t>
      </w:r>
      <w:r>
        <w:rPr>
          <w:rFonts w:hint="eastAsia" w:ascii="宋体" w:hAnsi="宋体" w:cs="宋体"/>
          <w:b/>
          <w:color w:val="auto"/>
          <w:sz w:val="24"/>
          <w:szCs w:val="24"/>
          <w:highlight w:val="none"/>
          <w:u w:val="single"/>
          <w:lang w:val="en-US" w:eastAsia="zh-CN"/>
        </w:rPr>
        <w:t>资格审查文件、</w:t>
      </w:r>
      <w:r>
        <w:rPr>
          <w:rFonts w:hint="eastAsia" w:ascii="宋体" w:hAnsi="宋体" w:cs="宋体"/>
          <w:b/>
          <w:color w:val="auto"/>
          <w:sz w:val="24"/>
          <w:szCs w:val="24"/>
          <w:highlight w:val="none"/>
          <w:u w:val="single"/>
        </w:rPr>
        <w:t>技术</w:t>
      </w:r>
      <w:r>
        <w:rPr>
          <w:rFonts w:hint="eastAsia" w:ascii="宋体" w:hAnsi="宋体" w:cs="宋体"/>
          <w:b/>
          <w:color w:val="auto"/>
          <w:sz w:val="24"/>
          <w:szCs w:val="24"/>
          <w:highlight w:val="none"/>
          <w:u w:val="single"/>
          <w:lang w:val="en-US" w:eastAsia="zh-CN"/>
        </w:rPr>
        <w:t>文件</w:t>
      </w:r>
      <w:r>
        <w:rPr>
          <w:rFonts w:hint="eastAsia" w:ascii="宋体" w:hAnsi="宋体" w:cs="宋体"/>
          <w:b/>
          <w:color w:val="auto"/>
          <w:sz w:val="24"/>
          <w:szCs w:val="24"/>
          <w:highlight w:val="none"/>
          <w:u w:val="single"/>
        </w:rPr>
        <w:t>、商务资信文件正副本中</w:t>
      </w:r>
      <w:r>
        <w:rPr>
          <w:rFonts w:hint="eastAsia" w:ascii="宋体" w:hAnsi="宋体" w:cs="宋体"/>
          <w:b/>
          <w:color w:val="auto"/>
          <w:sz w:val="24"/>
          <w:szCs w:val="24"/>
          <w:highlight w:val="none"/>
        </w:rPr>
        <w:t>。</w:t>
      </w:r>
    </w:p>
    <w:p>
      <w:pPr>
        <w:widowControl/>
        <w:snapToGrid w:val="0"/>
        <w:rPr>
          <w:rFonts w:hint="eastAsia" w:ascii="宋体" w:hAnsi="宋体" w:cs="宋体"/>
          <w:b/>
          <w:color w:val="auto"/>
          <w:kern w:val="0"/>
          <w:sz w:val="36"/>
          <w:szCs w:val="36"/>
          <w:highlight w:val="none"/>
        </w:rPr>
      </w:pPr>
    </w:p>
    <w:p>
      <w:pPr>
        <w:widowControl/>
        <w:snapToGrid w:val="0"/>
        <w:rPr>
          <w:rFonts w:hint="eastAsia" w:ascii="宋体" w:hAnsi="宋体" w:cs="宋体"/>
          <w:b/>
          <w:color w:val="auto"/>
          <w:kern w:val="0"/>
          <w:sz w:val="36"/>
          <w:szCs w:val="36"/>
          <w:highlight w:val="none"/>
        </w:rPr>
      </w:pPr>
      <w:r>
        <w:rPr>
          <w:rFonts w:hint="eastAsia" w:ascii="宋体" w:hAnsi="宋体" w:cs="宋体"/>
          <w:b/>
          <w:color w:val="auto"/>
          <w:kern w:val="0"/>
          <w:sz w:val="36"/>
          <w:szCs w:val="36"/>
          <w:highlight w:val="none"/>
        </w:rPr>
        <w:t xml:space="preserve">附件三                </w:t>
      </w:r>
    </w:p>
    <w:p>
      <w:pPr>
        <w:widowControl/>
        <w:snapToGrid w:val="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 标 函</w:t>
      </w:r>
    </w:p>
    <w:p>
      <w:pPr>
        <w:widowControl/>
        <w:snapToGrid w:val="0"/>
        <w:jc w:val="center"/>
        <w:rPr>
          <w:rFonts w:ascii="宋体" w:hAnsi="宋体" w:cs="宋体"/>
          <w:b/>
          <w:color w:val="auto"/>
          <w:kern w:val="0"/>
          <w:sz w:val="36"/>
          <w:szCs w:val="36"/>
          <w:highlight w:val="none"/>
        </w:rPr>
      </w:pPr>
    </w:p>
    <w:p>
      <w:pPr>
        <w:widowControl/>
        <w:snapToGrid w:val="0"/>
        <w:spacing w:line="48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lang w:eastAsia="zh-CN"/>
        </w:rPr>
        <w:t>欧邦工程管理集团有限公司</w:t>
      </w:r>
      <w:r>
        <w:rPr>
          <w:rFonts w:hint="eastAsia" w:ascii="宋体" w:hAnsi="宋体" w:cs="宋体"/>
          <w:color w:val="auto"/>
          <w:kern w:val="0"/>
          <w:sz w:val="24"/>
          <w:szCs w:val="24"/>
          <w:highlight w:val="none"/>
        </w:rPr>
        <w:t>：</w:t>
      </w:r>
    </w:p>
    <w:p>
      <w:pPr>
        <w:widowControl/>
        <w:snapToGrid w:val="0"/>
        <w:spacing w:line="48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_________________________(投标供应商全称)授权____________________ (全权代表姓名)____________________(职务、职称)为全权代表，参加贵方组织的</w:t>
      </w:r>
      <w:r>
        <w:rPr>
          <w:rFonts w:hint="eastAsia" w:ascii="宋体" w:hAnsi="宋体" w:cs="宋体"/>
          <w:color w:val="auto"/>
          <w:kern w:val="0"/>
          <w:sz w:val="24"/>
          <w:szCs w:val="24"/>
          <w:highlight w:val="none"/>
          <w:u w:val="single"/>
          <w:lang w:eastAsia="zh-CN"/>
        </w:rPr>
        <w:t>建德市长运物资有限公司6.5米级纯电动站立位公交车采购项目</w:t>
      </w:r>
      <w:r>
        <w:rPr>
          <w:rFonts w:hint="eastAsia" w:ascii="宋体" w:hAnsi="宋体" w:cs="宋体"/>
          <w:color w:val="auto"/>
          <w:kern w:val="0"/>
          <w:sz w:val="24"/>
          <w:szCs w:val="24"/>
          <w:highlight w:val="none"/>
        </w:rPr>
        <w:t>公开招标(招标编号：</w:t>
      </w:r>
      <w:r>
        <w:rPr>
          <w:rFonts w:hint="eastAsia" w:ascii="宋体" w:hAnsi="宋体" w:cs="宋体"/>
          <w:color w:val="auto"/>
          <w:sz w:val="24"/>
          <w:szCs w:val="24"/>
          <w:highlight w:val="none"/>
          <w:lang w:eastAsia="zh-CN"/>
        </w:rPr>
        <w:t>JDOBCG2024B-035</w:t>
      </w: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)的有关活动，并对此项目进行投标。为此：</w:t>
      </w:r>
    </w:p>
    <w:p>
      <w:pPr>
        <w:widowControl/>
        <w:snapToGrid w:val="0"/>
        <w:spacing w:line="480" w:lineRule="exact"/>
        <w:ind w:left="-2" w:firstLine="43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1、我方同意在投标供应商须知规定的开标日期起遵守本投标函中的承诺且在投标有效期满之前均具有约束力。</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2、我方承诺已经具备《中华人民共和国政府采购法》中规定的参加政府采购活动的供应商应当具备的条件：</w:t>
      </w:r>
    </w:p>
    <w:p>
      <w:pPr>
        <w:widowControl/>
        <w:snapToGrid w:val="0"/>
        <w:spacing w:line="480" w:lineRule="exact"/>
        <w:ind w:firstLine="487" w:firstLineChars="203"/>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（1）具有独立承担民事责任和履行合同的能力；</w:t>
      </w:r>
    </w:p>
    <w:p>
      <w:pPr>
        <w:widowControl/>
        <w:snapToGrid w:val="0"/>
        <w:spacing w:line="480" w:lineRule="exact"/>
        <w:ind w:firstLine="487" w:firstLineChars="203"/>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（2）遵守国家法律、行政法规，在市场中具有良好信誉和商业道德；</w:t>
      </w:r>
    </w:p>
    <w:p>
      <w:pPr>
        <w:widowControl/>
        <w:snapToGrid w:val="0"/>
        <w:spacing w:line="480" w:lineRule="exact"/>
        <w:ind w:firstLine="487" w:firstLineChars="203"/>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（3）具有一定规模和良好的资金、财务状况；</w:t>
      </w:r>
    </w:p>
    <w:p>
      <w:pPr>
        <w:widowControl/>
        <w:snapToGrid w:val="0"/>
        <w:spacing w:line="480" w:lineRule="exact"/>
        <w:ind w:firstLine="487" w:firstLineChars="203"/>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（4）具备国家有关部门和采购主管部门规定的其他条件；</w:t>
      </w:r>
    </w:p>
    <w:p>
      <w:pPr>
        <w:widowControl/>
        <w:snapToGrid w:val="0"/>
        <w:spacing w:line="480" w:lineRule="exact"/>
        <w:ind w:left="-2" w:firstLine="436"/>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提供投标供应商须知规定的全部投标文件，包括资格审查文件、报价文件、技术文件、商务资信文件。资格审查文件、报价文件、技术文件和商务资信文件分别装订成册、单独密封。资格审查文件正本1份，报价文件、技术文件、商务资信文件各正本1份、副本</w:t>
      </w:r>
      <w:r>
        <w:rPr>
          <w:rFonts w:hint="eastAsia" w:ascii="宋体" w:hAnsi="宋体" w:cs="宋体"/>
          <w:b/>
          <w:color w:val="auto"/>
          <w:kern w:val="0"/>
          <w:sz w:val="24"/>
          <w:szCs w:val="24"/>
          <w:highlight w:val="none"/>
          <w:lang w:eastAsia="zh-CN"/>
        </w:rPr>
        <w:t>7份</w:t>
      </w:r>
      <w:r>
        <w:rPr>
          <w:rFonts w:hint="eastAsia" w:ascii="宋体" w:hAnsi="宋体" w:cs="宋体"/>
          <w:b/>
          <w:color w:val="auto"/>
          <w:kern w:val="0"/>
          <w:sz w:val="24"/>
          <w:szCs w:val="24"/>
          <w:highlight w:val="none"/>
        </w:rPr>
        <w:t>。</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4、按招标文件要求提供和交付的货物和服务的投标报价详见《投标报价函》和《开标一览表》。</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5、保证忠实地执行双方所签订的合同，并承担合同规定的责任和义务。</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6、保证遵守招标文件中的其他有关规定。</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7、如果在开标后的投标有效期内撤回投标，我方同意按招标方的规定进行处罚。</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8、我方完全理解贵方不一定要接受最低价的投标或收到的任何投标。</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9、我方愿意向贵方提供任何与该项投标有关的详细情况和技术资料，若贵方需要，我方愿意提供我方作出的一切承诺的证明材料。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10、我方已详细阅读全部招标文件，包括招标文件修改书（如有的话）、参考资料及有关附件，确认无误。</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宋体" w:hAnsi="宋体" w:cs="宋体"/>
          <w:color w:val="auto"/>
          <w:sz w:val="24"/>
          <w:szCs w:val="24"/>
          <w:highlight w:val="none"/>
        </w:rPr>
      </w:pPr>
      <w:r>
        <w:rPr>
          <w:rFonts w:hint="eastAsia" w:ascii="宋体" w:hAnsi="宋体" w:cs="宋体"/>
          <w:color w:val="auto"/>
          <w:kern w:val="0"/>
          <w:sz w:val="24"/>
          <w:szCs w:val="24"/>
          <w:highlight w:val="none"/>
        </w:rPr>
        <w:t>（1）提供虚假材料谋取中标、成交的；</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（2）采取不正当手段诋毁、排挤其他投标供应商的；</w:t>
      </w:r>
    </w:p>
    <w:p>
      <w:pPr>
        <w:snapToGrid w:val="0"/>
        <w:spacing w:line="480" w:lineRule="exact"/>
        <w:ind w:left="-2" w:firstLine="436"/>
        <w:rPr>
          <w:rFonts w:ascii="宋体" w:hAnsi="宋体" w:cs="宋体"/>
          <w:color w:val="auto"/>
          <w:sz w:val="24"/>
          <w:szCs w:val="24"/>
          <w:highlight w:val="none"/>
        </w:rPr>
      </w:pPr>
      <w:r>
        <w:rPr>
          <w:rFonts w:hint="eastAsia" w:ascii="宋体" w:hAnsi="宋体" w:cs="宋体"/>
          <w:color w:val="auto"/>
          <w:kern w:val="0"/>
          <w:sz w:val="24"/>
          <w:szCs w:val="24"/>
          <w:highlight w:val="none"/>
        </w:rPr>
        <w:t>（3）与其它投标供应商恶意串通的；</w:t>
      </w:r>
    </w:p>
    <w:p>
      <w:pPr>
        <w:snapToGrid w:val="0"/>
        <w:spacing w:line="480" w:lineRule="exact"/>
        <w:ind w:left="-2" w:firstLine="436"/>
        <w:rPr>
          <w:rFonts w:ascii="宋体" w:hAnsi="宋体" w:cs="宋体"/>
          <w:color w:val="auto"/>
          <w:sz w:val="24"/>
          <w:szCs w:val="24"/>
          <w:highlight w:val="none"/>
        </w:rPr>
      </w:pPr>
      <w:r>
        <w:rPr>
          <w:rFonts w:hint="eastAsia" w:ascii="宋体" w:hAnsi="宋体" w:cs="宋体"/>
          <w:color w:val="auto"/>
          <w:kern w:val="0"/>
          <w:sz w:val="24"/>
          <w:szCs w:val="24"/>
          <w:highlight w:val="none"/>
        </w:rPr>
        <w:t>（4）向招标方行贿或者提供其他不正当利益的；</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（5）拒绝有关部门监督检查或提供虚假情况的。</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12、我方的投标文件在开标后</w:t>
      </w:r>
      <w:r>
        <w:rPr>
          <w:rFonts w:hint="eastAsia" w:ascii="宋体" w:hAnsi="宋体" w:cs="宋体"/>
          <w:color w:val="auto"/>
          <w:kern w:val="0"/>
          <w:sz w:val="24"/>
          <w:szCs w:val="24"/>
          <w:highlight w:val="none"/>
          <w:u w:val="single"/>
        </w:rPr>
        <w:t>90</w:t>
      </w:r>
      <w:r>
        <w:rPr>
          <w:rFonts w:hint="eastAsia" w:ascii="宋体" w:hAnsi="宋体" w:cs="宋体"/>
          <w:color w:val="auto"/>
          <w:kern w:val="0"/>
          <w:sz w:val="24"/>
          <w:szCs w:val="24"/>
          <w:highlight w:val="none"/>
        </w:rPr>
        <w:t>天内有效。</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与本投标有关的一切往来通讯请寄：</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地址：___________________________________</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邮编：____________　</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电话：____________　</w:t>
      </w:r>
    </w:p>
    <w:p>
      <w:pPr>
        <w:widowControl/>
        <w:snapToGrid w:val="0"/>
        <w:spacing w:line="480" w:lineRule="exact"/>
        <w:ind w:left="-2" w:firstLine="436"/>
        <w:rPr>
          <w:rFonts w:ascii="宋体" w:hAnsi="宋体" w:cs="宋体"/>
          <w:color w:val="auto"/>
          <w:kern w:val="0"/>
          <w:sz w:val="24"/>
          <w:szCs w:val="24"/>
          <w:highlight w:val="none"/>
        </w:rPr>
      </w:pPr>
      <w:r>
        <w:rPr>
          <w:rFonts w:hint="eastAsia" w:ascii="宋体" w:hAnsi="宋体" w:cs="宋体"/>
          <w:color w:val="auto"/>
          <w:kern w:val="0"/>
          <w:sz w:val="24"/>
          <w:szCs w:val="24"/>
          <w:highlight w:val="none"/>
        </w:rPr>
        <w:t>传真：____________</w:t>
      </w:r>
    </w:p>
    <w:p>
      <w:pPr>
        <w:autoSpaceDE w:val="0"/>
        <w:adjustRightInd w:val="0"/>
        <w:snapToGrid w:val="0"/>
        <w:ind w:firstLine="3427" w:firstLineChars="1428"/>
        <w:rPr>
          <w:rFonts w:ascii="宋体" w:hAnsi="宋体" w:cs="宋体"/>
          <w:color w:val="auto"/>
          <w:kern w:val="0"/>
          <w:sz w:val="24"/>
          <w:szCs w:val="24"/>
          <w:highlight w:val="none"/>
        </w:rPr>
      </w:pPr>
    </w:p>
    <w:p>
      <w:pPr>
        <w:autoSpaceDE w:val="0"/>
        <w:adjustRightInd w:val="0"/>
        <w:snapToGrid w:val="0"/>
        <w:ind w:firstLine="3427" w:firstLineChars="1428"/>
        <w:rPr>
          <w:rFonts w:ascii="宋体" w:hAnsi="宋体" w:cs="宋体"/>
          <w:color w:val="auto"/>
          <w:kern w:val="0"/>
          <w:sz w:val="24"/>
          <w:szCs w:val="24"/>
          <w:highlight w:val="none"/>
        </w:rPr>
      </w:pPr>
    </w:p>
    <w:p>
      <w:pPr>
        <w:autoSpaceDE w:val="0"/>
        <w:adjustRightInd w:val="0"/>
        <w:snapToGrid w:val="0"/>
        <w:ind w:firstLine="3441" w:firstLineChars="1428"/>
        <w:rPr>
          <w:rFonts w:ascii="宋体" w:hAnsi="宋体" w:cs="宋体"/>
          <w:b/>
          <w:bCs/>
          <w:color w:val="auto"/>
          <w:kern w:val="0"/>
          <w:sz w:val="24"/>
          <w:szCs w:val="24"/>
          <w:highlight w:val="none"/>
        </w:rPr>
      </w:pPr>
    </w:p>
    <w:p>
      <w:pPr>
        <w:widowControl/>
        <w:snapToGrid w:val="0"/>
        <w:spacing w:line="360" w:lineRule="auto"/>
        <w:ind w:firstLine="5940" w:firstLineChars="2475"/>
        <w:rPr>
          <w:rFonts w:ascii="宋体" w:hAnsi="宋体" w:cs="宋体"/>
          <w:color w:val="auto"/>
          <w:kern w:val="0"/>
          <w:sz w:val="24"/>
          <w:szCs w:val="24"/>
          <w:highlight w:val="none"/>
        </w:rPr>
      </w:pPr>
      <w:r>
        <w:rPr>
          <w:rFonts w:hint="eastAsia" w:ascii="宋体" w:hAnsi="宋体" w:cs="宋体"/>
          <w:color w:val="auto"/>
          <w:kern w:val="0"/>
          <w:sz w:val="24"/>
          <w:szCs w:val="24"/>
          <w:highlight w:val="none"/>
        </w:rPr>
        <w:t>全权代表(签字)：</w:t>
      </w:r>
    </w:p>
    <w:p>
      <w:pPr>
        <w:widowControl/>
        <w:snapToGrid w:val="0"/>
        <w:spacing w:line="360" w:lineRule="auto"/>
        <w:ind w:firstLine="5940" w:firstLineChars="2475"/>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投标供应商(盖章)：</w:t>
      </w:r>
    </w:p>
    <w:p>
      <w:pPr>
        <w:autoSpaceDE w:val="0"/>
        <w:adjustRightInd w:val="0"/>
        <w:snapToGrid w:val="0"/>
        <w:spacing w:line="360" w:lineRule="auto"/>
        <w:ind w:firstLine="5940" w:firstLineChars="2475"/>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日期：</w:t>
      </w:r>
      <w:r>
        <w:rPr>
          <w:rFonts w:hint="eastAsia" w:ascii="宋体" w:hAnsi="宋体" w:cs="宋体"/>
          <w:color w:val="auto"/>
          <w:kern w:val="0"/>
          <w:sz w:val="24"/>
          <w:szCs w:val="24"/>
          <w:highlight w:val="none"/>
          <w:lang w:eastAsia="zh-CN"/>
        </w:rPr>
        <w:t>202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年 月  日</w:t>
      </w:r>
    </w:p>
    <w:p>
      <w:pPr>
        <w:widowControl/>
        <w:snapToGrid w:val="0"/>
        <w:spacing w:line="480" w:lineRule="exact"/>
        <w:ind w:left="420" w:hanging="420"/>
        <w:jc w:val="center"/>
        <w:rPr>
          <w:rFonts w:ascii="宋体" w:hAnsi="宋体" w:cs="宋体"/>
          <w:b/>
          <w:bCs/>
          <w:color w:val="auto"/>
          <w:kern w:val="0"/>
          <w:sz w:val="28"/>
          <w:szCs w:val="28"/>
          <w:highlight w:val="none"/>
        </w:rPr>
      </w:pPr>
    </w:p>
    <w:p>
      <w:pPr>
        <w:spacing w:line="480" w:lineRule="auto"/>
        <w:jc w:val="left"/>
        <w:rPr>
          <w:rStyle w:val="97"/>
          <w:rFonts w:ascii="宋体" w:hAnsi="宋体" w:cs="宋体"/>
          <w:color w:val="auto"/>
          <w:sz w:val="28"/>
          <w:szCs w:val="28"/>
          <w:highlight w:val="none"/>
        </w:rPr>
      </w:pPr>
    </w:p>
    <w:p>
      <w:pPr>
        <w:pStyle w:val="55"/>
        <w:ind w:firstLine="552"/>
        <w:rPr>
          <w:rStyle w:val="97"/>
          <w:rFonts w:ascii="宋体" w:hAnsi="宋体" w:cs="宋体"/>
          <w:color w:val="auto"/>
          <w:sz w:val="28"/>
          <w:szCs w:val="28"/>
          <w:highlight w:val="none"/>
        </w:rPr>
      </w:pPr>
    </w:p>
    <w:p>
      <w:pPr>
        <w:rPr>
          <w:rStyle w:val="97"/>
          <w:rFonts w:ascii="宋体" w:hAnsi="宋体" w:cs="宋体"/>
          <w:color w:val="auto"/>
          <w:sz w:val="28"/>
          <w:szCs w:val="28"/>
          <w:highlight w:val="none"/>
        </w:rPr>
      </w:pPr>
    </w:p>
    <w:p>
      <w:pPr>
        <w:spacing w:line="480" w:lineRule="auto"/>
        <w:jc w:val="left"/>
        <w:rPr>
          <w:rStyle w:val="97"/>
          <w:rFonts w:ascii="宋体" w:hAnsi="宋体" w:cs="宋体"/>
          <w:color w:val="auto"/>
          <w:szCs w:val="32"/>
          <w:highlight w:val="none"/>
        </w:rPr>
      </w:pPr>
    </w:p>
    <w:p>
      <w:pPr>
        <w:spacing w:line="480" w:lineRule="auto"/>
        <w:jc w:val="left"/>
        <w:rPr>
          <w:rStyle w:val="97"/>
          <w:rFonts w:ascii="宋体" w:hAnsi="宋体" w:cs="宋体"/>
          <w:color w:val="auto"/>
          <w:szCs w:val="32"/>
          <w:highlight w:val="none"/>
        </w:rPr>
      </w:pPr>
    </w:p>
    <w:p>
      <w:pPr>
        <w:spacing w:line="480" w:lineRule="auto"/>
        <w:jc w:val="left"/>
        <w:rPr>
          <w:rStyle w:val="97"/>
          <w:rFonts w:ascii="宋体" w:hAnsi="宋体" w:cs="宋体"/>
          <w:color w:val="auto"/>
          <w:szCs w:val="32"/>
          <w:highlight w:val="none"/>
        </w:rPr>
      </w:pPr>
    </w:p>
    <w:p>
      <w:pPr>
        <w:spacing w:line="480" w:lineRule="auto"/>
        <w:jc w:val="left"/>
        <w:rPr>
          <w:rStyle w:val="97"/>
          <w:rFonts w:ascii="宋体" w:hAnsi="宋体" w:cs="宋体"/>
          <w:color w:val="auto"/>
          <w:szCs w:val="32"/>
          <w:highlight w:val="none"/>
        </w:rPr>
      </w:pPr>
      <w:r>
        <w:rPr>
          <w:rStyle w:val="97"/>
          <w:rFonts w:hint="eastAsia" w:ascii="宋体" w:hAnsi="宋体" w:cs="宋体"/>
          <w:color w:val="auto"/>
          <w:szCs w:val="32"/>
          <w:highlight w:val="none"/>
        </w:rPr>
        <w:t>附件四</w:t>
      </w:r>
    </w:p>
    <w:p>
      <w:pPr>
        <w:adjustRightInd w:val="0"/>
        <w:snapToGrid w:val="0"/>
        <w:jc w:val="center"/>
        <w:rPr>
          <w:rFonts w:ascii="宋体" w:hAnsi="宋体" w:cs="宋体"/>
          <w:b/>
          <w:bCs/>
          <w:iCs/>
          <w:color w:val="auto"/>
          <w:spacing w:val="20"/>
          <w:sz w:val="36"/>
          <w:szCs w:val="36"/>
          <w:highlight w:val="none"/>
        </w:rPr>
      </w:pPr>
      <w:r>
        <w:rPr>
          <w:rFonts w:hint="eastAsia" w:ascii="宋体" w:hAnsi="宋体" w:cs="宋体"/>
          <w:b/>
          <w:bCs/>
          <w:iCs/>
          <w:color w:val="auto"/>
          <w:spacing w:val="20"/>
          <w:sz w:val="36"/>
          <w:szCs w:val="36"/>
          <w:highlight w:val="none"/>
        </w:rPr>
        <w:t>技术参数对照表</w:t>
      </w:r>
    </w:p>
    <w:p>
      <w:pPr>
        <w:adjustRightInd w:val="0"/>
        <w:snapToGrid w:val="0"/>
        <w:jc w:val="center"/>
        <w:rPr>
          <w:rFonts w:ascii="宋体" w:hAnsi="宋体" w:cs="宋体"/>
          <w:b/>
          <w:bCs/>
          <w:iCs/>
          <w:color w:val="auto"/>
          <w:spacing w:val="20"/>
          <w:sz w:val="36"/>
          <w:szCs w:val="36"/>
          <w:highlight w:val="none"/>
        </w:rPr>
      </w:pPr>
    </w:p>
    <w:p>
      <w:pPr>
        <w:adjustRightInd w:val="0"/>
        <w:snapToGrid w:val="0"/>
        <w:jc w:val="center"/>
        <w:rPr>
          <w:rFonts w:ascii="宋体" w:hAnsi="宋体" w:cs="宋体"/>
          <w:iCs/>
          <w:color w:val="auto"/>
          <w:spacing w:val="20"/>
          <w:sz w:val="30"/>
          <w:szCs w:val="30"/>
          <w:highlight w:val="none"/>
        </w:rPr>
      </w:pPr>
    </w:p>
    <w:p>
      <w:pPr>
        <w:adjustRightInd w:val="0"/>
        <w:snapToGrid w:val="0"/>
        <w:spacing w:line="360" w:lineRule="auto"/>
        <w:ind w:firstLine="160" w:firstLineChars="50"/>
        <w:rPr>
          <w:rFonts w:ascii="宋体" w:hAnsi="宋体" w:cs="宋体"/>
          <w:color w:val="auto"/>
          <w:spacing w:val="20"/>
          <w:sz w:val="28"/>
          <w:szCs w:val="28"/>
          <w:highlight w:val="none"/>
        </w:rPr>
      </w:pPr>
      <w:r>
        <w:rPr>
          <w:rFonts w:hint="eastAsia" w:ascii="宋体" w:hAnsi="宋体" w:cs="宋体"/>
          <w:color w:val="auto"/>
          <w:spacing w:val="20"/>
          <w:sz w:val="28"/>
          <w:szCs w:val="28"/>
          <w:highlight w:val="none"/>
        </w:rPr>
        <w:t>招标编号：</w:t>
      </w:r>
      <w:r>
        <w:rPr>
          <w:rFonts w:hint="eastAsia" w:ascii="宋体" w:hAnsi="宋体" w:cs="宋体"/>
          <w:color w:val="auto"/>
          <w:spacing w:val="20"/>
          <w:sz w:val="28"/>
          <w:szCs w:val="28"/>
          <w:highlight w:val="none"/>
          <w:lang w:eastAsia="zh-CN"/>
        </w:rPr>
        <w:t>JDOBCG2024B-035</w:t>
      </w:r>
      <w:r>
        <w:rPr>
          <w:rFonts w:hint="eastAsia" w:ascii="宋体" w:hAnsi="宋体" w:cs="宋体"/>
          <w:color w:val="auto"/>
          <w:spacing w:val="20"/>
          <w:sz w:val="28"/>
          <w:szCs w:val="28"/>
          <w:highlight w:val="none"/>
        </w:rPr>
        <w:t xml:space="preserve">         </w:t>
      </w:r>
    </w:p>
    <w:tbl>
      <w:tblPr>
        <w:tblStyle w:val="46"/>
        <w:tblpPr w:leftFromText="180" w:rightFromText="180" w:vertAnchor="text" w:horzAnchor="page" w:tblpX="1182" w:tblpY="428"/>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77"/>
        <w:gridCol w:w="1620"/>
        <w:gridCol w:w="1080"/>
        <w:gridCol w:w="1313"/>
        <w:gridCol w:w="1959"/>
        <w:gridCol w:w="1036"/>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序号</w:t>
            </w:r>
          </w:p>
        </w:tc>
        <w:tc>
          <w:tcPr>
            <w:tcW w:w="1177" w:type="dxa"/>
            <w:noWrap w:val="0"/>
            <w:vAlign w:val="center"/>
          </w:tcPr>
          <w:p>
            <w:pPr>
              <w:adjustRightInd w:val="0"/>
              <w:snapToGrid w:val="0"/>
              <w:jc w:val="center"/>
              <w:rPr>
                <w:rFonts w:hint="eastAsia" w:ascii="宋体" w:hAnsi="宋体"/>
                <w:bCs/>
                <w:color w:val="auto"/>
                <w:spacing w:val="20"/>
                <w:szCs w:val="21"/>
                <w:highlight w:val="none"/>
              </w:rPr>
            </w:pPr>
            <w:r>
              <w:rPr>
                <w:rFonts w:hint="eastAsia" w:ascii="宋体" w:hAnsi="宋体"/>
                <w:bCs/>
                <w:color w:val="auto"/>
                <w:spacing w:val="20"/>
                <w:szCs w:val="21"/>
                <w:highlight w:val="none"/>
              </w:rPr>
              <w:t>项目（货物）名称</w:t>
            </w:r>
          </w:p>
        </w:tc>
        <w:tc>
          <w:tcPr>
            <w:tcW w:w="1620"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招标规格和技术要求</w:t>
            </w:r>
          </w:p>
        </w:tc>
        <w:tc>
          <w:tcPr>
            <w:tcW w:w="1080"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投标产品品牌</w:t>
            </w:r>
          </w:p>
        </w:tc>
        <w:tc>
          <w:tcPr>
            <w:tcW w:w="1313"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投标产品</w:t>
            </w:r>
          </w:p>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规格型号</w:t>
            </w:r>
          </w:p>
        </w:tc>
        <w:tc>
          <w:tcPr>
            <w:tcW w:w="1959"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技术参数和需求响应</w:t>
            </w:r>
          </w:p>
        </w:tc>
        <w:tc>
          <w:tcPr>
            <w:tcW w:w="1036"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偏离</w:t>
            </w:r>
          </w:p>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情况</w:t>
            </w:r>
          </w:p>
        </w:tc>
        <w:tc>
          <w:tcPr>
            <w:tcW w:w="912" w:type="dxa"/>
            <w:noWrap w:val="0"/>
            <w:vAlign w:val="center"/>
          </w:tcPr>
          <w:p>
            <w:pPr>
              <w:adjustRightInd w:val="0"/>
              <w:snapToGrid w:val="0"/>
              <w:jc w:val="center"/>
              <w:rPr>
                <w:rFonts w:hint="eastAsia" w:ascii="宋体" w:hAnsi="宋体"/>
                <w:color w:val="auto"/>
                <w:spacing w:val="20"/>
                <w:szCs w:val="21"/>
                <w:highlight w:val="none"/>
              </w:rPr>
            </w:pPr>
            <w:r>
              <w:rPr>
                <w:rFonts w:hint="eastAsia" w:ascii="宋体" w:hAnsi="宋体"/>
                <w:color w:val="auto"/>
                <w:spacing w:val="2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noWrap w:val="0"/>
            <w:vAlign w:val="center"/>
          </w:tcPr>
          <w:p>
            <w:pPr>
              <w:adjustRightInd w:val="0"/>
              <w:snapToGrid w:val="0"/>
              <w:spacing w:line="480" w:lineRule="auto"/>
              <w:jc w:val="center"/>
              <w:rPr>
                <w:rFonts w:hint="default" w:ascii="宋体" w:hAnsi="宋体" w:eastAsia="宋体"/>
                <w:color w:val="auto"/>
                <w:spacing w:val="20"/>
                <w:szCs w:val="21"/>
                <w:highlight w:val="none"/>
                <w:lang w:val="en-US" w:eastAsia="zh-CN"/>
              </w:rPr>
            </w:pPr>
            <w:r>
              <w:rPr>
                <w:rFonts w:hint="eastAsia" w:ascii="宋体" w:hAnsi="宋体"/>
                <w:color w:val="auto"/>
                <w:spacing w:val="20"/>
                <w:szCs w:val="21"/>
                <w:highlight w:val="none"/>
                <w:lang w:val="en-US" w:eastAsia="zh-CN"/>
              </w:rPr>
              <w:t>...</w:t>
            </w:r>
          </w:p>
        </w:tc>
        <w:tc>
          <w:tcPr>
            <w:tcW w:w="1177" w:type="dxa"/>
            <w:noWrap w:val="0"/>
            <w:vAlign w:val="top"/>
          </w:tcPr>
          <w:p>
            <w:pPr>
              <w:adjustRightInd w:val="0"/>
              <w:snapToGrid w:val="0"/>
              <w:spacing w:line="480" w:lineRule="auto"/>
              <w:jc w:val="center"/>
              <w:rPr>
                <w:rFonts w:hint="eastAsia" w:ascii="宋体" w:hAnsi="宋体"/>
                <w:color w:val="auto"/>
                <w:spacing w:val="20"/>
                <w:szCs w:val="21"/>
                <w:highlight w:val="none"/>
              </w:rPr>
            </w:pPr>
          </w:p>
        </w:tc>
        <w:tc>
          <w:tcPr>
            <w:tcW w:w="162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80"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313"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959"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1036"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c>
          <w:tcPr>
            <w:tcW w:w="912" w:type="dxa"/>
            <w:noWrap w:val="0"/>
            <w:vAlign w:val="center"/>
          </w:tcPr>
          <w:p>
            <w:pPr>
              <w:adjustRightInd w:val="0"/>
              <w:snapToGrid w:val="0"/>
              <w:spacing w:line="480" w:lineRule="auto"/>
              <w:jc w:val="center"/>
              <w:rPr>
                <w:rFonts w:hint="eastAsia" w:ascii="宋体" w:hAnsi="宋体"/>
                <w:color w:val="auto"/>
                <w:spacing w:val="20"/>
                <w:szCs w:val="21"/>
                <w:highlight w:val="none"/>
              </w:rPr>
            </w:pPr>
          </w:p>
        </w:tc>
      </w:tr>
    </w:tbl>
    <w:p>
      <w:pPr>
        <w:adjustRightInd w:val="0"/>
        <w:snapToGrid w:val="0"/>
        <w:spacing w:line="500" w:lineRule="exact"/>
        <w:ind w:firstLine="800" w:firstLineChars="250"/>
        <w:rPr>
          <w:rFonts w:ascii="宋体" w:hAnsi="宋体" w:cs="宋体"/>
          <w:color w:val="auto"/>
          <w:sz w:val="28"/>
          <w:szCs w:val="28"/>
          <w:highlight w:val="none"/>
        </w:rPr>
      </w:pPr>
      <w:r>
        <w:rPr>
          <w:rFonts w:hint="eastAsia" w:ascii="宋体" w:hAnsi="宋体" w:cs="宋体"/>
          <w:color w:val="auto"/>
          <w:spacing w:val="20"/>
          <w:sz w:val="28"/>
          <w:szCs w:val="28"/>
          <w:highlight w:val="none"/>
        </w:rPr>
        <w:t>注：1、必须与相应项目的所有技术规格相比较填列。</w:t>
      </w:r>
    </w:p>
    <w:p>
      <w:pPr>
        <w:adjustRightInd w:val="0"/>
        <w:snapToGrid w:val="0"/>
        <w:rPr>
          <w:rFonts w:ascii="宋体" w:hAnsi="宋体" w:cs="宋体"/>
          <w:color w:val="auto"/>
          <w:spacing w:val="20"/>
          <w:sz w:val="28"/>
          <w:szCs w:val="28"/>
          <w:highlight w:val="none"/>
        </w:rPr>
      </w:pPr>
    </w:p>
    <w:p>
      <w:pPr>
        <w:adjustRightInd w:val="0"/>
        <w:snapToGrid w:val="0"/>
        <w:rPr>
          <w:rFonts w:ascii="宋体" w:hAnsi="宋体" w:cs="宋体"/>
          <w:color w:val="auto"/>
          <w:spacing w:val="20"/>
          <w:sz w:val="28"/>
          <w:szCs w:val="28"/>
          <w:highlight w:val="none"/>
        </w:rPr>
      </w:pPr>
    </w:p>
    <w:p>
      <w:pPr>
        <w:autoSpaceDE w:val="0"/>
        <w:adjustRightInd w:val="0"/>
        <w:snapToGrid w:val="0"/>
        <w:ind w:firstLine="3735" w:firstLineChars="1550"/>
        <w:rPr>
          <w:rFonts w:ascii="宋体" w:hAnsi="宋体" w:cs="宋体"/>
          <w:b/>
          <w:bCs/>
          <w:color w:val="auto"/>
          <w:kern w:val="0"/>
          <w:sz w:val="24"/>
          <w:highlight w:val="none"/>
        </w:rPr>
      </w:pPr>
    </w:p>
    <w:p>
      <w:pPr>
        <w:widowControl/>
        <w:snapToGrid w:val="0"/>
        <w:spacing w:line="360" w:lineRule="auto"/>
        <w:ind w:firstLine="6370" w:firstLineChars="22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6370" w:firstLineChars="22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6370" w:firstLineChars="22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spacing w:line="480" w:lineRule="auto"/>
        <w:jc w:val="left"/>
        <w:rPr>
          <w:rStyle w:val="97"/>
          <w:rFonts w:hint="eastAsia" w:ascii="宋体" w:hAnsi="宋体" w:cs="宋体"/>
          <w:color w:val="auto"/>
          <w:szCs w:val="32"/>
          <w:highlight w:val="none"/>
        </w:rPr>
      </w:pPr>
      <w:r>
        <w:rPr>
          <w:rStyle w:val="97"/>
          <w:rFonts w:hint="eastAsia" w:ascii="宋体" w:hAnsi="宋体" w:cs="宋体"/>
          <w:color w:val="auto"/>
          <w:szCs w:val="32"/>
          <w:highlight w:val="none"/>
        </w:rPr>
        <w:t>附件五</w:t>
      </w:r>
    </w:p>
    <w:p>
      <w:pPr>
        <w:snapToGrid w:val="0"/>
        <w:spacing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项目实施人员（主要从业人员及其技术资格）一览表</w:t>
      </w:r>
    </w:p>
    <w:p>
      <w:pPr>
        <w:pStyle w:val="55"/>
        <w:ind w:firstLine="420"/>
        <w:rPr>
          <w:rFonts w:hAnsi="宋体" w:cs="宋体"/>
          <w:color w:val="auto"/>
          <w:highlight w:val="none"/>
        </w:rPr>
      </w:pPr>
    </w:p>
    <w:tbl>
      <w:tblPr>
        <w:tblStyle w:val="46"/>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专业技</w:t>
            </w:r>
          </w:p>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证书</w:t>
            </w:r>
          </w:p>
          <w:p>
            <w:pPr>
              <w:snapToGrid w:val="0"/>
              <w:jc w:val="center"/>
              <w:rPr>
                <w:rFonts w:ascii="宋体" w:hAnsi="宋体" w:cs="宋体"/>
                <w:color w:val="auto"/>
                <w:sz w:val="28"/>
                <w:szCs w:val="28"/>
                <w:highlight w:val="none"/>
              </w:rPr>
            </w:pPr>
            <w:r>
              <w:rPr>
                <w:rFonts w:hint="eastAsia" w:ascii="宋体" w:hAnsi="宋体" w:cs="宋体"/>
                <w:color w:val="auto"/>
                <w:sz w:val="28"/>
                <w:szCs w:val="28"/>
                <w:highlight w:val="none"/>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auto"/>
                <w:sz w:val="28"/>
                <w:szCs w:val="28"/>
                <w:highlight w:val="none"/>
              </w:rPr>
            </w:pPr>
            <w:r>
              <w:rPr>
                <w:rFonts w:hint="eastAsia" w:ascii="宋体" w:hAnsi="宋体" w:cs="宋体"/>
                <w:bCs/>
                <w:color w:val="auto"/>
                <w:sz w:val="28"/>
                <w:szCs w:val="28"/>
                <w:highlight w:val="none"/>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ascii="宋体" w:hAnsi="宋体" w:cs="宋体"/>
                <w:bCs/>
                <w:color w:val="auto"/>
                <w:sz w:val="28"/>
                <w:szCs w:val="28"/>
                <w:highlight w:val="none"/>
              </w:rPr>
            </w:pPr>
            <w:r>
              <w:rPr>
                <w:rFonts w:hint="eastAsia" w:ascii="宋体" w:hAnsi="宋体" w:cs="宋体"/>
                <w:bCs/>
                <w:color w:val="auto"/>
                <w:sz w:val="28"/>
                <w:szCs w:val="28"/>
                <w:highlight w:val="none"/>
              </w:rPr>
              <w:t>劳动合</w:t>
            </w:r>
          </w:p>
          <w:p>
            <w:pPr>
              <w:snapToGrid w:val="0"/>
              <w:jc w:val="center"/>
              <w:rPr>
                <w:rFonts w:ascii="宋体" w:hAnsi="宋体" w:cs="宋体"/>
                <w:bCs/>
                <w:color w:val="auto"/>
                <w:sz w:val="28"/>
                <w:szCs w:val="28"/>
                <w:highlight w:val="none"/>
              </w:rPr>
            </w:pPr>
            <w:r>
              <w:rPr>
                <w:rFonts w:hint="eastAsia" w:ascii="宋体" w:hAnsi="宋体" w:cs="宋体"/>
                <w:bCs/>
                <w:color w:val="auto"/>
                <w:sz w:val="28"/>
                <w:szCs w:val="28"/>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pStyle w:val="26"/>
              <w:snapToGrid w:val="0"/>
              <w:spacing w:beforeLines="50" w:after="50" w:line="460" w:lineRule="exact"/>
              <w:ind w:left="5250"/>
              <w:rPr>
                <w:rFonts w:ascii="宋体" w:hAnsi="宋体" w:cs="宋体"/>
                <w:color w:val="auto"/>
                <w:kern w:val="2"/>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hAnsi="宋体" w:cs="宋体"/>
                <w:color w:val="auto"/>
                <w:sz w:val="28"/>
                <w:szCs w:val="28"/>
                <w:highlight w:val="none"/>
              </w:rPr>
            </w:pPr>
          </w:p>
        </w:tc>
      </w:tr>
    </w:tbl>
    <w:p>
      <w:pPr>
        <w:snapToGrid w:val="0"/>
        <w:spacing w:before="50" w:afterLines="50"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注：在填写时，如本表格不适合投标供应商的实际情况，可根据本表格式自行划表填写。 </w:t>
      </w:r>
    </w:p>
    <w:p>
      <w:pPr>
        <w:snapToGrid w:val="0"/>
        <w:spacing w:before="50" w:afterLines="50" w:line="460" w:lineRule="exact"/>
        <w:jc w:val="left"/>
        <w:rPr>
          <w:rFonts w:ascii="宋体" w:hAnsi="宋体" w:cs="宋体"/>
          <w:color w:val="auto"/>
          <w:sz w:val="28"/>
          <w:szCs w:val="28"/>
          <w:highlight w:val="non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snapToGrid w:val="0"/>
        <w:spacing w:before="50" w:afterLines="50" w:line="460" w:lineRule="exact"/>
        <w:jc w:val="left"/>
        <w:rPr>
          <w:rFonts w:ascii="宋体" w:hAnsi="宋体" w:cs="宋体"/>
          <w:color w:val="auto"/>
          <w:sz w:val="28"/>
          <w:szCs w:val="28"/>
          <w:highlight w:val="none"/>
        </w:rPr>
      </w:pPr>
    </w:p>
    <w:p>
      <w:pPr>
        <w:autoSpaceDE w:val="0"/>
        <w:adjustRightInd w:val="0"/>
        <w:snapToGrid w:val="0"/>
        <w:rPr>
          <w:rStyle w:val="97"/>
          <w:rFonts w:ascii="宋体" w:hAnsi="宋体" w:cs="宋体"/>
          <w:color w:val="auto"/>
          <w:sz w:val="30"/>
          <w:szCs w:val="30"/>
          <w:highlight w:val="none"/>
        </w:rPr>
      </w:pPr>
    </w:p>
    <w:p>
      <w:pPr>
        <w:rPr>
          <w:rFonts w:ascii="宋体" w:hAnsi="宋体" w:cs="宋体"/>
          <w:color w:val="auto"/>
          <w:highlight w:val="none"/>
        </w:rPr>
      </w:pPr>
    </w:p>
    <w:p>
      <w:pPr>
        <w:autoSpaceDE w:val="0"/>
        <w:adjustRightInd w:val="0"/>
        <w:snapToGrid w:val="0"/>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附件六</w:t>
      </w:r>
    </w:p>
    <w:p>
      <w:pPr>
        <w:ind w:left="-178" w:leftChars="-85"/>
        <w:jc w:val="center"/>
        <w:rPr>
          <w:rFonts w:ascii="宋体" w:hAnsi="宋体" w:cs="宋体"/>
          <w:b/>
          <w:color w:val="auto"/>
          <w:sz w:val="30"/>
          <w:szCs w:val="30"/>
          <w:highlight w:val="none"/>
        </w:rPr>
      </w:pPr>
      <w:r>
        <w:rPr>
          <w:rFonts w:hint="eastAsia" w:ascii="宋体" w:hAnsi="宋体" w:cs="宋体"/>
          <w:b/>
          <w:color w:val="auto"/>
          <w:spacing w:val="20"/>
          <w:sz w:val="36"/>
          <w:szCs w:val="36"/>
          <w:highlight w:val="none"/>
        </w:rPr>
        <w:t>商务条款应对表</w:t>
      </w:r>
    </w:p>
    <w:p>
      <w:pPr>
        <w:rPr>
          <w:rFonts w:ascii="宋体" w:hAnsi="宋体" w:cs="宋体"/>
          <w:b/>
          <w:color w:val="auto"/>
          <w:sz w:val="28"/>
          <w:szCs w:val="28"/>
          <w:highlight w:val="none"/>
          <w:u w:val="single"/>
        </w:rPr>
      </w:pPr>
      <w:r>
        <w:rPr>
          <w:rFonts w:hint="eastAsia" w:ascii="宋体" w:hAnsi="宋体" w:cs="宋体"/>
          <w:b/>
          <w:color w:val="auto"/>
          <w:sz w:val="28"/>
          <w:szCs w:val="28"/>
          <w:highlight w:val="none"/>
        </w:rPr>
        <w:t>招标编号：</w:t>
      </w:r>
      <w:r>
        <w:rPr>
          <w:rFonts w:hint="eastAsia" w:ascii="宋体" w:hAnsi="宋体" w:cs="宋体"/>
          <w:b/>
          <w:color w:val="auto"/>
          <w:sz w:val="24"/>
          <w:szCs w:val="24"/>
          <w:highlight w:val="none"/>
          <w:lang w:eastAsia="zh-CN"/>
        </w:rPr>
        <w:t>JDOBCG2024B-035</w:t>
      </w:r>
      <w:r>
        <w:rPr>
          <w:rFonts w:hint="eastAsia" w:ascii="宋体" w:hAnsi="宋体" w:cs="宋体"/>
          <w:b/>
          <w:color w:val="auto"/>
          <w:sz w:val="28"/>
          <w:szCs w:val="28"/>
          <w:highlight w:val="none"/>
        </w:rPr>
        <w:t xml:space="preserve">                                           </w:t>
      </w:r>
    </w:p>
    <w:tbl>
      <w:tblPr>
        <w:tblStyle w:val="46"/>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0"/>
        <w:gridCol w:w="3420"/>
        <w:gridCol w:w="12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48"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序号</w:t>
            </w:r>
          </w:p>
        </w:tc>
        <w:tc>
          <w:tcPr>
            <w:tcW w:w="3960"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招标文件要求</w:t>
            </w:r>
          </w:p>
        </w:tc>
        <w:tc>
          <w:tcPr>
            <w:tcW w:w="3420" w:type="dxa"/>
            <w:vAlign w:val="center"/>
          </w:tcPr>
          <w:p>
            <w:pPr>
              <w:adjustRightInd w:val="0"/>
              <w:snapToGrid w:val="0"/>
              <w:ind w:firstLine="110" w:firstLineChars="5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投标响应</w:t>
            </w:r>
          </w:p>
        </w:tc>
        <w:tc>
          <w:tcPr>
            <w:tcW w:w="1260"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偏离情况</w:t>
            </w:r>
          </w:p>
        </w:tc>
        <w:tc>
          <w:tcPr>
            <w:tcW w:w="720"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648"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1</w:t>
            </w:r>
          </w:p>
        </w:tc>
        <w:tc>
          <w:tcPr>
            <w:tcW w:w="3960" w:type="dxa"/>
            <w:vAlign w:val="center"/>
          </w:tcPr>
          <w:p>
            <w:pPr>
              <w:numPr>
                <w:ilvl w:val="0"/>
                <w:numId w:val="19"/>
              </w:numPr>
              <w:adjustRightInd w:val="0"/>
              <w:snapToGrid w:val="0"/>
              <w:rPr>
                <w:rFonts w:ascii="宋体" w:hAnsi="宋体" w:cs="宋体"/>
                <w:b/>
                <w:color w:val="auto"/>
                <w:sz w:val="18"/>
                <w:szCs w:val="18"/>
                <w:highlight w:val="none"/>
              </w:rPr>
            </w:pPr>
            <w:r>
              <w:rPr>
                <w:rFonts w:hint="eastAsia" w:ascii="宋体" w:hAnsi="宋体" w:cs="宋体"/>
                <w:b/>
                <w:color w:val="auto"/>
                <w:sz w:val="18"/>
                <w:szCs w:val="18"/>
                <w:highlight w:val="none"/>
              </w:rPr>
              <w:t>总体要求</w:t>
            </w:r>
          </w:p>
          <w:p>
            <w:pPr>
              <w:adjustRightInd w:val="0"/>
              <w:snapToGrid w:val="0"/>
              <w:rPr>
                <w:rFonts w:hint="eastAsia" w:ascii="宋体" w:hAnsi="宋体" w:cs="宋体"/>
                <w:color w:val="auto"/>
                <w:sz w:val="18"/>
                <w:szCs w:val="18"/>
                <w:highlight w:val="none"/>
              </w:rPr>
            </w:pPr>
            <w:r>
              <w:rPr>
                <w:rFonts w:hint="eastAsia" w:ascii="宋体" w:hAnsi="宋体" w:cs="宋体"/>
                <w:color w:val="auto"/>
                <w:sz w:val="18"/>
                <w:szCs w:val="18"/>
                <w:highlight w:val="none"/>
              </w:rPr>
              <w:t>1、必须符合招标文件(包括补充更正，如有)的技术要求和配置；必须是国内相应制造厂商生产并提供的原装合格产品；必须是202</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年</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月1日以后生产的、符合国家质量技术标准的设备。</w:t>
            </w:r>
          </w:p>
          <w:p>
            <w:pPr>
              <w:adjustRightInd w:val="0"/>
              <w:snapToGrid w:val="0"/>
              <w:rPr>
                <w:rFonts w:ascii="宋体" w:hAnsi="宋体" w:cs="宋体"/>
                <w:color w:val="auto"/>
                <w:highlight w:val="none"/>
              </w:rPr>
            </w:pPr>
            <w:r>
              <w:rPr>
                <w:rFonts w:hint="eastAsia" w:ascii="宋体" w:hAnsi="宋体" w:cs="宋体"/>
                <w:color w:val="auto"/>
                <w:sz w:val="18"/>
                <w:szCs w:val="18"/>
                <w:highlight w:val="none"/>
              </w:rPr>
              <w:t>2、售后服务按国家市场监督管理总局和国家其他有关规定执行，国家没有规定的按厂商规定执行。国家规定标准低于厂商标准的按厂商标准执行。</w:t>
            </w:r>
          </w:p>
        </w:tc>
        <w:tc>
          <w:tcPr>
            <w:tcW w:w="3420" w:type="dxa"/>
            <w:vAlign w:val="center"/>
          </w:tcPr>
          <w:p>
            <w:pPr>
              <w:adjustRightInd w:val="0"/>
              <w:snapToGrid w:val="0"/>
              <w:jc w:val="center"/>
              <w:rPr>
                <w:rFonts w:ascii="宋体" w:hAnsi="宋体" w:cs="宋体"/>
                <w:color w:val="auto"/>
                <w:spacing w:val="20"/>
                <w:sz w:val="18"/>
                <w:szCs w:val="18"/>
                <w:highlight w:val="none"/>
              </w:rPr>
            </w:pPr>
          </w:p>
        </w:tc>
        <w:tc>
          <w:tcPr>
            <w:tcW w:w="1260" w:type="dxa"/>
            <w:vAlign w:val="center"/>
          </w:tcPr>
          <w:p>
            <w:pPr>
              <w:adjustRightInd w:val="0"/>
              <w:snapToGrid w:val="0"/>
              <w:jc w:val="center"/>
              <w:rPr>
                <w:rFonts w:ascii="宋体" w:hAnsi="宋体" w:cs="宋体"/>
                <w:color w:val="auto"/>
                <w:spacing w:val="20"/>
                <w:sz w:val="18"/>
                <w:szCs w:val="18"/>
                <w:highlight w:val="none"/>
              </w:rPr>
            </w:pPr>
          </w:p>
        </w:tc>
        <w:tc>
          <w:tcPr>
            <w:tcW w:w="720" w:type="dxa"/>
            <w:vAlign w:val="center"/>
          </w:tcPr>
          <w:p>
            <w:pPr>
              <w:adjustRightInd w:val="0"/>
              <w:snapToGrid w:val="0"/>
              <w:jc w:val="center"/>
              <w:rPr>
                <w:rFonts w:ascii="宋体" w:hAnsi="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48"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2</w:t>
            </w:r>
          </w:p>
        </w:tc>
        <w:tc>
          <w:tcPr>
            <w:tcW w:w="3960" w:type="dxa"/>
            <w:vAlign w:val="center"/>
          </w:tcPr>
          <w:p>
            <w:pPr>
              <w:adjustRightInd w:val="0"/>
              <w:snapToGrid w:val="0"/>
              <w:rPr>
                <w:rFonts w:ascii="宋体" w:hAnsi="宋体" w:cs="宋体"/>
                <w:b/>
                <w:color w:val="auto"/>
                <w:sz w:val="18"/>
                <w:szCs w:val="18"/>
                <w:highlight w:val="none"/>
              </w:rPr>
            </w:pPr>
            <w:r>
              <w:rPr>
                <w:rFonts w:hint="eastAsia" w:ascii="宋体" w:hAnsi="宋体" w:cs="宋体"/>
                <w:b/>
                <w:color w:val="auto"/>
                <w:sz w:val="18"/>
                <w:szCs w:val="18"/>
                <w:highlight w:val="none"/>
              </w:rPr>
              <w:t>二、付款方式</w:t>
            </w:r>
          </w:p>
          <w:p>
            <w:pPr>
              <w:adjustRightInd w:val="0"/>
              <w:snapToGrid w:val="0"/>
              <w:rPr>
                <w:rFonts w:ascii="宋体" w:hAnsi="宋体" w:cs="宋体"/>
                <w:color w:val="auto"/>
                <w:sz w:val="18"/>
                <w:szCs w:val="18"/>
                <w:highlight w:val="none"/>
              </w:rPr>
            </w:pPr>
            <w:r>
              <w:rPr>
                <w:rFonts w:hint="eastAsia" w:ascii="宋体" w:hAnsi="宋体" w:cs="宋体"/>
                <w:color w:val="auto"/>
                <w:sz w:val="18"/>
                <w:szCs w:val="18"/>
                <w:highlight w:val="none"/>
              </w:rPr>
              <w:t>按财务结算要求，通过银行</w:t>
            </w:r>
            <w:r>
              <w:rPr>
                <w:rFonts w:hint="eastAsia" w:ascii="宋体" w:hAnsi="宋体" w:cs="宋体"/>
                <w:color w:val="auto"/>
                <w:sz w:val="18"/>
                <w:szCs w:val="18"/>
                <w:highlight w:val="none"/>
                <w:lang w:eastAsia="zh-CN"/>
              </w:rPr>
              <w:t>划账</w:t>
            </w:r>
            <w:r>
              <w:rPr>
                <w:rFonts w:hint="eastAsia" w:ascii="宋体" w:hAnsi="宋体" w:cs="宋体"/>
                <w:color w:val="auto"/>
                <w:sz w:val="18"/>
                <w:szCs w:val="18"/>
                <w:highlight w:val="none"/>
              </w:rPr>
              <w:t>方式结算。</w:t>
            </w:r>
          </w:p>
        </w:tc>
        <w:tc>
          <w:tcPr>
            <w:tcW w:w="3420" w:type="dxa"/>
            <w:vAlign w:val="center"/>
          </w:tcPr>
          <w:p>
            <w:pPr>
              <w:adjustRightInd w:val="0"/>
              <w:snapToGrid w:val="0"/>
              <w:jc w:val="center"/>
              <w:rPr>
                <w:rFonts w:ascii="宋体" w:hAnsi="宋体" w:cs="宋体"/>
                <w:color w:val="auto"/>
                <w:spacing w:val="20"/>
                <w:sz w:val="18"/>
                <w:szCs w:val="18"/>
                <w:highlight w:val="none"/>
              </w:rPr>
            </w:pPr>
          </w:p>
        </w:tc>
        <w:tc>
          <w:tcPr>
            <w:tcW w:w="1260" w:type="dxa"/>
            <w:vAlign w:val="center"/>
          </w:tcPr>
          <w:p>
            <w:pPr>
              <w:adjustRightInd w:val="0"/>
              <w:snapToGrid w:val="0"/>
              <w:jc w:val="center"/>
              <w:rPr>
                <w:rFonts w:ascii="宋体" w:hAnsi="宋体" w:cs="宋体"/>
                <w:color w:val="auto"/>
                <w:spacing w:val="20"/>
                <w:sz w:val="18"/>
                <w:szCs w:val="18"/>
                <w:highlight w:val="none"/>
              </w:rPr>
            </w:pPr>
          </w:p>
        </w:tc>
        <w:tc>
          <w:tcPr>
            <w:tcW w:w="720" w:type="dxa"/>
            <w:vAlign w:val="center"/>
          </w:tcPr>
          <w:p>
            <w:pPr>
              <w:adjustRightInd w:val="0"/>
              <w:snapToGrid w:val="0"/>
              <w:jc w:val="center"/>
              <w:rPr>
                <w:rFonts w:ascii="宋体" w:hAnsi="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48"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3</w:t>
            </w:r>
          </w:p>
        </w:tc>
        <w:tc>
          <w:tcPr>
            <w:tcW w:w="3960" w:type="dxa"/>
            <w:vAlign w:val="center"/>
          </w:tcPr>
          <w:p>
            <w:pPr>
              <w:adjustRightInd w:val="0"/>
              <w:snapToGrid w:val="0"/>
              <w:rPr>
                <w:rFonts w:ascii="宋体" w:hAnsi="宋体" w:cs="宋体"/>
                <w:bCs/>
                <w:color w:val="auto"/>
                <w:sz w:val="18"/>
                <w:szCs w:val="18"/>
                <w:highlight w:val="none"/>
              </w:rPr>
            </w:pPr>
          </w:p>
        </w:tc>
        <w:tc>
          <w:tcPr>
            <w:tcW w:w="3420" w:type="dxa"/>
            <w:vAlign w:val="center"/>
          </w:tcPr>
          <w:p>
            <w:pPr>
              <w:adjustRightInd w:val="0"/>
              <w:snapToGrid w:val="0"/>
              <w:jc w:val="center"/>
              <w:rPr>
                <w:rFonts w:ascii="宋体" w:hAnsi="宋体" w:cs="宋体"/>
                <w:color w:val="auto"/>
                <w:spacing w:val="20"/>
                <w:sz w:val="18"/>
                <w:szCs w:val="18"/>
                <w:highlight w:val="none"/>
              </w:rPr>
            </w:pPr>
          </w:p>
        </w:tc>
        <w:tc>
          <w:tcPr>
            <w:tcW w:w="1260" w:type="dxa"/>
            <w:vAlign w:val="center"/>
          </w:tcPr>
          <w:p>
            <w:pPr>
              <w:adjustRightInd w:val="0"/>
              <w:snapToGrid w:val="0"/>
              <w:jc w:val="center"/>
              <w:rPr>
                <w:rFonts w:ascii="宋体" w:hAnsi="宋体" w:cs="宋体"/>
                <w:color w:val="auto"/>
                <w:spacing w:val="20"/>
                <w:sz w:val="18"/>
                <w:szCs w:val="18"/>
                <w:highlight w:val="none"/>
              </w:rPr>
            </w:pPr>
          </w:p>
        </w:tc>
        <w:tc>
          <w:tcPr>
            <w:tcW w:w="720" w:type="dxa"/>
            <w:vAlign w:val="center"/>
          </w:tcPr>
          <w:p>
            <w:pPr>
              <w:adjustRightInd w:val="0"/>
              <w:snapToGrid w:val="0"/>
              <w:jc w:val="center"/>
              <w:rPr>
                <w:rFonts w:ascii="宋体" w:hAnsi="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48" w:type="dxa"/>
            <w:vAlign w:val="center"/>
          </w:tcPr>
          <w:p>
            <w:pPr>
              <w:adjustRightInd w:val="0"/>
              <w:snapToGrid w:val="0"/>
              <w:jc w:val="center"/>
              <w:rPr>
                <w:rFonts w:ascii="宋体" w:hAnsi="宋体" w:cs="宋体"/>
                <w:color w:val="auto"/>
                <w:spacing w:val="20"/>
                <w:sz w:val="18"/>
                <w:szCs w:val="18"/>
                <w:highlight w:val="none"/>
              </w:rPr>
            </w:pPr>
            <w:r>
              <w:rPr>
                <w:rFonts w:hint="eastAsia" w:ascii="宋体" w:hAnsi="宋体" w:cs="宋体"/>
                <w:color w:val="auto"/>
                <w:spacing w:val="20"/>
                <w:sz w:val="18"/>
                <w:szCs w:val="18"/>
                <w:highlight w:val="none"/>
              </w:rPr>
              <w:t>……</w:t>
            </w:r>
          </w:p>
        </w:tc>
        <w:tc>
          <w:tcPr>
            <w:tcW w:w="3960" w:type="dxa"/>
            <w:vAlign w:val="center"/>
          </w:tcPr>
          <w:p>
            <w:pPr>
              <w:adjustRightInd w:val="0"/>
              <w:snapToGrid w:val="0"/>
              <w:rPr>
                <w:rFonts w:ascii="宋体" w:hAnsi="宋体" w:cs="宋体"/>
                <w:b/>
                <w:color w:val="auto"/>
                <w:sz w:val="18"/>
                <w:szCs w:val="18"/>
                <w:highlight w:val="none"/>
              </w:rPr>
            </w:pPr>
            <w:r>
              <w:rPr>
                <w:rFonts w:hint="eastAsia" w:ascii="宋体" w:hAnsi="宋体" w:cs="宋体"/>
                <w:color w:val="auto"/>
                <w:spacing w:val="20"/>
                <w:sz w:val="18"/>
                <w:szCs w:val="18"/>
                <w:highlight w:val="none"/>
              </w:rPr>
              <w:t>……</w:t>
            </w:r>
          </w:p>
        </w:tc>
        <w:tc>
          <w:tcPr>
            <w:tcW w:w="3420" w:type="dxa"/>
            <w:vAlign w:val="center"/>
          </w:tcPr>
          <w:p>
            <w:pPr>
              <w:adjustRightInd w:val="0"/>
              <w:snapToGrid w:val="0"/>
              <w:jc w:val="center"/>
              <w:rPr>
                <w:rFonts w:ascii="宋体" w:hAnsi="宋体" w:cs="宋体"/>
                <w:color w:val="auto"/>
                <w:spacing w:val="20"/>
                <w:sz w:val="18"/>
                <w:szCs w:val="18"/>
                <w:highlight w:val="none"/>
              </w:rPr>
            </w:pPr>
          </w:p>
        </w:tc>
        <w:tc>
          <w:tcPr>
            <w:tcW w:w="1260" w:type="dxa"/>
            <w:vAlign w:val="center"/>
          </w:tcPr>
          <w:p>
            <w:pPr>
              <w:adjustRightInd w:val="0"/>
              <w:snapToGrid w:val="0"/>
              <w:jc w:val="center"/>
              <w:rPr>
                <w:rFonts w:ascii="宋体" w:hAnsi="宋体" w:cs="宋体"/>
                <w:color w:val="auto"/>
                <w:spacing w:val="20"/>
                <w:sz w:val="18"/>
                <w:szCs w:val="18"/>
                <w:highlight w:val="none"/>
              </w:rPr>
            </w:pPr>
          </w:p>
        </w:tc>
        <w:tc>
          <w:tcPr>
            <w:tcW w:w="720" w:type="dxa"/>
            <w:vAlign w:val="center"/>
          </w:tcPr>
          <w:p>
            <w:pPr>
              <w:adjustRightInd w:val="0"/>
              <w:snapToGrid w:val="0"/>
              <w:jc w:val="center"/>
              <w:rPr>
                <w:rFonts w:ascii="宋体" w:hAnsi="宋体" w:cs="宋体"/>
                <w:color w:val="auto"/>
                <w:spacing w:val="20"/>
                <w:sz w:val="18"/>
                <w:szCs w:val="18"/>
                <w:highlight w:val="none"/>
              </w:rPr>
            </w:pPr>
          </w:p>
        </w:tc>
      </w:tr>
    </w:tbl>
    <w:p>
      <w:pPr>
        <w:adjustRightInd w:val="0"/>
        <w:snapToGrid w:val="0"/>
        <w:spacing w:line="360" w:lineRule="auto"/>
        <w:rPr>
          <w:rFonts w:ascii="宋体" w:hAnsi="宋体" w:cs="宋体"/>
          <w:color w:val="auto"/>
          <w:spacing w:val="20"/>
          <w:sz w:val="28"/>
          <w:szCs w:val="28"/>
          <w:highlight w:val="none"/>
        </w:rPr>
      </w:pPr>
      <w:r>
        <w:rPr>
          <w:rFonts w:hint="eastAsia" w:ascii="宋体" w:hAnsi="宋体" w:cs="宋体"/>
          <w:color w:val="auto"/>
          <w:spacing w:val="20"/>
          <w:sz w:val="28"/>
          <w:szCs w:val="28"/>
          <w:highlight w:val="none"/>
        </w:rPr>
        <w:t>注：1、对照商务条款逐项比较填写；</w:t>
      </w:r>
    </w:p>
    <w:p>
      <w:pPr>
        <w:adjustRightInd w:val="0"/>
        <w:snapToGrid w:val="0"/>
        <w:spacing w:line="360" w:lineRule="auto"/>
        <w:ind w:left="319" w:leftChars="152" w:firstLine="320" w:firstLineChars="100"/>
        <w:rPr>
          <w:rFonts w:ascii="宋体" w:hAnsi="宋体" w:cs="宋体"/>
          <w:color w:val="auto"/>
          <w:sz w:val="28"/>
          <w:szCs w:val="28"/>
          <w:highlight w:val="none"/>
        </w:rPr>
      </w:pPr>
      <w:r>
        <w:rPr>
          <w:rFonts w:hint="eastAsia" w:ascii="宋体" w:hAnsi="宋体" w:cs="宋体"/>
          <w:color w:val="auto"/>
          <w:spacing w:val="20"/>
          <w:sz w:val="28"/>
          <w:szCs w:val="28"/>
          <w:highlight w:val="none"/>
        </w:rPr>
        <w:t>2、行数不够可自行增加。</w:t>
      </w:r>
    </w:p>
    <w:p>
      <w:pPr>
        <w:autoSpaceDE w:val="0"/>
        <w:adjustRightInd w:val="0"/>
        <w:snapToGrid w:val="0"/>
        <w:rPr>
          <w:rFonts w:ascii="宋体" w:hAnsi="宋体" w:cs="宋体"/>
          <w:color w:val="auto"/>
          <w:kern w:val="0"/>
          <w:sz w:val="28"/>
          <w:szCs w:val="28"/>
          <w:highlight w:val="non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hint="eastAsia" w:ascii="宋体" w:hAnsi="宋体" w:cs="宋体"/>
          <w:color w:val="auto"/>
          <w:sz w:val="30"/>
          <w:szCs w:val="32"/>
          <w:highlight w:val="none"/>
        </w:rPr>
      </w:pPr>
    </w:p>
    <w:p>
      <w:pPr>
        <w:autoSpaceDE w:val="0"/>
        <w:adjustRightInd w:val="0"/>
        <w:snapToGrid w:val="0"/>
        <w:rPr>
          <w:rStyle w:val="97"/>
          <w:rFonts w:ascii="宋体" w:hAnsi="宋体" w:cs="宋体"/>
          <w:color w:val="auto"/>
          <w:sz w:val="30"/>
          <w:szCs w:val="32"/>
          <w:highlight w:val="none"/>
        </w:rPr>
      </w:pPr>
      <w:r>
        <w:rPr>
          <w:rStyle w:val="97"/>
          <w:rFonts w:hint="eastAsia" w:ascii="宋体" w:hAnsi="宋体" w:cs="宋体"/>
          <w:color w:val="auto"/>
          <w:sz w:val="30"/>
          <w:szCs w:val="32"/>
          <w:highlight w:val="none"/>
        </w:rPr>
        <w:t>附件七：</w:t>
      </w:r>
    </w:p>
    <w:p>
      <w:pPr>
        <w:ind w:left="-178" w:leftChars="-85"/>
        <w:jc w:val="center"/>
        <w:rPr>
          <w:rFonts w:ascii="宋体" w:hAnsi="宋体" w:cs="宋体"/>
          <w:b/>
          <w:color w:val="auto"/>
          <w:spacing w:val="20"/>
          <w:sz w:val="36"/>
          <w:highlight w:val="none"/>
        </w:rPr>
      </w:pPr>
      <w:r>
        <w:rPr>
          <w:rFonts w:hint="eastAsia" w:ascii="宋体" w:hAnsi="宋体" w:cs="宋体"/>
          <w:b/>
          <w:color w:val="auto"/>
          <w:spacing w:val="20"/>
          <w:sz w:val="36"/>
          <w:highlight w:val="none"/>
        </w:rPr>
        <w:t>服务计划表</w:t>
      </w:r>
    </w:p>
    <w:p>
      <w:pPr>
        <w:adjustRightInd w:val="0"/>
        <w:snapToGrid w:val="0"/>
        <w:spacing w:afterLines="50"/>
        <w:rPr>
          <w:rFonts w:hint="eastAsia" w:ascii="宋体" w:hAnsi="宋体" w:cs="宋体"/>
          <w:color w:val="auto"/>
          <w:spacing w:val="20"/>
          <w:sz w:val="28"/>
          <w:szCs w:val="28"/>
          <w:highlight w:val="none"/>
        </w:rPr>
      </w:pPr>
    </w:p>
    <w:p>
      <w:pPr>
        <w:adjustRightInd w:val="0"/>
        <w:snapToGrid w:val="0"/>
        <w:spacing w:afterLines="50"/>
        <w:rPr>
          <w:rFonts w:ascii="宋体" w:hAnsi="宋体" w:cs="宋体"/>
          <w:b/>
          <w:color w:val="auto"/>
          <w:spacing w:val="20"/>
          <w:sz w:val="36"/>
          <w:highlight w:val="none"/>
        </w:rPr>
      </w:pPr>
      <w:r>
        <w:rPr>
          <w:rFonts w:hint="eastAsia" w:ascii="宋体" w:hAnsi="宋体" w:cs="宋体"/>
          <w:color w:val="auto"/>
          <w:spacing w:val="20"/>
          <w:sz w:val="28"/>
          <w:szCs w:val="28"/>
          <w:highlight w:val="none"/>
        </w:rPr>
        <w:t>招标编号：</w:t>
      </w:r>
      <w:r>
        <w:rPr>
          <w:rFonts w:hint="eastAsia" w:ascii="宋体" w:hAnsi="宋体" w:cs="宋体"/>
          <w:color w:val="auto"/>
          <w:spacing w:val="20"/>
          <w:sz w:val="28"/>
          <w:szCs w:val="28"/>
          <w:highlight w:val="none"/>
          <w:lang w:eastAsia="zh-CN"/>
        </w:rPr>
        <w:t>JDOBCG2024B-035</w:t>
      </w:r>
      <w:r>
        <w:rPr>
          <w:rFonts w:hint="eastAsia" w:ascii="宋体" w:hAnsi="宋体" w:cs="宋体"/>
          <w:color w:val="auto"/>
          <w:spacing w:val="20"/>
          <w:sz w:val="28"/>
          <w:szCs w:val="28"/>
          <w:highlight w:val="none"/>
        </w:rPr>
        <w:t xml:space="preserve">      </w:t>
      </w:r>
      <w:r>
        <w:rPr>
          <w:rFonts w:hint="eastAsia" w:ascii="宋体" w:hAnsi="宋体" w:cs="宋体"/>
          <w:color w:val="auto"/>
          <w:highlight w:val="none"/>
        </w:rPr>
        <w:t xml:space="preserve">                       </w:t>
      </w:r>
    </w:p>
    <w:tbl>
      <w:tblPr>
        <w:tblStyle w:val="46"/>
        <w:tblW w:w="9174" w:type="dxa"/>
        <w:jc w:val="center"/>
        <w:tblLayout w:type="fixed"/>
        <w:tblCellMar>
          <w:top w:w="0" w:type="dxa"/>
          <w:left w:w="0" w:type="dxa"/>
          <w:bottom w:w="0" w:type="dxa"/>
          <w:right w:w="0" w:type="dxa"/>
        </w:tblCellMar>
      </w:tblPr>
      <w:tblGrid>
        <w:gridCol w:w="740"/>
        <w:gridCol w:w="3366"/>
        <w:gridCol w:w="3537"/>
        <w:gridCol w:w="1531"/>
      </w:tblGrid>
      <w:tr>
        <w:tblPrEx>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序号</w:t>
            </w:r>
          </w:p>
        </w:tc>
        <w:tc>
          <w:tcPr>
            <w:tcW w:w="3366" w:type="dxa"/>
            <w:tcBorders>
              <w:top w:val="single" w:color="auto" w:sz="8" w:space="0"/>
              <w:left w:val="nil"/>
              <w:bottom w:val="single" w:color="auto" w:sz="8" w:space="0"/>
              <w:right w:val="single" w:color="auto" w:sz="4" w:space="0"/>
            </w:tcBorders>
            <w:vAlign w:val="center"/>
          </w:tcPr>
          <w:p>
            <w:pPr>
              <w:widowControl/>
              <w:snapToGrid w:val="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质量保障措施及服务内容</w:t>
            </w:r>
          </w:p>
        </w:tc>
        <w:tc>
          <w:tcPr>
            <w:tcW w:w="3537" w:type="dxa"/>
            <w:tcBorders>
              <w:top w:val="single" w:color="auto" w:sz="8" w:space="0"/>
              <w:left w:val="single" w:color="auto" w:sz="4" w:space="0"/>
              <w:bottom w:val="single" w:color="auto" w:sz="8" w:space="0"/>
              <w:right w:val="single" w:color="auto" w:sz="8" w:space="0"/>
            </w:tcBorders>
            <w:vAlign w:val="center"/>
          </w:tcPr>
          <w:p>
            <w:pPr>
              <w:widowControl/>
              <w:snapToGrid w:val="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承  诺</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1</w:t>
            </w:r>
          </w:p>
        </w:tc>
        <w:tc>
          <w:tcPr>
            <w:tcW w:w="3366" w:type="dxa"/>
            <w:tcBorders>
              <w:top w:val="nil"/>
              <w:left w:val="nil"/>
              <w:bottom w:val="single" w:color="auto" w:sz="8" w:space="0"/>
              <w:right w:val="single" w:color="auto" w:sz="4" w:space="0"/>
            </w:tcBorders>
            <w:vAlign w:val="center"/>
          </w:tcPr>
          <w:p>
            <w:pPr>
              <w:widowControl/>
              <w:snapToGrid w:val="0"/>
              <w:textAlignment w:val="baseline"/>
              <w:rPr>
                <w:rFonts w:ascii="宋体" w:hAnsi="宋体" w:cs="宋体"/>
                <w:color w:val="auto"/>
                <w:kern w:val="0"/>
                <w:sz w:val="28"/>
                <w:szCs w:val="28"/>
                <w:highlight w:val="none"/>
              </w:rPr>
            </w:pPr>
            <w:r>
              <w:rPr>
                <w:rFonts w:hint="eastAsia" w:ascii="宋体" w:hAnsi="宋体" w:cs="宋体"/>
                <w:color w:val="auto"/>
                <w:kern w:val="0"/>
                <w:sz w:val="28"/>
                <w:szCs w:val="28"/>
                <w:highlight w:val="none"/>
              </w:rPr>
              <w:t>产品保修</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2</w:t>
            </w:r>
          </w:p>
        </w:tc>
        <w:tc>
          <w:tcPr>
            <w:tcW w:w="3366" w:type="dxa"/>
            <w:tcBorders>
              <w:top w:val="nil"/>
              <w:left w:val="nil"/>
              <w:bottom w:val="single" w:color="auto" w:sz="8"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有关技术人员免费</w:t>
            </w:r>
          </w:p>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提供安装技术指导</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宋体" w:hAnsi="宋体" w:cs="宋体"/>
                <w:color w:val="auto"/>
                <w:kern w:val="0"/>
                <w:sz w:val="28"/>
                <w:szCs w:val="28"/>
                <w:highlight w:val="none"/>
              </w:rPr>
            </w:pPr>
          </w:p>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3</w:t>
            </w:r>
          </w:p>
        </w:tc>
        <w:tc>
          <w:tcPr>
            <w:tcW w:w="3366" w:type="dxa"/>
            <w:tcBorders>
              <w:top w:val="nil"/>
              <w:left w:val="nil"/>
              <w:bottom w:val="single" w:color="auto" w:sz="8"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产品免费换货期限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4</w:t>
            </w:r>
          </w:p>
        </w:tc>
        <w:tc>
          <w:tcPr>
            <w:tcW w:w="3366" w:type="dxa"/>
            <w:tcBorders>
              <w:top w:val="nil"/>
              <w:left w:val="nil"/>
              <w:bottom w:val="single" w:color="auto" w:sz="8"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免费上门服务期限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5</w:t>
            </w:r>
          </w:p>
        </w:tc>
        <w:tc>
          <w:tcPr>
            <w:tcW w:w="3366" w:type="dxa"/>
            <w:tcBorders>
              <w:top w:val="nil"/>
              <w:left w:val="nil"/>
              <w:bottom w:val="single" w:color="auto" w:sz="8"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质保期内产品故障</w:t>
            </w:r>
          </w:p>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服务响应时限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宋体" w:hAnsi="宋体" w:cs="宋体"/>
                <w:color w:val="auto"/>
                <w:kern w:val="0"/>
                <w:sz w:val="28"/>
                <w:szCs w:val="28"/>
                <w:highlight w:val="none"/>
              </w:rPr>
            </w:pPr>
          </w:p>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6</w:t>
            </w:r>
          </w:p>
        </w:tc>
        <w:tc>
          <w:tcPr>
            <w:tcW w:w="3366" w:type="dxa"/>
            <w:tcBorders>
              <w:top w:val="nil"/>
              <w:left w:val="nil"/>
              <w:bottom w:val="single" w:color="auto" w:sz="8"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服务时间（5*8、5*24、</w:t>
            </w:r>
          </w:p>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7*8、7*24小时）</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宋体" w:hAnsi="宋体" w:cs="宋体"/>
                <w:color w:val="auto"/>
                <w:kern w:val="0"/>
                <w:sz w:val="28"/>
                <w:szCs w:val="28"/>
                <w:highlight w:val="none"/>
              </w:rPr>
            </w:pPr>
          </w:p>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1"/>
                <w:highlight w:val="none"/>
              </w:rPr>
              <w:t>每周的服务天数和服务时间</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7</w:t>
            </w:r>
          </w:p>
        </w:tc>
        <w:tc>
          <w:tcPr>
            <w:tcW w:w="3366" w:type="dxa"/>
            <w:tcBorders>
              <w:top w:val="nil"/>
              <w:left w:val="nil"/>
              <w:bottom w:val="single" w:color="auto" w:sz="4"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质保期满后的保修</w:t>
            </w:r>
          </w:p>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服务费用</w:t>
            </w:r>
          </w:p>
        </w:tc>
        <w:tc>
          <w:tcPr>
            <w:tcW w:w="3537" w:type="dxa"/>
            <w:tcBorders>
              <w:top w:val="nil"/>
              <w:left w:val="single" w:color="auto" w:sz="4" w:space="0"/>
              <w:bottom w:val="single" w:color="auto" w:sz="4" w:space="0"/>
              <w:right w:val="single" w:color="auto" w:sz="8" w:space="0"/>
            </w:tcBorders>
            <w:vAlign w:val="center"/>
          </w:tcPr>
          <w:p>
            <w:pPr>
              <w:widowControl/>
              <w:snapToGrid w:val="0"/>
              <w:jc w:val="left"/>
              <w:rPr>
                <w:rFonts w:ascii="宋体" w:hAnsi="宋体" w:cs="宋体"/>
                <w:color w:val="auto"/>
                <w:kern w:val="0"/>
                <w:sz w:val="28"/>
                <w:szCs w:val="28"/>
                <w:highlight w:val="none"/>
              </w:rPr>
            </w:pPr>
          </w:p>
          <w:p>
            <w:pPr>
              <w:widowControl/>
              <w:snapToGrid w:val="0"/>
              <w:jc w:val="center"/>
              <w:rPr>
                <w:rFonts w:ascii="宋体" w:hAnsi="宋体" w:cs="宋体"/>
                <w:color w:val="auto"/>
                <w:kern w:val="0"/>
                <w:sz w:val="28"/>
                <w:szCs w:val="28"/>
                <w:highlight w:val="none"/>
              </w:rPr>
            </w:pPr>
          </w:p>
        </w:tc>
        <w:tc>
          <w:tcPr>
            <w:tcW w:w="15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738"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8</w:t>
            </w:r>
          </w:p>
        </w:tc>
        <w:tc>
          <w:tcPr>
            <w:tcW w:w="3366" w:type="dxa"/>
            <w:tcBorders>
              <w:top w:val="single" w:color="auto" w:sz="4" w:space="0"/>
              <w:left w:val="nil"/>
              <w:bottom w:val="single" w:color="auto" w:sz="4" w:space="0"/>
              <w:right w:val="single" w:color="auto" w:sz="4" w:space="0"/>
            </w:tcBorders>
            <w:vAlign w:val="center"/>
          </w:tcPr>
          <w:p>
            <w:pPr>
              <w:widowControl/>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交货时间</w:t>
            </w:r>
          </w:p>
        </w:tc>
        <w:tc>
          <w:tcPr>
            <w:tcW w:w="3537" w:type="dxa"/>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宋体" w:hAnsi="宋体" w:cs="宋体"/>
                <w:color w:val="auto"/>
                <w:kern w:val="0"/>
                <w:sz w:val="28"/>
                <w:szCs w:val="28"/>
                <w:highlight w:val="none"/>
              </w:rPr>
            </w:pPr>
          </w:p>
        </w:tc>
        <w:tc>
          <w:tcPr>
            <w:tcW w:w="15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r>
        <w:tblPrEx>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vAlign w:val="center"/>
          </w:tcPr>
          <w:p>
            <w:pPr>
              <w:snapToGrid w:val="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9</w:t>
            </w:r>
          </w:p>
        </w:tc>
        <w:tc>
          <w:tcPr>
            <w:tcW w:w="3366" w:type="dxa"/>
            <w:tcBorders>
              <w:top w:val="single" w:color="auto" w:sz="4" w:space="0"/>
              <w:left w:val="nil"/>
              <w:bottom w:val="single" w:color="auto" w:sz="8" w:space="0"/>
              <w:right w:val="single" w:color="auto" w:sz="4" w:space="0"/>
            </w:tcBorders>
            <w:vAlign w:val="center"/>
          </w:tcPr>
          <w:p>
            <w:pPr>
              <w:snapToGrid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其他服务</w:t>
            </w:r>
          </w:p>
        </w:tc>
        <w:tc>
          <w:tcPr>
            <w:tcW w:w="3537" w:type="dxa"/>
            <w:tcBorders>
              <w:top w:val="single" w:color="auto" w:sz="4" w:space="0"/>
              <w:left w:val="single" w:color="auto" w:sz="4" w:space="0"/>
              <w:bottom w:val="single" w:color="auto" w:sz="8" w:space="0"/>
              <w:right w:val="single" w:color="auto" w:sz="8" w:space="0"/>
            </w:tcBorders>
            <w:vAlign w:val="center"/>
          </w:tcPr>
          <w:p>
            <w:pPr>
              <w:widowControl/>
              <w:snapToGrid w:val="0"/>
              <w:jc w:val="center"/>
              <w:rPr>
                <w:rFonts w:ascii="宋体" w:hAnsi="宋体" w:cs="宋体"/>
                <w:color w:val="auto"/>
                <w:kern w:val="0"/>
                <w:sz w:val="28"/>
                <w:szCs w:val="28"/>
                <w:highlight w:val="none"/>
              </w:rPr>
            </w:pPr>
          </w:p>
        </w:tc>
        <w:tc>
          <w:tcPr>
            <w:tcW w:w="15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color w:val="auto"/>
                <w:kern w:val="0"/>
                <w:sz w:val="28"/>
                <w:szCs w:val="28"/>
                <w:highlight w:val="none"/>
              </w:rPr>
            </w:pPr>
          </w:p>
        </w:tc>
      </w:tr>
    </w:tbl>
    <w:p>
      <w:pPr>
        <w:widowControl/>
        <w:snapToGrid w:val="0"/>
        <w:jc w:val="right"/>
        <w:rPr>
          <w:rFonts w:ascii="宋体" w:hAnsi="宋体" w:cs="宋体"/>
          <w:color w:val="auto"/>
          <w:sz w:val="24"/>
          <w:highlight w:val="none"/>
        </w:rPr>
      </w:pPr>
    </w:p>
    <w:p>
      <w:pPr>
        <w:autoSpaceDE w:val="0"/>
        <w:adjustRightInd w:val="0"/>
        <w:snapToGrid w:val="0"/>
        <w:ind w:firstLine="3735" w:firstLineChars="1550"/>
        <w:rPr>
          <w:rFonts w:ascii="宋体" w:hAnsi="宋体" w:cs="宋体"/>
          <w:b/>
          <w:bCs/>
          <w:color w:val="auto"/>
          <w:kern w:val="0"/>
          <w:sz w:val="24"/>
          <w:highlight w:val="non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ind w:left="540" w:firstLine="30"/>
        <w:jc w:val="center"/>
        <w:rPr>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附件八</w:t>
      </w:r>
    </w:p>
    <w:p>
      <w:pPr>
        <w:widowControl/>
        <w:snapToGrid w:val="0"/>
        <w:ind w:firstLine="3238" w:firstLineChars="896"/>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法定代表人授权书</w:t>
      </w:r>
    </w:p>
    <w:p>
      <w:pPr>
        <w:widowControl/>
        <w:snapToGrid w:val="0"/>
        <w:rPr>
          <w:rFonts w:ascii="宋体" w:hAnsi="宋体" w:cs="宋体"/>
          <w:color w:val="auto"/>
          <w:kern w:val="0"/>
          <w:sz w:val="24"/>
          <w:highlight w:val="none"/>
        </w:rPr>
      </w:pPr>
    </w:p>
    <w:p>
      <w:pPr>
        <w:widowControl/>
        <w:snapToGrid w:val="0"/>
        <w:rPr>
          <w:rFonts w:ascii="宋体" w:hAnsi="宋体" w:cs="宋体"/>
          <w:color w:val="auto"/>
          <w:kern w:val="0"/>
          <w:sz w:val="30"/>
          <w:szCs w:val="30"/>
          <w:highlight w:val="none"/>
        </w:rPr>
      </w:pPr>
      <w:r>
        <w:rPr>
          <w:rFonts w:hint="eastAsia" w:ascii="宋体" w:hAnsi="宋体" w:cs="宋体"/>
          <w:color w:val="auto"/>
          <w:kern w:val="0"/>
          <w:sz w:val="30"/>
          <w:szCs w:val="30"/>
          <w:highlight w:val="none"/>
          <w:lang w:eastAsia="zh-CN"/>
        </w:rPr>
        <w:t>欧邦工程管理集团有限公司</w:t>
      </w:r>
      <w:r>
        <w:rPr>
          <w:rFonts w:hint="eastAsia" w:ascii="宋体" w:hAnsi="宋体" w:cs="宋体"/>
          <w:color w:val="auto"/>
          <w:kern w:val="0"/>
          <w:sz w:val="30"/>
          <w:szCs w:val="30"/>
          <w:highlight w:val="none"/>
        </w:rPr>
        <w:t>：</w:t>
      </w:r>
    </w:p>
    <w:p>
      <w:pPr>
        <w:pStyle w:val="42"/>
        <w:autoSpaceDE w:val="0"/>
        <w:adjustRightInd w:val="0"/>
        <w:snapToGrid w:val="0"/>
        <w:ind w:firstLine="600" w:firstLineChars="200"/>
        <w:rPr>
          <w:rFonts w:cs="宋体"/>
          <w:color w:val="auto"/>
          <w:sz w:val="30"/>
          <w:szCs w:val="30"/>
          <w:highlight w:val="none"/>
        </w:rPr>
      </w:pPr>
      <w:r>
        <w:rPr>
          <w:rFonts w:hint="eastAsia" w:cs="宋体"/>
          <w:color w:val="auto"/>
          <w:sz w:val="30"/>
          <w:szCs w:val="30"/>
          <w:highlight w:val="none"/>
        </w:rPr>
        <w:t>本授权书声明：注册于</w:t>
      </w:r>
      <w:r>
        <w:rPr>
          <w:rFonts w:hint="eastAsia" w:cs="宋体"/>
          <w:color w:val="auto"/>
          <w:sz w:val="30"/>
          <w:szCs w:val="30"/>
          <w:highlight w:val="none"/>
          <w:u w:val="single"/>
        </w:rPr>
        <w:t xml:space="preserve">                  </w:t>
      </w:r>
      <w:r>
        <w:rPr>
          <w:rFonts w:hint="eastAsia" w:cs="宋体"/>
          <w:color w:val="auto"/>
          <w:sz w:val="30"/>
          <w:szCs w:val="30"/>
          <w:highlight w:val="none"/>
        </w:rPr>
        <w:t>（投标供应商地址）的</w:t>
      </w:r>
      <w:r>
        <w:rPr>
          <w:rFonts w:hint="eastAsia" w:cs="宋体"/>
          <w:color w:val="auto"/>
          <w:sz w:val="30"/>
          <w:szCs w:val="30"/>
          <w:highlight w:val="none"/>
          <w:u w:val="single"/>
        </w:rPr>
        <w:t xml:space="preserve">                      </w:t>
      </w:r>
      <w:r>
        <w:rPr>
          <w:rFonts w:hint="eastAsia" w:cs="宋体"/>
          <w:color w:val="auto"/>
          <w:sz w:val="30"/>
          <w:szCs w:val="30"/>
          <w:highlight w:val="none"/>
        </w:rPr>
        <w:t>（投标供应商名称）</w:t>
      </w:r>
      <w:r>
        <w:rPr>
          <w:rFonts w:hint="eastAsia" w:cs="宋体"/>
          <w:color w:val="auto"/>
          <w:sz w:val="30"/>
          <w:szCs w:val="30"/>
          <w:highlight w:val="none"/>
          <w:u w:val="single"/>
        </w:rPr>
        <w:t>            </w:t>
      </w:r>
      <w:r>
        <w:rPr>
          <w:rFonts w:hint="eastAsia" w:cs="宋体"/>
          <w:color w:val="auto"/>
          <w:sz w:val="30"/>
          <w:szCs w:val="30"/>
          <w:highlight w:val="none"/>
        </w:rPr>
        <w:t>法定代表人（法定代表人职务、姓名）代表本公司授权在下面签字的</w:t>
      </w:r>
      <w:r>
        <w:rPr>
          <w:rFonts w:hint="eastAsia" w:cs="宋体"/>
          <w:color w:val="auto"/>
          <w:sz w:val="30"/>
          <w:szCs w:val="30"/>
          <w:highlight w:val="none"/>
          <w:u w:val="single"/>
        </w:rPr>
        <w:t xml:space="preserve">        </w:t>
      </w:r>
      <w:r>
        <w:rPr>
          <w:rFonts w:hint="eastAsia" w:cs="宋体"/>
          <w:color w:val="auto"/>
          <w:sz w:val="30"/>
          <w:szCs w:val="30"/>
          <w:highlight w:val="none"/>
        </w:rPr>
        <w:t>（全权代表人姓名、职务）为本公司的合法代理人，就贵方组织的</w:t>
      </w:r>
      <w:r>
        <w:rPr>
          <w:rFonts w:hint="eastAsia" w:cs="宋体"/>
          <w:color w:val="auto"/>
          <w:sz w:val="30"/>
          <w:szCs w:val="30"/>
          <w:highlight w:val="none"/>
          <w:u w:val="single"/>
          <w:lang w:eastAsia="zh-CN"/>
        </w:rPr>
        <w:t>建德市长运物资有限公司6.5米级纯电动站立位公交车采购项目</w:t>
      </w:r>
      <w:r>
        <w:rPr>
          <w:rFonts w:hint="eastAsia" w:cs="宋体"/>
          <w:color w:val="auto"/>
          <w:sz w:val="30"/>
          <w:szCs w:val="30"/>
          <w:highlight w:val="none"/>
        </w:rPr>
        <w:t>（招标编号：</w:t>
      </w:r>
      <w:r>
        <w:rPr>
          <w:rFonts w:hint="eastAsia" w:cs="宋体"/>
          <w:color w:val="auto"/>
          <w:sz w:val="30"/>
          <w:szCs w:val="30"/>
          <w:highlight w:val="none"/>
          <w:lang w:eastAsia="zh-CN"/>
        </w:rPr>
        <w:t>JDOBCG2024B-035</w:t>
      </w:r>
      <w:r>
        <w:rPr>
          <w:rFonts w:hint="eastAsia" w:cs="宋体"/>
          <w:color w:val="auto"/>
          <w:sz w:val="30"/>
          <w:szCs w:val="30"/>
          <w:highlight w:val="none"/>
        </w:rPr>
        <w:t>）以本公司名义处理一切与之有关的事务。</w:t>
      </w:r>
    </w:p>
    <w:p>
      <w:pPr>
        <w:widowControl/>
        <w:snapToGrid w:val="0"/>
        <w:spacing w:line="360" w:lineRule="auto"/>
        <w:rPr>
          <w:rFonts w:ascii="宋体" w:hAnsi="宋体" w:cs="宋体"/>
          <w:color w:val="auto"/>
          <w:kern w:val="0"/>
          <w:sz w:val="30"/>
          <w:szCs w:val="30"/>
          <w:highlight w:val="none"/>
        </w:rPr>
      </w:pPr>
      <w:r>
        <w:rPr>
          <w:rFonts w:hint="eastAsia" w:ascii="宋体" w:hAnsi="宋体" w:cs="宋体"/>
          <w:color w:val="auto"/>
          <w:kern w:val="0"/>
          <w:sz w:val="30"/>
          <w:szCs w:val="30"/>
          <w:highlight w:val="none"/>
        </w:rPr>
        <w:t>    本授权书于</w:t>
      </w:r>
      <w:r>
        <w:rPr>
          <w:rFonts w:hint="eastAsia" w:ascii="宋体" w:hAnsi="宋体" w:cs="宋体"/>
          <w:color w:val="auto"/>
          <w:kern w:val="0"/>
          <w:sz w:val="30"/>
          <w:szCs w:val="30"/>
          <w:highlight w:val="none"/>
          <w:lang w:eastAsia="zh-CN"/>
        </w:rPr>
        <w:t>2023</w:t>
      </w:r>
      <w:r>
        <w:rPr>
          <w:rFonts w:hint="eastAsia" w:ascii="宋体" w:hAnsi="宋体" w:cs="宋体"/>
          <w:color w:val="auto"/>
          <w:kern w:val="0"/>
          <w:sz w:val="30"/>
          <w:szCs w:val="30"/>
          <w:highlight w:val="none"/>
        </w:rPr>
        <w:t xml:space="preserve">年 月 日签字生效，特此声明。 </w:t>
      </w:r>
    </w:p>
    <w:p>
      <w:pPr>
        <w:widowControl/>
        <w:snapToGrid w:val="0"/>
        <w:rPr>
          <w:rFonts w:ascii="宋体" w:hAnsi="宋体" w:cs="宋体"/>
          <w:color w:val="auto"/>
          <w:kern w:val="0"/>
          <w:sz w:val="30"/>
          <w:szCs w:val="30"/>
          <w:highlight w:val="none"/>
        </w:rPr>
      </w:pPr>
      <w:r>
        <w:rPr>
          <w:rFonts w:hint="eastAsia" w:ascii="宋体" w:hAnsi="宋体" w:cs="宋体"/>
          <w:color w:val="auto"/>
          <w:kern w:val="0"/>
          <w:sz w:val="30"/>
          <w:szCs w:val="30"/>
          <w:highlight w:val="none"/>
        </w:rPr>
        <w:t>          </w:t>
      </w:r>
    </w:p>
    <w:p>
      <w:pPr>
        <w:widowControl/>
        <w:snapToGrid w:val="0"/>
        <w:ind w:firstLine="900" w:firstLineChars="300"/>
        <w:rPr>
          <w:rFonts w:hint="default" w:ascii="宋体" w:hAnsi="宋体" w:eastAsia="宋体" w:cs="宋体"/>
          <w:color w:val="auto"/>
          <w:kern w:val="0"/>
          <w:sz w:val="30"/>
          <w:szCs w:val="30"/>
          <w:highlight w:val="none"/>
          <w:u w:val="single"/>
          <w:lang w:val="en-US" w:eastAsia="zh-CN"/>
        </w:rPr>
      </w:pPr>
      <w:r>
        <w:rPr>
          <w:rFonts w:hint="eastAsia" w:ascii="宋体" w:hAnsi="宋体" w:cs="宋体"/>
          <w:color w:val="auto"/>
          <w:kern w:val="0"/>
          <w:sz w:val="30"/>
          <w:szCs w:val="30"/>
          <w:highlight w:val="none"/>
        </w:rPr>
        <w:t>法定代表人签字：</w:t>
      </w:r>
      <w:r>
        <w:rPr>
          <w:rFonts w:hint="eastAsia" w:ascii="宋体" w:hAnsi="宋体" w:cs="宋体"/>
          <w:color w:val="auto"/>
          <w:kern w:val="0"/>
          <w:sz w:val="30"/>
          <w:szCs w:val="30"/>
          <w:highlight w:val="none"/>
          <w:u w:val="single"/>
          <w:lang w:val="en-US" w:eastAsia="zh-CN"/>
        </w:rPr>
        <w:t xml:space="preserve">                       </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职  务： </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单位名称： </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办公地址：</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联系电话：</w:t>
      </w:r>
    </w:p>
    <w:p>
      <w:pPr>
        <w:widowControl/>
        <w:snapToGrid w:val="0"/>
        <w:ind w:firstLine="900" w:firstLineChars="300"/>
        <w:rPr>
          <w:rFonts w:hint="eastAsia" w:ascii="宋体" w:hAnsi="宋体" w:cs="宋体"/>
          <w:color w:val="auto"/>
          <w:kern w:val="0"/>
          <w:sz w:val="30"/>
          <w:szCs w:val="30"/>
          <w:highlight w:val="none"/>
        </w:rPr>
      </w:pPr>
    </w:p>
    <w:p>
      <w:pPr>
        <w:widowControl/>
        <w:snapToGrid w:val="0"/>
        <w:ind w:firstLine="900" w:firstLineChars="300"/>
        <w:rPr>
          <w:rFonts w:hint="default" w:ascii="宋体" w:hAnsi="宋体" w:eastAsia="宋体" w:cs="宋体"/>
          <w:color w:val="auto"/>
          <w:kern w:val="0"/>
          <w:sz w:val="30"/>
          <w:szCs w:val="30"/>
          <w:highlight w:val="none"/>
          <w:u w:val="single"/>
          <w:lang w:val="en-US" w:eastAsia="zh-CN"/>
        </w:rPr>
      </w:pPr>
      <w:r>
        <w:rPr>
          <w:rFonts w:hint="eastAsia" w:ascii="宋体" w:hAnsi="宋体" w:cs="宋体"/>
          <w:color w:val="auto"/>
          <w:kern w:val="0"/>
          <w:sz w:val="30"/>
          <w:szCs w:val="30"/>
          <w:highlight w:val="none"/>
        </w:rPr>
        <w:t>全权代表人签字：</w:t>
      </w:r>
      <w:r>
        <w:rPr>
          <w:rFonts w:hint="eastAsia" w:ascii="宋体" w:hAnsi="宋体" w:cs="宋体"/>
          <w:color w:val="auto"/>
          <w:kern w:val="0"/>
          <w:sz w:val="30"/>
          <w:szCs w:val="30"/>
          <w:highlight w:val="none"/>
          <w:u w:val="single"/>
          <w:lang w:val="en-US" w:eastAsia="zh-CN"/>
        </w:rPr>
        <w:t xml:space="preserve">                         </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职  务：</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身份证号： </w:t>
      </w:r>
    </w:p>
    <w:p>
      <w:pPr>
        <w:widowControl/>
        <w:snapToGrid w:val="0"/>
        <w:ind w:firstLine="1800" w:firstLineChars="6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单位名称：</w:t>
      </w:r>
    </w:p>
    <w:p>
      <w:pPr>
        <w:widowControl/>
        <w:snapToGrid w:val="0"/>
        <w:ind w:firstLine="1800" w:firstLineChars="6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办公地址：</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联系电话：</w:t>
      </w:r>
    </w:p>
    <w:p>
      <w:pPr>
        <w:widowControl/>
        <w:snapToGrid w:val="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传  真：</w:t>
      </w:r>
    </w:p>
    <w:p>
      <w:pPr>
        <w:widowControl/>
        <w:snapToGrid w:val="0"/>
        <w:ind w:firstLine="1800" w:firstLineChars="600"/>
        <w:rPr>
          <w:rFonts w:ascii="宋体" w:hAnsi="宋体" w:cs="宋体"/>
          <w:color w:val="auto"/>
          <w:kern w:val="0"/>
          <w:sz w:val="30"/>
          <w:szCs w:val="30"/>
          <w:highlight w:val="none"/>
        </w:rPr>
      </w:pPr>
      <w:r>
        <w:rPr>
          <w:rFonts w:hint="eastAsia" w:ascii="宋体" w:hAnsi="宋体" w:cs="宋体"/>
          <w:color w:val="auto"/>
          <w:kern w:val="0"/>
          <w:sz w:val="30"/>
          <w:szCs w:val="30"/>
          <w:highlight w:val="none"/>
        </w:rPr>
        <w:t>邮政编码：</w:t>
      </w:r>
    </w:p>
    <w:p>
      <w:pPr>
        <w:widowControl/>
        <w:snapToGrid w:val="0"/>
        <w:ind w:firstLine="1500" w:firstLineChars="500"/>
        <w:rPr>
          <w:rFonts w:ascii="宋体" w:hAnsi="宋体" w:cs="宋体"/>
          <w:color w:val="auto"/>
          <w:kern w:val="0"/>
          <w:sz w:val="30"/>
          <w:szCs w:val="30"/>
          <w:highlight w:val="none"/>
        </w:rPr>
      </w:pPr>
    </w:p>
    <w:p>
      <w:pPr>
        <w:widowControl/>
        <w:snapToGrid w:val="0"/>
        <w:ind w:firstLine="600" w:firstLineChars="200"/>
        <w:rPr>
          <w:rFonts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w:t>
      </w:r>
    </w:p>
    <w:p>
      <w:pPr>
        <w:widowControl/>
        <w:snapToGrid w:val="0"/>
        <w:ind w:firstLine="600" w:firstLineChars="200"/>
        <w:rPr>
          <w:rFonts w:ascii="宋体" w:hAnsi="宋体" w:cs="宋体"/>
          <w:color w:val="auto"/>
          <w:kern w:val="0"/>
          <w:sz w:val="30"/>
          <w:szCs w:val="30"/>
          <w:highlight w:val="none"/>
        </w:rPr>
      </w:pPr>
    </w:p>
    <w:p>
      <w:pPr>
        <w:widowControl/>
        <w:snapToGrid w:val="0"/>
        <w:jc w:val="center"/>
        <w:rPr>
          <w:rFonts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w:t>
      </w: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投标供应商公章：</w:t>
      </w:r>
    </w:p>
    <w:p>
      <w:pPr>
        <w:widowControl/>
        <w:snapToGrid w:val="0"/>
        <w:rPr>
          <w:rFonts w:ascii="宋体" w:hAnsi="宋体" w:cs="宋体"/>
          <w:color w:val="auto"/>
          <w:kern w:val="0"/>
          <w:sz w:val="30"/>
          <w:szCs w:val="30"/>
          <w:highlight w:val="none"/>
        </w:rPr>
      </w:pPr>
      <w:r>
        <w:rPr>
          <w:rFonts w:hint="eastAsia" w:ascii="宋体" w:hAnsi="宋体" w:cs="宋体"/>
          <w:color w:val="auto"/>
          <w:kern w:val="0"/>
          <w:sz w:val="30"/>
          <w:szCs w:val="30"/>
          <w:highlight w:val="none"/>
        </w:rPr>
        <w:t> </w:t>
      </w:r>
    </w:p>
    <w:p>
      <w:pPr>
        <w:widowControl/>
        <w:snapToGrid w:val="0"/>
        <w:jc w:val="center"/>
        <w:rPr>
          <w:rFonts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w:t>
      </w:r>
      <w:r>
        <w:rPr>
          <w:rFonts w:hint="eastAsia" w:ascii="宋体" w:hAnsi="宋体" w:cs="宋体"/>
          <w:color w:val="auto"/>
          <w:kern w:val="0"/>
          <w:sz w:val="30"/>
          <w:szCs w:val="30"/>
          <w:highlight w:val="none"/>
          <w:lang w:eastAsia="zh-CN"/>
        </w:rPr>
        <w:t>202</w:t>
      </w:r>
      <w:r>
        <w:rPr>
          <w:rFonts w:hint="eastAsia" w:ascii="宋体" w:hAnsi="宋体" w:cs="宋体"/>
          <w:color w:val="auto"/>
          <w:kern w:val="0"/>
          <w:sz w:val="30"/>
          <w:szCs w:val="30"/>
          <w:highlight w:val="none"/>
          <w:lang w:val="en-US" w:eastAsia="zh-CN"/>
        </w:rPr>
        <w:t>4</w:t>
      </w:r>
      <w:r>
        <w:rPr>
          <w:rFonts w:hint="eastAsia" w:ascii="宋体" w:hAnsi="宋体" w:cs="宋体"/>
          <w:color w:val="auto"/>
          <w:kern w:val="0"/>
          <w:sz w:val="30"/>
          <w:szCs w:val="30"/>
          <w:highlight w:val="none"/>
        </w:rPr>
        <w:t>年  月  日</w:t>
      </w: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附件九</w:t>
      </w:r>
    </w:p>
    <w:p>
      <w:pPr>
        <w:jc w:val="center"/>
        <w:rPr>
          <w:rFonts w:ascii="宋体" w:hAnsi="宋体" w:cs="宋体"/>
          <w:b/>
          <w:color w:val="auto"/>
          <w:spacing w:val="20"/>
          <w:kern w:val="4"/>
          <w:sz w:val="36"/>
          <w:szCs w:val="36"/>
          <w:highlight w:val="none"/>
        </w:rPr>
      </w:pPr>
      <w:r>
        <w:rPr>
          <w:rFonts w:hint="eastAsia" w:ascii="宋体" w:hAnsi="宋体" w:cs="宋体"/>
          <w:b/>
          <w:color w:val="auto"/>
          <w:spacing w:val="20"/>
          <w:kern w:val="4"/>
          <w:sz w:val="36"/>
          <w:szCs w:val="36"/>
          <w:highlight w:val="none"/>
        </w:rPr>
        <w:t>关于资格的声明函</w:t>
      </w:r>
    </w:p>
    <w:p>
      <w:pPr>
        <w:ind w:left="540" w:firstLine="30"/>
        <w:jc w:val="center"/>
        <w:rPr>
          <w:rFonts w:ascii="宋体" w:hAnsi="宋体" w:cs="宋体"/>
          <w:b/>
          <w:color w:val="auto"/>
          <w:sz w:val="36"/>
          <w:szCs w:val="36"/>
          <w:highlight w:val="none"/>
        </w:rPr>
      </w:pPr>
    </w:p>
    <w:p>
      <w:pPr>
        <w:spacing w:line="600" w:lineRule="exact"/>
        <w:rPr>
          <w:rFonts w:ascii="宋体" w:hAnsi="宋体" w:cs="宋体"/>
          <w:color w:val="auto"/>
          <w:sz w:val="28"/>
          <w:szCs w:val="28"/>
          <w:highlight w:val="none"/>
        </w:rPr>
      </w:pPr>
      <w:r>
        <w:rPr>
          <w:rFonts w:hint="eastAsia" w:ascii="宋体" w:hAnsi="宋体" w:cs="宋体"/>
          <w:color w:val="auto"/>
          <w:sz w:val="28"/>
          <w:szCs w:val="28"/>
          <w:highlight w:val="none"/>
          <w:lang w:eastAsia="zh-CN"/>
        </w:rPr>
        <w:t>欧邦工程管理集团有限公司</w:t>
      </w:r>
      <w:r>
        <w:rPr>
          <w:rFonts w:hint="eastAsia" w:ascii="宋体" w:hAnsi="宋体" w:cs="宋体"/>
          <w:color w:val="auto"/>
          <w:sz w:val="28"/>
          <w:szCs w:val="28"/>
          <w:highlight w:val="none"/>
        </w:rPr>
        <w:t>：</w:t>
      </w:r>
    </w:p>
    <w:p>
      <w:pPr>
        <w:spacing w:line="60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关于贵方</w:t>
      </w:r>
      <w:r>
        <w:rPr>
          <w:rFonts w:hint="eastAsia" w:ascii="宋体" w:hAnsi="宋体" w:cs="宋体"/>
          <w:color w:val="auto"/>
          <w:sz w:val="28"/>
          <w:szCs w:val="28"/>
          <w:highlight w:val="none"/>
          <w:lang w:eastAsia="zh-CN"/>
        </w:rPr>
        <w:t>2023</w:t>
      </w:r>
      <w:r>
        <w:rPr>
          <w:rFonts w:hint="eastAsia" w:ascii="宋体" w:hAnsi="宋体" w:cs="宋体"/>
          <w:color w:val="auto"/>
          <w:sz w:val="28"/>
          <w:szCs w:val="28"/>
          <w:highlight w:val="none"/>
        </w:rPr>
        <w:t>年  月 日</w:t>
      </w:r>
      <w:r>
        <w:rPr>
          <w:rFonts w:hint="eastAsia" w:ascii="宋体" w:hAnsi="宋体" w:cs="宋体"/>
          <w:bCs/>
          <w:color w:val="auto"/>
          <w:sz w:val="28"/>
          <w:szCs w:val="28"/>
          <w:highlight w:val="none"/>
          <w:u w:val="single"/>
          <w:lang w:eastAsia="zh-CN"/>
        </w:rPr>
        <w:t>建德市长运物资有限公司6.5米级纯电动站立位公交车采购项目</w:t>
      </w:r>
      <w:r>
        <w:rPr>
          <w:rFonts w:hint="eastAsia" w:ascii="宋体" w:hAnsi="宋体" w:cs="宋体"/>
          <w:color w:val="auto"/>
          <w:sz w:val="30"/>
          <w:szCs w:val="30"/>
          <w:highlight w:val="none"/>
        </w:rPr>
        <w:t>（</w:t>
      </w:r>
      <w:r>
        <w:rPr>
          <w:rFonts w:hint="eastAsia" w:ascii="宋体" w:hAnsi="宋体" w:cs="宋体"/>
          <w:color w:val="auto"/>
          <w:sz w:val="28"/>
          <w:szCs w:val="28"/>
          <w:highlight w:val="none"/>
        </w:rPr>
        <w:t>编号为</w:t>
      </w:r>
      <w:r>
        <w:rPr>
          <w:rFonts w:hint="eastAsia" w:ascii="宋体" w:hAnsi="宋体" w:cs="宋体"/>
          <w:color w:val="auto"/>
          <w:sz w:val="28"/>
          <w:szCs w:val="28"/>
          <w:highlight w:val="none"/>
          <w:u w:val="single"/>
          <w:lang w:eastAsia="zh-CN"/>
        </w:rPr>
        <w:t>JDOBCG2024B-035</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）的投标邀请，本公司愿意参加投标，并证明提交的下列文件和说明是准确和真实的。</w:t>
      </w:r>
    </w:p>
    <w:p>
      <w:pPr>
        <w:spacing w:line="60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1、工商营业执照年检后副本复印件（加盖公章）</w:t>
      </w:r>
    </w:p>
    <w:p>
      <w:pPr>
        <w:spacing w:line="60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、投标方一般情况。</w:t>
      </w:r>
    </w:p>
    <w:p>
      <w:pPr>
        <w:spacing w:line="600" w:lineRule="exact"/>
        <w:ind w:firstLine="6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、相关资质证明材料</w:t>
      </w:r>
    </w:p>
    <w:p>
      <w:pPr>
        <w:spacing w:line="600" w:lineRule="exact"/>
        <w:jc w:val="center"/>
        <w:rPr>
          <w:rFonts w:ascii="宋体" w:hAnsi="宋体" w:cs="宋体"/>
          <w:color w:val="auto"/>
          <w:sz w:val="28"/>
          <w:szCs w:val="28"/>
          <w:highlight w:val="none"/>
        </w:rPr>
      </w:pPr>
    </w:p>
    <w:p>
      <w:pPr>
        <w:spacing w:line="600" w:lineRule="exact"/>
        <w:jc w:val="center"/>
        <w:rPr>
          <w:rFonts w:ascii="宋体" w:hAnsi="宋体" w:cs="宋体"/>
          <w:color w:val="auto"/>
          <w:sz w:val="28"/>
          <w:szCs w:val="28"/>
          <w:highlight w:val="none"/>
        </w:rPr>
      </w:pPr>
    </w:p>
    <w:p>
      <w:pPr>
        <w:adjustRightInd w:val="0"/>
        <w:snapToGrid w:val="0"/>
        <w:rPr>
          <w:rFonts w:ascii="宋体" w:hAnsi="宋体" w:cs="宋体"/>
          <w:color w:val="auto"/>
          <w:sz w:val="28"/>
          <w:szCs w:val="28"/>
          <w:highlight w:val="none"/>
          <w:u w:val="singl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spacing w:line="600" w:lineRule="exact"/>
        <w:jc w:val="cente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spacing w:line="480" w:lineRule="auto"/>
        <w:jc w:val="left"/>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br w:type="page"/>
      </w:r>
    </w:p>
    <w:p>
      <w:pPr>
        <w:spacing w:line="480" w:lineRule="auto"/>
        <w:jc w:val="left"/>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附件十</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投标方一般情况</w:t>
      </w:r>
    </w:p>
    <w:tbl>
      <w:tblPr>
        <w:tblStyle w:val="46"/>
        <w:tblW w:w="83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935"/>
        <w:gridCol w:w="958"/>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7636" w:type="dxa"/>
            <w:gridSpan w:val="3"/>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2</w:t>
            </w:r>
          </w:p>
        </w:tc>
        <w:tc>
          <w:tcPr>
            <w:tcW w:w="7636" w:type="dxa"/>
            <w:gridSpan w:val="3"/>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3</w:t>
            </w:r>
          </w:p>
        </w:tc>
        <w:tc>
          <w:tcPr>
            <w:tcW w:w="7636" w:type="dxa"/>
            <w:gridSpan w:val="3"/>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4</w:t>
            </w:r>
          </w:p>
        </w:tc>
        <w:tc>
          <w:tcPr>
            <w:tcW w:w="3893" w:type="dxa"/>
            <w:gridSpan w:val="2"/>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电  话：</w:t>
            </w:r>
          </w:p>
        </w:tc>
        <w:tc>
          <w:tcPr>
            <w:tcW w:w="3743" w:type="dxa"/>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5</w:t>
            </w:r>
          </w:p>
        </w:tc>
        <w:tc>
          <w:tcPr>
            <w:tcW w:w="3893" w:type="dxa"/>
            <w:gridSpan w:val="2"/>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传  真：</w:t>
            </w:r>
          </w:p>
        </w:tc>
        <w:tc>
          <w:tcPr>
            <w:tcW w:w="3743" w:type="dxa"/>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6</w:t>
            </w:r>
          </w:p>
        </w:tc>
        <w:tc>
          <w:tcPr>
            <w:tcW w:w="3893" w:type="dxa"/>
            <w:gridSpan w:val="2"/>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注册地：</w:t>
            </w:r>
          </w:p>
        </w:tc>
        <w:tc>
          <w:tcPr>
            <w:tcW w:w="3743" w:type="dxa"/>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7</w:t>
            </w:r>
          </w:p>
        </w:tc>
        <w:tc>
          <w:tcPr>
            <w:tcW w:w="7636" w:type="dxa"/>
            <w:gridSpan w:val="3"/>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8</w:t>
            </w:r>
          </w:p>
        </w:tc>
        <w:tc>
          <w:tcPr>
            <w:tcW w:w="7636" w:type="dxa"/>
            <w:gridSpan w:val="3"/>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65" w:type="dxa"/>
            <w:vAlign w:val="center"/>
          </w:tcPr>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9</w:t>
            </w:r>
          </w:p>
        </w:tc>
        <w:tc>
          <w:tcPr>
            <w:tcW w:w="2935" w:type="dxa"/>
            <w:vAlign w:val="center"/>
          </w:tcPr>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其他需要说明的情况</w:t>
            </w:r>
          </w:p>
        </w:tc>
        <w:tc>
          <w:tcPr>
            <w:tcW w:w="4701" w:type="dxa"/>
            <w:gridSpan w:val="2"/>
            <w:vAlign w:val="center"/>
          </w:tcPr>
          <w:p>
            <w:pPr>
              <w:spacing w:line="360" w:lineRule="auto"/>
              <w:rPr>
                <w:rFonts w:ascii="宋体" w:hAnsi="宋体" w:cs="宋体"/>
                <w:color w:val="auto"/>
                <w:sz w:val="28"/>
                <w:szCs w:val="28"/>
                <w:highlight w:val="none"/>
              </w:rPr>
            </w:pPr>
          </w:p>
        </w:tc>
      </w:tr>
    </w:tbl>
    <w:p>
      <w:pPr>
        <w:ind w:firstLine="573"/>
        <w:rPr>
          <w:rFonts w:ascii="宋体" w:hAnsi="宋体" w:cs="宋体"/>
          <w:color w:val="auto"/>
          <w:sz w:val="28"/>
          <w:szCs w:val="28"/>
          <w:highlight w:val="none"/>
        </w:rPr>
      </w:pPr>
      <w:r>
        <w:rPr>
          <w:rFonts w:hint="eastAsia" w:ascii="宋体" w:hAnsi="宋体" w:cs="宋体"/>
          <w:color w:val="auto"/>
          <w:sz w:val="28"/>
          <w:szCs w:val="28"/>
          <w:highlight w:val="none"/>
        </w:rPr>
        <w:t>说明：所有独立投标申请人或联合体成员都须填写此表；</w:t>
      </w:r>
    </w:p>
    <w:p>
      <w:pPr>
        <w:jc w:val="center"/>
        <w:rPr>
          <w:rFonts w:ascii="宋体" w:hAnsi="宋体" w:cs="宋体"/>
          <w:color w:val="auto"/>
          <w:sz w:val="28"/>
          <w:szCs w:val="28"/>
          <w:highlight w:val="none"/>
        </w:rPr>
      </w:pPr>
    </w:p>
    <w:p>
      <w:pPr>
        <w:autoSpaceDE w:val="0"/>
        <w:adjustRightInd w:val="0"/>
        <w:snapToGrid w:val="0"/>
        <w:ind w:firstLine="3614" w:firstLineChars="1500"/>
        <w:jc w:val="left"/>
        <w:rPr>
          <w:rFonts w:ascii="宋体" w:hAnsi="宋体" w:cs="宋体"/>
          <w:b/>
          <w:bCs/>
          <w:color w:val="auto"/>
          <w:kern w:val="0"/>
          <w:sz w:val="24"/>
          <w:highlight w:val="non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adjustRightInd w:val="0"/>
        <w:snapToGrid w:val="0"/>
        <w:jc w:val="center"/>
        <w:rPr>
          <w:rFonts w:ascii="宋体" w:hAnsi="宋体" w:cs="宋体"/>
          <w:color w:val="auto"/>
          <w:sz w:val="28"/>
          <w:szCs w:val="28"/>
          <w:highlight w:val="none"/>
          <w:u w:val="single"/>
        </w:rPr>
      </w:pPr>
    </w:p>
    <w:p>
      <w:pPr>
        <w:snapToGrid w:val="0"/>
        <w:spacing w:before="50" w:afterLines="50" w:line="360" w:lineRule="auto"/>
        <w:jc w:val="left"/>
        <w:rPr>
          <w:rFonts w:ascii="宋体" w:hAnsi="宋体" w:cs="宋体"/>
          <w:b/>
          <w:color w:val="auto"/>
          <w:sz w:val="30"/>
          <w:szCs w:val="30"/>
          <w:highlight w:val="none"/>
        </w:rPr>
      </w:pPr>
    </w:p>
    <w:p>
      <w:pPr>
        <w:snapToGrid w:val="0"/>
        <w:spacing w:before="50" w:afterLines="50" w:line="360" w:lineRule="auto"/>
        <w:jc w:val="left"/>
        <w:rPr>
          <w:rFonts w:ascii="宋体" w:hAnsi="宋体" w:cs="宋体"/>
          <w:b/>
          <w:color w:val="auto"/>
          <w:sz w:val="30"/>
          <w:szCs w:val="30"/>
          <w:highlight w:val="none"/>
        </w:rPr>
      </w:pPr>
    </w:p>
    <w:p>
      <w:pPr>
        <w:snapToGrid w:val="0"/>
        <w:spacing w:before="50" w:afterLines="50" w:line="360" w:lineRule="auto"/>
        <w:jc w:val="left"/>
        <w:rPr>
          <w:rFonts w:ascii="宋体" w:hAnsi="宋体" w:cs="宋体"/>
          <w:b/>
          <w:color w:val="auto"/>
          <w:sz w:val="30"/>
          <w:szCs w:val="30"/>
          <w:highlight w:val="none"/>
        </w:rPr>
      </w:pPr>
    </w:p>
    <w:p>
      <w:pPr>
        <w:jc w:val="left"/>
        <w:rPr>
          <w:rStyle w:val="97"/>
          <w:rFonts w:ascii="宋体" w:hAnsi="宋体" w:cs="宋体"/>
          <w:color w:val="auto"/>
          <w:sz w:val="30"/>
          <w:szCs w:val="32"/>
          <w:highlight w:val="none"/>
        </w:rPr>
      </w:pPr>
      <w:r>
        <w:rPr>
          <w:rStyle w:val="97"/>
          <w:rFonts w:hint="eastAsia" w:ascii="宋体" w:hAnsi="宋体" w:cs="宋体"/>
          <w:color w:val="auto"/>
          <w:sz w:val="30"/>
          <w:szCs w:val="32"/>
          <w:highlight w:val="none"/>
        </w:rPr>
        <w:t>附件十一：</w:t>
      </w:r>
    </w:p>
    <w:p>
      <w:pPr>
        <w:pStyle w:val="35"/>
        <w:snapToGrid w:val="0"/>
        <w:spacing w:line="360" w:lineRule="auto"/>
        <w:ind w:left="803" w:hanging="803"/>
        <w:jc w:val="center"/>
        <w:rPr>
          <w:rFonts w:ascii="宋体" w:hAnsi="宋体" w:cs="宋体"/>
          <w:b/>
          <w:color w:val="auto"/>
          <w:spacing w:val="20"/>
          <w:sz w:val="36"/>
          <w:szCs w:val="20"/>
          <w:highlight w:val="none"/>
        </w:rPr>
      </w:pPr>
      <w:r>
        <w:rPr>
          <w:rFonts w:hint="eastAsia" w:ascii="宋体" w:hAnsi="宋体" w:cs="宋体"/>
          <w:b/>
          <w:color w:val="auto"/>
          <w:spacing w:val="20"/>
          <w:sz w:val="36"/>
          <w:szCs w:val="20"/>
          <w:highlight w:val="none"/>
          <w:lang w:eastAsia="zh-CN"/>
        </w:rPr>
        <w:t>投标供应商</w:t>
      </w:r>
      <w:r>
        <w:rPr>
          <w:rFonts w:hint="eastAsia" w:ascii="宋体" w:hAnsi="宋体" w:cs="宋体"/>
          <w:b/>
          <w:color w:val="auto"/>
          <w:spacing w:val="20"/>
          <w:sz w:val="36"/>
          <w:szCs w:val="20"/>
          <w:highlight w:val="none"/>
        </w:rPr>
        <w:t>类似项目实施情况一览表</w:t>
      </w:r>
    </w:p>
    <w:p>
      <w:pPr>
        <w:pStyle w:val="35"/>
        <w:snapToGrid w:val="0"/>
        <w:spacing w:line="360" w:lineRule="auto"/>
        <w:ind w:left="666" w:leftChars="-85" w:hanging="844" w:hangingChars="264"/>
        <w:rPr>
          <w:rFonts w:ascii="宋体" w:hAnsi="宋体" w:cs="宋体"/>
          <w:b/>
          <w:color w:val="auto"/>
          <w:szCs w:val="28"/>
          <w:highlight w:val="none"/>
          <w:u w:val="single"/>
        </w:rPr>
      </w:pPr>
      <w:r>
        <w:rPr>
          <w:rFonts w:hint="eastAsia" w:ascii="宋体" w:hAnsi="宋体" w:cs="宋体"/>
          <w:color w:val="auto"/>
          <w:spacing w:val="20"/>
          <w:szCs w:val="28"/>
          <w:highlight w:val="none"/>
        </w:rPr>
        <w:t>招标编号：</w:t>
      </w:r>
      <w:r>
        <w:rPr>
          <w:rFonts w:hint="eastAsia" w:ascii="宋体" w:hAnsi="宋体" w:cs="宋体"/>
          <w:color w:val="auto"/>
          <w:highlight w:val="none"/>
          <w:lang w:eastAsia="zh-CN"/>
        </w:rPr>
        <w:t>JDOBCG2024B-035</w:t>
      </w:r>
      <w:r>
        <w:rPr>
          <w:rFonts w:hint="eastAsia" w:ascii="宋体" w:hAnsi="宋体" w:cs="宋体"/>
          <w:color w:val="auto"/>
          <w:highlight w:val="none"/>
        </w:rPr>
        <w:t xml:space="preserve">               </w:t>
      </w:r>
    </w:p>
    <w:tbl>
      <w:tblPr>
        <w:tblStyle w:val="46"/>
        <w:tblW w:w="92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1242"/>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368" w:type="dxa"/>
            <w:vMerge w:val="restart"/>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采购单位名称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采购</w:t>
            </w:r>
          </w:p>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合同</w:t>
            </w:r>
          </w:p>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金额</w:t>
            </w:r>
          </w:p>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（万元）</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附件页码</w:t>
            </w:r>
          </w:p>
        </w:tc>
        <w:tc>
          <w:tcPr>
            <w:tcW w:w="2025" w:type="dxa"/>
            <w:vMerge w:val="restart"/>
            <w:tcBorders>
              <w:top w:val="single" w:color="auto" w:sz="4" w:space="0"/>
              <w:left w:val="single" w:color="auto" w:sz="4" w:space="0"/>
              <w:bottom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1368"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hint="eastAsia" w:ascii="宋体" w:hAnsi="宋体" w:cs="宋体"/>
                <w:color w:val="auto"/>
                <w:sz w:val="24"/>
                <w:szCs w:val="24"/>
                <w:highlight w:val="none"/>
              </w:rPr>
              <w:t>合同</w:t>
            </w:r>
          </w:p>
        </w:tc>
        <w:tc>
          <w:tcPr>
            <w:tcW w:w="2025"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hAnsi="宋体" w:cs="宋体"/>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368" w:type="dxa"/>
            <w:tcBorders>
              <w:top w:val="single" w:color="auto" w:sz="4" w:space="0"/>
              <w:bottom w:val="single" w:color="auto" w:sz="4" w:space="0"/>
              <w:right w:val="single" w:color="auto" w:sz="4" w:space="0"/>
            </w:tcBorders>
            <w:vAlign w:val="center"/>
          </w:tcPr>
          <w:p>
            <w:pPr>
              <w:snapToGrid w:val="0"/>
              <w:spacing w:before="50" w:afterLines="50"/>
              <w:rPr>
                <w:rFonts w:ascii="宋体" w:hAnsi="宋体" w:cs="宋体"/>
                <w:color w:val="auto"/>
                <w:sz w:val="24"/>
                <w:szCs w:val="24"/>
                <w:highlight w:val="none"/>
              </w:rPr>
            </w:pPr>
            <w:r>
              <w:rPr>
                <w:rFonts w:hint="eastAsia" w:ascii="宋体" w:hAnsi="宋体" w:cs="宋体"/>
                <w:color w:val="auto"/>
                <w:sz w:val="24"/>
                <w:szCs w:val="24"/>
                <w:highlight w:val="none"/>
              </w:rPr>
              <w:t>备注</w:t>
            </w:r>
          </w:p>
        </w:tc>
        <w:tc>
          <w:tcPr>
            <w:tcW w:w="7839" w:type="dxa"/>
            <w:gridSpan w:val="6"/>
            <w:tcBorders>
              <w:top w:val="single" w:color="auto" w:sz="4" w:space="0"/>
              <w:left w:val="single" w:color="auto" w:sz="4" w:space="0"/>
              <w:bottom w:val="single" w:color="auto" w:sz="4" w:space="0"/>
            </w:tcBorders>
            <w:vAlign w:val="center"/>
          </w:tcPr>
          <w:p>
            <w:pPr>
              <w:snapToGrid w:val="0"/>
              <w:spacing w:before="50" w:afterLines="50"/>
              <w:rPr>
                <w:rFonts w:ascii="宋体" w:hAnsi="宋体" w:cs="宋体"/>
                <w:color w:val="auto"/>
                <w:sz w:val="24"/>
                <w:szCs w:val="24"/>
                <w:highlight w:val="none"/>
              </w:rPr>
            </w:pPr>
            <w:r>
              <w:rPr>
                <w:rFonts w:hint="eastAsia" w:ascii="宋体" w:hAnsi="宋体" w:cs="宋体"/>
                <w:color w:val="auto"/>
                <w:sz w:val="24"/>
                <w:szCs w:val="24"/>
                <w:highlight w:val="none"/>
              </w:rPr>
              <w:t>须提供</w:t>
            </w:r>
            <w:r>
              <w:rPr>
                <w:rFonts w:hint="eastAsia" w:ascii="宋体" w:hAnsi="宋体" w:cs="宋体"/>
                <w:color w:val="auto"/>
                <w:sz w:val="24"/>
                <w:szCs w:val="24"/>
                <w:highlight w:val="none"/>
                <w:lang w:eastAsia="zh-CN"/>
              </w:rPr>
              <w:t>投标供应商</w:t>
            </w:r>
            <w:r>
              <w:rPr>
                <w:rFonts w:hint="eastAsia" w:ascii="宋体" w:hAnsi="宋体" w:cs="宋体"/>
                <w:color w:val="auto"/>
                <w:sz w:val="24"/>
                <w:szCs w:val="24"/>
                <w:highlight w:val="none"/>
              </w:rPr>
              <w:t>同类项目合同复印件。</w:t>
            </w:r>
          </w:p>
        </w:tc>
      </w:tr>
    </w:tbl>
    <w:p>
      <w:pPr>
        <w:widowControl/>
        <w:snapToGrid w:val="0"/>
        <w:spacing w:line="480" w:lineRule="exact"/>
        <w:jc w:val="center"/>
        <w:rPr>
          <w:rFonts w:ascii="宋体" w:hAnsi="宋体" w:cs="宋体"/>
          <w:color w:val="auto"/>
          <w:kern w:val="0"/>
          <w:sz w:val="28"/>
          <w:szCs w:val="28"/>
          <w:highlight w:val="none"/>
        </w:rPr>
      </w:pPr>
    </w:p>
    <w:p>
      <w:pPr>
        <w:autoSpaceDE w:val="0"/>
        <w:adjustRightInd w:val="0"/>
        <w:snapToGrid w:val="0"/>
        <w:ind w:firstLine="3735" w:firstLineChars="1550"/>
        <w:rPr>
          <w:rFonts w:ascii="宋体" w:hAnsi="宋体" w:cs="宋体"/>
          <w:b/>
          <w:bCs/>
          <w:color w:val="auto"/>
          <w:kern w:val="0"/>
          <w:sz w:val="24"/>
          <w:highlight w:val="none"/>
        </w:rPr>
      </w:pP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全权代表(签字)：</w:t>
      </w:r>
    </w:p>
    <w:p>
      <w:pPr>
        <w:widowControl/>
        <w:snapToGrid w:val="0"/>
        <w:spacing w:line="360" w:lineRule="auto"/>
        <w:ind w:firstLine="5810" w:firstLineChars="2075"/>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投标供应商(盖章)：</w:t>
      </w:r>
    </w:p>
    <w:p>
      <w:pPr>
        <w:autoSpaceDE w:val="0"/>
        <w:adjustRightInd w:val="0"/>
        <w:snapToGrid w:val="0"/>
        <w:spacing w:line="360" w:lineRule="auto"/>
        <w:ind w:firstLine="5810" w:firstLineChars="2075"/>
        <w:rPr>
          <w:rFonts w:ascii="宋体" w:hAnsi="宋体" w:cs="宋体"/>
          <w:b/>
          <w:bCs/>
          <w:color w:val="auto"/>
          <w:kern w:val="0"/>
          <w:sz w:val="24"/>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eastAsia="zh-CN"/>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年 月  日</w:t>
      </w:r>
    </w:p>
    <w:p>
      <w:pPr>
        <w:spacing w:line="480" w:lineRule="auto"/>
        <w:jc w:val="left"/>
        <w:rPr>
          <w:rStyle w:val="97"/>
          <w:rFonts w:ascii="宋体" w:hAnsi="宋体" w:cs="宋体"/>
          <w:color w:val="auto"/>
          <w:sz w:val="30"/>
          <w:szCs w:val="30"/>
          <w:highlight w:val="none"/>
        </w:rPr>
      </w:pPr>
    </w:p>
    <w:p>
      <w:pPr>
        <w:spacing w:line="480" w:lineRule="auto"/>
        <w:jc w:val="left"/>
        <w:rPr>
          <w:rStyle w:val="97"/>
          <w:rFonts w:ascii="宋体" w:hAnsi="宋体" w:cs="宋体"/>
          <w:color w:val="auto"/>
          <w:sz w:val="30"/>
          <w:szCs w:val="30"/>
          <w:highlight w:val="none"/>
        </w:rPr>
      </w:pPr>
    </w:p>
    <w:p>
      <w:pPr>
        <w:rPr>
          <w:rStyle w:val="97"/>
          <w:rFonts w:ascii="宋体" w:hAnsi="宋体" w:cs="宋体"/>
          <w:color w:val="auto"/>
          <w:sz w:val="30"/>
          <w:szCs w:val="30"/>
          <w:highlight w:val="none"/>
        </w:rPr>
      </w:pPr>
    </w:p>
    <w:p>
      <w:pPr>
        <w:rPr>
          <w:rStyle w:val="97"/>
          <w:rFonts w:hint="eastAsia" w:ascii="宋体" w:hAnsi="宋体" w:cs="宋体"/>
          <w:color w:val="auto"/>
          <w:sz w:val="30"/>
          <w:szCs w:val="30"/>
          <w:highlight w:val="none"/>
        </w:rPr>
      </w:pPr>
    </w:p>
    <w:p>
      <w:pPr>
        <w:rPr>
          <w:rStyle w:val="97"/>
          <w:rFonts w:hint="eastAsia" w:ascii="宋体" w:hAnsi="宋体" w:cs="宋体"/>
          <w:color w:val="auto"/>
          <w:sz w:val="30"/>
          <w:szCs w:val="30"/>
          <w:highlight w:val="none"/>
        </w:rPr>
      </w:pPr>
    </w:p>
    <w:p>
      <w:pPr>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附件十二（1）投标文件封面格式</w:t>
      </w:r>
    </w:p>
    <w:p>
      <w:pPr>
        <w:ind w:firstLine="321" w:firstLineChars="100"/>
        <w:jc w:val="right"/>
        <w:rPr>
          <w:rFonts w:ascii="宋体" w:hAnsi="宋体" w:cs="宋体"/>
          <w:color w:val="auto"/>
          <w:sz w:val="32"/>
          <w:szCs w:val="32"/>
          <w:highlight w:val="none"/>
        </w:rPr>
      </w:pPr>
      <w:r>
        <w:rPr>
          <w:rFonts w:hint="eastAsia" w:ascii="宋体" w:hAnsi="宋体" w:cs="宋体"/>
          <w:b/>
          <w:color w:val="auto"/>
          <w:sz w:val="32"/>
          <w:szCs w:val="32"/>
          <w:highlight w:val="none"/>
        </w:rPr>
        <w:t>正（副）本</w:t>
      </w:r>
    </w:p>
    <w:p>
      <w:pPr>
        <w:jc w:val="center"/>
        <w:rPr>
          <w:rFonts w:ascii="宋体" w:hAnsi="宋体" w:cs="宋体"/>
          <w:b/>
          <w:color w:val="auto"/>
          <w:spacing w:val="-8"/>
          <w:sz w:val="52"/>
          <w:szCs w:val="52"/>
          <w:highlight w:val="none"/>
        </w:rPr>
      </w:pPr>
      <w:r>
        <w:rPr>
          <w:rFonts w:hint="eastAsia" w:ascii="宋体" w:hAnsi="宋体" w:cs="宋体"/>
          <w:b/>
          <w:color w:val="auto"/>
          <w:spacing w:val="-8"/>
          <w:sz w:val="52"/>
          <w:szCs w:val="52"/>
          <w:highlight w:val="none"/>
          <w:lang w:eastAsia="zh-CN"/>
        </w:rPr>
        <w:t>建德市长运物资有限公司6.5米级纯电动站立位公交车采购项目</w:t>
      </w: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lang w:eastAsia="zh-CN"/>
        </w:rPr>
        <w:t>JDOBCG2024B-035</w:t>
      </w:r>
      <w:r>
        <w:rPr>
          <w:rFonts w:hint="eastAsia" w:ascii="宋体" w:hAnsi="宋体" w:cs="宋体"/>
          <w:color w:val="auto"/>
          <w:sz w:val="32"/>
          <w:szCs w:val="32"/>
          <w:highlight w:val="none"/>
        </w:rPr>
        <w:t xml:space="preserve">   </w:t>
      </w:r>
    </w:p>
    <w:p>
      <w:pPr>
        <w:jc w:val="center"/>
        <w:rPr>
          <w:rFonts w:ascii="宋体" w:hAnsi="宋体" w:cs="宋体"/>
          <w:color w:val="auto"/>
          <w:sz w:val="32"/>
          <w:highlight w:val="none"/>
        </w:rPr>
      </w:pP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（资格审查文件或技术文件或商务资信文件或报价文件）</w:t>
      </w:r>
    </w:p>
    <w:p>
      <w:pPr>
        <w:spacing w:line="1000" w:lineRule="exact"/>
        <w:rPr>
          <w:rFonts w:ascii="宋体" w:hAnsi="宋体" w:cs="宋体"/>
          <w:color w:val="auto"/>
          <w:sz w:val="24"/>
          <w:szCs w:val="24"/>
          <w:highlight w:val="none"/>
        </w:rPr>
      </w:pPr>
    </w:p>
    <w:p>
      <w:pPr>
        <w:spacing w:line="1000" w:lineRule="exact"/>
        <w:jc w:val="center"/>
        <w:rPr>
          <w:rFonts w:ascii="宋体" w:hAnsi="宋体" w:cs="宋体"/>
          <w:color w:val="auto"/>
          <w:sz w:val="72"/>
          <w:szCs w:val="72"/>
          <w:highlight w:val="none"/>
        </w:rPr>
      </w:pPr>
      <w:r>
        <w:rPr>
          <w:rFonts w:hint="eastAsia" w:ascii="宋体" w:hAnsi="宋体" w:cs="宋体"/>
          <w:color w:val="auto"/>
          <w:sz w:val="72"/>
          <w:szCs w:val="72"/>
          <w:highlight w:val="none"/>
        </w:rPr>
        <w:t>投</w:t>
      </w:r>
    </w:p>
    <w:p>
      <w:pPr>
        <w:spacing w:line="1000" w:lineRule="exact"/>
        <w:jc w:val="center"/>
        <w:rPr>
          <w:rFonts w:ascii="宋体" w:hAnsi="宋体" w:cs="宋体"/>
          <w:color w:val="auto"/>
          <w:sz w:val="72"/>
          <w:szCs w:val="72"/>
          <w:highlight w:val="none"/>
        </w:rPr>
      </w:pPr>
      <w:r>
        <w:rPr>
          <w:rFonts w:hint="eastAsia" w:ascii="宋体" w:hAnsi="宋体" w:cs="宋体"/>
          <w:color w:val="auto"/>
          <w:sz w:val="72"/>
          <w:szCs w:val="72"/>
          <w:highlight w:val="none"/>
        </w:rPr>
        <w:t>标</w:t>
      </w:r>
    </w:p>
    <w:p>
      <w:pPr>
        <w:spacing w:line="1000" w:lineRule="exact"/>
        <w:jc w:val="center"/>
        <w:rPr>
          <w:rFonts w:ascii="宋体" w:hAnsi="宋体" w:cs="宋体"/>
          <w:color w:val="auto"/>
          <w:sz w:val="72"/>
          <w:szCs w:val="72"/>
          <w:highlight w:val="none"/>
        </w:rPr>
      </w:pPr>
      <w:r>
        <w:rPr>
          <w:rFonts w:hint="eastAsia" w:ascii="宋体" w:hAnsi="宋体" w:cs="宋体"/>
          <w:color w:val="auto"/>
          <w:sz w:val="72"/>
          <w:szCs w:val="72"/>
          <w:highlight w:val="none"/>
        </w:rPr>
        <w:t>文</w:t>
      </w:r>
    </w:p>
    <w:p>
      <w:pPr>
        <w:spacing w:line="1000" w:lineRule="exact"/>
        <w:jc w:val="center"/>
        <w:rPr>
          <w:rFonts w:ascii="宋体" w:hAnsi="宋体" w:cs="宋体"/>
          <w:color w:val="auto"/>
          <w:sz w:val="72"/>
          <w:szCs w:val="72"/>
          <w:highlight w:val="none"/>
        </w:rPr>
      </w:pPr>
      <w:r>
        <w:rPr>
          <w:rFonts w:hint="eastAsia" w:ascii="宋体" w:hAnsi="宋体" w:cs="宋体"/>
          <w:color w:val="auto"/>
          <w:sz w:val="72"/>
          <w:szCs w:val="72"/>
          <w:highlight w:val="none"/>
        </w:rPr>
        <w:t>件</w:t>
      </w:r>
    </w:p>
    <w:p>
      <w:pPr>
        <w:jc w:val="center"/>
        <w:rPr>
          <w:rFonts w:ascii="宋体" w:hAnsi="宋体" w:cs="宋体"/>
          <w:color w:val="auto"/>
          <w:sz w:val="24"/>
          <w:szCs w:val="24"/>
          <w:highlight w:val="none"/>
        </w:rPr>
      </w:pPr>
    </w:p>
    <w:p>
      <w:pPr>
        <w:jc w:val="center"/>
        <w:rPr>
          <w:rFonts w:ascii="宋体" w:hAnsi="宋体" w:cs="宋体"/>
          <w:color w:val="auto"/>
          <w:sz w:val="24"/>
          <w:szCs w:val="24"/>
          <w:highlight w:val="none"/>
        </w:rPr>
      </w:pPr>
    </w:p>
    <w:p>
      <w:pPr>
        <w:rPr>
          <w:rFonts w:ascii="宋体" w:hAnsi="宋体" w:cs="宋体"/>
          <w:color w:val="auto"/>
          <w:sz w:val="24"/>
          <w:szCs w:val="24"/>
          <w:highlight w:val="none"/>
        </w:rPr>
      </w:pPr>
    </w:p>
    <w:p>
      <w:pPr>
        <w:spacing w:line="48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投标供应商全称：（加盖单位公章）</w:t>
      </w:r>
    </w:p>
    <w:p>
      <w:pPr>
        <w:spacing w:line="480" w:lineRule="auto"/>
        <w:jc w:val="center"/>
        <w:rPr>
          <w:rFonts w:ascii="宋体" w:hAnsi="宋体" w:cs="宋体"/>
          <w:color w:val="auto"/>
          <w:sz w:val="32"/>
          <w:szCs w:val="32"/>
          <w:highlight w:val="none"/>
        </w:rPr>
      </w:pPr>
      <w:r>
        <w:rPr>
          <w:rFonts w:hint="eastAsia" w:ascii="宋体" w:hAnsi="宋体" w:cs="宋体"/>
          <w:color w:val="auto"/>
          <w:sz w:val="32"/>
          <w:szCs w:val="32"/>
          <w:highlight w:val="none"/>
          <w:lang w:eastAsia="zh-CN"/>
        </w:rPr>
        <w:t>202</w:t>
      </w:r>
      <w:r>
        <w:rPr>
          <w:rFonts w:hint="eastAsia" w:ascii="宋体" w:hAnsi="宋体" w:cs="宋体"/>
          <w:color w:val="auto"/>
          <w:sz w:val="32"/>
          <w:szCs w:val="32"/>
          <w:highlight w:val="none"/>
          <w:lang w:val="en-US" w:eastAsia="zh-CN"/>
        </w:rPr>
        <w:t>4</w:t>
      </w:r>
      <w:r>
        <w:rPr>
          <w:rFonts w:hint="eastAsia" w:ascii="宋体" w:hAnsi="宋体" w:cs="宋体"/>
          <w:color w:val="auto"/>
          <w:sz w:val="32"/>
          <w:szCs w:val="32"/>
          <w:highlight w:val="none"/>
        </w:rPr>
        <w:t>年 月  日</w:t>
      </w:r>
    </w:p>
    <w:p>
      <w:pPr>
        <w:spacing w:line="480" w:lineRule="auto"/>
        <w:rPr>
          <w:rStyle w:val="97"/>
          <w:rFonts w:ascii="宋体" w:hAnsi="宋体" w:cs="宋体"/>
          <w:color w:val="auto"/>
          <w:sz w:val="30"/>
          <w:szCs w:val="30"/>
          <w:highlight w:val="none"/>
        </w:rPr>
      </w:pPr>
    </w:p>
    <w:p>
      <w:pPr>
        <w:spacing w:line="480" w:lineRule="auto"/>
        <w:rPr>
          <w:rStyle w:val="97"/>
          <w:rFonts w:ascii="宋体" w:hAnsi="宋体" w:cs="宋体"/>
          <w:color w:val="auto"/>
          <w:sz w:val="30"/>
          <w:szCs w:val="30"/>
          <w:highlight w:val="none"/>
        </w:rPr>
      </w:pPr>
      <w:r>
        <w:rPr>
          <w:rStyle w:val="97"/>
          <w:rFonts w:hint="eastAsia" w:ascii="宋体" w:hAnsi="宋体" w:cs="宋体"/>
          <w:color w:val="auto"/>
          <w:sz w:val="30"/>
          <w:szCs w:val="30"/>
          <w:highlight w:val="none"/>
        </w:rPr>
        <w:t>（2）投标文件外包装格式</w:t>
      </w:r>
    </w:p>
    <w:p>
      <w:pPr>
        <w:spacing w:line="480" w:lineRule="auto"/>
        <w:rPr>
          <w:rStyle w:val="97"/>
          <w:rFonts w:ascii="宋体" w:hAnsi="宋体" w:cs="宋体"/>
          <w:color w:val="auto"/>
          <w:sz w:val="30"/>
          <w:szCs w:val="30"/>
          <w:highlight w:val="none"/>
        </w:rPr>
      </w:pPr>
    </w:p>
    <w:p>
      <w:pPr>
        <w:jc w:val="center"/>
        <w:rPr>
          <w:rFonts w:ascii="宋体" w:hAnsi="宋体" w:cs="宋体"/>
          <w:b/>
          <w:color w:val="auto"/>
          <w:spacing w:val="-8"/>
          <w:sz w:val="52"/>
          <w:szCs w:val="52"/>
          <w:highlight w:val="none"/>
        </w:rPr>
      </w:pPr>
      <w:r>
        <w:rPr>
          <w:rFonts w:hint="eastAsia" w:ascii="宋体" w:hAnsi="宋体" w:cs="宋体"/>
          <w:b/>
          <w:color w:val="auto"/>
          <w:spacing w:val="-8"/>
          <w:sz w:val="52"/>
          <w:szCs w:val="52"/>
          <w:highlight w:val="none"/>
          <w:lang w:eastAsia="zh-CN"/>
        </w:rPr>
        <w:t>建德市长运物资有限公司6.5米级纯电动站立位公交车采购项目</w:t>
      </w:r>
    </w:p>
    <w:p>
      <w:pPr>
        <w:spacing w:line="360" w:lineRule="auto"/>
        <w:jc w:val="center"/>
        <w:rPr>
          <w:rFonts w:ascii="宋体" w:hAnsi="宋体" w:cs="宋体"/>
          <w:color w:val="auto"/>
          <w:sz w:val="32"/>
          <w:szCs w:val="32"/>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lang w:eastAsia="zh-CN"/>
        </w:rPr>
        <w:t>JDOBCG2024B-035</w:t>
      </w:r>
      <w:r>
        <w:rPr>
          <w:rFonts w:hint="eastAsia" w:ascii="宋体" w:hAnsi="宋体" w:cs="宋体"/>
          <w:color w:val="auto"/>
          <w:sz w:val="32"/>
          <w:szCs w:val="32"/>
          <w:highlight w:val="none"/>
        </w:rPr>
        <w:t xml:space="preserve">  </w:t>
      </w:r>
    </w:p>
    <w:p>
      <w:pPr>
        <w:spacing w:line="360" w:lineRule="auto"/>
        <w:jc w:val="center"/>
        <w:rPr>
          <w:rFonts w:ascii="宋体" w:hAnsi="宋体" w:cs="宋体"/>
          <w:color w:val="auto"/>
          <w:sz w:val="32"/>
          <w:szCs w:val="32"/>
          <w:highlight w:val="none"/>
        </w:rPr>
      </w:pP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（资格审查文件或技术文件或商务资信文件或报价文件）</w:t>
      </w:r>
    </w:p>
    <w:p>
      <w:pPr>
        <w:pStyle w:val="24"/>
        <w:spacing w:line="360" w:lineRule="auto"/>
        <w:ind w:firstLine="800" w:firstLineChars="250"/>
        <w:rPr>
          <w:rFonts w:hAnsi="宋体" w:cs="宋体"/>
          <w:color w:val="auto"/>
          <w:sz w:val="32"/>
          <w:highlight w:val="none"/>
        </w:rPr>
      </w:pPr>
    </w:p>
    <w:p>
      <w:pPr>
        <w:pStyle w:val="24"/>
        <w:spacing w:line="360" w:lineRule="auto"/>
        <w:ind w:firstLine="800" w:firstLineChars="250"/>
        <w:rPr>
          <w:rFonts w:hAnsi="宋体" w:cs="宋体"/>
          <w:color w:val="auto"/>
          <w:sz w:val="32"/>
          <w:highlight w:val="none"/>
        </w:rPr>
      </w:pPr>
    </w:p>
    <w:p>
      <w:pPr>
        <w:pStyle w:val="24"/>
        <w:spacing w:line="360" w:lineRule="auto"/>
        <w:rPr>
          <w:rFonts w:hAnsi="宋体" w:cs="宋体"/>
          <w:color w:val="auto"/>
          <w:sz w:val="30"/>
          <w:szCs w:val="30"/>
          <w:highlight w:val="none"/>
          <w:u w:val="single"/>
        </w:rPr>
      </w:pPr>
      <w:r>
        <w:rPr>
          <w:rFonts w:hint="eastAsia" w:hAnsi="宋体" w:cs="宋体"/>
          <w:color w:val="auto"/>
          <w:sz w:val="30"/>
          <w:szCs w:val="30"/>
          <w:highlight w:val="none"/>
        </w:rPr>
        <w:t>采购单位名称：</w:t>
      </w:r>
    </w:p>
    <w:p>
      <w:pPr>
        <w:pStyle w:val="24"/>
        <w:spacing w:line="360" w:lineRule="auto"/>
        <w:rPr>
          <w:rFonts w:hAnsi="宋体" w:cs="宋体"/>
          <w:color w:val="auto"/>
          <w:sz w:val="30"/>
          <w:szCs w:val="30"/>
          <w:highlight w:val="none"/>
        </w:rPr>
      </w:pPr>
      <w:r>
        <w:rPr>
          <w:rFonts w:hint="eastAsia" w:hAnsi="宋体" w:cs="宋体"/>
          <w:color w:val="auto"/>
          <w:sz w:val="30"/>
          <w:szCs w:val="30"/>
          <w:highlight w:val="none"/>
        </w:rPr>
        <w:t>投标供应商名称:                                (盖公章)</w:t>
      </w:r>
    </w:p>
    <w:p>
      <w:pPr>
        <w:pStyle w:val="24"/>
        <w:spacing w:line="360" w:lineRule="auto"/>
        <w:rPr>
          <w:rFonts w:hAnsi="宋体" w:cs="宋体"/>
          <w:color w:val="auto"/>
          <w:sz w:val="30"/>
          <w:szCs w:val="30"/>
          <w:highlight w:val="none"/>
        </w:rPr>
      </w:pPr>
      <w:r>
        <w:rPr>
          <w:rFonts w:hint="eastAsia" w:hAnsi="宋体" w:cs="宋体"/>
          <w:color w:val="auto"/>
          <w:sz w:val="30"/>
          <w:szCs w:val="30"/>
          <w:highlight w:val="none"/>
        </w:rPr>
        <w:t>投标供应商法定代表人或其委托代理人:         (签字或盖章)</w:t>
      </w:r>
    </w:p>
    <w:p>
      <w:pPr>
        <w:pStyle w:val="24"/>
        <w:spacing w:line="360" w:lineRule="auto"/>
        <w:rPr>
          <w:rFonts w:hAnsi="宋体" w:cs="宋体"/>
          <w:color w:val="auto"/>
          <w:sz w:val="30"/>
          <w:szCs w:val="30"/>
          <w:highlight w:val="none"/>
          <w:u w:val="single"/>
        </w:rPr>
      </w:pPr>
      <w:r>
        <w:rPr>
          <w:rFonts w:hint="eastAsia" w:hAnsi="宋体" w:cs="宋体"/>
          <w:color w:val="auto"/>
          <w:sz w:val="30"/>
          <w:szCs w:val="30"/>
          <w:highlight w:val="none"/>
        </w:rPr>
        <w:t xml:space="preserve">投标供应商地址：                                   </w:t>
      </w:r>
    </w:p>
    <w:p>
      <w:pPr>
        <w:pStyle w:val="24"/>
        <w:spacing w:line="360" w:lineRule="auto"/>
        <w:rPr>
          <w:rFonts w:hAnsi="宋体" w:cs="宋体"/>
          <w:color w:val="auto"/>
          <w:sz w:val="30"/>
          <w:szCs w:val="30"/>
          <w:highlight w:val="none"/>
        </w:rPr>
      </w:pPr>
      <w:r>
        <w:rPr>
          <w:rFonts w:hint="eastAsia" w:hAnsi="宋体" w:cs="宋体"/>
          <w:color w:val="auto"/>
          <w:sz w:val="30"/>
          <w:szCs w:val="30"/>
          <w:highlight w:val="none"/>
        </w:rPr>
        <w:t xml:space="preserve">邮编：                                           </w:t>
      </w:r>
    </w:p>
    <w:p>
      <w:pPr>
        <w:pStyle w:val="24"/>
        <w:spacing w:line="360" w:lineRule="auto"/>
        <w:rPr>
          <w:rFonts w:hAnsi="宋体" w:cs="宋体"/>
          <w:color w:val="auto"/>
          <w:sz w:val="30"/>
          <w:szCs w:val="30"/>
          <w:highlight w:val="none"/>
        </w:rPr>
      </w:pPr>
      <w:r>
        <w:rPr>
          <w:rFonts w:hint="eastAsia" w:hAnsi="宋体" w:cs="宋体"/>
          <w:color w:val="auto"/>
          <w:sz w:val="30"/>
          <w:szCs w:val="30"/>
          <w:highlight w:val="none"/>
        </w:rPr>
        <w:t xml:space="preserve">联系人：                                         </w:t>
      </w:r>
    </w:p>
    <w:p>
      <w:pPr>
        <w:pStyle w:val="24"/>
        <w:spacing w:line="360" w:lineRule="auto"/>
        <w:rPr>
          <w:rFonts w:hAnsi="宋体" w:cs="宋体"/>
          <w:color w:val="auto"/>
          <w:sz w:val="30"/>
          <w:szCs w:val="30"/>
          <w:highlight w:val="none"/>
        </w:rPr>
      </w:pPr>
      <w:r>
        <w:rPr>
          <w:rFonts w:hint="eastAsia" w:hAnsi="宋体" w:cs="宋体"/>
          <w:color w:val="auto"/>
          <w:sz w:val="30"/>
          <w:szCs w:val="30"/>
          <w:highlight w:val="none"/>
        </w:rPr>
        <w:t xml:space="preserve">联系电话：   </w:t>
      </w:r>
    </w:p>
    <w:p>
      <w:pPr>
        <w:pStyle w:val="24"/>
        <w:spacing w:afterLines="50" w:line="360" w:lineRule="auto"/>
        <w:rPr>
          <w:rFonts w:hAnsi="宋体" w:cs="宋体"/>
          <w:color w:val="auto"/>
          <w:sz w:val="32"/>
          <w:highlight w:val="none"/>
          <w:u w:val="single"/>
        </w:rPr>
      </w:pPr>
    </w:p>
    <w:p>
      <w:pPr>
        <w:spacing w:line="480" w:lineRule="auto"/>
        <w:jc w:val="center"/>
        <w:rPr>
          <w:rFonts w:ascii="宋体" w:hAnsi="宋体" w:cs="宋体"/>
          <w:b/>
          <w:color w:val="auto"/>
          <w:spacing w:val="-2"/>
          <w:sz w:val="30"/>
          <w:szCs w:val="30"/>
          <w:highlight w:val="none"/>
        </w:rPr>
      </w:pPr>
      <w:r>
        <w:rPr>
          <w:rFonts w:hint="eastAsia" w:ascii="宋体" w:hAnsi="宋体" w:cs="宋体"/>
          <w:b/>
          <w:color w:val="auto"/>
          <w:sz w:val="36"/>
          <w:szCs w:val="36"/>
          <w:highlight w:val="none"/>
        </w:rPr>
        <w:t>在开标截止时间之前不得启封</w:t>
      </w:r>
    </w:p>
    <w:p>
      <w:pPr>
        <w:rPr>
          <w:color w:val="auto"/>
          <w:highlight w:val="none"/>
        </w:rPr>
      </w:pPr>
    </w:p>
    <w:p>
      <w:pPr>
        <w:pStyle w:val="20"/>
        <w:ind w:left="0" w:leftChars="0" w:firstLine="0" w:firstLineChars="0"/>
        <w:rPr>
          <w:color w:val="auto"/>
          <w:highlight w:val="none"/>
        </w:rPr>
      </w:pPr>
    </w:p>
    <w:sectPr>
      <w:headerReference r:id="rId9" w:type="default"/>
      <w:footerReference r:id="rId10" w:type="default"/>
      <w:pgSz w:w="11906" w:h="16838"/>
      <w:pgMar w:top="1247" w:right="1247" w:bottom="1559" w:left="1247" w:header="851" w:footer="850" w:gutter="17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Helv">
    <w:altName w:val="Microsoft Sans Serif"/>
    <w:panose1 w:val="020B0604020202030204"/>
    <w:charset w:val="00"/>
    <w:family w:val="swiss"/>
    <w:pitch w:val="default"/>
    <w:sig w:usb0="00000000" w:usb1="00000000" w:usb2="00000000" w:usb3="00000000" w:csb0="00000001" w:csb1="00000000"/>
  </w:font>
  <w:font w:name="Myriad Pro">
    <w:altName w:val="Segoe Prin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Wingdings-Regular">
    <w:altName w:val="Courier New"/>
    <w:panose1 w:val="00000000000000000000"/>
    <w:charset w:val="02"/>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rPr>
        <w:rFonts w:hint="eastAsia"/>
      </w:rPr>
      <w:t>浙江建安工程管理有限公司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szCs w:val="32"/>
      </w:rPr>
    </w:pPr>
    <w:r>
      <w:rPr>
        <w:rStyle w:val="50"/>
        <w:szCs w:val="32"/>
      </w:rPr>
      <w:fldChar w:fldCharType="begin"/>
    </w:r>
    <w:r>
      <w:rPr>
        <w:rStyle w:val="50"/>
        <w:szCs w:val="32"/>
      </w:rPr>
      <w:instrText xml:space="preserve">PAGE  </w:instrText>
    </w:r>
    <w:r>
      <w:rPr>
        <w:rStyle w:val="50"/>
        <w:szCs w:val="32"/>
      </w:rP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F3109"/>
    <w:multiLevelType w:val="singleLevel"/>
    <w:tmpl w:val="D0FF3109"/>
    <w:lvl w:ilvl="0" w:tentative="0">
      <w:start w:val="3"/>
      <w:numFmt w:val="chineseCounting"/>
      <w:suff w:val="nothing"/>
      <w:lvlText w:val="%1、"/>
      <w:lvlJc w:val="left"/>
      <w:rPr>
        <w:rFonts w:hint="eastAsia" w:cs="Times New Roman"/>
      </w:rPr>
    </w:lvl>
  </w:abstractNum>
  <w:abstractNum w:abstractNumId="1">
    <w:nsid w:val="DF5BDCA9"/>
    <w:multiLevelType w:val="singleLevel"/>
    <w:tmpl w:val="DF5BDCA9"/>
    <w:lvl w:ilvl="0" w:tentative="0">
      <w:start w:val="1"/>
      <w:numFmt w:val="chineseCounting"/>
      <w:suff w:val="nothing"/>
      <w:lvlText w:val="%1、"/>
      <w:lvlJc w:val="left"/>
      <w:rPr>
        <w:rFonts w:hint="eastAsia"/>
      </w:rPr>
    </w:lvl>
  </w:abstractNum>
  <w:abstractNum w:abstractNumId="2">
    <w:nsid w:val="EC0FF9D6"/>
    <w:multiLevelType w:val="singleLevel"/>
    <w:tmpl w:val="EC0FF9D6"/>
    <w:lvl w:ilvl="0" w:tentative="0">
      <w:start w:val="4"/>
      <w:numFmt w:val="upperLetter"/>
      <w:suff w:val="nothing"/>
      <w:lvlText w:val="%1、"/>
      <w:lvlJc w:val="left"/>
    </w:lvl>
  </w:abstractNum>
  <w:abstractNum w:abstractNumId="3">
    <w:nsid w:val="0000000B"/>
    <w:multiLevelType w:val="multilevel"/>
    <w:tmpl w:val="0000000B"/>
    <w:lvl w:ilvl="0" w:tentative="0">
      <w:start w:val="1"/>
      <w:numFmt w:val="decimal"/>
      <w:pStyle w:val="3"/>
      <w:isLgl/>
      <w:lvlText w:val="%1."/>
      <w:lvlJc w:val="left"/>
      <w:pPr>
        <w:tabs>
          <w:tab w:val="left" w:pos="360"/>
        </w:tabs>
      </w:pPr>
      <w:rPr>
        <w:rFonts w:hint="default" w:ascii="Arial" w:hAnsi="Arial" w:cs="Times New Roman"/>
        <w:b/>
        <w:i w:val="0"/>
        <w:sz w:val="32"/>
      </w:rPr>
    </w:lvl>
    <w:lvl w:ilvl="1" w:tentative="0">
      <w:start w:val="1"/>
      <w:numFmt w:val="decimal"/>
      <w:pStyle w:val="2"/>
      <w:lvlText w:val="%1.%2."/>
      <w:lvlJc w:val="left"/>
      <w:pPr>
        <w:tabs>
          <w:tab w:val="left" w:pos="720"/>
        </w:tabs>
        <w:ind w:left="567" w:hanging="567"/>
      </w:pPr>
      <w:rPr>
        <w:rFonts w:hint="eastAsia" w:cs="Times New Roman"/>
      </w:rPr>
    </w:lvl>
    <w:lvl w:ilvl="2" w:tentative="0">
      <w:start w:val="1"/>
      <w:numFmt w:val="decimal"/>
      <w:pStyle w:val="4"/>
      <w:lvlText w:val="%1.%2.%3."/>
      <w:lvlJc w:val="left"/>
      <w:pPr>
        <w:tabs>
          <w:tab w:val="left" w:pos="709"/>
        </w:tabs>
        <w:ind w:left="56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0000000D"/>
    <w:multiLevelType w:val="singleLevel"/>
    <w:tmpl w:val="0000000D"/>
    <w:lvl w:ilvl="0" w:tentative="0">
      <w:start w:val="1"/>
      <w:numFmt w:val="bullet"/>
      <w:pStyle w:val="185"/>
      <w:lvlText w:val=""/>
      <w:lvlJc w:val="left"/>
      <w:pPr>
        <w:tabs>
          <w:tab w:val="left" w:pos="360"/>
        </w:tabs>
        <w:ind w:left="360" w:hanging="360"/>
      </w:pPr>
      <w:rPr>
        <w:rFonts w:hint="default" w:ascii="Symbol" w:hAnsi="Symbol"/>
      </w:rPr>
    </w:lvl>
  </w:abstractNum>
  <w:abstractNum w:abstractNumId="5">
    <w:nsid w:val="0000000E"/>
    <w:multiLevelType w:val="multilevel"/>
    <w:tmpl w:val="0000000E"/>
    <w:lvl w:ilvl="0" w:tentative="0">
      <w:start w:val="1"/>
      <w:numFmt w:val="bullet"/>
      <w:pStyle w:val="27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0"/>
    <w:multiLevelType w:val="singleLevel"/>
    <w:tmpl w:val="00000010"/>
    <w:lvl w:ilvl="0" w:tentative="0">
      <w:start w:val="1"/>
      <w:numFmt w:val="bullet"/>
      <w:pStyle w:val="145"/>
      <w:lvlText w:val=""/>
      <w:lvlJc w:val="left"/>
      <w:pPr>
        <w:tabs>
          <w:tab w:val="left" w:pos="360"/>
        </w:tabs>
        <w:ind w:left="360" w:hanging="360"/>
      </w:pPr>
      <w:rPr>
        <w:rFonts w:hint="default" w:ascii="Wingdings" w:hAnsi="Wingdings"/>
      </w:rPr>
    </w:lvl>
  </w:abstractNum>
  <w:abstractNum w:abstractNumId="7">
    <w:nsid w:val="00000011"/>
    <w:multiLevelType w:val="multilevel"/>
    <w:tmpl w:val="00000011"/>
    <w:lvl w:ilvl="0" w:tentative="0">
      <w:start w:val="1"/>
      <w:numFmt w:val="chineseCountingThousand"/>
      <w:lvlText w:val="%1. "/>
      <w:legacy w:legacy="1" w:legacySpace="0" w:legacyIndent="0"/>
      <w:lvlJc w:val="left"/>
      <w:rPr>
        <w:rFonts w:cs="Times New Roman"/>
        <w:sz w:val="32"/>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pStyle w:val="8"/>
      <w:suff w:val="nothing"/>
      <w:lvlText w:val=""/>
      <w:lvlJc w:val="left"/>
      <w:rPr>
        <w:rFonts w:cs="Times New Roman"/>
      </w:rPr>
    </w:lvl>
    <w:lvl w:ilvl="7" w:tentative="0">
      <w:start w:val="1"/>
      <w:numFmt w:val="none"/>
      <w:pStyle w:val="9"/>
      <w:suff w:val="nothing"/>
      <w:lvlText w:val=""/>
      <w:lvlJc w:val="left"/>
      <w:rPr>
        <w:rFonts w:cs="Times New Roman"/>
      </w:rPr>
    </w:lvl>
    <w:lvl w:ilvl="8" w:tentative="0">
      <w:start w:val="1"/>
      <w:numFmt w:val="none"/>
      <w:pStyle w:val="10"/>
      <w:suff w:val="nothing"/>
      <w:lvlText w:val=""/>
      <w:lvlJc w:val="left"/>
      <w:rPr>
        <w:rFonts w:cs="Times New Roman"/>
      </w:rPr>
    </w:lvl>
  </w:abstractNum>
  <w:abstractNum w:abstractNumId="8">
    <w:nsid w:val="00000012"/>
    <w:multiLevelType w:val="multilevel"/>
    <w:tmpl w:val="00000012"/>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20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9">
    <w:nsid w:val="00000013"/>
    <w:multiLevelType w:val="multilevel"/>
    <w:tmpl w:val="00000013"/>
    <w:lvl w:ilvl="0" w:tentative="0">
      <w:start w:val="4"/>
      <w:numFmt w:val="decimal"/>
      <w:lvlText w:val="%1．"/>
      <w:lvlJc w:val="left"/>
      <w:pPr>
        <w:tabs>
          <w:tab w:val="left" w:pos="360"/>
        </w:tabs>
        <w:ind w:left="360" w:hanging="36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cs="Times New Roman"/>
      </w:rPr>
    </w:lvl>
    <w:lvl w:ilvl="4" w:tentative="0">
      <w:start w:val="1"/>
      <w:numFmt w:val="decimal"/>
      <w:pStyle w:val="189"/>
      <w:lvlText w:val="%5．"/>
      <w:lvlJc w:val="left"/>
      <w:pPr>
        <w:tabs>
          <w:tab w:val="left" w:pos="2040"/>
        </w:tabs>
        <w:ind w:left="2040" w:hanging="360"/>
      </w:pPr>
      <w:rPr>
        <w:rFonts w:hint="eastAsia" w:cs="Times New Roman"/>
      </w:rPr>
    </w:lvl>
    <w:lvl w:ilvl="5" w:tentative="0">
      <w:start w:val="1"/>
      <w:numFmt w:val="lowerRoman"/>
      <w:pStyle w:val="200"/>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0000014"/>
    <w:multiLevelType w:val="multilevel"/>
    <w:tmpl w:val="00000014"/>
    <w:lvl w:ilvl="0" w:tentative="0">
      <w:start w:val="1"/>
      <w:numFmt w:val="decimal"/>
      <w:pStyle w:val="171"/>
      <w:suff w:val="nothing"/>
      <w:lvlText w:val="%1."/>
      <w:lvlJc w:val="left"/>
      <w:rPr>
        <w:rFonts w:hint="eastAsia" w:cs="Times New Roman"/>
        <w:b/>
        <w:i w:val="0"/>
        <w:sz w:val="32"/>
        <w:szCs w:val="32"/>
      </w:rPr>
    </w:lvl>
    <w:lvl w:ilvl="1" w:tentative="0">
      <w:start w:val="0"/>
      <w:numFmt w:val="decimal"/>
      <w:pStyle w:val="181"/>
      <w:suff w:val="nothing"/>
      <w:lvlText w:val="%1.%2."/>
      <w:lvlJc w:val="left"/>
      <w:pPr>
        <w:ind w:left="380" w:hanging="380"/>
      </w:pPr>
      <w:rPr>
        <w:rFonts w:hint="eastAsia" w:cs="Times New Roman"/>
        <w:b/>
        <w:i w:val="0"/>
        <w:sz w:val="28"/>
        <w:szCs w:val="28"/>
      </w:rPr>
    </w:lvl>
    <w:lvl w:ilvl="2" w:tentative="0">
      <w:start w:val="1"/>
      <w:numFmt w:val="decimal"/>
      <w:pStyle w:val="260"/>
      <w:suff w:val="nothing"/>
      <w:lvlText w:val="%1.%2.%3."/>
      <w:lvlJc w:val="left"/>
      <w:rPr>
        <w:rFonts w:hint="eastAsia" w:cs="Times New Roman"/>
        <w:b/>
        <w:i w:val="0"/>
        <w:sz w:val="24"/>
        <w:szCs w:val="24"/>
      </w:rPr>
    </w:lvl>
    <w:lvl w:ilvl="3" w:tentative="0">
      <w:start w:val="1"/>
      <w:numFmt w:val="decimal"/>
      <w:suff w:val="nothing"/>
      <w:lvlText w:val="%1.%2.%3.%4."/>
      <w:lvlJc w:val="left"/>
      <w:rPr>
        <w:rFonts w:hint="eastAsia" w:cs="Times New Roman"/>
        <w:b/>
        <w:i w:val="0"/>
        <w:sz w:val="21"/>
        <w:szCs w:val="21"/>
      </w:rPr>
    </w:lvl>
    <w:lvl w:ilvl="4" w:tentative="0">
      <w:start w:val="1"/>
      <w:numFmt w:val="decimal"/>
      <w:lvlText w:val="%1.%2.%3.%4.%5."/>
      <w:lvlJc w:val="left"/>
      <w:pPr>
        <w:tabs>
          <w:tab w:val="left" w:pos="9067"/>
        </w:tabs>
        <w:ind w:left="9067" w:hanging="992"/>
      </w:pPr>
      <w:rPr>
        <w:rFonts w:hint="eastAsia" w:cs="Times New Roman"/>
      </w:rPr>
    </w:lvl>
    <w:lvl w:ilvl="5" w:tentative="0">
      <w:start w:val="1"/>
      <w:numFmt w:val="decimal"/>
      <w:lvlText w:val="%1.%2.%3.%4.%5.%6."/>
      <w:lvlJc w:val="left"/>
      <w:pPr>
        <w:tabs>
          <w:tab w:val="left" w:pos="9209"/>
        </w:tabs>
        <w:ind w:left="9209" w:hanging="1134"/>
      </w:pPr>
      <w:rPr>
        <w:rFonts w:hint="eastAsia" w:cs="Times New Roman"/>
      </w:rPr>
    </w:lvl>
    <w:lvl w:ilvl="6" w:tentative="0">
      <w:start w:val="1"/>
      <w:numFmt w:val="decimal"/>
      <w:lvlText w:val="%1.%2.%3.%4.%5.%6.%7."/>
      <w:lvlJc w:val="left"/>
      <w:pPr>
        <w:tabs>
          <w:tab w:val="left" w:pos="9351"/>
        </w:tabs>
        <w:ind w:left="9351" w:hanging="1276"/>
      </w:pPr>
      <w:rPr>
        <w:rFonts w:hint="eastAsia" w:cs="Times New Roman"/>
      </w:rPr>
    </w:lvl>
    <w:lvl w:ilvl="7" w:tentative="0">
      <w:start w:val="1"/>
      <w:numFmt w:val="decimal"/>
      <w:lvlText w:val="%1.%2.%3.%4.%5.%6.%7.%8."/>
      <w:lvlJc w:val="left"/>
      <w:pPr>
        <w:tabs>
          <w:tab w:val="left" w:pos="9493"/>
        </w:tabs>
        <w:ind w:left="9493" w:hanging="1418"/>
      </w:pPr>
      <w:rPr>
        <w:rFonts w:hint="eastAsia" w:cs="Times New Roman"/>
      </w:rPr>
    </w:lvl>
    <w:lvl w:ilvl="8" w:tentative="0">
      <w:start w:val="1"/>
      <w:numFmt w:val="decimal"/>
      <w:lvlText w:val="%1.%2.%3.%4.%5.%6.%7.%8.%9."/>
      <w:lvlJc w:val="left"/>
      <w:pPr>
        <w:tabs>
          <w:tab w:val="left" w:pos="9634"/>
        </w:tabs>
        <w:ind w:left="9634" w:hanging="1559"/>
      </w:pPr>
      <w:rPr>
        <w:rFonts w:hint="eastAsia" w:cs="Times New Roman"/>
      </w:rPr>
    </w:lvl>
  </w:abstractNum>
  <w:abstractNum w:abstractNumId="11">
    <w:nsid w:val="0667461E"/>
    <w:multiLevelType w:val="multilevel"/>
    <w:tmpl w:val="0667461E"/>
    <w:lvl w:ilvl="0" w:tentative="0">
      <w:start w:val="1"/>
      <w:numFmt w:val="chineseCountingThousand"/>
      <w:pStyle w:val="328"/>
      <w:suff w:val="space"/>
      <w:lvlText w:val="第%1章"/>
      <w:lvlJc w:val="left"/>
      <w:pPr>
        <w:ind w:left="0" w:firstLine="0"/>
      </w:pPr>
      <w:rPr>
        <w:rFonts w:hint="default" w:ascii="Times New Roman" w:hAnsi="Times New Roman" w:eastAsia="宋体"/>
        <w:b/>
        <w:i w:val="0"/>
        <w:sz w:val="36"/>
      </w:rPr>
    </w:lvl>
    <w:lvl w:ilvl="1" w:tentative="0">
      <w:start w:val="1"/>
      <w:numFmt w:val="decimal"/>
      <w:pStyle w:val="322"/>
      <w:isLgl/>
      <w:suff w:val="space"/>
      <w:lvlText w:val="%1.%2"/>
      <w:lvlJc w:val="left"/>
      <w:pPr>
        <w:ind w:left="0" w:firstLine="0"/>
      </w:pPr>
      <w:rPr>
        <w:rFonts w:hint="default" w:ascii="Times New Roman" w:hAnsi="Times New Roman"/>
        <w:b/>
        <w:i w:val="0"/>
        <w:sz w:val="32"/>
      </w:rPr>
    </w:lvl>
    <w:lvl w:ilvl="2" w:tentative="0">
      <w:start w:val="1"/>
      <w:numFmt w:val="decimal"/>
      <w:pStyle w:val="323"/>
      <w:isLgl/>
      <w:suff w:val="space"/>
      <w:lvlText w:val="%1.%2.%3"/>
      <w:lvlJc w:val="left"/>
      <w:pPr>
        <w:ind w:left="0" w:firstLine="0"/>
      </w:pPr>
      <w:rPr>
        <w:rFonts w:hint="default" w:ascii="Times New Roman" w:hAnsi="Times New Roman"/>
        <w:b/>
        <w:i w:val="0"/>
        <w:color w:val="auto"/>
        <w:sz w:val="30"/>
      </w:rPr>
    </w:lvl>
    <w:lvl w:ilvl="3" w:tentative="0">
      <w:start w:val="1"/>
      <w:numFmt w:val="decimal"/>
      <w:pStyle w:val="324"/>
      <w:isLgl/>
      <w:suff w:val="space"/>
      <w:lvlText w:val="%1.%2.%3.%4"/>
      <w:lvlJc w:val="left"/>
      <w:pPr>
        <w:ind w:left="0" w:firstLine="0"/>
      </w:pPr>
      <w:rPr>
        <w:rFonts w:hint="default" w:ascii="Times New Roman" w:hAnsi="Times New Roman"/>
        <w:b/>
        <w:i w:val="0"/>
        <w:sz w:val="28"/>
      </w:rPr>
    </w:lvl>
    <w:lvl w:ilvl="4" w:tentative="0">
      <w:start w:val="1"/>
      <w:numFmt w:val="decimal"/>
      <w:pStyle w:val="325"/>
      <w:isLgl/>
      <w:suff w:val="space"/>
      <w:lvlText w:val="%1.%2.%3.%4.%5"/>
      <w:lvlJc w:val="left"/>
      <w:pPr>
        <w:ind w:left="0" w:firstLine="0"/>
      </w:pPr>
      <w:rPr>
        <w:rFonts w:hint="default" w:ascii="Times New Roman" w:hAnsi="Times New Roman"/>
        <w:b/>
        <w:i w:val="0"/>
        <w:sz w:val="24"/>
      </w:rPr>
    </w:lvl>
    <w:lvl w:ilvl="5" w:tentative="0">
      <w:start w:val="1"/>
      <w:numFmt w:val="decimal"/>
      <w:isLgl/>
      <w:suff w:val="space"/>
      <w:lvlText w:val="%1.%2.%3.%4.%5.%6"/>
      <w:lvlJc w:val="left"/>
      <w:pPr>
        <w:ind w:left="0" w:firstLine="0"/>
      </w:pPr>
      <w:rPr>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default" w:ascii="Times New Roman" w:hAnsi="Times New Roman"/>
        <w:b/>
        <w:i w:val="0"/>
        <w:sz w:val="24"/>
      </w:rPr>
    </w:lvl>
    <w:lvl w:ilvl="7" w:tentative="0">
      <w:start w:val="1"/>
      <w:numFmt w:val="decimal"/>
      <w:isLgl/>
      <w:suff w:val="space"/>
      <w:lvlText w:val="%1.%2.%3.%4.%5.%6.%7.%8"/>
      <w:lvlJc w:val="left"/>
      <w:pPr>
        <w:ind w:left="0" w:firstLine="0"/>
      </w:pPr>
      <w:rPr>
        <w:rFonts w:hint="default" w:ascii="Times New Roman" w:hAnsi="Times New Roman"/>
        <w:b/>
        <w:i w:val="0"/>
        <w:sz w:val="24"/>
      </w:rPr>
    </w:lvl>
    <w:lvl w:ilvl="8" w:tentative="0">
      <w:start w:val="1"/>
      <w:numFmt w:val="decimal"/>
      <w:isLgl/>
      <w:suff w:val="space"/>
      <w:lvlText w:val="%1.%2.%3.%4.%5.%6.%7.%8.%9"/>
      <w:lvlJc w:val="left"/>
      <w:pPr>
        <w:ind w:left="0" w:firstLine="0"/>
      </w:pPr>
      <w:rPr>
        <w:rFonts w:hint="default" w:ascii="Times New Roman" w:hAnsi="Times New Roman"/>
        <w:b/>
        <w:i w:val="0"/>
        <w:sz w:val="24"/>
      </w:rPr>
    </w:lvl>
  </w:abstractNum>
  <w:abstractNum w:abstractNumId="12">
    <w:nsid w:val="0FC0957F"/>
    <w:multiLevelType w:val="singleLevel"/>
    <w:tmpl w:val="0FC0957F"/>
    <w:lvl w:ilvl="0" w:tentative="0">
      <w:start w:val="1"/>
      <w:numFmt w:val="decimal"/>
      <w:suff w:val="nothing"/>
      <w:lvlText w:val="%1、"/>
      <w:lvlJc w:val="left"/>
    </w:lvl>
  </w:abstractNum>
  <w:abstractNum w:abstractNumId="13">
    <w:nsid w:val="3C19EAE1"/>
    <w:multiLevelType w:val="singleLevel"/>
    <w:tmpl w:val="3C19EAE1"/>
    <w:lvl w:ilvl="0" w:tentative="0">
      <w:start w:val="9"/>
      <w:numFmt w:val="chineseCounting"/>
      <w:suff w:val="space"/>
      <w:lvlText w:val="第%1章"/>
      <w:lvlJc w:val="left"/>
      <w:rPr>
        <w:rFonts w:hint="eastAsia"/>
      </w:rPr>
    </w:lvl>
  </w:abstractNum>
  <w:abstractNum w:abstractNumId="14">
    <w:nsid w:val="4BECE850"/>
    <w:multiLevelType w:val="singleLevel"/>
    <w:tmpl w:val="4BECE850"/>
    <w:lvl w:ilvl="0" w:tentative="0">
      <w:start w:val="1"/>
      <w:numFmt w:val="decimal"/>
      <w:suff w:val="nothing"/>
      <w:lvlText w:val="%1、"/>
      <w:lvlJc w:val="left"/>
    </w:lvl>
  </w:abstractNum>
  <w:abstractNum w:abstractNumId="15">
    <w:nsid w:val="4CA75A52"/>
    <w:multiLevelType w:val="multilevel"/>
    <w:tmpl w:val="4CA75A52"/>
    <w:lvl w:ilvl="0" w:tentative="0">
      <w:start w:val="1"/>
      <w:numFmt w:val="decimal"/>
      <w:pStyle w:val="331"/>
      <w:lvlText w:val="%1)"/>
      <w:lvlJc w:val="left"/>
      <w:pPr>
        <w:ind w:left="840" w:hanging="42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6">
    <w:nsid w:val="592640F8"/>
    <w:multiLevelType w:val="multilevel"/>
    <w:tmpl w:val="592640F8"/>
    <w:lvl w:ilvl="0" w:tentative="0">
      <w:start w:val="1"/>
      <w:numFmt w:val="decimal"/>
      <w:lvlText w:val="%1、"/>
      <w:lvlJc w:val="left"/>
      <w:pPr>
        <w:tabs>
          <w:tab w:val="left" w:pos="1020"/>
        </w:tabs>
        <w:ind w:left="1065" w:hanging="435"/>
      </w:pPr>
      <w:rPr>
        <w:rFonts w:hint="default" w:cs="Times New Roman"/>
      </w:rPr>
    </w:lvl>
    <w:lvl w:ilvl="1" w:tentative="0">
      <w:start w:val="1"/>
      <w:numFmt w:val="lowerLetter"/>
      <w:lvlText w:val="%2)"/>
      <w:lvlJc w:val="left"/>
      <w:pPr>
        <w:tabs>
          <w:tab w:val="left" w:pos="1425"/>
        </w:tabs>
        <w:ind w:left="1470" w:hanging="420"/>
      </w:pPr>
      <w:rPr>
        <w:rFonts w:cs="Times New Roman"/>
      </w:rPr>
    </w:lvl>
    <w:lvl w:ilvl="2" w:tentative="0">
      <w:start w:val="1"/>
      <w:numFmt w:val="lowerRoman"/>
      <w:lvlText w:val="%3."/>
      <w:lvlJc w:val="right"/>
      <w:pPr>
        <w:tabs>
          <w:tab w:val="left" w:pos="1845"/>
        </w:tabs>
        <w:ind w:left="1890" w:hanging="420"/>
      </w:pPr>
      <w:rPr>
        <w:rFonts w:cs="Times New Roman"/>
      </w:rPr>
    </w:lvl>
    <w:lvl w:ilvl="3" w:tentative="0">
      <w:start w:val="1"/>
      <w:numFmt w:val="decimal"/>
      <w:lvlText w:val="%4."/>
      <w:lvlJc w:val="left"/>
      <w:pPr>
        <w:tabs>
          <w:tab w:val="left" w:pos="2265"/>
        </w:tabs>
        <w:ind w:left="2310" w:hanging="420"/>
      </w:pPr>
      <w:rPr>
        <w:rFonts w:cs="Times New Roman"/>
      </w:rPr>
    </w:lvl>
    <w:lvl w:ilvl="4" w:tentative="0">
      <w:start w:val="1"/>
      <w:numFmt w:val="lowerLetter"/>
      <w:lvlText w:val="%5)"/>
      <w:lvlJc w:val="left"/>
      <w:pPr>
        <w:tabs>
          <w:tab w:val="left" w:pos="2685"/>
        </w:tabs>
        <w:ind w:left="2730" w:hanging="420"/>
      </w:pPr>
      <w:rPr>
        <w:rFonts w:cs="Times New Roman"/>
      </w:rPr>
    </w:lvl>
    <w:lvl w:ilvl="5" w:tentative="0">
      <w:start w:val="1"/>
      <w:numFmt w:val="lowerRoman"/>
      <w:lvlText w:val="%6."/>
      <w:lvlJc w:val="right"/>
      <w:pPr>
        <w:tabs>
          <w:tab w:val="left" w:pos="3105"/>
        </w:tabs>
        <w:ind w:left="3150" w:hanging="420"/>
      </w:pPr>
      <w:rPr>
        <w:rFonts w:cs="Times New Roman"/>
      </w:rPr>
    </w:lvl>
    <w:lvl w:ilvl="6" w:tentative="0">
      <w:start w:val="1"/>
      <w:numFmt w:val="decimal"/>
      <w:lvlText w:val="%7."/>
      <w:lvlJc w:val="left"/>
      <w:pPr>
        <w:tabs>
          <w:tab w:val="left" w:pos="3525"/>
        </w:tabs>
        <w:ind w:left="3570" w:hanging="420"/>
      </w:pPr>
      <w:rPr>
        <w:rFonts w:cs="Times New Roman"/>
      </w:rPr>
    </w:lvl>
    <w:lvl w:ilvl="7" w:tentative="0">
      <w:start w:val="1"/>
      <w:numFmt w:val="lowerLetter"/>
      <w:lvlText w:val="%8)"/>
      <w:lvlJc w:val="left"/>
      <w:pPr>
        <w:tabs>
          <w:tab w:val="left" w:pos="3945"/>
        </w:tabs>
        <w:ind w:left="3990" w:hanging="420"/>
      </w:pPr>
      <w:rPr>
        <w:rFonts w:cs="Times New Roman"/>
      </w:rPr>
    </w:lvl>
    <w:lvl w:ilvl="8" w:tentative="0">
      <w:start w:val="1"/>
      <w:numFmt w:val="lowerRoman"/>
      <w:lvlText w:val="%9."/>
      <w:lvlJc w:val="right"/>
      <w:pPr>
        <w:tabs>
          <w:tab w:val="left" w:pos="4365"/>
        </w:tabs>
        <w:ind w:left="4410" w:hanging="420"/>
      </w:pPr>
      <w:rPr>
        <w:rFonts w:cs="Times New Roman"/>
      </w:rPr>
    </w:lvl>
  </w:abstractNum>
  <w:abstractNum w:abstractNumId="17">
    <w:nsid w:val="73280354"/>
    <w:multiLevelType w:val="multilevel"/>
    <w:tmpl w:val="73280354"/>
    <w:lvl w:ilvl="0" w:tentative="0">
      <w:start w:val="1"/>
      <w:numFmt w:val="japaneseCounting"/>
      <w:lvlText w:val="%1、"/>
      <w:lvlJc w:val="left"/>
      <w:pPr>
        <w:ind w:left="360" w:hanging="360"/>
      </w:pPr>
      <w:rPr>
        <w:rFonts w:hint="eastAsia"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8">
    <w:nsid w:val="73EDB86F"/>
    <w:multiLevelType w:val="singleLevel"/>
    <w:tmpl w:val="73EDB86F"/>
    <w:lvl w:ilvl="0" w:tentative="0">
      <w:start w:val="1"/>
      <w:numFmt w:val="decimal"/>
      <w:suff w:val="space"/>
      <w:lvlText w:val="%1."/>
      <w:lvlJc w:val="left"/>
    </w:lvl>
  </w:abstractNum>
  <w:num w:numId="1">
    <w:abstractNumId w:val="3"/>
  </w:num>
  <w:num w:numId="2">
    <w:abstractNumId w:val="7"/>
  </w:num>
  <w:num w:numId="3">
    <w:abstractNumId w:val="6"/>
  </w:num>
  <w:num w:numId="4">
    <w:abstractNumId w:val="10"/>
  </w:num>
  <w:num w:numId="5">
    <w:abstractNumId w:val="4"/>
  </w:num>
  <w:num w:numId="6">
    <w:abstractNumId w:val="9"/>
  </w:num>
  <w:num w:numId="7">
    <w:abstractNumId w:val="8"/>
  </w:num>
  <w:num w:numId="8">
    <w:abstractNumId w:val="5"/>
  </w:num>
  <w:num w:numId="9">
    <w:abstractNumId w:val="11"/>
  </w:num>
  <w:num w:numId="10">
    <w:abstractNumId w:val="15"/>
  </w:num>
  <w:num w:numId="11">
    <w:abstractNumId w:val="0"/>
  </w:num>
  <w:num w:numId="12">
    <w:abstractNumId w:val="2"/>
  </w:num>
  <w:num w:numId="13">
    <w:abstractNumId w:val="1"/>
  </w:num>
  <w:num w:numId="14">
    <w:abstractNumId w:val="14"/>
  </w:num>
  <w:num w:numId="15">
    <w:abstractNumId w:val="12"/>
  </w:num>
  <w:num w:numId="16">
    <w:abstractNumId w:val="16"/>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ODNiNmZjOGY2MzI5YWNiYTc1YTQ2NzZhNjMwODMifQ=="/>
  </w:docVars>
  <w:rsids>
    <w:rsidRoot w:val="00172A27"/>
    <w:rsid w:val="0000196F"/>
    <w:rsid w:val="00002507"/>
    <w:rsid w:val="00016044"/>
    <w:rsid w:val="00026261"/>
    <w:rsid w:val="00030D9E"/>
    <w:rsid w:val="00037133"/>
    <w:rsid w:val="00037B1C"/>
    <w:rsid w:val="00040AD8"/>
    <w:rsid w:val="00056A50"/>
    <w:rsid w:val="00062475"/>
    <w:rsid w:val="00065EF9"/>
    <w:rsid w:val="0007014B"/>
    <w:rsid w:val="0007028A"/>
    <w:rsid w:val="00070E81"/>
    <w:rsid w:val="00071626"/>
    <w:rsid w:val="000734F7"/>
    <w:rsid w:val="00074E59"/>
    <w:rsid w:val="00075829"/>
    <w:rsid w:val="00076446"/>
    <w:rsid w:val="000828A1"/>
    <w:rsid w:val="00095DEC"/>
    <w:rsid w:val="000A0496"/>
    <w:rsid w:val="000A0A62"/>
    <w:rsid w:val="000A1971"/>
    <w:rsid w:val="000A299F"/>
    <w:rsid w:val="000A420F"/>
    <w:rsid w:val="000A4F4F"/>
    <w:rsid w:val="000A59B2"/>
    <w:rsid w:val="000A6482"/>
    <w:rsid w:val="000B21DC"/>
    <w:rsid w:val="000B5ECD"/>
    <w:rsid w:val="000B6999"/>
    <w:rsid w:val="000C537B"/>
    <w:rsid w:val="000C5801"/>
    <w:rsid w:val="000C69BE"/>
    <w:rsid w:val="000D376A"/>
    <w:rsid w:val="000D4997"/>
    <w:rsid w:val="000E1C44"/>
    <w:rsid w:val="000E7D53"/>
    <w:rsid w:val="000F660F"/>
    <w:rsid w:val="00100279"/>
    <w:rsid w:val="00105984"/>
    <w:rsid w:val="00110D76"/>
    <w:rsid w:val="00110F1F"/>
    <w:rsid w:val="0012209B"/>
    <w:rsid w:val="0012429A"/>
    <w:rsid w:val="00124361"/>
    <w:rsid w:val="0013459B"/>
    <w:rsid w:val="00136A3B"/>
    <w:rsid w:val="00140D90"/>
    <w:rsid w:val="00141324"/>
    <w:rsid w:val="001416C1"/>
    <w:rsid w:val="00147C80"/>
    <w:rsid w:val="00151AFB"/>
    <w:rsid w:val="001538C5"/>
    <w:rsid w:val="001573CF"/>
    <w:rsid w:val="001679CF"/>
    <w:rsid w:val="00171AF3"/>
    <w:rsid w:val="00172A27"/>
    <w:rsid w:val="001735B1"/>
    <w:rsid w:val="00173804"/>
    <w:rsid w:val="00180864"/>
    <w:rsid w:val="001817B5"/>
    <w:rsid w:val="00181890"/>
    <w:rsid w:val="00190392"/>
    <w:rsid w:val="00192E2F"/>
    <w:rsid w:val="00194F81"/>
    <w:rsid w:val="001A2969"/>
    <w:rsid w:val="001A465D"/>
    <w:rsid w:val="001A62F7"/>
    <w:rsid w:val="001A682F"/>
    <w:rsid w:val="001A6D59"/>
    <w:rsid w:val="001A768C"/>
    <w:rsid w:val="001B0E77"/>
    <w:rsid w:val="001B30A0"/>
    <w:rsid w:val="001B485B"/>
    <w:rsid w:val="001B5864"/>
    <w:rsid w:val="001B5D31"/>
    <w:rsid w:val="001C5228"/>
    <w:rsid w:val="001E00A5"/>
    <w:rsid w:val="001E19FA"/>
    <w:rsid w:val="001E1D97"/>
    <w:rsid w:val="001E2068"/>
    <w:rsid w:val="001E7053"/>
    <w:rsid w:val="001F1F21"/>
    <w:rsid w:val="001F235A"/>
    <w:rsid w:val="001F3CF2"/>
    <w:rsid w:val="001F4F0B"/>
    <w:rsid w:val="001F7143"/>
    <w:rsid w:val="002017AA"/>
    <w:rsid w:val="00207F98"/>
    <w:rsid w:val="002109A3"/>
    <w:rsid w:val="00213864"/>
    <w:rsid w:val="00214097"/>
    <w:rsid w:val="002163A8"/>
    <w:rsid w:val="00222F70"/>
    <w:rsid w:val="00223B1F"/>
    <w:rsid w:val="00232821"/>
    <w:rsid w:val="00232A12"/>
    <w:rsid w:val="00237AD7"/>
    <w:rsid w:val="002458D9"/>
    <w:rsid w:val="002500DA"/>
    <w:rsid w:val="002536C7"/>
    <w:rsid w:val="00257FD9"/>
    <w:rsid w:val="002603BC"/>
    <w:rsid w:val="00260FD4"/>
    <w:rsid w:val="00267424"/>
    <w:rsid w:val="00272149"/>
    <w:rsid w:val="0027479B"/>
    <w:rsid w:val="00277ECF"/>
    <w:rsid w:val="002A5682"/>
    <w:rsid w:val="002B00DC"/>
    <w:rsid w:val="002B0516"/>
    <w:rsid w:val="002B2EAA"/>
    <w:rsid w:val="002B501B"/>
    <w:rsid w:val="002B7C3F"/>
    <w:rsid w:val="002C2BCA"/>
    <w:rsid w:val="002C58B9"/>
    <w:rsid w:val="002C7A8B"/>
    <w:rsid w:val="002D2A14"/>
    <w:rsid w:val="002E0D7B"/>
    <w:rsid w:val="002E3230"/>
    <w:rsid w:val="002E5027"/>
    <w:rsid w:val="002E5BA4"/>
    <w:rsid w:val="002F17A4"/>
    <w:rsid w:val="002F7FF0"/>
    <w:rsid w:val="00310822"/>
    <w:rsid w:val="003222F0"/>
    <w:rsid w:val="00323D9C"/>
    <w:rsid w:val="0032411B"/>
    <w:rsid w:val="00332666"/>
    <w:rsid w:val="00332A89"/>
    <w:rsid w:val="00334D36"/>
    <w:rsid w:val="00337D7E"/>
    <w:rsid w:val="00341237"/>
    <w:rsid w:val="00341470"/>
    <w:rsid w:val="003454A2"/>
    <w:rsid w:val="0035104E"/>
    <w:rsid w:val="00351E7A"/>
    <w:rsid w:val="0035259D"/>
    <w:rsid w:val="00352D5E"/>
    <w:rsid w:val="0035316B"/>
    <w:rsid w:val="003547AF"/>
    <w:rsid w:val="00357BD6"/>
    <w:rsid w:val="00360A4D"/>
    <w:rsid w:val="003644D4"/>
    <w:rsid w:val="00366EF0"/>
    <w:rsid w:val="00367E4E"/>
    <w:rsid w:val="00371682"/>
    <w:rsid w:val="00372CF4"/>
    <w:rsid w:val="00376C56"/>
    <w:rsid w:val="00376F3A"/>
    <w:rsid w:val="003775FE"/>
    <w:rsid w:val="0038499B"/>
    <w:rsid w:val="00384E7D"/>
    <w:rsid w:val="003A6525"/>
    <w:rsid w:val="003A779E"/>
    <w:rsid w:val="003B36C6"/>
    <w:rsid w:val="003B4FF8"/>
    <w:rsid w:val="003B5965"/>
    <w:rsid w:val="003B7CA3"/>
    <w:rsid w:val="003C052C"/>
    <w:rsid w:val="003C1D30"/>
    <w:rsid w:val="003C2957"/>
    <w:rsid w:val="003C4F1F"/>
    <w:rsid w:val="003C5D49"/>
    <w:rsid w:val="003C62AD"/>
    <w:rsid w:val="003D0E88"/>
    <w:rsid w:val="003D100F"/>
    <w:rsid w:val="003D6E61"/>
    <w:rsid w:val="003E34D4"/>
    <w:rsid w:val="003E3CA8"/>
    <w:rsid w:val="003E7634"/>
    <w:rsid w:val="003E7824"/>
    <w:rsid w:val="003F1D5D"/>
    <w:rsid w:val="003F27D2"/>
    <w:rsid w:val="003F32AB"/>
    <w:rsid w:val="003F3FE9"/>
    <w:rsid w:val="003F7CF4"/>
    <w:rsid w:val="00402982"/>
    <w:rsid w:val="00406BC9"/>
    <w:rsid w:val="004075B3"/>
    <w:rsid w:val="00412C0A"/>
    <w:rsid w:val="004145B3"/>
    <w:rsid w:val="004200E5"/>
    <w:rsid w:val="00423C15"/>
    <w:rsid w:val="00432868"/>
    <w:rsid w:val="00443BE5"/>
    <w:rsid w:val="0045189F"/>
    <w:rsid w:val="00451DA7"/>
    <w:rsid w:val="00464AA6"/>
    <w:rsid w:val="004673DF"/>
    <w:rsid w:val="00472D32"/>
    <w:rsid w:val="00474E11"/>
    <w:rsid w:val="0047581D"/>
    <w:rsid w:val="00475FC8"/>
    <w:rsid w:val="00481905"/>
    <w:rsid w:val="00491671"/>
    <w:rsid w:val="00492427"/>
    <w:rsid w:val="004934CF"/>
    <w:rsid w:val="00493815"/>
    <w:rsid w:val="0049684E"/>
    <w:rsid w:val="00496F2E"/>
    <w:rsid w:val="004972CC"/>
    <w:rsid w:val="004A237C"/>
    <w:rsid w:val="004A272C"/>
    <w:rsid w:val="004A662F"/>
    <w:rsid w:val="004B12C9"/>
    <w:rsid w:val="004B2190"/>
    <w:rsid w:val="004B7BB2"/>
    <w:rsid w:val="004C11FA"/>
    <w:rsid w:val="004C34E2"/>
    <w:rsid w:val="004C38C3"/>
    <w:rsid w:val="004C421F"/>
    <w:rsid w:val="004C5EAC"/>
    <w:rsid w:val="004C63D6"/>
    <w:rsid w:val="004C7395"/>
    <w:rsid w:val="004D12B5"/>
    <w:rsid w:val="004D6942"/>
    <w:rsid w:val="004E06B9"/>
    <w:rsid w:val="004E4D37"/>
    <w:rsid w:val="004E6209"/>
    <w:rsid w:val="004F08A0"/>
    <w:rsid w:val="004F1207"/>
    <w:rsid w:val="004F122E"/>
    <w:rsid w:val="004F14CF"/>
    <w:rsid w:val="004F5754"/>
    <w:rsid w:val="004F6D7F"/>
    <w:rsid w:val="004F6FAB"/>
    <w:rsid w:val="004F7B44"/>
    <w:rsid w:val="00501984"/>
    <w:rsid w:val="0050242D"/>
    <w:rsid w:val="0050568F"/>
    <w:rsid w:val="00506A86"/>
    <w:rsid w:val="00510A71"/>
    <w:rsid w:val="005120B9"/>
    <w:rsid w:val="00513F61"/>
    <w:rsid w:val="005146EA"/>
    <w:rsid w:val="00514B23"/>
    <w:rsid w:val="005226CA"/>
    <w:rsid w:val="00527679"/>
    <w:rsid w:val="00530876"/>
    <w:rsid w:val="005405C7"/>
    <w:rsid w:val="00547C98"/>
    <w:rsid w:val="00547F71"/>
    <w:rsid w:val="00550B40"/>
    <w:rsid w:val="0055615E"/>
    <w:rsid w:val="00556286"/>
    <w:rsid w:val="0056056E"/>
    <w:rsid w:val="00563125"/>
    <w:rsid w:val="005664C5"/>
    <w:rsid w:val="00572180"/>
    <w:rsid w:val="00572BC9"/>
    <w:rsid w:val="005828D7"/>
    <w:rsid w:val="0058603E"/>
    <w:rsid w:val="00587476"/>
    <w:rsid w:val="005950AC"/>
    <w:rsid w:val="005955CD"/>
    <w:rsid w:val="005A308A"/>
    <w:rsid w:val="005A5A82"/>
    <w:rsid w:val="005A704F"/>
    <w:rsid w:val="005B0B5E"/>
    <w:rsid w:val="005B1ABA"/>
    <w:rsid w:val="005B3D8E"/>
    <w:rsid w:val="005B4B8D"/>
    <w:rsid w:val="005B6F41"/>
    <w:rsid w:val="005C2804"/>
    <w:rsid w:val="005C517E"/>
    <w:rsid w:val="005C6D71"/>
    <w:rsid w:val="005D7D19"/>
    <w:rsid w:val="005E11C8"/>
    <w:rsid w:val="005E525F"/>
    <w:rsid w:val="005F37E6"/>
    <w:rsid w:val="005F6933"/>
    <w:rsid w:val="00600B32"/>
    <w:rsid w:val="00600BF4"/>
    <w:rsid w:val="00611366"/>
    <w:rsid w:val="006120F8"/>
    <w:rsid w:val="00612642"/>
    <w:rsid w:val="00612E6B"/>
    <w:rsid w:val="00613447"/>
    <w:rsid w:val="00615073"/>
    <w:rsid w:val="00620CE3"/>
    <w:rsid w:val="00624035"/>
    <w:rsid w:val="00636A95"/>
    <w:rsid w:val="00640B40"/>
    <w:rsid w:val="00647C81"/>
    <w:rsid w:val="00647E6C"/>
    <w:rsid w:val="00647F38"/>
    <w:rsid w:val="00651C8F"/>
    <w:rsid w:val="00652E9C"/>
    <w:rsid w:val="0065306D"/>
    <w:rsid w:val="00653E2A"/>
    <w:rsid w:val="00656F86"/>
    <w:rsid w:val="00657C0E"/>
    <w:rsid w:val="006628F6"/>
    <w:rsid w:val="00663A28"/>
    <w:rsid w:val="00663EE5"/>
    <w:rsid w:val="006704D4"/>
    <w:rsid w:val="00671178"/>
    <w:rsid w:val="006755C1"/>
    <w:rsid w:val="00680E25"/>
    <w:rsid w:val="00680F90"/>
    <w:rsid w:val="00683EF1"/>
    <w:rsid w:val="00686D3D"/>
    <w:rsid w:val="0069658F"/>
    <w:rsid w:val="006978CD"/>
    <w:rsid w:val="006B10DB"/>
    <w:rsid w:val="006B2C7E"/>
    <w:rsid w:val="006B3A50"/>
    <w:rsid w:val="006B45F1"/>
    <w:rsid w:val="006B6587"/>
    <w:rsid w:val="006B72C8"/>
    <w:rsid w:val="006C321C"/>
    <w:rsid w:val="006C60D4"/>
    <w:rsid w:val="006C6604"/>
    <w:rsid w:val="006E22BF"/>
    <w:rsid w:val="006E2309"/>
    <w:rsid w:val="006E43CF"/>
    <w:rsid w:val="006F1E48"/>
    <w:rsid w:val="006F451E"/>
    <w:rsid w:val="006F5AB8"/>
    <w:rsid w:val="006F5E0F"/>
    <w:rsid w:val="006F6947"/>
    <w:rsid w:val="0070250A"/>
    <w:rsid w:val="007076DA"/>
    <w:rsid w:val="00711BE8"/>
    <w:rsid w:val="00712269"/>
    <w:rsid w:val="00712397"/>
    <w:rsid w:val="0071267E"/>
    <w:rsid w:val="00714D36"/>
    <w:rsid w:val="00722579"/>
    <w:rsid w:val="007245DC"/>
    <w:rsid w:val="00731340"/>
    <w:rsid w:val="0073453B"/>
    <w:rsid w:val="00740522"/>
    <w:rsid w:val="007414D9"/>
    <w:rsid w:val="00744CAD"/>
    <w:rsid w:val="0075258C"/>
    <w:rsid w:val="00754CC1"/>
    <w:rsid w:val="00754FDC"/>
    <w:rsid w:val="00755150"/>
    <w:rsid w:val="00755B24"/>
    <w:rsid w:val="00755F7F"/>
    <w:rsid w:val="00763BF4"/>
    <w:rsid w:val="007679CA"/>
    <w:rsid w:val="007724C2"/>
    <w:rsid w:val="00775CA8"/>
    <w:rsid w:val="00776553"/>
    <w:rsid w:val="00783457"/>
    <w:rsid w:val="00787997"/>
    <w:rsid w:val="00790717"/>
    <w:rsid w:val="00792B28"/>
    <w:rsid w:val="00792D61"/>
    <w:rsid w:val="0079550C"/>
    <w:rsid w:val="007B00E7"/>
    <w:rsid w:val="007B33A9"/>
    <w:rsid w:val="007B4136"/>
    <w:rsid w:val="007B564A"/>
    <w:rsid w:val="007B6767"/>
    <w:rsid w:val="007C6D74"/>
    <w:rsid w:val="007C716E"/>
    <w:rsid w:val="007D0EB1"/>
    <w:rsid w:val="007D337A"/>
    <w:rsid w:val="007D3655"/>
    <w:rsid w:val="007D491A"/>
    <w:rsid w:val="007E1B63"/>
    <w:rsid w:val="007E28D5"/>
    <w:rsid w:val="007E2ED4"/>
    <w:rsid w:val="007E48D6"/>
    <w:rsid w:val="007E4CD2"/>
    <w:rsid w:val="007E7379"/>
    <w:rsid w:val="007E7CE9"/>
    <w:rsid w:val="007E7EDE"/>
    <w:rsid w:val="007F6237"/>
    <w:rsid w:val="007F7756"/>
    <w:rsid w:val="00804279"/>
    <w:rsid w:val="00820E61"/>
    <w:rsid w:val="0082213E"/>
    <w:rsid w:val="0082246E"/>
    <w:rsid w:val="008226A3"/>
    <w:rsid w:val="0082579B"/>
    <w:rsid w:val="00827257"/>
    <w:rsid w:val="0083088D"/>
    <w:rsid w:val="00830ADD"/>
    <w:rsid w:val="00830ED5"/>
    <w:rsid w:val="0083136E"/>
    <w:rsid w:val="008355F0"/>
    <w:rsid w:val="0083659C"/>
    <w:rsid w:val="00837993"/>
    <w:rsid w:val="00847961"/>
    <w:rsid w:val="00851E53"/>
    <w:rsid w:val="00851FFF"/>
    <w:rsid w:val="00865610"/>
    <w:rsid w:val="008663FF"/>
    <w:rsid w:val="008666A2"/>
    <w:rsid w:val="00867D33"/>
    <w:rsid w:val="008716F4"/>
    <w:rsid w:val="00873888"/>
    <w:rsid w:val="00886A7E"/>
    <w:rsid w:val="0089267E"/>
    <w:rsid w:val="00893752"/>
    <w:rsid w:val="00894678"/>
    <w:rsid w:val="0089642B"/>
    <w:rsid w:val="008A0031"/>
    <w:rsid w:val="008A0675"/>
    <w:rsid w:val="008A22F3"/>
    <w:rsid w:val="008A7A55"/>
    <w:rsid w:val="008B6AC1"/>
    <w:rsid w:val="008C1548"/>
    <w:rsid w:val="008C28A7"/>
    <w:rsid w:val="008C6C5D"/>
    <w:rsid w:val="008D124E"/>
    <w:rsid w:val="008D6DC8"/>
    <w:rsid w:val="008E26FF"/>
    <w:rsid w:val="008E4644"/>
    <w:rsid w:val="008E664E"/>
    <w:rsid w:val="008E6C16"/>
    <w:rsid w:val="008E7B14"/>
    <w:rsid w:val="008F0072"/>
    <w:rsid w:val="008F315F"/>
    <w:rsid w:val="008F53A4"/>
    <w:rsid w:val="00902145"/>
    <w:rsid w:val="00905773"/>
    <w:rsid w:val="00905CEC"/>
    <w:rsid w:val="00911709"/>
    <w:rsid w:val="00913B38"/>
    <w:rsid w:val="00914F08"/>
    <w:rsid w:val="00914FA2"/>
    <w:rsid w:val="00916933"/>
    <w:rsid w:val="0091693C"/>
    <w:rsid w:val="0091747F"/>
    <w:rsid w:val="00921F0D"/>
    <w:rsid w:val="009257DF"/>
    <w:rsid w:val="00930977"/>
    <w:rsid w:val="009347C6"/>
    <w:rsid w:val="009427A3"/>
    <w:rsid w:val="00943EB5"/>
    <w:rsid w:val="009443E3"/>
    <w:rsid w:val="00945DB3"/>
    <w:rsid w:val="009505A4"/>
    <w:rsid w:val="009516FE"/>
    <w:rsid w:val="00955587"/>
    <w:rsid w:val="009560A3"/>
    <w:rsid w:val="009620FC"/>
    <w:rsid w:val="00962CC4"/>
    <w:rsid w:val="0096316A"/>
    <w:rsid w:val="0096550E"/>
    <w:rsid w:val="00972CEE"/>
    <w:rsid w:val="00976A64"/>
    <w:rsid w:val="00984313"/>
    <w:rsid w:val="00984869"/>
    <w:rsid w:val="00985090"/>
    <w:rsid w:val="00985258"/>
    <w:rsid w:val="0099427F"/>
    <w:rsid w:val="009A056B"/>
    <w:rsid w:val="009B0EF0"/>
    <w:rsid w:val="009B29B6"/>
    <w:rsid w:val="009B5941"/>
    <w:rsid w:val="009C051B"/>
    <w:rsid w:val="009C09E7"/>
    <w:rsid w:val="009C31B4"/>
    <w:rsid w:val="009C32C3"/>
    <w:rsid w:val="009C4192"/>
    <w:rsid w:val="009C62B1"/>
    <w:rsid w:val="009C763B"/>
    <w:rsid w:val="009D0491"/>
    <w:rsid w:val="009D1EA2"/>
    <w:rsid w:val="009D3572"/>
    <w:rsid w:val="009D65B3"/>
    <w:rsid w:val="009E1D6A"/>
    <w:rsid w:val="009E4EA1"/>
    <w:rsid w:val="009E4F3C"/>
    <w:rsid w:val="009E68DC"/>
    <w:rsid w:val="009F3283"/>
    <w:rsid w:val="009F331D"/>
    <w:rsid w:val="009F7323"/>
    <w:rsid w:val="00A01E11"/>
    <w:rsid w:val="00A11CF2"/>
    <w:rsid w:val="00A155B4"/>
    <w:rsid w:val="00A16F53"/>
    <w:rsid w:val="00A17C57"/>
    <w:rsid w:val="00A26960"/>
    <w:rsid w:val="00A30F7E"/>
    <w:rsid w:val="00A34349"/>
    <w:rsid w:val="00A34456"/>
    <w:rsid w:val="00A34D19"/>
    <w:rsid w:val="00A365F1"/>
    <w:rsid w:val="00A4428F"/>
    <w:rsid w:val="00A45412"/>
    <w:rsid w:val="00A51501"/>
    <w:rsid w:val="00A53A01"/>
    <w:rsid w:val="00A62F50"/>
    <w:rsid w:val="00A64D8A"/>
    <w:rsid w:val="00A70188"/>
    <w:rsid w:val="00A711D0"/>
    <w:rsid w:val="00A7182F"/>
    <w:rsid w:val="00A724BE"/>
    <w:rsid w:val="00A75F17"/>
    <w:rsid w:val="00A76BEB"/>
    <w:rsid w:val="00A77FDE"/>
    <w:rsid w:val="00A81CA3"/>
    <w:rsid w:val="00A82747"/>
    <w:rsid w:val="00A83787"/>
    <w:rsid w:val="00A84ED2"/>
    <w:rsid w:val="00A937B2"/>
    <w:rsid w:val="00A94AEF"/>
    <w:rsid w:val="00A95C6F"/>
    <w:rsid w:val="00A96EE1"/>
    <w:rsid w:val="00AA0AAB"/>
    <w:rsid w:val="00AA469A"/>
    <w:rsid w:val="00AA5AB1"/>
    <w:rsid w:val="00AB22BE"/>
    <w:rsid w:val="00AB5AD0"/>
    <w:rsid w:val="00AB5B86"/>
    <w:rsid w:val="00AC052E"/>
    <w:rsid w:val="00AC6F45"/>
    <w:rsid w:val="00AD30E7"/>
    <w:rsid w:val="00AD4ED7"/>
    <w:rsid w:val="00AD5CCE"/>
    <w:rsid w:val="00AD64AD"/>
    <w:rsid w:val="00AD7C01"/>
    <w:rsid w:val="00AE0683"/>
    <w:rsid w:val="00AF2CB3"/>
    <w:rsid w:val="00AF67F7"/>
    <w:rsid w:val="00B0059E"/>
    <w:rsid w:val="00B009D3"/>
    <w:rsid w:val="00B10D6F"/>
    <w:rsid w:val="00B10F33"/>
    <w:rsid w:val="00B14885"/>
    <w:rsid w:val="00B15B83"/>
    <w:rsid w:val="00B17EE1"/>
    <w:rsid w:val="00B2113D"/>
    <w:rsid w:val="00B269AD"/>
    <w:rsid w:val="00B33514"/>
    <w:rsid w:val="00B34FBC"/>
    <w:rsid w:val="00B36A7D"/>
    <w:rsid w:val="00B40CDB"/>
    <w:rsid w:val="00B41C54"/>
    <w:rsid w:val="00B42404"/>
    <w:rsid w:val="00B44594"/>
    <w:rsid w:val="00B45CAB"/>
    <w:rsid w:val="00B510B8"/>
    <w:rsid w:val="00B55353"/>
    <w:rsid w:val="00B55702"/>
    <w:rsid w:val="00B6307D"/>
    <w:rsid w:val="00B64011"/>
    <w:rsid w:val="00B72091"/>
    <w:rsid w:val="00B72D6B"/>
    <w:rsid w:val="00B743A0"/>
    <w:rsid w:val="00B74DA5"/>
    <w:rsid w:val="00B75EC6"/>
    <w:rsid w:val="00B82421"/>
    <w:rsid w:val="00B853DE"/>
    <w:rsid w:val="00B85634"/>
    <w:rsid w:val="00B9784B"/>
    <w:rsid w:val="00BA48FF"/>
    <w:rsid w:val="00BB1055"/>
    <w:rsid w:val="00BB456B"/>
    <w:rsid w:val="00BB4F8C"/>
    <w:rsid w:val="00BB5669"/>
    <w:rsid w:val="00BC112E"/>
    <w:rsid w:val="00BC20FD"/>
    <w:rsid w:val="00BC460D"/>
    <w:rsid w:val="00BC574E"/>
    <w:rsid w:val="00BD0767"/>
    <w:rsid w:val="00BD320A"/>
    <w:rsid w:val="00BD3978"/>
    <w:rsid w:val="00BD4637"/>
    <w:rsid w:val="00BD4810"/>
    <w:rsid w:val="00BD57EA"/>
    <w:rsid w:val="00BD62D2"/>
    <w:rsid w:val="00BE629F"/>
    <w:rsid w:val="00BF5B65"/>
    <w:rsid w:val="00C01401"/>
    <w:rsid w:val="00C01669"/>
    <w:rsid w:val="00C04ABF"/>
    <w:rsid w:val="00C0578C"/>
    <w:rsid w:val="00C22D49"/>
    <w:rsid w:val="00C31BD9"/>
    <w:rsid w:val="00C3241C"/>
    <w:rsid w:val="00C3469F"/>
    <w:rsid w:val="00C3499E"/>
    <w:rsid w:val="00C34F3F"/>
    <w:rsid w:val="00C351D8"/>
    <w:rsid w:val="00C3631E"/>
    <w:rsid w:val="00C363F3"/>
    <w:rsid w:val="00C37487"/>
    <w:rsid w:val="00C40CCC"/>
    <w:rsid w:val="00C41172"/>
    <w:rsid w:val="00C44F59"/>
    <w:rsid w:val="00C4511F"/>
    <w:rsid w:val="00C51F20"/>
    <w:rsid w:val="00C527BD"/>
    <w:rsid w:val="00C56025"/>
    <w:rsid w:val="00C60F98"/>
    <w:rsid w:val="00C6268F"/>
    <w:rsid w:val="00C6630F"/>
    <w:rsid w:val="00C66387"/>
    <w:rsid w:val="00C670C9"/>
    <w:rsid w:val="00C70486"/>
    <w:rsid w:val="00C72C8E"/>
    <w:rsid w:val="00C72F18"/>
    <w:rsid w:val="00C738CB"/>
    <w:rsid w:val="00C7795C"/>
    <w:rsid w:val="00C8126A"/>
    <w:rsid w:val="00C82A1D"/>
    <w:rsid w:val="00C83A9B"/>
    <w:rsid w:val="00C879DD"/>
    <w:rsid w:val="00C87DAA"/>
    <w:rsid w:val="00C907DF"/>
    <w:rsid w:val="00C93654"/>
    <w:rsid w:val="00C944D0"/>
    <w:rsid w:val="00C950DB"/>
    <w:rsid w:val="00C95287"/>
    <w:rsid w:val="00C95465"/>
    <w:rsid w:val="00C95D79"/>
    <w:rsid w:val="00C96CC6"/>
    <w:rsid w:val="00CA288B"/>
    <w:rsid w:val="00CA2DA5"/>
    <w:rsid w:val="00CA7C42"/>
    <w:rsid w:val="00CB086D"/>
    <w:rsid w:val="00CB340A"/>
    <w:rsid w:val="00CB3F7D"/>
    <w:rsid w:val="00CB58BD"/>
    <w:rsid w:val="00CC501B"/>
    <w:rsid w:val="00CC72F7"/>
    <w:rsid w:val="00CD1331"/>
    <w:rsid w:val="00CD5FF6"/>
    <w:rsid w:val="00CE3AB6"/>
    <w:rsid w:val="00CE6F10"/>
    <w:rsid w:val="00CF072B"/>
    <w:rsid w:val="00CF0F5A"/>
    <w:rsid w:val="00CF1F32"/>
    <w:rsid w:val="00CF2939"/>
    <w:rsid w:val="00CF445D"/>
    <w:rsid w:val="00CF5D32"/>
    <w:rsid w:val="00CF69FD"/>
    <w:rsid w:val="00D001A5"/>
    <w:rsid w:val="00D040CE"/>
    <w:rsid w:val="00D06704"/>
    <w:rsid w:val="00D14C63"/>
    <w:rsid w:val="00D23711"/>
    <w:rsid w:val="00D239F3"/>
    <w:rsid w:val="00D242AE"/>
    <w:rsid w:val="00D30FEB"/>
    <w:rsid w:val="00D3130E"/>
    <w:rsid w:val="00D33BB1"/>
    <w:rsid w:val="00D34D77"/>
    <w:rsid w:val="00D36B29"/>
    <w:rsid w:val="00D40D79"/>
    <w:rsid w:val="00D4139C"/>
    <w:rsid w:val="00D46CF7"/>
    <w:rsid w:val="00D4754D"/>
    <w:rsid w:val="00D47A13"/>
    <w:rsid w:val="00D51522"/>
    <w:rsid w:val="00D53910"/>
    <w:rsid w:val="00D5680F"/>
    <w:rsid w:val="00D576BC"/>
    <w:rsid w:val="00D6537C"/>
    <w:rsid w:val="00D6783E"/>
    <w:rsid w:val="00D70615"/>
    <w:rsid w:val="00D7708B"/>
    <w:rsid w:val="00D829BF"/>
    <w:rsid w:val="00D83974"/>
    <w:rsid w:val="00D910F9"/>
    <w:rsid w:val="00D94119"/>
    <w:rsid w:val="00D94BFE"/>
    <w:rsid w:val="00D965BB"/>
    <w:rsid w:val="00DA0B6F"/>
    <w:rsid w:val="00DA101C"/>
    <w:rsid w:val="00DA19FD"/>
    <w:rsid w:val="00DA4AAE"/>
    <w:rsid w:val="00DA684D"/>
    <w:rsid w:val="00DA6A6F"/>
    <w:rsid w:val="00DB2F2E"/>
    <w:rsid w:val="00DB3057"/>
    <w:rsid w:val="00DB70E1"/>
    <w:rsid w:val="00DD231B"/>
    <w:rsid w:val="00DD3440"/>
    <w:rsid w:val="00DE0886"/>
    <w:rsid w:val="00DE1372"/>
    <w:rsid w:val="00DE7A21"/>
    <w:rsid w:val="00DF06C0"/>
    <w:rsid w:val="00DF4DBB"/>
    <w:rsid w:val="00E01671"/>
    <w:rsid w:val="00E12D24"/>
    <w:rsid w:val="00E141EF"/>
    <w:rsid w:val="00E16E00"/>
    <w:rsid w:val="00E16F29"/>
    <w:rsid w:val="00E17715"/>
    <w:rsid w:val="00E17B7C"/>
    <w:rsid w:val="00E32325"/>
    <w:rsid w:val="00E336F1"/>
    <w:rsid w:val="00E4469F"/>
    <w:rsid w:val="00E52B0E"/>
    <w:rsid w:val="00E566C7"/>
    <w:rsid w:val="00E62D92"/>
    <w:rsid w:val="00E63CBF"/>
    <w:rsid w:val="00E667CF"/>
    <w:rsid w:val="00E707A1"/>
    <w:rsid w:val="00E70A42"/>
    <w:rsid w:val="00E70F3B"/>
    <w:rsid w:val="00E71875"/>
    <w:rsid w:val="00E84BF0"/>
    <w:rsid w:val="00E86F19"/>
    <w:rsid w:val="00E908EE"/>
    <w:rsid w:val="00E91182"/>
    <w:rsid w:val="00E94F8A"/>
    <w:rsid w:val="00E975C7"/>
    <w:rsid w:val="00EA12D2"/>
    <w:rsid w:val="00EB031F"/>
    <w:rsid w:val="00EB31DB"/>
    <w:rsid w:val="00EC1A24"/>
    <w:rsid w:val="00EC2473"/>
    <w:rsid w:val="00EC42D0"/>
    <w:rsid w:val="00EC61C8"/>
    <w:rsid w:val="00EC7183"/>
    <w:rsid w:val="00ED2389"/>
    <w:rsid w:val="00ED4089"/>
    <w:rsid w:val="00ED4535"/>
    <w:rsid w:val="00EE1196"/>
    <w:rsid w:val="00EE16F7"/>
    <w:rsid w:val="00EE27F8"/>
    <w:rsid w:val="00EE442F"/>
    <w:rsid w:val="00EE57F5"/>
    <w:rsid w:val="00EE7E1F"/>
    <w:rsid w:val="00EF0AAF"/>
    <w:rsid w:val="00EF248F"/>
    <w:rsid w:val="00EF6BEA"/>
    <w:rsid w:val="00EF796B"/>
    <w:rsid w:val="00F00C46"/>
    <w:rsid w:val="00F01B24"/>
    <w:rsid w:val="00F03039"/>
    <w:rsid w:val="00F03870"/>
    <w:rsid w:val="00F04B42"/>
    <w:rsid w:val="00F06814"/>
    <w:rsid w:val="00F07584"/>
    <w:rsid w:val="00F1130E"/>
    <w:rsid w:val="00F128B9"/>
    <w:rsid w:val="00F20FBC"/>
    <w:rsid w:val="00F21E41"/>
    <w:rsid w:val="00F27D33"/>
    <w:rsid w:val="00F329C4"/>
    <w:rsid w:val="00F3474A"/>
    <w:rsid w:val="00F35D90"/>
    <w:rsid w:val="00F41BCA"/>
    <w:rsid w:val="00F4233E"/>
    <w:rsid w:val="00F43107"/>
    <w:rsid w:val="00F43479"/>
    <w:rsid w:val="00F449D7"/>
    <w:rsid w:val="00F45E0C"/>
    <w:rsid w:val="00F53611"/>
    <w:rsid w:val="00F568BE"/>
    <w:rsid w:val="00F56D70"/>
    <w:rsid w:val="00F6173E"/>
    <w:rsid w:val="00F617C1"/>
    <w:rsid w:val="00F62BDC"/>
    <w:rsid w:val="00F662EB"/>
    <w:rsid w:val="00F7310D"/>
    <w:rsid w:val="00F80F2C"/>
    <w:rsid w:val="00F94CD7"/>
    <w:rsid w:val="00FA29E4"/>
    <w:rsid w:val="00FA642F"/>
    <w:rsid w:val="00FB2433"/>
    <w:rsid w:val="00FB42F2"/>
    <w:rsid w:val="00FB5B82"/>
    <w:rsid w:val="00FC12D7"/>
    <w:rsid w:val="00FC1C25"/>
    <w:rsid w:val="00FC2307"/>
    <w:rsid w:val="00FC5973"/>
    <w:rsid w:val="00FC7686"/>
    <w:rsid w:val="00FD1762"/>
    <w:rsid w:val="00FD1D6F"/>
    <w:rsid w:val="00FD6671"/>
    <w:rsid w:val="00FD7591"/>
    <w:rsid w:val="00FE1590"/>
    <w:rsid w:val="00FE42F7"/>
    <w:rsid w:val="011917E0"/>
    <w:rsid w:val="0147153B"/>
    <w:rsid w:val="015B3238"/>
    <w:rsid w:val="017E7D60"/>
    <w:rsid w:val="01CD61FD"/>
    <w:rsid w:val="01E413EF"/>
    <w:rsid w:val="020A78EB"/>
    <w:rsid w:val="021823D0"/>
    <w:rsid w:val="022113C8"/>
    <w:rsid w:val="02437453"/>
    <w:rsid w:val="02513FF2"/>
    <w:rsid w:val="026306AC"/>
    <w:rsid w:val="027E2898"/>
    <w:rsid w:val="02816262"/>
    <w:rsid w:val="02CF6330"/>
    <w:rsid w:val="02D13C17"/>
    <w:rsid w:val="02EA14D3"/>
    <w:rsid w:val="03094650"/>
    <w:rsid w:val="0335290B"/>
    <w:rsid w:val="03447397"/>
    <w:rsid w:val="0358008B"/>
    <w:rsid w:val="03A9113D"/>
    <w:rsid w:val="03F14D48"/>
    <w:rsid w:val="03FB49D2"/>
    <w:rsid w:val="04130306"/>
    <w:rsid w:val="0424424F"/>
    <w:rsid w:val="04414C80"/>
    <w:rsid w:val="04781CE1"/>
    <w:rsid w:val="04920E96"/>
    <w:rsid w:val="04925647"/>
    <w:rsid w:val="04DC643E"/>
    <w:rsid w:val="04F02024"/>
    <w:rsid w:val="05082C1A"/>
    <w:rsid w:val="052E3010"/>
    <w:rsid w:val="054668D8"/>
    <w:rsid w:val="05543586"/>
    <w:rsid w:val="05B72A07"/>
    <w:rsid w:val="05C60EBB"/>
    <w:rsid w:val="05C621BA"/>
    <w:rsid w:val="061F08E4"/>
    <w:rsid w:val="06633D57"/>
    <w:rsid w:val="06685547"/>
    <w:rsid w:val="067A2A04"/>
    <w:rsid w:val="069B70BE"/>
    <w:rsid w:val="06A30B9A"/>
    <w:rsid w:val="06AB431A"/>
    <w:rsid w:val="06B61A75"/>
    <w:rsid w:val="07074B80"/>
    <w:rsid w:val="071734F7"/>
    <w:rsid w:val="07495AAB"/>
    <w:rsid w:val="078132CC"/>
    <w:rsid w:val="07926EFD"/>
    <w:rsid w:val="079E4140"/>
    <w:rsid w:val="07AA637F"/>
    <w:rsid w:val="07AE4F38"/>
    <w:rsid w:val="07EE12A9"/>
    <w:rsid w:val="07EE16E8"/>
    <w:rsid w:val="080A40BA"/>
    <w:rsid w:val="081927DC"/>
    <w:rsid w:val="08662890"/>
    <w:rsid w:val="088244D8"/>
    <w:rsid w:val="08845C81"/>
    <w:rsid w:val="088A5DF8"/>
    <w:rsid w:val="08CC1F27"/>
    <w:rsid w:val="09044919"/>
    <w:rsid w:val="092C3189"/>
    <w:rsid w:val="09517D22"/>
    <w:rsid w:val="096156B5"/>
    <w:rsid w:val="09976284"/>
    <w:rsid w:val="09BE35BD"/>
    <w:rsid w:val="0A0739C9"/>
    <w:rsid w:val="0A2C57D5"/>
    <w:rsid w:val="0A7E0E31"/>
    <w:rsid w:val="0A846C8B"/>
    <w:rsid w:val="0AB2113F"/>
    <w:rsid w:val="0AD521E9"/>
    <w:rsid w:val="0AD81609"/>
    <w:rsid w:val="0ADD567E"/>
    <w:rsid w:val="0B0D2FC5"/>
    <w:rsid w:val="0B201AF2"/>
    <w:rsid w:val="0B203B80"/>
    <w:rsid w:val="0B454B41"/>
    <w:rsid w:val="0B5027DA"/>
    <w:rsid w:val="0B6661BB"/>
    <w:rsid w:val="0B6E11BD"/>
    <w:rsid w:val="0B821E87"/>
    <w:rsid w:val="0B8A320D"/>
    <w:rsid w:val="0B9F7D24"/>
    <w:rsid w:val="0BBF1BEB"/>
    <w:rsid w:val="0C030C35"/>
    <w:rsid w:val="0C0B2ED4"/>
    <w:rsid w:val="0C4E230F"/>
    <w:rsid w:val="0C5943E9"/>
    <w:rsid w:val="0C6938F1"/>
    <w:rsid w:val="0C6D153E"/>
    <w:rsid w:val="0C7B3FAC"/>
    <w:rsid w:val="0C924776"/>
    <w:rsid w:val="0CD517CB"/>
    <w:rsid w:val="0D3C6C16"/>
    <w:rsid w:val="0D443A40"/>
    <w:rsid w:val="0D706A96"/>
    <w:rsid w:val="0D84048B"/>
    <w:rsid w:val="0D8E7C41"/>
    <w:rsid w:val="0DCB5D02"/>
    <w:rsid w:val="0DDE0193"/>
    <w:rsid w:val="0DE90D5F"/>
    <w:rsid w:val="0E0620AA"/>
    <w:rsid w:val="0E3E6BE7"/>
    <w:rsid w:val="0E4125E2"/>
    <w:rsid w:val="0E4834BD"/>
    <w:rsid w:val="0E590AFF"/>
    <w:rsid w:val="0E705E63"/>
    <w:rsid w:val="0E760DED"/>
    <w:rsid w:val="0E9205ED"/>
    <w:rsid w:val="0EB421D9"/>
    <w:rsid w:val="0EC14EA7"/>
    <w:rsid w:val="0EE12CAF"/>
    <w:rsid w:val="0F014EE3"/>
    <w:rsid w:val="0F1A0C96"/>
    <w:rsid w:val="0F1F5681"/>
    <w:rsid w:val="0F3E1E19"/>
    <w:rsid w:val="0F815475"/>
    <w:rsid w:val="0F8E4D3F"/>
    <w:rsid w:val="0F992376"/>
    <w:rsid w:val="0FB31F5E"/>
    <w:rsid w:val="0FCD7AA8"/>
    <w:rsid w:val="0FD20A25"/>
    <w:rsid w:val="0FE8199E"/>
    <w:rsid w:val="0FEF732A"/>
    <w:rsid w:val="0FFB6CBF"/>
    <w:rsid w:val="105F47DF"/>
    <w:rsid w:val="10967993"/>
    <w:rsid w:val="10B00401"/>
    <w:rsid w:val="10B20C12"/>
    <w:rsid w:val="10B97633"/>
    <w:rsid w:val="10F767B1"/>
    <w:rsid w:val="10FC4B56"/>
    <w:rsid w:val="10FD3BF0"/>
    <w:rsid w:val="111331AD"/>
    <w:rsid w:val="111571A1"/>
    <w:rsid w:val="112A7AA9"/>
    <w:rsid w:val="11345325"/>
    <w:rsid w:val="1166018B"/>
    <w:rsid w:val="11E61B6C"/>
    <w:rsid w:val="11F74BAA"/>
    <w:rsid w:val="120328B4"/>
    <w:rsid w:val="121E3919"/>
    <w:rsid w:val="12243228"/>
    <w:rsid w:val="123420CD"/>
    <w:rsid w:val="12454B6B"/>
    <w:rsid w:val="12497244"/>
    <w:rsid w:val="12503FC7"/>
    <w:rsid w:val="12517AE4"/>
    <w:rsid w:val="12710410"/>
    <w:rsid w:val="1276256E"/>
    <w:rsid w:val="12DC375B"/>
    <w:rsid w:val="130B75F3"/>
    <w:rsid w:val="13177DF7"/>
    <w:rsid w:val="133129E7"/>
    <w:rsid w:val="136D2D5E"/>
    <w:rsid w:val="13924E35"/>
    <w:rsid w:val="13957F9C"/>
    <w:rsid w:val="13DC6C94"/>
    <w:rsid w:val="13E76BAD"/>
    <w:rsid w:val="14134EB3"/>
    <w:rsid w:val="14247EE5"/>
    <w:rsid w:val="143B7739"/>
    <w:rsid w:val="144E439C"/>
    <w:rsid w:val="14534676"/>
    <w:rsid w:val="14CC09EC"/>
    <w:rsid w:val="151A71E1"/>
    <w:rsid w:val="153730A4"/>
    <w:rsid w:val="15411966"/>
    <w:rsid w:val="155823C4"/>
    <w:rsid w:val="15634BA9"/>
    <w:rsid w:val="157D1D16"/>
    <w:rsid w:val="15CB6F73"/>
    <w:rsid w:val="15D4029B"/>
    <w:rsid w:val="15DC1899"/>
    <w:rsid w:val="1607138A"/>
    <w:rsid w:val="160F090A"/>
    <w:rsid w:val="16B46B86"/>
    <w:rsid w:val="16B80A98"/>
    <w:rsid w:val="16C409FE"/>
    <w:rsid w:val="16E4345B"/>
    <w:rsid w:val="16EB431C"/>
    <w:rsid w:val="16F92D0A"/>
    <w:rsid w:val="170800F8"/>
    <w:rsid w:val="171F0F97"/>
    <w:rsid w:val="17274ADB"/>
    <w:rsid w:val="17843F45"/>
    <w:rsid w:val="178972D5"/>
    <w:rsid w:val="17CA6475"/>
    <w:rsid w:val="17D84072"/>
    <w:rsid w:val="17F12D72"/>
    <w:rsid w:val="181C7052"/>
    <w:rsid w:val="18304071"/>
    <w:rsid w:val="18786978"/>
    <w:rsid w:val="18952023"/>
    <w:rsid w:val="189B608D"/>
    <w:rsid w:val="194D4F21"/>
    <w:rsid w:val="194D7A02"/>
    <w:rsid w:val="19574D48"/>
    <w:rsid w:val="197C6F70"/>
    <w:rsid w:val="19815758"/>
    <w:rsid w:val="19837F24"/>
    <w:rsid w:val="198A72C2"/>
    <w:rsid w:val="19AB7732"/>
    <w:rsid w:val="19E92C40"/>
    <w:rsid w:val="19FC2745"/>
    <w:rsid w:val="1A392129"/>
    <w:rsid w:val="1A3B6336"/>
    <w:rsid w:val="1A6A0F57"/>
    <w:rsid w:val="1A6A3780"/>
    <w:rsid w:val="1AB86451"/>
    <w:rsid w:val="1ACC24A7"/>
    <w:rsid w:val="1ADF6042"/>
    <w:rsid w:val="1ADF78BB"/>
    <w:rsid w:val="1B1309E5"/>
    <w:rsid w:val="1B2D45FF"/>
    <w:rsid w:val="1B397D65"/>
    <w:rsid w:val="1B460F25"/>
    <w:rsid w:val="1B487F8D"/>
    <w:rsid w:val="1B4A661E"/>
    <w:rsid w:val="1B4F155D"/>
    <w:rsid w:val="1B7E5AA3"/>
    <w:rsid w:val="1B8D642E"/>
    <w:rsid w:val="1B903939"/>
    <w:rsid w:val="1BC329A0"/>
    <w:rsid w:val="1C35198A"/>
    <w:rsid w:val="1C383762"/>
    <w:rsid w:val="1C567DC3"/>
    <w:rsid w:val="1C6E364F"/>
    <w:rsid w:val="1C980D70"/>
    <w:rsid w:val="1CC25250"/>
    <w:rsid w:val="1CCF5716"/>
    <w:rsid w:val="1CD36B48"/>
    <w:rsid w:val="1CE676A2"/>
    <w:rsid w:val="1CEB3084"/>
    <w:rsid w:val="1CF96EAF"/>
    <w:rsid w:val="1D003AE2"/>
    <w:rsid w:val="1D084B49"/>
    <w:rsid w:val="1D0D7BC6"/>
    <w:rsid w:val="1D343DF6"/>
    <w:rsid w:val="1D525097"/>
    <w:rsid w:val="1E1604C8"/>
    <w:rsid w:val="1E314D11"/>
    <w:rsid w:val="1E633DAF"/>
    <w:rsid w:val="1E9F2DDA"/>
    <w:rsid w:val="1EA000F6"/>
    <w:rsid w:val="1EA0746E"/>
    <w:rsid w:val="1EAC1836"/>
    <w:rsid w:val="1ED341F3"/>
    <w:rsid w:val="1ED65728"/>
    <w:rsid w:val="1EE44415"/>
    <w:rsid w:val="1EF54CAC"/>
    <w:rsid w:val="1F250811"/>
    <w:rsid w:val="1F3D292F"/>
    <w:rsid w:val="1F6110E2"/>
    <w:rsid w:val="1FDC333E"/>
    <w:rsid w:val="2007660D"/>
    <w:rsid w:val="20283A1F"/>
    <w:rsid w:val="2048353E"/>
    <w:rsid w:val="20740185"/>
    <w:rsid w:val="20882F37"/>
    <w:rsid w:val="2096173F"/>
    <w:rsid w:val="20B3672A"/>
    <w:rsid w:val="20CA5655"/>
    <w:rsid w:val="210657BE"/>
    <w:rsid w:val="210E4A00"/>
    <w:rsid w:val="211E1C6F"/>
    <w:rsid w:val="21296EDF"/>
    <w:rsid w:val="212E7391"/>
    <w:rsid w:val="213C3352"/>
    <w:rsid w:val="21580F6A"/>
    <w:rsid w:val="215A6C10"/>
    <w:rsid w:val="216271EC"/>
    <w:rsid w:val="2179562E"/>
    <w:rsid w:val="217B53E1"/>
    <w:rsid w:val="21EE732A"/>
    <w:rsid w:val="21F3104A"/>
    <w:rsid w:val="2220115C"/>
    <w:rsid w:val="223A2560"/>
    <w:rsid w:val="22610ADC"/>
    <w:rsid w:val="226808F7"/>
    <w:rsid w:val="226B0733"/>
    <w:rsid w:val="227D4BAD"/>
    <w:rsid w:val="229357FA"/>
    <w:rsid w:val="22972CD2"/>
    <w:rsid w:val="22995958"/>
    <w:rsid w:val="230B4AC3"/>
    <w:rsid w:val="2329590D"/>
    <w:rsid w:val="233A2855"/>
    <w:rsid w:val="23523791"/>
    <w:rsid w:val="235F2283"/>
    <w:rsid w:val="237A6D08"/>
    <w:rsid w:val="238E1C43"/>
    <w:rsid w:val="23902990"/>
    <w:rsid w:val="23A44128"/>
    <w:rsid w:val="23A92476"/>
    <w:rsid w:val="23B60015"/>
    <w:rsid w:val="24140222"/>
    <w:rsid w:val="24631F8A"/>
    <w:rsid w:val="249C2E16"/>
    <w:rsid w:val="24BB6A68"/>
    <w:rsid w:val="24D740D4"/>
    <w:rsid w:val="25296688"/>
    <w:rsid w:val="25494FFA"/>
    <w:rsid w:val="254C68D0"/>
    <w:rsid w:val="256B0D5F"/>
    <w:rsid w:val="25740E8A"/>
    <w:rsid w:val="25822111"/>
    <w:rsid w:val="25844E5A"/>
    <w:rsid w:val="259F7026"/>
    <w:rsid w:val="25EC6881"/>
    <w:rsid w:val="25FA6BCA"/>
    <w:rsid w:val="26057CCC"/>
    <w:rsid w:val="26411246"/>
    <w:rsid w:val="266B6BC3"/>
    <w:rsid w:val="26BC4F7B"/>
    <w:rsid w:val="26BF150C"/>
    <w:rsid w:val="26D34679"/>
    <w:rsid w:val="26D46B1D"/>
    <w:rsid w:val="26F82CAB"/>
    <w:rsid w:val="271D04C4"/>
    <w:rsid w:val="27341992"/>
    <w:rsid w:val="27557645"/>
    <w:rsid w:val="27636E70"/>
    <w:rsid w:val="278067C7"/>
    <w:rsid w:val="279A1A1D"/>
    <w:rsid w:val="279E72B1"/>
    <w:rsid w:val="27BB4313"/>
    <w:rsid w:val="27D505CF"/>
    <w:rsid w:val="28023BA1"/>
    <w:rsid w:val="28240813"/>
    <w:rsid w:val="28295DDD"/>
    <w:rsid w:val="282B376F"/>
    <w:rsid w:val="28490A33"/>
    <w:rsid w:val="285F4386"/>
    <w:rsid w:val="28805007"/>
    <w:rsid w:val="28C91E5D"/>
    <w:rsid w:val="28D80D72"/>
    <w:rsid w:val="292911DD"/>
    <w:rsid w:val="2937796D"/>
    <w:rsid w:val="2953360C"/>
    <w:rsid w:val="29741CCB"/>
    <w:rsid w:val="2987256D"/>
    <w:rsid w:val="298A5E4C"/>
    <w:rsid w:val="2A6B5DDC"/>
    <w:rsid w:val="2A8709E5"/>
    <w:rsid w:val="2A8C512D"/>
    <w:rsid w:val="2AAE4521"/>
    <w:rsid w:val="2AC8572A"/>
    <w:rsid w:val="2AD30B29"/>
    <w:rsid w:val="2AD359D3"/>
    <w:rsid w:val="2AE9526F"/>
    <w:rsid w:val="2B6B4122"/>
    <w:rsid w:val="2B7B7EAF"/>
    <w:rsid w:val="2BC01E75"/>
    <w:rsid w:val="2BC81F51"/>
    <w:rsid w:val="2BD03FD3"/>
    <w:rsid w:val="2BDA7B69"/>
    <w:rsid w:val="2BE22842"/>
    <w:rsid w:val="2BFE003F"/>
    <w:rsid w:val="2C1A6557"/>
    <w:rsid w:val="2C34585E"/>
    <w:rsid w:val="2C3931AB"/>
    <w:rsid w:val="2C520D16"/>
    <w:rsid w:val="2C780513"/>
    <w:rsid w:val="2C7E2CB1"/>
    <w:rsid w:val="2C875D6D"/>
    <w:rsid w:val="2C941EB4"/>
    <w:rsid w:val="2CB018C6"/>
    <w:rsid w:val="2D247F68"/>
    <w:rsid w:val="2D3416EF"/>
    <w:rsid w:val="2D874A4A"/>
    <w:rsid w:val="2D963B2C"/>
    <w:rsid w:val="2D9C172F"/>
    <w:rsid w:val="2DAD692B"/>
    <w:rsid w:val="2DCB2E33"/>
    <w:rsid w:val="2DD0545E"/>
    <w:rsid w:val="2E1000F9"/>
    <w:rsid w:val="2E3C185E"/>
    <w:rsid w:val="2E456552"/>
    <w:rsid w:val="2E8B6184"/>
    <w:rsid w:val="2E9F2F01"/>
    <w:rsid w:val="2EC465DF"/>
    <w:rsid w:val="2EF1118F"/>
    <w:rsid w:val="2F0F3497"/>
    <w:rsid w:val="2F5142C8"/>
    <w:rsid w:val="2F631386"/>
    <w:rsid w:val="2F9840F5"/>
    <w:rsid w:val="2FAB7C18"/>
    <w:rsid w:val="2FC74994"/>
    <w:rsid w:val="2FCB1037"/>
    <w:rsid w:val="2FDF7494"/>
    <w:rsid w:val="302A78E2"/>
    <w:rsid w:val="303B1266"/>
    <w:rsid w:val="30684D7B"/>
    <w:rsid w:val="30702335"/>
    <w:rsid w:val="30A12166"/>
    <w:rsid w:val="30AF57E2"/>
    <w:rsid w:val="30B12153"/>
    <w:rsid w:val="30D505AF"/>
    <w:rsid w:val="30E40164"/>
    <w:rsid w:val="31141D36"/>
    <w:rsid w:val="31707D24"/>
    <w:rsid w:val="31880C30"/>
    <w:rsid w:val="319835B4"/>
    <w:rsid w:val="31A21DD0"/>
    <w:rsid w:val="31A5215A"/>
    <w:rsid w:val="31AC70E0"/>
    <w:rsid w:val="31C13828"/>
    <w:rsid w:val="31CA513E"/>
    <w:rsid w:val="31DE43E9"/>
    <w:rsid w:val="31EC48DA"/>
    <w:rsid w:val="31F25CE5"/>
    <w:rsid w:val="32436EE4"/>
    <w:rsid w:val="330142AE"/>
    <w:rsid w:val="330E3649"/>
    <w:rsid w:val="334014E2"/>
    <w:rsid w:val="334134A1"/>
    <w:rsid w:val="334D5D44"/>
    <w:rsid w:val="33817283"/>
    <w:rsid w:val="3396611C"/>
    <w:rsid w:val="33B62415"/>
    <w:rsid w:val="33B9690F"/>
    <w:rsid w:val="33BD51A0"/>
    <w:rsid w:val="33F125EB"/>
    <w:rsid w:val="33FE0882"/>
    <w:rsid w:val="340F28FE"/>
    <w:rsid w:val="34173357"/>
    <w:rsid w:val="342A758D"/>
    <w:rsid w:val="342F36CF"/>
    <w:rsid w:val="343F7B90"/>
    <w:rsid w:val="3464452F"/>
    <w:rsid w:val="34963664"/>
    <w:rsid w:val="349A419B"/>
    <w:rsid w:val="349F3547"/>
    <w:rsid w:val="34A71E2F"/>
    <w:rsid w:val="351C625F"/>
    <w:rsid w:val="35223149"/>
    <w:rsid w:val="359B245C"/>
    <w:rsid w:val="35A11890"/>
    <w:rsid w:val="35A316ED"/>
    <w:rsid w:val="35A42C59"/>
    <w:rsid w:val="35E91D6F"/>
    <w:rsid w:val="35F10500"/>
    <w:rsid w:val="361442C5"/>
    <w:rsid w:val="362267C3"/>
    <w:rsid w:val="36312331"/>
    <w:rsid w:val="3641212A"/>
    <w:rsid w:val="365732C7"/>
    <w:rsid w:val="366848A0"/>
    <w:rsid w:val="367D3810"/>
    <w:rsid w:val="36816585"/>
    <w:rsid w:val="36965ACB"/>
    <w:rsid w:val="36AD61D4"/>
    <w:rsid w:val="36C57C32"/>
    <w:rsid w:val="36DE12F2"/>
    <w:rsid w:val="36E82ED8"/>
    <w:rsid w:val="3744782D"/>
    <w:rsid w:val="375F2433"/>
    <w:rsid w:val="37765F01"/>
    <w:rsid w:val="377D6009"/>
    <w:rsid w:val="37977BBC"/>
    <w:rsid w:val="37A1573C"/>
    <w:rsid w:val="37F05285"/>
    <w:rsid w:val="3864063D"/>
    <w:rsid w:val="389205E6"/>
    <w:rsid w:val="3892272B"/>
    <w:rsid w:val="389471A0"/>
    <w:rsid w:val="38A12752"/>
    <w:rsid w:val="391C6344"/>
    <w:rsid w:val="39356E23"/>
    <w:rsid w:val="393E5003"/>
    <w:rsid w:val="39647D57"/>
    <w:rsid w:val="39766F71"/>
    <w:rsid w:val="398B39B3"/>
    <w:rsid w:val="39A53A57"/>
    <w:rsid w:val="39AF6354"/>
    <w:rsid w:val="39E25881"/>
    <w:rsid w:val="3A12378C"/>
    <w:rsid w:val="3A830015"/>
    <w:rsid w:val="3A9F7993"/>
    <w:rsid w:val="3AD13648"/>
    <w:rsid w:val="3ADE4519"/>
    <w:rsid w:val="3B027070"/>
    <w:rsid w:val="3B131445"/>
    <w:rsid w:val="3B2845D9"/>
    <w:rsid w:val="3B2A0034"/>
    <w:rsid w:val="3B54115C"/>
    <w:rsid w:val="3B5C2B86"/>
    <w:rsid w:val="3B7715F7"/>
    <w:rsid w:val="3B8E32E7"/>
    <w:rsid w:val="3BA25407"/>
    <w:rsid w:val="3C3E66B3"/>
    <w:rsid w:val="3C430CF3"/>
    <w:rsid w:val="3C432323"/>
    <w:rsid w:val="3C4C3A42"/>
    <w:rsid w:val="3C4F40A7"/>
    <w:rsid w:val="3C823306"/>
    <w:rsid w:val="3CAD61EC"/>
    <w:rsid w:val="3CBA5A99"/>
    <w:rsid w:val="3CC65AC6"/>
    <w:rsid w:val="3CE807A0"/>
    <w:rsid w:val="3D5A0987"/>
    <w:rsid w:val="3D6407A3"/>
    <w:rsid w:val="3D826C79"/>
    <w:rsid w:val="3D93654B"/>
    <w:rsid w:val="3DA422CD"/>
    <w:rsid w:val="3DAF71B4"/>
    <w:rsid w:val="3DC82679"/>
    <w:rsid w:val="3E2E7598"/>
    <w:rsid w:val="3E433B0B"/>
    <w:rsid w:val="3E564A25"/>
    <w:rsid w:val="3E9001F1"/>
    <w:rsid w:val="3EA24847"/>
    <w:rsid w:val="3EBE06C8"/>
    <w:rsid w:val="3EBE409B"/>
    <w:rsid w:val="3EF17E70"/>
    <w:rsid w:val="3F1F5199"/>
    <w:rsid w:val="3F263625"/>
    <w:rsid w:val="3F266A58"/>
    <w:rsid w:val="3F2B61EE"/>
    <w:rsid w:val="3F4C79D4"/>
    <w:rsid w:val="3F5D7E31"/>
    <w:rsid w:val="3F706032"/>
    <w:rsid w:val="3F922B25"/>
    <w:rsid w:val="3FE53462"/>
    <w:rsid w:val="3FEE07F8"/>
    <w:rsid w:val="3FF7649D"/>
    <w:rsid w:val="40215D33"/>
    <w:rsid w:val="40410BA7"/>
    <w:rsid w:val="404228F2"/>
    <w:rsid w:val="40477F08"/>
    <w:rsid w:val="41514C7C"/>
    <w:rsid w:val="41801F79"/>
    <w:rsid w:val="418117BB"/>
    <w:rsid w:val="419822E2"/>
    <w:rsid w:val="41B97B1D"/>
    <w:rsid w:val="41BF010B"/>
    <w:rsid w:val="41DE6DF2"/>
    <w:rsid w:val="41E9411B"/>
    <w:rsid w:val="42672FEB"/>
    <w:rsid w:val="42752198"/>
    <w:rsid w:val="42B63309"/>
    <w:rsid w:val="42B86E9B"/>
    <w:rsid w:val="42BB3480"/>
    <w:rsid w:val="42DC0934"/>
    <w:rsid w:val="42FC2809"/>
    <w:rsid w:val="4361083F"/>
    <w:rsid w:val="439711A6"/>
    <w:rsid w:val="439A4C1C"/>
    <w:rsid w:val="43AB5C4C"/>
    <w:rsid w:val="43C256F2"/>
    <w:rsid w:val="44044F72"/>
    <w:rsid w:val="44095265"/>
    <w:rsid w:val="440E486B"/>
    <w:rsid w:val="444F4C93"/>
    <w:rsid w:val="44613C8E"/>
    <w:rsid w:val="44721BE9"/>
    <w:rsid w:val="44955610"/>
    <w:rsid w:val="44BD04CB"/>
    <w:rsid w:val="44D84861"/>
    <w:rsid w:val="44E56EC9"/>
    <w:rsid w:val="45173EE8"/>
    <w:rsid w:val="451B2EDF"/>
    <w:rsid w:val="451E4351"/>
    <w:rsid w:val="454E6698"/>
    <w:rsid w:val="455001D9"/>
    <w:rsid w:val="455C4456"/>
    <w:rsid w:val="456379CB"/>
    <w:rsid w:val="45714242"/>
    <w:rsid w:val="458147D7"/>
    <w:rsid w:val="45D466E2"/>
    <w:rsid w:val="45E71095"/>
    <w:rsid w:val="45F27FB9"/>
    <w:rsid w:val="461D6E69"/>
    <w:rsid w:val="462431C5"/>
    <w:rsid w:val="46435A09"/>
    <w:rsid w:val="465F427C"/>
    <w:rsid w:val="46666DC9"/>
    <w:rsid w:val="46AF17B6"/>
    <w:rsid w:val="46B11CD5"/>
    <w:rsid w:val="46E81114"/>
    <w:rsid w:val="47137B45"/>
    <w:rsid w:val="47213261"/>
    <w:rsid w:val="47717679"/>
    <w:rsid w:val="479559FD"/>
    <w:rsid w:val="47B85C40"/>
    <w:rsid w:val="47C06F1E"/>
    <w:rsid w:val="47C91D28"/>
    <w:rsid w:val="47F027BB"/>
    <w:rsid w:val="47F92430"/>
    <w:rsid w:val="482F7BFF"/>
    <w:rsid w:val="48C54899"/>
    <w:rsid w:val="48D957A6"/>
    <w:rsid w:val="48DE0909"/>
    <w:rsid w:val="493101B0"/>
    <w:rsid w:val="49525A2F"/>
    <w:rsid w:val="49661A00"/>
    <w:rsid w:val="499B2F86"/>
    <w:rsid w:val="49A939AB"/>
    <w:rsid w:val="49AE54EA"/>
    <w:rsid w:val="49B36701"/>
    <w:rsid w:val="49B60238"/>
    <w:rsid w:val="49E82739"/>
    <w:rsid w:val="49FE029E"/>
    <w:rsid w:val="4A1C63FF"/>
    <w:rsid w:val="4A9A3CDD"/>
    <w:rsid w:val="4ABD7AE5"/>
    <w:rsid w:val="4AFF1FD5"/>
    <w:rsid w:val="4B17582D"/>
    <w:rsid w:val="4B32399B"/>
    <w:rsid w:val="4B386D75"/>
    <w:rsid w:val="4B427C4A"/>
    <w:rsid w:val="4B6773C6"/>
    <w:rsid w:val="4BE37DDD"/>
    <w:rsid w:val="4C0C237D"/>
    <w:rsid w:val="4C390AD2"/>
    <w:rsid w:val="4C3C28EB"/>
    <w:rsid w:val="4C6267F5"/>
    <w:rsid w:val="4C8303A9"/>
    <w:rsid w:val="4CE80E73"/>
    <w:rsid w:val="4D043663"/>
    <w:rsid w:val="4D0815F6"/>
    <w:rsid w:val="4D1A0E7E"/>
    <w:rsid w:val="4D263351"/>
    <w:rsid w:val="4D604F98"/>
    <w:rsid w:val="4D6B68B4"/>
    <w:rsid w:val="4DCF324A"/>
    <w:rsid w:val="4E0C0EB0"/>
    <w:rsid w:val="4E340AD0"/>
    <w:rsid w:val="4E4C736A"/>
    <w:rsid w:val="4E841C6D"/>
    <w:rsid w:val="4E8C381B"/>
    <w:rsid w:val="4EA21BF4"/>
    <w:rsid w:val="4EA46954"/>
    <w:rsid w:val="4EE0529E"/>
    <w:rsid w:val="4F016F2F"/>
    <w:rsid w:val="4F0576EE"/>
    <w:rsid w:val="4F6E7EA9"/>
    <w:rsid w:val="4F7F22CD"/>
    <w:rsid w:val="4F8C4D6C"/>
    <w:rsid w:val="4FC4167D"/>
    <w:rsid w:val="4FD82E97"/>
    <w:rsid w:val="4FDA2F72"/>
    <w:rsid w:val="4FE31710"/>
    <w:rsid w:val="502618E8"/>
    <w:rsid w:val="504903E5"/>
    <w:rsid w:val="505666D7"/>
    <w:rsid w:val="50600C4B"/>
    <w:rsid w:val="506B379F"/>
    <w:rsid w:val="50D30B89"/>
    <w:rsid w:val="50E522EC"/>
    <w:rsid w:val="50FA4CB1"/>
    <w:rsid w:val="50FE1A5D"/>
    <w:rsid w:val="51F263B7"/>
    <w:rsid w:val="52095886"/>
    <w:rsid w:val="522E380C"/>
    <w:rsid w:val="523A6198"/>
    <w:rsid w:val="524E64ED"/>
    <w:rsid w:val="52845052"/>
    <w:rsid w:val="52A767F6"/>
    <w:rsid w:val="52C554B3"/>
    <w:rsid w:val="52DB7FC1"/>
    <w:rsid w:val="52E65207"/>
    <w:rsid w:val="52F46467"/>
    <w:rsid w:val="53172497"/>
    <w:rsid w:val="531C02AF"/>
    <w:rsid w:val="5375632B"/>
    <w:rsid w:val="538D764B"/>
    <w:rsid w:val="539B3C1A"/>
    <w:rsid w:val="53CC6C4A"/>
    <w:rsid w:val="53D366C6"/>
    <w:rsid w:val="54041F40"/>
    <w:rsid w:val="542218BA"/>
    <w:rsid w:val="54312FB2"/>
    <w:rsid w:val="548E3176"/>
    <w:rsid w:val="54D6314F"/>
    <w:rsid w:val="54EB19ED"/>
    <w:rsid w:val="55CE0F5E"/>
    <w:rsid w:val="55FD6C03"/>
    <w:rsid w:val="5658595A"/>
    <w:rsid w:val="566C4F24"/>
    <w:rsid w:val="56AD1781"/>
    <w:rsid w:val="56E5383B"/>
    <w:rsid w:val="56F701E5"/>
    <w:rsid w:val="56FC3F12"/>
    <w:rsid w:val="57124CB5"/>
    <w:rsid w:val="57220686"/>
    <w:rsid w:val="57283E8A"/>
    <w:rsid w:val="575339F8"/>
    <w:rsid w:val="575A3E1B"/>
    <w:rsid w:val="5794177E"/>
    <w:rsid w:val="57BF2D4E"/>
    <w:rsid w:val="57E5318A"/>
    <w:rsid w:val="57EF4CB5"/>
    <w:rsid w:val="57FB0E4D"/>
    <w:rsid w:val="580E15DF"/>
    <w:rsid w:val="581C0535"/>
    <w:rsid w:val="581E3565"/>
    <w:rsid w:val="586002E5"/>
    <w:rsid w:val="58B33B8C"/>
    <w:rsid w:val="58DD2755"/>
    <w:rsid w:val="590C5626"/>
    <w:rsid w:val="59193CE4"/>
    <w:rsid w:val="5931649C"/>
    <w:rsid w:val="59336CDC"/>
    <w:rsid w:val="594A4899"/>
    <w:rsid w:val="59534C13"/>
    <w:rsid w:val="59544440"/>
    <w:rsid w:val="598D4786"/>
    <w:rsid w:val="599D7A79"/>
    <w:rsid w:val="59A428B9"/>
    <w:rsid w:val="5A2D11C0"/>
    <w:rsid w:val="5A6E01CD"/>
    <w:rsid w:val="5AA830AA"/>
    <w:rsid w:val="5AD24740"/>
    <w:rsid w:val="5B0F515D"/>
    <w:rsid w:val="5B16721C"/>
    <w:rsid w:val="5B2367C2"/>
    <w:rsid w:val="5B4103D8"/>
    <w:rsid w:val="5C2F2F43"/>
    <w:rsid w:val="5CA644DC"/>
    <w:rsid w:val="5CA8594E"/>
    <w:rsid w:val="5CD014EC"/>
    <w:rsid w:val="5CD32DF8"/>
    <w:rsid w:val="5CD72CFD"/>
    <w:rsid w:val="5CE25F43"/>
    <w:rsid w:val="5CEE1AC9"/>
    <w:rsid w:val="5D154EB4"/>
    <w:rsid w:val="5D3C0A81"/>
    <w:rsid w:val="5D4F4B86"/>
    <w:rsid w:val="5D6D3161"/>
    <w:rsid w:val="5D996150"/>
    <w:rsid w:val="5D9A580C"/>
    <w:rsid w:val="5DB00CF4"/>
    <w:rsid w:val="5DB21F0B"/>
    <w:rsid w:val="5DCB6D3F"/>
    <w:rsid w:val="5DD45079"/>
    <w:rsid w:val="5DED0147"/>
    <w:rsid w:val="5DED62DB"/>
    <w:rsid w:val="5E42030A"/>
    <w:rsid w:val="5E581A0F"/>
    <w:rsid w:val="5E59623C"/>
    <w:rsid w:val="5E710B1A"/>
    <w:rsid w:val="5E7B1144"/>
    <w:rsid w:val="5EBC6AC9"/>
    <w:rsid w:val="5EDF7832"/>
    <w:rsid w:val="5EF07C91"/>
    <w:rsid w:val="5F03495E"/>
    <w:rsid w:val="5F89574F"/>
    <w:rsid w:val="60024E97"/>
    <w:rsid w:val="6012443A"/>
    <w:rsid w:val="6015244D"/>
    <w:rsid w:val="60324ABB"/>
    <w:rsid w:val="603525BF"/>
    <w:rsid w:val="603B2692"/>
    <w:rsid w:val="604279EF"/>
    <w:rsid w:val="605660D3"/>
    <w:rsid w:val="609A20CC"/>
    <w:rsid w:val="60AC578B"/>
    <w:rsid w:val="60BA0556"/>
    <w:rsid w:val="60CB09E4"/>
    <w:rsid w:val="60CC1659"/>
    <w:rsid w:val="60E10CAA"/>
    <w:rsid w:val="614641F5"/>
    <w:rsid w:val="61657A8A"/>
    <w:rsid w:val="61842DF0"/>
    <w:rsid w:val="61AD4524"/>
    <w:rsid w:val="61D7187C"/>
    <w:rsid w:val="621C6F7A"/>
    <w:rsid w:val="623D4B40"/>
    <w:rsid w:val="62812554"/>
    <w:rsid w:val="62842DBB"/>
    <w:rsid w:val="629E17B2"/>
    <w:rsid w:val="62B2146E"/>
    <w:rsid w:val="6319792E"/>
    <w:rsid w:val="632B5A11"/>
    <w:rsid w:val="632C14B3"/>
    <w:rsid w:val="635066FE"/>
    <w:rsid w:val="63754B40"/>
    <w:rsid w:val="638C22F6"/>
    <w:rsid w:val="639763C0"/>
    <w:rsid w:val="639C08B9"/>
    <w:rsid w:val="639D5F0D"/>
    <w:rsid w:val="643815BC"/>
    <w:rsid w:val="64400567"/>
    <w:rsid w:val="646E3B40"/>
    <w:rsid w:val="64803865"/>
    <w:rsid w:val="64843E2C"/>
    <w:rsid w:val="64FD4EB5"/>
    <w:rsid w:val="650E63B1"/>
    <w:rsid w:val="653269D0"/>
    <w:rsid w:val="65D94174"/>
    <w:rsid w:val="65DFFC44"/>
    <w:rsid w:val="661F33AD"/>
    <w:rsid w:val="66235AFA"/>
    <w:rsid w:val="66464337"/>
    <w:rsid w:val="6649596B"/>
    <w:rsid w:val="66546DBB"/>
    <w:rsid w:val="66E6482D"/>
    <w:rsid w:val="66E75E1D"/>
    <w:rsid w:val="66ED4386"/>
    <w:rsid w:val="66FB1098"/>
    <w:rsid w:val="6704280D"/>
    <w:rsid w:val="67306B19"/>
    <w:rsid w:val="67803B7C"/>
    <w:rsid w:val="67841693"/>
    <w:rsid w:val="67E24C35"/>
    <w:rsid w:val="67E7083D"/>
    <w:rsid w:val="68125140"/>
    <w:rsid w:val="6841088D"/>
    <w:rsid w:val="68837A1C"/>
    <w:rsid w:val="68B91843"/>
    <w:rsid w:val="68C36155"/>
    <w:rsid w:val="68D9372F"/>
    <w:rsid w:val="68E3755A"/>
    <w:rsid w:val="6920726B"/>
    <w:rsid w:val="694F22CF"/>
    <w:rsid w:val="696C7A3C"/>
    <w:rsid w:val="69BD4382"/>
    <w:rsid w:val="69FA4B21"/>
    <w:rsid w:val="6A5833AB"/>
    <w:rsid w:val="6AE91793"/>
    <w:rsid w:val="6AF77B9B"/>
    <w:rsid w:val="6AF91C7B"/>
    <w:rsid w:val="6AF93A8C"/>
    <w:rsid w:val="6B06697E"/>
    <w:rsid w:val="6B5B5827"/>
    <w:rsid w:val="6B7C6984"/>
    <w:rsid w:val="6C092833"/>
    <w:rsid w:val="6C15141B"/>
    <w:rsid w:val="6C1E130A"/>
    <w:rsid w:val="6C236F38"/>
    <w:rsid w:val="6C472EBA"/>
    <w:rsid w:val="6C832144"/>
    <w:rsid w:val="6C927AC4"/>
    <w:rsid w:val="6C98177E"/>
    <w:rsid w:val="6C9E5603"/>
    <w:rsid w:val="6CAB6ED5"/>
    <w:rsid w:val="6CAC5E55"/>
    <w:rsid w:val="6CAE7295"/>
    <w:rsid w:val="6CB0280D"/>
    <w:rsid w:val="6CBE4128"/>
    <w:rsid w:val="6D072AFE"/>
    <w:rsid w:val="6D432691"/>
    <w:rsid w:val="6D601880"/>
    <w:rsid w:val="6D663515"/>
    <w:rsid w:val="6DAE3C49"/>
    <w:rsid w:val="6E0D759F"/>
    <w:rsid w:val="6E6411E9"/>
    <w:rsid w:val="6E865F1C"/>
    <w:rsid w:val="6E993574"/>
    <w:rsid w:val="6F373794"/>
    <w:rsid w:val="6F5A0DAB"/>
    <w:rsid w:val="6F6729DD"/>
    <w:rsid w:val="6F730093"/>
    <w:rsid w:val="6F8B5149"/>
    <w:rsid w:val="6F9856C9"/>
    <w:rsid w:val="6F9C0A05"/>
    <w:rsid w:val="6FEE0BC9"/>
    <w:rsid w:val="6FFE5F86"/>
    <w:rsid w:val="70093638"/>
    <w:rsid w:val="700B3A02"/>
    <w:rsid w:val="70453F88"/>
    <w:rsid w:val="704716DB"/>
    <w:rsid w:val="704F233D"/>
    <w:rsid w:val="705F04F5"/>
    <w:rsid w:val="709D6A07"/>
    <w:rsid w:val="70F44064"/>
    <w:rsid w:val="712E5AB1"/>
    <w:rsid w:val="718F50E7"/>
    <w:rsid w:val="71BB177A"/>
    <w:rsid w:val="71DA041E"/>
    <w:rsid w:val="71E8347B"/>
    <w:rsid w:val="727C2DEE"/>
    <w:rsid w:val="72A16483"/>
    <w:rsid w:val="72A365F1"/>
    <w:rsid w:val="72A54001"/>
    <w:rsid w:val="72AE4A23"/>
    <w:rsid w:val="72BD5247"/>
    <w:rsid w:val="72D80939"/>
    <w:rsid w:val="72EB2E97"/>
    <w:rsid w:val="72F773E8"/>
    <w:rsid w:val="72FA6627"/>
    <w:rsid w:val="73067DE5"/>
    <w:rsid w:val="732744BC"/>
    <w:rsid w:val="734946AB"/>
    <w:rsid w:val="73A41480"/>
    <w:rsid w:val="73B23CBE"/>
    <w:rsid w:val="73C73415"/>
    <w:rsid w:val="73E83016"/>
    <w:rsid w:val="741629B0"/>
    <w:rsid w:val="741A2023"/>
    <w:rsid w:val="741C71F6"/>
    <w:rsid w:val="74314040"/>
    <w:rsid w:val="743E2427"/>
    <w:rsid w:val="74661527"/>
    <w:rsid w:val="749402ED"/>
    <w:rsid w:val="74C71153"/>
    <w:rsid w:val="74CE14DB"/>
    <w:rsid w:val="750665BF"/>
    <w:rsid w:val="750E5B52"/>
    <w:rsid w:val="75264D31"/>
    <w:rsid w:val="754137C9"/>
    <w:rsid w:val="754724E0"/>
    <w:rsid w:val="7558625D"/>
    <w:rsid w:val="75594E45"/>
    <w:rsid w:val="759233F8"/>
    <w:rsid w:val="75946E69"/>
    <w:rsid w:val="75FF04BB"/>
    <w:rsid w:val="76092AF9"/>
    <w:rsid w:val="761D1FE8"/>
    <w:rsid w:val="762B112B"/>
    <w:rsid w:val="76523440"/>
    <w:rsid w:val="76646B96"/>
    <w:rsid w:val="7667431E"/>
    <w:rsid w:val="768052EC"/>
    <w:rsid w:val="769B26DC"/>
    <w:rsid w:val="76C661CC"/>
    <w:rsid w:val="76D17FED"/>
    <w:rsid w:val="76E1614E"/>
    <w:rsid w:val="76F42D14"/>
    <w:rsid w:val="77243C28"/>
    <w:rsid w:val="774E387D"/>
    <w:rsid w:val="775104F3"/>
    <w:rsid w:val="77AF3421"/>
    <w:rsid w:val="77DB3552"/>
    <w:rsid w:val="77EB7F85"/>
    <w:rsid w:val="77F823E3"/>
    <w:rsid w:val="78066D81"/>
    <w:rsid w:val="782837D8"/>
    <w:rsid w:val="783016DA"/>
    <w:rsid w:val="783C08C4"/>
    <w:rsid w:val="788879F3"/>
    <w:rsid w:val="788A39FC"/>
    <w:rsid w:val="78A83DBD"/>
    <w:rsid w:val="78AE17DB"/>
    <w:rsid w:val="78B31635"/>
    <w:rsid w:val="78D55367"/>
    <w:rsid w:val="78D913E8"/>
    <w:rsid w:val="78E22959"/>
    <w:rsid w:val="78E64B57"/>
    <w:rsid w:val="78F63C9E"/>
    <w:rsid w:val="79295693"/>
    <w:rsid w:val="793E3D20"/>
    <w:rsid w:val="79556945"/>
    <w:rsid w:val="79770A9C"/>
    <w:rsid w:val="798C2340"/>
    <w:rsid w:val="799C07D4"/>
    <w:rsid w:val="79C71039"/>
    <w:rsid w:val="79F75828"/>
    <w:rsid w:val="79FD73B6"/>
    <w:rsid w:val="7A030BD8"/>
    <w:rsid w:val="7A0A1F38"/>
    <w:rsid w:val="7A153000"/>
    <w:rsid w:val="7A216073"/>
    <w:rsid w:val="7A5769BE"/>
    <w:rsid w:val="7A98132F"/>
    <w:rsid w:val="7A9C314A"/>
    <w:rsid w:val="7ABD11C9"/>
    <w:rsid w:val="7ABF3BCC"/>
    <w:rsid w:val="7AF97AFC"/>
    <w:rsid w:val="7B262824"/>
    <w:rsid w:val="7B49649D"/>
    <w:rsid w:val="7B68147B"/>
    <w:rsid w:val="7B8E473F"/>
    <w:rsid w:val="7B8F330B"/>
    <w:rsid w:val="7B93556B"/>
    <w:rsid w:val="7BAC17F7"/>
    <w:rsid w:val="7BF36B62"/>
    <w:rsid w:val="7BFA6A0E"/>
    <w:rsid w:val="7BFE6929"/>
    <w:rsid w:val="7C0F56DD"/>
    <w:rsid w:val="7C271257"/>
    <w:rsid w:val="7C296D4B"/>
    <w:rsid w:val="7C3776DC"/>
    <w:rsid w:val="7C3E5ED5"/>
    <w:rsid w:val="7C4A2E0B"/>
    <w:rsid w:val="7C920181"/>
    <w:rsid w:val="7C9A0DE4"/>
    <w:rsid w:val="7CEC751D"/>
    <w:rsid w:val="7D116D86"/>
    <w:rsid w:val="7D542BA7"/>
    <w:rsid w:val="7D746944"/>
    <w:rsid w:val="7D8A2CCE"/>
    <w:rsid w:val="7D8E085B"/>
    <w:rsid w:val="7DD8007A"/>
    <w:rsid w:val="7DEF6462"/>
    <w:rsid w:val="7DFE4BD2"/>
    <w:rsid w:val="7E115AF8"/>
    <w:rsid w:val="7E527BC8"/>
    <w:rsid w:val="7E53317E"/>
    <w:rsid w:val="7E587866"/>
    <w:rsid w:val="7E82250F"/>
    <w:rsid w:val="7EF953FA"/>
    <w:rsid w:val="7EFC5D86"/>
    <w:rsid w:val="7F20380D"/>
    <w:rsid w:val="7F28602E"/>
    <w:rsid w:val="7F3E2D6E"/>
    <w:rsid w:val="7F4E36EE"/>
    <w:rsid w:val="7F971DDE"/>
    <w:rsid w:val="7F9B666E"/>
    <w:rsid w:val="7FE6130C"/>
    <w:rsid w:val="7FEA3F31"/>
    <w:rsid w:val="7FEE4546"/>
    <w:rsid w:val="9E7D0113"/>
    <w:rsid w:val="BFF529A3"/>
    <w:rsid w:val="F973FE88"/>
    <w:rsid w:val="F9BF9C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9"/>
    <w:autoRedefine/>
    <w:qFormat/>
    <w:uiPriority w:val="99"/>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2">
    <w:name w:val="heading 2"/>
    <w:basedOn w:val="1"/>
    <w:next w:val="1"/>
    <w:link w:val="58"/>
    <w:autoRedefine/>
    <w:qFormat/>
    <w:uiPriority w:val="99"/>
    <w:pPr>
      <w:keepNext/>
      <w:keepLines/>
      <w:numPr>
        <w:ilvl w:val="1"/>
        <w:numId w:val="1"/>
      </w:numPr>
      <w:tabs>
        <w:tab w:val="left" w:pos="360"/>
      </w:tabs>
      <w:spacing w:before="260" w:after="260" w:line="416" w:lineRule="auto"/>
      <w:outlineLvl w:val="1"/>
    </w:pPr>
    <w:rPr>
      <w:rFonts w:ascii="Arial" w:hAnsi="Arial" w:eastAsia="黑体"/>
      <w:bCs/>
      <w:kern w:val="0"/>
      <w:sz w:val="32"/>
      <w:szCs w:val="32"/>
    </w:rPr>
  </w:style>
  <w:style w:type="paragraph" w:styleId="4">
    <w:name w:val="heading 3"/>
    <w:basedOn w:val="1"/>
    <w:next w:val="1"/>
    <w:link w:val="60"/>
    <w:autoRedefine/>
    <w:qFormat/>
    <w:uiPriority w:val="99"/>
    <w:pPr>
      <w:numPr>
        <w:ilvl w:val="2"/>
        <w:numId w:val="1"/>
      </w:numPr>
      <w:autoSpaceDE w:val="0"/>
      <w:autoSpaceDN w:val="0"/>
      <w:adjustRightInd w:val="0"/>
      <w:spacing w:line="300" w:lineRule="auto"/>
      <w:textAlignment w:val="baseline"/>
      <w:outlineLvl w:val="2"/>
    </w:pPr>
    <w:rPr>
      <w:rFonts w:ascii="黑体" w:hAnsi="Calibri" w:eastAsia="黑体"/>
      <w:color w:val="000000"/>
      <w:kern w:val="0"/>
      <w:sz w:val="28"/>
    </w:rPr>
  </w:style>
  <w:style w:type="paragraph" w:styleId="5">
    <w:name w:val="heading 4"/>
    <w:basedOn w:val="4"/>
    <w:next w:val="6"/>
    <w:link w:val="57"/>
    <w:autoRedefine/>
    <w:qFormat/>
    <w:uiPriority w:val="99"/>
    <w:pPr>
      <w:keepNext/>
      <w:keepLines/>
      <w:spacing w:before="280" w:after="290" w:line="376" w:lineRule="auto"/>
      <w:outlineLvl w:val="3"/>
    </w:pPr>
    <w:rPr>
      <w:rFonts w:ascii="Cambria" w:hAnsi="Cambria"/>
    </w:rPr>
  </w:style>
  <w:style w:type="paragraph" w:styleId="6">
    <w:name w:val="heading 5"/>
    <w:basedOn w:val="1"/>
    <w:next w:val="1"/>
    <w:link w:val="61"/>
    <w:autoRedefine/>
    <w:qFormat/>
    <w:uiPriority w:val="99"/>
    <w:pPr>
      <w:keepNext/>
      <w:keepLines/>
      <w:spacing w:before="280" w:after="290" w:line="376" w:lineRule="auto"/>
      <w:outlineLvl w:val="4"/>
    </w:pPr>
    <w:rPr>
      <w:rFonts w:ascii="Calibri" w:hAnsi="Calibri"/>
      <w:kern w:val="0"/>
      <w:sz w:val="28"/>
    </w:rPr>
  </w:style>
  <w:style w:type="paragraph" w:styleId="7">
    <w:name w:val="heading 6"/>
    <w:basedOn w:val="1"/>
    <w:next w:val="1"/>
    <w:link w:val="62"/>
    <w:autoRedefine/>
    <w:qFormat/>
    <w:uiPriority w:val="99"/>
    <w:pPr>
      <w:keepNext/>
      <w:keepLines/>
      <w:spacing w:before="240" w:after="64" w:line="320" w:lineRule="auto"/>
      <w:outlineLvl w:val="5"/>
    </w:pPr>
    <w:rPr>
      <w:rFonts w:ascii="Cambria" w:hAnsi="Cambria"/>
      <w:kern w:val="0"/>
      <w:sz w:val="24"/>
    </w:rPr>
  </w:style>
  <w:style w:type="paragraph" w:styleId="8">
    <w:name w:val="heading 7"/>
    <w:basedOn w:val="1"/>
    <w:next w:val="1"/>
    <w:link w:val="63"/>
    <w:autoRedefine/>
    <w:qFormat/>
    <w:uiPriority w:val="99"/>
    <w:pPr>
      <w:keepNext/>
      <w:keepLines/>
      <w:numPr>
        <w:ilvl w:val="6"/>
        <w:numId w:val="2"/>
      </w:numPr>
      <w:adjustRightInd w:val="0"/>
      <w:spacing w:before="240" w:after="64" w:line="320" w:lineRule="atLeast"/>
      <w:textAlignment w:val="baseline"/>
      <w:outlineLvl w:val="6"/>
    </w:pPr>
    <w:rPr>
      <w:rFonts w:ascii="宋体" w:hAnsi="Calibri" w:eastAsia="仿宋_GB2312"/>
      <w:kern w:val="0"/>
      <w:sz w:val="24"/>
    </w:rPr>
  </w:style>
  <w:style w:type="paragraph" w:styleId="9">
    <w:name w:val="heading 8"/>
    <w:basedOn w:val="1"/>
    <w:next w:val="1"/>
    <w:link w:val="64"/>
    <w:autoRedefine/>
    <w:qFormat/>
    <w:uiPriority w:val="99"/>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0">
    <w:name w:val="heading 9"/>
    <w:basedOn w:val="1"/>
    <w:next w:val="1"/>
    <w:link w:val="65"/>
    <w:autoRedefine/>
    <w:qFormat/>
    <w:uiPriority w:val="99"/>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ind w:left="2520" w:leftChars="1200"/>
    </w:pPr>
    <w:rPr>
      <w:rFonts w:eastAsia="黑体"/>
      <w:szCs w:val="24"/>
    </w:rPr>
  </w:style>
  <w:style w:type="paragraph" w:styleId="12">
    <w:name w:val="Normal Indent"/>
    <w:basedOn w:val="1"/>
    <w:next w:val="13"/>
    <w:link w:val="88"/>
    <w:autoRedefine/>
    <w:qFormat/>
    <w:uiPriority w:val="99"/>
    <w:pPr>
      <w:ind w:firstLine="420"/>
    </w:pPr>
    <w:rPr>
      <w:rFonts w:ascii="Calibri" w:hAnsi="Calibri"/>
    </w:rPr>
  </w:style>
  <w:style w:type="paragraph" w:styleId="13">
    <w:name w:val="Body Text Indent"/>
    <w:basedOn w:val="1"/>
    <w:next w:val="1"/>
    <w:link w:val="71"/>
    <w:autoRedefine/>
    <w:qFormat/>
    <w:uiPriority w:val="99"/>
    <w:pPr>
      <w:spacing w:line="480" w:lineRule="auto"/>
      <w:ind w:firstLine="600"/>
    </w:pPr>
    <w:rPr>
      <w:rFonts w:ascii="Calibri" w:hAnsi="Calibri"/>
      <w:sz w:val="28"/>
    </w:rPr>
  </w:style>
  <w:style w:type="paragraph" w:styleId="14">
    <w:name w:val="caption"/>
    <w:basedOn w:val="1"/>
    <w:next w:val="1"/>
    <w:autoRedefine/>
    <w:qFormat/>
    <w:uiPriority w:val="99"/>
    <w:rPr>
      <w:rFonts w:ascii="Arial" w:hAnsi="Arial" w:eastAsia="黑体" w:cs="Arial"/>
      <w:sz w:val="20"/>
    </w:rPr>
  </w:style>
  <w:style w:type="paragraph" w:styleId="15">
    <w:name w:val="List Bullet"/>
    <w:basedOn w:val="1"/>
    <w:autoRedefine/>
    <w:qFormat/>
    <w:uiPriority w:val="99"/>
    <w:pPr>
      <w:widowControl/>
      <w:tabs>
        <w:tab w:val="left" w:pos="900"/>
      </w:tabs>
      <w:spacing w:before="100" w:beforeAutospacing="1" w:afterLines="50" w:afterAutospacing="1"/>
      <w:ind w:left="900" w:hanging="420"/>
      <w:jc w:val="left"/>
    </w:pPr>
    <w:rPr>
      <w:kern w:val="0"/>
    </w:rPr>
  </w:style>
  <w:style w:type="paragraph" w:styleId="16">
    <w:name w:val="Document Map"/>
    <w:basedOn w:val="1"/>
    <w:link w:val="66"/>
    <w:autoRedefine/>
    <w:qFormat/>
    <w:uiPriority w:val="99"/>
    <w:pPr>
      <w:shd w:val="clear" w:color="auto" w:fill="000080"/>
    </w:pPr>
    <w:rPr>
      <w:rFonts w:ascii="Calibri" w:hAnsi="Calibri"/>
      <w:kern w:val="0"/>
      <w:sz w:val="2"/>
    </w:rPr>
  </w:style>
  <w:style w:type="paragraph" w:styleId="17">
    <w:name w:val="annotation text"/>
    <w:basedOn w:val="1"/>
    <w:link w:val="67"/>
    <w:autoRedefine/>
    <w:qFormat/>
    <w:uiPriority w:val="99"/>
    <w:pPr>
      <w:jc w:val="left"/>
    </w:pPr>
    <w:rPr>
      <w:rFonts w:ascii="Calibri" w:hAnsi="Calibri"/>
      <w:kern w:val="0"/>
      <w:sz w:val="20"/>
    </w:rPr>
  </w:style>
  <w:style w:type="paragraph" w:styleId="18">
    <w:name w:val="Body Text 3"/>
    <w:basedOn w:val="1"/>
    <w:link w:val="68"/>
    <w:autoRedefine/>
    <w:qFormat/>
    <w:uiPriority w:val="99"/>
    <w:rPr>
      <w:rFonts w:ascii="Calibri" w:hAnsi="Calibri"/>
      <w:kern w:val="0"/>
      <w:sz w:val="16"/>
    </w:rPr>
  </w:style>
  <w:style w:type="paragraph" w:styleId="19">
    <w:name w:val="Body Text"/>
    <w:basedOn w:val="1"/>
    <w:next w:val="20"/>
    <w:link w:val="69"/>
    <w:autoRedefine/>
    <w:qFormat/>
    <w:uiPriority w:val="99"/>
    <w:pPr>
      <w:spacing w:after="120"/>
    </w:pPr>
    <w:rPr>
      <w:rFonts w:ascii="仿宋_GB2312" w:hAnsi="Calibri"/>
      <w:sz w:val="32"/>
    </w:rPr>
  </w:style>
  <w:style w:type="paragraph" w:styleId="20">
    <w:name w:val="Body Text First Indent"/>
    <w:basedOn w:val="19"/>
    <w:next w:val="1"/>
    <w:link w:val="70"/>
    <w:autoRedefine/>
    <w:qFormat/>
    <w:uiPriority w:val="99"/>
    <w:pPr>
      <w:spacing w:line="360" w:lineRule="auto"/>
      <w:ind w:firstLine="200" w:firstLineChars="200"/>
      <w:jc w:val="left"/>
    </w:pPr>
    <w:rPr>
      <w:sz w:val="20"/>
    </w:rPr>
  </w:style>
  <w:style w:type="paragraph" w:styleId="21">
    <w:name w:val="List Bullet 2"/>
    <w:basedOn w:val="1"/>
    <w:autoRedefine/>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2">
    <w:name w:val="toc 5"/>
    <w:basedOn w:val="1"/>
    <w:next w:val="1"/>
    <w:autoRedefine/>
    <w:qFormat/>
    <w:uiPriority w:val="99"/>
    <w:pPr>
      <w:ind w:left="1680" w:leftChars="800"/>
    </w:pPr>
    <w:rPr>
      <w:rFonts w:eastAsia="黑体"/>
      <w:szCs w:val="24"/>
    </w:rPr>
  </w:style>
  <w:style w:type="paragraph" w:styleId="23">
    <w:name w:val="toc 3"/>
    <w:basedOn w:val="1"/>
    <w:next w:val="1"/>
    <w:autoRedefine/>
    <w:qFormat/>
    <w:uiPriority w:val="99"/>
    <w:pPr>
      <w:ind w:left="840" w:leftChars="400"/>
    </w:pPr>
    <w:rPr>
      <w:rFonts w:eastAsia="黑体"/>
      <w:szCs w:val="24"/>
    </w:rPr>
  </w:style>
  <w:style w:type="paragraph" w:styleId="24">
    <w:name w:val="Plain Text"/>
    <w:basedOn w:val="1"/>
    <w:link w:val="72"/>
    <w:autoRedefine/>
    <w:qFormat/>
    <w:uiPriority w:val="99"/>
    <w:pPr>
      <w:widowControl/>
      <w:overflowPunct w:val="0"/>
      <w:autoSpaceDE w:val="0"/>
      <w:autoSpaceDN w:val="0"/>
      <w:adjustRightInd w:val="0"/>
      <w:jc w:val="left"/>
      <w:textAlignment w:val="baseline"/>
    </w:pPr>
    <w:rPr>
      <w:rFonts w:ascii="宋体" w:hAnsi="Courier New"/>
      <w:kern w:val="0"/>
    </w:rPr>
  </w:style>
  <w:style w:type="paragraph" w:styleId="25">
    <w:name w:val="toc 8"/>
    <w:basedOn w:val="1"/>
    <w:next w:val="1"/>
    <w:autoRedefine/>
    <w:qFormat/>
    <w:uiPriority w:val="99"/>
    <w:pPr>
      <w:ind w:left="2940" w:leftChars="1400"/>
    </w:pPr>
    <w:rPr>
      <w:rFonts w:eastAsia="黑体"/>
      <w:szCs w:val="24"/>
    </w:rPr>
  </w:style>
  <w:style w:type="paragraph" w:styleId="26">
    <w:name w:val="Date"/>
    <w:basedOn w:val="1"/>
    <w:next w:val="1"/>
    <w:link w:val="73"/>
    <w:autoRedefine/>
    <w:qFormat/>
    <w:uiPriority w:val="99"/>
    <w:pPr>
      <w:ind w:left="100"/>
    </w:pPr>
    <w:rPr>
      <w:rFonts w:ascii="Calibri" w:hAnsi="Calibri"/>
      <w:kern w:val="0"/>
      <w:sz w:val="20"/>
    </w:rPr>
  </w:style>
  <w:style w:type="paragraph" w:styleId="27">
    <w:name w:val="Body Text Indent 2"/>
    <w:basedOn w:val="1"/>
    <w:link w:val="74"/>
    <w:autoRedefine/>
    <w:qFormat/>
    <w:uiPriority w:val="99"/>
    <w:pPr>
      <w:spacing w:after="120" w:line="480" w:lineRule="auto"/>
      <w:ind w:left="420" w:leftChars="200"/>
    </w:pPr>
    <w:rPr>
      <w:rFonts w:ascii="Calibri" w:hAnsi="Calibri"/>
      <w:kern w:val="0"/>
      <w:sz w:val="20"/>
    </w:rPr>
  </w:style>
  <w:style w:type="paragraph" w:styleId="28">
    <w:name w:val="endnote text"/>
    <w:basedOn w:val="1"/>
    <w:link w:val="75"/>
    <w:autoRedefine/>
    <w:qFormat/>
    <w:uiPriority w:val="99"/>
    <w:pPr>
      <w:snapToGrid w:val="0"/>
      <w:spacing w:afterLines="50"/>
      <w:jc w:val="left"/>
    </w:pPr>
    <w:rPr>
      <w:rFonts w:ascii="Calibri" w:hAnsi="Calibri"/>
      <w:kern w:val="0"/>
      <w:sz w:val="20"/>
    </w:rPr>
  </w:style>
  <w:style w:type="paragraph" w:styleId="29">
    <w:name w:val="Balloon Text"/>
    <w:basedOn w:val="1"/>
    <w:link w:val="76"/>
    <w:autoRedefine/>
    <w:qFormat/>
    <w:uiPriority w:val="99"/>
    <w:rPr>
      <w:rFonts w:ascii="Calibri" w:hAnsi="Calibri"/>
      <w:kern w:val="0"/>
      <w:sz w:val="2"/>
    </w:rPr>
  </w:style>
  <w:style w:type="paragraph" w:styleId="30">
    <w:name w:val="footer"/>
    <w:basedOn w:val="1"/>
    <w:link w:val="77"/>
    <w:autoRedefine/>
    <w:qFormat/>
    <w:uiPriority w:val="99"/>
    <w:pPr>
      <w:tabs>
        <w:tab w:val="center" w:pos="4153"/>
        <w:tab w:val="right" w:pos="8306"/>
      </w:tabs>
      <w:snapToGrid w:val="0"/>
      <w:jc w:val="left"/>
    </w:pPr>
    <w:rPr>
      <w:rFonts w:ascii="Calibri" w:hAnsi="Calibri"/>
      <w:kern w:val="0"/>
      <w:sz w:val="18"/>
    </w:rPr>
  </w:style>
  <w:style w:type="paragraph" w:styleId="31">
    <w:name w:val="header"/>
    <w:basedOn w:val="1"/>
    <w:link w:val="78"/>
    <w:autoRedefine/>
    <w:qFormat/>
    <w:uiPriority w:val="99"/>
    <w:pPr>
      <w:pBdr>
        <w:bottom w:val="single" w:color="auto" w:sz="6" w:space="1"/>
      </w:pBdr>
      <w:tabs>
        <w:tab w:val="center" w:pos="4153"/>
        <w:tab w:val="right" w:pos="8306"/>
      </w:tabs>
      <w:snapToGrid w:val="0"/>
      <w:jc w:val="center"/>
    </w:pPr>
    <w:rPr>
      <w:rFonts w:ascii="Calibri" w:hAnsi="Calibri"/>
      <w:kern w:val="0"/>
      <w:sz w:val="18"/>
    </w:rPr>
  </w:style>
  <w:style w:type="paragraph" w:styleId="32">
    <w:name w:val="toc 1"/>
    <w:basedOn w:val="1"/>
    <w:next w:val="1"/>
    <w:autoRedefine/>
    <w:qFormat/>
    <w:uiPriority w:val="99"/>
    <w:rPr>
      <w:rFonts w:eastAsia="黑体"/>
      <w:b/>
      <w:sz w:val="24"/>
      <w:szCs w:val="24"/>
    </w:rPr>
  </w:style>
  <w:style w:type="paragraph" w:styleId="33">
    <w:name w:val="toc 4"/>
    <w:basedOn w:val="1"/>
    <w:next w:val="1"/>
    <w:autoRedefine/>
    <w:qFormat/>
    <w:uiPriority w:val="99"/>
    <w:pPr>
      <w:ind w:left="1260" w:leftChars="600"/>
    </w:pPr>
    <w:rPr>
      <w:rFonts w:eastAsia="黑体"/>
      <w:szCs w:val="24"/>
    </w:rPr>
  </w:style>
  <w:style w:type="paragraph" w:styleId="34">
    <w:name w:val="Subtitle"/>
    <w:basedOn w:val="1"/>
    <w:link w:val="79"/>
    <w:autoRedefine/>
    <w:qFormat/>
    <w:uiPriority w:val="99"/>
    <w:pPr>
      <w:spacing w:afterLines="50"/>
      <w:jc w:val="center"/>
    </w:pPr>
    <w:rPr>
      <w:rFonts w:ascii="Cambria" w:hAnsi="Cambria"/>
      <w:kern w:val="28"/>
      <w:sz w:val="32"/>
    </w:rPr>
  </w:style>
  <w:style w:type="paragraph" w:styleId="35">
    <w:name w:val="List"/>
    <w:basedOn w:val="1"/>
    <w:autoRedefine/>
    <w:qFormat/>
    <w:uiPriority w:val="99"/>
    <w:pPr>
      <w:ind w:left="200" w:hanging="200" w:hangingChars="200"/>
    </w:pPr>
    <w:rPr>
      <w:sz w:val="28"/>
      <w:szCs w:val="24"/>
    </w:rPr>
  </w:style>
  <w:style w:type="paragraph" w:styleId="36">
    <w:name w:val="toc 6"/>
    <w:basedOn w:val="1"/>
    <w:next w:val="1"/>
    <w:autoRedefine/>
    <w:qFormat/>
    <w:uiPriority w:val="99"/>
    <w:pPr>
      <w:ind w:left="2100" w:leftChars="1000"/>
    </w:pPr>
    <w:rPr>
      <w:rFonts w:eastAsia="黑体"/>
      <w:szCs w:val="24"/>
    </w:rPr>
  </w:style>
  <w:style w:type="paragraph" w:styleId="37">
    <w:name w:val="Body Text Indent 3"/>
    <w:basedOn w:val="1"/>
    <w:link w:val="80"/>
    <w:autoRedefine/>
    <w:qFormat/>
    <w:uiPriority w:val="99"/>
    <w:pPr>
      <w:spacing w:line="500" w:lineRule="atLeast"/>
      <w:ind w:firstLine="720" w:firstLineChars="300"/>
    </w:pPr>
    <w:rPr>
      <w:rFonts w:ascii="Calibri" w:hAnsi="Calibri"/>
      <w:kern w:val="0"/>
      <w:sz w:val="16"/>
    </w:rPr>
  </w:style>
  <w:style w:type="paragraph" w:styleId="38">
    <w:name w:val="toc 2"/>
    <w:basedOn w:val="1"/>
    <w:next w:val="1"/>
    <w:autoRedefine/>
    <w:qFormat/>
    <w:uiPriority w:val="99"/>
    <w:pPr>
      <w:tabs>
        <w:tab w:val="right" w:leader="dot" w:pos="8909"/>
      </w:tabs>
      <w:ind w:left="420" w:leftChars="200"/>
    </w:pPr>
    <w:rPr>
      <w:rFonts w:eastAsia="黑体"/>
      <w:szCs w:val="24"/>
    </w:rPr>
  </w:style>
  <w:style w:type="paragraph" w:styleId="39">
    <w:name w:val="toc 9"/>
    <w:basedOn w:val="1"/>
    <w:next w:val="1"/>
    <w:autoRedefine/>
    <w:qFormat/>
    <w:uiPriority w:val="99"/>
    <w:pPr>
      <w:ind w:left="3360" w:leftChars="1600"/>
    </w:pPr>
    <w:rPr>
      <w:rFonts w:eastAsia="黑体"/>
      <w:szCs w:val="24"/>
    </w:rPr>
  </w:style>
  <w:style w:type="paragraph" w:styleId="40">
    <w:name w:val="Body Text 2"/>
    <w:basedOn w:val="1"/>
    <w:link w:val="81"/>
    <w:autoRedefine/>
    <w:qFormat/>
    <w:uiPriority w:val="99"/>
    <w:pPr>
      <w:autoSpaceDE w:val="0"/>
      <w:autoSpaceDN w:val="0"/>
      <w:adjustRightInd w:val="0"/>
    </w:pPr>
    <w:rPr>
      <w:rFonts w:ascii="Calibri" w:hAnsi="Calibri"/>
      <w:kern w:val="0"/>
      <w:sz w:val="20"/>
    </w:rPr>
  </w:style>
  <w:style w:type="paragraph" w:styleId="41">
    <w:name w:val="HTML Preformatted"/>
    <w:basedOn w:val="1"/>
    <w:link w:val="82"/>
    <w:autoRedefine/>
    <w:qFormat/>
    <w:uiPriority w:val="99"/>
    <w:rPr>
      <w:rFonts w:ascii="Courier New" w:hAnsi="Courier New"/>
      <w:kern w:val="0"/>
      <w:sz w:val="20"/>
    </w:rPr>
  </w:style>
  <w:style w:type="paragraph" w:styleId="42">
    <w:name w:val="Normal (Web)"/>
    <w:basedOn w:val="1"/>
    <w:autoRedefine/>
    <w:qFormat/>
    <w:uiPriority w:val="99"/>
    <w:pPr>
      <w:widowControl/>
      <w:spacing w:before="100" w:beforeAutospacing="1" w:after="100" w:afterAutospacing="1"/>
      <w:jc w:val="left"/>
    </w:pPr>
    <w:rPr>
      <w:rFonts w:ascii="宋体" w:hAnsi="宋体"/>
      <w:color w:val="000000"/>
      <w:kern w:val="0"/>
      <w:sz w:val="24"/>
      <w:szCs w:val="24"/>
    </w:rPr>
  </w:style>
  <w:style w:type="paragraph" w:styleId="43">
    <w:name w:val="Title"/>
    <w:basedOn w:val="1"/>
    <w:link w:val="83"/>
    <w:autoRedefine/>
    <w:qFormat/>
    <w:uiPriority w:val="99"/>
    <w:pPr>
      <w:widowControl/>
      <w:overflowPunct w:val="0"/>
      <w:autoSpaceDE w:val="0"/>
      <w:autoSpaceDN w:val="0"/>
      <w:adjustRightInd w:val="0"/>
      <w:jc w:val="center"/>
      <w:textAlignment w:val="baseline"/>
    </w:pPr>
    <w:rPr>
      <w:rFonts w:ascii="Cambria" w:hAnsi="Cambria"/>
      <w:kern w:val="0"/>
      <w:sz w:val="32"/>
    </w:rPr>
  </w:style>
  <w:style w:type="paragraph" w:styleId="44">
    <w:name w:val="annotation subject"/>
    <w:basedOn w:val="17"/>
    <w:next w:val="17"/>
    <w:link w:val="84"/>
    <w:autoRedefine/>
    <w:qFormat/>
    <w:uiPriority w:val="99"/>
  </w:style>
  <w:style w:type="paragraph" w:styleId="45">
    <w:name w:val="Body Text First Indent 2"/>
    <w:basedOn w:val="13"/>
    <w:next w:val="1"/>
    <w:link w:val="85"/>
    <w:autoRedefine/>
    <w:qFormat/>
    <w:uiPriority w:val="99"/>
    <w:pPr>
      <w:spacing w:after="120" w:line="240" w:lineRule="auto"/>
      <w:ind w:left="420" w:leftChars="200" w:firstLine="420" w:firstLineChars="200"/>
    </w:pPr>
    <w:rPr>
      <w:sz w:val="20"/>
    </w:rPr>
  </w:style>
  <w:style w:type="table" w:styleId="47">
    <w:name w:val="Table Grid"/>
    <w:basedOn w:val="4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99"/>
    <w:rPr>
      <w:rFonts w:cs="Times New Roman"/>
    </w:rPr>
  </w:style>
  <w:style w:type="character" w:styleId="50">
    <w:name w:val="page number"/>
    <w:basedOn w:val="48"/>
    <w:autoRedefine/>
    <w:qFormat/>
    <w:uiPriority w:val="99"/>
    <w:rPr>
      <w:rFonts w:ascii="仿宋_GB2312" w:eastAsia="仿宋_GB2312" w:cs="Times New Roman"/>
      <w:sz w:val="32"/>
    </w:rPr>
  </w:style>
  <w:style w:type="character" w:styleId="51">
    <w:name w:val="FollowedHyperlink"/>
    <w:basedOn w:val="48"/>
    <w:autoRedefine/>
    <w:qFormat/>
    <w:uiPriority w:val="99"/>
    <w:rPr>
      <w:rFonts w:ascii="仿宋_GB2312" w:eastAsia="仿宋_GB2312" w:cs="Times New Roman"/>
      <w:color w:val="800080"/>
      <w:sz w:val="32"/>
      <w:u w:val="single"/>
    </w:rPr>
  </w:style>
  <w:style w:type="character" w:styleId="52">
    <w:name w:val="Hyperlink"/>
    <w:basedOn w:val="48"/>
    <w:autoRedefine/>
    <w:qFormat/>
    <w:uiPriority w:val="99"/>
    <w:rPr>
      <w:rFonts w:ascii="仿宋_GB2312" w:eastAsia="仿宋_GB2312" w:cs="Times New Roman"/>
      <w:color w:val="0000FF"/>
      <w:sz w:val="32"/>
      <w:u w:val="single"/>
    </w:rPr>
  </w:style>
  <w:style w:type="character" w:styleId="53">
    <w:name w:val="annotation reference"/>
    <w:basedOn w:val="48"/>
    <w:autoRedefine/>
    <w:qFormat/>
    <w:uiPriority w:val="99"/>
    <w:rPr>
      <w:rFonts w:cs="Times New Roman"/>
      <w:sz w:val="21"/>
    </w:rPr>
  </w:style>
  <w:style w:type="paragraph" w:customStyle="1" w:styleId="54">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5">
    <w:name w:val="段"/>
    <w:next w:val="1"/>
    <w:link w:val="348"/>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样式 正文文本缩进 + 左  0 字符"/>
    <w:basedOn w:val="1"/>
    <w:autoRedefine/>
    <w:qFormat/>
    <w:uiPriority w:val="0"/>
    <w:pPr>
      <w:spacing w:line="360" w:lineRule="auto"/>
      <w:ind w:firstLine="250" w:firstLineChars="250"/>
    </w:pPr>
    <w:rPr>
      <w:rFonts w:cs="宋体"/>
      <w:sz w:val="24"/>
    </w:rPr>
  </w:style>
  <w:style w:type="character" w:customStyle="1" w:styleId="57">
    <w:name w:val="标题 4 Char"/>
    <w:basedOn w:val="48"/>
    <w:link w:val="5"/>
    <w:autoRedefine/>
    <w:semiHidden/>
    <w:qFormat/>
    <w:locked/>
    <w:uiPriority w:val="99"/>
    <w:rPr>
      <w:rFonts w:ascii="Cambria" w:hAnsi="Cambria" w:eastAsia="宋体" w:cs="Times New Roman"/>
      <w:sz w:val="28"/>
    </w:rPr>
  </w:style>
  <w:style w:type="character" w:customStyle="1" w:styleId="58">
    <w:name w:val="标题 2 Char"/>
    <w:basedOn w:val="48"/>
    <w:link w:val="2"/>
    <w:autoRedefine/>
    <w:qFormat/>
    <w:locked/>
    <w:uiPriority w:val="99"/>
    <w:rPr>
      <w:rFonts w:ascii="Arial" w:hAnsi="Arial" w:eastAsia="黑体"/>
      <w:bCs/>
      <w:kern w:val="0"/>
      <w:sz w:val="32"/>
      <w:szCs w:val="32"/>
    </w:rPr>
  </w:style>
  <w:style w:type="character" w:customStyle="1" w:styleId="59">
    <w:name w:val="标题 1 Char"/>
    <w:basedOn w:val="48"/>
    <w:link w:val="3"/>
    <w:autoRedefine/>
    <w:qFormat/>
    <w:locked/>
    <w:uiPriority w:val="99"/>
    <w:rPr>
      <w:rFonts w:ascii="宋体" w:hAnsi="Arial" w:eastAsia="黑体"/>
      <w:color w:val="000000"/>
      <w:kern w:val="44"/>
      <w:sz w:val="36"/>
      <w:szCs w:val="20"/>
    </w:rPr>
  </w:style>
  <w:style w:type="character" w:customStyle="1" w:styleId="60">
    <w:name w:val="标题 3 Char"/>
    <w:basedOn w:val="48"/>
    <w:link w:val="4"/>
    <w:autoRedefine/>
    <w:qFormat/>
    <w:locked/>
    <w:uiPriority w:val="99"/>
    <w:rPr>
      <w:rFonts w:ascii="黑体" w:eastAsia="黑体"/>
      <w:color w:val="000000"/>
      <w:kern w:val="0"/>
      <w:sz w:val="28"/>
      <w:szCs w:val="20"/>
    </w:rPr>
  </w:style>
  <w:style w:type="character" w:customStyle="1" w:styleId="61">
    <w:name w:val="标题 5 Char"/>
    <w:basedOn w:val="48"/>
    <w:link w:val="6"/>
    <w:autoRedefine/>
    <w:semiHidden/>
    <w:qFormat/>
    <w:locked/>
    <w:uiPriority w:val="99"/>
    <w:rPr>
      <w:rFonts w:cs="Times New Roman"/>
      <w:sz w:val="28"/>
    </w:rPr>
  </w:style>
  <w:style w:type="character" w:customStyle="1" w:styleId="62">
    <w:name w:val="标题 6 Char"/>
    <w:basedOn w:val="48"/>
    <w:link w:val="7"/>
    <w:autoRedefine/>
    <w:semiHidden/>
    <w:qFormat/>
    <w:locked/>
    <w:uiPriority w:val="99"/>
    <w:rPr>
      <w:rFonts w:ascii="Cambria" w:hAnsi="Cambria" w:eastAsia="宋体" w:cs="Times New Roman"/>
      <w:sz w:val="24"/>
    </w:rPr>
  </w:style>
  <w:style w:type="character" w:customStyle="1" w:styleId="63">
    <w:name w:val="标题 7 Char"/>
    <w:basedOn w:val="48"/>
    <w:link w:val="8"/>
    <w:autoRedefine/>
    <w:qFormat/>
    <w:locked/>
    <w:uiPriority w:val="99"/>
    <w:rPr>
      <w:rFonts w:ascii="宋体" w:eastAsia="仿宋_GB2312"/>
      <w:kern w:val="0"/>
      <w:sz w:val="24"/>
      <w:szCs w:val="20"/>
    </w:rPr>
  </w:style>
  <w:style w:type="character" w:customStyle="1" w:styleId="64">
    <w:name w:val="标题 8 Char"/>
    <w:basedOn w:val="48"/>
    <w:link w:val="9"/>
    <w:autoRedefine/>
    <w:qFormat/>
    <w:locked/>
    <w:uiPriority w:val="99"/>
    <w:rPr>
      <w:rFonts w:ascii="Arial" w:hAnsi="Arial" w:eastAsia="黑体"/>
      <w:kern w:val="0"/>
      <w:sz w:val="24"/>
      <w:szCs w:val="20"/>
    </w:rPr>
  </w:style>
  <w:style w:type="character" w:customStyle="1" w:styleId="65">
    <w:name w:val="标题 9 Char"/>
    <w:basedOn w:val="48"/>
    <w:link w:val="10"/>
    <w:autoRedefine/>
    <w:qFormat/>
    <w:locked/>
    <w:uiPriority w:val="99"/>
    <w:rPr>
      <w:rFonts w:ascii="Arial" w:hAnsi="Arial" w:eastAsia="黑体"/>
      <w:kern w:val="0"/>
      <w:sz w:val="28"/>
      <w:szCs w:val="20"/>
    </w:rPr>
  </w:style>
  <w:style w:type="character" w:customStyle="1" w:styleId="66">
    <w:name w:val="文档结构图 Char"/>
    <w:basedOn w:val="48"/>
    <w:link w:val="16"/>
    <w:autoRedefine/>
    <w:semiHidden/>
    <w:qFormat/>
    <w:locked/>
    <w:uiPriority w:val="99"/>
    <w:rPr>
      <w:rFonts w:cs="Times New Roman"/>
      <w:sz w:val="2"/>
    </w:rPr>
  </w:style>
  <w:style w:type="character" w:customStyle="1" w:styleId="67">
    <w:name w:val="批注文字 Char"/>
    <w:basedOn w:val="48"/>
    <w:link w:val="17"/>
    <w:autoRedefine/>
    <w:semiHidden/>
    <w:qFormat/>
    <w:locked/>
    <w:uiPriority w:val="99"/>
    <w:rPr>
      <w:rFonts w:cs="Times New Roman"/>
      <w:sz w:val="20"/>
    </w:rPr>
  </w:style>
  <w:style w:type="character" w:customStyle="1" w:styleId="68">
    <w:name w:val="正文文本 3 Char"/>
    <w:basedOn w:val="48"/>
    <w:link w:val="18"/>
    <w:autoRedefine/>
    <w:semiHidden/>
    <w:qFormat/>
    <w:locked/>
    <w:uiPriority w:val="99"/>
    <w:rPr>
      <w:rFonts w:cs="Times New Roman"/>
      <w:sz w:val="16"/>
    </w:rPr>
  </w:style>
  <w:style w:type="character" w:customStyle="1" w:styleId="69">
    <w:name w:val="正文文本 Char"/>
    <w:basedOn w:val="48"/>
    <w:link w:val="19"/>
    <w:autoRedefine/>
    <w:qFormat/>
    <w:locked/>
    <w:uiPriority w:val="99"/>
    <w:rPr>
      <w:rFonts w:ascii="仿宋_GB2312" w:eastAsia="宋体" w:cs="Times New Roman"/>
      <w:kern w:val="2"/>
      <w:sz w:val="32"/>
      <w:lang w:val="en-US" w:eastAsia="zh-CN"/>
    </w:rPr>
  </w:style>
  <w:style w:type="character" w:customStyle="1" w:styleId="70">
    <w:name w:val="正文首行缩进 Char"/>
    <w:basedOn w:val="69"/>
    <w:link w:val="20"/>
    <w:autoRedefine/>
    <w:semiHidden/>
    <w:qFormat/>
    <w:locked/>
    <w:uiPriority w:val="99"/>
    <w:rPr>
      <w:rFonts w:ascii="仿宋_GB2312" w:eastAsia="宋体" w:cs="Times New Roman"/>
      <w:kern w:val="2"/>
      <w:sz w:val="20"/>
      <w:lang w:val="en-US" w:eastAsia="zh-CN"/>
    </w:rPr>
  </w:style>
  <w:style w:type="character" w:customStyle="1" w:styleId="71">
    <w:name w:val="正文文本缩进 Char"/>
    <w:basedOn w:val="48"/>
    <w:link w:val="13"/>
    <w:autoRedefine/>
    <w:qFormat/>
    <w:locked/>
    <w:uiPriority w:val="99"/>
    <w:rPr>
      <w:rFonts w:eastAsia="宋体" w:cs="Times New Roman"/>
      <w:kern w:val="2"/>
      <w:sz w:val="28"/>
      <w:lang w:val="en-US" w:eastAsia="zh-CN"/>
    </w:rPr>
  </w:style>
  <w:style w:type="character" w:customStyle="1" w:styleId="72">
    <w:name w:val="纯文本 Char1"/>
    <w:basedOn w:val="48"/>
    <w:link w:val="24"/>
    <w:autoRedefine/>
    <w:qFormat/>
    <w:locked/>
    <w:uiPriority w:val="99"/>
    <w:rPr>
      <w:rFonts w:ascii="宋体" w:hAnsi="Courier New" w:eastAsia="宋体" w:cs="Times New Roman"/>
      <w:sz w:val="21"/>
      <w:lang w:val="en-US" w:eastAsia="zh-CN"/>
    </w:rPr>
  </w:style>
  <w:style w:type="character" w:customStyle="1" w:styleId="73">
    <w:name w:val="日期 Char"/>
    <w:basedOn w:val="48"/>
    <w:link w:val="26"/>
    <w:autoRedefine/>
    <w:semiHidden/>
    <w:qFormat/>
    <w:locked/>
    <w:uiPriority w:val="99"/>
    <w:rPr>
      <w:rFonts w:cs="Times New Roman"/>
      <w:sz w:val="20"/>
    </w:rPr>
  </w:style>
  <w:style w:type="character" w:customStyle="1" w:styleId="74">
    <w:name w:val="正文文本缩进 2 Char"/>
    <w:basedOn w:val="48"/>
    <w:link w:val="27"/>
    <w:autoRedefine/>
    <w:semiHidden/>
    <w:qFormat/>
    <w:locked/>
    <w:uiPriority w:val="99"/>
    <w:rPr>
      <w:rFonts w:cs="Times New Roman"/>
      <w:sz w:val="20"/>
    </w:rPr>
  </w:style>
  <w:style w:type="character" w:customStyle="1" w:styleId="75">
    <w:name w:val="尾注文本 Char"/>
    <w:basedOn w:val="48"/>
    <w:link w:val="28"/>
    <w:autoRedefine/>
    <w:semiHidden/>
    <w:qFormat/>
    <w:locked/>
    <w:uiPriority w:val="99"/>
    <w:rPr>
      <w:rFonts w:cs="Times New Roman"/>
      <w:sz w:val="20"/>
    </w:rPr>
  </w:style>
  <w:style w:type="character" w:customStyle="1" w:styleId="76">
    <w:name w:val="批注框文本 Char"/>
    <w:basedOn w:val="48"/>
    <w:link w:val="29"/>
    <w:autoRedefine/>
    <w:semiHidden/>
    <w:qFormat/>
    <w:locked/>
    <w:uiPriority w:val="99"/>
    <w:rPr>
      <w:rFonts w:cs="Times New Roman"/>
      <w:sz w:val="2"/>
    </w:rPr>
  </w:style>
  <w:style w:type="character" w:customStyle="1" w:styleId="77">
    <w:name w:val="页脚 Char"/>
    <w:basedOn w:val="48"/>
    <w:link w:val="30"/>
    <w:autoRedefine/>
    <w:semiHidden/>
    <w:qFormat/>
    <w:locked/>
    <w:uiPriority w:val="99"/>
    <w:rPr>
      <w:rFonts w:cs="Times New Roman"/>
      <w:sz w:val="18"/>
    </w:rPr>
  </w:style>
  <w:style w:type="character" w:customStyle="1" w:styleId="78">
    <w:name w:val="页眉 Char"/>
    <w:basedOn w:val="48"/>
    <w:link w:val="31"/>
    <w:autoRedefine/>
    <w:semiHidden/>
    <w:qFormat/>
    <w:locked/>
    <w:uiPriority w:val="99"/>
    <w:rPr>
      <w:rFonts w:cs="Times New Roman"/>
      <w:sz w:val="18"/>
    </w:rPr>
  </w:style>
  <w:style w:type="character" w:customStyle="1" w:styleId="79">
    <w:name w:val="副标题 Char"/>
    <w:basedOn w:val="48"/>
    <w:link w:val="34"/>
    <w:autoRedefine/>
    <w:qFormat/>
    <w:locked/>
    <w:uiPriority w:val="99"/>
    <w:rPr>
      <w:rFonts w:ascii="Cambria" w:hAnsi="Cambria" w:cs="Times New Roman"/>
      <w:kern w:val="28"/>
      <w:sz w:val="32"/>
    </w:rPr>
  </w:style>
  <w:style w:type="character" w:customStyle="1" w:styleId="80">
    <w:name w:val="正文文本缩进 3 Char"/>
    <w:basedOn w:val="48"/>
    <w:link w:val="37"/>
    <w:autoRedefine/>
    <w:semiHidden/>
    <w:qFormat/>
    <w:locked/>
    <w:uiPriority w:val="99"/>
    <w:rPr>
      <w:rFonts w:cs="Times New Roman"/>
      <w:sz w:val="16"/>
    </w:rPr>
  </w:style>
  <w:style w:type="character" w:customStyle="1" w:styleId="81">
    <w:name w:val="正文文本 2 Char"/>
    <w:basedOn w:val="48"/>
    <w:link w:val="40"/>
    <w:autoRedefine/>
    <w:semiHidden/>
    <w:qFormat/>
    <w:locked/>
    <w:uiPriority w:val="99"/>
    <w:rPr>
      <w:rFonts w:cs="Times New Roman"/>
      <w:sz w:val="20"/>
    </w:rPr>
  </w:style>
  <w:style w:type="character" w:customStyle="1" w:styleId="82">
    <w:name w:val="HTML 预设格式 Char"/>
    <w:basedOn w:val="48"/>
    <w:link w:val="41"/>
    <w:autoRedefine/>
    <w:semiHidden/>
    <w:qFormat/>
    <w:locked/>
    <w:uiPriority w:val="99"/>
    <w:rPr>
      <w:rFonts w:ascii="Courier New" w:hAnsi="Courier New" w:cs="Times New Roman"/>
      <w:sz w:val="20"/>
    </w:rPr>
  </w:style>
  <w:style w:type="character" w:customStyle="1" w:styleId="83">
    <w:name w:val="标题 Char"/>
    <w:basedOn w:val="48"/>
    <w:link w:val="43"/>
    <w:autoRedefine/>
    <w:qFormat/>
    <w:locked/>
    <w:uiPriority w:val="99"/>
    <w:rPr>
      <w:rFonts w:ascii="Cambria" w:hAnsi="Cambria" w:cs="Times New Roman"/>
      <w:sz w:val="32"/>
    </w:rPr>
  </w:style>
  <w:style w:type="character" w:customStyle="1" w:styleId="84">
    <w:name w:val="批注主题 Char"/>
    <w:basedOn w:val="67"/>
    <w:link w:val="44"/>
    <w:autoRedefine/>
    <w:semiHidden/>
    <w:qFormat/>
    <w:locked/>
    <w:uiPriority w:val="99"/>
    <w:rPr>
      <w:rFonts w:cs="Times New Roman"/>
      <w:sz w:val="20"/>
    </w:rPr>
  </w:style>
  <w:style w:type="character" w:customStyle="1" w:styleId="85">
    <w:name w:val="正文首行缩进 2 Char"/>
    <w:basedOn w:val="71"/>
    <w:link w:val="45"/>
    <w:autoRedefine/>
    <w:semiHidden/>
    <w:qFormat/>
    <w:locked/>
    <w:uiPriority w:val="99"/>
    <w:rPr>
      <w:rFonts w:eastAsia="宋体" w:cs="Times New Roman"/>
      <w:kern w:val="2"/>
      <w:sz w:val="20"/>
      <w:lang w:val="en-US" w:eastAsia="zh-CN"/>
    </w:rPr>
  </w:style>
  <w:style w:type="paragraph" w:customStyle="1" w:styleId="86">
    <w:name w:val="_Style 10"/>
    <w:basedOn w:val="1"/>
    <w:autoRedefine/>
    <w:qFormat/>
    <w:uiPriority w:val="99"/>
    <w:rPr>
      <w:rFonts w:ascii="仿宋_GB2312" w:eastAsia="仿宋_GB2312"/>
      <w:b/>
      <w:sz w:val="32"/>
      <w:szCs w:val="32"/>
    </w:rPr>
  </w:style>
  <w:style w:type="character" w:customStyle="1" w:styleId="87">
    <w:name w:val="pubtime"/>
    <w:autoRedefine/>
    <w:qFormat/>
    <w:uiPriority w:val="99"/>
    <w:rPr>
      <w:color w:val="000000"/>
      <w:sz w:val="18"/>
    </w:rPr>
  </w:style>
  <w:style w:type="character" w:customStyle="1" w:styleId="88">
    <w:name w:val="正文缩进 Char1"/>
    <w:link w:val="12"/>
    <w:autoRedefine/>
    <w:qFormat/>
    <w:locked/>
    <w:uiPriority w:val="99"/>
    <w:rPr>
      <w:rFonts w:eastAsia="宋体"/>
      <w:kern w:val="2"/>
      <w:sz w:val="21"/>
      <w:lang w:val="en-US" w:eastAsia="zh-CN"/>
    </w:rPr>
  </w:style>
  <w:style w:type="character" w:customStyle="1" w:styleId="89">
    <w:name w:val="tpc_content1"/>
    <w:autoRedefine/>
    <w:qFormat/>
    <w:uiPriority w:val="99"/>
    <w:rPr>
      <w:sz w:val="20"/>
    </w:rPr>
  </w:style>
  <w:style w:type="character" w:customStyle="1" w:styleId="90">
    <w:name w:val="font31"/>
    <w:basedOn w:val="48"/>
    <w:autoRedefine/>
    <w:qFormat/>
    <w:uiPriority w:val="99"/>
    <w:rPr>
      <w:rFonts w:ascii="宋体" w:hAnsi="宋体" w:eastAsia="宋体"/>
      <w:b/>
      <w:color w:val="000000"/>
      <w:sz w:val="20"/>
      <w:u w:val="none"/>
    </w:rPr>
  </w:style>
  <w:style w:type="character" w:customStyle="1" w:styleId="91">
    <w:name w:val="time"/>
    <w:autoRedefine/>
    <w:qFormat/>
    <w:uiPriority w:val="99"/>
    <w:rPr>
      <w:color w:val="769199"/>
    </w:rPr>
  </w:style>
  <w:style w:type="character" w:customStyle="1" w:styleId="92">
    <w:name w:val="Normal Indent Char"/>
    <w:autoRedefine/>
    <w:qFormat/>
    <w:locked/>
    <w:uiPriority w:val="99"/>
    <w:rPr>
      <w:rFonts w:eastAsia="宋体"/>
      <w:kern w:val="2"/>
      <w:sz w:val="21"/>
      <w:lang w:val="en-US" w:eastAsia="zh-CN"/>
    </w:rPr>
  </w:style>
  <w:style w:type="character" w:customStyle="1" w:styleId="93">
    <w:name w:val="more"/>
    <w:autoRedefine/>
    <w:qFormat/>
    <w:uiPriority w:val="99"/>
    <w:rPr>
      <w:rFonts w:ascii="仿宋_GB2312" w:eastAsia="仿宋_GB2312"/>
      <w:sz w:val="32"/>
    </w:rPr>
  </w:style>
  <w:style w:type="character" w:customStyle="1" w:styleId="94">
    <w:name w:val="huide001"/>
    <w:autoRedefine/>
    <w:qFormat/>
    <w:uiPriority w:val="99"/>
    <w:rPr>
      <w:rFonts w:ascii="Arial" w:hAnsi="Arial"/>
      <w:color w:val="666666"/>
      <w:sz w:val="18"/>
    </w:rPr>
  </w:style>
  <w:style w:type="character" w:customStyle="1" w:styleId="95">
    <w:name w:val="unnamed11"/>
    <w:autoRedefine/>
    <w:qFormat/>
    <w:uiPriority w:val="99"/>
    <w:rPr>
      <w:sz w:val="20"/>
    </w:rPr>
  </w:style>
  <w:style w:type="character" w:customStyle="1" w:styleId="96">
    <w:name w:val="tw4winTerm"/>
    <w:autoRedefine/>
    <w:qFormat/>
    <w:uiPriority w:val="99"/>
    <w:rPr>
      <w:color w:val="0000FF"/>
    </w:rPr>
  </w:style>
  <w:style w:type="character" w:customStyle="1" w:styleId="97">
    <w:name w:val="标题 1 Char Char"/>
    <w:basedOn w:val="48"/>
    <w:autoRedefine/>
    <w:qFormat/>
    <w:uiPriority w:val="99"/>
    <w:rPr>
      <w:rFonts w:ascii="仿宋_GB2312" w:eastAsia="宋体" w:cs="Times New Roman"/>
      <w:spacing w:val="-2"/>
      <w:sz w:val="32"/>
      <w:lang w:val="en-US" w:eastAsia="zh-CN"/>
    </w:rPr>
  </w:style>
  <w:style w:type="character" w:customStyle="1" w:styleId="98">
    <w:name w:val="font3"/>
    <w:autoRedefine/>
    <w:qFormat/>
    <w:uiPriority w:val="99"/>
    <w:rPr>
      <w:rFonts w:ascii="仿宋_GB2312" w:eastAsia="仿宋_GB2312"/>
      <w:sz w:val="32"/>
    </w:rPr>
  </w:style>
  <w:style w:type="character" w:customStyle="1" w:styleId="99">
    <w:name w:val="纯文本 Char"/>
    <w:autoRedefine/>
    <w:qFormat/>
    <w:uiPriority w:val="99"/>
    <w:rPr>
      <w:rFonts w:ascii="宋体" w:hAnsi="Courier New" w:eastAsia="宋体"/>
      <w:kern w:val="2"/>
      <w:sz w:val="20"/>
      <w:lang w:val="en-US" w:eastAsia="zh-CN"/>
    </w:rPr>
  </w:style>
  <w:style w:type="character" w:customStyle="1" w:styleId="100">
    <w:name w:val="书籍标题1"/>
    <w:autoRedefine/>
    <w:qFormat/>
    <w:uiPriority w:val="99"/>
    <w:rPr>
      <w:b/>
      <w:smallCaps/>
      <w:spacing w:val="5"/>
    </w:rPr>
  </w:style>
  <w:style w:type="character" w:customStyle="1" w:styleId="101">
    <w:name w:val="标题 3 Char Char"/>
    <w:autoRedefine/>
    <w:qFormat/>
    <w:uiPriority w:val="99"/>
    <w:rPr>
      <w:rFonts w:eastAsia="宋体"/>
      <w:b/>
      <w:kern w:val="2"/>
      <w:sz w:val="32"/>
      <w:lang w:val="en-US" w:eastAsia="zh-CN"/>
    </w:rPr>
  </w:style>
  <w:style w:type="character" w:customStyle="1" w:styleId="102">
    <w:name w:val="tw4winMark"/>
    <w:autoRedefine/>
    <w:qFormat/>
    <w:uiPriority w:val="99"/>
    <w:rPr>
      <w:rFonts w:ascii="Courier New" w:hAnsi="Courier New"/>
      <w:vanish/>
      <w:color w:val="800080"/>
      <w:vertAlign w:val="subscript"/>
    </w:rPr>
  </w:style>
  <w:style w:type="character" w:customStyle="1" w:styleId="103">
    <w:name w:val="point_normal1"/>
    <w:autoRedefine/>
    <w:qFormat/>
    <w:uiPriority w:val="99"/>
    <w:rPr>
      <w:rFonts w:ascii="Arial" w:hAnsi="Arial"/>
      <w:sz w:val="18"/>
    </w:rPr>
  </w:style>
  <w:style w:type="character" w:customStyle="1" w:styleId="104">
    <w:name w:val="font21"/>
    <w:basedOn w:val="48"/>
    <w:autoRedefine/>
    <w:qFormat/>
    <w:uiPriority w:val="99"/>
    <w:rPr>
      <w:rFonts w:ascii="宋体" w:hAnsi="宋体" w:eastAsia="宋体"/>
      <w:b/>
      <w:color w:val="000000"/>
      <w:sz w:val="20"/>
      <w:u w:val="none"/>
    </w:rPr>
  </w:style>
  <w:style w:type="character" w:customStyle="1" w:styleId="105">
    <w:name w:val="Char Char3"/>
    <w:autoRedefine/>
    <w:qFormat/>
    <w:uiPriority w:val="99"/>
    <w:rPr>
      <w:rFonts w:ascii="宋体" w:hAnsi="Courier New" w:eastAsia="宋体"/>
      <w:sz w:val="21"/>
      <w:lang w:val="en-US" w:eastAsia="zh-CN"/>
    </w:rPr>
  </w:style>
  <w:style w:type="character" w:customStyle="1" w:styleId="106">
    <w:name w:val="font71"/>
    <w:autoRedefine/>
    <w:qFormat/>
    <w:uiPriority w:val="99"/>
    <w:rPr>
      <w:rFonts w:ascii="宋体" w:hAnsi="宋体" w:eastAsia="宋体"/>
      <w:b/>
      <w:color w:val="000000"/>
      <w:sz w:val="20"/>
      <w:u w:val="none"/>
    </w:rPr>
  </w:style>
  <w:style w:type="character" w:customStyle="1" w:styleId="107">
    <w:name w:val="A C"/>
    <w:autoRedefine/>
    <w:qFormat/>
    <w:uiPriority w:val="99"/>
    <w:rPr>
      <w:rFonts w:ascii="仿宋_GB2312"/>
      <w:sz w:val="24"/>
    </w:rPr>
  </w:style>
  <w:style w:type="character" w:customStyle="1" w:styleId="108">
    <w:name w:val="保留正文 Char"/>
    <w:link w:val="109"/>
    <w:autoRedefine/>
    <w:qFormat/>
    <w:locked/>
    <w:uiPriority w:val="99"/>
    <w:rPr>
      <w:rFonts w:ascii="仿宋_GB2312" w:eastAsia="宋体"/>
      <w:b/>
      <w:kern w:val="2"/>
      <w:sz w:val="24"/>
      <w:lang w:val="en-US" w:eastAsia="zh-CN"/>
    </w:rPr>
  </w:style>
  <w:style w:type="paragraph" w:customStyle="1" w:styleId="109">
    <w:name w:val="保留正文"/>
    <w:basedOn w:val="19"/>
    <w:link w:val="108"/>
    <w:autoRedefine/>
    <w:qFormat/>
    <w:uiPriority w:val="99"/>
    <w:pPr>
      <w:keepNext/>
      <w:spacing w:after="160"/>
    </w:pPr>
    <w:rPr>
      <w:b/>
      <w:sz w:val="24"/>
    </w:rPr>
  </w:style>
  <w:style w:type="character" w:customStyle="1" w:styleId="110">
    <w:name w:val="para"/>
    <w:autoRedefine/>
    <w:qFormat/>
    <w:uiPriority w:val="99"/>
    <w:rPr>
      <w:rFonts w:ascii="仿宋_GB2312" w:eastAsia="仿宋_GB2312"/>
      <w:sz w:val="32"/>
    </w:rPr>
  </w:style>
  <w:style w:type="character" w:customStyle="1" w:styleId="111">
    <w:name w:val="样式 标题 4 + 黑体 五号 Char"/>
    <w:autoRedefine/>
    <w:qFormat/>
    <w:uiPriority w:val="99"/>
    <w:rPr>
      <w:rFonts w:ascii="黑体" w:hAnsi="黑体" w:eastAsia="黑体"/>
      <w:b/>
      <w:kern w:val="2"/>
      <w:sz w:val="28"/>
      <w:lang w:val="en-US" w:eastAsia="zh-CN"/>
    </w:rPr>
  </w:style>
  <w:style w:type="character" w:customStyle="1" w:styleId="112">
    <w:name w:val="1051"/>
    <w:autoRedefine/>
    <w:qFormat/>
    <w:uiPriority w:val="99"/>
    <w:rPr>
      <w:sz w:val="21"/>
    </w:rPr>
  </w:style>
  <w:style w:type="character" w:customStyle="1" w:styleId="113">
    <w:name w:val="Head 2"/>
    <w:autoRedefine/>
    <w:qFormat/>
    <w:uiPriority w:val="99"/>
    <w:rPr>
      <w:rFonts w:ascii="仿宋_GB2312"/>
      <w:sz w:val="24"/>
    </w:rPr>
  </w:style>
  <w:style w:type="character" w:customStyle="1" w:styleId="114">
    <w:name w:val="line1"/>
    <w:autoRedefine/>
    <w:qFormat/>
    <w:uiPriority w:val="99"/>
    <w:rPr>
      <w:u w:val="none"/>
    </w:rPr>
  </w:style>
  <w:style w:type="character" w:customStyle="1" w:styleId="115">
    <w:name w:val="表格 Char Char"/>
    <w:link w:val="116"/>
    <w:autoRedefine/>
    <w:qFormat/>
    <w:locked/>
    <w:uiPriority w:val="99"/>
    <w:rPr>
      <w:rFonts w:ascii="仿宋_GB2312" w:hAnsi="宋体" w:eastAsia="仿宋_GB2312"/>
      <w:sz w:val="21"/>
      <w:lang w:val="en-US" w:eastAsia="zh-CN"/>
    </w:rPr>
  </w:style>
  <w:style w:type="paragraph" w:customStyle="1" w:styleId="116">
    <w:name w:val="表格"/>
    <w:basedOn w:val="1"/>
    <w:link w:val="115"/>
    <w:autoRedefine/>
    <w:qFormat/>
    <w:uiPriority w:val="99"/>
    <w:pPr>
      <w:snapToGrid w:val="0"/>
      <w:spacing w:after="156"/>
    </w:pPr>
    <w:rPr>
      <w:rFonts w:ascii="仿宋_GB2312" w:hAnsi="宋体" w:eastAsia="仿宋_GB2312"/>
      <w:kern w:val="0"/>
    </w:rPr>
  </w:style>
  <w:style w:type="character" w:customStyle="1" w:styleId="117">
    <w:name w:val="ho121"/>
    <w:autoRedefine/>
    <w:qFormat/>
    <w:uiPriority w:val="99"/>
    <w:rPr>
      <w:color w:val="CC0000"/>
    </w:rPr>
  </w:style>
  <w:style w:type="character" w:customStyle="1" w:styleId="118">
    <w:name w:val="Normal Indent Char1 Char1 Char2 Char Char Char Char Char Char Char Char Char Char Char Char Char Char"/>
    <w:autoRedefine/>
    <w:qFormat/>
    <w:uiPriority w:val="99"/>
    <w:rPr>
      <w:rFonts w:eastAsia="仿宋_GB2312"/>
      <w:kern w:val="2"/>
      <w:sz w:val="24"/>
      <w:lang w:val="en-US" w:eastAsia="zh-CN"/>
    </w:rPr>
  </w:style>
  <w:style w:type="character" w:customStyle="1" w:styleId="119">
    <w:name w:val="font51"/>
    <w:basedOn w:val="48"/>
    <w:autoRedefine/>
    <w:qFormat/>
    <w:uiPriority w:val="99"/>
    <w:rPr>
      <w:rFonts w:ascii="宋体" w:hAnsi="宋体" w:eastAsia="宋体"/>
      <w:b/>
      <w:color w:val="000000"/>
      <w:sz w:val="20"/>
      <w:u w:val="none"/>
    </w:rPr>
  </w:style>
  <w:style w:type="character" w:customStyle="1" w:styleId="120">
    <w:name w:val="tw4winError"/>
    <w:autoRedefine/>
    <w:qFormat/>
    <w:uiPriority w:val="99"/>
    <w:rPr>
      <w:rFonts w:ascii="Courier New" w:hAnsi="Courier New"/>
      <w:color w:val="00FF00"/>
      <w:sz w:val="40"/>
    </w:rPr>
  </w:style>
  <w:style w:type="character" w:customStyle="1" w:styleId="121">
    <w:name w:val="font41"/>
    <w:autoRedefine/>
    <w:qFormat/>
    <w:uiPriority w:val="99"/>
    <w:rPr>
      <w:rFonts w:ascii="宋体" w:hAnsi="宋体" w:eastAsia="宋体"/>
      <w:b/>
      <w:color w:val="000000"/>
      <w:sz w:val="20"/>
      <w:u w:val="none"/>
    </w:rPr>
  </w:style>
  <w:style w:type="character" w:customStyle="1" w:styleId="122">
    <w:name w:val="font81"/>
    <w:autoRedefine/>
    <w:qFormat/>
    <w:uiPriority w:val="99"/>
    <w:rPr>
      <w:rFonts w:ascii="宋体" w:hAnsi="宋体" w:eastAsia="宋体"/>
      <w:b/>
      <w:color w:val="000000"/>
      <w:sz w:val="20"/>
      <w:u w:val="none"/>
    </w:rPr>
  </w:style>
  <w:style w:type="character" w:customStyle="1" w:styleId="123">
    <w:name w:val="tw4winJump"/>
    <w:autoRedefine/>
    <w:qFormat/>
    <w:uiPriority w:val="99"/>
    <w:rPr>
      <w:rFonts w:ascii="Courier New" w:hAnsi="Courier New"/>
      <w:color w:val="008080"/>
    </w:rPr>
  </w:style>
  <w:style w:type="character" w:customStyle="1" w:styleId="124">
    <w:name w:val="样式 小四"/>
    <w:autoRedefine/>
    <w:qFormat/>
    <w:uiPriority w:val="99"/>
    <w:rPr>
      <w:sz w:val="21"/>
    </w:rPr>
  </w:style>
  <w:style w:type="character" w:customStyle="1" w:styleId="125">
    <w:name w:val="hei14b1"/>
    <w:autoRedefine/>
    <w:qFormat/>
    <w:uiPriority w:val="99"/>
    <w:rPr>
      <w:b/>
      <w:color w:val="333333"/>
      <w:sz w:val="21"/>
    </w:rPr>
  </w:style>
  <w:style w:type="character" w:customStyle="1" w:styleId="126">
    <w:name w:val="flname7"/>
    <w:autoRedefine/>
    <w:qFormat/>
    <w:uiPriority w:val="99"/>
    <w:rPr>
      <w:rFonts w:ascii="仿宋_GB2312" w:eastAsia="仿宋_GB2312"/>
      <w:sz w:val="32"/>
    </w:rPr>
  </w:style>
  <w:style w:type="character" w:customStyle="1" w:styleId="127">
    <w:name w:val="style591"/>
    <w:autoRedefine/>
    <w:qFormat/>
    <w:uiPriority w:val="99"/>
    <w:rPr>
      <w:rFonts w:ascii="Arial" w:hAnsi="Arial"/>
      <w:sz w:val="18"/>
      <w:u w:val="none"/>
    </w:rPr>
  </w:style>
  <w:style w:type="character" w:customStyle="1" w:styleId="128">
    <w:name w:val="表正文 Char"/>
    <w:autoRedefine/>
    <w:qFormat/>
    <w:uiPriority w:val="99"/>
    <w:rPr>
      <w:rFonts w:eastAsia="宋体"/>
      <w:kern w:val="2"/>
      <w:sz w:val="21"/>
      <w:lang w:val="en-US" w:eastAsia="zh-CN"/>
    </w:rPr>
  </w:style>
  <w:style w:type="character" w:customStyle="1" w:styleId="129">
    <w:name w:val="font61"/>
    <w:autoRedefine/>
    <w:qFormat/>
    <w:uiPriority w:val="99"/>
    <w:rPr>
      <w:rFonts w:ascii="宋体" w:hAnsi="宋体" w:eastAsia="宋体"/>
      <w:b/>
      <w:color w:val="000000"/>
      <w:sz w:val="20"/>
      <w:u w:val="none"/>
    </w:rPr>
  </w:style>
  <w:style w:type="character" w:customStyle="1" w:styleId="130">
    <w:name w:val="tw4winPopup"/>
    <w:autoRedefine/>
    <w:qFormat/>
    <w:uiPriority w:val="99"/>
    <w:rPr>
      <w:rFonts w:ascii="Courier New" w:hAnsi="Courier New"/>
      <w:color w:val="008000"/>
    </w:rPr>
  </w:style>
  <w:style w:type="character" w:customStyle="1" w:styleId="131">
    <w:name w:val="样式 样式3 + 宋体 五号 Char Char Char Char Char"/>
    <w:autoRedefine/>
    <w:qFormat/>
    <w:uiPriority w:val="99"/>
    <w:rPr>
      <w:rFonts w:ascii="宋体" w:hAnsi="宋体" w:eastAsia="宋体"/>
      <w:b/>
      <w:kern w:val="2"/>
      <w:sz w:val="24"/>
      <w:lang w:val="en-US" w:eastAsia="zh-CN"/>
    </w:rPr>
  </w:style>
  <w:style w:type="character" w:customStyle="1" w:styleId="132">
    <w:name w:val="普通文字 Char Char1"/>
    <w:autoRedefine/>
    <w:qFormat/>
    <w:uiPriority w:val="99"/>
    <w:rPr>
      <w:rFonts w:ascii="宋体" w:hAnsi="Courier New" w:eastAsia="宋体"/>
      <w:sz w:val="21"/>
      <w:lang w:val="en-US" w:eastAsia="zh-CN"/>
    </w:rPr>
  </w:style>
  <w:style w:type="character" w:customStyle="1" w:styleId="133">
    <w:name w:val="tw4winExternal"/>
    <w:autoRedefine/>
    <w:qFormat/>
    <w:uiPriority w:val="99"/>
    <w:rPr>
      <w:rFonts w:ascii="Courier New" w:hAnsi="Courier New"/>
      <w:color w:val="808080"/>
    </w:rPr>
  </w:style>
  <w:style w:type="character" w:customStyle="1" w:styleId="134">
    <w:name w:val="tw4winInternal"/>
    <w:autoRedefine/>
    <w:qFormat/>
    <w:uiPriority w:val="99"/>
    <w:rPr>
      <w:rFonts w:ascii="Courier New" w:hAnsi="Courier New"/>
      <w:color w:val="FF0000"/>
    </w:rPr>
  </w:style>
  <w:style w:type="character" w:customStyle="1" w:styleId="135">
    <w:name w:val="正文缩进 Char"/>
    <w:autoRedefine/>
    <w:qFormat/>
    <w:uiPriority w:val="99"/>
    <w:rPr>
      <w:rFonts w:eastAsia="宋体"/>
      <w:kern w:val="2"/>
      <w:sz w:val="24"/>
      <w:lang w:val="en-US" w:eastAsia="zh-CN"/>
    </w:rPr>
  </w:style>
  <w:style w:type="character" w:customStyle="1" w:styleId="136">
    <w:name w:val="size31"/>
    <w:autoRedefine/>
    <w:qFormat/>
    <w:uiPriority w:val="99"/>
    <w:rPr>
      <w:rFonts w:ascii="Arial" w:hAnsi="Arial"/>
      <w:color w:val="2D2D2D"/>
      <w:sz w:val="18"/>
    </w:rPr>
  </w:style>
  <w:style w:type="paragraph" w:customStyle="1" w:styleId="137">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138">
    <w:name w:val="沈标题四"/>
    <w:basedOn w:val="5"/>
    <w:next w:val="1"/>
    <w:autoRedefine/>
    <w:qFormat/>
    <w:uiPriority w:val="99"/>
    <w:pPr>
      <w:keepNext w:val="0"/>
      <w:keepLines w:val="0"/>
      <w:spacing w:line="377" w:lineRule="auto"/>
    </w:pPr>
    <w:rPr>
      <w:rFonts w:ascii="Arial Narrow" w:hAnsi="Arial Narrow" w:eastAsia="方正姚体"/>
      <w:sz w:val="24"/>
      <w:szCs w:val="24"/>
    </w:rPr>
  </w:style>
  <w:style w:type="paragraph" w:customStyle="1" w:styleId="139">
    <w:name w:val="Char Char Char Char Char Char Char Char"/>
    <w:basedOn w:val="1"/>
    <w:autoRedefine/>
    <w:qFormat/>
    <w:uiPriority w:val="99"/>
    <w:pPr>
      <w:tabs>
        <w:tab w:val="left" w:pos="360"/>
      </w:tabs>
    </w:pPr>
    <w:rPr>
      <w:sz w:val="24"/>
      <w:szCs w:val="24"/>
    </w:rPr>
  </w:style>
  <w:style w:type="paragraph" w:customStyle="1" w:styleId="140">
    <w:name w:val="标准标题1"/>
    <w:basedOn w:val="3"/>
    <w:autoRedefine/>
    <w:qFormat/>
    <w:uiPriority w:val="99"/>
    <w:pPr>
      <w:pageBreakBefore/>
      <w:numPr>
        <w:numId w:val="0"/>
      </w:numPr>
      <w:tabs>
        <w:tab w:val="left" w:pos="1080"/>
      </w:tabs>
      <w:autoSpaceDE/>
      <w:autoSpaceDN/>
      <w:adjustRightInd/>
      <w:spacing w:line="578" w:lineRule="auto"/>
      <w:ind w:left="425" w:hanging="425"/>
      <w:jc w:val="both"/>
      <w:textAlignment w:val="auto"/>
    </w:pPr>
    <w:rPr>
      <w:rFonts w:ascii="Times New Roman" w:hAnsi="Times New Roman" w:eastAsia="仿宋_GB2312"/>
      <w:bCs/>
      <w:color w:val="auto"/>
      <w:sz w:val="32"/>
      <w:szCs w:val="44"/>
    </w:rPr>
  </w:style>
  <w:style w:type="paragraph" w:customStyle="1" w:styleId="141">
    <w:name w:val="S4-I-U-L15-No-dot"/>
    <w:basedOn w:val="1"/>
    <w:autoRedefine/>
    <w:qFormat/>
    <w:uiPriority w:val="99"/>
    <w:pPr>
      <w:tabs>
        <w:tab w:val="left" w:pos="1112"/>
      </w:tabs>
      <w:spacing w:after="120" w:line="360" w:lineRule="auto"/>
      <w:ind w:left="1112" w:hanging="420"/>
    </w:pPr>
    <w:rPr>
      <w:i/>
      <w:sz w:val="24"/>
      <w:szCs w:val="24"/>
      <w:u w:val="single"/>
    </w:rPr>
  </w:style>
  <w:style w:type="paragraph" w:customStyle="1" w:styleId="142">
    <w:name w:val="xl4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143">
    <w:name w:val="表格内容"/>
    <w:basedOn w:val="19"/>
    <w:autoRedefine/>
    <w:qFormat/>
    <w:uiPriority w:val="99"/>
    <w:pPr>
      <w:suppressLineNumbers/>
      <w:suppressAutoHyphens/>
    </w:pPr>
    <w:rPr>
      <w:kern w:val="1"/>
      <w:szCs w:val="24"/>
      <w:lang w:eastAsia="ar-SA"/>
    </w:rPr>
  </w:style>
  <w:style w:type="paragraph" w:customStyle="1" w:styleId="144">
    <w:name w:val="自动更正"/>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样式 标题 2Chapter X.X. Statementh22Header 2l2Level 2 Headhea...1"/>
    <w:basedOn w:val="4"/>
    <w:autoRedefine/>
    <w:qFormat/>
    <w:uiPriority w:val="99"/>
    <w:pPr>
      <w:keepNext/>
      <w:numPr>
        <w:ilvl w:val="0"/>
        <w:numId w:val="3"/>
      </w:numPr>
      <w:tabs>
        <w:tab w:val="clear" w:pos="360"/>
      </w:tabs>
      <w:autoSpaceDE/>
      <w:autoSpaceDN/>
      <w:adjustRightInd/>
      <w:spacing w:before="120" w:afterLines="50" w:line="240" w:lineRule="auto"/>
      <w:ind w:left="0" w:firstLine="0"/>
      <w:jc w:val="left"/>
      <w:textAlignment w:val="auto"/>
    </w:pPr>
    <w:rPr>
      <w:rFonts w:ascii="宋体" w:eastAsia="宋体" w:cs="宋体"/>
      <w:bCs/>
      <w:color w:val="auto"/>
      <w:sz w:val="24"/>
    </w:rPr>
  </w:style>
  <w:style w:type="paragraph" w:customStyle="1" w:styleId="146">
    <w:name w:val="Bullet"/>
    <w:basedOn w:val="1"/>
    <w:autoRedefine/>
    <w:qFormat/>
    <w:uiPriority w:val="99"/>
    <w:pPr>
      <w:widowControl/>
      <w:tabs>
        <w:tab w:val="left" w:pos="720"/>
        <w:tab w:val="left" w:pos="964"/>
      </w:tabs>
      <w:spacing w:before="120" w:afterLines="50"/>
      <w:ind w:left="720" w:right="360" w:hanging="482"/>
    </w:pPr>
    <w:rPr>
      <w:rFonts w:ascii="宋体"/>
      <w:kern w:val="0"/>
    </w:rPr>
  </w:style>
  <w:style w:type="paragraph" w:customStyle="1" w:styleId="147">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4"/>
      <w:szCs w:val="24"/>
    </w:rPr>
  </w:style>
  <w:style w:type="paragraph" w:customStyle="1" w:styleId="148">
    <w:name w:val="Char Char Char Char1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149">
    <w:name w:val="二级项目符号"/>
    <w:basedOn w:val="1"/>
    <w:autoRedefine/>
    <w:qFormat/>
    <w:uiPriority w:val="99"/>
    <w:pPr>
      <w:widowControl/>
      <w:tabs>
        <w:tab w:val="left" w:pos="964"/>
      </w:tabs>
      <w:spacing w:line="360" w:lineRule="auto"/>
      <w:ind w:left="964" w:hanging="482"/>
    </w:pPr>
    <w:rPr>
      <w:kern w:val="0"/>
      <w:sz w:val="24"/>
    </w:rPr>
  </w:style>
  <w:style w:type="paragraph" w:customStyle="1" w:styleId="150">
    <w:name w:val="Paragraph3"/>
    <w:basedOn w:val="1"/>
    <w:autoRedefine/>
    <w:qFormat/>
    <w:uiPriority w:val="99"/>
    <w:pPr>
      <w:spacing w:before="80" w:afterLines="50"/>
      <w:ind w:left="1530"/>
    </w:pPr>
    <w:rPr>
      <w:rFonts w:ascii="宋体"/>
      <w:kern w:val="0"/>
    </w:rPr>
  </w:style>
  <w:style w:type="paragraph" w:customStyle="1" w:styleId="151">
    <w:name w:val="样式 样式 正文文本缩进 + 仿宋_GB2312 小四 首行缩进:  0 厘米 行距: 1.5 倍行距 + (中文) 仿宋_GB..."/>
    <w:basedOn w:val="152"/>
    <w:autoRedefine/>
    <w:qFormat/>
    <w:uiPriority w:val="99"/>
    <w:pPr>
      <w:ind w:firstLine="480" w:firstLineChars="200"/>
    </w:pPr>
  </w:style>
  <w:style w:type="paragraph" w:customStyle="1" w:styleId="152">
    <w:name w:val="样式 正文文本缩进 + 仿宋_GB2312 小四 首行缩进:  0 厘米 行距: 1.5 倍行距"/>
    <w:basedOn w:val="13"/>
    <w:autoRedefine/>
    <w:qFormat/>
    <w:uiPriority w:val="99"/>
    <w:pPr>
      <w:spacing w:line="360" w:lineRule="auto"/>
      <w:ind w:firstLine="0"/>
    </w:pPr>
    <w:rPr>
      <w:rFonts w:ascii="仿宋_GB2312" w:eastAsia="新宋体"/>
      <w:sz w:val="24"/>
    </w:rPr>
  </w:style>
  <w:style w:type="paragraph" w:customStyle="1" w:styleId="153">
    <w:name w:val="样式6"/>
    <w:basedOn w:val="1"/>
    <w:autoRedefine/>
    <w:qFormat/>
    <w:uiPriority w:val="99"/>
    <w:pPr>
      <w:adjustRightInd w:val="0"/>
      <w:spacing w:beforeLines="50" w:afterLines="50"/>
      <w:ind w:firstLine="669"/>
      <w:textAlignment w:val="baseline"/>
    </w:pPr>
    <w:rPr>
      <w:rFonts w:ascii="宋体" w:hAnsi="宋体"/>
      <w:kern w:val="0"/>
      <w:sz w:val="28"/>
    </w:rPr>
  </w:style>
  <w:style w:type="paragraph" w:customStyle="1" w:styleId="154">
    <w:name w:val="Bullet1"/>
    <w:basedOn w:val="1"/>
    <w:autoRedefine/>
    <w:qFormat/>
    <w:uiPriority w:val="99"/>
    <w:pPr>
      <w:spacing w:afterLines="50"/>
      <w:ind w:left="720" w:hanging="432"/>
      <w:jc w:val="left"/>
    </w:pPr>
    <w:rPr>
      <w:rFonts w:ascii="宋体"/>
      <w:kern w:val="0"/>
    </w:rPr>
  </w:style>
  <w:style w:type="paragraph" w:customStyle="1" w:styleId="155">
    <w:name w:val="Table - Col. Head"/>
    <w:basedOn w:val="1"/>
    <w:autoRedefine/>
    <w:qFormat/>
    <w:uiPriority w:val="99"/>
    <w:pPr>
      <w:keepNext/>
      <w:widowControl/>
      <w:spacing w:before="60" w:afterLines="50"/>
      <w:jc w:val="left"/>
    </w:pPr>
    <w:rPr>
      <w:rFonts w:ascii="Arial" w:hAnsi="Arial"/>
      <w:b/>
      <w:kern w:val="0"/>
      <w:sz w:val="18"/>
      <w:lang w:eastAsia="en-US"/>
    </w:rPr>
  </w:style>
  <w:style w:type="paragraph" w:customStyle="1" w:styleId="156">
    <w:name w:val="Char1"/>
    <w:basedOn w:val="1"/>
    <w:autoRedefine/>
    <w:qFormat/>
    <w:uiPriority w:val="99"/>
    <w:rPr>
      <w:rFonts w:ascii="仿宋_GB2312" w:eastAsia="仿宋_GB2312"/>
      <w:b/>
      <w:sz w:val="32"/>
      <w:szCs w:val="32"/>
    </w:rPr>
  </w:style>
  <w:style w:type="paragraph" w:customStyle="1" w:styleId="157">
    <w:name w:val="xl3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20"/>
    </w:rPr>
  </w:style>
  <w:style w:type="paragraph" w:customStyle="1" w:styleId="158">
    <w:name w:val="xl45"/>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159">
    <w:name w:val="样式 标题 3"/>
    <w:basedOn w:val="4"/>
    <w:next w:val="160"/>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60">
    <w:name w:val="最新标题4"/>
    <w:basedOn w:val="161"/>
    <w:next w:val="1"/>
    <w:autoRedefine/>
    <w:qFormat/>
    <w:uiPriority w:val="99"/>
    <w:pPr>
      <w:tabs>
        <w:tab w:val="left" w:pos="709"/>
        <w:tab w:val="left" w:pos="2100"/>
      </w:tabs>
      <w:spacing w:after="120"/>
      <w:ind w:left="0" w:firstLine="0"/>
    </w:pPr>
  </w:style>
  <w:style w:type="paragraph" w:customStyle="1" w:styleId="161">
    <w:name w:val="样式 标题 4"/>
    <w:basedOn w:val="162"/>
    <w:next w:val="164"/>
    <w:autoRedefine/>
    <w:qFormat/>
    <w:uiPriority w:val="99"/>
    <w:pPr>
      <w:tabs>
        <w:tab w:val="left" w:pos="709"/>
        <w:tab w:val="left" w:pos="2100"/>
      </w:tabs>
      <w:spacing w:after="50"/>
      <w:ind w:left="2100" w:hanging="420"/>
    </w:pPr>
  </w:style>
  <w:style w:type="paragraph" w:customStyle="1" w:styleId="162">
    <w:name w:val="样式 标题 4Chapter X.X.X.X. + 段后: 0.5 行1"/>
    <w:basedOn w:val="163"/>
    <w:autoRedefine/>
    <w:qFormat/>
    <w:uiPriority w:val="99"/>
    <w:pPr>
      <w:tabs>
        <w:tab w:val="left" w:pos="709"/>
      </w:tabs>
      <w:spacing w:afterLines="0"/>
    </w:pPr>
  </w:style>
  <w:style w:type="paragraph" w:customStyle="1" w:styleId="163">
    <w:name w:val="样式 标题 4 + 段后: 0.5 行"/>
    <w:basedOn w:val="5"/>
    <w:autoRedefine/>
    <w:qFormat/>
    <w:uiPriority w:val="99"/>
    <w:pPr>
      <w:keepLines w:val="0"/>
      <w:spacing w:before="120" w:afterLines="50" w:line="240" w:lineRule="auto"/>
      <w:jc w:val="left"/>
    </w:pPr>
    <w:rPr>
      <w:rFonts w:ascii="宋体" w:hAnsi="Times New Roman" w:cs="宋体"/>
      <w:sz w:val="21"/>
    </w:rPr>
  </w:style>
  <w:style w:type="paragraph" w:customStyle="1" w:styleId="164">
    <w:name w:val="样式 正文"/>
    <w:basedOn w:val="1"/>
    <w:next w:val="1"/>
    <w:autoRedefine/>
    <w:qFormat/>
    <w:uiPriority w:val="99"/>
    <w:pPr>
      <w:spacing w:afterLines="50"/>
      <w:jc w:val="left"/>
    </w:pPr>
    <w:rPr>
      <w:rFonts w:ascii="宋体" w:cs="宋体"/>
      <w:kern w:val="0"/>
    </w:rPr>
  </w:style>
  <w:style w:type="paragraph" w:customStyle="1" w:styleId="165">
    <w:name w:val="样式 标题1"/>
    <w:basedOn w:val="166"/>
    <w:next w:val="167"/>
    <w:autoRedefine/>
    <w:qFormat/>
    <w:uiPriority w:val="99"/>
    <w:pPr>
      <w:tabs>
        <w:tab w:val="left" w:pos="360"/>
        <w:tab w:val="left" w:pos="1140"/>
      </w:tabs>
      <w:spacing w:afterLines="0"/>
      <w:ind w:left="1140" w:hanging="720"/>
    </w:pPr>
    <w:rPr>
      <w:bCs w:val="0"/>
      <w:sz w:val="32"/>
    </w:rPr>
  </w:style>
  <w:style w:type="paragraph" w:customStyle="1" w:styleId="166">
    <w:name w:val="样式 标题 1 + 段后: 0.5 行"/>
    <w:basedOn w:val="3"/>
    <w:autoRedefine/>
    <w:qFormat/>
    <w:uiPriority w:val="99"/>
    <w:pPr>
      <w:keepLines w:val="0"/>
      <w:numPr>
        <w:numId w:val="0"/>
      </w:numPr>
      <w:autoSpaceDE/>
      <w:autoSpaceDN/>
      <w:adjustRightInd/>
      <w:spacing w:before="120" w:afterLines="50" w:line="240" w:lineRule="auto"/>
      <w:textAlignment w:val="auto"/>
    </w:pPr>
    <w:rPr>
      <w:rFonts w:hAnsi="Times New Roman" w:eastAsia="宋体" w:cs="宋体"/>
      <w:bCs/>
      <w:color w:val="auto"/>
      <w:kern w:val="0"/>
      <w:sz w:val="28"/>
    </w:rPr>
  </w:style>
  <w:style w:type="paragraph" w:customStyle="1" w:styleId="167">
    <w:name w:val="最新标题2"/>
    <w:basedOn w:val="168"/>
    <w:next w:val="169"/>
    <w:autoRedefine/>
    <w:qFormat/>
    <w:uiPriority w:val="99"/>
    <w:pPr>
      <w:tabs>
        <w:tab w:val="left" w:pos="360"/>
        <w:tab w:val="left" w:pos="720"/>
      </w:tabs>
      <w:spacing w:afterLines="0"/>
    </w:pPr>
  </w:style>
  <w:style w:type="paragraph" w:customStyle="1" w:styleId="168">
    <w:name w:val="样式 标题 2"/>
    <w:basedOn w:val="2"/>
    <w:next w:val="169"/>
    <w:autoRedefine/>
    <w:qFormat/>
    <w:uiPriority w:val="99"/>
    <w:pPr>
      <w:keepLines w:val="0"/>
      <w:numPr>
        <w:ilvl w:val="0"/>
        <w:numId w:val="0"/>
      </w:numPr>
      <w:spacing w:before="120" w:afterLines="50" w:line="240" w:lineRule="auto"/>
      <w:ind w:left="380" w:hanging="380"/>
      <w:jc w:val="left"/>
    </w:pPr>
    <w:rPr>
      <w:rFonts w:ascii="宋体" w:hAnsi="Times New Roman" w:eastAsia="宋体" w:cs="宋体"/>
      <w:sz w:val="28"/>
      <w:szCs w:val="20"/>
    </w:rPr>
  </w:style>
  <w:style w:type="paragraph" w:customStyle="1" w:styleId="169">
    <w:name w:val="最新标题3"/>
    <w:basedOn w:val="159"/>
    <w:next w:val="160"/>
    <w:autoRedefine/>
    <w:qFormat/>
    <w:uiPriority w:val="99"/>
    <w:pPr>
      <w:spacing w:afterLines="0"/>
    </w:pPr>
  </w:style>
  <w:style w:type="paragraph" w:customStyle="1" w:styleId="170">
    <w:name w:val="Table - Text"/>
    <w:basedOn w:val="1"/>
    <w:autoRedefine/>
    <w:qFormat/>
    <w:uiPriority w:val="99"/>
    <w:pPr>
      <w:widowControl/>
      <w:spacing w:before="60" w:afterLines="50"/>
      <w:jc w:val="left"/>
    </w:pPr>
    <w:rPr>
      <w:kern w:val="0"/>
      <w:lang w:eastAsia="en-US"/>
    </w:rPr>
  </w:style>
  <w:style w:type="paragraph" w:customStyle="1" w:styleId="171">
    <w:name w:val="最新标题1"/>
    <w:basedOn w:val="165"/>
    <w:next w:val="167"/>
    <w:autoRedefine/>
    <w:qFormat/>
    <w:uiPriority w:val="99"/>
    <w:pPr>
      <w:numPr>
        <w:numId w:val="4"/>
      </w:numPr>
      <w:spacing w:after="120"/>
    </w:pPr>
    <w:rPr>
      <w:bCs/>
    </w:rPr>
  </w:style>
  <w:style w:type="paragraph" w:customStyle="1" w:styleId="172">
    <w:name w:val="z-窗体顶端1"/>
    <w:basedOn w:val="1"/>
    <w:next w:val="1"/>
    <w:autoRedefine/>
    <w:qFormat/>
    <w:uiPriority w:val="99"/>
    <w:pPr>
      <w:pBdr>
        <w:bottom w:val="single" w:color="auto" w:sz="6" w:space="1"/>
      </w:pBdr>
      <w:jc w:val="center"/>
    </w:pPr>
    <w:rPr>
      <w:rFonts w:ascii="Arial"/>
      <w:vanish/>
      <w:sz w:val="16"/>
    </w:rPr>
  </w:style>
  <w:style w:type="paragraph" w:customStyle="1" w:styleId="173">
    <w:name w:val="样式 标题 1 + 五号"/>
    <w:basedOn w:val="3"/>
    <w:autoRedefine/>
    <w:qFormat/>
    <w:uiPriority w:val="99"/>
    <w:pPr>
      <w:numPr>
        <w:numId w:val="0"/>
      </w:numPr>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74">
    <w:name w:val="Char Char Char Char Char Char Char Char Char1 Char Char Char Char"/>
    <w:basedOn w:val="1"/>
    <w:autoRedefine/>
    <w:qFormat/>
    <w:uiPriority w:val="99"/>
    <w:pPr>
      <w:adjustRightInd w:val="0"/>
      <w:spacing w:line="360" w:lineRule="auto"/>
    </w:pPr>
  </w:style>
  <w:style w:type="paragraph" w:customStyle="1" w:styleId="175">
    <w:name w:val="font14"/>
    <w:basedOn w:val="1"/>
    <w:autoRedefine/>
    <w:qFormat/>
    <w:uiPriority w:val="99"/>
    <w:pPr>
      <w:widowControl/>
      <w:spacing w:before="100" w:beforeAutospacing="1" w:after="100" w:afterAutospacing="1"/>
      <w:jc w:val="left"/>
    </w:pPr>
    <w:rPr>
      <w:kern w:val="0"/>
      <w:sz w:val="22"/>
      <w:szCs w:val="22"/>
    </w:rPr>
  </w:style>
  <w:style w:type="paragraph" w:customStyle="1" w:styleId="176">
    <w:name w:val="P1"/>
    <w:basedOn w:val="1"/>
    <w:autoRedefine/>
    <w:qFormat/>
    <w:uiPriority w:val="99"/>
    <w:pPr>
      <w:widowControl/>
      <w:spacing w:before="240" w:line="240" w:lineRule="atLeast"/>
      <w:jc w:val="left"/>
    </w:pPr>
    <w:rPr>
      <w:b/>
      <w:kern w:val="0"/>
      <w:szCs w:val="21"/>
      <w:lang w:val="en-AU" w:eastAsia="en-US"/>
    </w:rPr>
  </w:style>
  <w:style w:type="paragraph" w:customStyle="1" w:styleId="177">
    <w:name w:val="标准标题2"/>
    <w:basedOn w:val="2"/>
    <w:autoRedefine/>
    <w:qFormat/>
    <w:uiPriority w:val="99"/>
    <w:pPr>
      <w:numPr>
        <w:numId w:val="0"/>
      </w:numPr>
      <w:spacing w:line="360" w:lineRule="auto"/>
    </w:pPr>
    <w:rPr>
      <w:rFonts w:eastAsia="仿宋_GB2312"/>
      <w:bCs w:val="0"/>
      <w:sz w:val="28"/>
    </w:rPr>
  </w:style>
  <w:style w:type="paragraph" w:customStyle="1" w:styleId="178">
    <w:name w:val="标准正文"/>
    <w:basedOn w:val="13"/>
    <w:autoRedefine/>
    <w:qFormat/>
    <w:uiPriority w:val="99"/>
    <w:pPr>
      <w:spacing w:before="60" w:after="60" w:line="360" w:lineRule="auto"/>
      <w:ind w:firstLine="482"/>
    </w:pPr>
    <w:rPr>
      <w:rFonts w:ascii="Arial" w:hAnsi="Arial"/>
      <w:sz w:val="24"/>
    </w:rPr>
  </w:style>
  <w:style w:type="paragraph" w:customStyle="1" w:styleId="179">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80">
    <w:name w:val="font0"/>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181">
    <w:name w:val="样式 模板描述"/>
    <w:basedOn w:val="1"/>
    <w:next w:val="164"/>
    <w:autoRedefine/>
    <w:qFormat/>
    <w:uiPriority w:val="99"/>
    <w:pPr>
      <w:numPr>
        <w:ilvl w:val="1"/>
        <w:numId w:val="4"/>
      </w:numPr>
      <w:spacing w:afterLines="50"/>
      <w:ind w:left="0" w:firstLine="0"/>
      <w:jc w:val="left"/>
    </w:pPr>
    <w:rPr>
      <w:rFonts w:ascii="宋体" w:cs="宋体"/>
      <w:i/>
      <w:iCs/>
      <w:color w:val="0000FF"/>
      <w:kern w:val="0"/>
      <w:szCs w:val="21"/>
    </w:rPr>
  </w:style>
  <w:style w:type="paragraph" w:customStyle="1" w:styleId="182">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183">
    <w:name w:val="xl47"/>
    <w:basedOn w:val="1"/>
    <w:autoRedefine/>
    <w:qFormat/>
    <w:uiPriority w:val="99"/>
    <w:pPr>
      <w:widowControl/>
      <w:pBdr>
        <w:top w:val="single" w:color="auto" w:sz="4" w:space="0"/>
        <w:bottom w:val="single" w:color="auto" w:sz="4" w:space="0"/>
      </w:pBdr>
      <w:spacing w:before="100" w:beforeAutospacing="1" w:after="100" w:afterAutospacing="1"/>
      <w:jc w:val="left"/>
      <w:textAlignment w:val="center"/>
    </w:pPr>
    <w:rPr>
      <w:rFonts w:ascii="Helv" w:hAnsi="Helv"/>
      <w:b/>
      <w:bCs/>
      <w:kern w:val="0"/>
      <w:sz w:val="28"/>
      <w:szCs w:val="28"/>
    </w:rPr>
  </w:style>
  <w:style w:type="paragraph" w:customStyle="1" w:styleId="184">
    <w:name w:val="z-窗体底端1"/>
    <w:basedOn w:val="1"/>
    <w:next w:val="1"/>
    <w:autoRedefine/>
    <w:qFormat/>
    <w:uiPriority w:val="99"/>
    <w:pPr>
      <w:pBdr>
        <w:top w:val="single" w:color="auto" w:sz="6" w:space="1"/>
      </w:pBdr>
      <w:jc w:val="center"/>
    </w:pPr>
    <w:rPr>
      <w:rFonts w:ascii="Arial"/>
      <w:vanish/>
      <w:sz w:val="16"/>
    </w:rPr>
  </w:style>
  <w:style w:type="paragraph" w:customStyle="1" w:styleId="185">
    <w:name w:val="表格标题"/>
    <w:basedOn w:val="143"/>
    <w:autoRedefine/>
    <w:qFormat/>
    <w:uiPriority w:val="99"/>
    <w:pPr>
      <w:numPr>
        <w:ilvl w:val="0"/>
        <w:numId w:val="5"/>
      </w:numPr>
      <w:tabs>
        <w:tab w:val="clear" w:pos="360"/>
      </w:tabs>
      <w:ind w:left="0" w:firstLine="0"/>
      <w:jc w:val="center"/>
    </w:pPr>
    <w:rPr>
      <w:bCs/>
      <w:i/>
      <w:iCs/>
    </w:rPr>
  </w:style>
  <w:style w:type="paragraph" w:customStyle="1" w:styleId="186">
    <w:name w:val="Table Description"/>
    <w:next w:val="1"/>
    <w:autoRedefine/>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187">
    <w:name w:val="样式 标题 3Chapter X.X.X. + 段后: 0.5 行"/>
    <w:basedOn w:val="4"/>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88">
    <w:name w:val="段(正文）"/>
    <w:autoRedefine/>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89">
    <w:name w:val="标准有序列表（L1）"/>
    <w:basedOn w:val="12"/>
    <w:autoRedefine/>
    <w:qFormat/>
    <w:uiPriority w:val="99"/>
    <w:pPr>
      <w:numPr>
        <w:ilvl w:val="4"/>
        <w:numId w:val="6"/>
      </w:numPr>
      <w:tabs>
        <w:tab w:val="left" w:pos="0"/>
        <w:tab w:val="clear" w:pos="2040"/>
      </w:tabs>
      <w:spacing w:line="360" w:lineRule="auto"/>
      <w:ind w:left="0" w:firstLine="0"/>
    </w:pPr>
    <w:rPr>
      <w:rFonts w:ascii="黑体" w:eastAsia="黑体"/>
      <w:color w:val="000000"/>
      <w:sz w:val="24"/>
    </w:rPr>
  </w:style>
  <w:style w:type="paragraph" w:customStyle="1" w:styleId="190">
    <w:name w:val="文本框内文字"/>
    <w:basedOn w:val="1"/>
    <w:autoRedefine/>
    <w:qFormat/>
    <w:uiPriority w:val="99"/>
    <w:pPr>
      <w:spacing w:line="240" w:lineRule="atLeast"/>
    </w:pPr>
    <w:rPr>
      <w:rFonts w:eastAsia="仿宋_GB2312"/>
      <w:sz w:val="22"/>
      <w:szCs w:val="24"/>
    </w:rPr>
  </w:style>
  <w:style w:type="paragraph" w:customStyle="1" w:styleId="191">
    <w:name w:val="样式 标题 2Chapter X.X. Statementh22Header 2l2Level 2 Headhea..."/>
    <w:basedOn w:val="2"/>
    <w:autoRedefine/>
    <w:qFormat/>
    <w:uiPriority w:val="99"/>
    <w:pPr>
      <w:keepLines w:val="0"/>
      <w:numPr>
        <w:numId w:val="0"/>
      </w:numPr>
      <w:spacing w:before="120" w:afterLines="50" w:line="240" w:lineRule="auto"/>
      <w:jc w:val="left"/>
    </w:pPr>
    <w:rPr>
      <w:rFonts w:ascii="宋体" w:hAnsi="Times New Roman" w:eastAsia="宋体" w:cs="宋体"/>
      <w:sz w:val="24"/>
      <w:szCs w:val="24"/>
    </w:rPr>
  </w:style>
  <w:style w:type="paragraph" w:customStyle="1" w:styleId="192">
    <w:name w:val="样式 样式 标题 4 + 段后: 0.5 行1"/>
    <w:basedOn w:val="163"/>
    <w:next w:val="28"/>
    <w:autoRedefine/>
    <w:qFormat/>
    <w:uiPriority w:val="99"/>
    <w:pPr>
      <w:spacing w:afterLines="0"/>
    </w:pPr>
  </w:style>
  <w:style w:type="paragraph" w:customStyle="1" w:styleId="193">
    <w:name w:val="圆点"/>
    <w:basedOn w:val="1"/>
    <w:autoRedefine/>
    <w:qFormat/>
    <w:uiPriority w:val="99"/>
    <w:pPr>
      <w:spacing w:beforeLines="50" w:afterLines="50" w:line="360" w:lineRule="auto"/>
      <w:ind w:firstLine="480" w:firstLineChars="200"/>
    </w:pPr>
    <w:rPr>
      <w:rFonts w:ascii="仿宋_GB2312" w:eastAsia="仿宋_GB2312"/>
      <w:sz w:val="24"/>
      <w:szCs w:val="24"/>
    </w:rPr>
  </w:style>
  <w:style w:type="paragraph" w:customStyle="1" w:styleId="194">
    <w:name w:val="xl3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kern w:val="0"/>
      <w:sz w:val="20"/>
    </w:rPr>
  </w:style>
  <w:style w:type="paragraph" w:customStyle="1" w:styleId="195">
    <w:name w:val="Paragraph4"/>
    <w:basedOn w:val="1"/>
    <w:autoRedefine/>
    <w:qFormat/>
    <w:uiPriority w:val="99"/>
    <w:pPr>
      <w:spacing w:before="80" w:afterLines="50"/>
      <w:ind w:left="2250"/>
    </w:pPr>
    <w:rPr>
      <w:rFonts w:ascii="宋体"/>
      <w:kern w:val="0"/>
    </w:rPr>
  </w:style>
  <w:style w:type="paragraph" w:customStyle="1" w:styleId="196">
    <w:name w:val="Plain Text1"/>
    <w:basedOn w:val="1"/>
    <w:autoRedefine/>
    <w:qFormat/>
    <w:uiPriority w:val="99"/>
    <w:pPr>
      <w:autoSpaceDE w:val="0"/>
      <w:autoSpaceDN w:val="0"/>
      <w:adjustRightInd w:val="0"/>
      <w:spacing w:line="360" w:lineRule="auto"/>
    </w:pPr>
    <w:rPr>
      <w:rFonts w:ascii="宋体" w:hAnsi="宋体"/>
      <w:sz w:val="24"/>
    </w:rPr>
  </w:style>
  <w:style w:type="paragraph" w:customStyle="1" w:styleId="197">
    <w:name w:val="Default"/>
    <w:autoRedefine/>
    <w:qFormat/>
    <w:uiPriority w:val="99"/>
    <w:pPr>
      <w:widowControl w:val="0"/>
      <w:autoSpaceDE w:val="0"/>
      <w:autoSpaceDN w:val="0"/>
      <w:adjustRightInd w:val="0"/>
    </w:pPr>
    <w:rPr>
      <w:rFonts w:ascii="Myriad Pro" w:hAnsi="Times New Roman" w:eastAsia="Times New Roman" w:cs="Myriad Pro"/>
      <w:color w:val="000000"/>
      <w:sz w:val="24"/>
      <w:szCs w:val="24"/>
      <w:lang w:val="en-US" w:eastAsia="zh-CN" w:bidi="ar-SA"/>
    </w:rPr>
  </w:style>
  <w:style w:type="paragraph" w:customStyle="1" w:styleId="198">
    <w:name w:val="默认段落字体 Para Char Char Char Char Char Char Char Char Char1 Char Char Char Char"/>
    <w:basedOn w:val="1"/>
    <w:autoRedefine/>
    <w:qFormat/>
    <w:uiPriority w:val="99"/>
    <w:rPr>
      <w:rFonts w:ascii="Tahoma" w:hAnsi="Tahoma"/>
      <w:sz w:val="24"/>
    </w:rPr>
  </w:style>
  <w:style w:type="paragraph" w:customStyle="1" w:styleId="199">
    <w:name w:val="Item List"/>
    <w:autoRedefine/>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00">
    <w:name w:val="二级条标题"/>
    <w:basedOn w:val="1"/>
    <w:next w:val="55"/>
    <w:autoRedefine/>
    <w:qFormat/>
    <w:uiPriority w:val="99"/>
    <w:pPr>
      <w:widowControl/>
      <w:numPr>
        <w:ilvl w:val="5"/>
        <w:numId w:val="6"/>
      </w:numPr>
      <w:tabs>
        <w:tab w:val="left" w:pos="360"/>
        <w:tab w:val="clear" w:pos="2520"/>
      </w:tabs>
      <w:ind w:left="568"/>
      <w:outlineLvl w:val="3"/>
    </w:pPr>
    <w:rPr>
      <w:rFonts w:ascii="黑体" w:eastAsia="黑体"/>
      <w:kern w:val="0"/>
      <w:szCs w:val="22"/>
    </w:rPr>
  </w:style>
  <w:style w:type="paragraph" w:customStyle="1" w:styleId="201">
    <w:name w:val="此正文"/>
    <w:basedOn w:val="1"/>
    <w:autoRedefine/>
    <w:qFormat/>
    <w:uiPriority w:val="99"/>
    <w:pPr>
      <w:spacing w:line="360" w:lineRule="auto"/>
      <w:ind w:firstLine="200" w:firstLineChars="200"/>
    </w:pPr>
    <w:rPr>
      <w:sz w:val="24"/>
    </w:rPr>
  </w:style>
  <w:style w:type="paragraph" w:customStyle="1" w:styleId="202">
    <w:name w:val="CM1"/>
    <w:basedOn w:val="197"/>
    <w:next w:val="197"/>
    <w:autoRedefine/>
    <w:qFormat/>
    <w:uiPriority w:val="99"/>
    <w:pPr>
      <w:spacing w:line="186" w:lineRule="atLeast"/>
    </w:pPr>
    <w:rPr>
      <w:color w:val="auto"/>
    </w:rPr>
  </w:style>
  <w:style w:type="paragraph" w:customStyle="1" w:styleId="203">
    <w:name w:val="xl4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204">
    <w:name w:val="font13"/>
    <w:basedOn w:val="1"/>
    <w:autoRedefine/>
    <w:qFormat/>
    <w:uiPriority w:val="99"/>
    <w:pPr>
      <w:widowControl/>
      <w:spacing w:before="100" w:beforeAutospacing="1" w:after="100" w:afterAutospacing="1"/>
      <w:jc w:val="left"/>
    </w:pPr>
    <w:rPr>
      <w:rFonts w:ascii="宋体" w:hAnsi="宋体"/>
      <w:kern w:val="0"/>
      <w:sz w:val="22"/>
      <w:szCs w:val="22"/>
    </w:rPr>
  </w:style>
  <w:style w:type="paragraph" w:customStyle="1" w:styleId="205">
    <w:name w:val="正文1"/>
    <w:basedOn w:val="1"/>
    <w:next w:val="1"/>
    <w:autoRedefine/>
    <w:qFormat/>
    <w:uiPriority w:val="99"/>
    <w:pPr>
      <w:spacing w:before="100" w:after="100" w:line="400" w:lineRule="exact"/>
      <w:ind w:firstLine="480"/>
      <w:jc w:val="left"/>
    </w:pPr>
    <w:rPr>
      <w:rFonts w:ascii="Arial" w:hAnsi="Arial"/>
      <w:sz w:val="24"/>
    </w:rPr>
  </w:style>
  <w:style w:type="paragraph" w:customStyle="1" w:styleId="206">
    <w:name w:val="Char Char Char Char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207">
    <w:name w:val="五号正文项目（标准）"/>
    <w:basedOn w:val="1"/>
    <w:autoRedefine/>
    <w:qFormat/>
    <w:uiPriority w:val="99"/>
    <w:pPr>
      <w:numPr>
        <w:ilvl w:val="1"/>
        <w:numId w:val="7"/>
      </w:numPr>
      <w:tabs>
        <w:tab w:val="left" w:pos="900"/>
        <w:tab w:val="clear" w:pos="1680"/>
      </w:tabs>
      <w:spacing w:line="400" w:lineRule="exact"/>
      <w:ind w:left="900" w:hanging="540"/>
      <w:jc w:val="left"/>
    </w:pPr>
    <w:rPr>
      <w:rFonts w:ascii="宋体" w:hAnsi="宋体"/>
      <w:color w:val="000000"/>
    </w:rPr>
  </w:style>
  <w:style w:type="paragraph" w:customStyle="1" w:styleId="208">
    <w:name w:val="Char"/>
    <w:basedOn w:val="1"/>
    <w:autoRedefine/>
    <w:qFormat/>
    <w:uiPriority w:val="99"/>
    <w:rPr>
      <w:rFonts w:ascii="仿宋_GB2312" w:eastAsia="仿宋_GB2312"/>
      <w:b/>
      <w:sz w:val="32"/>
      <w:szCs w:val="32"/>
    </w:rPr>
  </w:style>
  <w:style w:type="paragraph" w:customStyle="1" w:styleId="209">
    <w:name w:val="font9"/>
    <w:basedOn w:val="1"/>
    <w:autoRedefine/>
    <w:qFormat/>
    <w:uiPriority w:val="99"/>
    <w:pPr>
      <w:widowControl/>
      <w:spacing w:before="100" w:beforeAutospacing="1" w:after="100" w:afterAutospacing="1"/>
      <w:jc w:val="left"/>
    </w:pPr>
    <w:rPr>
      <w:kern w:val="0"/>
      <w:sz w:val="24"/>
      <w:szCs w:val="24"/>
    </w:rPr>
  </w:style>
  <w:style w:type="paragraph" w:customStyle="1" w:styleId="210">
    <w:name w:val="xl46"/>
    <w:basedOn w:val="1"/>
    <w:autoRedefine/>
    <w:qFormat/>
    <w:uiPriority w:val="99"/>
    <w:pPr>
      <w:widowControl/>
      <w:pBdr>
        <w:top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211">
    <w:name w:val="xl3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20"/>
    </w:rPr>
  </w:style>
  <w:style w:type="paragraph" w:customStyle="1" w:styleId="212">
    <w:name w:val="huide00"/>
    <w:basedOn w:val="1"/>
    <w:autoRedefine/>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213">
    <w:name w:val="CM7"/>
    <w:basedOn w:val="197"/>
    <w:next w:val="197"/>
    <w:autoRedefine/>
    <w:qFormat/>
    <w:uiPriority w:val="99"/>
    <w:pPr>
      <w:spacing w:line="193" w:lineRule="atLeast"/>
    </w:pPr>
    <w:rPr>
      <w:color w:val="auto"/>
    </w:rPr>
  </w:style>
  <w:style w:type="paragraph" w:customStyle="1" w:styleId="214">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215">
    <w:name w:val="样式 三号 加粗 段后: 0.5 行"/>
    <w:basedOn w:val="1"/>
    <w:autoRedefine/>
    <w:qFormat/>
    <w:uiPriority w:val="99"/>
    <w:pPr>
      <w:spacing w:afterLines="50"/>
      <w:jc w:val="left"/>
    </w:pPr>
    <w:rPr>
      <w:rFonts w:ascii="宋体" w:cs="宋体"/>
      <w:b/>
      <w:bCs/>
      <w:kern w:val="0"/>
      <w:sz w:val="32"/>
    </w:rPr>
  </w:style>
  <w:style w:type="paragraph" w:customStyle="1" w:styleId="216">
    <w:name w:val="InfoBlue"/>
    <w:basedOn w:val="1"/>
    <w:next w:val="19"/>
    <w:autoRedefine/>
    <w:qFormat/>
    <w:uiPriority w:val="99"/>
    <w:pPr>
      <w:spacing w:afterLines="50"/>
      <w:ind w:left="720"/>
      <w:jc w:val="left"/>
    </w:pPr>
    <w:rPr>
      <w:rFonts w:ascii="宋体"/>
      <w:i/>
      <w:color w:val="0000FF"/>
      <w:kern w:val="0"/>
    </w:rPr>
  </w:style>
  <w:style w:type="paragraph" w:customStyle="1" w:styleId="217">
    <w:name w:val="xl27"/>
    <w:basedOn w:val="1"/>
    <w:autoRedefine/>
    <w:qFormat/>
    <w:uiPriority w:val="99"/>
    <w:pPr>
      <w:widowControl/>
      <w:spacing w:before="100" w:beforeAutospacing="1" w:after="100" w:afterAutospacing="1"/>
      <w:jc w:val="center"/>
      <w:textAlignment w:val="bottom"/>
    </w:pPr>
    <w:rPr>
      <w:rFonts w:ascii="宋体" w:hAnsi="宋体"/>
      <w:b/>
      <w:bCs/>
      <w:kern w:val="0"/>
      <w:sz w:val="24"/>
      <w:szCs w:val="24"/>
    </w:rPr>
  </w:style>
  <w:style w:type="paragraph" w:customStyle="1" w:styleId="218">
    <w:name w:val="font6"/>
    <w:basedOn w:val="1"/>
    <w:autoRedefine/>
    <w:qFormat/>
    <w:uiPriority w:val="99"/>
    <w:pPr>
      <w:widowControl/>
      <w:spacing w:before="100" w:beforeAutospacing="1" w:after="100" w:afterAutospacing="1"/>
      <w:jc w:val="left"/>
    </w:pPr>
    <w:rPr>
      <w:rFonts w:ascii="宋体" w:hAnsi="宋体"/>
      <w:kern w:val="0"/>
      <w:sz w:val="20"/>
    </w:rPr>
  </w:style>
  <w:style w:type="paragraph" w:customStyle="1" w:styleId="219">
    <w:name w:val="首行缩进"/>
    <w:basedOn w:val="1"/>
    <w:autoRedefine/>
    <w:qFormat/>
    <w:uiPriority w:val="99"/>
    <w:pPr>
      <w:widowControl/>
      <w:tabs>
        <w:tab w:val="left" w:pos="822"/>
      </w:tabs>
      <w:snapToGrid w:val="0"/>
      <w:spacing w:before="40" w:after="40" w:line="300" w:lineRule="atLeast"/>
      <w:ind w:left="1701"/>
    </w:pPr>
    <w:rPr>
      <w:rFonts w:ascii="Arial" w:hAnsi="Arial"/>
      <w:kern w:val="0"/>
    </w:rPr>
  </w:style>
  <w:style w:type="paragraph" w:customStyle="1" w:styleId="220">
    <w:name w:val="Figure Description"/>
    <w:next w:val="1"/>
    <w:autoRedefine/>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21">
    <w:name w:val="Char Char Char Char Char Char1 Char"/>
    <w:basedOn w:val="1"/>
    <w:autoRedefine/>
    <w:qFormat/>
    <w:uiPriority w:val="99"/>
    <w:pPr>
      <w:widowControl/>
      <w:spacing w:after="160" w:line="240" w:lineRule="exact"/>
      <w:jc w:val="left"/>
    </w:pPr>
    <w:rPr>
      <w:rFonts w:ascii="Verdana" w:hAnsi="Verdana"/>
      <w:kern w:val="0"/>
      <w:lang w:eastAsia="en-US"/>
    </w:rPr>
  </w:style>
  <w:style w:type="paragraph" w:customStyle="1" w:styleId="222">
    <w:name w:val="Paragraph2"/>
    <w:basedOn w:val="1"/>
    <w:autoRedefine/>
    <w:qFormat/>
    <w:uiPriority w:val="99"/>
    <w:pPr>
      <w:spacing w:before="80" w:afterLines="50"/>
      <w:ind w:left="720"/>
    </w:pPr>
    <w:rPr>
      <w:rFonts w:ascii="宋体"/>
      <w:color w:val="000000"/>
      <w:kern w:val="0"/>
      <w:lang w:val="en-AU"/>
    </w:rPr>
  </w:style>
  <w:style w:type="paragraph" w:customStyle="1" w:styleId="223">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0"/>
    </w:rPr>
  </w:style>
  <w:style w:type="paragraph" w:customStyle="1" w:styleId="224">
    <w:name w:val="标准标题3"/>
    <w:basedOn w:val="4"/>
    <w:autoRedefine/>
    <w:qFormat/>
    <w:uiPriority w:val="99"/>
    <w:pPr>
      <w:keepNext/>
      <w:keepLines/>
      <w:numPr>
        <w:numId w:val="0"/>
      </w:numPr>
      <w:tabs>
        <w:tab w:val="left" w:pos="1050"/>
      </w:tabs>
      <w:autoSpaceDE/>
      <w:autoSpaceDN/>
      <w:adjustRightInd/>
      <w:spacing w:before="260" w:after="260" w:line="240" w:lineRule="auto"/>
      <w:ind w:left="-258" w:leftChars="-258"/>
      <w:textAlignment w:val="auto"/>
    </w:pPr>
    <w:rPr>
      <w:rFonts w:ascii="Times New Roman" w:eastAsia="仿宋_GB2312"/>
      <w:bCs/>
      <w:color w:val="auto"/>
      <w:kern w:val="2"/>
      <w:szCs w:val="32"/>
    </w:rPr>
  </w:style>
  <w:style w:type="paragraph" w:customStyle="1" w:styleId="225">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6">
    <w:name w:val="Blockquote"/>
    <w:basedOn w:val="1"/>
    <w:autoRedefine/>
    <w:qFormat/>
    <w:uiPriority w:val="99"/>
    <w:pPr>
      <w:widowControl/>
      <w:spacing w:before="100" w:afterLines="50"/>
      <w:ind w:left="360" w:right="360"/>
      <w:jc w:val="left"/>
    </w:pPr>
    <w:rPr>
      <w:rFonts w:ascii="宋体"/>
      <w:kern w:val="0"/>
      <w:sz w:val="24"/>
      <w:lang w:val="en-CA"/>
    </w:rPr>
  </w:style>
  <w:style w:type="paragraph" w:customStyle="1" w:styleId="227">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228">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229">
    <w:name w:val="Paragraph1"/>
    <w:basedOn w:val="1"/>
    <w:autoRedefine/>
    <w:qFormat/>
    <w:uiPriority w:val="99"/>
    <w:pPr>
      <w:spacing w:before="80" w:afterLines="50"/>
    </w:pPr>
    <w:rPr>
      <w:rFonts w:ascii="宋体"/>
      <w:kern w:val="0"/>
    </w:rPr>
  </w:style>
  <w:style w:type="paragraph" w:customStyle="1" w:styleId="230">
    <w:name w:val="xl30"/>
    <w:basedOn w:val="1"/>
    <w:autoRedefine/>
    <w:qFormat/>
    <w:uiPriority w:val="99"/>
    <w:pPr>
      <w:widowControl/>
      <w:pBdr>
        <w:top w:val="single" w:color="auto" w:sz="8" w:space="0"/>
        <w:bottom w:val="single" w:color="auto" w:sz="8" w:space="0"/>
      </w:pBdr>
      <w:spacing w:before="100" w:beforeAutospacing="1" w:after="100" w:afterAutospacing="1"/>
      <w:jc w:val="center"/>
      <w:textAlignment w:val="bottom"/>
    </w:pPr>
    <w:rPr>
      <w:rFonts w:ascii="宋体" w:hAnsi="宋体"/>
      <w:b/>
      <w:bCs/>
      <w:kern w:val="0"/>
      <w:sz w:val="24"/>
      <w:szCs w:val="24"/>
    </w:rPr>
  </w:style>
  <w:style w:type="paragraph" w:customStyle="1" w:styleId="231">
    <w:name w:val="Char Char3 Char Char Char Char"/>
    <w:basedOn w:val="1"/>
    <w:autoRedefine/>
    <w:qFormat/>
    <w:uiPriority w:val="99"/>
    <w:pPr>
      <w:widowControl/>
      <w:spacing w:after="160" w:line="360" w:lineRule="auto"/>
      <w:jc w:val="left"/>
    </w:pPr>
    <w:rPr>
      <w:rFonts w:ascii="Verdana" w:hAnsi="Verdana"/>
      <w:kern w:val="0"/>
      <w:sz w:val="24"/>
      <w:lang w:eastAsia="en-US"/>
    </w:rPr>
  </w:style>
  <w:style w:type="paragraph" w:customStyle="1" w:styleId="232">
    <w:name w:val="xl28"/>
    <w:basedOn w:val="1"/>
    <w:autoRedefine/>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33">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34">
    <w:name w:val="List Paragraph1"/>
    <w:basedOn w:val="1"/>
    <w:autoRedefine/>
    <w:qFormat/>
    <w:uiPriority w:val="99"/>
    <w:pPr>
      <w:ind w:firstLine="420" w:firstLineChars="200"/>
    </w:pPr>
    <w:rPr>
      <w:rFonts w:ascii="Calibri" w:hAnsi="Calibri"/>
      <w:szCs w:val="22"/>
    </w:rPr>
  </w:style>
  <w:style w:type="paragraph" w:customStyle="1" w:styleId="235">
    <w:name w:val="样式 标题 3Chapter X.X.X"/>
    <w:basedOn w:val="236"/>
    <w:autoRedefine/>
    <w:qFormat/>
    <w:uiPriority w:val="99"/>
    <w:pPr>
      <w:spacing w:afterLines="0"/>
    </w:pPr>
  </w:style>
  <w:style w:type="paragraph" w:customStyle="1" w:styleId="236">
    <w:name w:val="标题 3Chapter X.X.X. + 段后: 0.5 行 + 段后: 0.5 行 + 段后: 0.5 行1"/>
    <w:basedOn w:val="237"/>
    <w:autoRedefine/>
    <w:qFormat/>
    <w:uiPriority w:val="99"/>
    <w:pPr/>
  </w:style>
  <w:style w:type="paragraph" w:customStyle="1" w:styleId="237">
    <w:name w:val="样式 样式 标题 3Chapter X.X.X. + 段后: 0.5 行 + 段后: 0.5 行"/>
    <w:basedOn w:val="187"/>
    <w:autoRedefine/>
    <w:qFormat/>
    <w:uiPriority w:val="99"/>
    <w:pPr>
      <w:tabs>
        <w:tab w:val="clear" w:pos="709"/>
      </w:tabs>
    </w:pPr>
  </w:style>
  <w:style w:type="paragraph" w:customStyle="1" w:styleId="238">
    <w:name w:val="Char Char Char Char Char Char Char Char Char Char Char Char Char"/>
    <w:basedOn w:val="1"/>
    <w:autoRedefine/>
    <w:qFormat/>
    <w:uiPriority w:val="99"/>
    <w:pPr>
      <w:tabs>
        <w:tab w:val="left" w:pos="432"/>
      </w:tabs>
      <w:ind w:left="432" w:hanging="432"/>
    </w:pPr>
    <w:rPr>
      <w:rFonts w:ascii="Tahoma" w:hAnsi="Tahoma"/>
      <w:sz w:val="24"/>
    </w:rPr>
  </w:style>
  <w:style w:type="paragraph" w:customStyle="1" w:styleId="239">
    <w:name w:val="Char Char Char Char Char Char Char"/>
    <w:basedOn w:val="1"/>
    <w:autoRedefine/>
    <w:qFormat/>
    <w:uiPriority w:val="99"/>
    <w:pPr>
      <w:tabs>
        <w:tab w:val="left" w:pos="432"/>
      </w:tabs>
      <w:ind w:left="432" w:hanging="432"/>
    </w:pPr>
    <w:rPr>
      <w:rFonts w:ascii="Tahoma" w:hAnsi="Tahoma"/>
      <w:sz w:val="24"/>
    </w:rPr>
  </w:style>
  <w:style w:type="paragraph" w:customStyle="1" w:styleId="240">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41">
    <w:name w:val="xl32"/>
    <w:basedOn w:val="1"/>
    <w:autoRedefine/>
    <w:qFormat/>
    <w:uiPriority w:val="99"/>
    <w:pPr>
      <w:widowControl/>
      <w:spacing w:before="100" w:beforeAutospacing="1" w:after="100" w:afterAutospacing="1"/>
      <w:jc w:val="left"/>
      <w:textAlignment w:val="bottom"/>
    </w:pPr>
    <w:rPr>
      <w:rFonts w:ascii="宋体" w:hAnsi="宋体"/>
      <w:b/>
      <w:bCs/>
      <w:kern w:val="0"/>
      <w:sz w:val="24"/>
      <w:szCs w:val="24"/>
    </w:rPr>
  </w:style>
  <w:style w:type="paragraph" w:customStyle="1" w:styleId="242">
    <w:name w:val="样式7"/>
    <w:basedOn w:val="1"/>
    <w:autoRedefine/>
    <w:qFormat/>
    <w:uiPriority w:val="99"/>
    <w:pPr>
      <w:adjustRightInd w:val="0"/>
      <w:spacing w:beforeLines="50" w:afterLines="50" w:line="360" w:lineRule="auto"/>
      <w:ind w:firstLine="669"/>
      <w:textAlignment w:val="baseline"/>
    </w:pPr>
    <w:rPr>
      <w:rFonts w:ascii="宋体" w:hAnsi="宋体"/>
      <w:kern w:val="0"/>
      <w:sz w:val="28"/>
    </w:rPr>
  </w:style>
  <w:style w:type="paragraph" w:customStyle="1" w:styleId="243">
    <w:name w:val="paragraph1"/>
    <w:basedOn w:val="1"/>
    <w:autoRedefine/>
    <w:qFormat/>
    <w:uiPriority w:val="99"/>
    <w:pPr>
      <w:spacing w:afterLines="30" w:line="360" w:lineRule="auto"/>
      <w:ind w:firstLine="420" w:firstLineChars="200"/>
    </w:pPr>
    <w:rPr>
      <w:rFonts w:eastAsia="楷体_GB2312"/>
      <w:sz w:val="24"/>
    </w:rPr>
  </w:style>
  <w:style w:type="paragraph" w:customStyle="1" w:styleId="244">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245">
    <w:name w:val="样式 样式 标题 4 + 段后: 0.5 行 + 段后: 0.5 行"/>
    <w:basedOn w:val="163"/>
    <w:autoRedefine/>
    <w:qFormat/>
    <w:uiPriority w:val="99"/>
  </w:style>
  <w:style w:type="paragraph" w:customStyle="1" w:styleId="246">
    <w:name w:val="样式3"/>
    <w:basedOn w:val="9"/>
    <w:next w:val="1"/>
    <w:autoRedefine/>
    <w:qFormat/>
    <w:uiPriority w:val="99"/>
    <w:pPr>
      <w:numPr>
        <w:numId w:val="0"/>
      </w:numPr>
      <w:tabs>
        <w:tab w:val="left" w:pos="1050"/>
      </w:tabs>
      <w:adjustRightInd/>
      <w:spacing w:line="319" w:lineRule="auto"/>
      <w:ind w:left="1050" w:hanging="450"/>
      <w:jc w:val="left"/>
      <w:textAlignment w:val="auto"/>
    </w:pPr>
    <w:rPr>
      <w:b/>
      <w:kern w:val="2"/>
      <w:szCs w:val="24"/>
    </w:rPr>
  </w:style>
  <w:style w:type="paragraph" w:customStyle="1" w:styleId="247">
    <w:name w:val="页面边线"/>
    <w:basedOn w:val="1"/>
    <w:autoRedefine/>
    <w:qFormat/>
    <w:uiPriority w:val="99"/>
    <w:pPr>
      <w:adjustRightInd w:val="0"/>
      <w:spacing w:line="360" w:lineRule="atLeast"/>
      <w:textAlignment w:val="baseline"/>
    </w:pPr>
    <w:rPr>
      <w:rFonts w:ascii="Century" w:hAnsi="Century"/>
      <w:kern w:val="0"/>
      <w:lang w:eastAsia="ja-JP"/>
    </w:rPr>
  </w:style>
  <w:style w:type="paragraph" w:customStyle="1" w:styleId="248">
    <w:name w:val="样式 标题 2 + 五号"/>
    <w:basedOn w:val="2"/>
    <w:autoRedefine/>
    <w:qFormat/>
    <w:uiPriority w:val="99"/>
    <w:pPr>
      <w:numPr>
        <w:numId w:val="0"/>
      </w:numPr>
      <w:spacing w:before="0" w:after="0" w:line="240" w:lineRule="auto"/>
    </w:pPr>
    <w:rPr>
      <w:rFonts w:ascii="宋体" w:hAnsi="宋体" w:eastAsia="宋体"/>
      <w:sz w:val="21"/>
    </w:rPr>
  </w:style>
  <w:style w:type="paragraph" w:customStyle="1" w:styleId="249">
    <w:name w:val="xl33"/>
    <w:basedOn w:val="1"/>
    <w:autoRedefine/>
    <w:qFormat/>
    <w:uiPriority w:val="99"/>
    <w:pPr>
      <w:widowControl/>
      <w:pBdr>
        <w:top w:val="single" w:color="auto" w:sz="8" w:space="0"/>
        <w:bottom w:val="single" w:color="auto" w:sz="8" w:space="0"/>
      </w:pBdr>
      <w:spacing w:before="100" w:beforeAutospacing="1" w:after="100" w:afterAutospacing="1"/>
      <w:jc w:val="right"/>
      <w:textAlignment w:val="bottom"/>
    </w:pPr>
    <w:rPr>
      <w:rFonts w:ascii="宋体" w:hAnsi="宋体"/>
      <w:b/>
      <w:bCs/>
      <w:kern w:val="0"/>
      <w:sz w:val="24"/>
      <w:szCs w:val="24"/>
    </w:rPr>
  </w:style>
  <w:style w:type="paragraph" w:customStyle="1" w:styleId="250">
    <w:name w:val="Main Title"/>
    <w:basedOn w:val="1"/>
    <w:autoRedefine/>
    <w:qFormat/>
    <w:uiPriority w:val="99"/>
    <w:pPr>
      <w:spacing w:before="480" w:afterLines="50"/>
      <w:jc w:val="center"/>
    </w:pPr>
    <w:rPr>
      <w:rFonts w:ascii="宋体"/>
      <w:b/>
      <w:kern w:val="28"/>
      <w:sz w:val="32"/>
    </w:rPr>
  </w:style>
  <w:style w:type="paragraph" w:customStyle="1" w:styleId="251">
    <w:name w:val="xl48"/>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Helv" w:hAnsi="Helv"/>
      <w:kern w:val="0"/>
      <w:sz w:val="20"/>
    </w:rPr>
  </w:style>
  <w:style w:type="paragraph" w:customStyle="1" w:styleId="252">
    <w:name w:val="Char Char Char Char1 Char Char1"/>
    <w:basedOn w:val="1"/>
    <w:autoRedefine/>
    <w:qFormat/>
    <w:uiPriority w:val="99"/>
    <w:pPr>
      <w:widowControl/>
      <w:spacing w:after="160" w:line="240" w:lineRule="exact"/>
      <w:jc w:val="left"/>
    </w:pPr>
    <w:rPr>
      <w:rFonts w:ascii="Verdana" w:hAnsi="Verdana"/>
      <w:kern w:val="0"/>
      <w:sz w:val="20"/>
      <w:lang w:eastAsia="en-US"/>
    </w:rPr>
  </w:style>
  <w:style w:type="paragraph" w:customStyle="1" w:styleId="253">
    <w:name w:val="xl29"/>
    <w:basedOn w:val="1"/>
    <w:autoRedefine/>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54">
    <w:name w:val="font12"/>
    <w:basedOn w:val="1"/>
    <w:autoRedefine/>
    <w:qFormat/>
    <w:uiPriority w:val="99"/>
    <w:pPr>
      <w:widowControl/>
      <w:spacing w:before="100" w:beforeAutospacing="1" w:after="100" w:afterAutospacing="1"/>
      <w:jc w:val="left"/>
    </w:pPr>
    <w:rPr>
      <w:kern w:val="0"/>
      <w:sz w:val="20"/>
    </w:rPr>
  </w:style>
  <w:style w:type="paragraph" w:customStyle="1" w:styleId="255">
    <w:name w:val="封面标准文稿编辑信息"/>
    <w:autoRedefine/>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56">
    <w:name w:val="S4-L15-No"/>
    <w:basedOn w:val="257"/>
    <w:autoRedefine/>
    <w:qFormat/>
    <w:uiPriority w:val="99"/>
    <w:pPr>
      <w:tabs>
        <w:tab w:val="left" w:pos="720"/>
      </w:tabs>
      <w:ind w:hanging="720"/>
    </w:pPr>
  </w:style>
  <w:style w:type="paragraph" w:customStyle="1" w:styleId="257">
    <w:name w:val="S4-L15"/>
    <w:basedOn w:val="1"/>
    <w:autoRedefine/>
    <w:qFormat/>
    <w:uiPriority w:val="99"/>
    <w:pPr>
      <w:spacing w:after="120" w:line="360" w:lineRule="auto"/>
      <w:ind w:left="720" w:firstLine="392"/>
    </w:pPr>
    <w:rPr>
      <w:szCs w:val="21"/>
      <w:lang w:val="fr-FR"/>
    </w:rPr>
  </w:style>
  <w:style w:type="paragraph" w:customStyle="1" w:styleId="258">
    <w:name w:val="Body"/>
    <w:basedOn w:val="1"/>
    <w:autoRedefine/>
    <w:qFormat/>
    <w:uiPriority w:val="99"/>
    <w:pPr>
      <w:widowControl/>
      <w:spacing w:before="120" w:afterLines="50"/>
    </w:pPr>
    <w:rPr>
      <w:rFonts w:ascii="宋体"/>
      <w:kern w:val="0"/>
    </w:rPr>
  </w:style>
  <w:style w:type="paragraph" w:customStyle="1" w:styleId="259">
    <w:name w:val="Proposals body"/>
    <w:basedOn w:val="1"/>
    <w:next w:val="1"/>
    <w:autoRedefine/>
    <w:qFormat/>
    <w:uiPriority w:val="99"/>
    <w:pPr>
      <w:widowControl/>
      <w:spacing w:line="360" w:lineRule="auto"/>
      <w:jc w:val="left"/>
    </w:pPr>
    <w:rPr>
      <w:rFonts w:ascii="宋体"/>
      <w:color w:val="000000"/>
      <w:kern w:val="0"/>
      <w:sz w:val="24"/>
    </w:rPr>
  </w:style>
  <w:style w:type="paragraph" w:customStyle="1" w:styleId="260">
    <w:name w:val="样式　标题4"/>
    <w:basedOn w:val="261"/>
    <w:next w:val="1"/>
    <w:autoRedefine/>
    <w:qFormat/>
    <w:uiPriority w:val="99"/>
    <w:pPr>
      <w:numPr>
        <w:numId w:val="4"/>
      </w:numPr>
      <w:tabs>
        <w:tab w:val="left" w:pos="709"/>
      </w:tabs>
      <w:ind w:left="425" w:hanging="425"/>
    </w:pPr>
  </w:style>
  <w:style w:type="paragraph" w:customStyle="1" w:styleId="261">
    <w:name w:val="样式 标题 4Chapter X.X.X. + 段后: 0.5 行1"/>
    <w:basedOn w:val="5"/>
    <w:next w:val="5"/>
    <w:autoRedefine/>
    <w:qFormat/>
    <w:uiPriority w:val="99"/>
    <w:pPr>
      <w:keepLines w:val="0"/>
      <w:spacing w:before="120" w:afterLines="50" w:line="240" w:lineRule="auto"/>
      <w:ind w:left="425" w:hanging="425"/>
      <w:jc w:val="left"/>
    </w:pPr>
    <w:rPr>
      <w:rFonts w:ascii="宋体" w:hAnsi="Times New Roman" w:cs="宋体"/>
      <w:sz w:val="21"/>
    </w:rPr>
  </w:style>
  <w:style w:type="paragraph" w:customStyle="1" w:styleId="262">
    <w:name w:val="IBM 正文"/>
    <w:basedOn w:val="1"/>
    <w:autoRedefine/>
    <w:qFormat/>
    <w:uiPriority w:val="99"/>
    <w:pPr>
      <w:spacing w:line="360" w:lineRule="atLeast"/>
    </w:pPr>
    <w:rPr>
      <w:sz w:val="24"/>
    </w:rPr>
  </w:style>
  <w:style w:type="paragraph" w:customStyle="1" w:styleId="263">
    <w:name w:val="普通正文"/>
    <w:basedOn w:val="1"/>
    <w:autoRedefine/>
    <w:qFormat/>
    <w:uiPriority w:val="99"/>
    <w:pPr>
      <w:tabs>
        <w:tab w:val="left" w:pos="360"/>
      </w:tabs>
      <w:spacing w:line="360" w:lineRule="auto"/>
      <w:ind w:firstLine="720" w:firstLineChars="225"/>
    </w:pPr>
    <w:rPr>
      <w:rFonts w:ascii="仿宋_GB2312" w:hAnsi="宋体" w:eastAsia="仿宋_GB2312"/>
      <w:iCs/>
      <w:sz w:val="32"/>
      <w:szCs w:val="32"/>
    </w:rPr>
  </w:style>
  <w:style w:type="paragraph" w:customStyle="1" w:styleId="264">
    <w:name w:val="Char2"/>
    <w:basedOn w:val="1"/>
    <w:autoRedefine/>
    <w:qFormat/>
    <w:uiPriority w:val="99"/>
  </w:style>
  <w:style w:type="paragraph" w:customStyle="1" w:styleId="265">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266">
    <w:name w:val="样式 左侧:  1 厘米 段后: 0.5 行"/>
    <w:basedOn w:val="1"/>
    <w:autoRedefine/>
    <w:qFormat/>
    <w:uiPriority w:val="99"/>
    <w:pPr>
      <w:spacing w:afterLines="50"/>
      <w:ind w:firstLine="425"/>
      <w:jc w:val="left"/>
    </w:pPr>
    <w:rPr>
      <w:rFonts w:ascii="宋体" w:cs="宋体"/>
      <w:kern w:val="0"/>
    </w:rPr>
  </w:style>
  <w:style w:type="paragraph" w:customStyle="1" w:styleId="267">
    <w:name w:val="样式 样式 样式 标题 3Chapter X.X.X. + 段后: 0.5 行 + 段后: 0.5 行 + 段后: 0.5 行"/>
    <w:basedOn w:val="237"/>
    <w:autoRedefine/>
    <w:qFormat/>
    <w:uiPriority w:val="99"/>
    <w:pPr>
      <w:spacing w:afterLines="0"/>
    </w:pPr>
  </w:style>
  <w:style w:type="paragraph" w:customStyle="1" w:styleId="268">
    <w:name w:val="List Paragraph2"/>
    <w:basedOn w:val="1"/>
    <w:link w:val="307"/>
    <w:autoRedefine/>
    <w:qFormat/>
    <w:uiPriority w:val="99"/>
    <w:pPr>
      <w:ind w:firstLine="420" w:firstLineChars="200"/>
    </w:pPr>
    <w:rPr>
      <w:rFonts w:ascii="Calibri" w:hAnsi="Calibri"/>
      <w:sz w:val="22"/>
    </w:rPr>
  </w:style>
  <w:style w:type="paragraph" w:customStyle="1" w:styleId="269">
    <w:name w:val="S4-I-L15-U"/>
    <w:basedOn w:val="1"/>
    <w:autoRedefine/>
    <w:qFormat/>
    <w:uiPriority w:val="99"/>
    <w:pPr>
      <w:spacing w:line="360" w:lineRule="auto"/>
    </w:pPr>
    <w:rPr>
      <w:b/>
      <w:i/>
      <w:sz w:val="24"/>
      <w:szCs w:val="24"/>
      <w:u w:val="single"/>
    </w:rPr>
  </w:style>
  <w:style w:type="paragraph" w:customStyle="1" w:styleId="270">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71">
    <w:name w:val="样式 标题 4Chapter X.X.X. + 段后: 0.5 行1 + 段后: 0.5 行"/>
    <w:basedOn w:val="261"/>
    <w:autoRedefine/>
    <w:qFormat/>
    <w:uiPriority w:val="99"/>
    <w:rPr>
      <w:szCs w:val="21"/>
    </w:rPr>
  </w:style>
  <w:style w:type="paragraph" w:customStyle="1" w:styleId="272">
    <w:name w:val="正文 + 小四"/>
    <w:basedOn w:val="1"/>
    <w:autoRedefine/>
    <w:qFormat/>
    <w:uiPriority w:val="99"/>
    <w:pPr>
      <w:jc w:val="center"/>
    </w:pPr>
    <w:rPr>
      <w:sz w:val="24"/>
      <w:szCs w:val="24"/>
    </w:rPr>
  </w:style>
  <w:style w:type="paragraph" w:customStyle="1" w:styleId="273">
    <w:name w:val="样式 标题 3Chapter X.X.X. + 五号 段后: 0.5 行"/>
    <w:basedOn w:val="4"/>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1"/>
    </w:rPr>
  </w:style>
  <w:style w:type="paragraph" w:customStyle="1" w:styleId="274">
    <w:name w:val="正文 + 宋体"/>
    <w:basedOn w:val="1"/>
    <w:autoRedefine/>
    <w:qFormat/>
    <w:uiPriority w:val="99"/>
    <w:pPr>
      <w:spacing w:line="660" w:lineRule="exact"/>
    </w:pPr>
    <w:rPr>
      <w:rFonts w:ascii="宋体" w:hAnsi="宋体"/>
      <w:color w:val="000000"/>
      <w:sz w:val="24"/>
      <w:szCs w:val="24"/>
    </w:rPr>
  </w:style>
  <w:style w:type="paragraph" w:customStyle="1" w:styleId="275">
    <w:name w:val="符号列表"/>
    <w:basedOn w:val="1"/>
    <w:autoRedefine/>
    <w:qFormat/>
    <w:uiPriority w:val="99"/>
    <w:pPr>
      <w:widowControl/>
      <w:numPr>
        <w:ilvl w:val="0"/>
        <w:numId w:val="8"/>
      </w:numPr>
      <w:snapToGrid w:val="0"/>
      <w:spacing w:before="120" w:line="360" w:lineRule="auto"/>
      <w:jc w:val="left"/>
    </w:pPr>
    <w:rPr>
      <w:rFonts w:ascii="楷体_GB2312" w:hAnsi="宋体" w:eastAsia="楷体_GB2312"/>
      <w:b/>
      <w:color w:val="000000"/>
      <w:sz w:val="24"/>
      <w:szCs w:val="24"/>
    </w:rPr>
  </w:style>
  <w:style w:type="paragraph" w:customStyle="1" w:styleId="276">
    <w:name w:val="xl31"/>
    <w:basedOn w:val="1"/>
    <w:autoRedefine/>
    <w:qFormat/>
    <w:uiPriority w:val="99"/>
    <w:pPr>
      <w:widowControl/>
      <w:pBdr>
        <w:top w:val="single" w:color="auto" w:sz="8" w:space="0"/>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77">
    <w:name w:val="Style-正文"/>
    <w:basedOn w:val="1"/>
    <w:autoRedefine/>
    <w:qFormat/>
    <w:uiPriority w:val="99"/>
    <w:pPr>
      <w:spacing w:line="360" w:lineRule="auto"/>
      <w:ind w:firstLine="420"/>
    </w:pPr>
    <w:rPr>
      <w:rFonts w:ascii="宋体" w:hAnsi="宋体"/>
      <w:sz w:val="24"/>
      <w:szCs w:val="24"/>
    </w:rPr>
  </w:style>
  <w:style w:type="paragraph" w:customStyle="1" w:styleId="278">
    <w:name w:val="表内文字"/>
    <w:basedOn w:val="1"/>
    <w:autoRedefine/>
    <w:qFormat/>
    <w:uiPriority w:val="99"/>
    <w:pPr>
      <w:tabs>
        <w:tab w:val="left" w:pos="3060"/>
      </w:tabs>
      <w:spacing w:line="400" w:lineRule="atLeast"/>
    </w:pPr>
    <w:rPr>
      <w:rFonts w:ascii="仿宋_GB2312" w:eastAsia="仿宋_GB2312"/>
      <w:b/>
      <w:bCs/>
      <w:sz w:val="24"/>
      <w:szCs w:val="24"/>
    </w:rPr>
  </w:style>
  <w:style w:type="paragraph" w:customStyle="1" w:styleId="279">
    <w:name w:val="Bullet2"/>
    <w:basedOn w:val="1"/>
    <w:autoRedefine/>
    <w:qFormat/>
    <w:uiPriority w:val="99"/>
    <w:pPr>
      <w:spacing w:afterLines="50"/>
      <w:ind w:left="1440" w:hanging="360"/>
      <w:jc w:val="left"/>
    </w:pPr>
    <w:rPr>
      <w:rFonts w:ascii="宋体"/>
      <w:color w:val="000080"/>
      <w:kern w:val="0"/>
    </w:rPr>
  </w:style>
  <w:style w:type="paragraph" w:customStyle="1" w:styleId="280">
    <w:name w:val="样式 标题 3Chapter X.X.X. + 段后: 0.5 行1"/>
    <w:basedOn w:val="4"/>
    <w:next w:val="1"/>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281">
    <w:name w:val="font10"/>
    <w:basedOn w:val="1"/>
    <w:autoRedefine/>
    <w:qFormat/>
    <w:uiPriority w:val="99"/>
    <w:pPr>
      <w:widowControl/>
      <w:spacing w:before="100" w:beforeAutospacing="1" w:after="100" w:afterAutospacing="1"/>
      <w:jc w:val="left"/>
    </w:pPr>
    <w:rPr>
      <w:rFonts w:ascii="宋体" w:hAnsi="宋体"/>
      <w:b/>
      <w:bCs/>
      <w:kern w:val="0"/>
      <w:sz w:val="24"/>
      <w:szCs w:val="24"/>
    </w:rPr>
  </w:style>
  <w:style w:type="paragraph" w:customStyle="1" w:styleId="282">
    <w:name w:val="Char Char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283">
    <w:name w:val="Tabletext"/>
    <w:basedOn w:val="1"/>
    <w:autoRedefine/>
    <w:qFormat/>
    <w:uiPriority w:val="99"/>
    <w:pPr>
      <w:keepLines/>
      <w:spacing w:afterLines="50"/>
      <w:jc w:val="left"/>
    </w:pPr>
    <w:rPr>
      <w:rFonts w:ascii="宋体"/>
      <w:kern w:val="0"/>
    </w:rPr>
  </w:style>
  <w:style w:type="paragraph" w:customStyle="1" w:styleId="284">
    <w:name w:val="Char3 Char Char Char"/>
    <w:basedOn w:val="1"/>
    <w:autoRedefine/>
    <w:qFormat/>
    <w:uiPriority w:val="99"/>
    <w:pPr>
      <w:widowControl/>
      <w:spacing w:after="160" w:line="240" w:lineRule="exact"/>
      <w:jc w:val="left"/>
    </w:pPr>
  </w:style>
  <w:style w:type="paragraph" w:customStyle="1" w:styleId="285">
    <w:name w:val="不可偏离参数"/>
    <w:basedOn w:val="6"/>
    <w:autoRedefine/>
    <w:qFormat/>
    <w:uiPriority w:val="99"/>
    <w:pPr>
      <w:tabs>
        <w:tab w:val="left" w:pos="630"/>
      </w:tabs>
      <w:spacing w:before="0" w:after="0" w:line="240" w:lineRule="auto"/>
    </w:pPr>
    <w:rPr>
      <w:rFonts w:eastAsia="黑体"/>
      <w:sz w:val="24"/>
    </w:rPr>
  </w:style>
  <w:style w:type="paragraph" w:customStyle="1" w:styleId="286">
    <w:name w:val="样式 标题 3(A-3)sect1.2.3h3H3level_3PIM 3Level 3 HeadHeading..."/>
    <w:basedOn w:val="4"/>
    <w:autoRedefine/>
    <w:qFormat/>
    <w:uiPriority w:val="99"/>
    <w:pPr>
      <w:keepNext/>
      <w:keepLines/>
      <w:numPr>
        <w:numId w:val="0"/>
      </w:numPr>
      <w:autoSpaceDE/>
      <w:autoSpaceDN/>
      <w:adjustRightInd/>
      <w:spacing w:before="260" w:after="260" w:line="416" w:lineRule="auto"/>
      <w:textAlignment w:val="auto"/>
    </w:pPr>
    <w:rPr>
      <w:rFonts w:ascii="Arial" w:hAnsi="Arial" w:eastAsia="宋体"/>
      <w:bCs/>
      <w:color w:val="auto"/>
      <w:kern w:val="2"/>
      <w:sz w:val="30"/>
      <w:szCs w:val="32"/>
    </w:rPr>
  </w:style>
  <w:style w:type="paragraph" w:customStyle="1" w:styleId="287">
    <w:name w:val="样式 标题 1 + 五号1 Char Char Char Char Char Char Char Char Char Char Char Char Char Char Char Char Char"/>
    <w:basedOn w:val="3"/>
    <w:autoRedefine/>
    <w:qFormat/>
    <w:uiPriority w:val="99"/>
    <w:pPr>
      <w:numPr>
        <w:numId w:val="0"/>
      </w:numPr>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288">
    <w:name w:val="S4-B-L15"/>
    <w:basedOn w:val="1"/>
    <w:autoRedefine/>
    <w:qFormat/>
    <w:uiPriority w:val="99"/>
    <w:pPr>
      <w:spacing w:line="360" w:lineRule="auto"/>
    </w:pPr>
    <w:rPr>
      <w:b/>
      <w:bCs/>
      <w:sz w:val="24"/>
      <w:szCs w:val="24"/>
    </w:rPr>
  </w:style>
  <w:style w:type="paragraph" w:customStyle="1" w:styleId="289">
    <w:name w:val="样式2"/>
    <w:basedOn w:val="2"/>
    <w:autoRedefine/>
    <w:qFormat/>
    <w:uiPriority w:val="99"/>
    <w:pPr>
      <w:numPr>
        <w:numId w:val="0"/>
      </w:numPr>
      <w:tabs>
        <w:tab w:val="left" w:pos="600"/>
      </w:tabs>
      <w:ind w:left="600" w:hanging="600"/>
    </w:pPr>
    <w:rPr>
      <w:rFonts w:eastAsia="宋体"/>
    </w:rPr>
  </w:style>
  <w:style w:type="paragraph" w:customStyle="1" w:styleId="290">
    <w:name w:val="标题1"/>
    <w:basedOn w:val="24"/>
    <w:autoRedefine/>
    <w:qFormat/>
    <w:uiPriority w:val="99"/>
    <w:pPr>
      <w:widowControl w:val="0"/>
      <w:overflowPunct/>
      <w:autoSpaceDE/>
      <w:autoSpaceDN/>
      <w:adjustRightInd/>
      <w:spacing w:line="360" w:lineRule="auto"/>
      <w:jc w:val="both"/>
      <w:textAlignment w:val="auto"/>
    </w:pPr>
    <w:rPr>
      <w:b/>
      <w:kern w:val="2"/>
      <w:sz w:val="30"/>
    </w:rPr>
  </w:style>
  <w:style w:type="paragraph" w:customStyle="1" w:styleId="291">
    <w:name w:val="font11"/>
    <w:basedOn w:val="1"/>
    <w:autoRedefine/>
    <w:qFormat/>
    <w:uiPriority w:val="99"/>
    <w:pPr>
      <w:widowControl/>
      <w:spacing w:before="100" w:beforeAutospacing="1" w:after="100" w:afterAutospacing="1"/>
      <w:jc w:val="left"/>
    </w:pPr>
    <w:rPr>
      <w:b/>
      <w:bCs/>
      <w:kern w:val="0"/>
      <w:sz w:val="24"/>
      <w:szCs w:val="24"/>
    </w:rPr>
  </w:style>
  <w:style w:type="paragraph" w:customStyle="1" w:styleId="292">
    <w:name w:val="样式 样式 正文文本缩进 + 仿宋_GB2312 小四 首行缩进:  0 厘米 行距: 1.5 倍行距 + (中文) 仿宋_GB... Char Char"/>
    <w:basedOn w:val="152"/>
    <w:autoRedefine/>
    <w:qFormat/>
    <w:uiPriority w:val="99"/>
    <w:pPr>
      <w:ind w:firstLine="480" w:firstLineChars="200"/>
    </w:pPr>
  </w:style>
  <w:style w:type="paragraph" w:customStyle="1" w:styleId="293">
    <w:name w:val="font7"/>
    <w:basedOn w:val="1"/>
    <w:autoRedefine/>
    <w:qFormat/>
    <w:uiPriority w:val="99"/>
    <w:pPr>
      <w:widowControl/>
      <w:spacing w:before="100" w:beforeAutospacing="1" w:after="100" w:afterAutospacing="1"/>
      <w:jc w:val="left"/>
    </w:pPr>
    <w:rPr>
      <w:kern w:val="0"/>
      <w:sz w:val="20"/>
    </w:rPr>
  </w:style>
  <w:style w:type="paragraph" w:customStyle="1" w:styleId="294">
    <w:name w:val="S4-L15-C"/>
    <w:basedOn w:val="1"/>
    <w:autoRedefine/>
    <w:qFormat/>
    <w:uiPriority w:val="99"/>
    <w:pPr>
      <w:spacing w:after="120" w:line="360" w:lineRule="auto"/>
      <w:jc w:val="center"/>
    </w:pPr>
    <w:rPr>
      <w:szCs w:val="21"/>
    </w:rPr>
  </w:style>
  <w:style w:type="paragraph" w:customStyle="1" w:styleId="295">
    <w:name w:val="P3"/>
    <w:basedOn w:val="1"/>
    <w:autoRedefine/>
    <w:qFormat/>
    <w:uiPriority w:val="99"/>
    <w:pPr>
      <w:widowControl/>
      <w:spacing w:before="240" w:line="240" w:lineRule="atLeast"/>
      <w:ind w:left="1152"/>
      <w:jc w:val="left"/>
    </w:pPr>
    <w:rPr>
      <w:b/>
      <w:kern w:val="0"/>
      <w:szCs w:val="21"/>
      <w:lang w:val="en-AU" w:eastAsia="en-US"/>
    </w:rPr>
  </w:style>
  <w:style w:type="paragraph" w:customStyle="1" w:styleId="296">
    <w:name w:val="P2"/>
    <w:basedOn w:val="1"/>
    <w:autoRedefine/>
    <w:qFormat/>
    <w:uiPriority w:val="99"/>
    <w:pPr>
      <w:widowControl/>
      <w:spacing w:before="240" w:line="240" w:lineRule="atLeast"/>
      <w:ind w:left="578"/>
      <w:jc w:val="left"/>
    </w:pPr>
    <w:rPr>
      <w:b/>
      <w:kern w:val="0"/>
      <w:szCs w:val="21"/>
      <w:lang w:val="en-AU" w:eastAsia="en-US"/>
    </w:rPr>
  </w:style>
  <w:style w:type="paragraph" w:customStyle="1" w:styleId="297">
    <w:name w:val="font8"/>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298">
    <w:name w:val="Char Char Char Char1"/>
    <w:basedOn w:val="1"/>
    <w:autoRedefine/>
    <w:qFormat/>
    <w:uiPriority w:val="99"/>
    <w:pPr>
      <w:widowControl/>
      <w:spacing w:after="160" w:line="240" w:lineRule="exact"/>
      <w:jc w:val="left"/>
    </w:pPr>
  </w:style>
  <w:style w:type="paragraph" w:customStyle="1" w:styleId="299">
    <w:name w:val="正文 New New New New New New New New New New New New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_Style 274"/>
    <w:basedOn w:val="1"/>
    <w:next w:val="1"/>
    <w:autoRedefine/>
    <w:qFormat/>
    <w:uiPriority w:val="99"/>
    <w:pPr>
      <w:pBdr>
        <w:bottom w:val="single" w:color="auto" w:sz="6" w:space="1"/>
      </w:pBdr>
      <w:jc w:val="center"/>
    </w:pPr>
    <w:rPr>
      <w:rFonts w:ascii="Arial"/>
      <w:vanish/>
      <w:sz w:val="16"/>
    </w:rPr>
  </w:style>
  <w:style w:type="paragraph" w:customStyle="1" w:styleId="301">
    <w:name w:val="_Style 275"/>
    <w:basedOn w:val="1"/>
    <w:next w:val="1"/>
    <w:autoRedefine/>
    <w:qFormat/>
    <w:uiPriority w:val="99"/>
    <w:pPr>
      <w:pBdr>
        <w:top w:val="single" w:color="auto" w:sz="6" w:space="1"/>
      </w:pBdr>
      <w:jc w:val="center"/>
    </w:pPr>
    <w:rPr>
      <w:rFonts w:ascii="Arial"/>
      <w:vanish/>
      <w:sz w:val="16"/>
    </w:rPr>
  </w:style>
  <w:style w:type="paragraph" w:customStyle="1" w:styleId="302">
    <w:name w:val="列出段落1"/>
    <w:basedOn w:val="1"/>
    <w:autoRedefine/>
    <w:qFormat/>
    <w:uiPriority w:val="99"/>
    <w:pPr>
      <w:ind w:firstLine="420" w:firstLineChars="200"/>
    </w:pPr>
  </w:style>
  <w:style w:type="character" w:customStyle="1" w:styleId="303">
    <w:name w:val="lemmatitleh11"/>
    <w:autoRedefine/>
    <w:qFormat/>
    <w:uiPriority w:val="99"/>
  </w:style>
  <w:style w:type="character" w:customStyle="1" w:styleId="304">
    <w:name w:val="无"/>
    <w:autoRedefine/>
    <w:qFormat/>
    <w:uiPriority w:val="99"/>
  </w:style>
  <w:style w:type="paragraph" w:customStyle="1" w:styleId="305">
    <w:name w:val="样式 首行缩进:  0 字符"/>
    <w:basedOn w:val="1"/>
    <w:link w:val="306"/>
    <w:autoRedefine/>
    <w:qFormat/>
    <w:uiPriority w:val="99"/>
    <w:pPr>
      <w:spacing w:line="360" w:lineRule="auto"/>
      <w:ind w:firstLine="200" w:firstLineChars="200"/>
    </w:pPr>
    <w:rPr>
      <w:sz w:val="24"/>
    </w:rPr>
  </w:style>
  <w:style w:type="character" w:customStyle="1" w:styleId="306">
    <w:name w:val="样式 首行缩进:  0 字符 Char"/>
    <w:link w:val="305"/>
    <w:autoRedefine/>
    <w:qFormat/>
    <w:locked/>
    <w:uiPriority w:val="99"/>
    <w:rPr>
      <w:rFonts w:ascii="Times New Roman" w:hAnsi="Times New Roman"/>
      <w:kern w:val="2"/>
      <w:sz w:val="24"/>
    </w:rPr>
  </w:style>
  <w:style w:type="character" w:customStyle="1" w:styleId="307">
    <w:name w:val="列出段落 Char"/>
    <w:link w:val="268"/>
    <w:autoRedefine/>
    <w:qFormat/>
    <w:locked/>
    <w:uiPriority w:val="99"/>
    <w:rPr>
      <w:kern w:val="2"/>
      <w:sz w:val="22"/>
    </w:rPr>
  </w:style>
  <w:style w:type="character" w:customStyle="1" w:styleId="308">
    <w:name w:val="ABC - 正文列表 Char"/>
    <w:link w:val="309"/>
    <w:autoRedefine/>
    <w:qFormat/>
    <w:locked/>
    <w:uiPriority w:val="99"/>
    <w:rPr>
      <w:rFonts w:ascii="Cambria" w:hAnsi="Cambria"/>
      <w:kern w:val="2"/>
      <w:sz w:val="22"/>
    </w:rPr>
  </w:style>
  <w:style w:type="paragraph" w:customStyle="1" w:styleId="309">
    <w:name w:val="ABC - 正文列表"/>
    <w:basedOn w:val="1"/>
    <w:link w:val="308"/>
    <w:autoRedefine/>
    <w:qFormat/>
    <w:uiPriority w:val="99"/>
    <w:pPr>
      <w:widowControl/>
      <w:spacing w:afterLines="50" w:line="300" w:lineRule="auto"/>
      <w:ind w:left="840" w:hanging="420" w:firstLineChars="200"/>
      <w:jc w:val="left"/>
    </w:pPr>
    <w:rPr>
      <w:rFonts w:ascii="Cambria" w:hAnsi="Cambria"/>
      <w:sz w:val="22"/>
    </w:rPr>
  </w:style>
  <w:style w:type="paragraph" w:customStyle="1" w:styleId="310">
    <w:name w:val="GP正文(首行缩进)"/>
    <w:basedOn w:val="1"/>
    <w:autoRedefine/>
    <w:qFormat/>
    <w:uiPriority w:val="99"/>
    <w:pPr>
      <w:spacing w:line="360" w:lineRule="auto"/>
      <w:ind w:firstLine="200" w:firstLineChars="200"/>
      <w:jc w:val="left"/>
    </w:pPr>
    <w:rPr>
      <w:sz w:val="24"/>
      <w:szCs w:val="21"/>
    </w:rPr>
  </w:style>
  <w:style w:type="paragraph" w:customStyle="1" w:styleId="311">
    <w:name w:val="hik 正文"/>
    <w:basedOn w:val="1"/>
    <w:autoRedefine/>
    <w:qFormat/>
    <w:uiPriority w:val="99"/>
    <w:pPr>
      <w:spacing w:line="360" w:lineRule="auto"/>
      <w:ind w:firstLine="480" w:firstLineChars="200"/>
    </w:pPr>
    <w:rPr>
      <w:kern w:val="0"/>
      <w:sz w:val="24"/>
      <w:szCs w:val="24"/>
    </w:rPr>
  </w:style>
  <w:style w:type="paragraph" w:customStyle="1" w:styleId="312">
    <w:name w:val="纯文本1"/>
    <w:basedOn w:val="1"/>
    <w:autoRedefine/>
    <w:qFormat/>
    <w:uiPriority w:val="99"/>
    <w:pPr>
      <w:widowControl/>
      <w:overflowPunct w:val="0"/>
      <w:autoSpaceDE w:val="0"/>
      <w:autoSpaceDN w:val="0"/>
      <w:adjustRightInd w:val="0"/>
      <w:jc w:val="left"/>
      <w:textAlignment w:val="baseline"/>
    </w:pPr>
    <w:rPr>
      <w:rFonts w:ascii="宋体" w:hAnsi="Courier New"/>
      <w:szCs w:val="21"/>
    </w:rPr>
  </w:style>
  <w:style w:type="paragraph" w:customStyle="1" w:styleId="313">
    <w:name w:val="_Style 48"/>
    <w:basedOn w:val="1"/>
    <w:autoRedefine/>
    <w:qFormat/>
    <w:uiPriority w:val="99"/>
    <w:rPr>
      <w:rFonts w:ascii="仿宋_GB2312" w:hAnsi="Calibri" w:eastAsia="仿宋_GB2312"/>
      <w:b/>
      <w:sz w:val="32"/>
      <w:szCs w:val="32"/>
    </w:rPr>
  </w:style>
  <w:style w:type="character" w:customStyle="1" w:styleId="314">
    <w:name w:val="fontstyle01"/>
    <w:autoRedefine/>
    <w:qFormat/>
    <w:uiPriority w:val="99"/>
    <w:rPr>
      <w:rFonts w:ascii="宋体" w:hAnsi="宋体" w:eastAsia="宋体"/>
      <w:color w:val="000000"/>
      <w:sz w:val="24"/>
    </w:rPr>
  </w:style>
  <w:style w:type="paragraph" w:customStyle="1" w:styleId="315">
    <w:name w:val="ABC - 正文"/>
    <w:autoRedefine/>
    <w:qFormat/>
    <w:uiPriority w:val="99"/>
    <w:pPr>
      <w:spacing w:afterLines="50" w:line="300" w:lineRule="auto"/>
      <w:ind w:firstLine="480" w:firstLineChars="200"/>
    </w:pPr>
    <w:rPr>
      <w:rFonts w:ascii="Cambria" w:hAnsi="Cambria" w:eastAsia="宋体" w:cs="Times New Roman"/>
      <w:kern w:val="2"/>
      <w:sz w:val="21"/>
      <w:szCs w:val="22"/>
      <w:lang w:val="en-US" w:eastAsia="zh-CN" w:bidi="ar-SA"/>
    </w:rPr>
  </w:style>
  <w:style w:type="paragraph" w:customStyle="1" w:styleId="316">
    <w:name w:val="正文一级小标题"/>
    <w:basedOn w:val="1"/>
    <w:next w:val="268"/>
    <w:autoRedefine/>
    <w:qFormat/>
    <w:uiPriority w:val="99"/>
    <w:pPr>
      <w:ind w:firstLine="420" w:firstLineChars="200"/>
    </w:pPr>
    <w:rPr>
      <w:rFonts w:ascii="Calibri" w:hAnsi="Calibri"/>
      <w:szCs w:val="22"/>
    </w:rPr>
  </w:style>
  <w:style w:type="character" w:customStyle="1" w:styleId="317">
    <w:name w:val="fontstyle21"/>
    <w:autoRedefine/>
    <w:qFormat/>
    <w:uiPriority w:val="99"/>
    <w:rPr>
      <w:rFonts w:ascii="Wingdings-Regular" w:hAnsi="Wingdings-Regular"/>
      <w:color w:val="000000"/>
      <w:sz w:val="24"/>
    </w:rPr>
  </w:style>
  <w:style w:type="paragraph" w:customStyle="1" w:styleId="318">
    <w:name w:val="A正文小四"/>
    <w:basedOn w:val="1"/>
    <w:autoRedefine/>
    <w:qFormat/>
    <w:uiPriority w:val="99"/>
    <w:pPr>
      <w:spacing w:line="360" w:lineRule="auto"/>
      <w:ind w:firstLine="200" w:firstLineChars="200"/>
    </w:pPr>
    <w:rPr>
      <w:szCs w:val="24"/>
    </w:rPr>
  </w:style>
  <w:style w:type="paragraph" w:customStyle="1" w:styleId="319">
    <w:name w:val="正文首行缩进（绿盟科技）"/>
    <w:autoRedefine/>
    <w:qFormat/>
    <w:uiPriority w:val="99"/>
    <w:pPr>
      <w:spacing w:after="50" w:line="300" w:lineRule="auto"/>
      <w:ind w:firstLine="200" w:firstLineChars="200"/>
    </w:pPr>
    <w:rPr>
      <w:rFonts w:ascii="Times New Roman" w:hAnsi="Times New Roman" w:eastAsia="宋体" w:cs="Times New Roman"/>
      <w:sz w:val="21"/>
      <w:szCs w:val="21"/>
      <w:lang w:val="en-US" w:eastAsia="zh-CN" w:bidi="ar-SA"/>
    </w:rPr>
  </w:style>
  <w:style w:type="paragraph" w:customStyle="1" w:styleId="320">
    <w:name w:val="模板正文"/>
    <w:basedOn w:val="1"/>
    <w:autoRedefine/>
    <w:qFormat/>
    <w:uiPriority w:val="99"/>
    <w:pPr>
      <w:wordWrap w:val="0"/>
      <w:spacing w:line="360" w:lineRule="auto"/>
      <w:jc w:val="left"/>
    </w:pPr>
    <w:rPr>
      <w:sz w:val="22"/>
      <w:szCs w:val="21"/>
      <w:lang w:val="zh-CN"/>
    </w:rPr>
  </w:style>
  <w:style w:type="paragraph" w:customStyle="1" w:styleId="321">
    <w:name w:val="my正文"/>
    <w:basedOn w:val="1"/>
    <w:autoRedefine/>
    <w:qFormat/>
    <w:uiPriority w:val="99"/>
    <w:pPr>
      <w:spacing w:line="360" w:lineRule="auto"/>
      <w:ind w:firstLine="200" w:firstLineChars="200"/>
    </w:pPr>
    <w:rPr>
      <w:rFonts w:eastAsia="仿宋"/>
      <w:kern w:val="0"/>
      <w:sz w:val="24"/>
    </w:rPr>
  </w:style>
  <w:style w:type="paragraph" w:customStyle="1" w:styleId="322">
    <w:name w:val="二级"/>
    <w:next w:val="323"/>
    <w:autoRedefine/>
    <w:qFormat/>
    <w:uiPriority w:val="0"/>
    <w:pPr>
      <w:numPr>
        <w:ilvl w:val="1"/>
        <w:numId w:val="9"/>
      </w:num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323">
    <w:name w:val="三级"/>
    <w:next w:val="324"/>
    <w:autoRedefine/>
    <w:qFormat/>
    <w:uiPriority w:val="0"/>
    <w:pPr>
      <w:numPr>
        <w:ilvl w:val="2"/>
        <w:numId w:val="9"/>
      </w:numPr>
      <w:spacing w:beforeLines="50" w:afterLines="50" w:line="360" w:lineRule="auto"/>
      <w:jc w:val="both"/>
      <w:outlineLvl w:val="2"/>
    </w:pPr>
    <w:rPr>
      <w:rFonts w:ascii="Times New Roman" w:hAnsi="Times New Roman" w:eastAsiaTheme="minorEastAsia" w:cstheme="minorBidi"/>
      <w:b/>
      <w:kern w:val="2"/>
      <w:sz w:val="30"/>
      <w:szCs w:val="22"/>
      <w:lang w:val="en-US" w:eastAsia="zh-CN" w:bidi="ar-SA"/>
    </w:rPr>
  </w:style>
  <w:style w:type="paragraph" w:customStyle="1" w:styleId="324">
    <w:name w:val="四级"/>
    <w:next w:val="325"/>
    <w:autoRedefine/>
    <w:qFormat/>
    <w:uiPriority w:val="0"/>
    <w:pPr>
      <w:numPr>
        <w:ilvl w:val="3"/>
        <w:numId w:val="9"/>
      </w:numPr>
      <w:spacing w:line="360" w:lineRule="auto"/>
      <w:jc w:val="both"/>
      <w:outlineLvl w:val="3"/>
    </w:pPr>
    <w:rPr>
      <w:rFonts w:ascii="Times New Roman" w:hAnsi="Times New Roman" w:eastAsia="宋体" w:cs="Times New Roman"/>
      <w:b/>
      <w:kern w:val="2"/>
      <w:sz w:val="28"/>
      <w:szCs w:val="22"/>
      <w:lang w:val="en-US" w:eastAsia="zh-CN" w:bidi="ar-SA"/>
    </w:rPr>
  </w:style>
  <w:style w:type="paragraph" w:customStyle="1" w:styleId="325">
    <w:name w:val="五级及以下"/>
    <w:autoRedefine/>
    <w:qFormat/>
    <w:uiPriority w:val="0"/>
    <w:pPr>
      <w:numPr>
        <w:ilvl w:val="4"/>
        <w:numId w:val="9"/>
      </w:numPr>
      <w:spacing w:before="156" w:after="156"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326">
    <w:name w:val="正文缩进2字符"/>
    <w:basedOn w:val="1"/>
    <w:autoRedefine/>
    <w:qFormat/>
    <w:uiPriority w:val="0"/>
    <w:pPr>
      <w:adjustRightInd w:val="0"/>
      <w:snapToGrid w:val="0"/>
      <w:spacing w:line="360" w:lineRule="auto"/>
      <w:ind w:firstLine="480" w:firstLineChars="200"/>
    </w:pPr>
    <w:rPr>
      <w:szCs w:val="24"/>
    </w:rPr>
  </w:style>
  <w:style w:type="paragraph" w:styleId="327">
    <w:name w:val="List Paragraph"/>
    <w:basedOn w:val="1"/>
    <w:autoRedefine/>
    <w:qFormat/>
    <w:uiPriority w:val="34"/>
    <w:pPr>
      <w:widowControl/>
      <w:adjustRightInd w:val="0"/>
      <w:snapToGrid w:val="0"/>
      <w:spacing w:line="360" w:lineRule="auto"/>
      <w:ind w:firstLine="420" w:firstLineChars="200"/>
      <w:jc w:val="left"/>
    </w:pPr>
    <w:rPr>
      <w:rFonts w:ascii="Calibri" w:hAnsi="Calibri"/>
      <w:kern w:val="0"/>
    </w:rPr>
  </w:style>
  <w:style w:type="paragraph" w:customStyle="1" w:styleId="328">
    <w:name w:val="一级"/>
    <w:basedOn w:val="1"/>
    <w:next w:val="322"/>
    <w:autoRedefine/>
    <w:qFormat/>
    <w:uiPriority w:val="0"/>
    <w:pPr>
      <w:numPr>
        <w:ilvl w:val="0"/>
        <w:numId w:val="9"/>
      </w:numPr>
      <w:spacing w:beforeLines="50" w:afterLines="50" w:line="360" w:lineRule="auto"/>
      <w:jc w:val="center"/>
      <w:outlineLvl w:val="0"/>
    </w:pPr>
    <w:rPr>
      <w:b/>
      <w:sz w:val="36"/>
    </w:rPr>
  </w:style>
  <w:style w:type="table" w:customStyle="1" w:styleId="329">
    <w:name w:val="网格表 4 - 着色 31"/>
    <w:basedOn w:val="46"/>
    <w:autoRedefine/>
    <w:qFormat/>
    <w:uiPriority w:val="49"/>
    <w:rPr>
      <w:kern w:val="2"/>
      <w:sz w:val="21"/>
      <w:szCs w:val="22"/>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paragraph" w:customStyle="1" w:styleId="330">
    <w:name w:val="列表段落1"/>
    <w:basedOn w:val="1"/>
    <w:autoRedefine/>
    <w:qFormat/>
    <w:uiPriority w:val="34"/>
    <w:pPr>
      <w:spacing w:beforeLines="25" w:afterLines="25"/>
      <w:ind w:firstLine="420"/>
    </w:pPr>
    <w:rPr>
      <w:rFonts w:eastAsia="仿宋_GB2312"/>
      <w:sz w:val="24"/>
    </w:rPr>
  </w:style>
  <w:style w:type="paragraph" w:customStyle="1" w:styleId="331">
    <w:name w:val="编号，小四"/>
    <w:basedOn w:val="1"/>
    <w:autoRedefine/>
    <w:qFormat/>
    <w:uiPriority w:val="0"/>
    <w:pPr>
      <w:numPr>
        <w:ilvl w:val="0"/>
        <w:numId w:val="10"/>
      </w:numPr>
      <w:ind w:left="420" w:firstLine="0"/>
    </w:pPr>
  </w:style>
  <w:style w:type="paragraph" w:customStyle="1" w:styleId="332">
    <w:name w:val="正文（1）"/>
    <w:basedOn w:val="1"/>
    <w:autoRedefine/>
    <w:qFormat/>
    <w:uiPriority w:val="0"/>
    <w:pPr>
      <w:ind w:left="420"/>
    </w:pPr>
    <w:rPr>
      <w:rFonts w:cstheme="minorBidi"/>
      <w:szCs w:val="21"/>
    </w:rPr>
  </w:style>
  <w:style w:type="paragraph" w:customStyle="1" w:styleId="333">
    <w:name w:val="*正文"/>
    <w:basedOn w:val="1"/>
    <w:autoRedefine/>
    <w:qFormat/>
    <w:uiPriority w:val="0"/>
    <w:pPr>
      <w:spacing w:line="300" w:lineRule="auto"/>
      <w:ind w:firstLine="480"/>
    </w:pPr>
    <w:rPr>
      <w:rFonts w:ascii="宋体" w:hAnsi="宋体" w:cs="仿宋_GB2312"/>
      <w:szCs w:val="24"/>
    </w:rPr>
  </w:style>
  <w:style w:type="paragraph" w:customStyle="1" w:styleId="334">
    <w:name w:val="图片说明"/>
    <w:basedOn w:val="1"/>
    <w:autoRedefine/>
    <w:qFormat/>
    <w:uiPriority w:val="0"/>
    <w:pPr>
      <w:jc w:val="center"/>
    </w:pPr>
    <w:rPr>
      <w:rFonts w:asciiTheme="minorHAnsi" w:hAnsiTheme="minorHAnsi" w:eastAsiaTheme="minorEastAsia" w:cstheme="minorBidi"/>
      <w:b/>
      <w:sz w:val="18"/>
      <w:szCs w:val="22"/>
    </w:rPr>
  </w:style>
  <w:style w:type="paragraph" w:customStyle="1" w:styleId="335">
    <w:name w:val="标题3"/>
    <w:basedOn w:val="4"/>
    <w:autoRedefine/>
    <w:qFormat/>
    <w:uiPriority w:val="0"/>
    <w:pPr>
      <w:spacing w:line="240" w:lineRule="auto"/>
      <w:ind w:firstLine="200" w:firstLineChars="200"/>
    </w:pPr>
    <w:rPr>
      <w:szCs w:val="28"/>
    </w:rPr>
  </w:style>
  <w:style w:type="paragraph" w:customStyle="1" w:styleId="336">
    <w:name w:val="标题4"/>
    <w:basedOn w:val="5"/>
    <w:autoRedefine/>
    <w:qFormat/>
    <w:uiPriority w:val="0"/>
    <w:pPr>
      <w:spacing w:before="0" w:line="240" w:lineRule="auto"/>
      <w:ind w:left="0" w:firstLine="200" w:firstLineChars="200"/>
    </w:pPr>
  </w:style>
  <w:style w:type="paragraph" w:customStyle="1" w:styleId="337">
    <w:name w:val="标题5"/>
    <w:basedOn w:val="6"/>
    <w:autoRedefine/>
    <w:qFormat/>
    <w:uiPriority w:val="0"/>
    <w:pPr>
      <w:spacing w:before="0" w:after="0" w:line="240" w:lineRule="auto"/>
    </w:pPr>
  </w:style>
  <w:style w:type="character" w:customStyle="1" w:styleId="338">
    <w:name w:val="font91"/>
    <w:basedOn w:val="48"/>
    <w:autoRedefine/>
    <w:qFormat/>
    <w:uiPriority w:val="0"/>
    <w:rPr>
      <w:rFonts w:ascii="Calibri" w:hAnsi="Calibri" w:cs="Calibri"/>
      <w:color w:val="000000"/>
      <w:sz w:val="20"/>
      <w:szCs w:val="20"/>
      <w:u w:val="none"/>
    </w:rPr>
  </w:style>
  <w:style w:type="paragraph" w:customStyle="1" w:styleId="339">
    <w:name w:val="列出段落2"/>
    <w:basedOn w:val="1"/>
    <w:autoRedefine/>
    <w:qFormat/>
    <w:uiPriority w:val="99"/>
    <w:pPr>
      <w:ind w:firstLine="420" w:firstLineChars="200"/>
    </w:pPr>
    <w:rPr>
      <w:rFonts w:ascii="Calibri" w:hAnsi="Calibri"/>
      <w:szCs w:val="22"/>
    </w:rPr>
  </w:style>
  <w:style w:type="character" w:customStyle="1" w:styleId="340">
    <w:name w:val="font111"/>
    <w:basedOn w:val="48"/>
    <w:autoRedefine/>
    <w:qFormat/>
    <w:uiPriority w:val="0"/>
    <w:rPr>
      <w:rFonts w:hint="eastAsia" w:ascii="宋体" w:hAnsi="宋体" w:eastAsia="宋体" w:cs="宋体"/>
      <w:color w:val="000000"/>
      <w:sz w:val="20"/>
      <w:szCs w:val="20"/>
      <w:u w:val="none"/>
    </w:rPr>
  </w:style>
  <w:style w:type="character" w:customStyle="1" w:styleId="341">
    <w:name w:val="font122"/>
    <w:basedOn w:val="48"/>
    <w:autoRedefine/>
    <w:qFormat/>
    <w:uiPriority w:val="0"/>
    <w:rPr>
      <w:rFonts w:ascii="Arial" w:hAnsi="Arial" w:cs="Arial"/>
      <w:color w:val="000000"/>
      <w:sz w:val="20"/>
      <w:szCs w:val="20"/>
      <w:u w:val="none"/>
    </w:rPr>
  </w:style>
  <w:style w:type="character" w:customStyle="1" w:styleId="342">
    <w:name w:val="font01"/>
    <w:basedOn w:val="48"/>
    <w:autoRedefine/>
    <w:qFormat/>
    <w:uiPriority w:val="0"/>
    <w:rPr>
      <w:rFonts w:hint="eastAsia" w:ascii="宋体" w:hAnsi="宋体" w:eastAsia="宋体" w:cs="宋体"/>
      <w:b/>
      <w:color w:val="000000"/>
      <w:sz w:val="24"/>
      <w:szCs w:val="24"/>
      <w:u w:val="none"/>
    </w:rPr>
  </w:style>
  <w:style w:type="character" w:customStyle="1" w:styleId="343">
    <w:name w:val="font151"/>
    <w:basedOn w:val="48"/>
    <w:autoRedefine/>
    <w:qFormat/>
    <w:uiPriority w:val="0"/>
    <w:rPr>
      <w:rFonts w:hint="eastAsia" w:ascii="宋体" w:hAnsi="宋体" w:eastAsia="宋体" w:cs="宋体"/>
      <w:color w:val="000000"/>
      <w:sz w:val="22"/>
      <w:szCs w:val="22"/>
      <w:u w:val="none"/>
      <w:vertAlign w:val="superscript"/>
    </w:rPr>
  </w:style>
  <w:style w:type="character" w:customStyle="1" w:styleId="344">
    <w:name w:val="font171"/>
    <w:basedOn w:val="48"/>
    <w:autoRedefine/>
    <w:qFormat/>
    <w:uiPriority w:val="0"/>
    <w:rPr>
      <w:rFonts w:ascii="Arial" w:hAnsi="Arial" w:cs="Arial"/>
      <w:color w:val="000000"/>
      <w:sz w:val="22"/>
      <w:szCs w:val="22"/>
      <w:u w:val="none"/>
    </w:rPr>
  </w:style>
  <w:style w:type="character" w:customStyle="1" w:styleId="345">
    <w:name w:val="font181"/>
    <w:basedOn w:val="48"/>
    <w:autoRedefine/>
    <w:qFormat/>
    <w:uiPriority w:val="0"/>
    <w:rPr>
      <w:rFonts w:hint="eastAsia" w:ascii="宋体" w:hAnsi="宋体" w:eastAsia="宋体" w:cs="宋体"/>
      <w:color w:val="000000"/>
      <w:sz w:val="22"/>
      <w:szCs w:val="22"/>
      <w:u w:val="none"/>
      <w:vertAlign w:val="subscript"/>
    </w:rPr>
  </w:style>
  <w:style w:type="character" w:customStyle="1" w:styleId="346">
    <w:name w:val="font161"/>
    <w:basedOn w:val="48"/>
    <w:autoRedefine/>
    <w:qFormat/>
    <w:uiPriority w:val="0"/>
    <w:rPr>
      <w:rFonts w:ascii="宋体" w:hAnsi="宋体" w:eastAsia="宋体" w:cs="宋体"/>
      <w:color w:val="000000"/>
      <w:sz w:val="22"/>
      <w:szCs w:val="22"/>
      <w:u w:val="none"/>
    </w:rPr>
  </w:style>
  <w:style w:type="character" w:customStyle="1" w:styleId="347">
    <w:name w:val="font191"/>
    <w:basedOn w:val="48"/>
    <w:autoRedefine/>
    <w:qFormat/>
    <w:uiPriority w:val="0"/>
    <w:rPr>
      <w:rFonts w:ascii="微软雅黑" w:hAnsi="微软雅黑" w:eastAsia="微软雅黑" w:cs="微软雅黑"/>
      <w:color w:val="000000"/>
      <w:sz w:val="22"/>
      <w:szCs w:val="22"/>
      <w:u w:val="none"/>
    </w:rPr>
  </w:style>
  <w:style w:type="character" w:customStyle="1" w:styleId="348">
    <w:name w:val="段 Char"/>
    <w:link w:val="55"/>
    <w:autoRedefine/>
    <w:qFormat/>
    <w:uiPriority w:val="0"/>
    <w:rPr>
      <w:rFonts w:ascii="宋体" w:hAnsi="Times New Roman" w:eastAsia="宋体" w:cs="Times New Roman"/>
      <w:sz w:val="21"/>
      <w:lang w:val="en-US" w:eastAsia="zh-CN" w:bidi="ar-SA"/>
    </w:rPr>
  </w:style>
  <w:style w:type="paragraph" w:customStyle="1" w:styleId="349">
    <w:name w:val="Char Char Char"/>
    <w:basedOn w:val="1"/>
    <w:autoRedefine/>
    <w:qFormat/>
    <w:uiPriority w:val="99"/>
    <w:rPr>
      <w:rFonts w:ascii="Tahoma" w:hAnsi="Tahoma" w:cs="Tahoma"/>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28018</Words>
  <Characters>29441</Characters>
  <Lines>38</Lines>
  <Paragraphs>50</Paragraphs>
  <TotalTime>10</TotalTime>
  <ScaleCrop>false</ScaleCrop>
  <LinksUpToDate>false</LinksUpToDate>
  <CharactersWithSpaces>30755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2021-11-10T01:49:00Z</dcterms:created>
  <dc:creator>dududu</dc:creator>
  <cp:lastModifiedBy>安静不安分</cp:lastModifiedBy>
  <cp:lastPrinted>2021-09-13T09:40:00Z</cp:lastPrinted>
  <dcterms:modified xsi:type="dcterms:W3CDTF">2024-04-12T09:18:09Z</dcterms:modified>
  <dc:title>寿昌横钢纪念馆布展采购项目</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1FCF4E33E82C44FFBB54D6C1185FD865_13</vt:lpwstr>
  </property>
</Properties>
</file>