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55C515">
      <w:pPr>
        <w:jc w:val="center"/>
        <w:rPr>
          <w:b/>
          <w:bCs/>
          <w:sz w:val="28"/>
          <w:szCs w:val="28"/>
        </w:rPr>
      </w:pPr>
      <w:r>
        <w:rPr>
          <w:rFonts w:hint="eastAsia"/>
          <w:b/>
          <w:bCs/>
          <w:sz w:val="28"/>
          <w:szCs w:val="28"/>
        </w:rPr>
        <w:t>更正内容</w:t>
      </w:r>
    </w:p>
    <w:p w14:paraId="6DA84E7E">
      <w:pPr>
        <w:pStyle w:val="2"/>
        <w:ind w:left="0" w:leftChars="0" w:firstLine="0" w:firstLineChars="0"/>
      </w:pPr>
    </w:p>
    <w:p w14:paraId="26831F0E">
      <w:pPr>
        <w:ind w:right="-341"/>
        <w:jc w:val="left"/>
        <w:rPr>
          <w:rFonts w:hint="eastAsia" w:ascii="宋体" w:hAnsi="宋体"/>
          <w:szCs w:val="21"/>
        </w:rPr>
      </w:pPr>
      <w:r>
        <w:rPr>
          <w:rFonts w:hint="eastAsia" w:ascii="宋体" w:hAnsi="宋体"/>
          <w:szCs w:val="21"/>
        </w:rPr>
        <w:t>项目名称：</w:t>
      </w:r>
      <w:r>
        <w:rPr>
          <w:rFonts w:hint="eastAsia" w:ascii="宋体" w:hAnsi="宋体"/>
          <w:szCs w:val="21"/>
          <w:lang w:val="zh-CN"/>
        </w:rPr>
        <w:t>嵊泗县嵊泗渔港泊稳升级改造工程招标代理机构选取项目</w:t>
      </w:r>
    </w:p>
    <w:p w14:paraId="65395DC1">
      <w:pPr>
        <w:spacing w:line="360" w:lineRule="auto"/>
        <w:ind w:right="-341"/>
        <w:jc w:val="left"/>
        <w:rPr>
          <w:rFonts w:hint="eastAsia" w:ascii="宋体" w:hAnsi="宋体"/>
          <w:b/>
          <w:szCs w:val="21"/>
        </w:rPr>
      </w:pPr>
      <w:r>
        <w:rPr>
          <w:rFonts w:hint="eastAsia" w:ascii="宋体" w:hAnsi="宋体"/>
          <w:szCs w:val="21"/>
        </w:rPr>
        <w:t>项目编号：SZGXZS2024217</w:t>
      </w:r>
      <w:bookmarkStart w:id="0" w:name="_GoBack"/>
      <w:bookmarkEnd w:id="0"/>
    </w:p>
    <w:p w14:paraId="296F0F6E">
      <w:pPr>
        <w:pStyle w:val="2"/>
        <w:ind w:left="0" w:leftChars="0" w:firstLine="0" w:firstLineChars="0"/>
        <w:rPr>
          <w:szCs w:val="21"/>
        </w:rPr>
      </w:pPr>
    </w:p>
    <w:p w14:paraId="695174AA">
      <w:pPr>
        <w:pStyle w:val="2"/>
        <w:ind w:left="0" w:leftChars="0" w:firstLine="0" w:firstLineChars="0"/>
        <w:rPr>
          <w:szCs w:val="21"/>
        </w:rPr>
      </w:pPr>
      <w:r>
        <w:rPr>
          <w:rFonts w:hint="eastAsia"/>
          <w:szCs w:val="21"/>
        </w:rPr>
        <w:t>更正内容：</w:t>
      </w:r>
    </w:p>
    <w:p w14:paraId="46FDBCAA">
      <w:pPr>
        <w:pStyle w:val="2"/>
        <w:ind w:left="0" w:leftChars="0"/>
        <w:rPr>
          <w:szCs w:val="21"/>
        </w:rPr>
      </w:pPr>
      <w:r>
        <w:rPr>
          <w:rFonts w:hint="eastAsia" w:ascii="宋体" w:hAnsi="宋体"/>
          <w:szCs w:val="21"/>
        </w:rPr>
        <w:t>1.招标文件第7页：“采购人”系指舟山市新城公用事业管理中心。</w:t>
      </w:r>
    </w:p>
    <w:p w14:paraId="0212A8ED">
      <w:pPr>
        <w:pStyle w:val="2"/>
        <w:ind w:left="0" w:leftChars="0" w:firstLine="422"/>
        <w:rPr>
          <w:rFonts w:hint="eastAsia" w:ascii="宋体" w:hAnsi="宋体"/>
          <w:szCs w:val="21"/>
        </w:rPr>
      </w:pPr>
      <w:r>
        <w:rPr>
          <w:rFonts w:hint="eastAsia" w:ascii="宋体" w:hAnsi="宋体"/>
          <w:b/>
          <w:bCs/>
          <w:szCs w:val="21"/>
        </w:rPr>
        <w:t>更正为：</w:t>
      </w:r>
      <w:r>
        <w:rPr>
          <w:rFonts w:hint="eastAsia" w:ascii="宋体" w:hAnsi="宋体"/>
          <w:szCs w:val="21"/>
        </w:rPr>
        <w:t>“采购人”系指</w:t>
      </w:r>
      <w:r>
        <w:rPr>
          <w:rFonts w:hint="eastAsia" w:ascii="宋体" w:hAnsi="宋体"/>
          <w:color w:val="FF0000"/>
          <w:szCs w:val="21"/>
        </w:rPr>
        <w:t>嵊泗县港欣建设开发有限公司</w:t>
      </w:r>
      <w:r>
        <w:rPr>
          <w:rFonts w:hint="eastAsia" w:ascii="宋体" w:hAnsi="宋体"/>
          <w:szCs w:val="21"/>
        </w:rPr>
        <w:t xml:space="preserve">。 </w:t>
      </w:r>
    </w:p>
    <w:p w14:paraId="48534DE9">
      <w:pPr>
        <w:pStyle w:val="2"/>
        <w:ind w:left="0" w:leftChars="0" w:firstLine="422"/>
        <w:rPr>
          <w:rFonts w:hint="eastAsia" w:ascii="宋体" w:hAnsi="宋体"/>
          <w:szCs w:val="21"/>
        </w:rPr>
      </w:pPr>
      <w:r>
        <w:rPr>
          <w:rFonts w:hint="eastAsia" w:ascii="宋体" w:hAnsi="宋体"/>
          <w:b/>
          <w:bCs/>
          <w:szCs w:val="21"/>
        </w:rPr>
        <w:t>2.</w:t>
      </w:r>
      <w:r>
        <w:rPr>
          <w:rFonts w:hint="eastAsia" w:ascii="宋体" w:hAnsi="宋体"/>
          <w:b/>
          <w:szCs w:val="21"/>
        </w:rPr>
        <w:t xml:space="preserve"> 嵊泗县嵊泗渔港泊稳升级改造工程招标代理机构选取项目评分表</w:t>
      </w:r>
    </w:p>
    <w:tbl>
      <w:tblPr>
        <w:tblStyle w:val="22"/>
        <w:tblW w:w="925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7"/>
        <w:gridCol w:w="1110"/>
        <w:gridCol w:w="810"/>
        <w:gridCol w:w="6225"/>
      </w:tblGrid>
      <w:tr w14:paraId="77E02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07" w:type="dxa"/>
            <w:shd w:val="clear" w:color="auto" w:fill="auto"/>
          </w:tcPr>
          <w:p w14:paraId="72E9C753">
            <w:pPr>
              <w:widowControl/>
              <w:jc w:val="center"/>
              <w:textAlignment w:val="top"/>
              <w:rPr>
                <w:rFonts w:hint="eastAsia" w:ascii="宋体" w:hAnsi="宋体" w:cs="宋体"/>
                <w:color w:val="000000"/>
                <w:szCs w:val="21"/>
              </w:rPr>
            </w:pPr>
            <w:r>
              <w:rPr>
                <w:rFonts w:hint="eastAsia" w:ascii="宋体" w:hAnsi="宋体" w:cs="宋体"/>
                <w:color w:val="000000"/>
                <w:kern w:val="0"/>
                <w:szCs w:val="21"/>
              </w:rPr>
              <w:t>评审项目</w:t>
            </w:r>
          </w:p>
        </w:tc>
        <w:tc>
          <w:tcPr>
            <w:tcW w:w="1110" w:type="dxa"/>
            <w:shd w:val="clear" w:color="auto" w:fill="auto"/>
          </w:tcPr>
          <w:p w14:paraId="7CBB5CAD">
            <w:pPr>
              <w:widowControl/>
              <w:jc w:val="center"/>
              <w:textAlignment w:val="top"/>
              <w:rPr>
                <w:rFonts w:hint="eastAsia" w:ascii="宋体" w:hAnsi="宋体" w:cs="宋体"/>
                <w:color w:val="000000"/>
                <w:szCs w:val="21"/>
              </w:rPr>
            </w:pPr>
            <w:r>
              <w:rPr>
                <w:rFonts w:hint="eastAsia" w:ascii="宋体" w:hAnsi="宋体" w:cs="宋体"/>
                <w:color w:val="000000"/>
                <w:kern w:val="0"/>
                <w:szCs w:val="21"/>
              </w:rPr>
              <w:t>评审内容</w:t>
            </w:r>
          </w:p>
        </w:tc>
        <w:tc>
          <w:tcPr>
            <w:tcW w:w="810" w:type="dxa"/>
            <w:shd w:val="clear" w:color="auto" w:fill="auto"/>
          </w:tcPr>
          <w:p w14:paraId="1CE109A9">
            <w:pPr>
              <w:widowControl/>
              <w:jc w:val="center"/>
              <w:textAlignment w:val="top"/>
              <w:rPr>
                <w:rFonts w:hint="eastAsia" w:ascii="宋体" w:hAnsi="宋体" w:cs="宋体"/>
                <w:color w:val="000000"/>
                <w:kern w:val="0"/>
                <w:szCs w:val="21"/>
              </w:rPr>
            </w:pPr>
            <w:r>
              <w:rPr>
                <w:rFonts w:hint="eastAsia" w:ascii="宋体" w:hAnsi="宋体" w:cs="宋体"/>
                <w:color w:val="000000"/>
                <w:kern w:val="0"/>
                <w:szCs w:val="21"/>
              </w:rPr>
              <w:t>分值</w:t>
            </w:r>
          </w:p>
        </w:tc>
        <w:tc>
          <w:tcPr>
            <w:tcW w:w="6225" w:type="dxa"/>
            <w:shd w:val="clear" w:color="auto" w:fill="auto"/>
          </w:tcPr>
          <w:p w14:paraId="28E24975">
            <w:pPr>
              <w:widowControl/>
              <w:jc w:val="center"/>
              <w:textAlignment w:val="top"/>
              <w:rPr>
                <w:rFonts w:hint="eastAsia" w:ascii="宋体" w:hAnsi="宋体" w:cs="宋体"/>
                <w:color w:val="000000"/>
                <w:szCs w:val="21"/>
              </w:rPr>
            </w:pPr>
            <w:r>
              <w:rPr>
                <w:rFonts w:hint="eastAsia" w:ascii="宋体" w:hAnsi="宋体" w:cs="宋体"/>
                <w:color w:val="000000"/>
                <w:kern w:val="0"/>
                <w:szCs w:val="21"/>
              </w:rPr>
              <w:t>评分标准</w:t>
            </w:r>
          </w:p>
        </w:tc>
      </w:tr>
      <w:tr w14:paraId="47789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trPr>
        <w:tc>
          <w:tcPr>
            <w:tcW w:w="1107" w:type="dxa"/>
            <w:vMerge w:val="restart"/>
            <w:shd w:val="clear" w:color="auto" w:fill="auto"/>
            <w:vAlign w:val="center"/>
          </w:tcPr>
          <w:p w14:paraId="0921F600">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rPr>
              <w:t>商务技术得分</w:t>
            </w:r>
          </w:p>
          <w:p w14:paraId="0A6F59E8">
            <w:pPr>
              <w:widowControl/>
              <w:jc w:val="center"/>
              <w:textAlignment w:val="center"/>
              <w:rPr>
                <w:rFonts w:hint="eastAsia" w:ascii="宋体" w:hAnsi="宋体" w:cs="宋体"/>
                <w:color w:val="000000"/>
                <w:szCs w:val="21"/>
              </w:rPr>
            </w:pPr>
            <w:r>
              <w:rPr>
                <w:rFonts w:hint="eastAsia" w:ascii="宋体" w:hAnsi="宋体" w:cs="宋体"/>
                <w:color w:val="000000"/>
                <w:kern w:val="0"/>
                <w:szCs w:val="21"/>
              </w:rPr>
              <w:t>（60分）</w:t>
            </w:r>
          </w:p>
        </w:tc>
        <w:tc>
          <w:tcPr>
            <w:tcW w:w="1110" w:type="dxa"/>
            <w:vMerge w:val="restart"/>
            <w:shd w:val="clear" w:color="auto" w:fill="auto"/>
            <w:vAlign w:val="center"/>
          </w:tcPr>
          <w:p w14:paraId="1153ED17">
            <w:pPr>
              <w:widowControl/>
              <w:jc w:val="center"/>
              <w:textAlignment w:val="center"/>
              <w:rPr>
                <w:rFonts w:hint="eastAsia" w:hAnsi="宋体"/>
                <w:color w:val="000000"/>
                <w:szCs w:val="21"/>
              </w:rPr>
            </w:pPr>
            <w:r>
              <w:rPr>
                <w:rFonts w:hint="eastAsia" w:hAnsi="宋体"/>
                <w:color w:val="000000"/>
                <w:szCs w:val="21"/>
              </w:rPr>
              <w:t>企业类似经验</w:t>
            </w:r>
          </w:p>
          <w:p w14:paraId="74E777B6">
            <w:pPr>
              <w:widowControl/>
              <w:jc w:val="center"/>
              <w:textAlignment w:val="center"/>
              <w:rPr>
                <w:rFonts w:hint="eastAsia" w:ascii="宋体" w:hAnsi="宋体" w:cs="宋体"/>
                <w:color w:val="000000"/>
                <w:szCs w:val="21"/>
              </w:rPr>
            </w:pPr>
            <w:r>
              <w:rPr>
                <w:rFonts w:hint="eastAsia" w:ascii="宋体" w:hAnsi="宋体" w:cs="宋体"/>
                <w:color w:val="000000"/>
                <w:szCs w:val="21"/>
              </w:rPr>
              <w:t>（28分）</w:t>
            </w:r>
          </w:p>
        </w:tc>
        <w:tc>
          <w:tcPr>
            <w:tcW w:w="810" w:type="dxa"/>
            <w:shd w:val="clear" w:color="auto" w:fill="FFFFFF"/>
            <w:vAlign w:val="center"/>
          </w:tcPr>
          <w:p w14:paraId="5312E01F">
            <w:pPr>
              <w:jc w:val="center"/>
              <w:rPr>
                <w:rFonts w:hint="eastAsia" w:ascii="宋体" w:hAnsi="宋体" w:cs="宋体"/>
                <w:color w:val="000000"/>
                <w:szCs w:val="21"/>
              </w:rPr>
            </w:pPr>
            <w:r>
              <w:rPr>
                <w:rFonts w:hint="eastAsia" w:ascii="宋体" w:hAnsi="宋体" w:cs="宋体"/>
                <w:color w:val="000000"/>
                <w:szCs w:val="21"/>
              </w:rPr>
              <w:t>20</w:t>
            </w:r>
          </w:p>
        </w:tc>
        <w:tc>
          <w:tcPr>
            <w:tcW w:w="6225" w:type="dxa"/>
            <w:shd w:val="clear" w:color="auto" w:fill="FFFFFF"/>
            <w:vAlign w:val="center"/>
          </w:tcPr>
          <w:p w14:paraId="31146D6B">
            <w:pPr>
              <w:snapToGrid w:val="0"/>
              <w:spacing w:line="320" w:lineRule="exact"/>
              <w:ind w:right="42" w:rightChars="20"/>
              <w:rPr>
                <w:rFonts w:hint="eastAsia" w:ascii="宋体" w:hAnsi="宋体"/>
                <w:color w:val="000000"/>
                <w:szCs w:val="21"/>
              </w:rPr>
            </w:pPr>
            <w:r>
              <w:rPr>
                <w:rFonts w:hint="eastAsia" w:ascii="宋体" w:hAnsi="宋体"/>
                <w:color w:val="000000"/>
                <w:szCs w:val="21"/>
              </w:rPr>
              <w:t>1.2021年1月1日至投标截止时间止投标人完成过相关水运工程招标代理的，完成1个项目的不得分，每增加1个得5分，最高得10分。须提供项目所在地招投标行政主管部门的招标文件备案表和中标通知书备案表缺一不可，（不含限额以下项目及非必招项目），复印件加盖公章，不提供或提供不全的不得分。按中标备案表中的日期为准。</w:t>
            </w:r>
          </w:p>
          <w:p w14:paraId="056977C8">
            <w:pPr>
              <w:snapToGrid w:val="0"/>
              <w:spacing w:line="320" w:lineRule="exact"/>
              <w:ind w:right="42" w:rightChars="20"/>
              <w:rPr>
                <w:rFonts w:ascii="宋体" w:hAnsi="Courier New"/>
                <w:color w:val="000000"/>
                <w:kern w:val="0"/>
                <w:sz w:val="24"/>
                <w:szCs w:val="20"/>
              </w:rPr>
            </w:pPr>
            <w:r>
              <w:rPr>
                <w:rFonts w:hint="eastAsia" w:ascii="宋体" w:hAnsi="宋体"/>
                <w:color w:val="000000"/>
                <w:szCs w:val="21"/>
              </w:rPr>
              <w:t>2.投标人完成以上工程招标代理项目的控制价编制的，1个不得分，每增加1个得5分，最高得10分（不含限额以下项目及非必招项目）。须提供控制价编制咨询合同和编制报告。复印件加盖公章。</w:t>
            </w:r>
          </w:p>
        </w:tc>
      </w:tr>
      <w:tr w14:paraId="4BD56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trPr>
        <w:tc>
          <w:tcPr>
            <w:tcW w:w="1107" w:type="dxa"/>
            <w:vMerge w:val="continue"/>
            <w:shd w:val="clear" w:color="auto" w:fill="auto"/>
            <w:vAlign w:val="center"/>
          </w:tcPr>
          <w:p w14:paraId="28FFBCD9">
            <w:pPr>
              <w:widowControl/>
              <w:jc w:val="center"/>
              <w:textAlignment w:val="center"/>
              <w:rPr>
                <w:rFonts w:hint="eastAsia" w:ascii="宋体" w:hAnsi="宋体" w:cs="宋体"/>
                <w:color w:val="000000"/>
                <w:kern w:val="0"/>
                <w:szCs w:val="21"/>
              </w:rPr>
            </w:pPr>
          </w:p>
        </w:tc>
        <w:tc>
          <w:tcPr>
            <w:tcW w:w="1110" w:type="dxa"/>
            <w:vMerge w:val="continue"/>
            <w:shd w:val="clear" w:color="auto" w:fill="auto"/>
            <w:vAlign w:val="center"/>
          </w:tcPr>
          <w:p w14:paraId="500498A9">
            <w:pPr>
              <w:widowControl/>
              <w:jc w:val="center"/>
              <w:textAlignment w:val="center"/>
              <w:rPr>
                <w:rFonts w:hint="eastAsia" w:hAnsi="宋体"/>
                <w:color w:val="000000"/>
                <w:szCs w:val="21"/>
              </w:rPr>
            </w:pPr>
          </w:p>
        </w:tc>
        <w:tc>
          <w:tcPr>
            <w:tcW w:w="810" w:type="dxa"/>
            <w:shd w:val="clear" w:color="auto" w:fill="FFFFFF"/>
            <w:vAlign w:val="center"/>
          </w:tcPr>
          <w:p w14:paraId="06FE9A6A">
            <w:pPr>
              <w:jc w:val="center"/>
              <w:rPr>
                <w:rFonts w:hint="eastAsia" w:ascii="宋体" w:hAnsi="宋体" w:cs="宋体"/>
                <w:color w:val="000000"/>
                <w:szCs w:val="21"/>
              </w:rPr>
            </w:pPr>
            <w:r>
              <w:rPr>
                <w:rFonts w:hint="eastAsia" w:ascii="宋体" w:hAnsi="宋体"/>
                <w:color w:val="000000"/>
              </w:rPr>
              <w:t>8</w:t>
            </w:r>
          </w:p>
        </w:tc>
        <w:tc>
          <w:tcPr>
            <w:tcW w:w="6225" w:type="dxa"/>
            <w:shd w:val="clear" w:color="auto" w:fill="FFFFFF"/>
            <w:vAlign w:val="center"/>
          </w:tcPr>
          <w:p w14:paraId="33D9BBAC">
            <w:pPr>
              <w:snapToGrid w:val="0"/>
              <w:spacing w:line="320" w:lineRule="exact"/>
              <w:ind w:left="42" w:leftChars="20" w:right="42" w:rightChars="20"/>
              <w:rPr>
                <w:rFonts w:hint="eastAsia" w:ascii="宋体" w:hAnsi="宋体"/>
                <w:color w:val="000000"/>
                <w:kern w:val="0"/>
                <w:szCs w:val="21"/>
                <w:shd w:val="clear" w:color="auto" w:fill="FFFFFF"/>
              </w:rPr>
            </w:pPr>
            <w:r>
              <w:rPr>
                <w:rFonts w:hint="eastAsia" w:ascii="宋体" w:hAnsi="宋体"/>
                <w:color w:val="000000"/>
                <w:kern w:val="0"/>
                <w:szCs w:val="21"/>
              </w:rPr>
              <w:t>2021年1月1日至投标截止时间止投标人</w:t>
            </w:r>
            <w:r>
              <w:rPr>
                <w:rFonts w:hint="eastAsia" w:ascii="宋体" w:hAnsi="宋体"/>
                <w:color w:val="000000"/>
                <w:kern w:val="0"/>
                <w:szCs w:val="21"/>
                <w:shd w:val="clear" w:color="auto" w:fill="FFFFFF"/>
              </w:rPr>
              <w:t>承接过</w:t>
            </w:r>
            <w:r>
              <w:rPr>
                <w:rFonts w:hint="eastAsia" w:ascii="宋体" w:hAnsi="宋体"/>
                <w:b/>
                <w:color w:val="000000"/>
                <w:szCs w:val="21"/>
              </w:rPr>
              <w:t>工程招标控制价或结算审核的，</w:t>
            </w:r>
            <w:r>
              <w:rPr>
                <w:rFonts w:hint="eastAsia" w:ascii="宋体" w:hAnsi="宋体"/>
                <w:color w:val="000000"/>
                <w:kern w:val="0"/>
                <w:szCs w:val="21"/>
                <w:shd w:val="clear" w:color="auto" w:fill="FFFFFF"/>
              </w:rPr>
              <w:t>每个得2分，最高得8分。</w:t>
            </w:r>
          </w:p>
          <w:p w14:paraId="127EB874">
            <w:pPr>
              <w:snapToGrid w:val="0"/>
              <w:spacing w:line="320" w:lineRule="exact"/>
              <w:ind w:left="42" w:leftChars="20" w:right="42" w:rightChars="20"/>
              <w:rPr>
                <w:rFonts w:hint="eastAsia" w:ascii="宋体" w:hAnsi="宋体"/>
                <w:color w:val="000000"/>
                <w:kern w:val="0"/>
                <w:szCs w:val="21"/>
              </w:rPr>
            </w:pPr>
            <w:r>
              <w:rPr>
                <w:rFonts w:hint="eastAsia" w:ascii="宋体" w:hAnsi="宋体"/>
                <w:b/>
                <w:bCs/>
                <w:color w:val="000000"/>
                <w:kern w:val="0"/>
                <w:szCs w:val="21"/>
              </w:rPr>
              <w:t>（</w:t>
            </w:r>
            <w:r>
              <w:rPr>
                <w:rFonts w:hint="eastAsia" w:ascii="宋体" w:hAnsi="宋体"/>
                <w:b/>
                <w:bCs/>
                <w:color w:val="000000"/>
                <w:kern w:val="0"/>
                <w:szCs w:val="21"/>
                <w:shd w:val="clear" w:color="auto" w:fill="FFFFFF"/>
              </w:rPr>
              <w:t>提供造价咨询合同和审定单复印件加盖公章或框架协议和管理平台截屏（财政委托项目），同一工程中的单项工程不重复计分。）</w:t>
            </w:r>
          </w:p>
        </w:tc>
      </w:tr>
      <w:tr w14:paraId="534B9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8" w:hRule="atLeast"/>
        </w:trPr>
        <w:tc>
          <w:tcPr>
            <w:tcW w:w="1107" w:type="dxa"/>
            <w:vMerge w:val="continue"/>
            <w:shd w:val="clear" w:color="auto" w:fill="auto"/>
            <w:vAlign w:val="center"/>
          </w:tcPr>
          <w:p w14:paraId="49E48DA8">
            <w:pPr>
              <w:jc w:val="center"/>
              <w:rPr>
                <w:rFonts w:hint="eastAsia" w:ascii="宋体" w:hAnsi="宋体" w:cs="宋体"/>
                <w:color w:val="000000"/>
                <w:szCs w:val="21"/>
              </w:rPr>
            </w:pPr>
          </w:p>
        </w:tc>
        <w:tc>
          <w:tcPr>
            <w:tcW w:w="1110" w:type="dxa"/>
            <w:shd w:val="clear" w:color="auto" w:fill="auto"/>
            <w:vAlign w:val="center"/>
          </w:tcPr>
          <w:p w14:paraId="3168C94B">
            <w:pPr>
              <w:adjustRightInd w:val="0"/>
              <w:jc w:val="center"/>
              <w:rPr>
                <w:rFonts w:hint="eastAsia" w:hAnsi="宋体" w:cs="宋体"/>
                <w:color w:val="000000"/>
                <w:spacing w:val="4"/>
                <w:szCs w:val="21"/>
              </w:rPr>
            </w:pPr>
            <w:r>
              <w:rPr>
                <w:rFonts w:hint="eastAsia" w:hAnsi="宋体" w:cs="宋体"/>
                <w:color w:val="000000"/>
                <w:spacing w:val="4"/>
                <w:szCs w:val="21"/>
              </w:rPr>
              <w:t>项目班子配备</w:t>
            </w:r>
          </w:p>
          <w:p w14:paraId="0DF9A78A">
            <w:pPr>
              <w:adjustRightInd w:val="0"/>
              <w:jc w:val="center"/>
              <w:rPr>
                <w:rFonts w:hint="eastAsia" w:ascii="宋体" w:hAnsi="宋体" w:cs="宋体"/>
                <w:color w:val="000000"/>
                <w:szCs w:val="21"/>
              </w:rPr>
            </w:pPr>
            <w:r>
              <w:rPr>
                <w:rFonts w:hint="eastAsia" w:hAnsi="宋体" w:cs="宋体"/>
                <w:color w:val="000000"/>
                <w:spacing w:val="4"/>
                <w:szCs w:val="21"/>
              </w:rPr>
              <w:t>（8分）</w:t>
            </w:r>
          </w:p>
        </w:tc>
        <w:tc>
          <w:tcPr>
            <w:tcW w:w="810" w:type="dxa"/>
            <w:shd w:val="clear" w:color="auto" w:fill="FFFFFF"/>
            <w:vAlign w:val="center"/>
          </w:tcPr>
          <w:p w14:paraId="1DEC7BB4">
            <w:pPr>
              <w:adjustRightInd w:val="0"/>
              <w:jc w:val="center"/>
              <w:rPr>
                <w:rFonts w:hint="eastAsia" w:ascii="宋体" w:hAnsi="宋体" w:cs="宋体"/>
                <w:color w:val="000000"/>
                <w:szCs w:val="21"/>
              </w:rPr>
            </w:pPr>
            <w:r>
              <w:rPr>
                <w:rFonts w:hint="eastAsia" w:ascii="宋体" w:hAnsi="宋体" w:cs="宋体"/>
                <w:color w:val="000000"/>
                <w:szCs w:val="21"/>
              </w:rPr>
              <w:t>8</w:t>
            </w:r>
          </w:p>
        </w:tc>
        <w:tc>
          <w:tcPr>
            <w:tcW w:w="6225" w:type="dxa"/>
            <w:shd w:val="clear" w:color="auto" w:fill="FFFFFF"/>
            <w:vAlign w:val="center"/>
          </w:tcPr>
          <w:p w14:paraId="4DDA25F3">
            <w:pPr>
              <w:snapToGrid w:val="0"/>
              <w:spacing w:line="320" w:lineRule="exact"/>
              <w:ind w:right="42" w:rightChars="20"/>
              <w:rPr>
                <w:rFonts w:hint="eastAsia" w:ascii="宋体" w:hAnsi="宋体"/>
                <w:color w:val="000000"/>
                <w:szCs w:val="21"/>
              </w:rPr>
            </w:pPr>
            <w:r>
              <w:rPr>
                <w:rFonts w:hint="eastAsia" w:ascii="宋体" w:hAnsi="宋体"/>
                <w:color w:val="000000"/>
                <w:szCs w:val="21"/>
              </w:rPr>
              <w:t>项目班子配备（8分）</w:t>
            </w:r>
          </w:p>
          <w:p w14:paraId="71C56DFC">
            <w:pPr>
              <w:snapToGrid w:val="0"/>
              <w:spacing w:line="320" w:lineRule="exact"/>
              <w:ind w:right="42" w:rightChars="20"/>
              <w:rPr>
                <w:rFonts w:hint="eastAsia" w:ascii="宋体" w:hAnsi="宋体"/>
                <w:color w:val="000000"/>
                <w:szCs w:val="21"/>
              </w:rPr>
            </w:pPr>
            <w:r>
              <w:rPr>
                <w:rFonts w:hint="eastAsia" w:ascii="宋体" w:hAnsi="宋体"/>
                <w:color w:val="000000"/>
                <w:szCs w:val="21"/>
              </w:rPr>
              <w:t>1.专职招标代理人员2名，具有高级职称得2分，最高得4分。</w:t>
            </w:r>
          </w:p>
          <w:p w14:paraId="47D8BE68">
            <w:pPr>
              <w:snapToGrid w:val="0"/>
              <w:spacing w:line="320" w:lineRule="exact"/>
              <w:ind w:right="42" w:rightChars="20"/>
              <w:rPr>
                <w:rFonts w:hint="eastAsia" w:ascii="宋体" w:hAnsi="宋体"/>
                <w:color w:val="000000"/>
                <w:szCs w:val="21"/>
              </w:rPr>
            </w:pPr>
            <w:r>
              <w:rPr>
                <w:rFonts w:hint="eastAsia" w:ascii="宋体" w:hAnsi="宋体"/>
                <w:color w:val="000000"/>
                <w:szCs w:val="21"/>
              </w:rPr>
              <w:t>2.工程造价负责人具有（交通运输部颁发）执业证书，专业为交通运输工程（水运工程）的得4分，最高得4分。</w:t>
            </w:r>
          </w:p>
          <w:p w14:paraId="5AF2940E">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注：①所有证书必须真实、合规，在有效期内。</w:t>
            </w:r>
          </w:p>
          <w:p w14:paraId="3E1859AF">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②招标代理人员和工程造价专业人员不得重复。</w:t>
            </w:r>
          </w:p>
          <w:p w14:paraId="53F9D0CF">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③以上配备人员须提供社保证明（须含个人养老保险交纳清单并提供2024年6月、7月、8月连续三个月投标人处缴纳的的社保证明）</w:t>
            </w:r>
          </w:p>
          <w:p w14:paraId="2611145D">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④以上配备人员均需为投标人的实际在岗人员，如为退休人员的，必须为单位出资人（或股东），需提供退休相关证明和工商部门出具的最新的相关出资证明资料。</w:t>
            </w:r>
          </w:p>
          <w:p w14:paraId="74C6D577">
            <w:pPr>
              <w:snapToGrid w:val="0"/>
              <w:spacing w:line="320" w:lineRule="exact"/>
              <w:ind w:right="42" w:rightChars="20"/>
              <w:rPr>
                <w:rFonts w:hint="eastAsia" w:ascii="宋体" w:hAnsi="宋体"/>
                <w:color w:val="000000"/>
                <w:kern w:val="0"/>
                <w:szCs w:val="21"/>
              </w:rPr>
            </w:pPr>
            <w:r>
              <w:rPr>
                <w:rFonts w:hint="eastAsia" w:ascii="宋体" w:hAnsi="宋体"/>
                <w:b/>
                <w:bCs/>
                <w:color w:val="000000"/>
                <w:szCs w:val="21"/>
              </w:rPr>
              <w:t>⑤须提供评审单位为人力资源及保障局的职称证书、社保证明等复印件，不提供或提供不全的不得分。</w:t>
            </w:r>
          </w:p>
        </w:tc>
      </w:tr>
      <w:tr w14:paraId="38FA9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trPr>
        <w:tc>
          <w:tcPr>
            <w:tcW w:w="1107" w:type="dxa"/>
            <w:vMerge w:val="continue"/>
            <w:shd w:val="clear" w:color="auto" w:fill="auto"/>
            <w:vAlign w:val="center"/>
          </w:tcPr>
          <w:p w14:paraId="629BD9F9">
            <w:pPr>
              <w:jc w:val="center"/>
              <w:rPr>
                <w:rFonts w:hint="eastAsia" w:ascii="宋体" w:hAnsi="宋体" w:cs="宋体"/>
                <w:color w:val="000000"/>
                <w:szCs w:val="21"/>
              </w:rPr>
            </w:pPr>
          </w:p>
        </w:tc>
        <w:tc>
          <w:tcPr>
            <w:tcW w:w="1110" w:type="dxa"/>
            <w:shd w:val="clear" w:color="auto" w:fill="auto"/>
            <w:vAlign w:val="center"/>
          </w:tcPr>
          <w:p w14:paraId="47B78324">
            <w:pPr>
              <w:adjustRightInd w:val="0"/>
              <w:jc w:val="center"/>
              <w:rPr>
                <w:rFonts w:hint="eastAsia" w:hAnsi="宋体" w:cs="宋体"/>
                <w:color w:val="000000"/>
                <w:spacing w:val="4"/>
                <w:szCs w:val="21"/>
              </w:rPr>
            </w:pPr>
            <w:r>
              <w:rPr>
                <w:rFonts w:hint="eastAsia" w:hAnsi="宋体" w:cs="宋体"/>
                <w:color w:val="000000"/>
                <w:spacing w:val="4"/>
                <w:szCs w:val="21"/>
              </w:rPr>
              <w:t>管理体系（2分）</w:t>
            </w:r>
          </w:p>
        </w:tc>
        <w:tc>
          <w:tcPr>
            <w:tcW w:w="810" w:type="dxa"/>
            <w:shd w:val="clear" w:color="auto" w:fill="FFFFFF"/>
            <w:vAlign w:val="center"/>
          </w:tcPr>
          <w:p w14:paraId="0B4F4363">
            <w:pPr>
              <w:adjustRightInd w:val="0"/>
              <w:jc w:val="center"/>
              <w:rPr>
                <w:rFonts w:hint="eastAsia" w:ascii="宋体" w:hAnsi="宋体" w:cs="宋体"/>
                <w:color w:val="000000"/>
                <w:szCs w:val="21"/>
              </w:rPr>
            </w:pPr>
            <w:r>
              <w:rPr>
                <w:rFonts w:hint="eastAsia" w:ascii="宋体" w:hAnsi="宋体" w:cs="宋体"/>
                <w:color w:val="000000"/>
                <w:szCs w:val="21"/>
              </w:rPr>
              <w:t>2</w:t>
            </w:r>
          </w:p>
        </w:tc>
        <w:tc>
          <w:tcPr>
            <w:tcW w:w="6225" w:type="dxa"/>
            <w:shd w:val="clear" w:color="auto" w:fill="FFFFFF"/>
            <w:vAlign w:val="center"/>
          </w:tcPr>
          <w:p w14:paraId="2FF64C10">
            <w:pPr>
              <w:snapToGrid w:val="0"/>
              <w:spacing w:line="320" w:lineRule="exact"/>
              <w:ind w:right="42" w:rightChars="20"/>
              <w:rPr>
                <w:rFonts w:hint="eastAsia" w:ascii="宋体" w:hAnsi="宋体"/>
                <w:color w:val="000000"/>
                <w:szCs w:val="21"/>
              </w:rPr>
            </w:pPr>
            <w:r>
              <w:rPr>
                <w:rFonts w:hint="eastAsia" w:ascii="宋体" w:hAnsi="宋体"/>
                <w:color w:val="000000"/>
                <w:szCs w:val="21"/>
              </w:rPr>
              <w:t>投标人具有质量管理体系、职业健康安全管理体系认证的，且认证范围必须包含工程造价咨询且全部在有效期内的，每种证书得1份，最多得2分。</w:t>
            </w:r>
          </w:p>
          <w:p w14:paraId="2C867A6F">
            <w:pPr>
              <w:snapToGrid w:val="0"/>
              <w:spacing w:line="320" w:lineRule="exact"/>
              <w:ind w:right="42" w:rightChars="20"/>
              <w:rPr>
                <w:rFonts w:hint="eastAsia" w:ascii="宋体" w:hAnsi="宋体"/>
                <w:color w:val="000000"/>
                <w:szCs w:val="21"/>
              </w:rPr>
            </w:pPr>
            <w:r>
              <w:rPr>
                <w:rFonts w:hint="eastAsia" w:ascii="宋体" w:hAnsi="宋体"/>
                <w:b/>
                <w:bCs/>
                <w:color w:val="000000"/>
                <w:szCs w:val="21"/>
              </w:rPr>
              <w:t>注：提供有效期内的认证证书扫描件并加盖公章，不提供不得分。</w:t>
            </w:r>
          </w:p>
        </w:tc>
      </w:tr>
      <w:tr w14:paraId="5F73B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trPr>
        <w:tc>
          <w:tcPr>
            <w:tcW w:w="1107" w:type="dxa"/>
            <w:vMerge w:val="continue"/>
            <w:shd w:val="clear" w:color="auto" w:fill="auto"/>
            <w:vAlign w:val="center"/>
          </w:tcPr>
          <w:p w14:paraId="543A3E71">
            <w:pPr>
              <w:jc w:val="center"/>
              <w:rPr>
                <w:rFonts w:hint="eastAsia" w:ascii="宋体" w:hAnsi="宋体" w:cs="宋体"/>
                <w:color w:val="000000"/>
                <w:szCs w:val="21"/>
              </w:rPr>
            </w:pPr>
          </w:p>
        </w:tc>
        <w:tc>
          <w:tcPr>
            <w:tcW w:w="1110" w:type="dxa"/>
            <w:shd w:val="clear" w:color="auto" w:fill="auto"/>
            <w:vAlign w:val="center"/>
          </w:tcPr>
          <w:p w14:paraId="0E3AE7BC">
            <w:pPr>
              <w:adjustRightInd w:val="0"/>
              <w:jc w:val="center"/>
              <w:rPr>
                <w:rFonts w:hint="eastAsia" w:hAnsi="宋体" w:cs="宋体"/>
                <w:color w:val="000000"/>
                <w:spacing w:val="4"/>
                <w:szCs w:val="21"/>
              </w:rPr>
            </w:pPr>
            <w:r>
              <w:rPr>
                <w:rFonts w:hint="eastAsia" w:hAnsi="宋体" w:cs="宋体"/>
                <w:color w:val="000000"/>
                <w:spacing w:val="4"/>
                <w:szCs w:val="21"/>
              </w:rPr>
              <w:t>服务点</w:t>
            </w:r>
          </w:p>
          <w:p w14:paraId="5160B882">
            <w:pPr>
              <w:adjustRightInd w:val="0"/>
              <w:jc w:val="center"/>
              <w:rPr>
                <w:rFonts w:hint="eastAsia" w:hAnsi="宋体" w:cs="宋体"/>
                <w:color w:val="000000"/>
                <w:spacing w:val="4"/>
                <w:szCs w:val="21"/>
              </w:rPr>
            </w:pPr>
            <w:r>
              <w:rPr>
                <w:rFonts w:hint="eastAsia" w:hAnsi="宋体" w:cs="宋体"/>
                <w:color w:val="000000"/>
                <w:spacing w:val="4"/>
                <w:szCs w:val="21"/>
              </w:rPr>
              <w:t>（5分）</w:t>
            </w:r>
          </w:p>
        </w:tc>
        <w:tc>
          <w:tcPr>
            <w:tcW w:w="810" w:type="dxa"/>
            <w:shd w:val="clear" w:color="auto" w:fill="FFFFFF"/>
            <w:vAlign w:val="center"/>
          </w:tcPr>
          <w:p w14:paraId="1A59C10D">
            <w:pPr>
              <w:adjustRightInd w:val="0"/>
              <w:jc w:val="center"/>
              <w:rPr>
                <w:rFonts w:hint="eastAsia" w:ascii="宋体" w:hAnsi="宋体" w:cs="宋体"/>
                <w:color w:val="000000"/>
                <w:szCs w:val="21"/>
              </w:rPr>
            </w:pPr>
            <w:r>
              <w:rPr>
                <w:rFonts w:hint="eastAsia" w:ascii="宋体" w:hAnsi="宋体" w:cs="宋体"/>
                <w:color w:val="000000"/>
                <w:szCs w:val="21"/>
              </w:rPr>
              <w:t>5</w:t>
            </w:r>
          </w:p>
        </w:tc>
        <w:tc>
          <w:tcPr>
            <w:tcW w:w="6225" w:type="dxa"/>
            <w:shd w:val="clear" w:color="auto" w:fill="FFFFFF"/>
            <w:vAlign w:val="center"/>
          </w:tcPr>
          <w:p w14:paraId="6A066C3B">
            <w:pPr>
              <w:snapToGrid w:val="0"/>
              <w:spacing w:line="320" w:lineRule="exact"/>
              <w:ind w:right="42" w:rightChars="20"/>
              <w:rPr>
                <w:rFonts w:hint="eastAsia" w:ascii="宋体" w:hAnsi="宋体"/>
                <w:color w:val="000000"/>
                <w:szCs w:val="21"/>
              </w:rPr>
            </w:pPr>
            <w:r>
              <w:rPr>
                <w:rFonts w:hint="eastAsia" w:ascii="宋体" w:hAnsi="宋体"/>
                <w:color w:val="000000"/>
                <w:szCs w:val="21"/>
              </w:rPr>
              <w:t>在嵊泗县设有服务点的， 得5分。（须承诺或提供相关证明文件。先承诺的，中标公告期限届满之日内（7个工作日内）提供相关证明文件，无法提供作无效标处理，并承担相关责任）。</w:t>
            </w:r>
          </w:p>
        </w:tc>
      </w:tr>
      <w:tr w14:paraId="7984B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2" w:hRule="atLeast"/>
        </w:trPr>
        <w:tc>
          <w:tcPr>
            <w:tcW w:w="1107" w:type="dxa"/>
            <w:vMerge w:val="continue"/>
            <w:shd w:val="clear" w:color="auto" w:fill="auto"/>
            <w:vAlign w:val="center"/>
          </w:tcPr>
          <w:p w14:paraId="11EDA27A">
            <w:pPr>
              <w:jc w:val="center"/>
              <w:rPr>
                <w:rFonts w:hint="eastAsia" w:ascii="宋体" w:hAnsi="宋体" w:cs="宋体"/>
                <w:color w:val="000000"/>
                <w:szCs w:val="21"/>
              </w:rPr>
            </w:pPr>
          </w:p>
        </w:tc>
        <w:tc>
          <w:tcPr>
            <w:tcW w:w="1110" w:type="dxa"/>
            <w:shd w:val="clear" w:color="auto" w:fill="auto"/>
            <w:vAlign w:val="center"/>
          </w:tcPr>
          <w:p w14:paraId="5E37CC02">
            <w:pPr>
              <w:jc w:val="center"/>
              <w:rPr>
                <w:rFonts w:hint="eastAsia" w:hAnsi="宋体" w:cs="宋体"/>
                <w:color w:val="000000"/>
                <w:spacing w:val="4"/>
                <w:szCs w:val="21"/>
              </w:rPr>
            </w:pPr>
            <w:r>
              <w:rPr>
                <w:rFonts w:hint="eastAsia" w:ascii="宋体" w:hAnsi="宋体"/>
                <w:color w:val="000000"/>
              </w:rPr>
              <w:t>技术方案和服务配合（17分）</w:t>
            </w:r>
          </w:p>
        </w:tc>
        <w:tc>
          <w:tcPr>
            <w:tcW w:w="810" w:type="dxa"/>
            <w:shd w:val="clear" w:color="auto" w:fill="FFFFFF"/>
            <w:vAlign w:val="center"/>
          </w:tcPr>
          <w:p w14:paraId="689FFF6F">
            <w:pPr>
              <w:jc w:val="center"/>
              <w:rPr>
                <w:rFonts w:hint="eastAsia" w:ascii="宋体" w:hAnsi="宋体" w:cs="宋体"/>
                <w:color w:val="000000"/>
                <w:szCs w:val="21"/>
              </w:rPr>
            </w:pPr>
            <w:r>
              <w:rPr>
                <w:rFonts w:hint="eastAsia" w:ascii="宋体" w:hAnsi="宋体"/>
                <w:color w:val="000000"/>
              </w:rPr>
              <w:t>17</w:t>
            </w:r>
          </w:p>
        </w:tc>
        <w:tc>
          <w:tcPr>
            <w:tcW w:w="6225" w:type="dxa"/>
            <w:shd w:val="clear" w:color="auto" w:fill="FFFFFF"/>
            <w:vAlign w:val="center"/>
          </w:tcPr>
          <w:p w14:paraId="03EA4811">
            <w:pPr>
              <w:rPr>
                <w:rFonts w:hint="eastAsia" w:ascii="宋体" w:hAnsi="宋体"/>
                <w:color w:val="000000"/>
              </w:rPr>
            </w:pPr>
            <w:r>
              <w:rPr>
                <w:rFonts w:hint="eastAsia" w:ascii="宋体" w:hAnsi="宋体"/>
                <w:color w:val="000000"/>
              </w:rPr>
              <w:t>投标人根据工作流程，制定项目招标代理方案流程。</w:t>
            </w:r>
          </w:p>
          <w:p w14:paraId="7ED1CAB3">
            <w:pPr>
              <w:rPr>
                <w:rFonts w:hint="eastAsia" w:ascii="宋体" w:hAnsi="宋体"/>
                <w:color w:val="000000"/>
              </w:rPr>
            </w:pPr>
            <w:r>
              <w:rPr>
                <w:rFonts w:hint="eastAsia" w:ascii="宋体" w:hAnsi="宋体"/>
                <w:color w:val="000000"/>
              </w:rPr>
              <w:t>1.程序（5分）：投标人明确各步骤和方式；</w:t>
            </w:r>
          </w:p>
          <w:p w14:paraId="33C77580">
            <w:pPr>
              <w:rPr>
                <w:rFonts w:hint="eastAsia" w:ascii="宋体" w:hAnsi="宋体"/>
                <w:color w:val="000000"/>
              </w:rPr>
            </w:pPr>
            <w:r>
              <w:rPr>
                <w:rFonts w:hint="eastAsia" w:ascii="宋体" w:hAnsi="宋体"/>
                <w:color w:val="000000"/>
              </w:rPr>
              <w:t>步骤和方式合理、合规、详细的，得5分；步骤和方式基本合理、合规、详细的，得3分；步骤和方式简单的，得1分；不合理不得分。</w:t>
            </w:r>
          </w:p>
          <w:p w14:paraId="659AB49E">
            <w:pPr>
              <w:rPr>
                <w:rFonts w:hint="eastAsia" w:ascii="宋体" w:hAnsi="宋体"/>
                <w:color w:val="000000"/>
              </w:rPr>
            </w:pPr>
            <w:r>
              <w:rPr>
                <w:rFonts w:hint="eastAsia" w:ascii="宋体" w:hAnsi="宋体"/>
                <w:color w:val="000000"/>
              </w:rPr>
              <w:t>2.时间（4分）：</w:t>
            </w:r>
          </w:p>
          <w:p w14:paraId="16F77745">
            <w:pPr>
              <w:rPr>
                <w:rFonts w:hint="eastAsia" w:ascii="宋体" w:hAnsi="宋体"/>
                <w:color w:val="000000"/>
              </w:rPr>
            </w:pPr>
            <w:r>
              <w:rPr>
                <w:rFonts w:hint="eastAsia" w:ascii="宋体" w:hAnsi="宋体"/>
                <w:color w:val="000000"/>
              </w:rPr>
              <w:t>投标人制订的时间保障措施合理、合规的，得4分；投标人制订的时间保障措施基本合理、合规的，得2分；措施简单的，得1分，不合理不得分。</w:t>
            </w:r>
          </w:p>
          <w:p w14:paraId="445E2101">
            <w:pPr>
              <w:rPr>
                <w:rFonts w:hint="eastAsia" w:ascii="宋体" w:hAnsi="宋体"/>
                <w:color w:val="000000"/>
              </w:rPr>
            </w:pPr>
            <w:r>
              <w:rPr>
                <w:rFonts w:hint="eastAsia" w:ascii="宋体" w:hAnsi="宋体"/>
                <w:color w:val="000000"/>
              </w:rPr>
              <w:t>3.质量保障（4分）：</w:t>
            </w:r>
          </w:p>
          <w:p w14:paraId="406C5E33">
            <w:pPr>
              <w:rPr>
                <w:rFonts w:hint="eastAsia" w:ascii="宋体" w:hAnsi="宋体"/>
                <w:color w:val="000000"/>
              </w:rPr>
            </w:pPr>
            <w:r>
              <w:rPr>
                <w:rFonts w:hint="eastAsia" w:ascii="宋体" w:hAnsi="宋体"/>
                <w:color w:val="000000"/>
              </w:rPr>
              <w:t>投标人制订的质量管理制度建设到位、质量保证措施切实可行，得4分；质量管理制度建设基本到位的，得2分，质量保证措施简单的，得1分；不到位的不得分。</w:t>
            </w:r>
          </w:p>
          <w:p w14:paraId="11C7213F">
            <w:pPr>
              <w:rPr>
                <w:rFonts w:hint="eastAsia" w:ascii="宋体" w:hAnsi="宋体"/>
                <w:color w:val="000000"/>
                <w:szCs w:val="21"/>
              </w:rPr>
            </w:pPr>
            <w:r>
              <w:rPr>
                <w:rFonts w:hint="eastAsia" w:ascii="宋体" w:hAnsi="宋体"/>
                <w:color w:val="000000"/>
                <w:szCs w:val="21"/>
              </w:rPr>
              <w:t>4.其他合理性建议及承诺（4分）：</w:t>
            </w:r>
          </w:p>
          <w:p w14:paraId="783B9F16">
            <w:pPr>
              <w:rPr>
                <w:rFonts w:hint="eastAsia" w:ascii="宋体" w:hAnsi="宋体"/>
                <w:b/>
                <w:color w:val="000000"/>
                <w:szCs w:val="21"/>
              </w:rPr>
            </w:pPr>
            <w:r>
              <w:rPr>
                <w:rFonts w:hint="eastAsia" w:ascii="宋体" w:hAnsi="宋体"/>
                <w:color w:val="000000"/>
                <w:szCs w:val="21"/>
              </w:rPr>
              <w:t>投标人在服务配合方面的其他合理性建议及承诺切实可行、有亮点的，得4分，有建设性意见的，得2分，承诺简单的，得1分；缺少实质性内容或者不合理的不得分。</w:t>
            </w:r>
          </w:p>
        </w:tc>
      </w:tr>
    </w:tbl>
    <w:p w14:paraId="619FD29C">
      <w:pPr>
        <w:pStyle w:val="2"/>
        <w:ind w:left="0" w:leftChars="0" w:firstLine="0" w:firstLineChars="0"/>
        <w:rPr>
          <w:rFonts w:hint="eastAsia" w:ascii="宋体" w:hAnsi="宋体"/>
          <w:b/>
          <w:bCs/>
        </w:rPr>
      </w:pPr>
    </w:p>
    <w:p w14:paraId="6999D98B">
      <w:pPr>
        <w:pStyle w:val="2"/>
        <w:ind w:left="0" w:leftChars="0" w:firstLine="0" w:firstLineChars="0"/>
        <w:rPr>
          <w:rFonts w:hint="eastAsia" w:ascii="宋体" w:hAnsi="宋体"/>
          <w:b/>
          <w:bCs/>
        </w:rPr>
      </w:pPr>
      <w:r>
        <w:rPr>
          <w:rFonts w:hint="eastAsia" w:ascii="宋体" w:hAnsi="宋体"/>
          <w:b/>
          <w:bCs/>
        </w:rPr>
        <w:t>更正为：</w:t>
      </w:r>
    </w:p>
    <w:tbl>
      <w:tblPr>
        <w:tblStyle w:val="22"/>
        <w:tblW w:w="925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7"/>
        <w:gridCol w:w="1110"/>
        <w:gridCol w:w="810"/>
        <w:gridCol w:w="6225"/>
      </w:tblGrid>
      <w:tr w14:paraId="21D4F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07" w:type="dxa"/>
            <w:shd w:val="clear" w:color="auto" w:fill="auto"/>
          </w:tcPr>
          <w:p w14:paraId="01C1AD60">
            <w:pPr>
              <w:widowControl/>
              <w:jc w:val="center"/>
              <w:textAlignment w:val="top"/>
              <w:rPr>
                <w:rFonts w:hint="eastAsia" w:ascii="宋体" w:hAnsi="宋体" w:cs="宋体"/>
                <w:color w:val="000000"/>
                <w:szCs w:val="21"/>
              </w:rPr>
            </w:pPr>
            <w:r>
              <w:rPr>
                <w:rFonts w:hint="eastAsia" w:ascii="宋体" w:hAnsi="宋体" w:cs="宋体"/>
                <w:color w:val="000000"/>
                <w:kern w:val="0"/>
                <w:szCs w:val="21"/>
              </w:rPr>
              <w:t>评审项目</w:t>
            </w:r>
          </w:p>
        </w:tc>
        <w:tc>
          <w:tcPr>
            <w:tcW w:w="1110" w:type="dxa"/>
            <w:shd w:val="clear" w:color="auto" w:fill="auto"/>
          </w:tcPr>
          <w:p w14:paraId="50FDF7D3">
            <w:pPr>
              <w:widowControl/>
              <w:jc w:val="center"/>
              <w:textAlignment w:val="top"/>
              <w:rPr>
                <w:rFonts w:hint="eastAsia" w:ascii="宋体" w:hAnsi="宋体" w:cs="宋体"/>
                <w:color w:val="000000"/>
                <w:szCs w:val="21"/>
              </w:rPr>
            </w:pPr>
            <w:r>
              <w:rPr>
                <w:rFonts w:hint="eastAsia" w:ascii="宋体" w:hAnsi="宋体" w:cs="宋体"/>
                <w:color w:val="000000"/>
                <w:kern w:val="0"/>
                <w:szCs w:val="21"/>
              </w:rPr>
              <w:t>评审内容</w:t>
            </w:r>
          </w:p>
        </w:tc>
        <w:tc>
          <w:tcPr>
            <w:tcW w:w="810" w:type="dxa"/>
            <w:shd w:val="clear" w:color="auto" w:fill="auto"/>
          </w:tcPr>
          <w:p w14:paraId="0908D8A1">
            <w:pPr>
              <w:widowControl/>
              <w:jc w:val="center"/>
              <w:textAlignment w:val="top"/>
              <w:rPr>
                <w:rFonts w:hint="eastAsia" w:ascii="宋体" w:hAnsi="宋体" w:cs="宋体"/>
                <w:color w:val="000000"/>
                <w:kern w:val="0"/>
                <w:szCs w:val="21"/>
              </w:rPr>
            </w:pPr>
            <w:r>
              <w:rPr>
                <w:rFonts w:hint="eastAsia" w:ascii="宋体" w:hAnsi="宋体" w:cs="宋体"/>
                <w:color w:val="000000"/>
                <w:kern w:val="0"/>
                <w:szCs w:val="21"/>
              </w:rPr>
              <w:t>分值</w:t>
            </w:r>
          </w:p>
        </w:tc>
        <w:tc>
          <w:tcPr>
            <w:tcW w:w="6225" w:type="dxa"/>
            <w:shd w:val="clear" w:color="auto" w:fill="auto"/>
          </w:tcPr>
          <w:p w14:paraId="440AE084">
            <w:pPr>
              <w:widowControl/>
              <w:jc w:val="center"/>
              <w:textAlignment w:val="top"/>
              <w:rPr>
                <w:rFonts w:hint="eastAsia" w:ascii="宋体" w:hAnsi="宋体" w:cs="宋体"/>
                <w:color w:val="000000"/>
                <w:szCs w:val="21"/>
              </w:rPr>
            </w:pPr>
            <w:r>
              <w:rPr>
                <w:rFonts w:hint="eastAsia" w:ascii="宋体" w:hAnsi="宋体" w:cs="宋体"/>
                <w:color w:val="000000"/>
                <w:kern w:val="0"/>
                <w:szCs w:val="21"/>
              </w:rPr>
              <w:t>评分标准</w:t>
            </w:r>
          </w:p>
        </w:tc>
      </w:tr>
      <w:tr w14:paraId="0F10D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39" w:hRule="atLeast"/>
        </w:trPr>
        <w:tc>
          <w:tcPr>
            <w:tcW w:w="1107" w:type="dxa"/>
            <w:vMerge w:val="restart"/>
            <w:shd w:val="clear" w:color="auto" w:fill="auto"/>
            <w:vAlign w:val="center"/>
          </w:tcPr>
          <w:p w14:paraId="487200C0">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rPr>
              <w:t>商务技术得分</w:t>
            </w:r>
          </w:p>
          <w:p w14:paraId="4DF14885">
            <w:pPr>
              <w:widowControl/>
              <w:jc w:val="center"/>
              <w:textAlignment w:val="center"/>
              <w:rPr>
                <w:rFonts w:hint="eastAsia" w:ascii="宋体" w:hAnsi="宋体" w:cs="宋体"/>
                <w:color w:val="000000"/>
                <w:szCs w:val="21"/>
              </w:rPr>
            </w:pPr>
            <w:r>
              <w:rPr>
                <w:rFonts w:hint="eastAsia" w:ascii="宋体" w:hAnsi="宋体" w:cs="宋体"/>
                <w:color w:val="000000"/>
                <w:kern w:val="0"/>
                <w:szCs w:val="21"/>
              </w:rPr>
              <w:t>（60分）</w:t>
            </w:r>
          </w:p>
        </w:tc>
        <w:tc>
          <w:tcPr>
            <w:tcW w:w="1110" w:type="dxa"/>
            <w:vMerge w:val="restart"/>
            <w:shd w:val="clear" w:color="auto" w:fill="auto"/>
            <w:vAlign w:val="center"/>
          </w:tcPr>
          <w:p w14:paraId="605A8A40">
            <w:pPr>
              <w:widowControl/>
              <w:jc w:val="center"/>
              <w:textAlignment w:val="center"/>
              <w:rPr>
                <w:rFonts w:hint="eastAsia" w:hAnsi="宋体"/>
                <w:color w:val="000000"/>
                <w:szCs w:val="21"/>
              </w:rPr>
            </w:pPr>
            <w:r>
              <w:rPr>
                <w:rFonts w:hint="eastAsia" w:hAnsi="宋体"/>
                <w:color w:val="000000"/>
                <w:szCs w:val="21"/>
              </w:rPr>
              <w:t>企业类似经验</w:t>
            </w:r>
          </w:p>
          <w:p w14:paraId="74418D11">
            <w:pPr>
              <w:widowControl/>
              <w:jc w:val="center"/>
              <w:textAlignment w:val="center"/>
              <w:rPr>
                <w:rFonts w:hint="eastAsia" w:ascii="宋体" w:hAnsi="宋体" w:cs="宋体"/>
                <w:color w:val="000000"/>
                <w:szCs w:val="21"/>
              </w:rPr>
            </w:pPr>
            <w:r>
              <w:rPr>
                <w:rFonts w:hint="eastAsia" w:ascii="宋体" w:hAnsi="宋体" w:cs="宋体"/>
                <w:color w:val="000000"/>
                <w:szCs w:val="21"/>
              </w:rPr>
              <w:t>（28分）</w:t>
            </w:r>
          </w:p>
        </w:tc>
        <w:tc>
          <w:tcPr>
            <w:tcW w:w="810" w:type="dxa"/>
            <w:shd w:val="clear" w:color="auto" w:fill="FFFFFF"/>
            <w:vAlign w:val="center"/>
          </w:tcPr>
          <w:p w14:paraId="46AF19EB">
            <w:pPr>
              <w:jc w:val="center"/>
              <w:rPr>
                <w:rFonts w:hint="eastAsia" w:ascii="宋体" w:hAnsi="宋体" w:cs="宋体"/>
                <w:color w:val="000000"/>
                <w:szCs w:val="21"/>
              </w:rPr>
            </w:pPr>
            <w:r>
              <w:rPr>
                <w:rFonts w:hint="eastAsia" w:ascii="宋体" w:hAnsi="宋体" w:cs="宋体"/>
                <w:color w:val="000000"/>
                <w:szCs w:val="21"/>
              </w:rPr>
              <w:t>20</w:t>
            </w:r>
          </w:p>
        </w:tc>
        <w:tc>
          <w:tcPr>
            <w:tcW w:w="6225" w:type="dxa"/>
            <w:shd w:val="clear" w:color="auto" w:fill="FFFFFF"/>
            <w:vAlign w:val="center"/>
          </w:tcPr>
          <w:p w14:paraId="0DA48910">
            <w:pPr>
              <w:snapToGrid w:val="0"/>
              <w:spacing w:line="320" w:lineRule="exact"/>
              <w:ind w:right="42" w:rightChars="20"/>
              <w:rPr>
                <w:rFonts w:hint="eastAsia" w:ascii="宋体" w:hAnsi="宋体"/>
                <w:color w:val="000000"/>
                <w:szCs w:val="21"/>
              </w:rPr>
            </w:pPr>
            <w:r>
              <w:rPr>
                <w:rFonts w:hint="eastAsia" w:ascii="宋体" w:hAnsi="宋体"/>
                <w:color w:val="000000"/>
                <w:szCs w:val="21"/>
              </w:rPr>
              <w:t>1.2021年1月1日至投标截止时间止投标人完成过相关水运工程招标代理的，完成1个项目的不得分，每增加1个得5分，最高得10分。</w:t>
            </w:r>
            <w:r>
              <w:rPr>
                <w:rFonts w:hint="eastAsia" w:ascii="宋体" w:hAnsi="宋体"/>
                <w:color w:val="FF0000"/>
                <w:szCs w:val="21"/>
              </w:rPr>
              <w:t>提供项目所在地招投标行政或行业主管部门的招标文件备案表和中标通知书备案表（可用主管部门出具的相关文件材料替代）缺一不可；</w:t>
            </w:r>
            <w:r>
              <w:rPr>
                <w:rFonts w:hint="eastAsia" w:ascii="宋体" w:hAnsi="宋体"/>
                <w:color w:val="000000"/>
                <w:szCs w:val="21"/>
              </w:rPr>
              <w:t>（不含限额以下项目及非必招项目），复印件加盖公章，不提供或提供不全的不得分。按中标备案表中的日期为准。</w:t>
            </w:r>
          </w:p>
          <w:p w14:paraId="3C4B9051">
            <w:pPr>
              <w:snapToGrid w:val="0"/>
              <w:spacing w:line="320" w:lineRule="exact"/>
              <w:ind w:right="42" w:rightChars="20"/>
              <w:rPr>
                <w:rFonts w:ascii="宋体" w:hAnsi="Courier New"/>
                <w:color w:val="000000"/>
                <w:kern w:val="0"/>
                <w:sz w:val="24"/>
                <w:szCs w:val="20"/>
              </w:rPr>
            </w:pPr>
            <w:r>
              <w:rPr>
                <w:rFonts w:hint="eastAsia" w:ascii="宋体" w:hAnsi="宋体"/>
                <w:color w:val="000000"/>
                <w:szCs w:val="21"/>
              </w:rPr>
              <w:t>2.投标人完成</w:t>
            </w:r>
            <w:r>
              <w:rPr>
                <w:rFonts w:hint="eastAsia" w:ascii="宋体" w:hAnsi="宋体"/>
                <w:color w:val="FF0000"/>
                <w:szCs w:val="21"/>
              </w:rPr>
              <w:t>相关水运工程</w:t>
            </w:r>
            <w:r>
              <w:rPr>
                <w:rFonts w:hint="eastAsia" w:ascii="宋体" w:hAnsi="宋体"/>
                <w:color w:val="000000"/>
                <w:szCs w:val="21"/>
              </w:rPr>
              <w:t>招标代理项目的控制价编制的，1个不得分，每增加1个得5分，最高得10分（不含限额以下项目及非必招项目）。须提供控制价编制咨询合同和编制报告。复印件加盖公章。</w:t>
            </w:r>
          </w:p>
        </w:tc>
      </w:tr>
      <w:tr w14:paraId="49A0F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trPr>
        <w:tc>
          <w:tcPr>
            <w:tcW w:w="1107" w:type="dxa"/>
            <w:vMerge w:val="continue"/>
            <w:shd w:val="clear" w:color="auto" w:fill="auto"/>
            <w:vAlign w:val="center"/>
          </w:tcPr>
          <w:p w14:paraId="715DBA41">
            <w:pPr>
              <w:widowControl/>
              <w:jc w:val="center"/>
              <w:textAlignment w:val="center"/>
              <w:rPr>
                <w:rFonts w:hint="eastAsia" w:ascii="宋体" w:hAnsi="宋体" w:cs="宋体"/>
                <w:color w:val="000000"/>
                <w:kern w:val="0"/>
                <w:szCs w:val="21"/>
              </w:rPr>
            </w:pPr>
          </w:p>
        </w:tc>
        <w:tc>
          <w:tcPr>
            <w:tcW w:w="1110" w:type="dxa"/>
            <w:vMerge w:val="continue"/>
            <w:shd w:val="clear" w:color="auto" w:fill="auto"/>
            <w:vAlign w:val="center"/>
          </w:tcPr>
          <w:p w14:paraId="5DA96817">
            <w:pPr>
              <w:widowControl/>
              <w:jc w:val="center"/>
              <w:textAlignment w:val="center"/>
              <w:rPr>
                <w:rFonts w:hint="eastAsia" w:hAnsi="宋体"/>
                <w:color w:val="000000"/>
                <w:szCs w:val="21"/>
              </w:rPr>
            </w:pPr>
          </w:p>
        </w:tc>
        <w:tc>
          <w:tcPr>
            <w:tcW w:w="810" w:type="dxa"/>
            <w:shd w:val="clear" w:color="auto" w:fill="FFFFFF"/>
            <w:vAlign w:val="center"/>
          </w:tcPr>
          <w:p w14:paraId="5C157BFF">
            <w:pPr>
              <w:jc w:val="center"/>
              <w:rPr>
                <w:rFonts w:hint="eastAsia" w:ascii="宋体" w:hAnsi="宋体" w:cs="宋体"/>
                <w:color w:val="000000"/>
                <w:szCs w:val="21"/>
              </w:rPr>
            </w:pPr>
            <w:r>
              <w:rPr>
                <w:rFonts w:hint="eastAsia" w:ascii="宋体" w:hAnsi="宋体"/>
                <w:color w:val="000000"/>
              </w:rPr>
              <w:t>8</w:t>
            </w:r>
          </w:p>
        </w:tc>
        <w:tc>
          <w:tcPr>
            <w:tcW w:w="6225" w:type="dxa"/>
            <w:shd w:val="clear" w:color="auto" w:fill="FFFFFF"/>
            <w:vAlign w:val="center"/>
          </w:tcPr>
          <w:p w14:paraId="5FEEE74B">
            <w:pPr>
              <w:snapToGrid w:val="0"/>
              <w:spacing w:line="320" w:lineRule="exact"/>
              <w:ind w:left="42" w:leftChars="20" w:right="42" w:rightChars="20"/>
              <w:rPr>
                <w:rFonts w:hint="eastAsia" w:ascii="宋体" w:hAnsi="宋体"/>
                <w:color w:val="000000"/>
                <w:kern w:val="0"/>
                <w:szCs w:val="21"/>
                <w:shd w:val="clear" w:color="auto" w:fill="FFFFFF"/>
              </w:rPr>
            </w:pPr>
            <w:r>
              <w:rPr>
                <w:rFonts w:hint="eastAsia" w:ascii="宋体" w:hAnsi="宋体"/>
                <w:color w:val="000000"/>
                <w:kern w:val="0"/>
                <w:szCs w:val="21"/>
              </w:rPr>
              <w:t>2021年1月1日至投标截止时间止投标人</w:t>
            </w:r>
            <w:r>
              <w:rPr>
                <w:rFonts w:hint="eastAsia" w:ascii="宋体" w:hAnsi="宋体"/>
                <w:color w:val="000000"/>
                <w:kern w:val="0"/>
                <w:szCs w:val="21"/>
                <w:shd w:val="clear" w:color="auto" w:fill="FFFFFF"/>
              </w:rPr>
              <w:t>承接过</w:t>
            </w:r>
            <w:r>
              <w:rPr>
                <w:rFonts w:hint="eastAsia" w:ascii="宋体" w:hAnsi="宋体"/>
                <w:b/>
                <w:color w:val="000000"/>
                <w:szCs w:val="21"/>
              </w:rPr>
              <w:t>工程招标控制价或结算审核的，</w:t>
            </w:r>
            <w:r>
              <w:rPr>
                <w:rFonts w:hint="eastAsia" w:ascii="宋体" w:hAnsi="宋体"/>
                <w:color w:val="000000"/>
                <w:kern w:val="0"/>
                <w:szCs w:val="21"/>
                <w:shd w:val="clear" w:color="auto" w:fill="FFFFFF"/>
              </w:rPr>
              <w:t>每个得2分，最高得8分。</w:t>
            </w:r>
          </w:p>
          <w:p w14:paraId="6DE4DC52">
            <w:pPr>
              <w:snapToGrid w:val="0"/>
              <w:spacing w:line="320" w:lineRule="exact"/>
              <w:ind w:left="42" w:leftChars="20" w:right="42" w:rightChars="20"/>
              <w:rPr>
                <w:rFonts w:hint="eastAsia" w:ascii="宋体" w:hAnsi="宋体"/>
                <w:color w:val="000000"/>
                <w:kern w:val="0"/>
                <w:szCs w:val="21"/>
              </w:rPr>
            </w:pPr>
            <w:r>
              <w:rPr>
                <w:rFonts w:hint="eastAsia" w:ascii="宋体" w:hAnsi="宋体"/>
                <w:b/>
                <w:bCs/>
                <w:color w:val="000000"/>
                <w:kern w:val="0"/>
                <w:szCs w:val="21"/>
              </w:rPr>
              <w:t>（</w:t>
            </w:r>
            <w:r>
              <w:rPr>
                <w:rFonts w:hint="eastAsia" w:ascii="宋体" w:hAnsi="宋体"/>
                <w:b/>
                <w:bCs/>
                <w:color w:val="000000"/>
                <w:kern w:val="0"/>
                <w:szCs w:val="21"/>
                <w:shd w:val="clear" w:color="auto" w:fill="FFFFFF"/>
              </w:rPr>
              <w:t>提供造价咨询合同和审定单复印件加盖公章或框架协议和管理平台截屏（财政委托项目），同一工程中的单项工程不重复计分。）</w:t>
            </w:r>
          </w:p>
        </w:tc>
      </w:tr>
      <w:tr w14:paraId="2779C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8" w:hRule="atLeast"/>
        </w:trPr>
        <w:tc>
          <w:tcPr>
            <w:tcW w:w="1107" w:type="dxa"/>
            <w:vMerge w:val="continue"/>
            <w:shd w:val="clear" w:color="auto" w:fill="auto"/>
            <w:vAlign w:val="center"/>
          </w:tcPr>
          <w:p w14:paraId="42939DA7">
            <w:pPr>
              <w:jc w:val="center"/>
              <w:rPr>
                <w:rFonts w:hint="eastAsia" w:ascii="宋体" w:hAnsi="宋体" w:cs="宋体"/>
                <w:color w:val="000000"/>
                <w:szCs w:val="21"/>
              </w:rPr>
            </w:pPr>
          </w:p>
        </w:tc>
        <w:tc>
          <w:tcPr>
            <w:tcW w:w="1110" w:type="dxa"/>
            <w:shd w:val="clear" w:color="auto" w:fill="auto"/>
            <w:vAlign w:val="center"/>
          </w:tcPr>
          <w:p w14:paraId="37ACB3DE">
            <w:pPr>
              <w:adjustRightInd w:val="0"/>
              <w:jc w:val="center"/>
              <w:rPr>
                <w:rFonts w:hint="eastAsia" w:hAnsi="宋体" w:cs="宋体"/>
                <w:color w:val="000000"/>
                <w:spacing w:val="4"/>
                <w:szCs w:val="21"/>
              </w:rPr>
            </w:pPr>
            <w:r>
              <w:rPr>
                <w:rFonts w:hint="eastAsia" w:hAnsi="宋体" w:cs="宋体"/>
                <w:color w:val="000000"/>
                <w:spacing w:val="4"/>
                <w:szCs w:val="21"/>
              </w:rPr>
              <w:t>项目班子配备</w:t>
            </w:r>
          </w:p>
          <w:p w14:paraId="7A2551B0">
            <w:pPr>
              <w:adjustRightInd w:val="0"/>
              <w:jc w:val="center"/>
              <w:rPr>
                <w:rFonts w:hint="eastAsia" w:ascii="宋体" w:hAnsi="宋体" w:cs="宋体"/>
                <w:color w:val="000000"/>
                <w:szCs w:val="21"/>
              </w:rPr>
            </w:pPr>
            <w:r>
              <w:rPr>
                <w:rFonts w:hint="eastAsia" w:hAnsi="宋体" w:cs="宋体"/>
                <w:color w:val="000000"/>
                <w:spacing w:val="4"/>
                <w:szCs w:val="21"/>
              </w:rPr>
              <w:t>（8分）</w:t>
            </w:r>
          </w:p>
        </w:tc>
        <w:tc>
          <w:tcPr>
            <w:tcW w:w="810" w:type="dxa"/>
            <w:shd w:val="clear" w:color="auto" w:fill="FFFFFF"/>
            <w:vAlign w:val="center"/>
          </w:tcPr>
          <w:p w14:paraId="0021D1DC">
            <w:pPr>
              <w:adjustRightInd w:val="0"/>
              <w:jc w:val="center"/>
              <w:rPr>
                <w:rFonts w:hint="eastAsia" w:ascii="宋体" w:hAnsi="宋体" w:cs="宋体"/>
                <w:color w:val="000000"/>
                <w:szCs w:val="21"/>
              </w:rPr>
            </w:pPr>
            <w:r>
              <w:rPr>
                <w:rFonts w:hint="eastAsia" w:ascii="宋体" w:hAnsi="宋体" w:cs="宋体"/>
                <w:color w:val="000000"/>
                <w:szCs w:val="21"/>
              </w:rPr>
              <w:t>8</w:t>
            </w:r>
          </w:p>
        </w:tc>
        <w:tc>
          <w:tcPr>
            <w:tcW w:w="6225" w:type="dxa"/>
            <w:shd w:val="clear" w:color="auto" w:fill="FFFFFF"/>
            <w:vAlign w:val="center"/>
          </w:tcPr>
          <w:p w14:paraId="15B7BB09">
            <w:pPr>
              <w:snapToGrid w:val="0"/>
              <w:spacing w:line="320" w:lineRule="exact"/>
              <w:ind w:right="42" w:rightChars="20"/>
              <w:rPr>
                <w:rFonts w:hint="eastAsia" w:ascii="宋体" w:hAnsi="宋体"/>
                <w:color w:val="000000"/>
                <w:szCs w:val="21"/>
              </w:rPr>
            </w:pPr>
            <w:r>
              <w:rPr>
                <w:rFonts w:hint="eastAsia" w:ascii="宋体" w:hAnsi="宋体"/>
                <w:color w:val="000000"/>
                <w:szCs w:val="21"/>
              </w:rPr>
              <w:t>项目班子配备（8分）</w:t>
            </w:r>
          </w:p>
          <w:p w14:paraId="263A5E26">
            <w:pPr>
              <w:snapToGrid w:val="0"/>
              <w:spacing w:line="320" w:lineRule="exact"/>
              <w:ind w:right="42" w:rightChars="20"/>
              <w:rPr>
                <w:rFonts w:hint="eastAsia" w:ascii="宋体" w:hAnsi="宋体"/>
                <w:color w:val="000000"/>
                <w:szCs w:val="21"/>
              </w:rPr>
            </w:pPr>
            <w:r>
              <w:rPr>
                <w:rFonts w:hint="eastAsia" w:ascii="宋体" w:hAnsi="宋体"/>
                <w:color w:val="000000"/>
                <w:szCs w:val="21"/>
              </w:rPr>
              <w:t>1.专职招标代理人员2名，具有高级职称得2分，最高得4分。</w:t>
            </w:r>
          </w:p>
          <w:p w14:paraId="42FF4FD8">
            <w:pPr>
              <w:snapToGrid w:val="0"/>
              <w:spacing w:line="320" w:lineRule="exact"/>
              <w:ind w:right="42" w:rightChars="20"/>
              <w:rPr>
                <w:rFonts w:hint="eastAsia" w:ascii="宋体" w:hAnsi="宋体"/>
                <w:color w:val="000000"/>
                <w:szCs w:val="21"/>
              </w:rPr>
            </w:pPr>
            <w:r>
              <w:rPr>
                <w:rFonts w:hint="eastAsia" w:ascii="宋体" w:hAnsi="宋体"/>
                <w:color w:val="000000"/>
                <w:szCs w:val="21"/>
              </w:rPr>
              <w:t>2.工程造价负责人具有（交通运输部颁发）执业证书，专业为交通运输工程（水运工程）的得4分，最高得4分。</w:t>
            </w:r>
          </w:p>
          <w:p w14:paraId="2646E068">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注：①所有证书必须真实、合规，在有效期内。</w:t>
            </w:r>
          </w:p>
          <w:p w14:paraId="2EF9D55E">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②招标代理人员和工程造价专业人员不得重复。</w:t>
            </w:r>
          </w:p>
          <w:p w14:paraId="5E4517E1">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③以上配备人员须提供社保证明（须含个人养老保险交纳清单并提供2024年6月、7月、8月连续三个月投标人处缴纳的的社保证明）</w:t>
            </w:r>
          </w:p>
          <w:p w14:paraId="02BF3A3F">
            <w:pPr>
              <w:snapToGrid w:val="0"/>
              <w:spacing w:line="320" w:lineRule="exact"/>
              <w:ind w:right="42" w:rightChars="20"/>
              <w:rPr>
                <w:rFonts w:hint="eastAsia" w:ascii="宋体" w:hAnsi="宋体"/>
                <w:b/>
                <w:bCs/>
                <w:color w:val="000000"/>
                <w:szCs w:val="21"/>
              </w:rPr>
            </w:pPr>
            <w:r>
              <w:rPr>
                <w:rFonts w:hint="eastAsia" w:ascii="宋体" w:hAnsi="宋体"/>
                <w:b/>
                <w:bCs/>
                <w:color w:val="000000"/>
                <w:szCs w:val="21"/>
              </w:rPr>
              <w:t>④以上配备人员均需为投标人的实际在岗人员，如为退休人员的，必须为单位出资人（或股东），需提供退休相关证明和工商部门出具的最新的相关出资证明资料。</w:t>
            </w:r>
          </w:p>
          <w:p w14:paraId="4CD3591A">
            <w:pPr>
              <w:snapToGrid w:val="0"/>
              <w:spacing w:line="320" w:lineRule="exact"/>
              <w:ind w:right="42" w:rightChars="20"/>
              <w:rPr>
                <w:rFonts w:hint="eastAsia" w:ascii="宋体" w:hAnsi="宋体"/>
                <w:color w:val="000000"/>
                <w:kern w:val="0"/>
                <w:szCs w:val="21"/>
              </w:rPr>
            </w:pPr>
            <w:r>
              <w:rPr>
                <w:rFonts w:hint="eastAsia" w:ascii="宋体" w:hAnsi="宋体"/>
                <w:b/>
                <w:bCs/>
                <w:color w:val="000000"/>
                <w:szCs w:val="21"/>
              </w:rPr>
              <w:t>⑤须提供评审单位为人力资源及保障局的职称证书、社保证明等复印件，不提供或提供不全的不得分。</w:t>
            </w:r>
          </w:p>
        </w:tc>
      </w:tr>
      <w:tr w14:paraId="4819B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trPr>
        <w:tc>
          <w:tcPr>
            <w:tcW w:w="1107" w:type="dxa"/>
            <w:vMerge w:val="continue"/>
            <w:shd w:val="clear" w:color="auto" w:fill="auto"/>
            <w:vAlign w:val="center"/>
          </w:tcPr>
          <w:p w14:paraId="247118AE">
            <w:pPr>
              <w:jc w:val="center"/>
              <w:rPr>
                <w:rFonts w:hint="eastAsia" w:ascii="宋体" w:hAnsi="宋体" w:cs="宋体"/>
                <w:color w:val="000000"/>
                <w:szCs w:val="21"/>
              </w:rPr>
            </w:pPr>
          </w:p>
        </w:tc>
        <w:tc>
          <w:tcPr>
            <w:tcW w:w="1110" w:type="dxa"/>
            <w:shd w:val="clear" w:color="auto" w:fill="auto"/>
            <w:vAlign w:val="center"/>
          </w:tcPr>
          <w:p w14:paraId="17454114">
            <w:pPr>
              <w:adjustRightInd w:val="0"/>
              <w:jc w:val="center"/>
              <w:rPr>
                <w:rFonts w:hint="eastAsia" w:hAnsi="宋体" w:cs="宋体"/>
                <w:color w:val="FF0000"/>
                <w:spacing w:val="4"/>
                <w:szCs w:val="21"/>
              </w:rPr>
            </w:pPr>
            <w:r>
              <w:rPr>
                <w:rFonts w:hint="eastAsia" w:hAnsi="宋体" w:cs="宋体"/>
                <w:color w:val="FF0000"/>
                <w:spacing w:val="4"/>
                <w:szCs w:val="21"/>
              </w:rPr>
              <w:t>服务点</w:t>
            </w:r>
          </w:p>
          <w:p w14:paraId="3745B64C">
            <w:pPr>
              <w:adjustRightInd w:val="0"/>
              <w:jc w:val="center"/>
              <w:rPr>
                <w:rFonts w:hint="eastAsia" w:hAnsi="宋体" w:cs="宋体"/>
                <w:color w:val="FF0000"/>
                <w:spacing w:val="4"/>
                <w:szCs w:val="21"/>
              </w:rPr>
            </w:pPr>
            <w:r>
              <w:rPr>
                <w:rFonts w:hint="eastAsia" w:hAnsi="宋体" w:cs="宋体"/>
                <w:color w:val="FF0000"/>
                <w:spacing w:val="4"/>
                <w:szCs w:val="21"/>
              </w:rPr>
              <w:t>（7分）</w:t>
            </w:r>
          </w:p>
        </w:tc>
        <w:tc>
          <w:tcPr>
            <w:tcW w:w="810" w:type="dxa"/>
            <w:shd w:val="clear" w:color="auto" w:fill="FFFFFF"/>
            <w:vAlign w:val="center"/>
          </w:tcPr>
          <w:p w14:paraId="5DAF54AD">
            <w:pPr>
              <w:adjustRightInd w:val="0"/>
              <w:jc w:val="center"/>
              <w:rPr>
                <w:rFonts w:hint="eastAsia" w:ascii="宋体" w:hAnsi="宋体" w:cs="宋体"/>
                <w:color w:val="FF0000"/>
                <w:szCs w:val="21"/>
              </w:rPr>
            </w:pPr>
            <w:r>
              <w:rPr>
                <w:rFonts w:hint="eastAsia" w:ascii="宋体" w:hAnsi="宋体" w:cs="宋体"/>
                <w:color w:val="FF0000"/>
                <w:szCs w:val="21"/>
              </w:rPr>
              <w:t>7</w:t>
            </w:r>
          </w:p>
        </w:tc>
        <w:tc>
          <w:tcPr>
            <w:tcW w:w="6225" w:type="dxa"/>
            <w:shd w:val="clear" w:color="auto" w:fill="FFFFFF"/>
            <w:vAlign w:val="center"/>
          </w:tcPr>
          <w:p w14:paraId="660F7137">
            <w:pPr>
              <w:snapToGrid w:val="0"/>
              <w:spacing w:line="320" w:lineRule="exact"/>
              <w:ind w:right="42" w:rightChars="20"/>
              <w:rPr>
                <w:rFonts w:hint="eastAsia" w:ascii="宋体" w:hAnsi="宋体"/>
                <w:color w:val="FF0000"/>
                <w:szCs w:val="21"/>
              </w:rPr>
            </w:pPr>
            <w:r>
              <w:rPr>
                <w:rFonts w:hint="eastAsia" w:ascii="宋体" w:hAnsi="宋体"/>
                <w:color w:val="FF0000"/>
                <w:szCs w:val="21"/>
              </w:rPr>
              <w:t>在嵊泗县设有服务点的， 得7分。（须承诺或提供相关证明文件。先承诺的，中标公告期限届满之日内（7个工作日内）提供相关证明文件，无法提供作无效标处理，并承担相关责任）。</w:t>
            </w:r>
          </w:p>
        </w:tc>
      </w:tr>
      <w:tr w14:paraId="558B0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2" w:hRule="atLeast"/>
        </w:trPr>
        <w:tc>
          <w:tcPr>
            <w:tcW w:w="1107" w:type="dxa"/>
            <w:vMerge w:val="continue"/>
            <w:shd w:val="clear" w:color="auto" w:fill="auto"/>
            <w:vAlign w:val="center"/>
          </w:tcPr>
          <w:p w14:paraId="572EA43C">
            <w:pPr>
              <w:jc w:val="center"/>
              <w:rPr>
                <w:rFonts w:hint="eastAsia" w:ascii="宋体" w:hAnsi="宋体" w:cs="宋体"/>
                <w:color w:val="000000"/>
                <w:szCs w:val="21"/>
              </w:rPr>
            </w:pPr>
          </w:p>
        </w:tc>
        <w:tc>
          <w:tcPr>
            <w:tcW w:w="1110" w:type="dxa"/>
            <w:shd w:val="clear" w:color="auto" w:fill="auto"/>
            <w:vAlign w:val="center"/>
          </w:tcPr>
          <w:p w14:paraId="30936532">
            <w:pPr>
              <w:jc w:val="center"/>
              <w:rPr>
                <w:rFonts w:hint="eastAsia" w:hAnsi="宋体" w:cs="宋体"/>
                <w:color w:val="000000"/>
                <w:spacing w:val="4"/>
                <w:szCs w:val="21"/>
              </w:rPr>
            </w:pPr>
            <w:r>
              <w:rPr>
                <w:rFonts w:hint="eastAsia" w:ascii="宋体" w:hAnsi="宋体"/>
                <w:color w:val="000000"/>
              </w:rPr>
              <w:t>技术方案和服务配合（17分）</w:t>
            </w:r>
          </w:p>
        </w:tc>
        <w:tc>
          <w:tcPr>
            <w:tcW w:w="810" w:type="dxa"/>
            <w:shd w:val="clear" w:color="auto" w:fill="FFFFFF"/>
            <w:vAlign w:val="center"/>
          </w:tcPr>
          <w:p w14:paraId="2D8472A4">
            <w:pPr>
              <w:jc w:val="center"/>
              <w:rPr>
                <w:rFonts w:hint="eastAsia" w:ascii="宋体" w:hAnsi="宋体" w:cs="宋体"/>
                <w:color w:val="000000"/>
                <w:szCs w:val="21"/>
              </w:rPr>
            </w:pPr>
            <w:r>
              <w:rPr>
                <w:rFonts w:hint="eastAsia" w:ascii="宋体" w:hAnsi="宋体"/>
                <w:color w:val="000000"/>
              </w:rPr>
              <w:t>17</w:t>
            </w:r>
          </w:p>
        </w:tc>
        <w:tc>
          <w:tcPr>
            <w:tcW w:w="6225" w:type="dxa"/>
            <w:shd w:val="clear" w:color="auto" w:fill="FFFFFF"/>
            <w:vAlign w:val="center"/>
          </w:tcPr>
          <w:p w14:paraId="278C287E">
            <w:pPr>
              <w:rPr>
                <w:rFonts w:hint="eastAsia" w:ascii="宋体" w:hAnsi="宋体"/>
                <w:color w:val="000000"/>
              </w:rPr>
            </w:pPr>
            <w:r>
              <w:rPr>
                <w:rFonts w:hint="eastAsia" w:ascii="宋体" w:hAnsi="宋体"/>
                <w:color w:val="000000"/>
              </w:rPr>
              <w:t>投标人根据工作流程，制定项目招标代理方案流程。</w:t>
            </w:r>
          </w:p>
          <w:p w14:paraId="2522FA3D">
            <w:pPr>
              <w:rPr>
                <w:rFonts w:hint="eastAsia" w:ascii="宋体" w:hAnsi="宋体"/>
                <w:color w:val="000000"/>
              </w:rPr>
            </w:pPr>
            <w:r>
              <w:rPr>
                <w:rFonts w:hint="eastAsia" w:ascii="宋体" w:hAnsi="宋体"/>
                <w:color w:val="000000"/>
              </w:rPr>
              <w:t>1.程序（5分）：投标人明确各步骤和方式；</w:t>
            </w:r>
          </w:p>
          <w:p w14:paraId="33D8A20F">
            <w:pPr>
              <w:rPr>
                <w:rFonts w:hint="eastAsia" w:ascii="宋体" w:hAnsi="宋体"/>
                <w:color w:val="000000"/>
              </w:rPr>
            </w:pPr>
            <w:r>
              <w:rPr>
                <w:rFonts w:hint="eastAsia" w:ascii="宋体" w:hAnsi="宋体"/>
                <w:color w:val="000000"/>
              </w:rPr>
              <w:t>步骤和方式合理、合规、详细的，得5分；步骤和方式基本合理、合规、详细的，得3分；步骤和方式简单的，得1分；不合理不得分。</w:t>
            </w:r>
          </w:p>
          <w:p w14:paraId="0EA3714F">
            <w:pPr>
              <w:rPr>
                <w:rFonts w:hint="eastAsia" w:ascii="宋体" w:hAnsi="宋体"/>
                <w:color w:val="000000"/>
              </w:rPr>
            </w:pPr>
            <w:r>
              <w:rPr>
                <w:rFonts w:hint="eastAsia" w:ascii="宋体" w:hAnsi="宋体"/>
                <w:color w:val="000000"/>
              </w:rPr>
              <w:t>2.时间（4分）：</w:t>
            </w:r>
          </w:p>
          <w:p w14:paraId="0ACA17A4">
            <w:pPr>
              <w:rPr>
                <w:rFonts w:hint="eastAsia" w:ascii="宋体" w:hAnsi="宋体"/>
                <w:color w:val="000000"/>
              </w:rPr>
            </w:pPr>
            <w:r>
              <w:rPr>
                <w:rFonts w:hint="eastAsia" w:ascii="宋体" w:hAnsi="宋体"/>
                <w:color w:val="000000"/>
              </w:rPr>
              <w:t>投标人制订的时间保障措施合理、合规的，得4分；投标人制订的时间保障措施基本合理、合规的，得2分；措施简单的，得1分，不合理不得分。</w:t>
            </w:r>
          </w:p>
          <w:p w14:paraId="69D6991F">
            <w:pPr>
              <w:rPr>
                <w:rFonts w:hint="eastAsia" w:ascii="宋体" w:hAnsi="宋体"/>
                <w:color w:val="000000"/>
              </w:rPr>
            </w:pPr>
            <w:r>
              <w:rPr>
                <w:rFonts w:hint="eastAsia" w:ascii="宋体" w:hAnsi="宋体"/>
                <w:color w:val="000000"/>
              </w:rPr>
              <w:t>3.质量保障（4分）：</w:t>
            </w:r>
          </w:p>
          <w:p w14:paraId="716E5E71">
            <w:pPr>
              <w:rPr>
                <w:rFonts w:hint="eastAsia" w:ascii="宋体" w:hAnsi="宋体"/>
                <w:color w:val="000000"/>
              </w:rPr>
            </w:pPr>
            <w:r>
              <w:rPr>
                <w:rFonts w:hint="eastAsia" w:ascii="宋体" w:hAnsi="宋体"/>
                <w:color w:val="000000"/>
              </w:rPr>
              <w:t>投标人制订的质量管理制度建设到位、质量保证措施切实可行，得4分；质量管理制度建设基本到位的，得2分，质量保证措施简单的，得1分；不到位的不得分。</w:t>
            </w:r>
          </w:p>
          <w:p w14:paraId="6997525B">
            <w:pPr>
              <w:rPr>
                <w:rFonts w:hint="eastAsia" w:ascii="宋体" w:hAnsi="宋体"/>
                <w:color w:val="000000"/>
                <w:szCs w:val="21"/>
              </w:rPr>
            </w:pPr>
            <w:r>
              <w:rPr>
                <w:rFonts w:hint="eastAsia" w:ascii="宋体" w:hAnsi="宋体"/>
                <w:color w:val="000000"/>
                <w:szCs w:val="21"/>
              </w:rPr>
              <w:t>4.其他合理性建议及承诺（4分）：</w:t>
            </w:r>
          </w:p>
          <w:p w14:paraId="7109AAD0">
            <w:pPr>
              <w:rPr>
                <w:rFonts w:hint="eastAsia" w:ascii="宋体" w:hAnsi="宋体"/>
                <w:b/>
                <w:color w:val="000000"/>
                <w:szCs w:val="21"/>
              </w:rPr>
            </w:pPr>
            <w:r>
              <w:rPr>
                <w:rFonts w:hint="eastAsia" w:ascii="宋体" w:hAnsi="宋体"/>
                <w:color w:val="000000"/>
                <w:szCs w:val="21"/>
              </w:rPr>
              <w:t>投标人在服务配合方面的其他合理性建议及承诺切实可行、有亮点的，得4分，有建设性意见的，得2分，承诺简单的，得1分；缺少实质性内容或者不合理的不得分。</w:t>
            </w:r>
          </w:p>
        </w:tc>
      </w:tr>
    </w:tbl>
    <w:p w14:paraId="6DEC3856">
      <w:pPr>
        <w:pStyle w:val="2"/>
        <w:ind w:left="0" w:leftChars="0" w:firstLine="0" w:firstLineChars="0"/>
        <w:rPr>
          <w:rFonts w:hint="eastAsia" w:ascii="宋体" w:hAnsi="宋体"/>
          <w:b/>
          <w:bCs/>
        </w:rPr>
      </w:pPr>
    </w:p>
    <w:p w14:paraId="165492A4">
      <w:pPr>
        <w:pStyle w:val="2"/>
        <w:ind w:left="0" w:leftChars="0" w:firstLine="0" w:firstLineChars="0"/>
        <w:rPr>
          <w:rFonts w:hint="default" w:ascii="宋体" w:hAnsi="宋体"/>
          <w:b/>
          <w:bCs/>
          <w:woUserID w:val="1"/>
        </w:rPr>
      </w:pPr>
      <w:r>
        <w:rPr>
          <w:rFonts w:hint="default" w:ascii="宋体" w:hAnsi="宋体"/>
          <w:b/>
          <w:bCs/>
          <w:woUserID w:val="1"/>
        </w:rPr>
        <w:t>3. 开标时间及开标地址更正：</w:t>
      </w:r>
    </w:p>
    <w:p w14:paraId="41FE500A">
      <w:pPr>
        <w:pStyle w:val="2"/>
        <w:ind w:left="0" w:leftChars="0" w:firstLine="0" w:firstLineChars="0"/>
        <w:rPr>
          <w:rFonts w:hint="default" w:ascii="宋体" w:hAnsi="宋体"/>
          <w:b/>
          <w:bCs/>
          <w:woUserID w:val="1"/>
        </w:rPr>
      </w:pPr>
      <w:r>
        <w:rPr>
          <w:rFonts w:hint="default" w:ascii="宋体" w:hAnsi="宋体"/>
          <w:b/>
          <w:bCs/>
          <w:woUserID w:val="1"/>
        </w:rPr>
        <w:t>原开标时间：2024年10月23日09：15，开标地址：舟山市定海区环城南路321号新金海饭店一楼会议室</w:t>
      </w:r>
    </w:p>
    <w:p w14:paraId="23434873">
      <w:pPr>
        <w:pStyle w:val="2"/>
        <w:ind w:left="0" w:leftChars="0" w:firstLine="0" w:firstLineChars="0"/>
        <w:rPr>
          <w:rFonts w:hint="default" w:ascii="宋体" w:hAnsi="宋体"/>
          <w:b/>
          <w:bCs/>
          <w:highlight w:val="none"/>
        </w:rPr>
      </w:pPr>
      <w:r>
        <w:rPr>
          <w:rFonts w:hint="default" w:ascii="宋体" w:hAnsi="宋体"/>
          <w:b/>
          <w:bCs/>
          <w:woUserID w:val="1"/>
        </w:rPr>
        <w:t>更改为：</w:t>
      </w:r>
      <w:r>
        <w:rPr>
          <w:rFonts w:hint="default" w:ascii="宋体" w:hAnsi="宋体"/>
          <w:b/>
          <w:bCs/>
          <w:color w:val="FF0000"/>
          <w:highlight w:val="none"/>
          <w:woUserID w:val="1"/>
        </w:rPr>
        <w:t>开标时间：2024年10月30日09：00，开标地址：舟山市定海区颜家峧路7号一楼评标1室</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VlZDNiNjc4N2Y5YzJiNWY0NjQxMTBmZmRlYWU5ZTMifQ=="/>
  </w:docVars>
  <w:rsids>
    <w:rsidRoot w:val="00361602"/>
    <w:rsid w:val="000A31ED"/>
    <w:rsid w:val="00190CED"/>
    <w:rsid w:val="001D590A"/>
    <w:rsid w:val="0020299B"/>
    <w:rsid w:val="00272355"/>
    <w:rsid w:val="00317195"/>
    <w:rsid w:val="00361144"/>
    <w:rsid w:val="00361602"/>
    <w:rsid w:val="00391EBB"/>
    <w:rsid w:val="00421B11"/>
    <w:rsid w:val="00472D24"/>
    <w:rsid w:val="005065E3"/>
    <w:rsid w:val="00553478"/>
    <w:rsid w:val="00593528"/>
    <w:rsid w:val="005B4958"/>
    <w:rsid w:val="005E6A39"/>
    <w:rsid w:val="0060644A"/>
    <w:rsid w:val="006A09B5"/>
    <w:rsid w:val="00732951"/>
    <w:rsid w:val="00762C56"/>
    <w:rsid w:val="007B700F"/>
    <w:rsid w:val="008C42AC"/>
    <w:rsid w:val="009137E8"/>
    <w:rsid w:val="00944583"/>
    <w:rsid w:val="00977A59"/>
    <w:rsid w:val="009D373B"/>
    <w:rsid w:val="00A102A3"/>
    <w:rsid w:val="00A13FC2"/>
    <w:rsid w:val="00A4309C"/>
    <w:rsid w:val="00A5335D"/>
    <w:rsid w:val="00AA3968"/>
    <w:rsid w:val="00AB5689"/>
    <w:rsid w:val="00AC0D40"/>
    <w:rsid w:val="00B27A30"/>
    <w:rsid w:val="00B47108"/>
    <w:rsid w:val="00BF5A71"/>
    <w:rsid w:val="00C130B7"/>
    <w:rsid w:val="00C61D75"/>
    <w:rsid w:val="00C62906"/>
    <w:rsid w:val="00D900C1"/>
    <w:rsid w:val="00E1492C"/>
    <w:rsid w:val="00ED0039"/>
    <w:rsid w:val="00EE241A"/>
    <w:rsid w:val="00F63604"/>
    <w:rsid w:val="00F94E34"/>
    <w:rsid w:val="00FA0B5E"/>
    <w:rsid w:val="6F2E3705"/>
    <w:rsid w:val="9F9DB781"/>
    <w:rsid w:val="D7E79FE3"/>
    <w:rsid w:val="F717419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0" w:line="240" w:lineRule="auto"/>
      <w:jc w:val="both"/>
    </w:pPr>
    <w:rPr>
      <w:rFonts w:ascii="Times New Roman" w:hAnsi="Times New Roman" w:eastAsia="宋体" w:cs="Times New Roman"/>
      <w:kern w:val="2"/>
      <w:sz w:val="21"/>
      <w:szCs w:val="22"/>
      <w:lang w:val="en-US" w:eastAsia="zh-CN" w:bidi="ar-SA"/>
      <w14:ligatures w14:val="none"/>
    </w:rPr>
  </w:style>
  <w:style w:type="paragraph" w:styleId="4">
    <w:name w:val="heading 1"/>
    <w:basedOn w:val="1"/>
    <w:next w:val="1"/>
    <w:link w:val="34"/>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5">
    <w:name w:val="heading 2"/>
    <w:basedOn w:val="1"/>
    <w:next w:val="1"/>
    <w:link w:val="30"/>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6">
    <w:name w:val="heading 3"/>
    <w:basedOn w:val="1"/>
    <w:next w:val="1"/>
    <w:link w:val="35"/>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7">
    <w:name w:val="heading 4"/>
    <w:basedOn w:val="1"/>
    <w:next w:val="1"/>
    <w:link w:val="36"/>
    <w:semiHidden/>
    <w:unhideWhenUsed/>
    <w:qFormat/>
    <w:uiPriority w:val="9"/>
    <w:pPr>
      <w:keepNext/>
      <w:keepLines/>
      <w:spacing w:before="80" w:after="40"/>
      <w:outlineLvl w:val="3"/>
    </w:pPr>
    <w:rPr>
      <w:rFonts w:asciiTheme="minorHAnsi" w:hAnsiTheme="minorHAnsi" w:eastAsiaTheme="minorEastAsia" w:cstheme="majorBidi"/>
      <w:color w:val="104862" w:themeColor="accent1" w:themeShade="BF"/>
      <w:sz w:val="28"/>
      <w:szCs w:val="28"/>
    </w:rPr>
  </w:style>
  <w:style w:type="paragraph" w:styleId="8">
    <w:name w:val="heading 5"/>
    <w:basedOn w:val="1"/>
    <w:next w:val="1"/>
    <w:link w:val="37"/>
    <w:semiHidden/>
    <w:unhideWhenUsed/>
    <w:qFormat/>
    <w:uiPriority w:val="9"/>
    <w:pPr>
      <w:keepNext/>
      <w:keepLines/>
      <w:spacing w:before="80" w:after="40"/>
      <w:outlineLvl w:val="4"/>
    </w:pPr>
    <w:rPr>
      <w:rFonts w:asciiTheme="minorHAnsi" w:hAnsiTheme="minorHAnsi" w:eastAsiaTheme="minorEastAsia" w:cstheme="majorBidi"/>
      <w:color w:val="104862" w:themeColor="accent1" w:themeShade="BF"/>
      <w:sz w:val="24"/>
      <w:szCs w:val="24"/>
    </w:rPr>
  </w:style>
  <w:style w:type="paragraph" w:styleId="9">
    <w:name w:val="heading 6"/>
    <w:basedOn w:val="1"/>
    <w:next w:val="1"/>
    <w:link w:val="38"/>
    <w:semiHidden/>
    <w:unhideWhenUsed/>
    <w:qFormat/>
    <w:uiPriority w:val="9"/>
    <w:pPr>
      <w:keepNext/>
      <w:keepLines/>
      <w:spacing w:before="40"/>
      <w:outlineLvl w:val="5"/>
    </w:pPr>
    <w:rPr>
      <w:rFonts w:asciiTheme="minorHAnsi" w:hAnsiTheme="minorHAnsi" w:eastAsiaTheme="minorEastAsia" w:cstheme="majorBidi"/>
      <w:b/>
      <w:bCs/>
      <w:color w:val="104862" w:themeColor="accent1" w:themeShade="BF"/>
    </w:rPr>
  </w:style>
  <w:style w:type="paragraph" w:styleId="10">
    <w:name w:val="heading 7"/>
    <w:basedOn w:val="1"/>
    <w:next w:val="1"/>
    <w:link w:val="39"/>
    <w:semiHidden/>
    <w:unhideWhenUsed/>
    <w:qFormat/>
    <w:uiPriority w:val="9"/>
    <w:pPr>
      <w:keepNext/>
      <w:keepLines/>
      <w:spacing w:before="40"/>
      <w:outlineLvl w:val="6"/>
    </w:pPr>
    <w:rPr>
      <w:rFonts w:asciiTheme="minorHAnsi" w:hAnsiTheme="minorHAnsi" w:eastAsiaTheme="minorEastAsia" w:cstheme="majorBidi"/>
      <w:b/>
      <w:bCs/>
      <w:color w:val="595959" w:themeColor="text1" w:themeTint="A6"/>
      <w14:textFill>
        <w14:solidFill>
          <w14:schemeClr w14:val="tx1">
            <w14:lumMod w14:val="65000"/>
            <w14:lumOff w14:val="35000"/>
          </w14:schemeClr>
        </w14:solidFill>
      </w14:textFill>
    </w:rPr>
  </w:style>
  <w:style w:type="paragraph" w:styleId="11">
    <w:name w:val="heading 8"/>
    <w:basedOn w:val="1"/>
    <w:next w:val="1"/>
    <w:link w:val="40"/>
    <w:semiHidden/>
    <w:unhideWhenUsed/>
    <w:qFormat/>
    <w:uiPriority w:val="9"/>
    <w:pPr>
      <w:keepNext/>
      <w:keepLines/>
      <w:outlineLvl w:val="7"/>
    </w:pPr>
    <w:rPr>
      <w:rFonts w:asciiTheme="minorHAnsi" w:hAnsiTheme="minorHAnsi" w:eastAsiaTheme="minorEastAsia" w:cstheme="majorBidi"/>
      <w:color w:val="595959" w:themeColor="text1" w:themeTint="A6"/>
      <w14:textFill>
        <w14:solidFill>
          <w14:schemeClr w14:val="tx1">
            <w14:lumMod w14:val="65000"/>
            <w14:lumOff w14:val="35000"/>
          </w14:schemeClr>
        </w14:solidFill>
      </w14:textFill>
    </w:rPr>
  </w:style>
  <w:style w:type="paragraph" w:styleId="12">
    <w:name w:val="heading 9"/>
    <w:basedOn w:val="1"/>
    <w:next w:val="1"/>
    <w:link w:val="41"/>
    <w:semiHidden/>
    <w:unhideWhenUsed/>
    <w:qFormat/>
    <w:uiPriority w:val="9"/>
    <w:pPr>
      <w:keepNext/>
      <w:keepLines/>
      <w:outlineLvl w:val="8"/>
    </w:pPr>
    <w:rPr>
      <w:rFonts w:asciiTheme="minorHAnsi" w:hAnsiTheme="minorHAnsi" w:eastAsiaTheme="majorEastAsia" w:cstheme="majorBidi"/>
      <w:color w:val="595959" w:themeColor="text1" w:themeTint="A6"/>
      <w14:textFill>
        <w14:solidFill>
          <w14:schemeClr w14:val="tx1">
            <w14:lumMod w14:val="65000"/>
            <w14:lumOff w14:val="35000"/>
          </w14:schemeClr>
        </w14:solidFill>
      </w14:textFill>
    </w:rPr>
  </w:style>
  <w:style w:type="character" w:default="1" w:styleId="23">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32"/>
    <w:unhideWhenUsed/>
    <w:qFormat/>
    <w:uiPriority w:val="99"/>
    <w:pPr>
      <w:ind w:firstLine="420" w:firstLineChars="200"/>
    </w:pPr>
  </w:style>
  <w:style w:type="paragraph" w:styleId="3">
    <w:name w:val="Body Text Indent"/>
    <w:basedOn w:val="1"/>
    <w:link w:val="31"/>
    <w:semiHidden/>
    <w:unhideWhenUsed/>
    <w:qFormat/>
    <w:uiPriority w:val="99"/>
    <w:pPr>
      <w:spacing w:after="120"/>
      <w:ind w:left="420" w:leftChars="200"/>
    </w:pPr>
  </w:style>
  <w:style w:type="paragraph" w:styleId="13">
    <w:name w:val="List Number"/>
    <w:basedOn w:val="1"/>
    <w:qFormat/>
    <w:uiPriority w:val="0"/>
    <w:pPr>
      <w:tabs>
        <w:tab w:val="left" w:pos="360"/>
        <w:tab w:val="left" w:pos="454"/>
        <w:tab w:val="left" w:pos="720"/>
        <w:tab w:val="left" w:pos="900"/>
      </w:tabs>
      <w:snapToGrid w:val="0"/>
      <w:spacing w:line="336" w:lineRule="auto"/>
      <w:ind w:right="55"/>
    </w:pPr>
  </w:style>
  <w:style w:type="paragraph" w:styleId="14">
    <w:name w:val="Body Text"/>
    <w:basedOn w:val="1"/>
    <w:link w:val="25"/>
    <w:unhideWhenUsed/>
    <w:qFormat/>
    <w:uiPriority w:val="0"/>
    <w:pPr>
      <w:spacing w:after="120"/>
    </w:pPr>
    <w:rPr>
      <w:sz w:val="22"/>
      <w:szCs w:val="24"/>
      <w14:ligatures w14:val="standardContextual"/>
    </w:rPr>
  </w:style>
  <w:style w:type="paragraph" w:styleId="15">
    <w:name w:val="Plain Text"/>
    <w:basedOn w:val="1"/>
    <w:link w:val="29"/>
    <w:qFormat/>
    <w:uiPriority w:val="0"/>
    <w:pPr>
      <w:spacing w:beforeLines="50" w:line="400" w:lineRule="exact"/>
    </w:pPr>
    <w:rPr>
      <w:rFonts w:ascii="宋体" w:hAnsi="Courier New"/>
      <w:kern w:val="0"/>
      <w:sz w:val="24"/>
      <w:szCs w:val="20"/>
      <w14:ligatures w14:val="standardContextual"/>
    </w:rPr>
  </w:style>
  <w:style w:type="paragraph" w:styleId="16">
    <w:name w:val="footer"/>
    <w:basedOn w:val="1"/>
    <w:link w:val="52"/>
    <w:unhideWhenUsed/>
    <w:qFormat/>
    <w:uiPriority w:val="99"/>
    <w:pPr>
      <w:tabs>
        <w:tab w:val="center" w:pos="4153"/>
        <w:tab w:val="right" w:pos="8306"/>
      </w:tabs>
      <w:snapToGrid w:val="0"/>
      <w:jc w:val="left"/>
    </w:pPr>
    <w:rPr>
      <w:sz w:val="18"/>
      <w:szCs w:val="18"/>
    </w:rPr>
  </w:style>
  <w:style w:type="paragraph" w:styleId="17">
    <w:name w:val="header"/>
    <w:basedOn w:val="1"/>
    <w:link w:val="51"/>
    <w:unhideWhenUsed/>
    <w:qFormat/>
    <w:uiPriority w:val="99"/>
    <w:pPr>
      <w:tabs>
        <w:tab w:val="center" w:pos="4153"/>
        <w:tab w:val="right" w:pos="8306"/>
      </w:tabs>
      <w:snapToGrid w:val="0"/>
      <w:jc w:val="center"/>
    </w:pPr>
    <w:rPr>
      <w:sz w:val="18"/>
      <w:szCs w:val="18"/>
    </w:rPr>
  </w:style>
  <w:style w:type="paragraph" w:styleId="18">
    <w:name w:val="Subtitle"/>
    <w:basedOn w:val="1"/>
    <w:next w:val="1"/>
    <w:link w:val="43"/>
    <w:qFormat/>
    <w:uiPriority w:val="11"/>
    <w:pPr>
      <w:spacing w:after="160"/>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9">
    <w:name w:val="toc 2"/>
    <w:basedOn w:val="1"/>
    <w:next w:val="1"/>
    <w:semiHidden/>
    <w:unhideWhenUsed/>
    <w:qFormat/>
    <w:uiPriority w:val="39"/>
    <w:pPr>
      <w:ind w:left="420" w:leftChars="200"/>
    </w:pPr>
  </w:style>
  <w:style w:type="paragraph" w:styleId="20">
    <w:name w:val="Title"/>
    <w:basedOn w:val="1"/>
    <w:next w:val="1"/>
    <w:link w:val="42"/>
    <w:qFormat/>
    <w:uiPriority w:val="10"/>
    <w:pPr>
      <w:spacing w:after="80"/>
      <w:contextualSpacing/>
      <w:jc w:val="center"/>
    </w:pPr>
    <w:rPr>
      <w:rFonts w:asciiTheme="majorHAnsi" w:hAnsiTheme="majorHAnsi" w:eastAsiaTheme="majorEastAsia" w:cstheme="majorBidi"/>
      <w:spacing w:val="-10"/>
      <w:kern w:val="28"/>
      <w:sz w:val="56"/>
      <w:szCs w:val="56"/>
    </w:rPr>
  </w:style>
  <w:style w:type="paragraph" w:styleId="21">
    <w:name w:val="Body Text First Indent"/>
    <w:basedOn w:val="14"/>
    <w:link w:val="26"/>
    <w:semiHidden/>
    <w:unhideWhenUsed/>
    <w:qFormat/>
    <w:uiPriority w:val="99"/>
    <w:pPr>
      <w:ind w:firstLine="420" w:firstLineChars="100"/>
    </w:pPr>
  </w:style>
  <w:style w:type="paragraph" w:customStyle="1" w:styleId="24">
    <w:name w:val="普通(网站)11"/>
    <w:basedOn w:val="1"/>
    <w:qFormat/>
    <w:uiPriority w:val="0"/>
    <w:pPr>
      <w:widowControl/>
      <w:spacing w:before="100" w:beforeAutospacing="1" w:after="100" w:afterAutospacing="1"/>
      <w:jc w:val="left"/>
    </w:pPr>
    <w:rPr>
      <w:rFonts w:ascii="宋体" w:hAnsi="宋体"/>
      <w:kern w:val="0"/>
      <w:sz w:val="24"/>
      <w:szCs w:val="24"/>
    </w:rPr>
  </w:style>
  <w:style w:type="character" w:customStyle="1" w:styleId="25">
    <w:name w:val="正文文本 字符"/>
    <w:basedOn w:val="23"/>
    <w:link w:val="14"/>
    <w:qFormat/>
    <w:uiPriority w:val="0"/>
  </w:style>
  <w:style w:type="character" w:customStyle="1" w:styleId="26">
    <w:name w:val="正文文本首行缩进 字符"/>
    <w:basedOn w:val="25"/>
    <w:link w:val="21"/>
    <w:semiHidden/>
    <w:qFormat/>
    <w:uiPriority w:val="99"/>
    <w:rPr>
      <w:rFonts w:ascii="Calibri" w:hAnsi="Calibri" w:eastAsia="宋体" w:cs="Times New Roman"/>
      <w:kern w:val="0"/>
      <w:sz w:val="21"/>
      <w:szCs w:val="22"/>
      <w14:ligatures w14:val="none"/>
    </w:rPr>
  </w:style>
  <w:style w:type="paragraph" w:customStyle="1" w:styleId="27">
    <w:name w:val="首行缩进"/>
    <w:basedOn w:val="1"/>
    <w:qFormat/>
    <w:uiPriority w:val="0"/>
    <w:pPr>
      <w:spacing w:line="360" w:lineRule="auto"/>
      <w:ind w:firstLine="480" w:firstLineChars="200"/>
      <w:jc w:val="left"/>
    </w:pPr>
    <w:rPr>
      <w:rFonts w:ascii="宋体" w:hAnsi="宋体"/>
      <w:sz w:val="24"/>
    </w:rPr>
  </w:style>
  <w:style w:type="paragraph" w:customStyle="1" w:styleId="28">
    <w:name w:val="自动更正"/>
    <w:qFormat/>
    <w:uiPriority w:val="99"/>
    <w:pPr>
      <w:widowControl w:val="0"/>
      <w:spacing w:after="0" w:line="240" w:lineRule="auto"/>
      <w:jc w:val="both"/>
    </w:pPr>
    <w:rPr>
      <w:rFonts w:ascii="Calibri" w:hAnsi="Calibri" w:eastAsia="宋体" w:cs="Times New Roman"/>
      <w:kern w:val="2"/>
      <w:sz w:val="21"/>
      <w:szCs w:val="24"/>
      <w:lang w:val="en-US" w:eastAsia="zh-CN" w:bidi="ar-SA"/>
      <w14:ligatures w14:val="none"/>
    </w:rPr>
  </w:style>
  <w:style w:type="character" w:customStyle="1" w:styleId="29">
    <w:name w:val="纯文本 字符"/>
    <w:basedOn w:val="23"/>
    <w:link w:val="15"/>
    <w:qFormat/>
    <w:uiPriority w:val="0"/>
    <w:rPr>
      <w:rFonts w:ascii="宋体" w:hAnsi="Courier New" w:eastAsia="宋体" w:cs="Times New Roman"/>
      <w:kern w:val="0"/>
      <w:sz w:val="24"/>
      <w:szCs w:val="20"/>
    </w:rPr>
  </w:style>
  <w:style w:type="character" w:customStyle="1" w:styleId="30">
    <w:name w:val="标题 2 字符"/>
    <w:basedOn w:val="23"/>
    <w:link w:val="5"/>
    <w:semiHidden/>
    <w:qFormat/>
    <w:uiPriority w:val="9"/>
    <w:rPr>
      <w:rFonts w:asciiTheme="majorHAnsi" w:hAnsiTheme="majorHAnsi" w:eastAsiaTheme="majorEastAsia" w:cstheme="majorBidi"/>
      <w:color w:val="104862" w:themeColor="accent1" w:themeShade="BF"/>
      <w:sz w:val="40"/>
      <w:szCs w:val="40"/>
      <w14:ligatures w14:val="none"/>
    </w:rPr>
  </w:style>
  <w:style w:type="character" w:customStyle="1" w:styleId="31">
    <w:name w:val="正文文本缩进 字符"/>
    <w:basedOn w:val="23"/>
    <w:link w:val="3"/>
    <w:semiHidden/>
    <w:qFormat/>
    <w:uiPriority w:val="99"/>
    <w:rPr>
      <w:sz w:val="21"/>
      <w:szCs w:val="22"/>
      <w14:ligatures w14:val="none"/>
    </w:rPr>
  </w:style>
  <w:style w:type="character" w:customStyle="1" w:styleId="32">
    <w:name w:val="正文文本首行缩进 2 字符"/>
    <w:basedOn w:val="31"/>
    <w:link w:val="2"/>
    <w:qFormat/>
    <w:uiPriority w:val="99"/>
    <w:rPr>
      <w:sz w:val="21"/>
      <w:szCs w:val="22"/>
      <w14:ligatures w14:val="none"/>
    </w:rPr>
  </w:style>
  <w:style w:type="paragraph" w:customStyle="1" w:styleId="33">
    <w:name w:val="1"/>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34">
    <w:name w:val="标题 1 字符"/>
    <w:basedOn w:val="23"/>
    <w:link w:val="4"/>
    <w:qFormat/>
    <w:uiPriority w:val="9"/>
    <w:rPr>
      <w:rFonts w:asciiTheme="majorHAnsi" w:hAnsiTheme="majorHAnsi" w:eastAsiaTheme="majorEastAsia" w:cstheme="majorBidi"/>
      <w:color w:val="104862" w:themeColor="accent1" w:themeShade="BF"/>
      <w:sz w:val="48"/>
      <w:szCs w:val="48"/>
      <w14:ligatures w14:val="none"/>
    </w:rPr>
  </w:style>
  <w:style w:type="character" w:customStyle="1" w:styleId="35">
    <w:name w:val="标题 3 字符"/>
    <w:basedOn w:val="23"/>
    <w:link w:val="6"/>
    <w:semiHidden/>
    <w:qFormat/>
    <w:uiPriority w:val="9"/>
    <w:rPr>
      <w:rFonts w:asciiTheme="majorHAnsi" w:hAnsiTheme="majorHAnsi" w:eastAsiaTheme="majorEastAsia" w:cstheme="majorBidi"/>
      <w:color w:val="104862" w:themeColor="accent1" w:themeShade="BF"/>
      <w:sz w:val="32"/>
      <w:szCs w:val="32"/>
      <w14:ligatures w14:val="none"/>
    </w:rPr>
  </w:style>
  <w:style w:type="character" w:customStyle="1" w:styleId="36">
    <w:name w:val="标题 4 字符"/>
    <w:basedOn w:val="23"/>
    <w:link w:val="7"/>
    <w:semiHidden/>
    <w:qFormat/>
    <w:uiPriority w:val="9"/>
    <w:rPr>
      <w:rFonts w:cstheme="majorBidi"/>
      <w:color w:val="104862" w:themeColor="accent1" w:themeShade="BF"/>
      <w:sz w:val="28"/>
      <w:szCs w:val="28"/>
      <w14:ligatures w14:val="none"/>
    </w:rPr>
  </w:style>
  <w:style w:type="character" w:customStyle="1" w:styleId="37">
    <w:name w:val="标题 5 字符"/>
    <w:basedOn w:val="23"/>
    <w:link w:val="8"/>
    <w:semiHidden/>
    <w:qFormat/>
    <w:uiPriority w:val="9"/>
    <w:rPr>
      <w:rFonts w:cstheme="majorBidi"/>
      <w:color w:val="104862" w:themeColor="accent1" w:themeShade="BF"/>
      <w:sz w:val="24"/>
      <w14:ligatures w14:val="none"/>
    </w:rPr>
  </w:style>
  <w:style w:type="character" w:customStyle="1" w:styleId="38">
    <w:name w:val="标题 6 字符"/>
    <w:basedOn w:val="23"/>
    <w:link w:val="9"/>
    <w:semiHidden/>
    <w:qFormat/>
    <w:uiPriority w:val="9"/>
    <w:rPr>
      <w:rFonts w:cstheme="majorBidi"/>
      <w:b/>
      <w:bCs/>
      <w:color w:val="104862" w:themeColor="accent1" w:themeShade="BF"/>
      <w:sz w:val="21"/>
      <w:szCs w:val="22"/>
      <w14:ligatures w14:val="none"/>
    </w:rPr>
  </w:style>
  <w:style w:type="character" w:customStyle="1" w:styleId="39">
    <w:name w:val="标题 7 字符"/>
    <w:basedOn w:val="23"/>
    <w:link w:val="10"/>
    <w:semiHidden/>
    <w:qFormat/>
    <w:uiPriority w:val="9"/>
    <w:rPr>
      <w:rFonts w:cstheme="majorBidi"/>
      <w:b/>
      <w:bCs/>
      <w:color w:val="595959" w:themeColor="text1" w:themeTint="A6"/>
      <w:sz w:val="21"/>
      <w:szCs w:val="22"/>
      <w14:textFill>
        <w14:solidFill>
          <w14:schemeClr w14:val="tx1">
            <w14:lumMod w14:val="65000"/>
            <w14:lumOff w14:val="35000"/>
          </w14:schemeClr>
        </w14:solidFill>
      </w14:textFill>
      <w14:ligatures w14:val="none"/>
    </w:rPr>
  </w:style>
  <w:style w:type="character" w:customStyle="1" w:styleId="40">
    <w:name w:val="标题 8 字符"/>
    <w:basedOn w:val="23"/>
    <w:link w:val="11"/>
    <w:semiHidden/>
    <w:qFormat/>
    <w:uiPriority w:val="9"/>
    <w:rPr>
      <w:rFonts w:cstheme="majorBidi"/>
      <w:color w:val="595959" w:themeColor="text1" w:themeTint="A6"/>
      <w:sz w:val="21"/>
      <w:szCs w:val="22"/>
      <w14:textFill>
        <w14:solidFill>
          <w14:schemeClr w14:val="tx1">
            <w14:lumMod w14:val="65000"/>
            <w14:lumOff w14:val="35000"/>
          </w14:schemeClr>
        </w14:solidFill>
      </w14:textFill>
      <w14:ligatures w14:val="none"/>
    </w:rPr>
  </w:style>
  <w:style w:type="character" w:customStyle="1" w:styleId="41">
    <w:name w:val="标题 9 字符"/>
    <w:basedOn w:val="23"/>
    <w:link w:val="12"/>
    <w:semiHidden/>
    <w:qFormat/>
    <w:uiPriority w:val="9"/>
    <w:rPr>
      <w:rFonts w:eastAsiaTheme="majorEastAsia" w:cstheme="majorBidi"/>
      <w:color w:val="595959" w:themeColor="text1" w:themeTint="A6"/>
      <w:sz w:val="21"/>
      <w:szCs w:val="22"/>
      <w14:textFill>
        <w14:solidFill>
          <w14:schemeClr w14:val="tx1">
            <w14:lumMod w14:val="65000"/>
            <w14:lumOff w14:val="35000"/>
          </w14:schemeClr>
        </w14:solidFill>
      </w14:textFill>
      <w14:ligatures w14:val="none"/>
    </w:rPr>
  </w:style>
  <w:style w:type="character" w:customStyle="1" w:styleId="42">
    <w:name w:val="标题 字符"/>
    <w:basedOn w:val="23"/>
    <w:link w:val="20"/>
    <w:qFormat/>
    <w:uiPriority w:val="10"/>
    <w:rPr>
      <w:rFonts w:asciiTheme="majorHAnsi" w:hAnsiTheme="majorHAnsi" w:eastAsiaTheme="majorEastAsia" w:cstheme="majorBidi"/>
      <w:spacing w:val="-10"/>
      <w:kern w:val="28"/>
      <w:sz w:val="56"/>
      <w:szCs w:val="56"/>
      <w14:ligatures w14:val="none"/>
    </w:rPr>
  </w:style>
  <w:style w:type="character" w:customStyle="1" w:styleId="43">
    <w:name w:val="副标题 字符"/>
    <w:basedOn w:val="23"/>
    <w:link w:val="18"/>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14:ligatures w14:val="none"/>
    </w:rPr>
  </w:style>
  <w:style w:type="paragraph" w:styleId="44">
    <w:name w:val="Quote"/>
    <w:basedOn w:val="1"/>
    <w:next w:val="1"/>
    <w:link w:val="45"/>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45">
    <w:name w:val="引用 字符"/>
    <w:basedOn w:val="23"/>
    <w:link w:val="44"/>
    <w:qFormat/>
    <w:uiPriority w:val="29"/>
    <w:rPr>
      <w:rFonts w:ascii="Times New Roman" w:hAnsi="Times New Roman" w:eastAsia="宋体" w:cs="Times New Roman"/>
      <w:i/>
      <w:iCs/>
      <w:color w:val="404040" w:themeColor="text1" w:themeTint="BF"/>
      <w:sz w:val="21"/>
      <w:szCs w:val="22"/>
      <w14:textFill>
        <w14:solidFill>
          <w14:schemeClr w14:val="tx1">
            <w14:lumMod w14:val="75000"/>
            <w14:lumOff w14:val="25000"/>
          </w14:schemeClr>
        </w14:solidFill>
      </w14:textFill>
      <w14:ligatures w14:val="none"/>
    </w:rPr>
  </w:style>
  <w:style w:type="paragraph" w:styleId="46">
    <w:name w:val="List Paragraph"/>
    <w:basedOn w:val="1"/>
    <w:qFormat/>
    <w:uiPriority w:val="34"/>
    <w:pPr>
      <w:ind w:left="720"/>
      <w:contextualSpacing/>
    </w:pPr>
  </w:style>
  <w:style w:type="character" w:customStyle="1" w:styleId="47">
    <w:name w:val="Intense Emphasis"/>
    <w:basedOn w:val="23"/>
    <w:qFormat/>
    <w:uiPriority w:val="21"/>
    <w:rPr>
      <w:i/>
      <w:iCs/>
      <w:color w:val="104862" w:themeColor="accent1" w:themeShade="BF"/>
    </w:rPr>
  </w:style>
  <w:style w:type="paragraph" w:styleId="48">
    <w:name w:val="Intense Quote"/>
    <w:basedOn w:val="1"/>
    <w:next w:val="1"/>
    <w:link w:val="49"/>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49">
    <w:name w:val="明显引用 字符"/>
    <w:basedOn w:val="23"/>
    <w:link w:val="48"/>
    <w:qFormat/>
    <w:uiPriority w:val="30"/>
    <w:rPr>
      <w:rFonts w:ascii="Times New Roman" w:hAnsi="Times New Roman" w:eastAsia="宋体" w:cs="Times New Roman"/>
      <w:i/>
      <w:iCs/>
      <w:color w:val="104862" w:themeColor="accent1" w:themeShade="BF"/>
      <w:sz w:val="21"/>
      <w:szCs w:val="22"/>
      <w14:ligatures w14:val="none"/>
    </w:rPr>
  </w:style>
  <w:style w:type="character" w:customStyle="1" w:styleId="50">
    <w:name w:val="Intense Reference"/>
    <w:basedOn w:val="23"/>
    <w:qFormat/>
    <w:uiPriority w:val="32"/>
    <w:rPr>
      <w:b/>
      <w:bCs/>
      <w:smallCaps/>
      <w:color w:val="104862" w:themeColor="accent1" w:themeShade="BF"/>
      <w:spacing w:val="5"/>
    </w:rPr>
  </w:style>
  <w:style w:type="character" w:customStyle="1" w:styleId="51">
    <w:name w:val="页眉 字符"/>
    <w:basedOn w:val="23"/>
    <w:link w:val="17"/>
    <w:qFormat/>
    <w:uiPriority w:val="99"/>
    <w:rPr>
      <w:rFonts w:ascii="Times New Roman" w:hAnsi="Times New Roman" w:eastAsia="宋体" w:cs="Times New Roman"/>
      <w:sz w:val="18"/>
      <w:szCs w:val="18"/>
      <w14:ligatures w14:val="none"/>
    </w:rPr>
  </w:style>
  <w:style w:type="character" w:customStyle="1" w:styleId="52">
    <w:name w:val="页脚 字符"/>
    <w:basedOn w:val="23"/>
    <w:link w:val="16"/>
    <w:qFormat/>
    <w:uiPriority w:val="99"/>
    <w:rPr>
      <w:rFonts w:ascii="Times New Roman" w:hAnsi="Times New Roman" w:eastAsia="宋体" w:cs="Times New Roman"/>
      <w:sz w:val="18"/>
      <w:szCs w:val="18"/>
      <w14:ligatures w14: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Pages>
  <Words>2643</Words>
  <Characters>2724</Characters>
  <Lines>19</Lines>
  <Paragraphs>5</Paragraphs>
  <TotalTime>20</TotalTime>
  <ScaleCrop>false</ScaleCrop>
  <LinksUpToDate>false</LinksUpToDate>
  <CharactersWithSpaces>2729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2024-10-10T15:02:00Z</dcterms:created>
  <dc:creator>晓 黄</dc:creator>
  <cp:lastModifiedBy>浅笑</cp:lastModifiedBy>
  <dcterms:modified xsi:type="dcterms:W3CDTF">2024-10-12T01:33:15Z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DEE0FC1A9A254F67B2D426270318BE47_12</vt:lpwstr>
  </property>
</Properties>
</file>