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5F7E57">
      <w:pPr>
        <w:jc w:val="center"/>
        <w:rPr>
          <w:rFonts w:hint="eastAsia" w:ascii="宋体" w:hAnsi="宋体" w:eastAsia="宋体" w:cs="宋体"/>
          <w:b/>
          <w:color w:val="auto"/>
          <w:sz w:val="52"/>
          <w:szCs w:val="52"/>
          <w:highlight w:val="none"/>
        </w:rPr>
      </w:pPr>
    </w:p>
    <w:p w14:paraId="1BADB57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auto"/>
          <w:sz w:val="52"/>
          <w:szCs w:val="52"/>
          <w:highlight w:val="none"/>
          <w:lang w:eastAsia="zh-CN"/>
        </w:rPr>
      </w:pPr>
      <w:r>
        <w:rPr>
          <w:rFonts w:hint="eastAsia" w:ascii="宋体" w:hAnsi="宋体" w:cs="宋体"/>
          <w:b/>
          <w:color w:val="auto"/>
          <w:spacing w:val="-6"/>
          <w:sz w:val="52"/>
          <w:szCs w:val="52"/>
          <w:highlight w:val="none"/>
          <w:lang w:eastAsia="zh-CN"/>
        </w:rPr>
        <w:t>舟山市水安全保障“十五五”规划项目</w:t>
      </w:r>
    </w:p>
    <w:p w14:paraId="1BD5D8A7">
      <w:pPr>
        <w:spacing w:after="156"/>
        <w:jc w:val="center"/>
        <w:outlineLvl w:val="0"/>
        <w:rPr>
          <w:rFonts w:hint="eastAsia" w:ascii="宋体" w:hAnsi="宋体" w:eastAsia="宋体" w:cs="宋体"/>
          <w:b/>
          <w:color w:val="auto"/>
          <w:spacing w:val="12"/>
          <w:sz w:val="44"/>
          <w:szCs w:val="44"/>
          <w:highlight w:val="none"/>
        </w:rPr>
      </w:pPr>
    </w:p>
    <w:p w14:paraId="6C0E8651">
      <w:pPr>
        <w:pStyle w:val="33"/>
        <w:rPr>
          <w:rFonts w:hint="eastAsia" w:ascii="宋体" w:hAnsi="宋体" w:eastAsia="宋体" w:cs="宋体"/>
          <w:color w:val="auto"/>
          <w:highlight w:val="none"/>
        </w:rPr>
      </w:pPr>
    </w:p>
    <w:p w14:paraId="11D0A45B">
      <w:pPr>
        <w:pStyle w:val="3"/>
        <w:rPr>
          <w:rFonts w:hint="eastAsia" w:ascii="宋体" w:hAnsi="宋体" w:eastAsia="宋体" w:cs="宋体"/>
          <w:color w:val="auto"/>
          <w:spacing w:val="12"/>
          <w:sz w:val="44"/>
          <w:szCs w:val="44"/>
          <w:highlight w:val="none"/>
        </w:rPr>
      </w:pPr>
    </w:p>
    <w:p w14:paraId="5F6EAFC7">
      <w:pPr>
        <w:rPr>
          <w:rFonts w:hint="eastAsia" w:ascii="宋体" w:hAnsi="宋体" w:eastAsia="宋体" w:cs="宋体"/>
          <w:color w:val="auto"/>
          <w:highlight w:val="none"/>
        </w:rPr>
      </w:pPr>
    </w:p>
    <w:p w14:paraId="21152628">
      <w:pPr>
        <w:spacing w:before="120" w:beforeLines="50"/>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公开招标采购文件</w:t>
      </w:r>
    </w:p>
    <w:p w14:paraId="0AE579DD">
      <w:pPr>
        <w:jc w:val="center"/>
        <w:outlineLvl w:val="0"/>
        <w:rPr>
          <w:rFonts w:hint="eastAsia" w:ascii="宋体" w:hAnsi="宋体" w:eastAsia="宋体" w:cs="宋体"/>
          <w:b/>
          <w:color w:val="auto"/>
          <w:szCs w:val="21"/>
          <w:highlight w:val="none"/>
        </w:rPr>
      </w:pPr>
    </w:p>
    <w:p w14:paraId="33C4A42F">
      <w:pPr>
        <w:jc w:val="center"/>
        <w:outlineLvl w:val="0"/>
        <w:rPr>
          <w:rFonts w:hint="eastAsia" w:ascii="宋体" w:hAnsi="宋体" w:eastAsia="宋体" w:cs="宋体"/>
          <w:b/>
          <w:color w:val="auto"/>
          <w:szCs w:val="21"/>
          <w:highlight w:val="none"/>
        </w:rPr>
      </w:pPr>
    </w:p>
    <w:p w14:paraId="5502F287">
      <w:pPr>
        <w:jc w:val="center"/>
        <w:outlineLvl w:val="0"/>
        <w:rPr>
          <w:rFonts w:hint="eastAsia" w:ascii="宋体" w:hAnsi="宋体" w:eastAsia="宋体" w:cs="宋体"/>
          <w:b/>
          <w:color w:val="auto"/>
          <w:szCs w:val="21"/>
          <w:highlight w:val="none"/>
        </w:rPr>
      </w:pPr>
    </w:p>
    <w:p w14:paraId="3B7254A1">
      <w:pPr>
        <w:jc w:val="center"/>
        <w:outlineLvl w:val="0"/>
        <w:rPr>
          <w:rFonts w:hint="eastAsia" w:ascii="宋体" w:hAnsi="宋体" w:eastAsia="宋体" w:cs="宋体"/>
          <w:b/>
          <w:color w:val="auto"/>
          <w:szCs w:val="21"/>
          <w:highlight w:val="none"/>
        </w:rPr>
      </w:pPr>
    </w:p>
    <w:p w14:paraId="4547561C">
      <w:pPr>
        <w:jc w:val="center"/>
        <w:outlineLvl w:val="0"/>
        <w:rPr>
          <w:rFonts w:hint="eastAsia" w:ascii="宋体" w:hAnsi="宋体" w:eastAsia="宋体" w:cs="宋体"/>
          <w:b/>
          <w:color w:val="auto"/>
          <w:szCs w:val="21"/>
          <w:highlight w:val="none"/>
        </w:rPr>
      </w:pPr>
    </w:p>
    <w:p w14:paraId="2780A1A9">
      <w:pPr>
        <w:snapToGrid w:val="0"/>
        <w:spacing w:before="120" w:beforeLines="50" w:line="360" w:lineRule="auto"/>
        <w:rPr>
          <w:rFonts w:hint="eastAsia" w:ascii="宋体" w:hAnsi="宋体" w:eastAsia="宋体" w:cs="宋体"/>
          <w:b/>
          <w:color w:val="auto"/>
          <w:sz w:val="30"/>
          <w:szCs w:val="72"/>
          <w:highlight w:val="none"/>
        </w:rPr>
      </w:pPr>
    </w:p>
    <w:p w14:paraId="6ECE0F4D">
      <w:pPr>
        <w:pStyle w:val="8"/>
        <w:rPr>
          <w:rFonts w:hint="eastAsia" w:ascii="宋体" w:hAnsi="宋体" w:eastAsia="宋体" w:cs="宋体"/>
          <w:color w:val="auto"/>
          <w:highlight w:val="none"/>
        </w:rPr>
      </w:pPr>
    </w:p>
    <w:p w14:paraId="75FEEADF">
      <w:pPr>
        <w:pStyle w:val="8"/>
        <w:rPr>
          <w:rFonts w:hint="eastAsia" w:ascii="宋体" w:hAnsi="宋体" w:eastAsia="宋体" w:cs="宋体"/>
          <w:color w:val="auto"/>
          <w:highlight w:val="none"/>
        </w:rPr>
      </w:pPr>
    </w:p>
    <w:p w14:paraId="413D5AA0">
      <w:pPr>
        <w:pStyle w:val="9"/>
        <w:ind w:firstLine="210"/>
        <w:rPr>
          <w:rFonts w:hint="eastAsia" w:ascii="宋体" w:hAnsi="宋体" w:eastAsia="宋体" w:cs="宋体"/>
          <w:color w:val="auto"/>
          <w:highlight w:val="none"/>
        </w:rPr>
      </w:pPr>
    </w:p>
    <w:p w14:paraId="0CE07FE4">
      <w:pPr>
        <w:pStyle w:val="8"/>
        <w:rPr>
          <w:rFonts w:hint="eastAsia" w:ascii="宋体" w:hAnsi="宋体" w:eastAsia="宋体" w:cs="宋体"/>
          <w:color w:val="auto"/>
          <w:highlight w:val="none"/>
        </w:rPr>
      </w:pPr>
    </w:p>
    <w:p w14:paraId="3F1302ED">
      <w:pPr>
        <w:pStyle w:val="8"/>
        <w:rPr>
          <w:rFonts w:hint="eastAsia" w:ascii="宋体" w:hAnsi="宋体" w:eastAsia="宋体" w:cs="宋体"/>
          <w:color w:val="auto"/>
          <w:highlight w:val="none"/>
        </w:rPr>
      </w:pPr>
    </w:p>
    <w:p w14:paraId="719FE96B">
      <w:pPr>
        <w:snapToGrid w:val="0"/>
        <w:spacing w:before="120" w:beforeLines="50" w:line="360" w:lineRule="auto"/>
        <w:rPr>
          <w:rFonts w:hint="eastAsia" w:ascii="宋体" w:hAnsi="宋体" w:eastAsia="宋体" w:cs="宋体"/>
          <w:b/>
          <w:color w:val="auto"/>
          <w:sz w:val="30"/>
          <w:szCs w:val="72"/>
          <w:highlight w:val="none"/>
          <w:lang w:eastAsia="zh-CN"/>
        </w:rPr>
      </w:pPr>
      <w:r>
        <w:rPr>
          <w:rFonts w:hint="eastAsia" w:ascii="宋体" w:hAnsi="宋体" w:eastAsia="宋体" w:cs="宋体"/>
          <w:b/>
          <w:color w:val="auto"/>
          <w:sz w:val="30"/>
          <w:szCs w:val="72"/>
          <w:highlight w:val="none"/>
        </w:rPr>
        <w:t>项目编号：</w:t>
      </w:r>
      <w:r>
        <w:rPr>
          <w:rFonts w:hint="eastAsia" w:ascii="宋体" w:hAnsi="宋体" w:cs="宋体"/>
          <w:b/>
          <w:color w:val="auto"/>
          <w:sz w:val="30"/>
          <w:szCs w:val="72"/>
          <w:highlight w:val="none"/>
          <w:lang w:eastAsia="zh-CN"/>
        </w:rPr>
        <w:t>ZSGC-2025-30</w:t>
      </w:r>
    </w:p>
    <w:p w14:paraId="038CCDF6">
      <w:pPr>
        <w:snapToGrid w:val="0"/>
        <w:spacing w:before="120" w:beforeLines="50" w:line="360" w:lineRule="auto"/>
        <w:rPr>
          <w:rFonts w:hint="eastAsia" w:ascii="宋体" w:hAnsi="宋体" w:eastAsia="宋体" w:cs="宋体"/>
          <w:b/>
          <w:color w:val="auto"/>
          <w:sz w:val="30"/>
          <w:szCs w:val="72"/>
          <w:highlight w:val="none"/>
          <w:lang w:eastAsia="zh-CN"/>
        </w:rPr>
      </w:pPr>
      <w:r>
        <w:rPr>
          <w:rFonts w:hint="eastAsia" w:ascii="宋体" w:hAnsi="宋体" w:eastAsia="宋体" w:cs="宋体"/>
          <w:b/>
          <w:color w:val="auto"/>
          <w:sz w:val="30"/>
          <w:szCs w:val="72"/>
          <w:highlight w:val="none"/>
        </w:rPr>
        <w:t>项目名称：</w:t>
      </w:r>
      <w:r>
        <w:rPr>
          <w:rFonts w:hint="eastAsia" w:ascii="宋体" w:hAnsi="宋体" w:cs="宋体"/>
          <w:b/>
          <w:color w:val="auto"/>
          <w:sz w:val="30"/>
          <w:szCs w:val="72"/>
          <w:highlight w:val="none"/>
          <w:lang w:eastAsia="zh-CN"/>
        </w:rPr>
        <w:t>舟山市水安全保障“十五五”规划项目</w:t>
      </w:r>
    </w:p>
    <w:p w14:paraId="6F09F0C1">
      <w:pPr>
        <w:snapToGrid w:val="0"/>
        <w:spacing w:before="120" w:beforeLines="50" w:line="360" w:lineRule="auto"/>
        <w:rPr>
          <w:rFonts w:hint="eastAsia" w:ascii="宋体" w:hAnsi="宋体" w:eastAsia="宋体" w:cs="宋体"/>
          <w:b/>
          <w:color w:val="auto"/>
          <w:sz w:val="30"/>
          <w:szCs w:val="72"/>
          <w:highlight w:val="none"/>
          <w:lang w:eastAsia="zh-CN"/>
        </w:rPr>
      </w:pPr>
      <w:r>
        <w:rPr>
          <w:rFonts w:hint="eastAsia" w:ascii="宋体" w:hAnsi="宋体" w:eastAsia="宋体" w:cs="宋体"/>
          <w:b/>
          <w:color w:val="auto"/>
          <w:sz w:val="30"/>
          <w:szCs w:val="72"/>
          <w:highlight w:val="none"/>
        </w:rPr>
        <w:t>采购人：</w:t>
      </w:r>
      <w:r>
        <w:rPr>
          <w:rFonts w:hint="eastAsia" w:ascii="宋体" w:hAnsi="宋体" w:cs="宋体"/>
          <w:b/>
          <w:color w:val="auto"/>
          <w:sz w:val="30"/>
          <w:szCs w:val="72"/>
          <w:highlight w:val="none"/>
          <w:lang w:eastAsia="zh-CN"/>
        </w:rPr>
        <w:t>舟山市水利局</w:t>
      </w:r>
    </w:p>
    <w:p w14:paraId="02C9FBA6">
      <w:pPr>
        <w:snapToGrid w:val="0"/>
        <w:spacing w:before="120" w:beforeLines="50" w:line="360" w:lineRule="auto"/>
        <w:rPr>
          <w:rFonts w:hint="eastAsia" w:ascii="宋体" w:hAnsi="宋体" w:eastAsia="宋体" w:cs="宋体"/>
          <w:b/>
          <w:color w:val="auto"/>
          <w:sz w:val="30"/>
          <w:szCs w:val="72"/>
          <w:highlight w:val="none"/>
        </w:rPr>
      </w:pPr>
      <w:r>
        <w:rPr>
          <w:rFonts w:hint="eastAsia" w:ascii="宋体" w:hAnsi="宋体" w:eastAsia="宋体" w:cs="宋体"/>
          <w:b/>
          <w:color w:val="auto"/>
          <w:sz w:val="30"/>
          <w:szCs w:val="72"/>
          <w:highlight w:val="none"/>
        </w:rPr>
        <w:t>采购代理机构：浙江省工程咨询有限公司</w:t>
      </w:r>
    </w:p>
    <w:p w14:paraId="168FC485">
      <w:pPr>
        <w:pStyle w:val="8"/>
        <w:spacing w:before="120"/>
        <w:rPr>
          <w:rFonts w:hint="eastAsia" w:ascii="宋体" w:hAnsi="宋体" w:eastAsia="宋体" w:cs="宋体"/>
          <w:color w:val="auto"/>
          <w:highlight w:val="none"/>
        </w:rPr>
        <w:sectPr>
          <w:pgSz w:w="11906" w:h="16838"/>
          <w:pgMar w:top="1304" w:right="1106" w:bottom="1304" w:left="1531" w:header="1304" w:footer="1304" w:gutter="0"/>
          <w:pgBorders>
            <w:top w:val="none" w:sz="0" w:space="0"/>
            <w:left w:val="none" w:sz="0" w:space="0"/>
            <w:bottom w:val="none" w:sz="0" w:space="0"/>
            <w:right w:val="none" w:sz="0" w:space="0"/>
          </w:pgBorders>
          <w:pgNumType w:start="1"/>
          <w:cols w:space="720" w:num="1"/>
        </w:sectPr>
      </w:pPr>
      <w:r>
        <w:rPr>
          <w:rFonts w:hint="eastAsia" w:ascii="宋体" w:hAnsi="宋体" w:eastAsia="宋体" w:cs="宋体"/>
          <w:b/>
          <w:color w:val="auto"/>
          <w:sz w:val="30"/>
          <w:szCs w:val="72"/>
          <w:highlight w:val="none"/>
        </w:rPr>
        <w:t>时    间：二〇二</w:t>
      </w:r>
      <w:r>
        <w:rPr>
          <w:rFonts w:hint="eastAsia" w:ascii="宋体" w:hAnsi="宋体" w:eastAsia="宋体" w:cs="宋体"/>
          <w:b/>
          <w:color w:val="auto"/>
          <w:sz w:val="30"/>
          <w:szCs w:val="72"/>
          <w:highlight w:val="none"/>
          <w:lang w:val="en-US" w:eastAsia="zh-CN"/>
        </w:rPr>
        <w:t>五</w:t>
      </w:r>
      <w:r>
        <w:rPr>
          <w:rFonts w:hint="eastAsia" w:ascii="宋体" w:hAnsi="宋体" w:eastAsia="宋体" w:cs="宋体"/>
          <w:b/>
          <w:color w:val="auto"/>
          <w:sz w:val="30"/>
          <w:szCs w:val="72"/>
          <w:highlight w:val="none"/>
        </w:rPr>
        <w:t>年</w:t>
      </w:r>
      <w:r>
        <w:rPr>
          <w:rFonts w:hint="eastAsia" w:ascii="宋体" w:hAnsi="宋体" w:cs="宋体"/>
          <w:b/>
          <w:color w:val="auto"/>
          <w:sz w:val="30"/>
          <w:szCs w:val="72"/>
          <w:highlight w:val="none"/>
          <w:lang w:val="en-US" w:eastAsia="zh-CN"/>
        </w:rPr>
        <w:t>四</w:t>
      </w:r>
      <w:r>
        <w:rPr>
          <w:rFonts w:hint="eastAsia" w:ascii="宋体" w:hAnsi="宋体" w:eastAsia="宋体" w:cs="宋体"/>
          <w:b/>
          <w:color w:val="auto"/>
          <w:sz w:val="30"/>
          <w:szCs w:val="72"/>
          <w:highlight w:val="none"/>
        </w:rPr>
        <w:t>月</w:t>
      </w:r>
    </w:p>
    <w:p w14:paraId="0FD0B06D">
      <w:pPr>
        <w:pStyle w:val="34"/>
        <w:spacing w:before="120" w:after="120" w:line="360"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    录</w:t>
      </w:r>
    </w:p>
    <w:p w14:paraId="037A7DC9">
      <w:pPr>
        <w:spacing w:line="432"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第一章  采购公告</w:t>
      </w:r>
    </w:p>
    <w:p w14:paraId="062BA6D4">
      <w:pPr>
        <w:spacing w:line="432"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第二章  采购需求</w:t>
      </w:r>
    </w:p>
    <w:p w14:paraId="7E109242">
      <w:pPr>
        <w:spacing w:line="432"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第三章  投标人须知</w:t>
      </w:r>
    </w:p>
    <w:p w14:paraId="3E3CA245">
      <w:pPr>
        <w:spacing w:line="432" w:lineRule="auto"/>
        <w:ind w:firstLine="1120" w:firstLineChars="4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前附表</w:t>
      </w:r>
    </w:p>
    <w:p w14:paraId="4958EC35">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一、总 则</w:t>
      </w:r>
    </w:p>
    <w:p w14:paraId="356D68D4">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二、采购文件</w:t>
      </w:r>
    </w:p>
    <w:p w14:paraId="23023705">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三、投标文件的编制</w:t>
      </w:r>
    </w:p>
    <w:p w14:paraId="1D8793EB">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四、开标</w:t>
      </w:r>
    </w:p>
    <w:p w14:paraId="4676D0FE">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五、评标</w:t>
      </w:r>
    </w:p>
    <w:p w14:paraId="65323670">
      <w:pPr>
        <w:pStyle w:val="8"/>
        <w:spacing w:after="0" w:line="432" w:lineRule="auto"/>
        <w:ind w:firstLine="560" w:firstLineChars="200"/>
        <w:rPr>
          <w:rFonts w:hint="eastAsia" w:ascii="宋体" w:hAnsi="宋体" w:eastAsia="宋体" w:cs="宋体"/>
          <w:color w:val="auto"/>
          <w:highlight w:val="none"/>
        </w:rPr>
      </w:pPr>
      <w:r>
        <w:rPr>
          <w:rFonts w:hint="eastAsia" w:ascii="宋体" w:hAnsi="宋体" w:eastAsia="宋体" w:cs="宋体"/>
          <w:color w:val="auto"/>
          <w:sz w:val="28"/>
          <w:szCs w:val="28"/>
          <w:highlight w:val="none"/>
        </w:rPr>
        <w:t>六、废标</w:t>
      </w:r>
    </w:p>
    <w:p w14:paraId="4FBB8590">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七、定标</w:t>
      </w:r>
    </w:p>
    <w:p w14:paraId="4D0CA7DD">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八、合同授予</w:t>
      </w:r>
    </w:p>
    <w:p w14:paraId="03C57F43">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九、政府采购政策</w:t>
      </w:r>
    </w:p>
    <w:p w14:paraId="0823275D">
      <w:pPr>
        <w:spacing w:line="432"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十、解释权</w:t>
      </w:r>
    </w:p>
    <w:p w14:paraId="44E9FC2D">
      <w:pPr>
        <w:spacing w:line="432"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第四章  评分办法及评分标准</w:t>
      </w:r>
    </w:p>
    <w:p w14:paraId="0494AADC">
      <w:pPr>
        <w:spacing w:line="432"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第五章  合同主要条款</w:t>
      </w:r>
    </w:p>
    <w:p w14:paraId="02A1CCD3">
      <w:pPr>
        <w:spacing w:line="432"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第六章  投标文件相关格式</w:t>
      </w:r>
    </w:p>
    <w:p w14:paraId="23F532F2">
      <w:pPr>
        <w:rPr>
          <w:rFonts w:hint="eastAsia" w:ascii="宋体" w:hAnsi="宋体" w:eastAsia="宋体" w:cs="宋体"/>
          <w:color w:val="auto"/>
          <w:highlight w:val="none"/>
        </w:rPr>
      </w:pPr>
    </w:p>
    <w:p w14:paraId="5DDE8AE7">
      <w:pPr>
        <w:pStyle w:val="33"/>
        <w:rPr>
          <w:rFonts w:hint="eastAsia" w:ascii="宋体" w:hAnsi="宋体" w:eastAsia="宋体" w:cs="宋体"/>
          <w:color w:val="auto"/>
          <w:highlight w:val="none"/>
        </w:rPr>
      </w:pPr>
    </w:p>
    <w:p w14:paraId="0FE09D23">
      <w:pPr>
        <w:pStyle w:val="33"/>
        <w:rPr>
          <w:rFonts w:hint="eastAsia" w:ascii="宋体" w:hAnsi="宋体" w:eastAsia="宋体" w:cs="宋体"/>
          <w:color w:val="auto"/>
          <w:highlight w:val="none"/>
        </w:rPr>
      </w:pPr>
    </w:p>
    <w:p w14:paraId="4C56A560">
      <w:pPr>
        <w:pStyle w:val="33"/>
        <w:rPr>
          <w:rFonts w:hint="eastAsia" w:ascii="宋体" w:hAnsi="宋体" w:eastAsia="宋体" w:cs="宋体"/>
          <w:color w:val="auto"/>
          <w:highlight w:val="none"/>
        </w:rPr>
      </w:pPr>
    </w:p>
    <w:p w14:paraId="29C1F966">
      <w:pPr>
        <w:pStyle w:val="33"/>
        <w:rPr>
          <w:rFonts w:hint="eastAsia" w:ascii="宋体" w:hAnsi="宋体" w:eastAsia="宋体" w:cs="宋体"/>
          <w:color w:val="auto"/>
          <w:highlight w:val="none"/>
        </w:rPr>
      </w:pPr>
    </w:p>
    <w:p w14:paraId="4681AC1D">
      <w:pPr>
        <w:pStyle w:val="33"/>
        <w:rPr>
          <w:rFonts w:hint="eastAsia" w:ascii="宋体" w:hAnsi="宋体" w:eastAsia="宋体" w:cs="宋体"/>
          <w:color w:val="auto"/>
          <w:highlight w:val="none"/>
        </w:rPr>
      </w:pPr>
    </w:p>
    <w:p w14:paraId="437B99D9">
      <w:pPr>
        <w:numPr>
          <w:ilvl w:val="0"/>
          <w:numId w:val="2"/>
        </w:numPr>
        <w:spacing w:line="360" w:lineRule="auto"/>
        <w:jc w:val="center"/>
        <w:rPr>
          <w:rFonts w:hint="eastAsia" w:ascii="宋体" w:hAnsi="宋体" w:eastAsia="宋体" w:cs="宋体"/>
          <w:b/>
          <w:color w:val="auto"/>
          <w:sz w:val="30"/>
          <w:szCs w:val="30"/>
          <w:highlight w:val="none"/>
        </w:rPr>
      </w:pPr>
      <w:bookmarkStart w:id="0" w:name="OLE_LINK1"/>
      <w:r>
        <w:rPr>
          <w:rFonts w:hint="eastAsia" w:ascii="宋体" w:hAnsi="宋体" w:eastAsia="宋体" w:cs="宋体"/>
          <w:b/>
          <w:color w:val="auto"/>
          <w:sz w:val="30"/>
          <w:szCs w:val="30"/>
          <w:highlight w:val="none"/>
        </w:rPr>
        <w:t>采购公告</w:t>
      </w:r>
      <w:bookmarkEnd w:id="0"/>
    </w:p>
    <w:p w14:paraId="54730131">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项目概况</w:t>
      </w:r>
    </w:p>
    <w:p w14:paraId="74FB2BD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cs="宋体"/>
          <w:color w:val="auto"/>
          <w:szCs w:val="21"/>
          <w:highlight w:val="none"/>
          <w:lang w:eastAsia="zh-CN"/>
        </w:rPr>
        <w:t>舟山市水安全保障“十五五”规划项目</w:t>
      </w:r>
      <w:r>
        <w:rPr>
          <w:rFonts w:hint="eastAsia" w:ascii="宋体" w:hAnsi="宋体" w:eastAsia="宋体" w:cs="宋体"/>
          <w:color w:val="auto"/>
          <w:szCs w:val="21"/>
          <w:highlight w:val="none"/>
        </w:rPr>
        <w:t>的潜在投标人应在</w:t>
      </w:r>
      <w:r>
        <w:rPr>
          <w:rFonts w:hint="eastAsia" w:ascii="宋体" w:hAnsi="宋体" w:eastAsia="宋体" w:cs="宋体"/>
          <w:bCs/>
          <w:color w:val="auto"/>
          <w:szCs w:val="21"/>
          <w:highlight w:val="none"/>
        </w:rPr>
        <w:t>浙江政府采购网http://zfcg.czt.zj.gov.cn/（用“政采云”注册账号、密码登录系统后在线获取招标文件）获取（下载）招标文件，</w:t>
      </w:r>
      <w:r>
        <w:rPr>
          <w:rFonts w:hint="eastAsia" w:ascii="宋体" w:hAnsi="宋体" w:eastAsia="宋体" w:cs="宋体"/>
          <w:color w:val="auto"/>
          <w:szCs w:val="21"/>
          <w:highlight w:val="none"/>
        </w:rPr>
        <w:t>并于</w:t>
      </w: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年</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rPr>
        <w:t>月</w:t>
      </w:r>
      <w:r>
        <w:rPr>
          <w:rFonts w:hint="eastAsia" w:ascii="宋体" w:hAnsi="宋体" w:cs="宋体"/>
          <w:bCs/>
          <w:color w:val="auto"/>
          <w:sz w:val="21"/>
          <w:szCs w:val="21"/>
          <w:highlight w:val="none"/>
          <w:lang w:val="en-US" w:eastAsia="zh-CN"/>
        </w:rPr>
        <w:t>15</w:t>
      </w:r>
      <w:r>
        <w:rPr>
          <w:rFonts w:hint="eastAsia" w:ascii="宋体" w:hAnsi="宋体" w:eastAsia="宋体" w:cs="宋体"/>
          <w:bCs/>
          <w:color w:val="auto"/>
          <w:sz w:val="21"/>
          <w:szCs w:val="21"/>
          <w:highlight w:val="none"/>
        </w:rPr>
        <w:t>日</w:t>
      </w:r>
      <w:r>
        <w:rPr>
          <w:rFonts w:hint="eastAsia" w:ascii="宋体" w:hAnsi="宋体" w:cs="宋体"/>
          <w:bCs/>
          <w:color w:val="auto"/>
          <w:sz w:val="21"/>
          <w:szCs w:val="21"/>
          <w:highlight w:val="none"/>
          <w:lang w:val="en-US" w:eastAsia="zh-CN"/>
        </w:rPr>
        <w:t>09</w:t>
      </w:r>
      <w:r>
        <w:rPr>
          <w:rFonts w:hint="eastAsia" w:ascii="宋体" w:hAnsi="宋体" w:eastAsia="宋体" w:cs="宋体"/>
          <w:bCs/>
          <w:color w:val="auto"/>
          <w:sz w:val="21"/>
          <w:szCs w:val="21"/>
          <w:highlight w:val="none"/>
        </w:rPr>
        <w:t>点</w:t>
      </w:r>
      <w:r>
        <w:rPr>
          <w:rFonts w:hint="eastAsia" w:ascii="宋体" w:hAnsi="宋体" w:cs="宋体"/>
          <w:bCs/>
          <w:color w:val="auto"/>
          <w:sz w:val="21"/>
          <w:szCs w:val="21"/>
          <w:highlight w:val="none"/>
          <w:lang w:val="en-US" w:eastAsia="zh-CN"/>
        </w:rPr>
        <w:t>00</w:t>
      </w:r>
      <w:r>
        <w:rPr>
          <w:rFonts w:hint="eastAsia" w:ascii="宋体" w:hAnsi="宋体" w:eastAsia="宋体" w:cs="宋体"/>
          <w:bCs/>
          <w:color w:val="auto"/>
          <w:sz w:val="21"/>
          <w:szCs w:val="21"/>
          <w:highlight w:val="none"/>
        </w:rPr>
        <w:t>分</w:t>
      </w:r>
      <w:r>
        <w:rPr>
          <w:rFonts w:hint="eastAsia" w:ascii="宋体" w:hAnsi="宋体" w:eastAsia="宋体" w:cs="宋体"/>
          <w:bCs/>
          <w:color w:val="auto"/>
          <w:szCs w:val="21"/>
          <w:highlight w:val="none"/>
        </w:rPr>
        <w:t>（北京时间）前递交（上传）投标文件</w:t>
      </w:r>
      <w:r>
        <w:rPr>
          <w:rFonts w:hint="eastAsia" w:ascii="宋体" w:hAnsi="宋体" w:eastAsia="宋体" w:cs="宋体"/>
          <w:color w:val="auto"/>
          <w:szCs w:val="21"/>
          <w:highlight w:val="none"/>
        </w:rPr>
        <w:t>。</w:t>
      </w:r>
    </w:p>
    <w:p w14:paraId="4621C996">
      <w:pPr>
        <w:spacing w:line="420" w:lineRule="exact"/>
        <w:rPr>
          <w:rFonts w:hint="eastAsia" w:ascii="宋体" w:hAnsi="宋体" w:eastAsia="宋体" w:cs="宋体"/>
          <w:color w:val="auto"/>
          <w:szCs w:val="21"/>
          <w:highlight w:val="none"/>
        </w:rPr>
      </w:pPr>
    </w:p>
    <w:p w14:paraId="7114AA2A">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一、项目基本情况</w:t>
      </w:r>
    </w:p>
    <w:p w14:paraId="33D0DAFC">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ZSGC-2025-30</w:t>
      </w:r>
    </w:p>
    <w:p w14:paraId="11D1F756">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舟山市水安全保障“十五五”规划项目</w:t>
      </w:r>
    </w:p>
    <w:p w14:paraId="75E1CC38">
      <w:pPr>
        <w:pageBreakBefore w:val="0"/>
        <w:kinsoku/>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w:t>
      </w:r>
      <w:r>
        <w:rPr>
          <w:rFonts w:hint="eastAsia" w:ascii="宋体" w:hAnsi="宋体" w:eastAsia="宋体" w:cs="宋体"/>
          <w:color w:val="auto"/>
          <w:sz w:val="21"/>
          <w:szCs w:val="21"/>
          <w:highlight w:val="none"/>
        </w:rPr>
        <w:t>最高限价（元）：</w:t>
      </w:r>
      <w:r>
        <w:rPr>
          <w:rFonts w:hint="eastAsia" w:ascii="宋体" w:hAnsi="宋体" w:cs="宋体"/>
          <w:color w:val="auto"/>
          <w:sz w:val="21"/>
          <w:szCs w:val="21"/>
          <w:highlight w:val="none"/>
          <w:lang w:val="en-US" w:eastAsia="zh-CN"/>
        </w:rPr>
        <w:t>2300000</w:t>
      </w:r>
    </w:p>
    <w:p w14:paraId="0CDEDB53">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采购需求：</w:t>
      </w:r>
    </w:p>
    <w:p w14:paraId="115C78C8">
      <w:pPr>
        <w:pageBreakBefore w:val="0"/>
        <w:kinsoku/>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lang w:eastAsia="zh-CN"/>
        </w:rPr>
      </w:pPr>
    </w:p>
    <w:p w14:paraId="45926D6C">
      <w:pPr>
        <w:pageBreakBefore w:val="0"/>
        <w:kinsoku/>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标项一</w:t>
      </w:r>
    </w:p>
    <w:p w14:paraId="318B54BE">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标项名称</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舟山市水安全保障“十五五”规划项目</w:t>
      </w:r>
    </w:p>
    <w:p w14:paraId="0028435E">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数量: 1  </w:t>
      </w:r>
    </w:p>
    <w:p w14:paraId="58817B9F">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预算金额（元）：</w:t>
      </w:r>
      <w:r>
        <w:rPr>
          <w:rFonts w:hint="eastAsia" w:ascii="宋体" w:hAnsi="宋体" w:cs="宋体"/>
          <w:color w:val="auto"/>
          <w:sz w:val="21"/>
          <w:szCs w:val="21"/>
          <w:highlight w:val="none"/>
          <w:lang w:val="en-US" w:eastAsia="zh-CN"/>
        </w:rPr>
        <w:t>2300000</w:t>
      </w:r>
    </w:p>
    <w:p w14:paraId="31349879">
      <w:pPr>
        <w:pageBreakBefore w:val="0"/>
        <w:kinsoku/>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简要规格描述或项目基本概况介绍、用途：详见招标文件采购需求 </w:t>
      </w:r>
    </w:p>
    <w:p w14:paraId="37725F2C">
      <w:pPr>
        <w:pageBreakBefore w:val="0"/>
        <w:kinsoku/>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Cs w:val="21"/>
          <w:highlight w:val="none"/>
        </w:rPr>
        <w:t>备注：①本项目不允许转包、不允许分包。②本项目接受联合体投标，但组成联合体的供应商最多两个。参加联合体的供应商应当在投标文件中提交联合协议，载明联合体各方承担的工作和义务。联合体成员均应满足本项目“申请人的资格要求”；联合体各方应当共同与采购人签订采购合同，就采购合同约定的事项对采购人承担连带责任。以联合体形式参加政府采购活动的，联合体各方不得再单独参加或者与其他供应商另外组成联合体参加同一合同项下的政府采购活动。</w:t>
      </w:r>
    </w:p>
    <w:p w14:paraId="71D33F72">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p>
    <w:p w14:paraId="39612A45">
      <w:pPr>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合同履行期限：自合同签订之日起</w:t>
      </w:r>
      <w:r>
        <w:rPr>
          <w:rFonts w:hint="eastAsia" w:ascii="宋体" w:hAnsi="宋体" w:cs="宋体"/>
          <w:color w:val="auto"/>
          <w:sz w:val="21"/>
          <w:szCs w:val="21"/>
          <w:highlight w:val="none"/>
          <w:lang w:val="en-US" w:eastAsia="zh-CN"/>
        </w:rPr>
        <w:t>十八个月</w:t>
      </w:r>
      <w:r>
        <w:rPr>
          <w:rFonts w:hint="eastAsia" w:ascii="宋体" w:hAnsi="宋体" w:eastAsia="宋体" w:cs="宋体"/>
          <w:color w:val="auto"/>
          <w:sz w:val="21"/>
          <w:szCs w:val="21"/>
          <w:highlight w:val="none"/>
          <w:lang w:eastAsia="zh-CN"/>
        </w:rPr>
        <w:t>。</w:t>
      </w:r>
    </w:p>
    <w:p w14:paraId="08DF6573">
      <w:pPr>
        <w:pageBreakBefore w:val="0"/>
        <w:widowControl/>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w:t>
      </w:r>
      <w:r>
        <w:rPr>
          <w:rFonts w:hint="eastAsia" w:ascii="宋体" w:hAnsi="宋体" w:cs="宋体"/>
          <w:color w:val="auto"/>
          <w:sz w:val="21"/>
          <w:szCs w:val="21"/>
          <w:highlight w:val="none"/>
          <w:lang w:val="en-US" w:eastAsia="zh-CN"/>
        </w:rPr>
        <w:t>是</w:t>
      </w:r>
      <w:r>
        <w:rPr>
          <w:rFonts w:hint="eastAsia" w:ascii="宋体" w:hAnsi="宋体" w:eastAsia="宋体" w:cs="宋体"/>
          <w:color w:val="auto"/>
          <w:sz w:val="21"/>
          <w:szCs w:val="21"/>
          <w:highlight w:val="none"/>
        </w:rPr>
        <w:t>）接受联合体投标。</w:t>
      </w:r>
    </w:p>
    <w:p w14:paraId="11658E99">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二、申请人的资格要求</w:t>
      </w:r>
    </w:p>
    <w:p w14:paraId="56E3F3D5">
      <w:pPr>
        <w:pageBreakBefore w:val="0"/>
        <w:widowControl/>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5EDCE17">
      <w:pPr>
        <w:keepNext w:val="0"/>
        <w:keepLines w:val="0"/>
        <w:pageBreakBefore w:val="0"/>
        <w:widowControl/>
        <w:kinsoku/>
        <w:wordWrap/>
        <w:overflowPunct/>
        <w:topLinePunct w:val="0"/>
        <w:autoSpaceDE/>
        <w:autoSpaceDN/>
        <w:bidi w:val="0"/>
        <w:adjustRightInd/>
        <w:snapToGrid/>
        <w:spacing w:before="75" w:after="75" w:line="360" w:lineRule="auto"/>
        <w:ind w:firstLine="42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szCs w:val="21"/>
          <w:highlight w:val="none"/>
        </w:rPr>
        <w:t>2.落实政府采购政策需满足的资格要求：</w:t>
      </w:r>
      <w:r>
        <w:rPr>
          <w:rFonts w:hint="eastAsia" w:ascii="宋体" w:hAnsi="宋体" w:eastAsia="宋体" w:cs="宋体"/>
          <w:color w:val="auto"/>
          <w:kern w:val="0"/>
          <w:sz w:val="21"/>
          <w:szCs w:val="21"/>
          <w:highlight w:val="none"/>
        </w:rPr>
        <w:t>标项1：</w:t>
      </w:r>
      <w:r>
        <w:rPr>
          <w:rFonts w:hint="eastAsia" w:ascii="宋体" w:hAnsi="宋体" w:cs="宋体"/>
          <w:color w:val="auto"/>
          <w:kern w:val="0"/>
          <w:sz w:val="21"/>
          <w:szCs w:val="21"/>
          <w:highlight w:val="none"/>
          <w:lang w:val="en-US" w:eastAsia="zh-CN"/>
        </w:rPr>
        <w:t>无</w:t>
      </w:r>
      <w:r>
        <w:rPr>
          <w:rFonts w:hint="eastAsia" w:ascii="宋体" w:hAnsi="宋体" w:eastAsia="宋体" w:cs="宋体"/>
          <w:color w:val="auto"/>
          <w:kern w:val="0"/>
          <w:sz w:val="21"/>
          <w:szCs w:val="21"/>
          <w:highlight w:val="none"/>
        </w:rPr>
        <w:t>。 </w:t>
      </w:r>
    </w:p>
    <w:p w14:paraId="7A79B539">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3.本项目的特定资格要求：无。</w:t>
      </w:r>
    </w:p>
    <w:p w14:paraId="4F329237">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三、获取招标文件</w:t>
      </w:r>
    </w:p>
    <w:p w14:paraId="71092A0C">
      <w:pPr>
        <w:pageBreakBefore w:val="0"/>
        <w:kinsoku/>
        <w:overflowPunct/>
        <w:topLinePunct w:val="0"/>
        <w:autoSpaceDE/>
        <w:autoSpaceDN/>
        <w:bidi w:val="0"/>
        <w:adjustRightInd/>
        <w:snapToGrid/>
        <w:spacing w:line="360" w:lineRule="auto"/>
        <w:ind w:firstLine="539"/>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时间：/至202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rPr>
        <w:t>日，每天上午00:00至12:00，下午12:00至23:59（北京时间，线上获取法定节假日均可，线下获取文件法定节假日除外）</w:t>
      </w:r>
    </w:p>
    <w:p w14:paraId="5CFFDED1">
      <w:pPr>
        <w:pageBreakBefore w:val="0"/>
        <w:kinsoku/>
        <w:overflowPunct/>
        <w:topLinePunct w:val="0"/>
        <w:autoSpaceDE/>
        <w:autoSpaceDN/>
        <w:bidi w:val="0"/>
        <w:adjustRightInd/>
        <w:snapToGrid/>
        <w:spacing w:line="360" w:lineRule="auto"/>
        <w:ind w:firstLine="539"/>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地点（网址）：</w:t>
      </w:r>
      <w:bookmarkStart w:id="1" w:name="OLE_LINK2"/>
      <w:r>
        <w:rPr>
          <w:rFonts w:hint="eastAsia" w:ascii="宋体" w:hAnsi="宋体" w:eastAsia="宋体" w:cs="宋体"/>
          <w:bCs/>
          <w:color w:val="auto"/>
          <w:sz w:val="21"/>
          <w:szCs w:val="21"/>
          <w:highlight w:val="none"/>
        </w:rPr>
        <w:t>浙江政府采购网http://zfcg.czt.zj.gov.cn/（用“政采云”注册账号、密码登录系统后在线获取采购文件）</w:t>
      </w:r>
    </w:p>
    <w:bookmarkEnd w:id="1"/>
    <w:p w14:paraId="162429E8">
      <w:pPr>
        <w:pageBreakBefore w:val="0"/>
        <w:kinsoku/>
        <w:overflowPunct/>
        <w:topLinePunct w:val="0"/>
        <w:autoSpaceDE/>
        <w:autoSpaceDN/>
        <w:bidi w:val="0"/>
        <w:adjustRightInd/>
        <w:snapToGrid/>
        <w:spacing w:line="360" w:lineRule="auto"/>
        <w:ind w:firstLine="539"/>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方式：网上获取。</w:t>
      </w:r>
      <w:r>
        <w:rPr>
          <w:rFonts w:hint="eastAsia" w:ascii="宋体" w:hAnsi="宋体" w:eastAsia="宋体" w:cs="宋体"/>
          <w:bCs/>
          <w:color w:val="auto"/>
          <w:sz w:val="21"/>
          <w:szCs w:val="21"/>
          <w:highlight w:val="none"/>
        </w:rPr>
        <w:t>潜在供应商登录政采云平台，在线申请获取招标文件（进入“项目采购”，在获取招标文件菜单中选择项目，申请获取招标文件，填写获取采购文件的申请信息，提交后点击【下载采购文件】即可获取招标文件，本项目招标文件不收取工本费。仅需浏览招标文件的供应商可点击“游客，浏览招标文件”直接下载招标文件浏览。</w:t>
      </w:r>
    </w:p>
    <w:p w14:paraId="3DC85DB0">
      <w:pPr>
        <w:pageBreakBefore w:val="0"/>
        <w:kinsoku/>
        <w:overflowPunct/>
        <w:topLinePunct w:val="0"/>
        <w:autoSpaceDE/>
        <w:autoSpaceDN/>
        <w:bidi w:val="0"/>
        <w:adjustRightInd/>
        <w:snapToGrid/>
        <w:spacing w:line="360" w:lineRule="auto"/>
        <w:ind w:firstLine="539"/>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售价：0元</w:t>
      </w:r>
    </w:p>
    <w:p w14:paraId="3740D5EC">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四、提交投标文件截止时间、开标时间和地点</w:t>
      </w:r>
    </w:p>
    <w:p w14:paraId="3134129D">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u w:val="single"/>
        </w:rPr>
      </w:pPr>
      <w:r>
        <w:rPr>
          <w:rFonts w:hint="eastAsia" w:ascii="宋体" w:hAnsi="宋体" w:eastAsia="宋体" w:cs="宋体"/>
          <w:color w:val="auto"/>
          <w:sz w:val="21"/>
          <w:szCs w:val="21"/>
          <w:highlight w:val="none"/>
        </w:rPr>
        <w:t>提交投标文件截止时间：202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rPr>
        <w:t>日</w:t>
      </w:r>
      <w:r>
        <w:rPr>
          <w:rFonts w:hint="eastAsia" w:ascii="宋体" w:hAnsi="宋体" w:cs="宋体"/>
          <w:bCs/>
          <w:color w:val="auto"/>
          <w:sz w:val="21"/>
          <w:szCs w:val="21"/>
          <w:highlight w:val="none"/>
          <w:lang w:val="en-US" w:eastAsia="zh-CN"/>
        </w:rPr>
        <w:t>09</w:t>
      </w:r>
      <w:r>
        <w:rPr>
          <w:rFonts w:hint="eastAsia" w:ascii="宋体" w:hAnsi="宋体" w:eastAsia="宋体" w:cs="宋体"/>
          <w:bCs/>
          <w:color w:val="auto"/>
          <w:sz w:val="21"/>
          <w:szCs w:val="21"/>
          <w:highlight w:val="none"/>
        </w:rPr>
        <w:t>点</w:t>
      </w:r>
      <w:r>
        <w:rPr>
          <w:rFonts w:hint="eastAsia" w:ascii="宋体" w:hAnsi="宋体" w:cs="宋体"/>
          <w:bCs/>
          <w:color w:val="auto"/>
          <w:sz w:val="21"/>
          <w:szCs w:val="21"/>
          <w:highlight w:val="none"/>
          <w:lang w:val="en-US" w:eastAsia="zh-CN"/>
        </w:rPr>
        <w:t>00</w:t>
      </w:r>
      <w:r>
        <w:rPr>
          <w:rFonts w:hint="eastAsia" w:ascii="宋体" w:hAnsi="宋体" w:eastAsia="宋体" w:cs="宋体"/>
          <w:bCs/>
          <w:color w:val="auto"/>
          <w:sz w:val="21"/>
          <w:szCs w:val="21"/>
          <w:highlight w:val="none"/>
        </w:rPr>
        <w:t>分（北京时间）</w:t>
      </w:r>
    </w:p>
    <w:p w14:paraId="091F0E8B">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投标地点（网址）：投标人将加密的电子版投标文件于投标截止时间前上传到政采云系统中。</w:t>
      </w:r>
    </w:p>
    <w:p w14:paraId="7B7DB7B8">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开标时间：202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rPr>
        <w:t>日</w:t>
      </w:r>
      <w:r>
        <w:rPr>
          <w:rFonts w:hint="eastAsia" w:ascii="宋体" w:hAnsi="宋体" w:cs="宋体"/>
          <w:bCs/>
          <w:color w:val="auto"/>
          <w:sz w:val="21"/>
          <w:szCs w:val="21"/>
          <w:highlight w:val="none"/>
          <w:lang w:val="en-US" w:eastAsia="zh-CN"/>
        </w:rPr>
        <w:t>09</w:t>
      </w:r>
      <w:r>
        <w:rPr>
          <w:rFonts w:hint="eastAsia" w:ascii="宋体" w:hAnsi="宋体" w:eastAsia="宋体" w:cs="宋体"/>
          <w:bCs/>
          <w:color w:val="auto"/>
          <w:sz w:val="21"/>
          <w:szCs w:val="21"/>
          <w:highlight w:val="none"/>
        </w:rPr>
        <w:t>点</w:t>
      </w:r>
      <w:r>
        <w:rPr>
          <w:rFonts w:hint="eastAsia" w:ascii="宋体" w:hAnsi="宋体" w:cs="宋体"/>
          <w:bCs/>
          <w:color w:val="auto"/>
          <w:sz w:val="21"/>
          <w:szCs w:val="21"/>
          <w:highlight w:val="none"/>
          <w:lang w:val="en-US" w:eastAsia="zh-CN"/>
        </w:rPr>
        <w:t>00</w:t>
      </w:r>
      <w:r>
        <w:rPr>
          <w:rFonts w:hint="eastAsia" w:ascii="宋体" w:hAnsi="宋体" w:eastAsia="宋体" w:cs="宋体"/>
          <w:bCs/>
          <w:color w:val="auto"/>
          <w:sz w:val="21"/>
          <w:szCs w:val="21"/>
          <w:highlight w:val="none"/>
        </w:rPr>
        <w:t xml:space="preserve">分（北京时间）  </w:t>
      </w:r>
    </w:p>
    <w:p w14:paraId="46D6ED25">
      <w:pPr>
        <w:pStyle w:val="8"/>
        <w:pageBreakBefore w:val="0"/>
        <w:kinsoku/>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开标地点（网址）：线上开标（</w:t>
      </w:r>
      <w:bookmarkStart w:id="2" w:name="OLE_LINK5"/>
      <w:r>
        <w:rPr>
          <w:rFonts w:hint="eastAsia" w:ascii="宋体" w:hAnsi="宋体" w:eastAsia="宋体" w:cs="宋体"/>
          <w:color w:val="auto"/>
          <w:sz w:val="21"/>
          <w:szCs w:val="21"/>
          <w:highlight w:val="none"/>
        </w:rPr>
        <w:t>本项目不要求供应商授权代表参加现场开标、开启投标文件活动。</w:t>
      </w:r>
      <w:bookmarkEnd w:id="2"/>
      <w:r>
        <w:rPr>
          <w:rFonts w:hint="eastAsia" w:ascii="宋体" w:hAnsi="宋体" w:eastAsia="宋体" w:cs="宋体"/>
          <w:color w:val="auto"/>
          <w:sz w:val="21"/>
          <w:szCs w:val="21"/>
          <w:highlight w:val="none"/>
        </w:rPr>
        <w:t>）</w:t>
      </w:r>
    </w:p>
    <w:p w14:paraId="76BA7310">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sz w:val="21"/>
          <w:szCs w:val="21"/>
          <w:highlight w:val="none"/>
        </w:rPr>
        <w:t>五、</w:t>
      </w:r>
      <w:r>
        <w:rPr>
          <w:rFonts w:hint="eastAsia" w:ascii="宋体" w:hAnsi="宋体" w:eastAsia="宋体" w:cs="宋体"/>
          <w:b/>
          <w:bCs/>
          <w:color w:val="auto"/>
          <w:kern w:val="0"/>
          <w:sz w:val="21"/>
          <w:szCs w:val="21"/>
          <w:highlight w:val="none"/>
        </w:rPr>
        <w:t>采购意向公开链接</w:t>
      </w:r>
    </w:p>
    <w:p w14:paraId="1571A50C">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https://zfcg.czt.zj.gov.cn/luban/detail?parentId=600007&amp;articleId=KgAzLtLB0VZGmbwbjo8QAA==&amp;utm=web-micro-app-back-front.189f5f89.0.0.c42310a0062e11f09a04c36a0e78484f</w:t>
      </w:r>
    </w:p>
    <w:p w14:paraId="7FAA3D8F">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六、公告期限</w:t>
      </w:r>
    </w:p>
    <w:p w14:paraId="0C3DFFBE">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70ED6459">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七、其他补充事宜</w:t>
      </w:r>
    </w:p>
    <w:p w14:paraId="700B1C1F">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F6E3B2A">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A80F786">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8DD0B1F">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4.其他事项：（1）供应商须在线获取CA数字证书（完成CA数字证书办理预计一周左右，建议各投标人自行把握时间），并登录“浙江省政府采购网”（zfcg.czt.zj.gov.cn ），进入“下载专区”下载“电子交易客户端”，制作投标文件。（2）免费注册网址：浙江政府采购网（供应商注册页面）https://middle.zcygov.cn/settle-front/#/registry“政采云”，咨询电话：400-881-7190。已经注册成功的供应商无需重复注册。（3）投标人将加密的电子版投标文件于投标截止时间前上传到政采云系统中。 （具体的投标文件加密上传等操作详见政采云平台操作指南。https://edu.zcygov.cn/luban/e-biding?utm=a0004.2ef5001f.0001.0109.da8b35e0da8611e98d8937b7ef8a3544）（4）根据《浙江省政府采购项目电子交易管理暂行办法》第二十条规定，本次投标允许投标人递交备份投标文件，仅提交备份投标文件的，投标无效。</w:t>
      </w:r>
      <w:r>
        <w:rPr>
          <w:rFonts w:hint="eastAsia" w:ascii="宋体" w:hAnsi="宋体" w:eastAsia="宋体" w:cs="宋体"/>
          <w:b/>
          <w:color w:val="auto"/>
          <w:sz w:val="21"/>
          <w:szCs w:val="21"/>
          <w:highlight w:val="none"/>
        </w:rPr>
        <w:t>（5）投标人将备份投标文件于202</w:t>
      </w:r>
      <w:r>
        <w:rPr>
          <w:rFonts w:hint="eastAsia" w:ascii="宋体" w:hAnsi="宋体" w:eastAsia="宋体" w:cs="宋体"/>
          <w:b/>
          <w:color w:val="auto"/>
          <w:sz w:val="21"/>
          <w:szCs w:val="21"/>
          <w:highlight w:val="none"/>
          <w:lang w:val="en-US" w:eastAsia="zh-CN"/>
        </w:rPr>
        <w:t>5</w:t>
      </w:r>
      <w:r>
        <w:rPr>
          <w:rFonts w:hint="eastAsia" w:ascii="宋体" w:hAnsi="宋体" w:eastAsia="宋体" w:cs="宋体"/>
          <w:b/>
          <w:color w:val="auto"/>
          <w:sz w:val="21"/>
          <w:szCs w:val="21"/>
          <w:highlight w:val="none"/>
        </w:rPr>
        <w:t>年</w:t>
      </w:r>
      <w:r>
        <w:rPr>
          <w:rFonts w:hint="eastAsia" w:ascii="宋体" w:hAnsi="宋体" w:cs="宋体"/>
          <w:b/>
          <w:color w:val="auto"/>
          <w:sz w:val="21"/>
          <w:szCs w:val="21"/>
          <w:highlight w:val="none"/>
          <w:lang w:val="en-US" w:eastAsia="zh-CN"/>
        </w:rPr>
        <w:t>4</w:t>
      </w:r>
      <w:r>
        <w:rPr>
          <w:rFonts w:hint="eastAsia" w:ascii="宋体" w:hAnsi="宋体" w:eastAsia="宋体" w:cs="宋体"/>
          <w:b/>
          <w:color w:val="auto"/>
          <w:sz w:val="21"/>
          <w:szCs w:val="21"/>
          <w:highlight w:val="none"/>
        </w:rPr>
        <w:t>月</w:t>
      </w:r>
      <w:r>
        <w:rPr>
          <w:rFonts w:hint="eastAsia" w:ascii="宋体" w:hAnsi="宋体" w:cs="宋体"/>
          <w:b/>
          <w:color w:val="auto"/>
          <w:sz w:val="21"/>
          <w:szCs w:val="21"/>
          <w:highlight w:val="none"/>
          <w:lang w:val="en-US" w:eastAsia="zh-CN"/>
        </w:rPr>
        <w:t>14</w:t>
      </w:r>
      <w:r>
        <w:rPr>
          <w:rFonts w:hint="eastAsia" w:ascii="宋体" w:hAnsi="宋体" w:eastAsia="宋体" w:cs="宋体"/>
          <w:b/>
          <w:color w:val="auto"/>
          <w:sz w:val="21"/>
          <w:szCs w:val="21"/>
          <w:highlight w:val="none"/>
        </w:rPr>
        <w:t>日</w:t>
      </w:r>
      <w:r>
        <w:rPr>
          <w:rFonts w:hint="eastAsia" w:ascii="宋体" w:hAnsi="宋体" w:eastAsia="宋体" w:cs="宋体"/>
          <w:b/>
          <w:color w:val="auto"/>
          <w:sz w:val="21"/>
          <w:szCs w:val="21"/>
          <w:highlight w:val="none"/>
          <w:lang w:val="en-US" w:eastAsia="zh-CN"/>
        </w:rPr>
        <w:t>17</w:t>
      </w:r>
      <w:r>
        <w:rPr>
          <w:rFonts w:hint="eastAsia" w:ascii="宋体" w:hAnsi="宋体" w:eastAsia="宋体" w:cs="宋体"/>
          <w:b/>
          <w:color w:val="auto"/>
          <w:sz w:val="21"/>
          <w:szCs w:val="21"/>
          <w:highlight w:val="none"/>
        </w:rPr>
        <w:t>：00（北京时间）前通过邮寄（以签收时间为准）或派人递送的方式送交到招标代理机构处（地址详见联系方式）；也可以于开标当天投标截止时间前开标现场递交。备份文件须密封完好，并注明投标人单位名称，逾期送达或未密封的备份投标文件将被拒收。</w:t>
      </w:r>
      <w:r>
        <w:rPr>
          <w:rFonts w:hint="eastAsia" w:ascii="宋体" w:hAnsi="宋体" w:eastAsia="宋体" w:cs="宋体"/>
          <w:color w:val="auto"/>
          <w:sz w:val="21"/>
          <w:szCs w:val="21"/>
          <w:highlight w:val="none"/>
        </w:rPr>
        <w:t>（6）投标人应在合同签订前成为浙江政府采购网正式注册供应商。</w:t>
      </w:r>
    </w:p>
    <w:p w14:paraId="7AC26C52">
      <w:pPr>
        <w:pStyle w:val="3"/>
        <w:pageBreakBefore w:val="0"/>
        <w:kinsoku/>
        <w:overflowPunct/>
        <w:topLinePunct w:val="0"/>
        <w:autoSpaceDE/>
        <w:autoSpaceDN/>
        <w:bidi w:val="0"/>
        <w:adjustRightInd/>
        <w:snapToGrid/>
        <w:spacing w:before="0" w:after="0"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七、对本次采购提出询问、质疑、投诉，请按以下方式联系</w:t>
      </w:r>
    </w:p>
    <w:p w14:paraId="324BD674">
      <w:pPr>
        <w:pageBreakBefore w:val="0"/>
        <w:widowControl/>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bookmarkStart w:id="3" w:name="_Toc28359086"/>
      <w:bookmarkStart w:id="4" w:name="_Toc28359009"/>
      <w:r>
        <w:rPr>
          <w:rFonts w:hint="eastAsia" w:ascii="宋体" w:hAnsi="宋体" w:eastAsia="宋体" w:cs="宋体"/>
          <w:color w:val="auto"/>
          <w:sz w:val="21"/>
          <w:szCs w:val="21"/>
          <w:highlight w:val="none"/>
        </w:rPr>
        <w:t>1.采购人信息</w:t>
      </w:r>
    </w:p>
    <w:p w14:paraId="3DF83D9A">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名称：舟山市水利局</w:t>
      </w:r>
    </w:p>
    <w:p w14:paraId="70D8CECF">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地址：浙江省舟山市定海区海天大道681号6号楼</w:t>
      </w:r>
    </w:p>
    <w:p w14:paraId="08114AD1">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6C00598A">
      <w:pPr>
        <w:pageBreakBefore w:val="0"/>
        <w:kinsoku/>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cs="宋体"/>
          <w:color w:val="auto"/>
          <w:sz w:val="21"/>
          <w:szCs w:val="21"/>
          <w:highlight w:val="none"/>
          <w:lang w:val="en-US" w:eastAsia="zh-CN"/>
        </w:rPr>
        <w:t>陈先生</w:t>
      </w:r>
    </w:p>
    <w:p w14:paraId="552C033F">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项目联系方式（询问）：0580-</w:t>
      </w:r>
      <w:r>
        <w:rPr>
          <w:rFonts w:hint="eastAsia" w:ascii="宋体" w:hAnsi="宋体" w:eastAsia="宋体" w:cs="宋体"/>
          <w:color w:val="auto"/>
          <w:sz w:val="21"/>
          <w:szCs w:val="21"/>
          <w:highlight w:val="none"/>
          <w:lang w:val="en-US" w:eastAsia="zh-CN"/>
        </w:rPr>
        <w:t>2553915</w:t>
      </w:r>
    </w:p>
    <w:p w14:paraId="7A76BBAB">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w:t>
      </w:r>
      <w:r>
        <w:rPr>
          <w:rFonts w:hint="eastAsia" w:ascii="宋体" w:hAnsi="宋体" w:eastAsia="宋体" w:cs="宋体"/>
          <w:color w:val="auto"/>
          <w:sz w:val="21"/>
          <w:szCs w:val="21"/>
          <w:highlight w:val="none"/>
          <w:lang w:eastAsia="zh-CN"/>
        </w:rPr>
        <w:t>华先生</w:t>
      </w:r>
    </w:p>
    <w:p w14:paraId="53BC5433">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质疑联系方式：0580-255</w:t>
      </w:r>
      <w:r>
        <w:rPr>
          <w:rFonts w:hint="eastAsia" w:ascii="宋体" w:hAnsi="宋体" w:eastAsia="宋体" w:cs="宋体"/>
          <w:color w:val="auto"/>
          <w:sz w:val="21"/>
          <w:szCs w:val="21"/>
          <w:highlight w:val="none"/>
          <w:lang w:val="en-US" w:eastAsia="zh-CN"/>
        </w:rPr>
        <w:t>3895</w:t>
      </w:r>
    </w:p>
    <w:p w14:paraId="031278F7">
      <w:pPr>
        <w:pageBreakBefore w:val="0"/>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2.采购代理机构信息</w:t>
      </w:r>
      <w:bookmarkEnd w:id="3"/>
      <w:bookmarkEnd w:id="4"/>
    </w:p>
    <w:p w14:paraId="785FB4AE">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名称：浙江省工程咨询有限公司</w:t>
      </w:r>
    </w:p>
    <w:p w14:paraId="7D72EF59">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地址：舟山市临城新区合兴路中昌国际大厦1909</w:t>
      </w:r>
    </w:p>
    <w:p w14:paraId="3A381061">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传真：0580-2166379</w:t>
      </w:r>
    </w:p>
    <w:p w14:paraId="1C975208">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项目联系人（询问）：蒋女士</w:t>
      </w:r>
    </w:p>
    <w:p w14:paraId="626C2B6C">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项目联系方式（询问）：0580-2166339</w:t>
      </w:r>
    </w:p>
    <w:p w14:paraId="3A9F15E0">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质疑联系人：王蕾</w:t>
      </w:r>
    </w:p>
    <w:p w14:paraId="0D052415">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质疑联系方式：0580-2166339</w:t>
      </w:r>
    </w:p>
    <w:p w14:paraId="4BEB4600">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3.同级政府采购监督管理部门</w:t>
      </w:r>
    </w:p>
    <w:p w14:paraId="51219C14">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名称：</w:t>
      </w:r>
      <w:r>
        <w:rPr>
          <w:rFonts w:hint="eastAsia" w:ascii="宋体" w:hAnsi="宋体" w:eastAsia="宋体" w:cs="宋体"/>
          <w:color w:val="auto"/>
          <w:sz w:val="21"/>
          <w:szCs w:val="21"/>
          <w:highlight w:val="none"/>
        </w:rPr>
        <w:t>舟山市财政局政府采购监管处</w:t>
      </w:r>
    </w:p>
    <w:p w14:paraId="1A65774F">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地址：舟山市财政局</w:t>
      </w:r>
    </w:p>
    <w:p w14:paraId="00ED24C3">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传真：0580-2282591</w:t>
      </w:r>
    </w:p>
    <w:p w14:paraId="35766F3F">
      <w:pPr>
        <w:pageBreakBefore w:val="0"/>
        <w:kinsoku/>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eastAsia="宋体" w:cs="宋体"/>
          <w:color w:val="auto"/>
          <w:kern w:val="0"/>
          <w:sz w:val="21"/>
          <w:szCs w:val="21"/>
          <w:highlight w:val="none"/>
          <w:lang w:eastAsia="zh-CN"/>
        </w:rPr>
        <w:t>王女士</w:t>
      </w:r>
    </w:p>
    <w:p w14:paraId="091C1D63">
      <w:pPr>
        <w:pStyle w:val="8"/>
        <w:pageBreakBefore w:val="0"/>
        <w:kinsoku/>
        <w:overflowPunct/>
        <w:topLinePunct w:val="0"/>
        <w:autoSpaceDE/>
        <w:autoSpaceDN/>
        <w:bidi w:val="0"/>
        <w:adjustRightInd/>
        <w:snapToGrid/>
        <w:spacing w:after="0"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监督投诉电话：0580-2282591</w:t>
      </w:r>
    </w:p>
    <w:p w14:paraId="4A263AF1">
      <w:pPr>
        <w:pStyle w:val="9"/>
        <w:pageBreakBefore w:val="0"/>
        <w:kinsoku/>
        <w:overflowPunct/>
        <w:topLinePunct w:val="0"/>
        <w:autoSpaceDE/>
        <w:autoSpaceDN/>
        <w:bidi w:val="0"/>
        <w:adjustRightInd/>
        <w:snapToGrid/>
        <w:spacing w:after="0" w:line="360" w:lineRule="auto"/>
        <w:ind w:firstLine="210"/>
        <w:textAlignment w:val="auto"/>
        <w:rPr>
          <w:rFonts w:hint="eastAsia" w:ascii="宋体" w:hAnsi="宋体" w:eastAsia="宋体" w:cs="宋体"/>
          <w:color w:val="auto"/>
          <w:sz w:val="21"/>
          <w:szCs w:val="21"/>
          <w:highlight w:val="none"/>
        </w:rPr>
      </w:pPr>
    </w:p>
    <w:p w14:paraId="1025DA62">
      <w:pPr>
        <w:pageBreakBefore w:val="0"/>
        <w:widowControl/>
        <w:kinsoku/>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 w:val="21"/>
          <w:szCs w:val="21"/>
          <w:highlight w:val="none"/>
        </w:rPr>
        <w:t>95763</w:t>
      </w:r>
      <w:r>
        <w:rPr>
          <w:rFonts w:hint="eastAsia" w:ascii="宋体" w:hAnsi="宋体" w:eastAsia="宋体" w:cs="宋体"/>
          <w:color w:val="auto"/>
          <w:kern w:val="0"/>
          <w:sz w:val="21"/>
          <w:szCs w:val="21"/>
          <w:highlight w:val="none"/>
        </w:rPr>
        <w:t>获取热线服务帮助。       </w:t>
      </w:r>
    </w:p>
    <w:p w14:paraId="248A229C">
      <w:pPr>
        <w:pageBreakBefore w:val="0"/>
        <w:widowControl/>
        <w:kinsoku/>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1"/>
          <w:szCs w:val="21"/>
          <w:highlight w:val="none"/>
        </w:rPr>
      </w:pPr>
    </w:p>
    <w:p w14:paraId="76794BAA">
      <w:pPr>
        <w:pageBreakBefore w:val="0"/>
        <w:kinsoku/>
        <w:overflowPunct/>
        <w:topLinePunct w:val="0"/>
        <w:autoSpaceDE/>
        <w:autoSpaceDN/>
        <w:bidi w:val="0"/>
        <w:adjustRightInd/>
        <w:snapToGrid/>
        <w:spacing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rPr>
        <w:t>CA问题联系电话（人工）：汇信CA 400-888-4636；天谷CA 400-087-8198。</w:t>
      </w:r>
    </w:p>
    <w:p w14:paraId="744A3753">
      <w:pPr>
        <w:pageBreakBefore w:val="0"/>
        <w:widowControl/>
        <w:kinsoku/>
        <w:overflowPunct/>
        <w:topLinePunct w:val="0"/>
        <w:autoSpaceDE/>
        <w:autoSpaceDN/>
        <w:bidi w:val="0"/>
        <w:adjustRightInd/>
        <w:snapToGrid/>
        <w:spacing w:line="360" w:lineRule="auto"/>
        <w:ind w:firstLine="630" w:firstLineChars="300"/>
        <w:jc w:val="left"/>
        <w:textAlignment w:val="auto"/>
        <w:rPr>
          <w:rFonts w:hint="eastAsia" w:ascii="宋体" w:hAnsi="宋体" w:eastAsia="宋体" w:cs="宋体"/>
          <w:color w:val="auto"/>
          <w:sz w:val="21"/>
          <w:szCs w:val="21"/>
          <w:highlight w:val="none"/>
        </w:rPr>
        <w:sectPr>
          <w:footerReference r:id="rId3" w:type="default"/>
          <w:pgSz w:w="11906" w:h="16838"/>
          <w:pgMar w:top="1304" w:right="1531" w:bottom="1304" w:left="1531" w:header="1304" w:footer="1304" w:gutter="0"/>
          <w:pgBorders>
            <w:top w:val="none" w:sz="0" w:space="0"/>
            <w:left w:val="none" w:sz="0" w:space="0"/>
            <w:bottom w:val="none" w:sz="0" w:space="0"/>
            <w:right w:val="none" w:sz="0" w:space="0"/>
          </w:pgBorders>
          <w:pgNumType w:start="1"/>
          <w:cols w:space="720" w:num="1"/>
          <w:docGrid w:linePitch="286" w:charSpace="0"/>
        </w:sectPr>
      </w:pPr>
    </w:p>
    <w:p w14:paraId="65BAF9B5">
      <w:pPr>
        <w:pStyle w:val="3"/>
        <w:jc w:val="center"/>
        <w:rPr>
          <w:rFonts w:hint="eastAsia" w:ascii="宋体" w:hAnsi="宋体" w:eastAsia="宋体" w:cs="宋体"/>
          <w:b/>
          <w:bCs/>
          <w:color w:val="auto"/>
          <w:sz w:val="30"/>
          <w:highlight w:val="none"/>
        </w:rPr>
      </w:pPr>
      <w:r>
        <w:rPr>
          <w:rFonts w:hint="eastAsia" w:ascii="宋体" w:hAnsi="宋体" w:eastAsia="宋体" w:cs="宋体"/>
          <w:b/>
          <w:bCs/>
          <w:color w:val="auto"/>
          <w:sz w:val="30"/>
          <w:highlight w:val="none"/>
        </w:rPr>
        <w:t>第二章  采购需求</w:t>
      </w:r>
    </w:p>
    <w:p w14:paraId="202599D0">
      <w:pPr>
        <w:keepNext/>
        <w:keepLines/>
        <w:pageBreakBefore w:val="0"/>
        <w:kinsoku/>
        <w:wordWrap w:val="0"/>
        <w:overflowPunct/>
        <w:topLinePunct w:val="0"/>
        <w:autoSpaceDE/>
        <w:autoSpaceDN/>
        <w:bidi w:val="0"/>
        <w:snapToGrid/>
        <w:spacing w:line="360" w:lineRule="auto"/>
        <w:rPr>
          <w:rFonts w:hint="eastAsia" w:ascii="宋体" w:hAnsi="宋体" w:eastAsia="宋体" w:cs="宋体"/>
          <w:b/>
          <w:color w:val="auto"/>
          <w:sz w:val="21"/>
          <w:szCs w:val="21"/>
          <w:highlight w:val="none"/>
        </w:rPr>
      </w:pPr>
    </w:p>
    <w:p w14:paraId="39837718">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一、项目概况</w:t>
      </w:r>
    </w:p>
    <w:p w14:paraId="15CF037A">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1"/>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1、项目名称：</w:t>
      </w:r>
      <w:r>
        <w:rPr>
          <w:rFonts w:hint="eastAsia" w:ascii="宋体" w:hAnsi="宋体" w:cs="宋体"/>
          <w:color w:val="auto"/>
          <w:szCs w:val="21"/>
          <w:highlight w:val="none"/>
          <w:lang w:eastAsia="zh-CN"/>
        </w:rPr>
        <w:t>舟山市水安全保障“十五五”规划项目</w:t>
      </w:r>
    </w:p>
    <w:p w14:paraId="6A52CD48">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1"/>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2、项目背景：</w:t>
      </w:r>
    </w:p>
    <w:p w14:paraId="5F40A19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十五五”时期是以中国式现代化全面推进强国建设、民族复兴伟业的关键时期，也是我省在高质量发展中奋力推进中国特色社会主义共同富裕先行和省域现代化先行的攻坚期，面临新的形势与挑战：一是人口与区域发展呈现新态势，对提升水利赋能发展支撑力提出新要求；二是极端天气常态化，对提升水安全保障韧性提出新要求；三是共同富裕先行示范背景下，人民群众生活追求对水利提出新期盼；四是科技革命和产业变革日新月异，为提升水治理智慧化水平创造新机遇；五是要素保障对水利治理模式提出新要求；六是全面深化改革为水利现代化先行明确新方向。</w:t>
      </w:r>
    </w:p>
    <w:p w14:paraId="36C5901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为深入践行习近平总书记“节水优先、空间均衡、系统治理、两手发力”治水思路和关于治水的重要论述，深入贯彻党的二十大和二次、三次全会精神，持续深化“八八战略”，全面落实十五届省委历次全会部署，聚焦“一个首要任务、三个主攻方向、两个根本”，锚定水利现代化先行总体目标，统筹高质量发展和高水平安全，深化水利改革，舟山市启动水安全保障“十五五”规划编制工作，</w:t>
      </w:r>
      <w:r>
        <w:rPr>
          <w:rFonts w:hint="eastAsia" w:asciiTheme="minorEastAsia" w:hAnsiTheme="minorEastAsia" w:eastAsiaTheme="minorEastAsia" w:cstheme="minorEastAsia"/>
          <w:color w:val="auto"/>
          <w:kern w:val="0"/>
          <w:sz w:val="21"/>
          <w:szCs w:val="21"/>
          <w:highlight w:val="none"/>
        </w:rPr>
        <w:t>为推进“两个先行”提供水安全保障支撑</w:t>
      </w:r>
      <w:r>
        <w:rPr>
          <w:rFonts w:hint="eastAsia" w:asciiTheme="minorEastAsia" w:hAnsiTheme="minorEastAsia" w:eastAsiaTheme="minorEastAsia" w:cstheme="minorEastAsia"/>
          <w:color w:val="auto"/>
          <w:sz w:val="21"/>
          <w:szCs w:val="21"/>
          <w:highlight w:val="none"/>
        </w:rPr>
        <w:t>。</w:t>
      </w:r>
    </w:p>
    <w:p w14:paraId="605A8149">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二、工作内容</w:t>
      </w:r>
    </w:p>
    <w:p w14:paraId="1BDB8EF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1、规划范围</w:t>
      </w:r>
    </w:p>
    <w:p w14:paraId="1D68916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规划范围为舟山市全域，包含定海区、普陀区、岱山县和嵊泗县，陆域面积约1440平方公里。</w:t>
      </w:r>
    </w:p>
    <w:p w14:paraId="3A66CEA2">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2、规划期限</w:t>
      </w:r>
    </w:p>
    <w:p w14:paraId="72D93D9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规划期为2026-2030年，远景展望到2035年。</w:t>
      </w:r>
    </w:p>
    <w:p w14:paraId="6A53841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3、主要内容</w:t>
      </w:r>
    </w:p>
    <w:p w14:paraId="137551B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一是基础资料收集。收集整理舟山市各县（市、区）自然地理、水文气象、水利工程、经济社会、产业布局等情况，相关规划主要内容及“十四五”规划实施情况</w:t>
      </w:r>
      <w:r>
        <w:rPr>
          <w:rFonts w:hint="eastAsia" w:asciiTheme="minorEastAsia" w:hAnsiTheme="minorEastAsia" w:eastAsiaTheme="minorEastAsia" w:cstheme="minorEastAsia"/>
          <w:color w:val="auto"/>
          <w:sz w:val="21"/>
          <w:szCs w:val="21"/>
          <w:highlight w:val="none"/>
          <w:lang w:eastAsia="zh-CN"/>
        </w:rPr>
        <w:t>和终期评估</w:t>
      </w:r>
      <w:r>
        <w:rPr>
          <w:rFonts w:hint="eastAsia" w:asciiTheme="minorEastAsia" w:hAnsiTheme="minorEastAsia" w:eastAsiaTheme="minorEastAsia" w:cstheme="minorEastAsia"/>
          <w:color w:val="auto"/>
          <w:sz w:val="21"/>
          <w:szCs w:val="21"/>
          <w:highlight w:val="none"/>
        </w:rPr>
        <w:t>。</w:t>
      </w:r>
    </w:p>
    <w:p w14:paraId="56F11FB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二是面临形势分析。在“十四五”水利发展成效基础上，对“十五五”面临形势进行全面分析，提出舟山市水安全保障体系存在问题。</w:t>
      </w:r>
    </w:p>
    <w:p w14:paraId="6D5B581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三是水安全保障体系规划。立足舟山市水利建设现状及面临形势，提出构建高标准防洪减灾体系、高水平水资源配置体系、高品质幸福河湖体系、高效能智慧水利体系，提升水利精细化管理水平，弘扬先进水文化，谋划“十五五”重大水利项目。</w:t>
      </w:r>
    </w:p>
    <w:p w14:paraId="471CADB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四是重点水利项目与资金筹措。根据规划体系，对重点工程进行投资估算并提出资金筹措方案。</w:t>
      </w:r>
    </w:p>
    <w:p w14:paraId="26ECD38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五是保障措施。分别从组织领导、要素保障、体制机制、科技创新等方面提出规划保障措施。</w:t>
      </w:r>
    </w:p>
    <w:p w14:paraId="065CF0FB">
      <w:pPr>
        <w:pStyle w:val="8"/>
        <w:rPr>
          <w:rFonts w:hint="eastAsia"/>
          <w:color w:val="auto"/>
          <w:highlight w:val="none"/>
        </w:rPr>
      </w:pPr>
    </w:p>
    <w:p w14:paraId="7BC2B289">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三、项目成果</w:t>
      </w:r>
    </w:p>
    <w:p w14:paraId="79501E33">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1"/>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1、成果内容</w:t>
      </w:r>
    </w:p>
    <w:p w14:paraId="307C33A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Theme="minorEastAsia" w:hAnsiTheme="minorEastAsia" w:eastAsiaTheme="minorEastAsia" w:cstheme="minorEastAsia"/>
          <w:bCs/>
          <w:color w:val="auto"/>
          <w:kern w:val="0"/>
          <w:sz w:val="21"/>
          <w:szCs w:val="21"/>
          <w:highlight w:val="none"/>
        </w:rPr>
      </w:pPr>
      <w:r>
        <w:rPr>
          <w:rFonts w:hint="eastAsia" w:asciiTheme="minorEastAsia" w:hAnsiTheme="minorEastAsia" w:eastAsiaTheme="minorEastAsia" w:cstheme="minorEastAsia"/>
          <w:bCs/>
          <w:color w:val="auto"/>
          <w:kern w:val="0"/>
          <w:sz w:val="21"/>
          <w:szCs w:val="21"/>
          <w:highlight w:val="none"/>
        </w:rPr>
        <w:t>主要成果包括：《舟山市水安全保障“十五五”规划》</w:t>
      </w:r>
      <w:r>
        <w:rPr>
          <w:rFonts w:hint="eastAsia" w:asciiTheme="minorEastAsia" w:hAnsiTheme="minorEastAsia" w:eastAsiaTheme="minorEastAsia" w:cstheme="minorEastAsia"/>
          <w:color w:val="auto"/>
          <w:sz w:val="21"/>
          <w:szCs w:val="21"/>
          <w:highlight w:val="none"/>
        </w:rPr>
        <w:t>、《舟山市定海区水安全保障“十五五”规划》、《舟山市普陀区水安全保障“十五五”规划》、《舟山市岱山县水安全保障“十五五”规划》、《舟山市嵊泗县水安全保障“十五五”规划》及</w:t>
      </w:r>
      <w:r>
        <w:rPr>
          <w:rFonts w:hint="eastAsia" w:asciiTheme="minorEastAsia" w:hAnsiTheme="minorEastAsia" w:eastAsiaTheme="minorEastAsia" w:cstheme="minorEastAsia"/>
          <w:color w:val="auto"/>
          <w:sz w:val="21"/>
          <w:szCs w:val="21"/>
          <w:highlight w:val="none"/>
          <w:lang w:eastAsia="zh-CN"/>
        </w:rPr>
        <w:t>《舟山市水安全保障“十五五”规划思路报告》及“十五五”重大项目库</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lang w:eastAsia="zh-CN"/>
        </w:rPr>
        <w:t>核对与国土空间规划的关系并落图。</w:t>
      </w:r>
    </w:p>
    <w:p w14:paraId="4F221B16">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1"/>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2、成果要求</w:t>
      </w:r>
    </w:p>
    <w:p w14:paraId="6A75F96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（1）遵守和符合国家及行业颁发的现行有效技术标准和技术规范。</w:t>
      </w:r>
    </w:p>
    <w:p w14:paraId="4AEDB92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（2）成果形式：通过专家审查。</w:t>
      </w:r>
    </w:p>
    <w:p w14:paraId="1CE5447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（3）主要成果包括但不限于以下内容：报告文本、图纸纸质版。纸质文本为彩色打印的图册，份数按采购人的要求提供。所有电子文件一份并包括jpg格式的设计图纸。</w:t>
      </w:r>
    </w:p>
    <w:p w14:paraId="227F882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（4）完成的成果的权利归属：本次研究成果其所形成的相关知识产权（著作权等）甲乙双方共同所有。</w:t>
      </w:r>
    </w:p>
    <w:p w14:paraId="5D3B3C80">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rPr>
      </w:pPr>
      <w:r>
        <w:rPr>
          <w:rFonts w:hint="eastAsia" w:asciiTheme="minorEastAsia" w:hAnsiTheme="minorEastAsia" w:eastAsiaTheme="minorEastAsia" w:cstheme="minorEastAsia"/>
          <w:b/>
          <w:color w:val="auto"/>
          <w:kern w:val="0"/>
          <w:sz w:val="21"/>
          <w:szCs w:val="21"/>
          <w:highlight w:val="none"/>
        </w:rPr>
        <w:t>四、进度要求</w:t>
      </w:r>
    </w:p>
    <w:p w14:paraId="6C53E61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签订合同后15天内，完成工作大纲，工作大纲应符合甲方要求。</w:t>
      </w:r>
    </w:p>
    <w:p w14:paraId="16EB93B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2025年</w:t>
      </w: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月底前，完成“十五五”</w:t>
      </w:r>
      <w:r>
        <w:rPr>
          <w:rFonts w:hint="eastAsia" w:asciiTheme="minorEastAsia" w:hAnsiTheme="minorEastAsia" w:eastAsiaTheme="minorEastAsia" w:cstheme="minorEastAsia"/>
          <w:color w:val="auto"/>
          <w:kern w:val="0"/>
          <w:sz w:val="21"/>
          <w:szCs w:val="21"/>
          <w:highlight w:val="none"/>
          <w:lang w:eastAsia="zh-CN"/>
        </w:rPr>
        <w:t>规划思路、</w:t>
      </w:r>
      <w:r>
        <w:rPr>
          <w:rFonts w:hint="eastAsia" w:asciiTheme="minorEastAsia" w:hAnsiTheme="minorEastAsia" w:eastAsiaTheme="minorEastAsia" w:cstheme="minorEastAsia"/>
          <w:color w:val="auto"/>
          <w:kern w:val="0"/>
          <w:sz w:val="21"/>
          <w:szCs w:val="21"/>
          <w:highlight w:val="none"/>
        </w:rPr>
        <w:t>重大项目筛选，形成十五五项目库初稿；</w:t>
      </w:r>
    </w:p>
    <w:p w14:paraId="399075C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2025年7月底前，完成“十五五”规划初稿；</w:t>
      </w:r>
    </w:p>
    <w:p w14:paraId="7603E2C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2025年9月底前，完成“十五五”规划征求意见稿；</w:t>
      </w:r>
    </w:p>
    <w:p w14:paraId="0E1F098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2025年12月底前，完成“十五五”规划送审稿；</w:t>
      </w:r>
    </w:p>
    <w:p w14:paraId="57BDBDA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rPr>
        <w:t>2026年6月底前，做好国家及全省“十五五”规划纲要、水利部“十五五”规划、省水利厅“十五五”规划等衔接工作，完成“十五五”规划报批稿</w:t>
      </w:r>
      <w:r>
        <w:rPr>
          <w:rFonts w:hint="eastAsia" w:eastAsia="宋体"/>
          <w:color w:val="auto"/>
          <w:highlight w:val="none"/>
          <w:lang w:eastAsia="zh-CN"/>
        </w:rPr>
        <w:t>并规划项目落图</w:t>
      </w:r>
      <w:r>
        <w:rPr>
          <w:rFonts w:hint="eastAsia" w:asciiTheme="minorEastAsia" w:hAnsiTheme="minorEastAsia" w:eastAsiaTheme="minorEastAsia" w:cstheme="minorEastAsia"/>
          <w:color w:val="auto"/>
          <w:kern w:val="0"/>
          <w:sz w:val="21"/>
          <w:szCs w:val="21"/>
          <w:highlight w:val="none"/>
        </w:rPr>
        <w:t>。</w:t>
      </w:r>
    </w:p>
    <w:p w14:paraId="1F8259F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原则上按以上进度要求实施，具体进度根据采购人工作部署要求可适当调整。</w:t>
      </w:r>
    </w:p>
    <w:p w14:paraId="23FDF33E">
      <w:pPr>
        <w:keepNext w:val="0"/>
        <w:keepLines w:val="0"/>
        <w:pageBreakBefore w:val="0"/>
        <w:widowControl w:val="0"/>
        <w:numPr>
          <w:ilvl w:val="0"/>
          <w:numId w:val="3"/>
        </w:numPr>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lang w:val="en-US" w:eastAsia="zh-CN"/>
        </w:rPr>
      </w:pPr>
      <w:r>
        <w:rPr>
          <w:rFonts w:hint="eastAsia" w:asciiTheme="minorEastAsia" w:hAnsiTheme="minorEastAsia" w:eastAsiaTheme="minorEastAsia" w:cstheme="minorEastAsia"/>
          <w:b/>
          <w:color w:val="auto"/>
          <w:kern w:val="0"/>
          <w:sz w:val="21"/>
          <w:szCs w:val="21"/>
          <w:highlight w:val="none"/>
          <w:lang w:val="en-US" w:eastAsia="zh-CN"/>
        </w:rPr>
        <w:t>服务期</w:t>
      </w:r>
    </w:p>
    <w:p w14:paraId="22AA834A">
      <w:pPr>
        <w:spacing w:line="324"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 w:val="21"/>
          <w:szCs w:val="21"/>
          <w:highlight w:val="none"/>
        </w:rPr>
        <w:t>自合同签订之日起</w:t>
      </w:r>
      <w:r>
        <w:rPr>
          <w:rFonts w:hint="eastAsia" w:ascii="宋体" w:hAnsi="宋体" w:cs="宋体"/>
          <w:color w:val="auto"/>
          <w:sz w:val="21"/>
          <w:szCs w:val="21"/>
          <w:highlight w:val="none"/>
          <w:lang w:val="en-US" w:eastAsia="zh-CN"/>
        </w:rPr>
        <w:t>十八个月</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具体以</w:t>
      </w:r>
      <w:r>
        <w:rPr>
          <w:rFonts w:hint="eastAsia" w:ascii="宋体" w:hAnsi="宋体" w:eastAsia="宋体" w:cs="宋体"/>
          <w:color w:val="auto"/>
          <w:szCs w:val="21"/>
          <w:highlight w:val="none"/>
          <w:lang w:val="en-US" w:eastAsia="zh-CN"/>
        </w:rPr>
        <w:t>双方</w:t>
      </w:r>
      <w:r>
        <w:rPr>
          <w:rFonts w:hint="eastAsia" w:ascii="宋体" w:hAnsi="宋体" w:eastAsia="宋体" w:cs="宋体"/>
          <w:color w:val="auto"/>
          <w:szCs w:val="21"/>
          <w:highlight w:val="none"/>
        </w:rPr>
        <w:t>合同签订时间为准。</w:t>
      </w:r>
    </w:p>
    <w:p w14:paraId="02D32627">
      <w:pPr>
        <w:keepNext w:val="0"/>
        <w:keepLines w:val="0"/>
        <w:pageBreakBefore w:val="0"/>
        <w:widowControl w:val="0"/>
        <w:numPr>
          <w:ilvl w:val="0"/>
          <w:numId w:val="3"/>
        </w:numPr>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lang w:val="en-US" w:eastAsia="zh-CN"/>
        </w:rPr>
      </w:pPr>
      <w:r>
        <w:rPr>
          <w:rFonts w:hint="eastAsia" w:asciiTheme="minorEastAsia" w:hAnsiTheme="minorEastAsia" w:eastAsiaTheme="minorEastAsia" w:cstheme="minorEastAsia"/>
          <w:b/>
          <w:color w:val="auto"/>
          <w:kern w:val="0"/>
          <w:sz w:val="21"/>
          <w:szCs w:val="21"/>
          <w:highlight w:val="none"/>
          <w:lang w:val="en-US" w:eastAsia="zh-CN"/>
        </w:rPr>
        <w:t>付款方式</w:t>
      </w:r>
    </w:p>
    <w:p w14:paraId="37B409B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1.合同生效以及提交满足采购人要求的初步成果后</w:t>
      </w:r>
      <w:r>
        <w:rPr>
          <w:rFonts w:hint="default" w:asciiTheme="minorEastAsia" w:hAnsiTheme="minorEastAsia" w:eastAsiaTheme="minorEastAsia" w:cstheme="minorEastAsia"/>
          <w:color w:val="auto"/>
          <w:kern w:val="0"/>
          <w:sz w:val="21"/>
          <w:szCs w:val="21"/>
          <w:highlight w:val="none"/>
        </w:rPr>
        <w:t>7个工作日内，采购人向</w:t>
      </w:r>
      <w:r>
        <w:rPr>
          <w:rFonts w:hint="default" w:asciiTheme="minorEastAsia" w:hAnsiTheme="minorEastAsia" w:eastAsiaTheme="minorEastAsia" w:cstheme="minorEastAsia"/>
          <w:color w:val="auto"/>
          <w:kern w:val="0"/>
          <w:sz w:val="21"/>
          <w:szCs w:val="21"/>
          <w:highlight w:val="none"/>
          <w:lang w:eastAsia="zh-CN"/>
        </w:rPr>
        <w:t>成交供应商</w:t>
      </w:r>
      <w:r>
        <w:rPr>
          <w:rFonts w:hint="default" w:asciiTheme="minorEastAsia" w:hAnsiTheme="minorEastAsia" w:eastAsiaTheme="minorEastAsia" w:cstheme="minorEastAsia"/>
          <w:color w:val="auto"/>
          <w:kern w:val="0"/>
          <w:sz w:val="21"/>
          <w:szCs w:val="21"/>
          <w:highlight w:val="none"/>
        </w:rPr>
        <w:t>支付合同价的</w:t>
      </w:r>
      <w:r>
        <w:rPr>
          <w:rFonts w:hint="default" w:asciiTheme="minorEastAsia" w:hAnsiTheme="minorEastAsia" w:eastAsiaTheme="minorEastAsia" w:cstheme="minorEastAsia"/>
          <w:color w:val="auto"/>
          <w:kern w:val="0"/>
          <w:sz w:val="21"/>
          <w:szCs w:val="21"/>
          <w:highlight w:val="none"/>
          <w:lang w:val="en-US" w:eastAsia="zh-CN"/>
        </w:rPr>
        <w:t>50</w:t>
      </w:r>
      <w:r>
        <w:rPr>
          <w:rFonts w:hint="default" w:asciiTheme="minorEastAsia" w:hAnsiTheme="minorEastAsia" w:eastAsiaTheme="minorEastAsia" w:cstheme="minorEastAsia"/>
          <w:color w:val="auto"/>
          <w:kern w:val="0"/>
          <w:sz w:val="21"/>
          <w:szCs w:val="21"/>
          <w:highlight w:val="none"/>
        </w:rPr>
        <w:t>%为预付款，</w:t>
      </w:r>
      <w:r>
        <w:rPr>
          <w:rFonts w:hint="default" w:asciiTheme="minorEastAsia" w:hAnsiTheme="minorEastAsia" w:eastAsiaTheme="minorEastAsia" w:cstheme="minorEastAsia"/>
          <w:color w:val="auto"/>
          <w:kern w:val="0"/>
          <w:sz w:val="21"/>
          <w:szCs w:val="21"/>
          <w:highlight w:val="none"/>
          <w:lang w:val="en-US" w:eastAsia="zh-CN"/>
        </w:rPr>
        <w:t>成交</w:t>
      </w:r>
      <w:r>
        <w:rPr>
          <w:rFonts w:hint="default" w:asciiTheme="minorEastAsia" w:hAnsiTheme="minorEastAsia" w:eastAsiaTheme="minorEastAsia" w:cstheme="minorEastAsia"/>
          <w:color w:val="auto"/>
          <w:kern w:val="0"/>
          <w:sz w:val="21"/>
          <w:szCs w:val="21"/>
          <w:highlight w:val="none"/>
          <w:lang w:eastAsia="zh-CN"/>
        </w:rPr>
        <w:t>供应商</w:t>
      </w:r>
      <w:r>
        <w:rPr>
          <w:rFonts w:hint="default" w:asciiTheme="minorEastAsia" w:hAnsiTheme="minorEastAsia" w:eastAsiaTheme="minorEastAsia" w:cstheme="minorEastAsia"/>
          <w:color w:val="auto"/>
          <w:kern w:val="0"/>
          <w:sz w:val="21"/>
          <w:szCs w:val="21"/>
          <w:highlight w:val="none"/>
          <w:lang w:val="en-US" w:eastAsia="zh-CN"/>
        </w:rPr>
        <w:t>提交成果并经采购人验收合格后结清合同价款</w:t>
      </w:r>
      <w:r>
        <w:rPr>
          <w:rFonts w:hint="default" w:asciiTheme="minorEastAsia" w:hAnsiTheme="minorEastAsia" w:eastAsiaTheme="minorEastAsia" w:cstheme="minorEastAsia"/>
          <w:color w:val="auto"/>
          <w:kern w:val="0"/>
          <w:sz w:val="21"/>
          <w:szCs w:val="21"/>
          <w:highlight w:val="none"/>
        </w:rPr>
        <w:t>。</w:t>
      </w:r>
    </w:p>
    <w:p w14:paraId="4FDBEEB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2.</w:t>
      </w:r>
      <w:r>
        <w:rPr>
          <w:rFonts w:hint="default" w:asciiTheme="minorEastAsia" w:hAnsiTheme="minorEastAsia" w:eastAsiaTheme="minorEastAsia" w:cstheme="minorEastAsia"/>
          <w:color w:val="auto"/>
          <w:kern w:val="0"/>
          <w:sz w:val="21"/>
          <w:szCs w:val="21"/>
          <w:highlight w:val="none"/>
        </w:rPr>
        <w:t>采购人向</w:t>
      </w:r>
      <w:r>
        <w:rPr>
          <w:rFonts w:hint="default" w:asciiTheme="minorEastAsia" w:hAnsiTheme="minorEastAsia" w:eastAsiaTheme="minorEastAsia" w:cstheme="minorEastAsia"/>
          <w:color w:val="auto"/>
          <w:kern w:val="0"/>
          <w:sz w:val="21"/>
          <w:szCs w:val="21"/>
          <w:highlight w:val="none"/>
          <w:lang w:eastAsia="zh-CN"/>
        </w:rPr>
        <w:t>成交供应商</w:t>
      </w:r>
      <w:r>
        <w:rPr>
          <w:rFonts w:hint="default" w:asciiTheme="minorEastAsia" w:hAnsiTheme="minorEastAsia" w:eastAsiaTheme="minorEastAsia" w:cstheme="minorEastAsia"/>
          <w:color w:val="auto"/>
          <w:kern w:val="0"/>
          <w:sz w:val="21"/>
          <w:szCs w:val="21"/>
          <w:highlight w:val="none"/>
        </w:rPr>
        <w:t>支付款项前（含预付款支付），</w:t>
      </w:r>
      <w:r>
        <w:rPr>
          <w:rFonts w:hint="default" w:asciiTheme="minorEastAsia" w:hAnsiTheme="minorEastAsia" w:eastAsiaTheme="minorEastAsia" w:cstheme="minorEastAsia"/>
          <w:color w:val="auto"/>
          <w:kern w:val="0"/>
          <w:sz w:val="21"/>
          <w:szCs w:val="21"/>
          <w:highlight w:val="none"/>
          <w:lang w:eastAsia="zh-CN"/>
        </w:rPr>
        <w:t>供应商</w:t>
      </w:r>
      <w:r>
        <w:rPr>
          <w:rFonts w:hint="default" w:asciiTheme="minorEastAsia" w:hAnsiTheme="minorEastAsia" w:eastAsiaTheme="minorEastAsia" w:cstheme="minorEastAsia"/>
          <w:color w:val="auto"/>
          <w:kern w:val="0"/>
          <w:sz w:val="21"/>
          <w:szCs w:val="21"/>
          <w:highlight w:val="none"/>
        </w:rPr>
        <w:t>应当提供相应金额的税费发票，</w:t>
      </w:r>
      <w:r>
        <w:rPr>
          <w:rFonts w:hint="default" w:asciiTheme="minorEastAsia" w:hAnsiTheme="minorEastAsia" w:eastAsiaTheme="minorEastAsia" w:cstheme="minorEastAsia"/>
          <w:color w:val="auto"/>
          <w:kern w:val="0"/>
          <w:sz w:val="21"/>
          <w:szCs w:val="21"/>
          <w:highlight w:val="none"/>
          <w:lang w:eastAsia="zh-CN"/>
        </w:rPr>
        <w:t>供应商</w:t>
      </w:r>
      <w:r>
        <w:rPr>
          <w:rFonts w:hint="default" w:asciiTheme="minorEastAsia" w:hAnsiTheme="minorEastAsia" w:eastAsiaTheme="minorEastAsia" w:cstheme="minorEastAsia"/>
          <w:color w:val="auto"/>
          <w:kern w:val="0"/>
          <w:sz w:val="21"/>
          <w:szCs w:val="21"/>
          <w:highlight w:val="none"/>
        </w:rPr>
        <w:t>未及时提供税务发票而</w:t>
      </w:r>
      <w:r>
        <w:rPr>
          <w:rFonts w:hint="eastAsia" w:asciiTheme="minorEastAsia" w:hAnsiTheme="minorEastAsia" w:eastAsiaTheme="minorEastAsia" w:cstheme="minorEastAsia"/>
          <w:color w:val="auto"/>
          <w:kern w:val="0"/>
          <w:sz w:val="21"/>
          <w:szCs w:val="21"/>
          <w:highlight w:val="none"/>
        </w:rPr>
        <w:t>导致采购人未及时支付款项的，由此产生的责任及风险均由</w:t>
      </w:r>
      <w:r>
        <w:rPr>
          <w:rFonts w:hint="eastAsia" w:asciiTheme="minorEastAsia" w:hAnsiTheme="minorEastAsia" w:eastAsiaTheme="minorEastAsia" w:cstheme="minorEastAsia"/>
          <w:color w:val="auto"/>
          <w:kern w:val="0"/>
          <w:sz w:val="21"/>
          <w:szCs w:val="21"/>
          <w:highlight w:val="none"/>
          <w:lang w:eastAsia="zh-CN"/>
        </w:rPr>
        <w:t>供应商</w:t>
      </w:r>
      <w:r>
        <w:rPr>
          <w:rFonts w:hint="eastAsia" w:asciiTheme="minorEastAsia" w:hAnsiTheme="minorEastAsia" w:eastAsiaTheme="minorEastAsia" w:cstheme="minorEastAsia"/>
          <w:color w:val="auto"/>
          <w:kern w:val="0"/>
          <w:sz w:val="21"/>
          <w:szCs w:val="21"/>
          <w:highlight w:val="none"/>
        </w:rPr>
        <w:t>自行承担。</w:t>
      </w:r>
    </w:p>
    <w:p w14:paraId="019AD6BF">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Theme="minorEastAsia" w:hAnsiTheme="minorEastAsia" w:eastAsiaTheme="minorEastAsia" w:cstheme="minorEastAsia"/>
          <w:b/>
          <w:color w:val="auto"/>
          <w:kern w:val="0"/>
          <w:sz w:val="21"/>
          <w:szCs w:val="21"/>
          <w:highlight w:val="none"/>
          <w:lang w:val="en-US" w:eastAsia="zh-CN"/>
        </w:rPr>
      </w:pPr>
      <w:bookmarkStart w:id="5" w:name="_Toc18910"/>
      <w:r>
        <w:rPr>
          <w:rFonts w:hint="eastAsia" w:asciiTheme="minorEastAsia" w:hAnsiTheme="minorEastAsia" w:eastAsiaTheme="minorEastAsia" w:cstheme="minorEastAsia"/>
          <w:b/>
          <w:color w:val="auto"/>
          <w:kern w:val="0"/>
          <w:sz w:val="21"/>
          <w:szCs w:val="21"/>
          <w:highlight w:val="none"/>
          <w:lang w:val="en-US" w:eastAsia="zh-CN"/>
        </w:rPr>
        <w:t>七、知识产权及保密要求</w:t>
      </w:r>
      <w:bookmarkEnd w:id="5"/>
    </w:p>
    <w:p w14:paraId="4A83909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1.成交供应商应保证提供服务过程中，不会侵犯任何第三方的知识产权。</w:t>
      </w:r>
    </w:p>
    <w:p w14:paraId="423CD58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2.在本合同有效期内，采购人利用成交供应商提交的技术咨询工作成果所完成的新的技术成果，归采购人所有，成交供应商不得用于本合同之外的用途。</w:t>
      </w:r>
    </w:p>
    <w:p w14:paraId="384D82F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3.成交供应商应保证提交的项目成果和提供的服务符合中华人民共和国法律和国际公约或惯例；成交供应商应保证采购人在使用和应用合同项下的项目成果时，免于承担第三方提出的侵犯其专利权、著作权。</w:t>
      </w:r>
    </w:p>
    <w:p w14:paraId="6E984BB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lang w:val="en-US" w:eastAsia="zh-CN"/>
        </w:rPr>
      </w:pPr>
      <w:r>
        <w:rPr>
          <w:rFonts w:hint="eastAsia" w:asciiTheme="minorEastAsia" w:hAnsiTheme="minorEastAsia" w:eastAsiaTheme="minorEastAsia" w:cstheme="minorEastAsia"/>
          <w:color w:val="auto"/>
          <w:kern w:val="0"/>
          <w:sz w:val="21"/>
          <w:szCs w:val="21"/>
          <w:highlight w:val="none"/>
          <w:lang w:val="en-US" w:eastAsia="zh-CN"/>
        </w:rPr>
        <w:t>4.对于一方向另一方提供的信息和资料。另一方须以合理和合适的方式或按照适用的专业标准保密这些资料。未经提供方书面同意，另一方不得将这些资料通过任何方式透露给第三方。但采购人合理使用获得的本项目成果则不在此列。</w:t>
      </w:r>
    </w:p>
    <w:p w14:paraId="3B712B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heme="minorEastAsia" w:hAnsiTheme="minorEastAsia" w:eastAsiaTheme="minorEastAsia" w:cstheme="minorEastAsia"/>
          <w:color w:val="auto"/>
          <w:kern w:val="0"/>
          <w:sz w:val="21"/>
          <w:szCs w:val="21"/>
          <w:highlight w:val="none"/>
        </w:rPr>
      </w:pPr>
      <w:r>
        <w:rPr>
          <w:rFonts w:hint="eastAsia" w:asciiTheme="minorEastAsia" w:hAnsiTheme="minorEastAsia" w:eastAsiaTheme="minorEastAsia" w:cstheme="minorEastAsia"/>
          <w:color w:val="auto"/>
          <w:kern w:val="0"/>
          <w:sz w:val="21"/>
          <w:szCs w:val="21"/>
          <w:highlight w:val="none"/>
          <w:lang w:val="en-US" w:eastAsia="zh-CN"/>
        </w:rPr>
        <w:t>5.</w:t>
      </w:r>
      <w:r>
        <w:rPr>
          <w:rFonts w:hint="eastAsia" w:asciiTheme="minorEastAsia" w:hAnsiTheme="minorEastAsia" w:eastAsiaTheme="minorEastAsia" w:cstheme="minorEastAsia"/>
          <w:color w:val="auto"/>
          <w:kern w:val="0"/>
          <w:sz w:val="21"/>
          <w:szCs w:val="21"/>
          <w:highlight w:val="none"/>
        </w:rPr>
        <w:t>建立严格的保密制度，</w:t>
      </w:r>
      <w:r>
        <w:rPr>
          <w:rFonts w:hint="eastAsia" w:asciiTheme="minorEastAsia" w:hAnsiTheme="minorEastAsia" w:eastAsiaTheme="minorEastAsia" w:cstheme="minorEastAsia"/>
          <w:color w:val="auto"/>
          <w:kern w:val="0"/>
          <w:sz w:val="21"/>
          <w:szCs w:val="21"/>
          <w:highlight w:val="none"/>
          <w:lang w:val="en-US" w:eastAsia="zh-CN"/>
        </w:rPr>
        <w:t>成交供应商</w:t>
      </w:r>
      <w:r>
        <w:rPr>
          <w:rFonts w:hint="eastAsia" w:asciiTheme="minorEastAsia" w:hAnsiTheme="minorEastAsia" w:eastAsiaTheme="minorEastAsia" w:cstheme="minorEastAsia"/>
          <w:color w:val="auto"/>
          <w:kern w:val="0"/>
          <w:sz w:val="21"/>
          <w:szCs w:val="21"/>
          <w:highlight w:val="none"/>
        </w:rPr>
        <w:t>应当加强对工作人员的保密管理及保密知识教育。</w:t>
      </w:r>
    </w:p>
    <w:p w14:paraId="40AB15F9">
      <w:pPr>
        <w:keepNext/>
        <w:keepLines/>
        <w:pageBreakBefore w:val="0"/>
        <w:kinsoku/>
        <w:wordWrap w:val="0"/>
        <w:overflowPunct/>
        <w:topLinePunct w:val="0"/>
        <w:autoSpaceDE/>
        <w:autoSpaceDN/>
        <w:bidi w:val="0"/>
        <w:adjustRightInd/>
        <w:snapToGrid/>
        <w:spacing w:line="360" w:lineRule="auto"/>
        <w:rPr>
          <w:rFonts w:hint="eastAsia" w:ascii="宋体" w:hAnsi="宋体" w:eastAsia="宋体" w:cs="宋体"/>
          <w:b/>
          <w:color w:val="auto"/>
          <w:sz w:val="21"/>
          <w:szCs w:val="21"/>
          <w:highlight w:val="none"/>
        </w:rPr>
      </w:pPr>
      <w:r>
        <w:rPr>
          <w:rFonts w:hint="eastAsia" w:ascii="宋体" w:hAnsi="宋体" w:cs="宋体"/>
          <w:b/>
          <w:color w:val="auto"/>
          <w:sz w:val="21"/>
          <w:szCs w:val="21"/>
          <w:highlight w:val="none"/>
          <w:lang w:val="en-US" w:eastAsia="zh-CN"/>
        </w:rPr>
        <w:t>八</w:t>
      </w:r>
      <w:r>
        <w:rPr>
          <w:rFonts w:hint="eastAsia" w:ascii="宋体" w:hAnsi="宋体" w:eastAsia="宋体" w:cs="宋体"/>
          <w:b/>
          <w:color w:val="auto"/>
          <w:sz w:val="21"/>
          <w:szCs w:val="21"/>
          <w:highlight w:val="none"/>
        </w:rPr>
        <w:t>、其他</w:t>
      </w:r>
    </w:p>
    <w:p w14:paraId="1733C8E6">
      <w:pPr>
        <w:pageBreakBefore w:val="0"/>
        <w:widowControl/>
        <w:shd w:val="clear" w:color="auto" w:fill="FFFFFF"/>
        <w:kinsoku/>
        <w:wordWrap w:val="0"/>
        <w:overflowPunct/>
        <w:topLinePunct w:val="0"/>
        <w:autoSpaceDE/>
        <w:autoSpaceDN/>
        <w:bidi w:val="0"/>
        <w:adjustRightInd/>
        <w:snapToGrid/>
        <w:spacing w:line="360" w:lineRule="auto"/>
        <w:ind w:firstLine="420" w:firstLineChars="200"/>
        <w:textAlignment w:val="bottom"/>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1、本项目采用“统招分签”方式，招标人为</w:t>
      </w:r>
      <w:r>
        <w:rPr>
          <w:rFonts w:hint="eastAsia" w:ascii="宋体" w:hAnsi="宋体" w:eastAsia="宋体" w:cs="宋体"/>
          <w:color w:val="auto"/>
          <w:sz w:val="21"/>
          <w:szCs w:val="21"/>
          <w:highlight w:val="none"/>
        </w:rPr>
        <w:t>舟山市水利局</w:t>
      </w:r>
      <w:r>
        <w:rPr>
          <w:rFonts w:hint="eastAsia" w:ascii="宋体" w:hAnsi="宋体" w:cs="宋体"/>
          <w:color w:val="auto"/>
          <w:sz w:val="21"/>
          <w:szCs w:val="21"/>
          <w:highlight w:val="none"/>
          <w:lang w:val="en-US" w:eastAsia="zh-CN"/>
        </w:rPr>
        <w:t>，</w:t>
      </w:r>
      <w:r>
        <w:rPr>
          <w:rFonts w:hint="eastAsia" w:asciiTheme="minorEastAsia" w:hAnsiTheme="minorEastAsia" w:eastAsiaTheme="minorEastAsia" w:cstheme="minorEastAsia"/>
          <w:color w:val="auto"/>
          <w:kern w:val="0"/>
          <w:sz w:val="21"/>
          <w:szCs w:val="21"/>
          <w:highlight w:val="none"/>
          <w:lang w:val="en-US" w:eastAsia="zh-CN"/>
        </w:rPr>
        <w:t>供应商中标后须</w:t>
      </w:r>
      <w:r>
        <w:rPr>
          <w:rFonts w:hint="eastAsia" w:ascii="宋体" w:hAnsi="宋体" w:cs="宋体"/>
          <w:color w:val="auto"/>
          <w:sz w:val="21"/>
          <w:szCs w:val="21"/>
          <w:highlight w:val="none"/>
          <w:lang w:val="en-US" w:eastAsia="zh-CN"/>
        </w:rPr>
        <w:t>分别跟舟山市水利局、舟山市普陀区水利局、舟山市定海区水利局、岱山县农业农村局（岱山县水利局）、嵊泗县水利局五家单位根据采购内容签订采购合同，并分别进行资金结算。</w:t>
      </w:r>
    </w:p>
    <w:p w14:paraId="51203E5D">
      <w:pPr>
        <w:pageBreakBefore w:val="0"/>
        <w:widowControl/>
        <w:shd w:val="clear" w:color="auto" w:fill="FFFFFF"/>
        <w:kinsoku/>
        <w:wordWrap w:val="0"/>
        <w:overflowPunct/>
        <w:topLinePunct w:val="0"/>
        <w:autoSpaceDE/>
        <w:autoSpaceDN/>
        <w:bidi w:val="0"/>
        <w:adjustRightInd/>
        <w:snapToGrid/>
        <w:spacing w:line="360" w:lineRule="auto"/>
        <w:ind w:firstLine="420" w:firstLineChars="200"/>
        <w:textAlignment w:val="bottom"/>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投标人应对招标、实施、操作等过程中采取保密和安全措施，因投标人造成的不良影响和损失，投标人应承担相应责任。</w:t>
      </w:r>
    </w:p>
    <w:p w14:paraId="35E26DE1">
      <w:pPr>
        <w:pageBreakBefore w:val="0"/>
        <w:widowControl/>
        <w:shd w:val="clear" w:color="auto" w:fill="FFFFFF"/>
        <w:kinsoku/>
        <w:wordWrap w:val="0"/>
        <w:overflowPunct/>
        <w:topLinePunct w:val="0"/>
        <w:autoSpaceDE/>
        <w:autoSpaceDN/>
        <w:bidi w:val="0"/>
        <w:adjustRightInd/>
        <w:snapToGrid/>
        <w:spacing w:line="360" w:lineRule="auto"/>
        <w:ind w:firstLine="420" w:firstLineChars="200"/>
        <w:textAlignment w:val="bottom"/>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招标人认为投标人提供的服务不能满足需求，可否决、终止本次采购。</w:t>
      </w:r>
    </w:p>
    <w:p w14:paraId="19D1E186">
      <w:pPr>
        <w:rPr>
          <w:rFonts w:hint="eastAsia" w:ascii="宋体" w:hAnsi="宋体" w:eastAsia="宋体" w:cs="宋体"/>
          <w:color w:val="auto"/>
          <w:sz w:val="30"/>
          <w:szCs w:val="30"/>
          <w:highlight w:val="none"/>
        </w:rPr>
      </w:pPr>
    </w:p>
    <w:p w14:paraId="457BA4B5">
      <w:pP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br w:type="page"/>
      </w:r>
    </w:p>
    <w:p w14:paraId="2DBC68A4">
      <w:pPr>
        <w:pStyle w:val="3"/>
        <w:jc w:val="center"/>
        <w:rPr>
          <w:rFonts w:hint="eastAsia" w:ascii="宋体" w:hAnsi="宋体" w:eastAsia="宋体" w:cs="宋体"/>
          <w:b/>
          <w:bCs/>
          <w:color w:val="auto"/>
          <w:szCs w:val="21"/>
          <w:highlight w:val="none"/>
        </w:rPr>
      </w:pPr>
      <w:r>
        <w:rPr>
          <w:rFonts w:hint="eastAsia" w:ascii="宋体" w:hAnsi="宋体" w:eastAsia="宋体" w:cs="宋体"/>
          <w:b/>
          <w:bCs/>
          <w:color w:val="auto"/>
          <w:sz w:val="30"/>
          <w:szCs w:val="30"/>
          <w:highlight w:val="none"/>
        </w:rPr>
        <w:t>第三章  投标人须知</w:t>
      </w:r>
    </w:p>
    <w:p w14:paraId="6187286C">
      <w:pPr>
        <w:spacing w:line="400" w:lineRule="exact"/>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前附表</w:t>
      </w:r>
    </w:p>
    <w:tbl>
      <w:tblPr>
        <w:tblStyle w:val="23"/>
        <w:tblW w:w="10059"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19"/>
        <w:gridCol w:w="1525"/>
        <w:gridCol w:w="4679"/>
        <w:gridCol w:w="1425"/>
        <w:gridCol w:w="1811"/>
      </w:tblGrid>
      <w:tr w14:paraId="53091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17" w:hRule="atLeast"/>
          <w:tblCellSpacing w:w="7" w:type="dxa"/>
          <w:jc w:val="center"/>
        </w:trPr>
        <w:tc>
          <w:tcPr>
            <w:tcW w:w="598" w:type="dxa"/>
            <w:shd w:val="clear" w:color="auto" w:fill="E0E0E0"/>
            <w:vAlign w:val="center"/>
          </w:tcPr>
          <w:p w14:paraId="316E3AF0">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9419" w:type="dxa"/>
            <w:gridSpan w:val="4"/>
            <w:shd w:val="clear" w:color="auto" w:fill="E0E0E0"/>
            <w:vAlign w:val="center"/>
          </w:tcPr>
          <w:p w14:paraId="0A66B7EB">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内容说明及要求</w:t>
            </w:r>
          </w:p>
        </w:tc>
      </w:tr>
      <w:tr w14:paraId="3547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78EB8295">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w:t>
            </w:r>
          </w:p>
        </w:tc>
        <w:tc>
          <w:tcPr>
            <w:tcW w:w="1511" w:type="dxa"/>
            <w:shd w:val="clear" w:color="auto" w:fill="E0E0E0"/>
            <w:vAlign w:val="center"/>
          </w:tcPr>
          <w:p w14:paraId="7338AB1D">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项目名称</w:t>
            </w:r>
          </w:p>
        </w:tc>
        <w:tc>
          <w:tcPr>
            <w:tcW w:w="4665" w:type="dxa"/>
            <w:shd w:val="clear" w:color="auto" w:fill="FFFFFF"/>
            <w:vAlign w:val="center"/>
          </w:tcPr>
          <w:p w14:paraId="10DCB073">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szCs w:val="21"/>
                <w:highlight w:val="none"/>
                <w:lang w:eastAsia="zh-CN"/>
              </w:rPr>
              <w:t>舟山市水安全保障“十五五”规划项目</w:t>
            </w:r>
          </w:p>
        </w:tc>
        <w:tc>
          <w:tcPr>
            <w:tcW w:w="1411" w:type="dxa"/>
            <w:shd w:val="clear" w:color="auto" w:fill="E0E0E0"/>
            <w:vAlign w:val="center"/>
          </w:tcPr>
          <w:p w14:paraId="1A0381F6">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采购编号</w:t>
            </w:r>
          </w:p>
        </w:tc>
        <w:tc>
          <w:tcPr>
            <w:tcW w:w="1790" w:type="dxa"/>
            <w:shd w:val="clear" w:color="auto" w:fill="FFFFFF"/>
            <w:vAlign w:val="center"/>
          </w:tcPr>
          <w:p w14:paraId="3B56B710">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ZSGC-2025-30</w:t>
            </w:r>
          </w:p>
        </w:tc>
      </w:tr>
      <w:tr w14:paraId="4A237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2E6C6654">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w:t>
            </w:r>
          </w:p>
        </w:tc>
        <w:tc>
          <w:tcPr>
            <w:tcW w:w="1511" w:type="dxa"/>
            <w:shd w:val="clear" w:color="auto" w:fill="E0E0E0"/>
            <w:vAlign w:val="center"/>
          </w:tcPr>
          <w:p w14:paraId="3253A49B">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采购内容</w:t>
            </w:r>
          </w:p>
        </w:tc>
        <w:tc>
          <w:tcPr>
            <w:tcW w:w="4665" w:type="dxa"/>
            <w:tcBorders>
              <w:right w:val="single" w:color="auto" w:sz="4" w:space="0"/>
            </w:tcBorders>
            <w:shd w:val="clear" w:color="auto" w:fill="FFFFFF"/>
            <w:vAlign w:val="center"/>
          </w:tcPr>
          <w:p w14:paraId="466665D3">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rPr>
              <w:t>详见第二章采购需求</w:t>
            </w:r>
          </w:p>
        </w:tc>
        <w:tc>
          <w:tcPr>
            <w:tcW w:w="1411" w:type="dxa"/>
            <w:tcBorders>
              <w:left w:val="single" w:color="auto" w:sz="4" w:space="0"/>
              <w:right w:val="single" w:color="auto" w:sz="4" w:space="0"/>
            </w:tcBorders>
            <w:shd w:val="clear" w:color="auto" w:fill="FFFFFF"/>
            <w:vAlign w:val="center"/>
          </w:tcPr>
          <w:p w14:paraId="41380742">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资金来源</w:t>
            </w:r>
          </w:p>
        </w:tc>
        <w:tc>
          <w:tcPr>
            <w:tcW w:w="1790" w:type="dxa"/>
            <w:tcBorders>
              <w:left w:val="single" w:color="auto" w:sz="4" w:space="0"/>
            </w:tcBorders>
            <w:shd w:val="clear" w:color="auto" w:fill="FFFFFF"/>
            <w:vAlign w:val="center"/>
          </w:tcPr>
          <w:p w14:paraId="1BAAF04E">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rPr>
              <w:t>财政性资金</w:t>
            </w:r>
          </w:p>
        </w:tc>
      </w:tr>
      <w:tr w14:paraId="7FC5E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7D234581">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w:t>
            </w:r>
          </w:p>
        </w:tc>
        <w:tc>
          <w:tcPr>
            <w:tcW w:w="1511" w:type="dxa"/>
            <w:shd w:val="clear" w:color="auto" w:fill="E0E0E0"/>
            <w:vAlign w:val="center"/>
          </w:tcPr>
          <w:p w14:paraId="0B327035">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项目预算</w:t>
            </w:r>
          </w:p>
        </w:tc>
        <w:tc>
          <w:tcPr>
            <w:tcW w:w="7894" w:type="dxa"/>
            <w:gridSpan w:val="3"/>
            <w:shd w:val="clear" w:color="auto" w:fill="FFFFFF"/>
            <w:vAlign w:val="center"/>
          </w:tcPr>
          <w:p w14:paraId="27500828">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kern w:val="0"/>
                <w:szCs w:val="21"/>
                <w:highlight w:val="none"/>
              </w:rPr>
            </w:pPr>
            <w:r>
              <w:rPr>
                <w:rFonts w:hint="eastAsia" w:ascii="宋体" w:hAnsi="宋体" w:cs="宋体"/>
                <w:color w:val="auto"/>
                <w:sz w:val="21"/>
                <w:szCs w:val="21"/>
                <w:highlight w:val="none"/>
                <w:lang w:val="en-US" w:eastAsia="zh-CN"/>
              </w:rPr>
              <w:t>本项目预算为230万元，采用“统招分签”方式，其中：1）舟山市本级水安全保障“十五五”规划最高限价50万元；2）舟山市定海区水安全保障“十五五”规划最高限价50万元；3）舟山市普陀区水安全保障“十五五”规划最高限价50万元；4）舟山市岱山县水安全保障“十五五”规划最高限价50万元；5）舟山市嵊泗县水安全保障“十五五”规划最高限价30万元。</w:t>
            </w:r>
          </w:p>
        </w:tc>
      </w:tr>
      <w:tr w14:paraId="02603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67" w:hRule="atLeast"/>
          <w:tblCellSpacing w:w="7" w:type="dxa"/>
          <w:jc w:val="center"/>
        </w:trPr>
        <w:tc>
          <w:tcPr>
            <w:tcW w:w="598" w:type="dxa"/>
            <w:shd w:val="clear" w:color="auto" w:fill="E0E0E0"/>
            <w:vAlign w:val="center"/>
          </w:tcPr>
          <w:p w14:paraId="130557D6">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4</w:t>
            </w:r>
          </w:p>
        </w:tc>
        <w:tc>
          <w:tcPr>
            <w:tcW w:w="1511" w:type="dxa"/>
            <w:shd w:val="clear" w:color="auto" w:fill="E0E0E0"/>
            <w:vAlign w:val="center"/>
          </w:tcPr>
          <w:p w14:paraId="10E90265">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踏勘现场</w:t>
            </w:r>
          </w:p>
        </w:tc>
        <w:tc>
          <w:tcPr>
            <w:tcW w:w="7894" w:type="dxa"/>
            <w:gridSpan w:val="3"/>
            <w:shd w:val="clear" w:color="auto" w:fill="FFFFFF"/>
            <w:vAlign w:val="center"/>
          </w:tcPr>
          <w:p w14:paraId="621E902A">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代理机构不组织踏勘，如投标人需进行现场踏勘的，须跟采购人进行协商。但投标人不得因此使采购人承担有关责任和蒙受损失，投标人应承担踏勘现场的责任和风险。</w:t>
            </w:r>
          </w:p>
        </w:tc>
      </w:tr>
      <w:tr w14:paraId="7B445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0B66FEA4">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w:t>
            </w:r>
          </w:p>
        </w:tc>
        <w:tc>
          <w:tcPr>
            <w:tcW w:w="1511" w:type="dxa"/>
            <w:shd w:val="clear" w:color="auto" w:fill="E0E0E0"/>
            <w:vAlign w:val="center"/>
          </w:tcPr>
          <w:p w14:paraId="76B42880">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服务期</w:t>
            </w:r>
          </w:p>
        </w:tc>
        <w:tc>
          <w:tcPr>
            <w:tcW w:w="7894" w:type="dxa"/>
            <w:gridSpan w:val="3"/>
            <w:shd w:val="clear" w:color="auto" w:fill="FFFFFF"/>
            <w:vAlign w:val="center"/>
          </w:tcPr>
          <w:p w14:paraId="2105702D">
            <w:pPr>
              <w:spacing w:line="324" w:lineRule="auto"/>
              <w:rPr>
                <w:rFonts w:hint="eastAsia"/>
                <w:color w:val="auto"/>
                <w:highlight w:val="none"/>
                <w:lang w:eastAsia="zh-CN"/>
              </w:rPr>
            </w:pPr>
            <w:r>
              <w:rPr>
                <w:rFonts w:hint="eastAsia" w:ascii="宋体" w:hAnsi="宋体" w:eastAsia="宋体" w:cs="宋体"/>
                <w:color w:val="auto"/>
                <w:szCs w:val="21"/>
                <w:highlight w:val="none"/>
                <w:lang w:val="en-US" w:eastAsia="zh-CN"/>
              </w:rPr>
              <w:t>自合同签订之日起十八个月，</w:t>
            </w:r>
            <w:r>
              <w:rPr>
                <w:rFonts w:hint="eastAsia" w:ascii="宋体" w:hAnsi="宋体" w:eastAsia="宋体" w:cs="宋体"/>
                <w:color w:val="auto"/>
                <w:szCs w:val="21"/>
                <w:highlight w:val="none"/>
              </w:rPr>
              <w:t>具体以</w:t>
            </w:r>
            <w:r>
              <w:rPr>
                <w:rFonts w:hint="eastAsia" w:ascii="宋体" w:hAnsi="宋体" w:eastAsia="宋体" w:cs="宋体"/>
                <w:color w:val="auto"/>
                <w:szCs w:val="21"/>
                <w:highlight w:val="none"/>
                <w:lang w:val="en-US" w:eastAsia="zh-CN"/>
              </w:rPr>
              <w:t>双方</w:t>
            </w:r>
            <w:r>
              <w:rPr>
                <w:rFonts w:hint="eastAsia" w:ascii="宋体" w:hAnsi="宋体" w:eastAsia="宋体" w:cs="宋体"/>
                <w:color w:val="auto"/>
                <w:szCs w:val="21"/>
                <w:highlight w:val="none"/>
              </w:rPr>
              <w:t>合同签订时间为准。</w:t>
            </w:r>
          </w:p>
        </w:tc>
      </w:tr>
      <w:tr w14:paraId="61DE5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2C0459C3">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w:t>
            </w:r>
          </w:p>
        </w:tc>
        <w:tc>
          <w:tcPr>
            <w:tcW w:w="1511" w:type="dxa"/>
            <w:shd w:val="clear" w:color="auto" w:fill="E0E0E0"/>
            <w:vAlign w:val="center"/>
          </w:tcPr>
          <w:p w14:paraId="3A06B39A">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投标有效期</w:t>
            </w:r>
          </w:p>
        </w:tc>
        <w:tc>
          <w:tcPr>
            <w:tcW w:w="7894" w:type="dxa"/>
            <w:gridSpan w:val="3"/>
            <w:shd w:val="clear" w:color="auto" w:fill="FFFFFF"/>
            <w:vAlign w:val="center"/>
          </w:tcPr>
          <w:p w14:paraId="6EC1AFDD">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90日历天（从开标截止之日起）。</w:t>
            </w:r>
          </w:p>
        </w:tc>
      </w:tr>
      <w:tr w14:paraId="42DC3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233300FC">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7</w:t>
            </w:r>
          </w:p>
        </w:tc>
        <w:tc>
          <w:tcPr>
            <w:tcW w:w="1511" w:type="dxa"/>
            <w:shd w:val="clear" w:color="auto" w:fill="E0E0E0"/>
            <w:vAlign w:val="center"/>
          </w:tcPr>
          <w:p w14:paraId="1800A8E7">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评标办法</w:t>
            </w:r>
          </w:p>
        </w:tc>
        <w:tc>
          <w:tcPr>
            <w:tcW w:w="7894" w:type="dxa"/>
            <w:gridSpan w:val="3"/>
            <w:shd w:val="clear" w:color="auto" w:fill="FFFFFF"/>
            <w:vAlign w:val="center"/>
          </w:tcPr>
          <w:p w14:paraId="1F97E899">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综合评分法</w:t>
            </w:r>
          </w:p>
        </w:tc>
      </w:tr>
      <w:tr w14:paraId="4840F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598" w:type="dxa"/>
            <w:shd w:val="clear" w:color="auto" w:fill="E0E0E0"/>
            <w:vAlign w:val="center"/>
          </w:tcPr>
          <w:p w14:paraId="264EBD93">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8</w:t>
            </w:r>
          </w:p>
        </w:tc>
        <w:tc>
          <w:tcPr>
            <w:tcW w:w="1511" w:type="dxa"/>
            <w:shd w:val="clear" w:color="auto" w:fill="E0E0E0"/>
            <w:vAlign w:val="center"/>
          </w:tcPr>
          <w:p w14:paraId="6CC9F1FF">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签订合同</w:t>
            </w:r>
          </w:p>
        </w:tc>
        <w:tc>
          <w:tcPr>
            <w:tcW w:w="7894" w:type="dxa"/>
            <w:gridSpan w:val="3"/>
            <w:shd w:val="clear" w:color="auto" w:fill="FFFFFF"/>
            <w:vAlign w:val="center"/>
          </w:tcPr>
          <w:p w14:paraId="0B399D99">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中标通知书发出后</w:t>
            </w:r>
            <w:r>
              <w:rPr>
                <w:rFonts w:hint="eastAsia" w:ascii="宋体" w:hAnsi="宋体" w:eastAsia="宋体" w:cs="宋体"/>
                <w:color w:val="auto"/>
                <w:szCs w:val="21"/>
                <w:highlight w:val="none"/>
                <w:u w:val="single"/>
              </w:rPr>
              <w:t xml:space="preserve"> 30 </w:t>
            </w:r>
            <w:r>
              <w:rPr>
                <w:rFonts w:hint="eastAsia" w:ascii="宋体" w:hAnsi="宋体" w:eastAsia="宋体" w:cs="宋体"/>
                <w:color w:val="auto"/>
                <w:szCs w:val="21"/>
                <w:highlight w:val="none"/>
              </w:rPr>
              <w:t>天内。</w:t>
            </w:r>
          </w:p>
        </w:tc>
      </w:tr>
      <w:tr w14:paraId="458E4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219" w:hRule="atLeast"/>
          <w:tblCellSpacing w:w="7" w:type="dxa"/>
          <w:jc w:val="center"/>
        </w:trPr>
        <w:tc>
          <w:tcPr>
            <w:tcW w:w="598" w:type="dxa"/>
            <w:shd w:val="clear" w:color="auto" w:fill="E0E0E0"/>
            <w:vAlign w:val="center"/>
          </w:tcPr>
          <w:p w14:paraId="55CEE458">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9</w:t>
            </w:r>
          </w:p>
        </w:tc>
        <w:tc>
          <w:tcPr>
            <w:tcW w:w="1511" w:type="dxa"/>
            <w:shd w:val="clear" w:color="auto" w:fill="E0E0E0"/>
            <w:vAlign w:val="center"/>
          </w:tcPr>
          <w:p w14:paraId="121E8373">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资金结算</w:t>
            </w:r>
          </w:p>
        </w:tc>
        <w:tc>
          <w:tcPr>
            <w:tcW w:w="7894" w:type="dxa"/>
            <w:gridSpan w:val="3"/>
            <w:shd w:val="clear" w:color="auto" w:fill="FFFFFF"/>
            <w:vAlign w:val="center"/>
          </w:tcPr>
          <w:p w14:paraId="2FEFBD27">
            <w:pPr>
              <w:keepNext w:val="0"/>
              <w:keepLines w:val="0"/>
              <w:pageBreakBefore w:val="0"/>
              <w:widowControl w:val="0"/>
              <w:kinsoku/>
              <w:wordWrap w:val="0"/>
              <w:overflowPunct/>
              <w:topLinePunct w:val="0"/>
              <w:autoSpaceDE/>
              <w:autoSpaceDN/>
              <w:bidi w:val="0"/>
              <w:snapToGrid/>
              <w:spacing w:line="400" w:lineRule="exact"/>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1.</w:t>
            </w:r>
            <w:r>
              <w:rPr>
                <w:rFonts w:hint="eastAsia" w:asciiTheme="minorEastAsia" w:hAnsiTheme="minorEastAsia" w:eastAsiaTheme="minorEastAsia" w:cstheme="minorEastAsia"/>
                <w:color w:val="auto"/>
                <w:kern w:val="0"/>
                <w:sz w:val="21"/>
                <w:szCs w:val="21"/>
                <w:highlight w:val="none"/>
                <w:lang w:val="en-US" w:eastAsia="zh-CN"/>
              </w:rPr>
              <w:t>合同生效以及提交满足采购人要求的初步成果后</w:t>
            </w:r>
            <w:r>
              <w:rPr>
                <w:rFonts w:hint="eastAsia" w:ascii="宋体" w:hAnsi="宋体" w:eastAsia="宋体" w:cs="宋体"/>
                <w:color w:val="auto"/>
                <w:highlight w:val="none"/>
                <w:lang w:val="zh-CN" w:eastAsia="zh-CN"/>
              </w:rPr>
              <w:t>7个工作日内，采购人向成交供应商支付合同价的50%为预付款，成交供应商提交成果并经采购人验收合格后结清合同价款。</w:t>
            </w:r>
          </w:p>
          <w:p w14:paraId="2E7893D7">
            <w:pPr>
              <w:keepNext w:val="0"/>
              <w:keepLines w:val="0"/>
              <w:pageBreakBefore w:val="0"/>
              <w:widowControl w:val="0"/>
              <w:kinsoku/>
              <w:wordWrap w:val="0"/>
              <w:overflowPunct/>
              <w:topLinePunct w:val="0"/>
              <w:autoSpaceDE/>
              <w:autoSpaceDN/>
              <w:bidi w:val="0"/>
              <w:snapToGrid/>
              <w:spacing w:line="400" w:lineRule="exact"/>
              <w:textAlignment w:val="auto"/>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val="zh-CN" w:eastAsia="zh-CN"/>
              </w:rPr>
              <w:t>2.采购人向成交供应商支付款项前（含预付款支付），供应商应当提供相应金额的税费发票，供应商未及时提供税务发票而导致采购人未及时支付款项的，由此产生的责任及风险均由供应商自行承担。</w:t>
            </w:r>
          </w:p>
        </w:tc>
      </w:tr>
      <w:tr w14:paraId="199A6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3" w:hRule="atLeast"/>
          <w:tblCellSpacing w:w="7" w:type="dxa"/>
          <w:jc w:val="center"/>
        </w:trPr>
        <w:tc>
          <w:tcPr>
            <w:tcW w:w="598" w:type="dxa"/>
            <w:shd w:val="clear" w:color="auto" w:fill="E0E0E0"/>
            <w:vAlign w:val="center"/>
          </w:tcPr>
          <w:p w14:paraId="0C38CBCC">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w:t>
            </w:r>
          </w:p>
        </w:tc>
        <w:tc>
          <w:tcPr>
            <w:tcW w:w="1511" w:type="dxa"/>
            <w:shd w:val="clear" w:color="auto" w:fill="E0E0E0"/>
            <w:vAlign w:val="center"/>
          </w:tcPr>
          <w:p w14:paraId="7CCDF4A9">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投标报价</w:t>
            </w:r>
          </w:p>
          <w:p w14:paraId="100939FB">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与费用</w:t>
            </w:r>
          </w:p>
        </w:tc>
        <w:tc>
          <w:tcPr>
            <w:tcW w:w="7894" w:type="dxa"/>
            <w:gridSpan w:val="3"/>
            <w:shd w:val="clear" w:color="auto" w:fill="FFFFFF"/>
            <w:vAlign w:val="center"/>
          </w:tcPr>
          <w:p w14:paraId="27A9B04C">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报价应以人民币报价，是履行合同的最终价格，在进行报价时，投标人须充分考虑本项目的特殊性和不可预见性，将所有为完成本项目引起的各项所需费用全部包含在报价中，招标范围包含的所有内容的价格一次性包干。</w:t>
            </w:r>
          </w:p>
          <w:p w14:paraId="138045CD">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2、不论投标结果如何，投标人均应自行承担所有与投标有关的全部费用。</w:t>
            </w:r>
          </w:p>
          <w:p w14:paraId="54858688">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3、合同总价不得超过本项目对应的预算金额。</w:t>
            </w:r>
          </w:p>
          <w:p w14:paraId="257AA4E9">
            <w:pPr>
              <w:keepNext w:val="0"/>
              <w:keepLines w:val="0"/>
              <w:pageBreakBefore w:val="0"/>
              <w:widowControl w:val="0"/>
              <w:kinsoku/>
              <w:overflowPunct/>
              <w:topLinePunct w:val="0"/>
              <w:autoSpaceDE/>
              <w:autoSpaceDN/>
              <w:bidi w:val="0"/>
              <w:spacing w:line="400" w:lineRule="exact"/>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4、本项目的采购代理费由中标供应商承担支付，费用为一次性包干人民币2.3万元。采购代理费由中标人支付，中标人在领取中标通知书时一次性付清。收款账号信息如下：</w:t>
            </w:r>
          </w:p>
          <w:p w14:paraId="777695A9">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收款单位名称：浙江省工程咨询有限公司舟山分公司</w:t>
            </w:r>
          </w:p>
          <w:p w14:paraId="60725EE4">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 xml:space="preserve">开户银行：建行浙江自贸区支行 </w:t>
            </w:r>
          </w:p>
          <w:p w14:paraId="285F3906">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银行账号：33001706270053007843</w:t>
            </w:r>
          </w:p>
        </w:tc>
      </w:tr>
      <w:tr w14:paraId="518B5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0AF35869">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11</w:t>
            </w:r>
          </w:p>
        </w:tc>
        <w:tc>
          <w:tcPr>
            <w:tcW w:w="1511" w:type="dxa"/>
            <w:shd w:val="clear" w:color="auto" w:fill="E0E0E0"/>
            <w:vAlign w:val="center"/>
          </w:tcPr>
          <w:p w14:paraId="41EE309C">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履约保证金</w:t>
            </w:r>
          </w:p>
        </w:tc>
        <w:tc>
          <w:tcPr>
            <w:tcW w:w="7894" w:type="dxa"/>
            <w:gridSpan w:val="3"/>
            <w:shd w:val="clear" w:color="auto" w:fill="FFFFFF"/>
            <w:vAlign w:val="center"/>
          </w:tcPr>
          <w:p w14:paraId="420FE6F8">
            <w:pPr>
              <w:keepNext w:val="0"/>
              <w:keepLines w:val="0"/>
              <w:pageBreakBefore w:val="0"/>
              <w:widowControl w:val="0"/>
              <w:kinsoku/>
              <w:overflowPunct/>
              <w:topLinePunct w:val="0"/>
              <w:autoSpaceDE/>
              <w:autoSpaceDN/>
              <w:bidi w:val="0"/>
              <w:adjustRightInd w:val="0"/>
              <w:snapToGrid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中标供应商应在本合同签订之后5个工作日内向招标人一次性支付合同总价1%的履约保证金，缴纳方式为电汇、转账、银行或保险公司出具履约保函。履约保证金有效期到合同期满时止。</w:t>
            </w:r>
          </w:p>
        </w:tc>
      </w:tr>
      <w:tr w14:paraId="4D190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132FD962">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12</w:t>
            </w:r>
          </w:p>
        </w:tc>
        <w:tc>
          <w:tcPr>
            <w:tcW w:w="1511" w:type="dxa"/>
            <w:shd w:val="clear" w:color="auto" w:fill="E0E0E0"/>
            <w:vAlign w:val="center"/>
          </w:tcPr>
          <w:p w14:paraId="256177C2">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投标文件</w:t>
            </w:r>
          </w:p>
          <w:p w14:paraId="3F265778">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的组成、制作</w:t>
            </w:r>
          </w:p>
        </w:tc>
        <w:tc>
          <w:tcPr>
            <w:tcW w:w="7894" w:type="dxa"/>
            <w:gridSpan w:val="3"/>
            <w:shd w:val="clear" w:color="auto" w:fill="FFFFFF"/>
            <w:vAlign w:val="center"/>
          </w:tcPr>
          <w:p w14:paraId="1872045D">
            <w:pPr>
              <w:pStyle w:val="8"/>
              <w:keepNext w:val="0"/>
              <w:keepLines w:val="0"/>
              <w:pageBreakBefore w:val="0"/>
              <w:widowControl w:val="0"/>
              <w:numPr>
                <w:ilvl w:val="0"/>
                <w:numId w:val="4"/>
              </w:numPr>
              <w:kinsoku/>
              <w:overflowPunct/>
              <w:topLinePunct w:val="0"/>
              <w:autoSpaceDE/>
              <w:autoSpaceDN/>
              <w:bidi w:val="0"/>
              <w:spacing w:after="0" w:line="400" w:lineRule="exact"/>
              <w:ind w:left="360" w:hanging="360"/>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投标文件由资格证明文件、商务及技术文件、报价文件三部份组成。</w:t>
            </w:r>
          </w:p>
          <w:p w14:paraId="27070987">
            <w:pPr>
              <w:pStyle w:val="8"/>
              <w:keepNext w:val="0"/>
              <w:keepLines w:val="0"/>
              <w:pageBreakBefore w:val="0"/>
              <w:widowControl w:val="0"/>
              <w:numPr>
                <w:ilvl w:val="0"/>
                <w:numId w:val="4"/>
              </w:numPr>
              <w:kinsoku/>
              <w:overflowPunct/>
              <w:topLinePunct w:val="0"/>
              <w:autoSpaceDE/>
              <w:autoSpaceDN/>
              <w:bidi w:val="0"/>
              <w:spacing w:after="0" w:line="400" w:lineRule="exact"/>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本项目实行电子投标。</w:t>
            </w:r>
          </w:p>
          <w:p w14:paraId="182465A0">
            <w:pPr>
              <w:pStyle w:val="8"/>
              <w:keepNext w:val="0"/>
              <w:keepLines w:val="0"/>
              <w:pageBreakBefore w:val="0"/>
              <w:widowControl w:val="0"/>
              <w:kinsoku/>
              <w:overflowPunct/>
              <w:topLinePunct w:val="0"/>
              <w:autoSpaceDE/>
              <w:autoSpaceDN/>
              <w:bidi w:val="0"/>
              <w:spacing w:after="0" w:line="400" w:lineRule="exact"/>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3、投标人应准备电子投标文件、以介质存储的数据电文形式的备份投标文件两类：</w:t>
            </w:r>
          </w:p>
          <w:p w14:paraId="70CA739E">
            <w:pPr>
              <w:pStyle w:val="8"/>
              <w:keepNext w:val="0"/>
              <w:keepLines w:val="0"/>
              <w:pageBreakBefore w:val="0"/>
              <w:widowControl w:val="0"/>
              <w:kinsoku/>
              <w:overflowPunct/>
              <w:topLinePunct w:val="0"/>
              <w:autoSpaceDE/>
              <w:autoSpaceDN/>
              <w:bidi w:val="0"/>
              <w:spacing w:after="0" w:line="400" w:lineRule="exact"/>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（1）电子投标文件，按政采云平台项目采购-电子交易操作指南及本招标文件要求制作，并加密递交。</w:t>
            </w:r>
          </w:p>
          <w:p w14:paraId="1EA37B0F">
            <w:pPr>
              <w:pStyle w:val="8"/>
              <w:keepNext w:val="0"/>
              <w:keepLines w:val="0"/>
              <w:pageBreakBefore w:val="0"/>
              <w:widowControl w:val="0"/>
              <w:kinsoku/>
              <w:overflowPunct/>
              <w:topLinePunct w:val="0"/>
              <w:autoSpaceDE/>
              <w:autoSpaceDN/>
              <w:bidi w:val="0"/>
              <w:spacing w:after="0" w:line="400" w:lineRule="exact"/>
              <w:textAlignment w:val="auto"/>
              <w:rPr>
                <w:rFonts w:hint="eastAsia" w:ascii="宋体" w:hAnsi="宋体" w:eastAsia="宋体" w:cs="宋体"/>
                <w:color w:val="auto"/>
                <w:sz w:val="21"/>
                <w:highlight w:val="none"/>
              </w:rPr>
            </w:pPr>
            <w:r>
              <w:rPr>
                <w:rFonts w:hint="eastAsia" w:ascii="宋体" w:hAnsi="宋体" w:eastAsia="宋体" w:cs="宋体"/>
                <w:color w:val="auto"/>
                <w:sz w:val="21"/>
                <w:highlight w:val="none"/>
              </w:rPr>
              <w:t>（2）以介质存储的数据电文形式的备份投标文件，即电子投标文件按“政采云供应商项目采购-电子交易操作指南”制作的备份文件，介质可以是U盘或DVD光盘。数量为1份，并单独密封递交。包装封面上应注明投标人名称、投标人地址、投标文件名称（电子文件）、投标项目名称、项目编号，加盖投标人公章。</w:t>
            </w:r>
          </w:p>
          <w:p w14:paraId="775AFC2F">
            <w:pPr>
              <w:pStyle w:val="8"/>
              <w:keepNext w:val="0"/>
              <w:keepLines w:val="0"/>
              <w:pageBreakBefore w:val="0"/>
              <w:widowControl w:val="0"/>
              <w:kinsoku/>
              <w:overflowPunct/>
              <w:topLinePunct w:val="0"/>
              <w:autoSpaceDE/>
              <w:autoSpaceDN/>
              <w:bidi w:val="0"/>
              <w:spacing w:after="0" w:line="400" w:lineRule="exact"/>
              <w:textAlignment w:val="auto"/>
              <w:rPr>
                <w:rFonts w:hint="eastAsia" w:ascii="宋体" w:hAnsi="宋体" w:eastAsia="宋体" w:cs="宋体"/>
                <w:b/>
                <w:color w:val="auto"/>
                <w:sz w:val="21"/>
                <w:highlight w:val="none"/>
              </w:rPr>
            </w:pPr>
            <w:r>
              <w:rPr>
                <w:rFonts w:hint="eastAsia" w:ascii="宋体" w:hAnsi="宋体" w:eastAsia="宋体" w:cs="宋体"/>
                <w:b/>
                <w:color w:val="auto"/>
                <w:sz w:val="21"/>
                <w:highlight w:val="none"/>
              </w:rPr>
              <w:t>注：投标人上传平台的是后缀为.jmbs的加密文件，递交给招标代理公司的是后缀为.bfbs的备份文件。</w:t>
            </w:r>
          </w:p>
        </w:tc>
      </w:tr>
      <w:tr w14:paraId="400F1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2" w:hRule="atLeast"/>
          <w:tblCellSpacing w:w="7" w:type="dxa"/>
          <w:jc w:val="center"/>
        </w:trPr>
        <w:tc>
          <w:tcPr>
            <w:tcW w:w="598" w:type="dxa"/>
            <w:shd w:val="clear" w:color="auto" w:fill="E0E0E0"/>
            <w:vAlign w:val="center"/>
          </w:tcPr>
          <w:p w14:paraId="36E99856">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highlight w:val="none"/>
              </w:rPr>
            </w:pPr>
            <w:r>
              <w:rPr>
                <w:rFonts w:hint="eastAsia" w:ascii="宋体" w:hAnsi="宋体" w:eastAsia="宋体" w:cs="宋体"/>
                <w:b/>
                <w:color w:val="auto"/>
                <w:szCs w:val="21"/>
                <w:highlight w:val="none"/>
              </w:rPr>
              <w:t>13</w:t>
            </w:r>
          </w:p>
        </w:tc>
        <w:tc>
          <w:tcPr>
            <w:tcW w:w="1511" w:type="dxa"/>
            <w:shd w:val="clear" w:color="auto" w:fill="E0E0E0"/>
            <w:vAlign w:val="center"/>
          </w:tcPr>
          <w:p w14:paraId="2DE5AFFB">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投标文件</w:t>
            </w:r>
          </w:p>
          <w:p w14:paraId="0D64F7A5">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的递交</w:t>
            </w:r>
          </w:p>
        </w:tc>
        <w:tc>
          <w:tcPr>
            <w:tcW w:w="7894" w:type="dxa"/>
            <w:gridSpan w:val="3"/>
            <w:shd w:val="clear" w:color="auto" w:fill="FFFFFF"/>
            <w:vAlign w:val="center"/>
          </w:tcPr>
          <w:p w14:paraId="31EE8A5A">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1、投标人应当在投标截止时间前完成电子投标文件的传输递交，并可以补充、修改或者撤回电子投标文件。补充或者修改电子投标文件的，应当先行撤回原文件，补充、修改后重新传输递交。投标截止时间前未完成传输递交的，视为撤回投标文件。投标、响应截止时间后传输递交的投标、响应文件，将被政采云平台拒收。</w:t>
            </w:r>
          </w:p>
          <w:p w14:paraId="13918E62">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szCs w:val="21"/>
                <w:highlight w:val="none"/>
              </w:rPr>
              <w:t>本项目实行电子投标，投标人无须授权代表参加现场开标会议。</w:t>
            </w:r>
            <w:r>
              <w:rPr>
                <w:rFonts w:hint="eastAsia" w:ascii="宋体" w:hAnsi="宋体" w:eastAsia="宋体" w:cs="宋体"/>
                <w:color w:val="auto"/>
                <w:highlight w:val="none"/>
              </w:rPr>
              <w:t>投标人应当于202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年</w:t>
            </w:r>
            <w:r>
              <w:rPr>
                <w:rFonts w:hint="eastAsia" w:ascii="宋体" w:hAnsi="宋体" w:cs="宋体"/>
                <w:color w:val="auto"/>
                <w:highlight w:val="none"/>
                <w:lang w:val="en-US" w:eastAsia="zh-CN"/>
              </w:rPr>
              <w:t>4</w:t>
            </w:r>
            <w:r>
              <w:rPr>
                <w:rFonts w:hint="eastAsia" w:ascii="宋体" w:hAnsi="宋体" w:eastAsia="宋体" w:cs="宋体"/>
                <w:color w:val="auto"/>
                <w:highlight w:val="none"/>
              </w:rPr>
              <w:t>月</w:t>
            </w:r>
            <w:r>
              <w:rPr>
                <w:rFonts w:hint="eastAsia" w:ascii="宋体" w:hAnsi="宋体" w:cs="宋体"/>
                <w:color w:val="auto"/>
                <w:highlight w:val="none"/>
                <w:lang w:val="en-US" w:eastAsia="zh-CN"/>
              </w:rPr>
              <w:t>14</w:t>
            </w:r>
            <w:r>
              <w:rPr>
                <w:rFonts w:hint="eastAsia" w:ascii="宋体" w:hAnsi="宋体" w:eastAsia="宋体" w:cs="宋体"/>
                <w:color w:val="auto"/>
                <w:highlight w:val="none"/>
              </w:rPr>
              <w:t>日</w:t>
            </w:r>
            <w:r>
              <w:rPr>
                <w:rFonts w:hint="eastAsia" w:ascii="宋体" w:hAnsi="宋体" w:eastAsia="宋体" w:cs="宋体"/>
                <w:color w:val="auto"/>
                <w:highlight w:val="none"/>
                <w:lang w:val="en-US" w:eastAsia="zh-CN"/>
              </w:rPr>
              <w:t>17</w:t>
            </w:r>
            <w:r>
              <w:rPr>
                <w:rFonts w:hint="eastAsia" w:ascii="宋体" w:hAnsi="宋体" w:eastAsia="宋体" w:cs="宋体"/>
                <w:color w:val="auto"/>
                <w:highlight w:val="none"/>
              </w:rPr>
              <w:t>：00（北京时间）前将以介质存储的数据电文形式的备份投标文件通过邮寄（以签收时间为准）或派人递送的方式送交到招标代理机构处；也可以开标当天投标截止时间前开标现场递交。备份文件须密封完好，并注明投标人单位名称，逾期送达或未密封的备份投标文件将被拒收。</w:t>
            </w:r>
          </w:p>
          <w:p w14:paraId="29F266F2">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3、投标人递交以介质存储的数据电文形式的备份投标文件时，如出现下列情况之一的，将被拒收：</w:t>
            </w:r>
          </w:p>
          <w:p w14:paraId="026876AD">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1）未按规定密封或标记的投标文件；</w:t>
            </w:r>
          </w:p>
          <w:p w14:paraId="5C5454D1">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2）由于包装不妥，在送交途中严重破损或失散的；</w:t>
            </w:r>
          </w:p>
          <w:p w14:paraId="5EDCE9C5">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3）超过投标截止时间送达的；</w:t>
            </w:r>
          </w:p>
          <w:p w14:paraId="23779F94">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4）仅提供备份投标文件的；</w:t>
            </w:r>
          </w:p>
          <w:p w14:paraId="72E5EC63">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b/>
                <w:color w:val="auto"/>
                <w:highlight w:val="none"/>
              </w:rPr>
              <w:t>4、当发生解密失败或未按时解密的，如投标人未按要求提交备份电子投标文件的，造成项目开评标活动无法进行下去的，投标无效，相关风险由投标人自行承担。</w:t>
            </w:r>
          </w:p>
        </w:tc>
      </w:tr>
      <w:tr w14:paraId="6462F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5D18F0BE">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14</w:t>
            </w:r>
          </w:p>
        </w:tc>
        <w:tc>
          <w:tcPr>
            <w:tcW w:w="1511" w:type="dxa"/>
            <w:shd w:val="clear" w:color="auto" w:fill="E0E0E0"/>
            <w:vAlign w:val="center"/>
          </w:tcPr>
          <w:p w14:paraId="138ACC0F">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投标文件</w:t>
            </w:r>
          </w:p>
          <w:p w14:paraId="64090E3C">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的密封要求</w:t>
            </w:r>
          </w:p>
        </w:tc>
        <w:tc>
          <w:tcPr>
            <w:tcW w:w="7894" w:type="dxa"/>
            <w:gridSpan w:val="3"/>
            <w:shd w:val="clear" w:color="auto" w:fill="FFFFFF"/>
            <w:vAlign w:val="center"/>
          </w:tcPr>
          <w:p w14:paraId="682D8AA5">
            <w:pPr>
              <w:keepNext w:val="0"/>
              <w:keepLines w:val="0"/>
              <w:pageBreakBefore w:val="0"/>
              <w:widowControl w:val="0"/>
              <w:kinsoku/>
              <w:wordWrap w:val="0"/>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1、投标人线上制作投标文件并采用CA数字证书进行电子签章及加密。</w:t>
            </w:r>
          </w:p>
          <w:p w14:paraId="3C8F8D7D">
            <w:pPr>
              <w:pStyle w:val="8"/>
              <w:keepNext w:val="0"/>
              <w:keepLines w:val="0"/>
              <w:pageBreakBefore w:val="0"/>
              <w:widowControl w:val="0"/>
              <w:kinsoku/>
              <w:overflowPunct/>
              <w:topLinePunct w:val="0"/>
              <w:autoSpaceDE/>
              <w:autoSpaceDN/>
              <w:bidi w:val="0"/>
              <w:spacing w:after="0" w:line="400" w:lineRule="exact"/>
              <w:textAlignment w:val="auto"/>
              <w:rPr>
                <w:rFonts w:hint="eastAsia" w:ascii="宋体" w:hAnsi="宋体" w:eastAsia="宋体" w:cs="宋体"/>
                <w:color w:val="auto"/>
                <w:sz w:val="21"/>
                <w:highlight w:val="none"/>
              </w:rPr>
            </w:pPr>
            <w:r>
              <w:rPr>
                <w:rFonts w:hint="eastAsia" w:ascii="宋体" w:hAnsi="宋体" w:eastAsia="宋体" w:cs="宋体"/>
                <w:color w:val="auto"/>
                <w:sz w:val="21"/>
                <w:szCs w:val="21"/>
                <w:highlight w:val="none"/>
              </w:rPr>
              <w:t>2、投标人</w:t>
            </w:r>
            <w:r>
              <w:rPr>
                <w:rFonts w:hint="eastAsia" w:ascii="宋体" w:hAnsi="宋体" w:eastAsia="宋体" w:cs="宋体"/>
                <w:color w:val="auto"/>
                <w:sz w:val="21"/>
                <w:highlight w:val="none"/>
              </w:rPr>
              <w:t>以介质存储的数据电文形式的备份投标文件：单独密封递交。</w:t>
            </w:r>
            <w:r>
              <w:rPr>
                <w:rFonts w:hint="eastAsia" w:ascii="宋体" w:hAnsi="宋体" w:eastAsia="宋体" w:cs="宋体"/>
                <w:color w:val="auto"/>
                <w:sz w:val="21"/>
                <w:szCs w:val="21"/>
                <w:highlight w:val="none"/>
              </w:rPr>
              <w:t>包装封面上应注明投标人名称、投标人地址、投标文件名称（</w:t>
            </w:r>
            <w:r>
              <w:rPr>
                <w:rFonts w:hint="eastAsia" w:ascii="宋体" w:hAnsi="宋体" w:eastAsia="宋体" w:cs="宋体"/>
                <w:color w:val="auto"/>
                <w:sz w:val="21"/>
                <w:highlight w:val="none"/>
              </w:rPr>
              <w:t>电子文件</w:t>
            </w:r>
            <w:r>
              <w:rPr>
                <w:rFonts w:hint="eastAsia" w:ascii="宋体" w:hAnsi="宋体" w:eastAsia="宋体" w:cs="宋体"/>
                <w:color w:val="auto"/>
                <w:sz w:val="21"/>
                <w:szCs w:val="21"/>
                <w:highlight w:val="none"/>
              </w:rPr>
              <w:t>）、投标项目名称、项目编号，加盖投标人公章。</w:t>
            </w:r>
          </w:p>
        </w:tc>
      </w:tr>
      <w:tr w14:paraId="5EDFC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53D5EA6">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highlight w:val="none"/>
              </w:rPr>
            </w:pPr>
            <w:r>
              <w:rPr>
                <w:rFonts w:hint="eastAsia" w:ascii="宋体" w:hAnsi="宋体" w:eastAsia="宋体" w:cs="宋体"/>
                <w:b/>
                <w:color w:val="auto"/>
                <w:szCs w:val="21"/>
                <w:highlight w:val="none"/>
              </w:rPr>
              <w:t>15</w:t>
            </w:r>
          </w:p>
        </w:tc>
        <w:tc>
          <w:tcPr>
            <w:tcW w:w="1511" w:type="dxa"/>
            <w:shd w:val="clear" w:color="auto" w:fill="E0E0E0"/>
            <w:vAlign w:val="center"/>
          </w:tcPr>
          <w:p w14:paraId="0424597E">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投标文件提交截止时间以及开标时间</w:t>
            </w:r>
          </w:p>
        </w:tc>
        <w:tc>
          <w:tcPr>
            <w:tcW w:w="7894" w:type="dxa"/>
            <w:gridSpan w:val="3"/>
            <w:shd w:val="clear" w:color="auto" w:fill="FFFFFF"/>
            <w:vAlign w:val="center"/>
          </w:tcPr>
          <w:p w14:paraId="02E39C48">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202</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rPr>
              <w:t>日</w:t>
            </w:r>
            <w:r>
              <w:rPr>
                <w:rFonts w:hint="eastAsia" w:ascii="宋体" w:hAnsi="宋体" w:cs="宋体"/>
                <w:bCs/>
                <w:color w:val="auto"/>
                <w:sz w:val="21"/>
                <w:szCs w:val="21"/>
                <w:highlight w:val="none"/>
                <w:lang w:val="en-US" w:eastAsia="zh-CN"/>
              </w:rPr>
              <w:t>09</w:t>
            </w:r>
            <w:r>
              <w:rPr>
                <w:rFonts w:hint="eastAsia" w:ascii="宋体" w:hAnsi="宋体" w:eastAsia="宋体" w:cs="宋体"/>
                <w:bCs/>
                <w:color w:val="auto"/>
                <w:sz w:val="21"/>
                <w:szCs w:val="21"/>
                <w:highlight w:val="none"/>
              </w:rPr>
              <w:t>点</w:t>
            </w:r>
            <w:r>
              <w:rPr>
                <w:rFonts w:hint="eastAsia" w:ascii="宋体" w:hAnsi="宋体" w:cs="宋体"/>
                <w:bCs/>
                <w:color w:val="auto"/>
                <w:sz w:val="21"/>
                <w:szCs w:val="21"/>
                <w:highlight w:val="none"/>
                <w:lang w:val="en-US" w:eastAsia="zh-CN"/>
              </w:rPr>
              <w:t>00</w:t>
            </w:r>
            <w:r>
              <w:rPr>
                <w:rFonts w:hint="eastAsia" w:ascii="宋体" w:hAnsi="宋体" w:eastAsia="宋体" w:cs="宋体"/>
                <w:bCs/>
                <w:color w:val="auto"/>
                <w:sz w:val="21"/>
                <w:szCs w:val="21"/>
                <w:highlight w:val="none"/>
              </w:rPr>
              <w:t>分</w:t>
            </w:r>
            <w:r>
              <w:rPr>
                <w:rStyle w:val="26"/>
                <w:rFonts w:hint="eastAsia" w:ascii="宋体" w:hAnsi="宋体" w:eastAsia="宋体" w:cs="宋体"/>
                <w:color w:val="auto"/>
                <w:szCs w:val="21"/>
                <w:highlight w:val="none"/>
              </w:rPr>
              <w:t>（北京时间）</w:t>
            </w:r>
          </w:p>
        </w:tc>
      </w:tr>
      <w:tr w14:paraId="5C904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67DE4093">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16</w:t>
            </w:r>
          </w:p>
        </w:tc>
        <w:tc>
          <w:tcPr>
            <w:tcW w:w="1511" w:type="dxa"/>
            <w:shd w:val="clear" w:color="auto" w:fill="E0E0E0"/>
            <w:vAlign w:val="center"/>
          </w:tcPr>
          <w:p w14:paraId="70C13BDD">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开标地点</w:t>
            </w:r>
          </w:p>
        </w:tc>
        <w:tc>
          <w:tcPr>
            <w:tcW w:w="7894" w:type="dxa"/>
            <w:gridSpan w:val="3"/>
            <w:shd w:val="clear" w:color="auto" w:fill="FFFFFF"/>
            <w:vAlign w:val="center"/>
          </w:tcPr>
          <w:p w14:paraId="03639093">
            <w:pPr>
              <w:keepNext w:val="0"/>
              <w:keepLines w:val="0"/>
              <w:pageBreakBefore w:val="0"/>
              <w:widowControl w:val="0"/>
              <w:kinsoku/>
              <w:overflowPunct/>
              <w:topLinePunct w:val="0"/>
              <w:autoSpaceDE/>
              <w:autoSpaceDN/>
              <w:bidi w:val="0"/>
              <w:spacing w:line="400" w:lineRule="exact"/>
              <w:textAlignment w:val="auto"/>
              <w:rPr>
                <w:rStyle w:val="26"/>
                <w:rFonts w:hint="eastAsia" w:ascii="宋体" w:hAnsi="宋体" w:eastAsia="宋体" w:cs="宋体"/>
                <w:color w:val="auto"/>
                <w:szCs w:val="21"/>
                <w:highlight w:val="none"/>
              </w:rPr>
            </w:pPr>
            <w:r>
              <w:rPr>
                <w:rFonts w:hint="eastAsia" w:ascii="宋体" w:hAnsi="宋体" w:eastAsia="宋体" w:cs="宋体"/>
                <w:b/>
                <w:color w:val="auto"/>
                <w:szCs w:val="21"/>
                <w:highlight w:val="none"/>
              </w:rPr>
              <w:t>线上开标</w:t>
            </w:r>
          </w:p>
        </w:tc>
      </w:tr>
      <w:tr w14:paraId="4C949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309DE40">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17</w:t>
            </w:r>
          </w:p>
        </w:tc>
        <w:tc>
          <w:tcPr>
            <w:tcW w:w="1511" w:type="dxa"/>
            <w:shd w:val="clear" w:color="auto" w:fill="E0E0E0"/>
            <w:vAlign w:val="center"/>
          </w:tcPr>
          <w:p w14:paraId="7CD963A9">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答疑与澄清</w:t>
            </w:r>
          </w:p>
        </w:tc>
        <w:tc>
          <w:tcPr>
            <w:tcW w:w="7894" w:type="dxa"/>
            <w:gridSpan w:val="3"/>
            <w:shd w:val="clear" w:color="auto" w:fill="FFFFFF"/>
            <w:vAlign w:val="center"/>
          </w:tcPr>
          <w:p w14:paraId="121692C0">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如认为采购文件表述不清晰、存在歧视性、排他性或者其他违法内容的，应当于采购文件公告期限届满之日（招标公告为公告发布后的第6个工作日）起7个工作日内，以书面形式要求采购代理机构作出书面解释、澄清或者向采购代理机构提出书面质疑。</w:t>
            </w:r>
          </w:p>
        </w:tc>
      </w:tr>
      <w:tr w14:paraId="4D913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50F6CE76">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18</w:t>
            </w:r>
          </w:p>
        </w:tc>
        <w:tc>
          <w:tcPr>
            <w:tcW w:w="1511" w:type="dxa"/>
            <w:shd w:val="clear" w:color="auto" w:fill="E0E0E0"/>
            <w:vAlign w:val="center"/>
          </w:tcPr>
          <w:p w14:paraId="3956F958">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投标人注册</w:t>
            </w:r>
          </w:p>
        </w:tc>
        <w:tc>
          <w:tcPr>
            <w:tcW w:w="7894" w:type="dxa"/>
            <w:gridSpan w:val="3"/>
            <w:shd w:val="clear" w:color="auto" w:fill="FFFFFF"/>
            <w:vAlign w:val="center"/>
          </w:tcPr>
          <w:p w14:paraId="701FBA0F">
            <w:pPr>
              <w:keepNext w:val="0"/>
              <w:keepLines w:val="0"/>
              <w:pageBreakBefore w:val="0"/>
              <w:widowControl w:val="0"/>
              <w:kinsoku/>
              <w:overflowPunct/>
              <w:topLinePunct w:val="0"/>
              <w:autoSpaceDE/>
              <w:autoSpaceDN/>
              <w:bidi w:val="0"/>
              <w:spacing w:line="400" w:lineRule="exact"/>
              <w:jc w:val="left"/>
              <w:textAlignment w:val="auto"/>
              <w:rPr>
                <w:rFonts w:hint="eastAsia" w:ascii="宋体" w:hAnsi="宋体" w:eastAsia="宋体" w:cs="宋体"/>
                <w:bCs/>
                <w:snapToGrid w:val="0"/>
                <w:color w:val="auto"/>
                <w:kern w:val="0"/>
                <w:highlight w:val="none"/>
              </w:rPr>
            </w:pPr>
            <w:r>
              <w:rPr>
                <w:rFonts w:hint="eastAsia" w:ascii="宋体" w:hAnsi="宋体" w:eastAsia="宋体" w:cs="宋体"/>
                <w:bCs/>
                <w:snapToGrid w:val="0"/>
                <w:color w:val="auto"/>
                <w:kern w:val="0"/>
                <w:highlight w:val="none"/>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14:paraId="7204AF1C">
            <w:pPr>
              <w:keepNext w:val="0"/>
              <w:keepLines w:val="0"/>
              <w:pageBreakBefore w:val="0"/>
              <w:widowControl w:val="0"/>
              <w:kinsoku/>
              <w:overflowPunct/>
              <w:topLinePunct w:val="0"/>
              <w:autoSpaceDE/>
              <w:autoSpaceDN/>
              <w:bidi w:val="0"/>
              <w:spacing w:line="400" w:lineRule="exact"/>
              <w:jc w:val="left"/>
              <w:textAlignment w:val="auto"/>
              <w:rPr>
                <w:rFonts w:hint="eastAsia" w:ascii="宋体" w:hAnsi="宋体" w:eastAsia="宋体" w:cs="宋体"/>
                <w:color w:val="auto"/>
                <w:szCs w:val="21"/>
                <w:highlight w:val="none"/>
              </w:rPr>
            </w:pPr>
            <w:r>
              <w:rPr>
                <w:rFonts w:hint="eastAsia" w:ascii="宋体" w:hAnsi="宋体" w:eastAsia="宋体" w:cs="宋体"/>
                <w:bCs/>
                <w:snapToGrid w:val="0"/>
                <w:color w:val="auto"/>
                <w:kern w:val="0"/>
                <w:highlight w:val="none"/>
              </w:rPr>
              <w:t>投标人在申请注册前，请认真阅读，学习《中华人民共和国政府采购法》等相关法规规定。</w:t>
            </w:r>
          </w:p>
        </w:tc>
      </w:tr>
      <w:tr w14:paraId="73F15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5CA28A3">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19</w:t>
            </w:r>
          </w:p>
        </w:tc>
        <w:tc>
          <w:tcPr>
            <w:tcW w:w="1511" w:type="dxa"/>
            <w:shd w:val="clear" w:color="auto" w:fill="E0E0E0"/>
            <w:vAlign w:val="center"/>
          </w:tcPr>
          <w:p w14:paraId="7A778968">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不良信用记录查询</w:t>
            </w:r>
          </w:p>
        </w:tc>
        <w:tc>
          <w:tcPr>
            <w:tcW w:w="7894" w:type="dxa"/>
            <w:gridSpan w:val="3"/>
            <w:shd w:val="clear" w:color="auto" w:fill="FFFFFF"/>
            <w:vAlign w:val="center"/>
          </w:tcPr>
          <w:p w14:paraId="43DE6183">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根据财库[2016]125号文件：</w:t>
            </w:r>
          </w:p>
          <w:p w14:paraId="10DD946F">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1、至本项目投标截止前未被列入“信用中国”网站(www.creditchina.gov.cn)“记录失信被执行人或重大税收违法案件当事人名单”记录名单。</w:t>
            </w:r>
          </w:p>
          <w:p w14:paraId="791A101F">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2、至本项目投标截止前不处于中国政府采购网(www.ccgp.gov.cn)“政府采购严重违法失信行为信息记录”中的禁止参加政府采购活动期间。</w:t>
            </w:r>
          </w:p>
          <w:p w14:paraId="0927D85C">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投标人书面承诺具有良好的商业信誉，至本项目投标截止时间止符合参与政府采购活动资格条件（格式自拟）。如开标现场核查发现不符合此项资格条件的，对列入失信被执行人、重大税收违法案件当事人名单、政府采购严重违法失信行为记录名单的供应商，其投标将作无效标处理。</w:t>
            </w:r>
          </w:p>
        </w:tc>
      </w:tr>
      <w:tr w14:paraId="09C51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restart"/>
            <w:shd w:val="clear" w:color="auto" w:fill="E0E0E0"/>
            <w:vAlign w:val="center"/>
          </w:tcPr>
          <w:p w14:paraId="50BE252B">
            <w:pPr>
              <w:keepNext w:val="0"/>
              <w:keepLines w:val="0"/>
              <w:pageBreakBefore w:val="0"/>
              <w:widowControl w:val="0"/>
              <w:kinsoku/>
              <w:overflowPunct/>
              <w:topLinePunct w:val="0"/>
              <w:autoSpaceDE/>
              <w:autoSpaceDN/>
              <w:bidi w:val="0"/>
              <w:spacing w:line="400" w:lineRule="exact"/>
              <w:jc w:val="center"/>
              <w:textAlignment w:val="auto"/>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20</w:t>
            </w:r>
          </w:p>
        </w:tc>
        <w:tc>
          <w:tcPr>
            <w:tcW w:w="1511" w:type="dxa"/>
            <w:vMerge w:val="restart"/>
            <w:shd w:val="clear" w:color="auto" w:fill="E0E0E0"/>
            <w:vAlign w:val="center"/>
          </w:tcPr>
          <w:p w14:paraId="758165FA">
            <w:pPr>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中小企业</w:t>
            </w:r>
          </w:p>
          <w:p w14:paraId="59CEA19C">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 w:val="21"/>
                <w:szCs w:val="21"/>
                <w:highlight w:val="none"/>
                <w:lang w:val="en-US" w:eastAsia="zh-CN"/>
              </w:rPr>
              <w:t>扶持政策</w:t>
            </w:r>
          </w:p>
        </w:tc>
        <w:tc>
          <w:tcPr>
            <w:tcW w:w="7894" w:type="dxa"/>
            <w:gridSpan w:val="3"/>
            <w:shd w:val="clear" w:color="auto" w:fill="FFFFFF"/>
            <w:vAlign w:val="center"/>
          </w:tcPr>
          <w:p w14:paraId="2F66A456">
            <w:pPr>
              <w:spacing w:line="360" w:lineRule="auto"/>
              <w:jc w:val="left"/>
              <w:rPr>
                <w:rFonts w:hint="eastAsia" w:ascii="宋体" w:hAnsi="宋体" w:eastAsia="宋体" w:cs="宋体"/>
                <w:b/>
                <w:color w:val="auto"/>
                <w:kern w:val="0"/>
                <w:szCs w:val="21"/>
                <w:highlight w:val="none"/>
              </w:rPr>
            </w:pPr>
            <w:r>
              <w:rPr>
                <w:rFonts w:hint="default" w:ascii="Times New Roman" w:hAnsi="Times New Roman"/>
                <w:b/>
                <w:bCs/>
                <w:color w:val="auto"/>
                <w:kern w:val="0"/>
                <w:sz w:val="21"/>
                <w:szCs w:val="21"/>
                <w:highlight w:val="none"/>
              </w:rPr>
              <w:t>本项目不预留份额专门面向中小企业采购。</w:t>
            </w:r>
          </w:p>
        </w:tc>
      </w:tr>
      <w:tr w14:paraId="0FBE6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6020D632">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p>
        </w:tc>
        <w:tc>
          <w:tcPr>
            <w:tcW w:w="1511" w:type="dxa"/>
            <w:vMerge w:val="continue"/>
            <w:shd w:val="clear" w:color="auto" w:fill="E0E0E0"/>
            <w:vAlign w:val="center"/>
          </w:tcPr>
          <w:p w14:paraId="430DC533">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p>
        </w:tc>
        <w:tc>
          <w:tcPr>
            <w:tcW w:w="7894" w:type="dxa"/>
            <w:gridSpan w:val="3"/>
            <w:shd w:val="clear" w:color="auto" w:fill="FFFFFF"/>
            <w:vAlign w:val="center"/>
          </w:tcPr>
          <w:p w14:paraId="14E3856C">
            <w:pPr>
              <w:spacing w:line="360" w:lineRule="auto"/>
              <w:jc w:val="left"/>
              <w:rPr>
                <w:rFonts w:hint="eastAsia" w:ascii="宋体" w:hAnsi="宋体" w:eastAsia="宋体" w:cs="宋体"/>
                <w:b/>
                <w:color w:val="auto"/>
                <w:kern w:val="0"/>
                <w:sz w:val="21"/>
                <w:szCs w:val="21"/>
                <w:highlight w:val="none"/>
                <w:lang w:val="en-US" w:eastAsia="zh-CN"/>
              </w:rPr>
            </w:pPr>
            <w:r>
              <w:rPr>
                <w:rFonts w:hint="eastAsia" w:ascii="宋体" w:hAnsi="宋体" w:eastAsia="宋体" w:cs="宋体"/>
                <w:b/>
                <w:bCs w:val="0"/>
                <w:color w:val="auto"/>
                <w:kern w:val="0"/>
                <w:sz w:val="21"/>
                <w:szCs w:val="21"/>
                <w:highlight w:val="none"/>
                <w:lang w:val="en-US" w:eastAsia="zh-CN"/>
              </w:rPr>
              <w:t>本项目采购标的对应的中小企业划分标准所属行业：其他未列明行业</w:t>
            </w:r>
            <w:r>
              <w:rPr>
                <w:rFonts w:hint="eastAsia" w:ascii="宋体" w:hAnsi="宋体" w:eastAsia="宋体" w:cs="宋体"/>
                <w:b/>
                <w:color w:val="auto"/>
                <w:kern w:val="0"/>
                <w:sz w:val="21"/>
                <w:szCs w:val="21"/>
                <w:highlight w:val="none"/>
                <w:lang w:val="en-US" w:eastAsia="zh-CN"/>
              </w:rPr>
              <w:t>。</w:t>
            </w:r>
          </w:p>
          <w:tbl>
            <w:tblPr>
              <w:tblStyle w:val="23"/>
              <w:tblW w:w="68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3"/>
              <w:gridCol w:w="1305"/>
              <w:gridCol w:w="1020"/>
              <w:gridCol w:w="1178"/>
              <w:gridCol w:w="1094"/>
              <w:gridCol w:w="726"/>
            </w:tblGrid>
            <w:tr w14:paraId="1A0F4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533" w:type="dxa"/>
                  <w:vAlign w:val="center"/>
                </w:tcPr>
                <w:p w14:paraId="3BFB32C5">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b/>
                      <w:bCs/>
                      <w:color w:val="auto"/>
                      <w:kern w:val="0"/>
                      <w:sz w:val="18"/>
                      <w:szCs w:val="18"/>
                      <w:highlight w:val="none"/>
                    </w:rPr>
                    <w:t>行业名称</w:t>
                  </w:r>
                </w:p>
              </w:tc>
              <w:tc>
                <w:tcPr>
                  <w:tcW w:w="1305" w:type="dxa"/>
                  <w:vAlign w:val="center"/>
                </w:tcPr>
                <w:p w14:paraId="0953C0A6">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b/>
                      <w:bCs/>
                      <w:color w:val="auto"/>
                      <w:kern w:val="0"/>
                      <w:sz w:val="18"/>
                      <w:szCs w:val="18"/>
                      <w:highlight w:val="none"/>
                    </w:rPr>
                    <w:t>指标名称</w:t>
                  </w:r>
                </w:p>
              </w:tc>
              <w:tc>
                <w:tcPr>
                  <w:tcW w:w="1020" w:type="dxa"/>
                  <w:vAlign w:val="center"/>
                </w:tcPr>
                <w:p w14:paraId="64CA3805">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b/>
                      <w:bCs/>
                      <w:color w:val="auto"/>
                      <w:kern w:val="0"/>
                      <w:sz w:val="18"/>
                      <w:szCs w:val="18"/>
                      <w:highlight w:val="none"/>
                    </w:rPr>
                    <w:t>计量单位</w:t>
                  </w:r>
                </w:p>
              </w:tc>
              <w:tc>
                <w:tcPr>
                  <w:tcW w:w="1178" w:type="dxa"/>
                  <w:vAlign w:val="center"/>
                </w:tcPr>
                <w:p w14:paraId="7E98FBBD">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b/>
                      <w:bCs/>
                      <w:color w:val="auto"/>
                      <w:kern w:val="0"/>
                      <w:sz w:val="18"/>
                      <w:szCs w:val="18"/>
                      <w:highlight w:val="none"/>
                    </w:rPr>
                    <w:t>中型</w:t>
                  </w:r>
                </w:p>
              </w:tc>
              <w:tc>
                <w:tcPr>
                  <w:tcW w:w="1094" w:type="dxa"/>
                  <w:vAlign w:val="center"/>
                </w:tcPr>
                <w:p w14:paraId="4EE85F32">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b/>
                      <w:bCs/>
                      <w:color w:val="auto"/>
                      <w:kern w:val="0"/>
                      <w:sz w:val="18"/>
                      <w:szCs w:val="18"/>
                      <w:highlight w:val="none"/>
                    </w:rPr>
                    <w:t>小型</w:t>
                  </w:r>
                </w:p>
              </w:tc>
              <w:tc>
                <w:tcPr>
                  <w:tcW w:w="726" w:type="dxa"/>
                  <w:vAlign w:val="center"/>
                </w:tcPr>
                <w:p w14:paraId="08270F5A">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b/>
                      <w:bCs/>
                      <w:color w:val="auto"/>
                      <w:kern w:val="0"/>
                      <w:sz w:val="18"/>
                      <w:szCs w:val="18"/>
                      <w:highlight w:val="none"/>
                    </w:rPr>
                    <w:t>微型</w:t>
                  </w:r>
                </w:p>
              </w:tc>
            </w:tr>
            <w:tr w14:paraId="68BE1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1533" w:type="dxa"/>
                  <w:vAlign w:val="center"/>
                </w:tcPr>
                <w:p w14:paraId="79B08A78">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color w:val="auto"/>
                      <w:kern w:val="0"/>
                      <w:sz w:val="18"/>
                      <w:szCs w:val="18"/>
                      <w:highlight w:val="none"/>
                    </w:rPr>
                    <w:t>其他未列明行业</w:t>
                  </w:r>
                </w:p>
              </w:tc>
              <w:tc>
                <w:tcPr>
                  <w:tcW w:w="1305" w:type="dxa"/>
                  <w:vAlign w:val="center"/>
                </w:tcPr>
                <w:p w14:paraId="7F2CB42E">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color w:val="auto"/>
                      <w:kern w:val="0"/>
                      <w:sz w:val="18"/>
                      <w:szCs w:val="18"/>
                      <w:highlight w:val="none"/>
                    </w:rPr>
                    <w:t>从业人员（X）</w:t>
                  </w:r>
                </w:p>
              </w:tc>
              <w:tc>
                <w:tcPr>
                  <w:tcW w:w="1020" w:type="dxa"/>
                  <w:vAlign w:val="center"/>
                </w:tcPr>
                <w:p w14:paraId="56B465EB">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color w:val="auto"/>
                      <w:kern w:val="0"/>
                      <w:sz w:val="18"/>
                      <w:szCs w:val="18"/>
                      <w:highlight w:val="none"/>
                    </w:rPr>
                    <w:t>人</w:t>
                  </w:r>
                </w:p>
              </w:tc>
              <w:tc>
                <w:tcPr>
                  <w:tcW w:w="1178" w:type="dxa"/>
                  <w:vAlign w:val="center"/>
                </w:tcPr>
                <w:p w14:paraId="61F38513">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color w:val="auto"/>
                      <w:kern w:val="0"/>
                      <w:sz w:val="18"/>
                      <w:szCs w:val="18"/>
                      <w:highlight w:val="none"/>
                    </w:rPr>
                    <w:t>100≤X&lt;300</w:t>
                  </w:r>
                </w:p>
              </w:tc>
              <w:tc>
                <w:tcPr>
                  <w:tcW w:w="1094" w:type="dxa"/>
                  <w:vAlign w:val="center"/>
                </w:tcPr>
                <w:p w14:paraId="42A7E9DA">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color w:val="auto"/>
                      <w:kern w:val="0"/>
                      <w:sz w:val="18"/>
                      <w:szCs w:val="18"/>
                      <w:highlight w:val="none"/>
                    </w:rPr>
                    <w:t>10≤X&lt;100</w:t>
                  </w:r>
                </w:p>
              </w:tc>
              <w:tc>
                <w:tcPr>
                  <w:tcW w:w="726" w:type="dxa"/>
                  <w:vAlign w:val="center"/>
                </w:tcPr>
                <w:p w14:paraId="52E54947">
                  <w:pPr>
                    <w:keepNext w:val="0"/>
                    <w:keepLines w:val="0"/>
                    <w:widowControl/>
                    <w:suppressLineNumbers w:val="0"/>
                    <w:wordWrap w:val="0"/>
                    <w:spacing w:before="0" w:beforeAutospacing="0" w:after="0" w:afterAutospacing="0" w:line="360" w:lineRule="auto"/>
                    <w:ind w:left="42" w:leftChars="20" w:right="0"/>
                    <w:jc w:val="center"/>
                    <w:textAlignment w:val="center"/>
                    <w:rPr>
                      <w:rFonts w:hint="default" w:ascii="Times New Roman" w:hAnsi="Times New Roman"/>
                      <w:color w:val="auto"/>
                      <w:sz w:val="18"/>
                      <w:szCs w:val="18"/>
                      <w:highlight w:val="none"/>
                    </w:rPr>
                  </w:pPr>
                  <w:r>
                    <w:rPr>
                      <w:rFonts w:hint="default" w:ascii="Times New Roman" w:hAnsi="Times New Roman"/>
                      <w:color w:val="auto"/>
                      <w:kern w:val="0"/>
                      <w:sz w:val="18"/>
                      <w:szCs w:val="18"/>
                      <w:highlight w:val="none"/>
                    </w:rPr>
                    <w:t>X&lt;10</w:t>
                  </w:r>
                </w:p>
              </w:tc>
            </w:tr>
          </w:tbl>
          <w:p w14:paraId="3DCE48FF">
            <w:pPr>
              <w:spacing w:line="360" w:lineRule="auto"/>
              <w:jc w:val="left"/>
              <w:rPr>
                <w:rFonts w:hint="eastAsia" w:ascii="宋体" w:hAnsi="宋体" w:eastAsia="宋体" w:cs="宋体"/>
                <w:b/>
                <w:color w:val="auto"/>
                <w:kern w:val="0"/>
                <w:sz w:val="21"/>
                <w:szCs w:val="21"/>
                <w:highlight w:val="none"/>
                <w:lang w:val="en-US" w:eastAsia="zh-CN"/>
              </w:rPr>
            </w:pPr>
          </w:p>
        </w:tc>
      </w:tr>
      <w:tr w14:paraId="1F8AD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3441050E">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p>
        </w:tc>
        <w:tc>
          <w:tcPr>
            <w:tcW w:w="1511" w:type="dxa"/>
            <w:vMerge w:val="continue"/>
            <w:shd w:val="clear" w:color="auto" w:fill="E0E0E0"/>
            <w:vAlign w:val="center"/>
          </w:tcPr>
          <w:p w14:paraId="72520C62">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p>
        </w:tc>
        <w:tc>
          <w:tcPr>
            <w:tcW w:w="7894" w:type="dxa"/>
            <w:gridSpan w:val="3"/>
            <w:shd w:val="clear" w:color="auto" w:fill="FFFFFF"/>
            <w:vAlign w:val="center"/>
          </w:tcPr>
          <w:p w14:paraId="54885638">
            <w:pPr>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kern w:val="0"/>
                <w:szCs w:val="21"/>
                <w:highlight w:val="none"/>
              </w:rPr>
              <w:t>本项目为服务采购项目。</w:t>
            </w:r>
          </w:p>
        </w:tc>
      </w:tr>
      <w:tr w14:paraId="0162F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3" w:hRule="atLeast"/>
          <w:tblCellSpacing w:w="7" w:type="dxa"/>
          <w:jc w:val="center"/>
        </w:trPr>
        <w:tc>
          <w:tcPr>
            <w:tcW w:w="598" w:type="dxa"/>
            <w:vMerge w:val="continue"/>
            <w:shd w:val="clear" w:color="auto" w:fill="E0E0E0"/>
            <w:vAlign w:val="center"/>
          </w:tcPr>
          <w:p w14:paraId="73E7E107">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p>
        </w:tc>
        <w:tc>
          <w:tcPr>
            <w:tcW w:w="1511" w:type="dxa"/>
            <w:vMerge w:val="continue"/>
            <w:shd w:val="clear" w:color="auto" w:fill="E0E0E0"/>
            <w:vAlign w:val="center"/>
          </w:tcPr>
          <w:p w14:paraId="36137EA1">
            <w:pPr>
              <w:keepNext w:val="0"/>
              <w:keepLines w:val="0"/>
              <w:pageBreakBefore w:val="0"/>
              <w:widowControl w:val="0"/>
              <w:kinsoku/>
              <w:overflowPunct/>
              <w:topLinePunct w:val="0"/>
              <w:autoSpaceDE/>
              <w:autoSpaceDN/>
              <w:bidi w:val="0"/>
              <w:spacing w:line="400" w:lineRule="exact"/>
              <w:jc w:val="center"/>
              <w:textAlignment w:val="auto"/>
              <w:rPr>
                <w:rFonts w:hint="eastAsia" w:ascii="宋体" w:hAnsi="宋体" w:eastAsia="宋体" w:cs="宋体"/>
                <w:b/>
                <w:color w:val="auto"/>
                <w:szCs w:val="21"/>
                <w:highlight w:val="none"/>
              </w:rPr>
            </w:pPr>
          </w:p>
        </w:tc>
        <w:tc>
          <w:tcPr>
            <w:tcW w:w="7894" w:type="dxa"/>
            <w:gridSpan w:val="3"/>
            <w:shd w:val="clear" w:color="auto" w:fill="FFFFFF"/>
            <w:vAlign w:val="center"/>
          </w:tcPr>
          <w:p w14:paraId="3D06606F">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根据《政府采购促进中小企业发展管理办法》（财库财库〔2020〕46号）、</w:t>
            </w:r>
            <w:r>
              <w:rPr>
                <w:rFonts w:hint="eastAsia" w:ascii="宋体" w:hAnsi="宋体" w:eastAsia="宋体" w:cs="宋体"/>
                <w:b/>
                <w:color w:val="auto"/>
                <w:szCs w:val="21"/>
                <w:highlight w:val="none"/>
                <w:lang w:val="zh-CN"/>
              </w:rPr>
              <w:t>《浙江省财政厅关于进一步发挥政府采购政策功能全力推动经济稳进提质的通知》（浙财采监〔2022〕3号）、</w:t>
            </w:r>
            <w:r>
              <w:rPr>
                <w:rFonts w:hint="eastAsia" w:ascii="宋体" w:hAnsi="宋体" w:eastAsia="宋体" w:cs="宋体"/>
                <w:b/>
                <w:color w:val="auto"/>
                <w:szCs w:val="21"/>
                <w:highlight w:val="none"/>
              </w:rPr>
              <w:t>《关于进一步加大政府采购支持中小企业力度的通知》（财库</w:t>
            </w:r>
            <w:r>
              <w:rPr>
                <w:rFonts w:hint="eastAsia" w:ascii="宋体" w:hAnsi="宋体" w:eastAsia="宋体" w:cs="宋体"/>
                <w:b/>
                <w:color w:val="auto"/>
                <w:szCs w:val="21"/>
                <w:highlight w:val="none"/>
                <w:lang w:eastAsia="zh-CN"/>
              </w:rPr>
              <w:t>〔2022〕19号</w:t>
            </w:r>
            <w:r>
              <w:rPr>
                <w:rFonts w:hint="eastAsia" w:ascii="宋体" w:hAnsi="宋体" w:eastAsia="宋体" w:cs="宋体"/>
                <w:b/>
                <w:color w:val="auto"/>
                <w:szCs w:val="21"/>
                <w:highlight w:val="none"/>
              </w:rPr>
              <w:t>）规定：</w:t>
            </w:r>
          </w:p>
          <w:p w14:paraId="4D767C81">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val="en-US" w:eastAsia="zh-CN"/>
              </w:rPr>
              <w:t>一、</w:t>
            </w:r>
            <w:r>
              <w:rPr>
                <w:rFonts w:hint="eastAsia" w:ascii="宋体" w:hAnsi="宋体" w:eastAsia="宋体" w:cs="宋体"/>
                <w:b/>
                <w:color w:val="auto"/>
                <w:szCs w:val="21"/>
                <w:highlight w:val="none"/>
              </w:rPr>
              <w:t>本办法所称的中小企业，是指在中华人民共和国境内依法设立，依据国务院批准的中小企业划分标准确定的中型企业、小型企业和微型企业，但与大企业的负责人为同一人，或者与大企业存在直接控股、管理关系的除外。</w:t>
            </w:r>
          </w:p>
          <w:p w14:paraId="2FB6F3D9">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符合中小企业划分标准的个体工商户，在政府采购活动中视同中小企业。</w:t>
            </w:r>
          </w:p>
          <w:p w14:paraId="5BFB3968">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val="en-US" w:eastAsia="zh-CN"/>
              </w:rPr>
              <w:t>二、</w:t>
            </w:r>
            <w:r>
              <w:rPr>
                <w:rFonts w:hint="eastAsia" w:ascii="宋体" w:hAnsi="宋体" w:eastAsia="宋体" w:cs="宋体"/>
                <w:b/>
                <w:color w:val="auto"/>
                <w:szCs w:val="21"/>
                <w:highlight w:val="none"/>
              </w:rPr>
              <w:t>在政府采购活动中，供应商提供的货物、工程或者服务符合下列情形的，享受本办法规定的中小企业扶持政策：</w:t>
            </w:r>
          </w:p>
          <w:p w14:paraId="4FC0E2BE">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在货物采购项目中，货物由中小企业制造，即货物由中小企业生产且使用该中小企业商号或者注册商标；</w:t>
            </w:r>
          </w:p>
          <w:p w14:paraId="751A4337">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在工程采购项目中，工程由中小企业承建，即工程施工单位为中小企业；</w:t>
            </w:r>
          </w:p>
          <w:p w14:paraId="12949F2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在服务采购项目中，服务由中小企业承建，即提供服务的人员为中小企业依照《中华人民共和国劳动合同法》订立劳动合同的从业人员。</w:t>
            </w:r>
          </w:p>
          <w:p w14:paraId="3C08E7D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color w:val="auto"/>
                <w:highlight w:val="none"/>
              </w:rPr>
            </w:pPr>
            <w:r>
              <w:rPr>
                <w:rFonts w:hint="eastAsia" w:ascii="宋体" w:hAnsi="宋体" w:eastAsia="宋体" w:cs="宋体"/>
                <w:b/>
                <w:color w:val="auto"/>
                <w:szCs w:val="21"/>
                <w:highlight w:val="none"/>
              </w:rPr>
              <w:t>在货物采购项目中，供应商提供的货物既有中小企业制造货物，也有大型企业制造货物的，不享受本办法规定的中小企业扶持政策。</w:t>
            </w:r>
          </w:p>
          <w:p w14:paraId="3D983AF1">
            <w:pPr>
              <w:keepNext w:val="0"/>
              <w:keepLines w:val="0"/>
              <w:pageBreakBefore w:val="0"/>
              <w:widowControl w:val="0"/>
              <w:numPr>
                <w:ilvl w:val="0"/>
                <w:numId w:val="5"/>
              </w:numPr>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符合财政部司法部关于政府采购支持监狱企业发展有关问题的通知（财库〔2014〕68号）的监狱企业、符合财政部民政部中国残疾人联合会关于促进残疾人就业政府采购政策的通知（财库〔2017〕141号）的残疾人福利性单位，在政府采购活动中，视同小型、微型企业的，不重复享受政策。</w:t>
            </w:r>
          </w:p>
          <w:p w14:paraId="62909409">
            <w:pPr>
              <w:keepNext w:val="0"/>
              <w:keepLines w:val="0"/>
              <w:pageBreakBefore w:val="0"/>
              <w:widowControl w:val="0"/>
              <w:numPr>
                <w:ilvl w:val="0"/>
                <w:numId w:val="5"/>
              </w:numPr>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依据本办法规定享受扶持政策获得政府采购合同的，小微企业不得将合同分包给大中型企业，中型企业不得将合同分包给大型企业。</w:t>
            </w:r>
          </w:p>
          <w:p w14:paraId="32FFAF0E">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color w:val="auto"/>
                <w:highlight w:val="none"/>
              </w:rPr>
            </w:pPr>
            <w:r>
              <w:rPr>
                <w:rFonts w:hint="eastAsia" w:ascii="宋体" w:hAnsi="宋体" w:cs="宋体"/>
                <w:b/>
                <w:color w:val="auto"/>
                <w:szCs w:val="21"/>
                <w:highlight w:val="none"/>
                <w:lang w:val="en-US" w:eastAsia="zh-CN"/>
              </w:rPr>
              <w:t>五、</w:t>
            </w:r>
            <w:r>
              <w:rPr>
                <w:rFonts w:hint="eastAsia" w:ascii="宋体" w:hAnsi="宋体" w:eastAsia="宋体" w:cs="宋体"/>
                <w:b/>
                <w:color w:val="auto"/>
                <w:szCs w:val="21"/>
                <w:highlight w:val="none"/>
              </w:rPr>
              <w:t>本项目中小企业扶持政策</w:t>
            </w:r>
          </w:p>
          <w:p w14:paraId="3B03172B">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cs="宋体"/>
                <w:b/>
                <w:color w:val="auto"/>
                <w:szCs w:val="21"/>
                <w:highlight w:val="none"/>
                <w:lang w:eastAsia="zh-CN"/>
              </w:rPr>
            </w:pPr>
            <w:r>
              <w:rPr>
                <w:rFonts w:hint="eastAsia" w:ascii="宋体" w:hAnsi="宋体" w:eastAsia="宋体" w:cs="宋体"/>
                <w:b/>
                <w:color w:val="auto"/>
                <w:szCs w:val="21"/>
                <w:highlight w:val="none"/>
              </w:rPr>
              <w:t>【评审中价格扣除政策】根据相关规定，本项目对符合本办法规定的小微企业报价给予10%的扣除，用扣除后的价格参加评审</w:t>
            </w:r>
            <w:r>
              <w:rPr>
                <w:rFonts w:hint="eastAsia" w:ascii="宋体" w:hAnsi="宋体" w:cs="宋体"/>
                <w:b/>
                <w:color w:val="auto"/>
                <w:szCs w:val="21"/>
                <w:highlight w:val="none"/>
                <w:lang w:eastAsia="zh-CN"/>
              </w:rPr>
              <w:t>；对于联合体协议约定小微企业的合同份额占到合同总金额30%以上的，对联合体或者大中型企业的报价原则上按最高优惠幅度6%给予扣除，用扣除后的价格参加评审：</w:t>
            </w:r>
          </w:p>
          <w:p w14:paraId="359CE7A9">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投标人须提供《中小企业声明函》</w:t>
            </w:r>
            <w:r>
              <w:rPr>
                <w:rFonts w:hint="eastAsia" w:ascii="宋体" w:hAnsi="宋体" w:cs="宋体"/>
                <w:b/>
                <w:color w:val="auto"/>
                <w:szCs w:val="21"/>
                <w:highlight w:val="none"/>
                <w:lang w:eastAsia="zh-CN"/>
              </w:rPr>
              <w:t>；</w:t>
            </w:r>
            <w:r>
              <w:rPr>
                <w:rFonts w:hint="eastAsia" w:ascii="宋体" w:hAnsi="宋体" w:eastAsia="宋体" w:cs="宋体"/>
                <w:b/>
                <w:color w:val="auto"/>
                <w:szCs w:val="21"/>
                <w:highlight w:val="none"/>
              </w:rPr>
              <w:t>监狱企业须提供省级以上监狱管理局、戒毒管理局（含新疆生产建设兵团）出具的属于监狱企业的证明文件；残疾人福利性单位须提供《残疾人福利性单位声明函》（见投标文件相关格式）附在投标报价文件内，否则不享受价格扣除优惠政策。</w:t>
            </w:r>
          </w:p>
          <w:p w14:paraId="40089B25">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b/>
                <w:color w:val="auto"/>
                <w:szCs w:val="21"/>
                <w:highlight w:val="none"/>
                <w:lang w:val="en-US" w:eastAsia="zh-CN"/>
              </w:rPr>
            </w:pPr>
            <w:r>
              <w:rPr>
                <w:rFonts w:hint="eastAsia" w:ascii="宋体" w:hAnsi="宋体" w:cs="宋体"/>
                <w:b/>
                <w:color w:val="auto"/>
                <w:kern w:val="0"/>
                <w:szCs w:val="21"/>
                <w:highlight w:val="none"/>
              </w:rPr>
              <w:t>以联合体形式参加的还须提供《联合</w:t>
            </w:r>
            <w:r>
              <w:rPr>
                <w:rFonts w:hint="eastAsia" w:ascii="宋体" w:hAnsi="宋体" w:cs="宋体"/>
                <w:b/>
                <w:color w:val="auto"/>
                <w:kern w:val="0"/>
                <w:szCs w:val="21"/>
                <w:highlight w:val="none"/>
                <w:lang w:val="en-US" w:eastAsia="zh-CN"/>
              </w:rPr>
              <w:t>体</w:t>
            </w:r>
            <w:r>
              <w:rPr>
                <w:rFonts w:hint="eastAsia" w:ascii="宋体" w:hAnsi="宋体" w:cs="宋体"/>
                <w:b/>
                <w:color w:val="auto"/>
                <w:kern w:val="0"/>
                <w:szCs w:val="21"/>
                <w:highlight w:val="none"/>
              </w:rPr>
              <w:t>协议》，明确联合协议中中小企业合同金额应当达到合同总额的</w:t>
            </w:r>
            <w:r>
              <w:rPr>
                <w:rFonts w:hint="eastAsia" w:ascii="宋体" w:hAnsi="宋体" w:cs="宋体"/>
                <w:b/>
                <w:color w:val="auto"/>
                <w:kern w:val="0"/>
                <w:szCs w:val="21"/>
                <w:highlight w:val="none"/>
                <w:lang w:val="en-US" w:eastAsia="zh-CN"/>
              </w:rPr>
              <w:t>3</w:t>
            </w:r>
            <w:r>
              <w:rPr>
                <w:rFonts w:hint="eastAsia" w:ascii="宋体" w:hAnsi="宋体" w:cs="宋体"/>
                <w:b/>
                <w:color w:val="auto"/>
                <w:kern w:val="0"/>
                <w:szCs w:val="21"/>
                <w:highlight w:val="none"/>
              </w:rPr>
              <w:t>0%以上，组成联合体的中小企业与联合体内其他企业之间不得存在直接控股、管理关系，否则不享受预留份额政策。</w:t>
            </w:r>
            <w:r>
              <w:rPr>
                <w:rFonts w:hint="eastAsia" w:ascii="宋体" w:hAnsi="宋体" w:eastAsia="宋体" w:cs="宋体"/>
                <w:b/>
                <w:color w:val="auto"/>
                <w:szCs w:val="21"/>
                <w:highlight w:val="none"/>
                <w:lang w:val="en-US" w:eastAsia="zh-CN"/>
              </w:rPr>
              <w:t>联合体各方均为小型、微型企业的，联合体视同为小型、微型企业。组成联合体的大中型企业和其他自然人、法人或者其他组织，与小型、微型企业之间不得存在投资关系。</w:t>
            </w:r>
          </w:p>
          <w:p w14:paraId="146ABF70">
            <w:pPr>
              <w:keepNext w:val="0"/>
              <w:keepLines w:val="0"/>
              <w:pageBreakBefore w:val="0"/>
              <w:widowControl w:val="0"/>
              <w:kinsoku/>
              <w:overflowPunct/>
              <w:topLinePunct w:val="0"/>
              <w:autoSpaceDE/>
              <w:autoSpaceDN/>
              <w:bidi w:val="0"/>
              <w:spacing w:line="400" w:lineRule="exact"/>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注：参加本项目投标的供应商不能重复享受价格扣除优惠政策。</w:t>
            </w:r>
          </w:p>
        </w:tc>
      </w:tr>
    </w:tbl>
    <w:p w14:paraId="34572E55">
      <w:pPr>
        <w:pStyle w:val="6"/>
        <w:rPr>
          <w:rFonts w:hint="eastAsia" w:ascii="宋体" w:hAnsi="宋体" w:eastAsia="宋体" w:cs="宋体"/>
          <w:color w:val="auto"/>
          <w:szCs w:val="21"/>
          <w:highlight w:val="none"/>
        </w:rPr>
      </w:pPr>
    </w:p>
    <w:p w14:paraId="079820E6">
      <w:pPr>
        <w:rPr>
          <w:rFonts w:hint="eastAsia" w:ascii="宋体" w:hAnsi="宋体" w:eastAsia="宋体" w:cs="宋体"/>
          <w:b/>
          <w:bCs/>
          <w:color w:val="auto"/>
          <w:sz w:val="28"/>
          <w:highlight w:val="none"/>
        </w:rPr>
      </w:pPr>
      <w:r>
        <w:rPr>
          <w:rFonts w:hint="eastAsia" w:ascii="宋体" w:hAnsi="宋体" w:eastAsia="宋体" w:cs="宋体"/>
          <w:b/>
          <w:bCs/>
          <w:color w:val="auto"/>
          <w:sz w:val="28"/>
          <w:highlight w:val="none"/>
        </w:rPr>
        <w:br w:type="page"/>
      </w:r>
    </w:p>
    <w:p w14:paraId="0A6435DA">
      <w:pPr>
        <w:jc w:val="center"/>
        <w:rPr>
          <w:rFonts w:hint="eastAsia" w:ascii="宋体" w:hAnsi="宋体" w:eastAsia="宋体" w:cs="宋体"/>
          <w:b/>
          <w:bCs/>
          <w:color w:val="auto"/>
          <w:sz w:val="28"/>
          <w:highlight w:val="none"/>
        </w:rPr>
      </w:pPr>
      <w:r>
        <w:rPr>
          <w:rFonts w:hint="eastAsia" w:ascii="宋体" w:hAnsi="宋体" w:eastAsia="宋体" w:cs="宋体"/>
          <w:b/>
          <w:bCs/>
          <w:color w:val="auto"/>
          <w:sz w:val="28"/>
          <w:highlight w:val="none"/>
        </w:rPr>
        <w:t>一、总  则</w:t>
      </w:r>
    </w:p>
    <w:p w14:paraId="1F5AE16D">
      <w:pPr>
        <w:pStyle w:val="34"/>
        <w:snapToGrid w:val="0"/>
        <w:spacing w:before="120" w:after="120"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（一）适用范围</w:t>
      </w:r>
    </w:p>
    <w:p w14:paraId="680652F0">
      <w:pPr>
        <w:snapToGrid w:val="0"/>
        <w:spacing w:line="360" w:lineRule="auto"/>
        <w:ind w:right="-506" w:rightChars="-241"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本采购文件适用于</w:t>
      </w:r>
      <w:r>
        <w:rPr>
          <w:rFonts w:hint="eastAsia" w:ascii="宋体" w:hAnsi="宋体" w:cs="宋体"/>
          <w:color w:val="auto"/>
          <w:highlight w:val="none"/>
          <w:lang w:eastAsia="zh-CN"/>
        </w:rPr>
        <w:t>舟山市水安全保障“十五五”规划项目</w:t>
      </w:r>
      <w:r>
        <w:rPr>
          <w:rFonts w:hint="eastAsia" w:ascii="宋体" w:hAnsi="宋体" w:eastAsia="宋体" w:cs="宋体"/>
          <w:color w:val="auto"/>
          <w:highlight w:val="none"/>
        </w:rPr>
        <w:t>的招标、投标、评标、定标、验收、合同履约、付款等行为（法律、法规另有规定的，从其规定）。</w:t>
      </w:r>
    </w:p>
    <w:p w14:paraId="163F39E1">
      <w:pPr>
        <w:pStyle w:val="34"/>
        <w:snapToGrid w:val="0"/>
        <w:spacing w:before="120" w:after="120"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（二）定义</w:t>
      </w:r>
    </w:p>
    <w:p w14:paraId="207EEED5">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 招标采购单位系指组织本次招标的代理机构（“采购人”）和采购单位。</w:t>
      </w:r>
    </w:p>
    <w:p w14:paraId="168AC901">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2.“投标人”系指向采购人提交投标响应文件的单位或个人。</w:t>
      </w:r>
    </w:p>
    <w:p w14:paraId="4A170F3B">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3.“产品”系指供方按采购文件规定，须向采购人提供的一切设备、保险、税金、备品备件、工具、手册及其它有关技术资料和材料。</w:t>
      </w:r>
    </w:p>
    <w:p w14:paraId="13472C20">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4.“服务”系指采购文件规定投标人须承担的安装、调试、技术协助、校准、培训、技术指导以及其他类似的义务。</w:t>
      </w:r>
    </w:p>
    <w:p w14:paraId="4CD6FA64">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5.“项目”系指投标人按采购文件规定向采购人提供的产品和服务。</w:t>
      </w:r>
    </w:p>
    <w:p w14:paraId="500D601A">
      <w:pPr>
        <w:spacing w:line="360" w:lineRule="auto"/>
        <w:ind w:right="3"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6.“中标人”是指经审查通过，并经公示无异议的投标人。</w:t>
      </w:r>
    </w:p>
    <w:p w14:paraId="167C59F9">
      <w:pPr>
        <w:spacing w:line="360" w:lineRule="auto"/>
        <w:ind w:right="3"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w:t>
      </w:r>
      <w:r>
        <w:rPr>
          <w:rFonts w:hint="eastAsia" w:ascii="宋体" w:hAnsi="宋体" w:eastAsia="宋体" w:cs="宋体"/>
          <w:color w:val="auto"/>
          <w:szCs w:val="21"/>
          <w:highlight w:val="none"/>
        </w:rPr>
        <w:t>投标人代表”</w:t>
      </w:r>
      <w:r>
        <w:rPr>
          <w:rFonts w:hint="eastAsia" w:ascii="宋体" w:hAnsi="宋体" w:eastAsia="宋体" w:cs="宋体"/>
          <w:color w:val="auto"/>
          <w:highlight w:val="none"/>
        </w:rPr>
        <w:t>是</w:t>
      </w:r>
      <w:r>
        <w:rPr>
          <w:rFonts w:hint="eastAsia" w:ascii="宋体" w:hAnsi="宋体" w:eastAsia="宋体" w:cs="宋体"/>
          <w:color w:val="auto"/>
          <w:szCs w:val="21"/>
          <w:highlight w:val="none"/>
        </w:rPr>
        <w:t>指投标人法定代表人或被投标人法定代表人授权委托的人。</w:t>
      </w:r>
    </w:p>
    <w:p w14:paraId="397CA7C9">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8.“书面形式”包括信函、传真、电报、电子文档等。</w:t>
      </w:r>
    </w:p>
    <w:p w14:paraId="26BD1F12">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9.</w:t>
      </w:r>
      <w:r>
        <w:rPr>
          <w:rFonts w:hint="eastAsia" w:ascii="宋体" w:hAnsi="宋体" w:eastAsia="宋体" w:cs="宋体"/>
          <w:b/>
          <w:color w:val="auto"/>
          <w:highlight w:val="none"/>
        </w:rPr>
        <w:t xml:space="preserve"> “</w:t>
      </w:r>
      <w:r>
        <w:rPr>
          <w:rFonts w:hint="eastAsia" w:ascii="宋体" w:hAnsi="宋体" w:eastAsia="宋体" w:cs="宋体"/>
          <w:b/>
          <w:color w:val="auto"/>
          <w:szCs w:val="21"/>
          <w:highlight w:val="none"/>
        </w:rPr>
        <w:t>▲</w:t>
      </w:r>
      <w:r>
        <w:rPr>
          <w:rFonts w:hint="eastAsia" w:ascii="宋体" w:hAnsi="宋体" w:eastAsia="宋体" w:cs="宋体"/>
          <w:b/>
          <w:color w:val="auto"/>
          <w:highlight w:val="none"/>
        </w:rPr>
        <w:t>”</w:t>
      </w:r>
      <w:r>
        <w:rPr>
          <w:rFonts w:hint="eastAsia" w:ascii="宋体" w:hAnsi="宋体" w:eastAsia="宋体" w:cs="宋体"/>
          <w:b/>
          <w:color w:val="auto"/>
          <w:szCs w:val="21"/>
          <w:highlight w:val="none"/>
        </w:rPr>
        <w:t>系指实质性</w:t>
      </w:r>
      <w:r>
        <w:rPr>
          <w:rFonts w:hint="eastAsia" w:ascii="宋体" w:hAnsi="宋体" w:eastAsia="宋体" w:cs="宋体"/>
          <w:b/>
          <w:color w:val="auto"/>
          <w:highlight w:val="none"/>
        </w:rPr>
        <w:t>要求条款，未响应的作无效标处理。</w:t>
      </w:r>
    </w:p>
    <w:p w14:paraId="2A57F441">
      <w:pPr>
        <w:snapToGrid w:val="0"/>
        <w:spacing w:line="360" w:lineRule="auto"/>
        <w:ind w:firstLine="422" w:firstLineChars="200"/>
        <w:jc w:val="left"/>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（三）采购方式</w:t>
      </w:r>
    </w:p>
    <w:p w14:paraId="2783D307">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本次采购采用公开采购方式进行。</w:t>
      </w:r>
    </w:p>
    <w:p w14:paraId="07C842E3">
      <w:pPr>
        <w:pStyle w:val="34"/>
        <w:snapToGrid w:val="0"/>
        <w:spacing w:before="120" w:after="120" w:line="360" w:lineRule="auto"/>
        <w:ind w:firstLine="417" w:firstLine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（四）采购预算</w:t>
      </w:r>
    </w:p>
    <w:p w14:paraId="5C948D80">
      <w:pPr>
        <w:pStyle w:val="8"/>
        <w:spacing w:after="0" w:line="360" w:lineRule="auto"/>
        <w:ind w:firstLine="482" w:firstLineChars="200"/>
        <w:rPr>
          <w:rFonts w:hint="eastAsia" w:ascii="宋体" w:hAnsi="宋体" w:eastAsia="宋体" w:cs="宋体"/>
          <w:color w:val="auto"/>
          <w:highlight w:val="none"/>
        </w:rPr>
      </w:pPr>
      <w:r>
        <w:rPr>
          <w:rFonts w:hint="eastAsia" w:ascii="宋体" w:hAnsi="宋体" w:eastAsia="宋体" w:cs="宋体"/>
          <w:b/>
          <w:color w:val="auto"/>
          <w:szCs w:val="21"/>
          <w:highlight w:val="none"/>
        </w:rPr>
        <w:t>▲</w:t>
      </w:r>
      <w:r>
        <w:rPr>
          <w:rFonts w:hint="eastAsia" w:ascii="宋体" w:hAnsi="宋体" w:eastAsia="宋体" w:cs="宋体"/>
          <w:color w:val="auto"/>
          <w:sz w:val="21"/>
          <w:szCs w:val="21"/>
          <w:highlight w:val="none"/>
        </w:rPr>
        <w:t>本次采购</w:t>
      </w:r>
      <w:r>
        <w:rPr>
          <w:rFonts w:hint="eastAsia" w:ascii="宋体" w:hAnsi="宋体" w:cs="宋体"/>
          <w:color w:val="auto"/>
          <w:sz w:val="21"/>
          <w:szCs w:val="21"/>
          <w:highlight w:val="none"/>
          <w:lang w:val="en-US" w:eastAsia="zh-CN"/>
        </w:rPr>
        <w:t>最高限价如下：1）舟山市水安全保障“十五五”规划最高限价50万元；2）舟山市定海区水安全保障“十五五”规划最高限价50万元；3）舟山市普陀区水安全保障“十五五”规划最高限价50万元；4）舟山市岱山县水安全保障“十五五”规划最高限价50万元；5）舟山市嵊泗县水安全保障“十五五”规划最高限价30万元。</w:t>
      </w:r>
      <w:r>
        <w:rPr>
          <w:rFonts w:hint="eastAsia" w:ascii="宋体" w:hAnsi="宋体" w:eastAsia="宋体" w:cs="宋体"/>
          <w:b/>
          <w:color w:val="auto"/>
          <w:sz w:val="21"/>
          <w:szCs w:val="21"/>
          <w:highlight w:val="none"/>
        </w:rPr>
        <w:t>投标报价不得超过</w:t>
      </w:r>
      <w:r>
        <w:rPr>
          <w:rFonts w:hint="eastAsia" w:ascii="宋体" w:hAnsi="宋体" w:cs="宋体"/>
          <w:b/>
          <w:color w:val="auto"/>
          <w:sz w:val="21"/>
          <w:szCs w:val="21"/>
          <w:highlight w:val="none"/>
          <w:lang w:val="en-US" w:eastAsia="zh-CN"/>
        </w:rPr>
        <w:t>上述五项</w:t>
      </w:r>
      <w:r>
        <w:rPr>
          <w:rFonts w:hint="eastAsia" w:ascii="宋体" w:hAnsi="宋体" w:eastAsia="宋体" w:cs="宋体"/>
          <w:b/>
          <w:color w:val="auto"/>
          <w:sz w:val="21"/>
          <w:szCs w:val="21"/>
          <w:highlight w:val="none"/>
        </w:rPr>
        <w:t>最高限价，否则作无效标处理。</w:t>
      </w:r>
    </w:p>
    <w:p w14:paraId="3ECA1CDC">
      <w:pPr>
        <w:pStyle w:val="34"/>
        <w:numPr>
          <w:ilvl w:val="0"/>
          <w:numId w:val="6"/>
        </w:numPr>
        <w:snapToGrid w:val="0"/>
        <w:spacing w:before="120" w:after="120" w:line="360" w:lineRule="auto"/>
        <w:ind w:firstLine="417" w:firstLine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费用</w:t>
      </w:r>
    </w:p>
    <w:p w14:paraId="0A092535">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不论采购结果如何，投标人均应自行承担所有与投标有关的全部费用（采购文件另有规定除外）。</w:t>
      </w:r>
    </w:p>
    <w:p w14:paraId="424EC9CA">
      <w:pPr>
        <w:pStyle w:val="34"/>
        <w:numPr>
          <w:ilvl w:val="0"/>
          <w:numId w:val="6"/>
        </w:numPr>
        <w:snapToGrid w:val="0"/>
        <w:spacing w:before="120" w:after="120" w:line="360" w:lineRule="auto"/>
        <w:ind w:firstLine="417" w:firstLine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联合体投标</w:t>
      </w:r>
    </w:p>
    <w:p w14:paraId="3EB1B99A">
      <w:pPr>
        <w:widowControl w:val="0"/>
        <w:snapToGrid w:val="0"/>
        <w:spacing w:line="360" w:lineRule="auto"/>
        <w:ind w:firstLine="420" w:firstLineChars="200"/>
        <w:jc w:val="both"/>
        <w:rPr>
          <w:rFonts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项目接受联合体投标，但组成联合体的供应商最多两个。参加联合体的供应商应当在投标文件中提交联合协议，载明联合体各方承担的工作和义务。联合体成员均应满足本项目“申请人的资格要求”；联合体各方应当共同与采购人签订采购合同，就采购合同约定的事项对采购人承担连带责任。以联合体形式参加政府采购活动的，联合体各方不得再单独参加或者与其他供应商另外组成联合体参加同一合同项下的政府采购活动。</w:t>
      </w:r>
    </w:p>
    <w:p w14:paraId="100792DF">
      <w:pPr>
        <w:pStyle w:val="34"/>
        <w:numPr>
          <w:ilvl w:val="0"/>
          <w:numId w:val="6"/>
        </w:numPr>
        <w:snapToGrid w:val="0"/>
        <w:spacing w:before="120" w:after="120" w:line="360" w:lineRule="auto"/>
        <w:ind w:firstLine="417" w:firstLine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转包与分包</w:t>
      </w:r>
    </w:p>
    <w:p w14:paraId="478266D9">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1.本项目不允许转包。</w:t>
      </w:r>
    </w:p>
    <w:p w14:paraId="58A8F9F5">
      <w:pPr>
        <w:pStyle w:val="8"/>
        <w:ind w:firstLine="420" w:firstLineChars="20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2.本项目不允许分包。</w:t>
      </w:r>
    </w:p>
    <w:p w14:paraId="7C658680">
      <w:pPr>
        <w:pStyle w:val="34"/>
        <w:snapToGrid w:val="0"/>
        <w:spacing w:before="120" w:after="120" w:line="360" w:lineRule="auto"/>
        <w:ind w:firstLine="417" w:firstLine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（八）特别说明</w:t>
      </w:r>
    </w:p>
    <w:p w14:paraId="653B0041">
      <w:pPr>
        <w:pStyle w:val="8"/>
        <w:spacing w:after="0" w:line="360" w:lineRule="auto"/>
        <w:ind w:firstLine="480"/>
        <w:rPr>
          <w:rFonts w:hint="eastAsia" w:ascii="宋体" w:hAnsi="宋体" w:eastAsia="宋体" w:cs="宋体"/>
          <w:color w:val="auto"/>
          <w:highlight w:val="none"/>
        </w:rPr>
      </w:pPr>
      <w:r>
        <w:rPr>
          <w:rFonts w:hint="eastAsia" w:ascii="宋体" w:hAnsi="宋体" w:eastAsia="宋体" w:cs="宋体"/>
          <w:snapToGrid w:val="0"/>
          <w:color w:val="auto"/>
          <w:sz w:val="21"/>
          <w:szCs w:val="21"/>
          <w:highlight w:val="none"/>
        </w:rPr>
        <w:t>1.对投标人的限制</w:t>
      </w:r>
    </w:p>
    <w:p w14:paraId="2BF9753B">
      <w:pPr>
        <w:snapToGrid w:val="0"/>
        <w:spacing w:line="360" w:lineRule="auto"/>
        <w:ind w:firstLine="422" w:firstLineChars="200"/>
        <w:jc w:val="left"/>
        <w:rPr>
          <w:rFonts w:hint="eastAsia" w:ascii="宋体" w:hAnsi="宋体" w:eastAsia="宋体" w:cs="宋体"/>
          <w:b/>
          <w:bCs/>
          <w:color w:val="auto"/>
          <w:szCs w:val="21"/>
          <w:highlight w:val="none"/>
        </w:rPr>
      </w:pPr>
      <w:r>
        <w:rPr>
          <w:rFonts w:hint="eastAsia" w:ascii="宋体" w:hAnsi="宋体" w:eastAsia="宋体" w:cs="宋体"/>
          <w:b/>
          <w:color w:val="auto"/>
          <w:szCs w:val="21"/>
          <w:highlight w:val="none"/>
        </w:rPr>
        <w:t>▲</w:t>
      </w:r>
      <w:r>
        <w:rPr>
          <w:rFonts w:hint="eastAsia" w:ascii="宋体" w:hAnsi="宋体" w:eastAsia="宋体" w:cs="宋体"/>
          <w:b/>
          <w:bCs/>
          <w:snapToGrid w:val="0"/>
          <w:color w:val="auto"/>
          <w:kern w:val="0"/>
          <w:szCs w:val="21"/>
          <w:highlight w:val="none"/>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14:paraId="217FDA9C">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2.投标人投标所使用的资格、信誉、荣誉、业绩与企业认证必须为本法人所拥有。投标人投标所使用的采购项目实施人员必须为本法人员工（或必须为本法人或控股公司在职员工）。</w:t>
      </w:r>
    </w:p>
    <w:p w14:paraId="38F76E2A">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3.投标人应仔细阅读采购文件的所有内容，按照采购文件的要求提交投标文件，并对所提供的全部资料的真实性承担法律责任。</w:t>
      </w:r>
    </w:p>
    <w:p w14:paraId="1291101F">
      <w:pPr>
        <w:snapToGrid w:val="0"/>
        <w:spacing w:line="360" w:lineRule="auto"/>
        <w:ind w:right="-506" w:rightChars="-241"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032C7CB7">
      <w:pPr>
        <w:pStyle w:val="34"/>
        <w:snapToGrid w:val="0"/>
        <w:spacing w:before="120" w:after="120" w:line="360" w:lineRule="auto"/>
        <w:ind w:left="416" w:left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（九）质疑和投诉</w:t>
      </w:r>
    </w:p>
    <w:p w14:paraId="787622DE">
      <w:pPr>
        <w:pStyle w:val="34"/>
        <w:snapToGrid w:val="0"/>
        <w:spacing w:before="120" w:after="120" w:line="360" w:lineRule="auto"/>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1、</w:t>
      </w:r>
      <w:r>
        <w:rPr>
          <w:rFonts w:hint="eastAsia" w:ascii="宋体" w:hAnsi="宋体" w:eastAsia="宋体" w:cs="宋体"/>
          <w:b/>
          <w:bCs/>
          <w:color w:val="auto"/>
          <w:sz w:val="21"/>
          <w:szCs w:val="21"/>
          <w:highlight w:val="none"/>
        </w:rPr>
        <w:t>质疑</w:t>
      </w:r>
    </w:p>
    <w:p w14:paraId="67391D3F">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1.1</w:t>
      </w:r>
      <w:r>
        <w:rPr>
          <w:rFonts w:hint="eastAsia" w:ascii="宋体" w:hAnsi="宋体" w:eastAsia="宋体" w:cs="宋体"/>
          <w:color w:val="auto"/>
          <w:kern w:val="0"/>
          <w:szCs w:val="21"/>
          <w:highlight w:val="none"/>
        </w:rPr>
        <w:t>根据财政部94号令（《政府采购质疑和投诉办法》）的规定，</w:t>
      </w:r>
      <w:r>
        <w:rPr>
          <w:rFonts w:hint="eastAsia" w:ascii="宋体" w:hAnsi="宋体" w:eastAsia="宋体" w:cs="宋体"/>
          <w:color w:val="auto"/>
          <w:highlight w:val="none"/>
        </w:rPr>
        <w:t>投标人认为采购文件、招标过程和中标、成交结果使自己的权益受到损害的，可以在知道或者应知其权益受到损害之日起七个工作日内，以书面形式向招标代理机构提出质疑，投标人在法定质疑期内一次性提出针对同一采购程序环节的质疑。</w:t>
      </w:r>
    </w:p>
    <w:p w14:paraId="033049C9">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（1）投标人如认为招标公告信息使自身的合法权益受到损害的，应于自招标公告期限届满之日起七个工作日内以书面形式向招标代理机构提出质疑；</w:t>
      </w:r>
    </w:p>
    <w:p w14:paraId="4E4CB5C7">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（2）投标人如认为采购文件使自身的合法权益受到损害的，应按投标人须知前附表中质疑一栏中规定时间内提出要求；</w:t>
      </w:r>
    </w:p>
    <w:p w14:paraId="342BD01F">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（3）对采购过程提出质疑的，为各采购程序环节结束之日；</w:t>
      </w:r>
    </w:p>
    <w:p w14:paraId="46CC38FE">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（4）投标人如认为招标过程和中标结果使自身的合法权益受到损害的，应于中标结果公告期限届满之日起七个工作日内以书面形式向招标代理机构一次性提出针对同一采购程序环节的质疑。</w:t>
      </w:r>
    </w:p>
    <w:p w14:paraId="7DEE58BA">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1.2提出质疑的投标人（以下简称质疑投标人）应当是参与所质疑项目采购活动的投标人。</w:t>
      </w:r>
    </w:p>
    <w:p w14:paraId="6FC40C48">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1.3投标人为自然人的，应当由本人签字；投标人为法人或者其他组织的，应当由法定代表人、主要负责人，或者其授权代表签字或者盖章，并加盖公章。</w:t>
      </w:r>
    </w:p>
    <w:p w14:paraId="6619853A">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代理人提出质疑和投诉，应当提交投标人签署的授权委托书。</w:t>
      </w:r>
    </w:p>
    <w:p w14:paraId="7CFFCB5F">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1.4投标人提交的质疑书需一式三份，质疑书至少应包括下列主要内容：</w:t>
      </w:r>
    </w:p>
    <w:p w14:paraId="49F2E92F">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（一）投标人的姓名或者名称、地址、邮编、联系人及联系电话；</w:t>
      </w:r>
    </w:p>
    <w:p w14:paraId="6759CD43">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（二）质疑项目的名称、编号；</w:t>
      </w:r>
    </w:p>
    <w:p w14:paraId="304392DC">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（三）具体、明确的质疑事项和与质疑事项相关的请求；</w:t>
      </w:r>
    </w:p>
    <w:p w14:paraId="500821F9">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（四）事实依据；</w:t>
      </w:r>
    </w:p>
    <w:p w14:paraId="19D2E11D">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（五）必要的法律依据；</w:t>
      </w:r>
    </w:p>
    <w:p w14:paraId="5216BD99">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（六）提出质疑的日期。</w:t>
      </w:r>
    </w:p>
    <w:p w14:paraId="3DD14FF1">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rPr>
        <w:t>1.5</w:t>
      </w:r>
      <w:r>
        <w:rPr>
          <w:rFonts w:hint="eastAsia" w:ascii="宋体" w:hAnsi="宋体" w:eastAsia="宋体" w:cs="宋体"/>
          <w:color w:val="auto"/>
          <w:highlight w:val="none"/>
          <w:shd w:val="clear" w:color="auto" w:fill="FFFFFF"/>
        </w:rPr>
        <w:t>采购人、采购代理机构不得拒收质疑投标人在法定质疑期内发出的质疑函，应当在收到质疑函后7个工作日内作出答复，质疑答复的内容不得涉及商业秘密，并以书面形式通知质疑投标人和其他有关投标人。</w:t>
      </w:r>
    </w:p>
    <w:p w14:paraId="5CC1F64A">
      <w:pPr>
        <w:pStyle w:val="34"/>
        <w:snapToGrid w:val="0"/>
        <w:spacing w:before="120" w:after="120" w:line="360" w:lineRule="auto"/>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2、投诉</w:t>
      </w:r>
    </w:p>
    <w:p w14:paraId="3CD9329C">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2.1质疑投标人对采购人、采购代理机构的答复不满意，或者采购人、采购代理机构未在规定时间内作出答复的，可以在答复期满后15个工作日内向</w:t>
      </w:r>
      <w:r>
        <w:rPr>
          <w:rFonts w:hint="eastAsia" w:ascii="宋体" w:hAnsi="宋体" w:eastAsia="宋体" w:cs="宋体"/>
          <w:color w:val="auto"/>
          <w:kern w:val="0"/>
          <w:szCs w:val="21"/>
          <w:highlight w:val="none"/>
        </w:rPr>
        <w:t>《政府采购质疑和投诉办法》</w:t>
      </w:r>
      <w:r>
        <w:rPr>
          <w:rFonts w:hint="eastAsia" w:ascii="宋体" w:hAnsi="宋体" w:eastAsia="宋体" w:cs="宋体"/>
          <w:color w:val="auto"/>
          <w:highlight w:val="none"/>
          <w:shd w:val="clear" w:color="auto" w:fill="FFFFFF"/>
        </w:rPr>
        <w:t>第六条规定的财政部门提起投诉。</w:t>
      </w:r>
    </w:p>
    <w:p w14:paraId="6C764434">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2.2投标人投诉的事项不得超出已质疑事项的范围，但基于质疑答复内容提出的投诉事项除外。</w:t>
      </w:r>
    </w:p>
    <w:p w14:paraId="1071A096">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2.3投诉人提起投诉应当符合下列条件：</w:t>
      </w:r>
    </w:p>
    <w:p w14:paraId="2A34A6AB">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（一）提起投诉前已依法进行质疑；</w:t>
      </w:r>
    </w:p>
    <w:p w14:paraId="22DC1826">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（二）投诉书内容符合本办法的规定；</w:t>
      </w:r>
    </w:p>
    <w:p w14:paraId="0653AC8B">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（三）在投诉有效期限内提起投诉；</w:t>
      </w:r>
    </w:p>
    <w:p w14:paraId="2F7CE3B8">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（四）同一投诉事项未经财政部门投诉处理；</w:t>
      </w:r>
    </w:p>
    <w:p w14:paraId="66A56B6D">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（五）财政部规定的其他条件。</w:t>
      </w:r>
    </w:p>
    <w:p w14:paraId="752B1AC8">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2.4投诉人在全国范围12个月内三次以上投诉查无实据的，由财政部门列入不良行为记录名单。</w:t>
      </w:r>
    </w:p>
    <w:p w14:paraId="424A2D13">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2.5投诉人有下列行为之一的，属于虚假、恶意投诉，由财政部门列入不良行为记录名单，禁止其1至3年内参加政府采购活动：</w:t>
      </w:r>
    </w:p>
    <w:p w14:paraId="65C3EED6">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（一）捏造事实；</w:t>
      </w:r>
    </w:p>
    <w:p w14:paraId="4794CE29">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（二）提供虚假材料；</w:t>
      </w:r>
    </w:p>
    <w:p w14:paraId="6055C26A">
      <w:pPr>
        <w:spacing w:line="360" w:lineRule="auto"/>
        <w:ind w:firstLine="420"/>
        <w:rPr>
          <w:rFonts w:hint="eastAsia" w:ascii="宋体" w:hAnsi="宋体" w:eastAsia="宋体" w:cs="宋体"/>
          <w:color w:val="auto"/>
          <w:highlight w:val="none"/>
          <w:shd w:val="clear" w:color="auto" w:fill="FFFFFF"/>
        </w:rPr>
      </w:pPr>
      <w:r>
        <w:rPr>
          <w:rFonts w:hint="eastAsia" w:ascii="宋体" w:hAnsi="宋体" w:eastAsia="宋体" w:cs="宋体"/>
          <w:color w:val="auto"/>
          <w:highlight w:val="none"/>
          <w:shd w:val="clear" w:color="auto" w:fill="FFFFFF"/>
        </w:rPr>
        <w:t>（三）以非法手段取得证明材料。证据来源的合法性存在明显疑问，投诉人无法证明其取得方式合法的，视为以非法手段取得证明材料。</w:t>
      </w:r>
    </w:p>
    <w:p w14:paraId="5CBF6CE3">
      <w:pPr>
        <w:spacing w:line="360" w:lineRule="auto"/>
        <w:ind w:firstLine="420"/>
        <w:rPr>
          <w:rFonts w:hint="eastAsia" w:ascii="宋体" w:hAnsi="宋体" w:eastAsia="宋体" w:cs="宋体"/>
          <w:bCs/>
          <w:color w:val="auto"/>
          <w:szCs w:val="21"/>
          <w:highlight w:val="none"/>
          <w:shd w:val="clear" w:color="auto" w:fill="FFFFFF"/>
        </w:rPr>
      </w:pPr>
      <w:r>
        <w:rPr>
          <w:rFonts w:hint="eastAsia" w:ascii="宋体" w:hAnsi="宋体" w:eastAsia="宋体" w:cs="宋体"/>
          <w:color w:val="auto"/>
          <w:highlight w:val="none"/>
          <w:shd w:val="clear" w:color="auto" w:fill="FFFFFF"/>
        </w:rPr>
        <w:t>2.6</w:t>
      </w:r>
      <w:r>
        <w:rPr>
          <w:rFonts w:hint="eastAsia" w:ascii="宋体" w:hAnsi="宋体" w:eastAsia="宋体" w:cs="宋体"/>
          <w:bCs/>
          <w:color w:val="auto"/>
          <w:kern w:val="0"/>
          <w:szCs w:val="21"/>
          <w:highlight w:val="none"/>
        </w:rPr>
        <w:t>政府采购投标人质疑函范本，详见附件</w:t>
      </w:r>
      <w:r>
        <w:rPr>
          <w:rFonts w:hint="eastAsia" w:ascii="宋体" w:hAnsi="宋体" w:eastAsia="宋体" w:cs="宋体"/>
          <w:bCs/>
          <w:color w:val="auto"/>
          <w:szCs w:val="21"/>
          <w:highlight w:val="none"/>
          <w:shd w:val="clear" w:color="auto" w:fill="FFFFFF"/>
        </w:rPr>
        <w:t>。</w:t>
      </w:r>
    </w:p>
    <w:p w14:paraId="7B325E85">
      <w:pPr>
        <w:pStyle w:val="34"/>
        <w:snapToGrid w:val="0"/>
        <w:spacing w:before="120" w:after="120" w:line="360" w:lineRule="auto"/>
        <w:ind w:right="-506" w:rightChars="-241"/>
        <w:jc w:val="both"/>
        <w:rPr>
          <w:rFonts w:hint="eastAsia" w:ascii="宋体" w:hAnsi="宋体" w:eastAsia="宋体" w:cs="宋体"/>
          <w:b/>
          <w:color w:val="auto"/>
          <w:sz w:val="28"/>
          <w:szCs w:val="28"/>
          <w:highlight w:val="none"/>
        </w:rPr>
      </w:pPr>
    </w:p>
    <w:p w14:paraId="5375B1D7">
      <w:pPr>
        <w:pStyle w:val="34"/>
        <w:snapToGrid w:val="0"/>
        <w:spacing w:before="120" w:after="120" w:line="360" w:lineRule="auto"/>
        <w:ind w:right="-506" w:rightChars="-241"/>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二、采购文件</w:t>
      </w:r>
    </w:p>
    <w:p w14:paraId="3A6FC8E1">
      <w:pPr>
        <w:snapToGrid w:val="0"/>
        <w:spacing w:line="360" w:lineRule="auto"/>
        <w:ind w:right="-241"/>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（一）采购文件的构成。本采购文件由以下部份组成：</w:t>
      </w:r>
    </w:p>
    <w:p w14:paraId="1213F69F">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第一章  采购公告</w:t>
      </w:r>
    </w:p>
    <w:p w14:paraId="0E14D4CC">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第二章  采购需求</w:t>
      </w:r>
    </w:p>
    <w:p w14:paraId="4C2541DE">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第三章  投标人须知</w:t>
      </w:r>
    </w:p>
    <w:p w14:paraId="42D2547C">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第四章  评标办法及标准</w:t>
      </w:r>
    </w:p>
    <w:p w14:paraId="393D2D13">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第五章  合同主要条款</w:t>
      </w:r>
    </w:p>
    <w:p w14:paraId="2497A18E">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第六章  投标文件相关格式</w:t>
      </w:r>
    </w:p>
    <w:p w14:paraId="4BFF646F">
      <w:pPr>
        <w:snapToGrid w:val="0"/>
        <w:spacing w:line="360" w:lineRule="auto"/>
        <w:ind w:right="-238"/>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（二）投标人的风险</w:t>
      </w:r>
    </w:p>
    <w:p w14:paraId="66BE439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投标人没有按照采购文件要求提供全部资料，或者投标人没有对采购文件在各方面作出实质性响应是投标人的风险，责任自负。</w:t>
      </w:r>
    </w:p>
    <w:p w14:paraId="26C86569">
      <w:pPr>
        <w:snapToGrid w:val="0"/>
        <w:spacing w:line="360" w:lineRule="auto"/>
        <w:ind w:right="-238"/>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（三）采购文件的澄清与修改 </w:t>
      </w:r>
    </w:p>
    <w:p w14:paraId="07D8EE30">
      <w:pPr>
        <w:pStyle w:val="34"/>
        <w:widowControl/>
        <w:snapToGrid w:val="0"/>
        <w:spacing w:beforeLines="0" w:afterLines="0" w:line="360" w:lineRule="auto"/>
        <w:ind w:right="-87"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人应认真阅读本采购文件，发现其中有误或有要求不合理的，投标人须在采购公告期限届满之日起7个工作日内，以书面形式一次性向采购人和采购代理机构提出。招标、采购单位对已发出的采购文件进行必要澄清、答复、修改或补充的，应当在采购文件要求提交投标文件截止时间15天前，在财政部门指定的政府采购信息发布媒体上发布更正公告，并通知所有已报名的潜在投标人。</w:t>
      </w:r>
    </w:p>
    <w:p w14:paraId="2F07D365">
      <w:pPr>
        <w:pStyle w:val="34"/>
        <w:widowControl/>
        <w:snapToGrid w:val="0"/>
        <w:spacing w:beforeLines="0" w:afterLines="0" w:line="360" w:lineRule="auto"/>
        <w:ind w:right="-87"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文件的答复、澄清、修改、补充通知实质上改变采购需求相关内容，且自采购文件的答复、澄清、修改、补充通知发出之日起至投标截止时间止不足15天的，招标采购单位可视情况推迟投标截止时间和开标时间，按规定在财政部门指定的政府采购信息发布媒体上发布变更公告，并将变更后的时间通知所有已报名的潜在投标人。</w:t>
      </w:r>
    </w:p>
    <w:p w14:paraId="4F23B3FF">
      <w:pPr>
        <w:pStyle w:val="34"/>
        <w:widowControl/>
        <w:snapToGrid w:val="0"/>
        <w:spacing w:beforeLines="0" w:afterLines="0" w:line="360" w:lineRule="auto"/>
        <w:ind w:right="-87"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3、采购文件澄清、答复、修改、补充的内容为采购文件的组成部分。当采购文件与采购文件的答复、澄清、修改、补充通知就同一内容的表述不一致时，以最后发出的变更公告为准。</w:t>
      </w:r>
    </w:p>
    <w:p w14:paraId="335483AF">
      <w:pPr>
        <w:pStyle w:val="34"/>
        <w:snapToGrid w:val="0"/>
        <w:spacing w:beforeLines="0" w:afterLines="0" w:line="360" w:lineRule="auto"/>
        <w:ind w:right="-506" w:rightChars="-241" w:firstLine="420" w:firstLineChars="200"/>
        <w:rPr>
          <w:rFonts w:hint="eastAsia" w:ascii="宋体" w:hAnsi="宋体" w:eastAsia="宋体" w:cs="宋体"/>
          <w:b/>
          <w:color w:val="auto"/>
          <w:sz w:val="28"/>
          <w:highlight w:val="none"/>
        </w:rPr>
      </w:pPr>
      <w:r>
        <w:rPr>
          <w:rFonts w:hint="eastAsia" w:ascii="宋体" w:hAnsi="宋体" w:eastAsia="宋体" w:cs="宋体"/>
          <w:color w:val="auto"/>
          <w:sz w:val="21"/>
          <w:szCs w:val="21"/>
          <w:highlight w:val="none"/>
        </w:rPr>
        <w:t>4、采购文件的澄清、答复、修改或补充都应该通过本代理机构以法定形式发布。</w:t>
      </w:r>
    </w:p>
    <w:p w14:paraId="4CCFDC76">
      <w:pPr>
        <w:pStyle w:val="34"/>
        <w:snapToGrid w:val="0"/>
        <w:spacing w:before="120" w:after="120" w:line="360" w:lineRule="auto"/>
        <w:ind w:right="-506" w:rightChars="-241"/>
        <w:jc w:val="center"/>
        <w:rPr>
          <w:rFonts w:hint="eastAsia" w:ascii="宋体" w:hAnsi="宋体" w:eastAsia="宋体" w:cs="宋体"/>
          <w:b/>
          <w:color w:val="auto"/>
          <w:sz w:val="28"/>
          <w:szCs w:val="28"/>
          <w:highlight w:val="none"/>
        </w:rPr>
      </w:pPr>
    </w:p>
    <w:p w14:paraId="6CC84219">
      <w:pPr>
        <w:pStyle w:val="34"/>
        <w:snapToGrid w:val="0"/>
        <w:spacing w:before="120" w:after="120" w:line="360" w:lineRule="auto"/>
        <w:ind w:right="-506" w:rightChars="-241"/>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三、投标文件的编制</w:t>
      </w:r>
    </w:p>
    <w:p w14:paraId="6535F5FE">
      <w:pPr>
        <w:tabs>
          <w:tab w:val="left" w:pos="0"/>
        </w:tabs>
        <w:spacing w:line="360" w:lineRule="auto"/>
        <w:ind w:firstLine="211" w:firstLineChars="1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（一）投标文件的形式和效力</w:t>
      </w:r>
    </w:p>
    <w:p w14:paraId="21C70F0A">
      <w:pPr>
        <w:tabs>
          <w:tab w:val="left" w:pos="0"/>
        </w:tabs>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投标文件分为电子投标文件以及备份投标文件，备份文件为以介质存储的数据电文形式的投标文件。</w:t>
      </w:r>
    </w:p>
    <w:p w14:paraId="09B4D7BF">
      <w:pPr>
        <w:tabs>
          <w:tab w:val="left" w:pos="0"/>
        </w:tabs>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1、电子投标文件，按“政采云供应商项目采购-电子招投标操作指南”及本招标文件要求制作、加密并递交。</w:t>
      </w:r>
    </w:p>
    <w:p w14:paraId="23DC1E0C">
      <w:pPr>
        <w:tabs>
          <w:tab w:val="left" w:pos="0"/>
        </w:tabs>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2、以介质存储的数据电文形式的备份投标文件，按政采云供应商项目采购-电子招投标操作指南中制作的备份投标文件。</w:t>
      </w:r>
    </w:p>
    <w:p w14:paraId="16F5BD34">
      <w:pPr>
        <w:tabs>
          <w:tab w:val="left" w:pos="0"/>
        </w:tabs>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投标文件的启用，按先后顺位分别为电子投标文件、以介质存储的数据电文形式的备份投标文件。在下一顺位的投标文件启用时，前一顺位的投标文件自动失效。</w:t>
      </w:r>
    </w:p>
    <w:p w14:paraId="1A6789D6">
      <w:pPr>
        <w:tabs>
          <w:tab w:val="left" w:pos="0"/>
        </w:tabs>
        <w:spacing w:line="360" w:lineRule="auto"/>
        <w:ind w:firstLine="211" w:firstLineChars="1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（二）投标文件的组成</w:t>
      </w:r>
    </w:p>
    <w:p w14:paraId="653DF56A">
      <w:pPr>
        <w:tabs>
          <w:tab w:val="left" w:pos="0"/>
        </w:tabs>
        <w:spacing w:line="360" w:lineRule="auto"/>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投标文件由资格证明文件、商务及技术文件、报价文件三部份组成。</w:t>
      </w:r>
      <w:r>
        <w:rPr>
          <w:rFonts w:hint="eastAsia" w:ascii="宋体" w:hAnsi="宋体" w:eastAsia="宋体" w:cs="宋体"/>
          <w:color w:val="auto"/>
          <w:szCs w:val="21"/>
          <w:highlight w:val="none"/>
        </w:rPr>
        <w:t>电子投标文件中所须加盖公章部分均采用CA签章</w:t>
      </w:r>
      <w:r>
        <w:rPr>
          <w:rFonts w:hint="eastAsia" w:ascii="宋体" w:hAnsi="宋体" w:cs="宋体"/>
          <w:b/>
          <w:bCs/>
          <w:color w:val="auto"/>
          <w:szCs w:val="21"/>
          <w:highlight w:val="none"/>
          <w:lang w:eastAsia="zh-CN"/>
        </w:rPr>
        <w:t>（以联合体形式参与投标的，</w:t>
      </w:r>
      <w:r>
        <w:rPr>
          <w:rFonts w:hint="eastAsia" w:ascii="宋体" w:hAnsi="宋体" w:cs="宋体"/>
          <w:b/>
          <w:bCs/>
          <w:color w:val="auto"/>
          <w:szCs w:val="21"/>
          <w:highlight w:val="none"/>
          <w:lang w:val="en-US" w:eastAsia="zh-CN"/>
        </w:rPr>
        <w:t>除招标文件规定</w:t>
      </w:r>
      <w:r>
        <w:rPr>
          <w:rFonts w:hint="eastAsia" w:ascii="宋体" w:hAnsi="宋体" w:cs="宋体"/>
          <w:b/>
          <w:bCs/>
          <w:color w:val="auto"/>
          <w:szCs w:val="21"/>
          <w:highlight w:val="none"/>
          <w:lang w:eastAsia="zh-CN"/>
        </w:rPr>
        <w:t>联合体各成员</w:t>
      </w:r>
      <w:r>
        <w:rPr>
          <w:rFonts w:hint="eastAsia" w:ascii="宋体" w:hAnsi="宋体" w:cs="宋体"/>
          <w:b/>
          <w:bCs/>
          <w:color w:val="auto"/>
          <w:szCs w:val="21"/>
          <w:highlight w:val="none"/>
          <w:lang w:val="en-US" w:eastAsia="zh-CN"/>
        </w:rPr>
        <w:t>均须提供的资料外，</w:t>
      </w:r>
      <w:r>
        <w:rPr>
          <w:rFonts w:hint="eastAsia" w:ascii="宋体" w:hAnsi="宋体" w:cs="宋体"/>
          <w:b/>
          <w:bCs/>
          <w:color w:val="auto"/>
          <w:szCs w:val="21"/>
          <w:highlight w:val="none"/>
          <w:lang w:eastAsia="zh-CN"/>
        </w:rPr>
        <w:t>投标文件由联合体牵头人的法定代表人或其委托代理人按</w:t>
      </w:r>
      <w:r>
        <w:rPr>
          <w:rFonts w:hint="eastAsia" w:ascii="宋体" w:hAnsi="宋体" w:cs="宋体"/>
          <w:b/>
          <w:bCs/>
          <w:color w:val="auto"/>
          <w:szCs w:val="21"/>
          <w:highlight w:val="none"/>
          <w:lang w:val="en-US" w:eastAsia="zh-CN"/>
        </w:rPr>
        <w:t>招标文件</w:t>
      </w:r>
      <w:r>
        <w:rPr>
          <w:rFonts w:hint="eastAsia" w:ascii="宋体" w:hAnsi="宋体" w:cs="宋体"/>
          <w:b/>
          <w:bCs/>
          <w:color w:val="auto"/>
          <w:szCs w:val="21"/>
          <w:highlight w:val="none"/>
          <w:lang w:eastAsia="zh-CN"/>
        </w:rPr>
        <w:t>规定签署、加盖签章）</w:t>
      </w:r>
      <w:r>
        <w:rPr>
          <w:rFonts w:hint="eastAsia" w:ascii="宋体" w:hAnsi="宋体" w:eastAsia="宋体" w:cs="宋体"/>
          <w:color w:val="auto"/>
          <w:szCs w:val="21"/>
          <w:highlight w:val="none"/>
        </w:rPr>
        <w:t>。（以下投标文件的部分格式详见本招标文件第六章，如本招标文件没有提供相应的格式，投标人可自行制表填写）</w:t>
      </w:r>
    </w:p>
    <w:p w14:paraId="4A42E1FD">
      <w:pPr>
        <w:pStyle w:val="12"/>
        <w:numPr>
          <w:ilvl w:val="0"/>
          <w:numId w:val="7"/>
        </w:numPr>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资格证明文件：</w:t>
      </w:r>
    </w:p>
    <w:p w14:paraId="57FC6A84">
      <w:pPr>
        <w:snapToGrid w:val="0"/>
        <w:spacing w:line="360" w:lineRule="auto"/>
        <w:ind w:firstLine="422" w:firstLineChars="200"/>
        <w:jc w:val="left"/>
        <w:rPr>
          <w:rFonts w:hint="eastAsia" w:ascii="宋体" w:hAnsi="宋体" w:eastAsia="宋体" w:cs="宋体"/>
          <w:b/>
          <w:bCs/>
          <w:color w:val="auto"/>
          <w:highlight w:val="none"/>
        </w:rPr>
      </w:pPr>
      <w:r>
        <w:rPr>
          <w:rFonts w:hint="eastAsia" w:ascii="宋体" w:hAnsi="宋体" w:eastAsia="宋体" w:cs="宋体"/>
          <w:b/>
          <w:bCs/>
          <w:color w:val="auto"/>
          <w:highlight w:val="none"/>
        </w:rPr>
        <w:t>1.</w:t>
      </w:r>
      <w:r>
        <w:rPr>
          <w:rFonts w:hint="eastAsia" w:ascii="宋体" w:hAnsi="宋体" w:cs="宋体"/>
          <w:b/>
          <w:bCs/>
          <w:color w:val="auto"/>
          <w:highlight w:val="none"/>
          <w:lang w:val="en-US" w:eastAsia="zh-CN"/>
        </w:rPr>
        <w:t>1</w:t>
      </w:r>
      <w:r>
        <w:rPr>
          <w:rFonts w:hint="eastAsia" w:ascii="宋体" w:hAnsi="宋体" w:eastAsia="宋体" w:cs="宋体"/>
          <w:b/>
          <w:bCs/>
          <w:color w:val="auto"/>
          <w:highlight w:val="none"/>
        </w:rPr>
        <w:t>基本资格条件：符合《中华人民共和国政府采购法》第二十二条的规定；</w:t>
      </w:r>
    </w:p>
    <w:p w14:paraId="400C3437">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（以下A~E项是第二十二条要求及对应证明材料的具体内容，各投标人须在投标文件中出具对应证明材料</w:t>
      </w:r>
      <w:r>
        <w:rPr>
          <w:rFonts w:hint="eastAsia" w:ascii="宋体" w:hAnsi="宋体" w:cs="宋体"/>
          <w:color w:val="auto"/>
          <w:highlight w:val="none"/>
          <w:lang w:eastAsia="zh-CN"/>
        </w:rPr>
        <w:t>；</w:t>
      </w:r>
      <w:r>
        <w:rPr>
          <w:rFonts w:hint="eastAsia" w:ascii="宋体" w:hAnsi="宋体" w:cs="宋体"/>
          <w:b/>
          <w:color w:val="auto"/>
          <w:szCs w:val="21"/>
          <w:highlight w:val="none"/>
          <w:lang w:val="en-US" w:eastAsia="zh-CN"/>
        </w:rPr>
        <w:t>如为联合体投标，</w:t>
      </w:r>
      <w:r>
        <w:rPr>
          <w:rFonts w:hint="eastAsia" w:ascii="宋体" w:hAnsi="宋体" w:cs="宋体"/>
          <w:b/>
          <w:color w:val="auto"/>
          <w:szCs w:val="21"/>
          <w:highlight w:val="none"/>
        </w:rPr>
        <w:t>联合体各成员</w:t>
      </w:r>
      <w:r>
        <w:rPr>
          <w:rFonts w:hint="eastAsia" w:ascii="宋体" w:hAnsi="宋体" w:cs="宋体"/>
          <w:b/>
          <w:color w:val="auto"/>
          <w:szCs w:val="21"/>
          <w:highlight w:val="none"/>
          <w:lang w:val="en-US" w:eastAsia="zh-CN"/>
        </w:rPr>
        <w:t>均须提供A~E项材料</w:t>
      </w:r>
      <w:r>
        <w:rPr>
          <w:rFonts w:hint="eastAsia" w:ascii="宋体" w:hAnsi="宋体" w:eastAsia="宋体" w:cs="宋体"/>
          <w:color w:val="auto"/>
          <w:highlight w:val="none"/>
        </w:rPr>
        <w:t>）</w:t>
      </w:r>
    </w:p>
    <w:p w14:paraId="4B4AD346">
      <w:pPr>
        <w:spacing w:line="360" w:lineRule="auto"/>
        <w:ind w:firstLine="482" w:firstLineChars="200"/>
        <w:rPr>
          <w:rFonts w:hint="eastAsia" w:ascii="宋体" w:hAnsi="宋体" w:eastAsia="宋体" w:cs="宋体"/>
          <w:b/>
          <w:bCs/>
          <w:color w:val="auto"/>
          <w:highlight w:val="none"/>
        </w:rPr>
      </w:pPr>
      <w:r>
        <w:rPr>
          <w:rFonts w:hint="eastAsia" w:ascii="宋体" w:hAnsi="宋体" w:eastAsia="宋体" w:cs="宋体"/>
          <w:b/>
          <w:bCs/>
          <w:color w:val="auto"/>
          <w:sz w:val="24"/>
          <w:highlight w:val="none"/>
        </w:rPr>
        <w:t>A.</w:t>
      </w:r>
      <w:r>
        <w:rPr>
          <w:rFonts w:hint="eastAsia" w:ascii="宋体" w:hAnsi="宋体" w:eastAsia="宋体" w:cs="宋体"/>
          <w:b/>
          <w:bCs/>
          <w:color w:val="auto"/>
          <w:highlight w:val="none"/>
        </w:rPr>
        <w:t>具有独立承担民事责任的能力：</w:t>
      </w:r>
    </w:p>
    <w:p w14:paraId="180FAF59">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 xml:space="preserve">  </w:t>
      </w:r>
      <w:r>
        <w:rPr>
          <w:rFonts w:hint="eastAsia" w:ascii="宋体" w:hAnsi="宋体" w:eastAsia="宋体" w:cs="宋体"/>
          <w:color w:val="auto"/>
          <w:highlight w:val="none"/>
        </w:rPr>
        <w:t xml:space="preserve">  投标人须在投标文件中出具符合以下情况的证明材料</w:t>
      </w:r>
      <w:r>
        <w:rPr>
          <w:rFonts w:hint="eastAsia" w:ascii="宋体" w:hAnsi="宋体" w:eastAsia="宋体" w:cs="宋体"/>
          <w:color w:val="auto"/>
          <w:szCs w:val="21"/>
          <w:highlight w:val="none"/>
        </w:rPr>
        <w:t>扫描件</w:t>
      </w:r>
      <w:r>
        <w:rPr>
          <w:rFonts w:hint="eastAsia" w:ascii="宋体" w:hAnsi="宋体" w:eastAsia="宋体" w:cs="宋体"/>
          <w:b/>
          <w:bCs/>
          <w:color w:val="auto"/>
          <w:highlight w:val="none"/>
        </w:rPr>
        <w:t>（五选一）：</w:t>
      </w:r>
    </w:p>
    <w:p w14:paraId="6D308195">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\o\ac(○,1)</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如投标人是企业（包括合伙企业），提供在工商部门注册的有效“企业法人营业执照”或“营业执照”；</w:t>
      </w:r>
    </w:p>
    <w:p w14:paraId="35392276">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w:instrText>
      </w:r>
      <w:r>
        <w:rPr>
          <w:rFonts w:hint="eastAsia" w:ascii="宋体" w:hAnsi="宋体" w:eastAsia="宋体" w:cs="宋体"/>
          <w:color w:val="auto"/>
          <w:position w:val="2"/>
          <w:sz w:val="14"/>
          <w:highlight w:val="none"/>
        </w:rPr>
        <w:instrText xml:space="preserve">2</w:instrText>
      </w:r>
      <w:r>
        <w:rPr>
          <w:rFonts w:hint="eastAsia" w:ascii="宋体" w:hAnsi="宋体" w:eastAsia="宋体" w:cs="宋体"/>
          <w:color w:val="auto"/>
          <w:highlight w:val="none"/>
        </w:rPr>
        <w:instrText xml:space="preserve">)</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如投标人是事业单位， 提供有效的“事业单位法人证书”；</w:t>
      </w:r>
    </w:p>
    <w:p w14:paraId="69778671">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w:instrText>
      </w:r>
      <w:r>
        <w:rPr>
          <w:rFonts w:hint="eastAsia" w:ascii="宋体" w:hAnsi="宋体" w:eastAsia="宋体" w:cs="宋体"/>
          <w:color w:val="auto"/>
          <w:position w:val="2"/>
          <w:sz w:val="14"/>
          <w:highlight w:val="none"/>
        </w:rPr>
        <w:instrText xml:space="preserve">3</w:instrText>
      </w:r>
      <w:r>
        <w:rPr>
          <w:rFonts w:hint="eastAsia" w:ascii="宋体" w:hAnsi="宋体" w:eastAsia="宋体" w:cs="宋体"/>
          <w:color w:val="auto"/>
          <w:highlight w:val="none"/>
        </w:rPr>
        <w:instrText xml:space="preserve">)</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如投标人是非企业专业服务机构的，提供执业许可证等证明文件等证明文件；</w:t>
      </w:r>
    </w:p>
    <w:p w14:paraId="0F71EFE9">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\o\ac(○,4)</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如投标人是个体工商户，提供有效的“个体工商户营业执照”；</w:t>
      </w:r>
    </w:p>
    <w:p w14:paraId="2EB90A8D">
      <w:pPr>
        <w:spacing w:line="360" w:lineRule="auto"/>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\o\ac(○,5)</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如投标人是自然人，提供有效的自然人身份证明（居民身份证正反面或公安机关出具的临时居民身份证正反面或港澳台胞证或证照）</w:t>
      </w:r>
      <w:r>
        <w:rPr>
          <w:rFonts w:hint="eastAsia" w:ascii="宋体" w:hAnsi="宋体" w:eastAsia="宋体" w:cs="宋体"/>
          <w:color w:val="auto"/>
          <w:highlight w:val="none"/>
          <w:lang w:eastAsia="zh-CN"/>
        </w:rPr>
        <w:t>；</w:t>
      </w:r>
    </w:p>
    <w:p w14:paraId="423DB3F1">
      <w:pPr>
        <w:spacing w:line="360" w:lineRule="auto"/>
        <w:ind w:firstLine="422" w:firstLineChars="200"/>
        <w:rPr>
          <w:rFonts w:hint="eastAsia" w:ascii="宋体" w:hAnsi="宋体" w:eastAsia="宋体" w:cs="宋体"/>
          <w:b/>
          <w:bCs/>
          <w:color w:val="auto"/>
          <w:highlight w:val="none"/>
        </w:rPr>
      </w:pPr>
      <w:r>
        <w:rPr>
          <w:rFonts w:hint="eastAsia" w:ascii="宋体" w:hAnsi="宋体" w:eastAsia="宋体" w:cs="宋体"/>
          <w:b/>
          <w:bCs/>
          <w:color w:val="auto"/>
          <w:szCs w:val="21"/>
          <w:highlight w:val="none"/>
        </w:rPr>
        <w:t>B.</w:t>
      </w:r>
      <w:r>
        <w:rPr>
          <w:rFonts w:hint="eastAsia" w:ascii="宋体" w:hAnsi="宋体" w:eastAsia="宋体" w:cs="宋体"/>
          <w:b/>
          <w:bCs/>
          <w:color w:val="auto"/>
          <w:highlight w:val="none"/>
        </w:rPr>
        <w:t>具有良好的商业信誉和健全的财务会计制度：</w:t>
      </w:r>
    </w:p>
    <w:p w14:paraId="26282F8A">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\o\ac(○,1)</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良好的商业信誉：</w:t>
      </w:r>
    </w:p>
    <w:p w14:paraId="34A3B8DB">
      <w:pPr>
        <w:spacing w:line="360" w:lineRule="auto"/>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投标人书面承诺具有良好的商业信誉，至本项目投标截止时间止符合参与政府采购活动资格条件（格式自拟）；</w:t>
      </w:r>
    </w:p>
    <w:p w14:paraId="5F152086">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将在开标现场以网页查询的方式对投标人的商业信誉进行核查。良好的商业信誉是指：至本项目投标截止时间止未被“信用中国”（www.creditchina.gov.cn）、中国政府采购网（www.ccgp.gov.cn）列入失信被执行人、重大税收违法案件当事人名单、政府采购严重违法失信行为记录名单。</w:t>
      </w:r>
    </w:p>
    <w:p w14:paraId="37A13061">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对列入失信被执行人、重大税收违法案件当事人名单、政府采购严重违法失信行为记录名单的投标人，其投标将作无效标处理。</w:t>
      </w:r>
    </w:p>
    <w:p w14:paraId="07D1C168">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②健全的财务会计制度：</w:t>
      </w:r>
    </w:p>
    <w:p w14:paraId="532C634E">
      <w:pPr>
        <w:numPr>
          <w:ilvl w:val="0"/>
          <w:numId w:val="0"/>
        </w:num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highlight w:val="none"/>
        </w:rPr>
        <w:t>投标人书面承诺具有健全的财务会计制度，至本项目投标截止时间止符合参与政府采购活动资格条件（格式自拟）；</w:t>
      </w:r>
    </w:p>
    <w:p w14:paraId="2D5F729A">
      <w:pPr>
        <w:pStyle w:val="32"/>
        <w:spacing w:line="360" w:lineRule="auto"/>
        <w:ind w:left="420"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C.具有履行合同所必需的设备和专业技术能力：</w:t>
      </w:r>
    </w:p>
    <w:p w14:paraId="303C6EC5">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投标人须在投标文件中出具具有履行合同所必需的设备和专业技术能力的《投标函》。</w:t>
      </w:r>
      <w:r>
        <w:rPr>
          <w:rFonts w:hint="eastAsia" w:ascii="宋体" w:hAnsi="宋体" w:eastAsia="宋体" w:cs="宋体"/>
          <w:color w:val="auto"/>
          <w:highlight w:val="none"/>
        </w:rPr>
        <w:t>（格式见附件）</w:t>
      </w:r>
    </w:p>
    <w:p w14:paraId="1675FD90">
      <w:pPr>
        <w:pStyle w:val="32"/>
        <w:spacing w:line="360" w:lineRule="auto"/>
        <w:ind w:left="420" w:firstLine="0" w:firstLineChars="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D.有依法缴纳税收和社会保障资金的良好记录：</w:t>
      </w:r>
    </w:p>
    <w:p w14:paraId="36C0F5B9">
      <w:pPr>
        <w:spacing w:line="360" w:lineRule="auto"/>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投标人书面承诺有依法缴纳税收和社会保障资金的良好记录，至本项目投标截止时间止符合参与政府采购活动资格条件（格式自拟）；</w:t>
      </w:r>
    </w:p>
    <w:p w14:paraId="2F5F1051">
      <w:pPr>
        <w:spacing w:line="360" w:lineRule="auto"/>
        <w:ind w:firstLine="42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E.参加政府采购活动前三年内，在经营活动中没有重大违法记录：</w:t>
      </w:r>
    </w:p>
    <w:p w14:paraId="3CA322AD">
      <w:pPr>
        <w:spacing w:line="360" w:lineRule="auto"/>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投标人须在投标文件中出具《声明函》（格式见附件）</w:t>
      </w:r>
      <w:r>
        <w:rPr>
          <w:rFonts w:hint="eastAsia" w:ascii="宋体" w:hAnsi="宋体" w:eastAsia="宋体" w:cs="宋体"/>
          <w:color w:val="auto"/>
          <w:highlight w:val="none"/>
          <w:lang w:eastAsia="zh-CN"/>
        </w:rPr>
        <w:t>；</w:t>
      </w:r>
    </w:p>
    <w:p w14:paraId="18A167DB">
      <w:pPr>
        <w:pStyle w:val="12"/>
        <w:snapToGrid w:val="0"/>
        <w:spacing w:line="360" w:lineRule="auto"/>
        <w:ind w:firstLine="415" w:firstLineChars="198"/>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联合体协议书</w:t>
      </w:r>
      <w:r>
        <w:rPr>
          <w:rFonts w:hint="eastAsia" w:ascii="宋体" w:hAnsi="宋体" w:eastAsia="宋体" w:cs="宋体"/>
          <w:color w:val="auto"/>
          <w:sz w:val="21"/>
          <w:szCs w:val="21"/>
          <w:highlight w:val="none"/>
        </w:rPr>
        <w:t>（</w:t>
      </w:r>
      <w:r>
        <w:rPr>
          <w:rFonts w:hint="eastAsia"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rPr>
        <w:t>格式见附件）</w:t>
      </w:r>
      <w:r>
        <w:rPr>
          <w:rFonts w:hint="eastAsia" w:ascii="宋体" w:hAnsi="宋体" w:eastAsia="宋体" w:cs="宋体"/>
          <w:color w:val="auto"/>
          <w:sz w:val="21"/>
          <w:szCs w:val="21"/>
          <w:highlight w:val="none"/>
          <w:lang w:eastAsia="zh-CN"/>
        </w:rPr>
        <w:t>；</w:t>
      </w:r>
    </w:p>
    <w:p w14:paraId="0C3894B5">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投标人法定代表人身份证扫描件</w:t>
      </w:r>
      <w:r>
        <w:rPr>
          <w:rFonts w:hint="eastAsia" w:hAnsi="宋体" w:eastAsia="宋体" w:cs="宋体"/>
          <w:b/>
          <w:bCs/>
          <w:color w:val="auto"/>
          <w:sz w:val="21"/>
          <w:szCs w:val="21"/>
          <w:highlight w:val="none"/>
          <w:lang w:eastAsia="zh-CN"/>
        </w:rPr>
        <w:t>（</w:t>
      </w:r>
      <w:r>
        <w:rPr>
          <w:rFonts w:hint="eastAsia" w:hAnsi="宋体" w:eastAsia="宋体" w:cs="宋体"/>
          <w:b/>
          <w:bCs/>
          <w:color w:val="auto"/>
          <w:sz w:val="21"/>
          <w:szCs w:val="21"/>
          <w:highlight w:val="none"/>
          <w:lang w:val="en-US" w:eastAsia="zh-CN"/>
        </w:rPr>
        <w:t>如为联合体投标的，仅联合体牵头人提供即可）</w:t>
      </w:r>
      <w:r>
        <w:rPr>
          <w:rFonts w:hint="eastAsia" w:ascii="宋体" w:hAnsi="宋体" w:eastAsia="宋体" w:cs="宋体"/>
          <w:color w:val="auto"/>
          <w:sz w:val="21"/>
          <w:szCs w:val="21"/>
          <w:highlight w:val="none"/>
        </w:rPr>
        <w:t>；</w:t>
      </w:r>
    </w:p>
    <w:p w14:paraId="7227F867">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《法定代表人授权函》原件，非法定代表人参加投标时用</w:t>
      </w:r>
      <w:r>
        <w:rPr>
          <w:rFonts w:hint="eastAsia" w:hAnsi="宋体" w:eastAsia="宋体" w:cs="宋体"/>
          <w:b/>
          <w:bCs/>
          <w:color w:val="auto"/>
          <w:sz w:val="21"/>
          <w:szCs w:val="21"/>
          <w:highlight w:val="none"/>
          <w:lang w:eastAsia="zh-CN"/>
        </w:rPr>
        <w:t>（</w:t>
      </w:r>
      <w:r>
        <w:rPr>
          <w:rFonts w:hint="eastAsia" w:hAnsi="宋体" w:eastAsia="宋体" w:cs="宋体"/>
          <w:b/>
          <w:bCs/>
          <w:color w:val="auto"/>
          <w:sz w:val="21"/>
          <w:szCs w:val="21"/>
          <w:highlight w:val="none"/>
          <w:lang w:val="en-US" w:eastAsia="zh-CN"/>
        </w:rPr>
        <w:t>如为联合体投标的，仅联合体牵头人提供即可）</w:t>
      </w:r>
      <w:r>
        <w:rPr>
          <w:rFonts w:hint="eastAsia" w:ascii="宋体" w:hAnsi="宋体" w:eastAsia="宋体" w:cs="宋体"/>
          <w:color w:val="auto"/>
          <w:sz w:val="21"/>
          <w:szCs w:val="21"/>
          <w:highlight w:val="none"/>
        </w:rPr>
        <w:t>；</w:t>
      </w:r>
    </w:p>
    <w:p w14:paraId="781AB4CF">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投标人代表身份证扫描件，非法定代表人参加投标时用（非法定代表人参加投标时，后附投标人代表为投标人本公司人员证明材料（社保证明或劳动合同）；社保证明须为近三个月内任意一个月且经社保部门盖章确认的社保交纳证明材料</w:t>
      </w:r>
      <w:r>
        <w:rPr>
          <w:rFonts w:hint="eastAsia" w:hAnsi="宋体" w:eastAsia="宋体" w:cs="宋体"/>
          <w:color w:val="auto"/>
          <w:sz w:val="21"/>
          <w:szCs w:val="21"/>
          <w:highlight w:val="none"/>
          <w:lang w:eastAsia="zh-CN"/>
        </w:rPr>
        <w:t>；</w:t>
      </w:r>
      <w:r>
        <w:rPr>
          <w:rFonts w:hint="eastAsia" w:hAnsi="宋体" w:eastAsia="宋体" w:cs="宋体"/>
          <w:b/>
          <w:bCs/>
          <w:color w:val="auto"/>
          <w:sz w:val="21"/>
          <w:szCs w:val="21"/>
          <w:highlight w:val="none"/>
          <w:lang w:val="en-US" w:eastAsia="zh-CN"/>
        </w:rPr>
        <w:t>如为联合体投标的，仅联合体牵头人提供即可）</w:t>
      </w:r>
      <w:r>
        <w:rPr>
          <w:rFonts w:hint="eastAsia" w:ascii="宋体" w:hAnsi="宋体" w:eastAsia="宋体" w:cs="宋体"/>
          <w:color w:val="auto"/>
          <w:sz w:val="21"/>
          <w:szCs w:val="21"/>
          <w:highlight w:val="none"/>
        </w:rPr>
        <w:t>；</w:t>
      </w:r>
    </w:p>
    <w:p w14:paraId="65350FF2">
      <w:pPr>
        <w:pStyle w:val="12"/>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注：证明材料均需加盖签章。</w:t>
      </w:r>
    </w:p>
    <w:p w14:paraId="44067922">
      <w:pPr>
        <w:pStyle w:val="34"/>
        <w:numPr>
          <w:ilvl w:val="0"/>
          <w:numId w:val="8"/>
        </w:numPr>
        <w:snapToGrid w:val="0"/>
        <w:spacing w:beforeLines="0" w:afterLines="0" w:line="360" w:lineRule="auto"/>
        <w:ind w:right="-506" w:rightChars="-241" w:firstLine="417" w:firstLineChars="198"/>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商务及技术文件：</w:t>
      </w:r>
    </w:p>
    <w:p w14:paraId="666C1FE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2.1目录或评分索引（为便于评审，请投标人务必自制目录或评分索引表）；</w:t>
      </w:r>
    </w:p>
    <w:p w14:paraId="59E71377">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2.2投标人基本情况表（格式见附件</w:t>
      </w:r>
      <w:r>
        <w:rPr>
          <w:rFonts w:hint="eastAsia" w:ascii="宋体" w:hAnsi="宋体" w:cs="宋体"/>
          <w:color w:val="auto"/>
          <w:highlight w:val="none"/>
          <w:lang w:eastAsia="zh-CN"/>
        </w:rPr>
        <w:t>，</w:t>
      </w:r>
      <w:r>
        <w:rPr>
          <w:rFonts w:hint="eastAsia" w:hAnsi="宋体" w:eastAsia="宋体" w:cs="宋体"/>
          <w:b/>
          <w:bCs/>
          <w:color w:val="auto"/>
          <w:sz w:val="21"/>
          <w:szCs w:val="21"/>
          <w:highlight w:val="none"/>
          <w:lang w:val="en-US" w:eastAsia="zh-CN"/>
        </w:rPr>
        <w:t>如为联合体投标的，联合体</w:t>
      </w:r>
      <w:r>
        <w:rPr>
          <w:rFonts w:hint="eastAsia" w:ascii="宋体" w:hAnsi="宋体" w:cs="宋体"/>
          <w:b/>
          <w:color w:val="auto"/>
          <w:szCs w:val="21"/>
          <w:highlight w:val="none"/>
        </w:rPr>
        <w:t>各成员</w:t>
      </w:r>
      <w:r>
        <w:rPr>
          <w:rFonts w:hint="eastAsia" w:ascii="宋体" w:hAnsi="宋体" w:cs="宋体"/>
          <w:b/>
          <w:color w:val="auto"/>
          <w:szCs w:val="21"/>
          <w:highlight w:val="none"/>
          <w:lang w:val="en-US" w:eastAsia="zh-CN"/>
        </w:rPr>
        <w:t>均须提供</w:t>
      </w:r>
      <w:r>
        <w:rPr>
          <w:rFonts w:hint="eastAsia" w:ascii="宋体" w:hAnsi="宋体" w:eastAsia="宋体" w:cs="宋体"/>
          <w:color w:val="auto"/>
          <w:highlight w:val="none"/>
        </w:rPr>
        <w:t>）；</w:t>
      </w:r>
    </w:p>
    <w:p w14:paraId="39782F08">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2.3</w:t>
      </w:r>
      <w:r>
        <w:rPr>
          <w:rFonts w:hint="eastAsia" w:ascii="宋体" w:hAnsi="宋体" w:eastAsia="宋体" w:cs="宋体"/>
          <w:color w:val="auto"/>
          <w:highlight w:val="none"/>
        </w:rPr>
        <w:t>企业相关证书、荣誉（如有）；</w:t>
      </w:r>
    </w:p>
    <w:p w14:paraId="7AE7780A">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类似项目业绩表（格式见附件）；</w:t>
      </w:r>
    </w:p>
    <w:p w14:paraId="71EDCF05">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cs="宋体"/>
          <w:color w:val="auto"/>
          <w:highlight w:val="none"/>
          <w:lang w:val="en-US" w:eastAsia="zh-CN"/>
        </w:rPr>
        <w:t>拟派</w:t>
      </w:r>
      <w:r>
        <w:rPr>
          <w:rFonts w:hint="eastAsia" w:ascii="宋体" w:hAnsi="宋体" w:eastAsia="宋体" w:cs="宋体"/>
          <w:color w:val="auto"/>
          <w:sz w:val="21"/>
          <w:szCs w:val="21"/>
          <w:highlight w:val="none"/>
        </w:rPr>
        <w:t>服务团队成员一览表</w:t>
      </w:r>
      <w:r>
        <w:rPr>
          <w:rFonts w:hint="eastAsia" w:ascii="宋体" w:hAnsi="宋体" w:eastAsia="宋体" w:cs="宋体"/>
          <w:color w:val="auto"/>
          <w:highlight w:val="none"/>
        </w:rPr>
        <w:t>（格式见附件）；</w:t>
      </w:r>
    </w:p>
    <w:p w14:paraId="25D016D4">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2.6</w:t>
      </w:r>
      <w:r>
        <w:rPr>
          <w:rFonts w:hint="eastAsia" w:ascii="宋体" w:hAnsi="宋体" w:eastAsia="宋体" w:cs="宋体"/>
          <w:color w:val="auto"/>
          <w:sz w:val="21"/>
          <w:szCs w:val="21"/>
          <w:highlight w:val="none"/>
        </w:rPr>
        <w:t>基础资料掌握情况</w:t>
      </w:r>
      <w:r>
        <w:rPr>
          <w:rFonts w:hint="eastAsia" w:ascii="宋体" w:hAnsi="宋体" w:eastAsia="宋体" w:cs="宋体"/>
          <w:color w:val="auto"/>
          <w:highlight w:val="none"/>
          <w:lang w:val="en-US" w:eastAsia="zh-CN"/>
        </w:rPr>
        <w:t>（格式自拟）；</w:t>
      </w:r>
    </w:p>
    <w:p w14:paraId="3FEAC873">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2.7</w:t>
      </w:r>
      <w:r>
        <w:rPr>
          <w:rFonts w:hint="eastAsia" w:ascii="宋体" w:hAnsi="宋体" w:eastAsia="宋体" w:cs="宋体"/>
          <w:color w:val="auto"/>
          <w:sz w:val="21"/>
          <w:szCs w:val="21"/>
          <w:highlight w:val="none"/>
          <w:lang w:val="en-US" w:eastAsia="zh-CN"/>
        </w:rPr>
        <w:t>项目理解</w:t>
      </w:r>
      <w:r>
        <w:rPr>
          <w:rFonts w:hint="eastAsia" w:ascii="宋体" w:hAnsi="宋体" w:eastAsia="宋体" w:cs="宋体"/>
          <w:color w:val="auto"/>
          <w:highlight w:val="none"/>
          <w:lang w:val="en-US" w:eastAsia="zh-CN"/>
        </w:rPr>
        <w:t>（格式自拟）；</w:t>
      </w:r>
    </w:p>
    <w:p w14:paraId="3059689B">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2.8</w:t>
      </w:r>
      <w:r>
        <w:rPr>
          <w:rFonts w:hint="eastAsia" w:ascii="宋体" w:hAnsi="宋体" w:eastAsia="宋体" w:cs="宋体"/>
          <w:color w:val="auto"/>
          <w:spacing w:val="4"/>
          <w:kern w:val="2"/>
          <w:sz w:val="21"/>
          <w:szCs w:val="21"/>
          <w:highlight w:val="none"/>
          <w:lang w:val="en-US" w:eastAsia="zh-CN" w:bidi="ar-SA"/>
        </w:rPr>
        <w:t>总体思路</w:t>
      </w:r>
      <w:r>
        <w:rPr>
          <w:rFonts w:hint="eastAsia" w:ascii="宋体" w:hAnsi="宋体" w:eastAsia="宋体" w:cs="宋体"/>
          <w:color w:val="auto"/>
          <w:highlight w:val="none"/>
          <w:lang w:val="en-US" w:eastAsia="zh-CN"/>
        </w:rPr>
        <w:t>（格式自拟）；</w:t>
      </w:r>
    </w:p>
    <w:p w14:paraId="6A3CF4FB">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2.9</w:t>
      </w:r>
      <w:r>
        <w:rPr>
          <w:rFonts w:hint="eastAsia" w:ascii="宋体" w:hAnsi="宋体" w:eastAsia="宋体" w:cs="宋体"/>
          <w:color w:val="auto"/>
          <w:sz w:val="21"/>
          <w:szCs w:val="21"/>
          <w:highlight w:val="none"/>
          <w:lang w:val="en-US" w:eastAsia="zh-CN"/>
        </w:rPr>
        <w:t>工作方案</w:t>
      </w:r>
      <w:r>
        <w:rPr>
          <w:rFonts w:hint="eastAsia" w:ascii="宋体" w:hAnsi="宋体" w:eastAsia="宋体" w:cs="宋体"/>
          <w:color w:val="auto"/>
          <w:highlight w:val="none"/>
          <w:lang w:val="en-US" w:eastAsia="zh-CN"/>
        </w:rPr>
        <w:t>（格式自拟）；</w:t>
      </w:r>
    </w:p>
    <w:p w14:paraId="771F3EE8">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2.10</w:t>
      </w:r>
      <w:r>
        <w:rPr>
          <w:rFonts w:hint="eastAsia" w:ascii="宋体" w:hAnsi="宋体" w:eastAsia="宋体" w:cs="宋体"/>
          <w:color w:val="auto"/>
          <w:kern w:val="0"/>
          <w:sz w:val="21"/>
          <w:szCs w:val="21"/>
          <w:highlight w:val="none"/>
        </w:rPr>
        <w:t>重点难点分析及应对措施</w:t>
      </w:r>
      <w:r>
        <w:rPr>
          <w:rFonts w:hint="eastAsia" w:ascii="宋体" w:hAnsi="宋体" w:eastAsia="宋体" w:cs="宋体"/>
          <w:color w:val="auto"/>
          <w:highlight w:val="none"/>
          <w:lang w:val="en-US" w:eastAsia="zh-CN"/>
        </w:rPr>
        <w:t>（格式自拟）；</w:t>
      </w:r>
    </w:p>
    <w:p w14:paraId="200B8AC9">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2.1</w:t>
      </w:r>
      <w:r>
        <w:rPr>
          <w:rFonts w:hint="eastAsia" w:ascii="宋体" w:hAnsi="宋体" w:cs="宋体"/>
          <w:color w:val="auto"/>
          <w:highlight w:val="none"/>
          <w:lang w:val="en-US" w:eastAsia="zh-CN"/>
        </w:rPr>
        <w:t>1</w:t>
      </w:r>
      <w:r>
        <w:rPr>
          <w:rFonts w:hint="eastAsia" w:ascii="宋体" w:hAnsi="宋体" w:eastAsia="宋体" w:cs="宋体"/>
          <w:color w:val="auto"/>
          <w:kern w:val="0"/>
          <w:sz w:val="21"/>
          <w:szCs w:val="21"/>
          <w:highlight w:val="none"/>
        </w:rPr>
        <w:t>项目进度控制</w:t>
      </w:r>
      <w:r>
        <w:rPr>
          <w:rFonts w:hint="eastAsia" w:ascii="宋体" w:hAnsi="宋体" w:eastAsia="宋体" w:cs="宋体"/>
          <w:color w:val="auto"/>
          <w:highlight w:val="none"/>
          <w:lang w:val="en-US" w:eastAsia="zh-CN"/>
        </w:rPr>
        <w:t>（格式自拟）；</w:t>
      </w:r>
    </w:p>
    <w:p w14:paraId="6FC038CA">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2.12</w:t>
      </w:r>
      <w:r>
        <w:rPr>
          <w:rFonts w:hint="eastAsia" w:ascii="宋体" w:hAnsi="宋体" w:eastAsia="宋体" w:cs="宋体"/>
          <w:color w:val="auto"/>
          <w:kern w:val="0"/>
          <w:sz w:val="21"/>
          <w:szCs w:val="21"/>
          <w:highlight w:val="none"/>
        </w:rPr>
        <w:t>质量保证措施</w:t>
      </w:r>
      <w:r>
        <w:rPr>
          <w:rFonts w:hint="eastAsia" w:ascii="宋体" w:hAnsi="宋体" w:eastAsia="宋体" w:cs="宋体"/>
          <w:color w:val="auto"/>
          <w:highlight w:val="none"/>
          <w:lang w:val="en-US" w:eastAsia="zh-CN"/>
        </w:rPr>
        <w:t>（格式自拟）；</w:t>
      </w:r>
    </w:p>
    <w:p w14:paraId="52E51BCD">
      <w:pPr>
        <w:adjustRightInd w:val="0"/>
        <w:snapToGrid w:val="0"/>
        <w:spacing w:line="360" w:lineRule="auto"/>
        <w:ind w:firstLine="42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2.13</w:t>
      </w:r>
      <w:r>
        <w:rPr>
          <w:rFonts w:hint="eastAsia" w:ascii="宋体" w:hAnsi="宋体" w:eastAsia="宋体" w:cs="宋体"/>
          <w:color w:val="auto"/>
          <w:kern w:val="0"/>
          <w:sz w:val="21"/>
          <w:szCs w:val="21"/>
          <w:highlight w:val="none"/>
        </w:rPr>
        <w:t>售后服务方案</w:t>
      </w:r>
      <w:r>
        <w:rPr>
          <w:rFonts w:hint="eastAsia" w:ascii="宋体" w:hAnsi="宋体" w:eastAsia="宋体" w:cs="宋体"/>
          <w:color w:val="auto"/>
          <w:highlight w:val="none"/>
          <w:lang w:val="en-US" w:eastAsia="zh-CN"/>
        </w:rPr>
        <w:t>（格式自拟）；</w:t>
      </w:r>
    </w:p>
    <w:p w14:paraId="3C300619">
      <w:pPr>
        <w:adjustRightInd w:val="0"/>
        <w:snapToGrid w:val="0"/>
        <w:spacing w:line="360" w:lineRule="auto"/>
        <w:ind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2.1</w:t>
      </w: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本采购文件要求提供的和投标人认为需要提供的其它说明和资料/文件。</w:t>
      </w:r>
    </w:p>
    <w:p w14:paraId="31A82252">
      <w:pPr>
        <w:adjustRightInd w:val="0"/>
        <w:snapToGrid w:val="0"/>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注：证明材料均需加盖签章</w:t>
      </w:r>
      <w:r>
        <w:rPr>
          <w:rFonts w:hint="eastAsia" w:ascii="宋体" w:hAnsi="宋体" w:eastAsia="宋体" w:cs="宋体"/>
          <w:color w:val="auto"/>
          <w:szCs w:val="21"/>
          <w:highlight w:val="none"/>
        </w:rPr>
        <w:t>。</w:t>
      </w:r>
    </w:p>
    <w:p w14:paraId="57509BF4">
      <w:pPr>
        <w:pStyle w:val="34"/>
        <w:snapToGrid w:val="0"/>
        <w:spacing w:beforeLines="0" w:afterLines="0" w:line="360" w:lineRule="auto"/>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3、报价部分：</w:t>
      </w:r>
    </w:p>
    <w:p w14:paraId="6CDDB68B">
      <w:pPr>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3.1投标报价一览表</w:t>
      </w:r>
      <w:r>
        <w:rPr>
          <w:rFonts w:hint="eastAsia" w:ascii="宋体" w:hAnsi="宋体" w:eastAsia="宋体" w:cs="宋体"/>
          <w:color w:val="auto"/>
          <w:highlight w:val="none"/>
        </w:rPr>
        <w:t>（格式见附件）</w:t>
      </w:r>
      <w:r>
        <w:rPr>
          <w:rFonts w:hint="eastAsia" w:ascii="宋体" w:hAnsi="宋体" w:eastAsia="宋体" w:cs="宋体"/>
          <w:color w:val="auto"/>
          <w:szCs w:val="21"/>
          <w:highlight w:val="none"/>
        </w:rPr>
        <w:t>；</w:t>
      </w:r>
    </w:p>
    <w:p w14:paraId="5EB2AE2F">
      <w:pPr>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3.2报价明细表</w:t>
      </w:r>
      <w:r>
        <w:rPr>
          <w:rFonts w:hint="eastAsia" w:ascii="宋体" w:hAnsi="宋体" w:eastAsia="宋体" w:cs="宋体"/>
          <w:color w:val="auto"/>
          <w:highlight w:val="none"/>
        </w:rPr>
        <w:t>（格式见附件）</w:t>
      </w:r>
      <w:r>
        <w:rPr>
          <w:rFonts w:hint="eastAsia" w:ascii="宋体" w:hAnsi="宋体" w:eastAsia="宋体" w:cs="宋体"/>
          <w:color w:val="auto"/>
          <w:szCs w:val="21"/>
          <w:highlight w:val="none"/>
        </w:rPr>
        <w:t>；</w:t>
      </w:r>
    </w:p>
    <w:p w14:paraId="4A180452">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both"/>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b/>
          <w:bCs/>
          <w:color w:val="auto"/>
          <w:kern w:val="2"/>
          <w:sz w:val="21"/>
          <w:szCs w:val="24"/>
          <w:highlight w:val="none"/>
          <w:lang w:val="en-US" w:eastAsia="zh-CN" w:bidi="ar-SA"/>
        </w:rPr>
        <w:t>3.3享受预留份额政策相关证明文件：</w:t>
      </w:r>
    </w:p>
    <w:p w14:paraId="11EAB7F2">
      <w:pPr>
        <w:spacing w:line="360" w:lineRule="auto"/>
        <w:ind w:firstLine="420" w:firstLineChars="20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3.3.1中小企业：《中小企业声明函》；</w:t>
      </w:r>
      <w:r>
        <w:rPr>
          <w:rFonts w:hint="eastAsia" w:ascii="宋体" w:hAnsi="宋体" w:eastAsia="宋体" w:cs="宋体"/>
          <w:color w:val="auto"/>
          <w:highlight w:val="none"/>
        </w:rPr>
        <w:t>（格式见附件）</w:t>
      </w:r>
    </w:p>
    <w:p w14:paraId="7D00608F">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3.3.2监狱企业：由省级以上监狱管理局、戒毒管理局（含新疆生产建设兵团）出具的属于监狱企业的证明文件；</w:t>
      </w:r>
    </w:p>
    <w:p w14:paraId="5ADC64B9">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2"/>
          <w:sz w:val="21"/>
          <w:szCs w:val="24"/>
          <w:highlight w:val="none"/>
          <w:lang w:val="en-US" w:eastAsia="zh-CN" w:bidi="ar-SA"/>
        </w:rPr>
        <w:t>3.3.3残疾人福利性单位：《残疾人福利性单位声明函》；</w:t>
      </w:r>
      <w:r>
        <w:rPr>
          <w:rFonts w:hint="eastAsia" w:ascii="宋体" w:hAnsi="宋体" w:eastAsia="宋体" w:cs="宋体"/>
          <w:color w:val="auto"/>
          <w:highlight w:val="none"/>
        </w:rPr>
        <w:t>（格式见附件）</w:t>
      </w:r>
    </w:p>
    <w:p w14:paraId="2E488AD0">
      <w:pPr>
        <w:snapToGrid w:val="0"/>
        <w:spacing w:line="360" w:lineRule="auto"/>
        <w:ind w:firstLine="420" w:firstLineChars="200"/>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3.</w:t>
      </w: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投标人针对报价需要说明的其他文件和说明（如有，格式自拟）。</w:t>
      </w:r>
    </w:p>
    <w:p w14:paraId="4B1ACCD5">
      <w:pPr>
        <w:snapToGrid w:val="0"/>
        <w:spacing w:line="360" w:lineRule="auto"/>
        <w:ind w:right="55" w:firstLine="211" w:firstLineChars="100"/>
        <w:jc w:val="left"/>
        <w:outlineLvl w:val="0"/>
        <w:rPr>
          <w:rFonts w:hint="eastAsia" w:ascii="宋体" w:hAnsi="宋体" w:eastAsia="宋体" w:cs="宋体"/>
          <w:b/>
          <w:color w:val="auto"/>
          <w:sz w:val="24"/>
          <w:highlight w:val="none"/>
        </w:rPr>
      </w:pPr>
      <w:r>
        <w:rPr>
          <w:rFonts w:hint="eastAsia" w:ascii="宋体" w:hAnsi="宋体" w:eastAsia="宋体" w:cs="宋体"/>
          <w:b/>
          <w:color w:val="auto"/>
          <w:szCs w:val="21"/>
          <w:highlight w:val="none"/>
        </w:rPr>
        <w:t>（三）投标文件的语言及计量</w:t>
      </w:r>
    </w:p>
    <w:p w14:paraId="49147201">
      <w:pPr>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1.投标文件以及投标人与采购人就有关投标事宜的所有来往函电，均应以中文汉语书写。除签名、盖章、专用名称等特殊情形外，以中文汉语以外的文字表述的投标文件视同未提供。</w:t>
      </w:r>
    </w:p>
    <w:p w14:paraId="61467BEB">
      <w:pPr>
        <w:snapToGrid w:val="0"/>
        <w:spacing w:line="360" w:lineRule="auto"/>
        <w:ind w:firstLine="420" w:firstLineChars="200"/>
        <w:jc w:val="left"/>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2.投标计量单位，采购文件已有明确规定的，使用采购文件规定的计量单位；采购文件没有规定的，应采用中华人民共和国法定计量单位（货币单位：人民币元），否则视同未响应。</w:t>
      </w:r>
    </w:p>
    <w:p w14:paraId="4E34E1F3">
      <w:pPr>
        <w:tabs>
          <w:tab w:val="left" w:pos="0"/>
        </w:tabs>
        <w:spacing w:line="360" w:lineRule="auto"/>
        <w:ind w:firstLine="211" w:firstLineChars="1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（四）投标报价</w:t>
      </w:r>
    </w:p>
    <w:p w14:paraId="42AEEFA4">
      <w:pPr>
        <w:pStyle w:val="12"/>
        <w:snapToGrid w:val="0"/>
        <w:spacing w:line="360" w:lineRule="auto"/>
        <w:ind w:firstLine="417" w:firstLineChars="198"/>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1.投标报价应以人民币报价，投标人报价应是包括为完成本项目服务可能发生的全部费用及中标人的利润和应交纳的税金等一切费用。</w:t>
      </w:r>
    </w:p>
    <w:p w14:paraId="43621EB8">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人应根据招标文件报出所投项目对应标项的合同总价。所投项目标项的总价一旦核实确认，不得再做更改。对投标人漏报致使服务未能达到需求的功能和效果，其费用和后果由投标人自行负责。合同总价不得超过本项目标项对应的预算采购金额。</w:t>
      </w:r>
    </w:p>
    <w:p w14:paraId="6A4B701E">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3.在符合总体要求的前提下，投标人可对投标文件中没有提及的内容，按自己的理解适当增加，但有关价格及费用必须在投标文件中单独列出，并说明理由。</w:t>
      </w:r>
    </w:p>
    <w:p w14:paraId="582ECCC9">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4.按国家规定由中标人缴纳的各种税收已包含在投标总价内，由中标人向税务机关缴纳相关费用。</w:t>
      </w:r>
    </w:p>
    <w:p w14:paraId="5C120135">
      <w:pPr>
        <w:spacing w:line="360" w:lineRule="auto"/>
        <w:ind w:firstLine="42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5.投标文件针对同一内容只允许有一个报价，有选择的或有条件的报价将不予接受。</w:t>
      </w:r>
    </w:p>
    <w:p w14:paraId="54798229">
      <w:pPr>
        <w:snapToGrid w:val="0"/>
        <w:spacing w:line="360" w:lineRule="auto"/>
        <w:ind w:firstLine="211" w:firstLineChars="100"/>
        <w:jc w:val="left"/>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（五）投标文件的有效期</w:t>
      </w:r>
    </w:p>
    <w:p w14:paraId="3C1D424D">
      <w:pPr>
        <w:pStyle w:val="5"/>
        <w:numPr>
          <w:ilvl w:val="0"/>
          <w:numId w:val="0"/>
        </w:numPr>
        <w:tabs>
          <w:tab w:val="left" w:pos="454"/>
          <w:tab w:val="left" w:pos="720"/>
          <w:tab w:val="left" w:pos="900"/>
        </w:tabs>
        <w:snapToGrid w:val="0"/>
        <w:spacing w:line="360" w:lineRule="auto"/>
        <w:ind w:right="-506" w:rightChars="-241" w:firstLine="422" w:firstLineChars="200"/>
        <w:rPr>
          <w:rFonts w:hint="eastAsia" w:ascii="宋体" w:hAnsi="宋体" w:eastAsia="宋体" w:cs="宋体"/>
          <w:color w:val="auto"/>
          <w:highlight w:val="none"/>
        </w:rPr>
      </w:pPr>
      <w:r>
        <w:rPr>
          <w:rFonts w:hint="eastAsia" w:ascii="宋体" w:hAnsi="宋体" w:eastAsia="宋体" w:cs="宋体"/>
          <w:b/>
          <w:color w:val="auto"/>
          <w:szCs w:val="21"/>
          <w:highlight w:val="none"/>
        </w:rPr>
        <w:t>▲</w:t>
      </w:r>
      <w:r>
        <w:rPr>
          <w:rFonts w:hint="eastAsia" w:ascii="宋体" w:hAnsi="宋体" w:eastAsia="宋体" w:cs="宋体"/>
          <w:color w:val="auto"/>
          <w:highlight w:val="none"/>
        </w:rPr>
        <w:t>1.自投标截止日起</w:t>
      </w:r>
      <w:r>
        <w:rPr>
          <w:rFonts w:hint="eastAsia" w:ascii="宋体" w:hAnsi="宋体" w:eastAsia="宋体" w:cs="宋体"/>
          <w:b/>
          <w:color w:val="auto"/>
          <w:highlight w:val="none"/>
          <w:u w:val="single"/>
        </w:rPr>
        <w:t xml:space="preserve">90 </w:t>
      </w:r>
      <w:r>
        <w:rPr>
          <w:rFonts w:hint="eastAsia" w:ascii="宋体" w:hAnsi="宋体" w:eastAsia="宋体" w:cs="宋体"/>
          <w:b/>
          <w:color w:val="auto"/>
          <w:highlight w:val="none"/>
        </w:rPr>
        <w:t>天</w:t>
      </w:r>
      <w:r>
        <w:rPr>
          <w:rFonts w:hint="eastAsia" w:ascii="宋体" w:hAnsi="宋体" w:eastAsia="宋体" w:cs="宋体"/>
          <w:color w:val="auto"/>
          <w:highlight w:val="none"/>
        </w:rPr>
        <w:t>投标文件应保持有效。有效期不足的投标文件将被拒绝。</w:t>
      </w:r>
    </w:p>
    <w:p w14:paraId="6DCC5A4A">
      <w:pPr>
        <w:snapToGrid w:val="0"/>
        <w:spacing w:line="360" w:lineRule="auto"/>
        <w:ind w:right="-86" w:rightChars="-41" w:firstLine="420" w:firstLineChars="200"/>
        <w:jc w:val="left"/>
        <w:outlineLvl w:val="0"/>
        <w:rPr>
          <w:rFonts w:hint="eastAsia" w:ascii="宋体" w:hAnsi="宋体" w:eastAsia="宋体" w:cs="宋体"/>
          <w:color w:val="auto"/>
          <w:highlight w:val="none"/>
        </w:rPr>
      </w:pPr>
      <w:r>
        <w:rPr>
          <w:rFonts w:hint="eastAsia" w:ascii="宋体" w:hAnsi="宋体" w:eastAsia="宋体" w:cs="宋体"/>
          <w:color w:val="auto"/>
          <w:highlight w:val="none"/>
        </w:rPr>
        <w:t>2.在特殊情况下，采购人可与投标人协商延长投标书的有效期，这种要求和答复均以书面形式进行。</w:t>
      </w:r>
    </w:p>
    <w:p w14:paraId="7A9FC9C6">
      <w:pPr>
        <w:snapToGrid w:val="0"/>
        <w:spacing w:line="360" w:lineRule="auto"/>
        <w:ind w:right="55" w:firstLine="420" w:firstLineChars="200"/>
        <w:jc w:val="left"/>
        <w:outlineLvl w:val="0"/>
        <w:rPr>
          <w:rFonts w:hint="eastAsia" w:ascii="宋体" w:hAnsi="宋体" w:eastAsia="宋体" w:cs="宋体"/>
          <w:color w:val="auto"/>
          <w:highlight w:val="none"/>
        </w:rPr>
      </w:pPr>
      <w:r>
        <w:rPr>
          <w:rFonts w:hint="eastAsia" w:ascii="宋体" w:hAnsi="宋体" w:eastAsia="宋体" w:cs="宋体"/>
          <w:color w:val="auto"/>
          <w:highlight w:val="none"/>
        </w:rPr>
        <w:t>3.中标人的投标文件自开标之日起至合同履行完毕止均应保持有效。</w:t>
      </w:r>
    </w:p>
    <w:p w14:paraId="7B8512ED">
      <w:pPr>
        <w:snapToGrid w:val="0"/>
        <w:spacing w:line="360" w:lineRule="auto"/>
        <w:ind w:firstLine="211" w:firstLineChars="100"/>
        <w:jc w:val="left"/>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（六）投标文件的签署和编制</w:t>
      </w:r>
    </w:p>
    <w:p w14:paraId="290B6B96">
      <w:pPr>
        <w:tabs>
          <w:tab w:val="left" w:pos="0"/>
        </w:tabs>
        <w:spacing w:line="360" w:lineRule="auto"/>
        <w:ind w:firstLine="422" w:firstLineChars="200"/>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1、投标文件的编写格式及说明</w:t>
      </w:r>
    </w:p>
    <w:p w14:paraId="4EC730D0">
      <w:pPr>
        <w:pStyle w:val="5"/>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1.1投标文件应包括规定的内容，投标人提交的投标文件应当使用招标文件所提供的投标文件全部格式（表格可以按同样格式扩展）；未提供投标文件标准格式的，由投标人自行编写。</w:t>
      </w:r>
    </w:p>
    <w:p w14:paraId="4D4670E2">
      <w:pPr>
        <w:pStyle w:val="5"/>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1.2投标人应在认真阅读招标文件所有内容的基础上，按照招标文件的要求编制完整的投标文件。投标书应按照招标文件中规定的统一格式填写，严格按照规定的顺序装订成册并编制目录，混乱的编排或未按招标文件所提供的统一格式编写与漏写而导致投标文件被误读或查找不到有效文件是投标人的风险。</w:t>
      </w:r>
    </w:p>
    <w:p w14:paraId="36CD4E9C">
      <w:pPr>
        <w:pStyle w:val="5"/>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eastAsia="宋体" w:cs="宋体"/>
          <w:b/>
          <w:bCs/>
          <w:color w:val="auto"/>
          <w:highlight w:val="none"/>
        </w:rPr>
      </w:pPr>
      <w:r>
        <w:rPr>
          <w:rFonts w:hint="eastAsia" w:ascii="宋体" w:hAnsi="宋体" w:eastAsia="宋体" w:cs="宋体"/>
          <w:color w:val="auto"/>
          <w:highlight w:val="none"/>
        </w:rPr>
        <w:t>1.3投标人必须保证投标文件所提供的全部资料真实可靠，并接受对其中任何资料进一步审查的要求。</w:t>
      </w:r>
    </w:p>
    <w:p w14:paraId="7DFE92A3">
      <w:pPr>
        <w:pStyle w:val="12"/>
        <w:snapToGrid w:val="0"/>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2、电子投标文件部分</w:t>
      </w:r>
    </w:p>
    <w:p w14:paraId="6001C9AC">
      <w:pPr>
        <w:pStyle w:val="5"/>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2.1投标人应根据“政采云供应商项目采购-电子交易操作指南”及本招标文件规定的格式和顺序编制电子投标文件并进行关联定位。</w:t>
      </w:r>
    </w:p>
    <w:p w14:paraId="4AFEBB38">
      <w:pPr>
        <w:pStyle w:val="5"/>
        <w:numPr>
          <w:ilvl w:val="0"/>
          <w:numId w:val="0"/>
        </w:numPr>
        <w:tabs>
          <w:tab w:val="left" w:pos="454"/>
          <w:tab w:val="left" w:pos="720"/>
          <w:tab w:val="left" w:pos="900"/>
        </w:tabs>
        <w:snapToGrid w:val="0"/>
        <w:spacing w:line="360" w:lineRule="auto"/>
        <w:ind w:right="-506" w:rightChars="-241"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2.2以介质存储的数据电文形式的备份投标文件，以DVD光盘或U盘形式存储，单独密封递交。</w:t>
      </w:r>
    </w:p>
    <w:p w14:paraId="0AE908BD">
      <w:pPr>
        <w:pStyle w:val="5"/>
        <w:numPr>
          <w:ilvl w:val="0"/>
          <w:numId w:val="0"/>
        </w:numPr>
        <w:tabs>
          <w:tab w:val="left" w:pos="454"/>
          <w:tab w:val="left" w:pos="720"/>
          <w:tab w:val="left" w:pos="900"/>
        </w:tabs>
        <w:snapToGrid w:val="0"/>
        <w:spacing w:line="360" w:lineRule="auto"/>
        <w:ind w:right="-506" w:rightChars="-241" w:firstLine="422" w:firstLineChars="200"/>
        <w:rPr>
          <w:rFonts w:hint="eastAsia" w:ascii="宋体" w:hAnsi="宋体" w:eastAsia="宋体" w:cs="宋体"/>
          <w:b/>
          <w:color w:val="auto"/>
          <w:szCs w:val="21"/>
          <w:highlight w:val="none"/>
        </w:rPr>
      </w:pPr>
      <w:r>
        <w:rPr>
          <w:rFonts w:hint="eastAsia" w:ascii="宋体" w:hAnsi="宋体" w:eastAsia="宋体" w:cs="宋体"/>
          <w:b/>
          <w:bCs/>
          <w:color w:val="auto"/>
          <w:highlight w:val="none"/>
        </w:rPr>
        <w:t>3、</w:t>
      </w:r>
      <w:r>
        <w:rPr>
          <w:rFonts w:hint="eastAsia" w:ascii="宋体" w:hAnsi="宋体" w:eastAsia="宋体" w:cs="宋体"/>
          <w:color w:val="auto"/>
          <w:highlight w:val="none"/>
        </w:rPr>
        <w:t>具体规定查看《浙江省政府采购项目电子交易管理暂行办法》（浙财采监【2019】10号）文件。</w:t>
      </w:r>
    </w:p>
    <w:p w14:paraId="4A153F9C">
      <w:pPr>
        <w:snapToGrid w:val="0"/>
        <w:spacing w:line="360" w:lineRule="auto"/>
        <w:ind w:firstLine="211" w:firstLineChars="1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（七）投标文件的包装、递交、修改和撤回</w:t>
      </w:r>
    </w:p>
    <w:p w14:paraId="6C09F141">
      <w:pPr>
        <w:snapToGrid w:val="0"/>
        <w:spacing w:line="360" w:lineRule="auto"/>
        <w:ind w:right="-86" w:rightChars="-41"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1、投标人应当在截止时间前完成电子版响应文件的传输递交，并可以补充、修改或者撤回响应文件。补充或者修改响应文件的，应当先行撤回原文件，补充、修改后重新传输递交。投标截止时间前未完成传输的，视为撤回投标文件。投标截止时间后送达的投标文件，将被政采云平台拒收。</w:t>
      </w:r>
    </w:p>
    <w:p w14:paraId="45D41754">
      <w:pPr>
        <w:snapToGrid w:val="0"/>
        <w:spacing w:line="360" w:lineRule="auto"/>
        <w:ind w:right="-86" w:rightChars="-41"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2、投标人除按规定时间在政采云系统中上传经加密的电子投标文件外，投标人还须在投标截止时间前携带以介质存储的数据电文形式的备份投标文件抵达开标室,投标人解密异常或未按时解密时应急使用。投标人在投标截止时间之前，可以对已提交的投标文件进行修改或撤回，并书面形式（投标人代表签字）通知采购代理机构；投标截止时间后，投标人不得撤回、修改投标文件。修改后重新递交的投标文件应当按本招标文件的要求密封和签字。</w:t>
      </w:r>
    </w:p>
    <w:p w14:paraId="3725A454">
      <w:pPr>
        <w:snapToGrid w:val="0"/>
        <w:spacing w:line="360" w:lineRule="auto"/>
        <w:ind w:right="-86" w:rightChars="-41" w:firstLine="420" w:firstLineChars="200"/>
        <w:jc w:val="left"/>
        <w:rPr>
          <w:rFonts w:hint="eastAsia" w:ascii="宋体" w:hAnsi="宋体" w:eastAsia="宋体" w:cs="宋体"/>
          <w:color w:val="auto"/>
          <w:highlight w:val="none"/>
        </w:rPr>
      </w:pPr>
      <w:r>
        <w:rPr>
          <w:rFonts w:hint="eastAsia" w:ascii="宋体" w:hAnsi="宋体" w:eastAsia="宋体" w:cs="宋体"/>
          <w:color w:val="auto"/>
          <w:highlight w:val="none"/>
        </w:rPr>
        <w:t>3、投标文件解密异常或未按时解密，投标人提供了备份响应文件的，以备份投标文件作为依据，否则视为投标文件撤回。投标文件已按时解密的，备份投标文件自动失效。</w:t>
      </w:r>
    </w:p>
    <w:p w14:paraId="3C3AEF8B">
      <w:pPr>
        <w:snapToGrid w:val="0"/>
        <w:spacing w:line="360" w:lineRule="auto"/>
        <w:ind w:right="-86" w:rightChars="-41" w:firstLine="420" w:firstLineChars="200"/>
        <w:jc w:val="left"/>
        <w:rPr>
          <w:rFonts w:hint="eastAsia" w:ascii="宋体" w:hAnsi="宋体" w:eastAsia="宋体" w:cs="宋体"/>
          <w:b/>
          <w:color w:val="auto"/>
          <w:szCs w:val="21"/>
          <w:highlight w:val="none"/>
        </w:rPr>
      </w:pPr>
      <w:r>
        <w:rPr>
          <w:rFonts w:hint="eastAsia" w:ascii="宋体" w:hAnsi="宋体" w:eastAsia="宋体" w:cs="宋体"/>
          <w:color w:val="auto"/>
          <w:highlight w:val="none"/>
        </w:rPr>
        <w:t>4、备份投标文件须密封封装。包装封面上应注明投标人名称，封口处加盖投标人公章。</w:t>
      </w:r>
    </w:p>
    <w:p w14:paraId="1A4809AD">
      <w:pPr>
        <w:spacing w:line="360" w:lineRule="auto"/>
        <w:ind w:firstLine="211" w:firstLineChars="100"/>
        <w:rPr>
          <w:rFonts w:hint="eastAsia" w:ascii="宋体" w:hAnsi="宋体" w:eastAsia="宋体" w:cs="宋体"/>
          <w:color w:val="auto"/>
          <w:highlight w:val="none"/>
        </w:rPr>
      </w:pPr>
      <w:r>
        <w:rPr>
          <w:rFonts w:hint="eastAsia" w:ascii="宋体" w:hAnsi="宋体" w:eastAsia="宋体" w:cs="宋体"/>
          <w:b/>
          <w:color w:val="auto"/>
          <w:szCs w:val="21"/>
          <w:highlight w:val="none"/>
        </w:rPr>
        <w:t>（八）投标无效的情形</w:t>
      </w:r>
    </w:p>
    <w:p w14:paraId="69DAD6BC">
      <w:pPr>
        <w:pStyle w:val="34"/>
        <w:snapToGrid w:val="0"/>
        <w:spacing w:beforeLines="0" w:afterLines="0" w:line="360" w:lineRule="auto"/>
        <w:ind w:right="-86" w:rightChars="-41"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178E07B9">
      <w:pPr>
        <w:pStyle w:val="34"/>
        <w:snapToGrid w:val="0"/>
        <w:spacing w:before="120" w:after="120" w:line="360" w:lineRule="auto"/>
        <w:ind w:firstLine="417" w:firstLineChars="198"/>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1、在符合性审查和商务评审时，如发现下列情形之一的，投标文件将被视为无效投标：</w:t>
      </w:r>
    </w:p>
    <w:p w14:paraId="15352FA1">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1.1电子投标文件解密失败的，且未在规定时间内提交备份投标文件的；</w:t>
      </w:r>
    </w:p>
    <w:p w14:paraId="43A68D75">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1.2投标文件未按采购文件要求密封、签字、盖章</w:t>
      </w:r>
      <w:r>
        <w:rPr>
          <w:rFonts w:hint="eastAsia" w:ascii="宋体" w:hAnsi="宋体" w:eastAsia="宋体" w:cs="宋体"/>
          <w:color w:val="auto"/>
          <w:sz w:val="21"/>
          <w:szCs w:val="21"/>
          <w:highlight w:val="none"/>
        </w:rPr>
        <w:t>或电子签章</w:t>
      </w:r>
      <w:r>
        <w:rPr>
          <w:rFonts w:hint="eastAsia" w:ascii="宋体" w:hAnsi="宋体" w:eastAsia="宋体" w:cs="宋体"/>
          <w:bCs/>
          <w:color w:val="auto"/>
          <w:sz w:val="21"/>
          <w:szCs w:val="21"/>
          <w:highlight w:val="none"/>
        </w:rPr>
        <w:t>的；</w:t>
      </w:r>
    </w:p>
    <w:p w14:paraId="56591CF6">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1.3</w:t>
      </w:r>
      <w:r>
        <w:rPr>
          <w:rFonts w:hint="eastAsia" w:ascii="宋体" w:hAnsi="宋体" w:eastAsia="宋体" w:cs="宋体"/>
          <w:color w:val="auto"/>
          <w:sz w:val="21"/>
          <w:szCs w:val="21"/>
          <w:highlight w:val="none"/>
        </w:rPr>
        <w:t>资格证明文件不全的，或者不符合采购文件标明的资格要求的</w:t>
      </w:r>
      <w:r>
        <w:rPr>
          <w:rFonts w:hint="eastAsia" w:ascii="宋体" w:hAnsi="宋体" w:eastAsia="宋体" w:cs="宋体"/>
          <w:bCs/>
          <w:color w:val="auto"/>
          <w:sz w:val="21"/>
          <w:szCs w:val="21"/>
          <w:highlight w:val="none"/>
        </w:rPr>
        <w:t>；</w:t>
      </w:r>
    </w:p>
    <w:p w14:paraId="289CBE96">
      <w:pPr>
        <w:pStyle w:val="12"/>
        <w:snapToGrid w:val="0"/>
        <w:spacing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1.4</w:t>
      </w:r>
      <w:r>
        <w:rPr>
          <w:rFonts w:hint="eastAsia" w:ascii="宋体" w:hAnsi="宋体" w:eastAsia="宋体" w:cs="宋体"/>
          <w:color w:val="auto"/>
          <w:sz w:val="21"/>
          <w:szCs w:val="21"/>
          <w:highlight w:val="none"/>
        </w:rPr>
        <w:t>投标文件组成不全的；</w:t>
      </w:r>
    </w:p>
    <w:p w14:paraId="6598EFA1">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1.5投标文件无法定代表人或授权人签字；或未提供法定代表人授权委托书；</w:t>
      </w:r>
    </w:p>
    <w:p w14:paraId="319F7DFB">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1.6投标代表人未能出具身份证明或与法定代表人授权委托人身份不符的；</w:t>
      </w:r>
    </w:p>
    <w:p w14:paraId="48CF2D49">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1.7投标文件的实质性内容未使用中文表述、意思表述不明确、前后矛盾或者使用计量单位不符合采购文件要求的；（</w:t>
      </w:r>
      <w:r>
        <w:rPr>
          <w:rFonts w:hint="eastAsia" w:ascii="宋体" w:hAnsi="宋体" w:eastAsia="宋体" w:cs="宋体"/>
          <w:color w:val="auto"/>
          <w:sz w:val="21"/>
          <w:szCs w:val="21"/>
          <w:highlight w:val="none"/>
        </w:rPr>
        <w:t>经评审小组认定允许其在线更正的笔误除外</w:t>
      </w:r>
      <w:r>
        <w:rPr>
          <w:rFonts w:hint="eastAsia" w:ascii="宋体" w:hAnsi="宋体" w:eastAsia="宋体" w:cs="宋体"/>
          <w:bCs/>
          <w:color w:val="auto"/>
          <w:sz w:val="21"/>
          <w:szCs w:val="21"/>
          <w:highlight w:val="none"/>
        </w:rPr>
        <w:t>）</w:t>
      </w:r>
    </w:p>
    <w:p w14:paraId="761A418C">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1.8投标文件的关键内容字迹模糊、无法辨认的，或者投标文件中经修正的内容字迹模糊难以辩认或者修改处未按规定签名盖章</w:t>
      </w:r>
      <w:r>
        <w:rPr>
          <w:rFonts w:hint="eastAsia" w:ascii="宋体" w:hAnsi="宋体" w:eastAsia="宋体" w:cs="宋体"/>
          <w:color w:val="auto"/>
          <w:sz w:val="21"/>
          <w:szCs w:val="21"/>
          <w:highlight w:val="none"/>
        </w:rPr>
        <w:t>或电子签章</w:t>
      </w:r>
      <w:r>
        <w:rPr>
          <w:rFonts w:hint="eastAsia" w:ascii="宋体" w:hAnsi="宋体" w:eastAsia="宋体" w:cs="宋体"/>
          <w:bCs/>
          <w:color w:val="auto"/>
          <w:sz w:val="21"/>
          <w:szCs w:val="21"/>
          <w:highlight w:val="none"/>
        </w:rPr>
        <w:t>的；</w:t>
      </w:r>
    </w:p>
    <w:p w14:paraId="01D84704">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1.9投标有效期、服务期等商务条款不能满足采购文件要求的；</w:t>
      </w:r>
    </w:p>
    <w:p w14:paraId="75F03424">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1.10未响应采购文件实质性要求或者投标文件有采购人不能接受的附加条件的；</w:t>
      </w:r>
    </w:p>
    <w:p w14:paraId="5E0DB0A4">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1.11投标文件没有按采购文件要求响应有标“▲”的条款的资料和材料的；</w:t>
      </w:r>
    </w:p>
    <w:p w14:paraId="00DA5185">
      <w:pPr>
        <w:pStyle w:val="34"/>
        <w:snapToGrid w:val="0"/>
        <w:spacing w:beforeLines="0" w:afterLines="0" w:line="360" w:lineRule="auto"/>
        <w:ind w:firstLine="415" w:firstLineChars="198"/>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1.12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047FB8A">
      <w:pPr>
        <w:spacing w:line="360" w:lineRule="auto"/>
        <w:ind w:firstLine="420"/>
        <w:rPr>
          <w:rFonts w:hint="eastAsia" w:ascii="宋体" w:hAnsi="宋体" w:eastAsia="宋体" w:cs="宋体"/>
          <w:color w:val="auto"/>
          <w:szCs w:val="21"/>
          <w:highlight w:val="none"/>
        </w:rPr>
      </w:pPr>
      <w:r>
        <w:rPr>
          <w:rFonts w:hint="eastAsia" w:ascii="宋体" w:hAnsi="宋体" w:eastAsia="宋体" w:cs="宋体"/>
          <w:b/>
          <w:bCs/>
          <w:color w:val="auto"/>
          <w:highlight w:val="none"/>
        </w:rPr>
        <w:t>2、在技术评审时，如发现下列情形之一的，投标文件将被视为无效响应：</w:t>
      </w:r>
    </w:p>
    <w:p w14:paraId="34C8D0DF">
      <w:pPr>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2.1投标文件标明的响应或偏离与事实不符或虚假投标的；</w:t>
      </w:r>
    </w:p>
    <w:p w14:paraId="7132749B">
      <w:pPr>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2.2明显不符合采购文件标明的质量标准，或者采购文件中标“</w:t>
      </w:r>
      <w:r>
        <w:rPr>
          <w:rFonts w:hint="eastAsia" w:ascii="宋体" w:hAnsi="宋体" w:eastAsia="宋体" w:cs="宋体"/>
          <w:b/>
          <w:color w:val="auto"/>
          <w:szCs w:val="21"/>
          <w:highlight w:val="none"/>
        </w:rPr>
        <w:t>▲</w:t>
      </w:r>
      <w:r>
        <w:rPr>
          <w:rFonts w:hint="eastAsia" w:ascii="宋体" w:hAnsi="宋体" w:eastAsia="宋体" w:cs="宋体"/>
          <w:color w:val="auto"/>
          <w:szCs w:val="21"/>
          <w:highlight w:val="none"/>
        </w:rPr>
        <w:t>”的技术参数、条款（如有）发生实质性偏离的；</w:t>
      </w:r>
    </w:p>
    <w:p w14:paraId="13D91523">
      <w:pPr>
        <w:spacing w:line="360" w:lineRule="auto"/>
        <w:ind w:firstLine="420"/>
        <w:rPr>
          <w:rFonts w:hint="eastAsia" w:ascii="宋体" w:hAnsi="宋体" w:eastAsia="宋体" w:cs="宋体"/>
          <w:color w:val="auto"/>
          <w:highlight w:val="none"/>
        </w:rPr>
      </w:pPr>
      <w:r>
        <w:rPr>
          <w:rFonts w:hint="eastAsia" w:ascii="宋体" w:hAnsi="宋体" w:eastAsia="宋体" w:cs="宋体"/>
          <w:color w:val="auto"/>
          <w:szCs w:val="21"/>
          <w:highlight w:val="none"/>
        </w:rPr>
        <w:t>2.3投标技术方案不明确，存在一个或一个以上备选（替代）投标方案的；</w:t>
      </w:r>
    </w:p>
    <w:p w14:paraId="48161B1C">
      <w:pPr>
        <w:spacing w:line="360" w:lineRule="auto"/>
        <w:ind w:firstLine="420"/>
        <w:rPr>
          <w:rFonts w:hint="eastAsia" w:ascii="宋体" w:hAnsi="宋体" w:eastAsia="宋体" w:cs="宋体"/>
          <w:color w:val="auto"/>
          <w:szCs w:val="21"/>
          <w:highlight w:val="none"/>
        </w:rPr>
      </w:pPr>
      <w:r>
        <w:rPr>
          <w:rFonts w:hint="eastAsia" w:ascii="宋体" w:hAnsi="宋体" w:eastAsia="宋体" w:cs="宋体"/>
          <w:b/>
          <w:bCs/>
          <w:color w:val="auto"/>
          <w:highlight w:val="none"/>
        </w:rPr>
        <w:t>3、</w:t>
      </w:r>
      <w:r>
        <w:rPr>
          <w:rFonts w:hint="eastAsia" w:ascii="宋体" w:hAnsi="宋体" w:eastAsia="宋体" w:cs="宋体"/>
          <w:b/>
          <w:color w:val="auto"/>
          <w:szCs w:val="21"/>
          <w:highlight w:val="none"/>
        </w:rPr>
        <w:t>在投标报价文件评审时</w:t>
      </w:r>
      <w:r>
        <w:rPr>
          <w:rFonts w:hint="eastAsia" w:ascii="宋体" w:hAnsi="宋体" w:eastAsia="宋体" w:cs="宋体"/>
          <w:b/>
          <w:bCs/>
          <w:color w:val="auto"/>
          <w:highlight w:val="none"/>
        </w:rPr>
        <w:t>，如发现下列情形之一的，投标文件将被视为无效响应：</w:t>
      </w:r>
    </w:p>
    <w:p w14:paraId="09AD9822">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3.1未采用人民币报价或者未按照采购文件标明的币种报价的；</w:t>
      </w:r>
    </w:p>
    <w:p w14:paraId="41D941A6">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3.2报价超出最高限价，或者超出采购预算金额，采购人不能支付的；投标人的投标报价经评标委员会审定认为存在不合理的、恶性的低价竞争的，且投标人又不能提供出有效证明的作无效标处理；</w:t>
      </w:r>
    </w:p>
    <w:p w14:paraId="0C15CEE1">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3.3投标报价具有选择性，或者开标价格与投标文件承诺的优惠（折扣）价格不一致的；</w:t>
      </w:r>
    </w:p>
    <w:p w14:paraId="622BDEFB">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3.4报价文件中缺失报价的；</w:t>
      </w:r>
    </w:p>
    <w:p w14:paraId="00308F21">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3.5报价明细表合计金额与投标报价一览表总价不一致的；</w:t>
      </w:r>
    </w:p>
    <w:p w14:paraId="7725B25C">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3.6投标报价文件未按规定进行单独制作或在投标文件资格、商务技术部分中出现投标报价信息的。</w:t>
      </w:r>
    </w:p>
    <w:p w14:paraId="44AEF6C2">
      <w:pPr>
        <w:pStyle w:val="36"/>
        <w:snapToGrid w:val="0"/>
        <w:spacing w:line="360" w:lineRule="auto"/>
        <w:ind w:right="-86" w:rightChars="-41" w:firstLine="441" w:firstLineChars="209"/>
        <w:rPr>
          <w:rFonts w:hint="eastAsia" w:ascii="宋体" w:hAnsi="宋体" w:eastAsia="宋体" w:cs="宋体"/>
          <w:color w:val="auto"/>
          <w:highlight w:val="none"/>
        </w:rPr>
      </w:pPr>
      <w:r>
        <w:rPr>
          <w:rFonts w:hint="eastAsia" w:ascii="宋体" w:hAnsi="宋体" w:eastAsia="宋体" w:cs="宋体"/>
          <w:b/>
          <w:bCs/>
          <w:color w:val="auto"/>
          <w:highlight w:val="none"/>
        </w:rPr>
        <w:t>4、</w:t>
      </w:r>
      <w:r>
        <w:rPr>
          <w:rFonts w:hint="eastAsia" w:ascii="宋体" w:hAnsi="宋体" w:eastAsia="宋体" w:cs="宋体"/>
          <w:color w:val="auto"/>
          <w:highlight w:val="none"/>
        </w:rPr>
        <w:t>法律、法规和采购文件规定的其他无效情形。</w:t>
      </w:r>
    </w:p>
    <w:p w14:paraId="27B6EBB5">
      <w:pPr>
        <w:pStyle w:val="36"/>
        <w:snapToGrid w:val="0"/>
        <w:spacing w:line="360" w:lineRule="auto"/>
        <w:ind w:right="-86" w:rightChars="-41" w:firstLine="211" w:firstLineChars="100"/>
        <w:rPr>
          <w:rFonts w:hint="eastAsia" w:ascii="宋体" w:hAnsi="宋体" w:eastAsia="宋体" w:cs="宋体"/>
          <w:color w:val="auto"/>
          <w:highlight w:val="none"/>
        </w:rPr>
      </w:pPr>
      <w:r>
        <w:rPr>
          <w:rFonts w:hint="eastAsia" w:ascii="宋体" w:hAnsi="宋体" w:eastAsia="宋体" w:cs="宋体"/>
          <w:b/>
          <w:color w:val="auto"/>
          <w:szCs w:val="21"/>
          <w:highlight w:val="none"/>
        </w:rPr>
        <w:t>（九）</w:t>
      </w:r>
      <w:r>
        <w:rPr>
          <w:rFonts w:hint="eastAsia" w:ascii="宋体" w:hAnsi="宋体" w:eastAsia="宋体" w:cs="宋体"/>
          <w:b/>
          <w:color w:val="auto"/>
          <w:highlight w:val="none"/>
        </w:rPr>
        <w:t>出现以下情形，导致电子交易平台无法正常运行，或者无法保证电子交易的公平、公正和安全时，中止电子交易活动：</w:t>
      </w:r>
    </w:p>
    <w:p w14:paraId="5C297D31">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1.电子交易平台发生故障而无法登录访问的；</w:t>
      </w:r>
    </w:p>
    <w:p w14:paraId="133C2F9F">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2.电子交易平台应用或数据库出现错误，不能进行正常操作的；</w:t>
      </w:r>
    </w:p>
    <w:p w14:paraId="54E9D069">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3.电子交易平台发现严重安全漏洞，有潜在泄密危险的；</w:t>
      </w:r>
    </w:p>
    <w:p w14:paraId="332650F0">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4.病毒发作导致不能进行正常操作的；</w:t>
      </w:r>
    </w:p>
    <w:p w14:paraId="2DAD69BF">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5.其他无法保证电子交易的公平、公正和安全的情况。</w:t>
      </w:r>
    </w:p>
    <w:p w14:paraId="67C9D1EB">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出现前款规定情形，不影响采购公平、公正性的，代理机构可以待上述情形消除后继续组织电子交易活动，也可以决定某些环节以纸质形式进行；影响或可能影响采购公平、公正性的，重新采购。</w:t>
      </w:r>
    </w:p>
    <w:p w14:paraId="3F573DD7">
      <w:pPr>
        <w:pStyle w:val="36"/>
        <w:snapToGrid w:val="0"/>
        <w:spacing w:line="360" w:lineRule="auto"/>
        <w:ind w:right="-87" w:firstLine="0"/>
        <w:outlineLvl w:val="1"/>
        <w:rPr>
          <w:rFonts w:hint="eastAsia" w:ascii="宋体" w:hAnsi="宋体" w:eastAsia="宋体" w:cs="宋体"/>
          <w:b/>
          <w:color w:val="auto"/>
          <w:sz w:val="28"/>
          <w:highlight w:val="none"/>
        </w:rPr>
      </w:pPr>
    </w:p>
    <w:p w14:paraId="62CDFEAB">
      <w:pPr>
        <w:pStyle w:val="36"/>
        <w:snapToGrid w:val="0"/>
        <w:spacing w:line="360" w:lineRule="auto"/>
        <w:ind w:right="-87" w:firstLine="3483" w:firstLineChars="1239"/>
        <w:outlineLvl w:val="1"/>
        <w:rPr>
          <w:rFonts w:hint="eastAsia" w:ascii="宋体" w:hAnsi="宋体" w:eastAsia="宋体" w:cs="宋体"/>
          <w:b/>
          <w:snapToGrid w:val="0"/>
          <w:color w:val="auto"/>
          <w:sz w:val="28"/>
          <w:highlight w:val="none"/>
        </w:rPr>
      </w:pPr>
      <w:r>
        <w:rPr>
          <w:rFonts w:hint="eastAsia" w:ascii="宋体" w:hAnsi="宋体" w:eastAsia="宋体" w:cs="宋体"/>
          <w:b/>
          <w:color w:val="auto"/>
          <w:sz w:val="28"/>
          <w:highlight w:val="none"/>
        </w:rPr>
        <w:t>四、开标</w:t>
      </w:r>
    </w:p>
    <w:p w14:paraId="26E81DC6">
      <w:pPr>
        <w:pStyle w:val="36"/>
        <w:snapToGrid w:val="0"/>
        <w:spacing w:line="360" w:lineRule="auto"/>
        <w:ind w:right="-86" w:rightChars="-41" w:firstLine="441" w:firstLineChars="209"/>
        <w:rPr>
          <w:rFonts w:hint="eastAsia" w:ascii="宋体" w:hAnsi="宋体" w:eastAsia="宋体" w:cs="宋体"/>
          <w:b/>
          <w:bCs/>
          <w:color w:val="auto"/>
          <w:highlight w:val="none"/>
        </w:rPr>
      </w:pPr>
      <w:r>
        <w:rPr>
          <w:rFonts w:hint="eastAsia" w:ascii="宋体" w:hAnsi="宋体" w:eastAsia="宋体" w:cs="宋体"/>
          <w:b/>
          <w:bCs/>
          <w:color w:val="auto"/>
          <w:highlight w:val="none"/>
        </w:rPr>
        <w:t>（一）开标准备</w:t>
      </w:r>
    </w:p>
    <w:p w14:paraId="1131EBF9">
      <w:pPr>
        <w:pStyle w:val="36"/>
        <w:snapToGrid w:val="0"/>
        <w:spacing w:line="360" w:lineRule="auto"/>
        <w:ind w:right="-86" w:rightChars="-41" w:firstLine="438" w:firstLineChars="209"/>
        <w:rPr>
          <w:rFonts w:hint="eastAsia" w:ascii="宋体" w:hAnsi="宋体" w:eastAsia="宋体" w:cs="宋体"/>
          <w:color w:val="auto"/>
          <w:szCs w:val="21"/>
          <w:highlight w:val="none"/>
        </w:rPr>
      </w:pPr>
      <w:r>
        <w:rPr>
          <w:rFonts w:hint="eastAsia" w:ascii="宋体" w:hAnsi="宋体" w:eastAsia="宋体" w:cs="宋体"/>
          <w:color w:val="auto"/>
          <w:highlight w:val="none"/>
        </w:rPr>
        <w:t>1.1</w:t>
      </w:r>
      <w:r>
        <w:rPr>
          <w:rFonts w:hint="eastAsia" w:ascii="宋体" w:hAnsi="宋体" w:eastAsia="宋体" w:cs="宋体"/>
          <w:color w:val="auto"/>
          <w:szCs w:val="21"/>
          <w:highlight w:val="none"/>
        </w:rPr>
        <w:t>采购代理机构将在规定的时间和地点进行开标。</w:t>
      </w:r>
      <w:r>
        <w:rPr>
          <w:rFonts w:hint="eastAsia" w:ascii="宋体" w:hAnsi="宋体" w:eastAsia="宋体" w:cs="宋体"/>
          <w:color w:val="auto"/>
          <w:szCs w:val="22"/>
          <w:highlight w:val="none"/>
        </w:rPr>
        <w:t>根据相关规定本项目不要求供应商授权代表参加现场开标、开启投标文件活动。采购组织机构按照规定的时间通过政采云系统组织开标、开启响应文件，所有投标人均应当准时在线参加。</w:t>
      </w:r>
    </w:p>
    <w:p w14:paraId="69B375E9">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1.2按规定提交合格的撤回通知的投标文件不予开封，并退回给投标人；开标时出现的无效投标文件，不予评审，但不退还给投标人。</w:t>
      </w:r>
    </w:p>
    <w:p w14:paraId="43D2E497">
      <w:pPr>
        <w:pStyle w:val="36"/>
        <w:snapToGrid w:val="0"/>
        <w:spacing w:line="360" w:lineRule="auto"/>
        <w:ind w:right="-86" w:rightChars="-41" w:firstLine="441" w:firstLineChars="209"/>
        <w:rPr>
          <w:rFonts w:hint="eastAsia" w:ascii="宋体" w:hAnsi="宋体" w:eastAsia="宋体" w:cs="宋体"/>
          <w:color w:val="auto"/>
          <w:highlight w:val="none"/>
        </w:rPr>
      </w:pPr>
      <w:r>
        <w:rPr>
          <w:rFonts w:hint="eastAsia" w:ascii="宋体" w:hAnsi="宋体" w:eastAsia="宋体" w:cs="宋体"/>
          <w:b/>
          <w:bCs/>
          <w:color w:val="auto"/>
          <w:highlight w:val="none"/>
        </w:rPr>
        <w:t>（二）开标程序</w:t>
      </w:r>
    </w:p>
    <w:p w14:paraId="191169A5">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 xml:space="preserve">2.1开标现场会由采购代理机构工作人员负责主持，投标截止时间后主持人宣布开标会开始。 </w:t>
      </w:r>
    </w:p>
    <w:p w14:paraId="71BC27F8">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2.2</w:t>
      </w:r>
      <w:r>
        <w:rPr>
          <w:rFonts w:hint="eastAsia" w:ascii="宋体" w:hAnsi="宋体" w:eastAsia="宋体" w:cs="宋体"/>
          <w:color w:val="auto"/>
          <w:szCs w:val="21"/>
          <w:highlight w:val="none"/>
        </w:rPr>
        <w:t>介绍参加开标会的人员名单</w:t>
      </w:r>
      <w:r>
        <w:rPr>
          <w:rFonts w:hint="eastAsia" w:ascii="宋体" w:hAnsi="宋体" w:eastAsia="宋体" w:cs="宋体"/>
          <w:color w:val="auto"/>
          <w:highlight w:val="none"/>
        </w:rPr>
        <w:t>。宣布开标纪律和有关事项，告知应当回避的情形，提请有关人员回避。</w:t>
      </w:r>
    </w:p>
    <w:p w14:paraId="4BDF9623">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3、电子招投标开标及评审程序</w:t>
      </w:r>
    </w:p>
    <w:p w14:paraId="0A75F0D4">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 1投标截止时间后，投标人登录政采云平台，用“项目采购-开标评标”功能对电子投标文件进行在线解密；</w:t>
      </w:r>
      <w:r>
        <w:rPr>
          <w:rFonts w:hint="eastAsia" w:ascii="宋体" w:hAnsi="宋体" w:eastAsia="宋体" w:cs="宋体"/>
          <w:b/>
          <w:bCs/>
          <w:color w:val="auto"/>
          <w:szCs w:val="21"/>
          <w:highlight w:val="none"/>
        </w:rPr>
        <w:t>在线解密电子投标文件时间为开标时间起半个小时内。</w:t>
      </w:r>
    </w:p>
    <w:p w14:paraId="798B93E5">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3.2各投标人的资格由采购代理机构人员负责初审；</w:t>
      </w:r>
    </w:p>
    <w:p w14:paraId="34B774E4">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3.3对资格和商务技术投标文件进行评审；</w:t>
      </w:r>
    </w:p>
    <w:p w14:paraId="0E9CBF4D">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3.4在系统上公开资格和商务技术评审结果；</w:t>
      </w:r>
    </w:p>
    <w:p w14:paraId="31942403">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3.5在系统上公开报价开标情况；</w:t>
      </w:r>
    </w:p>
    <w:p w14:paraId="07053CE4">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3.6对报价情况进行评审；</w:t>
      </w:r>
    </w:p>
    <w:p w14:paraId="14E860F4">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3.7在系统上公布评审结果。</w:t>
      </w:r>
    </w:p>
    <w:p w14:paraId="7AEF3D7B">
      <w:pPr>
        <w:pStyle w:val="36"/>
        <w:snapToGrid w:val="0"/>
        <w:spacing w:line="360" w:lineRule="auto"/>
        <w:ind w:right="-86" w:rightChars="-41" w:firstLine="441" w:firstLineChars="209"/>
        <w:rPr>
          <w:rFonts w:hint="eastAsia" w:ascii="宋体" w:hAnsi="宋体" w:eastAsia="宋体" w:cs="宋体"/>
          <w:b/>
          <w:bCs/>
          <w:color w:val="auto"/>
          <w:highlight w:val="none"/>
        </w:rPr>
      </w:pPr>
      <w:r>
        <w:rPr>
          <w:rFonts w:hint="eastAsia" w:ascii="宋体" w:hAnsi="宋体" w:eastAsia="宋体" w:cs="宋体"/>
          <w:b/>
          <w:bCs/>
          <w:color w:val="auto"/>
          <w:highlight w:val="none"/>
        </w:rPr>
        <w:t>特别说明：政采云公司如对电子化开标及评审程序有调整的，按调整后的程序操作。</w:t>
      </w:r>
    </w:p>
    <w:p w14:paraId="13F4D791">
      <w:pPr>
        <w:pStyle w:val="36"/>
        <w:snapToGrid w:val="0"/>
        <w:spacing w:line="360" w:lineRule="auto"/>
        <w:ind w:right="-86" w:rightChars="-41" w:firstLine="438" w:firstLineChars="209"/>
        <w:rPr>
          <w:rFonts w:hint="eastAsia" w:ascii="宋体" w:hAnsi="宋体" w:eastAsia="宋体" w:cs="宋体"/>
          <w:color w:val="auto"/>
          <w:highlight w:val="none"/>
        </w:rPr>
      </w:pPr>
      <w:r>
        <w:rPr>
          <w:rFonts w:hint="eastAsia" w:ascii="宋体" w:hAnsi="宋体" w:eastAsia="宋体" w:cs="宋体"/>
          <w:color w:val="auto"/>
          <w:highlight w:val="none"/>
        </w:rPr>
        <w:t>4、采购代理机构工作人员对开标过程进行记录（含音视频记录），并存档备查。</w:t>
      </w:r>
    </w:p>
    <w:p w14:paraId="10B74DBC">
      <w:pPr>
        <w:pStyle w:val="36"/>
        <w:snapToGrid w:val="0"/>
        <w:spacing w:line="360" w:lineRule="auto"/>
        <w:ind w:right="-87" w:firstLine="420" w:firstLineChars="200"/>
        <w:outlineLvl w:val="1"/>
        <w:rPr>
          <w:rFonts w:hint="eastAsia" w:ascii="宋体" w:hAnsi="宋体" w:eastAsia="宋体" w:cs="宋体"/>
          <w:color w:val="auto"/>
          <w:highlight w:val="none"/>
        </w:rPr>
      </w:pPr>
      <w:r>
        <w:rPr>
          <w:rFonts w:hint="eastAsia" w:ascii="宋体" w:hAnsi="宋体" w:eastAsia="宋体" w:cs="宋体"/>
          <w:color w:val="auto"/>
          <w:highlight w:val="none"/>
        </w:rPr>
        <w:t>5、本项目原则上采用政采云电子招投标开标及评审程序，但若投标人在规定时间内无法解密或解密失败，采购代理机构将开启未能在规定时间内解密的投标人递交的备份投标文件。</w:t>
      </w:r>
    </w:p>
    <w:p w14:paraId="30F5B4F3">
      <w:pPr>
        <w:pStyle w:val="36"/>
        <w:snapToGrid w:val="0"/>
        <w:spacing w:line="360" w:lineRule="auto"/>
        <w:ind w:right="-87" w:firstLine="0"/>
        <w:outlineLvl w:val="1"/>
        <w:rPr>
          <w:rFonts w:hint="eastAsia" w:ascii="宋体" w:hAnsi="宋体" w:eastAsia="宋体" w:cs="宋体"/>
          <w:b/>
          <w:color w:val="auto"/>
          <w:sz w:val="28"/>
          <w:highlight w:val="none"/>
        </w:rPr>
      </w:pPr>
    </w:p>
    <w:p w14:paraId="4AEF54AB">
      <w:pPr>
        <w:pStyle w:val="36"/>
        <w:snapToGrid w:val="0"/>
        <w:spacing w:line="360" w:lineRule="auto"/>
        <w:ind w:right="-87" w:firstLine="3483" w:firstLineChars="1239"/>
        <w:outlineLvl w:val="1"/>
        <w:rPr>
          <w:rFonts w:hint="eastAsia" w:ascii="宋体" w:hAnsi="宋体" w:eastAsia="宋体" w:cs="宋体"/>
          <w:b/>
          <w:color w:val="auto"/>
          <w:sz w:val="28"/>
          <w:highlight w:val="none"/>
        </w:rPr>
      </w:pPr>
      <w:r>
        <w:rPr>
          <w:rFonts w:hint="eastAsia" w:ascii="宋体" w:hAnsi="宋体" w:eastAsia="宋体" w:cs="宋体"/>
          <w:b/>
          <w:color w:val="auto"/>
          <w:sz w:val="28"/>
          <w:highlight w:val="none"/>
        </w:rPr>
        <w:t>五、评标</w:t>
      </w:r>
    </w:p>
    <w:p w14:paraId="2DCA6C5A">
      <w:pPr>
        <w:pStyle w:val="36"/>
        <w:snapToGrid w:val="0"/>
        <w:spacing w:line="360" w:lineRule="auto"/>
        <w:ind w:firstLine="422" w:firstLineChars="20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（一）组建评标委员会</w:t>
      </w:r>
    </w:p>
    <w:p w14:paraId="24F5BA60">
      <w:pPr>
        <w:pStyle w:val="34"/>
        <w:snapToGrid w:val="0"/>
        <w:spacing w:before="120" w:after="120" w:line="360" w:lineRule="auto"/>
        <w:ind w:right="-87" w:firstLine="420" w:firstLineChars="200"/>
        <w:rPr>
          <w:rFonts w:hint="eastAsia" w:ascii="宋体" w:hAnsi="宋体" w:eastAsia="宋体" w:cs="宋体"/>
          <w:color w:val="auto"/>
          <w:sz w:val="21"/>
          <w:highlight w:val="none"/>
        </w:rPr>
      </w:pPr>
      <w:r>
        <w:rPr>
          <w:rFonts w:hint="eastAsia" w:ascii="宋体" w:hAnsi="宋体" w:eastAsia="宋体" w:cs="宋体"/>
          <w:color w:val="auto"/>
          <w:sz w:val="21"/>
          <w:highlight w:val="none"/>
        </w:rPr>
        <w:t>本项目评标委员会由政府采购评审专家</w:t>
      </w:r>
      <w:r>
        <w:rPr>
          <w:rFonts w:hint="eastAsia" w:ascii="宋体" w:hAnsi="宋体" w:eastAsia="宋体" w:cs="宋体"/>
          <w:color w:val="auto"/>
          <w:sz w:val="21"/>
          <w:highlight w:val="none"/>
          <w:u w:val="single"/>
        </w:rPr>
        <w:t>4</w:t>
      </w:r>
      <w:r>
        <w:rPr>
          <w:rFonts w:hint="eastAsia" w:ascii="宋体" w:hAnsi="宋体" w:eastAsia="宋体" w:cs="宋体"/>
          <w:color w:val="auto"/>
          <w:sz w:val="21"/>
          <w:highlight w:val="none"/>
        </w:rPr>
        <w:t>人和采购人代表</w:t>
      </w:r>
      <w:r>
        <w:rPr>
          <w:rFonts w:hint="eastAsia" w:ascii="宋体" w:hAnsi="宋体" w:eastAsia="宋体" w:cs="宋体"/>
          <w:color w:val="auto"/>
          <w:sz w:val="21"/>
          <w:highlight w:val="none"/>
          <w:u w:val="single"/>
        </w:rPr>
        <w:t>1</w:t>
      </w:r>
      <w:r>
        <w:rPr>
          <w:rFonts w:hint="eastAsia" w:ascii="宋体" w:hAnsi="宋体" w:eastAsia="宋体" w:cs="宋体"/>
          <w:color w:val="auto"/>
          <w:sz w:val="21"/>
          <w:highlight w:val="none"/>
        </w:rPr>
        <w:t>人，共</w:t>
      </w:r>
      <w:r>
        <w:rPr>
          <w:rFonts w:hint="eastAsia" w:ascii="宋体" w:hAnsi="宋体" w:eastAsia="宋体" w:cs="宋体"/>
          <w:color w:val="auto"/>
          <w:sz w:val="21"/>
          <w:highlight w:val="none"/>
          <w:u w:val="single"/>
        </w:rPr>
        <w:t>5</w:t>
      </w:r>
      <w:r>
        <w:rPr>
          <w:rFonts w:hint="eastAsia" w:ascii="宋体" w:hAnsi="宋体" w:eastAsia="宋体" w:cs="宋体"/>
          <w:color w:val="auto"/>
          <w:sz w:val="21"/>
          <w:highlight w:val="none"/>
        </w:rPr>
        <w:t>人组成。</w:t>
      </w:r>
    </w:p>
    <w:p w14:paraId="53B75602">
      <w:pPr>
        <w:pStyle w:val="36"/>
        <w:snapToGrid w:val="0"/>
        <w:spacing w:line="360" w:lineRule="auto"/>
        <w:ind w:firstLine="422" w:firstLineChars="200"/>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（二）评标程序</w:t>
      </w:r>
    </w:p>
    <w:p w14:paraId="27E387EE">
      <w:pPr>
        <w:snapToGrid w:val="0"/>
        <w:spacing w:line="360" w:lineRule="auto"/>
        <w:ind w:right="-87" w:firstLine="422" w:firstLineChars="200"/>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1.投标文件初审</w:t>
      </w:r>
    </w:p>
    <w:p w14:paraId="71D79F5A">
      <w:pPr>
        <w:snapToGrid w:val="0"/>
        <w:spacing w:line="360" w:lineRule="auto"/>
        <w:ind w:right="-87" w:firstLine="420" w:firstLineChars="20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初审分为资格性检查和符合性检查。</w:t>
      </w:r>
    </w:p>
    <w:p w14:paraId="682A0C58">
      <w:pPr>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1.1资格性检查。依据法律法规和采购文件的规定，对投标文件中的资格证明等进行审查，以确定投标投标人是否具备投标资格。</w:t>
      </w:r>
    </w:p>
    <w:p w14:paraId="4E1331A8">
      <w:pPr>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1.2符合性检查。依据采购文件的规定，从投标文件的有效性、完整性和对采购文件的响应程度进行审查，以确定是否对采购文件的实质性要求作出响应。</w:t>
      </w:r>
    </w:p>
    <w:p w14:paraId="770B9AA2">
      <w:pPr>
        <w:snapToGrid w:val="0"/>
        <w:spacing w:line="360" w:lineRule="auto"/>
        <w:ind w:right="-87"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2.实质审查</w:t>
      </w:r>
    </w:p>
    <w:p w14:paraId="7A3C702B">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（1）评标委员会审查投标文件的实质性内容是否符合采购文件的实质性要求。</w:t>
      </w:r>
    </w:p>
    <w:p w14:paraId="75CCBB4F">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46396A41">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（3）各投标人的商务技术得分由指定专人进行计算复核。</w:t>
      </w:r>
    </w:p>
    <w:p w14:paraId="5BE207E9">
      <w:pPr>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（4）各投标人报价得分根据评分标准计算。</w:t>
      </w:r>
    </w:p>
    <w:p w14:paraId="7221C1DD">
      <w:pPr>
        <w:spacing w:line="360" w:lineRule="auto"/>
        <w:ind w:firstLine="420" w:firstLineChars="200"/>
        <w:rPr>
          <w:rFonts w:hint="eastAsia" w:ascii="宋体" w:hAnsi="宋体" w:eastAsia="宋体" w:cs="宋体"/>
          <w:b/>
          <w:color w:val="auto"/>
          <w:szCs w:val="21"/>
          <w:highlight w:val="none"/>
        </w:rPr>
      </w:pPr>
      <w:r>
        <w:rPr>
          <w:rFonts w:hint="eastAsia" w:ascii="宋体" w:hAnsi="宋体" w:eastAsia="宋体" w:cs="宋体"/>
          <w:color w:val="auto"/>
          <w:kern w:val="0"/>
          <w:szCs w:val="21"/>
          <w:highlight w:val="none"/>
        </w:rPr>
        <w:t>（5）评标委员会完成评标后，评委对各部分得分汇总，计算出本项目综合评估分。评标委员会按</w:t>
      </w:r>
      <w:r>
        <w:rPr>
          <w:rFonts w:hint="eastAsia" w:ascii="宋体" w:hAnsi="宋体" w:eastAsia="宋体" w:cs="宋体"/>
          <w:color w:val="auto"/>
          <w:szCs w:val="21"/>
          <w:highlight w:val="none"/>
        </w:rPr>
        <w:t>评标原则通过电子系统向采购人及采购代理机构提交评审报告。</w:t>
      </w:r>
    </w:p>
    <w:p w14:paraId="46E3064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（三）澄清问题的形式</w:t>
      </w:r>
    </w:p>
    <w:p w14:paraId="389CB01E">
      <w:pPr>
        <w:snapToGrid w:val="0"/>
        <w:spacing w:line="360" w:lineRule="auto"/>
        <w:ind w:left="228" w:right="-87"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对投标文件中含义不明确、同类问题表述不一致或者有明显文字和计算错误的内容，评标委员会可要求投标人作出必要的澄清、说明或者纠正。投标人与评审小组</w:t>
      </w:r>
      <w:r>
        <w:rPr>
          <w:rFonts w:hint="eastAsia" w:ascii="宋体" w:hAnsi="宋体" w:eastAsia="宋体" w:cs="宋体"/>
          <w:color w:val="auto"/>
          <w:szCs w:val="21"/>
          <w:highlight w:val="none"/>
        </w:rPr>
        <w:t>通过电子交易平台交换数据电文的形式进行</w:t>
      </w:r>
      <w:r>
        <w:rPr>
          <w:rFonts w:hint="eastAsia" w:ascii="宋体" w:hAnsi="宋体" w:eastAsia="宋体" w:cs="宋体"/>
          <w:color w:val="auto"/>
          <w:highlight w:val="none"/>
        </w:rPr>
        <w:t>，给予投标人提交澄清说明或补正的时间不少于半个小时，投标人已经明确表示澄清说明或补正完毕的除外。不得超出投标文件的范围或者改变投标文件的实质性内容。</w:t>
      </w:r>
    </w:p>
    <w:p w14:paraId="1D5687E0">
      <w:pPr>
        <w:snapToGrid w:val="0"/>
        <w:spacing w:line="360" w:lineRule="auto"/>
        <w:ind w:left="228" w:right="-87" w:firstLine="420" w:firstLineChars="200"/>
        <w:rPr>
          <w:rFonts w:hint="eastAsia" w:ascii="宋体" w:hAnsi="宋体" w:eastAsia="宋体" w:cs="宋体"/>
          <w:color w:val="auto"/>
          <w:highlight w:val="none"/>
        </w:rPr>
      </w:pPr>
    </w:p>
    <w:p w14:paraId="3DF6CD5D">
      <w:pPr>
        <w:snapToGrid w:val="0"/>
        <w:spacing w:line="360" w:lineRule="auto"/>
        <w:ind w:left="228" w:right="-87" w:firstLine="420" w:firstLineChars="200"/>
        <w:rPr>
          <w:rFonts w:hint="eastAsia" w:ascii="宋体" w:hAnsi="宋体" w:eastAsia="宋体" w:cs="宋体"/>
          <w:color w:val="auto"/>
          <w:highlight w:val="none"/>
        </w:rPr>
      </w:pPr>
    </w:p>
    <w:p w14:paraId="1DA4A5A5">
      <w:pPr>
        <w:pStyle w:val="34"/>
        <w:snapToGrid w:val="0"/>
        <w:spacing w:before="120" w:after="120" w:line="360" w:lineRule="auto"/>
        <w:ind w:right="-87"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（四）错误修正</w:t>
      </w:r>
    </w:p>
    <w:p w14:paraId="4505BFC5">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投标文件如果出现计算或表达上的错误，修正错误的原则如下：</w:t>
      </w:r>
    </w:p>
    <w:p w14:paraId="6DF3A1A8">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1、如果用数字表示的数额与文字表示的数额不一致的，以文字数额为准；</w:t>
      </w:r>
    </w:p>
    <w:p w14:paraId="137E32C2">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2、当单价和数量的乘积与合价不一致时，通常以标出的单价为准。除非评审小组认为单价属明显的小数点错误，此时应以标出的合价为准，并修改单价。</w:t>
      </w:r>
    </w:p>
    <w:p w14:paraId="20885E07">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3、按上述修改错误的方法，调整投标文件中的投标报价文件，经投标人确认后，调整后的投标报价对投标人起约束作用。</w:t>
      </w:r>
    </w:p>
    <w:p w14:paraId="299DBE9D">
      <w:pPr>
        <w:pStyle w:val="12"/>
        <w:snapToGrid w:val="0"/>
        <w:spacing w:line="360" w:lineRule="auto"/>
        <w:ind w:firstLine="417" w:firstLineChars="198"/>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17E1E420">
      <w:pPr>
        <w:pStyle w:val="34"/>
        <w:snapToGrid w:val="0"/>
        <w:spacing w:before="120" w:after="120" w:line="360" w:lineRule="auto"/>
        <w:ind w:right="-87"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（五）评标原则和评标办法</w:t>
      </w:r>
    </w:p>
    <w:p w14:paraId="5DDA3560">
      <w:pPr>
        <w:pStyle w:val="12"/>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1、评标委员会必须公平、公正、客观，不带任何倾向性和启发性；不得向外界透露任何与评标有关的内容；任何单位和个人不得干扰、影响评标的正常进行；评标委员会及有关工作人员不得私下与投标人接触。</w:t>
      </w:r>
    </w:p>
    <w:p w14:paraId="1F8E2D7E">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2、评标办法。本项目评标办法是</w:t>
      </w:r>
      <w:r>
        <w:rPr>
          <w:rFonts w:hint="eastAsia" w:ascii="宋体" w:hAnsi="宋体" w:eastAsia="宋体" w:cs="宋体"/>
          <w:color w:val="auto"/>
          <w:sz w:val="21"/>
          <w:szCs w:val="21"/>
          <w:highlight w:val="none"/>
          <w:u w:val="single"/>
        </w:rPr>
        <w:t>综合评分法</w:t>
      </w:r>
      <w:r>
        <w:rPr>
          <w:rFonts w:hint="eastAsia" w:ascii="宋体" w:hAnsi="宋体" w:eastAsia="宋体" w:cs="宋体"/>
          <w:color w:val="auto"/>
          <w:sz w:val="21"/>
          <w:szCs w:val="21"/>
          <w:highlight w:val="none"/>
        </w:rPr>
        <w:t>，具体评标内容及评分标准等详见《第四章：评标办法及评分标准》。</w:t>
      </w:r>
    </w:p>
    <w:p w14:paraId="4C4F2F2D">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政府采购货物和服务招标投标管理办法》第四十三条：公开招标数额标准以上的采购项目，投标截止后投标人不足3家或者通过资格审查或符合性审查的投标人不足3家的，除采购任务取消情形外，按照以下方式处理：</w:t>
      </w:r>
    </w:p>
    <w:p w14:paraId="2E843D5B">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（一）招标文件存在不合理条款或者招标程序不符合规定的，采购人、采购代理机构改正后依法重新招标；</w:t>
      </w:r>
    </w:p>
    <w:p w14:paraId="2E5B90AE">
      <w:pPr>
        <w:pStyle w:val="12"/>
        <w:snapToGrid w:val="0"/>
        <w:spacing w:line="360" w:lineRule="auto"/>
        <w:ind w:firstLine="520" w:firstLineChars="248"/>
        <w:rPr>
          <w:rFonts w:hint="eastAsia" w:ascii="宋体" w:hAnsi="宋体" w:eastAsia="宋体" w:cs="宋体"/>
          <w:b/>
          <w:color w:val="auto"/>
          <w:szCs w:val="21"/>
          <w:highlight w:val="none"/>
        </w:rPr>
      </w:pPr>
      <w:r>
        <w:rPr>
          <w:rFonts w:hint="eastAsia" w:ascii="宋体" w:hAnsi="宋体" w:eastAsia="宋体" w:cs="宋体"/>
          <w:color w:val="auto"/>
          <w:sz w:val="21"/>
          <w:szCs w:val="21"/>
          <w:highlight w:val="none"/>
        </w:rPr>
        <w:t>（二）招标文件没有不合理条款、招标程序符合规定，需要采用其他采购方式采购的，采购人应当依法报财政部门批准。</w:t>
      </w:r>
    </w:p>
    <w:p w14:paraId="3702B566">
      <w:pPr>
        <w:widowControl/>
        <w:snapToGrid w:val="0"/>
        <w:spacing w:line="360" w:lineRule="auto"/>
        <w:ind w:right="-87"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（六）评标过程的监控</w:t>
      </w:r>
    </w:p>
    <w:p w14:paraId="7DF9C95D">
      <w:pPr>
        <w:pStyle w:val="34"/>
        <w:snapToGrid w:val="0"/>
        <w:spacing w:before="120" w:after="120" w:line="360" w:lineRule="auto"/>
        <w:ind w:right="-87" w:firstLine="420" w:firstLineChars="200"/>
        <w:rPr>
          <w:rFonts w:hint="eastAsia" w:ascii="宋体" w:hAnsi="宋体" w:eastAsia="宋体" w:cs="宋体"/>
          <w:color w:val="auto"/>
          <w:sz w:val="21"/>
          <w:highlight w:val="none"/>
        </w:rPr>
      </w:pPr>
      <w:r>
        <w:rPr>
          <w:rFonts w:hint="eastAsia" w:ascii="宋体" w:hAnsi="宋体" w:eastAsia="宋体" w:cs="宋体"/>
          <w:color w:val="auto"/>
          <w:sz w:val="21"/>
          <w:szCs w:val="21"/>
          <w:highlight w:val="none"/>
        </w:rPr>
        <w:t>本项目评标过程实行全程录音、录像监控，投标人在评标过程中所进行的试图影响评标结果的不公正活动，可能导致其投标被拒绝。</w:t>
      </w:r>
    </w:p>
    <w:p w14:paraId="0BD5E8AB">
      <w:pPr>
        <w:snapToGrid w:val="0"/>
        <w:spacing w:after="240" w:line="276" w:lineRule="auto"/>
        <w:jc w:val="center"/>
        <w:rPr>
          <w:rFonts w:hint="eastAsia" w:ascii="宋体" w:hAnsi="宋体" w:eastAsia="宋体" w:cs="宋体"/>
          <w:b/>
          <w:color w:val="auto"/>
          <w:sz w:val="28"/>
          <w:szCs w:val="30"/>
          <w:highlight w:val="none"/>
        </w:rPr>
      </w:pPr>
    </w:p>
    <w:p w14:paraId="45367639">
      <w:pPr>
        <w:snapToGrid w:val="0"/>
        <w:spacing w:after="240" w:line="276" w:lineRule="auto"/>
        <w:jc w:val="center"/>
        <w:rPr>
          <w:rFonts w:hint="eastAsia" w:ascii="宋体" w:hAnsi="宋体" w:eastAsia="宋体" w:cs="宋体"/>
          <w:b/>
          <w:color w:val="auto"/>
          <w:sz w:val="28"/>
          <w:szCs w:val="30"/>
          <w:highlight w:val="none"/>
        </w:rPr>
      </w:pPr>
      <w:r>
        <w:rPr>
          <w:rFonts w:hint="eastAsia" w:ascii="宋体" w:hAnsi="宋体" w:eastAsia="宋体" w:cs="宋体"/>
          <w:b/>
          <w:color w:val="auto"/>
          <w:sz w:val="28"/>
          <w:szCs w:val="30"/>
          <w:highlight w:val="none"/>
        </w:rPr>
        <w:t>六、废标</w:t>
      </w:r>
    </w:p>
    <w:p w14:paraId="01FF4EE7">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（一）根据《中华人民共和国政府采购法》第三十六条，出现下列情形之一的，应予以废标：</w:t>
      </w:r>
    </w:p>
    <w:p w14:paraId="6C275B58">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1、符合专业条件的供应商或者对招标文件作实质响应的供应商不足三家的；</w:t>
      </w:r>
    </w:p>
    <w:p w14:paraId="2685A394">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2、出现影响采购公正的违法、违规行为的；</w:t>
      </w:r>
    </w:p>
    <w:p w14:paraId="2379A24E">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3、投标人的报价均超过了采购预算，采购人不能支付的；</w:t>
      </w:r>
    </w:p>
    <w:p w14:paraId="4AF4010F">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4、因重大变故，采购任务取消的。</w:t>
      </w:r>
    </w:p>
    <w:p w14:paraId="52E1A671">
      <w:pPr>
        <w:pStyle w:val="12"/>
        <w:snapToGrid w:val="0"/>
        <w:spacing w:line="360" w:lineRule="auto"/>
        <w:ind w:firstLine="520" w:firstLineChars="24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废标后，采购人应当将废标理由通知所有投标人，废标后，除采购任务取消情形外，应当重新组织招标。</w:t>
      </w:r>
    </w:p>
    <w:p w14:paraId="486C3FF6">
      <w:pPr>
        <w:pStyle w:val="36"/>
        <w:snapToGrid w:val="0"/>
        <w:spacing w:line="360" w:lineRule="auto"/>
        <w:ind w:right="-87" w:firstLine="0"/>
        <w:jc w:val="center"/>
        <w:outlineLvl w:val="1"/>
        <w:rPr>
          <w:rFonts w:hint="eastAsia" w:ascii="宋体" w:hAnsi="宋体" w:eastAsia="宋体" w:cs="宋体"/>
          <w:b/>
          <w:color w:val="auto"/>
          <w:sz w:val="28"/>
          <w:highlight w:val="none"/>
        </w:rPr>
      </w:pPr>
    </w:p>
    <w:p w14:paraId="6F995F63">
      <w:pPr>
        <w:pStyle w:val="36"/>
        <w:snapToGrid w:val="0"/>
        <w:spacing w:line="360" w:lineRule="auto"/>
        <w:ind w:right="-87" w:firstLine="0"/>
        <w:jc w:val="center"/>
        <w:outlineLvl w:val="1"/>
        <w:rPr>
          <w:rFonts w:hint="eastAsia" w:ascii="宋体" w:hAnsi="宋体" w:eastAsia="宋体" w:cs="宋体"/>
          <w:b/>
          <w:color w:val="auto"/>
          <w:sz w:val="28"/>
          <w:highlight w:val="none"/>
        </w:rPr>
      </w:pPr>
      <w:r>
        <w:rPr>
          <w:rFonts w:hint="eastAsia" w:ascii="宋体" w:hAnsi="宋体" w:eastAsia="宋体" w:cs="宋体"/>
          <w:b/>
          <w:color w:val="auto"/>
          <w:sz w:val="28"/>
          <w:highlight w:val="none"/>
        </w:rPr>
        <w:t>七、定标</w:t>
      </w:r>
    </w:p>
    <w:p w14:paraId="28EB8E1E">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（一）确定中标人。本项目由采购人事先授权评审小组确定中标候选人3名。推荐第一名中标候选人为中标人，经采购人确认后，确定项目中标人，同时发布采购结果公告，发出中标通知书。</w:t>
      </w:r>
    </w:p>
    <w:p w14:paraId="55FF370B">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1.采购代理机构在评标结束后在2个工作日内将评审报告交采购人确认。</w:t>
      </w:r>
    </w:p>
    <w:p w14:paraId="62553F71">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2.投标人对评审结果无异议的，采购人应在收到评审报告后5个工作日内对评审结果进行确认。如有投标人对评审结果提出质疑的，采购人可在质疑处理完毕后确定中标人。</w:t>
      </w:r>
    </w:p>
    <w:p w14:paraId="1406CBA1">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3.采购人依法确定中标人后2个工作日内，采购代理机构以书面形式发出《中标通知书》,并同时在相关网站上发布中标公告。</w:t>
      </w:r>
    </w:p>
    <w:p w14:paraId="20C785D7">
      <w:pPr>
        <w:pStyle w:val="12"/>
        <w:snapToGrid w:val="0"/>
        <w:spacing w:line="360" w:lineRule="auto"/>
        <w:ind w:firstLine="415" w:firstLineChars="198"/>
        <w:rPr>
          <w:rFonts w:hint="eastAsia" w:ascii="宋体" w:hAnsi="宋体" w:eastAsia="宋体" w:cs="宋体"/>
          <w:b/>
          <w:color w:val="auto"/>
          <w:sz w:val="28"/>
          <w:highlight w:val="none"/>
        </w:rPr>
      </w:pPr>
      <w:r>
        <w:rPr>
          <w:rFonts w:hint="eastAsia" w:ascii="宋体" w:hAnsi="宋体" w:eastAsia="宋体" w:cs="宋体"/>
          <w:color w:val="auto"/>
          <w:sz w:val="21"/>
          <w:szCs w:val="21"/>
          <w:highlight w:val="none"/>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14:paraId="7474B482">
      <w:pPr>
        <w:pStyle w:val="36"/>
        <w:snapToGrid w:val="0"/>
        <w:spacing w:line="360" w:lineRule="auto"/>
        <w:ind w:right="-87" w:firstLine="0"/>
        <w:jc w:val="center"/>
        <w:outlineLvl w:val="1"/>
        <w:rPr>
          <w:rFonts w:hint="eastAsia" w:ascii="宋体" w:hAnsi="宋体" w:eastAsia="宋体" w:cs="宋体"/>
          <w:b/>
          <w:color w:val="auto"/>
          <w:sz w:val="28"/>
          <w:highlight w:val="none"/>
        </w:rPr>
      </w:pPr>
    </w:p>
    <w:p w14:paraId="5C670385">
      <w:pPr>
        <w:pStyle w:val="36"/>
        <w:snapToGrid w:val="0"/>
        <w:spacing w:line="360" w:lineRule="auto"/>
        <w:ind w:right="-87" w:firstLine="0"/>
        <w:jc w:val="center"/>
        <w:outlineLvl w:val="1"/>
        <w:rPr>
          <w:rFonts w:hint="eastAsia" w:ascii="宋体" w:hAnsi="宋体" w:eastAsia="宋体" w:cs="宋体"/>
          <w:b/>
          <w:color w:val="auto"/>
          <w:szCs w:val="21"/>
          <w:highlight w:val="none"/>
        </w:rPr>
      </w:pPr>
      <w:r>
        <w:rPr>
          <w:rFonts w:hint="eastAsia" w:ascii="宋体" w:hAnsi="宋体" w:eastAsia="宋体" w:cs="宋体"/>
          <w:b/>
          <w:color w:val="auto"/>
          <w:sz w:val="28"/>
          <w:highlight w:val="none"/>
        </w:rPr>
        <w:t>八、合同授予</w:t>
      </w:r>
    </w:p>
    <w:p w14:paraId="15ADE58E">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（一）签订合同</w:t>
      </w:r>
    </w:p>
    <w:p w14:paraId="3D06E5CF">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中标人应自中标通知书发出之日起30日内与采购人签订合同</w:t>
      </w:r>
      <w:r>
        <w:rPr>
          <w:rFonts w:hint="eastAsia" w:ascii="宋体" w:hAnsi="宋体" w:eastAsia="宋体" w:cs="宋体"/>
          <w:color w:val="auto"/>
          <w:sz w:val="21"/>
          <w:szCs w:val="21"/>
          <w:highlight w:val="none"/>
        </w:rPr>
        <w:t>。同时，采购代理机构对合同内容进行审查，如发现与采购结果和投标承诺内容不一致的，应予以纠正。</w:t>
      </w:r>
    </w:p>
    <w:p w14:paraId="195E4253">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2、中标人拖延、拒签合同的，将上报监管部门并取消中标资格。</w:t>
      </w:r>
    </w:p>
    <w:p w14:paraId="79B88959">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3、中标人和采购人签订合同，按合同规定的对应的服务。</w:t>
      </w:r>
    </w:p>
    <w:p w14:paraId="014573BD">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4889D095">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（二）合同公告</w:t>
      </w:r>
    </w:p>
    <w:p w14:paraId="7580F4C4">
      <w:pPr>
        <w:pStyle w:val="12"/>
        <w:snapToGrid w:val="0"/>
        <w:spacing w:line="360" w:lineRule="auto"/>
        <w:ind w:firstLine="415" w:firstLineChars="19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采购人应当自政府采购合同签订之日起2个工作日内，将政府采购合同在省级以上人民政府财政部门指定的媒体上公告，但政府采购合同中涉及国家秘密、商业秘密的内容除外。</w:t>
      </w:r>
      <w:bookmarkStart w:id="6" w:name="_Toc480187579"/>
    </w:p>
    <w:p w14:paraId="3A5973F0">
      <w:pPr>
        <w:pStyle w:val="36"/>
        <w:snapToGrid w:val="0"/>
        <w:spacing w:line="360" w:lineRule="auto"/>
        <w:ind w:right="-87" w:firstLine="3483" w:firstLineChars="1239"/>
        <w:outlineLvl w:val="1"/>
        <w:rPr>
          <w:rFonts w:hint="eastAsia" w:ascii="宋体" w:hAnsi="宋体" w:eastAsia="宋体" w:cs="宋体"/>
          <w:b/>
          <w:color w:val="auto"/>
          <w:sz w:val="28"/>
          <w:highlight w:val="none"/>
        </w:rPr>
      </w:pPr>
    </w:p>
    <w:p w14:paraId="255C2777">
      <w:pPr>
        <w:pStyle w:val="36"/>
        <w:snapToGrid w:val="0"/>
        <w:spacing w:line="360" w:lineRule="auto"/>
        <w:ind w:right="-87" w:firstLine="3483" w:firstLineChars="1239"/>
        <w:outlineLvl w:val="1"/>
        <w:rPr>
          <w:rFonts w:hint="eastAsia" w:ascii="宋体" w:hAnsi="宋体" w:eastAsia="宋体" w:cs="宋体"/>
          <w:b/>
          <w:color w:val="auto"/>
          <w:sz w:val="28"/>
          <w:highlight w:val="none"/>
        </w:rPr>
      </w:pPr>
      <w:bookmarkStart w:id="9" w:name="_GoBack"/>
      <w:bookmarkEnd w:id="9"/>
    </w:p>
    <w:p w14:paraId="311412B5">
      <w:pPr>
        <w:pStyle w:val="36"/>
        <w:snapToGrid w:val="0"/>
        <w:spacing w:line="360" w:lineRule="auto"/>
        <w:ind w:right="-87" w:firstLine="3483" w:firstLineChars="1239"/>
        <w:outlineLvl w:val="1"/>
        <w:rPr>
          <w:rFonts w:hint="eastAsia" w:ascii="宋体" w:hAnsi="宋体" w:eastAsia="宋体" w:cs="宋体"/>
          <w:b/>
          <w:color w:val="auto"/>
          <w:sz w:val="28"/>
          <w:highlight w:val="none"/>
        </w:rPr>
      </w:pPr>
      <w:r>
        <w:rPr>
          <w:rFonts w:hint="eastAsia" w:ascii="宋体" w:hAnsi="宋体" w:eastAsia="宋体" w:cs="宋体"/>
          <w:b/>
          <w:color w:val="auto"/>
          <w:sz w:val="28"/>
          <w:highlight w:val="none"/>
        </w:rPr>
        <w:t>九、政府采购政策</w:t>
      </w:r>
    </w:p>
    <w:p w14:paraId="4DA33DD6">
      <w:pPr>
        <w:tabs>
          <w:tab w:val="left" w:pos="518"/>
        </w:tabs>
        <w:adjustRightIn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1.政府采购活动中有关中小企业的相关规定（采购进口产品的项目不适用）</w:t>
      </w:r>
    </w:p>
    <w:p w14:paraId="3AFE2352">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cs="宋体"/>
          <w:b w:val="0"/>
          <w:bCs/>
          <w:color w:val="auto"/>
          <w:szCs w:val="21"/>
          <w:highlight w:val="none"/>
          <w:lang w:val="en-US" w:eastAsia="zh-CN"/>
        </w:rPr>
        <w:t>1.1</w:t>
      </w:r>
      <w:r>
        <w:rPr>
          <w:rFonts w:hint="eastAsia" w:ascii="宋体" w:hAnsi="宋体" w:eastAsia="宋体" w:cs="宋体"/>
          <w:b w:val="0"/>
          <w:bCs/>
          <w:color w:val="auto"/>
          <w:szCs w:val="21"/>
          <w:highlight w:val="none"/>
        </w:rPr>
        <w:t>本办法所称的中小企业，是指在中华人民共和国境内依法设立，依据国务院批准的中小企业划分标准确定的中型企业、小型企业和微型企业，但与大企业的负责人为同一人，或者与大企业存在直接控股、管理关系的除外。</w:t>
      </w:r>
    </w:p>
    <w:p w14:paraId="3E004C2F">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符合中小企业划分标准的个体工商户，在政府采购活动中视同中小企业。</w:t>
      </w:r>
    </w:p>
    <w:p w14:paraId="4967FD5A">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eastAsia="宋体" w:cs="宋体"/>
          <w:b w:val="0"/>
          <w:bCs/>
          <w:color w:val="auto"/>
          <w:szCs w:val="21"/>
          <w:highlight w:val="none"/>
        </w:rPr>
        <w:t>在政府采购活动中，供应商提供的货物、工程或者服务符合下列情形的，享受本办法规定的中小企业扶持政策：</w:t>
      </w:r>
    </w:p>
    <w:p w14:paraId="47561A5A">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在货物采购项目中，货物由中小企业制造，即货物由中小企业生产且使用该中小企业商号或者注册商标；</w:t>
      </w:r>
    </w:p>
    <w:p w14:paraId="392BE19D">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在工程采购项目中，工程由中小企业承建，即工程施工单位为中小企业；</w:t>
      </w:r>
    </w:p>
    <w:p w14:paraId="6AFDB614">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在服务采购项目中，服务由中小企业承建，即提供服务的人员为中小企业依照《中华人民共和国劳动合同法》订立劳动合同的从业人员。</w:t>
      </w:r>
    </w:p>
    <w:p w14:paraId="2332BB3C">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Times New Roman" w:hAnsi="Times New Roman" w:cs="Times New Roman"/>
          <w:b w:val="0"/>
          <w:bCs/>
          <w:color w:val="auto"/>
          <w:highlight w:val="none"/>
        </w:rPr>
      </w:pPr>
      <w:r>
        <w:rPr>
          <w:rFonts w:hint="eastAsia" w:ascii="宋体" w:hAnsi="宋体" w:eastAsia="宋体" w:cs="宋体"/>
          <w:b w:val="0"/>
          <w:bCs/>
          <w:color w:val="auto"/>
          <w:szCs w:val="21"/>
          <w:highlight w:val="none"/>
        </w:rPr>
        <w:t>在货物采购项目中，供应商提供的货物既有中小企业制造货物，也有大型企业制造货物的，不享受本办法规定的中小企业扶持政策。</w:t>
      </w:r>
    </w:p>
    <w:p w14:paraId="23691390">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cs="宋体"/>
          <w:b w:val="0"/>
          <w:bCs/>
          <w:color w:val="auto"/>
          <w:szCs w:val="21"/>
          <w:highlight w:val="none"/>
          <w:lang w:val="en-US" w:eastAsia="zh-CN"/>
        </w:rPr>
        <w:t>1.3</w:t>
      </w:r>
      <w:r>
        <w:rPr>
          <w:rFonts w:hint="eastAsia" w:ascii="宋体" w:hAnsi="宋体" w:eastAsia="宋体" w:cs="宋体"/>
          <w:b w:val="0"/>
          <w:bCs/>
          <w:color w:val="auto"/>
          <w:szCs w:val="21"/>
          <w:highlight w:val="none"/>
        </w:rPr>
        <w:t>符合财政部司法部关于政府采购支持监狱企业发展有关问题的通知（财库〔2014〕68号）的监狱企业、符合财政部民政部中国残疾人联合会关于促进残疾人就业政府采购政策的通知（财库〔2017〕141号）的残疾人福利性单位，在政府采购活动中，视同小型、微型企业的，不重复享受政策。</w:t>
      </w:r>
    </w:p>
    <w:p w14:paraId="0792E939">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cs="宋体"/>
          <w:b w:val="0"/>
          <w:bCs/>
          <w:color w:val="auto"/>
          <w:szCs w:val="21"/>
          <w:highlight w:val="none"/>
          <w:lang w:val="en-US" w:eastAsia="zh-CN"/>
        </w:rPr>
        <w:t>1.4</w:t>
      </w:r>
      <w:r>
        <w:rPr>
          <w:rFonts w:hint="eastAsia" w:ascii="宋体" w:hAnsi="宋体" w:eastAsia="宋体" w:cs="宋体"/>
          <w:b w:val="0"/>
          <w:bCs/>
          <w:color w:val="auto"/>
          <w:szCs w:val="21"/>
          <w:highlight w:val="none"/>
        </w:rPr>
        <w:t>依据本办法规定享受扶持政策获得政府采购合同的，小微企业不得将合同分包给大中型企业，中型企业不得将合同分包给大型企业。</w:t>
      </w:r>
    </w:p>
    <w:p w14:paraId="7108CA40">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eastAsia" w:ascii="Times New Roman" w:hAnsi="Times New Roman" w:cs="Times New Roman"/>
          <w:b w:val="0"/>
          <w:bCs/>
          <w:color w:val="auto"/>
          <w:highlight w:val="none"/>
        </w:rPr>
      </w:pPr>
      <w:r>
        <w:rPr>
          <w:rFonts w:hint="eastAsia" w:ascii="宋体" w:hAnsi="宋体" w:cs="宋体"/>
          <w:b w:val="0"/>
          <w:bCs/>
          <w:color w:val="auto"/>
          <w:szCs w:val="21"/>
          <w:highlight w:val="none"/>
          <w:lang w:val="en-US" w:eastAsia="zh-CN"/>
        </w:rPr>
        <w:t>1.5</w:t>
      </w:r>
      <w:r>
        <w:rPr>
          <w:rFonts w:hint="eastAsia" w:ascii="宋体" w:hAnsi="宋体" w:eastAsia="宋体" w:cs="宋体"/>
          <w:b w:val="0"/>
          <w:bCs/>
          <w:color w:val="auto"/>
          <w:szCs w:val="21"/>
          <w:highlight w:val="none"/>
        </w:rPr>
        <w:t>本项目中小企业扶持政策</w:t>
      </w:r>
    </w:p>
    <w:p w14:paraId="7AE0E54E">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cs="宋体"/>
          <w:b w:val="0"/>
          <w:bCs/>
          <w:color w:val="auto"/>
          <w:szCs w:val="21"/>
          <w:highlight w:val="none"/>
          <w:lang w:eastAsia="zh-CN"/>
        </w:rPr>
      </w:pPr>
      <w:r>
        <w:rPr>
          <w:rFonts w:hint="eastAsia" w:ascii="宋体" w:hAnsi="宋体" w:eastAsia="宋体" w:cs="宋体"/>
          <w:b w:val="0"/>
          <w:bCs/>
          <w:color w:val="auto"/>
          <w:szCs w:val="21"/>
          <w:highlight w:val="none"/>
        </w:rPr>
        <w:t>【评审中价格扣除政策】根据相关规定，本项目对符合本办法规定的小微企业报价给予10%的扣除，用扣除后的价格参加评审</w:t>
      </w:r>
      <w:r>
        <w:rPr>
          <w:rFonts w:hint="eastAsia" w:ascii="宋体" w:hAnsi="宋体" w:cs="宋体"/>
          <w:b w:val="0"/>
          <w:bCs/>
          <w:color w:val="auto"/>
          <w:szCs w:val="21"/>
          <w:highlight w:val="none"/>
          <w:lang w:eastAsia="zh-CN"/>
        </w:rPr>
        <w:t>；对于联合体协议约定小微企业的合同份额占到合同总金额30%以上的，对联合体或者大中型企业的报价原则上按最高优惠幅度6%给予扣除，用扣除后的价格参加评审：</w:t>
      </w:r>
    </w:p>
    <w:p w14:paraId="107C7D88">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投标人须提供《中小企业声明函》</w:t>
      </w:r>
      <w:r>
        <w:rPr>
          <w:rFonts w:hint="eastAsia" w:ascii="宋体" w:hAnsi="宋体" w:cs="宋体"/>
          <w:b w:val="0"/>
          <w:bCs/>
          <w:color w:val="auto"/>
          <w:szCs w:val="21"/>
          <w:highlight w:val="none"/>
          <w:lang w:eastAsia="zh-CN"/>
        </w:rPr>
        <w:t>；</w:t>
      </w:r>
      <w:r>
        <w:rPr>
          <w:rFonts w:hint="eastAsia" w:ascii="宋体" w:hAnsi="宋体" w:eastAsia="宋体" w:cs="宋体"/>
          <w:b w:val="0"/>
          <w:bCs/>
          <w:color w:val="auto"/>
          <w:szCs w:val="21"/>
          <w:highlight w:val="none"/>
        </w:rPr>
        <w:t>监狱企业须提供省级以上监狱管理局、戒毒管理局（含新疆生产建设兵团）出具的属于监狱企业的证明文件；残疾人福利性单位须提供《残疾人福利性单位声明函》（见投标文件相关格式）附在投标报价文件内，否则不享受价格扣除优惠政策。</w:t>
      </w:r>
    </w:p>
    <w:p w14:paraId="573985EC">
      <w:pPr>
        <w:keepNext w:val="0"/>
        <w:keepLines w:val="0"/>
        <w:pageBreakBefore w:val="0"/>
        <w:widowControl w:val="0"/>
        <w:numPr>
          <w:ilvl w:val="0"/>
          <w:numId w:val="0"/>
        </w:numPr>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b w:val="0"/>
          <w:bCs/>
          <w:color w:val="auto"/>
          <w:szCs w:val="21"/>
          <w:highlight w:val="none"/>
          <w:lang w:val="en-US" w:eastAsia="zh-CN"/>
        </w:rPr>
      </w:pPr>
      <w:r>
        <w:rPr>
          <w:rFonts w:hint="eastAsia" w:ascii="宋体" w:hAnsi="宋体" w:cs="宋体"/>
          <w:b w:val="0"/>
          <w:bCs/>
          <w:color w:val="auto"/>
          <w:kern w:val="0"/>
          <w:szCs w:val="21"/>
          <w:highlight w:val="none"/>
        </w:rPr>
        <w:t>以联合体形式参加的还须提供《联合</w:t>
      </w:r>
      <w:r>
        <w:rPr>
          <w:rFonts w:hint="eastAsia" w:ascii="宋体" w:hAnsi="宋体" w:cs="宋体"/>
          <w:b w:val="0"/>
          <w:bCs/>
          <w:color w:val="auto"/>
          <w:kern w:val="0"/>
          <w:szCs w:val="21"/>
          <w:highlight w:val="none"/>
          <w:lang w:val="en-US" w:eastAsia="zh-CN"/>
        </w:rPr>
        <w:t>体</w:t>
      </w:r>
      <w:r>
        <w:rPr>
          <w:rFonts w:hint="eastAsia" w:ascii="宋体" w:hAnsi="宋体" w:cs="宋体"/>
          <w:b w:val="0"/>
          <w:bCs/>
          <w:color w:val="auto"/>
          <w:kern w:val="0"/>
          <w:szCs w:val="21"/>
          <w:highlight w:val="none"/>
        </w:rPr>
        <w:t>协议》，明确联合协议中中小企业合同金额应当达到合同总额的</w:t>
      </w:r>
      <w:r>
        <w:rPr>
          <w:rFonts w:hint="eastAsia" w:ascii="宋体" w:hAnsi="宋体" w:cs="宋体"/>
          <w:b w:val="0"/>
          <w:bCs/>
          <w:color w:val="auto"/>
          <w:kern w:val="0"/>
          <w:szCs w:val="21"/>
          <w:highlight w:val="none"/>
          <w:lang w:val="en-US" w:eastAsia="zh-CN"/>
        </w:rPr>
        <w:t>3</w:t>
      </w:r>
      <w:r>
        <w:rPr>
          <w:rFonts w:hint="eastAsia" w:ascii="宋体" w:hAnsi="宋体" w:cs="宋体"/>
          <w:b w:val="0"/>
          <w:bCs/>
          <w:color w:val="auto"/>
          <w:kern w:val="0"/>
          <w:szCs w:val="21"/>
          <w:highlight w:val="none"/>
        </w:rPr>
        <w:t>0%以上，组成联合体的中小企业与联合体内其他企业之间不得存在直接控股、管理关系，否则不享受预留份额政策。</w:t>
      </w:r>
      <w:r>
        <w:rPr>
          <w:rFonts w:hint="eastAsia" w:ascii="宋体" w:hAnsi="宋体" w:eastAsia="宋体" w:cs="宋体"/>
          <w:b w:val="0"/>
          <w:bCs/>
          <w:color w:val="auto"/>
          <w:szCs w:val="21"/>
          <w:highlight w:val="none"/>
          <w:lang w:val="en-US" w:eastAsia="zh-CN"/>
        </w:rPr>
        <w:t>联合体各方均为小型、微型企业的，联合体视同为小型、微型企业。组成联合体的大中型企业和其他自然人、法人或者其他组织，与小型、微型企业之间不得存在投资关系。</w:t>
      </w:r>
    </w:p>
    <w:p w14:paraId="419CFE51">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注：参加本项目投标的供应商不能重复享受价格扣除优惠政策。</w:t>
      </w:r>
    </w:p>
    <w:p w14:paraId="2C617B3F">
      <w:pPr>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2.信贷政策</w:t>
      </w:r>
    </w:p>
    <w:p w14:paraId="2E2280C3">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3"/>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3960"/>
        <w:gridCol w:w="2115"/>
        <w:gridCol w:w="1908"/>
      </w:tblGrid>
      <w:tr w14:paraId="359C5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noWrap w:val="0"/>
            <w:vAlign w:val="center"/>
          </w:tcPr>
          <w:p w14:paraId="16F8A16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舟山市政府采购信用融资合作银行</w:t>
            </w:r>
          </w:p>
        </w:tc>
      </w:tr>
      <w:tr w14:paraId="429F8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580" w:type="dxa"/>
            <w:noWrap w:val="0"/>
            <w:vAlign w:val="center"/>
          </w:tcPr>
          <w:p w14:paraId="2C1D232F">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银行名称</w:t>
            </w:r>
          </w:p>
        </w:tc>
        <w:tc>
          <w:tcPr>
            <w:tcW w:w="3960" w:type="dxa"/>
            <w:noWrap w:val="0"/>
            <w:vAlign w:val="center"/>
          </w:tcPr>
          <w:p w14:paraId="05EB0EC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各银行介绍的</w:t>
            </w:r>
            <w:r>
              <w:rPr>
                <w:rFonts w:hint="eastAsia" w:ascii="宋体" w:hAnsi="宋体" w:eastAsia="宋体" w:cs="宋体"/>
                <w:color w:val="auto"/>
                <w:sz w:val="21"/>
                <w:szCs w:val="21"/>
                <w:highlight w:val="none"/>
              </w:rPr>
              <w:t>产品特点</w:t>
            </w:r>
          </w:p>
        </w:tc>
        <w:tc>
          <w:tcPr>
            <w:tcW w:w="2115" w:type="dxa"/>
            <w:noWrap w:val="0"/>
            <w:vAlign w:val="center"/>
          </w:tcPr>
          <w:p w14:paraId="340E7AC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经办人</w:t>
            </w:r>
          </w:p>
        </w:tc>
        <w:tc>
          <w:tcPr>
            <w:tcW w:w="1908" w:type="dxa"/>
            <w:noWrap w:val="0"/>
            <w:vAlign w:val="center"/>
          </w:tcPr>
          <w:p w14:paraId="6313E326">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联系方式</w:t>
            </w:r>
          </w:p>
        </w:tc>
      </w:tr>
      <w:tr w14:paraId="634CB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noWrap w:val="0"/>
            <w:vAlign w:val="center"/>
          </w:tcPr>
          <w:p w14:paraId="7BEB70AE">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中国工商银行股份有限公司舟山分行</w:t>
            </w:r>
          </w:p>
        </w:tc>
        <w:tc>
          <w:tcPr>
            <w:tcW w:w="3960" w:type="dxa"/>
            <w:noWrap w:val="0"/>
            <w:vAlign w:val="top"/>
          </w:tcPr>
          <w:p w14:paraId="747B90CA">
            <w:pPr>
              <w:keepNext w:val="0"/>
              <w:keepLines w:val="0"/>
              <w:pageBreakBefore w:val="0"/>
              <w:widowControl w:val="0"/>
              <w:numPr>
                <w:ilvl w:val="0"/>
                <w:numId w:val="9"/>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融资额度高，融资金额最高可至订单金额70%，线上申请，随借随还。</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融资利率低，最低可至当期LPR利率。</w:t>
            </w:r>
          </w:p>
          <w:p w14:paraId="7ACE3DA2">
            <w:pPr>
              <w:keepNext w:val="0"/>
              <w:keepLines w:val="0"/>
              <w:pageBreakBefore w:val="0"/>
              <w:widowControl w:val="0"/>
              <w:numPr>
                <w:ilvl w:val="0"/>
                <w:numId w:val="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担保方式灵活，以政府采购合同进行融资，无需另外抵押。</w:t>
            </w:r>
          </w:p>
        </w:tc>
        <w:tc>
          <w:tcPr>
            <w:tcW w:w="2115" w:type="dxa"/>
            <w:noWrap w:val="0"/>
            <w:vAlign w:val="center"/>
          </w:tcPr>
          <w:p w14:paraId="4C65042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柳超颖</w:t>
            </w:r>
          </w:p>
        </w:tc>
        <w:tc>
          <w:tcPr>
            <w:tcW w:w="1908" w:type="dxa"/>
            <w:noWrap w:val="0"/>
            <w:vAlign w:val="center"/>
          </w:tcPr>
          <w:p w14:paraId="196D5505">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 xml:space="preserve">0580-2166242, </w:t>
            </w:r>
            <w:r>
              <w:rPr>
                <w:rFonts w:hint="eastAsia" w:ascii="宋体" w:hAnsi="宋体" w:eastAsia="宋体" w:cs="宋体"/>
                <w:color w:val="auto"/>
                <w:sz w:val="21"/>
                <w:szCs w:val="21"/>
                <w:highlight w:val="none"/>
              </w:rPr>
              <w:t>15858076468</w:t>
            </w:r>
          </w:p>
        </w:tc>
      </w:tr>
      <w:tr w14:paraId="5A4F5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580" w:type="dxa"/>
            <w:noWrap w:val="0"/>
            <w:vAlign w:val="center"/>
          </w:tcPr>
          <w:p w14:paraId="068869D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中国建设银行股份有限公司舟山分行</w:t>
            </w:r>
          </w:p>
        </w:tc>
        <w:tc>
          <w:tcPr>
            <w:tcW w:w="3960" w:type="dxa"/>
            <w:noWrap w:val="0"/>
            <w:vAlign w:val="top"/>
          </w:tcPr>
          <w:p w14:paraId="216ED150">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快速便捷：全流程线上操作，通过浙江省政府采购网数据审核信用额度，建行供应链平台快速放款。</w:t>
            </w:r>
          </w:p>
          <w:p w14:paraId="317B731A">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申请额度高：单笔融资额度最高可达政府采购合同金额的90%，单户额度最高可达3000万。</w:t>
            </w:r>
          </w:p>
          <w:p w14:paraId="0A7398EF">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无需额外抵押：以浙江省政府采购网备案公示的政府采购合同进行融资，无需额外抵押担保。</w:t>
            </w:r>
          </w:p>
          <w:p w14:paraId="755F8466">
            <w:pPr>
              <w:keepNext w:val="0"/>
              <w:keepLines w:val="0"/>
              <w:pageBreakBefore w:val="0"/>
              <w:widowControl w:val="0"/>
              <w:numPr>
                <w:ilvl w:val="0"/>
                <w:numId w:val="10"/>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利率优惠：给予流动资金贷款最优惠利率。</w:t>
            </w:r>
          </w:p>
        </w:tc>
        <w:tc>
          <w:tcPr>
            <w:tcW w:w="2115" w:type="dxa"/>
            <w:noWrap w:val="0"/>
            <w:vAlign w:val="center"/>
          </w:tcPr>
          <w:p w14:paraId="3A130015">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普陀片区：蔡妮妮</w:t>
            </w:r>
          </w:p>
          <w:p w14:paraId="672A892F">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定海片区：杨莹</w:t>
            </w:r>
          </w:p>
          <w:p w14:paraId="6E497635">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自贸区片区：</w:t>
            </w:r>
            <w:r>
              <w:rPr>
                <w:rFonts w:hint="eastAsia" w:ascii="宋体" w:hAnsi="宋体" w:eastAsia="宋体" w:cs="宋体"/>
                <w:color w:val="auto"/>
                <w:sz w:val="21"/>
                <w:szCs w:val="21"/>
                <w:highlight w:val="none"/>
                <w:lang w:eastAsia="zh-CN"/>
              </w:rPr>
              <w:t>方晓</w:t>
            </w:r>
          </w:p>
        </w:tc>
        <w:tc>
          <w:tcPr>
            <w:tcW w:w="1908" w:type="dxa"/>
            <w:noWrap w:val="0"/>
            <w:vAlign w:val="center"/>
          </w:tcPr>
          <w:p w14:paraId="49B4CF3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普陀片区：13957201791</w:t>
            </w:r>
          </w:p>
          <w:p w14:paraId="36C393B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定海片区：13655803997</w:t>
            </w:r>
          </w:p>
          <w:p w14:paraId="718648F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自贸区片区：</w:t>
            </w:r>
            <w:r>
              <w:rPr>
                <w:rFonts w:hint="eastAsia" w:ascii="宋体" w:hAnsi="宋体" w:eastAsia="宋体" w:cs="宋体"/>
                <w:color w:val="auto"/>
                <w:sz w:val="21"/>
                <w:szCs w:val="21"/>
                <w:highlight w:val="none"/>
                <w:lang w:val="en-US" w:eastAsia="zh-CN"/>
              </w:rPr>
              <w:t>13587086324</w:t>
            </w:r>
          </w:p>
        </w:tc>
      </w:tr>
      <w:tr w14:paraId="29F1F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noWrap w:val="0"/>
            <w:vAlign w:val="center"/>
          </w:tcPr>
          <w:p w14:paraId="4868C79E">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杭州银行股份有限公司舟山市分行</w:t>
            </w:r>
          </w:p>
        </w:tc>
        <w:tc>
          <w:tcPr>
            <w:tcW w:w="3960" w:type="dxa"/>
            <w:noWrap w:val="0"/>
            <w:vAlign w:val="top"/>
          </w:tcPr>
          <w:p w14:paraId="2105DBD6">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115" w:type="dxa"/>
            <w:noWrap w:val="0"/>
            <w:vAlign w:val="center"/>
          </w:tcPr>
          <w:p w14:paraId="407C0D9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方经理</w:t>
            </w:r>
          </w:p>
        </w:tc>
        <w:tc>
          <w:tcPr>
            <w:tcW w:w="1908" w:type="dxa"/>
            <w:noWrap w:val="0"/>
            <w:vAlign w:val="center"/>
          </w:tcPr>
          <w:p w14:paraId="510B6B95">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0580-2185201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18205800451</w:t>
            </w:r>
          </w:p>
        </w:tc>
      </w:tr>
      <w:tr w14:paraId="32307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noWrap w:val="0"/>
            <w:vAlign w:val="center"/>
          </w:tcPr>
          <w:p w14:paraId="77A9F548">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招商银行股份有限公司浙江自贸试验区舟山分行</w:t>
            </w:r>
          </w:p>
        </w:tc>
        <w:tc>
          <w:tcPr>
            <w:tcW w:w="3960" w:type="dxa"/>
            <w:noWrap w:val="0"/>
            <w:vAlign w:val="top"/>
          </w:tcPr>
          <w:p w14:paraId="6E6A93F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115" w:type="dxa"/>
            <w:noWrap w:val="0"/>
            <w:vAlign w:val="center"/>
          </w:tcPr>
          <w:p w14:paraId="33DB77D4">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李玲</w:t>
            </w:r>
          </w:p>
        </w:tc>
        <w:tc>
          <w:tcPr>
            <w:tcW w:w="1908" w:type="dxa"/>
            <w:noWrap w:val="0"/>
            <w:vAlign w:val="center"/>
          </w:tcPr>
          <w:p w14:paraId="19B2AD4D">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0580-2061710</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13957227971</w:t>
            </w:r>
          </w:p>
        </w:tc>
      </w:tr>
      <w:tr w14:paraId="3E957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1580" w:type="dxa"/>
            <w:noWrap w:val="0"/>
            <w:vAlign w:val="center"/>
          </w:tcPr>
          <w:p w14:paraId="500FCC7E">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温州银行股份有限公司舟山市分行</w:t>
            </w:r>
          </w:p>
        </w:tc>
        <w:tc>
          <w:tcPr>
            <w:tcW w:w="3960" w:type="dxa"/>
            <w:noWrap w:val="0"/>
            <w:vAlign w:val="top"/>
          </w:tcPr>
          <w:p w14:paraId="117CD7D4">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单</w:t>
            </w:r>
            <w:r>
              <w:rPr>
                <w:rFonts w:hint="eastAsia" w:ascii="宋体" w:hAnsi="宋体" w:eastAsia="宋体" w:cs="宋体"/>
                <w:color w:val="auto"/>
                <w:sz w:val="21"/>
                <w:szCs w:val="21"/>
                <w:highlight w:val="none"/>
              </w:rPr>
              <w:t>户授信敞口最高不超过1000万元，且最高额度核定一般不超过借款人（含实际控制人控制的其他经营实体）最近13个月合计有效中标合同金额的70%</w:t>
            </w:r>
            <w:r>
              <w:rPr>
                <w:rFonts w:hint="eastAsia" w:ascii="宋体" w:hAnsi="宋体" w:eastAsia="宋体" w:cs="宋体"/>
                <w:color w:val="auto"/>
                <w:sz w:val="21"/>
                <w:szCs w:val="21"/>
                <w:highlight w:val="none"/>
                <w:lang w:eastAsia="zh-CN"/>
              </w:rPr>
              <w:t>。</w:t>
            </w:r>
          </w:p>
          <w:p w14:paraId="299DCAF4">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单笔借款额度最高不超过1000万元，单笔业务授信额度不超过“政采云平台”提供的中标通知书承载的中标金额或本次申请授信提供的采购合同金额的80%，且用信金额不超过采购合同未付金额的80%</w:t>
            </w:r>
            <w:r>
              <w:rPr>
                <w:rFonts w:hint="eastAsia" w:ascii="宋体" w:hAnsi="宋体" w:eastAsia="宋体" w:cs="宋体"/>
                <w:color w:val="auto"/>
                <w:sz w:val="21"/>
                <w:szCs w:val="21"/>
                <w:highlight w:val="none"/>
                <w:lang w:eastAsia="zh-CN"/>
              </w:rPr>
              <w:t>。</w:t>
            </w:r>
          </w:p>
          <w:p w14:paraId="7FDDDC98">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借款人中标采购人自行采购项目并向我行发起授信申请的，单笔业务授信敞口不超500万元，且不超过借款人中标通知书承载的中标金额或本次申请授信提供的采购合同的80%。</w:t>
            </w:r>
          </w:p>
          <w:p w14:paraId="277392A9">
            <w:pPr>
              <w:keepNext w:val="0"/>
              <w:keepLines w:val="0"/>
              <w:pageBreakBefore w:val="0"/>
              <w:widowControl w:val="0"/>
              <w:numPr>
                <w:ilvl w:val="0"/>
                <w:numId w:val="11"/>
              </w:numPr>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符合我行采购人资质的，且负债率不超75%，配合应收账款质押登记确认的，并可出具确认函，单笔借款额度可按不超过采购合同的90%办理。</w:t>
            </w:r>
          </w:p>
        </w:tc>
        <w:tc>
          <w:tcPr>
            <w:tcW w:w="2115" w:type="dxa"/>
            <w:noWrap w:val="0"/>
            <w:vAlign w:val="center"/>
          </w:tcPr>
          <w:p w14:paraId="643DB986">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郑贤栋</w:t>
            </w:r>
          </w:p>
        </w:tc>
        <w:tc>
          <w:tcPr>
            <w:tcW w:w="1908" w:type="dxa"/>
            <w:noWrap w:val="0"/>
            <w:vAlign w:val="center"/>
          </w:tcPr>
          <w:p w14:paraId="4858470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058—8866086</w:t>
            </w:r>
          </w:p>
        </w:tc>
      </w:tr>
      <w:tr w14:paraId="36778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noWrap w:val="0"/>
            <w:vAlign w:val="center"/>
          </w:tcPr>
          <w:p w14:paraId="3830E1D5">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交通银行股份有限公司舟山分行</w:t>
            </w:r>
          </w:p>
        </w:tc>
        <w:tc>
          <w:tcPr>
            <w:tcW w:w="3960" w:type="dxa"/>
            <w:noWrap w:val="0"/>
            <w:vAlign w:val="top"/>
          </w:tcPr>
          <w:p w14:paraId="684359E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115" w:type="dxa"/>
            <w:noWrap w:val="0"/>
            <w:vAlign w:val="center"/>
          </w:tcPr>
          <w:p w14:paraId="1958C61E">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赵争艳</w:t>
            </w:r>
          </w:p>
        </w:tc>
        <w:tc>
          <w:tcPr>
            <w:tcW w:w="1908" w:type="dxa"/>
            <w:noWrap w:val="0"/>
            <w:vAlign w:val="center"/>
          </w:tcPr>
          <w:p w14:paraId="1BF871C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0580-2260728</w:t>
            </w:r>
          </w:p>
          <w:p w14:paraId="3D5CDD1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13758007280</w:t>
            </w:r>
          </w:p>
        </w:tc>
      </w:tr>
      <w:tr w14:paraId="44530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noWrap w:val="0"/>
            <w:vAlign w:val="center"/>
          </w:tcPr>
          <w:p w14:paraId="6193BB86">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中信银行股份有限公司舟山分行</w:t>
            </w:r>
          </w:p>
        </w:tc>
        <w:tc>
          <w:tcPr>
            <w:tcW w:w="3960" w:type="dxa"/>
            <w:noWrap w:val="0"/>
            <w:vAlign w:val="top"/>
          </w:tcPr>
          <w:p w14:paraId="26688C39">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115" w:type="dxa"/>
            <w:noWrap w:val="0"/>
            <w:vAlign w:val="center"/>
          </w:tcPr>
          <w:p w14:paraId="2F1E983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rPr>
              <w:t>黄丽</w:t>
            </w:r>
          </w:p>
        </w:tc>
        <w:tc>
          <w:tcPr>
            <w:tcW w:w="1908" w:type="dxa"/>
            <w:noWrap w:val="0"/>
            <w:vAlign w:val="center"/>
          </w:tcPr>
          <w:p w14:paraId="2E8F7F27">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rPr>
              <w:t>13905808032</w:t>
            </w:r>
          </w:p>
        </w:tc>
      </w:tr>
      <w:tr w14:paraId="00975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noWrap w:val="0"/>
            <w:vAlign w:val="center"/>
          </w:tcPr>
          <w:p w14:paraId="76AE209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泰隆银行舟山市分行</w:t>
            </w:r>
          </w:p>
        </w:tc>
        <w:tc>
          <w:tcPr>
            <w:tcW w:w="3960" w:type="dxa"/>
            <w:noWrap w:val="0"/>
            <w:vAlign w:val="top"/>
          </w:tcPr>
          <w:p w14:paraId="2D301B20">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115" w:type="dxa"/>
            <w:noWrap w:val="0"/>
            <w:vAlign w:val="center"/>
          </w:tcPr>
          <w:p w14:paraId="2534142A">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胡亢宇</w:t>
            </w:r>
          </w:p>
        </w:tc>
        <w:tc>
          <w:tcPr>
            <w:tcW w:w="1908" w:type="dxa"/>
            <w:noWrap w:val="0"/>
            <w:vAlign w:val="center"/>
          </w:tcPr>
          <w:p w14:paraId="4FF55C63">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17605868703</w:t>
            </w:r>
          </w:p>
        </w:tc>
      </w:tr>
      <w:tr w14:paraId="514D5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noWrap w:val="0"/>
            <w:vAlign w:val="center"/>
          </w:tcPr>
          <w:p w14:paraId="679049A3">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中国农业银行股份有限公司舟山分行</w:t>
            </w:r>
          </w:p>
        </w:tc>
        <w:tc>
          <w:tcPr>
            <w:tcW w:w="3960" w:type="dxa"/>
            <w:noWrap w:val="0"/>
            <w:vAlign w:val="top"/>
          </w:tcPr>
          <w:p w14:paraId="5115B073">
            <w:pPr>
              <w:keepNext w:val="0"/>
              <w:keepLines w:val="0"/>
              <w:pageBreakBefore w:val="0"/>
              <w:widowControl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115" w:type="dxa"/>
            <w:noWrap w:val="0"/>
            <w:vAlign w:val="center"/>
          </w:tcPr>
          <w:p w14:paraId="6EFABA8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苏华瞻</w:t>
            </w:r>
          </w:p>
        </w:tc>
        <w:tc>
          <w:tcPr>
            <w:tcW w:w="1908" w:type="dxa"/>
            <w:noWrap w:val="0"/>
            <w:vAlign w:val="center"/>
          </w:tcPr>
          <w:p w14:paraId="070BBCB4">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13967228926</w:t>
            </w:r>
          </w:p>
        </w:tc>
      </w:tr>
      <w:tr w14:paraId="6A1C6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noWrap w:val="0"/>
            <w:vAlign w:val="center"/>
          </w:tcPr>
          <w:p w14:paraId="42E9D8CC">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中国邮政储蓄银行股份有限公司舟山市分行</w:t>
            </w:r>
          </w:p>
        </w:tc>
        <w:tc>
          <w:tcPr>
            <w:tcW w:w="3960" w:type="dxa"/>
            <w:noWrap w:val="0"/>
            <w:vAlign w:val="top"/>
          </w:tcPr>
          <w:p w14:paraId="45A519DA">
            <w:pPr>
              <w:keepNext w:val="0"/>
              <w:keepLines w:val="0"/>
              <w:pageBreakBefore w:val="0"/>
              <w:widowControl w:val="0"/>
              <w:tabs>
                <w:tab w:val="left" w:pos="0"/>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符合我行基本准入，</w:t>
            </w:r>
            <w:r>
              <w:rPr>
                <w:rFonts w:hint="eastAsia" w:ascii="宋体" w:hAnsi="宋体" w:eastAsia="宋体" w:cs="宋体"/>
                <w:color w:val="auto"/>
                <w:sz w:val="21"/>
                <w:szCs w:val="21"/>
                <w:highlight w:val="none"/>
                <w:lang w:val="en-US" w:eastAsia="zh-CN"/>
              </w:rPr>
              <w:t>授信额度使用期最高为2年</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单户授信最高为500万</w:t>
            </w:r>
            <w:r>
              <w:rPr>
                <w:rFonts w:hint="eastAsia" w:ascii="宋体" w:hAnsi="宋体" w:eastAsia="宋体" w:cs="宋体"/>
                <w:color w:val="auto"/>
                <w:sz w:val="21"/>
                <w:szCs w:val="21"/>
                <w:highlight w:val="none"/>
              </w:rPr>
              <w:t>，担保方式享受信用贷款执行，利率最低可至当期LPR ，</w:t>
            </w:r>
            <w:r>
              <w:rPr>
                <w:rFonts w:hint="eastAsia" w:ascii="宋体" w:hAnsi="宋体" w:eastAsia="宋体" w:cs="宋体"/>
                <w:color w:val="auto"/>
                <w:sz w:val="21"/>
                <w:szCs w:val="21"/>
                <w:highlight w:val="none"/>
                <w:lang w:val="en-US" w:eastAsia="zh-CN"/>
              </w:rPr>
              <w:t>有无还本续贷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12月份线上产品可以自主自贷。</w:t>
            </w:r>
          </w:p>
        </w:tc>
        <w:tc>
          <w:tcPr>
            <w:tcW w:w="2115" w:type="dxa"/>
            <w:noWrap w:val="0"/>
            <w:vAlign w:val="center"/>
          </w:tcPr>
          <w:p w14:paraId="375682A2">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蒋志燕</w:t>
            </w:r>
          </w:p>
        </w:tc>
        <w:tc>
          <w:tcPr>
            <w:tcW w:w="1908" w:type="dxa"/>
            <w:noWrap w:val="0"/>
            <w:vAlign w:val="center"/>
          </w:tcPr>
          <w:p w14:paraId="1139DF23">
            <w:pPr>
              <w:keepNext w:val="0"/>
              <w:keepLines w:val="0"/>
              <w:pageBreakBefore w:val="0"/>
              <w:widowControl w:val="0"/>
              <w:kinsoku/>
              <w:wordWrap/>
              <w:overflowPunct/>
              <w:topLinePunct w:val="0"/>
              <w:autoSpaceDE/>
              <w:autoSpaceDN/>
              <w:bidi w:val="0"/>
              <w:adjustRightInd/>
              <w:snapToGrid/>
              <w:spacing w:line="400" w:lineRule="exact"/>
              <w:contextualSpacing/>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13732527321</w:t>
            </w:r>
          </w:p>
        </w:tc>
      </w:tr>
    </w:tbl>
    <w:p w14:paraId="0D745149">
      <w:pPr>
        <w:spacing w:line="360" w:lineRule="auto"/>
        <w:ind w:firstLine="555"/>
        <w:rPr>
          <w:rFonts w:hint="eastAsia" w:ascii="宋体" w:hAnsi="宋体" w:eastAsia="宋体" w:cs="宋体"/>
          <w:color w:val="auto"/>
          <w:szCs w:val="21"/>
          <w:highlight w:val="none"/>
        </w:rPr>
      </w:pPr>
    </w:p>
    <w:p w14:paraId="2F92301A">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2.2一般步骤</w:t>
      </w:r>
    </w:p>
    <w:p w14:paraId="6C8CDAD5">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（1）供应商先与银行对接，办理融资前期手续；</w:t>
      </w:r>
    </w:p>
    <w:p w14:paraId="6B5AC681">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（2）供应商中标后，凭中标通知书等材料，向相关合作银行发出融资申请；</w:t>
      </w:r>
    </w:p>
    <w:p w14:paraId="4C6F233E">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（3）银行、供应商线上办理审批、放贷事宜。</w:t>
      </w:r>
    </w:p>
    <w:p w14:paraId="1F0C5A92">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2.3注意事项</w:t>
      </w:r>
    </w:p>
    <w:p w14:paraId="403D15A2">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（1）中标供应商需确保政府采购合同的收款账户与融资银行开户账户一致。</w:t>
      </w:r>
    </w:p>
    <w:p w14:paraId="41D4326B">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（2）用于政府采购信用融资的政府采购合同，应当包含如下条款：“第   条：政府采购合同贷款</w:t>
      </w:r>
    </w:p>
    <w:p w14:paraId="7C8D3F82">
      <w:pPr>
        <w:spacing w:line="360" w:lineRule="auto"/>
        <w:ind w:firstLine="555"/>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本合同同时用于乙方向      银行（金融机构）申请政府采购信用贷款。</w:t>
      </w:r>
    </w:p>
    <w:p w14:paraId="74ED966C">
      <w:pPr>
        <w:spacing w:line="360" w:lineRule="auto"/>
        <w:ind w:firstLine="555"/>
        <w:rPr>
          <w:rFonts w:hint="eastAsia" w:ascii="宋体" w:hAnsi="宋体" w:eastAsia="宋体" w:cs="宋体"/>
          <w:color w:val="auto"/>
          <w:highlight w:val="none"/>
        </w:rPr>
      </w:pPr>
      <w:r>
        <w:rPr>
          <w:rFonts w:hint="eastAsia" w:ascii="宋体" w:hAnsi="宋体" w:eastAsia="宋体" w:cs="宋体"/>
          <w:color w:val="auto"/>
          <w:szCs w:val="21"/>
          <w:highlight w:val="none"/>
        </w:rPr>
        <w:t>本合同一经签订，原则上不得更改乙方收款账户信息。确须更改的，乙方应取得原合同收款账户开户银行书面同意，否则修改后的合同不予备案，采购资金不予支付。”</w:t>
      </w:r>
    </w:p>
    <w:p w14:paraId="633AA238">
      <w:pPr>
        <w:pStyle w:val="36"/>
        <w:snapToGrid w:val="0"/>
        <w:spacing w:after="120" w:afterLines="50" w:line="360" w:lineRule="auto"/>
        <w:ind w:right="-85" w:firstLine="0"/>
        <w:jc w:val="center"/>
        <w:outlineLvl w:val="1"/>
        <w:rPr>
          <w:rFonts w:hint="eastAsia" w:ascii="宋体" w:hAnsi="宋体" w:eastAsia="宋体" w:cs="宋体"/>
          <w:b/>
          <w:color w:val="auto"/>
          <w:sz w:val="28"/>
          <w:highlight w:val="none"/>
        </w:rPr>
      </w:pPr>
    </w:p>
    <w:p w14:paraId="713F629D">
      <w:pPr>
        <w:pStyle w:val="36"/>
        <w:snapToGrid w:val="0"/>
        <w:spacing w:after="120" w:afterLines="50" w:line="360" w:lineRule="auto"/>
        <w:ind w:right="-85" w:firstLine="0"/>
        <w:jc w:val="center"/>
        <w:outlineLvl w:val="1"/>
        <w:rPr>
          <w:rFonts w:hint="eastAsia" w:ascii="宋体" w:hAnsi="宋体" w:eastAsia="宋体" w:cs="宋体"/>
          <w:b/>
          <w:color w:val="auto"/>
          <w:sz w:val="28"/>
          <w:highlight w:val="none"/>
        </w:rPr>
      </w:pPr>
      <w:r>
        <w:rPr>
          <w:rFonts w:hint="eastAsia" w:ascii="宋体" w:hAnsi="宋体" w:eastAsia="宋体" w:cs="宋体"/>
          <w:b/>
          <w:color w:val="auto"/>
          <w:sz w:val="28"/>
          <w:highlight w:val="none"/>
        </w:rPr>
        <w:t>十、解释权</w:t>
      </w:r>
      <w:bookmarkEnd w:id="6"/>
    </w:p>
    <w:p w14:paraId="595051BF">
      <w:pPr>
        <w:adjustRightInd w:val="0"/>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凡涉及本次采购文件的解释权均属于浙江省工程咨询有限公司。</w:t>
      </w:r>
    </w:p>
    <w:p w14:paraId="67A17E3A">
      <w:pPr>
        <w:pStyle w:val="34"/>
        <w:snapToGrid w:val="0"/>
        <w:spacing w:before="120" w:after="120" w:line="360" w:lineRule="auto"/>
        <w:ind w:right="-87"/>
        <w:rPr>
          <w:rFonts w:hint="eastAsia" w:ascii="宋体" w:hAnsi="宋体" w:eastAsia="宋体" w:cs="宋体"/>
          <w:color w:val="auto"/>
          <w:highlight w:val="none"/>
        </w:rPr>
        <w:sectPr>
          <w:footerReference r:id="rId4" w:type="default"/>
          <w:pgSz w:w="11906" w:h="16838"/>
          <w:pgMar w:top="1304" w:right="1531" w:bottom="834" w:left="1531" w:header="1304" w:footer="1304" w:gutter="0"/>
          <w:pgBorders>
            <w:top w:val="none" w:sz="0" w:space="0"/>
            <w:left w:val="none" w:sz="0" w:space="0"/>
            <w:bottom w:val="none" w:sz="0" w:space="0"/>
            <w:right w:val="none" w:sz="0" w:space="0"/>
          </w:pgBorders>
          <w:cols w:space="720" w:num="1"/>
        </w:sectPr>
      </w:pPr>
    </w:p>
    <w:p w14:paraId="581E2AFF">
      <w:pPr>
        <w:pStyle w:val="34"/>
        <w:snapToGrid w:val="0"/>
        <w:spacing w:before="120" w:after="120" w:line="360" w:lineRule="auto"/>
        <w:ind w:right="-87"/>
        <w:jc w:val="center"/>
        <w:rPr>
          <w:rFonts w:hint="eastAsia" w:ascii="宋体" w:hAnsi="宋体" w:eastAsia="宋体" w:cs="宋体"/>
          <w:b/>
          <w:bCs/>
          <w:color w:val="auto"/>
          <w:szCs w:val="21"/>
          <w:highlight w:val="none"/>
        </w:rPr>
      </w:pPr>
      <w:r>
        <w:rPr>
          <w:rFonts w:hint="eastAsia" w:ascii="宋体" w:hAnsi="宋体" w:eastAsia="宋体" w:cs="宋体"/>
          <w:b/>
          <w:bCs/>
          <w:color w:val="auto"/>
          <w:highlight w:val="none"/>
        </w:rPr>
        <w:t>第四章  评标办法及评分标准</w:t>
      </w:r>
    </w:p>
    <w:p w14:paraId="67C175E7">
      <w:pPr>
        <w:spacing w:line="400" w:lineRule="exact"/>
        <w:ind w:firstLine="420" w:firstLineChars="20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为公正、公平、科学地选择成交人，根据《中华人民共和国政府采购法》等有关法律法规的规定，并结合本项目的实际，制定本办法，本办法适用本项目的评标。</w:t>
      </w:r>
    </w:p>
    <w:p w14:paraId="4DDC14D7">
      <w:pPr>
        <w:autoSpaceDE w:val="0"/>
        <w:autoSpaceDN w:val="0"/>
        <w:adjustRightInd w:val="0"/>
        <w:spacing w:line="4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一、资格审查</w:t>
      </w:r>
    </w:p>
    <w:p w14:paraId="1DEE9F01">
      <w:pPr>
        <w:autoSpaceDE w:val="0"/>
        <w:autoSpaceDN w:val="0"/>
        <w:adjustRightInd w:val="0"/>
        <w:spacing w:line="400" w:lineRule="exact"/>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1、由招标代理机构对投标人的资格进行审查。</w:t>
      </w:r>
    </w:p>
    <w:p w14:paraId="7D705F8A">
      <w:pPr>
        <w:autoSpaceDE w:val="0"/>
        <w:autoSpaceDN w:val="0"/>
        <w:adjustRightInd w:val="0"/>
        <w:spacing w:line="400" w:lineRule="exact"/>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2、按以下内容审核投标文件是否符合招标文件的资格文件要求。</w:t>
      </w:r>
    </w:p>
    <w:tbl>
      <w:tblPr>
        <w:tblStyle w:val="23"/>
        <w:tblpPr w:leftFromText="180" w:rightFromText="180" w:vertAnchor="text" w:tblpXSpec="center" w:tblpY="1"/>
        <w:tblOverlap w:val="never"/>
        <w:tblW w:w="82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4985"/>
        <w:gridCol w:w="2160"/>
      </w:tblGrid>
      <w:tr w14:paraId="12ADE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077" w:type="dxa"/>
            <w:vAlign w:val="center"/>
          </w:tcPr>
          <w:p w14:paraId="19519CD1">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4985" w:type="dxa"/>
            <w:tcBorders>
              <w:tl2br w:val="single" w:color="auto" w:sz="4" w:space="0"/>
            </w:tcBorders>
          </w:tcPr>
          <w:p w14:paraId="58268073">
            <w:pPr>
              <w:spacing w:line="400" w:lineRule="exact"/>
              <w:jc w:val="righ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投标人</w:t>
            </w:r>
          </w:p>
          <w:p w14:paraId="7A73DB49">
            <w:pPr>
              <w:spacing w:line="4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内容</w:t>
            </w:r>
          </w:p>
        </w:tc>
        <w:tc>
          <w:tcPr>
            <w:tcW w:w="2160" w:type="dxa"/>
            <w:vAlign w:val="center"/>
          </w:tcPr>
          <w:p w14:paraId="4A7E818F">
            <w:pPr>
              <w:spacing w:line="400" w:lineRule="exac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审核标准</w:t>
            </w:r>
          </w:p>
        </w:tc>
      </w:tr>
      <w:tr w14:paraId="321AD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0D624AA2">
            <w:pPr>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4985" w:type="dxa"/>
            <w:vAlign w:val="center"/>
          </w:tcPr>
          <w:p w14:paraId="78F983AC">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投标函。</w:t>
            </w:r>
          </w:p>
        </w:tc>
        <w:tc>
          <w:tcPr>
            <w:tcW w:w="2160" w:type="dxa"/>
            <w:vAlign w:val="center"/>
          </w:tcPr>
          <w:p w14:paraId="428FBDB6">
            <w:pPr>
              <w:spacing w:line="400" w:lineRule="exact"/>
              <w:jc w:val="center"/>
              <w:rPr>
                <w:rFonts w:hint="eastAsia" w:ascii="宋体" w:hAnsi="宋体" w:eastAsia="宋体" w:cs="宋体"/>
                <w:color w:val="auto"/>
                <w:sz w:val="21"/>
                <w:szCs w:val="21"/>
                <w:highlight w:val="none"/>
              </w:rPr>
            </w:pPr>
          </w:p>
        </w:tc>
      </w:tr>
      <w:tr w14:paraId="69B78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trPr>
        <w:tc>
          <w:tcPr>
            <w:tcW w:w="1077" w:type="dxa"/>
            <w:vAlign w:val="center"/>
          </w:tcPr>
          <w:p w14:paraId="57D2C61A">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p>
        </w:tc>
        <w:tc>
          <w:tcPr>
            <w:tcW w:w="4985" w:type="dxa"/>
            <w:vAlign w:val="center"/>
          </w:tcPr>
          <w:p w14:paraId="0EE58F8F">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投标人具有独立承担民事责任的能力的证明材料。</w:t>
            </w:r>
          </w:p>
        </w:tc>
        <w:tc>
          <w:tcPr>
            <w:tcW w:w="2160" w:type="dxa"/>
            <w:vAlign w:val="center"/>
          </w:tcPr>
          <w:p w14:paraId="2A6BDC01">
            <w:pPr>
              <w:spacing w:line="400" w:lineRule="exact"/>
              <w:jc w:val="center"/>
              <w:rPr>
                <w:rFonts w:hint="eastAsia" w:ascii="宋体" w:hAnsi="宋体" w:eastAsia="宋体" w:cs="宋体"/>
                <w:color w:val="auto"/>
                <w:sz w:val="21"/>
                <w:szCs w:val="21"/>
                <w:highlight w:val="none"/>
              </w:rPr>
            </w:pPr>
          </w:p>
        </w:tc>
      </w:tr>
      <w:tr w14:paraId="27D1D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2C48B45A">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p>
        </w:tc>
        <w:tc>
          <w:tcPr>
            <w:tcW w:w="4985" w:type="dxa"/>
            <w:vAlign w:val="center"/>
          </w:tcPr>
          <w:p w14:paraId="059E4D47">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投标人书面承诺具有良好的商业信誉和健全的财务会计制度，至本项目投标截止时间止符合参与政府采购活动资格条件（格式自拟）。</w:t>
            </w:r>
          </w:p>
        </w:tc>
        <w:tc>
          <w:tcPr>
            <w:tcW w:w="2160" w:type="dxa"/>
            <w:vAlign w:val="center"/>
          </w:tcPr>
          <w:p w14:paraId="1C612B59">
            <w:pPr>
              <w:spacing w:line="400" w:lineRule="exact"/>
              <w:jc w:val="center"/>
              <w:rPr>
                <w:rFonts w:hint="eastAsia" w:ascii="宋体" w:hAnsi="宋体" w:eastAsia="宋体" w:cs="宋体"/>
                <w:color w:val="auto"/>
                <w:sz w:val="21"/>
                <w:szCs w:val="21"/>
                <w:highlight w:val="none"/>
              </w:rPr>
            </w:pPr>
          </w:p>
        </w:tc>
      </w:tr>
      <w:tr w14:paraId="57B8A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FD3BC5E">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p>
        </w:tc>
        <w:tc>
          <w:tcPr>
            <w:tcW w:w="4985" w:type="dxa"/>
            <w:vAlign w:val="center"/>
          </w:tcPr>
          <w:p w14:paraId="5673FCC7">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投标人书面承诺有依法缴纳税收和社会保障资金的良好记录，至本项目投标截止时间止符合参与政府采购活动资格条件（格式自拟）。</w:t>
            </w:r>
          </w:p>
        </w:tc>
        <w:tc>
          <w:tcPr>
            <w:tcW w:w="2160" w:type="dxa"/>
            <w:vAlign w:val="center"/>
          </w:tcPr>
          <w:p w14:paraId="40D1A40D">
            <w:pPr>
              <w:spacing w:line="400" w:lineRule="exact"/>
              <w:jc w:val="center"/>
              <w:rPr>
                <w:rFonts w:hint="eastAsia" w:ascii="宋体" w:hAnsi="宋体" w:eastAsia="宋体" w:cs="宋体"/>
                <w:color w:val="auto"/>
                <w:sz w:val="21"/>
                <w:szCs w:val="21"/>
                <w:highlight w:val="none"/>
              </w:rPr>
            </w:pPr>
          </w:p>
        </w:tc>
      </w:tr>
      <w:tr w14:paraId="45409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trPr>
        <w:tc>
          <w:tcPr>
            <w:tcW w:w="1077" w:type="dxa"/>
            <w:vAlign w:val="center"/>
          </w:tcPr>
          <w:p w14:paraId="222F4B3F">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p>
        </w:tc>
        <w:tc>
          <w:tcPr>
            <w:tcW w:w="4985" w:type="dxa"/>
            <w:vAlign w:val="center"/>
          </w:tcPr>
          <w:p w14:paraId="48DF0F67">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声明函。</w:t>
            </w:r>
          </w:p>
        </w:tc>
        <w:tc>
          <w:tcPr>
            <w:tcW w:w="2160" w:type="dxa"/>
            <w:vAlign w:val="center"/>
          </w:tcPr>
          <w:p w14:paraId="6289E11D">
            <w:pPr>
              <w:spacing w:line="400" w:lineRule="exact"/>
              <w:jc w:val="center"/>
              <w:rPr>
                <w:rFonts w:hint="eastAsia" w:ascii="宋体" w:hAnsi="宋体" w:eastAsia="宋体" w:cs="宋体"/>
                <w:color w:val="auto"/>
                <w:sz w:val="21"/>
                <w:szCs w:val="21"/>
                <w:highlight w:val="none"/>
              </w:rPr>
            </w:pPr>
          </w:p>
        </w:tc>
      </w:tr>
      <w:tr w14:paraId="4C625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6A4C49EF">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p>
        </w:tc>
        <w:tc>
          <w:tcPr>
            <w:tcW w:w="4985" w:type="dxa"/>
            <w:vAlign w:val="center"/>
          </w:tcPr>
          <w:p w14:paraId="29195933">
            <w:pPr>
              <w:wordWrap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投标人法定代表人身份证。</w:t>
            </w:r>
          </w:p>
        </w:tc>
        <w:tc>
          <w:tcPr>
            <w:tcW w:w="2160" w:type="dxa"/>
            <w:vAlign w:val="center"/>
          </w:tcPr>
          <w:p w14:paraId="32AD9402">
            <w:pPr>
              <w:spacing w:line="400" w:lineRule="exact"/>
              <w:jc w:val="center"/>
              <w:rPr>
                <w:rFonts w:hint="eastAsia" w:ascii="宋体" w:hAnsi="宋体" w:eastAsia="宋体" w:cs="宋体"/>
                <w:color w:val="auto"/>
                <w:sz w:val="21"/>
                <w:szCs w:val="21"/>
                <w:highlight w:val="none"/>
              </w:rPr>
            </w:pPr>
          </w:p>
        </w:tc>
      </w:tr>
      <w:tr w14:paraId="2289A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31904086">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7</w:t>
            </w:r>
          </w:p>
        </w:tc>
        <w:tc>
          <w:tcPr>
            <w:tcW w:w="4985" w:type="dxa"/>
            <w:vAlign w:val="center"/>
          </w:tcPr>
          <w:p w14:paraId="6777F390">
            <w:pPr>
              <w:wordWrap w:val="0"/>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未被“信用中国”（www.creditchina.gov.cn）、中国政府采购网（www.ccgp.gov.cn）列入失信被执行人、重大税收违法案件当事人名单、政府采购严重违法失信行为记录名单。（具体以开标现场网页查询结果为准）</w:t>
            </w:r>
          </w:p>
        </w:tc>
        <w:tc>
          <w:tcPr>
            <w:tcW w:w="2160" w:type="dxa"/>
            <w:vAlign w:val="center"/>
          </w:tcPr>
          <w:p w14:paraId="27502229">
            <w:pPr>
              <w:spacing w:line="400" w:lineRule="exact"/>
              <w:jc w:val="center"/>
              <w:rPr>
                <w:rFonts w:hint="eastAsia" w:ascii="宋体" w:hAnsi="宋体" w:eastAsia="宋体" w:cs="宋体"/>
                <w:color w:val="auto"/>
                <w:sz w:val="21"/>
                <w:szCs w:val="21"/>
                <w:highlight w:val="none"/>
              </w:rPr>
            </w:pPr>
          </w:p>
        </w:tc>
      </w:tr>
      <w:tr w14:paraId="0EABE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23AB3EAE">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8</w:t>
            </w:r>
          </w:p>
        </w:tc>
        <w:tc>
          <w:tcPr>
            <w:tcW w:w="4985" w:type="dxa"/>
            <w:vAlign w:val="center"/>
          </w:tcPr>
          <w:p w14:paraId="73B0DA59">
            <w:pPr>
              <w:spacing w:line="400" w:lineRule="exact"/>
              <w:rPr>
                <w:rFonts w:hint="eastAsia" w:ascii="宋体" w:hAnsi="宋体" w:eastAsia="宋体" w:cs="宋体"/>
                <w:color w:val="auto"/>
                <w:sz w:val="21"/>
                <w:szCs w:val="21"/>
                <w:highlight w:val="none"/>
              </w:rPr>
            </w:pPr>
            <w:r>
              <w:rPr>
                <w:rFonts w:hint="eastAsia" w:ascii="宋体" w:hAnsi="宋体" w:eastAsia="宋体" w:cs="宋体"/>
                <w:b/>
                <w:color w:val="auto"/>
                <w:szCs w:val="21"/>
                <w:highlight w:val="none"/>
              </w:rPr>
              <w:t>非法定代表人参加投标时</w:t>
            </w:r>
            <w:r>
              <w:rPr>
                <w:rFonts w:hint="eastAsia" w:ascii="宋体" w:hAnsi="宋体" w:eastAsia="宋体" w:cs="宋体"/>
                <w:b/>
                <w:color w:val="auto"/>
                <w:szCs w:val="21"/>
                <w:highlight w:val="none"/>
                <w:lang w:eastAsia="zh-CN"/>
              </w:rPr>
              <w:t>：</w:t>
            </w:r>
            <w:r>
              <w:rPr>
                <w:rFonts w:hint="eastAsia" w:ascii="宋体" w:hAnsi="宋体" w:eastAsia="宋体" w:cs="宋体"/>
                <w:color w:val="auto"/>
                <w:szCs w:val="21"/>
                <w:highlight w:val="none"/>
              </w:rPr>
              <w:t>《法定代表人授权函》原件</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 w:val="21"/>
                <w:szCs w:val="21"/>
                <w:highlight w:val="none"/>
              </w:rPr>
              <w:t>后附法定代表人和授权代表身份证</w:t>
            </w:r>
            <w:r>
              <w:rPr>
                <w:rFonts w:hint="eastAsia" w:ascii="宋体" w:hAnsi="宋体" w:cs="宋体"/>
                <w:color w:val="auto"/>
                <w:sz w:val="21"/>
                <w:szCs w:val="21"/>
                <w:highlight w:val="none"/>
                <w:lang w:val="en-US" w:eastAsia="zh-CN"/>
              </w:rPr>
              <w:t>扫描件</w:t>
            </w:r>
            <w:r>
              <w:rPr>
                <w:rFonts w:hint="eastAsia" w:ascii="宋体" w:hAnsi="宋体" w:eastAsia="宋体" w:cs="宋体"/>
                <w:color w:val="auto"/>
                <w:sz w:val="21"/>
                <w:szCs w:val="21"/>
                <w:highlight w:val="none"/>
              </w:rPr>
              <w:t>（非法定代表人参加投标时用，另请提供授权代表为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本公司人员证明材料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Cs w:val="21"/>
                <w:highlight w:val="none"/>
              </w:rPr>
              <w:t>证明材料指</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代表的社保证明或劳动合同；提供的社保证明须为近三个月内任意一个月且经社保部门盖章确认的社保交纳证明材料</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t>
            </w:r>
          </w:p>
        </w:tc>
        <w:tc>
          <w:tcPr>
            <w:tcW w:w="2160" w:type="dxa"/>
            <w:vAlign w:val="center"/>
          </w:tcPr>
          <w:p w14:paraId="651A5E4F">
            <w:pPr>
              <w:spacing w:line="400" w:lineRule="exact"/>
              <w:jc w:val="center"/>
              <w:rPr>
                <w:rFonts w:hint="eastAsia" w:ascii="宋体" w:hAnsi="宋体" w:eastAsia="宋体" w:cs="宋体"/>
                <w:color w:val="auto"/>
                <w:sz w:val="21"/>
                <w:szCs w:val="21"/>
                <w:highlight w:val="none"/>
              </w:rPr>
            </w:pPr>
          </w:p>
        </w:tc>
      </w:tr>
      <w:tr w14:paraId="5AE62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E9F3EA6">
            <w:pPr>
              <w:spacing w:line="400" w:lineRule="exact"/>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4985" w:type="dxa"/>
            <w:vAlign w:val="center"/>
          </w:tcPr>
          <w:p w14:paraId="48623DF2">
            <w:pPr>
              <w:spacing w:line="400" w:lineRule="exact"/>
              <w:rPr>
                <w:rFonts w:hint="default" w:ascii="宋体" w:hAnsi="宋体" w:eastAsia="宋体" w:cs="宋体"/>
                <w:b/>
                <w:color w:val="auto"/>
                <w:szCs w:val="21"/>
                <w:highlight w:val="none"/>
                <w:lang w:val="en-US"/>
              </w:rPr>
            </w:pPr>
            <w:r>
              <w:rPr>
                <w:rFonts w:hint="eastAsia" w:ascii="宋体" w:hAnsi="宋体" w:eastAsia="宋体" w:cs="宋体"/>
                <w:color w:val="auto"/>
                <w:sz w:val="21"/>
                <w:szCs w:val="21"/>
                <w:highlight w:val="none"/>
                <w:lang w:val="en-US" w:eastAsia="zh-CN"/>
              </w:rPr>
              <w:t>联合体协议书</w:t>
            </w:r>
            <w:r>
              <w:rPr>
                <w:rFonts w:hint="eastAsia" w:ascii="宋体" w:hAnsi="宋体" w:cs="宋体"/>
                <w:color w:val="auto"/>
                <w:sz w:val="21"/>
                <w:szCs w:val="21"/>
                <w:highlight w:val="none"/>
                <w:lang w:val="en-US" w:eastAsia="zh-CN"/>
              </w:rPr>
              <w:t>（以联合体形式参与投标的须提供）。</w:t>
            </w:r>
          </w:p>
        </w:tc>
        <w:tc>
          <w:tcPr>
            <w:tcW w:w="2160" w:type="dxa"/>
            <w:vAlign w:val="center"/>
          </w:tcPr>
          <w:p w14:paraId="6871D932">
            <w:pPr>
              <w:spacing w:line="400" w:lineRule="exact"/>
              <w:jc w:val="center"/>
              <w:rPr>
                <w:rFonts w:hint="eastAsia" w:ascii="宋体" w:hAnsi="宋体" w:eastAsia="宋体" w:cs="宋体"/>
                <w:color w:val="auto"/>
                <w:sz w:val="21"/>
                <w:szCs w:val="21"/>
                <w:highlight w:val="none"/>
              </w:rPr>
            </w:pPr>
          </w:p>
        </w:tc>
      </w:tr>
      <w:tr w14:paraId="23AE6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6062" w:type="dxa"/>
            <w:gridSpan w:val="2"/>
          </w:tcPr>
          <w:p w14:paraId="17410CC7">
            <w:pPr>
              <w:pStyle w:val="14"/>
              <w:spacing w:line="400" w:lineRule="exact"/>
              <w:ind w:firstLine="0" w:firstLineChars="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结   论</w:t>
            </w:r>
          </w:p>
        </w:tc>
        <w:tc>
          <w:tcPr>
            <w:tcW w:w="2160" w:type="dxa"/>
            <w:vAlign w:val="center"/>
          </w:tcPr>
          <w:p w14:paraId="291B7CE9">
            <w:pPr>
              <w:spacing w:line="400" w:lineRule="exact"/>
              <w:ind w:left="180"/>
              <w:jc w:val="center"/>
              <w:rPr>
                <w:rFonts w:hint="eastAsia" w:ascii="宋体" w:hAnsi="宋体" w:eastAsia="宋体" w:cs="宋体"/>
                <w:b/>
                <w:color w:val="auto"/>
                <w:sz w:val="21"/>
                <w:szCs w:val="21"/>
                <w:highlight w:val="none"/>
              </w:rPr>
            </w:pPr>
          </w:p>
        </w:tc>
      </w:tr>
    </w:tbl>
    <w:p w14:paraId="3D2F8548">
      <w:pPr>
        <w:autoSpaceDE w:val="0"/>
        <w:autoSpaceDN w:val="0"/>
        <w:adjustRightInd w:val="0"/>
        <w:spacing w:line="400" w:lineRule="exact"/>
        <w:ind w:firstLine="7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注：1、表中只需填写“√”或“×”；</w:t>
      </w:r>
      <w:r>
        <w:rPr>
          <w:rFonts w:hint="eastAsia" w:ascii="宋体" w:hAnsi="宋体" w:eastAsia="宋体" w:cs="宋体"/>
          <w:color w:val="auto"/>
          <w:sz w:val="21"/>
          <w:szCs w:val="21"/>
          <w:highlight w:val="none"/>
        </w:rPr>
        <w:t xml:space="preserve"> </w:t>
      </w:r>
    </w:p>
    <w:p w14:paraId="072490DE">
      <w:pPr>
        <w:spacing w:line="400" w:lineRule="exact"/>
        <w:ind w:firstLine="1155" w:firstLineChars="55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lang w:val="zh-CN"/>
        </w:rPr>
        <w:t>2、在结论栏中填写“合格”或“不合格”。</w:t>
      </w:r>
    </w:p>
    <w:p w14:paraId="3F1405AD">
      <w:pPr>
        <w:autoSpaceDE w:val="0"/>
        <w:autoSpaceDN w:val="0"/>
        <w:adjustRightInd w:val="0"/>
        <w:spacing w:line="4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二、中标候选人的选取</w:t>
      </w:r>
    </w:p>
    <w:p w14:paraId="0EF6510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将综合评估分从高到低排序，得出投标人名次,按照综合评估分名次推荐中标候选人3名。综合评估分相同时，按投标报价由低到高顺序排列，综合评估分且投标报价相同的，按</w:t>
      </w:r>
      <w:r>
        <w:rPr>
          <w:rFonts w:hint="eastAsia" w:ascii="宋体" w:hAnsi="宋体" w:eastAsia="宋体" w:cs="宋体"/>
          <w:color w:val="auto"/>
          <w:sz w:val="21"/>
          <w:szCs w:val="21"/>
          <w:highlight w:val="none"/>
          <w:lang w:val="en-US" w:eastAsia="zh-CN"/>
        </w:rPr>
        <w:t>商务</w:t>
      </w:r>
      <w:r>
        <w:rPr>
          <w:rFonts w:hint="eastAsia" w:ascii="宋体" w:hAnsi="宋体" w:eastAsia="宋体" w:cs="宋体"/>
          <w:color w:val="auto"/>
          <w:sz w:val="21"/>
          <w:szCs w:val="21"/>
          <w:highlight w:val="none"/>
        </w:rPr>
        <w:t>技术得分从高到低顺序排列</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综合评估分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投标报价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商务</w:t>
      </w:r>
      <w:r>
        <w:rPr>
          <w:rFonts w:hint="eastAsia" w:ascii="宋体" w:hAnsi="宋体" w:eastAsia="宋体" w:cs="宋体"/>
          <w:color w:val="auto"/>
          <w:sz w:val="21"/>
          <w:szCs w:val="21"/>
          <w:highlight w:val="none"/>
          <w:lang w:eastAsia="zh-CN"/>
        </w:rPr>
        <w:t>技术分均</w:t>
      </w:r>
      <w:r>
        <w:rPr>
          <w:rFonts w:hint="eastAsia" w:ascii="宋体" w:hAnsi="宋体" w:eastAsia="宋体" w:cs="宋体"/>
          <w:color w:val="auto"/>
          <w:sz w:val="21"/>
          <w:szCs w:val="21"/>
          <w:highlight w:val="none"/>
        </w:rPr>
        <w:t>相同的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抽签决定排序（弃权视为自动放弃中标资格）。</w:t>
      </w:r>
    </w:p>
    <w:p w14:paraId="7894A565">
      <w:pPr>
        <w:spacing w:line="4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三、成交人选取依据</w:t>
      </w:r>
    </w:p>
    <w:p w14:paraId="55BE3AB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评审小组根据综合评估分得分排序，推荐第一名中标候选人为中标人，经采购人确认后，确定项目中标人，同时发布采购结果公告，发出中标通知书。</w:t>
      </w:r>
    </w:p>
    <w:p w14:paraId="3945DDE7">
      <w:pPr>
        <w:spacing w:line="4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四、综合评估分计分方法</w:t>
      </w:r>
    </w:p>
    <w:p w14:paraId="44954115">
      <w:pPr>
        <w:spacing w:line="400" w:lineRule="exact"/>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满足采购文件要求且投标价格最低的投标报价为评标基准价，其价格分为满分，其他投标人的价格分按下列公式计算：投标报价得分＝（评标基准价/投标报价）×价格权重×100。</w:t>
      </w:r>
    </w:p>
    <w:p w14:paraId="050E30F6">
      <w:pPr>
        <w:spacing w:line="400" w:lineRule="exact"/>
        <w:ind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根据《中华人民共和国财政部令第87号--政府采购货物和服务招标投标管理办法》第六十条的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8D726EA">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评分时，各投标人投标报价得分保留小数点后二位，第三位四舍五入。评审专家打分准确到小数点后一位，综合评估分=商务技术部分得分＋投标报价得分，商务技术部分得分为所有评委评分的算术平均值，得分保留小数点后二位。</w:t>
      </w:r>
    </w:p>
    <w:p w14:paraId="4E0C46D5">
      <w:pPr>
        <w:pStyle w:val="12"/>
        <w:snapToGrid w:val="0"/>
        <w:spacing w:line="4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五、评标内容及标准</w:t>
      </w:r>
    </w:p>
    <w:p w14:paraId="08A4360D">
      <w:pPr>
        <w:pStyle w:val="11"/>
        <w:rPr>
          <w:rFonts w:hint="eastAsia" w:ascii="宋体" w:hAnsi="宋体" w:eastAsia="宋体" w:cs="宋体"/>
          <w:color w:val="auto"/>
          <w:sz w:val="21"/>
          <w:szCs w:val="21"/>
          <w:highlight w:val="none"/>
        </w:rPr>
      </w:pPr>
    </w:p>
    <w:tbl>
      <w:tblPr>
        <w:tblStyle w:val="23"/>
        <w:tblW w:w="8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7"/>
        <w:gridCol w:w="2693"/>
      </w:tblGrid>
      <w:tr w14:paraId="3D3E2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387" w:type="dxa"/>
            <w:vAlign w:val="center"/>
          </w:tcPr>
          <w:p w14:paraId="21C48E83">
            <w:pPr>
              <w:spacing w:line="360" w:lineRule="auto"/>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评价指标和各评价权重指标：</w:t>
            </w:r>
            <w:r>
              <w:rPr>
                <w:rFonts w:hint="eastAsia" w:ascii="宋体" w:hAnsi="宋体" w:eastAsia="宋体" w:cs="宋体"/>
                <w:color w:val="auto"/>
                <w:sz w:val="21"/>
                <w:szCs w:val="21"/>
                <w:highlight w:val="none"/>
              </w:rPr>
              <w:t>评标指标</w:t>
            </w:r>
          </w:p>
        </w:tc>
        <w:tc>
          <w:tcPr>
            <w:tcW w:w="2693" w:type="dxa"/>
            <w:vAlign w:val="center"/>
          </w:tcPr>
          <w:p w14:paraId="220D079C">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r>
      <w:tr w14:paraId="6F985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387" w:type="dxa"/>
            <w:vAlign w:val="center"/>
          </w:tcPr>
          <w:p w14:paraId="54C8B2F5">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tc>
        <w:tc>
          <w:tcPr>
            <w:tcW w:w="2693" w:type="dxa"/>
            <w:vAlign w:val="center"/>
          </w:tcPr>
          <w:p w14:paraId="2BF7B399">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r>
      <w:tr w14:paraId="2A2E5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387" w:type="dxa"/>
            <w:vAlign w:val="center"/>
          </w:tcPr>
          <w:p w14:paraId="6CF9BB9F">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商务技术部分</w:t>
            </w:r>
          </w:p>
        </w:tc>
        <w:tc>
          <w:tcPr>
            <w:tcW w:w="2693" w:type="dxa"/>
            <w:vAlign w:val="center"/>
          </w:tcPr>
          <w:p w14:paraId="434CDA39">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90</w:t>
            </w:r>
          </w:p>
        </w:tc>
      </w:tr>
      <w:tr w14:paraId="09316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5387" w:type="dxa"/>
            <w:vAlign w:val="center"/>
          </w:tcPr>
          <w:p w14:paraId="0CADA957">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2693" w:type="dxa"/>
            <w:vAlign w:val="center"/>
          </w:tcPr>
          <w:p w14:paraId="03BB6209">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w:t>
            </w:r>
          </w:p>
        </w:tc>
      </w:tr>
    </w:tbl>
    <w:p w14:paraId="7435E394">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p>
    <w:tbl>
      <w:tblPr>
        <w:tblStyle w:val="23"/>
        <w:tblW w:w="100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867"/>
        <w:gridCol w:w="1100"/>
        <w:gridCol w:w="800"/>
        <w:gridCol w:w="6586"/>
      </w:tblGrid>
      <w:tr w14:paraId="0A982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605" w:type="dxa"/>
            <w:gridSpan w:val="2"/>
            <w:noWrap w:val="0"/>
            <w:vAlign w:val="center"/>
          </w:tcPr>
          <w:p w14:paraId="6828344F">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类别</w:t>
            </w:r>
          </w:p>
        </w:tc>
        <w:tc>
          <w:tcPr>
            <w:tcW w:w="1100" w:type="dxa"/>
            <w:noWrap w:val="0"/>
            <w:vAlign w:val="center"/>
          </w:tcPr>
          <w:p w14:paraId="6AD02AD4">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评审项目</w:t>
            </w:r>
          </w:p>
        </w:tc>
        <w:tc>
          <w:tcPr>
            <w:tcW w:w="800" w:type="dxa"/>
            <w:noWrap w:val="0"/>
            <w:vAlign w:val="center"/>
          </w:tcPr>
          <w:p w14:paraId="6231F06A">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分值</w:t>
            </w:r>
          </w:p>
        </w:tc>
        <w:tc>
          <w:tcPr>
            <w:tcW w:w="6586" w:type="dxa"/>
            <w:noWrap w:val="0"/>
            <w:vAlign w:val="center"/>
          </w:tcPr>
          <w:p w14:paraId="727F8A8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评分标准</w:t>
            </w:r>
          </w:p>
        </w:tc>
      </w:tr>
      <w:tr w14:paraId="62565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605" w:type="dxa"/>
            <w:gridSpan w:val="2"/>
            <w:noWrap w:val="0"/>
            <w:vAlign w:val="center"/>
          </w:tcPr>
          <w:p w14:paraId="6010712B">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报价部分</w:t>
            </w:r>
          </w:p>
          <w:p w14:paraId="043E32CE">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10</w:t>
            </w:r>
            <w:r>
              <w:rPr>
                <w:rFonts w:hint="eastAsia" w:asciiTheme="minorEastAsia" w:hAnsiTheme="minorEastAsia" w:eastAsiaTheme="minorEastAsia" w:cstheme="minorEastAsia"/>
                <w:color w:val="auto"/>
                <w:sz w:val="21"/>
                <w:szCs w:val="21"/>
                <w:highlight w:val="none"/>
              </w:rPr>
              <w:t>分</w:t>
            </w:r>
          </w:p>
        </w:tc>
        <w:tc>
          <w:tcPr>
            <w:tcW w:w="1100" w:type="dxa"/>
            <w:noWrap w:val="0"/>
            <w:vAlign w:val="center"/>
          </w:tcPr>
          <w:p w14:paraId="4F1E2C6E">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价格分</w:t>
            </w:r>
          </w:p>
        </w:tc>
        <w:tc>
          <w:tcPr>
            <w:tcW w:w="800" w:type="dxa"/>
            <w:noWrap w:val="0"/>
            <w:vAlign w:val="center"/>
          </w:tcPr>
          <w:p w14:paraId="219492B0">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eastAsia" w:asciiTheme="minorEastAsia" w:hAnsiTheme="minorEastAsia" w:eastAsiaTheme="minorEastAsia" w:cstheme="minorEastAsia"/>
                <w:color w:val="auto"/>
                <w:spacing w:val="4"/>
                <w:sz w:val="21"/>
                <w:szCs w:val="21"/>
                <w:highlight w:val="none"/>
                <w:lang w:eastAsia="zh-CN"/>
              </w:rPr>
            </w:pPr>
            <w:r>
              <w:rPr>
                <w:rFonts w:hint="eastAsia" w:asciiTheme="minorEastAsia" w:hAnsiTheme="minorEastAsia" w:eastAsiaTheme="minorEastAsia" w:cstheme="minorEastAsia"/>
                <w:color w:val="auto"/>
                <w:spacing w:val="4"/>
                <w:sz w:val="21"/>
                <w:szCs w:val="21"/>
                <w:highlight w:val="none"/>
              </w:rPr>
              <w:t>0-1</w:t>
            </w:r>
            <w:r>
              <w:rPr>
                <w:rFonts w:hint="eastAsia" w:asciiTheme="minorEastAsia" w:hAnsiTheme="minorEastAsia" w:eastAsiaTheme="minorEastAsia" w:cstheme="minorEastAsia"/>
                <w:color w:val="auto"/>
                <w:spacing w:val="4"/>
                <w:sz w:val="21"/>
                <w:szCs w:val="21"/>
                <w:highlight w:val="none"/>
                <w:lang w:val="en-US" w:eastAsia="zh-CN"/>
              </w:rPr>
              <w:t>0</w:t>
            </w:r>
          </w:p>
        </w:tc>
        <w:tc>
          <w:tcPr>
            <w:tcW w:w="6586" w:type="dxa"/>
            <w:noWrap w:val="0"/>
            <w:vAlign w:val="center"/>
          </w:tcPr>
          <w:p w14:paraId="500F53A0">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价格分采用低价优先法计算，即满足采购文件要求且投标价格最低的投标报价为评标基准价，其价格分为满分1</w:t>
            </w:r>
            <w:r>
              <w:rPr>
                <w:rFonts w:hint="eastAsia" w:asciiTheme="minorEastAsia" w:hAnsiTheme="minorEastAsia" w:eastAsiaTheme="minorEastAsia" w:cstheme="minorEastAsia"/>
                <w:color w:val="auto"/>
                <w:spacing w:val="4"/>
                <w:sz w:val="21"/>
                <w:szCs w:val="21"/>
                <w:highlight w:val="none"/>
                <w:lang w:val="en-US" w:eastAsia="zh-CN"/>
              </w:rPr>
              <w:t>0</w:t>
            </w:r>
            <w:r>
              <w:rPr>
                <w:rFonts w:hint="eastAsia" w:asciiTheme="minorEastAsia" w:hAnsiTheme="minorEastAsia" w:eastAsiaTheme="minorEastAsia" w:cstheme="minorEastAsia"/>
                <w:color w:val="auto"/>
                <w:spacing w:val="4"/>
                <w:sz w:val="21"/>
                <w:szCs w:val="21"/>
                <w:highlight w:val="none"/>
              </w:rPr>
              <w:t>分；</w:t>
            </w:r>
          </w:p>
          <w:p w14:paraId="3B6FB7DF">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其他投标人的价格分按以下公式计算：</w:t>
            </w:r>
          </w:p>
          <w:p w14:paraId="33BCC57A">
            <w:pPr>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投标报价得分＝（评标基准价/投标报价）×</w:t>
            </w:r>
            <w:r>
              <w:rPr>
                <w:rFonts w:hint="eastAsia" w:asciiTheme="minorEastAsia" w:hAnsiTheme="minorEastAsia" w:eastAsiaTheme="minorEastAsia" w:cstheme="minorEastAsia"/>
                <w:color w:val="auto"/>
                <w:sz w:val="21"/>
                <w:szCs w:val="21"/>
                <w:highlight w:val="none"/>
              </w:rPr>
              <w:t>1</w:t>
            </w:r>
            <w:r>
              <w:rPr>
                <w:rFonts w:hint="eastAsia" w:asciiTheme="minorEastAsia" w:hAnsiTheme="minorEastAsia" w:eastAsiaTheme="minorEastAsia" w:cstheme="minorEastAsia"/>
                <w:color w:val="auto"/>
                <w:sz w:val="21"/>
                <w:szCs w:val="21"/>
                <w:highlight w:val="none"/>
                <w:lang w:val="en-US" w:eastAsia="zh-CN"/>
              </w:rPr>
              <w:t>0</w:t>
            </w:r>
            <w:r>
              <w:rPr>
                <w:rFonts w:hint="eastAsia" w:asciiTheme="minorEastAsia" w:hAnsiTheme="minorEastAsia" w:eastAsiaTheme="minorEastAsia" w:cstheme="minorEastAsia"/>
                <w:color w:val="auto"/>
                <w:spacing w:val="4"/>
                <w:sz w:val="21"/>
                <w:szCs w:val="21"/>
                <w:highlight w:val="none"/>
              </w:rPr>
              <w:t>分</w:t>
            </w:r>
          </w:p>
          <w:p w14:paraId="6683AC16">
            <w:pPr>
              <w:pStyle w:val="3"/>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pacing w:val="4"/>
                <w:kern w:val="2"/>
                <w:sz w:val="21"/>
                <w:szCs w:val="21"/>
                <w:highlight w:val="none"/>
                <w:lang w:val="en-US" w:eastAsia="zh-CN" w:bidi="ar-SA"/>
              </w:rPr>
              <w:t>注：本项目对符合本办法规定的小微企业报价给予10%的扣除，用扣除后的价格参加评审；对于联合体协议约定小微企业的合同份额占到合同总金额30%以上的，对联合体或者大中型企业的报价原则上按最高优惠幅度6%给予扣除，用扣除后的价格参加评审。</w:t>
            </w:r>
          </w:p>
        </w:tc>
      </w:tr>
      <w:tr w14:paraId="0C76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3" w:hRule="atLeast"/>
          <w:jc w:val="center"/>
        </w:trPr>
        <w:tc>
          <w:tcPr>
            <w:tcW w:w="738" w:type="dxa"/>
            <w:vMerge w:val="restart"/>
            <w:noWrap w:val="0"/>
            <w:vAlign w:val="center"/>
          </w:tcPr>
          <w:p w14:paraId="3C1B3DC3">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商务技术部分</w:t>
            </w:r>
            <w:r>
              <w:rPr>
                <w:rFonts w:hint="eastAsia" w:asciiTheme="minorEastAsia" w:hAnsiTheme="minorEastAsia" w:eastAsiaTheme="minorEastAsia" w:cstheme="minorEastAsia"/>
                <w:color w:val="auto"/>
                <w:sz w:val="21"/>
                <w:szCs w:val="21"/>
                <w:highlight w:val="none"/>
                <w:lang w:val="en-US" w:eastAsia="zh-CN"/>
              </w:rPr>
              <w:t>90</w:t>
            </w:r>
            <w:r>
              <w:rPr>
                <w:rFonts w:hint="eastAsia" w:asciiTheme="minorEastAsia" w:hAnsiTheme="minorEastAsia" w:eastAsiaTheme="minorEastAsia" w:cstheme="minorEastAsia"/>
                <w:color w:val="auto"/>
                <w:sz w:val="21"/>
                <w:szCs w:val="21"/>
                <w:highlight w:val="none"/>
              </w:rPr>
              <w:t>分</w:t>
            </w:r>
          </w:p>
        </w:tc>
        <w:tc>
          <w:tcPr>
            <w:tcW w:w="867" w:type="dxa"/>
            <w:vMerge w:val="restart"/>
            <w:noWrap w:val="0"/>
            <w:vAlign w:val="center"/>
          </w:tcPr>
          <w:p w14:paraId="65F5733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商务</w:t>
            </w:r>
          </w:p>
          <w:p w14:paraId="27B14CF7">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部分</w:t>
            </w:r>
          </w:p>
          <w:p w14:paraId="7E7B914D">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29</w:t>
            </w:r>
            <w:r>
              <w:rPr>
                <w:rFonts w:hint="eastAsia" w:asciiTheme="minorEastAsia" w:hAnsiTheme="minorEastAsia" w:eastAsiaTheme="minorEastAsia" w:cstheme="minorEastAsia"/>
                <w:color w:val="auto"/>
                <w:sz w:val="21"/>
                <w:szCs w:val="21"/>
                <w:highlight w:val="none"/>
              </w:rPr>
              <w:t>分</w:t>
            </w:r>
          </w:p>
        </w:tc>
        <w:tc>
          <w:tcPr>
            <w:tcW w:w="1100" w:type="dxa"/>
            <w:noWrap w:val="0"/>
            <w:vAlign w:val="center"/>
          </w:tcPr>
          <w:p w14:paraId="473FF5FD">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业绩</w:t>
            </w:r>
          </w:p>
        </w:tc>
        <w:tc>
          <w:tcPr>
            <w:tcW w:w="800" w:type="dxa"/>
            <w:noWrap w:val="0"/>
            <w:vAlign w:val="center"/>
          </w:tcPr>
          <w:p w14:paraId="7726F539">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1</w:t>
            </w:r>
          </w:p>
        </w:tc>
        <w:tc>
          <w:tcPr>
            <w:tcW w:w="6586" w:type="dxa"/>
            <w:noWrap w:val="0"/>
            <w:vAlign w:val="center"/>
          </w:tcPr>
          <w:p w14:paraId="22AEAC60">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投标人自202</w:t>
            </w:r>
            <w:r>
              <w:rPr>
                <w:rFonts w:hint="eastAsia" w:asciiTheme="minorEastAsia" w:hAnsiTheme="minorEastAsia" w:eastAsiaTheme="minorEastAsia" w:cstheme="minorEastAsia"/>
                <w:color w:val="auto"/>
                <w:spacing w:val="4"/>
                <w:sz w:val="21"/>
                <w:szCs w:val="21"/>
                <w:highlight w:val="none"/>
                <w:lang w:val="en-US" w:eastAsia="zh-CN"/>
              </w:rPr>
              <w:t>0</w:t>
            </w:r>
            <w:r>
              <w:rPr>
                <w:rFonts w:hint="eastAsia" w:asciiTheme="minorEastAsia" w:hAnsiTheme="minorEastAsia" w:eastAsiaTheme="minorEastAsia" w:cstheme="minorEastAsia"/>
                <w:color w:val="auto"/>
                <w:spacing w:val="4"/>
                <w:sz w:val="21"/>
                <w:szCs w:val="21"/>
                <w:highlight w:val="none"/>
              </w:rPr>
              <w:t>年1月1日至投标截止时间止（以合同签订时间为准），承担过</w:t>
            </w:r>
            <w:r>
              <w:rPr>
                <w:rFonts w:hint="eastAsia" w:asciiTheme="minorEastAsia" w:hAnsiTheme="minorEastAsia" w:eastAsiaTheme="minorEastAsia" w:cstheme="minorEastAsia"/>
                <w:color w:val="auto"/>
                <w:spacing w:val="4"/>
                <w:sz w:val="21"/>
                <w:szCs w:val="21"/>
                <w:highlight w:val="none"/>
                <w:lang w:val="en-US" w:eastAsia="zh-CN"/>
              </w:rPr>
              <w:t>类似</w:t>
            </w:r>
            <w:r>
              <w:rPr>
                <w:rFonts w:hint="eastAsia" w:asciiTheme="minorEastAsia" w:hAnsiTheme="minorEastAsia" w:eastAsiaTheme="minorEastAsia" w:cstheme="minorEastAsia"/>
                <w:snapToGrid w:val="0"/>
                <w:color w:val="auto"/>
                <w:kern w:val="2"/>
                <w:sz w:val="21"/>
                <w:szCs w:val="21"/>
                <w:highlight w:val="none"/>
                <w:lang w:val="en-US" w:eastAsia="zh-CN" w:bidi="ar-SA"/>
              </w:rPr>
              <w:t>项目服务业绩的（如</w:t>
            </w:r>
            <w:r>
              <w:rPr>
                <w:rFonts w:hint="eastAsia" w:asciiTheme="minorEastAsia" w:hAnsiTheme="minorEastAsia" w:eastAsiaTheme="minorEastAsia" w:cstheme="minorEastAsia"/>
                <w:color w:val="auto"/>
                <w:spacing w:val="4"/>
                <w:sz w:val="21"/>
                <w:szCs w:val="21"/>
                <w:highlight w:val="none"/>
              </w:rPr>
              <w:t>水安全保障</w:t>
            </w:r>
            <w:r>
              <w:rPr>
                <w:rFonts w:hint="eastAsia" w:asciiTheme="minorEastAsia" w:hAnsiTheme="minorEastAsia" w:eastAsiaTheme="minorEastAsia" w:cstheme="minorEastAsia"/>
                <w:color w:val="auto"/>
                <w:spacing w:val="4"/>
                <w:sz w:val="21"/>
                <w:szCs w:val="21"/>
                <w:highlight w:val="none"/>
                <w:lang w:val="en-US" w:eastAsia="zh-CN"/>
              </w:rPr>
              <w:t>或</w:t>
            </w:r>
            <w:r>
              <w:rPr>
                <w:rFonts w:hint="eastAsia" w:asciiTheme="minorEastAsia" w:hAnsiTheme="minorEastAsia" w:eastAsiaTheme="minorEastAsia" w:cstheme="minorEastAsia"/>
                <w:color w:val="auto"/>
                <w:spacing w:val="4"/>
                <w:sz w:val="21"/>
                <w:szCs w:val="21"/>
                <w:highlight w:val="none"/>
              </w:rPr>
              <w:t>水利发展五年规划编制</w:t>
            </w:r>
            <w:r>
              <w:rPr>
                <w:rFonts w:hint="eastAsia" w:asciiTheme="minorEastAsia" w:hAnsiTheme="minorEastAsia" w:eastAsiaTheme="minorEastAsia" w:cstheme="minorEastAsia"/>
                <w:color w:val="auto"/>
                <w:spacing w:val="4"/>
                <w:sz w:val="21"/>
                <w:szCs w:val="21"/>
                <w:highlight w:val="none"/>
                <w:lang w:val="en-US" w:eastAsia="zh-CN"/>
              </w:rPr>
              <w:t>相关业绩）</w:t>
            </w:r>
            <w:r>
              <w:rPr>
                <w:rFonts w:hint="eastAsia" w:asciiTheme="minorEastAsia" w:hAnsiTheme="minorEastAsia" w:eastAsiaTheme="minorEastAsia" w:cstheme="minorEastAsia"/>
                <w:color w:val="auto"/>
                <w:spacing w:val="4"/>
                <w:sz w:val="21"/>
                <w:szCs w:val="21"/>
                <w:highlight w:val="none"/>
              </w:rPr>
              <w:t>的，每提供一个得</w:t>
            </w:r>
            <w:r>
              <w:rPr>
                <w:rFonts w:hint="eastAsia" w:asciiTheme="minorEastAsia" w:hAnsiTheme="minorEastAsia" w:eastAsiaTheme="minorEastAsia" w:cstheme="minorEastAsia"/>
                <w:color w:val="auto"/>
                <w:spacing w:val="4"/>
                <w:sz w:val="21"/>
                <w:szCs w:val="21"/>
                <w:highlight w:val="none"/>
                <w:lang w:val="en-US" w:eastAsia="zh-CN"/>
              </w:rPr>
              <w:t>0.5</w:t>
            </w:r>
            <w:r>
              <w:rPr>
                <w:rFonts w:hint="eastAsia" w:asciiTheme="minorEastAsia" w:hAnsiTheme="minorEastAsia" w:eastAsiaTheme="minorEastAsia" w:cstheme="minorEastAsia"/>
                <w:color w:val="auto"/>
                <w:spacing w:val="4"/>
                <w:sz w:val="21"/>
                <w:szCs w:val="21"/>
                <w:highlight w:val="none"/>
              </w:rPr>
              <w:t>分，本项最高得1分。</w:t>
            </w:r>
          </w:p>
          <w:p w14:paraId="765FBB9F">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注：提供合同</w:t>
            </w:r>
            <w:r>
              <w:rPr>
                <w:rFonts w:hint="eastAsia" w:asciiTheme="minorEastAsia" w:hAnsiTheme="minorEastAsia" w:eastAsiaTheme="minorEastAsia" w:cstheme="minorEastAsia"/>
                <w:color w:val="auto"/>
                <w:spacing w:val="4"/>
                <w:sz w:val="21"/>
                <w:szCs w:val="21"/>
                <w:highlight w:val="none"/>
                <w:lang w:val="en-US" w:eastAsia="zh-CN"/>
              </w:rPr>
              <w:t>扫描件</w:t>
            </w:r>
            <w:r>
              <w:rPr>
                <w:rFonts w:hint="eastAsia" w:asciiTheme="minorEastAsia" w:hAnsiTheme="minorEastAsia" w:eastAsiaTheme="minorEastAsia" w:cstheme="minorEastAsia"/>
                <w:color w:val="auto"/>
                <w:spacing w:val="4"/>
                <w:sz w:val="21"/>
                <w:szCs w:val="21"/>
                <w:highlight w:val="none"/>
              </w:rPr>
              <w:t>（加盖投标人公章）计分</w:t>
            </w:r>
            <w:r>
              <w:rPr>
                <w:rFonts w:hint="eastAsia" w:asciiTheme="minorEastAsia" w:hAnsiTheme="minorEastAsia" w:eastAsiaTheme="minorEastAsia" w:cstheme="minorEastAsia"/>
                <w:color w:val="auto"/>
                <w:spacing w:val="4"/>
                <w:sz w:val="21"/>
                <w:szCs w:val="21"/>
                <w:highlight w:val="none"/>
                <w:lang w:eastAsia="zh-CN"/>
              </w:rPr>
              <w:t>；</w:t>
            </w:r>
            <w:r>
              <w:rPr>
                <w:rFonts w:hint="eastAsia" w:asciiTheme="minorEastAsia" w:hAnsiTheme="minorEastAsia" w:eastAsiaTheme="minorEastAsia" w:cstheme="minorEastAsia"/>
                <w:color w:val="auto"/>
                <w:spacing w:val="4"/>
                <w:sz w:val="21"/>
                <w:szCs w:val="21"/>
                <w:highlight w:val="none"/>
              </w:rPr>
              <w:t>合同中须反映项目名称、签订时间、合同服务内容等。若合同中不能反映上述内容，须另附经业主盖章的证明材料。</w:t>
            </w:r>
            <w:r>
              <w:rPr>
                <w:rFonts w:hint="eastAsia" w:asciiTheme="minorEastAsia" w:hAnsiTheme="minorEastAsia" w:eastAsiaTheme="minorEastAsia" w:cstheme="minorEastAsia"/>
                <w:color w:val="auto"/>
                <w:szCs w:val="21"/>
                <w:highlight w:val="none"/>
              </w:rPr>
              <w:t>联合体投标的，各成员业绩均认可。</w:t>
            </w:r>
          </w:p>
        </w:tc>
      </w:tr>
      <w:tr w14:paraId="2C59D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0" w:hRule="atLeast"/>
          <w:jc w:val="center"/>
        </w:trPr>
        <w:tc>
          <w:tcPr>
            <w:tcW w:w="738" w:type="dxa"/>
            <w:vMerge w:val="continue"/>
            <w:noWrap w:val="0"/>
            <w:vAlign w:val="center"/>
          </w:tcPr>
          <w:p w14:paraId="4EDFB25C">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082BBE3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00" w:type="dxa"/>
            <w:noWrap w:val="0"/>
            <w:vAlign w:val="center"/>
          </w:tcPr>
          <w:p w14:paraId="449A35F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体系认证</w:t>
            </w:r>
          </w:p>
        </w:tc>
        <w:tc>
          <w:tcPr>
            <w:tcW w:w="800" w:type="dxa"/>
            <w:noWrap w:val="0"/>
            <w:vAlign w:val="center"/>
          </w:tcPr>
          <w:p w14:paraId="3AD69133">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eastAsia" w:asciiTheme="minorEastAsia" w:hAnsiTheme="minorEastAsia" w:eastAsiaTheme="minorEastAsia" w:cstheme="minorEastAsia"/>
                <w:color w:val="auto"/>
                <w:spacing w:val="4"/>
                <w:sz w:val="21"/>
                <w:szCs w:val="21"/>
                <w:highlight w:val="none"/>
                <w:lang w:val="en-US" w:eastAsia="zh-CN"/>
              </w:rPr>
            </w:pPr>
            <w:r>
              <w:rPr>
                <w:rFonts w:hint="eastAsia" w:asciiTheme="minorEastAsia" w:hAnsiTheme="minorEastAsia" w:eastAsiaTheme="minorEastAsia" w:cstheme="minorEastAsia"/>
                <w:color w:val="auto"/>
                <w:spacing w:val="4"/>
                <w:sz w:val="21"/>
                <w:szCs w:val="21"/>
                <w:highlight w:val="none"/>
                <w:lang w:val="en-US" w:eastAsia="zh-CN"/>
              </w:rPr>
              <w:t>8</w:t>
            </w:r>
          </w:p>
        </w:tc>
        <w:tc>
          <w:tcPr>
            <w:tcW w:w="6586" w:type="dxa"/>
            <w:noWrap w:val="0"/>
            <w:vAlign w:val="center"/>
          </w:tcPr>
          <w:p w14:paraId="48D173BD">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1、投标人具有有效期内的质量管理体系认证（认证范围需包含工程咨询），得</w:t>
            </w:r>
            <w:r>
              <w:rPr>
                <w:rFonts w:hint="eastAsia" w:asciiTheme="minorEastAsia" w:hAnsiTheme="minorEastAsia" w:eastAsiaTheme="minorEastAsia" w:cstheme="minorEastAsia"/>
                <w:color w:val="auto"/>
                <w:spacing w:val="4"/>
                <w:sz w:val="21"/>
                <w:szCs w:val="21"/>
                <w:highlight w:val="none"/>
                <w:lang w:val="en-US" w:eastAsia="zh-CN"/>
              </w:rPr>
              <w:t>2</w:t>
            </w:r>
            <w:r>
              <w:rPr>
                <w:rFonts w:hint="eastAsia" w:asciiTheme="minorEastAsia" w:hAnsiTheme="minorEastAsia" w:eastAsiaTheme="minorEastAsia" w:cstheme="minorEastAsia"/>
                <w:color w:val="auto"/>
                <w:spacing w:val="4"/>
                <w:sz w:val="21"/>
                <w:szCs w:val="21"/>
                <w:highlight w:val="none"/>
              </w:rPr>
              <w:t>分；</w:t>
            </w:r>
          </w:p>
          <w:p w14:paraId="42BEBEFF">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2、投标人具有有效期内的环境管理体系认证（认证范围需包含工程咨询），得</w:t>
            </w:r>
            <w:r>
              <w:rPr>
                <w:rFonts w:hint="eastAsia" w:asciiTheme="minorEastAsia" w:hAnsiTheme="minorEastAsia" w:eastAsiaTheme="minorEastAsia" w:cstheme="minorEastAsia"/>
                <w:color w:val="auto"/>
                <w:spacing w:val="4"/>
                <w:sz w:val="21"/>
                <w:szCs w:val="21"/>
                <w:highlight w:val="none"/>
                <w:lang w:val="en-US" w:eastAsia="zh-CN"/>
              </w:rPr>
              <w:t>2</w:t>
            </w:r>
            <w:r>
              <w:rPr>
                <w:rFonts w:hint="eastAsia" w:asciiTheme="minorEastAsia" w:hAnsiTheme="minorEastAsia" w:eastAsiaTheme="minorEastAsia" w:cstheme="minorEastAsia"/>
                <w:color w:val="auto"/>
                <w:spacing w:val="4"/>
                <w:sz w:val="21"/>
                <w:szCs w:val="21"/>
                <w:highlight w:val="none"/>
              </w:rPr>
              <w:t>分；</w:t>
            </w:r>
          </w:p>
          <w:p w14:paraId="2D7555D9">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3、投标人具有有效期内的职业健康安全管理体系认证（认证范围需包含工程咨询），得</w:t>
            </w:r>
            <w:r>
              <w:rPr>
                <w:rFonts w:hint="eastAsia" w:asciiTheme="minorEastAsia" w:hAnsiTheme="minorEastAsia" w:eastAsiaTheme="minorEastAsia" w:cstheme="minorEastAsia"/>
                <w:color w:val="auto"/>
                <w:spacing w:val="4"/>
                <w:sz w:val="21"/>
                <w:szCs w:val="21"/>
                <w:highlight w:val="none"/>
                <w:lang w:val="en-US" w:eastAsia="zh-CN"/>
              </w:rPr>
              <w:t>2</w:t>
            </w:r>
            <w:r>
              <w:rPr>
                <w:rFonts w:hint="eastAsia" w:asciiTheme="minorEastAsia" w:hAnsiTheme="minorEastAsia" w:eastAsiaTheme="minorEastAsia" w:cstheme="minorEastAsia"/>
                <w:color w:val="auto"/>
                <w:spacing w:val="4"/>
                <w:sz w:val="21"/>
                <w:szCs w:val="21"/>
                <w:highlight w:val="none"/>
              </w:rPr>
              <w:t>分；</w:t>
            </w:r>
          </w:p>
          <w:p w14:paraId="49580B9C">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4、投标人具有有效期内的水安全管理体系认证（认证范围需包含工程咨询），得</w:t>
            </w:r>
            <w:r>
              <w:rPr>
                <w:rFonts w:hint="eastAsia" w:asciiTheme="minorEastAsia" w:hAnsiTheme="minorEastAsia" w:eastAsiaTheme="minorEastAsia" w:cstheme="minorEastAsia"/>
                <w:color w:val="auto"/>
                <w:spacing w:val="4"/>
                <w:sz w:val="21"/>
                <w:szCs w:val="21"/>
                <w:highlight w:val="none"/>
                <w:lang w:val="en-US" w:eastAsia="zh-CN"/>
              </w:rPr>
              <w:t>2</w:t>
            </w:r>
            <w:r>
              <w:rPr>
                <w:rFonts w:hint="eastAsia" w:asciiTheme="minorEastAsia" w:hAnsiTheme="minorEastAsia" w:eastAsiaTheme="minorEastAsia" w:cstheme="minorEastAsia"/>
                <w:color w:val="auto"/>
                <w:spacing w:val="4"/>
                <w:sz w:val="21"/>
                <w:szCs w:val="21"/>
                <w:highlight w:val="none"/>
              </w:rPr>
              <w:t>分。</w:t>
            </w:r>
          </w:p>
          <w:p w14:paraId="3E4FBDC7">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注：以上均须提供</w:t>
            </w:r>
            <w:r>
              <w:rPr>
                <w:rFonts w:hint="eastAsia" w:asciiTheme="minorEastAsia" w:hAnsiTheme="minorEastAsia" w:eastAsiaTheme="minorEastAsia" w:cstheme="minorEastAsia"/>
                <w:color w:val="auto"/>
                <w:spacing w:val="4"/>
                <w:sz w:val="21"/>
                <w:szCs w:val="21"/>
                <w:highlight w:val="none"/>
                <w:lang w:val="en-US" w:eastAsia="zh-CN"/>
              </w:rPr>
              <w:t>认证</w:t>
            </w:r>
            <w:r>
              <w:rPr>
                <w:rFonts w:hint="eastAsia" w:asciiTheme="minorEastAsia" w:hAnsiTheme="minorEastAsia" w:eastAsiaTheme="minorEastAsia" w:cstheme="minorEastAsia"/>
                <w:color w:val="auto"/>
                <w:spacing w:val="4"/>
                <w:sz w:val="21"/>
                <w:szCs w:val="21"/>
                <w:highlight w:val="none"/>
              </w:rPr>
              <w:t>证书</w:t>
            </w:r>
            <w:r>
              <w:rPr>
                <w:rFonts w:hint="eastAsia" w:asciiTheme="minorEastAsia" w:hAnsiTheme="minorEastAsia" w:eastAsiaTheme="minorEastAsia" w:cstheme="minorEastAsia"/>
                <w:color w:val="auto"/>
                <w:spacing w:val="4"/>
                <w:sz w:val="21"/>
                <w:szCs w:val="21"/>
                <w:highlight w:val="none"/>
                <w:lang w:val="en-US" w:eastAsia="zh-CN"/>
              </w:rPr>
              <w:t>扫描件</w:t>
            </w:r>
            <w:r>
              <w:rPr>
                <w:rFonts w:hint="eastAsia" w:asciiTheme="minorEastAsia" w:hAnsiTheme="minorEastAsia" w:eastAsiaTheme="minorEastAsia" w:cstheme="minorEastAsia"/>
                <w:color w:val="auto"/>
                <w:spacing w:val="4"/>
                <w:sz w:val="21"/>
                <w:szCs w:val="21"/>
                <w:highlight w:val="none"/>
              </w:rPr>
              <w:t>（加盖投标人公章）计分</w:t>
            </w:r>
            <w:r>
              <w:rPr>
                <w:rFonts w:hint="eastAsia" w:asciiTheme="minorEastAsia" w:hAnsiTheme="minorEastAsia" w:eastAsiaTheme="minorEastAsia" w:cstheme="minorEastAsia"/>
                <w:color w:val="auto"/>
                <w:spacing w:val="4"/>
                <w:sz w:val="21"/>
                <w:szCs w:val="21"/>
                <w:highlight w:val="none"/>
                <w:lang w:eastAsia="zh-CN"/>
              </w:rPr>
              <w:t>；</w:t>
            </w:r>
            <w:r>
              <w:rPr>
                <w:rFonts w:hint="eastAsia" w:asciiTheme="minorEastAsia" w:hAnsiTheme="minorEastAsia" w:eastAsiaTheme="minorEastAsia" w:cstheme="minorEastAsia"/>
                <w:color w:val="auto"/>
                <w:spacing w:val="4"/>
                <w:sz w:val="21"/>
                <w:szCs w:val="21"/>
                <w:highlight w:val="none"/>
              </w:rPr>
              <w:t>联合体投标的，各成员证书均认可。</w:t>
            </w:r>
          </w:p>
        </w:tc>
      </w:tr>
      <w:tr w14:paraId="55824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0" w:hRule="atLeast"/>
          <w:jc w:val="center"/>
        </w:trPr>
        <w:tc>
          <w:tcPr>
            <w:tcW w:w="738" w:type="dxa"/>
            <w:vMerge w:val="continue"/>
            <w:noWrap w:val="0"/>
            <w:vAlign w:val="center"/>
          </w:tcPr>
          <w:p w14:paraId="74125717">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58005783">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lang w:val="en-US" w:eastAsia="zh-CN"/>
              </w:rPr>
            </w:pPr>
          </w:p>
        </w:tc>
        <w:tc>
          <w:tcPr>
            <w:tcW w:w="1100" w:type="dxa"/>
            <w:noWrap w:val="0"/>
            <w:vAlign w:val="center"/>
          </w:tcPr>
          <w:p w14:paraId="03A07D97">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企业荣誉</w:t>
            </w:r>
          </w:p>
        </w:tc>
        <w:tc>
          <w:tcPr>
            <w:tcW w:w="800" w:type="dxa"/>
            <w:noWrap w:val="0"/>
            <w:vAlign w:val="center"/>
          </w:tcPr>
          <w:p w14:paraId="0582C18E">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eastAsia" w:asciiTheme="minorEastAsia" w:hAnsiTheme="minorEastAsia" w:eastAsiaTheme="minorEastAsia" w:cstheme="minorEastAsia"/>
                <w:color w:val="auto"/>
                <w:spacing w:val="4"/>
                <w:sz w:val="21"/>
                <w:szCs w:val="21"/>
                <w:highlight w:val="none"/>
                <w:lang w:val="en-US" w:eastAsia="zh-CN"/>
              </w:rPr>
            </w:pPr>
            <w:r>
              <w:rPr>
                <w:rFonts w:hint="eastAsia" w:asciiTheme="minorEastAsia" w:hAnsiTheme="minorEastAsia" w:eastAsiaTheme="minorEastAsia" w:cstheme="minorEastAsia"/>
                <w:color w:val="auto"/>
                <w:spacing w:val="4"/>
                <w:sz w:val="21"/>
                <w:szCs w:val="21"/>
                <w:highlight w:val="none"/>
                <w:lang w:val="en-US" w:eastAsia="zh-CN"/>
              </w:rPr>
              <w:t>4</w:t>
            </w:r>
          </w:p>
        </w:tc>
        <w:tc>
          <w:tcPr>
            <w:tcW w:w="6586" w:type="dxa"/>
            <w:noWrap w:val="0"/>
            <w:vAlign w:val="center"/>
          </w:tcPr>
          <w:p w14:paraId="74397321">
            <w:pPr>
              <w:pStyle w:val="55"/>
              <w:keepNext w:val="0"/>
              <w:keepLines w:val="0"/>
              <w:pageBreakBefore w:val="0"/>
              <w:kinsoku/>
              <w:wordWrap/>
              <w:overflowPunct/>
              <w:topLinePunct w:val="0"/>
              <w:autoSpaceDE/>
              <w:autoSpaceDN/>
              <w:bidi w:val="0"/>
              <w:adjustRightInd w:val="0"/>
              <w:snapToGrid w:val="0"/>
              <w:spacing w:line="400" w:lineRule="exact"/>
              <w:jc w:val="left"/>
              <w:textAlignment w:val="auto"/>
              <w:rPr>
                <w:rFonts w:hint="eastAsia" w:asciiTheme="minorEastAsia" w:hAnsiTheme="minorEastAsia" w:eastAsiaTheme="minorEastAsia" w:cstheme="minorEastAsia"/>
                <w:color w:val="auto"/>
                <w:spacing w:val="4"/>
                <w:sz w:val="21"/>
                <w:szCs w:val="21"/>
                <w:highlight w:val="none"/>
                <w:lang w:val="en-US" w:eastAsia="zh-CN"/>
              </w:rPr>
            </w:pPr>
            <w:r>
              <w:rPr>
                <w:rFonts w:hint="eastAsia" w:asciiTheme="minorEastAsia" w:hAnsiTheme="minorEastAsia" w:eastAsiaTheme="minorEastAsia" w:cstheme="minorEastAsia"/>
                <w:color w:val="auto"/>
                <w:spacing w:val="4"/>
                <w:sz w:val="21"/>
                <w:szCs w:val="21"/>
                <w:highlight w:val="none"/>
              </w:rPr>
              <w:t>投标人自202</w:t>
            </w:r>
            <w:r>
              <w:rPr>
                <w:rFonts w:hint="eastAsia" w:asciiTheme="minorEastAsia" w:hAnsiTheme="minorEastAsia" w:eastAsiaTheme="minorEastAsia" w:cstheme="minorEastAsia"/>
                <w:color w:val="auto"/>
                <w:spacing w:val="4"/>
                <w:sz w:val="21"/>
                <w:szCs w:val="21"/>
                <w:highlight w:val="none"/>
                <w:lang w:val="en-US" w:eastAsia="zh-CN"/>
              </w:rPr>
              <w:t>1</w:t>
            </w:r>
            <w:r>
              <w:rPr>
                <w:rFonts w:hint="eastAsia" w:asciiTheme="minorEastAsia" w:hAnsiTheme="minorEastAsia" w:eastAsiaTheme="minorEastAsia" w:cstheme="minorEastAsia"/>
                <w:color w:val="auto"/>
                <w:spacing w:val="4"/>
                <w:sz w:val="21"/>
                <w:szCs w:val="21"/>
                <w:highlight w:val="none"/>
              </w:rPr>
              <w:t>年1月1日至投标截止时间止（以</w:t>
            </w:r>
            <w:r>
              <w:rPr>
                <w:rFonts w:hint="eastAsia" w:asciiTheme="minorEastAsia" w:hAnsiTheme="minorEastAsia" w:eastAsiaTheme="minorEastAsia" w:cstheme="minorEastAsia"/>
                <w:color w:val="auto"/>
                <w:sz w:val="21"/>
                <w:szCs w:val="21"/>
                <w:highlight w:val="none"/>
                <w:lang w:val="en-US" w:eastAsia="zh-CN"/>
              </w:rPr>
              <w:t>表彰、荣誉证书（或相关获奖证明文件）</w:t>
            </w:r>
            <w:r>
              <w:rPr>
                <w:rFonts w:hint="eastAsia" w:asciiTheme="minorEastAsia" w:hAnsiTheme="minorEastAsia" w:eastAsiaTheme="minorEastAsia" w:cstheme="minorEastAsia"/>
                <w:color w:val="auto"/>
                <w:spacing w:val="4"/>
                <w:sz w:val="21"/>
                <w:szCs w:val="21"/>
                <w:highlight w:val="none"/>
              </w:rPr>
              <w:t>颁发时间为准）</w:t>
            </w:r>
            <w:r>
              <w:rPr>
                <w:rFonts w:hint="eastAsia" w:asciiTheme="minorEastAsia" w:hAnsiTheme="minorEastAsia" w:eastAsiaTheme="minorEastAsia" w:cstheme="minorEastAsia"/>
                <w:color w:val="auto"/>
                <w:spacing w:val="4"/>
                <w:sz w:val="21"/>
                <w:szCs w:val="21"/>
                <w:highlight w:val="none"/>
                <w:lang w:eastAsia="zh-CN"/>
              </w:rPr>
              <w:t>，</w:t>
            </w:r>
            <w:r>
              <w:rPr>
                <w:rFonts w:hint="eastAsia" w:asciiTheme="minorEastAsia" w:hAnsiTheme="minorEastAsia" w:eastAsiaTheme="minorEastAsia" w:cstheme="minorEastAsia"/>
                <w:color w:val="auto"/>
                <w:spacing w:val="4"/>
                <w:sz w:val="21"/>
                <w:szCs w:val="21"/>
                <w:highlight w:val="none"/>
              </w:rPr>
              <w:t>承担的水利类项目</w:t>
            </w:r>
            <w:r>
              <w:rPr>
                <w:rFonts w:hint="eastAsia" w:asciiTheme="minorEastAsia" w:hAnsiTheme="minorEastAsia" w:eastAsiaTheme="minorEastAsia" w:cstheme="minorEastAsia"/>
                <w:color w:val="auto"/>
                <w:spacing w:val="4"/>
                <w:sz w:val="21"/>
                <w:szCs w:val="21"/>
                <w:highlight w:val="none"/>
                <w:lang w:val="en-US" w:eastAsia="zh-CN"/>
              </w:rPr>
              <w:t>获得市级政府部门颁发的相关表彰、荣誉的，每个得0.5分；获得省级及以上政府部门颁发的相关表彰、荣誉的，每个得1分；同一项目获得的表彰、荣誉以最高奖项计分，不可累计；本项最高得4分。</w:t>
            </w:r>
          </w:p>
          <w:p w14:paraId="2635BA16">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rPr>
                <w:rFonts w:hint="eastAsia" w:asciiTheme="minorEastAsia" w:hAnsiTheme="minorEastAsia" w:eastAsiaTheme="minorEastAsia" w:cstheme="minorEastAsia"/>
                <w:color w:val="auto"/>
                <w:spacing w:val="4"/>
                <w:sz w:val="21"/>
                <w:szCs w:val="21"/>
                <w:highlight w:val="none"/>
              </w:rPr>
            </w:pPr>
            <w:r>
              <w:rPr>
                <w:rFonts w:hint="eastAsia" w:asciiTheme="minorEastAsia" w:hAnsiTheme="minorEastAsia" w:eastAsiaTheme="minorEastAsia" w:cstheme="minorEastAsia"/>
                <w:color w:val="auto"/>
                <w:spacing w:val="4"/>
                <w:sz w:val="21"/>
                <w:szCs w:val="21"/>
                <w:highlight w:val="none"/>
              </w:rPr>
              <w:t>注：</w:t>
            </w:r>
            <w:r>
              <w:rPr>
                <w:rFonts w:hint="eastAsia" w:asciiTheme="minorEastAsia" w:hAnsiTheme="minorEastAsia" w:eastAsiaTheme="minorEastAsia" w:cstheme="minorEastAsia"/>
                <w:color w:val="auto"/>
                <w:sz w:val="21"/>
                <w:szCs w:val="21"/>
                <w:highlight w:val="none"/>
                <w:lang w:val="en-US" w:eastAsia="zh-CN"/>
              </w:rPr>
              <w:t>提供</w:t>
            </w:r>
            <w:r>
              <w:rPr>
                <w:rFonts w:hint="eastAsia" w:asciiTheme="minorEastAsia" w:hAnsiTheme="minorEastAsia" w:eastAsiaTheme="minorEastAsia" w:cstheme="minorEastAsia"/>
                <w:color w:val="auto"/>
                <w:spacing w:val="4"/>
                <w:sz w:val="21"/>
                <w:szCs w:val="21"/>
                <w:highlight w:val="none"/>
                <w:lang w:val="en-US" w:eastAsia="zh-CN"/>
              </w:rPr>
              <w:t>政府部门颁发的</w:t>
            </w:r>
            <w:r>
              <w:rPr>
                <w:rFonts w:hint="eastAsia" w:asciiTheme="minorEastAsia" w:hAnsiTheme="minorEastAsia" w:eastAsiaTheme="minorEastAsia" w:cstheme="minorEastAsia"/>
                <w:color w:val="auto"/>
                <w:sz w:val="21"/>
                <w:szCs w:val="21"/>
                <w:highlight w:val="none"/>
                <w:lang w:val="en-US" w:eastAsia="zh-CN"/>
              </w:rPr>
              <w:t>表彰、荣誉证书（或相关获奖证明文件）扫描件（加盖投标人公章）计分；</w:t>
            </w:r>
            <w:r>
              <w:rPr>
                <w:rFonts w:hint="eastAsia" w:asciiTheme="minorEastAsia" w:hAnsiTheme="minorEastAsia" w:eastAsiaTheme="minorEastAsia" w:cstheme="minorEastAsia"/>
                <w:color w:val="auto"/>
                <w:spacing w:val="4"/>
                <w:sz w:val="21"/>
                <w:szCs w:val="21"/>
                <w:highlight w:val="none"/>
              </w:rPr>
              <w:t>行业协会、学会、商会等非政府部门颁发的证书不予认可</w:t>
            </w:r>
            <w:r>
              <w:rPr>
                <w:rFonts w:hint="eastAsia" w:asciiTheme="minorEastAsia" w:hAnsiTheme="minorEastAsia" w:eastAsiaTheme="minorEastAsia" w:cstheme="minorEastAsia"/>
                <w:color w:val="auto"/>
                <w:spacing w:val="4"/>
                <w:sz w:val="21"/>
                <w:szCs w:val="21"/>
                <w:highlight w:val="none"/>
                <w:lang w:eastAsia="zh-CN"/>
              </w:rPr>
              <w:t>；</w:t>
            </w:r>
            <w:r>
              <w:rPr>
                <w:rFonts w:hint="eastAsia" w:asciiTheme="minorEastAsia" w:hAnsiTheme="minorEastAsia" w:eastAsiaTheme="minorEastAsia" w:cstheme="minorEastAsia"/>
                <w:color w:val="auto"/>
                <w:szCs w:val="21"/>
                <w:highlight w:val="none"/>
              </w:rPr>
              <w:t>联合体投标的，各成员</w:t>
            </w:r>
            <w:r>
              <w:rPr>
                <w:rFonts w:hint="eastAsia" w:asciiTheme="minorEastAsia" w:hAnsiTheme="minorEastAsia" w:eastAsiaTheme="minorEastAsia" w:cstheme="minorEastAsia"/>
                <w:color w:val="auto"/>
                <w:szCs w:val="21"/>
                <w:highlight w:val="none"/>
                <w:lang w:val="en-US" w:eastAsia="zh-CN"/>
              </w:rPr>
              <w:t>表彰、荣誉</w:t>
            </w:r>
            <w:r>
              <w:rPr>
                <w:rFonts w:hint="eastAsia" w:asciiTheme="minorEastAsia" w:hAnsiTheme="minorEastAsia" w:eastAsiaTheme="minorEastAsia" w:cstheme="minorEastAsia"/>
                <w:color w:val="auto"/>
                <w:szCs w:val="21"/>
                <w:highlight w:val="none"/>
              </w:rPr>
              <w:t>均认可。</w:t>
            </w:r>
          </w:p>
        </w:tc>
      </w:tr>
      <w:tr w14:paraId="00BC1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0" w:hRule="atLeast"/>
          <w:jc w:val="center"/>
        </w:trPr>
        <w:tc>
          <w:tcPr>
            <w:tcW w:w="738" w:type="dxa"/>
            <w:vMerge w:val="continue"/>
            <w:noWrap w:val="0"/>
            <w:vAlign w:val="center"/>
          </w:tcPr>
          <w:p w14:paraId="038904AA">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503A15E0">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noWrap w:val="0"/>
            <w:vAlign w:val="center"/>
          </w:tcPr>
          <w:p w14:paraId="7D60ECCA">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项目</w:t>
            </w:r>
            <w:r>
              <w:rPr>
                <w:rFonts w:hint="eastAsia" w:asciiTheme="minorEastAsia" w:hAnsiTheme="minorEastAsia" w:eastAsiaTheme="minorEastAsia" w:cstheme="minorEastAsia"/>
                <w:color w:val="auto"/>
                <w:sz w:val="21"/>
                <w:szCs w:val="21"/>
                <w:highlight w:val="none"/>
                <w:lang w:val="en-US" w:eastAsia="zh-CN"/>
              </w:rPr>
              <w:t>负责人</w:t>
            </w:r>
            <w:r>
              <w:rPr>
                <w:rFonts w:hint="eastAsia" w:asciiTheme="minorEastAsia" w:hAnsiTheme="minorEastAsia" w:eastAsiaTheme="minorEastAsia" w:cstheme="minorEastAsia"/>
                <w:color w:val="auto"/>
                <w:sz w:val="21"/>
                <w:szCs w:val="21"/>
                <w:highlight w:val="none"/>
              </w:rPr>
              <w:t>素质</w:t>
            </w:r>
          </w:p>
        </w:tc>
        <w:tc>
          <w:tcPr>
            <w:tcW w:w="800" w:type="dxa"/>
            <w:noWrap w:val="0"/>
            <w:vAlign w:val="center"/>
          </w:tcPr>
          <w:p w14:paraId="2B479277">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eastAsia" w:asciiTheme="minorEastAsia" w:hAnsiTheme="minorEastAsia" w:eastAsiaTheme="minorEastAsia" w:cstheme="minorEastAsia"/>
                <w:color w:val="auto"/>
                <w:spacing w:val="4"/>
                <w:sz w:val="21"/>
                <w:szCs w:val="21"/>
                <w:highlight w:val="none"/>
                <w:lang w:val="en-US" w:eastAsia="zh-CN"/>
              </w:rPr>
            </w:pPr>
            <w:r>
              <w:rPr>
                <w:rFonts w:hint="eastAsia" w:asciiTheme="minorEastAsia" w:hAnsiTheme="minorEastAsia" w:eastAsiaTheme="minorEastAsia" w:cstheme="minorEastAsia"/>
                <w:color w:val="auto"/>
                <w:spacing w:val="4"/>
                <w:sz w:val="21"/>
                <w:szCs w:val="21"/>
                <w:highlight w:val="none"/>
                <w:lang w:val="en-US" w:eastAsia="zh-CN"/>
              </w:rPr>
              <w:t>6</w:t>
            </w:r>
          </w:p>
        </w:tc>
        <w:tc>
          <w:tcPr>
            <w:tcW w:w="6586" w:type="dxa"/>
            <w:shd w:val="clear" w:color="auto" w:fill="auto"/>
            <w:noWrap w:val="0"/>
            <w:vAlign w:val="center"/>
          </w:tcPr>
          <w:p w14:paraId="6700093D">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bCs/>
                <w:color w:val="auto"/>
                <w:sz w:val="21"/>
                <w:szCs w:val="21"/>
                <w:highlight w:val="none"/>
                <w:lang w:val="en-US" w:eastAsia="zh-CN"/>
              </w:rPr>
            </w:pPr>
            <w:r>
              <w:rPr>
                <w:rFonts w:hint="eastAsia" w:asciiTheme="minorEastAsia" w:hAnsiTheme="minorEastAsia" w:eastAsiaTheme="minorEastAsia" w:cstheme="minorEastAsia"/>
                <w:bCs/>
                <w:color w:val="auto"/>
                <w:sz w:val="21"/>
                <w:szCs w:val="21"/>
                <w:highlight w:val="none"/>
                <w:lang w:val="en-US" w:eastAsia="zh-CN"/>
              </w:rPr>
              <w:t>1、投标人拟派本项目的项目负责人（如联合体投标的，项目负责人由联合体牵头单位拟派）具有水利规划设计专业正高级工程师职称的得3分；具有水利规划设计专业高级工程师职称的得1分；本项最高得3分。</w:t>
            </w:r>
          </w:p>
          <w:p w14:paraId="10365F5C">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bCs/>
                <w:color w:val="auto"/>
                <w:sz w:val="21"/>
                <w:szCs w:val="21"/>
                <w:highlight w:val="none"/>
                <w:lang w:val="en-US" w:eastAsia="zh-CN"/>
              </w:rPr>
            </w:pPr>
            <w:r>
              <w:rPr>
                <w:rFonts w:hint="eastAsia" w:asciiTheme="minorEastAsia" w:hAnsiTheme="minorEastAsia" w:eastAsiaTheme="minorEastAsia" w:cstheme="minorEastAsia"/>
                <w:bCs/>
                <w:color w:val="auto"/>
                <w:sz w:val="21"/>
                <w:szCs w:val="21"/>
                <w:highlight w:val="none"/>
                <w:lang w:val="en-US" w:eastAsia="zh-CN"/>
              </w:rPr>
              <w:t>2、投标人拟派本项目的项目负责人（如联合体投标的，项目负责人由联合体牵头单位拟派）具有咨询工程师（投资）证书的得3分。</w:t>
            </w:r>
          </w:p>
          <w:p w14:paraId="074CDF7B">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b/>
                <w:color w:val="auto"/>
                <w:kern w:val="2"/>
                <w:sz w:val="21"/>
                <w:szCs w:val="21"/>
                <w:highlight w:val="none"/>
                <w:lang w:val="en-US" w:eastAsia="zh-CN" w:bidi="ar-SA"/>
              </w:rPr>
            </w:pPr>
            <w:r>
              <w:rPr>
                <w:rFonts w:hint="eastAsia" w:asciiTheme="minorEastAsia" w:hAnsiTheme="minorEastAsia" w:eastAsiaTheme="minorEastAsia" w:cstheme="minorEastAsia"/>
                <w:bCs/>
                <w:color w:val="auto"/>
                <w:sz w:val="21"/>
                <w:szCs w:val="21"/>
                <w:highlight w:val="none"/>
                <w:lang w:val="en-US" w:eastAsia="zh-CN"/>
              </w:rPr>
              <w:t>注：提供上述证书及有效的社保证明（2025年1月、2月、3月）扫描件（加盖投标人公章）计分。</w:t>
            </w:r>
          </w:p>
        </w:tc>
      </w:tr>
      <w:tr w14:paraId="50552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5" w:hRule="atLeast"/>
          <w:jc w:val="center"/>
        </w:trPr>
        <w:tc>
          <w:tcPr>
            <w:tcW w:w="738" w:type="dxa"/>
            <w:vMerge w:val="continue"/>
            <w:noWrap w:val="0"/>
            <w:vAlign w:val="center"/>
          </w:tcPr>
          <w:p w14:paraId="541624AF">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1AA85C67">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noWrap w:val="0"/>
            <w:vAlign w:val="center"/>
          </w:tcPr>
          <w:p w14:paraId="30189145">
            <w:pPr>
              <w:keepNext w:val="0"/>
              <w:keepLines w:val="0"/>
              <w:pageBreakBefore w:val="0"/>
              <w:kinsoku/>
              <w:wordWrap/>
              <w:overflowPunct/>
              <w:topLinePunct w:val="0"/>
              <w:autoSpaceDE/>
              <w:autoSpaceDN/>
              <w:bidi w:val="0"/>
              <w:spacing w:line="400" w:lineRule="exact"/>
              <w:jc w:val="center"/>
              <w:textAlignment w:val="auto"/>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项目组成员素质</w:t>
            </w:r>
          </w:p>
        </w:tc>
        <w:tc>
          <w:tcPr>
            <w:tcW w:w="800" w:type="dxa"/>
            <w:noWrap w:val="0"/>
            <w:vAlign w:val="center"/>
          </w:tcPr>
          <w:p w14:paraId="2DB02F51">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default" w:asciiTheme="minorEastAsia" w:hAnsiTheme="minorEastAsia" w:eastAsiaTheme="minorEastAsia" w:cstheme="minorEastAsia"/>
                <w:color w:val="auto"/>
                <w:spacing w:val="4"/>
                <w:sz w:val="21"/>
                <w:szCs w:val="21"/>
                <w:highlight w:val="none"/>
                <w:lang w:val="en-US" w:eastAsia="zh-CN"/>
              </w:rPr>
            </w:pPr>
            <w:r>
              <w:rPr>
                <w:rFonts w:hint="eastAsia" w:asciiTheme="minorEastAsia" w:hAnsiTheme="minorEastAsia" w:eastAsiaTheme="minorEastAsia" w:cstheme="minorEastAsia"/>
                <w:color w:val="auto"/>
                <w:spacing w:val="4"/>
                <w:sz w:val="21"/>
                <w:szCs w:val="21"/>
                <w:highlight w:val="none"/>
                <w:lang w:val="en-US" w:eastAsia="zh-CN"/>
              </w:rPr>
              <w:t>10</w:t>
            </w:r>
          </w:p>
        </w:tc>
        <w:tc>
          <w:tcPr>
            <w:tcW w:w="6586" w:type="dxa"/>
            <w:shd w:val="clear" w:color="auto" w:fill="auto"/>
            <w:noWrap w:val="0"/>
            <w:vAlign w:val="center"/>
          </w:tcPr>
          <w:p w14:paraId="2FAF30B5">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bCs/>
                <w:color w:val="auto"/>
                <w:sz w:val="21"/>
                <w:szCs w:val="21"/>
                <w:highlight w:val="none"/>
                <w:lang w:val="en-US" w:eastAsia="zh-CN"/>
              </w:rPr>
            </w:pPr>
            <w:r>
              <w:rPr>
                <w:rFonts w:hint="eastAsia" w:asciiTheme="minorEastAsia" w:hAnsiTheme="minorEastAsia" w:eastAsiaTheme="minorEastAsia" w:cstheme="minorEastAsia"/>
                <w:bCs/>
                <w:color w:val="auto"/>
                <w:sz w:val="21"/>
                <w:szCs w:val="21"/>
                <w:highlight w:val="none"/>
              </w:rPr>
              <w:t>投标人拟派本项目</w:t>
            </w:r>
            <w:r>
              <w:rPr>
                <w:rFonts w:hint="eastAsia" w:asciiTheme="minorEastAsia" w:hAnsiTheme="minorEastAsia" w:eastAsiaTheme="minorEastAsia" w:cstheme="minorEastAsia"/>
                <w:bCs/>
                <w:color w:val="auto"/>
                <w:sz w:val="21"/>
                <w:szCs w:val="21"/>
                <w:highlight w:val="none"/>
                <w:lang w:val="en-US" w:eastAsia="zh-CN"/>
              </w:rPr>
              <w:t>的项目组人员（除项目负责人)：具有水文、水利规划设计、水资源、水利工程、水环境（或水生态）专业高级工程师及以上职称的，每人得2分，本项最高得10分。</w:t>
            </w:r>
          </w:p>
          <w:p w14:paraId="1B6166CA">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bCs/>
                <w:color w:val="auto"/>
                <w:sz w:val="21"/>
                <w:szCs w:val="21"/>
                <w:highlight w:val="none"/>
                <w:lang w:val="en-US" w:eastAsia="zh-CN"/>
              </w:rPr>
            </w:pPr>
            <w:r>
              <w:rPr>
                <w:rFonts w:hint="eastAsia" w:asciiTheme="minorEastAsia" w:hAnsiTheme="minorEastAsia" w:eastAsiaTheme="minorEastAsia" w:cstheme="minorEastAsia"/>
                <w:bCs/>
                <w:color w:val="auto"/>
                <w:sz w:val="21"/>
                <w:szCs w:val="21"/>
                <w:highlight w:val="none"/>
                <w:lang w:val="en-US" w:eastAsia="zh-CN"/>
              </w:rPr>
              <w:t>注：同一人具有多本专业职称证书或多个人具有同一专业职称证书均不重复计分；提供职称证书</w:t>
            </w:r>
            <w:r>
              <w:rPr>
                <w:rFonts w:hint="eastAsia" w:asciiTheme="minorEastAsia" w:hAnsiTheme="minorEastAsia" w:eastAsiaTheme="minorEastAsia" w:cstheme="minorEastAsia"/>
                <w:bCs/>
                <w:color w:val="auto"/>
                <w:sz w:val="21"/>
                <w:szCs w:val="21"/>
                <w:highlight w:val="none"/>
              </w:rPr>
              <w:t>及</w:t>
            </w:r>
            <w:r>
              <w:rPr>
                <w:rFonts w:hint="eastAsia" w:asciiTheme="minorEastAsia" w:hAnsiTheme="minorEastAsia" w:eastAsiaTheme="minorEastAsia" w:cstheme="minorEastAsia"/>
                <w:bCs/>
                <w:color w:val="auto"/>
                <w:sz w:val="21"/>
                <w:szCs w:val="21"/>
                <w:highlight w:val="none"/>
                <w:lang w:val="en-US" w:eastAsia="zh-CN"/>
              </w:rPr>
              <w:t>有效的</w:t>
            </w:r>
            <w:r>
              <w:rPr>
                <w:rFonts w:hint="eastAsia" w:asciiTheme="minorEastAsia" w:hAnsiTheme="minorEastAsia" w:eastAsiaTheme="minorEastAsia" w:cstheme="minorEastAsia"/>
                <w:color w:val="auto"/>
                <w:kern w:val="2"/>
                <w:sz w:val="21"/>
                <w:szCs w:val="21"/>
                <w:highlight w:val="none"/>
                <w:lang w:val="en-US" w:eastAsia="zh-CN" w:bidi="ar-SA"/>
              </w:rPr>
              <w:t>社保证明（2025年1月、2月、3月）扫描件（加盖投标人公章）计分。</w:t>
            </w:r>
          </w:p>
        </w:tc>
      </w:tr>
      <w:tr w14:paraId="3E368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5" w:hRule="atLeast"/>
          <w:jc w:val="center"/>
        </w:trPr>
        <w:tc>
          <w:tcPr>
            <w:tcW w:w="738" w:type="dxa"/>
            <w:vMerge w:val="continue"/>
            <w:noWrap w:val="0"/>
            <w:vAlign w:val="center"/>
          </w:tcPr>
          <w:p w14:paraId="4BBF3319">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restart"/>
            <w:noWrap w:val="0"/>
            <w:vAlign w:val="center"/>
          </w:tcPr>
          <w:p w14:paraId="4A9F5B5C">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技术</w:t>
            </w:r>
          </w:p>
          <w:p w14:paraId="53534A1F">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部分</w:t>
            </w:r>
            <w:r>
              <w:rPr>
                <w:rFonts w:hint="eastAsia" w:asciiTheme="minorEastAsia" w:hAnsiTheme="minorEastAsia" w:eastAsiaTheme="minorEastAsia" w:cstheme="minorEastAsia"/>
                <w:color w:val="auto"/>
                <w:sz w:val="21"/>
                <w:szCs w:val="21"/>
                <w:highlight w:val="none"/>
                <w:lang w:val="en-US" w:eastAsia="zh-CN"/>
              </w:rPr>
              <w:t>61</w:t>
            </w:r>
            <w:r>
              <w:rPr>
                <w:rFonts w:hint="eastAsia" w:asciiTheme="minorEastAsia" w:hAnsiTheme="minorEastAsia" w:eastAsiaTheme="minorEastAsia" w:cstheme="minorEastAsia"/>
                <w:color w:val="auto"/>
                <w:sz w:val="21"/>
                <w:szCs w:val="21"/>
                <w:highlight w:val="none"/>
              </w:rPr>
              <w:t>分</w:t>
            </w:r>
          </w:p>
        </w:tc>
        <w:tc>
          <w:tcPr>
            <w:tcW w:w="1100" w:type="dxa"/>
            <w:noWrap w:val="0"/>
            <w:vAlign w:val="center"/>
          </w:tcPr>
          <w:p w14:paraId="766A8FF3">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基础资料掌握情况</w:t>
            </w:r>
          </w:p>
        </w:tc>
        <w:tc>
          <w:tcPr>
            <w:tcW w:w="800" w:type="dxa"/>
            <w:noWrap w:val="0"/>
            <w:vAlign w:val="center"/>
          </w:tcPr>
          <w:p w14:paraId="6FD01692">
            <w:pPr>
              <w:keepNext w:val="0"/>
              <w:keepLines w:val="0"/>
              <w:pageBreakBefore w:val="0"/>
              <w:kinsoku/>
              <w:wordWrap/>
              <w:overflowPunct/>
              <w:topLinePunct w:val="0"/>
              <w:autoSpaceDE/>
              <w:autoSpaceDN/>
              <w:bidi w:val="0"/>
              <w:adjustRightInd w:val="0"/>
              <w:snapToGrid w:val="0"/>
              <w:spacing w:line="400" w:lineRule="exact"/>
              <w:jc w:val="center"/>
              <w:textAlignment w:val="auto"/>
              <w:rPr>
                <w:rFonts w:hint="eastAsia" w:asciiTheme="minorEastAsia" w:hAnsiTheme="minorEastAsia" w:eastAsiaTheme="minorEastAsia" w:cstheme="minorEastAsia"/>
                <w:color w:val="auto"/>
                <w:spacing w:val="4"/>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8</w:t>
            </w:r>
          </w:p>
        </w:tc>
        <w:tc>
          <w:tcPr>
            <w:tcW w:w="6586" w:type="dxa"/>
            <w:tcBorders>
              <w:bottom w:val="single" w:color="000000" w:sz="4" w:space="0"/>
            </w:tcBorders>
            <w:shd w:val="clear" w:color="auto" w:fill="auto"/>
            <w:noWrap w:val="0"/>
            <w:vAlign w:val="center"/>
          </w:tcPr>
          <w:p w14:paraId="11E69207">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根据投标人对本项目的基础资料掌握情况</w:t>
            </w:r>
            <w:r>
              <w:rPr>
                <w:rFonts w:hint="eastAsia" w:asciiTheme="minorEastAsia" w:hAnsiTheme="minorEastAsia" w:eastAsiaTheme="minorEastAsia" w:cstheme="minorEastAsia"/>
                <w:color w:val="auto"/>
                <w:sz w:val="21"/>
                <w:szCs w:val="21"/>
                <w:highlight w:val="none"/>
                <w:lang w:val="en-US" w:eastAsia="zh-CN"/>
              </w:rPr>
              <w:t>横向对比打分</w:t>
            </w:r>
            <w:r>
              <w:rPr>
                <w:rFonts w:hint="eastAsia" w:asciiTheme="minorEastAsia" w:hAnsiTheme="minorEastAsia" w:eastAsiaTheme="minorEastAsia" w:cstheme="minorEastAsia"/>
                <w:color w:val="auto"/>
                <w:sz w:val="21"/>
                <w:szCs w:val="21"/>
                <w:highlight w:val="none"/>
              </w:rPr>
              <w:t>：</w:t>
            </w:r>
          </w:p>
          <w:p w14:paraId="3FC63B36">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1.</w:t>
            </w:r>
            <w:r>
              <w:rPr>
                <w:rFonts w:hint="eastAsia" w:asciiTheme="minorEastAsia" w:hAnsiTheme="minorEastAsia" w:eastAsiaTheme="minorEastAsia" w:cstheme="minorEastAsia"/>
                <w:color w:val="auto"/>
                <w:sz w:val="21"/>
                <w:szCs w:val="21"/>
                <w:highlight w:val="none"/>
              </w:rPr>
              <w:t>具有较好的承担本项目相关工作基础和条件，重视已有基础资料收集和利用，充分了解舟山市水利工作。现状描述全面，分析到位，针对性强，得</w:t>
            </w:r>
            <w:r>
              <w:rPr>
                <w:rFonts w:hint="eastAsia" w:asciiTheme="minorEastAsia" w:hAnsiTheme="minorEastAsia" w:eastAsiaTheme="minorEastAsia" w:cstheme="minorEastAsia"/>
                <w:color w:val="auto"/>
                <w:sz w:val="21"/>
                <w:szCs w:val="21"/>
                <w:highlight w:val="none"/>
                <w:lang w:val="en-US" w:eastAsia="zh-CN"/>
              </w:rPr>
              <w:t>8</w:t>
            </w:r>
            <w:r>
              <w:rPr>
                <w:rFonts w:hint="eastAsia" w:asciiTheme="minorEastAsia" w:hAnsiTheme="minorEastAsia" w:eastAsiaTheme="minorEastAsia" w:cstheme="minorEastAsia"/>
                <w:color w:val="auto"/>
                <w:sz w:val="21"/>
                <w:szCs w:val="21"/>
                <w:highlight w:val="none"/>
              </w:rPr>
              <w:t>分；</w:t>
            </w:r>
          </w:p>
          <w:p w14:paraId="07558A34">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现状</w:t>
            </w:r>
            <w:r>
              <w:rPr>
                <w:rFonts w:hint="eastAsia" w:asciiTheme="minorEastAsia" w:hAnsiTheme="minorEastAsia" w:eastAsiaTheme="minorEastAsia" w:cstheme="minorEastAsia"/>
                <w:color w:val="auto"/>
                <w:sz w:val="21"/>
                <w:szCs w:val="21"/>
                <w:highlight w:val="none"/>
                <w:lang w:val="en-US" w:eastAsia="zh-CN"/>
              </w:rPr>
              <w:t>分析</w:t>
            </w:r>
            <w:r>
              <w:rPr>
                <w:rFonts w:hint="eastAsia" w:asciiTheme="minorEastAsia" w:hAnsiTheme="minorEastAsia" w:eastAsiaTheme="minorEastAsia" w:cstheme="minorEastAsia"/>
                <w:color w:val="auto"/>
                <w:sz w:val="21"/>
                <w:szCs w:val="21"/>
                <w:highlight w:val="none"/>
              </w:rPr>
              <w:t>基本全面，分析基本到位，</w:t>
            </w:r>
            <w:r>
              <w:rPr>
                <w:rFonts w:hint="eastAsia" w:asciiTheme="minorEastAsia" w:hAnsiTheme="minorEastAsia" w:eastAsiaTheme="minorEastAsia" w:cstheme="minorEastAsia"/>
                <w:color w:val="auto"/>
                <w:sz w:val="21"/>
                <w:szCs w:val="21"/>
                <w:highlight w:val="none"/>
                <w:lang w:val="en-US" w:eastAsia="zh-CN"/>
              </w:rPr>
              <w:t>具有一定</w:t>
            </w:r>
            <w:r>
              <w:rPr>
                <w:rFonts w:hint="eastAsia" w:asciiTheme="minorEastAsia" w:hAnsiTheme="minorEastAsia" w:eastAsiaTheme="minorEastAsia" w:cstheme="minorEastAsia"/>
                <w:color w:val="auto"/>
                <w:sz w:val="21"/>
                <w:szCs w:val="21"/>
                <w:highlight w:val="none"/>
              </w:rPr>
              <w:t>针对性，得</w:t>
            </w:r>
            <w:r>
              <w:rPr>
                <w:rFonts w:hint="eastAsia" w:asciiTheme="minorEastAsia" w:hAnsiTheme="minorEastAsia" w:eastAsiaTheme="minorEastAsia" w:cstheme="minorEastAsia"/>
                <w:color w:val="auto"/>
                <w:sz w:val="21"/>
                <w:szCs w:val="21"/>
                <w:highlight w:val="none"/>
                <w:lang w:val="en-US" w:eastAsia="zh-CN"/>
              </w:rPr>
              <w:t>5</w:t>
            </w:r>
            <w:r>
              <w:rPr>
                <w:rFonts w:hint="eastAsia" w:asciiTheme="minorEastAsia" w:hAnsiTheme="minorEastAsia" w:eastAsiaTheme="minorEastAsia" w:cstheme="minorEastAsia"/>
                <w:color w:val="auto"/>
                <w:sz w:val="21"/>
                <w:szCs w:val="21"/>
                <w:highlight w:val="none"/>
              </w:rPr>
              <w:t>分；</w:t>
            </w:r>
          </w:p>
          <w:p w14:paraId="3E1D2678">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3.</w:t>
            </w:r>
            <w:r>
              <w:rPr>
                <w:rFonts w:hint="eastAsia" w:asciiTheme="minorEastAsia" w:hAnsiTheme="minorEastAsia" w:eastAsiaTheme="minorEastAsia" w:cstheme="minorEastAsia"/>
                <w:color w:val="auto"/>
                <w:sz w:val="21"/>
                <w:szCs w:val="21"/>
                <w:highlight w:val="none"/>
              </w:rPr>
              <w:t>现状分析较为简单或存在缺漏，得</w:t>
            </w:r>
            <w:r>
              <w:rPr>
                <w:rFonts w:hint="eastAsia" w:asciiTheme="minorEastAsia" w:hAnsiTheme="minorEastAsia" w:eastAsiaTheme="minorEastAsia" w:cstheme="minorEastAsia"/>
                <w:color w:val="auto"/>
                <w:sz w:val="21"/>
                <w:szCs w:val="21"/>
                <w:highlight w:val="none"/>
                <w:lang w:val="en-US" w:eastAsia="zh-CN"/>
              </w:rPr>
              <w:t>2</w:t>
            </w:r>
            <w:r>
              <w:rPr>
                <w:rFonts w:hint="eastAsia" w:asciiTheme="minorEastAsia" w:hAnsiTheme="minorEastAsia" w:eastAsiaTheme="minorEastAsia" w:cstheme="minorEastAsia"/>
                <w:color w:val="auto"/>
                <w:sz w:val="21"/>
                <w:szCs w:val="21"/>
                <w:highlight w:val="none"/>
              </w:rPr>
              <w:t>分；</w:t>
            </w:r>
          </w:p>
          <w:p w14:paraId="0B4C35A7">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rPr>
              <w:t>未提供此项内容的不得分。</w:t>
            </w:r>
          </w:p>
        </w:tc>
      </w:tr>
      <w:tr w14:paraId="258D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738" w:type="dxa"/>
            <w:vMerge w:val="continue"/>
            <w:noWrap w:val="0"/>
            <w:vAlign w:val="center"/>
          </w:tcPr>
          <w:p w14:paraId="48CDC85C">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34AC711A">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765D9A2C">
            <w:pPr>
              <w:keepNext w:val="0"/>
              <w:keepLines w:val="0"/>
              <w:pageBreakBefore w:val="0"/>
              <w:kinsoku/>
              <w:wordWrap/>
              <w:overflowPunct/>
              <w:topLinePunct w:val="0"/>
              <w:autoSpaceDE/>
              <w:autoSpaceDN/>
              <w:bidi w:val="0"/>
              <w:adjustRightInd/>
              <w:spacing w:line="400" w:lineRule="exact"/>
              <w:jc w:val="center"/>
              <w:textAlignment w:val="auto"/>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val="en-US" w:eastAsia="zh-CN"/>
              </w:rPr>
              <w:t>项目理解</w:t>
            </w:r>
          </w:p>
        </w:tc>
        <w:tc>
          <w:tcPr>
            <w:tcW w:w="800" w:type="dxa"/>
            <w:shd w:val="clear" w:color="auto" w:fill="auto"/>
            <w:noWrap w:val="0"/>
            <w:vAlign w:val="center"/>
          </w:tcPr>
          <w:p w14:paraId="248EDB6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6</w:t>
            </w:r>
          </w:p>
        </w:tc>
        <w:tc>
          <w:tcPr>
            <w:tcW w:w="6586" w:type="dxa"/>
            <w:tcBorders>
              <w:bottom w:val="single" w:color="000000" w:sz="4" w:space="0"/>
            </w:tcBorders>
            <w:shd w:val="clear" w:color="auto" w:fill="auto"/>
            <w:noWrap w:val="0"/>
            <w:vAlign w:val="center"/>
          </w:tcPr>
          <w:p w14:paraId="73B33F8A">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对本项目前期准备、调查情况、项目需求是否全面详细横向对比打分</w:t>
            </w:r>
            <w:r>
              <w:rPr>
                <w:rFonts w:hint="eastAsia" w:asciiTheme="minorEastAsia" w:hAnsiTheme="minorEastAsia" w:eastAsiaTheme="minorEastAsia" w:cstheme="minorEastAsia"/>
                <w:color w:val="auto"/>
                <w:sz w:val="21"/>
                <w:szCs w:val="21"/>
                <w:highlight w:val="none"/>
              </w:rPr>
              <w:t>：</w:t>
            </w:r>
          </w:p>
          <w:p w14:paraId="442D12E5">
            <w:pPr>
              <w:keepNext w:val="0"/>
              <w:keepLines w:val="0"/>
              <w:pageBreakBefore w:val="0"/>
              <w:widowControl/>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1.分析全面、合理，针对性强，得6分；</w:t>
            </w:r>
          </w:p>
          <w:p w14:paraId="2BE3AA43">
            <w:pPr>
              <w:keepNext w:val="0"/>
              <w:keepLines w:val="0"/>
              <w:pageBreakBefore w:val="0"/>
              <w:widowControl/>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2.分析基本全面、合理，针对性较强，得4分；</w:t>
            </w:r>
          </w:p>
          <w:p w14:paraId="4EBA798F">
            <w:pPr>
              <w:keepNext w:val="0"/>
              <w:keepLines w:val="0"/>
              <w:pageBreakBefore w:val="0"/>
              <w:widowControl/>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3.分析较为简单或存在缺漏，得2分；</w:t>
            </w:r>
          </w:p>
          <w:p w14:paraId="59725D7C">
            <w:pPr>
              <w:keepNext w:val="0"/>
              <w:keepLines w:val="0"/>
              <w:pageBreakBefore w:val="0"/>
              <w:widowControl/>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r w14:paraId="3B1F5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3" w:hRule="atLeast"/>
          <w:jc w:val="center"/>
        </w:trPr>
        <w:tc>
          <w:tcPr>
            <w:tcW w:w="738" w:type="dxa"/>
            <w:vMerge w:val="continue"/>
            <w:noWrap w:val="0"/>
            <w:vAlign w:val="center"/>
          </w:tcPr>
          <w:p w14:paraId="4ED1B591">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1AA44E6C">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6807FAE2">
            <w:pPr>
              <w:keepNext w:val="0"/>
              <w:keepLines w:val="0"/>
              <w:pageBreakBefore w:val="0"/>
              <w:widowControl/>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pacing w:val="4"/>
                <w:kern w:val="2"/>
                <w:sz w:val="21"/>
                <w:szCs w:val="21"/>
                <w:highlight w:val="none"/>
                <w:lang w:val="en-US" w:eastAsia="zh-CN" w:bidi="ar-SA"/>
              </w:rPr>
            </w:pPr>
            <w:r>
              <w:rPr>
                <w:rFonts w:hint="eastAsia" w:asciiTheme="minorEastAsia" w:hAnsiTheme="minorEastAsia" w:eastAsiaTheme="minorEastAsia" w:cstheme="minorEastAsia"/>
                <w:color w:val="auto"/>
                <w:spacing w:val="4"/>
                <w:kern w:val="2"/>
                <w:sz w:val="21"/>
                <w:szCs w:val="21"/>
                <w:highlight w:val="none"/>
                <w:lang w:val="en-US" w:eastAsia="zh-CN" w:bidi="ar-SA"/>
              </w:rPr>
              <w:t>总体思路</w:t>
            </w:r>
          </w:p>
        </w:tc>
        <w:tc>
          <w:tcPr>
            <w:tcW w:w="800" w:type="dxa"/>
            <w:shd w:val="clear" w:color="auto" w:fill="auto"/>
            <w:noWrap w:val="0"/>
            <w:vAlign w:val="center"/>
          </w:tcPr>
          <w:p w14:paraId="08A5233F">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pacing w:val="4"/>
                <w:kern w:val="2"/>
                <w:sz w:val="21"/>
                <w:szCs w:val="21"/>
                <w:highlight w:val="none"/>
                <w:lang w:val="en-US" w:eastAsia="zh-CN" w:bidi="ar-SA"/>
              </w:rPr>
            </w:pPr>
            <w:r>
              <w:rPr>
                <w:rFonts w:hint="eastAsia" w:asciiTheme="minorEastAsia" w:hAnsiTheme="minorEastAsia" w:eastAsiaTheme="minorEastAsia" w:cstheme="minorEastAsia"/>
                <w:color w:val="auto"/>
                <w:spacing w:val="4"/>
                <w:kern w:val="2"/>
                <w:sz w:val="21"/>
                <w:szCs w:val="21"/>
                <w:highlight w:val="none"/>
                <w:lang w:val="en-US" w:eastAsia="zh-CN" w:bidi="ar-SA"/>
              </w:rPr>
              <w:t>7</w:t>
            </w:r>
          </w:p>
        </w:tc>
        <w:tc>
          <w:tcPr>
            <w:tcW w:w="6586" w:type="dxa"/>
            <w:tcBorders>
              <w:bottom w:val="single" w:color="000000" w:sz="4" w:space="0"/>
            </w:tcBorders>
            <w:shd w:val="clear" w:color="auto" w:fill="auto"/>
            <w:noWrap w:val="0"/>
            <w:vAlign w:val="center"/>
          </w:tcPr>
          <w:p w14:paraId="7C8B2E37">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对规划总体思路是否与上位规划衔接、清晰全面且具有先进性横向对比打分</w:t>
            </w:r>
            <w:r>
              <w:rPr>
                <w:rFonts w:hint="eastAsia" w:asciiTheme="minorEastAsia" w:hAnsiTheme="minorEastAsia" w:eastAsiaTheme="minorEastAsia" w:cstheme="minorEastAsia"/>
                <w:color w:val="auto"/>
                <w:sz w:val="21"/>
                <w:szCs w:val="21"/>
                <w:highlight w:val="none"/>
              </w:rPr>
              <w:t>：</w:t>
            </w:r>
          </w:p>
          <w:p w14:paraId="6C651497">
            <w:pPr>
              <w:keepNext w:val="0"/>
              <w:keepLines w:val="0"/>
              <w:pageBreakBefore w:val="0"/>
              <w:widowControl/>
              <w:numPr>
                <w:ilvl w:val="0"/>
                <w:numId w:val="0"/>
              </w:numPr>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1.思路清晰全面且具有先进性，得7分；</w:t>
            </w:r>
          </w:p>
          <w:p w14:paraId="224FE4DE">
            <w:pPr>
              <w:keepNext w:val="0"/>
              <w:keepLines w:val="0"/>
              <w:pageBreakBefore w:val="0"/>
              <w:widowControl/>
              <w:numPr>
                <w:ilvl w:val="0"/>
                <w:numId w:val="0"/>
              </w:numPr>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2.思路较为清晰且具有较强先进性，得4分；</w:t>
            </w:r>
          </w:p>
          <w:p w14:paraId="6CA47E8F">
            <w:pPr>
              <w:keepNext w:val="0"/>
              <w:keepLines w:val="0"/>
              <w:pageBreakBefore w:val="0"/>
              <w:widowControl/>
              <w:numPr>
                <w:ilvl w:val="0"/>
                <w:numId w:val="0"/>
              </w:numPr>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3.思路不太清晰，先进性一般，得1分；</w:t>
            </w:r>
          </w:p>
          <w:p w14:paraId="0268EF32">
            <w:pPr>
              <w:keepNext w:val="0"/>
              <w:keepLines w:val="0"/>
              <w:pageBreakBefore w:val="0"/>
              <w:widowControl/>
              <w:numPr>
                <w:ilvl w:val="0"/>
                <w:numId w:val="0"/>
              </w:numPr>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r w14:paraId="1ED65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738" w:type="dxa"/>
            <w:vMerge w:val="continue"/>
            <w:noWrap w:val="0"/>
            <w:vAlign w:val="center"/>
          </w:tcPr>
          <w:p w14:paraId="43E62A2E">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01907A4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233EAF4F">
            <w:pPr>
              <w:keepNext w:val="0"/>
              <w:keepLines w:val="0"/>
              <w:pageBreakBefore w:val="0"/>
              <w:widowControl/>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工作方案</w:t>
            </w:r>
          </w:p>
        </w:tc>
        <w:tc>
          <w:tcPr>
            <w:tcW w:w="800" w:type="dxa"/>
            <w:shd w:val="clear" w:color="auto" w:fill="auto"/>
            <w:noWrap w:val="0"/>
            <w:vAlign w:val="center"/>
          </w:tcPr>
          <w:p w14:paraId="0A8B1D27">
            <w:pPr>
              <w:keepNext w:val="0"/>
              <w:keepLines w:val="0"/>
              <w:pageBreakBefore w:val="0"/>
              <w:widowControl/>
              <w:kinsoku/>
              <w:wordWrap/>
              <w:overflowPunct/>
              <w:topLinePunct w:val="0"/>
              <w:autoSpaceDE/>
              <w:autoSpaceDN/>
              <w:bidi w:val="0"/>
              <w:spacing w:line="400" w:lineRule="exact"/>
              <w:jc w:val="center"/>
              <w:textAlignment w:val="auto"/>
              <w:rPr>
                <w:rFonts w:hint="default"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10</w:t>
            </w:r>
          </w:p>
        </w:tc>
        <w:tc>
          <w:tcPr>
            <w:tcW w:w="6586" w:type="dxa"/>
            <w:tcBorders>
              <w:bottom w:val="single" w:color="000000" w:sz="4" w:space="0"/>
            </w:tcBorders>
            <w:shd w:val="clear" w:color="auto" w:fill="auto"/>
            <w:noWrap w:val="0"/>
            <w:vAlign w:val="center"/>
          </w:tcPr>
          <w:p w14:paraId="3D4EF5F0">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对本项目工作方案内容、工作流程、成果表现形式等三项内容横向对比打分</w:t>
            </w:r>
            <w:r>
              <w:rPr>
                <w:rFonts w:hint="eastAsia" w:asciiTheme="minorEastAsia" w:hAnsiTheme="minorEastAsia" w:eastAsiaTheme="minorEastAsia" w:cstheme="minorEastAsia"/>
                <w:color w:val="auto"/>
                <w:sz w:val="21"/>
                <w:szCs w:val="21"/>
                <w:highlight w:val="none"/>
              </w:rPr>
              <w:t>：</w:t>
            </w:r>
          </w:p>
          <w:p w14:paraId="6A66BC3C">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1.结合项目实际情况，内容全面丰富且逻辑清晰合理，可行性强，</w:t>
            </w:r>
            <w:r>
              <w:rPr>
                <w:rFonts w:hint="default" w:ascii="Times New Roman" w:hAnsi="Times New Roman" w:eastAsia="宋体" w:cs="Times New Roman"/>
                <w:color w:val="auto"/>
                <w:spacing w:val="4"/>
                <w:kern w:val="28"/>
                <w:sz w:val="21"/>
                <w:szCs w:val="21"/>
                <w:highlight w:val="none"/>
                <w:lang w:val="en-US" w:eastAsia="zh-CN" w:bidi="ar"/>
                <w:woUserID w:val="1"/>
              </w:rPr>
              <w:t>描述详细、透彻、合理</w:t>
            </w:r>
            <w:r>
              <w:rPr>
                <w:rFonts w:hint="eastAsia" w:eastAsia="宋体" w:cs="Times New Roman"/>
                <w:color w:val="auto"/>
                <w:spacing w:val="4"/>
                <w:kern w:val="28"/>
                <w:sz w:val="21"/>
                <w:szCs w:val="21"/>
                <w:highlight w:val="none"/>
                <w:lang w:val="en-US" w:eastAsia="zh-CN" w:bidi="ar"/>
                <w:woUserID w:val="1"/>
              </w:rPr>
              <w:t>，</w:t>
            </w:r>
            <w:r>
              <w:rPr>
                <w:rFonts w:hint="eastAsia" w:asciiTheme="minorEastAsia" w:hAnsiTheme="minorEastAsia" w:eastAsiaTheme="minorEastAsia" w:cstheme="minorEastAsia"/>
                <w:color w:val="auto"/>
                <w:sz w:val="21"/>
                <w:szCs w:val="21"/>
                <w:highlight w:val="none"/>
                <w:lang w:val="en-US" w:eastAsia="zh-CN"/>
              </w:rPr>
              <w:t>得10分；</w:t>
            </w:r>
          </w:p>
          <w:p w14:paraId="1B3E9FCF">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2.工作方案</w:t>
            </w:r>
            <w:r>
              <w:rPr>
                <w:rFonts w:ascii="宋体" w:hAnsi="宋体"/>
                <w:color w:val="auto"/>
                <w:szCs w:val="21"/>
                <w:highlight w:val="none"/>
                <w:lang w:bidi="ar"/>
              </w:rPr>
              <w:t>内容</w:t>
            </w:r>
            <w:r>
              <w:rPr>
                <w:rFonts w:hint="eastAsia" w:asciiTheme="minorEastAsia" w:hAnsiTheme="minorEastAsia" w:eastAsiaTheme="minorEastAsia" w:cstheme="minorEastAsia"/>
                <w:color w:val="auto"/>
                <w:sz w:val="21"/>
                <w:szCs w:val="21"/>
                <w:highlight w:val="none"/>
                <w:lang w:val="en-US" w:eastAsia="zh-CN"/>
              </w:rPr>
              <w:t xml:space="preserve">较为详细、基本合理，得7分； </w:t>
            </w:r>
          </w:p>
          <w:p w14:paraId="02A77F82">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3.工作方案内容完整性、合理性均一般，得4分；</w:t>
            </w:r>
          </w:p>
          <w:p w14:paraId="594E9476">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4.工作方案内容完整性差，针对性弱，逻辑不通，得1分；</w:t>
            </w:r>
          </w:p>
          <w:p w14:paraId="58CC9CC2">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r w14:paraId="0728E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38" w:type="dxa"/>
            <w:vMerge w:val="continue"/>
            <w:noWrap w:val="0"/>
            <w:vAlign w:val="center"/>
          </w:tcPr>
          <w:p w14:paraId="45974E9E">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2CF2F7D1">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151F8EA1">
            <w:pPr>
              <w:keepNext w:val="0"/>
              <w:keepLines w:val="0"/>
              <w:pageBreakBefore w:val="0"/>
              <w:kinsoku/>
              <w:wordWrap/>
              <w:overflowPunct/>
              <w:topLinePunct w:val="0"/>
              <w:autoSpaceDE/>
              <w:autoSpaceDN/>
              <w:bidi w:val="0"/>
              <w:adjustRightInd/>
              <w:spacing w:line="400" w:lineRule="exact"/>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rPr>
              <w:t>重点难点分析及应对措施</w:t>
            </w:r>
          </w:p>
        </w:tc>
        <w:tc>
          <w:tcPr>
            <w:tcW w:w="800" w:type="dxa"/>
            <w:shd w:val="clear" w:color="auto" w:fill="auto"/>
            <w:noWrap w:val="0"/>
            <w:vAlign w:val="center"/>
          </w:tcPr>
          <w:p w14:paraId="4C512918">
            <w:pPr>
              <w:pStyle w:val="55"/>
              <w:keepNext w:val="0"/>
              <w:keepLines w:val="0"/>
              <w:pageBreakBefore w:val="0"/>
              <w:kinsoku/>
              <w:wordWrap/>
              <w:overflowPunct/>
              <w:topLinePunct w:val="0"/>
              <w:autoSpaceDE/>
              <w:autoSpaceDN/>
              <w:bidi w:val="0"/>
              <w:adjustRightInd w:val="0"/>
              <w:snapToGrid w:val="0"/>
              <w:spacing w:line="400" w:lineRule="exact"/>
              <w:ind w:left="-107" w:leftChars="-51" w:right="-101" w:rightChars="-48"/>
              <w:jc w:val="center"/>
              <w:textAlignment w:val="auto"/>
              <w:rPr>
                <w:rFonts w:hint="eastAsia" w:asciiTheme="minorEastAsia" w:hAnsiTheme="minorEastAsia" w:eastAsiaTheme="minorEastAsia" w:cstheme="minorEastAsia"/>
                <w:bCs/>
                <w:color w:val="auto"/>
                <w:spacing w:val="4"/>
                <w:kern w:val="2"/>
                <w:sz w:val="21"/>
                <w:szCs w:val="21"/>
                <w:highlight w:val="none"/>
                <w:lang w:val="en-US" w:eastAsia="zh-CN" w:bidi="ar-SA"/>
              </w:rPr>
            </w:pPr>
            <w:r>
              <w:rPr>
                <w:rFonts w:hint="eastAsia" w:asciiTheme="minorEastAsia" w:hAnsiTheme="minorEastAsia" w:eastAsiaTheme="minorEastAsia" w:cstheme="minorEastAsia"/>
                <w:color w:val="auto"/>
                <w:spacing w:val="4"/>
                <w:sz w:val="21"/>
                <w:szCs w:val="21"/>
                <w:highlight w:val="none"/>
                <w:lang w:val="en-US" w:eastAsia="zh-CN"/>
              </w:rPr>
              <w:t>8</w:t>
            </w:r>
          </w:p>
        </w:tc>
        <w:tc>
          <w:tcPr>
            <w:tcW w:w="6586" w:type="dxa"/>
            <w:tcBorders>
              <w:bottom w:val="single" w:color="000000" w:sz="4" w:space="0"/>
            </w:tcBorders>
            <w:shd w:val="clear" w:color="auto" w:fill="auto"/>
            <w:noWrap w:val="0"/>
            <w:vAlign w:val="center"/>
          </w:tcPr>
          <w:p w14:paraId="57DCCC16">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对本项目方案重点的认识是否准确、全面，对方案难点认识是否清晰并有切实可行的解决思路横向对比打分</w:t>
            </w:r>
            <w:r>
              <w:rPr>
                <w:rFonts w:hint="eastAsia" w:asciiTheme="minorEastAsia" w:hAnsiTheme="minorEastAsia" w:eastAsiaTheme="minorEastAsia" w:cstheme="minorEastAsia"/>
                <w:color w:val="auto"/>
                <w:sz w:val="21"/>
                <w:szCs w:val="21"/>
                <w:highlight w:val="none"/>
              </w:rPr>
              <w:t>：</w:t>
            </w:r>
          </w:p>
          <w:p w14:paraId="72D98C79">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1.重难点把握准确、分析到位，措施针对性强，得8分；</w:t>
            </w:r>
          </w:p>
          <w:p w14:paraId="55795E07">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2.重难点把握基本准确、分析基本到位，措施针对性教强，得5分；3.重难点描述较为简单或存在缺漏，得2分；</w:t>
            </w:r>
          </w:p>
          <w:p w14:paraId="13F00BD2">
            <w:pPr>
              <w:keepNext w:val="0"/>
              <w:keepLines w:val="0"/>
              <w:pageBreakBefore w:val="0"/>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r w14:paraId="5E85C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38" w:type="dxa"/>
            <w:vMerge w:val="continue"/>
            <w:noWrap w:val="0"/>
            <w:vAlign w:val="center"/>
          </w:tcPr>
          <w:p w14:paraId="3DE86790">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55391263">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6D2A4117">
            <w:pPr>
              <w:keepNext w:val="0"/>
              <w:keepLines w:val="0"/>
              <w:pageBreakBefore w:val="0"/>
              <w:kinsoku/>
              <w:wordWrap/>
              <w:overflowPunct/>
              <w:topLinePunct w:val="0"/>
              <w:autoSpaceDE/>
              <w:autoSpaceDN/>
              <w:bidi w:val="0"/>
              <w:adjustRightInd/>
              <w:spacing w:line="400" w:lineRule="exact"/>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rPr>
              <w:t>项目进度控制</w:t>
            </w:r>
          </w:p>
        </w:tc>
        <w:tc>
          <w:tcPr>
            <w:tcW w:w="800" w:type="dxa"/>
            <w:shd w:val="clear" w:color="auto" w:fill="auto"/>
            <w:noWrap w:val="0"/>
            <w:vAlign w:val="center"/>
          </w:tcPr>
          <w:p w14:paraId="005B7E7E">
            <w:pPr>
              <w:keepNext w:val="0"/>
              <w:keepLines w:val="0"/>
              <w:pageBreakBefore w:val="0"/>
              <w:widowControl/>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sz w:val="21"/>
                <w:szCs w:val="21"/>
                <w:highlight w:val="none"/>
                <w:lang w:val="en-US" w:eastAsia="zh-CN"/>
              </w:rPr>
              <w:t>8</w:t>
            </w:r>
          </w:p>
        </w:tc>
        <w:tc>
          <w:tcPr>
            <w:tcW w:w="6586" w:type="dxa"/>
            <w:tcBorders>
              <w:bottom w:val="single" w:color="000000" w:sz="4" w:space="0"/>
            </w:tcBorders>
            <w:shd w:val="clear" w:color="auto" w:fill="auto"/>
            <w:noWrap w:val="0"/>
            <w:vAlign w:val="center"/>
          </w:tcPr>
          <w:p w14:paraId="66BB3116">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对本项目进度总体控制计划、实施计划安排是否合理横向对比打分</w:t>
            </w:r>
            <w:r>
              <w:rPr>
                <w:rFonts w:hint="eastAsia" w:asciiTheme="minorEastAsia" w:hAnsiTheme="minorEastAsia" w:eastAsiaTheme="minorEastAsia" w:cstheme="minorEastAsia"/>
                <w:color w:val="auto"/>
                <w:sz w:val="21"/>
                <w:szCs w:val="21"/>
                <w:highlight w:val="none"/>
              </w:rPr>
              <w:t>：</w:t>
            </w:r>
          </w:p>
          <w:p w14:paraId="43A6EC5D">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1.进度总体控制计划全面、实施计划安排完全符合本项目要求，得8分；</w:t>
            </w:r>
          </w:p>
          <w:p w14:paraId="35376CEA">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2.进度总体控制计划基本合理、实施计划安排基本合理，得5分；</w:t>
            </w:r>
          </w:p>
          <w:p w14:paraId="69BAB48E">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3.进度总体控制计划较为简单或存在缺陷、安排不合理，得2分；</w:t>
            </w:r>
          </w:p>
          <w:p w14:paraId="46390500">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r w14:paraId="6EE4C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38" w:type="dxa"/>
            <w:vMerge w:val="continue"/>
            <w:noWrap w:val="0"/>
            <w:vAlign w:val="center"/>
          </w:tcPr>
          <w:p w14:paraId="66339813">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629E8B72">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1F82F21D">
            <w:pPr>
              <w:keepNext w:val="0"/>
              <w:keepLines w:val="0"/>
              <w:pageBreakBefore w:val="0"/>
              <w:kinsoku/>
              <w:wordWrap/>
              <w:overflowPunct/>
              <w:topLinePunct w:val="0"/>
              <w:autoSpaceDE/>
              <w:autoSpaceDN/>
              <w:bidi w:val="0"/>
              <w:adjustRightInd/>
              <w:spacing w:line="400" w:lineRule="exact"/>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rPr>
              <w:t>质量保证措施</w:t>
            </w:r>
          </w:p>
        </w:tc>
        <w:tc>
          <w:tcPr>
            <w:tcW w:w="800" w:type="dxa"/>
            <w:shd w:val="clear" w:color="auto" w:fill="auto"/>
            <w:noWrap w:val="0"/>
            <w:vAlign w:val="center"/>
          </w:tcPr>
          <w:p w14:paraId="26437784">
            <w:pPr>
              <w:keepNext w:val="0"/>
              <w:keepLines w:val="0"/>
              <w:pageBreakBefore w:val="0"/>
              <w:widowControl/>
              <w:kinsoku/>
              <w:wordWrap/>
              <w:overflowPunct/>
              <w:topLinePunct w:val="0"/>
              <w:autoSpaceDE/>
              <w:autoSpaceDN/>
              <w:bidi w:val="0"/>
              <w:spacing w:line="400" w:lineRule="exact"/>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8</w:t>
            </w:r>
          </w:p>
        </w:tc>
        <w:tc>
          <w:tcPr>
            <w:tcW w:w="6586" w:type="dxa"/>
            <w:tcBorders>
              <w:bottom w:val="single" w:color="000000" w:sz="4" w:space="0"/>
            </w:tcBorders>
            <w:shd w:val="clear" w:color="auto" w:fill="auto"/>
            <w:noWrap w:val="0"/>
            <w:vAlign w:val="center"/>
          </w:tcPr>
          <w:p w14:paraId="6EF73623">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对本项目质量保证措施是否全面、详细、有效横向对比打分</w:t>
            </w:r>
            <w:r>
              <w:rPr>
                <w:rFonts w:hint="eastAsia" w:asciiTheme="minorEastAsia" w:hAnsiTheme="minorEastAsia" w:eastAsiaTheme="minorEastAsia" w:cstheme="minorEastAsia"/>
                <w:color w:val="auto"/>
                <w:sz w:val="21"/>
                <w:szCs w:val="21"/>
                <w:highlight w:val="none"/>
              </w:rPr>
              <w:t>：</w:t>
            </w:r>
          </w:p>
          <w:p w14:paraId="22771BD1">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1.质量保证措施全面、具体、有效，得8分；</w:t>
            </w:r>
          </w:p>
          <w:p w14:paraId="630AD5A6">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2.质量保证措施基本详细、具体，得5分；</w:t>
            </w:r>
          </w:p>
          <w:p w14:paraId="75B40AAC">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3.质量保证措施较为简单或存在缺漏的，得2分；</w:t>
            </w:r>
          </w:p>
          <w:p w14:paraId="34F54781">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r w14:paraId="4C435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5" w:hRule="atLeast"/>
          <w:jc w:val="center"/>
        </w:trPr>
        <w:tc>
          <w:tcPr>
            <w:tcW w:w="738" w:type="dxa"/>
            <w:vMerge w:val="continue"/>
            <w:noWrap w:val="0"/>
            <w:vAlign w:val="center"/>
          </w:tcPr>
          <w:p w14:paraId="4E1D2ABB">
            <w:pPr>
              <w:keepNext w:val="0"/>
              <w:keepLines w:val="0"/>
              <w:pageBreakBefore w:val="0"/>
              <w:kinsoku/>
              <w:wordWrap/>
              <w:overflowPunct/>
              <w:topLinePunct w:val="0"/>
              <w:autoSpaceDE/>
              <w:autoSpaceDN/>
              <w:bidi w:val="0"/>
              <w:spacing w:line="400" w:lineRule="exact"/>
              <w:textAlignment w:val="auto"/>
              <w:rPr>
                <w:rFonts w:hint="eastAsia" w:asciiTheme="minorEastAsia" w:hAnsiTheme="minorEastAsia" w:eastAsiaTheme="minorEastAsia" w:cstheme="minorEastAsia"/>
                <w:color w:val="auto"/>
                <w:sz w:val="21"/>
                <w:szCs w:val="21"/>
                <w:highlight w:val="none"/>
              </w:rPr>
            </w:pPr>
          </w:p>
        </w:tc>
        <w:tc>
          <w:tcPr>
            <w:tcW w:w="867" w:type="dxa"/>
            <w:vMerge w:val="continue"/>
            <w:noWrap w:val="0"/>
            <w:vAlign w:val="center"/>
          </w:tcPr>
          <w:p w14:paraId="490F7C23">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auto"/>
                <w:sz w:val="21"/>
                <w:szCs w:val="21"/>
                <w:highlight w:val="none"/>
              </w:rPr>
            </w:pPr>
          </w:p>
        </w:tc>
        <w:tc>
          <w:tcPr>
            <w:tcW w:w="1100" w:type="dxa"/>
            <w:shd w:val="clear" w:color="auto" w:fill="auto"/>
            <w:noWrap w:val="0"/>
            <w:vAlign w:val="center"/>
          </w:tcPr>
          <w:p w14:paraId="0F92C2D2">
            <w:pPr>
              <w:keepNext w:val="0"/>
              <w:keepLines w:val="0"/>
              <w:pageBreakBefore w:val="0"/>
              <w:kinsoku/>
              <w:wordWrap/>
              <w:overflowPunct/>
              <w:topLinePunct w:val="0"/>
              <w:autoSpaceDE/>
              <w:autoSpaceDN/>
              <w:bidi w:val="0"/>
              <w:adjustRightInd/>
              <w:spacing w:line="400" w:lineRule="exact"/>
              <w:jc w:val="center"/>
              <w:textAlignment w:val="auto"/>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rPr>
              <w:t>售后服务方案</w:t>
            </w:r>
          </w:p>
        </w:tc>
        <w:tc>
          <w:tcPr>
            <w:tcW w:w="800" w:type="dxa"/>
            <w:shd w:val="clear" w:color="auto" w:fill="auto"/>
            <w:noWrap w:val="0"/>
            <w:vAlign w:val="center"/>
          </w:tcPr>
          <w:p w14:paraId="1E7B63CB">
            <w:pPr>
              <w:keepNext w:val="0"/>
              <w:keepLines w:val="0"/>
              <w:pageBreakBefore w:val="0"/>
              <w:widowControl/>
              <w:kinsoku/>
              <w:wordWrap/>
              <w:overflowPunct/>
              <w:topLinePunct w:val="0"/>
              <w:autoSpaceDE/>
              <w:autoSpaceDN/>
              <w:bidi w:val="0"/>
              <w:spacing w:line="400" w:lineRule="exact"/>
              <w:jc w:val="center"/>
              <w:textAlignment w:val="auto"/>
              <w:rPr>
                <w:rFonts w:hint="default"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6</w:t>
            </w:r>
          </w:p>
        </w:tc>
        <w:tc>
          <w:tcPr>
            <w:tcW w:w="6586" w:type="dxa"/>
            <w:tcBorders>
              <w:bottom w:val="single" w:color="000000" w:sz="4" w:space="0"/>
            </w:tcBorders>
            <w:shd w:val="clear" w:color="auto" w:fill="auto"/>
            <w:noWrap w:val="0"/>
            <w:vAlign w:val="center"/>
          </w:tcPr>
          <w:p w14:paraId="3F566E05">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en-US" w:eastAsia="zh-CN"/>
              </w:rPr>
              <w:t>根据</w:t>
            </w:r>
            <w:r>
              <w:rPr>
                <w:rFonts w:hint="eastAsia" w:asciiTheme="minorEastAsia" w:hAnsiTheme="minorEastAsia" w:eastAsiaTheme="minorEastAsia" w:cstheme="minorEastAsia"/>
                <w:color w:val="auto"/>
                <w:sz w:val="21"/>
                <w:szCs w:val="21"/>
                <w:highlight w:val="none"/>
              </w:rPr>
              <w:t>投标人</w:t>
            </w:r>
            <w:r>
              <w:rPr>
                <w:rFonts w:hint="eastAsia" w:asciiTheme="minorEastAsia" w:hAnsiTheme="minorEastAsia" w:eastAsiaTheme="minorEastAsia" w:cstheme="minorEastAsia"/>
                <w:color w:val="auto"/>
                <w:sz w:val="21"/>
                <w:szCs w:val="21"/>
                <w:highlight w:val="none"/>
                <w:lang w:val="en-US" w:eastAsia="zh-CN"/>
              </w:rPr>
              <w:t>对本项目售后服务人员及后续保障横向对比打分</w:t>
            </w:r>
            <w:r>
              <w:rPr>
                <w:rFonts w:hint="eastAsia" w:asciiTheme="minorEastAsia" w:hAnsiTheme="minorEastAsia" w:eastAsiaTheme="minorEastAsia" w:cstheme="minorEastAsia"/>
                <w:color w:val="auto"/>
                <w:sz w:val="21"/>
                <w:szCs w:val="21"/>
                <w:highlight w:val="none"/>
              </w:rPr>
              <w:t>：</w:t>
            </w:r>
          </w:p>
          <w:p w14:paraId="20EF2807">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1.后续服务安排合理，服务及时、保证措施完善的，服务人员能在当天到现场处理的，得6分；</w:t>
            </w:r>
          </w:p>
          <w:p w14:paraId="4A8DC155">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2.后续服务安排较为合理的，服务人员能在第二天到现场处理的，得4分；</w:t>
            </w:r>
          </w:p>
          <w:p w14:paraId="14FD86EF">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3.后续服务安排不完善、存在缺漏的，得2分；</w:t>
            </w:r>
          </w:p>
          <w:p w14:paraId="2F8CD1AC">
            <w:pPr>
              <w:keepNext w:val="0"/>
              <w:keepLines w:val="0"/>
              <w:pageBreakBefore w:val="0"/>
              <w:numPr>
                <w:ilvl w:val="0"/>
                <w:numId w:val="0"/>
              </w:numPr>
              <w:kinsoku/>
              <w:wordWrap/>
              <w:overflowPunct/>
              <w:topLinePunct w:val="0"/>
              <w:autoSpaceDE/>
              <w:autoSpaceDN/>
              <w:bidi w:val="0"/>
              <w:spacing w:line="400" w:lineRule="exact"/>
              <w:ind w:leftChars="0"/>
              <w:jc w:val="lef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未提供此项内容的不得分。</w:t>
            </w:r>
          </w:p>
        </w:tc>
      </w:tr>
    </w:tbl>
    <w:p w14:paraId="0C8E0D9B">
      <w:pPr>
        <w:spacing w:before="120" w:line="40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1"/>
          <w:szCs w:val="21"/>
          <w:highlight w:val="none"/>
        </w:rPr>
        <w:br w:type="page"/>
      </w:r>
      <w:r>
        <w:rPr>
          <w:rFonts w:hint="eastAsia" w:ascii="宋体" w:hAnsi="宋体" w:eastAsia="宋体" w:cs="宋体"/>
          <w:b/>
          <w:bCs/>
          <w:color w:val="auto"/>
          <w:sz w:val="32"/>
          <w:szCs w:val="32"/>
          <w:highlight w:val="none"/>
        </w:rPr>
        <w:t>第五章  合同主要条款</w:t>
      </w:r>
    </w:p>
    <w:p w14:paraId="5D57D3A2">
      <w:pPr>
        <w:spacing w:line="440" w:lineRule="exact"/>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（具体条款以甲方为主协商确定）</w:t>
      </w:r>
    </w:p>
    <w:p w14:paraId="61649084">
      <w:pPr>
        <w:pStyle w:val="8"/>
        <w:rPr>
          <w:rFonts w:hint="eastAsia" w:ascii="宋体" w:hAnsi="宋体" w:eastAsia="宋体" w:cs="宋体"/>
          <w:color w:val="auto"/>
          <w:highlight w:val="none"/>
        </w:rPr>
      </w:pPr>
    </w:p>
    <w:p w14:paraId="6E128E00">
      <w:pPr>
        <w:pStyle w:val="9"/>
        <w:keepNext w:val="0"/>
        <w:keepLines w:val="0"/>
        <w:pageBreakBefore w:val="0"/>
        <w:widowControl w:val="0"/>
        <w:kinsoku/>
        <w:wordWrap/>
        <w:overflowPunct/>
        <w:topLinePunct w:val="0"/>
        <w:autoSpaceDE/>
        <w:autoSpaceDN/>
        <w:bidi w:val="0"/>
        <w:spacing w:after="0" w:line="360" w:lineRule="auto"/>
        <w:ind w:firstLine="210"/>
        <w:rPr>
          <w:rFonts w:hint="eastAsia" w:asciiTheme="minorEastAsia" w:hAnsiTheme="minorEastAsia" w:eastAsiaTheme="minorEastAsia" w:cstheme="minorEastAsia"/>
          <w:color w:val="auto"/>
          <w:highlight w:val="none"/>
        </w:rPr>
      </w:pPr>
    </w:p>
    <w:p w14:paraId="359A68CA">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color w:val="auto"/>
          <w:sz w:val="20"/>
          <w:szCs w:val="21"/>
          <w:highlight w:val="none"/>
          <w:u w:val="single"/>
        </w:rPr>
      </w:pPr>
      <w:r>
        <w:rPr>
          <w:rFonts w:hint="eastAsia" w:asciiTheme="minorEastAsia" w:hAnsiTheme="minorEastAsia" w:eastAsiaTheme="minorEastAsia" w:cstheme="minorEastAsia"/>
          <w:color w:val="auto"/>
          <w:szCs w:val="21"/>
          <w:highlight w:val="none"/>
        </w:rPr>
        <w:t>甲方（采购单位）：</w:t>
      </w:r>
    </w:p>
    <w:p w14:paraId="6F05DCA8">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color w:val="auto"/>
          <w:spacing w:val="4"/>
          <w:sz w:val="20"/>
          <w:szCs w:val="21"/>
          <w:highlight w:val="none"/>
        </w:rPr>
      </w:pPr>
      <w:r>
        <w:rPr>
          <w:rFonts w:hint="eastAsia" w:asciiTheme="minorEastAsia" w:hAnsiTheme="minorEastAsia" w:eastAsiaTheme="minorEastAsia" w:cstheme="minorEastAsia"/>
          <w:color w:val="auto"/>
          <w:szCs w:val="21"/>
          <w:highlight w:val="none"/>
        </w:rPr>
        <w:t>乙方（中标单位）：</w:t>
      </w:r>
      <w:r>
        <w:rPr>
          <w:rFonts w:hint="eastAsia" w:asciiTheme="minorEastAsia" w:hAnsiTheme="minorEastAsia" w:eastAsiaTheme="minorEastAsia" w:cstheme="minorEastAsia"/>
          <w:color w:val="auto"/>
          <w:sz w:val="36"/>
          <w:szCs w:val="36"/>
          <w:highlight w:val="none"/>
          <w:u w:val="single" w:color="000000"/>
        </w:rPr>
        <w:t xml:space="preserve">                </w:t>
      </w:r>
    </w:p>
    <w:p w14:paraId="54F4165F">
      <w:pPr>
        <w:keepNext w:val="0"/>
        <w:keepLines w:val="0"/>
        <w:pageBreakBefore w:val="0"/>
        <w:widowControl w:val="0"/>
        <w:kinsoku/>
        <w:wordWrap/>
        <w:overflowPunct/>
        <w:topLinePunct w:val="0"/>
        <w:autoSpaceDE/>
        <w:autoSpaceDN/>
        <w:bidi w:val="0"/>
        <w:snapToGrid w:val="0"/>
        <w:spacing w:line="360" w:lineRule="auto"/>
        <w:ind w:right="6" w:firstLine="436" w:firstLineChars="200"/>
        <w:textAlignment w:val="baseline"/>
        <w:rPr>
          <w:rFonts w:hint="eastAsia" w:asciiTheme="minorEastAsia" w:hAnsiTheme="minorEastAsia" w:eastAsiaTheme="minorEastAsia" w:cstheme="minorEastAsia"/>
          <w:color w:val="auto"/>
          <w:spacing w:val="4"/>
          <w:sz w:val="20"/>
          <w:szCs w:val="21"/>
          <w:highlight w:val="none"/>
        </w:rPr>
      </w:pPr>
      <w:r>
        <w:rPr>
          <w:rFonts w:hint="eastAsia" w:asciiTheme="minorEastAsia" w:hAnsiTheme="minorEastAsia" w:eastAsiaTheme="minorEastAsia" w:cstheme="minorEastAsia"/>
          <w:color w:val="auto"/>
          <w:spacing w:val="4"/>
          <w:szCs w:val="21"/>
          <w:highlight w:val="none"/>
        </w:rPr>
        <w:t>甲方对</w:t>
      </w:r>
      <w:r>
        <w:rPr>
          <w:rFonts w:hint="eastAsia" w:asciiTheme="minorEastAsia" w:hAnsiTheme="minorEastAsia" w:eastAsiaTheme="minorEastAsia" w:cstheme="minorEastAsia"/>
          <w:color w:val="auto"/>
          <w:szCs w:val="21"/>
          <w:highlight w:val="none"/>
          <w:u w:val="single" w:color="000000"/>
        </w:rPr>
        <w:t xml:space="preserve">                                                </w:t>
      </w:r>
      <w:r>
        <w:rPr>
          <w:rFonts w:hint="eastAsia" w:asciiTheme="minorEastAsia" w:hAnsiTheme="minorEastAsia" w:eastAsiaTheme="minorEastAsia" w:cstheme="minorEastAsia"/>
          <w:color w:val="auto"/>
          <w:spacing w:val="4"/>
          <w:szCs w:val="21"/>
          <w:highlight w:val="none"/>
        </w:rPr>
        <w:t>进行公开招标。经评审小组评定并最终审核通过，确定乙方为本项采购项目的中标人。甲乙双方根据《中华人民共和国政府采购法》《中华人民共和国民法典》等相关法律法规及本项目招标文件的规定，双方经平等协商达成一致意见，订立本合同。</w:t>
      </w:r>
    </w:p>
    <w:p w14:paraId="48E3B32B">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sz w:val="20"/>
          <w:szCs w:val="21"/>
          <w:highlight w:val="none"/>
        </w:rPr>
      </w:pPr>
      <w:r>
        <w:rPr>
          <w:rFonts w:hint="eastAsia" w:asciiTheme="minorEastAsia" w:hAnsiTheme="minorEastAsia" w:eastAsiaTheme="minorEastAsia" w:cstheme="minorEastAsia"/>
          <w:b/>
          <w:color w:val="auto"/>
          <w:szCs w:val="21"/>
          <w:highlight w:val="none"/>
        </w:rPr>
        <w:t>一、项目基本情况</w:t>
      </w:r>
    </w:p>
    <w:p w14:paraId="0389D60D">
      <w:pPr>
        <w:keepNext w:val="0"/>
        <w:keepLines w:val="0"/>
        <w:pageBreakBefore w:val="0"/>
        <w:widowControl w:val="0"/>
        <w:kinsoku/>
        <w:wordWrap/>
        <w:overflowPunct/>
        <w:topLinePunct w:val="0"/>
        <w:autoSpaceDE/>
        <w:autoSpaceDN/>
        <w:bidi w:val="0"/>
        <w:snapToGrid w:val="0"/>
        <w:spacing w:line="360" w:lineRule="auto"/>
        <w:ind w:left="120" w:leftChars="57" w:firstLine="315" w:firstLineChars="15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1、名称：</w:t>
      </w:r>
    </w:p>
    <w:p w14:paraId="7AD6A7F2">
      <w:pPr>
        <w:keepNext w:val="0"/>
        <w:keepLines w:val="0"/>
        <w:pageBreakBefore w:val="0"/>
        <w:widowControl w:val="0"/>
        <w:kinsoku/>
        <w:wordWrap/>
        <w:overflowPunct/>
        <w:topLinePunct w:val="0"/>
        <w:autoSpaceDE/>
        <w:autoSpaceDN/>
        <w:bidi w:val="0"/>
        <w:snapToGrid w:val="0"/>
        <w:spacing w:line="360" w:lineRule="auto"/>
        <w:ind w:left="120" w:leftChars="57" w:firstLine="315" w:firstLineChars="15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2、内容：</w:t>
      </w:r>
    </w:p>
    <w:p w14:paraId="6A894A60">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b/>
          <w:color w:val="auto"/>
          <w:szCs w:val="21"/>
          <w:highlight w:val="none"/>
        </w:rPr>
        <w:t>二、合同有效期：</w:t>
      </w:r>
      <w:r>
        <w:rPr>
          <w:rFonts w:hint="eastAsia" w:asciiTheme="minorEastAsia" w:hAnsiTheme="minorEastAsia" w:eastAsiaTheme="minorEastAsia" w:cstheme="minorEastAsia"/>
          <w:b/>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日至</w:t>
      </w:r>
      <w:r>
        <w:rPr>
          <w:rFonts w:hint="eastAsia" w:asciiTheme="minorEastAsia" w:hAnsiTheme="minorEastAsia" w:eastAsiaTheme="minorEastAsia" w:cstheme="minorEastAsia"/>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年</w:t>
      </w:r>
      <w:r>
        <w:rPr>
          <w:rFonts w:hint="eastAsia" w:asciiTheme="minorEastAsia" w:hAnsiTheme="minorEastAsia" w:eastAsiaTheme="minorEastAsia" w:cstheme="minorEastAsia"/>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月</w:t>
      </w:r>
      <w:r>
        <w:rPr>
          <w:rFonts w:hint="eastAsia" w:asciiTheme="minorEastAsia" w:hAnsiTheme="minorEastAsia" w:eastAsiaTheme="minorEastAsia" w:cstheme="minorEastAsia"/>
          <w:color w:val="auto"/>
          <w:szCs w:val="21"/>
          <w:highlight w:val="none"/>
          <w:lang w:val="en-US" w:eastAsia="zh-CN"/>
        </w:rPr>
        <w:t xml:space="preserve"> </w:t>
      </w:r>
      <w:r>
        <w:rPr>
          <w:rFonts w:hint="eastAsia" w:asciiTheme="minorEastAsia" w:hAnsiTheme="minorEastAsia" w:eastAsiaTheme="minorEastAsia" w:cstheme="minorEastAsia"/>
          <w:color w:val="auto"/>
          <w:szCs w:val="21"/>
          <w:highlight w:val="none"/>
        </w:rPr>
        <w:t>日止</w:t>
      </w:r>
    </w:p>
    <w:p w14:paraId="0B623EF0">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b/>
          <w:color w:val="auto"/>
          <w:szCs w:val="21"/>
          <w:highlight w:val="none"/>
        </w:rPr>
        <w:t>三、合同价款及支付方式：</w:t>
      </w:r>
    </w:p>
    <w:p w14:paraId="169A584A">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1、合同总价金额（人民币大写） 元。</w:t>
      </w:r>
    </w:p>
    <w:p w14:paraId="229C741A">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2、付款方式：</w:t>
      </w:r>
    </w:p>
    <w:p w14:paraId="5D3CFF3F">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sz w:val="20"/>
          <w:szCs w:val="21"/>
          <w:highlight w:val="none"/>
        </w:rPr>
      </w:pPr>
      <w:r>
        <w:rPr>
          <w:rFonts w:hint="eastAsia" w:asciiTheme="minorEastAsia" w:hAnsiTheme="minorEastAsia" w:eastAsiaTheme="minorEastAsia" w:cstheme="minorEastAsia"/>
          <w:b/>
          <w:color w:val="auto"/>
          <w:szCs w:val="21"/>
          <w:highlight w:val="none"/>
        </w:rPr>
        <w:t>四、双方责任</w:t>
      </w:r>
    </w:p>
    <w:p w14:paraId="76515F12">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甲方责任：</w:t>
      </w:r>
    </w:p>
    <w:p w14:paraId="5209713F">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1、检查、监督乙方服务工作的实施及制度的执行情况。</w:t>
      </w:r>
    </w:p>
    <w:p w14:paraId="1D2479F6">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2、按要求提供相应的设施设备。</w:t>
      </w:r>
    </w:p>
    <w:p w14:paraId="49426B37">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lang w:val="zh-CN"/>
        </w:rPr>
      </w:pPr>
      <w:r>
        <w:rPr>
          <w:rFonts w:hint="eastAsia" w:asciiTheme="minorEastAsia" w:hAnsiTheme="minorEastAsia" w:eastAsiaTheme="minorEastAsia" w:cstheme="minorEastAsia"/>
          <w:color w:val="auto"/>
          <w:kern w:val="0"/>
          <w:szCs w:val="21"/>
          <w:highlight w:val="none"/>
          <w:lang w:val="zh-CN"/>
        </w:rPr>
        <w:t>3、其他：</w:t>
      </w:r>
    </w:p>
    <w:p w14:paraId="2BF497C0">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乙方责任：</w:t>
      </w:r>
    </w:p>
    <w:p w14:paraId="01AAE5B6">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1、根据有关法律法规、招标投标文件及本合同的约定，制定服务管理制度、方案，开展日常服务管理活动。</w:t>
      </w:r>
    </w:p>
    <w:p w14:paraId="5F4607C5">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2、按甲方要求及时如实向甲方报告服务实施情况。</w:t>
      </w:r>
    </w:p>
    <w:p w14:paraId="2A96EAC0">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3、因乙方在管理中的过错或违反本合同的约定进行管理造成甲方或第三人损失的，乙方应依法承担赔偿责任。</w:t>
      </w:r>
    </w:p>
    <w:p w14:paraId="3276892A">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lang w:val="zh-CN"/>
        </w:rPr>
      </w:pPr>
      <w:r>
        <w:rPr>
          <w:rFonts w:hint="eastAsia" w:asciiTheme="minorEastAsia" w:hAnsiTheme="minorEastAsia" w:eastAsiaTheme="minorEastAsia" w:cstheme="minorEastAsia"/>
          <w:color w:val="auto"/>
          <w:kern w:val="0"/>
          <w:szCs w:val="21"/>
          <w:highlight w:val="none"/>
        </w:rPr>
        <w:t>4、</w:t>
      </w:r>
      <w:r>
        <w:rPr>
          <w:rFonts w:hint="eastAsia" w:asciiTheme="minorEastAsia" w:hAnsiTheme="minorEastAsia" w:eastAsiaTheme="minorEastAsia" w:cstheme="minorEastAsia"/>
          <w:color w:val="auto"/>
          <w:kern w:val="0"/>
          <w:szCs w:val="21"/>
          <w:highlight w:val="none"/>
          <w:lang w:val="zh-CN"/>
        </w:rPr>
        <w:t>如遇突发事件，乙方将配合甲方要求服务。</w:t>
      </w:r>
    </w:p>
    <w:p w14:paraId="6F8E2D38">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5、</w:t>
      </w:r>
      <w:r>
        <w:rPr>
          <w:rFonts w:hint="eastAsia" w:asciiTheme="minorEastAsia" w:hAnsiTheme="minorEastAsia" w:eastAsiaTheme="minorEastAsia" w:cstheme="minorEastAsia"/>
          <w:color w:val="auto"/>
          <w:kern w:val="0"/>
          <w:szCs w:val="21"/>
          <w:highlight w:val="none"/>
          <w:lang w:val="zh-CN"/>
        </w:rPr>
        <w:t>乙方对甲方及相关部门所提供的涉密资料承担保密义务。</w:t>
      </w:r>
    </w:p>
    <w:p w14:paraId="7C99AC81">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kern w:val="0"/>
          <w:szCs w:val="21"/>
          <w:highlight w:val="none"/>
        </w:rPr>
        <w:t>6、其他：</w:t>
      </w:r>
    </w:p>
    <w:p w14:paraId="470DDE87">
      <w:pPr>
        <w:keepNext w:val="0"/>
        <w:keepLines w:val="0"/>
        <w:pageBreakBefore w:val="0"/>
        <w:widowControl w:val="0"/>
        <w:kinsoku/>
        <w:wordWrap/>
        <w:overflowPunct/>
        <w:topLinePunct w:val="0"/>
        <w:autoSpaceDE/>
        <w:autoSpaceDN/>
        <w:bidi w:val="0"/>
        <w:adjustRightInd w:val="0"/>
        <w:snapToGrid w:val="0"/>
        <w:spacing w:line="360" w:lineRule="auto"/>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五、 技术资料保密与技术成果产权</w:t>
      </w:r>
    </w:p>
    <w:p w14:paraId="3429006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1、本项目全部成果资料的知识产权归委托方和设计方双方所有。</w:t>
      </w:r>
    </w:p>
    <w:p w14:paraId="312FC802">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2、设计方对委托方所提供的资料承担保密义务。</w:t>
      </w:r>
    </w:p>
    <w:p w14:paraId="34983325">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3、每个阶段设计方配合委托方提供技术审查工作的相关文件，合同完成后，设计方需提供委托方规定的项目成果电子文件，并按保密协议规定销毁涉及相关电子文件。</w:t>
      </w:r>
    </w:p>
    <w:p w14:paraId="609AE86F">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rPr>
          <w:rFonts w:hint="eastAsia" w:asciiTheme="minorEastAsia" w:hAnsiTheme="minorEastAsia" w:eastAsiaTheme="minorEastAsia" w:cstheme="minorEastAsia"/>
          <w:color w:val="auto"/>
          <w:kern w:val="0"/>
          <w:szCs w:val="21"/>
          <w:highlight w:val="none"/>
        </w:rPr>
      </w:pPr>
      <w:r>
        <w:rPr>
          <w:rFonts w:hint="eastAsia" w:asciiTheme="minorEastAsia" w:hAnsiTheme="minorEastAsia" w:eastAsiaTheme="minorEastAsia" w:cstheme="minorEastAsia"/>
          <w:color w:val="auto"/>
          <w:kern w:val="0"/>
          <w:szCs w:val="21"/>
          <w:highlight w:val="none"/>
        </w:rPr>
        <w:t>4、提前终止合同时，未经设计方许可，委托方不得使用相关设计成果和技术资料，否则设计方有权诉求相应的经济补偿、经济赔偿。但乙方完成的设计内容，甲方已支付该部分设计费用的除外。</w:t>
      </w:r>
    </w:p>
    <w:p w14:paraId="66892FE6">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rPr>
          <w:rFonts w:hint="eastAsia" w:asciiTheme="minorEastAsia" w:hAnsiTheme="minorEastAsia" w:eastAsiaTheme="minorEastAsia" w:cstheme="minorEastAsia"/>
          <w:b/>
          <w:color w:val="auto"/>
          <w:kern w:val="0"/>
          <w:szCs w:val="21"/>
          <w:highlight w:val="none"/>
        </w:rPr>
      </w:pPr>
      <w:r>
        <w:rPr>
          <w:rFonts w:hint="eastAsia" w:asciiTheme="minorEastAsia" w:hAnsiTheme="minorEastAsia" w:eastAsiaTheme="minorEastAsia" w:cstheme="minorEastAsia"/>
          <w:color w:val="auto"/>
          <w:kern w:val="0"/>
          <w:szCs w:val="21"/>
          <w:highlight w:val="none"/>
        </w:rPr>
        <w:t>5</w:t>
      </w:r>
      <w:r>
        <w:rPr>
          <w:rFonts w:hint="eastAsia" w:asciiTheme="minorEastAsia" w:hAnsiTheme="minorEastAsia" w:eastAsiaTheme="minorEastAsia" w:cstheme="minorEastAsia"/>
          <w:color w:val="auto"/>
          <w:szCs w:val="21"/>
          <w:highlight w:val="none"/>
        </w:rPr>
        <w:t>、未经委托方书面许可，除为完成本项目外，设计方不得将资料向其他方进行商业用途的技术转让（除法律规定需要外）。设计方有权将该设计成果用于宣传本单位的设计能力和设计水平，宣传形式包括但不限于网站、展示台板、宣传册、影像图片等。</w:t>
      </w:r>
    </w:p>
    <w:p w14:paraId="204998FD">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kern w:val="0"/>
          <w:sz w:val="20"/>
          <w:szCs w:val="21"/>
          <w:highlight w:val="none"/>
        </w:rPr>
      </w:pPr>
      <w:r>
        <w:rPr>
          <w:rFonts w:hint="eastAsia" w:asciiTheme="minorEastAsia" w:hAnsiTheme="minorEastAsia" w:eastAsiaTheme="minorEastAsia" w:cstheme="minorEastAsia"/>
          <w:b/>
          <w:color w:val="auto"/>
          <w:kern w:val="0"/>
          <w:szCs w:val="21"/>
          <w:highlight w:val="none"/>
        </w:rPr>
        <w:t>六、保险</w:t>
      </w:r>
    </w:p>
    <w:p w14:paraId="136914F7">
      <w:pPr>
        <w:keepNext w:val="0"/>
        <w:keepLines w:val="0"/>
        <w:pageBreakBefore w:val="0"/>
        <w:widowControl w:val="0"/>
        <w:kinsoku/>
        <w:wordWrap/>
        <w:overflowPunct/>
        <w:topLinePunct w:val="0"/>
        <w:autoSpaceDE/>
        <w:autoSpaceDN/>
        <w:bidi w:val="0"/>
        <w:snapToGrid w:val="0"/>
        <w:spacing w:line="360" w:lineRule="auto"/>
        <w:ind w:firstLine="556"/>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1、第三者责任保险</w:t>
      </w:r>
    </w:p>
    <w:p w14:paraId="4B432125">
      <w:pPr>
        <w:keepNext w:val="0"/>
        <w:keepLines w:val="0"/>
        <w:pageBreakBefore w:val="0"/>
        <w:widowControl w:val="0"/>
        <w:kinsoku/>
        <w:wordWrap/>
        <w:overflowPunct/>
        <w:topLinePunct w:val="0"/>
        <w:autoSpaceDE/>
        <w:autoSpaceDN/>
        <w:bidi w:val="0"/>
        <w:snapToGrid w:val="0"/>
        <w:spacing w:line="360" w:lineRule="auto"/>
        <w:ind w:firstLine="556"/>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乙方应对乙方人员以及第三方全权负责（如乙方应投保第三责任险），在乙方的责任区内由于乙方原因导致自己员工或第三方的事故由乙方负责，甲方不承担任何责任。</w:t>
      </w:r>
    </w:p>
    <w:p w14:paraId="3948925D">
      <w:pPr>
        <w:keepNext w:val="0"/>
        <w:keepLines w:val="0"/>
        <w:pageBreakBefore w:val="0"/>
        <w:widowControl w:val="0"/>
        <w:kinsoku/>
        <w:wordWrap/>
        <w:overflowPunct/>
        <w:topLinePunct w:val="0"/>
        <w:autoSpaceDE/>
        <w:autoSpaceDN/>
        <w:bidi w:val="0"/>
        <w:snapToGrid w:val="0"/>
        <w:spacing w:line="360" w:lineRule="auto"/>
        <w:ind w:firstLine="556"/>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2、员工人身意外</w:t>
      </w:r>
    </w:p>
    <w:p w14:paraId="3AD168CE">
      <w:pPr>
        <w:keepNext w:val="0"/>
        <w:keepLines w:val="0"/>
        <w:pageBreakBefore w:val="0"/>
        <w:widowControl w:val="0"/>
        <w:kinsoku/>
        <w:wordWrap/>
        <w:overflowPunct/>
        <w:topLinePunct w:val="0"/>
        <w:autoSpaceDE/>
        <w:autoSpaceDN/>
        <w:bidi w:val="0"/>
        <w:snapToGrid w:val="0"/>
        <w:spacing w:line="360" w:lineRule="auto"/>
        <w:ind w:firstLine="556"/>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在服务期内，乙方所有人员的事故由乙方自行全权负责（如乙方应对其员工投保人身意外险），以保证甲方在乙方工作人员索赔时不受任何责任的约束。</w:t>
      </w:r>
    </w:p>
    <w:p w14:paraId="049AB5BB">
      <w:pPr>
        <w:keepNext w:val="0"/>
        <w:keepLines w:val="0"/>
        <w:pageBreakBefore w:val="0"/>
        <w:widowControl w:val="0"/>
        <w:kinsoku/>
        <w:wordWrap/>
        <w:overflowPunct/>
        <w:topLinePunct w:val="0"/>
        <w:autoSpaceDE/>
        <w:autoSpaceDN/>
        <w:bidi w:val="0"/>
        <w:snapToGrid w:val="0"/>
        <w:spacing w:line="360" w:lineRule="auto"/>
        <w:ind w:firstLine="468" w:firstLineChars="223"/>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3、其他保险及费用</w:t>
      </w:r>
    </w:p>
    <w:p w14:paraId="755FA5AB">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kern w:val="0"/>
          <w:sz w:val="20"/>
          <w:szCs w:val="21"/>
          <w:highlight w:val="none"/>
        </w:rPr>
      </w:pPr>
      <w:r>
        <w:rPr>
          <w:rFonts w:hint="eastAsia" w:asciiTheme="minorEastAsia" w:hAnsiTheme="minorEastAsia" w:eastAsiaTheme="minorEastAsia" w:cstheme="minorEastAsia"/>
          <w:color w:val="auto"/>
          <w:kern w:val="0"/>
          <w:szCs w:val="21"/>
          <w:highlight w:val="none"/>
        </w:rPr>
        <w:t>乙方须按《</w:t>
      </w:r>
      <w:r>
        <w:rPr>
          <w:rFonts w:hint="eastAsia" w:asciiTheme="minorEastAsia" w:hAnsiTheme="minorEastAsia" w:eastAsiaTheme="minorEastAsia" w:cstheme="minorEastAsia"/>
          <w:color w:val="auto"/>
          <w:spacing w:val="4"/>
          <w:szCs w:val="21"/>
          <w:highlight w:val="none"/>
        </w:rPr>
        <w:t>中华人民共和国民法典</w:t>
      </w:r>
      <w:r>
        <w:rPr>
          <w:rFonts w:hint="eastAsia" w:asciiTheme="minorEastAsia" w:hAnsiTheme="minorEastAsia" w:eastAsiaTheme="minorEastAsia" w:cstheme="minorEastAsia"/>
          <w:color w:val="auto"/>
          <w:kern w:val="0"/>
          <w:szCs w:val="21"/>
          <w:highlight w:val="none"/>
        </w:rPr>
        <w:t>》和政府</w:t>
      </w:r>
      <w:r>
        <w:rPr>
          <w:rFonts w:hint="eastAsia" w:asciiTheme="minorEastAsia" w:hAnsiTheme="minorEastAsia" w:eastAsiaTheme="minorEastAsia" w:cstheme="minorEastAsia"/>
          <w:color w:val="auto"/>
          <w:kern w:val="0"/>
          <w:szCs w:val="21"/>
          <w:highlight w:val="none"/>
          <w:lang w:eastAsia="zh-CN"/>
        </w:rPr>
        <w:t>有关</w:t>
      </w:r>
      <w:r>
        <w:rPr>
          <w:rFonts w:hint="eastAsia" w:asciiTheme="minorEastAsia" w:hAnsiTheme="minorEastAsia" w:eastAsiaTheme="minorEastAsia" w:cstheme="minorEastAsia"/>
          <w:color w:val="auto"/>
          <w:kern w:val="0"/>
          <w:szCs w:val="21"/>
          <w:highlight w:val="none"/>
        </w:rPr>
        <w:t>部门规定为全体服务人员</w:t>
      </w:r>
      <w:r>
        <w:rPr>
          <w:rFonts w:hint="eastAsia" w:asciiTheme="minorEastAsia" w:hAnsiTheme="minorEastAsia" w:eastAsiaTheme="minorEastAsia" w:cstheme="minorEastAsia"/>
          <w:color w:val="auto"/>
          <w:kern w:val="0"/>
          <w:szCs w:val="21"/>
          <w:highlight w:val="none"/>
          <w:lang w:eastAsia="zh-CN"/>
        </w:rPr>
        <w:t>缴纳</w:t>
      </w:r>
      <w:r>
        <w:rPr>
          <w:rFonts w:hint="eastAsia" w:asciiTheme="minorEastAsia" w:hAnsiTheme="minorEastAsia" w:eastAsiaTheme="minorEastAsia" w:cstheme="minorEastAsia"/>
          <w:color w:val="auto"/>
          <w:kern w:val="0"/>
          <w:szCs w:val="21"/>
          <w:highlight w:val="none"/>
        </w:rPr>
        <w:t>所有相关的社会保险及其他相关费用。乙方对此全权负责。</w:t>
      </w:r>
    </w:p>
    <w:p w14:paraId="7A41824D">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sz w:val="20"/>
          <w:szCs w:val="21"/>
          <w:highlight w:val="none"/>
        </w:rPr>
      </w:pPr>
      <w:r>
        <w:rPr>
          <w:rFonts w:hint="eastAsia" w:asciiTheme="minorEastAsia" w:hAnsiTheme="minorEastAsia" w:eastAsiaTheme="minorEastAsia" w:cstheme="minorEastAsia"/>
          <w:b/>
          <w:color w:val="auto"/>
          <w:kern w:val="0"/>
          <w:szCs w:val="21"/>
          <w:highlight w:val="none"/>
        </w:rPr>
        <w:t>七</w:t>
      </w:r>
      <w:r>
        <w:rPr>
          <w:rFonts w:hint="eastAsia" w:asciiTheme="minorEastAsia" w:hAnsiTheme="minorEastAsia" w:eastAsiaTheme="minorEastAsia" w:cstheme="minorEastAsia"/>
          <w:b/>
          <w:color w:val="auto"/>
          <w:kern w:val="0"/>
          <w:szCs w:val="21"/>
          <w:highlight w:val="none"/>
          <w:lang w:val="zh-CN"/>
        </w:rPr>
        <w:t>、</w:t>
      </w:r>
      <w:r>
        <w:rPr>
          <w:rFonts w:hint="eastAsia" w:asciiTheme="minorEastAsia" w:hAnsiTheme="minorEastAsia" w:eastAsiaTheme="minorEastAsia" w:cstheme="minorEastAsia"/>
          <w:b/>
          <w:color w:val="auto"/>
          <w:szCs w:val="21"/>
          <w:highlight w:val="none"/>
        </w:rPr>
        <w:t>争议的解决</w:t>
      </w:r>
    </w:p>
    <w:p w14:paraId="383AE324">
      <w:pPr>
        <w:keepNext w:val="0"/>
        <w:keepLines w:val="0"/>
        <w:pageBreakBefore w:val="0"/>
        <w:widowControl w:val="0"/>
        <w:kinsoku/>
        <w:wordWrap/>
        <w:overflowPunct/>
        <w:topLinePunct w:val="0"/>
        <w:autoSpaceDE/>
        <w:autoSpaceDN/>
        <w:bidi w:val="0"/>
        <w:snapToGrid w:val="0"/>
        <w:spacing w:line="360" w:lineRule="auto"/>
        <w:ind w:firstLine="48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1、双方应通过友好协商，解决在执行本政府采购合同过程中所发生的或与本政府采购合同有关的一切争端。如协商仍不能解决，可向有关政府采购管理部门提请调解。</w:t>
      </w:r>
    </w:p>
    <w:p w14:paraId="319C50EB">
      <w:pPr>
        <w:keepNext w:val="0"/>
        <w:keepLines w:val="0"/>
        <w:pageBreakBefore w:val="0"/>
        <w:widowControl w:val="0"/>
        <w:kinsoku/>
        <w:wordWrap/>
        <w:overflowPunct/>
        <w:topLinePunct w:val="0"/>
        <w:autoSpaceDE/>
        <w:autoSpaceDN/>
        <w:bidi w:val="0"/>
        <w:snapToGrid w:val="0"/>
        <w:spacing w:line="360" w:lineRule="auto"/>
        <w:ind w:firstLine="48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2、如果调解不成，双方中的任何一方</w:t>
      </w:r>
      <w:r>
        <w:rPr>
          <w:rFonts w:hint="eastAsia" w:asciiTheme="minorEastAsia" w:hAnsiTheme="minorEastAsia" w:eastAsiaTheme="minorEastAsia" w:cstheme="minorEastAsia"/>
          <w:color w:val="auto"/>
          <w:highlight w:val="none"/>
        </w:rPr>
        <w:t>可向合同签订地法院起诉，合同签订地在此约定为舟山市</w:t>
      </w:r>
      <w:r>
        <w:rPr>
          <w:rFonts w:hint="eastAsia" w:asciiTheme="minorEastAsia" w:hAnsiTheme="minorEastAsia" w:eastAsiaTheme="minorEastAsia" w:cstheme="minorEastAsia"/>
          <w:color w:val="auto"/>
          <w:szCs w:val="21"/>
          <w:highlight w:val="none"/>
        </w:rPr>
        <w:t>。</w:t>
      </w:r>
    </w:p>
    <w:p w14:paraId="5E899C7A">
      <w:pPr>
        <w:keepNext w:val="0"/>
        <w:keepLines w:val="0"/>
        <w:pageBreakBefore w:val="0"/>
        <w:widowControl w:val="0"/>
        <w:kinsoku/>
        <w:wordWrap/>
        <w:overflowPunct/>
        <w:topLinePunct w:val="0"/>
        <w:autoSpaceDE/>
        <w:autoSpaceDN/>
        <w:bidi w:val="0"/>
        <w:snapToGrid w:val="0"/>
        <w:spacing w:line="360" w:lineRule="auto"/>
        <w:ind w:firstLine="48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3、因合同部分履行引发诉讼的，在诉讼期间，除正在进行诉讼的部分外，本合同的其他部分应继续执行。</w:t>
      </w:r>
    </w:p>
    <w:p w14:paraId="36790815">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4、本合同按照中华人民共和国现行法律法规进行解释。</w:t>
      </w:r>
    </w:p>
    <w:p w14:paraId="331ABC9F">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sz w:val="20"/>
          <w:szCs w:val="21"/>
          <w:highlight w:val="none"/>
        </w:rPr>
      </w:pPr>
      <w:r>
        <w:rPr>
          <w:rFonts w:hint="eastAsia" w:asciiTheme="minorEastAsia" w:hAnsiTheme="minorEastAsia" w:eastAsiaTheme="minorEastAsia" w:cstheme="minorEastAsia"/>
          <w:b/>
          <w:color w:val="auto"/>
          <w:szCs w:val="21"/>
          <w:highlight w:val="none"/>
        </w:rPr>
        <w:t>八、合同的终止</w:t>
      </w:r>
    </w:p>
    <w:p w14:paraId="27F2D3C5">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1、若乙方因破产或经营不善导致合同履行不能，乙方应书面通知甲方终止合同；在甲方知情而未收到乙方终止合同书面通知时，甲方可在任何时候书面通知乙方终止合同。</w:t>
      </w:r>
    </w:p>
    <w:p w14:paraId="3D56B4F0">
      <w:pPr>
        <w:keepNext w:val="0"/>
        <w:keepLines w:val="0"/>
        <w:pageBreakBefore w:val="0"/>
        <w:widowControl w:val="0"/>
        <w:kinsoku/>
        <w:wordWrap/>
        <w:overflowPunct/>
        <w:topLinePunct w:val="0"/>
        <w:autoSpaceDE/>
        <w:autoSpaceDN/>
        <w:bidi w:val="0"/>
        <w:snapToGrid w:val="0"/>
        <w:spacing w:line="360" w:lineRule="auto"/>
        <w:ind w:firstLine="48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2、因不可抗力导致合同履行不能。</w:t>
      </w:r>
    </w:p>
    <w:p w14:paraId="63F85C3B">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b/>
          <w:color w:val="auto"/>
          <w:szCs w:val="21"/>
          <w:highlight w:val="none"/>
        </w:rPr>
        <w:t>九、政府采购合同贷款（本条款适用于政府信用融资的政府采购合同，如是）</w:t>
      </w:r>
    </w:p>
    <w:p w14:paraId="22A6A47D">
      <w:pPr>
        <w:keepNext w:val="0"/>
        <w:keepLines w:val="0"/>
        <w:pageBreakBefore w:val="0"/>
        <w:widowControl w:val="0"/>
        <w:kinsoku/>
        <w:wordWrap/>
        <w:overflowPunct/>
        <w:topLinePunct w:val="0"/>
        <w:autoSpaceDE/>
        <w:autoSpaceDN/>
        <w:bidi w:val="0"/>
        <w:spacing w:line="360" w:lineRule="auto"/>
        <w:ind w:firstLine="482"/>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本合同（</w:t>
      </w:r>
      <w:r>
        <w:rPr>
          <w:rFonts w:hint="eastAsia" w:asciiTheme="minorEastAsia" w:hAnsiTheme="minorEastAsia" w:eastAsiaTheme="minorEastAsia" w:cstheme="minorEastAsia"/>
          <w:color w:val="auto"/>
          <w:szCs w:val="21"/>
          <w:highlight w:val="none"/>
        </w:rPr>
        <w:sym w:font="Wingdings" w:char="00A8"/>
      </w:r>
      <w:r>
        <w:rPr>
          <w:rFonts w:hint="eastAsia" w:asciiTheme="minorEastAsia" w:hAnsiTheme="minorEastAsia" w:eastAsiaTheme="minorEastAsia" w:cstheme="minorEastAsia"/>
          <w:color w:val="auto"/>
          <w:szCs w:val="21"/>
          <w:highlight w:val="none"/>
        </w:rPr>
        <w:t xml:space="preserve">是  </w:t>
      </w:r>
      <w:r>
        <w:rPr>
          <w:rFonts w:hint="eastAsia" w:asciiTheme="minorEastAsia" w:hAnsiTheme="minorEastAsia" w:eastAsiaTheme="minorEastAsia" w:cstheme="minorEastAsia"/>
          <w:color w:val="auto"/>
          <w:szCs w:val="21"/>
          <w:highlight w:val="none"/>
        </w:rPr>
        <w:sym w:font="Wingdings" w:char="00A8"/>
      </w:r>
      <w:r>
        <w:rPr>
          <w:rFonts w:hint="eastAsia" w:asciiTheme="minorEastAsia" w:hAnsiTheme="minorEastAsia" w:eastAsiaTheme="minorEastAsia" w:cstheme="minorEastAsia"/>
          <w:color w:val="auto"/>
          <w:szCs w:val="21"/>
          <w:highlight w:val="none"/>
        </w:rPr>
        <w:t>否）为政府采购信用融资的政府采购合同，本合同同时用于乙方向</w:t>
      </w:r>
    </w:p>
    <w:p w14:paraId="179BF688">
      <w:pPr>
        <w:keepNext w:val="0"/>
        <w:keepLines w:val="0"/>
        <w:pageBreakBefore w:val="0"/>
        <w:widowControl w:val="0"/>
        <w:kinsoku/>
        <w:wordWrap/>
        <w:overflowPunct/>
        <w:topLinePunct w:val="0"/>
        <w:autoSpaceDE/>
        <w:autoSpaceDN/>
        <w:bidi w:val="0"/>
        <w:spacing w:line="360" w:lineRule="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银行（金融机构）申请政府采购信用贷款。</w:t>
      </w:r>
    </w:p>
    <w:p w14:paraId="1BC5C190">
      <w:pPr>
        <w:keepNext w:val="0"/>
        <w:keepLines w:val="0"/>
        <w:pageBreakBefore w:val="0"/>
        <w:widowControl w:val="0"/>
        <w:kinsoku/>
        <w:wordWrap/>
        <w:overflowPunct/>
        <w:topLinePunct w:val="0"/>
        <w:autoSpaceDE/>
        <w:autoSpaceDN/>
        <w:bidi w:val="0"/>
        <w:spacing w:line="360" w:lineRule="auto"/>
        <w:ind w:firstLine="482"/>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本合同一经签订，原则上不得更改乙方收款账户信息。确需更改的，乙方应取得原合同收款账户开户银行书面同意，否则修改后的合同不予备案，采购资金不予支付。</w:t>
      </w:r>
    </w:p>
    <w:p w14:paraId="0C9136D3">
      <w:pPr>
        <w:keepNext w:val="0"/>
        <w:keepLines w:val="0"/>
        <w:pageBreakBefore w:val="0"/>
        <w:widowControl w:val="0"/>
        <w:kinsoku/>
        <w:wordWrap/>
        <w:overflowPunct/>
        <w:topLinePunct w:val="0"/>
        <w:autoSpaceDE/>
        <w:autoSpaceDN/>
        <w:bidi w:val="0"/>
        <w:spacing w:line="360" w:lineRule="auto"/>
        <w:ind w:firstLine="482"/>
        <w:rPr>
          <w:rFonts w:hint="eastAsia" w:asciiTheme="minorEastAsia" w:hAnsiTheme="minorEastAsia" w:eastAsiaTheme="minorEastAsia" w:cstheme="minorEastAsia"/>
          <w:b/>
          <w:color w:val="auto"/>
          <w:szCs w:val="21"/>
          <w:highlight w:val="none"/>
        </w:rPr>
      </w:pPr>
      <w:r>
        <w:rPr>
          <w:rFonts w:hint="eastAsia" w:asciiTheme="minorEastAsia" w:hAnsiTheme="minorEastAsia" w:eastAsiaTheme="minorEastAsia" w:cstheme="minorEastAsia"/>
          <w:color w:val="auto"/>
          <w:szCs w:val="21"/>
          <w:highlight w:val="none"/>
        </w:rPr>
        <w:t>中标供应商需确保政府采购合同的收款账户与融资银行开户账户一致。</w:t>
      </w:r>
    </w:p>
    <w:p w14:paraId="7116D7A3">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Theme="minorEastAsia" w:hAnsiTheme="minorEastAsia" w:eastAsiaTheme="minorEastAsia" w:cstheme="minorEastAsia"/>
          <w:b/>
          <w:color w:val="auto"/>
          <w:sz w:val="20"/>
          <w:szCs w:val="21"/>
          <w:highlight w:val="none"/>
        </w:rPr>
      </w:pPr>
      <w:r>
        <w:rPr>
          <w:rFonts w:hint="eastAsia" w:asciiTheme="minorEastAsia" w:hAnsiTheme="minorEastAsia" w:eastAsiaTheme="minorEastAsia" w:cstheme="minorEastAsia"/>
          <w:b/>
          <w:color w:val="auto"/>
          <w:szCs w:val="21"/>
          <w:highlight w:val="none"/>
        </w:rPr>
        <w:t>十、合同的生效</w:t>
      </w:r>
    </w:p>
    <w:p w14:paraId="382C474A">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1、合同履行期内甲乙双方均不得随意变更或解除合同。合同若有未尽事宜，需经双方协商，并由见证方见证，订立补充协议，补充协议与本合同有同等法律效力。</w:t>
      </w:r>
    </w:p>
    <w:p w14:paraId="3D160752">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2、招标文件、投标文件及评标过程中形成的文字资料、询标纪要均作为本合同的组成部分，具有同等效力。</w:t>
      </w:r>
    </w:p>
    <w:p w14:paraId="609470D7">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3、本合同一式</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份，甲、乙双方各执</w:t>
      </w:r>
      <w:r>
        <w:rPr>
          <w:rFonts w:hint="eastAsia" w:asciiTheme="minorEastAsia" w:hAnsiTheme="minorEastAsia" w:eastAsiaTheme="minorEastAsia" w:cstheme="minorEastAsia"/>
          <w:color w:val="auto"/>
          <w:szCs w:val="21"/>
          <w:highlight w:val="none"/>
          <w:u w:val="single"/>
        </w:rPr>
        <w:t xml:space="preserve">   </w:t>
      </w:r>
      <w:r>
        <w:rPr>
          <w:rFonts w:hint="eastAsia" w:asciiTheme="minorEastAsia" w:hAnsiTheme="minorEastAsia" w:eastAsiaTheme="minorEastAsia" w:cstheme="minorEastAsia"/>
          <w:color w:val="auto"/>
          <w:szCs w:val="21"/>
          <w:highlight w:val="none"/>
        </w:rPr>
        <w:t>份。</w:t>
      </w:r>
    </w:p>
    <w:p w14:paraId="7EE4DBEA">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 xml:space="preserve">甲方：（盖章）                             乙方：（盖章） </w:t>
      </w:r>
    </w:p>
    <w:p w14:paraId="5687CEE2">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 xml:space="preserve">地址：                                     地址： </w:t>
      </w:r>
    </w:p>
    <w:p w14:paraId="0C7DC304">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法定代表人或授权签字代表：                 法定代表人或授权签字代表：</w:t>
      </w:r>
    </w:p>
    <w:p w14:paraId="41FBC175">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签订日期：   年  月  日                    签订日期：   年  月  日</w:t>
      </w:r>
    </w:p>
    <w:p w14:paraId="19D037C5">
      <w:pPr>
        <w:keepNext w:val="0"/>
        <w:keepLines w:val="0"/>
        <w:pageBreakBefore w:val="0"/>
        <w:widowControl w:val="0"/>
        <w:kinsoku/>
        <w:wordWrap/>
        <w:overflowPunct/>
        <w:topLinePunct w:val="0"/>
        <w:autoSpaceDE/>
        <w:autoSpaceDN/>
        <w:bidi w:val="0"/>
        <w:snapToGrid w:val="0"/>
        <w:spacing w:line="360" w:lineRule="auto"/>
        <w:ind w:firstLine="400" w:firstLineChars="200"/>
        <w:textAlignment w:val="baseline"/>
        <w:rPr>
          <w:rFonts w:hint="eastAsia" w:asciiTheme="minorEastAsia" w:hAnsiTheme="minorEastAsia" w:eastAsiaTheme="minorEastAsia" w:cstheme="minorEastAsia"/>
          <w:color w:val="auto"/>
          <w:sz w:val="20"/>
          <w:szCs w:val="21"/>
          <w:highlight w:val="none"/>
        </w:rPr>
      </w:pPr>
    </w:p>
    <w:p w14:paraId="11AB878D">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甲方收款银行：                             乙方收款银行：</w:t>
      </w:r>
    </w:p>
    <w:p w14:paraId="72D31D6D">
      <w:pPr>
        <w:keepNext w:val="0"/>
        <w:keepLines w:val="0"/>
        <w:pageBreakBefore w:val="0"/>
        <w:widowControl w:val="0"/>
        <w:kinsoku/>
        <w:wordWrap/>
        <w:overflowPunct/>
        <w:topLinePunct w:val="0"/>
        <w:autoSpaceDE/>
        <w:autoSpaceDN/>
        <w:bidi w:val="0"/>
        <w:snapToGrid w:val="0"/>
        <w:spacing w:line="360" w:lineRule="auto"/>
        <w:ind w:firstLine="420" w:firstLineChars="200"/>
        <w:textAlignment w:val="baseline"/>
        <w:rPr>
          <w:rFonts w:hint="eastAsia" w:asciiTheme="minorEastAsia" w:hAnsiTheme="minorEastAsia" w:eastAsiaTheme="minorEastAsia" w:cstheme="minorEastAsia"/>
          <w:color w:val="auto"/>
          <w:sz w:val="20"/>
          <w:szCs w:val="21"/>
          <w:highlight w:val="none"/>
        </w:rPr>
      </w:pPr>
      <w:r>
        <w:rPr>
          <w:rFonts w:hint="eastAsia" w:asciiTheme="minorEastAsia" w:hAnsiTheme="minorEastAsia" w:eastAsiaTheme="minorEastAsia" w:cstheme="minorEastAsia"/>
          <w:color w:val="auto"/>
          <w:szCs w:val="21"/>
          <w:highlight w:val="none"/>
        </w:rPr>
        <w:t>甲方收款开户账号：                         乙方收款开户账号：</w:t>
      </w:r>
    </w:p>
    <w:p w14:paraId="5B1A1280">
      <w:pPr>
        <w:pStyle w:val="9"/>
        <w:ind w:left="0" w:leftChars="0" w:firstLine="0" w:firstLineChars="0"/>
        <w:rPr>
          <w:rFonts w:hint="eastAsia" w:ascii="宋体" w:hAnsi="宋体" w:eastAsia="宋体" w:cs="宋体"/>
          <w:color w:val="auto"/>
          <w:highlight w:val="none"/>
        </w:rPr>
      </w:pPr>
    </w:p>
    <w:p w14:paraId="033D6081">
      <w:pPr>
        <w:rPr>
          <w:rFonts w:hint="eastAsia" w:ascii="宋体" w:hAnsi="宋体" w:eastAsia="宋体" w:cs="宋体"/>
          <w:b/>
          <w:bCs/>
          <w:color w:val="auto"/>
          <w:szCs w:val="21"/>
          <w:highlight w:val="none"/>
        </w:rPr>
      </w:pPr>
      <w:bookmarkStart w:id="7" w:name="_Toc480187595"/>
      <w:bookmarkStart w:id="8" w:name="_Toc451429387"/>
      <w:r>
        <w:rPr>
          <w:rFonts w:hint="eastAsia" w:ascii="宋体" w:hAnsi="宋体" w:eastAsia="宋体" w:cs="宋体"/>
          <w:b/>
          <w:bCs/>
          <w:color w:val="auto"/>
          <w:szCs w:val="21"/>
          <w:highlight w:val="none"/>
        </w:rPr>
        <w:t>注意事项：</w:t>
      </w:r>
    </w:p>
    <w:p w14:paraId="778A9630">
      <w:pPr>
        <w:keepNext w:val="0"/>
        <w:keepLines w:val="0"/>
        <w:pageBreakBefore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1.用于政府采购信用融资的政府采购合同：</w:t>
      </w:r>
    </w:p>
    <w:p w14:paraId="48660E04">
      <w:pPr>
        <w:keepNext w:val="0"/>
        <w:keepLines w:val="0"/>
        <w:pageBreakBefore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（1）应当包含如下条款：</w:t>
      </w:r>
    </w:p>
    <w:p w14:paraId="4220CDCF">
      <w:pPr>
        <w:keepNext w:val="0"/>
        <w:keepLines w:val="0"/>
        <w:pageBreakBefore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“第   条：政府采购合同贷款</w:t>
      </w:r>
    </w:p>
    <w:p w14:paraId="6F6B0311">
      <w:pPr>
        <w:keepNext w:val="0"/>
        <w:keepLines w:val="0"/>
        <w:pageBreakBefore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本合同同时用于乙方向      银行（金融机构）申请政府采购信用贷款。</w:t>
      </w:r>
    </w:p>
    <w:p w14:paraId="0B5F20AC">
      <w:pPr>
        <w:keepNext w:val="0"/>
        <w:keepLines w:val="0"/>
        <w:pageBreakBefore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本合同一经签订，原则上不得更改乙方收款账户信息。确须更改的，乙方应取得原合同收款账户开户银行书面同意，否则修改后的合同不予备案，采购资金不予支付。”</w:t>
      </w:r>
    </w:p>
    <w:p w14:paraId="1BF034BA">
      <w:pPr>
        <w:keepNext w:val="0"/>
        <w:keepLines w:val="0"/>
        <w:pageBreakBefore w:val="0"/>
        <w:kinsoku/>
        <w:wordWrap/>
        <w:overflowPunct/>
        <w:topLinePunct w:val="0"/>
        <w:autoSpaceDE/>
        <w:autoSpaceDN/>
        <w:bidi w:val="0"/>
        <w:snapToGrid w:val="0"/>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（2）中标供应商需确保政府采购合同的收款账户与融资银行开户账户一致。</w:t>
      </w:r>
    </w:p>
    <w:p w14:paraId="03DB3C05">
      <w:pPr>
        <w:keepNext w:val="0"/>
        <w:keepLines w:val="0"/>
        <w:pageBreakBefore w:val="0"/>
        <w:kinsoku/>
        <w:wordWrap/>
        <w:overflowPunct/>
        <w:topLinePunct w:val="0"/>
        <w:autoSpaceDE/>
        <w:autoSpaceDN/>
        <w:bidi w:val="0"/>
        <w:snapToGrid w:val="0"/>
        <w:spacing w:line="360" w:lineRule="auto"/>
        <w:ind w:firstLine="422" w:firstLineChars="200"/>
        <w:textAlignment w:val="auto"/>
        <w:rPr>
          <w:rFonts w:hint="eastAsia" w:ascii="宋体" w:hAnsi="宋体" w:eastAsia="宋体" w:cs="宋体"/>
          <w:b/>
          <w:bCs/>
          <w:color w:val="auto"/>
          <w:sz w:val="32"/>
          <w:szCs w:val="32"/>
          <w:highlight w:val="none"/>
        </w:rPr>
      </w:pPr>
      <w:r>
        <w:rPr>
          <w:rFonts w:hint="eastAsia" w:ascii="宋体" w:hAnsi="宋体" w:eastAsia="宋体" w:cs="宋体"/>
          <w:b/>
          <w:bCs/>
          <w:color w:val="auto"/>
          <w:szCs w:val="21"/>
          <w:highlight w:val="none"/>
        </w:rPr>
        <w:t>2.依据《政府采购促进中小企业发展管理办法》（财库[2020]46号）规定享受扶持政策获得政府采购合同的，小微企业不得将合同分包给大中型企业，中型企业不得将合同分包给大型企业。</w:t>
      </w:r>
    </w:p>
    <w:p w14:paraId="73FFDCF5">
      <w:pPr>
        <w:pStyle w:val="22"/>
        <w:rPr>
          <w:rFonts w:hint="eastAsia"/>
          <w:color w:val="auto"/>
          <w:highlight w:val="none"/>
        </w:rPr>
      </w:pPr>
    </w:p>
    <w:p w14:paraId="3318492C">
      <w:pPr>
        <w:autoSpaceDE w:val="0"/>
        <w:autoSpaceDN w:val="0"/>
        <w:adjustRightInd w:val="0"/>
        <w:spacing w:line="360" w:lineRule="auto"/>
        <w:jc w:val="center"/>
        <w:outlineLvl w:val="1"/>
        <w:rPr>
          <w:rFonts w:hint="eastAsia" w:ascii="宋体" w:hAnsi="宋体" w:eastAsia="宋体" w:cs="宋体"/>
          <w:b/>
          <w:bCs/>
          <w:color w:val="auto"/>
          <w:sz w:val="32"/>
          <w:szCs w:val="32"/>
          <w:highlight w:val="none"/>
        </w:rPr>
      </w:pPr>
    </w:p>
    <w:p w14:paraId="0D112E41">
      <w:pPr>
        <w:autoSpaceDE w:val="0"/>
        <w:autoSpaceDN w:val="0"/>
        <w:adjustRightInd w:val="0"/>
        <w:spacing w:line="360" w:lineRule="auto"/>
        <w:jc w:val="center"/>
        <w:outlineLvl w:val="1"/>
        <w:rPr>
          <w:rFonts w:hint="eastAsia" w:ascii="宋体" w:hAnsi="宋体" w:eastAsia="宋体" w:cs="宋体"/>
          <w:b/>
          <w:bCs/>
          <w:color w:val="auto"/>
          <w:sz w:val="32"/>
          <w:szCs w:val="32"/>
          <w:highlight w:val="none"/>
        </w:rPr>
      </w:pPr>
    </w:p>
    <w:p w14:paraId="59C67FCB">
      <w:pPr>
        <w:autoSpaceDE w:val="0"/>
        <w:autoSpaceDN w:val="0"/>
        <w:adjustRightInd w:val="0"/>
        <w:spacing w:line="360" w:lineRule="auto"/>
        <w:jc w:val="center"/>
        <w:outlineLvl w:val="1"/>
        <w:rPr>
          <w:rFonts w:hint="eastAsia" w:ascii="宋体" w:hAnsi="宋体" w:eastAsia="宋体" w:cs="宋体"/>
          <w:b/>
          <w:bCs/>
          <w:color w:val="auto"/>
          <w:sz w:val="32"/>
          <w:szCs w:val="32"/>
          <w:highlight w:val="none"/>
        </w:rPr>
      </w:pPr>
    </w:p>
    <w:p w14:paraId="52CA5D2D">
      <w:pPr>
        <w:autoSpaceDE w:val="0"/>
        <w:autoSpaceDN w:val="0"/>
        <w:adjustRightInd w:val="0"/>
        <w:spacing w:line="360" w:lineRule="auto"/>
        <w:jc w:val="center"/>
        <w:outlineLvl w:val="1"/>
        <w:rPr>
          <w:rFonts w:hint="eastAsia" w:ascii="宋体" w:hAnsi="宋体" w:eastAsia="宋体" w:cs="宋体"/>
          <w:b/>
          <w:bCs/>
          <w:color w:val="auto"/>
          <w:sz w:val="24"/>
          <w:highlight w:val="none"/>
        </w:rPr>
      </w:pPr>
      <w:r>
        <w:rPr>
          <w:rFonts w:hint="eastAsia" w:ascii="宋体" w:hAnsi="宋体" w:eastAsia="宋体" w:cs="宋体"/>
          <w:b/>
          <w:bCs/>
          <w:color w:val="auto"/>
          <w:sz w:val="32"/>
          <w:szCs w:val="32"/>
          <w:highlight w:val="none"/>
        </w:rPr>
        <w:t>第六章  投标文件相关格式</w:t>
      </w:r>
    </w:p>
    <w:p w14:paraId="1B8965DA">
      <w:pPr>
        <w:autoSpaceDE w:val="0"/>
        <w:autoSpaceDN w:val="0"/>
        <w:adjustRightInd w:val="0"/>
        <w:spacing w:line="360" w:lineRule="auto"/>
        <w:outlineLvl w:val="1"/>
        <w:rPr>
          <w:rFonts w:hint="eastAsia" w:ascii="宋体" w:hAnsi="宋体" w:eastAsia="宋体" w:cs="宋体"/>
          <w:b/>
          <w:bCs/>
          <w:color w:val="auto"/>
          <w:sz w:val="24"/>
          <w:highlight w:val="none"/>
        </w:rPr>
      </w:pPr>
    </w:p>
    <w:p w14:paraId="6A8F7993">
      <w:pPr>
        <w:autoSpaceDE w:val="0"/>
        <w:autoSpaceDN w:val="0"/>
        <w:adjustRightInd w:val="0"/>
        <w:spacing w:line="360" w:lineRule="auto"/>
        <w:outlineLvl w:val="1"/>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一、备份文件包装封面（格式供参考）：</w:t>
      </w:r>
    </w:p>
    <w:p w14:paraId="441D34B3">
      <w:pPr>
        <w:autoSpaceDE w:val="0"/>
        <w:autoSpaceDN w:val="0"/>
        <w:adjustRightInd w:val="0"/>
        <w:spacing w:line="360" w:lineRule="auto"/>
        <w:jc w:val="center"/>
        <w:rPr>
          <w:rFonts w:hint="eastAsia" w:ascii="宋体" w:hAnsi="宋体" w:eastAsia="宋体" w:cs="宋体"/>
          <w:b/>
          <w:color w:val="auto"/>
          <w:sz w:val="32"/>
          <w:szCs w:val="32"/>
          <w:highlight w:val="none"/>
        </w:rPr>
      </w:pPr>
    </w:p>
    <w:p w14:paraId="70C3612F">
      <w:pPr>
        <w:pStyle w:val="8"/>
        <w:rPr>
          <w:rFonts w:hint="eastAsia" w:ascii="宋体" w:hAnsi="宋体" w:eastAsia="宋体" w:cs="宋体"/>
          <w:color w:val="auto"/>
          <w:highlight w:val="none"/>
        </w:rPr>
      </w:pPr>
    </w:p>
    <w:p w14:paraId="338AAB26">
      <w:pPr>
        <w:snapToGrid w:val="0"/>
        <w:spacing w:before="156" w:beforeLines="50" w:after="50"/>
        <w:jc w:val="center"/>
        <w:rPr>
          <w:rFonts w:hint="eastAsia" w:ascii="宋体" w:hAnsi="宋体" w:eastAsia="宋体" w:cs="宋体"/>
          <w:b/>
          <w:color w:val="auto"/>
          <w:sz w:val="96"/>
          <w:szCs w:val="44"/>
          <w:highlight w:val="none"/>
        </w:rPr>
      </w:pPr>
      <w:r>
        <w:rPr>
          <w:rFonts w:hint="eastAsia" w:ascii="宋体" w:hAnsi="宋体" w:eastAsia="宋体" w:cs="宋体"/>
          <w:b/>
          <w:color w:val="auto"/>
          <w:sz w:val="96"/>
          <w:szCs w:val="44"/>
          <w:highlight w:val="none"/>
        </w:rPr>
        <w:t>投 标 文 件</w:t>
      </w:r>
    </w:p>
    <w:p w14:paraId="284DF0FA">
      <w:pPr>
        <w:snapToGrid w:val="0"/>
        <w:spacing w:before="156" w:beforeLines="50" w:after="50"/>
        <w:rPr>
          <w:rFonts w:hint="eastAsia" w:ascii="宋体" w:hAnsi="宋体" w:eastAsia="宋体" w:cs="宋体"/>
          <w:color w:val="auto"/>
          <w:sz w:val="24"/>
          <w:highlight w:val="none"/>
        </w:rPr>
      </w:pPr>
    </w:p>
    <w:p w14:paraId="7D84C9E4">
      <w:pPr>
        <w:snapToGrid w:val="0"/>
        <w:spacing w:before="312" w:beforeLines="100" w:after="312" w:afterLines="100" w:line="360" w:lineRule="auto"/>
        <w:ind w:firstLine="1124" w:firstLineChars="400"/>
        <w:rPr>
          <w:rFonts w:hint="eastAsia" w:ascii="宋体" w:hAnsi="宋体" w:eastAsia="宋体" w:cs="宋体"/>
          <w:b/>
          <w:color w:val="auto"/>
          <w:sz w:val="28"/>
          <w:highlight w:val="none"/>
        </w:rPr>
      </w:pPr>
    </w:p>
    <w:p w14:paraId="509016AA">
      <w:pPr>
        <w:snapToGrid w:val="0"/>
        <w:spacing w:before="312" w:beforeLines="100" w:after="312" w:afterLines="100" w:line="360" w:lineRule="auto"/>
        <w:ind w:firstLine="1124" w:firstLineChars="400"/>
        <w:rPr>
          <w:rFonts w:hint="eastAsia" w:ascii="宋体" w:hAnsi="宋体" w:eastAsia="宋体" w:cs="宋体"/>
          <w:b/>
          <w:color w:val="auto"/>
          <w:sz w:val="28"/>
          <w:highlight w:val="none"/>
        </w:rPr>
      </w:pPr>
    </w:p>
    <w:p w14:paraId="75CE44DE">
      <w:pPr>
        <w:snapToGrid w:val="0"/>
        <w:spacing w:before="312" w:beforeLines="100" w:after="312" w:afterLines="100" w:line="360" w:lineRule="auto"/>
        <w:ind w:firstLine="1124" w:firstLineChars="400"/>
        <w:rPr>
          <w:rFonts w:hint="eastAsia" w:ascii="宋体" w:hAnsi="宋体" w:eastAsia="宋体" w:cs="宋体"/>
          <w:b/>
          <w:color w:val="auto"/>
          <w:sz w:val="28"/>
          <w:highlight w:val="none"/>
          <w:u w:val="single"/>
        </w:rPr>
      </w:pPr>
      <w:r>
        <w:rPr>
          <w:rFonts w:hint="eastAsia" w:ascii="宋体" w:hAnsi="宋体" w:eastAsia="宋体" w:cs="宋体"/>
          <w:b/>
          <w:color w:val="auto"/>
          <w:sz w:val="28"/>
          <w:highlight w:val="none"/>
        </w:rPr>
        <w:t xml:space="preserve">项目名称： </w:t>
      </w:r>
      <w:r>
        <w:rPr>
          <w:rFonts w:hint="eastAsia" w:ascii="宋体" w:hAnsi="宋体" w:eastAsia="宋体" w:cs="宋体"/>
          <w:b/>
          <w:color w:val="auto"/>
          <w:sz w:val="28"/>
          <w:highlight w:val="none"/>
          <w:u w:val="single"/>
        </w:rPr>
        <w:t xml:space="preserve">                                 </w:t>
      </w:r>
    </w:p>
    <w:p w14:paraId="313B298F">
      <w:pPr>
        <w:snapToGrid w:val="0"/>
        <w:spacing w:before="312" w:beforeLines="100" w:after="312" w:afterLines="100" w:line="360" w:lineRule="auto"/>
        <w:ind w:firstLine="562" w:firstLineChars="200"/>
        <w:rPr>
          <w:rFonts w:hint="eastAsia" w:ascii="宋体" w:hAnsi="宋体" w:eastAsia="宋体" w:cs="宋体"/>
          <w:b/>
          <w:color w:val="auto"/>
          <w:sz w:val="28"/>
          <w:highlight w:val="none"/>
          <w:u w:val="single"/>
        </w:rPr>
      </w:pPr>
      <w:r>
        <w:rPr>
          <w:rFonts w:hint="eastAsia" w:ascii="宋体" w:hAnsi="宋体" w:eastAsia="宋体" w:cs="宋体"/>
          <w:b/>
          <w:color w:val="auto"/>
          <w:sz w:val="28"/>
          <w:highlight w:val="none"/>
        </w:rPr>
        <w:t xml:space="preserve">    项目编号：</w:t>
      </w:r>
      <w:r>
        <w:rPr>
          <w:rFonts w:hint="eastAsia" w:ascii="宋体" w:hAnsi="宋体" w:eastAsia="宋体" w:cs="宋体"/>
          <w:b/>
          <w:color w:val="auto"/>
          <w:sz w:val="28"/>
          <w:highlight w:val="none"/>
          <w:u w:val="single"/>
        </w:rPr>
        <w:t xml:space="preserve">                                  </w:t>
      </w:r>
    </w:p>
    <w:p w14:paraId="02CCBC6F">
      <w:pPr>
        <w:pStyle w:val="6"/>
        <w:snapToGrid w:val="0"/>
        <w:spacing w:before="312" w:beforeLines="100" w:after="312" w:afterLines="100" w:line="360" w:lineRule="auto"/>
        <w:ind w:firstLine="1169" w:firstLineChars="416"/>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投标人名称：</w:t>
      </w:r>
      <w:r>
        <w:rPr>
          <w:rFonts w:hint="eastAsia" w:ascii="宋体" w:hAnsi="宋体" w:eastAsia="宋体" w:cs="宋体"/>
          <w:b/>
          <w:color w:val="auto"/>
          <w:sz w:val="28"/>
          <w:highlight w:val="none"/>
          <w:u w:val="single"/>
        </w:rPr>
        <w:t xml:space="preserve">                            （</w:t>
      </w:r>
      <w:r>
        <w:rPr>
          <w:rFonts w:hint="eastAsia" w:ascii="宋体" w:hAnsi="宋体" w:eastAsia="宋体" w:cs="宋体"/>
          <w:b/>
          <w:color w:val="auto"/>
          <w:sz w:val="28"/>
          <w:highlight w:val="none"/>
        </w:rPr>
        <w:t>加盖公章）</w:t>
      </w:r>
    </w:p>
    <w:p w14:paraId="2C6E8FBE">
      <w:pPr>
        <w:pStyle w:val="6"/>
        <w:snapToGrid w:val="0"/>
        <w:spacing w:before="312" w:beforeLines="100" w:after="312" w:afterLines="100" w:line="360" w:lineRule="auto"/>
        <w:ind w:firstLine="1169" w:firstLineChars="416"/>
        <w:rPr>
          <w:rFonts w:hint="eastAsia" w:ascii="宋体" w:hAnsi="宋体" w:eastAsia="宋体" w:cs="宋体"/>
          <w:b/>
          <w:color w:val="auto"/>
          <w:sz w:val="28"/>
          <w:highlight w:val="none"/>
          <w:u w:val="single"/>
        </w:rPr>
      </w:pPr>
      <w:r>
        <w:rPr>
          <w:rFonts w:hint="eastAsia" w:ascii="宋体" w:hAnsi="宋体" w:eastAsia="宋体" w:cs="宋体"/>
          <w:b/>
          <w:color w:val="auto"/>
          <w:sz w:val="28"/>
          <w:highlight w:val="none"/>
        </w:rPr>
        <w:t>投标人地址：</w:t>
      </w:r>
      <w:r>
        <w:rPr>
          <w:rFonts w:hint="eastAsia" w:ascii="宋体" w:hAnsi="宋体" w:eastAsia="宋体" w:cs="宋体"/>
          <w:b/>
          <w:color w:val="auto"/>
          <w:sz w:val="28"/>
          <w:highlight w:val="none"/>
          <w:u w:val="single"/>
        </w:rPr>
        <w:t xml:space="preserve">                                  </w:t>
      </w:r>
      <w:r>
        <w:rPr>
          <w:rFonts w:hint="eastAsia" w:ascii="宋体" w:hAnsi="宋体" w:eastAsia="宋体" w:cs="宋体"/>
          <w:b/>
          <w:color w:val="auto"/>
          <w:sz w:val="28"/>
          <w:highlight w:val="none"/>
        </w:rPr>
        <w:t xml:space="preserve">   </w:t>
      </w:r>
    </w:p>
    <w:p w14:paraId="0B53C729">
      <w:pPr>
        <w:pStyle w:val="6"/>
        <w:snapToGrid w:val="0"/>
        <w:spacing w:before="312" w:beforeLines="100" w:after="312" w:afterLines="100" w:line="360" w:lineRule="auto"/>
        <w:ind w:firstLine="1124" w:firstLineChars="400"/>
        <w:rPr>
          <w:rFonts w:hint="eastAsia" w:ascii="宋体" w:hAnsi="宋体" w:eastAsia="宋体" w:cs="宋体"/>
          <w:b/>
          <w:color w:val="auto"/>
          <w:sz w:val="28"/>
          <w:highlight w:val="none"/>
          <w:u w:val="single"/>
        </w:rPr>
      </w:pPr>
      <w:r>
        <w:rPr>
          <w:rFonts w:hint="eastAsia" w:ascii="宋体" w:hAnsi="宋体" w:eastAsia="宋体" w:cs="宋体"/>
          <w:b/>
          <w:color w:val="auto"/>
          <w:sz w:val="28"/>
          <w:highlight w:val="none"/>
        </w:rPr>
        <w:t xml:space="preserve">投标联系人电话: </w:t>
      </w:r>
      <w:r>
        <w:rPr>
          <w:rFonts w:hint="eastAsia" w:ascii="宋体" w:hAnsi="宋体" w:eastAsia="宋体" w:cs="宋体"/>
          <w:b/>
          <w:color w:val="auto"/>
          <w:sz w:val="28"/>
          <w:highlight w:val="none"/>
          <w:u w:val="single"/>
        </w:rPr>
        <w:t xml:space="preserve">                                </w:t>
      </w:r>
    </w:p>
    <w:p w14:paraId="4255CCBA">
      <w:pPr>
        <w:pStyle w:val="6"/>
        <w:snapToGrid w:val="0"/>
        <w:spacing w:before="312" w:beforeLines="100" w:after="312" w:afterLines="100" w:line="360" w:lineRule="auto"/>
        <w:ind w:firstLine="1124" w:firstLineChars="400"/>
        <w:rPr>
          <w:rFonts w:hint="eastAsia" w:ascii="宋体" w:hAnsi="宋体" w:eastAsia="宋体" w:cs="宋体"/>
          <w:b/>
          <w:color w:val="auto"/>
          <w:sz w:val="28"/>
          <w:highlight w:val="none"/>
          <w:u w:val="single"/>
        </w:rPr>
      </w:pPr>
      <w:r>
        <w:rPr>
          <w:rFonts w:hint="eastAsia" w:ascii="宋体" w:hAnsi="宋体" w:eastAsia="宋体" w:cs="宋体"/>
          <w:b/>
          <w:color w:val="auto"/>
          <w:sz w:val="28"/>
          <w:highlight w:val="none"/>
        </w:rPr>
        <w:t>启封时间：</w:t>
      </w:r>
      <w:r>
        <w:rPr>
          <w:rFonts w:hint="eastAsia" w:ascii="宋体" w:hAnsi="宋体" w:eastAsia="宋体" w:cs="宋体"/>
          <w:b/>
          <w:color w:val="auto"/>
          <w:sz w:val="28"/>
          <w:highlight w:val="none"/>
          <w:u w:val="single"/>
        </w:rPr>
        <w:t>在20     年  月  日  时  分之前不得启封</w:t>
      </w:r>
    </w:p>
    <w:bookmarkEnd w:id="7"/>
    <w:bookmarkEnd w:id="8"/>
    <w:p w14:paraId="7628655B">
      <w:pPr>
        <w:autoSpaceDE w:val="0"/>
        <w:autoSpaceDN w:val="0"/>
        <w:adjustRightInd w:val="0"/>
        <w:spacing w:line="360" w:lineRule="auto"/>
        <w:rPr>
          <w:rFonts w:hint="eastAsia" w:ascii="宋体" w:hAnsi="宋体" w:eastAsia="宋体" w:cs="宋体"/>
          <w:color w:val="auto"/>
          <w:highlight w:val="none"/>
        </w:rPr>
        <w:sectPr>
          <w:headerReference r:id="rId5" w:type="default"/>
          <w:footerReference r:id="rId6"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67DF7968">
      <w:pPr>
        <w:pStyle w:val="12"/>
        <w:snapToGrid w:val="0"/>
        <w:spacing w:line="360" w:lineRule="auto"/>
        <w:rPr>
          <w:rFonts w:hint="eastAsia" w:ascii="宋体" w:hAnsi="宋体" w:eastAsia="宋体" w:cs="宋体"/>
          <w:b/>
          <w:bCs/>
          <w:color w:val="auto"/>
          <w:sz w:val="21"/>
          <w:highlight w:val="none"/>
        </w:rPr>
      </w:pPr>
      <w:r>
        <w:rPr>
          <w:rFonts w:hint="eastAsia" w:ascii="宋体" w:hAnsi="宋体" w:eastAsia="宋体" w:cs="宋体"/>
          <w:b/>
          <w:bCs/>
          <w:color w:val="auto"/>
          <w:sz w:val="21"/>
          <w:highlight w:val="none"/>
        </w:rPr>
        <w:t>资格证明文件：</w:t>
      </w:r>
    </w:p>
    <w:p w14:paraId="23BBD132">
      <w:pPr>
        <w:snapToGrid w:val="0"/>
        <w:spacing w:line="360" w:lineRule="auto"/>
        <w:ind w:firstLine="422" w:firstLineChars="200"/>
        <w:jc w:val="left"/>
        <w:rPr>
          <w:rFonts w:hint="eastAsia" w:ascii="宋体" w:hAnsi="宋体" w:eastAsia="宋体" w:cs="宋体"/>
          <w:b/>
          <w:bCs/>
          <w:color w:val="auto"/>
          <w:highlight w:val="none"/>
        </w:rPr>
      </w:pPr>
      <w:r>
        <w:rPr>
          <w:rFonts w:hint="eastAsia" w:ascii="宋体" w:hAnsi="宋体" w:eastAsia="宋体" w:cs="宋体"/>
          <w:b/>
          <w:bCs/>
          <w:color w:val="auto"/>
          <w:highlight w:val="none"/>
        </w:rPr>
        <w:t>1.</w:t>
      </w:r>
      <w:r>
        <w:rPr>
          <w:rFonts w:hint="eastAsia" w:ascii="宋体" w:hAnsi="宋体" w:eastAsia="宋体" w:cs="宋体"/>
          <w:b/>
          <w:bCs/>
          <w:color w:val="auto"/>
          <w:highlight w:val="none"/>
          <w:lang w:val="en-US" w:eastAsia="zh-CN"/>
        </w:rPr>
        <w:t>1</w:t>
      </w:r>
      <w:r>
        <w:rPr>
          <w:rFonts w:hint="eastAsia" w:ascii="宋体" w:hAnsi="宋体" w:eastAsia="宋体" w:cs="宋体"/>
          <w:b/>
          <w:bCs/>
          <w:color w:val="auto"/>
          <w:highlight w:val="none"/>
        </w:rPr>
        <w:t>基本资格条件：符合《中华人民共和国政府采购法》第二十二条的规定；</w:t>
      </w:r>
    </w:p>
    <w:p w14:paraId="1ABFD2E7">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（以下A~E项是第二十二条要求及对应证明材料的具体内容，各投标人须在投标文件中出具对应证明材料</w:t>
      </w:r>
      <w:r>
        <w:rPr>
          <w:rFonts w:hint="eastAsia" w:ascii="宋体" w:hAnsi="宋体" w:eastAsia="宋体" w:cs="宋体"/>
          <w:color w:val="auto"/>
          <w:highlight w:val="none"/>
          <w:lang w:eastAsia="zh-CN"/>
        </w:rPr>
        <w:t>；</w:t>
      </w:r>
      <w:r>
        <w:rPr>
          <w:rFonts w:hint="eastAsia" w:ascii="宋体" w:hAnsi="宋体" w:eastAsia="宋体" w:cs="宋体"/>
          <w:b/>
          <w:color w:val="auto"/>
          <w:szCs w:val="21"/>
          <w:highlight w:val="none"/>
          <w:lang w:val="en-US" w:eastAsia="zh-CN"/>
        </w:rPr>
        <w:t>如为联合体投标，</w:t>
      </w:r>
      <w:r>
        <w:rPr>
          <w:rFonts w:hint="eastAsia" w:ascii="宋体" w:hAnsi="宋体" w:eastAsia="宋体" w:cs="宋体"/>
          <w:b/>
          <w:color w:val="auto"/>
          <w:szCs w:val="21"/>
          <w:highlight w:val="none"/>
        </w:rPr>
        <w:t>联合体各成员</w:t>
      </w:r>
      <w:r>
        <w:rPr>
          <w:rFonts w:hint="eastAsia" w:ascii="宋体" w:hAnsi="宋体" w:eastAsia="宋体" w:cs="宋体"/>
          <w:b/>
          <w:color w:val="auto"/>
          <w:szCs w:val="21"/>
          <w:highlight w:val="none"/>
          <w:lang w:val="en-US" w:eastAsia="zh-CN"/>
        </w:rPr>
        <w:t>均须提供A~E项材料</w:t>
      </w:r>
      <w:r>
        <w:rPr>
          <w:rFonts w:hint="eastAsia" w:ascii="宋体" w:hAnsi="宋体" w:eastAsia="宋体" w:cs="宋体"/>
          <w:color w:val="auto"/>
          <w:highlight w:val="none"/>
        </w:rPr>
        <w:t>）</w:t>
      </w:r>
    </w:p>
    <w:p w14:paraId="63936FBE">
      <w:pPr>
        <w:spacing w:line="360" w:lineRule="auto"/>
        <w:ind w:firstLine="482" w:firstLineChars="200"/>
        <w:rPr>
          <w:rFonts w:hint="eastAsia" w:ascii="宋体" w:hAnsi="宋体" w:eastAsia="宋体" w:cs="宋体"/>
          <w:b/>
          <w:bCs/>
          <w:color w:val="auto"/>
          <w:highlight w:val="none"/>
        </w:rPr>
      </w:pPr>
      <w:r>
        <w:rPr>
          <w:rFonts w:hint="eastAsia" w:ascii="宋体" w:hAnsi="宋体" w:eastAsia="宋体" w:cs="宋体"/>
          <w:b/>
          <w:bCs/>
          <w:color w:val="auto"/>
          <w:sz w:val="24"/>
          <w:highlight w:val="none"/>
        </w:rPr>
        <w:t>A.</w:t>
      </w:r>
      <w:r>
        <w:rPr>
          <w:rFonts w:hint="eastAsia" w:ascii="宋体" w:hAnsi="宋体" w:eastAsia="宋体" w:cs="宋体"/>
          <w:b/>
          <w:bCs/>
          <w:color w:val="auto"/>
          <w:highlight w:val="none"/>
        </w:rPr>
        <w:t>具有独立承担民事责任的能力：</w:t>
      </w:r>
    </w:p>
    <w:p w14:paraId="12E9C8DD">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 xml:space="preserve">  </w:t>
      </w:r>
      <w:r>
        <w:rPr>
          <w:rFonts w:hint="eastAsia" w:ascii="宋体" w:hAnsi="宋体" w:eastAsia="宋体" w:cs="宋体"/>
          <w:color w:val="auto"/>
          <w:highlight w:val="none"/>
        </w:rPr>
        <w:t xml:space="preserve">  投标人须在投标文件中出具符合以下情况的证明材料</w:t>
      </w:r>
      <w:r>
        <w:rPr>
          <w:rFonts w:hint="eastAsia" w:ascii="宋体" w:hAnsi="宋体" w:eastAsia="宋体" w:cs="宋体"/>
          <w:color w:val="auto"/>
          <w:szCs w:val="21"/>
          <w:highlight w:val="none"/>
        </w:rPr>
        <w:t>扫描件</w:t>
      </w:r>
      <w:r>
        <w:rPr>
          <w:rFonts w:hint="eastAsia" w:ascii="宋体" w:hAnsi="宋体" w:eastAsia="宋体" w:cs="宋体"/>
          <w:b/>
          <w:bCs/>
          <w:color w:val="auto"/>
          <w:highlight w:val="none"/>
        </w:rPr>
        <w:t>（五选一）：</w:t>
      </w:r>
    </w:p>
    <w:p w14:paraId="2EFEC1F4">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\o\ac(○,1)</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如投标人是企业（包括合伙企业），提供在工商部门注册的有效“企业法人营业执照”或“营业执照”；</w:t>
      </w:r>
    </w:p>
    <w:p w14:paraId="41FFBF24">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w:instrText>
      </w:r>
      <w:r>
        <w:rPr>
          <w:rFonts w:hint="eastAsia" w:ascii="宋体" w:hAnsi="宋体" w:eastAsia="宋体" w:cs="宋体"/>
          <w:color w:val="auto"/>
          <w:position w:val="2"/>
          <w:sz w:val="14"/>
          <w:highlight w:val="none"/>
        </w:rPr>
        <w:instrText xml:space="preserve">2</w:instrText>
      </w:r>
      <w:r>
        <w:rPr>
          <w:rFonts w:hint="eastAsia" w:ascii="宋体" w:hAnsi="宋体" w:eastAsia="宋体" w:cs="宋体"/>
          <w:color w:val="auto"/>
          <w:highlight w:val="none"/>
        </w:rPr>
        <w:instrText xml:space="preserve">)</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如投标人是事业单位， 提供有效的“事业单位法人证书”；</w:t>
      </w:r>
    </w:p>
    <w:p w14:paraId="15E56CD8">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w:instrText>
      </w:r>
      <w:r>
        <w:rPr>
          <w:rFonts w:hint="eastAsia" w:ascii="宋体" w:hAnsi="宋体" w:eastAsia="宋体" w:cs="宋体"/>
          <w:color w:val="auto"/>
          <w:position w:val="2"/>
          <w:sz w:val="14"/>
          <w:highlight w:val="none"/>
        </w:rPr>
        <w:instrText xml:space="preserve">3</w:instrText>
      </w:r>
      <w:r>
        <w:rPr>
          <w:rFonts w:hint="eastAsia" w:ascii="宋体" w:hAnsi="宋体" w:eastAsia="宋体" w:cs="宋体"/>
          <w:color w:val="auto"/>
          <w:highlight w:val="none"/>
        </w:rPr>
        <w:instrText xml:space="preserve">)</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如投标人是非企业专业服务机构的，提供执业许可证等证明文件等证明文件；</w:t>
      </w:r>
    </w:p>
    <w:p w14:paraId="5CF08C08">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\o\ac(○,4)</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如投标人是个体工商户，提供有效的“个体工商户营业执照”；</w:t>
      </w:r>
    </w:p>
    <w:p w14:paraId="41F4D8BB">
      <w:pPr>
        <w:spacing w:line="360" w:lineRule="auto"/>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\o\ac(○,5)</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如投标人是自然人，提供有效的自然人身份证明（居民身份证正反面或公安机关出具的临时居民身份证正反面或港澳台胞证或证照）</w:t>
      </w:r>
      <w:r>
        <w:rPr>
          <w:rFonts w:hint="eastAsia" w:ascii="宋体" w:hAnsi="宋体" w:eastAsia="宋体" w:cs="宋体"/>
          <w:color w:val="auto"/>
          <w:highlight w:val="none"/>
          <w:lang w:eastAsia="zh-CN"/>
        </w:rPr>
        <w:t>；</w:t>
      </w:r>
    </w:p>
    <w:p w14:paraId="3C3C21EF">
      <w:pPr>
        <w:spacing w:line="360" w:lineRule="auto"/>
        <w:ind w:firstLine="422" w:firstLineChars="200"/>
        <w:rPr>
          <w:rFonts w:hint="eastAsia" w:ascii="宋体" w:hAnsi="宋体" w:eastAsia="宋体" w:cs="宋体"/>
          <w:b/>
          <w:bCs/>
          <w:color w:val="auto"/>
          <w:highlight w:val="none"/>
        </w:rPr>
      </w:pPr>
      <w:r>
        <w:rPr>
          <w:rFonts w:hint="eastAsia" w:ascii="宋体" w:hAnsi="宋体" w:eastAsia="宋体" w:cs="宋体"/>
          <w:b/>
          <w:bCs/>
          <w:color w:val="auto"/>
          <w:szCs w:val="21"/>
          <w:highlight w:val="none"/>
        </w:rPr>
        <w:t>B.</w:t>
      </w:r>
      <w:r>
        <w:rPr>
          <w:rFonts w:hint="eastAsia" w:ascii="宋体" w:hAnsi="宋体" w:eastAsia="宋体" w:cs="宋体"/>
          <w:b/>
          <w:bCs/>
          <w:color w:val="auto"/>
          <w:highlight w:val="none"/>
        </w:rPr>
        <w:t>具有良好的商业信誉和健全的财务会计制度：</w:t>
      </w:r>
    </w:p>
    <w:p w14:paraId="634E0173">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EQ \o\ac(○,1)</w:instrTex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良好的商业信誉：</w:t>
      </w:r>
    </w:p>
    <w:p w14:paraId="55D8945D">
      <w:pPr>
        <w:spacing w:line="360" w:lineRule="auto"/>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投标人书面承诺具有良好的商业信誉，至本项目投标截止时间止符合参与政府采购活动资格条件（格式自拟）；</w:t>
      </w:r>
    </w:p>
    <w:p w14:paraId="6EB943EA">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将在开标现场以网页查询的方式对投标人的商业信誉进行核查。良好的商业信誉是指：至本项目投标截止时间止未被“信用中国”（www.creditchina.gov.cn）、中国政府采购网（www.ccgp.gov.cn）列入失信被执行人、重大税收违法案件当事人名单、政府采购严重违法失信行为记录名单。</w:t>
      </w:r>
    </w:p>
    <w:p w14:paraId="17A09973">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对列入失信被执行人、重大税收违法案件当事人名单、政府采购严重违法失信行为记录名单的投标人，其投标将作无效标处理。</w:t>
      </w:r>
    </w:p>
    <w:p w14:paraId="08699D52">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②健全的财务会计制度：</w:t>
      </w:r>
    </w:p>
    <w:p w14:paraId="74807B13">
      <w:pPr>
        <w:numPr>
          <w:ilvl w:val="0"/>
          <w:numId w:val="0"/>
        </w:numPr>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highlight w:val="none"/>
        </w:rPr>
        <w:t>投标人书面承诺具有健全的财务会计制度，至本项目投标截止时间止符合参与政府采购活动资格条件（格式自拟）；</w:t>
      </w:r>
    </w:p>
    <w:p w14:paraId="127AC5D8">
      <w:pPr>
        <w:widowControl w:val="0"/>
        <w:spacing w:line="360" w:lineRule="auto"/>
        <w:ind w:left="420" w:firstLine="0" w:firstLineChars="0"/>
        <w:jc w:val="both"/>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C.具有履行合同所必需的设备和专业技术能力：</w:t>
      </w:r>
    </w:p>
    <w:p w14:paraId="785A459D">
      <w:pPr>
        <w:spacing w:line="360" w:lineRule="auto"/>
        <w:ind w:firstLine="420" w:firstLineChars="200"/>
        <w:rPr>
          <w:rFonts w:hint="eastAsia" w:ascii="宋体" w:hAnsi="宋体" w:eastAsia="宋体" w:cs="宋体"/>
          <w:color w:val="auto"/>
          <w:highlight w:val="none"/>
        </w:rPr>
      </w:pPr>
      <w:r>
        <w:rPr>
          <w:rFonts w:hint="eastAsia" w:ascii="宋体" w:hAnsi="宋体" w:eastAsia="宋体" w:cs="宋体"/>
          <w:color w:val="auto"/>
          <w:szCs w:val="21"/>
          <w:highlight w:val="none"/>
        </w:rPr>
        <w:t>投标人须在投标文件中出具具有履行合同所必需的设备和专业技术能力的《投标函》。</w:t>
      </w:r>
      <w:r>
        <w:rPr>
          <w:rFonts w:hint="eastAsia" w:ascii="宋体" w:hAnsi="宋体" w:eastAsia="宋体" w:cs="宋体"/>
          <w:color w:val="auto"/>
          <w:highlight w:val="none"/>
        </w:rPr>
        <w:t>（格式见附件）</w:t>
      </w:r>
    </w:p>
    <w:p w14:paraId="0477963D">
      <w:pPr>
        <w:spacing w:line="360" w:lineRule="auto"/>
        <w:ind w:firstLine="420" w:firstLineChars="200"/>
        <w:rPr>
          <w:rFonts w:hint="eastAsia" w:ascii="宋体" w:hAnsi="宋体" w:eastAsia="宋体" w:cs="宋体"/>
          <w:color w:val="auto"/>
          <w:highlight w:val="none"/>
        </w:rPr>
      </w:pPr>
    </w:p>
    <w:p w14:paraId="6A3B477E">
      <w:pPr>
        <w:widowControl w:val="0"/>
        <w:spacing w:line="360" w:lineRule="auto"/>
        <w:ind w:left="420" w:firstLine="0" w:firstLineChars="0"/>
        <w:jc w:val="both"/>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D.有依法缴纳税收和社会保障资金的良好记录：</w:t>
      </w:r>
    </w:p>
    <w:p w14:paraId="19B3FCB2">
      <w:pPr>
        <w:spacing w:line="360" w:lineRule="auto"/>
        <w:ind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投标人书面承诺有依法缴纳税收和社会保障资金的良好记录，至本项目投标截止时间止符合参与政府采购活动资格条件（格式自拟）；</w:t>
      </w:r>
    </w:p>
    <w:p w14:paraId="617CD119">
      <w:pPr>
        <w:spacing w:line="360" w:lineRule="auto"/>
        <w:ind w:firstLine="422" w:firstLineChars="200"/>
        <w:rPr>
          <w:rFonts w:hint="eastAsia" w:ascii="宋体" w:hAnsi="宋体" w:eastAsia="宋体" w:cs="宋体"/>
          <w:b/>
          <w:bCs/>
          <w:color w:val="auto"/>
          <w:highlight w:val="none"/>
        </w:rPr>
      </w:pPr>
      <w:r>
        <w:rPr>
          <w:rFonts w:hint="eastAsia" w:ascii="宋体" w:hAnsi="宋体" w:eastAsia="宋体" w:cs="宋体"/>
          <w:b/>
          <w:bCs/>
          <w:color w:val="auto"/>
          <w:highlight w:val="none"/>
        </w:rPr>
        <w:t>E.参加政府采购活动前三年内，在经营活动中没有重大违法记录：</w:t>
      </w:r>
    </w:p>
    <w:p w14:paraId="3D573EE9">
      <w:pPr>
        <w:spacing w:line="360" w:lineRule="auto"/>
        <w:ind w:firstLine="42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投标人须在投标文件中出具《声明函》（格式见附件）</w:t>
      </w:r>
      <w:r>
        <w:rPr>
          <w:rFonts w:hint="eastAsia" w:ascii="宋体" w:hAnsi="宋体" w:eastAsia="宋体" w:cs="宋体"/>
          <w:color w:val="auto"/>
          <w:highlight w:val="none"/>
          <w:lang w:eastAsia="zh-CN"/>
        </w:rPr>
        <w:t>；</w:t>
      </w:r>
    </w:p>
    <w:p w14:paraId="26F00B56">
      <w:pPr>
        <w:widowControl w:val="0"/>
        <w:snapToGrid w:val="0"/>
        <w:spacing w:line="360" w:lineRule="auto"/>
        <w:ind w:firstLine="415" w:firstLineChars="198"/>
        <w:jc w:val="both"/>
        <w:rPr>
          <w:rFonts w:hint="eastAsia" w:ascii="宋体" w:hAnsi="宋体" w:eastAsia="宋体" w:cs="宋体"/>
          <w:color w:val="auto"/>
          <w:kern w:val="2"/>
          <w:sz w:val="21"/>
          <w:szCs w:val="21"/>
          <w:highlight w:val="none"/>
          <w:lang w:val="en-US" w:eastAsia="zh-CN" w:bidi="ar-SA"/>
        </w:rPr>
      </w:pPr>
    </w:p>
    <w:p w14:paraId="0D07A5A1">
      <w:pPr>
        <w:widowControl w:val="0"/>
        <w:snapToGrid w:val="0"/>
        <w:spacing w:line="360" w:lineRule="auto"/>
        <w:ind w:firstLine="415" w:firstLineChars="198"/>
        <w:jc w:val="both"/>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1.2联合体协议书（如有，格式见附件）；</w:t>
      </w:r>
    </w:p>
    <w:p w14:paraId="1609C2F9">
      <w:pPr>
        <w:widowControl w:val="0"/>
        <w:snapToGrid w:val="0"/>
        <w:spacing w:line="360" w:lineRule="auto"/>
        <w:ind w:firstLine="415" w:firstLineChars="198"/>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1.3投标人法定代表人身份证扫描件</w:t>
      </w:r>
      <w:r>
        <w:rPr>
          <w:rFonts w:hint="eastAsia" w:ascii="宋体" w:hAnsi="宋体" w:eastAsia="宋体" w:cs="宋体"/>
          <w:b/>
          <w:bCs/>
          <w:color w:val="auto"/>
          <w:kern w:val="2"/>
          <w:sz w:val="21"/>
          <w:szCs w:val="21"/>
          <w:highlight w:val="none"/>
          <w:lang w:val="en-US" w:eastAsia="zh-CN" w:bidi="ar-SA"/>
        </w:rPr>
        <w:t>（如为联合体投标的，仅联合体牵头人提供即可）</w:t>
      </w:r>
      <w:r>
        <w:rPr>
          <w:rFonts w:hint="eastAsia" w:ascii="宋体" w:hAnsi="宋体" w:eastAsia="宋体" w:cs="宋体"/>
          <w:color w:val="auto"/>
          <w:kern w:val="2"/>
          <w:sz w:val="21"/>
          <w:szCs w:val="21"/>
          <w:highlight w:val="none"/>
          <w:lang w:val="en-US" w:eastAsia="zh-CN" w:bidi="ar-SA"/>
        </w:rPr>
        <w:t>；</w:t>
      </w:r>
    </w:p>
    <w:p w14:paraId="3648CF21">
      <w:pPr>
        <w:widowControl w:val="0"/>
        <w:snapToGrid w:val="0"/>
        <w:spacing w:line="360" w:lineRule="auto"/>
        <w:ind w:firstLine="415" w:firstLineChars="198"/>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1.4《法定代表人授权函》原件，非法定代表人参加投标时用</w:t>
      </w:r>
      <w:r>
        <w:rPr>
          <w:rFonts w:hint="eastAsia" w:ascii="宋体" w:hAnsi="宋体" w:eastAsia="宋体" w:cs="宋体"/>
          <w:b/>
          <w:bCs/>
          <w:color w:val="auto"/>
          <w:kern w:val="2"/>
          <w:sz w:val="21"/>
          <w:szCs w:val="21"/>
          <w:highlight w:val="none"/>
          <w:lang w:val="en-US" w:eastAsia="zh-CN" w:bidi="ar-SA"/>
        </w:rPr>
        <w:t>（如为联合体投标的，仅联合体牵头人提供即可）</w:t>
      </w:r>
      <w:r>
        <w:rPr>
          <w:rFonts w:hint="eastAsia" w:ascii="宋体" w:hAnsi="宋体" w:eastAsia="宋体" w:cs="宋体"/>
          <w:color w:val="auto"/>
          <w:kern w:val="2"/>
          <w:sz w:val="21"/>
          <w:szCs w:val="21"/>
          <w:highlight w:val="none"/>
          <w:lang w:val="en-US" w:eastAsia="zh-CN" w:bidi="ar-SA"/>
        </w:rPr>
        <w:t>；</w:t>
      </w:r>
    </w:p>
    <w:p w14:paraId="1628AC10">
      <w:pPr>
        <w:widowControl w:val="0"/>
        <w:snapToGrid w:val="0"/>
        <w:spacing w:line="360" w:lineRule="auto"/>
        <w:ind w:firstLine="415" w:firstLineChars="198"/>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1.5投标人代表身份证扫描件，非法定代表人参加投标时用（非法定代表人参加投标时，后附投标人代表为投标人本公司人员证明材料（社保证明或劳动合同）；社保证明须为近三个月内任意一个月且经社保部门盖章确认的社保交纳证明材料；</w:t>
      </w:r>
      <w:r>
        <w:rPr>
          <w:rFonts w:hint="eastAsia" w:ascii="宋体" w:hAnsi="宋体" w:eastAsia="宋体" w:cs="宋体"/>
          <w:b/>
          <w:bCs/>
          <w:color w:val="auto"/>
          <w:kern w:val="2"/>
          <w:sz w:val="21"/>
          <w:szCs w:val="21"/>
          <w:highlight w:val="none"/>
          <w:lang w:val="en-US" w:eastAsia="zh-CN" w:bidi="ar-SA"/>
        </w:rPr>
        <w:t>如为联合体投标的，仅联合体牵头人提供即可）</w:t>
      </w:r>
      <w:r>
        <w:rPr>
          <w:rFonts w:hint="eastAsia" w:ascii="宋体" w:hAnsi="宋体" w:eastAsia="宋体" w:cs="宋体"/>
          <w:color w:val="auto"/>
          <w:kern w:val="2"/>
          <w:sz w:val="21"/>
          <w:szCs w:val="21"/>
          <w:highlight w:val="none"/>
          <w:lang w:val="en-US" w:eastAsia="zh-CN" w:bidi="ar-SA"/>
        </w:rPr>
        <w:t>；</w:t>
      </w:r>
    </w:p>
    <w:p w14:paraId="22DD8B3C">
      <w:pPr>
        <w:widowControl w:val="0"/>
        <w:snapToGrid w:val="0"/>
        <w:spacing w:line="360" w:lineRule="auto"/>
        <w:ind w:firstLine="420" w:firstLineChars="20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注：证明材料均需加盖签章。</w:t>
      </w:r>
    </w:p>
    <w:p w14:paraId="64D84313">
      <w:pPr>
        <w:rPr>
          <w:rFonts w:hint="eastAsia" w:ascii="宋体" w:hAnsi="宋体" w:eastAsia="宋体" w:cs="宋体"/>
          <w:b/>
          <w:color w:val="auto"/>
          <w:szCs w:val="21"/>
          <w:highlight w:val="none"/>
        </w:rPr>
      </w:pPr>
    </w:p>
    <w:p w14:paraId="0E92D65E">
      <w:pP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62EB37D3">
      <w:pPr>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lang w:val="en-US" w:eastAsia="zh-CN"/>
        </w:rPr>
        <w:t>二</w:t>
      </w:r>
      <w:r>
        <w:rPr>
          <w:rFonts w:hint="eastAsia" w:ascii="宋体" w:hAnsi="宋体" w:eastAsia="宋体" w:cs="宋体"/>
          <w:b/>
          <w:color w:val="auto"/>
          <w:szCs w:val="21"/>
          <w:highlight w:val="none"/>
        </w:rPr>
        <w:t>、投标函格式</w:t>
      </w:r>
      <w:r>
        <w:rPr>
          <w:rFonts w:hint="eastAsia" w:ascii="宋体" w:hAnsi="宋体" w:cs="宋体"/>
          <w:b/>
          <w:color w:val="auto"/>
          <w:szCs w:val="21"/>
          <w:highlight w:val="none"/>
          <w:lang w:eastAsia="zh-CN"/>
        </w:rPr>
        <w:t>（</w:t>
      </w:r>
      <w:r>
        <w:rPr>
          <w:rFonts w:hint="eastAsia" w:hAnsi="宋体" w:eastAsia="宋体" w:cs="宋体"/>
          <w:b/>
          <w:bCs/>
          <w:color w:val="auto"/>
          <w:sz w:val="21"/>
          <w:szCs w:val="21"/>
          <w:highlight w:val="none"/>
          <w:lang w:val="en-US" w:eastAsia="zh-CN"/>
        </w:rPr>
        <w:t>如为联合体投标的，联合体</w:t>
      </w:r>
      <w:r>
        <w:rPr>
          <w:rFonts w:hint="eastAsia" w:ascii="宋体" w:hAnsi="宋体" w:cs="宋体"/>
          <w:b/>
          <w:color w:val="auto"/>
          <w:szCs w:val="21"/>
          <w:highlight w:val="none"/>
        </w:rPr>
        <w:t>各成员</w:t>
      </w:r>
      <w:r>
        <w:rPr>
          <w:rFonts w:hint="eastAsia" w:ascii="宋体" w:hAnsi="宋体" w:cs="宋体"/>
          <w:b/>
          <w:color w:val="auto"/>
          <w:szCs w:val="21"/>
          <w:highlight w:val="none"/>
          <w:lang w:val="en-US" w:eastAsia="zh-CN"/>
        </w:rPr>
        <w:t>均须提供</w:t>
      </w:r>
      <w:r>
        <w:rPr>
          <w:rFonts w:hint="eastAsia" w:ascii="宋体" w:hAnsi="宋体" w:cs="宋体"/>
          <w:b/>
          <w:color w:val="auto"/>
          <w:szCs w:val="21"/>
          <w:highlight w:val="none"/>
          <w:lang w:eastAsia="zh-CN"/>
        </w:rPr>
        <w:t>）</w:t>
      </w:r>
    </w:p>
    <w:p w14:paraId="0B67140D">
      <w:pPr>
        <w:snapToGrid w:val="0"/>
        <w:spacing w:before="156" w:beforeLines="50" w:after="50"/>
        <w:jc w:val="center"/>
        <w:rPr>
          <w:rFonts w:hint="eastAsia" w:ascii="宋体" w:hAnsi="宋体" w:eastAsia="宋体" w:cs="宋体"/>
          <w:b/>
          <w:color w:val="auto"/>
          <w:sz w:val="24"/>
          <w:highlight w:val="none"/>
        </w:rPr>
      </w:pPr>
    </w:p>
    <w:p w14:paraId="700FBA04">
      <w:pPr>
        <w:snapToGrid w:val="0"/>
        <w:spacing w:before="156" w:beforeLines="50" w:after="5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 标 函</w:t>
      </w:r>
    </w:p>
    <w:p w14:paraId="79CE778F">
      <w:pPr>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致：</w:t>
      </w:r>
      <w:r>
        <w:rPr>
          <w:rFonts w:hint="eastAsia" w:ascii="宋体" w:hAnsi="宋体" w:eastAsia="宋体" w:cs="宋体"/>
          <w:color w:val="auto"/>
          <w:szCs w:val="21"/>
          <w:highlight w:val="none"/>
          <w:u w:val="single"/>
        </w:rPr>
        <w:t xml:space="preserve"> （采购人）     </w:t>
      </w:r>
      <w:r>
        <w:rPr>
          <w:rFonts w:hint="eastAsia" w:ascii="宋体" w:hAnsi="宋体" w:eastAsia="宋体" w:cs="宋体"/>
          <w:color w:val="auto"/>
          <w:highlight w:val="none"/>
        </w:rPr>
        <w:t>：</w:t>
      </w:r>
    </w:p>
    <w:p w14:paraId="3B7E8AB3">
      <w:pPr>
        <w:pStyle w:val="38"/>
        <w:spacing w:line="360" w:lineRule="auto"/>
        <w:ind w:right="-91" w:firstLine="404"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w:t>
      </w:r>
      <w:r>
        <w:rPr>
          <w:rFonts w:hint="eastAsia" w:ascii="宋体" w:hAnsi="宋体" w:eastAsia="宋体" w:cs="宋体"/>
          <w:b/>
          <w:color w:val="auto"/>
          <w:sz w:val="21"/>
          <w:szCs w:val="21"/>
          <w:highlight w:val="none"/>
          <w:u w:val="single"/>
        </w:rPr>
        <w:t>（投标人名称）</w:t>
      </w:r>
      <w:r>
        <w:rPr>
          <w:rFonts w:hint="eastAsia" w:ascii="宋体" w:hAnsi="宋体" w:eastAsia="宋体" w:cs="宋体"/>
          <w:color w:val="auto"/>
          <w:sz w:val="21"/>
          <w:szCs w:val="21"/>
          <w:highlight w:val="none"/>
        </w:rPr>
        <w:t>已详细审查了贵方采购编号为</w:t>
      </w:r>
      <w:r>
        <w:rPr>
          <w:rFonts w:hint="eastAsia" w:ascii="宋体" w:hAnsi="宋体" w:eastAsia="宋体" w:cs="宋体"/>
          <w:b/>
          <w:color w:val="auto"/>
          <w:spacing w:val="20"/>
          <w:sz w:val="21"/>
          <w:szCs w:val="21"/>
          <w:highlight w:val="none"/>
          <w:u w:val="single"/>
        </w:rPr>
        <w:t>（</w:t>
      </w:r>
      <w:r>
        <w:rPr>
          <w:rFonts w:hint="eastAsia" w:ascii="宋体" w:hAnsi="宋体" w:eastAsia="宋体" w:cs="宋体"/>
          <w:b/>
          <w:color w:val="auto"/>
          <w:sz w:val="21"/>
          <w:szCs w:val="21"/>
          <w:highlight w:val="none"/>
          <w:u w:val="single"/>
        </w:rPr>
        <w:t>采购编号）</w:t>
      </w:r>
      <w:r>
        <w:rPr>
          <w:rFonts w:hint="eastAsia" w:ascii="宋体" w:hAnsi="宋体" w:eastAsia="宋体" w:cs="宋体"/>
          <w:color w:val="auto"/>
          <w:sz w:val="21"/>
          <w:szCs w:val="21"/>
          <w:highlight w:val="none"/>
        </w:rPr>
        <w:t>的</w:t>
      </w:r>
      <w:r>
        <w:rPr>
          <w:rFonts w:hint="eastAsia" w:ascii="宋体" w:hAnsi="宋体" w:eastAsia="宋体" w:cs="宋体"/>
          <w:b/>
          <w:color w:val="auto"/>
          <w:sz w:val="21"/>
          <w:szCs w:val="21"/>
          <w:highlight w:val="none"/>
          <w:u w:val="single"/>
        </w:rPr>
        <w:t>（项目名称）</w:t>
      </w:r>
      <w:r>
        <w:rPr>
          <w:rFonts w:hint="eastAsia" w:ascii="宋体" w:hAnsi="宋体" w:eastAsia="宋体" w:cs="宋体"/>
          <w:color w:val="auto"/>
          <w:sz w:val="21"/>
          <w:szCs w:val="21"/>
          <w:highlight w:val="none"/>
        </w:rPr>
        <w:t>采购项目的采购文件及其相关补充文件</w:t>
      </w:r>
      <w:r>
        <w:rPr>
          <w:rFonts w:hint="eastAsia" w:ascii="宋体" w:hAnsi="宋体" w:eastAsia="宋体" w:cs="宋体"/>
          <w:b/>
          <w:color w:val="auto"/>
          <w:sz w:val="21"/>
          <w:szCs w:val="21"/>
          <w:highlight w:val="none"/>
        </w:rPr>
        <w:t>（若有）</w:t>
      </w:r>
      <w:r>
        <w:rPr>
          <w:rFonts w:hint="eastAsia" w:ascii="宋体" w:hAnsi="宋体" w:eastAsia="宋体" w:cs="宋体"/>
          <w:color w:val="auto"/>
          <w:sz w:val="21"/>
          <w:szCs w:val="21"/>
          <w:highlight w:val="none"/>
        </w:rPr>
        <w:t>，并正式授权我公司的</w:t>
      </w:r>
      <w:r>
        <w:rPr>
          <w:rFonts w:hint="eastAsia" w:ascii="宋体" w:hAnsi="宋体" w:eastAsia="宋体" w:cs="宋体"/>
          <w:b/>
          <w:color w:val="auto"/>
          <w:sz w:val="21"/>
          <w:szCs w:val="21"/>
          <w:highlight w:val="none"/>
          <w:u w:val="single"/>
        </w:rPr>
        <w:t xml:space="preserve">（被授权人姓名）  </w:t>
      </w:r>
      <w:r>
        <w:rPr>
          <w:rFonts w:hint="eastAsia" w:ascii="宋体" w:hAnsi="宋体" w:eastAsia="宋体" w:cs="宋体"/>
          <w:color w:val="auto"/>
          <w:sz w:val="21"/>
          <w:szCs w:val="21"/>
          <w:highlight w:val="none"/>
        </w:rPr>
        <w:t>以本公司名义，全权代表我方自愿参加上述招标项目的投标，现就有关事项向采购代理机构郑重承诺如下：</w:t>
      </w:r>
    </w:p>
    <w:p w14:paraId="18EA4F6D">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1、我方已详细审查了招标文件的全部内容及其相关补充文件（若有），并完全清晰理解全部内容及相关的补充文件（若有），不存在任何误解之处，同意放弃提出异议和质疑的权利。</w:t>
      </w:r>
    </w:p>
    <w:p w14:paraId="7A817B84">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2、我方遵守《中华人民共和国政府采购法》及相关法律法规的规定。同意招标文件中所提到的无效标条款，并服从有关开标现场的会议纪律。否则，同意被废除投标资格。</w:t>
      </w:r>
    </w:p>
    <w:p w14:paraId="538A61B5">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3、我方本服务项目所提供的投标服务报价均具充分的合理性和准确性，保证不存在低于成本的恶意报价行为，同时清楚理解到报价最低并非意味着必定获得合同授予资格。</w:t>
      </w:r>
    </w:p>
    <w:p w14:paraId="30EFB4FC">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4、投标有效期为自开标之日起90天内，如在投标有效期内撤回投标，我方同意被废除投标资格。</w:t>
      </w:r>
    </w:p>
    <w:p w14:paraId="37663816">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5、我方承诺参加政府采购活动前3年内在经营活动中没有重大违法记录和依法缴纳了税收（投标截止时间进行计算）。</w:t>
      </w:r>
    </w:p>
    <w:p w14:paraId="00D080A2">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6、我方承诺具备本项目履行合同所必需的设备和专业技术能力。</w:t>
      </w:r>
    </w:p>
    <w:p w14:paraId="2899DABA">
      <w:pPr>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7、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530BDEAC">
      <w:pPr>
        <w:widowControl/>
        <w:spacing w:line="360" w:lineRule="auto"/>
        <w:ind w:firstLine="420" w:firstLineChars="200"/>
        <w:jc w:val="left"/>
        <w:rPr>
          <w:rFonts w:hint="eastAsia" w:ascii="宋体" w:hAnsi="宋体" w:eastAsia="宋体" w:cs="宋体"/>
          <w:color w:val="auto"/>
          <w:highlight w:val="none"/>
        </w:rPr>
      </w:pPr>
      <w:r>
        <w:rPr>
          <w:rFonts w:hint="eastAsia" w:ascii="宋体" w:hAnsi="宋体" w:eastAsia="宋体" w:cs="宋体"/>
          <w:color w:val="auto"/>
          <w:szCs w:val="21"/>
          <w:highlight w:val="none"/>
        </w:rPr>
        <w:t>8、我方承诺</w:t>
      </w:r>
      <w:r>
        <w:rPr>
          <w:rFonts w:hint="eastAsia" w:ascii="宋体" w:hAnsi="宋体" w:eastAsia="宋体" w:cs="宋体"/>
          <w:color w:val="auto"/>
          <w:highlight w:val="none"/>
        </w:rPr>
        <w:t>至本项目投标截止时间止未被列入失信被执行人、重大税收违法案件当事人名单、政府采购严重违法失信行为记录。</w:t>
      </w:r>
    </w:p>
    <w:p w14:paraId="23A6A69B">
      <w:pPr>
        <w:pStyle w:val="39"/>
        <w:tabs>
          <w:tab w:val="left" w:pos="939"/>
        </w:tabs>
        <w:snapToGrid w:val="0"/>
        <w:ind w:left="716" w:leftChars="150" w:hanging="401" w:hangingChars="191"/>
        <w:rPr>
          <w:rFonts w:hint="eastAsia" w:ascii="宋体" w:hAnsi="宋体" w:eastAsia="宋体" w:cs="宋体"/>
          <w:color w:val="auto"/>
          <w:sz w:val="21"/>
          <w:highlight w:val="none"/>
        </w:rPr>
      </w:pPr>
    </w:p>
    <w:p w14:paraId="6EDC1C86">
      <w:pPr>
        <w:pStyle w:val="40"/>
        <w:snapToGrid w:val="0"/>
        <w:spacing w:before="156" w:beforeLines="50"/>
        <w:ind w:firstLine="200"/>
        <w:rPr>
          <w:rFonts w:hint="eastAsia" w:ascii="宋体" w:hAnsi="宋体" w:eastAsia="宋体" w:cs="宋体"/>
          <w:color w:val="auto"/>
          <w:sz w:val="21"/>
          <w:highlight w:val="none"/>
        </w:rPr>
      </w:pPr>
    </w:p>
    <w:p w14:paraId="11C860FB">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color w:val="auto"/>
          <w:spacing w:val="-4"/>
          <w:szCs w:val="21"/>
          <w:highlight w:val="none"/>
        </w:rPr>
      </w:pPr>
      <w:r>
        <w:rPr>
          <w:rFonts w:hint="eastAsia" w:ascii="宋体" w:hAnsi="宋体" w:eastAsia="宋体" w:cs="宋体"/>
          <w:color w:val="auto"/>
          <w:highlight w:val="none"/>
        </w:rPr>
        <w:t>投标人公章：</w:t>
      </w:r>
      <w:r>
        <w:rPr>
          <w:rFonts w:hint="eastAsia" w:ascii="宋体" w:hAnsi="宋体" w:eastAsia="宋体" w:cs="宋体"/>
          <w:color w:val="auto"/>
          <w:highlight w:val="none"/>
          <w:u w:val="single"/>
        </w:rPr>
        <w:t xml:space="preserve">      </w:t>
      </w:r>
      <w:r>
        <w:rPr>
          <w:rFonts w:hint="eastAsia" w:ascii="宋体" w:hAnsi="宋体" w:eastAsia="宋体" w:cs="宋体"/>
          <w:color w:val="auto"/>
          <w:spacing w:val="-4"/>
          <w:szCs w:val="21"/>
          <w:highlight w:val="none"/>
        </w:rPr>
        <w:t>（加盖公章）</w:t>
      </w:r>
    </w:p>
    <w:p w14:paraId="77C3AD23">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eastAsia="宋体" w:cs="宋体"/>
          <w:color w:val="auto"/>
          <w:spacing w:val="-4"/>
          <w:szCs w:val="21"/>
          <w:highlight w:val="none"/>
        </w:rPr>
      </w:pPr>
      <w:r>
        <w:rPr>
          <w:rFonts w:hint="eastAsia" w:ascii="宋体" w:hAnsi="宋体" w:eastAsia="宋体" w:cs="宋体"/>
          <w:color w:val="auto"/>
          <w:highlight w:val="none"/>
        </w:rPr>
        <w:t>法定代表人（签字或盖章）：</w:t>
      </w:r>
    </w:p>
    <w:p w14:paraId="03A8DAB5">
      <w:pPr>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eastAsia="宋体" w:cs="宋体"/>
          <w:color w:val="auto"/>
          <w:spacing w:val="-4"/>
          <w:szCs w:val="21"/>
          <w:highlight w:val="none"/>
          <w:u w:val="thick"/>
        </w:rPr>
      </w:pPr>
      <w:r>
        <w:rPr>
          <w:rFonts w:hint="eastAsia" w:ascii="宋体" w:hAnsi="宋体" w:eastAsia="宋体" w:cs="宋体"/>
          <w:color w:val="auto"/>
          <w:spacing w:val="-4"/>
          <w:szCs w:val="21"/>
          <w:highlight w:val="none"/>
        </w:rPr>
        <w:t>投标人地址：</w:t>
      </w:r>
      <w:r>
        <w:rPr>
          <w:rFonts w:hint="eastAsia" w:ascii="宋体" w:hAnsi="宋体" w:eastAsia="宋体" w:cs="宋体"/>
          <w:color w:val="auto"/>
          <w:spacing w:val="-4"/>
          <w:szCs w:val="21"/>
          <w:highlight w:val="none"/>
          <w:u w:val="single"/>
        </w:rPr>
        <w:t xml:space="preserve">                   </w:t>
      </w:r>
    </w:p>
    <w:p w14:paraId="77A92A59">
      <w:pPr>
        <w:pStyle w:val="12"/>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20"/>
          <w:sz w:val="21"/>
          <w:szCs w:val="21"/>
          <w:highlight w:val="none"/>
        </w:rPr>
        <w:t>日期：</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pacing w:val="20"/>
          <w:sz w:val="21"/>
          <w:szCs w:val="21"/>
          <w:highlight w:val="none"/>
        </w:rPr>
        <w:t>年</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pacing w:val="20"/>
          <w:sz w:val="21"/>
          <w:szCs w:val="21"/>
          <w:highlight w:val="none"/>
        </w:rPr>
        <w:t>月</w:t>
      </w:r>
      <w:r>
        <w:rPr>
          <w:rFonts w:hint="eastAsia" w:ascii="宋体" w:hAnsi="宋体" w:eastAsia="宋体" w:cs="宋体"/>
          <w:color w:val="auto"/>
          <w:spacing w:val="20"/>
          <w:sz w:val="21"/>
          <w:szCs w:val="21"/>
          <w:highlight w:val="none"/>
          <w:u w:val="single"/>
        </w:rPr>
        <w:t xml:space="preserve">   </w:t>
      </w:r>
      <w:r>
        <w:rPr>
          <w:rFonts w:hint="eastAsia" w:ascii="宋体" w:hAnsi="宋体" w:eastAsia="宋体" w:cs="宋体"/>
          <w:color w:val="auto"/>
          <w:spacing w:val="20"/>
          <w:sz w:val="21"/>
          <w:szCs w:val="21"/>
          <w:highlight w:val="none"/>
        </w:rPr>
        <w:t>日</w:t>
      </w:r>
    </w:p>
    <w:p w14:paraId="24B3BAE2">
      <w:pPr>
        <w:snapToGrid w:val="0"/>
        <w:spacing w:line="360" w:lineRule="auto"/>
        <w:jc w:val="left"/>
        <w:rPr>
          <w:rFonts w:hint="eastAsia" w:ascii="宋体" w:hAnsi="宋体" w:eastAsia="宋体" w:cs="宋体"/>
          <w:b/>
          <w:bCs/>
          <w:color w:val="auto"/>
          <w:szCs w:val="21"/>
          <w:highlight w:val="none"/>
        </w:rPr>
      </w:pPr>
    </w:p>
    <w:p w14:paraId="7592A3BF">
      <w:pPr>
        <w:snapToGrid w:val="0"/>
        <w:spacing w:line="360" w:lineRule="auto"/>
        <w:jc w:val="left"/>
        <w:rPr>
          <w:rFonts w:hint="eastAsia" w:ascii="宋体" w:hAnsi="宋体" w:eastAsia="宋体" w:cs="宋体"/>
          <w:b/>
          <w:bCs/>
          <w:color w:val="auto"/>
          <w:szCs w:val="21"/>
          <w:highlight w:val="none"/>
        </w:rPr>
      </w:pPr>
      <w:r>
        <w:rPr>
          <w:rFonts w:hint="eastAsia" w:ascii="宋体" w:hAnsi="宋体" w:cs="宋体"/>
          <w:b/>
          <w:bCs/>
          <w:color w:val="auto"/>
          <w:szCs w:val="21"/>
          <w:highlight w:val="none"/>
          <w:lang w:val="en-US" w:eastAsia="zh-CN"/>
        </w:rPr>
        <w:t>三</w:t>
      </w:r>
      <w:r>
        <w:rPr>
          <w:rFonts w:hint="eastAsia" w:ascii="宋体" w:hAnsi="宋体" w:eastAsia="宋体" w:cs="宋体"/>
          <w:b/>
          <w:bCs/>
          <w:color w:val="auto"/>
          <w:szCs w:val="21"/>
          <w:highlight w:val="none"/>
        </w:rPr>
        <w:t>、声明函格式</w:t>
      </w:r>
      <w:r>
        <w:rPr>
          <w:rFonts w:hint="eastAsia" w:ascii="宋体" w:hAnsi="宋体" w:cs="宋体"/>
          <w:b/>
          <w:bCs/>
          <w:color w:val="auto"/>
          <w:szCs w:val="21"/>
          <w:highlight w:val="none"/>
          <w:lang w:eastAsia="zh-CN"/>
        </w:rPr>
        <w:t>（</w:t>
      </w:r>
      <w:r>
        <w:rPr>
          <w:rFonts w:hint="eastAsia" w:hAnsi="宋体" w:eastAsia="宋体" w:cs="宋体"/>
          <w:b/>
          <w:bCs/>
          <w:color w:val="auto"/>
          <w:sz w:val="21"/>
          <w:szCs w:val="21"/>
          <w:highlight w:val="none"/>
          <w:lang w:val="en-US" w:eastAsia="zh-CN"/>
        </w:rPr>
        <w:t>如为联合体投标的，联合体</w:t>
      </w:r>
      <w:r>
        <w:rPr>
          <w:rFonts w:hint="eastAsia" w:ascii="宋体" w:hAnsi="宋体" w:cs="宋体"/>
          <w:b/>
          <w:color w:val="auto"/>
          <w:szCs w:val="21"/>
          <w:highlight w:val="none"/>
        </w:rPr>
        <w:t>各成员</w:t>
      </w:r>
      <w:r>
        <w:rPr>
          <w:rFonts w:hint="eastAsia" w:ascii="宋体" w:hAnsi="宋体" w:cs="宋体"/>
          <w:b/>
          <w:color w:val="auto"/>
          <w:szCs w:val="21"/>
          <w:highlight w:val="none"/>
          <w:lang w:val="en-US" w:eastAsia="zh-CN"/>
        </w:rPr>
        <w:t>均须提供</w:t>
      </w:r>
      <w:r>
        <w:rPr>
          <w:rFonts w:hint="eastAsia" w:ascii="宋体" w:hAnsi="宋体" w:cs="宋体"/>
          <w:b/>
          <w:bCs/>
          <w:color w:val="auto"/>
          <w:szCs w:val="21"/>
          <w:highlight w:val="none"/>
          <w:lang w:eastAsia="zh-CN"/>
        </w:rPr>
        <w:t>）</w:t>
      </w:r>
    </w:p>
    <w:p w14:paraId="1EE566CF">
      <w:pPr>
        <w:snapToGrid w:val="0"/>
        <w:spacing w:before="156" w:beforeLines="50" w:after="50"/>
        <w:jc w:val="center"/>
        <w:rPr>
          <w:rFonts w:hint="eastAsia" w:ascii="宋体" w:hAnsi="宋体" w:eastAsia="宋体" w:cs="宋体"/>
          <w:b/>
          <w:color w:val="auto"/>
          <w:sz w:val="24"/>
          <w:highlight w:val="none"/>
        </w:rPr>
      </w:pPr>
    </w:p>
    <w:p w14:paraId="645A27DA">
      <w:pPr>
        <w:snapToGrid w:val="0"/>
        <w:spacing w:before="156" w:beforeLines="50" w:after="5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声明函</w:t>
      </w:r>
    </w:p>
    <w:p w14:paraId="7FF88A9D">
      <w:pPr>
        <w:snapToGrid w:val="0"/>
        <w:spacing w:before="156" w:beforeLines="50" w:after="50"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致：</w:t>
      </w:r>
      <w:r>
        <w:rPr>
          <w:rFonts w:hint="eastAsia" w:ascii="宋体" w:hAnsi="宋体" w:eastAsia="宋体" w:cs="宋体"/>
          <w:color w:val="auto"/>
          <w:szCs w:val="21"/>
          <w:highlight w:val="none"/>
          <w:u w:val="single"/>
        </w:rPr>
        <w:t xml:space="preserve"> （采购人）    </w:t>
      </w:r>
      <w:r>
        <w:rPr>
          <w:rFonts w:hint="eastAsia" w:ascii="宋体" w:hAnsi="宋体" w:eastAsia="宋体" w:cs="宋体"/>
          <w:color w:val="auto"/>
          <w:szCs w:val="21"/>
          <w:highlight w:val="none"/>
        </w:rPr>
        <w:t>：</w:t>
      </w:r>
    </w:p>
    <w:p w14:paraId="409E60CF">
      <w:pPr>
        <w:pStyle w:val="8"/>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w:t>
      </w:r>
      <w:r>
        <w:rPr>
          <w:rFonts w:hint="eastAsia" w:ascii="宋体" w:hAnsi="宋体" w:eastAsia="宋体" w:cs="宋体"/>
          <w:color w:val="auto"/>
          <w:sz w:val="21"/>
          <w:szCs w:val="21"/>
          <w:highlight w:val="none"/>
          <w:u w:val="single"/>
        </w:rPr>
        <w:t xml:space="preserve">    （投标人）          </w:t>
      </w:r>
      <w:r>
        <w:rPr>
          <w:rFonts w:hint="eastAsia" w:ascii="宋体" w:hAnsi="宋体" w:eastAsia="宋体" w:cs="宋体"/>
          <w:color w:val="auto"/>
          <w:sz w:val="21"/>
          <w:szCs w:val="21"/>
          <w:highlight w:val="none"/>
        </w:rPr>
        <w:t xml:space="preserve"> 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25E29519">
      <w:pPr>
        <w:pStyle w:val="8"/>
        <w:spacing w:line="360" w:lineRule="auto"/>
        <w:ind w:firstLine="48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特此声明！</w:t>
      </w:r>
    </w:p>
    <w:p w14:paraId="31C760DD">
      <w:pPr>
        <w:pStyle w:val="8"/>
        <w:ind w:firstLine="480"/>
        <w:rPr>
          <w:rFonts w:hint="eastAsia" w:ascii="宋体" w:hAnsi="宋体" w:eastAsia="宋体" w:cs="宋体"/>
          <w:color w:val="auto"/>
          <w:highlight w:val="none"/>
        </w:rPr>
      </w:pPr>
    </w:p>
    <w:p w14:paraId="24BD63F2">
      <w:pPr>
        <w:snapToGrid w:val="0"/>
        <w:spacing w:before="156" w:beforeLines="50"/>
        <w:ind w:firstLine="200"/>
        <w:rPr>
          <w:rFonts w:hint="eastAsia" w:ascii="宋体" w:hAnsi="宋体" w:eastAsia="宋体" w:cs="宋体"/>
          <w:color w:val="auto"/>
          <w:highlight w:val="none"/>
        </w:rPr>
      </w:pPr>
    </w:p>
    <w:p w14:paraId="47C444C4">
      <w:pPr>
        <w:snapToGrid w:val="0"/>
        <w:spacing w:before="156" w:beforeLines="50"/>
        <w:ind w:firstLine="5460" w:firstLineChars="2600"/>
        <w:rPr>
          <w:rFonts w:hint="eastAsia" w:ascii="宋体" w:hAnsi="宋体" w:eastAsia="宋体" w:cs="宋体"/>
          <w:color w:val="auto"/>
          <w:highlight w:val="none"/>
          <w:u w:val="single"/>
        </w:rPr>
      </w:pPr>
      <w:r>
        <w:rPr>
          <w:rFonts w:hint="eastAsia" w:ascii="宋体" w:hAnsi="宋体" w:eastAsia="宋体" w:cs="宋体"/>
          <w:color w:val="auto"/>
          <w:highlight w:val="none"/>
        </w:rPr>
        <w:t>投标人公章：</w:t>
      </w:r>
      <w:r>
        <w:rPr>
          <w:rFonts w:hint="eastAsia" w:ascii="宋体" w:hAnsi="宋体" w:eastAsia="宋体" w:cs="宋体"/>
          <w:color w:val="auto"/>
          <w:highlight w:val="none"/>
          <w:u w:val="single"/>
        </w:rPr>
        <w:t xml:space="preserve">      </w:t>
      </w:r>
      <w:r>
        <w:rPr>
          <w:rFonts w:hint="eastAsia" w:ascii="宋体" w:hAnsi="宋体" w:eastAsia="宋体" w:cs="宋体"/>
          <w:color w:val="auto"/>
          <w:spacing w:val="-4"/>
          <w:szCs w:val="21"/>
          <w:highlight w:val="none"/>
        </w:rPr>
        <w:t>（加盖公章）</w:t>
      </w:r>
    </w:p>
    <w:p w14:paraId="25F4BBB0">
      <w:pPr>
        <w:snapToGrid w:val="0"/>
        <w:spacing w:before="156" w:beforeLines="50"/>
        <w:ind w:firstLine="200"/>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法定代表人（签字或盖章）：</w:t>
      </w:r>
    </w:p>
    <w:p w14:paraId="0EE3A737">
      <w:pPr>
        <w:pStyle w:val="40"/>
        <w:snapToGrid w:val="0"/>
        <w:spacing w:before="156" w:beforeLines="50"/>
        <w:ind w:firstLine="200"/>
        <w:jc w:val="center"/>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rPr>
        <w:t xml:space="preserve">                                       年    月    日</w:t>
      </w:r>
    </w:p>
    <w:p w14:paraId="728C0CD9">
      <w:pPr>
        <w:snapToGrid w:val="0"/>
        <w:spacing w:before="156" w:beforeLines="50" w:after="50"/>
        <w:ind w:firstLine="482" w:firstLineChars="200"/>
        <w:jc w:val="left"/>
        <w:rPr>
          <w:rFonts w:hint="eastAsia" w:ascii="宋体" w:hAnsi="宋体" w:eastAsia="宋体" w:cs="宋体"/>
          <w:b/>
          <w:bCs/>
          <w:color w:val="auto"/>
          <w:sz w:val="24"/>
          <w:highlight w:val="none"/>
        </w:rPr>
      </w:pPr>
    </w:p>
    <w:p w14:paraId="31078ACB">
      <w:pPr>
        <w:snapToGrid w:val="0"/>
        <w:spacing w:before="156" w:beforeLines="50" w:after="50"/>
        <w:ind w:firstLine="482" w:firstLineChars="200"/>
        <w:jc w:val="left"/>
        <w:rPr>
          <w:rFonts w:hint="eastAsia" w:ascii="宋体" w:hAnsi="宋体" w:eastAsia="宋体" w:cs="宋体"/>
          <w:b/>
          <w:bCs/>
          <w:color w:val="auto"/>
          <w:sz w:val="24"/>
          <w:highlight w:val="none"/>
        </w:rPr>
      </w:pPr>
    </w:p>
    <w:p w14:paraId="2BB69659">
      <w:pPr>
        <w:pStyle w:val="8"/>
        <w:rPr>
          <w:rFonts w:hint="eastAsia" w:ascii="宋体" w:hAnsi="宋体" w:eastAsia="宋体" w:cs="宋体"/>
          <w:color w:val="auto"/>
          <w:highlight w:val="none"/>
        </w:rPr>
      </w:pPr>
    </w:p>
    <w:p w14:paraId="5ADF1DEF">
      <w:pPr>
        <w:pStyle w:val="8"/>
        <w:rPr>
          <w:rFonts w:hint="eastAsia" w:ascii="宋体" w:hAnsi="宋体" w:eastAsia="宋体" w:cs="宋体"/>
          <w:color w:val="auto"/>
          <w:highlight w:val="none"/>
        </w:rPr>
      </w:pPr>
    </w:p>
    <w:p w14:paraId="042C6B76">
      <w:pPr>
        <w:pStyle w:val="8"/>
        <w:rPr>
          <w:rFonts w:hint="eastAsia" w:ascii="宋体" w:hAnsi="宋体" w:eastAsia="宋体" w:cs="宋体"/>
          <w:color w:val="auto"/>
          <w:highlight w:val="none"/>
        </w:rPr>
      </w:pPr>
    </w:p>
    <w:p w14:paraId="5CFD491F">
      <w:pPr>
        <w:pStyle w:val="8"/>
        <w:rPr>
          <w:rFonts w:hint="eastAsia" w:ascii="宋体" w:hAnsi="宋体" w:eastAsia="宋体" w:cs="宋体"/>
          <w:color w:val="auto"/>
          <w:highlight w:val="none"/>
        </w:rPr>
      </w:pPr>
    </w:p>
    <w:p w14:paraId="0FEBE4AA">
      <w:pPr>
        <w:pStyle w:val="8"/>
        <w:rPr>
          <w:rFonts w:hint="eastAsia" w:ascii="宋体" w:hAnsi="宋体" w:eastAsia="宋体" w:cs="宋体"/>
          <w:color w:val="auto"/>
          <w:highlight w:val="none"/>
        </w:rPr>
      </w:pPr>
    </w:p>
    <w:p w14:paraId="3DEDE40A">
      <w:pPr>
        <w:pStyle w:val="8"/>
        <w:rPr>
          <w:rFonts w:hint="eastAsia" w:ascii="宋体" w:hAnsi="宋体" w:eastAsia="宋体" w:cs="宋体"/>
          <w:color w:val="auto"/>
          <w:highlight w:val="none"/>
        </w:rPr>
      </w:pPr>
    </w:p>
    <w:p w14:paraId="0AF70986">
      <w:pPr>
        <w:pStyle w:val="8"/>
        <w:rPr>
          <w:rFonts w:hint="eastAsia" w:ascii="宋体" w:hAnsi="宋体" w:eastAsia="宋体" w:cs="宋体"/>
          <w:color w:val="auto"/>
          <w:highlight w:val="none"/>
        </w:rPr>
      </w:pPr>
    </w:p>
    <w:p w14:paraId="10532906">
      <w:pPr>
        <w:pStyle w:val="8"/>
        <w:rPr>
          <w:rFonts w:hint="eastAsia" w:ascii="宋体" w:hAnsi="宋体" w:eastAsia="宋体" w:cs="宋体"/>
          <w:color w:val="auto"/>
          <w:highlight w:val="none"/>
        </w:rPr>
      </w:pPr>
    </w:p>
    <w:p w14:paraId="564CB3A8">
      <w:pPr>
        <w:pStyle w:val="8"/>
        <w:rPr>
          <w:rFonts w:hint="eastAsia" w:ascii="宋体" w:hAnsi="宋体" w:eastAsia="宋体" w:cs="宋体"/>
          <w:color w:val="auto"/>
          <w:highlight w:val="none"/>
        </w:rPr>
      </w:pPr>
    </w:p>
    <w:p w14:paraId="1C7EFE6B">
      <w:pPr>
        <w:pStyle w:val="8"/>
        <w:rPr>
          <w:rFonts w:hint="eastAsia" w:ascii="宋体" w:hAnsi="宋体" w:eastAsia="宋体" w:cs="宋体"/>
          <w:color w:val="auto"/>
          <w:highlight w:val="none"/>
        </w:rPr>
      </w:pPr>
    </w:p>
    <w:p w14:paraId="5082FCB1">
      <w:pPr>
        <w:pStyle w:val="8"/>
        <w:rPr>
          <w:rFonts w:hint="eastAsia" w:ascii="宋体" w:hAnsi="宋体" w:eastAsia="宋体" w:cs="宋体"/>
          <w:color w:val="auto"/>
          <w:highlight w:val="none"/>
        </w:rPr>
      </w:pPr>
    </w:p>
    <w:p w14:paraId="062EA4A6">
      <w:pPr>
        <w:rPr>
          <w:rFonts w:hint="eastAsia" w:ascii="宋体" w:hAnsi="宋体" w:eastAsia="宋体" w:cs="宋体"/>
          <w:b/>
          <w:bCs/>
          <w:color w:val="auto"/>
          <w:szCs w:val="21"/>
          <w:highlight w:val="none"/>
          <w:lang w:val="en-US" w:eastAsia="zh-CN"/>
        </w:rPr>
      </w:pPr>
    </w:p>
    <w:p w14:paraId="57D3AA07">
      <w:pPr>
        <w:rPr>
          <w:rFonts w:hint="eastAsia" w:ascii="宋体" w:hAnsi="宋体" w:eastAsia="宋体" w:cs="宋体"/>
          <w:b/>
          <w:bCs/>
          <w:color w:val="auto"/>
          <w:szCs w:val="21"/>
          <w:highlight w:val="none"/>
          <w:lang w:val="en-US" w:eastAsia="zh-CN"/>
        </w:rPr>
      </w:pPr>
    </w:p>
    <w:p w14:paraId="0538CBF0">
      <w:pPr>
        <w:snapToGrid w:val="0"/>
        <w:spacing w:line="360" w:lineRule="auto"/>
        <w:jc w:val="left"/>
        <w:rPr>
          <w:rFonts w:hint="eastAsia" w:ascii="宋体" w:hAnsi="宋体" w:eastAsia="宋体" w:cs="宋体"/>
          <w:b/>
          <w:bCs/>
          <w:color w:val="auto"/>
          <w:szCs w:val="21"/>
          <w:highlight w:val="none"/>
        </w:rPr>
      </w:pPr>
      <w:r>
        <w:rPr>
          <w:rFonts w:hint="eastAsia" w:ascii="宋体" w:hAnsi="宋体" w:cs="宋体"/>
          <w:b/>
          <w:bCs/>
          <w:color w:val="auto"/>
          <w:szCs w:val="21"/>
          <w:highlight w:val="none"/>
          <w:lang w:val="en-US" w:eastAsia="zh-CN"/>
        </w:rPr>
        <w:t>四</w:t>
      </w:r>
      <w:r>
        <w:rPr>
          <w:rFonts w:hint="eastAsia" w:ascii="宋体" w:hAnsi="宋体" w:eastAsia="宋体" w:cs="宋体"/>
          <w:b/>
          <w:bCs/>
          <w:color w:val="auto"/>
          <w:szCs w:val="21"/>
          <w:highlight w:val="none"/>
        </w:rPr>
        <w:t>、</w:t>
      </w:r>
      <w:r>
        <w:rPr>
          <w:rFonts w:hint="eastAsia" w:ascii="宋体" w:hAnsi="宋体" w:cs="宋体"/>
          <w:b/>
          <w:bCs/>
          <w:color w:val="auto"/>
          <w:szCs w:val="21"/>
          <w:highlight w:val="none"/>
          <w:lang w:val="en-US" w:eastAsia="zh-CN"/>
        </w:rPr>
        <w:t>联合体协议书</w:t>
      </w:r>
      <w:r>
        <w:rPr>
          <w:rFonts w:hint="eastAsia" w:ascii="宋体" w:hAnsi="宋体" w:eastAsia="宋体" w:cs="宋体"/>
          <w:b/>
          <w:bCs/>
          <w:color w:val="auto"/>
          <w:szCs w:val="21"/>
          <w:highlight w:val="none"/>
        </w:rPr>
        <w:t>格式</w:t>
      </w:r>
    </w:p>
    <w:p w14:paraId="1C5CD51B">
      <w:pPr>
        <w:spacing w:line="360" w:lineRule="auto"/>
        <w:jc w:val="center"/>
        <w:rPr>
          <w:rFonts w:hint="eastAsia" w:ascii="宋体" w:hAnsi="宋体" w:eastAsia="宋体" w:cs="Times New Roman"/>
          <w:b/>
          <w:color w:val="auto"/>
          <w:spacing w:val="6"/>
          <w:sz w:val="28"/>
          <w:szCs w:val="28"/>
          <w:highlight w:val="none"/>
        </w:rPr>
      </w:pPr>
    </w:p>
    <w:p w14:paraId="5E482EA7">
      <w:pPr>
        <w:spacing w:line="360" w:lineRule="auto"/>
        <w:jc w:val="center"/>
        <w:rPr>
          <w:rFonts w:hint="eastAsia" w:ascii="宋体" w:hAnsi="宋体" w:eastAsia="宋体" w:cs="Times New Roman"/>
          <w:b/>
          <w:color w:val="auto"/>
          <w:spacing w:val="6"/>
          <w:sz w:val="28"/>
          <w:szCs w:val="28"/>
          <w:highlight w:val="none"/>
          <w:lang w:val="en-US" w:eastAsia="zh-CN"/>
        </w:rPr>
      </w:pPr>
      <w:r>
        <w:rPr>
          <w:rFonts w:hint="eastAsia" w:ascii="宋体" w:hAnsi="宋体" w:eastAsia="宋体" w:cs="Times New Roman"/>
          <w:b/>
          <w:color w:val="auto"/>
          <w:spacing w:val="6"/>
          <w:sz w:val="28"/>
          <w:szCs w:val="28"/>
          <w:highlight w:val="none"/>
        </w:rPr>
        <w:t>联合协议</w:t>
      </w:r>
      <w:r>
        <w:rPr>
          <w:rFonts w:hint="eastAsia" w:ascii="宋体" w:hAnsi="宋体" w:eastAsia="宋体" w:cs="Times New Roman"/>
          <w:b/>
          <w:color w:val="auto"/>
          <w:spacing w:val="6"/>
          <w:sz w:val="28"/>
          <w:szCs w:val="28"/>
          <w:highlight w:val="none"/>
          <w:lang w:val="en-US" w:eastAsia="zh-CN"/>
        </w:rPr>
        <w:t>书</w:t>
      </w:r>
    </w:p>
    <w:p w14:paraId="552746B4">
      <w:pPr>
        <w:spacing w:line="360" w:lineRule="auto"/>
        <w:rPr>
          <w:rFonts w:hint="eastAsia" w:ascii="宋体" w:hAnsi="宋体" w:eastAsia="宋体" w:cs="宋体"/>
          <w:color w:val="auto"/>
          <w:sz w:val="24"/>
          <w:szCs w:val="24"/>
          <w:highlight w:val="none"/>
        </w:rPr>
      </w:pPr>
    </w:p>
    <w:p w14:paraId="5E8D8411">
      <w:pPr>
        <w:topLinePunct/>
        <w:spacing w:line="360" w:lineRule="auto"/>
        <w:ind w:firstLine="420" w:firstLineChars="200"/>
        <w:rPr>
          <w:rFonts w:ascii="宋体" w:hAnsi="宋体" w:eastAsia="宋体" w:cs="Times New Roman"/>
          <w:color w:val="auto"/>
          <w:szCs w:val="21"/>
          <w:highlight w:val="none"/>
        </w:rPr>
      </w:pP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（所有成员单位名称）自愿组成</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（联合体名称）</w:t>
      </w:r>
      <w:r>
        <w:rPr>
          <w:rFonts w:hint="eastAsia" w:ascii="宋体" w:hAnsi="宋体" w:eastAsia="宋体" w:cs="Times New Roman"/>
          <w:color w:val="auto"/>
          <w:szCs w:val="21"/>
          <w:highlight w:val="none"/>
        </w:rPr>
        <w:t>联合体</w:t>
      </w:r>
      <w:r>
        <w:rPr>
          <w:rFonts w:ascii="宋体" w:hAnsi="宋体" w:eastAsia="宋体" w:cs="Times New Roman"/>
          <w:color w:val="auto"/>
          <w:szCs w:val="21"/>
          <w:highlight w:val="none"/>
        </w:rPr>
        <w:t>，共同参加</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（项目名称）（项目编号）投标。现就联合体投标事宜订立如下协议。</w:t>
      </w:r>
    </w:p>
    <w:p w14:paraId="4BCFE7A6">
      <w:pPr>
        <w:topLinePunct/>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一</w:t>
      </w:r>
      <w:r>
        <w:rPr>
          <w:rFonts w:ascii="宋体" w:hAnsi="宋体" w:eastAsia="宋体" w:cs="Times New Roman"/>
          <w:color w:val="auto"/>
          <w:szCs w:val="21"/>
          <w:highlight w:val="none"/>
        </w:rPr>
        <w:t>、</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（某成员单位名称）为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（联合体名称）牵头人。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（某成员单位名称）</w:t>
      </w:r>
      <w:r>
        <w:rPr>
          <w:rFonts w:hint="eastAsia" w:ascii="宋体" w:hAnsi="宋体" w:eastAsia="宋体" w:cs="Times New Roman"/>
          <w:color w:val="auto"/>
          <w:szCs w:val="21"/>
          <w:highlight w:val="none"/>
        </w:rPr>
        <w:t>为</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（联合体名称）</w:t>
      </w:r>
      <w:r>
        <w:rPr>
          <w:rFonts w:hint="eastAsia" w:ascii="宋体" w:hAnsi="宋体" w:eastAsia="宋体" w:cs="Times New Roman"/>
          <w:color w:val="auto"/>
          <w:szCs w:val="21"/>
          <w:highlight w:val="none"/>
        </w:rPr>
        <w:t>成员。</w:t>
      </w:r>
    </w:p>
    <w:p w14:paraId="1028EBDC">
      <w:pPr>
        <w:topLinePunct/>
        <w:spacing w:line="360"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二</w:t>
      </w:r>
      <w:r>
        <w:rPr>
          <w:rFonts w:ascii="宋体" w:hAnsi="宋体" w:eastAsia="宋体" w:cs="Times New Roman"/>
          <w:color w:val="auto"/>
          <w:szCs w:val="21"/>
          <w:highlight w:val="none"/>
        </w:rPr>
        <w:t>、联合体牵头人</w:t>
      </w:r>
      <w:r>
        <w:rPr>
          <w:rFonts w:hint="eastAsia" w:ascii="宋体" w:hAnsi="宋体" w:eastAsia="宋体" w:cs="Times New Roman"/>
          <w:color w:val="auto"/>
          <w:szCs w:val="21"/>
          <w:highlight w:val="none"/>
        </w:rPr>
        <w:t>合法代表联合体各成员负责本招标项目投标文件编制和合同谈判及签署活动，代表联合体提交和接收相关的资料、信息及指示，处理与之有关的一切事务，并</w:t>
      </w:r>
      <w:r>
        <w:rPr>
          <w:rFonts w:ascii="宋体" w:hAnsi="宋体" w:eastAsia="宋体" w:cs="Times New Roman"/>
          <w:color w:val="auto"/>
          <w:szCs w:val="21"/>
          <w:highlight w:val="none"/>
        </w:rPr>
        <w:t>负责合同实施阶段的主办、组织和协调工作。</w:t>
      </w:r>
    </w:p>
    <w:p w14:paraId="11D02866">
      <w:pPr>
        <w:topLinePunct/>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三</w:t>
      </w:r>
      <w:r>
        <w:rPr>
          <w:rFonts w:ascii="宋体" w:hAnsi="宋体" w:eastAsia="宋体" w:cs="Times New Roman"/>
          <w:color w:val="auto"/>
          <w:szCs w:val="21"/>
          <w:highlight w:val="none"/>
        </w:rPr>
        <w:t>、联合体将严格按照招标文件的各项要求，递交投标文件，履行</w:t>
      </w:r>
      <w:r>
        <w:rPr>
          <w:rFonts w:hint="eastAsia" w:ascii="宋体" w:hAnsi="宋体" w:eastAsia="宋体" w:cs="Times New Roman"/>
          <w:color w:val="auto"/>
          <w:szCs w:val="21"/>
          <w:highlight w:val="none"/>
        </w:rPr>
        <w:t>投标义务和中标后的合同，共同承担合同规定的一切义务和责任，</w:t>
      </w:r>
      <w:r>
        <w:rPr>
          <w:rFonts w:ascii="宋体" w:hAnsi="宋体" w:eastAsia="宋体" w:cs="Times New Roman"/>
          <w:color w:val="auto"/>
          <w:szCs w:val="21"/>
          <w:highlight w:val="none"/>
        </w:rPr>
        <w:t>并对外承担连带责任。</w:t>
      </w:r>
    </w:p>
    <w:p w14:paraId="0D4DAEBA">
      <w:pPr>
        <w:spacing w:line="360" w:lineRule="auto"/>
        <w:ind w:firstLine="420" w:firstLineChars="200"/>
        <w:rPr>
          <w:rFonts w:hint="eastAsia" w:ascii="Times New Roman" w:hAnsi="Times New Roman" w:eastAsia="宋体" w:cs="Times New Roman"/>
          <w:color w:val="auto"/>
          <w:szCs w:val="21"/>
          <w:highlight w:val="none"/>
        </w:rPr>
      </w:pPr>
      <w:r>
        <w:rPr>
          <w:rFonts w:hint="eastAsia" w:ascii="宋体" w:hAnsi="宋体" w:eastAsia="宋体" w:cs="Times New Roman"/>
          <w:color w:val="auto"/>
          <w:szCs w:val="21"/>
          <w:highlight w:val="none"/>
        </w:rPr>
        <w:t>四、联合体中标后，联合体各方应按招标文件要求签订项目合同。若一方退出本联合体、拒签项目合同的，应当承担违约责任，并赔偿对其他方造成的损失。</w:t>
      </w:r>
    </w:p>
    <w:p w14:paraId="1743ABD0">
      <w:pPr>
        <w:topLinePunct/>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五</w:t>
      </w:r>
      <w:r>
        <w:rPr>
          <w:rFonts w:ascii="宋体" w:hAnsi="宋体" w:eastAsia="宋体" w:cs="Times New Roman"/>
          <w:color w:val="auto"/>
          <w:szCs w:val="21"/>
          <w:highlight w:val="none"/>
        </w:rPr>
        <w:t>、联合体各成员单位的职责分工</w:t>
      </w:r>
      <w:r>
        <w:rPr>
          <w:rFonts w:hint="eastAsia" w:ascii="宋体" w:hAnsi="宋体" w:eastAsia="宋体" w:cs="Times New Roman"/>
          <w:color w:val="auto"/>
          <w:szCs w:val="21"/>
          <w:highlight w:val="none"/>
        </w:rPr>
        <w:t>、企业划型、合同份额</w:t>
      </w:r>
      <w:r>
        <w:rPr>
          <w:rFonts w:ascii="宋体" w:hAnsi="宋体" w:eastAsia="宋体" w:cs="Times New Roman"/>
          <w:color w:val="auto"/>
          <w:szCs w:val="21"/>
          <w:highlight w:val="none"/>
        </w:rPr>
        <w:t>如下：</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8"/>
        <w:gridCol w:w="1699"/>
        <w:gridCol w:w="1700"/>
        <w:gridCol w:w="1700"/>
        <w:gridCol w:w="1725"/>
      </w:tblGrid>
      <w:tr w14:paraId="30F81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27" w:type="dxa"/>
            <w:shd w:val="clear" w:color="auto" w:fill="auto"/>
            <w:noWrap w:val="0"/>
            <w:vAlign w:val="top"/>
          </w:tcPr>
          <w:p w14:paraId="70D51948">
            <w:pPr>
              <w:spacing w:line="36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序号</w:t>
            </w:r>
          </w:p>
        </w:tc>
        <w:tc>
          <w:tcPr>
            <w:tcW w:w="2027" w:type="dxa"/>
            <w:shd w:val="clear" w:color="auto" w:fill="auto"/>
            <w:noWrap w:val="0"/>
            <w:vAlign w:val="top"/>
          </w:tcPr>
          <w:p w14:paraId="216D1178">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成员单位名称</w:t>
            </w:r>
          </w:p>
        </w:tc>
        <w:tc>
          <w:tcPr>
            <w:tcW w:w="2028" w:type="dxa"/>
            <w:shd w:val="clear" w:color="auto" w:fill="auto"/>
            <w:noWrap w:val="0"/>
            <w:vAlign w:val="top"/>
          </w:tcPr>
          <w:p w14:paraId="094C8EE6">
            <w:pPr>
              <w:spacing w:line="360" w:lineRule="auto"/>
              <w:rPr>
                <w:rFonts w:ascii="宋体" w:hAnsi="宋体" w:eastAsia="宋体" w:cs="Times New Roman"/>
                <w:color w:val="auto"/>
                <w:szCs w:val="21"/>
                <w:highlight w:val="none"/>
              </w:rPr>
            </w:pPr>
            <w:r>
              <w:rPr>
                <w:rFonts w:ascii="宋体" w:hAnsi="宋体" w:eastAsia="宋体" w:cs="Times New Roman"/>
                <w:color w:val="auto"/>
                <w:szCs w:val="21"/>
                <w:highlight w:val="none"/>
              </w:rPr>
              <w:t>职责分工</w:t>
            </w:r>
          </w:p>
          <w:p w14:paraId="41D596C6">
            <w:pPr>
              <w:spacing w:line="36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（标的名称）</w:t>
            </w:r>
          </w:p>
        </w:tc>
        <w:tc>
          <w:tcPr>
            <w:tcW w:w="2028" w:type="dxa"/>
            <w:shd w:val="clear" w:color="auto" w:fill="auto"/>
            <w:noWrap w:val="0"/>
            <w:vAlign w:val="top"/>
          </w:tcPr>
          <w:p w14:paraId="2B215207">
            <w:pPr>
              <w:spacing w:line="36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企业划型</w:t>
            </w:r>
          </w:p>
          <w:p w14:paraId="32C00D91">
            <w:pPr>
              <w:spacing w:line="36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（大型、中型、小型、微型企业或其他）</w:t>
            </w:r>
          </w:p>
        </w:tc>
        <w:tc>
          <w:tcPr>
            <w:tcW w:w="2028" w:type="dxa"/>
            <w:shd w:val="clear" w:color="auto" w:fill="auto"/>
            <w:noWrap w:val="0"/>
            <w:vAlign w:val="top"/>
          </w:tcPr>
          <w:p w14:paraId="070BE057">
            <w:pPr>
              <w:spacing w:line="36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合同份额（%）</w:t>
            </w:r>
          </w:p>
          <w:p w14:paraId="4FD01B3F">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（合同金额占合同总额的比例）</w:t>
            </w:r>
          </w:p>
        </w:tc>
      </w:tr>
      <w:tr w14:paraId="4A88D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27" w:type="dxa"/>
            <w:shd w:val="clear" w:color="auto" w:fill="auto"/>
            <w:noWrap w:val="0"/>
            <w:vAlign w:val="top"/>
          </w:tcPr>
          <w:p w14:paraId="43DC6B8C">
            <w:pPr>
              <w:spacing w:line="360" w:lineRule="auto"/>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w:t>
            </w:r>
          </w:p>
        </w:tc>
        <w:tc>
          <w:tcPr>
            <w:tcW w:w="2027" w:type="dxa"/>
            <w:shd w:val="clear" w:color="auto" w:fill="auto"/>
            <w:noWrap w:val="0"/>
            <w:vAlign w:val="top"/>
          </w:tcPr>
          <w:p w14:paraId="2AC3A50E">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p>
        </w:tc>
        <w:tc>
          <w:tcPr>
            <w:tcW w:w="2028" w:type="dxa"/>
            <w:shd w:val="clear" w:color="auto" w:fill="auto"/>
            <w:noWrap w:val="0"/>
            <w:vAlign w:val="top"/>
          </w:tcPr>
          <w:p w14:paraId="62E9CAE9">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p>
        </w:tc>
        <w:tc>
          <w:tcPr>
            <w:tcW w:w="2028" w:type="dxa"/>
            <w:shd w:val="clear" w:color="auto" w:fill="auto"/>
            <w:noWrap w:val="0"/>
            <w:vAlign w:val="top"/>
          </w:tcPr>
          <w:p w14:paraId="73CE5BAA">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p>
        </w:tc>
        <w:tc>
          <w:tcPr>
            <w:tcW w:w="2028" w:type="dxa"/>
            <w:shd w:val="clear" w:color="auto" w:fill="auto"/>
            <w:noWrap w:val="0"/>
            <w:vAlign w:val="top"/>
          </w:tcPr>
          <w:p w14:paraId="3F75BB30">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w:t>
            </w:r>
          </w:p>
        </w:tc>
      </w:tr>
    </w:tbl>
    <w:p w14:paraId="2B28A418">
      <w:pPr>
        <w:topLinePunct/>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六、联合体各成员单位之间存在的直接控股、管理关系：</w:t>
      </w:r>
      <w:r>
        <w:rPr>
          <w:rFonts w:ascii="宋体" w:hAnsi="宋体" w:eastAsia="宋体" w:cs="Times New Roman"/>
          <w:color w:val="auto"/>
          <w:szCs w:val="21"/>
          <w:highlight w:val="none"/>
          <w:u w:val="single"/>
        </w:rPr>
        <w:t xml:space="preserve">      </w:t>
      </w:r>
    </w:p>
    <w:p w14:paraId="23CB0FA7">
      <w:pPr>
        <w:topLinePunct/>
        <w:spacing w:line="360"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七、其他约定：</w:t>
      </w:r>
      <w:r>
        <w:rPr>
          <w:rFonts w:ascii="宋体" w:hAnsi="宋体" w:eastAsia="宋体" w:cs="Times New Roman"/>
          <w:color w:val="auto"/>
          <w:szCs w:val="21"/>
          <w:highlight w:val="none"/>
          <w:u w:val="single"/>
        </w:rPr>
        <w:t xml:space="preserve">      </w:t>
      </w:r>
    </w:p>
    <w:p w14:paraId="24B40B1C">
      <w:pPr>
        <w:topLinePunct/>
        <w:spacing w:line="360" w:lineRule="auto"/>
        <w:ind w:firstLine="420" w:firstLineChars="200"/>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八</w:t>
      </w:r>
      <w:r>
        <w:rPr>
          <w:rFonts w:ascii="宋体" w:hAnsi="宋体" w:eastAsia="宋体" w:cs="Times New Roman"/>
          <w:color w:val="auto"/>
          <w:szCs w:val="21"/>
          <w:highlight w:val="none"/>
        </w:rPr>
        <w:t>、本协议自</w:t>
      </w:r>
      <w:r>
        <w:rPr>
          <w:rFonts w:hint="eastAsia" w:ascii="宋体" w:hAnsi="宋体" w:eastAsia="宋体" w:cs="Times New Roman"/>
          <w:color w:val="auto"/>
          <w:szCs w:val="21"/>
          <w:highlight w:val="none"/>
        </w:rPr>
        <w:t>联合体各方共同</w:t>
      </w:r>
      <w:r>
        <w:rPr>
          <w:rFonts w:ascii="宋体" w:hAnsi="宋体" w:eastAsia="宋体" w:cs="Times New Roman"/>
          <w:color w:val="auto"/>
          <w:szCs w:val="21"/>
          <w:highlight w:val="none"/>
        </w:rPr>
        <w:t>签署之日起生效</w:t>
      </w:r>
      <w:r>
        <w:rPr>
          <w:rFonts w:hint="eastAsia" w:ascii="宋体" w:hAnsi="宋体" w:eastAsia="宋体" w:cs="Times New Roman"/>
          <w:color w:val="auto"/>
          <w:szCs w:val="21"/>
          <w:highlight w:val="none"/>
        </w:rPr>
        <w:t>，至各方履行完合同全部义务后自行失效，并随合同的终止而终止</w:t>
      </w:r>
      <w:r>
        <w:rPr>
          <w:rFonts w:ascii="宋体" w:hAnsi="宋体" w:eastAsia="宋体" w:cs="Times New Roman"/>
          <w:color w:val="auto"/>
          <w:szCs w:val="21"/>
          <w:highlight w:val="none"/>
        </w:rPr>
        <w:t xml:space="preserve">。 </w:t>
      </w:r>
    </w:p>
    <w:p w14:paraId="48F9D0FB">
      <w:pPr>
        <w:topLinePunct/>
        <w:spacing w:line="360" w:lineRule="auto"/>
        <w:ind w:firstLine="420" w:firstLineChars="200"/>
        <w:rPr>
          <w:rFonts w:ascii="宋体" w:hAnsi="宋体" w:eastAsia="宋体" w:cs="Times New Roman"/>
          <w:color w:val="auto"/>
          <w:kern w:val="0"/>
          <w:szCs w:val="21"/>
          <w:highlight w:val="none"/>
          <w:u w:val="single"/>
        </w:rPr>
      </w:pPr>
      <w:r>
        <w:rPr>
          <w:rFonts w:hint="eastAsia" w:ascii="宋体" w:hAnsi="宋体" w:eastAsia="宋体" w:cs="Times New Roman"/>
          <w:color w:val="auto"/>
          <w:szCs w:val="21"/>
          <w:highlight w:val="none"/>
        </w:rPr>
        <w:t>九</w:t>
      </w:r>
      <w:r>
        <w:rPr>
          <w:rFonts w:ascii="宋体" w:hAnsi="宋体" w:eastAsia="宋体" w:cs="Times New Roman"/>
          <w:color w:val="auto"/>
          <w:szCs w:val="21"/>
          <w:highlight w:val="none"/>
        </w:rPr>
        <w:t>、本协议一式</w:t>
      </w:r>
      <w:r>
        <w:rPr>
          <w:rFonts w:ascii="宋体" w:hAnsi="宋体" w:eastAsia="宋体" w:cs="Times New Roman"/>
          <w:color w:val="auto"/>
          <w:szCs w:val="21"/>
          <w:highlight w:val="none"/>
          <w:u w:val="single"/>
        </w:rPr>
        <w:t xml:space="preserve">   </w:t>
      </w:r>
      <w:r>
        <w:rPr>
          <w:rFonts w:ascii="宋体" w:hAnsi="宋体" w:eastAsia="宋体" w:cs="Times New Roman"/>
          <w:color w:val="auto"/>
          <w:szCs w:val="21"/>
          <w:highlight w:val="none"/>
        </w:rPr>
        <w:t>份，联合体成员和</w:t>
      </w:r>
      <w:r>
        <w:rPr>
          <w:rFonts w:hint="eastAsia" w:ascii="宋体" w:hAnsi="宋体" w:eastAsia="宋体" w:cs="Times New Roman"/>
          <w:color w:val="auto"/>
          <w:szCs w:val="21"/>
          <w:highlight w:val="none"/>
        </w:rPr>
        <w:t>采购</w:t>
      </w:r>
      <w:r>
        <w:rPr>
          <w:rFonts w:ascii="宋体" w:hAnsi="宋体" w:eastAsia="宋体" w:cs="Times New Roman"/>
          <w:color w:val="auto"/>
          <w:szCs w:val="21"/>
          <w:highlight w:val="none"/>
        </w:rPr>
        <w:t>人各执一份。</w:t>
      </w:r>
    </w:p>
    <w:p w14:paraId="1005AC9D">
      <w:pPr>
        <w:spacing w:line="360" w:lineRule="auto"/>
        <w:jc w:val="right"/>
        <w:rPr>
          <w:rFonts w:ascii="宋体" w:hAnsi="宋体" w:eastAsia="宋体" w:cs="Times New Roman"/>
          <w:color w:val="auto"/>
          <w:kern w:val="0"/>
          <w:szCs w:val="21"/>
          <w:highlight w:val="none"/>
        </w:rPr>
      </w:pPr>
      <w:r>
        <w:rPr>
          <w:rFonts w:ascii="宋体" w:hAnsi="宋体" w:eastAsia="宋体" w:cs="Times New Roman"/>
          <w:color w:val="auto"/>
          <w:kern w:val="0"/>
          <w:szCs w:val="21"/>
          <w:highlight w:val="none"/>
          <w:u w:val="single"/>
        </w:rPr>
        <w:t xml:space="preserve">        </w:t>
      </w:r>
      <w:r>
        <w:rPr>
          <w:rFonts w:ascii="宋体" w:hAnsi="宋体" w:eastAsia="宋体" w:cs="Times New Roman"/>
          <w:color w:val="auto"/>
          <w:kern w:val="0"/>
          <w:szCs w:val="21"/>
          <w:highlight w:val="none"/>
        </w:rPr>
        <w:t>年</w:t>
      </w:r>
      <w:r>
        <w:rPr>
          <w:rFonts w:ascii="宋体" w:hAnsi="宋体" w:eastAsia="宋体" w:cs="Times New Roman"/>
          <w:color w:val="auto"/>
          <w:kern w:val="0"/>
          <w:szCs w:val="21"/>
          <w:highlight w:val="none"/>
          <w:u w:val="single"/>
        </w:rPr>
        <w:t xml:space="preserve">   </w:t>
      </w:r>
      <w:r>
        <w:rPr>
          <w:rFonts w:hint="eastAsia" w:ascii="宋体" w:hAnsi="宋体" w:eastAsia="宋体" w:cs="Times New Roman"/>
          <w:color w:val="auto"/>
          <w:kern w:val="0"/>
          <w:szCs w:val="21"/>
          <w:highlight w:val="none"/>
          <w:u w:val="single"/>
        </w:rPr>
        <w:t xml:space="preserve">   </w:t>
      </w:r>
      <w:r>
        <w:rPr>
          <w:rFonts w:ascii="宋体" w:hAnsi="宋体" w:eastAsia="宋体" w:cs="Times New Roman"/>
          <w:color w:val="auto"/>
          <w:kern w:val="0"/>
          <w:szCs w:val="21"/>
          <w:highlight w:val="none"/>
          <w:u w:val="single"/>
        </w:rPr>
        <w:t xml:space="preserve"> </w:t>
      </w:r>
      <w:r>
        <w:rPr>
          <w:rFonts w:ascii="宋体" w:hAnsi="宋体" w:eastAsia="宋体" w:cs="Times New Roman"/>
          <w:color w:val="auto"/>
          <w:kern w:val="0"/>
          <w:szCs w:val="21"/>
          <w:highlight w:val="none"/>
        </w:rPr>
        <w:t>月</w:t>
      </w:r>
      <w:r>
        <w:rPr>
          <w:rFonts w:ascii="宋体" w:hAnsi="宋体" w:eastAsia="宋体" w:cs="Times New Roman"/>
          <w:color w:val="auto"/>
          <w:kern w:val="0"/>
          <w:szCs w:val="21"/>
          <w:highlight w:val="none"/>
          <w:u w:val="single"/>
        </w:rPr>
        <w:t xml:space="preserve"> </w:t>
      </w:r>
      <w:r>
        <w:rPr>
          <w:rFonts w:hint="eastAsia" w:ascii="宋体" w:hAnsi="宋体" w:eastAsia="宋体" w:cs="Times New Roman"/>
          <w:color w:val="auto"/>
          <w:kern w:val="0"/>
          <w:szCs w:val="21"/>
          <w:highlight w:val="none"/>
          <w:u w:val="single"/>
        </w:rPr>
        <w:t xml:space="preserve">   </w:t>
      </w:r>
      <w:r>
        <w:rPr>
          <w:rFonts w:ascii="宋体" w:hAnsi="宋体" w:eastAsia="宋体" w:cs="Times New Roman"/>
          <w:color w:val="auto"/>
          <w:kern w:val="0"/>
          <w:szCs w:val="21"/>
          <w:highlight w:val="none"/>
          <w:u w:val="single"/>
        </w:rPr>
        <w:t xml:space="preserve">   </w:t>
      </w:r>
      <w:r>
        <w:rPr>
          <w:rFonts w:ascii="宋体" w:hAnsi="宋体" w:eastAsia="宋体" w:cs="Times New Roman"/>
          <w:color w:val="auto"/>
          <w:kern w:val="0"/>
          <w:szCs w:val="21"/>
          <w:highlight w:val="none"/>
        </w:rPr>
        <w:t>日</w:t>
      </w:r>
    </w:p>
    <w:p w14:paraId="2A4C0F04">
      <w:pPr>
        <w:spacing w:line="360" w:lineRule="auto"/>
        <w:rPr>
          <w:rFonts w:ascii="宋体" w:hAnsi="宋体" w:eastAsia="宋体" w:cs="Times New Roman"/>
          <w:color w:val="auto"/>
          <w:kern w:val="0"/>
          <w:szCs w:val="21"/>
          <w:highlight w:val="none"/>
        </w:rPr>
      </w:pPr>
      <w:r>
        <w:rPr>
          <w:rFonts w:ascii="宋体" w:hAnsi="宋体" w:eastAsia="宋体" w:cs="Times New Roman"/>
          <w:color w:val="auto"/>
          <w:kern w:val="0"/>
          <w:szCs w:val="21"/>
          <w:highlight w:val="none"/>
        </w:rPr>
        <w:br w:type="page"/>
      </w:r>
    </w:p>
    <w:p w14:paraId="5992493C">
      <w:pPr>
        <w:spacing w:line="360" w:lineRule="auto"/>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牵头人名称：</w:t>
      </w:r>
      <w:r>
        <w:rPr>
          <w:rFonts w:ascii="Times New Roman" w:hAnsi="Times New Roman" w:eastAsia="宋体" w:cs="Times New Roman"/>
          <w:color w:val="auto"/>
          <w:szCs w:val="21"/>
          <w:highlight w:val="none"/>
          <w:u w:val="single"/>
        </w:rPr>
        <w:t xml:space="preserve">                                 </w:t>
      </w:r>
      <w:r>
        <w:rPr>
          <w:rFonts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rPr>
        <w:t>盖</w:t>
      </w:r>
      <w:r>
        <w:rPr>
          <w:rFonts w:ascii="Times New Roman" w:hAnsi="Times New Roman" w:eastAsia="宋体" w:cs="Times New Roman"/>
          <w:color w:val="auto"/>
          <w:szCs w:val="21"/>
          <w:highlight w:val="none"/>
        </w:rPr>
        <w:t>章）</w:t>
      </w:r>
    </w:p>
    <w:p w14:paraId="7CB402A9">
      <w:pPr>
        <w:topLinePunct/>
        <w:spacing w:line="360" w:lineRule="auto"/>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法定代表人</w:t>
      </w:r>
      <w:r>
        <w:rPr>
          <w:rFonts w:hint="eastAsia" w:ascii="Times New Roman" w:hAnsi="Times New Roman" w:eastAsia="宋体" w:cs="Times New Roman"/>
          <w:color w:val="auto"/>
          <w:szCs w:val="21"/>
          <w:highlight w:val="none"/>
        </w:rPr>
        <w:t>：</w:t>
      </w:r>
      <w:r>
        <w:rPr>
          <w:rFonts w:ascii="Times New Roman" w:hAnsi="Times New Roman" w:eastAsia="宋体" w:cs="Times New Roman"/>
          <w:color w:val="auto"/>
          <w:szCs w:val="21"/>
          <w:highlight w:val="none"/>
          <w:u w:val="single"/>
        </w:rPr>
        <w:t xml:space="preserve">                       </w:t>
      </w:r>
      <w:r>
        <w:rPr>
          <w:rFonts w:ascii="Times New Roman" w:hAnsi="Times New Roman" w:eastAsia="宋体" w:cs="Times New Roman"/>
          <w:color w:val="auto"/>
          <w:szCs w:val="21"/>
          <w:highlight w:val="none"/>
        </w:rPr>
        <w:t>（签字</w:t>
      </w:r>
      <w:r>
        <w:rPr>
          <w:rFonts w:hint="eastAsia" w:ascii="Times New Roman" w:hAnsi="Times New Roman" w:eastAsia="宋体" w:cs="Times New Roman"/>
          <w:color w:val="auto"/>
          <w:szCs w:val="21"/>
          <w:highlight w:val="none"/>
        </w:rPr>
        <w:t>或签章</w:t>
      </w:r>
      <w:r>
        <w:rPr>
          <w:rFonts w:ascii="Times New Roman" w:hAnsi="Times New Roman" w:eastAsia="宋体" w:cs="Times New Roman"/>
          <w:color w:val="auto"/>
          <w:szCs w:val="21"/>
          <w:highlight w:val="none"/>
        </w:rPr>
        <w:t>）</w:t>
      </w:r>
    </w:p>
    <w:p w14:paraId="4221B8B1">
      <w:pPr>
        <w:topLinePunct/>
        <w:spacing w:line="360" w:lineRule="auto"/>
        <w:rPr>
          <w:rFonts w:ascii="Times New Roman" w:hAnsi="Times New Roman" w:eastAsia="宋体" w:cs="Times New Roman"/>
          <w:color w:val="auto"/>
          <w:szCs w:val="21"/>
          <w:highlight w:val="none"/>
        </w:rPr>
      </w:pPr>
    </w:p>
    <w:p w14:paraId="196768D3">
      <w:pPr>
        <w:topLinePunct/>
        <w:spacing w:line="360" w:lineRule="auto"/>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成员</w:t>
      </w:r>
      <w:r>
        <w:rPr>
          <w:rFonts w:hint="eastAsia" w:ascii="Times New Roman" w:hAnsi="Times New Roman" w:eastAsia="宋体" w:cs="Times New Roman"/>
          <w:color w:val="auto"/>
          <w:szCs w:val="21"/>
          <w:highlight w:val="none"/>
        </w:rPr>
        <w:t xml:space="preserve">  </w:t>
      </w:r>
      <w:r>
        <w:rPr>
          <w:rFonts w:ascii="Times New Roman" w:hAnsi="Times New Roman" w:eastAsia="宋体" w:cs="Times New Roman"/>
          <w:color w:val="auto"/>
          <w:szCs w:val="21"/>
          <w:highlight w:val="none"/>
        </w:rPr>
        <w:t>名称：</w:t>
      </w:r>
      <w:r>
        <w:rPr>
          <w:rFonts w:ascii="Times New Roman" w:hAnsi="Times New Roman" w:eastAsia="宋体" w:cs="Times New Roman"/>
          <w:color w:val="auto"/>
          <w:szCs w:val="21"/>
          <w:highlight w:val="none"/>
          <w:u w:val="single"/>
        </w:rPr>
        <w:t xml:space="preserve">                                 </w:t>
      </w:r>
      <w:r>
        <w:rPr>
          <w:rFonts w:ascii="Times New Roman" w:hAnsi="Times New Roman" w:eastAsia="宋体" w:cs="Times New Roman"/>
          <w:color w:val="auto"/>
          <w:szCs w:val="21"/>
          <w:highlight w:val="none"/>
        </w:rPr>
        <w:t>（</w:t>
      </w:r>
      <w:r>
        <w:rPr>
          <w:rFonts w:hint="eastAsia" w:ascii="Times New Roman" w:hAnsi="Times New Roman" w:eastAsia="宋体" w:cs="Times New Roman"/>
          <w:color w:val="auto"/>
          <w:szCs w:val="21"/>
          <w:highlight w:val="none"/>
        </w:rPr>
        <w:t>盖</w:t>
      </w:r>
      <w:r>
        <w:rPr>
          <w:rFonts w:ascii="Times New Roman" w:hAnsi="Times New Roman" w:eastAsia="宋体" w:cs="Times New Roman"/>
          <w:color w:val="auto"/>
          <w:szCs w:val="21"/>
          <w:highlight w:val="none"/>
        </w:rPr>
        <w:t>章）</w:t>
      </w:r>
    </w:p>
    <w:p w14:paraId="75F8AAB5">
      <w:pPr>
        <w:topLinePunct/>
        <w:spacing w:line="360" w:lineRule="auto"/>
        <w:rPr>
          <w:rFonts w:ascii="Times New Roman" w:hAnsi="Times New Roman" w:eastAsia="宋体" w:cs="Times New Roman"/>
          <w:color w:val="auto"/>
          <w:szCs w:val="21"/>
          <w:highlight w:val="none"/>
        </w:rPr>
      </w:pPr>
      <w:r>
        <w:rPr>
          <w:rFonts w:ascii="Times New Roman" w:hAnsi="Times New Roman" w:eastAsia="宋体" w:cs="Times New Roman"/>
          <w:color w:val="auto"/>
          <w:szCs w:val="21"/>
          <w:highlight w:val="none"/>
        </w:rPr>
        <w:t>法定代表人</w:t>
      </w:r>
      <w:r>
        <w:rPr>
          <w:rFonts w:hint="eastAsia" w:ascii="Times New Roman" w:hAnsi="Times New Roman" w:eastAsia="宋体" w:cs="Times New Roman"/>
          <w:color w:val="auto"/>
          <w:szCs w:val="21"/>
          <w:highlight w:val="none"/>
        </w:rPr>
        <w:t>：</w:t>
      </w:r>
      <w:r>
        <w:rPr>
          <w:rFonts w:ascii="Times New Roman" w:hAnsi="Times New Roman" w:eastAsia="宋体" w:cs="Times New Roman"/>
          <w:color w:val="auto"/>
          <w:szCs w:val="21"/>
          <w:highlight w:val="none"/>
          <w:u w:val="single"/>
        </w:rPr>
        <w:t xml:space="preserve">                       </w:t>
      </w:r>
      <w:r>
        <w:rPr>
          <w:rFonts w:ascii="Times New Roman" w:hAnsi="Times New Roman" w:eastAsia="宋体" w:cs="Times New Roman"/>
          <w:color w:val="auto"/>
          <w:szCs w:val="21"/>
          <w:highlight w:val="none"/>
        </w:rPr>
        <w:t>（签字</w:t>
      </w:r>
      <w:r>
        <w:rPr>
          <w:rFonts w:hint="eastAsia" w:ascii="Times New Roman" w:hAnsi="Times New Roman" w:eastAsia="宋体" w:cs="Times New Roman"/>
          <w:color w:val="auto"/>
          <w:szCs w:val="21"/>
          <w:highlight w:val="none"/>
        </w:rPr>
        <w:t>或签章</w:t>
      </w:r>
      <w:r>
        <w:rPr>
          <w:rFonts w:ascii="Times New Roman" w:hAnsi="Times New Roman" w:eastAsia="宋体" w:cs="Times New Roman"/>
          <w:color w:val="auto"/>
          <w:szCs w:val="21"/>
          <w:highlight w:val="none"/>
        </w:rPr>
        <w:t>）</w:t>
      </w:r>
    </w:p>
    <w:p w14:paraId="58080ACC">
      <w:pPr>
        <w:topLinePunct/>
        <w:spacing w:line="360" w:lineRule="auto"/>
        <w:rPr>
          <w:rFonts w:ascii="Times New Roman" w:hAnsi="Times New Roman" w:eastAsia="宋体" w:cs="Times New Roman"/>
          <w:color w:val="auto"/>
          <w:szCs w:val="21"/>
          <w:highlight w:val="none"/>
        </w:rPr>
      </w:pPr>
    </w:p>
    <w:p w14:paraId="57DF0C66">
      <w:pPr>
        <w:spacing w:line="360" w:lineRule="auto"/>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注：</w:t>
      </w:r>
    </w:p>
    <w:p w14:paraId="5963DDAC">
      <w:pPr>
        <w:numPr>
          <w:ilvl w:val="0"/>
          <w:numId w:val="0"/>
        </w:num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1.</w:t>
      </w:r>
      <w:r>
        <w:rPr>
          <w:rFonts w:hint="eastAsia" w:ascii="宋体" w:hAnsi="宋体" w:eastAsia="宋体" w:cs="宋体"/>
          <w:b/>
          <w:color w:val="auto"/>
          <w:szCs w:val="21"/>
          <w:highlight w:val="none"/>
        </w:rPr>
        <w:t>以联合体形式参加的还须提供《联合</w:t>
      </w:r>
      <w:r>
        <w:rPr>
          <w:rFonts w:hint="eastAsia" w:ascii="宋体" w:hAnsi="宋体" w:eastAsia="宋体" w:cs="宋体"/>
          <w:b/>
          <w:color w:val="auto"/>
          <w:szCs w:val="21"/>
          <w:highlight w:val="none"/>
          <w:lang w:val="en-US" w:eastAsia="zh-CN"/>
        </w:rPr>
        <w:t>体</w:t>
      </w:r>
      <w:r>
        <w:rPr>
          <w:rFonts w:hint="eastAsia" w:ascii="宋体" w:hAnsi="宋体" w:eastAsia="宋体" w:cs="宋体"/>
          <w:b/>
          <w:color w:val="auto"/>
          <w:szCs w:val="21"/>
          <w:highlight w:val="none"/>
        </w:rPr>
        <w:t>协议》，明确联合协议中中小企业合同金额应当达到合同总额的</w:t>
      </w:r>
      <w:r>
        <w:rPr>
          <w:rFonts w:hint="eastAsia" w:ascii="宋体" w:hAnsi="宋体" w:eastAsia="宋体" w:cs="宋体"/>
          <w:b/>
          <w:color w:val="auto"/>
          <w:szCs w:val="21"/>
          <w:highlight w:val="none"/>
          <w:lang w:val="en-US" w:eastAsia="zh-CN"/>
        </w:rPr>
        <w:t>3</w:t>
      </w:r>
      <w:r>
        <w:rPr>
          <w:rFonts w:hint="eastAsia" w:ascii="宋体" w:hAnsi="宋体" w:eastAsia="宋体" w:cs="宋体"/>
          <w:b/>
          <w:color w:val="auto"/>
          <w:szCs w:val="21"/>
          <w:highlight w:val="none"/>
        </w:rPr>
        <w:t>0%以上，组成联合体的中小企业与联合体内其他企业之间不得存在直接控股、管理关系，否则不享受预留份额政策。</w:t>
      </w:r>
    </w:p>
    <w:p w14:paraId="22144B8C">
      <w:pPr>
        <w:numPr>
          <w:ilvl w:val="0"/>
          <w:numId w:val="0"/>
        </w:numPr>
        <w:spacing w:line="360" w:lineRule="auto"/>
        <w:ind w:firstLine="422" w:firstLineChars="200"/>
        <w:rPr>
          <w:rFonts w:hint="eastAsia" w:ascii="宋体" w:hAnsi="宋体" w:eastAsia="宋体" w:cs="宋体"/>
          <w:b/>
          <w:color w:val="auto"/>
          <w:szCs w:val="21"/>
          <w:highlight w:val="none"/>
          <w:lang w:val="en-US" w:eastAsia="zh-CN"/>
        </w:rPr>
      </w:pPr>
      <w:r>
        <w:rPr>
          <w:rFonts w:hint="eastAsia" w:ascii="宋体" w:hAnsi="宋体" w:eastAsia="宋体" w:cs="宋体"/>
          <w:b/>
          <w:color w:val="auto"/>
          <w:szCs w:val="21"/>
          <w:highlight w:val="none"/>
          <w:lang w:val="en-US" w:eastAsia="zh-CN"/>
        </w:rPr>
        <w:t>2.联合体各方均为小型、微型企业的，联合体视同为小型、微型企业。组成联合体的大中型企业和其他自然人、法人或者其他组织，与小型、微型企业之间不得存在投资关系。</w:t>
      </w:r>
    </w:p>
    <w:p w14:paraId="02B540B4">
      <w:pPr>
        <w:spacing w:line="360" w:lineRule="auto"/>
        <w:ind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本项目接受联合体投标，但组成联合体的供应商最多两个。参加联合体的供应商应当在投标文件中提交联合协议，载明联合体各方承担的工作和义务。联合体成员均应满足本项目“申请人的资格要求”；联合体各方应当共同与采购人签订采购合同，就采购合同约定的事项对采购人承担连带责任。以联合体形式参加政府采购活动的，联合体各方不得再单独参加或者与其他供应商另外组成联合体参加同一合同项下的政府采购活动。</w:t>
      </w:r>
    </w:p>
    <w:p w14:paraId="5B520020">
      <w:pPr>
        <w:rPr>
          <w:rFonts w:hint="eastAsia" w:ascii="宋体" w:hAnsi="宋体" w:eastAsia="宋体" w:cs="宋体"/>
          <w:b/>
          <w:bCs/>
          <w:color w:val="auto"/>
          <w:szCs w:val="21"/>
          <w:highlight w:val="none"/>
          <w:lang w:val="en-US" w:eastAsia="zh-CN"/>
        </w:rPr>
      </w:pPr>
      <w:r>
        <w:rPr>
          <w:rFonts w:hint="eastAsia" w:ascii="宋体" w:hAnsi="宋体" w:eastAsia="宋体" w:cs="宋体"/>
          <w:b/>
          <w:color w:val="auto"/>
          <w:sz w:val="24"/>
          <w:szCs w:val="24"/>
          <w:highlight w:val="none"/>
        </w:rPr>
        <w:br w:type="page"/>
      </w:r>
    </w:p>
    <w:p w14:paraId="7CEEB8A4">
      <w:pPr>
        <w:rPr>
          <w:rFonts w:hint="eastAsia" w:ascii="宋体" w:hAnsi="宋体" w:eastAsia="宋体" w:cs="宋体"/>
          <w:b/>
          <w:bCs/>
          <w:color w:val="auto"/>
          <w:szCs w:val="21"/>
          <w:highlight w:val="none"/>
        </w:rPr>
      </w:pPr>
      <w:r>
        <w:rPr>
          <w:rFonts w:hint="eastAsia" w:ascii="宋体" w:hAnsi="宋体" w:cs="宋体"/>
          <w:b/>
          <w:bCs/>
          <w:color w:val="auto"/>
          <w:szCs w:val="21"/>
          <w:highlight w:val="none"/>
          <w:lang w:val="en-US" w:eastAsia="zh-CN"/>
        </w:rPr>
        <w:t>五</w:t>
      </w:r>
      <w:r>
        <w:rPr>
          <w:rFonts w:hint="eastAsia" w:ascii="宋体" w:hAnsi="宋体" w:eastAsia="宋体" w:cs="宋体"/>
          <w:b/>
          <w:bCs/>
          <w:color w:val="auto"/>
          <w:szCs w:val="21"/>
          <w:highlight w:val="none"/>
        </w:rPr>
        <w:t>、</w:t>
      </w:r>
      <w:r>
        <w:rPr>
          <w:rFonts w:hint="eastAsia" w:ascii="宋体" w:hAnsi="宋体" w:eastAsia="宋体" w:cs="宋体"/>
          <w:b/>
          <w:color w:val="auto"/>
          <w:szCs w:val="21"/>
          <w:highlight w:val="none"/>
        </w:rPr>
        <w:t>投标人法定代表人身份证扫描件</w:t>
      </w:r>
    </w:p>
    <w:p w14:paraId="61225871">
      <w:pPr>
        <w:spacing w:line="480" w:lineRule="auto"/>
        <w:ind w:firstLine="463" w:firstLineChars="192"/>
        <w:jc w:val="center"/>
        <w:rPr>
          <w:rFonts w:hint="eastAsia" w:ascii="宋体" w:hAnsi="宋体" w:eastAsia="宋体" w:cs="宋体"/>
          <w:b/>
          <w:bCs/>
          <w:color w:val="auto"/>
          <w:sz w:val="24"/>
          <w:highlight w:val="none"/>
        </w:rPr>
      </w:pPr>
    </w:p>
    <w:p w14:paraId="497A49B0">
      <w:pPr>
        <w:pStyle w:val="8"/>
        <w:rPr>
          <w:rFonts w:hint="eastAsia" w:ascii="宋体" w:hAnsi="宋体" w:eastAsia="宋体" w:cs="宋体"/>
          <w:color w:val="auto"/>
          <w:highlight w:val="none"/>
        </w:rPr>
      </w:pPr>
    </w:p>
    <w:p w14:paraId="401C5CAB">
      <w:pPr>
        <w:snapToGrid w:val="0"/>
        <w:spacing w:line="360" w:lineRule="auto"/>
        <w:jc w:val="left"/>
        <w:rPr>
          <w:rFonts w:hint="eastAsia" w:ascii="宋体" w:hAnsi="宋体" w:eastAsia="宋体" w:cs="宋体"/>
          <w:b/>
          <w:bCs/>
          <w:color w:val="auto"/>
          <w:szCs w:val="21"/>
          <w:highlight w:val="none"/>
        </w:rPr>
      </w:pPr>
      <w:r>
        <w:rPr>
          <w:rFonts w:hint="eastAsia" w:ascii="宋体" w:hAnsi="宋体" w:cs="宋体"/>
          <w:b/>
          <w:bCs/>
          <w:color w:val="auto"/>
          <w:szCs w:val="21"/>
          <w:highlight w:val="none"/>
          <w:lang w:val="en-US" w:eastAsia="zh-CN"/>
        </w:rPr>
        <w:t>六</w:t>
      </w:r>
      <w:r>
        <w:rPr>
          <w:rFonts w:hint="eastAsia" w:ascii="宋体" w:hAnsi="宋体" w:eastAsia="宋体" w:cs="宋体"/>
          <w:b/>
          <w:bCs/>
          <w:color w:val="auto"/>
          <w:szCs w:val="21"/>
          <w:highlight w:val="none"/>
        </w:rPr>
        <w:t>、法定代表人授权委托书格式：</w:t>
      </w:r>
    </w:p>
    <w:p w14:paraId="48E83684">
      <w:pPr>
        <w:pStyle w:val="8"/>
        <w:rPr>
          <w:rFonts w:hint="eastAsia" w:ascii="宋体" w:hAnsi="宋体" w:eastAsia="宋体" w:cs="宋体"/>
          <w:color w:val="auto"/>
          <w:highlight w:val="none"/>
        </w:rPr>
      </w:pPr>
    </w:p>
    <w:p w14:paraId="1A38A1F4">
      <w:pPr>
        <w:snapToGrid w:val="0"/>
        <w:spacing w:before="156" w:beforeLines="50" w:after="5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法定代表人授权委托书</w:t>
      </w:r>
    </w:p>
    <w:p w14:paraId="295E5EFB">
      <w:pPr>
        <w:snapToGrid w:val="0"/>
        <w:spacing w:before="156" w:beforeLines="50" w:after="156" w:afterLines="50" w:line="360" w:lineRule="auto"/>
        <w:ind w:firstLine="630" w:firstLineChars="300"/>
        <w:rPr>
          <w:rFonts w:hint="eastAsia" w:ascii="宋体" w:hAnsi="宋体" w:eastAsia="宋体" w:cs="宋体"/>
          <w:color w:val="auto"/>
          <w:highlight w:val="none"/>
        </w:rPr>
      </w:pPr>
    </w:p>
    <w:p w14:paraId="07AF7A12">
      <w:pPr>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（招标采购人名称）：</w:t>
      </w:r>
    </w:p>
    <w:p w14:paraId="579FE7AA">
      <w:pPr>
        <w:wordWrap w:val="0"/>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我 </w:t>
      </w:r>
      <w:r>
        <w:rPr>
          <w:rFonts w:hint="eastAsia" w:ascii="宋体" w:hAnsi="宋体" w:eastAsia="宋体" w:cs="宋体"/>
          <w:b/>
          <w:bCs/>
          <w:color w:val="auto"/>
          <w:sz w:val="21"/>
          <w:szCs w:val="21"/>
          <w:highlight w:val="none"/>
          <w:u w:val="single"/>
        </w:rPr>
        <w:t xml:space="preserve">         </w:t>
      </w:r>
      <w:r>
        <w:rPr>
          <w:rFonts w:hint="eastAsia" w:ascii="宋体" w:hAnsi="宋体" w:eastAsia="宋体" w:cs="宋体"/>
          <w:color w:val="auto"/>
          <w:sz w:val="21"/>
          <w:szCs w:val="21"/>
          <w:highlight w:val="none"/>
        </w:rPr>
        <w:t>（姓名）系</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（投标人名称）的法定代表人，现授权委托本单位在职职工</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（姓名）以我方的名义参加</w:t>
      </w:r>
      <w:r>
        <w:rPr>
          <w:rFonts w:hint="eastAsia" w:ascii="宋体" w:hAnsi="宋体" w:eastAsia="宋体" w:cs="宋体"/>
          <w:i/>
          <w:iCs/>
          <w:color w:val="auto"/>
          <w:sz w:val="21"/>
          <w:szCs w:val="21"/>
          <w:highlight w:val="none"/>
          <w:u w:val="single"/>
        </w:rPr>
        <w:t xml:space="preserve">                    </w:t>
      </w:r>
      <w:r>
        <w:rPr>
          <w:rFonts w:hint="eastAsia" w:ascii="宋体" w:hAnsi="宋体" w:eastAsia="宋体" w:cs="宋体"/>
          <w:color w:val="auto"/>
          <w:sz w:val="21"/>
          <w:szCs w:val="21"/>
          <w:highlight w:val="none"/>
        </w:rPr>
        <w:t>项目的投标活动，并代表我方全权办理针对上述项目的投标、开标、评标、签约等具体事务和签署相关文件。</w:t>
      </w:r>
    </w:p>
    <w:p w14:paraId="5F785725">
      <w:pPr>
        <w:wordWrap w:val="0"/>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我方对被授权人的签名负全部责任。</w:t>
      </w:r>
    </w:p>
    <w:p w14:paraId="416B46C4">
      <w:pPr>
        <w:wordWrap w:val="0"/>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在撤销授权的书面通知以前，本授权函一直有效。被授权人在授权函有效期内签署的所有文件不因授权的撤销而失效。</w:t>
      </w:r>
    </w:p>
    <w:p w14:paraId="7F7F5CF9">
      <w:pPr>
        <w:wordWrap w:val="0"/>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被授权人无转委托权，特此委托。</w:t>
      </w:r>
    </w:p>
    <w:p w14:paraId="342B371C">
      <w:pPr>
        <w:snapToGrid w:val="0"/>
        <w:spacing w:before="156" w:beforeLines="5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被授权人（签字或盖章）：                法定代表人（签字或盖章）：</w:t>
      </w:r>
    </w:p>
    <w:p w14:paraId="7C41AA77">
      <w:pPr>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投标人公章：</w:t>
      </w:r>
    </w:p>
    <w:p w14:paraId="7ABB1E82">
      <w:pPr>
        <w:snapToGrid w:val="0"/>
        <w:spacing w:before="156" w:before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年    月    日</w:t>
      </w:r>
    </w:p>
    <w:p w14:paraId="5BDE1C73">
      <w:pPr>
        <w:snapToGrid w:val="0"/>
        <w:spacing w:before="156" w:beforeLines="50" w:line="360" w:lineRule="auto"/>
        <w:rPr>
          <w:rFonts w:hint="eastAsia" w:ascii="宋体" w:hAnsi="宋体" w:eastAsia="宋体" w:cs="宋体"/>
          <w:b/>
          <w:bCs/>
          <w:color w:val="auto"/>
          <w:szCs w:val="21"/>
          <w:highlight w:val="none"/>
          <w:u w:val="single"/>
        </w:rPr>
      </w:pPr>
    </w:p>
    <w:p w14:paraId="7A9AB839">
      <w:pPr>
        <w:snapToGrid w:val="0"/>
        <w:spacing w:before="156" w:beforeLines="50" w:line="360" w:lineRule="auto"/>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u w:val="single"/>
        </w:rPr>
        <w:t>注：授权委托书必须有法定代表人和投标人代表双方签字（或盖章），否则将导致投标无效。</w:t>
      </w:r>
    </w:p>
    <w:p w14:paraId="22F70595">
      <w:pPr>
        <w:snapToGrid w:val="0"/>
        <w:spacing w:before="156" w:beforeLines="50" w:after="156" w:afterLines="50" w:line="360" w:lineRule="auto"/>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u w:val="single"/>
        </w:rPr>
        <w:t>附：1、投标人代表和法定代表人身份证扫描件；</w:t>
      </w:r>
    </w:p>
    <w:p w14:paraId="4B6A9576">
      <w:pPr>
        <w:snapToGrid w:val="0"/>
        <w:spacing w:before="156" w:beforeLines="50" w:after="156" w:afterLines="50" w:line="360" w:lineRule="auto"/>
        <w:ind w:firstLine="422" w:firstLineChars="200"/>
        <w:rPr>
          <w:rFonts w:hint="eastAsia" w:ascii="宋体" w:hAnsi="宋体" w:eastAsia="宋体" w:cs="宋体"/>
          <w:b/>
          <w:bCs/>
          <w:color w:val="auto"/>
          <w:szCs w:val="21"/>
          <w:highlight w:val="none"/>
          <w:u w:val="single"/>
        </w:rPr>
      </w:pPr>
      <w:r>
        <w:rPr>
          <w:rFonts w:hint="eastAsia" w:ascii="宋体" w:hAnsi="宋体" w:eastAsia="宋体" w:cs="宋体"/>
          <w:b/>
          <w:bCs/>
          <w:color w:val="auto"/>
          <w:szCs w:val="21"/>
          <w:highlight w:val="none"/>
          <w:u w:val="single"/>
        </w:rPr>
        <w:t>2、投标人代表为投标人本公司人员证明材料（社保证明或劳动合同）；社保证明须为近三个月内任意一个月且经社保部门盖章确认的社保交纳证明材料。</w:t>
      </w:r>
    </w:p>
    <w:p w14:paraId="28CDCC86">
      <w:pPr>
        <w:snapToGrid w:val="0"/>
        <w:spacing w:before="156" w:beforeLines="50" w:after="156" w:afterLines="50" w:line="360" w:lineRule="auto"/>
        <w:ind w:firstLine="422" w:firstLineChars="200"/>
        <w:rPr>
          <w:rFonts w:hint="eastAsia" w:ascii="宋体" w:hAnsi="宋体" w:eastAsia="宋体" w:cs="宋体"/>
          <w:b/>
          <w:bCs/>
          <w:color w:val="auto"/>
          <w:szCs w:val="21"/>
          <w:highlight w:val="none"/>
          <w:u w:val="single"/>
        </w:rPr>
      </w:pPr>
    </w:p>
    <w:p w14:paraId="0E072CBF">
      <w:pPr>
        <w:spacing w:before="156" w:beforeLines="50" w:after="156" w:afterLines="5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br w:type="page"/>
      </w:r>
    </w:p>
    <w:p w14:paraId="07799E69">
      <w:pPr>
        <w:rPr>
          <w:rFonts w:hint="eastAsia" w:ascii="宋体" w:hAnsi="宋体" w:eastAsia="宋体" w:cs="宋体"/>
          <w:color w:val="auto"/>
          <w:szCs w:val="21"/>
          <w:highlight w:val="none"/>
          <w:lang w:eastAsia="zh-CN"/>
        </w:rPr>
      </w:pPr>
      <w:r>
        <w:rPr>
          <w:rFonts w:hint="eastAsia" w:ascii="宋体" w:hAnsi="宋体" w:cs="宋体"/>
          <w:b/>
          <w:bCs/>
          <w:color w:val="auto"/>
          <w:szCs w:val="21"/>
          <w:highlight w:val="none"/>
          <w:lang w:val="en-US" w:eastAsia="zh-CN"/>
        </w:rPr>
        <w:t>七</w:t>
      </w:r>
      <w:r>
        <w:rPr>
          <w:rFonts w:hint="eastAsia" w:ascii="宋体" w:hAnsi="宋体" w:eastAsia="宋体" w:cs="宋体"/>
          <w:b/>
          <w:bCs/>
          <w:color w:val="auto"/>
          <w:szCs w:val="21"/>
          <w:highlight w:val="none"/>
        </w:rPr>
        <w:t>、投标人基本情况表</w:t>
      </w:r>
      <w:r>
        <w:rPr>
          <w:rFonts w:hint="eastAsia" w:ascii="宋体" w:hAnsi="宋体" w:cs="宋体"/>
          <w:b/>
          <w:bCs/>
          <w:color w:val="auto"/>
          <w:szCs w:val="21"/>
          <w:highlight w:val="none"/>
          <w:lang w:eastAsia="zh-CN"/>
        </w:rPr>
        <w:t>（</w:t>
      </w:r>
      <w:r>
        <w:rPr>
          <w:rFonts w:hint="eastAsia" w:hAnsi="宋体" w:eastAsia="宋体" w:cs="宋体"/>
          <w:b/>
          <w:bCs/>
          <w:color w:val="auto"/>
          <w:sz w:val="21"/>
          <w:szCs w:val="21"/>
          <w:highlight w:val="none"/>
          <w:lang w:val="en-US" w:eastAsia="zh-CN"/>
        </w:rPr>
        <w:t>如为联合体投标的，联合体</w:t>
      </w:r>
      <w:r>
        <w:rPr>
          <w:rFonts w:hint="eastAsia" w:ascii="宋体" w:hAnsi="宋体" w:cs="宋体"/>
          <w:b/>
          <w:color w:val="auto"/>
          <w:szCs w:val="21"/>
          <w:highlight w:val="none"/>
        </w:rPr>
        <w:t>各成员</w:t>
      </w:r>
      <w:r>
        <w:rPr>
          <w:rFonts w:hint="eastAsia" w:ascii="宋体" w:hAnsi="宋体" w:cs="宋体"/>
          <w:b/>
          <w:color w:val="auto"/>
          <w:szCs w:val="21"/>
          <w:highlight w:val="none"/>
          <w:lang w:val="en-US" w:eastAsia="zh-CN"/>
        </w:rPr>
        <w:t>均须提供</w:t>
      </w:r>
      <w:r>
        <w:rPr>
          <w:rFonts w:hint="eastAsia" w:ascii="宋体" w:hAnsi="宋体" w:cs="宋体"/>
          <w:b/>
          <w:bCs/>
          <w:color w:val="auto"/>
          <w:szCs w:val="21"/>
          <w:highlight w:val="none"/>
          <w:lang w:eastAsia="zh-CN"/>
        </w:rPr>
        <w:t>）</w:t>
      </w:r>
    </w:p>
    <w:p w14:paraId="5A981783">
      <w:pPr>
        <w:snapToGrid w:val="0"/>
        <w:spacing w:line="360" w:lineRule="auto"/>
        <w:jc w:val="center"/>
        <w:rPr>
          <w:rFonts w:hint="eastAsia" w:ascii="宋体" w:hAnsi="宋体" w:eastAsia="宋体" w:cs="宋体"/>
          <w:b/>
          <w:color w:val="auto"/>
          <w:sz w:val="24"/>
          <w:highlight w:val="none"/>
        </w:rPr>
      </w:pPr>
    </w:p>
    <w:p w14:paraId="4A990360">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投标人基本情况表</w:t>
      </w:r>
    </w:p>
    <w:tbl>
      <w:tblPr>
        <w:tblStyle w:val="23"/>
        <w:tblW w:w="10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992"/>
        <w:gridCol w:w="1418"/>
        <w:gridCol w:w="180"/>
        <w:gridCol w:w="1096"/>
        <w:gridCol w:w="567"/>
        <w:gridCol w:w="567"/>
        <w:gridCol w:w="850"/>
        <w:gridCol w:w="851"/>
        <w:gridCol w:w="330"/>
        <w:gridCol w:w="662"/>
        <w:gridCol w:w="142"/>
        <w:gridCol w:w="1417"/>
      </w:tblGrid>
      <w:tr w14:paraId="08381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Align w:val="center"/>
          </w:tcPr>
          <w:p w14:paraId="53F3F9B0">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企业名称</w:t>
            </w:r>
          </w:p>
        </w:tc>
        <w:tc>
          <w:tcPr>
            <w:tcW w:w="4820" w:type="dxa"/>
            <w:gridSpan w:val="6"/>
            <w:vAlign w:val="center"/>
          </w:tcPr>
          <w:p w14:paraId="48C25C8B">
            <w:pPr>
              <w:spacing w:line="440" w:lineRule="exact"/>
              <w:jc w:val="center"/>
              <w:rPr>
                <w:rFonts w:hint="eastAsia" w:ascii="宋体" w:hAnsi="宋体" w:eastAsia="宋体" w:cs="宋体"/>
                <w:color w:val="auto"/>
                <w:szCs w:val="21"/>
                <w:highlight w:val="none"/>
              </w:rPr>
            </w:pPr>
          </w:p>
        </w:tc>
        <w:tc>
          <w:tcPr>
            <w:tcW w:w="1701" w:type="dxa"/>
            <w:gridSpan w:val="2"/>
            <w:vAlign w:val="center"/>
          </w:tcPr>
          <w:p w14:paraId="0AABF6DF">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法人代表</w:t>
            </w:r>
          </w:p>
        </w:tc>
        <w:tc>
          <w:tcPr>
            <w:tcW w:w="2551" w:type="dxa"/>
            <w:gridSpan w:val="4"/>
            <w:vAlign w:val="center"/>
          </w:tcPr>
          <w:p w14:paraId="2D787B2B">
            <w:pPr>
              <w:spacing w:line="440" w:lineRule="exact"/>
              <w:jc w:val="center"/>
              <w:rPr>
                <w:rFonts w:hint="eastAsia" w:ascii="宋体" w:hAnsi="宋体" w:eastAsia="宋体" w:cs="宋体"/>
                <w:color w:val="auto"/>
                <w:szCs w:val="21"/>
                <w:highlight w:val="none"/>
              </w:rPr>
            </w:pPr>
          </w:p>
        </w:tc>
      </w:tr>
      <w:tr w14:paraId="031BE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Align w:val="center"/>
          </w:tcPr>
          <w:p w14:paraId="176926EF">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w:t>
            </w:r>
          </w:p>
        </w:tc>
        <w:tc>
          <w:tcPr>
            <w:tcW w:w="4820" w:type="dxa"/>
            <w:gridSpan w:val="6"/>
            <w:vAlign w:val="center"/>
          </w:tcPr>
          <w:p w14:paraId="27294A10">
            <w:pPr>
              <w:spacing w:line="440" w:lineRule="exact"/>
              <w:jc w:val="center"/>
              <w:rPr>
                <w:rFonts w:hint="eastAsia" w:ascii="宋体" w:hAnsi="宋体" w:eastAsia="宋体" w:cs="宋体"/>
                <w:color w:val="auto"/>
                <w:szCs w:val="21"/>
                <w:highlight w:val="none"/>
              </w:rPr>
            </w:pPr>
          </w:p>
        </w:tc>
        <w:tc>
          <w:tcPr>
            <w:tcW w:w="1701" w:type="dxa"/>
            <w:gridSpan w:val="2"/>
            <w:vAlign w:val="center"/>
          </w:tcPr>
          <w:p w14:paraId="3482E307">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企业性质</w:t>
            </w:r>
          </w:p>
        </w:tc>
        <w:tc>
          <w:tcPr>
            <w:tcW w:w="2551" w:type="dxa"/>
            <w:gridSpan w:val="4"/>
            <w:vAlign w:val="center"/>
          </w:tcPr>
          <w:p w14:paraId="43F44B5D">
            <w:pPr>
              <w:spacing w:line="440" w:lineRule="exact"/>
              <w:jc w:val="center"/>
              <w:rPr>
                <w:rFonts w:hint="eastAsia" w:ascii="宋体" w:hAnsi="宋体" w:eastAsia="宋体" w:cs="宋体"/>
                <w:color w:val="auto"/>
                <w:szCs w:val="21"/>
                <w:highlight w:val="none"/>
              </w:rPr>
            </w:pPr>
          </w:p>
        </w:tc>
      </w:tr>
      <w:tr w14:paraId="378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Align w:val="center"/>
          </w:tcPr>
          <w:p w14:paraId="3C0E0BBB">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股东姓名</w:t>
            </w:r>
          </w:p>
        </w:tc>
        <w:tc>
          <w:tcPr>
            <w:tcW w:w="992" w:type="dxa"/>
            <w:vAlign w:val="center"/>
          </w:tcPr>
          <w:p w14:paraId="6104E22C">
            <w:pPr>
              <w:spacing w:line="440" w:lineRule="exact"/>
              <w:jc w:val="center"/>
              <w:rPr>
                <w:rFonts w:hint="eastAsia" w:ascii="宋体" w:hAnsi="宋体" w:eastAsia="宋体" w:cs="宋体"/>
                <w:color w:val="auto"/>
                <w:szCs w:val="21"/>
                <w:highlight w:val="none"/>
              </w:rPr>
            </w:pPr>
          </w:p>
        </w:tc>
        <w:tc>
          <w:tcPr>
            <w:tcW w:w="1418" w:type="dxa"/>
            <w:vAlign w:val="center"/>
          </w:tcPr>
          <w:p w14:paraId="25E30B2A">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股权结构（%）</w:t>
            </w:r>
          </w:p>
        </w:tc>
        <w:tc>
          <w:tcPr>
            <w:tcW w:w="2410" w:type="dxa"/>
            <w:gridSpan w:val="4"/>
            <w:vAlign w:val="center"/>
          </w:tcPr>
          <w:p w14:paraId="59129E3C">
            <w:pPr>
              <w:spacing w:line="440" w:lineRule="exact"/>
              <w:jc w:val="center"/>
              <w:rPr>
                <w:rFonts w:hint="eastAsia" w:ascii="宋体" w:hAnsi="宋体" w:eastAsia="宋体" w:cs="宋体"/>
                <w:color w:val="auto"/>
                <w:szCs w:val="21"/>
                <w:highlight w:val="none"/>
              </w:rPr>
            </w:pPr>
          </w:p>
        </w:tc>
        <w:tc>
          <w:tcPr>
            <w:tcW w:w="1701" w:type="dxa"/>
            <w:gridSpan w:val="2"/>
            <w:vAlign w:val="center"/>
          </w:tcPr>
          <w:p w14:paraId="1BC2069D">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股东关系</w:t>
            </w:r>
          </w:p>
        </w:tc>
        <w:tc>
          <w:tcPr>
            <w:tcW w:w="2551" w:type="dxa"/>
            <w:gridSpan w:val="4"/>
            <w:vAlign w:val="center"/>
          </w:tcPr>
          <w:p w14:paraId="65AE76D6">
            <w:pPr>
              <w:spacing w:line="440" w:lineRule="exact"/>
              <w:jc w:val="center"/>
              <w:rPr>
                <w:rFonts w:hint="eastAsia" w:ascii="宋体" w:hAnsi="宋体" w:eastAsia="宋体" w:cs="宋体"/>
                <w:color w:val="auto"/>
                <w:szCs w:val="21"/>
                <w:highlight w:val="none"/>
              </w:rPr>
            </w:pPr>
          </w:p>
        </w:tc>
      </w:tr>
      <w:tr w14:paraId="41717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135" w:type="dxa"/>
            <w:vMerge w:val="restart"/>
            <w:vAlign w:val="center"/>
          </w:tcPr>
          <w:p w14:paraId="00A135F3">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联系人姓名</w:t>
            </w:r>
          </w:p>
        </w:tc>
        <w:tc>
          <w:tcPr>
            <w:tcW w:w="992" w:type="dxa"/>
            <w:vMerge w:val="restart"/>
            <w:vAlign w:val="center"/>
          </w:tcPr>
          <w:p w14:paraId="68574FDE">
            <w:pPr>
              <w:spacing w:line="440" w:lineRule="exact"/>
              <w:jc w:val="center"/>
              <w:rPr>
                <w:rFonts w:hint="eastAsia" w:ascii="宋体" w:hAnsi="宋体" w:eastAsia="宋体" w:cs="宋体"/>
                <w:color w:val="auto"/>
                <w:szCs w:val="21"/>
                <w:highlight w:val="none"/>
              </w:rPr>
            </w:pPr>
          </w:p>
        </w:tc>
        <w:tc>
          <w:tcPr>
            <w:tcW w:w="1418" w:type="dxa"/>
            <w:vAlign w:val="center"/>
          </w:tcPr>
          <w:p w14:paraId="357F9CCE">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固定电话</w:t>
            </w:r>
          </w:p>
        </w:tc>
        <w:tc>
          <w:tcPr>
            <w:tcW w:w="2410" w:type="dxa"/>
            <w:gridSpan w:val="4"/>
            <w:vAlign w:val="center"/>
          </w:tcPr>
          <w:p w14:paraId="6B979B99">
            <w:pPr>
              <w:spacing w:line="440" w:lineRule="exact"/>
              <w:jc w:val="center"/>
              <w:rPr>
                <w:rFonts w:hint="eastAsia" w:ascii="宋体" w:hAnsi="宋体" w:eastAsia="宋体" w:cs="宋体"/>
                <w:color w:val="auto"/>
                <w:szCs w:val="21"/>
                <w:highlight w:val="none"/>
              </w:rPr>
            </w:pPr>
          </w:p>
        </w:tc>
        <w:tc>
          <w:tcPr>
            <w:tcW w:w="1701" w:type="dxa"/>
            <w:gridSpan w:val="2"/>
            <w:vMerge w:val="restart"/>
            <w:vAlign w:val="center"/>
          </w:tcPr>
          <w:p w14:paraId="050535EE">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传真</w:t>
            </w:r>
          </w:p>
        </w:tc>
        <w:tc>
          <w:tcPr>
            <w:tcW w:w="2551" w:type="dxa"/>
            <w:gridSpan w:val="4"/>
            <w:vMerge w:val="restart"/>
            <w:vAlign w:val="center"/>
          </w:tcPr>
          <w:p w14:paraId="51D6BF51">
            <w:pPr>
              <w:spacing w:line="440" w:lineRule="exact"/>
              <w:jc w:val="center"/>
              <w:rPr>
                <w:rFonts w:hint="eastAsia" w:ascii="宋体" w:hAnsi="宋体" w:eastAsia="宋体" w:cs="宋体"/>
                <w:color w:val="auto"/>
                <w:szCs w:val="21"/>
                <w:highlight w:val="none"/>
              </w:rPr>
            </w:pPr>
          </w:p>
        </w:tc>
      </w:tr>
      <w:tr w14:paraId="28D2B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1135" w:type="dxa"/>
            <w:vMerge w:val="continue"/>
            <w:vAlign w:val="center"/>
          </w:tcPr>
          <w:p w14:paraId="33D6763C">
            <w:pPr>
              <w:spacing w:line="440" w:lineRule="exact"/>
              <w:jc w:val="center"/>
              <w:rPr>
                <w:rFonts w:hint="eastAsia" w:ascii="宋体" w:hAnsi="宋体" w:eastAsia="宋体" w:cs="宋体"/>
                <w:color w:val="auto"/>
                <w:szCs w:val="21"/>
                <w:highlight w:val="none"/>
              </w:rPr>
            </w:pPr>
          </w:p>
        </w:tc>
        <w:tc>
          <w:tcPr>
            <w:tcW w:w="992" w:type="dxa"/>
            <w:vMerge w:val="continue"/>
            <w:vAlign w:val="center"/>
          </w:tcPr>
          <w:p w14:paraId="2F851C2D">
            <w:pPr>
              <w:spacing w:line="440" w:lineRule="exact"/>
              <w:jc w:val="center"/>
              <w:rPr>
                <w:rFonts w:hint="eastAsia" w:ascii="宋体" w:hAnsi="宋体" w:eastAsia="宋体" w:cs="宋体"/>
                <w:color w:val="auto"/>
                <w:szCs w:val="21"/>
                <w:highlight w:val="none"/>
              </w:rPr>
            </w:pPr>
          </w:p>
        </w:tc>
        <w:tc>
          <w:tcPr>
            <w:tcW w:w="1418" w:type="dxa"/>
            <w:vAlign w:val="center"/>
          </w:tcPr>
          <w:p w14:paraId="4005DC27">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手 机</w:t>
            </w:r>
          </w:p>
        </w:tc>
        <w:tc>
          <w:tcPr>
            <w:tcW w:w="2410" w:type="dxa"/>
            <w:gridSpan w:val="4"/>
            <w:vAlign w:val="center"/>
          </w:tcPr>
          <w:p w14:paraId="63291666">
            <w:pPr>
              <w:spacing w:line="440" w:lineRule="exact"/>
              <w:jc w:val="center"/>
              <w:rPr>
                <w:rFonts w:hint="eastAsia" w:ascii="宋体" w:hAnsi="宋体" w:eastAsia="宋体" w:cs="宋体"/>
                <w:color w:val="auto"/>
                <w:szCs w:val="21"/>
                <w:highlight w:val="none"/>
              </w:rPr>
            </w:pPr>
          </w:p>
        </w:tc>
        <w:tc>
          <w:tcPr>
            <w:tcW w:w="1701" w:type="dxa"/>
            <w:gridSpan w:val="2"/>
            <w:vMerge w:val="continue"/>
            <w:vAlign w:val="center"/>
          </w:tcPr>
          <w:p w14:paraId="69B2CF9F">
            <w:pPr>
              <w:spacing w:line="440" w:lineRule="exact"/>
              <w:jc w:val="center"/>
              <w:rPr>
                <w:rFonts w:hint="eastAsia" w:ascii="宋体" w:hAnsi="宋体" w:eastAsia="宋体" w:cs="宋体"/>
                <w:color w:val="auto"/>
                <w:szCs w:val="21"/>
                <w:highlight w:val="none"/>
              </w:rPr>
            </w:pPr>
          </w:p>
        </w:tc>
        <w:tc>
          <w:tcPr>
            <w:tcW w:w="2551" w:type="dxa"/>
            <w:gridSpan w:val="4"/>
            <w:vMerge w:val="continue"/>
            <w:vAlign w:val="center"/>
          </w:tcPr>
          <w:p w14:paraId="3516E858">
            <w:pPr>
              <w:spacing w:line="440" w:lineRule="exact"/>
              <w:jc w:val="center"/>
              <w:rPr>
                <w:rFonts w:hint="eastAsia" w:ascii="宋体" w:hAnsi="宋体" w:eastAsia="宋体" w:cs="宋体"/>
                <w:color w:val="auto"/>
                <w:szCs w:val="21"/>
                <w:highlight w:val="none"/>
              </w:rPr>
            </w:pPr>
          </w:p>
        </w:tc>
      </w:tr>
      <w:tr w14:paraId="4C103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restart"/>
            <w:vAlign w:val="center"/>
          </w:tcPr>
          <w:p w14:paraId="5E3A4626">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1.企业</w:t>
            </w:r>
          </w:p>
          <w:p w14:paraId="173D7C5D">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概况</w:t>
            </w:r>
          </w:p>
        </w:tc>
        <w:tc>
          <w:tcPr>
            <w:tcW w:w="992" w:type="dxa"/>
            <w:vAlign w:val="center"/>
          </w:tcPr>
          <w:p w14:paraId="57E6FDF5">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职工</w:t>
            </w:r>
          </w:p>
          <w:p w14:paraId="7E3BAEFF">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人数</w:t>
            </w:r>
          </w:p>
        </w:tc>
        <w:tc>
          <w:tcPr>
            <w:tcW w:w="1418" w:type="dxa"/>
            <w:vAlign w:val="center"/>
          </w:tcPr>
          <w:p w14:paraId="7BA2D83E">
            <w:pPr>
              <w:spacing w:line="440" w:lineRule="exact"/>
              <w:jc w:val="center"/>
              <w:rPr>
                <w:rFonts w:hint="eastAsia" w:ascii="宋体" w:hAnsi="宋体" w:eastAsia="宋体" w:cs="宋体"/>
                <w:color w:val="auto"/>
                <w:szCs w:val="21"/>
                <w:highlight w:val="none"/>
              </w:rPr>
            </w:pPr>
          </w:p>
        </w:tc>
        <w:tc>
          <w:tcPr>
            <w:tcW w:w="1276" w:type="dxa"/>
            <w:gridSpan w:val="2"/>
            <w:vAlign w:val="center"/>
          </w:tcPr>
          <w:p w14:paraId="653DBDD9">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具备大专以上学历人数</w:t>
            </w:r>
          </w:p>
        </w:tc>
        <w:tc>
          <w:tcPr>
            <w:tcW w:w="1134" w:type="dxa"/>
            <w:gridSpan w:val="2"/>
            <w:vAlign w:val="center"/>
          </w:tcPr>
          <w:p w14:paraId="29D101B5">
            <w:pPr>
              <w:spacing w:line="440" w:lineRule="exact"/>
              <w:jc w:val="center"/>
              <w:rPr>
                <w:rFonts w:hint="eastAsia" w:ascii="宋体" w:hAnsi="宋体" w:eastAsia="宋体" w:cs="宋体"/>
                <w:color w:val="auto"/>
                <w:szCs w:val="21"/>
                <w:highlight w:val="none"/>
              </w:rPr>
            </w:pPr>
          </w:p>
        </w:tc>
        <w:tc>
          <w:tcPr>
            <w:tcW w:w="1701" w:type="dxa"/>
            <w:gridSpan w:val="2"/>
            <w:vAlign w:val="center"/>
          </w:tcPr>
          <w:p w14:paraId="1D75D5A5">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国家授予技术职称人数</w:t>
            </w:r>
          </w:p>
        </w:tc>
        <w:tc>
          <w:tcPr>
            <w:tcW w:w="2551" w:type="dxa"/>
            <w:gridSpan w:val="4"/>
            <w:vAlign w:val="center"/>
          </w:tcPr>
          <w:p w14:paraId="6C8057FF">
            <w:pPr>
              <w:spacing w:line="440" w:lineRule="exact"/>
              <w:jc w:val="center"/>
              <w:rPr>
                <w:rFonts w:hint="eastAsia" w:ascii="宋体" w:hAnsi="宋体" w:eastAsia="宋体" w:cs="宋体"/>
                <w:color w:val="auto"/>
                <w:szCs w:val="21"/>
                <w:highlight w:val="none"/>
              </w:rPr>
            </w:pPr>
          </w:p>
        </w:tc>
      </w:tr>
      <w:tr w14:paraId="17C38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41E2E73C">
            <w:pPr>
              <w:spacing w:line="440" w:lineRule="exact"/>
              <w:jc w:val="center"/>
              <w:rPr>
                <w:rFonts w:hint="eastAsia" w:ascii="宋体" w:hAnsi="宋体" w:eastAsia="宋体" w:cs="宋体"/>
                <w:color w:val="auto"/>
                <w:szCs w:val="21"/>
                <w:highlight w:val="none"/>
              </w:rPr>
            </w:pPr>
          </w:p>
        </w:tc>
        <w:tc>
          <w:tcPr>
            <w:tcW w:w="992" w:type="dxa"/>
            <w:vAlign w:val="center"/>
          </w:tcPr>
          <w:p w14:paraId="4E9D70F7">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占地</w:t>
            </w:r>
          </w:p>
          <w:p w14:paraId="18AF9E33">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面积</w:t>
            </w:r>
          </w:p>
        </w:tc>
        <w:tc>
          <w:tcPr>
            <w:tcW w:w="1418" w:type="dxa"/>
            <w:vAlign w:val="center"/>
          </w:tcPr>
          <w:p w14:paraId="6960E5C1">
            <w:pPr>
              <w:spacing w:line="440" w:lineRule="exact"/>
              <w:jc w:val="center"/>
              <w:rPr>
                <w:rFonts w:hint="eastAsia" w:ascii="宋体" w:hAnsi="宋体" w:eastAsia="宋体" w:cs="宋体"/>
                <w:color w:val="auto"/>
                <w:szCs w:val="21"/>
                <w:highlight w:val="none"/>
              </w:rPr>
            </w:pPr>
          </w:p>
        </w:tc>
        <w:tc>
          <w:tcPr>
            <w:tcW w:w="1276" w:type="dxa"/>
            <w:gridSpan w:val="2"/>
            <w:vAlign w:val="center"/>
          </w:tcPr>
          <w:p w14:paraId="144BEFA3">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建筑面积</w:t>
            </w:r>
          </w:p>
        </w:tc>
        <w:tc>
          <w:tcPr>
            <w:tcW w:w="1134" w:type="dxa"/>
            <w:gridSpan w:val="2"/>
            <w:vAlign w:val="center"/>
          </w:tcPr>
          <w:p w14:paraId="6FD282D3">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平方米 □自有 □租赁</w:t>
            </w:r>
          </w:p>
        </w:tc>
        <w:tc>
          <w:tcPr>
            <w:tcW w:w="1701" w:type="dxa"/>
            <w:gridSpan w:val="2"/>
            <w:vAlign w:val="center"/>
          </w:tcPr>
          <w:p w14:paraId="7DABA3F9">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生产经营场所及场所的设施与设备</w:t>
            </w:r>
          </w:p>
        </w:tc>
        <w:tc>
          <w:tcPr>
            <w:tcW w:w="2551" w:type="dxa"/>
            <w:gridSpan w:val="4"/>
            <w:vAlign w:val="center"/>
          </w:tcPr>
          <w:p w14:paraId="430439B0">
            <w:pPr>
              <w:spacing w:line="440" w:lineRule="exact"/>
              <w:jc w:val="center"/>
              <w:rPr>
                <w:rFonts w:hint="eastAsia" w:ascii="宋体" w:hAnsi="宋体" w:eastAsia="宋体" w:cs="宋体"/>
                <w:color w:val="auto"/>
                <w:szCs w:val="21"/>
                <w:highlight w:val="none"/>
              </w:rPr>
            </w:pPr>
          </w:p>
        </w:tc>
      </w:tr>
      <w:tr w14:paraId="06B70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2021BBEC">
            <w:pPr>
              <w:spacing w:line="440" w:lineRule="exact"/>
              <w:jc w:val="center"/>
              <w:rPr>
                <w:rFonts w:hint="eastAsia" w:ascii="宋体" w:hAnsi="宋体" w:eastAsia="宋体" w:cs="宋体"/>
                <w:color w:val="auto"/>
                <w:szCs w:val="21"/>
                <w:highlight w:val="none"/>
              </w:rPr>
            </w:pPr>
          </w:p>
        </w:tc>
        <w:tc>
          <w:tcPr>
            <w:tcW w:w="992" w:type="dxa"/>
            <w:vAlign w:val="center"/>
          </w:tcPr>
          <w:p w14:paraId="17D5F3B2">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w:t>
            </w:r>
          </w:p>
          <w:p w14:paraId="58BB45E1">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资金</w:t>
            </w:r>
          </w:p>
        </w:tc>
        <w:tc>
          <w:tcPr>
            <w:tcW w:w="1418" w:type="dxa"/>
            <w:vAlign w:val="center"/>
          </w:tcPr>
          <w:p w14:paraId="6850C2DA">
            <w:pPr>
              <w:spacing w:line="440" w:lineRule="exact"/>
              <w:jc w:val="center"/>
              <w:rPr>
                <w:rFonts w:hint="eastAsia" w:ascii="宋体" w:hAnsi="宋体" w:eastAsia="宋体" w:cs="宋体"/>
                <w:color w:val="auto"/>
                <w:szCs w:val="21"/>
                <w:highlight w:val="none"/>
              </w:rPr>
            </w:pPr>
          </w:p>
        </w:tc>
        <w:tc>
          <w:tcPr>
            <w:tcW w:w="1276" w:type="dxa"/>
            <w:gridSpan w:val="2"/>
            <w:vAlign w:val="center"/>
          </w:tcPr>
          <w:p w14:paraId="3586E32D">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注册发证</w:t>
            </w:r>
          </w:p>
          <w:p w14:paraId="5E6DB4AC">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机 关</w:t>
            </w:r>
          </w:p>
        </w:tc>
        <w:tc>
          <w:tcPr>
            <w:tcW w:w="2835" w:type="dxa"/>
            <w:gridSpan w:val="4"/>
            <w:vAlign w:val="center"/>
          </w:tcPr>
          <w:p w14:paraId="3ED6941B">
            <w:pPr>
              <w:spacing w:line="440" w:lineRule="exact"/>
              <w:jc w:val="center"/>
              <w:rPr>
                <w:rFonts w:hint="eastAsia" w:ascii="宋体" w:hAnsi="宋体" w:eastAsia="宋体" w:cs="宋体"/>
                <w:color w:val="auto"/>
                <w:szCs w:val="21"/>
                <w:highlight w:val="none"/>
              </w:rPr>
            </w:pPr>
          </w:p>
        </w:tc>
        <w:tc>
          <w:tcPr>
            <w:tcW w:w="992" w:type="dxa"/>
            <w:gridSpan w:val="2"/>
            <w:vAlign w:val="center"/>
          </w:tcPr>
          <w:p w14:paraId="4467104E">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公司成立时间</w:t>
            </w:r>
          </w:p>
        </w:tc>
        <w:tc>
          <w:tcPr>
            <w:tcW w:w="1559" w:type="dxa"/>
            <w:gridSpan w:val="2"/>
            <w:vAlign w:val="center"/>
          </w:tcPr>
          <w:p w14:paraId="4B921265">
            <w:pPr>
              <w:spacing w:line="440" w:lineRule="exact"/>
              <w:jc w:val="center"/>
              <w:rPr>
                <w:rFonts w:hint="eastAsia" w:ascii="宋体" w:hAnsi="宋体" w:eastAsia="宋体" w:cs="宋体"/>
                <w:color w:val="auto"/>
                <w:szCs w:val="21"/>
                <w:highlight w:val="none"/>
              </w:rPr>
            </w:pPr>
          </w:p>
        </w:tc>
      </w:tr>
      <w:tr w14:paraId="327B2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215D0B3E">
            <w:pPr>
              <w:spacing w:line="440" w:lineRule="exact"/>
              <w:jc w:val="center"/>
              <w:rPr>
                <w:rFonts w:hint="eastAsia" w:ascii="宋体" w:hAnsi="宋体" w:eastAsia="宋体" w:cs="宋体"/>
                <w:color w:val="auto"/>
                <w:szCs w:val="21"/>
                <w:highlight w:val="none"/>
              </w:rPr>
            </w:pPr>
          </w:p>
        </w:tc>
        <w:tc>
          <w:tcPr>
            <w:tcW w:w="992" w:type="dxa"/>
            <w:vAlign w:val="center"/>
          </w:tcPr>
          <w:p w14:paraId="528870C8">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核准经营范围</w:t>
            </w:r>
          </w:p>
        </w:tc>
        <w:tc>
          <w:tcPr>
            <w:tcW w:w="8080" w:type="dxa"/>
            <w:gridSpan w:val="11"/>
            <w:vAlign w:val="center"/>
          </w:tcPr>
          <w:p w14:paraId="258D8AA5">
            <w:pPr>
              <w:spacing w:line="440" w:lineRule="exact"/>
              <w:jc w:val="center"/>
              <w:rPr>
                <w:rFonts w:hint="eastAsia" w:ascii="宋体" w:hAnsi="宋体" w:eastAsia="宋体" w:cs="宋体"/>
                <w:color w:val="auto"/>
                <w:szCs w:val="21"/>
                <w:highlight w:val="none"/>
              </w:rPr>
            </w:pPr>
          </w:p>
        </w:tc>
      </w:tr>
      <w:tr w14:paraId="0CDFB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39B6AE9D">
            <w:pPr>
              <w:spacing w:line="440" w:lineRule="exact"/>
              <w:jc w:val="center"/>
              <w:rPr>
                <w:rFonts w:hint="eastAsia" w:ascii="宋体" w:hAnsi="宋体" w:eastAsia="宋体" w:cs="宋体"/>
                <w:color w:val="auto"/>
                <w:szCs w:val="21"/>
                <w:highlight w:val="none"/>
              </w:rPr>
            </w:pPr>
          </w:p>
        </w:tc>
        <w:tc>
          <w:tcPr>
            <w:tcW w:w="9072" w:type="dxa"/>
            <w:gridSpan w:val="12"/>
            <w:vAlign w:val="center"/>
          </w:tcPr>
          <w:p w14:paraId="0835CADF">
            <w:pPr>
              <w:spacing w:line="440" w:lineRule="exact"/>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发展历程及主要荣誉：</w:t>
            </w:r>
          </w:p>
        </w:tc>
      </w:tr>
      <w:tr w14:paraId="5470A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1135" w:type="dxa"/>
            <w:vMerge w:val="restart"/>
            <w:vAlign w:val="center"/>
          </w:tcPr>
          <w:p w14:paraId="3224E1ED">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2.企业有关资质获证情况</w:t>
            </w:r>
          </w:p>
        </w:tc>
        <w:tc>
          <w:tcPr>
            <w:tcW w:w="2590" w:type="dxa"/>
            <w:gridSpan w:val="3"/>
            <w:vMerge w:val="restart"/>
            <w:vAlign w:val="center"/>
          </w:tcPr>
          <w:p w14:paraId="1C3AD7C8">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产品生产许可证情况（对需获得生产许可证的产品要填写此栏）</w:t>
            </w:r>
          </w:p>
        </w:tc>
        <w:tc>
          <w:tcPr>
            <w:tcW w:w="1663" w:type="dxa"/>
            <w:gridSpan w:val="2"/>
            <w:vAlign w:val="center"/>
          </w:tcPr>
          <w:p w14:paraId="40D48234">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产品名称</w:t>
            </w:r>
          </w:p>
        </w:tc>
        <w:tc>
          <w:tcPr>
            <w:tcW w:w="1417" w:type="dxa"/>
            <w:gridSpan w:val="2"/>
            <w:vAlign w:val="center"/>
          </w:tcPr>
          <w:p w14:paraId="5B82A5E0">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发证机关</w:t>
            </w:r>
          </w:p>
        </w:tc>
        <w:tc>
          <w:tcPr>
            <w:tcW w:w="1181" w:type="dxa"/>
            <w:gridSpan w:val="2"/>
            <w:vAlign w:val="center"/>
          </w:tcPr>
          <w:p w14:paraId="6677B4E6">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编 号</w:t>
            </w:r>
          </w:p>
        </w:tc>
        <w:tc>
          <w:tcPr>
            <w:tcW w:w="804" w:type="dxa"/>
            <w:gridSpan w:val="2"/>
            <w:vAlign w:val="center"/>
          </w:tcPr>
          <w:p w14:paraId="72E34FA0">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发证时间</w:t>
            </w:r>
          </w:p>
        </w:tc>
        <w:tc>
          <w:tcPr>
            <w:tcW w:w="1417" w:type="dxa"/>
            <w:vAlign w:val="center"/>
          </w:tcPr>
          <w:p w14:paraId="4250775E">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期 限</w:t>
            </w:r>
          </w:p>
        </w:tc>
      </w:tr>
      <w:tr w14:paraId="5672D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3B824231">
            <w:pPr>
              <w:spacing w:line="440" w:lineRule="exact"/>
              <w:jc w:val="center"/>
              <w:rPr>
                <w:rFonts w:hint="eastAsia" w:ascii="宋体" w:hAnsi="宋体" w:eastAsia="宋体" w:cs="宋体"/>
                <w:color w:val="auto"/>
                <w:szCs w:val="21"/>
                <w:highlight w:val="none"/>
              </w:rPr>
            </w:pPr>
          </w:p>
        </w:tc>
        <w:tc>
          <w:tcPr>
            <w:tcW w:w="2590" w:type="dxa"/>
            <w:gridSpan w:val="3"/>
            <w:vMerge w:val="continue"/>
            <w:vAlign w:val="center"/>
          </w:tcPr>
          <w:p w14:paraId="702EDE84">
            <w:pPr>
              <w:spacing w:line="440" w:lineRule="exact"/>
              <w:jc w:val="center"/>
              <w:rPr>
                <w:rFonts w:hint="eastAsia" w:ascii="宋体" w:hAnsi="宋体" w:eastAsia="宋体" w:cs="宋体"/>
                <w:color w:val="auto"/>
                <w:szCs w:val="21"/>
                <w:highlight w:val="none"/>
              </w:rPr>
            </w:pPr>
          </w:p>
        </w:tc>
        <w:tc>
          <w:tcPr>
            <w:tcW w:w="1663" w:type="dxa"/>
            <w:gridSpan w:val="2"/>
            <w:vAlign w:val="center"/>
          </w:tcPr>
          <w:p w14:paraId="17DAE1F0">
            <w:pPr>
              <w:spacing w:line="440" w:lineRule="exact"/>
              <w:jc w:val="center"/>
              <w:rPr>
                <w:rFonts w:hint="eastAsia" w:ascii="宋体" w:hAnsi="宋体" w:eastAsia="宋体" w:cs="宋体"/>
                <w:color w:val="auto"/>
                <w:szCs w:val="21"/>
                <w:highlight w:val="none"/>
              </w:rPr>
            </w:pPr>
          </w:p>
        </w:tc>
        <w:tc>
          <w:tcPr>
            <w:tcW w:w="1417" w:type="dxa"/>
            <w:gridSpan w:val="2"/>
            <w:vAlign w:val="center"/>
          </w:tcPr>
          <w:p w14:paraId="46D06B19">
            <w:pPr>
              <w:spacing w:line="440" w:lineRule="exact"/>
              <w:jc w:val="center"/>
              <w:rPr>
                <w:rFonts w:hint="eastAsia" w:ascii="宋体" w:hAnsi="宋体" w:eastAsia="宋体" w:cs="宋体"/>
                <w:color w:val="auto"/>
                <w:szCs w:val="21"/>
                <w:highlight w:val="none"/>
              </w:rPr>
            </w:pPr>
          </w:p>
        </w:tc>
        <w:tc>
          <w:tcPr>
            <w:tcW w:w="1181" w:type="dxa"/>
            <w:gridSpan w:val="2"/>
            <w:vAlign w:val="center"/>
          </w:tcPr>
          <w:p w14:paraId="1D29F193">
            <w:pPr>
              <w:spacing w:line="440" w:lineRule="exact"/>
              <w:jc w:val="center"/>
              <w:rPr>
                <w:rFonts w:hint="eastAsia" w:ascii="宋体" w:hAnsi="宋体" w:eastAsia="宋体" w:cs="宋体"/>
                <w:color w:val="auto"/>
                <w:szCs w:val="21"/>
                <w:highlight w:val="none"/>
              </w:rPr>
            </w:pPr>
          </w:p>
        </w:tc>
        <w:tc>
          <w:tcPr>
            <w:tcW w:w="2221" w:type="dxa"/>
            <w:gridSpan w:val="3"/>
            <w:vAlign w:val="center"/>
          </w:tcPr>
          <w:p w14:paraId="230D4E34">
            <w:pPr>
              <w:spacing w:line="440" w:lineRule="exact"/>
              <w:jc w:val="center"/>
              <w:rPr>
                <w:rFonts w:hint="eastAsia" w:ascii="宋体" w:hAnsi="宋体" w:eastAsia="宋体" w:cs="宋体"/>
                <w:color w:val="auto"/>
                <w:szCs w:val="21"/>
                <w:highlight w:val="none"/>
              </w:rPr>
            </w:pPr>
          </w:p>
        </w:tc>
      </w:tr>
      <w:tr w14:paraId="3BBC4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5BDB681A">
            <w:pPr>
              <w:spacing w:line="440" w:lineRule="exact"/>
              <w:jc w:val="center"/>
              <w:rPr>
                <w:rFonts w:hint="eastAsia" w:ascii="宋体" w:hAnsi="宋体" w:eastAsia="宋体" w:cs="宋体"/>
                <w:color w:val="auto"/>
                <w:szCs w:val="21"/>
                <w:highlight w:val="none"/>
              </w:rPr>
            </w:pPr>
          </w:p>
        </w:tc>
        <w:tc>
          <w:tcPr>
            <w:tcW w:w="2590" w:type="dxa"/>
            <w:gridSpan w:val="3"/>
            <w:vAlign w:val="center"/>
          </w:tcPr>
          <w:p w14:paraId="02DC488D">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企业通过质量体 系、环保体系、计量等认证情况</w:t>
            </w:r>
          </w:p>
        </w:tc>
        <w:tc>
          <w:tcPr>
            <w:tcW w:w="6482" w:type="dxa"/>
            <w:gridSpan w:val="9"/>
            <w:vAlign w:val="center"/>
          </w:tcPr>
          <w:p w14:paraId="2787ED23">
            <w:pPr>
              <w:spacing w:line="440" w:lineRule="exact"/>
              <w:jc w:val="center"/>
              <w:rPr>
                <w:rFonts w:hint="eastAsia" w:ascii="宋体" w:hAnsi="宋体" w:eastAsia="宋体" w:cs="宋体"/>
                <w:color w:val="auto"/>
                <w:szCs w:val="21"/>
                <w:highlight w:val="none"/>
              </w:rPr>
            </w:pPr>
          </w:p>
        </w:tc>
      </w:tr>
      <w:tr w14:paraId="43E6F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vMerge w:val="continue"/>
            <w:vAlign w:val="center"/>
          </w:tcPr>
          <w:p w14:paraId="644F741E">
            <w:pPr>
              <w:spacing w:line="440" w:lineRule="exact"/>
              <w:jc w:val="center"/>
              <w:rPr>
                <w:rFonts w:hint="eastAsia" w:ascii="宋体" w:hAnsi="宋体" w:eastAsia="宋体" w:cs="宋体"/>
                <w:color w:val="auto"/>
                <w:szCs w:val="21"/>
                <w:highlight w:val="none"/>
              </w:rPr>
            </w:pPr>
          </w:p>
        </w:tc>
        <w:tc>
          <w:tcPr>
            <w:tcW w:w="2590" w:type="dxa"/>
            <w:gridSpan w:val="3"/>
            <w:vAlign w:val="center"/>
          </w:tcPr>
          <w:p w14:paraId="575EFDA5">
            <w:pPr>
              <w:spacing w:line="44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企业获得专利情况</w:t>
            </w:r>
          </w:p>
        </w:tc>
        <w:tc>
          <w:tcPr>
            <w:tcW w:w="6482" w:type="dxa"/>
            <w:gridSpan w:val="9"/>
            <w:vAlign w:val="center"/>
          </w:tcPr>
          <w:p w14:paraId="73333BAF">
            <w:pPr>
              <w:spacing w:line="440" w:lineRule="exact"/>
              <w:jc w:val="center"/>
              <w:rPr>
                <w:rFonts w:hint="eastAsia" w:ascii="宋体" w:hAnsi="宋体" w:eastAsia="宋体" w:cs="宋体"/>
                <w:color w:val="auto"/>
                <w:szCs w:val="21"/>
                <w:highlight w:val="none"/>
              </w:rPr>
            </w:pPr>
          </w:p>
        </w:tc>
      </w:tr>
    </w:tbl>
    <w:p w14:paraId="1201F06D">
      <w:pPr>
        <w:spacing w:line="360" w:lineRule="auto"/>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注：姓名栏必须将所有股东都统计在内，若非股份公司此行（第三行）无需填写。</w:t>
      </w:r>
    </w:p>
    <w:p w14:paraId="7BDA9146">
      <w:pPr>
        <w:spacing w:line="360" w:lineRule="auto"/>
        <w:rPr>
          <w:rFonts w:hint="eastAsia" w:ascii="宋体" w:hAnsi="宋体" w:eastAsia="宋体" w:cs="宋体"/>
          <w:color w:val="auto"/>
          <w:szCs w:val="21"/>
          <w:highlight w:val="none"/>
        </w:rPr>
      </w:pPr>
    </w:p>
    <w:p w14:paraId="7ED792C5">
      <w:pPr>
        <w:snapToGrid w:val="0"/>
        <w:spacing w:before="50" w:after="50" w:line="480" w:lineRule="auto"/>
        <w:ind w:left="-3" w:leftChars="-72" w:right="-817" w:rightChars="-389" w:hanging="148" w:hangingChars="62"/>
        <w:rPr>
          <w:rFonts w:hint="eastAsia" w:ascii="宋体" w:hAnsi="宋体" w:eastAsia="宋体" w:cs="宋体"/>
          <w:color w:val="auto"/>
          <w:szCs w:val="21"/>
          <w:highlight w:val="none"/>
        </w:rPr>
      </w:pPr>
      <w:r>
        <w:rPr>
          <w:rFonts w:hint="eastAsia" w:ascii="宋体" w:hAnsi="宋体" w:eastAsia="宋体" w:cs="宋体"/>
          <w:color w:val="auto"/>
          <w:sz w:val="24"/>
          <w:szCs w:val="21"/>
          <w:highlight w:val="none"/>
        </w:rPr>
        <w:t xml:space="preserve">  </w:t>
      </w: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（加盖公章）</w:t>
      </w:r>
    </w:p>
    <w:p w14:paraId="2D2D1264">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法定代表人或投标人代表：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（签字或盖章）                                             </w:t>
      </w:r>
    </w:p>
    <w:p w14:paraId="2D16334A">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18C73D15">
      <w:pPr>
        <w:pStyle w:val="41"/>
        <w:spacing w:line="360" w:lineRule="auto"/>
        <w:ind w:firstLine="0"/>
        <w:jc w:val="left"/>
        <w:rPr>
          <w:rFonts w:hint="eastAsia" w:ascii="宋体" w:hAnsi="宋体" w:eastAsia="宋体" w:cs="宋体"/>
          <w:b/>
          <w:color w:val="auto"/>
          <w:spacing w:val="0"/>
          <w:sz w:val="21"/>
          <w:szCs w:val="21"/>
          <w:highlight w:val="none"/>
        </w:rPr>
      </w:pPr>
      <w:r>
        <w:rPr>
          <w:rFonts w:hint="eastAsia" w:ascii="宋体" w:hAnsi="宋体" w:eastAsia="宋体" w:cs="宋体"/>
          <w:b/>
          <w:bCs/>
          <w:color w:val="auto"/>
          <w:szCs w:val="21"/>
          <w:highlight w:val="none"/>
        </w:rPr>
        <w:br w:type="page"/>
      </w:r>
      <w:r>
        <w:rPr>
          <w:rFonts w:hint="eastAsia" w:hAnsi="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rPr>
        <w:t>、类似项目业绩格式：</w:t>
      </w:r>
    </w:p>
    <w:p w14:paraId="2499536D">
      <w:pPr>
        <w:pStyle w:val="41"/>
        <w:spacing w:line="360" w:lineRule="auto"/>
        <w:ind w:firstLine="0"/>
        <w:jc w:val="center"/>
        <w:rPr>
          <w:rFonts w:hint="eastAsia" w:ascii="宋体" w:hAnsi="宋体" w:eastAsia="宋体" w:cs="宋体"/>
          <w:b/>
          <w:color w:val="auto"/>
          <w:spacing w:val="0"/>
          <w:sz w:val="21"/>
          <w:szCs w:val="21"/>
          <w:highlight w:val="none"/>
        </w:rPr>
      </w:pPr>
      <w:r>
        <w:rPr>
          <w:rFonts w:hint="eastAsia" w:ascii="宋体" w:hAnsi="宋体" w:eastAsia="宋体" w:cs="宋体"/>
          <w:b/>
          <w:color w:val="auto"/>
          <w:spacing w:val="0"/>
          <w:sz w:val="21"/>
          <w:szCs w:val="21"/>
          <w:highlight w:val="none"/>
        </w:rPr>
        <w:t>类似项目业绩表</w:t>
      </w:r>
    </w:p>
    <w:tbl>
      <w:tblPr>
        <w:tblStyle w:val="23"/>
        <w:tblW w:w="852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15"/>
        <w:gridCol w:w="1419"/>
        <w:gridCol w:w="1861"/>
        <w:gridCol w:w="1620"/>
        <w:gridCol w:w="1312"/>
        <w:gridCol w:w="1501"/>
      </w:tblGrid>
      <w:tr w14:paraId="7E037A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815" w:type="dxa"/>
            <w:vAlign w:val="center"/>
          </w:tcPr>
          <w:p w14:paraId="03B294EF">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419" w:type="dxa"/>
            <w:vAlign w:val="center"/>
          </w:tcPr>
          <w:p w14:paraId="592D9672">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招标人名称</w:t>
            </w:r>
          </w:p>
        </w:tc>
        <w:tc>
          <w:tcPr>
            <w:tcW w:w="1861" w:type="dxa"/>
            <w:vAlign w:val="center"/>
          </w:tcPr>
          <w:p w14:paraId="59E6C075">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1620" w:type="dxa"/>
            <w:vAlign w:val="center"/>
          </w:tcPr>
          <w:p w14:paraId="31AF45DF">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合同内容简介及签订时间</w:t>
            </w:r>
          </w:p>
        </w:tc>
        <w:tc>
          <w:tcPr>
            <w:tcW w:w="1312" w:type="dxa"/>
            <w:vAlign w:val="center"/>
          </w:tcPr>
          <w:p w14:paraId="138A2A5C">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合同价格（元）</w:t>
            </w:r>
          </w:p>
        </w:tc>
        <w:tc>
          <w:tcPr>
            <w:tcW w:w="1501" w:type="dxa"/>
            <w:vAlign w:val="center"/>
          </w:tcPr>
          <w:p w14:paraId="390C02A4">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招标人</w:t>
            </w:r>
          </w:p>
          <w:p w14:paraId="76C9655E">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联系人/电话</w:t>
            </w:r>
          </w:p>
        </w:tc>
      </w:tr>
      <w:tr w14:paraId="04FEC6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44F9DAC9">
            <w:pPr>
              <w:pStyle w:val="4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419" w:type="dxa"/>
            <w:vAlign w:val="center"/>
          </w:tcPr>
          <w:p w14:paraId="634E44B5">
            <w:pPr>
              <w:pStyle w:val="41"/>
              <w:spacing w:line="400" w:lineRule="exact"/>
              <w:ind w:firstLine="480"/>
              <w:jc w:val="center"/>
              <w:rPr>
                <w:rFonts w:hint="eastAsia" w:ascii="宋体" w:hAnsi="宋体" w:eastAsia="宋体" w:cs="宋体"/>
                <w:color w:val="auto"/>
                <w:sz w:val="21"/>
                <w:szCs w:val="21"/>
                <w:highlight w:val="none"/>
              </w:rPr>
            </w:pPr>
          </w:p>
        </w:tc>
        <w:tc>
          <w:tcPr>
            <w:tcW w:w="1861" w:type="dxa"/>
            <w:vAlign w:val="center"/>
          </w:tcPr>
          <w:p w14:paraId="7D11E16D">
            <w:pPr>
              <w:pStyle w:val="41"/>
              <w:spacing w:line="400" w:lineRule="exact"/>
              <w:ind w:firstLine="482"/>
              <w:jc w:val="center"/>
              <w:rPr>
                <w:rFonts w:hint="eastAsia" w:ascii="宋体" w:hAnsi="宋体" w:eastAsia="宋体" w:cs="宋体"/>
                <w:b/>
                <w:color w:val="auto"/>
                <w:sz w:val="21"/>
                <w:szCs w:val="21"/>
                <w:highlight w:val="none"/>
              </w:rPr>
            </w:pPr>
          </w:p>
        </w:tc>
        <w:tc>
          <w:tcPr>
            <w:tcW w:w="1620" w:type="dxa"/>
            <w:vAlign w:val="center"/>
          </w:tcPr>
          <w:p w14:paraId="04EDD419">
            <w:pPr>
              <w:pStyle w:val="41"/>
              <w:spacing w:line="400" w:lineRule="exact"/>
              <w:ind w:firstLine="482"/>
              <w:jc w:val="center"/>
              <w:rPr>
                <w:rFonts w:hint="eastAsia" w:ascii="宋体" w:hAnsi="宋体" w:eastAsia="宋体" w:cs="宋体"/>
                <w:b/>
                <w:color w:val="auto"/>
                <w:sz w:val="21"/>
                <w:szCs w:val="21"/>
                <w:highlight w:val="none"/>
              </w:rPr>
            </w:pPr>
          </w:p>
        </w:tc>
        <w:tc>
          <w:tcPr>
            <w:tcW w:w="1312" w:type="dxa"/>
            <w:vAlign w:val="center"/>
          </w:tcPr>
          <w:p w14:paraId="0BE0F51F">
            <w:pPr>
              <w:pStyle w:val="41"/>
              <w:spacing w:line="400" w:lineRule="exact"/>
              <w:ind w:firstLine="482"/>
              <w:jc w:val="center"/>
              <w:rPr>
                <w:rFonts w:hint="eastAsia" w:ascii="宋体" w:hAnsi="宋体" w:eastAsia="宋体" w:cs="宋体"/>
                <w:b/>
                <w:color w:val="auto"/>
                <w:sz w:val="21"/>
                <w:szCs w:val="21"/>
                <w:highlight w:val="none"/>
              </w:rPr>
            </w:pPr>
          </w:p>
        </w:tc>
        <w:tc>
          <w:tcPr>
            <w:tcW w:w="1501" w:type="dxa"/>
            <w:vAlign w:val="center"/>
          </w:tcPr>
          <w:p w14:paraId="27BA19D4">
            <w:pPr>
              <w:pStyle w:val="41"/>
              <w:spacing w:line="400" w:lineRule="exact"/>
              <w:ind w:firstLine="482"/>
              <w:jc w:val="center"/>
              <w:rPr>
                <w:rFonts w:hint="eastAsia" w:ascii="宋体" w:hAnsi="宋体" w:eastAsia="宋体" w:cs="宋体"/>
                <w:b/>
                <w:color w:val="auto"/>
                <w:sz w:val="21"/>
                <w:szCs w:val="21"/>
                <w:highlight w:val="none"/>
              </w:rPr>
            </w:pPr>
          </w:p>
        </w:tc>
      </w:tr>
      <w:tr w14:paraId="2BB038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165D516E">
            <w:pPr>
              <w:pStyle w:val="4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419" w:type="dxa"/>
            <w:vAlign w:val="center"/>
          </w:tcPr>
          <w:p w14:paraId="3BC81340">
            <w:pPr>
              <w:pStyle w:val="41"/>
              <w:spacing w:line="400" w:lineRule="exact"/>
              <w:ind w:firstLine="480"/>
              <w:jc w:val="center"/>
              <w:rPr>
                <w:rFonts w:hint="eastAsia" w:ascii="宋体" w:hAnsi="宋体" w:eastAsia="宋体" w:cs="宋体"/>
                <w:color w:val="auto"/>
                <w:sz w:val="21"/>
                <w:szCs w:val="21"/>
                <w:highlight w:val="none"/>
              </w:rPr>
            </w:pPr>
          </w:p>
        </w:tc>
        <w:tc>
          <w:tcPr>
            <w:tcW w:w="1861" w:type="dxa"/>
            <w:vAlign w:val="center"/>
          </w:tcPr>
          <w:p w14:paraId="661032E5">
            <w:pPr>
              <w:pStyle w:val="41"/>
              <w:spacing w:line="400" w:lineRule="exact"/>
              <w:ind w:firstLine="482"/>
              <w:jc w:val="center"/>
              <w:rPr>
                <w:rFonts w:hint="eastAsia" w:ascii="宋体" w:hAnsi="宋体" w:eastAsia="宋体" w:cs="宋体"/>
                <w:b/>
                <w:color w:val="auto"/>
                <w:sz w:val="21"/>
                <w:szCs w:val="21"/>
                <w:highlight w:val="none"/>
              </w:rPr>
            </w:pPr>
          </w:p>
        </w:tc>
        <w:tc>
          <w:tcPr>
            <w:tcW w:w="1620" w:type="dxa"/>
            <w:vAlign w:val="center"/>
          </w:tcPr>
          <w:p w14:paraId="0750FA46">
            <w:pPr>
              <w:pStyle w:val="41"/>
              <w:spacing w:line="400" w:lineRule="exact"/>
              <w:ind w:firstLine="482"/>
              <w:jc w:val="center"/>
              <w:rPr>
                <w:rFonts w:hint="eastAsia" w:ascii="宋体" w:hAnsi="宋体" w:eastAsia="宋体" w:cs="宋体"/>
                <w:b/>
                <w:color w:val="auto"/>
                <w:sz w:val="21"/>
                <w:szCs w:val="21"/>
                <w:highlight w:val="none"/>
              </w:rPr>
            </w:pPr>
          </w:p>
        </w:tc>
        <w:tc>
          <w:tcPr>
            <w:tcW w:w="1312" w:type="dxa"/>
            <w:vAlign w:val="center"/>
          </w:tcPr>
          <w:p w14:paraId="3AE0007E">
            <w:pPr>
              <w:pStyle w:val="41"/>
              <w:spacing w:line="400" w:lineRule="exact"/>
              <w:ind w:firstLine="482"/>
              <w:jc w:val="center"/>
              <w:rPr>
                <w:rFonts w:hint="eastAsia" w:ascii="宋体" w:hAnsi="宋体" w:eastAsia="宋体" w:cs="宋体"/>
                <w:b/>
                <w:color w:val="auto"/>
                <w:sz w:val="21"/>
                <w:szCs w:val="21"/>
                <w:highlight w:val="none"/>
              </w:rPr>
            </w:pPr>
          </w:p>
        </w:tc>
        <w:tc>
          <w:tcPr>
            <w:tcW w:w="1501" w:type="dxa"/>
            <w:vAlign w:val="center"/>
          </w:tcPr>
          <w:p w14:paraId="5919389D">
            <w:pPr>
              <w:pStyle w:val="41"/>
              <w:spacing w:line="400" w:lineRule="exact"/>
              <w:ind w:firstLine="482"/>
              <w:jc w:val="center"/>
              <w:rPr>
                <w:rFonts w:hint="eastAsia" w:ascii="宋体" w:hAnsi="宋体" w:eastAsia="宋体" w:cs="宋体"/>
                <w:b/>
                <w:color w:val="auto"/>
                <w:sz w:val="21"/>
                <w:szCs w:val="21"/>
                <w:highlight w:val="none"/>
              </w:rPr>
            </w:pPr>
          </w:p>
        </w:tc>
      </w:tr>
      <w:tr w14:paraId="1177E7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6BDABA0D">
            <w:pPr>
              <w:pStyle w:val="4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419" w:type="dxa"/>
            <w:vAlign w:val="center"/>
          </w:tcPr>
          <w:p w14:paraId="7ED9CE4A">
            <w:pPr>
              <w:pStyle w:val="41"/>
              <w:spacing w:line="400" w:lineRule="exact"/>
              <w:ind w:firstLine="480"/>
              <w:jc w:val="center"/>
              <w:rPr>
                <w:rFonts w:hint="eastAsia" w:ascii="宋体" w:hAnsi="宋体" w:eastAsia="宋体" w:cs="宋体"/>
                <w:color w:val="auto"/>
                <w:sz w:val="21"/>
                <w:szCs w:val="21"/>
                <w:highlight w:val="none"/>
              </w:rPr>
            </w:pPr>
          </w:p>
        </w:tc>
        <w:tc>
          <w:tcPr>
            <w:tcW w:w="1861" w:type="dxa"/>
            <w:vAlign w:val="center"/>
          </w:tcPr>
          <w:p w14:paraId="020522DB">
            <w:pPr>
              <w:pStyle w:val="41"/>
              <w:spacing w:line="400" w:lineRule="exact"/>
              <w:ind w:firstLine="480"/>
              <w:jc w:val="center"/>
              <w:rPr>
                <w:rFonts w:hint="eastAsia" w:ascii="宋体" w:hAnsi="宋体" w:eastAsia="宋体" w:cs="宋体"/>
                <w:color w:val="auto"/>
                <w:sz w:val="21"/>
                <w:szCs w:val="21"/>
                <w:highlight w:val="none"/>
              </w:rPr>
            </w:pPr>
          </w:p>
        </w:tc>
        <w:tc>
          <w:tcPr>
            <w:tcW w:w="1620" w:type="dxa"/>
            <w:vAlign w:val="center"/>
          </w:tcPr>
          <w:p w14:paraId="24FC66D8">
            <w:pPr>
              <w:pStyle w:val="41"/>
              <w:spacing w:line="400" w:lineRule="exact"/>
              <w:ind w:firstLine="480"/>
              <w:jc w:val="center"/>
              <w:rPr>
                <w:rFonts w:hint="eastAsia" w:ascii="宋体" w:hAnsi="宋体" w:eastAsia="宋体" w:cs="宋体"/>
                <w:color w:val="auto"/>
                <w:sz w:val="21"/>
                <w:szCs w:val="21"/>
                <w:highlight w:val="none"/>
              </w:rPr>
            </w:pPr>
          </w:p>
        </w:tc>
        <w:tc>
          <w:tcPr>
            <w:tcW w:w="1312" w:type="dxa"/>
            <w:vAlign w:val="center"/>
          </w:tcPr>
          <w:p w14:paraId="25A26039">
            <w:pPr>
              <w:pStyle w:val="41"/>
              <w:spacing w:line="400" w:lineRule="exact"/>
              <w:ind w:firstLine="480"/>
              <w:jc w:val="center"/>
              <w:rPr>
                <w:rFonts w:hint="eastAsia" w:ascii="宋体" w:hAnsi="宋体" w:eastAsia="宋体" w:cs="宋体"/>
                <w:color w:val="auto"/>
                <w:sz w:val="21"/>
                <w:szCs w:val="21"/>
                <w:highlight w:val="none"/>
              </w:rPr>
            </w:pPr>
          </w:p>
        </w:tc>
        <w:tc>
          <w:tcPr>
            <w:tcW w:w="1501" w:type="dxa"/>
            <w:vAlign w:val="center"/>
          </w:tcPr>
          <w:p w14:paraId="7F7EA220">
            <w:pPr>
              <w:pStyle w:val="41"/>
              <w:spacing w:line="400" w:lineRule="exact"/>
              <w:ind w:firstLine="480"/>
              <w:jc w:val="center"/>
              <w:rPr>
                <w:rFonts w:hint="eastAsia" w:ascii="宋体" w:hAnsi="宋体" w:eastAsia="宋体" w:cs="宋体"/>
                <w:color w:val="auto"/>
                <w:sz w:val="21"/>
                <w:szCs w:val="21"/>
                <w:highlight w:val="none"/>
              </w:rPr>
            </w:pPr>
          </w:p>
        </w:tc>
      </w:tr>
      <w:tr w14:paraId="1C3A2F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0CB07BA8">
            <w:pPr>
              <w:pStyle w:val="4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419" w:type="dxa"/>
            <w:vAlign w:val="center"/>
          </w:tcPr>
          <w:p w14:paraId="456831F7">
            <w:pPr>
              <w:pStyle w:val="41"/>
              <w:spacing w:line="400" w:lineRule="exact"/>
              <w:ind w:firstLine="480"/>
              <w:jc w:val="center"/>
              <w:rPr>
                <w:rFonts w:hint="eastAsia" w:ascii="宋体" w:hAnsi="宋体" w:eastAsia="宋体" w:cs="宋体"/>
                <w:color w:val="auto"/>
                <w:sz w:val="21"/>
                <w:szCs w:val="21"/>
                <w:highlight w:val="none"/>
              </w:rPr>
            </w:pPr>
          </w:p>
        </w:tc>
        <w:tc>
          <w:tcPr>
            <w:tcW w:w="1861" w:type="dxa"/>
            <w:vAlign w:val="center"/>
          </w:tcPr>
          <w:p w14:paraId="620AB773">
            <w:pPr>
              <w:pStyle w:val="41"/>
              <w:spacing w:line="400" w:lineRule="exact"/>
              <w:ind w:firstLine="480"/>
              <w:jc w:val="center"/>
              <w:rPr>
                <w:rFonts w:hint="eastAsia" w:ascii="宋体" w:hAnsi="宋体" w:eastAsia="宋体" w:cs="宋体"/>
                <w:color w:val="auto"/>
                <w:sz w:val="21"/>
                <w:szCs w:val="21"/>
                <w:highlight w:val="none"/>
              </w:rPr>
            </w:pPr>
          </w:p>
        </w:tc>
        <w:tc>
          <w:tcPr>
            <w:tcW w:w="1620" w:type="dxa"/>
            <w:vAlign w:val="center"/>
          </w:tcPr>
          <w:p w14:paraId="51D18424">
            <w:pPr>
              <w:pStyle w:val="41"/>
              <w:spacing w:line="400" w:lineRule="exact"/>
              <w:ind w:firstLine="480"/>
              <w:jc w:val="center"/>
              <w:rPr>
                <w:rFonts w:hint="eastAsia" w:ascii="宋体" w:hAnsi="宋体" w:eastAsia="宋体" w:cs="宋体"/>
                <w:color w:val="auto"/>
                <w:sz w:val="21"/>
                <w:szCs w:val="21"/>
                <w:highlight w:val="none"/>
              </w:rPr>
            </w:pPr>
          </w:p>
        </w:tc>
        <w:tc>
          <w:tcPr>
            <w:tcW w:w="1312" w:type="dxa"/>
            <w:vAlign w:val="center"/>
          </w:tcPr>
          <w:p w14:paraId="68B89ED8">
            <w:pPr>
              <w:pStyle w:val="41"/>
              <w:spacing w:line="400" w:lineRule="exact"/>
              <w:ind w:firstLine="480"/>
              <w:jc w:val="center"/>
              <w:rPr>
                <w:rFonts w:hint="eastAsia" w:ascii="宋体" w:hAnsi="宋体" w:eastAsia="宋体" w:cs="宋体"/>
                <w:color w:val="auto"/>
                <w:sz w:val="21"/>
                <w:szCs w:val="21"/>
                <w:highlight w:val="none"/>
              </w:rPr>
            </w:pPr>
          </w:p>
        </w:tc>
        <w:tc>
          <w:tcPr>
            <w:tcW w:w="1501" w:type="dxa"/>
            <w:vAlign w:val="center"/>
          </w:tcPr>
          <w:p w14:paraId="643B9FCA">
            <w:pPr>
              <w:pStyle w:val="41"/>
              <w:spacing w:line="400" w:lineRule="exact"/>
              <w:ind w:firstLine="480"/>
              <w:jc w:val="center"/>
              <w:rPr>
                <w:rFonts w:hint="eastAsia" w:ascii="宋体" w:hAnsi="宋体" w:eastAsia="宋体" w:cs="宋体"/>
                <w:color w:val="auto"/>
                <w:sz w:val="21"/>
                <w:szCs w:val="21"/>
                <w:highlight w:val="none"/>
              </w:rPr>
            </w:pPr>
          </w:p>
        </w:tc>
      </w:tr>
      <w:tr w14:paraId="471356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3B913727">
            <w:pPr>
              <w:pStyle w:val="41"/>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419" w:type="dxa"/>
            <w:vAlign w:val="center"/>
          </w:tcPr>
          <w:p w14:paraId="0644CEF8">
            <w:pPr>
              <w:pStyle w:val="41"/>
              <w:spacing w:line="400" w:lineRule="exact"/>
              <w:ind w:firstLine="480"/>
              <w:jc w:val="center"/>
              <w:rPr>
                <w:rFonts w:hint="eastAsia" w:ascii="宋体" w:hAnsi="宋体" w:eastAsia="宋体" w:cs="宋体"/>
                <w:color w:val="auto"/>
                <w:sz w:val="21"/>
                <w:szCs w:val="21"/>
                <w:highlight w:val="none"/>
              </w:rPr>
            </w:pPr>
          </w:p>
        </w:tc>
        <w:tc>
          <w:tcPr>
            <w:tcW w:w="1861" w:type="dxa"/>
            <w:vAlign w:val="center"/>
          </w:tcPr>
          <w:p w14:paraId="6EC96824">
            <w:pPr>
              <w:pStyle w:val="41"/>
              <w:spacing w:line="400" w:lineRule="exact"/>
              <w:ind w:firstLine="480"/>
              <w:jc w:val="center"/>
              <w:rPr>
                <w:rFonts w:hint="eastAsia" w:ascii="宋体" w:hAnsi="宋体" w:eastAsia="宋体" w:cs="宋体"/>
                <w:color w:val="auto"/>
                <w:sz w:val="21"/>
                <w:szCs w:val="21"/>
                <w:highlight w:val="none"/>
              </w:rPr>
            </w:pPr>
          </w:p>
        </w:tc>
        <w:tc>
          <w:tcPr>
            <w:tcW w:w="1620" w:type="dxa"/>
            <w:vAlign w:val="center"/>
          </w:tcPr>
          <w:p w14:paraId="3FC8F9C9">
            <w:pPr>
              <w:pStyle w:val="41"/>
              <w:spacing w:line="400" w:lineRule="exact"/>
              <w:ind w:firstLine="480"/>
              <w:jc w:val="center"/>
              <w:rPr>
                <w:rFonts w:hint="eastAsia" w:ascii="宋体" w:hAnsi="宋体" w:eastAsia="宋体" w:cs="宋体"/>
                <w:color w:val="auto"/>
                <w:sz w:val="21"/>
                <w:szCs w:val="21"/>
                <w:highlight w:val="none"/>
              </w:rPr>
            </w:pPr>
          </w:p>
        </w:tc>
        <w:tc>
          <w:tcPr>
            <w:tcW w:w="1312" w:type="dxa"/>
            <w:vAlign w:val="center"/>
          </w:tcPr>
          <w:p w14:paraId="6FA619B2">
            <w:pPr>
              <w:pStyle w:val="41"/>
              <w:spacing w:line="400" w:lineRule="exact"/>
              <w:ind w:firstLine="480"/>
              <w:jc w:val="center"/>
              <w:rPr>
                <w:rFonts w:hint="eastAsia" w:ascii="宋体" w:hAnsi="宋体" w:eastAsia="宋体" w:cs="宋体"/>
                <w:color w:val="auto"/>
                <w:sz w:val="21"/>
                <w:szCs w:val="21"/>
                <w:highlight w:val="none"/>
              </w:rPr>
            </w:pPr>
          </w:p>
        </w:tc>
        <w:tc>
          <w:tcPr>
            <w:tcW w:w="1501" w:type="dxa"/>
            <w:vAlign w:val="center"/>
          </w:tcPr>
          <w:p w14:paraId="567C9030">
            <w:pPr>
              <w:pStyle w:val="41"/>
              <w:spacing w:line="400" w:lineRule="exact"/>
              <w:ind w:firstLine="480"/>
              <w:jc w:val="center"/>
              <w:rPr>
                <w:rFonts w:hint="eastAsia" w:ascii="宋体" w:hAnsi="宋体" w:eastAsia="宋体" w:cs="宋体"/>
                <w:color w:val="auto"/>
                <w:sz w:val="21"/>
                <w:szCs w:val="21"/>
                <w:highlight w:val="none"/>
              </w:rPr>
            </w:pPr>
          </w:p>
        </w:tc>
      </w:tr>
      <w:tr w14:paraId="2F354D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3D1DD38A">
            <w:pPr>
              <w:pStyle w:val="41"/>
              <w:spacing w:line="400" w:lineRule="exact"/>
              <w:ind w:firstLine="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419" w:type="dxa"/>
            <w:vAlign w:val="center"/>
          </w:tcPr>
          <w:p w14:paraId="73FB262E">
            <w:pPr>
              <w:pStyle w:val="41"/>
              <w:spacing w:line="400" w:lineRule="exact"/>
              <w:ind w:firstLine="480"/>
              <w:jc w:val="center"/>
              <w:rPr>
                <w:rFonts w:hint="eastAsia" w:ascii="宋体" w:hAnsi="宋体" w:eastAsia="宋体" w:cs="宋体"/>
                <w:color w:val="auto"/>
                <w:sz w:val="21"/>
                <w:szCs w:val="21"/>
                <w:highlight w:val="none"/>
              </w:rPr>
            </w:pPr>
          </w:p>
        </w:tc>
        <w:tc>
          <w:tcPr>
            <w:tcW w:w="1861" w:type="dxa"/>
            <w:vAlign w:val="center"/>
          </w:tcPr>
          <w:p w14:paraId="0A9B9A48">
            <w:pPr>
              <w:pStyle w:val="41"/>
              <w:spacing w:line="400" w:lineRule="exact"/>
              <w:ind w:firstLine="480"/>
              <w:jc w:val="center"/>
              <w:rPr>
                <w:rFonts w:hint="eastAsia" w:ascii="宋体" w:hAnsi="宋体" w:eastAsia="宋体" w:cs="宋体"/>
                <w:color w:val="auto"/>
                <w:sz w:val="21"/>
                <w:szCs w:val="21"/>
                <w:highlight w:val="none"/>
              </w:rPr>
            </w:pPr>
          </w:p>
        </w:tc>
        <w:tc>
          <w:tcPr>
            <w:tcW w:w="1620" w:type="dxa"/>
            <w:vAlign w:val="center"/>
          </w:tcPr>
          <w:p w14:paraId="2FCB07D7">
            <w:pPr>
              <w:pStyle w:val="41"/>
              <w:spacing w:line="400" w:lineRule="exact"/>
              <w:ind w:firstLine="480"/>
              <w:jc w:val="center"/>
              <w:rPr>
                <w:rFonts w:hint="eastAsia" w:ascii="宋体" w:hAnsi="宋体" w:eastAsia="宋体" w:cs="宋体"/>
                <w:color w:val="auto"/>
                <w:sz w:val="21"/>
                <w:szCs w:val="21"/>
                <w:highlight w:val="none"/>
              </w:rPr>
            </w:pPr>
          </w:p>
        </w:tc>
        <w:tc>
          <w:tcPr>
            <w:tcW w:w="1312" w:type="dxa"/>
            <w:vAlign w:val="center"/>
          </w:tcPr>
          <w:p w14:paraId="7469FE79">
            <w:pPr>
              <w:pStyle w:val="41"/>
              <w:spacing w:line="400" w:lineRule="exact"/>
              <w:ind w:firstLine="480"/>
              <w:jc w:val="center"/>
              <w:rPr>
                <w:rFonts w:hint="eastAsia" w:ascii="宋体" w:hAnsi="宋体" w:eastAsia="宋体" w:cs="宋体"/>
                <w:color w:val="auto"/>
                <w:sz w:val="21"/>
                <w:szCs w:val="21"/>
                <w:highlight w:val="none"/>
              </w:rPr>
            </w:pPr>
          </w:p>
        </w:tc>
        <w:tc>
          <w:tcPr>
            <w:tcW w:w="1501" w:type="dxa"/>
            <w:vAlign w:val="center"/>
          </w:tcPr>
          <w:p w14:paraId="0260D511">
            <w:pPr>
              <w:pStyle w:val="41"/>
              <w:spacing w:line="400" w:lineRule="exact"/>
              <w:ind w:firstLine="480"/>
              <w:jc w:val="center"/>
              <w:rPr>
                <w:rFonts w:hint="eastAsia" w:ascii="宋体" w:hAnsi="宋体" w:eastAsia="宋体" w:cs="宋体"/>
                <w:color w:val="auto"/>
                <w:sz w:val="21"/>
                <w:szCs w:val="21"/>
                <w:highlight w:val="none"/>
              </w:rPr>
            </w:pPr>
          </w:p>
        </w:tc>
      </w:tr>
      <w:tr w14:paraId="07CB8F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815" w:type="dxa"/>
            <w:vAlign w:val="center"/>
          </w:tcPr>
          <w:p w14:paraId="22F802D2">
            <w:pPr>
              <w:pStyle w:val="41"/>
              <w:spacing w:line="400" w:lineRule="exact"/>
              <w:jc w:val="center"/>
              <w:rPr>
                <w:rFonts w:hint="eastAsia" w:ascii="宋体" w:hAnsi="宋体" w:eastAsia="宋体" w:cs="宋体"/>
                <w:color w:val="auto"/>
                <w:sz w:val="21"/>
                <w:szCs w:val="21"/>
                <w:highlight w:val="none"/>
              </w:rPr>
            </w:pPr>
          </w:p>
        </w:tc>
        <w:tc>
          <w:tcPr>
            <w:tcW w:w="1419" w:type="dxa"/>
            <w:vAlign w:val="center"/>
          </w:tcPr>
          <w:p w14:paraId="3188E462">
            <w:pPr>
              <w:pStyle w:val="41"/>
              <w:spacing w:line="400" w:lineRule="exact"/>
              <w:jc w:val="center"/>
              <w:rPr>
                <w:rFonts w:hint="eastAsia" w:ascii="宋体" w:hAnsi="宋体" w:eastAsia="宋体" w:cs="宋体"/>
                <w:color w:val="auto"/>
                <w:sz w:val="21"/>
                <w:szCs w:val="21"/>
                <w:highlight w:val="none"/>
              </w:rPr>
            </w:pPr>
          </w:p>
        </w:tc>
        <w:tc>
          <w:tcPr>
            <w:tcW w:w="1861" w:type="dxa"/>
            <w:vAlign w:val="center"/>
          </w:tcPr>
          <w:p w14:paraId="5D6B1706">
            <w:pPr>
              <w:pStyle w:val="41"/>
              <w:spacing w:line="400" w:lineRule="exact"/>
              <w:ind w:firstLine="480"/>
              <w:jc w:val="center"/>
              <w:rPr>
                <w:rFonts w:hint="eastAsia" w:ascii="宋体" w:hAnsi="宋体" w:eastAsia="宋体" w:cs="宋体"/>
                <w:color w:val="auto"/>
                <w:sz w:val="21"/>
                <w:szCs w:val="21"/>
                <w:highlight w:val="none"/>
              </w:rPr>
            </w:pPr>
          </w:p>
        </w:tc>
        <w:tc>
          <w:tcPr>
            <w:tcW w:w="1620" w:type="dxa"/>
            <w:vAlign w:val="center"/>
          </w:tcPr>
          <w:p w14:paraId="3E3EF92F">
            <w:pPr>
              <w:pStyle w:val="41"/>
              <w:spacing w:line="400" w:lineRule="exact"/>
              <w:ind w:firstLine="480"/>
              <w:jc w:val="center"/>
              <w:rPr>
                <w:rFonts w:hint="eastAsia" w:ascii="宋体" w:hAnsi="宋体" w:eastAsia="宋体" w:cs="宋体"/>
                <w:color w:val="auto"/>
                <w:sz w:val="21"/>
                <w:szCs w:val="21"/>
                <w:highlight w:val="none"/>
              </w:rPr>
            </w:pPr>
          </w:p>
        </w:tc>
        <w:tc>
          <w:tcPr>
            <w:tcW w:w="1312" w:type="dxa"/>
            <w:vAlign w:val="center"/>
          </w:tcPr>
          <w:p w14:paraId="5CF75841">
            <w:pPr>
              <w:pStyle w:val="41"/>
              <w:spacing w:line="400" w:lineRule="exact"/>
              <w:ind w:firstLine="480"/>
              <w:jc w:val="center"/>
              <w:rPr>
                <w:rFonts w:hint="eastAsia" w:ascii="宋体" w:hAnsi="宋体" w:eastAsia="宋体" w:cs="宋体"/>
                <w:color w:val="auto"/>
                <w:sz w:val="21"/>
                <w:szCs w:val="21"/>
                <w:highlight w:val="none"/>
              </w:rPr>
            </w:pPr>
          </w:p>
        </w:tc>
        <w:tc>
          <w:tcPr>
            <w:tcW w:w="1501" w:type="dxa"/>
            <w:vAlign w:val="center"/>
          </w:tcPr>
          <w:p w14:paraId="14810CD2">
            <w:pPr>
              <w:pStyle w:val="41"/>
              <w:spacing w:line="400" w:lineRule="exact"/>
              <w:ind w:firstLine="480"/>
              <w:jc w:val="center"/>
              <w:rPr>
                <w:rFonts w:hint="eastAsia" w:ascii="宋体" w:hAnsi="宋体" w:eastAsia="宋体" w:cs="宋体"/>
                <w:color w:val="auto"/>
                <w:sz w:val="21"/>
                <w:szCs w:val="21"/>
                <w:highlight w:val="none"/>
              </w:rPr>
            </w:pPr>
          </w:p>
        </w:tc>
      </w:tr>
      <w:tr w14:paraId="1A4818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815" w:type="dxa"/>
            <w:vAlign w:val="center"/>
          </w:tcPr>
          <w:p w14:paraId="5E3ED6E0">
            <w:pPr>
              <w:pStyle w:val="41"/>
              <w:spacing w:line="400" w:lineRule="exact"/>
              <w:jc w:val="center"/>
              <w:rPr>
                <w:rFonts w:hint="eastAsia" w:ascii="宋体" w:hAnsi="宋体" w:eastAsia="宋体" w:cs="宋体"/>
                <w:color w:val="auto"/>
                <w:sz w:val="21"/>
                <w:szCs w:val="21"/>
                <w:highlight w:val="none"/>
              </w:rPr>
            </w:pPr>
          </w:p>
        </w:tc>
        <w:tc>
          <w:tcPr>
            <w:tcW w:w="1419" w:type="dxa"/>
            <w:vAlign w:val="center"/>
          </w:tcPr>
          <w:p w14:paraId="52541CE6">
            <w:pPr>
              <w:pStyle w:val="41"/>
              <w:spacing w:line="400" w:lineRule="exact"/>
              <w:jc w:val="center"/>
              <w:rPr>
                <w:rFonts w:hint="eastAsia" w:ascii="宋体" w:hAnsi="宋体" w:eastAsia="宋体" w:cs="宋体"/>
                <w:color w:val="auto"/>
                <w:sz w:val="21"/>
                <w:szCs w:val="21"/>
                <w:highlight w:val="none"/>
              </w:rPr>
            </w:pPr>
          </w:p>
        </w:tc>
        <w:tc>
          <w:tcPr>
            <w:tcW w:w="1861" w:type="dxa"/>
            <w:vAlign w:val="center"/>
          </w:tcPr>
          <w:p w14:paraId="2EC3CD7B">
            <w:pPr>
              <w:pStyle w:val="41"/>
              <w:spacing w:line="400" w:lineRule="exact"/>
              <w:ind w:firstLine="480"/>
              <w:jc w:val="center"/>
              <w:rPr>
                <w:rFonts w:hint="eastAsia" w:ascii="宋体" w:hAnsi="宋体" w:eastAsia="宋体" w:cs="宋体"/>
                <w:color w:val="auto"/>
                <w:sz w:val="21"/>
                <w:szCs w:val="21"/>
                <w:highlight w:val="none"/>
              </w:rPr>
            </w:pPr>
          </w:p>
        </w:tc>
        <w:tc>
          <w:tcPr>
            <w:tcW w:w="1620" w:type="dxa"/>
            <w:vAlign w:val="center"/>
          </w:tcPr>
          <w:p w14:paraId="54C389E0">
            <w:pPr>
              <w:pStyle w:val="41"/>
              <w:spacing w:line="400" w:lineRule="exact"/>
              <w:ind w:firstLine="480"/>
              <w:jc w:val="center"/>
              <w:rPr>
                <w:rFonts w:hint="eastAsia" w:ascii="宋体" w:hAnsi="宋体" w:eastAsia="宋体" w:cs="宋体"/>
                <w:color w:val="auto"/>
                <w:sz w:val="21"/>
                <w:szCs w:val="21"/>
                <w:highlight w:val="none"/>
              </w:rPr>
            </w:pPr>
          </w:p>
        </w:tc>
        <w:tc>
          <w:tcPr>
            <w:tcW w:w="1312" w:type="dxa"/>
            <w:vAlign w:val="center"/>
          </w:tcPr>
          <w:p w14:paraId="431F0094">
            <w:pPr>
              <w:pStyle w:val="41"/>
              <w:spacing w:line="400" w:lineRule="exact"/>
              <w:ind w:firstLine="480"/>
              <w:jc w:val="center"/>
              <w:rPr>
                <w:rFonts w:hint="eastAsia" w:ascii="宋体" w:hAnsi="宋体" w:eastAsia="宋体" w:cs="宋体"/>
                <w:color w:val="auto"/>
                <w:sz w:val="21"/>
                <w:szCs w:val="21"/>
                <w:highlight w:val="none"/>
              </w:rPr>
            </w:pPr>
          </w:p>
        </w:tc>
        <w:tc>
          <w:tcPr>
            <w:tcW w:w="1501" w:type="dxa"/>
            <w:vAlign w:val="center"/>
          </w:tcPr>
          <w:p w14:paraId="5C28516B">
            <w:pPr>
              <w:pStyle w:val="41"/>
              <w:spacing w:line="400" w:lineRule="exact"/>
              <w:ind w:firstLine="480"/>
              <w:jc w:val="center"/>
              <w:rPr>
                <w:rFonts w:hint="eastAsia" w:ascii="宋体" w:hAnsi="宋体" w:eastAsia="宋体" w:cs="宋体"/>
                <w:color w:val="auto"/>
                <w:sz w:val="21"/>
                <w:szCs w:val="21"/>
                <w:highlight w:val="none"/>
              </w:rPr>
            </w:pPr>
          </w:p>
        </w:tc>
      </w:tr>
    </w:tbl>
    <w:p w14:paraId="540AC80E">
      <w:pPr>
        <w:spacing w:line="360" w:lineRule="auto"/>
        <w:ind w:firstLine="420" w:firstLineChars="200"/>
        <w:rPr>
          <w:rFonts w:hint="eastAsia" w:ascii="宋体" w:hAnsi="宋体" w:eastAsia="宋体" w:cs="宋体"/>
          <w:color w:val="auto"/>
          <w:szCs w:val="21"/>
          <w:highlight w:val="none"/>
        </w:rPr>
      </w:pPr>
    </w:p>
    <w:p w14:paraId="022EC67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w:t>
      </w:r>
      <w:r>
        <w:rPr>
          <w:rFonts w:hint="eastAsia" w:asciiTheme="minorEastAsia" w:hAnsiTheme="minorEastAsia" w:eastAsiaTheme="minorEastAsia" w:cstheme="minorEastAsia"/>
          <w:color w:val="auto"/>
          <w:spacing w:val="4"/>
          <w:sz w:val="21"/>
          <w:szCs w:val="21"/>
          <w:highlight w:val="none"/>
        </w:rPr>
        <w:t>提供合同</w:t>
      </w:r>
      <w:r>
        <w:rPr>
          <w:rFonts w:hint="eastAsia" w:asciiTheme="minorEastAsia" w:hAnsiTheme="minorEastAsia" w:eastAsiaTheme="minorEastAsia" w:cstheme="minorEastAsia"/>
          <w:color w:val="auto"/>
          <w:spacing w:val="4"/>
          <w:sz w:val="21"/>
          <w:szCs w:val="21"/>
          <w:highlight w:val="none"/>
          <w:lang w:val="en-US" w:eastAsia="zh-CN"/>
        </w:rPr>
        <w:t>扫描件</w:t>
      </w:r>
      <w:r>
        <w:rPr>
          <w:rFonts w:hint="eastAsia" w:asciiTheme="minorEastAsia" w:hAnsiTheme="minorEastAsia" w:eastAsiaTheme="minorEastAsia" w:cstheme="minorEastAsia"/>
          <w:color w:val="auto"/>
          <w:spacing w:val="4"/>
          <w:sz w:val="21"/>
          <w:szCs w:val="21"/>
          <w:highlight w:val="none"/>
        </w:rPr>
        <w:t>（加盖投标人公章）计分</w:t>
      </w:r>
      <w:r>
        <w:rPr>
          <w:rFonts w:hint="eastAsia" w:asciiTheme="minorEastAsia" w:hAnsiTheme="minorEastAsia" w:eastAsiaTheme="minorEastAsia" w:cstheme="minorEastAsia"/>
          <w:color w:val="auto"/>
          <w:spacing w:val="4"/>
          <w:sz w:val="21"/>
          <w:szCs w:val="21"/>
          <w:highlight w:val="none"/>
          <w:lang w:eastAsia="zh-CN"/>
        </w:rPr>
        <w:t>；</w:t>
      </w:r>
      <w:r>
        <w:rPr>
          <w:rFonts w:hint="eastAsia" w:asciiTheme="minorEastAsia" w:hAnsiTheme="minorEastAsia" w:eastAsiaTheme="minorEastAsia" w:cstheme="minorEastAsia"/>
          <w:color w:val="auto"/>
          <w:spacing w:val="4"/>
          <w:sz w:val="21"/>
          <w:szCs w:val="21"/>
          <w:highlight w:val="none"/>
        </w:rPr>
        <w:t>合同中须反映项目名称、签订时间、合同服务内容等。若合同中不能反映上述内容，须另附经业主盖章的证明材料。</w:t>
      </w:r>
      <w:r>
        <w:rPr>
          <w:rFonts w:hint="eastAsia" w:asciiTheme="minorEastAsia" w:hAnsiTheme="minorEastAsia" w:eastAsiaTheme="minorEastAsia" w:cstheme="minorEastAsia"/>
          <w:color w:val="auto"/>
          <w:szCs w:val="21"/>
          <w:highlight w:val="none"/>
        </w:rPr>
        <w:t>联合体投标的，各成员业绩均认可。</w:t>
      </w:r>
    </w:p>
    <w:p w14:paraId="2C74C4F3">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2ABEFC65">
      <w:pPr>
        <w:jc w:val="left"/>
        <w:rPr>
          <w:rFonts w:hint="eastAsia" w:ascii="宋体" w:hAnsi="宋体" w:eastAsia="宋体" w:cs="宋体"/>
          <w:color w:val="auto"/>
          <w:szCs w:val="21"/>
          <w:highlight w:val="none"/>
        </w:rPr>
      </w:pPr>
    </w:p>
    <w:p w14:paraId="7F9CC2F5">
      <w:pPr>
        <w:snapToGrid w:val="0"/>
        <w:spacing w:before="50" w:after="50" w:line="480" w:lineRule="auto"/>
        <w:ind w:left="-3" w:leftChars="-72" w:right="-817" w:rightChars="-389" w:hanging="148" w:hangingChars="62"/>
        <w:rPr>
          <w:rFonts w:hint="eastAsia" w:ascii="宋体" w:hAnsi="宋体" w:eastAsia="宋体" w:cs="宋体"/>
          <w:color w:val="auto"/>
          <w:szCs w:val="21"/>
          <w:highlight w:val="none"/>
        </w:rPr>
      </w:pPr>
      <w:r>
        <w:rPr>
          <w:rFonts w:hint="eastAsia" w:ascii="宋体" w:hAnsi="宋体" w:eastAsia="宋体" w:cs="宋体"/>
          <w:color w:val="auto"/>
          <w:sz w:val="24"/>
          <w:szCs w:val="21"/>
          <w:highlight w:val="none"/>
        </w:rPr>
        <w:t xml:space="preserve">  </w:t>
      </w: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（加盖公章）</w:t>
      </w:r>
    </w:p>
    <w:p w14:paraId="0FF3F3B2">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法定代表人或投标人代表：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（签字或盖章）                                             </w:t>
      </w:r>
    </w:p>
    <w:p w14:paraId="6F0FF637">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宋体" w:hAnsi="宋体" w:eastAsia="宋体" w:cs="宋体"/>
          <w:color w:val="auto"/>
          <w:szCs w:val="21"/>
          <w:highlight w:val="none"/>
        </w:rPr>
        <w:t xml:space="preserve">  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none"/>
          <w:lang w:val="en-US" w:eastAsia="zh-CN"/>
        </w:rPr>
        <w:t>日</w:t>
      </w:r>
    </w:p>
    <w:p w14:paraId="390FA020">
      <w:pPr>
        <w:rPr>
          <w:rFonts w:hint="eastAsia" w:ascii="宋体" w:hAnsi="宋体" w:eastAsia="宋体" w:cs="宋体"/>
          <w:b/>
          <w:bCs/>
          <w:color w:val="auto"/>
          <w:szCs w:val="21"/>
          <w:highlight w:val="none"/>
        </w:rPr>
      </w:pPr>
      <w:r>
        <w:rPr>
          <w:rFonts w:hint="eastAsia" w:ascii="宋体" w:hAnsi="宋体" w:cs="宋体"/>
          <w:b/>
          <w:bCs/>
          <w:color w:val="auto"/>
          <w:szCs w:val="21"/>
          <w:highlight w:val="none"/>
          <w:lang w:val="en-US" w:eastAsia="zh-CN"/>
        </w:rPr>
        <w:t>九</w:t>
      </w:r>
      <w:r>
        <w:rPr>
          <w:rFonts w:hint="eastAsia" w:ascii="宋体" w:hAnsi="宋体" w:eastAsia="宋体" w:cs="宋体"/>
          <w:b/>
          <w:bCs/>
          <w:color w:val="auto"/>
          <w:szCs w:val="21"/>
          <w:highlight w:val="none"/>
        </w:rPr>
        <w:t>、项目组成人员情况表格式：</w:t>
      </w:r>
    </w:p>
    <w:p w14:paraId="68B24BCB">
      <w:pPr>
        <w:pStyle w:val="42"/>
        <w:adjustRightInd w:val="0"/>
        <w:spacing w:before="120" w:after="120" w:line="360" w:lineRule="auto"/>
        <w:jc w:val="center"/>
        <w:textAlignment w:val="baseline"/>
        <w:rPr>
          <w:rFonts w:hint="eastAsia" w:ascii="宋体" w:hAnsi="宋体" w:eastAsia="宋体" w:cs="宋体"/>
          <w:b/>
          <w:bCs/>
          <w:color w:val="auto"/>
          <w:sz w:val="21"/>
          <w:szCs w:val="21"/>
          <w:highlight w:val="none"/>
        </w:rPr>
      </w:pPr>
      <w:r>
        <w:rPr>
          <w:rFonts w:hint="eastAsia" w:hAnsi="宋体" w:eastAsia="宋体" w:cs="宋体"/>
          <w:b/>
          <w:bCs/>
          <w:color w:val="auto"/>
          <w:sz w:val="21"/>
          <w:szCs w:val="21"/>
          <w:highlight w:val="none"/>
          <w:lang w:val="en-US" w:eastAsia="zh-CN"/>
        </w:rPr>
        <w:t>拟派</w:t>
      </w:r>
      <w:r>
        <w:rPr>
          <w:rFonts w:hint="eastAsia" w:ascii="宋体" w:hAnsi="宋体" w:eastAsia="宋体" w:cs="宋体"/>
          <w:b/>
          <w:bCs/>
          <w:color w:val="auto"/>
          <w:sz w:val="21"/>
          <w:szCs w:val="21"/>
          <w:highlight w:val="none"/>
        </w:rPr>
        <w:t>服务团队成员一览表</w:t>
      </w:r>
    </w:p>
    <w:tbl>
      <w:tblPr>
        <w:tblStyle w:val="23"/>
        <w:tblW w:w="924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1143"/>
        <w:gridCol w:w="1409"/>
        <w:gridCol w:w="1217"/>
        <w:gridCol w:w="1343"/>
        <w:gridCol w:w="1343"/>
        <w:gridCol w:w="1134"/>
      </w:tblGrid>
      <w:tr w14:paraId="7E9FB4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6A664AF2">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3F28C0AF">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项目组所任职务</w:t>
            </w:r>
          </w:p>
        </w:tc>
        <w:tc>
          <w:tcPr>
            <w:tcW w:w="1143" w:type="dxa"/>
            <w:tcBorders>
              <w:top w:val="single" w:color="auto" w:sz="4" w:space="0"/>
              <w:left w:val="single" w:color="auto" w:sz="4" w:space="0"/>
              <w:bottom w:val="single" w:color="auto" w:sz="4" w:space="0"/>
              <w:right w:val="single" w:color="auto" w:sz="4" w:space="0"/>
            </w:tcBorders>
            <w:vAlign w:val="center"/>
          </w:tcPr>
          <w:p w14:paraId="1EB48FA7">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409" w:type="dxa"/>
            <w:tcBorders>
              <w:top w:val="single" w:color="auto" w:sz="4" w:space="0"/>
              <w:left w:val="single" w:color="auto" w:sz="4" w:space="0"/>
              <w:bottom w:val="single" w:color="auto" w:sz="4" w:space="0"/>
              <w:right w:val="single" w:color="auto" w:sz="4" w:space="0"/>
            </w:tcBorders>
            <w:vAlign w:val="center"/>
          </w:tcPr>
          <w:p w14:paraId="26F02271">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项目经历</w:t>
            </w:r>
          </w:p>
        </w:tc>
        <w:tc>
          <w:tcPr>
            <w:tcW w:w="1217" w:type="dxa"/>
            <w:tcBorders>
              <w:top w:val="single" w:color="auto" w:sz="4" w:space="0"/>
              <w:left w:val="single" w:color="auto" w:sz="4" w:space="0"/>
              <w:bottom w:val="single" w:color="auto" w:sz="4" w:space="0"/>
              <w:right w:val="single" w:color="auto" w:sz="4" w:space="0"/>
            </w:tcBorders>
            <w:vAlign w:val="center"/>
          </w:tcPr>
          <w:p w14:paraId="4B5858EC">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学历/职称</w:t>
            </w:r>
          </w:p>
        </w:tc>
        <w:tc>
          <w:tcPr>
            <w:tcW w:w="1343" w:type="dxa"/>
            <w:tcBorders>
              <w:top w:val="single" w:color="auto" w:sz="4" w:space="0"/>
              <w:left w:val="single" w:color="auto" w:sz="4" w:space="0"/>
              <w:bottom w:val="single" w:color="auto" w:sz="4" w:space="0"/>
              <w:right w:val="single" w:color="auto" w:sz="4" w:space="0"/>
            </w:tcBorders>
            <w:vAlign w:val="center"/>
          </w:tcPr>
          <w:p w14:paraId="7F348B89">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资格证书</w:t>
            </w:r>
          </w:p>
        </w:tc>
        <w:tc>
          <w:tcPr>
            <w:tcW w:w="1343" w:type="dxa"/>
            <w:tcBorders>
              <w:top w:val="single" w:color="auto" w:sz="4" w:space="0"/>
              <w:left w:val="single" w:color="auto" w:sz="4" w:space="0"/>
              <w:bottom w:val="single" w:color="auto" w:sz="4" w:space="0"/>
              <w:right w:val="single" w:color="auto" w:sz="4" w:space="0"/>
            </w:tcBorders>
            <w:vAlign w:val="center"/>
          </w:tcPr>
          <w:p w14:paraId="607FEA1E">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从事本工作时间</w:t>
            </w:r>
          </w:p>
        </w:tc>
        <w:tc>
          <w:tcPr>
            <w:tcW w:w="1134" w:type="dxa"/>
            <w:tcBorders>
              <w:top w:val="single" w:color="auto" w:sz="4" w:space="0"/>
              <w:left w:val="single" w:color="auto" w:sz="4" w:space="0"/>
              <w:bottom w:val="single" w:color="auto" w:sz="4" w:space="0"/>
              <w:right w:val="single" w:color="auto" w:sz="4" w:space="0"/>
            </w:tcBorders>
            <w:vAlign w:val="center"/>
          </w:tcPr>
          <w:p w14:paraId="64D0B336">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009135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1E001C89">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vAlign w:val="center"/>
          </w:tcPr>
          <w:p w14:paraId="73B41B51">
            <w:pPr>
              <w:pStyle w:val="43"/>
              <w:jc w:val="center"/>
              <w:rPr>
                <w:rFonts w:hint="eastAsia" w:ascii="宋体" w:hAnsi="宋体" w:eastAsia="宋体" w:cs="宋体"/>
                <w:color w:val="auto"/>
                <w:sz w:val="21"/>
                <w:szCs w:val="21"/>
                <w:highlight w:val="none"/>
              </w:rPr>
            </w:pPr>
          </w:p>
        </w:tc>
        <w:tc>
          <w:tcPr>
            <w:tcW w:w="1143" w:type="dxa"/>
            <w:tcBorders>
              <w:top w:val="single" w:color="auto" w:sz="4" w:space="0"/>
              <w:left w:val="single" w:color="auto" w:sz="4" w:space="0"/>
              <w:bottom w:val="single" w:color="auto" w:sz="4" w:space="0"/>
              <w:right w:val="single" w:color="auto" w:sz="4" w:space="0"/>
            </w:tcBorders>
            <w:vAlign w:val="center"/>
          </w:tcPr>
          <w:p w14:paraId="33852648">
            <w:pPr>
              <w:pStyle w:val="43"/>
              <w:jc w:val="center"/>
              <w:rPr>
                <w:rFonts w:hint="eastAsia" w:ascii="宋体" w:hAnsi="宋体" w:eastAsia="宋体" w:cs="宋体"/>
                <w:color w:val="auto"/>
                <w:sz w:val="21"/>
                <w:szCs w:val="21"/>
                <w:highlight w:val="none"/>
              </w:rPr>
            </w:pPr>
          </w:p>
        </w:tc>
        <w:tc>
          <w:tcPr>
            <w:tcW w:w="1409" w:type="dxa"/>
            <w:tcBorders>
              <w:top w:val="single" w:color="auto" w:sz="4" w:space="0"/>
              <w:left w:val="single" w:color="auto" w:sz="4" w:space="0"/>
              <w:bottom w:val="single" w:color="auto" w:sz="4" w:space="0"/>
              <w:right w:val="single" w:color="auto" w:sz="4" w:space="0"/>
            </w:tcBorders>
            <w:vAlign w:val="center"/>
          </w:tcPr>
          <w:p w14:paraId="63AA4243">
            <w:pPr>
              <w:pStyle w:val="43"/>
              <w:jc w:val="center"/>
              <w:rPr>
                <w:rFonts w:hint="eastAsia" w:ascii="宋体" w:hAnsi="宋体" w:eastAsia="宋体" w:cs="宋体"/>
                <w:color w:val="auto"/>
                <w:sz w:val="21"/>
                <w:szCs w:val="21"/>
                <w:highlight w:val="none"/>
              </w:rPr>
            </w:pPr>
          </w:p>
        </w:tc>
        <w:tc>
          <w:tcPr>
            <w:tcW w:w="1217" w:type="dxa"/>
            <w:tcBorders>
              <w:top w:val="single" w:color="auto" w:sz="4" w:space="0"/>
              <w:left w:val="single" w:color="auto" w:sz="4" w:space="0"/>
              <w:bottom w:val="single" w:color="auto" w:sz="4" w:space="0"/>
              <w:right w:val="single" w:color="auto" w:sz="4" w:space="0"/>
            </w:tcBorders>
          </w:tcPr>
          <w:p w14:paraId="304F7D71">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698D8997">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44D47968">
            <w:pPr>
              <w:pStyle w:val="43"/>
              <w:jc w:val="center"/>
              <w:rPr>
                <w:rFonts w:hint="eastAsia" w:ascii="宋体" w:hAnsi="宋体" w:eastAsia="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557529C">
            <w:pPr>
              <w:pStyle w:val="43"/>
              <w:jc w:val="center"/>
              <w:rPr>
                <w:rFonts w:hint="eastAsia" w:ascii="宋体" w:hAnsi="宋体" w:eastAsia="宋体" w:cs="宋体"/>
                <w:color w:val="auto"/>
                <w:sz w:val="21"/>
                <w:szCs w:val="21"/>
                <w:highlight w:val="none"/>
              </w:rPr>
            </w:pPr>
          </w:p>
        </w:tc>
      </w:tr>
      <w:tr w14:paraId="3785BB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4607E6EA">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vAlign w:val="center"/>
          </w:tcPr>
          <w:p w14:paraId="088C59BC">
            <w:pPr>
              <w:pStyle w:val="43"/>
              <w:jc w:val="center"/>
              <w:rPr>
                <w:rFonts w:hint="eastAsia" w:ascii="宋体" w:hAnsi="宋体" w:eastAsia="宋体" w:cs="宋体"/>
                <w:color w:val="auto"/>
                <w:sz w:val="21"/>
                <w:szCs w:val="21"/>
                <w:highlight w:val="none"/>
              </w:rPr>
            </w:pPr>
          </w:p>
        </w:tc>
        <w:tc>
          <w:tcPr>
            <w:tcW w:w="1143" w:type="dxa"/>
            <w:tcBorders>
              <w:top w:val="single" w:color="auto" w:sz="4" w:space="0"/>
              <w:left w:val="single" w:color="auto" w:sz="4" w:space="0"/>
              <w:bottom w:val="single" w:color="auto" w:sz="4" w:space="0"/>
              <w:right w:val="single" w:color="auto" w:sz="4" w:space="0"/>
            </w:tcBorders>
            <w:vAlign w:val="center"/>
          </w:tcPr>
          <w:p w14:paraId="31EF34C1">
            <w:pPr>
              <w:pStyle w:val="43"/>
              <w:jc w:val="center"/>
              <w:rPr>
                <w:rFonts w:hint="eastAsia" w:ascii="宋体" w:hAnsi="宋体" w:eastAsia="宋体" w:cs="宋体"/>
                <w:color w:val="auto"/>
                <w:sz w:val="21"/>
                <w:szCs w:val="21"/>
                <w:highlight w:val="none"/>
              </w:rPr>
            </w:pPr>
          </w:p>
        </w:tc>
        <w:tc>
          <w:tcPr>
            <w:tcW w:w="1409" w:type="dxa"/>
            <w:tcBorders>
              <w:top w:val="single" w:color="auto" w:sz="4" w:space="0"/>
              <w:left w:val="single" w:color="auto" w:sz="4" w:space="0"/>
              <w:bottom w:val="single" w:color="auto" w:sz="4" w:space="0"/>
              <w:right w:val="single" w:color="auto" w:sz="4" w:space="0"/>
            </w:tcBorders>
            <w:vAlign w:val="center"/>
          </w:tcPr>
          <w:p w14:paraId="24D2F015">
            <w:pPr>
              <w:pStyle w:val="43"/>
              <w:jc w:val="center"/>
              <w:rPr>
                <w:rFonts w:hint="eastAsia" w:ascii="宋体" w:hAnsi="宋体" w:eastAsia="宋体" w:cs="宋体"/>
                <w:color w:val="auto"/>
                <w:sz w:val="21"/>
                <w:szCs w:val="21"/>
                <w:highlight w:val="none"/>
              </w:rPr>
            </w:pPr>
          </w:p>
        </w:tc>
        <w:tc>
          <w:tcPr>
            <w:tcW w:w="1217" w:type="dxa"/>
            <w:tcBorders>
              <w:top w:val="single" w:color="auto" w:sz="4" w:space="0"/>
              <w:left w:val="single" w:color="auto" w:sz="4" w:space="0"/>
              <w:bottom w:val="single" w:color="auto" w:sz="4" w:space="0"/>
              <w:right w:val="single" w:color="auto" w:sz="4" w:space="0"/>
            </w:tcBorders>
          </w:tcPr>
          <w:p w14:paraId="7AD62763">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36404F26">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62B89765">
            <w:pPr>
              <w:pStyle w:val="43"/>
              <w:jc w:val="center"/>
              <w:rPr>
                <w:rFonts w:hint="eastAsia" w:ascii="宋体" w:hAnsi="宋体" w:eastAsia="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B0AB45E">
            <w:pPr>
              <w:pStyle w:val="43"/>
              <w:jc w:val="center"/>
              <w:rPr>
                <w:rFonts w:hint="eastAsia" w:ascii="宋体" w:hAnsi="宋体" w:eastAsia="宋体" w:cs="宋体"/>
                <w:color w:val="auto"/>
                <w:sz w:val="21"/>
                <w:szCs w:val="21"/>
                <w:highlight w:val="none"/>
              </w:rPr>
            </w:pPr>
          </w:p>
        </w:tc>
      </w:tr>
      <w:tr w14:paraId="1516B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485B6427">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vAlign w:val="center"/>
          </w:tcPr>
          <w:p w14:paraId="73E0835C">
            <w:pPr>
              <w:pStyle w:val="43"/>
              <w:jc w:val="center"/>
              <w:rPr>
                <w:rFonts w:hint="eastAsia" w:ascii="宋体" w:hAnsi="宋体" w:eastAsia="宋体" w:cs="宋体"/>
                <w:color w:val="auto"/>
                <w:sz w:val="21"/>
                <w:szCs w:val="21"/>
                <w:highlight w:val="none"/>
              </w:rPr>
            </w:pPr>
          </w:p>
        </w:tc>
        <w:tc>
          <w:tcPr>
            <w:tcW w:w="1143" w:type="dxa"/>
            <w:tcBorders>
              <w:top w:val="single" w:color="auto" w:sz="4" w:space="0"/>
              <w:left w:val="single" w:color="auto" w:sz="4" w:space="0"/>
              <w:bottom w:val="single" w:color="auto" w:sz="4" w:space="0"/>
              <w:right w:val="single" w:color="auto" w:sz="4" w:space="0"/>
            </w:tcBorders>
            <w:vAlign w:val="center"/>
          </w:tcPr>
          <w:p w14:paraId="58CB91F8">
            <w:pPr>
              <w:pStyle w:val="43"/>
              <w:jc w:val="center"/>
              <w:rPr>
                <w:rFonts w:hint="eastAsia" w:ascii="宋体" w:hAnsi="宋体" w:eastAsia="宋体" w:cs="宋体"/>
                <w:color w:val="auto"/>
                <w:sz w:val="21"/>
                <w:szCs w:val="21"/>
                <w:highlight w:val="none"/>
              </w:rPr>
            </w:pPr>
          </w:p>
        </w:tc>
        <w:tc>
          <w:tcPr>
            <w:tcW w:w="1409" w:type="dxa"/>
            <w:tcBorders>
              <w:top w:val="single" w:color="auto" w:sz="4" w:space="0"/>
              <w:left w:val="single" w:color="auto" w:sz="4" w:space="0"/>
              <w:bottom w:val="single" w:color="auto" w:sz="4" w:space="0"/>
              <w:right w:val="single" w:color="auto" w:sz="4" w:space="0"/>
            </w:tcBorders>
            <w:vAlign w:val="center"/>
          </w:tcPr>
          <w:p w14:paraId="05CEA8ED">
            <w:pPr>
              <w:pStyle w:val="43"/>
              <w:jc w:val="center"/>
              <w:rPr>
                <w:rFonts w:hint="eastAsia" w:ascii="宋体" w:hAnsi="宋体" w:eastAsia="宋体" w:cs="宋体"/>
                <w:color w:val="auto"/>
                <w:sz w:val="21"/>
                <w:szCs w:val="21"/>
                <w:highlight w:val="none"/>
              </w:rPr>
            </w:pPr>
          </w:p>
        </w:tc>
        <w:tc>
          <w:tcPr>
            <w:tcW w:w="1217" w:type="dxa"/>
            <w:tcBorders>
              <w:top w:val="single" w:color="auto" w:sz="4" w:space="0"/>
              <w:left w:val="single" w:color="auto" w:sz="4" w:space="0"/>
              <w:bottom w:val="single" w:color="auto" w:sz="4" w:space="0"/>
              <w:right w:val="single" w:color="auto" w:sz="4" w:space="0"/>
            </w:tcBorders>
          </w:tcPr>
          <w:p w14:paraId="53290556">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131B8771">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543EF9AC">
            <w:pPr>
              <w:pStyle w:val="43"/>
              <w:jc w:val="center"/>
              <w:rPr>
                <w:rFonts w:hint="eastAsia" w:ascii="宋体" w:hAnsi="宋体" w:eastAsia="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F9C8EE3">
            <w:pPr>
              <w:pStyle w:val="43"/>
              <w:jc w:val="center"/>
              <w:rPr>
                <w:rFonts w:hint="eastAsia" w:ascii="宋体" w:hAnsi="宋体" w:eastAsia="宋体" w:cs="宋体"/>
                <w:color w:val="auto"/>
                <w:sz w:val="21"/>
                <w:szCs w:val="21"/>
                <w:highlight w:val="none"/>
              </w:rPr>
            </w:pPr>
          </w:p>
        </w:tc>
      </w:tr>
      <w:tr w14:paraId="64A52B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0598EC2A">
            <w:pPr>
              <w:pStyle w:val="43"/>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vAlign w:val="center"/>
          </w:tcPr>
          <w:p w14:paraId="2193C036">
            <w:pPr>
              <w:pStyle w:val="43"/>
              <w:jc w:val="center"/>
              <w:rPr>
                <w:rFonts w:hint="eastAsia" w:ascii="宋体" w:hAnsi="宋体" w:eastAsia="宋体" w:cs="宋体"/>
                <w:color w:val="auto"/>
                <w:sz w:val="21"/>
                <w:szCs w:val="21"/>
                <w:highlight w:val="none"/>
              </w:rPr>
            </w:pPr>
          </w:p>
        </w:tc>
        <w:tc>
          <w:tcPr>
            <w:tcW w:w="1143" w:type="dxa"/>
            <w:tcBorders>
              <w:top w:val="single" w:color="auto" w:sz="4" w:space="0"/>
              <w:left w:val="single" w:color="auto" w:sz="4" w:space="0"/>
              <w:bottom w:val="single" w:color="auto" w:sz="4" w:space="0"/>
              <w:right w:val="single" w:color="auto" w:sz="4" w:space="0"/>
            </w:tcBorders>
            <w:vAlign w:val="center"/>
          </w:tcPr>
          <w:p w14:paraId="425F0A57">
            <w:pPr>
              <w:pStyle w:val="43"/>
              <w:jc w:val="center"/>
              <w:rPr>
                <w:rFonts w:hint="eastAsia" w:ascii="宋体" w:hAnsi="宋体" w:eastAsia="宋体" w:cs="宋体"/>
                <w:color w:val="auto"/>
                <w:sz w:val="21"/>
                <w:szCs w:val="21"/>
                <w:highlight w:val="none"/>
              </w:rPr>
            </w:pPr>
          </w:p>
        </w:tc>
        <w:tc>
          <w:tcPr>
            <w:tcW w:w="1409" w:type="dxa"/>
            <w:tcBorders>
              <w:top w:val="single" w:color="auto" w:sz="4" w:space="0"/>
              <w:left w:val="single" w:color="auto" w:sz="4" w:space="0"/>
              <w:bottom w:val="single" w:color="auto" w:sz="4" w:space="0"/>
              <w:right w:val="single" w:color="auto" w:sz="4" w:space="0"/>
            </w:tcBorders>
            <w:vAlign w:val="center"/>
          </w:tcPr>
          <w:p w14:paraId="2794C3AE">
            <w:pPr>
              <w:pStyle w:val="43"/>
              <w:jc w:val="center"/>
              <w:rPr>
                <w:rFonts w:hint="eastAsia" w:ascii="宋体" w:hAnsi="宋体" w:eastAsia="宋体" w:cs="宋体"/>
                <w:color w:val="auto"/>
                <w:sz w:val="21"/>
                <w:szCs w:val="21"/>
                <w:highlight w:val="none"/>
              </w:rPr>
            </w:pPr>
          </w:p>
        </w:tc>
        <w:tc>
          <w:tcPr>
            <w:tcW w:w="1217" w:type="dxa"/>
            <w:tcBorders>
              <w:top w:val="single" w:color="auto" w:sz="4" w:space="0"/>
              <w:left w:val="single" w:color="auto" w:sz="4" w:space="0"/>
              <w:bottom w:val="single" w:color="auto" w:sz="4" w:space="0"/>
              <w:right w:val="single" w:color="auto" w:sz="4" w:space="0"/>
            </w:tcBorders>
          </w:tcPr>
          <w:p w14:paraId="7BAC7700">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39263AB9">
            <w:pPr>
              <w:pStyle w:val="43"/>
              <w:jc w:val="center"/>
              <w:rPr>
                <w:rFonts w:hint="eastAsia" w:ascii="宋体" w:hAnsi="宋体" w:eastAsia="宋体" w:cs="宋体"/>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2952C390">
            <w:pPr>
              <w:pStyle w:val="43"/>
              <w:jc w:val="center"/>
              <w:rPr>
                <w:rFonts w:hint="eastAsia" w:ascii="宋体" w:hAnsi="宋体" w:eastAsia="宋体" w:cs="宋体"/>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D2D7C87">
            <w:pPr>
              <w:pStyle w:val="43"/>
              <w:jc w:val="center"/>
              <w:rPr>
                <w:rFonts w:hint="eastAsia" w:ascii="宋体" w:hAnsi="宋体" w:eastAsia="宋体" w:cs="宋体"/>
                <w:color w:val="auto"/>
                <w:sz w:val="21"/>
                <w:szCs w:val="21"/>
                <w:highlight w:val="none"/>
              </w:rPr>
            </w:pPr>
          </w:p>
        </w:tc>
      </w:tr>
      <w:tr w14:paraId="767B2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5B2C521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1074" w:type="dxa"/>
            <w:tcBorders>
              <w:top w:val="single" w:color="auto" w:sz="4" w:space="0"/>
              <w:left w:val="single" w:color="auto" w:sz="4" w:space="0"/>
              <w:bottom w:val="single" w:color="auto" w:sz="4" w:space="0"/>
              <w:right w:val="single" w:color="auto" w:sz="4" w:space="0"/>
            </w:tcBorders>
            <w:vAlign w:val="center"/>
          </w:tcPr>
          <w:p w14:paraId="37EBCEA0">
            <w:pPr>
              <w:rPr>
                <w:rFonts w:hint="eastAsia" w:ascii="宋体" w:hAnsi="宋体" w:eastAsia="宋体" w:cs="宋体"/>
                <w:color w:val="auto"/>
                <w:szCs w:val="21"/>
                <w:highlight w:val="none"/>
              </w:rPr>
            </w:pPr>
          </w:p>
        </w:tc>
        <w:tc>
          <w:tcPr>
            <w:tcW w:w="1143" w:type="dxa"/>
            <w:tcBorders>
              <w:top w:val="single" w:color="auto" w:sz="4" w:space="0"/>
              <w:left w:val="single" w:color="auto" w:sz="4" w:space="0"/>
              <w:bottom w:val="single" w:color="auto" w:sz="4" w:space="0"/>
              <w:right w:val="single" w:color="auto" w:sz="4" w:space="0"/>
            </w:tcBorders>
            <w:vAlign w:val="center"/>
          </w:tcPr>
          <w:p w14:paraId="44839CDE">
            <w:pPr>
              <w:rPr>
                <w:rFonts w:hint="eastAsia" w:ascii="宋体" w:hAnsi="宋体" w:eastAsia="宋体" w:cs="宋体"/>
                <w:color w:val="auto"/>
                <w:szCs w:val="21"/>
                <w:highlight w:val="none"/>
              </w:rPr>
            </w:pPr>
          </w:p>
        </w:tc>
        <w:tc>
          <w:tcPr>
            <w:tcW w:w="1409" w:type="dxa"/>
            <w:tcBorders>
              <w:top w:val="single" w:color="auto" w:sz="4" w:space="0"/>
              <w:left w:val="single" w:color="auto" w:sz="4" w:space="0"/>
              <w:bottom w:val="single" w:color="auto" w:sz="4" w:space="0"/>
              <w:right w:val="single" w:color="auto" w:sz="4" w:space="0"/>
            </w:tcBorders>
            <w:vAlign w:val="center"/>
          </w:tcPr>
          <w:p w14:paraId="4D8D7E71">
            <w:pPr>
              <w:rPr>
                <w:rFonts w:hint="eastAsia" w:ascii="宋体" w:hAnsi="宋体" w:eastAsia="宋体" w:cs="宋体"/>
                <w:color w:val="auto"/>
                <w:szCs w:val="21"/>
                <w:highlight w:val="none"/>
              </w:rPr>
            </w:pPr>
          </w:p>
        </w:tc>
        <w:tc>
          <w:tcPr>
            <w:tcW w:w="1217" w:type="dxa"/>
            <w:tcBorders>
              <w:top w:val="single" w:color="auto" w:sz="4" w:space="0"/>
              <w:left w:val="single" w:color="auto" w:sz="4" w:space="0"/>
              <w:bottom w:val="single" w:color="auto" w:sz="4" w:space="0"/>
              <w:right w:val="single" w:color="auto" w:sz="4" w:space="0"/>
            </w:tcBorders>
          </w:tcPr>
          <w:p w14:paraId="5A4CD9F5">
            <w:pPr>
              <w:rPr>
                <w:rFonts w:hint="eastAsia" w:ascii="宋体" w:hAnsi="宋体" w:eastAsia="宋体" w:cs="宋体"/>
                <w:color w:val="auto"/>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1238410C">
            <w:pPr>
              <w:rPr>
                <w:rFonts w:hint="eastAsia" w:ascii="宋体" w:hAnsi="宋体" w:eastAsia="宋体" w:cs="宋体"/>
                <w:color w:val="auto"/>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6B57A6E2">
            <w:pPr>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A5EAEFF">
            <w:pPr>
              <w:rPr>
                <w:rFonts w:hint="eastAsia" w:ascii="宋体" w:hAnsi="宋体" w:eastAsia="宋体" w:cs="宋体"/>
                <w:color w:val="auto"/>
                <w:szCs w:val="21"/>
                <w:highlight w:val="none"/>
              </w:rPr>
            </w:pPr>
          </w:p>
        </w:tc>
      </w:tr>
      <w:tr w14:paraId="43835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585" w:type="dxa"/>
            <w:tcBorders>
              <w:top w:val="single" w:color="auto" w:sz="4" w:space="0"/>
              <w:left w:val="single" w:color="auto" w:sz="4" w:space="0"/>
              <w:bottom w:val="single" w:color="auto" w:sz="4" w:space="0"/>
              <w:right w:val="single" w:color="auto" w:sz="4" w:space="0"/>
            </w:tcBorders>
            <w:vAlign w:val="center"/>
          </w:tcPr>
          <w:p w14:paraId="522E9C0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074" w:type="dxa"/>
            <w:tcBorders>
              <w:top w:val="single" w:color="auto" w:sz="4" w:space="0"/>
              <w:left w:val="single" w:color="auto" w:sz="4" w:space="0"/>
              <w:bottom w:val="single" w:color="auto" w:sz="4" w:space="0"/>
              <w:right w:val="single" w:color="auto" w:sz="4" w:space="0"/>
            </w:tcBorders>
            <w:vAlign w:val="center"/>
          </w:tcPr>
          <w:p w14:paraId="46F65F42">
            <w:pPr>
              <w:rPr>
                <w:rFonts w:hint="eastAsia" w:ascii="宋体" w:hAnsi="宋体" w:eastAsia="宋体" w:cs="宋体"/>
                <w:color w:val="auto"/>
                <w:szCs w:val="21"/>
                <w:highlight w:val="none"/>
              </w:rPr>
            </w:pPr>
          </w:p>
        </w:tc>
        <w:tc>
          <w:tcPr>
            <w:tcW w:w="1143" w:type="dxa"/>
            <w:tcBorders>
              <w:top w:val="single" w:color="auto" w:sz="4" w:space="0"/>
              <w:left w:val="single" w:color="auto" w:sz="4" w:space="0"/>
              <w:bottom w:val="single" w:color="auto" w:sz="4" w:space="0"/>
              <w:right w:val="single" w:color="auto" w:sz="4" w:space="0"/>
            </w:tcBorders>
            <w:vAlign w:val="center"/>
          </w:tcPr>
          <w:p w14:paraId="3118E60A">
            <w:pPr>
              <w:rPr>
                <w:rFonts w:hint="eastAsia" w:ascii="宋体" w:hAnsi="宋体" w:eastAsia="宋体" w:cs="宋体"/>
                <w:color w:val="auto"/>
                <w:szCs w:val="21"/>
                <w:highlight w:val="none"/>
              </w:rPr>
            </w:pPr>
          </w:p>
        </w:tc>
        <w:tc>
          <w:tcPr>
            <w:tcW w:w="1409" w:type="dxa"/>
            <w:tcBorders>
              <w:top w:val="single" w:color="auto" w:sz="4" w:space="0"/>
              <w:left w:val="single" w:color="auto" w:sz="4" w:space="0"/>
              <w:bottom w:val="single" w:color="auto" w:sz="4" w:space="0"/>
              <w:right w:val="single" w:color="auto" w:sz="4" w:space="0"/>
            </w:tcBorders>
            <w:vAlign w:val="center"/>
          </w:tcPr>
          <w:p w14:paraId="4870BAF8">
            <w:pPr>
              <w:rPr>
                <w:rFonts w:hint="eastAsia" w:ascii="宋体" w:hAnsi="宋体" w:eastAsia="宋体" w:cs="宋体"/>
                <w:color w:val="auto"/>
                <w:szCs w:val="21"/>
                <w:highlight w:val="none"/>
              </w:rPr>
            </w:pPr>
          </w:p>
        </w:tc>
        <w:tc>
          <w:tcPr>
            <w:tcW w:w="1217" w:type="dxa"/>
            <w:tcBorders>
              <w:top w:val="single" w:color="auto" w:sz="4" w:space="0"/>
              <w:left w:val="single" w:color="auto" w:sz="4" w:space="0"/>
              <w:bottom w:val="single" w:color="auto" w:sz="4" w:space="0"/>
              <w:right w:val="single" w:color="auto" w:sz="4" w:space="0"/>
            </w:tcBorders>
          </w:tcPr>
          <w:p w14:paraId="1B5DC849">
            <w:pPr>
              <w:rPr>
                <w:rFonts w:hint="eastAsia" w:ascii="宋体" w:hAnsi="宋体" w:eastAsia="宋体" w:cs="宋体"/>
                <w:color w:val="auto"/>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657994A2">
            <w:pPr>
              <w:rPr>
                <w:rFonts w:hint="eastAsia" w:ascii="宋体" w:hAnsi="宋体" w:eastAsia="宋体" w:cs="宋体"/>
                <w:color w:val="auto"/>
                <w:szCs w:val="21"/>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606F80DD">
            <w:pPr>
              <w:rPr>
                <w:rFonts w:hint="eastAsia" w:ascii="宋体" w:hAnsi="宋体" w:eastAsia="宋体" w:cs="宋体"/>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02E931BA">
            <w:pPr>
              <w:rPr>
                <w:rFonts w:hint="eastAsia" w:ascii="宋体" w:hAnsi="宋体" w:eastAsia="宋体" w:cs="宋体"/>
                <w:color w:val="auto"/>
                <w:szCs w:val="21"/>
                <w:highlight w:val="none"/>
              </w:rPr>
            </w:pPr>
          </w:p>
        </w:tc>
      </w:tr>
    </w:tbl>
    <w:p w14:paraId="019F546F">
      <w:pPr>
        <w:ind w:firstLine="630" w:firstLineChars="300"/>
        <w:rPr>
          <w:rFonts w:hint="eastAsia" w:ascii="宋体" w:hAnsi="宋体" w:eastAsia="宋体" w:cs="宋体"/>
          <w:color w:val="auto"/>
          <w:szCs w:val="21"/>
          <w:highlight w:val="none"/>
        </w:rPr>
      </w:pPr>
    </w:p>
    <w:p w14:paraId="059E0B4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w:t>
      </w:r>
      <w:r>
        <w:rPr>
          <w:rFonts w:hint="eastAsia" w:asciiTheme="minorEastAsia" w:hAnsiTheme="minorEastAsia" w:eastAsiaTheme="minorEastAsia" w:cstheme="minorEastAsia"/>
          <w:bCs/>
          <w:color w:val="auto"/>
          <w:sz w:val="21"/>
          <w:szCs w:val="21"/>
          <w:highlight w:val="none"/>
          <w:lang w:val="en-US" w:eastAsia="zh-CN"/>
        </w:rPr>
        <w:t>供上述证书</w:t>
      </w:r>
      <w:r>
        <w:rPr>
          <w:rFonts w:hint="eastAsia" w:asciiTheme="minorEastAsia" w:hAnsiTheme="minorEastAsia" w:eastAsiaTheme="minorEastAsia" w:cstheme="minorEastAsia"/>
          <w:bCs/>
          <w:color w:val="auto"/>
          <w:sz w:val="21"/>
          <w:szCs w:val="21"/>
          <w:highlight w:val="none"/>
        </w:rPr>
        <w:t>及</w:t>
      </w:r>
      <w:r>
        <w:rPr>
          <w:rFonts w:hint="eastAsia" w:asciiTheme="minorEastAsia" w:hAnsiTheme="minorEastAsia" w:eastAsiaTheme="minorEastAsia" w:cstheme="minorEastAsia"/>
          <w:bCs/>
          <w:color w:val="auto"/>
          <w:sz w:val="21"/>
          <w:szCs w:val="21"/>
          <w:highlight w:val="none"/>
          <w:lang w:val="en-US" w:eastAsia="zh-CN"/>
        </w:rPr>
        <w:t>有效的</w:t>
      </w:r>
      <w:r>
        <w:rPr>
          <w:rFonts w:hint="eastAsia" w:asciiTheme="minorEastAsia" w:hAnsiTheme="minorEastAsia" w:eastAsiaTheme="minorEastAsia" w:cstheme="minorEastAsia"/>
          <w:color w:val="auto"/>
          <w:kern w:val="2"/>
          <w:sz w:val="21"/>
          <w:szCs w:val="21"/>
          <w:highlight w:val="none"/>
          <w:lang w:val="en-US" w:eastAsia="zh-CN" w:bidi="ar-SA"/>
        </w:rPr>
        <w:t>社保证明（2025年1月、2月、3月）扫描件（加盖投标人公章）计分。</w:t>
      </w:r>
    </w:p>
    <w:p w14:paraId="432FAB6D">
      <w:pPr>
        <w:rPr>
          <w:rFonts w:hint="eastAsia" w:ascii="宋体" w:hAnsi="宋体" w:eastAsia="宋体" w:cs="宋体"/>
          <w:color w:val="auto"/>
          <w:szCs w:val="21"/>
          <w:highlight w:val="none"/>
        </w:rPr>
      </w:pPr>
    </w:p>
    <w:p w14:paraId="2BDB225B">
      <w:pPr>
        <w:rPr>
          <w:rFonts w:hint="eastAsia" w:ascii="宋体" w:hAnsi="宋体" w:eastAsia="宋体" w:cs="宋体"/>
          <w:color w:val="auto"/>
          <w:szCs w:val="21"/>
          <w:highlight w:val="none"/>
        </w:rPr>
      </w:pPr>
    </w:p>
    <w:p w14:paraId="598E554C">
      <w:pPr>
        <w:jc w:val="right"/>
        <w:rPr>
          <w:rFonts w:hint="eastAsia" w:ascii="宋体" w:hAnsi="宋体" w:eastAsia="宋体" w:cs="宋体"/>
          <w:color w:val="auto"/>
          <w:szCs w:val="21"/>
          <w:highlight w:val="none"/>
        </w:rPr>
      </w:pPr>
    </w:p>
    <w:p w14:paraId="012ACEB7">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投标人名称：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（加盖公章）</w:t>
      </w:r>
    </w:p>
    <w:p w14:paraId="1303A138">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法定代表人或投标人代表：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（签字或盖章）                                             </w:t>
      </w:r>
    </w:p>
    <w:p w14:paraId="018A19B0">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宋体" w:hAnsi="宋体" w:eastAsia="宋体" w:cs="宋体"/>
          <w:color w:val="auto"/>
          <w:szCs w:val="21"/>
          <w:highlight w:val="none"/>
        </w:rPr>
        <w:t xml:space="preserve">  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652D421C">
      <w:pPr>
        <w:jc w:val="left"/>
        <w:rPr>
          <w:rFonts w:hint="eastAsia" w:ascii="宋体" w:hAnsi="宋体" w:eastAsia="宋体" w:cs="宋体"/>
          <w:b/>
          <w:bCs/>
          <w:color w:val="auto"/>
          <w:szCs w:val="21"/>
          <w:highlight w:val="none"/>
        </w:rPr>
      </w:pPr>
    </w:p>
    <w:p w14:paraId="48BF4FFE">
      <w:pP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十</w:t>
      </w:r>
      <w:r>
        <w:rPr>
          <w:rFonts w:hint="eastAsia" w:ascii="宋体" w:hAnsi="宋体" w:eastAsia="宋体" w:cs="宋体"/>
          <w:b/>
          <w:bCs/>
          <w:color w:val="auto"/>
          <w:szCs w:val="21"/>
          <w:highlight w:val="none"/>
        </w:rPr>
        <w:t>、投标报价一览表格式：</w:t>
      </w:r>
    </w:p>
    <w:p w14:paraId="202842D5">
      <w:pPr>
        <w:pStyle w:val="44"/>
        <w:jc w:val="center"/>
        <w:rPr>
          <w:rFonts w:hint="eastAsia" w:ascii="宋体" w:hAnsi="宋体" w:eastAsia="宋体" w:cs="宋体"/>
          <w:b/>
          <w:color w:val="auto"/>
          <w:sz w:val="24"/>
          <w:szCs w:val="24"/>
          <w:highlight w:val="none"/>
        </w:rPr>
      </w:pPr>
    </w:p>
    <w:p w14:paraId="5668780F">
      <w:pPr>
        <w:pStyle w:val="44"/>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投标报价一览表</w:t>
      </w:r>
    </w:p>
    <w:p w14:paraId="56890750">
      <w:pPr>
        <w:snapToGrid w:val="0"/>
        <w:spacing w:before="50" w:after="50"/>
        <w:ind w:firstLine="630" w:firstLineChars="3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招标编号：</w:t>
      </w:r>
    </w:p>
    <w:p w14:paraId="06758C52">
      <w:pPr>
        <w:snapToGrid w:val="0"/>
        <w:spacing w:before="50" w:after="50"/>
        <w:ind w:right="480" w:firstLine="630" w:firstLineChars="300"/>
        <w:rPr>
          <w:rFonts w:hint="eastAsia" w:ascii="宋体" w:hAnsi="宋体" w:eastAsia="宋体" w:cs="宋体"/>
          <w:color w:val="auto"/>
          <w:highlight w:val="none"/>
        </w:rPr>
      </w:pPr>
      <w:r>
        <w:rPr>
          <w:rFonts w:hint="eastAsia" w:ascii="宋体" w:hAnsi="宋体" w:eastAsia="宋体" w:cs="宋体"/>
          <w:color w:val="auto"/>
          <w:szCs w:val="21"/>
          <w:highlight w:val="none"/>
        </w:rPr>
        <w:t>投标人名称：                         金额单位：人民币（元）</w:t>
      </w:r>
    </w:p>
    <w:tbl>
      <w:tblPr>
        <w:tblStyle w:val="23"/>
        <w:tblW w:w="85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6996"/>
      </w:tblGrid>
      <w:tr w14:paraId="26923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4" w:hRule="atLeast"/>
        </w:trPr>
        <w:tc>
          <w:tcPr>
            <w:tcW w:w="1584" w:type="dxa"/>
            <w:vAlign w:val="center"/>
          </w:tcPr>
          <w:p w14:paraId="122EC8C6">
            <w:pPr>
              <w:jc w:val="center"/>
              <w:rPr>
                <w:rFonts w:hint="eastAsia" w:ascii="宋体" w:hAnsi="宋体" w:eastAsia="宋体" w:cs="宋体"/>
                <w:bCs/>
                <w:color w:val="auto"/>
                <w:sz w:val="24"/>
                <w:highlight w:val="none"/>
              </w:rPr>
            </w:pPr>
            <w:r>
              <w:rPr>
                <w:rFonts w:hint="eastAsia" w:ascii="宋体" w:hAnsi="宋体" w:eastAsia="宋体" w:cs="宋体"/>
                <w:color w:val="auto"/>
                <w:sz w:val="24"/>
                <w:highlight w:val="none"/>
              </w:rPr>
              <w:t>项目名称</w:t>
            </w:r>
          </w:p>
        </w:tc>
        <w:tc>
          <w:tcPr>
            <w:tcW w:w="6996" w:type="dxa"/>
            <w:vAlign w:val="center"/>
          </w:tcPr>
          <w:p w14:paraId="52378747">
            <w:pPr>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 xml:space="preserve"> </w:t>
            </w:r>
          </w:p>
        </w:tc>
      </w:tr>
      <w:tr w14:paraId="22717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4" w:hRule="atLeast"/>
        </w:trPr>
        <w:tc>
          <w:tcPr>
            <w:tcW w:w="1584" w:type="dxa"/>
            <w:vAlign w:val="center"/>
          </w:tcPr>
          <w:p w14:paraId="43F99A6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tc>
        <w:tc>
          <w:tcPr>
            <w:tcW w:w="6996" w:type="dxa"/>
            <w:vAlign w:val="center"/>
          </w:tcPr>
          <w:p w14:paraId="26701A92">
            <w:pPr>
              <w:jc w:val="center"/>
              <w:rPr>
                <w:rFonts w:hint="eastAsia" w:ascii="宋体" w:hAnsi="宋体" w:eastAsia="宋体" w:cs="宋体"/>
                <w:bCs/>
                <w:color w:val="auto"/>
                <w:sz w:val="24"/>
                <w:highlight w:val="none"/>
              </w:rPr>
            </w:pPr>
          </w:p>
        </w:tc>
      </w:tr>
      <w:tr w14:paraId="537F1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trPr>
        <w:tc>
          <w:tcPr>
            <w:tcW w:w="1584" w:type="dxa"/>
            <w:vAlign w:val="center"/>
          </w:tcPr>
          <w:p w14:paraId="001FE7B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w:t>
            </w:r>
          </w:p>
        </w:tc>
        <w:tc>
          <w:tcPr>
            <w:tcW w:w="6996" w:type="dxa"/>
            <w:vAlign w:val="center"/>
          </w:tcPr>
          <w:p w14:paraId="3FE06223">
            <w:pPr>
              <w:spacing w:line="360" w:lineRule="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（大写）人民币</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元</w:t>
            </w:r>
          </w:p>
          <w:p w14:paraId="5DE8A4BD">
            <w:pPr>
              <w:pStyle w:val="8"/>
              <w:rPr>
                <w:rFonts w:hint="eastAsia" w:eastAsia="宋体"/>
                <w:color w:val="auto"/>
                <w:highlight w:val="none"/>
                <w:lang w:eastAsia="zh-CN"/>
              </w:rPr>
            </w:pPr>
            <w:r>
              <w:rPr>
                <w:rFonts w:hint="eastAsia" w:ascii="宋体" w:hAnsi="宋体" w:eastAsia="宋体" w:cs="宋体"/>
                <w:bCs/>
                <w:color w:val="auto"/>
                <w:sz w:val="24"/>
                <w:highlight w:val="none"/>
              </w:rPr>
              <w:t>（小写）人民币</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元</w:t>
            </w:r>
          </w:p>
        </w:tc>
      </w:tr>
      <w:tr w14:paraId="5DC86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trPr>
        <w:tc>
          <w:tcPr>
            <w:tcW w:w="1584" w:type="dxa"/>
            <w:vAlign w:val="center"/>
          </w:tcPr>
          <w:p w14:paraId="5B415FA7">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服务期</w:t>
            </w:r>
          </w:p>
        </w:tc>
        <w:tc>
          <w:tcPr>
            <w:tcW w:w="6996" w:type="dxa"/>
            <w:vAlign w:val="center"/>
          </w:tcPr>
          <w:p w14:paraId="02DDC79A">
            <w:pPr>
              <w:spacing w:line="360" w:lineRule="auto"/>
              <w:rPr>
                <w:rFonts w:hint="eastAsia" w:ascii="宋体" w:hAnsi="宋体" w:eastAsia="宋体" w:cs="宋体"/>
                <w:bCs/>
                <w:color w:val="auto"/>
                <w:sz w:val="24"/>
                <w:highlight w:val="none"/>
              </w:rPr>
            </w:pPr>
          </w:p>
        </w:tc>
      </w:tr>
    </w:tbl>
    <w:p w14:paraId="43B20DA7">
      <w:pPr>
        <w:snapToGrid w:val="0"/>
        <w:spacing w:before="50" w:after="50"/>
        <w:jc w:val="left"/>
        <w:rPr>
          <w:rFonts w:hint="eastAsia" w:ascii="宋体" w:hAnsi="宋体" w:eastAsia="宋体" w:cs="宋体"/>
          <w:b/>
          <w:color w:val="auto"/>
          <w:szCs w:val="21"/>
          <w:highlight w:val="none"/>
        </w:rPr>
      </w:pPr>
    </w:p>
    <w:p w14:paraId="61CCEFE3">
      <w:pPr>
        <w:snapToGrid w:val="0"/>
        <w:spacing w:before="50" w:after="50"/>
        <w:jc w:val="left"/>
        <w:rPr>
          <w:rFonts w:hint="eastAsia" w:ascii="宋体" w:hAnsi="宋体" w:eastAsia="宋体" w:cs="宋体"/>
          <w:b/>
          <w:color w:val="auto"/>
          <w:szCs w:val="21"/>
          <w:highlight w:val="none"/>
        </w:rPr>
      </w:pPr>
    </w:p>
    <w:p w14:paraId="1208E27E">
      <w:pPr>
        <w:snapToGrid w:val="0"/>
        <w:spacing w:before="50" w:after="50"/>
        <w:jc w:val="left"/>
        <w:rPr>
          <w:rFonts w:hint="eastAsia" w:ascii="宋体" w:hAnsi="宋体" w:eastAsia="宋体" w:cs="宋体"/>
          <w:b/>
          <w:color w:val="auto"/>
          <w:szCs w:val="21"/>
          <w:highlight w:val="none"/>
        </w:rPr>
      </w:pPr>
    </w:p>
    <w:p w14:paraId="41A2608A">
      <w:pPr>
        <w:wordWrap w:val="0"/>
        <w:snapToGrid w:val="0"/>
        <w:spacing w:line="360" w:lineRule="auto"/>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r>
        <w:rPr>
          <w:rFonts w:hint="eastAsia" w:ascii="宋体" w:hAnsi="宋体" w:eastAsia="宋体" w:cs="宋体"/>
          <w:b/>
          <w:color w:val="auto"/>
          <w:szCs w:val="21"/>
          <w:highlight w:val="none"/>
          <w:lang w:eastAsia="zh-CN"/>
        </w:rPr>
        <w:t>：</w:t>
      </w:r>
      <w:r>
        <w:rPr>
          <w:rFonts w:hint="eastAsia" w:ascii="宋体" w:hAnsi="宋体" w:eastAsia="宋体" w:cs="宋体"/>
          <w:b/>
          <w:color w:val="auto"/>
          <w:szCs w:val="21"/>
          <w:highlight w:val="none"/>
        </w:rPr>
        <w:t>1、报价一经涂改，应在涂改处加盖单位公章或者由法定代表人或被授权人签字（或盖章），否则其投标作无效标处理。</w:t>
      </w:r>
    </w:p>
    <w:p w14:paraId="0683916B">
      <w:pPr>
        <w:wordWrap w:val="0"/>
        <w:snapToGrid w:val="0"/>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w:t>
      </w:r>
      <w:r>
        <w:rPr>
          <w:rFonts w:hint="eastAsia" w:ascii="宋体" w:hAnsi="宋体" w:eastAsia="宋体" w:cs="宋体"/>
          <w:b/>
          <w:color w:val="auto"/>
          <w:szCs w:val="21"/>
          <w:highlight w:val="none"/>
          <w:lang w:val="zh-CN"/>
        </w:rPr>
        <w:t>投标报价应以人民币报价，是履行合同的最终价格，包括完成本项目工作内容所需的一切费用</w:t>
      </w:r>
      <w:r>
        <w:rPr>
          <w:rFonts w:hint="eastAsia" w:ascii="宋体" w:hAnsi="宋体" w:eastAsia="宋体" w:cs="宋体"/>
          <w:b/>
          <w:color w:val="auto"/>
          <w:szCs w:val="21"/>
          <w:highlight w:val="none"/>
        </w:rPr>
        <w:t>及税金。</w:t>
      </w:r>
    </w:p>
    <w:p w14:paraId="17A16457">
      <w:pPr>
        <w:wordWrap w:val="0"/>
        <w:snapToGrid w:val="0"/>
        <w:spacing w:line="360" w:lineRule="auto"/>
        <w:jc w:val="right"/>
        <w:rPr>
          <w:rFonts w:hint="eastAsia" w:ascii="宋体" w:hAnsi="宋体" w:eastAsia="宋体" w:cs="宋体"/>
          <w:color w:val="auto"/>
          <w:szCs w:val="21"/>
          <w:highlight w:val="none"/>
        </w:rPr>
      </w:pPr>
    </w:p>
    <w:p w14:paraId="17A93FEC">
      <w:pPr>
        <w:snapToGrid w:val="0"/>
        <w:spacing w:before="50" w:after="50"/>
        <w:ind w:left="-23" w:leftChars="-11" w:right="-817" w:rightChars="-389"/>
        <w:jc w:val="center"/>
        <w:rPr>
          <w:rFonts w:hint="eastAsia" w:ascii="宋体" w:hAnsi="宋体" w:eastAsia="宋体" w:cs="宋体"/>
          <w:color w:val="auto"/>
          <w:szCs w:val="21"/>
          <w:highlight w:val="none"/>
        </w:rPr>
      </w:pPr>
    </w:p>
    <w:p w14:paraId="345B4F1C">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投标人名称：</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（加盖公章）</w:t>
      </w:r>
    </w:p>
    <w:p w14:paraId="172A725A">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法定代表人或投标人代表：</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（签字或盖章）                                             </w:t>
      </w:r>
    </w:p>
    <w:p w14:paraId="3228053A">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宋体" w:hAnsi="宋体" w:eastAsia="宋体" w:cs="宋体"/>
          <w:color w:val="auto"/>
          <w:szCs w:val="21"/>
          <w:highlight w:val="none"/>
        </w:rPr>
        <w:t xml:space="preserve"> 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22FB2282">
      <w:pPr>
        <w:pStyle w:val="44"/>
        <w:jc w:val="left"/>
        <w:rPr>
          <w:rFonts w:hint="eastAsia" w:ascii="宋体" w:hAnsi="宋体" w:eastAsia="宋体" w:cs="宋体"/>
          <w:b/>
          <w:bCs/>
          <w:color w:val="auto"/>
          <w:szCs w:val="21"/>
          <w:highlight w:val="none"/>
        </w:rPr>
      </w:pPr>
      <w:r>
        <w:rPr>
          <w:rFonts w:hint="eastAsia" w:ascii="宋体" w:hAnsi="宋体" w:eastAsia="宋体" w:cs="宋体"/>
          <w:b/>
          <w:bCs/>
          <w:color w:val="auto"/>
          <w:sz w:val="21"/>
          <w:szCs w:val="21"/>
          <w:highlight w:val="none"/>
        </w:rPr>
        <w:t>十</w:t>
      </w:r>
      <w:r>
        <w:rPr>
          <w:rFonts w:hint="eastAsia" w:hAnsi="宋体" w:eastAsia="宋体" w:cs="宋体"/>
          <w:b/>
          <w:bCs/>
          <w:color w:val="auto"/>
          <w:sz w:val="21"/>
          <w:szCs w:val="21"/>
          <w:highlight w:val="none"/>
          <w:lang w:val="en-US" w:eastAsia="zh-CN"/>
        </w:rPr>
        <w:t>一</w:t>
      </w:r>
      <w:r>
        <w:rPr>
          <w:rFonts w:hint="eastAsia" w:ascii="宋体" w:hAnsi="宋体" w:eastAsia="宋体" w:cs="宋体"/>
          <w:b/>
          <w:bCs/>
          <w:color w:val="auto"/>
          <w:sz w:val="21"/>
          <w:szCs w:val="21"/>
          <w:highlight w:val="none"/>
        </w:rPr>
        <w:t>、报价明细表格式：</w:t>
      </w:r>
    </w:p>
    <w:p w14:paraId="77C17A39">
      <w:pPr>
        <w:pStyle w:val="44"/>
        <w:jc w:val="center"/>
        <w:rPr>
          <w:rFonts w:hint="eastAsia" w:ascii="宋体" w:hAnsi="宋体" w:eastAsia="宋体" w:cs="宋体"/>
          <w:b/>
          <w:bCs/>
          <w:color w:val="auto"/>
          <w:szCs w:val="21"/>
          <w:highlight w:val="none"/>
        </w:rPr>
      </w:pPr>
      <w:r>
        <w:rPr>
          <w:rFonts w:hint="eastAsia" w:ascii="宋体" w:hAnsi="宋体" w:eastAsia="宋体" w:cs="宋体"/>
          <w:b/>
          <w:color w:val="auto"/>
          <w:sz w:val="21"/>
          <w:szCs w:val="21"/>
          <w:highlight w:val="none"/>
        </w:rPr>
        <w:t>报价明细表</w:t>
      </w:r>
    </w:p>
    <w:p w14:paraId="4FE7D3DE">
      <w:pPr>
        <w:widowControl w:val="0"/>
        <w:snapToGrid w:val="0"/>
        <w:spacing w:before="156" w:after="156"/>
        <w:jc w:val="both"/>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项目名称：</w:t>
      </w:r>
    </w:p>
    <w:p w14:paraId="0902B7AB">
      <w:pPr>
        <w:widowControl w:val="0"/>
        <w:snapToGrid w:val="0"/>
        <w:spacing w:before="156" w:after="156"/>
        <w:jc w:val="both"/>
        <w:rPr>
          <w:rFonts w:hint="eastAsia" w:asciiTheme="minorEastAsia" w:hAnsiTheme="minorEastAsia" w:eastAsiaTheme="minorEastAsia" w:cstheme="minorEastAsia"/>
          <w:color w:val="auto"/>
          <w:spacing w:val="20"/>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项目编号：                          金额单位：人民币（元）</w:t>
      </w:r>
    </w:p>
    <w:tbl>
      <w:tblPr>
        <w:tblStyle w:val="23"/>
        <w:tblW w:w="882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57" w:type="dxa"/>
          <w:left w:w="57" w:type="dxa"/>
          <w:bottom w:w="57" w:type="dxa"/>
          <w:right w:w="57" w:type="dxa"/>
        </w:tblCellMar>
      </w:tblPr>
      <w:tblGrid>
        <w:gridCol w:w="1157"/>
        <w:gridCol w:w="2526"/>
        <w:gridCol w:w="1788"/>
        <w:gridCol w:w="1725"/>
        <w:gridCol w:w="1624"/>
      </w:tblGrid>
      <w:tr w14:paraId="6519AD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20"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5B2C5CDD">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z w:val="21"/>
                <w:szCs w:val="21"/>
                <w:highlight w:val="none"/>
              </w:rPr>
              <w:t>序号</w:t>
            </w:r>
          </w:p>
        </w:tc>
        <w:tc>
          <w:tcPr>
            <w:tcW w:w="2526" w:type="dxa"/>
            <w:tcBorders>
              <w:top w:val="single" w:color="auto" w:sz="4" w:space="0"/>
              <w:left w:val="single" w:color="auto" w:sz="4" w:space="0"/>
              <w:bottom w:val="single" w:color="auto" w:sz="4" w:space="0"/>
              <w:right w:val="single" w:color="auto" w:sz="4" w:space="0"/>
            </w:tcBorders>
            <w:vAlign w:val="center"/>
          </w:tcPr>
          <w:p w14:paraId="00BEFA78">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z w:val="21"/>
                <w:szCs w:val="21"/>
                <w:highlight w:val="none"/>
              </w:rPr>
              <w:t>内容</w:t>
            </w:r>
          </w:p>
        </w:tc>
        <w:tc>
          <w:tcPr>
            <w:tcW w:w="1788" w:type="dxa"/>
            <w:tcBorders>
              <w:top w:val="single" w:color="auto" w:sz="4" w:space="0"/>
              <w:left w:val="single" w:color="auto" w:sz="4" w:space="0"/>
              <w:bottom w:val="single" w:color="auto" w:sz="4" w:space="0"/>
              <w:right w:val="single" w:color="auto" w:sz="4" w:space="0"/>
            </w:tcBorders>
            <w:vAlign w:val="center"/>
          </w:tcPr>
          <w:p w14:paraId="66900F0F">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pacing w:val="20"/>
                <w:sz w:val="21"/>
                <w:szCs w:val="21"/>
                <w:highlight w:val="none"/>
              </w:rPr>
              <w:t>单价</w:t>
            </w:r>
          </w:p>
        </w:tc>
        <w:tc>
          <w:tcPr>
            <w:tcW w:w="1725" w:type="dxa"/>
            <w:tcBorders>
              <w:top w:val="single" w:color="auto" w:sz="4" w:space="0"/>
              <w:left w:val="single" w:color="auto" w:sz="4" w:space="0"/>
              <w:bottom w:val="single" w:color="auto" w:sz="4" w:space="0"/>
              <w:right w:val="single" w:color="auto" w:sz="4" w:space="0"/>
            </w:tcBorders>
            <w:vAlign w:val="center"/>
          </w:tcPr>
          <w:p w14:paraId="451788E2">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z w:val="21"/>
                <w:szCs w:val="21"/>
                <w:highlight w:val="none"/>
              </w:rPr>
              <w:t>合价</w:t>
            </w:r>
          </w:p>
        </w:tc>
        <w:tc>
          <w:tcPr>
            <w:tcW w:w="1624" w:type="dxa"/>
            <w:tcBorders>
              <w:top w:val="single" w:color="auto" w:sz="4" w:space="0"/>
              <w:left w:val="single" w:color="auto" w:sz="4" w:space="0"/>
              <w:bottom w:val="single" w:color="auto" w:sz="4" w:space="0"/>
              <w:right w:val="single" w:color="auto" w:sz="4" w:space="0"/>
            </w:tcBorders>
            <w:vAlign w:val="center"/>
          </w:tcPr>
          <w:p w14:paraId="24DA904E">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z w:val="21"/>
                <w:szCs w:val="21"/>
                <w:highlight w:val="none"/>
              </w:rPr>
              <w:t>备注</w:t>
            </w:r>
          </w:p>
        </w:tc>
      </w:tr>
      <w:tr w14:paraId="595BF4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638"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73832F62">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spacing w:val="20"/>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1</w:t>
            </w:r>
          </w:p>
        </w:tc>
        <w:tc>
          <w:tcPr>
            <w:tcW w:w="2526" w:type="dxa"/>
            <w:tcBorders>
              <w:top w:val="single" w:color="auto" w:sz="4" w:space="0"/>
              <w:left w:val="single" w:color="auto" w:sz="4" w:space="0"/>
              <w:bottom w:val="single" w:color="auto" w:sz="4" w:space="0"/>
              <w:right w:val="single" w:color="auto" w:sz="4" w:space="0"/>
            </w:tcBorders>
            <w:vAlign w:val="center"/>
          </w:tcPr>
          <w:p w14:paraId="579D48CA">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舟山市水安全保障“十五五”规划</w:t>
            </w:r>
          </w:p>
        </w:tc>
        <w:tc>
          <w:tcPr>
            <w:tcW w:w="1788" w:type="dxa"/>
            <w:tcBorders>
              <w:top w:val="single" w:color="auto" w:sz="4" w:space="0"/>
              <w:left w:val="single" w:color="auto" w:sz="4" w:space="0"/>
              <w:bottom w:val="single" w:color="auto" w:sz="4" w:space="0"/>
              <w:right w:val="single" w:color="auto" w:sz="4" w:space="0"/>
            </w:tcBorders>
            <w:vAlign w:val="center"/>
          </w:tcPr>
          <w:p w14:paraId="56C141CD">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32EBC8C3">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624" w:type="dxa"/>
            <w:tcBorders>
              <w:top w:val="single" w:color="auto" w:sz="4" w:space="0"/>
              <w:left w:val="single" w:color="auto" w:sz="4" w:space="0"/>
              <w:bottom w:val="single" w:color="auto" w:sz="4" w:space="0"/>
              <w:right w:val="single" w:color="auto" w:sz="4" w:space="0"/>
            </w:tcBorders>
            <w:vAlign w:val="center"/>
          </w:tcPr>
          <w:p w14:paraId="3715056B">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r>
      <w:tr w14:paraId="564F61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20"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2275457E">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spacing w:val="20"/>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2</w:t>
            </w:r>
          </w:p>
        </w:tc>
        <w:tc>
          <w:tcPr>
            <w:tcW w:w="2526" w:type="dxa"/>
            <w:tcBorders>
              <w:top w:val="single" w:color="auto" w:sz="4" w:space="0"/>
              <w:left w:val="single" w:color="auto" w:sz="4" w:space="0"/>
              <w:bottom w:val="single" w:color="auto" w:sz="4" w:space="0"/>
              <w:right w:val="single" w:color="auto" w:sz="4" w:space="0"/>
            </w:tcBorders>
            <w:vAlign w:val="center"/>
          </w:tcPr>
          <w:p w14:paraId="6B69DCBC">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舟山市定海区水安全保障“十五五”规划</w:t>
            </w:r>
          </w:p>
        </w:tc>
        <w:tc>
          <w:tcPr>
            <w:tcW w:w="1788" w:type="dxa"/>
            <w:tcBorders>
              <w:top w:val="single" w:color="auto" w:sz="4" w:space="0"/>
              <w:left w:val="single" w:color="auto" w:sz="4" w:space="0"/>
              <w:bottom w:val="single" w:color="auto" w:sz="4" w:space="0"/>
              <w:right w:val="single" w:color="auto" w:sz="4" w:space="0"/>
            </w:tcBorders>
            <w:vAlign w:val="center"/>
          </w:tcPr>
          <w:p w14:paraId="44F8FA11">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50045566">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624" w:type="dxa"/>
            <w:tcBorders>
              <w:top w:val="single" w:color="auto" w:sz="4" w:space="0"/>
              <w:left w:val="single" w:color="auto" w:sz="4" w:space="0"/>
              <w:bottom w:val="single" w:color="auto" w:sz="4" w:space="0"/>
              <w:right w:val="single" w:color="auto" w:sz="4" w:space="0"/>
            </w:tcBorders>
            <w:vAlign w:val="center"/>
          </w:tcPr>
          <w:p w14:paraId="34E6B3E1">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r>
      <w:tr w14:paraId="1076B1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90"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306FB2D0">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spacing w:val="20"/>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3</w:t>
            </w:r>
          </w:p>
        </w:tc>
        <w:tc>
          <w:tcPr>
            <w:tcW w:w="2526" w:type="dxa"/>
            <w:tcBorders>
              <w:top w:val="single" w:color="auto" w:sz="4" w:space="0"/>
              <w:left w:val="single" w:color="auto" w:sz="4" w:space="0"/>
              <w:bottom w:val="single" w:color="auto" w:sz="4" w:space="0"/>
              <w:right w:val="single" w:color="auto" w:sz="4" w:space="0"/>
            </w:tcBorders>
            <w:vAlign w:val="center"/>
          </w:tcPr>
          <w:p w14:paraId="02CBC118">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舟山市普陀区水安全保障“十五五”规划</w:t>
            </w:r>
          </w:p>
        </w:tc>
        <w:tc>
          <w:tcPr>
            <w:tcW w:w="1788" w:type="dxa"/>
            <w:tcBorders>
              <w:top w:val="single" w:color="auto" w:sz="4" w:space="0"/>
              <w:left w:val="single" w:color="auto" w:sz="4" w:space="0"/>
              <w:bottom w:val="single" w:color="auto" w:sz="4" w:space="0"/>
              <w:right w:val="single" w:color="auto" w:sz="4" w:space="0"/>
            </w:tcBorders>
            <w:vAlign w:val="center"/>
          </w:tcPr>
          <w:p w14:paraId="37983825">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0091CF71">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624" w:type="dxa"/>
            <w:tcBorders>
              <w:top w:val="single" w:color="auto" w:sz="4" w:space="0"/>
              <w:left w:val="single" w:color="auto" w:sz="4" w:space="0"/>
              <w:bottom w:val="single" w:color="auto" w:sz="4" w:space="0"/>
              <w:right w:val="single" w:color="auto" w:sz="4" w:space="0"/>
            </w:tcBorders>
            <w:vAlign w:val="center"/>
          </w:tcPr>
          <w:p w14:paraId="497E74F2">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r>
      <w:tr w14:paraId="5B0E3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20"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23DC6B70">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spacing w:val="20"/>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4</w:t>
            </w:r>
          </w:p>
        </w:tc>
        <w:tc>
          <w:tcPr>
            <w:tcW w:w="2526" w:type="dxa"/>
            <w:tcBorders>
              <w:top w:val="single" w:color="auto" w:sz="4" w:space="0"/>
              <w:left w:val="single" w:color="auto" w:sz="4" w:space="0"/>
              <w:bottom w:val="single" w:color="auto" w:sz="4" w:space="0"/>
              <w:right w:val="single" w:color="auto" w:sz="4" w:space="0"/>
            </w:tcBorders>
            <w:vAlign w:val="center"/>
          </w:tcPr>
          <w:p w14:paraId="5A24E6FF">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舟山市岱山县水安全保障“十五五”规划</w:t>
            </w:r>
          </w:p>
        </w:tc>
        <w:tc>
          <w:tcPr>
            <w:tcW w:w="1788" w:type="dxa"/>
            <w:tcBorders>
              <w:top w:val="single" w:color="auto" w:sz="4" w:space="0"/>
              <w:left w:val="single" w:color="auto" w:sz="4" w:space="0"/>
              <w:bottom w:val="single" w:color="auto" w:sz="4" w:space="0"/>
              <w:right w:val="single" w:color="auto" w:sz="4" w:space="0"/>
            </w:tcBorders>
            <w:vAlign w:val="center"/>
          </w:tcPr>
          <w:p w14:paraId="1E9C72B7">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73D8D89B">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624" w:type="dxa"/>
            <w:tcBorders>
              <w:top w:val="single" w:color="auto" w:sz="4" w:space="0"/>
              <w:left w:val="single" w:color="auto" w:sz="4" w:space="0"/>
              <w:bottom w:val="single" w:color="auto" w:sz="4" w:space="0"/>
              <w:right w:val="single" w:color="auto" w:sz="4" w:space="0"/>
            </w:tcBorders>
            <w:vAlign w:val="center"/>
          </w:tcPr>
          <w:p w14:paraId="66739E9C">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r>
      <w:tr w14:paraId="4240C8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20"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72943198">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pacing w:val="20"/>
                <w:sz w:val="21"/>
                <w:szCs w:val="21"/>
                <w:highlight w:val="none"/>
              </w:rPr>
              <w:t>5</w:t>
            </w:r>
          </w:p>
        </w:tc>
        <w:tc>
          <w:tcPr>
            <w:tcW w:w="2526" w:type="dxa"/>
            <w:tcBorders>
              <w:top w:val="single" w:color="auto" w:sz="4" w:space="0"/>
              <w:left w:val="single" w:color="auto" w:sz="4" w:space="0"/>
              <w:bottom w:val="single" w:color="auto" w:sz="4" w:space="0"/>
              <w:right w:val="single" w:color="auto" w:sz="4" w:space="0"/>
            </w:tcBorders>
            <w:vAlign w:val="center"/>
          </w:tcPr>
          <w:p w14:paraId="161EC276">
            <w:pPr>
              <w:keepNext w:val="0"/>
              <w:keepLines w:val="0"/>
              <w:widowControl w:val="0"/>
              <w:suppressLineNumbers w:val="0"/>
              <w:spacing w:before="0" w:beforeAutospacing="0" w:after="120" w:afterAutospacing="0"/>
              <w:ind w:left="0" w:right="0"/>
              <w:jc w:val="center"/>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舟山市嵊泗县水安全保障“十五五”规划</w:t>
            </w:r>
          </w:p>
        </w:tc>
        <w:tc>
          <w:tcPr>
            <w:tcW w:w="1788" w:type="dxa"/>
            <w:tcBorders>
              <w:top w:val="single" w:color="auto" w:sz="4" w:space="0"/>
              <w:left w:val="single" w:color="auto" w:sz="4" w:space="0"/>
              <w:bottom w:val="single" w:color="auto" w:sz="4" w:space="0"/>
              <w:right w:val="single" w:color="auto" w:sz="4" w:space="0"/>
            </w:tcBorders>
            <w:vAlign w:val="center"/>
          </w:tcPr>
          <w:p w14:paraId="6CE40E70">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435C951E">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624" w:type="dxa"/>
            <w:tcBorders>
              <w:top w:val="single" w:color="auto" w:sz="4" w:space="0"/>
              <w:left w:val="single" w:color="auto" w:sz="4" w:space="0"/>
              <w:bottom w:val="single" w:color="auto" w:sz="4" w:space="0"/>
              <w:right w:val="single" w:color="auto" w:sz="4" w:space="0"/>
            </w:tcBorders>
            <w:vAlign w:val="center"/>
          </w:tcPr>
          <w:p w14:paraId="35907C4E">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r>
      <w:tr w14:paraId="1C5B0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810"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53C66ED3">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r>
              <w:rPr>
                <w:rFonts w:hint="eastAsia" w:asciiTheme="minorEastAsia" w:hAnsiTheme="minorEastAsia" w:eastAsiaTheme="minorEastAsia" w:cstheme="minorEastAsia"/>
                <w:color w:val="auto"/>
                <w:spacing w:val="20"/>
                <w:sz w:val="21"/>
                <w:szCs w:val="21"/>
                <w:highlight w:val="none"/>
              </w:rPr>
              <w:t>……</w:t>
            </w:r>
          </w:p>
        </w:tc>
        <w:tc>
          <w:tcPr>
            <w:tcW w:w="2526" w:type="dxa"/>
            <w:tcBorders>
              <w:top w:val="single" w:color="auto" w:sz="4" w:space="0"/>
              <w:left w:val="single" w:color="auto" w:sz="4" w:space="0"/>
              <w:bottom w:val="single" w:color="auto" w:sz="4" w:space="0"/>
              <w:right w:val="single" w:color="auto" w:sz="4" w:space="0"/>
            </w:tcBorders>
            <w:vAlign w:val="center"/>
          </w:tcPr>
          <w:p w14:paraId="0D28A0CD">
            <w:pPr>
              <w:keepNext w:val="0"/>
              <w:keepLines w:val="0"/>
              <w:widowControl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kern w:val="2"/>
                <w:sz w:val="21"/>
                <w:szCs w:val="21"/>
                <w:highlight w:val="none"/>
                <w:lang w:val="en-US" w:eastAsia="zh-CN" w:bidi="ar-SA"/>
              </w:rPr>
            </w:pPr>
          </w:p>
        </w:tc>
        <w:tc>
          <w:tcPr>
            <w:tcW w:w="1788" w:type="dxa"/>
            <w:tcBorders>
              <w:top w:val="single" w:color="auto" w:sz="4" w:space="0"/>
              <w:left w:val="single" w:color="auto" w:sz="4" w:space="0"/>
              <w:bottom w:val="single" w:color="auto" w:sz="4" w:space="0"/>
              <w:right w:val="single" w:color="auto" w:sz="4" w:space="0"/>
            </w:tcBorders>
            <w:vAlign w:val="center"/>
          </w:tcPr>
          <w:p w14:paraId="28DAC66F">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725" w:type="dxa"/>
            <w:tcBorders>
              <w:top w:val="single" w:color="auto" w:sz="4" w:space="0"/>
              <w:left w:val="single" w:color="auto" w:sz="4" w:space="0"/>
              <w:bottom w:val="single" w:color="auto" w:sz="4" w:space="0"/>
              <w:right w:val="single" w:color="auto" w:sz="4" w:space="0"/>
            </w:tcBorders>
            <w:vAlign w:val="center"/>
          </w:tcPr>
          <w:p w14:paraId="625BCD15">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c>
          <w:tcPr>
            <w:tcW w:w="1624" w:type="dxa"/>
            <w:tcBorders>
              <w:top w:val="single" w:color="auto" w:sz="4" w:space="0"/>
              <w:left w:val="single" w:color="auto" w:sz="4" w:space="0"/>
              <w:bottom w:val="single" w:color="auto" w:sz="4" w:space="0"/>
              <w:right w:val="single" w:color="auto" w:sz="4" w:space="0"/>
            </w:tcBorders>
            <w:vAlign w:val="center"/>
          </w:tcPr>
          <w:p w14:paraId="445CE68C">
            <w:pPr>
              <w:keepNext w:val="0"/>
              <w:keepLines w:val="0"/>
              <w:suppressLineNumbers w:val="0"/>
              <w:tabs>
                <w:tab w:val="left" w:pos="1418"/>
              </w:tabs>
              <w:snapToGrid w:val="0"/>
              <w:spacing w:before="0" w:beforeAutospacing="0" w:after="0" w:afterAutospacing="0"/>
              <w:ind w:left="0" w:right="0"/>
              <w:jc w:val="center"/>
              <w:rPr>
                <w:rFonts w:hint="eastAsia" w:asciiTheme="minorEastAsia" w:hAnsiTheme="minorEastAsia" w:eastAsiaTheme="minorEastAsia" w:cstheme="minorEastAsia"/>
                <w:color w:val="auto"/>
                <w:spacing w:val="20"/>
                <w:sz w:val="21"/>
                <w:szCs w:val="21"/>
                <w:highlight w:val="none"/>
              </w:rPr>
            </w:pPr>
          </w:p>
        </w:tc>
      </w:tr>
      <w:tr w14:paraId="31F5B5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57" w:type="dxa"/>
            <w:left w:w="57" w:type="dxa"/>
            <w:bottom w:w="57" w:type="dxa"/>
            <w:right w:w="57" w:type="dxa"/>
          </w:tblCellMar>
        </w:tblPrEx>
        <w:trPr>
          <w:trHeight w:val="941" w:hRule="atLeast"/>
          <w:jc w:val="center"/>
        </w:trPr>
        <w:tc>
          <w:tcPr>
            <w:tcW w:w="1157" w:type="dxa"/>
            <w:tcBorders>
              <w:top w:val="single" w:color="auto" w:sz="4" w:space="0"/>
              <w:left w:val="single" w:color="auto" w:sz="4" w:space="0"/>
              <w:bottom w:val="single" w:color="auto" w:sz="4" w:space="0"/>
              <w:right w:val="single" w:color="auto" w:sz="4" w:space="0"/>
            </w:tcBorders>
            <w:vAlign w:val="center"/>
          </w:tcPr>
          <w:p w14:paraId="0E302539">
            <w:pPr>
              <w:keepNext w:val="0"/>
              <w:keepLines w:val="0"/>
              <w:suppressLineNumbers w:val="0"/>
              <w:tabs>
                <w:tab w:val="left" w:pos="1418"/>
              </w:tabs>
              <w:snapToGrid w:val="0"/>
              <w:spacing w:before="0" w:beforeAutospacing="0" w:after="0" w:afterAutospacing="0"/>
              <w:ind w:left="0" w:right="0"/>
              <w:jc w:val="center"/>
              <w:rPr>
                <w:rFonts w:hint="default" w:asciiTheme="minorEastAsia" w:hAnsiTheme="minorEastAsia" w:eastAsiaTheme="minorEastAsia" w:cstheme="minorEastAsia"/>
                <w:color w:val="auto"/>
                <w:spacing w:val="20"/>
                <w:sz w:val="21"/>
                <w:szCs w:val="21"/>
                <w:highlight w:val="none"/>
                <w:lang w:val="en-US" w:eastAsia="zh-CN"/>
              </w:rPr>
            </w:pPr>
            <w:r>
              <w:rPr>
                <w:rFonts w:hint="eastAsia" w:asciiTheme="minorEastAsia" w:hAnsiTheme="minorEastAsia" w:eastAsiaTheme="minorEastAsia" w:cstheme="minorEastAsia"/>
                <w:b/>
                <w:bCs/>
                <w:color w:val="auto"/>
                <w:kern w:val="2"/>
                <w:sz w:val="21"/>
                <w:szCs w:val="21"/>
                <w:highlight w:val="none"/>
                <w:lang w:val="en-US" w:eastAsia="zh-CN" w:bidi="ar-SA"/>
              </w:rPr>
              <w:t>投标总价</w:t>
            </w:r>
          </w:p>
        </w:tc>
        <w:tc>
          <w:tcPr>
            <w:tcW w:w="7663" w:type="dxa"/>
            <w:gridSpan w:val="4"/>
            <w:tcBorders>
              <w:top w:val="single" w:color="auto" w:sz="4" w:space="0"/>
              <w:left w:val="single" w:color="auto" w:sz="4" w:space="0"/>
              <w:bottom w:val="single" w:color="auto" w:sz="4" w:space="0"/>
              <w:right w:val="single" w:color="auto" w:sz="4" w:space="0"/>
            </w:tcBorders>
            <w:vAlign w:val="center"/>
          </w:tcPr>
          <w:p w14:paraId="391551A5">
            <w:pPr>
              <w:keepNext w:val="0"/>
              <w:keepLines w:val="0"/>
              <w:suppressLineNumbers w:val="0"/>
              <w:tabs>
                <w:tab w:val="left" w:pos="1418"/>
              </w:tabs>
              <w:snapToGrid w:val="0"/>
              <w:spacing w:before="0" w:beforeAutospacing="0" w:after="0" w:afterAutospacing="0"/>
              <w:ind w:left="0" w:right="0"/>
              <w:jc w:val="lef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（小写）人民币          元</w:t>
            </w:r>
          </w:p>
          <w:p w14:paraId="080E8DD4">
            <w:pPr>
              <w:keepNext/>
              <w:keepLines/>
              <w:widowControl w:val="0"/>
              <w:suppressLineNumbers w:val="0"/>
              <w:spacing w:before="0" w:beforeAutospacing="0" w:after="0" w:afterAutospacing="0" w:line="360" w:lineRule="auto"/>
              <w:ind w:left="0" w:right="0"/>
              <w:jc w:val="left"/>
              <w:outlineLvl w:val="1"/>
              <w:rPr>
                <w:rFonts w:hint="eastAsia" w:asciiTheme="minorEastAsia" w:hAnsiTheme="minorEastAsia" w:eastAsiaTheme="minorEastAsia" w:cstheme="minorEastAsia"/>
                <w:b w:val="0"/>
                <w:bCs w:val="0"/>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kern w:val="2"/>
                <w:sz w:val="21"/>
                <w:szCs w:val="21"/>
                <w:highlight w:val="none"/>
                <w:lang w:val="en-US" w:eastAsia="zh-CN" w:bidi="ar-SA"/>
              </w:rPr>
              <w:t>（大写）人民币          元</w:t>
            </w:r>
          </w:p>
        </w:tc>
      </w:tr>
    </w:tbl>
    <w:p w14:paraId="7899E1D9">
      <w:pPr>
        <w:widowControl w:val="0"/>
        <w:spacing w:after="120"/>
        <w:jc w:val="both"/>
        <w:rPr>
          <w:rFonts w:hint="eastAsia" w:asciiTheme="minorEastAsia" w:hAnsiTheme="minorEastAsia" w:eastAsiaTheme="minorEastAsia" w:cstheme="minorEastAsia"/>
          <w:color w:val="auto"/>
          <w:kern w:val="2"/>
          <w:sz w:val="21"/>
          <w:szCs w:val="21"/>
          <w:highlight w:val="none"/>
          <w:lang w:val="en-US" w:eastAsia="zh-CN" w:bidi="ar-SA"/>
        </w:rPr>
      </w:pPr>
    </w:p>
    <w:p w14:paraId="0C7B2B03">
      <w:pPr>
        <w:widowControl w:val="0"/>
        <w:spacing w:after="120"/>
        <w:ind w:firstLine="210" w:firstLineChars="100"/>
        <w:jc w:val="both"/>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注：上述投标总价应与投标报价一览表中“投标报价”一致。</w:t>
      </w:r>
    </w:p>
    <w:p w14:paraId="50B23A2D">
      <w:pPr>
        <w:widowControl w:val="0"/>
        <w:spacing w:after="120"/>
        <w:ind w:firstLine="210" w:firstLineChars="100"/>
        <w:jc w:val="both"/>
        <w:rPr>
          <w:rFonts w:hint="eastAsia"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kern w:val="2"/>
          <w:sz w:val="21"/>
          <w:szCs w:val="21"/>
          <w:highlight w:val="none"/>
          <w:lang w:val="en-US" w:eastAsia="zh-CN" w:bidi="ar-SA"/>
        </w:rPr>
        <w:t xml:space="preserve">   </w:t>
      </w:r>
    </w:p>
    <w:p w14:paraId="7C4D3031">
      <w:pPr>
        <w:pStyle w:val="8"/>
        <w:rPr>
          <w:rFonts w:hint="eastAsia" w:asciiTheme="minorEastAsia" w:hAnsiTheme="minorEastAsia" w:eastAsiaTheme="minorEastAsia" w:cstheme="minorEastAsia"/>
          <w:color w:val="auto"/>
          <w:sz w:val="21"/>
          <w:szCs w:val="21"/>
          <w:highlight w:val="none"/>
        </w:rPr>
      </w:pPr>
    </w:p>
    <w:p w14:paraId="717DFCE5">
      <w:pPr>
        <w:snapToGrid w:val="0"/>
        <w:spacing w:before="50" w:after="50" w:line="480" w:lineRule="auto"/>
        <w:ind w:right="-817" w:rightChars="-38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投标人名称：</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（加盖公章）</w:t>
      </w:r>
    </w:p>
    <w:p w14:paraId="1873EF4F">
      <w:pPr>
        <w:snapToGrid w:val="0"/>
        <w:spacing w:before="50" w:after="50" w:line="480" w:lineRule="auto"/>
        <w:ind w:left="-21" w:leftChars="-72" w:right="-817" w:rightChars="-389" w:hanging="130" w:hangingChars="6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 法定代表人或投标人代表：</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 xml:space="preserve">（签字或盖章）                                             </w:t>
      </w:r>
    </w:p>
    <w:p w14:paraId="520F1673">
      <w:pPr>
        <w:snapToGrid w:val="0"/>
        <w:spacing w:before="50" w:after="50" w:line="480" w:lineRule="auto"/>
        <w:ind w:left="-21" w:leftChars="-72" w:right="-817" w:rightChars="-389" w:hanging="130" w:hangingChars="62"/>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 日期：</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日</w:t>
      </w:r>
    </w:p>
    <w:p w14:paraId="1178325B">
      <w:pP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br w:type="page"/>
      </w:r>
    </w:p>
    <w:p w14:paraId="0BBDA512">
      <w:pPr>
        <w:rPr>
          <w:rFonts w:hint="eastAsia" w:ascii="宋体" w:hAnsi="宋体" w:eastAsia="宋体" w:cs="宋体"/>
          <w:color w:val="auto"/>
          <w:highlight w:val="none"/>
        </w:rPr>
      </w:pPr>
      <w:r>
        <w:rPr>
          <w:rFonts w:hint="eastAsia" w:ascii="宋体" w:hAnsi="宋体" w:eastAsia="宋体" w:cs="宋体"/>
          <w:b/>
          <w:bCs/>
          <w:color w:val="auto"/>
          <w:szCs w:val="21"/>
          <w:highlight w:val="none"/>
          <w:lang w:val="en-US" w:eastAsia="zh-CN"/>
        </w:rPr>
        <w:t>十二</w:t>
      </w:r>
      <w:r>
        <w:rPr>
          <w:rFonts w:hint="eastAsia" w:ascii="宋体" w:hAnsi="宋体" w:eastAsia="宋体" w:cs="宋体"/>
          <w:b/>
          <w:bCs/>
          <w:color w:val="auto"/>
          <w:szCs w:val="21"/>
          <w:highlight w:val="none"/>
        </w:rPr>
        <w:t>、中小企业声明函格式：</w:t>
      </w:r>
    </w:p>
    <w:p w14:paraId="5B5B9881">
      <w:pPr>
        <w:widowControl/>
        <w:jc w:val="center"/>
        <w:rPr>
          <w:rFonts w:hint="eastAsia" w:ascii="宋体" w:hAnsi="宋体" w:eastAsia="宋体" w:cs="宋体"/>
          <w:color w:val="auto"/>
          <w:szCs w:val="21"/>
          <w:highlight w:val="none"/>
        </w:rPr>
      </w:pPr>
      <w:r>
        <w:rPr>
          <w:rFonts w:hint="eastAsia" w:ascii="宋体" w:hAnsi="宋体" w:eastAsia="宋体" w:cs="宋体"/>
          <w:b/>
          <w:color w:val="auto"/>
          <w:kern w:val="0"/>
          <w:szCs w:val="21"/>
          <w:highlight w:val="none"/>
          <w:lang w:bidi="ar"/>
        </w:rPr>
        <w:t>中小企业声明函（服务）</w:t>
      </w:r>
    </w:p>
    <w:p w14:paraId="67DEEF36">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本公司郑重声明，根据《政府采购促进中小企业发展管理办法》（财库﹝2020﹞46 号）的规定，本公司参加</w:t>
      </w:r>
      <w:r>
        <w:rPr>
          <w:rFonts w:hint="eastAsia" w:ascii="宋体" w:hAnsi="宋体" w:eastAsia="宋体" w:cs="宋体"/>
          <w:color w:val="auto"/>
          <w:kern w:val="0"/>
          <w:szCs w:val="21"/>
          <w:highlight w:val="none"/>
          <w:u w:val="single"/>
          <w:lang w:bidi="ar"/>
        </w:rPr>
        <w:t>（单位名称）</w:t>
      </w:r>
      <w:r>
        <w:rPr>
          <w:rFonts w:hint="eastAsia" w:ascii="宋体" w:hAnsi="宋体" w:eastAsia="宋体" w:cs="宋体"/>
          <w:color w:val="auto"/>
          <w:kern w:val="0"/>
          <w:szCs w:val="21"/>
          <w:highlight w:val="none"/>
          <w:lang w:bidi="ar"/>
        </w:rPr>
        <w:t>的</w:t>
      </w:r>
      <w:r>
        <w:rPr>
          <w:rFonts w:hint="eastAsia" w:ascii="宋体" w:hAnsi="宋体" w:eastAsia="宋体" w:cs="宋体"/>
          <w:color w:val="auto"/>
          <w:kern w:val="0"/>
          <w:szCs w:val="21"/>
          <w:highlight w:val="none"/>
          <w:u w:val="single"/>
          <w:lang w:bidi="ar"/>
        </w:rPr>
        <w:t>（项目名称）</w:t>
      </w:r>
      <w:r>
        <w:rPr>
          <w:rFonts w:hint="eastAsia" w:ascii="宋体" w:hAnsi="宋体" w:eastAsia="宋体" w:cs="宋体"/>
          <w:color w:val="auto"/>
          <w:kern w:val="0"/>
          <w:szCs w:val="21"/>
          <w:highlight w:val="none"/>
          <w:lang w:bidi="ar"/>
        </w:rPr>
        <w:t>采购活动，服务全部由符合政策要求的中小企业承接。相关企业</w:t>
      </w:r>
      <w:r>
        <w:rPr>
          <w:rFonts w:ascii="Times New Roman" w:hAnsi="Times New Roman"/>
          <w:color w:val="auto"/>
          <w:kern w:val="0"/>
          <w:szCs w:val="21"/>
          <w:highlight w:val="none"/>
        </w:rPr>
        <w:t>（含联合体中的中小企业、签订分包意向协议的中小企业）</w:t>
      </w:r>
      <w:r>
        <w:rPr>
          <w:rFonts w:hint="eastAsia" w:ascii="宋体" w:hAnsi="宋体" w:eastAsia="宋体" w:cs="宋体"/>
          <w:color w:val="auto"/>
          <w:kern w:val="0"/>
          <w:szCs w:val="21"/>
          <w:highlight w:val="none"/>
          <w:lang w:bidi="ar"/>
        </w:rPr>
        <w:t>的具体情况如下：</w:t>
      </w:r>
    </w:p>
    <w:p w14:paraId="093B3F27">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r>
        <w:rPr>
          <w:rFonts w:hint="eastAsia" w:ascii="宋体" w:hAnsi="宋体" w:eastAsia="宋体" w:cs="宋体"/>
          <w:color w:val="auto"/>
          <w:kern w:val="0"/>
          <w:szCs w:val="21"/>
          <w:highlight w:val="none"/>
          <w:u w:val="single"/>
          <w:lang w:bidi="ar"/>
        </w:rPr>
        <w:t>（标的名称）</w:t>
      </w:r>
      <w:r>
        <w:rPr>
          <w:rFonts w:hint="eastAsia" w:ascii="宋体" w:hAnsi="宋体" w:eastAsia="宋体" w:cs="宋体"/>
          <w:color w:val="auto"/>
          <w:kern w:val="0"/>
          <w:szCs w:val="21"/>
          <w:highlight w:val="none"/>
          <w:lang w:bidi="ar"/>
        </w:rPr>
        <w:t>，属于</w:t>
      </w:r>
      <w:r>
        <w:rPr>
          <w:rFonts w:hint="eastAsia" w:ascii="宋体" w:hAnsi="宋体" w:eastAsia="宋体" w:cs="宋体"/>
          <w:color w:val="auto"/>
          <w:kern w:val="0"/>
          <w:szCs w:val="21"/>
          <w:highlight w:val="none"/>
          <w:u w:val="single"/>
          <w:lang w:bidi="ar"/>
        </w:rPr>
        <w:t>（采购文件中明确的所属行业）</w:t>
      </w:r>
      <w:r>
        <w:rPr>
          <w:rFonts w:hint="eastAsia" w:ascii="宋体" w:hAnsi="宋体" w:eastAsia="宋体" w:cs="宋体"/>
          <w:color w:val="auto"/>
          <w:kern w:val="0"/>
          <w:szCs w:val="21"/>
          <w:highlight w:val="none"/>
          <w:lang w:bidi="ar"/>
        </w:rPr>
        <w:t>；承接企业为</w:t>
      </w:r>
      <w:r>
        <w:rPr>
          <w:rFonts w:hint="eastAsia" w:ascii="宋体" w:hAnsi="宋体" w:eastAsia="宋体" w:cs="宋体"/>
          <w:color w:val="auto"/>
          <w:kern w:val="0"/>
          <w:szCs w:val="21"/>
          <w:highlight w:val="none"/>
          <w:u w:val="single"/>
          <w:lang w:bidi="ar"/>
        </w:rPr>
        <w:t>（企业名称）</w:t>
      </w:r>
      <w:r>
        <w:rPr>
          <w:rFonts w:hint="eastAsia" w:ascii="宋体" w:hAnsi="宋体" w:eastAsia="宋体" w:cs="宋体"/>
          <w:color w:val="auto"/>
          <w:kern w:val="0"/>
          <w:szCs w:val="21"/>
          <w:highlight w:val="none"/>
          <w:lang w:bidi="ar"/>
        </w:rPr>
        <w:t>，从业人员</w:t>
      </w:r>
      <w:r>
        <w:rPr>
          <w:rFonts w:hint="eastAsia" w:ascii="宋体" w:hAnsi="宋体" w:eastAsia="宋体" w:cs="宋体"/>
          <w:color w:val="auto"/>
          <w:kern w:val="0"/>
          <w:szCs w:val="21"/>
          <w:highlight w:val="none"/>
          <w:u w:val="single"/>
          <w:lang w:bidi="ar"/>
        </w:rPr>
        <w:t xml:space="preserve">    </w:t>
      </w:r>
      <w:r>
        <w:rPr>
          <w:rFonts w:hint="eastAsia" w:ascii="宋体" w:hAnsi="宋体" w:eastAsia="宋体" w:cs="宋体"/>
          <w:color w:val="auto"/>
          <w:kern w:val="0"/>
          <w:szCs w:val="21"/>
          <w:highlight w:val="none"/>
          <w:lang w:bidi="ar"/>
        </w:rPr>
        <w:t>人，营业收入为</w:t>
      </w:r>
      <w:r>
        <w:rPr>
          <w:rFonts w:hint="eastAsia" w:ascii="宋体" w:hAnsi="宋体" w:eastAsia="宋体" w:cs="宋体"/>
          <w:color w:val="auto"/>
          <w:kern w:val="0"/>
          <w:szCs w:val="21"/>
          <w:highlight w:val="none"/>
          <w:u w:val="single"/>
          <w:lang w:bidi="ar"/>
        </w:rPr>
        <w:t xml:space="preserve">    </w:t>
      </w:r>
      <w:r>
        <w:rPr>
          <w:rFonts w:hint="eastAsia" w:ascii="宋体" w:hAnsi="宋体" w:eastAsia="宋体" w:cs="宋体"/>
          <w:color w:val="auto"/>
          <w:kern w:val="0"/>
          <w:szCs w:val="21"/>
          <w:highlight w:val="none"/>
          <w:lang w:bidi="ar"/>
        </w:rPr>
        <w:t>万元，资产总额为</w:t>
      </w:r>
      <w:r>
        <w:rPr>
          <w:rFonts w:hint="eastAsia" w:ascii="宋体" w:hAnsi="宋体" w:eastAsia="宋体" w:cs="宋体"/>
          <w:color w:val="auto"/>
          <w:kern w:val="0"/>
          <w:szCs w:val="21"/>
          <w:highlight w:val="none"/>
          <w:u w:val="single"/>
          <w:lang w:bidi="ar"/>
        </w:rPr>
        <w:t xml:space="preserve">    </w:t>
      </w:r>
      <w:r>
        <w:rPr>
          <w:rFonts w:hint="eastAsia" w:ascii="宋体" w:hAnsi="宋体" w:eastAsia="宋体" w:cs="宋体"/>
          <w:color w:val="auto"/>
          <w:kern w:val="0"/>
          <w:szCs w:val="21"/>
          <w:highlight w:val="none"/>
          <w:lang w:bidi="ar"/>
        </w:rPr>
        <w:t>万元，属于</w:t>
      </w:r>
      <w:r>
        <w:rPr>
          <w:rFonts w:hint="eastAsia" w:ascii="宋体" w:hAnsi="宋体" w:eastAsia="宋体" w:cs="宋体"/>
          <w:color w:val="auto"/>
          <w:kern w:val="0"/>
          <w:szCs w:val="21"/>
          <w:highlight w:val="none"/>
          <w:u w:val="single"/>
          <w:lang w:bidi="ar"/>
        </w:rPr>
        <w:t>（中型企业、小型企业、微型企业）</w:t>
      </w:r>
      <w:r>
        <w:rPr>
          <w:rFonts w:hint="eastAsia" w:ascii="宋体" w:hAnsi="宋体" w:eastAsia="宋体" w:cs="宋体"/>
          <w:color w:val="auto"/>
          <w:kern w:val="0"/>
          <w:szCs w:val="21"/>
          <w:highlight w:val="none"/>
          <w:lang w:bidi="ar"/>
        </w:rPr>
        <w:t xml:space="preserve">； </w:t>
      </w:r>
    </w:p>
    <w:p w14:paraId="42FF90D5">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2.</w:t>
      </w:r>
      <w:r>
        <w:rPr>
          <w:rFonts w:hint="eastAsia" w:ascii="宋体" w:hAnsi="宋体" w:eastAsia="宋体" w:cs="宋体"/>
          <w:color w:val="auto"/>
          <w:kern w:val="0"/>
          <w:szCs w:val="21"/>
          <w:highlight w:val="none"/>
          <w:u w:val="single"/>
          <w:lang w:bidi="ar"/>
        </w:rPr>
        <w:t>（标的名称）</w:t>
      </w:r>
      <w:r>
        <w:rPr>
          <w:rFonts w:hint="eastAsia" w:ascii="宋体" w:hAnsi="宋体" w:eastAsia="宋体" w:cs="宋体"/>
          <w:color w:val="auto"/>
          <w:kern w:val="0"/>
          <w:szCs w:val="21"/>
          <w:highlight w:val="none"/>
          <w:lang w:bidi="ar"/>
        </w:rPr>
        <w:t>，属于</w:t>
      </w:r>
      <w:r>
        <w:rPr>
          <w:rFonts w:hint="eastAsia" w:ascii="宋体" w:hAnsi="宋体" w:eastAsia="宋体" w:cs="宋体"/>
          <w:color w:val="auto"/>
          <w:kern w:val="0"/>
          <w:szCs w:val="21"/>
          <w:highlight w:val="none"/>
          <w:u w:val="single"/>
          <w:lang w:bidi="ar"/>
        </w:rPr>
        <w:t>（采购文件中明确的所属行业）</w:t>
      </w:r>
      <w:r>
        <w:rPr>
          <w:rFonts w:hint="eastAsia" w:ascii="宋体" w:hAnsi="宋体" w:eastAsia="宋体" w:cs="宋体"/>
          <w:color w:val="auto"/>
          <w:kern w:val="0"/>
          <w:szCs w:val="21"/>
          <w:highlight w:val="none"/>
          <w:lang w:bidi="ar"/>
        </w:rPr>
        <w:t>；承接企业为</w:t>
      </w:r>
      <w:r>
        <w:rPr>
          <w:rFonts w:hint="eastAsia" w:ascii="宋体" w:hAnsi="宋体" w:eastAsia="宋体" w:cs="宋体"/>
          <w:color w:val="auto"/>
          <w:kern w:val="0"/>
          <w:szCs w:val="21"/>
          <w:highlight w:val="none"/>
          <w:u w:val="single"/>
          <w:lang w:bidi="ar"/>
        </w:rPr>
        <w:t>（企业名称）</w:t>
      </w:r>
      <w:r>
        <w:rPr>
          <w:rFonts w:hint="eastAsia" w:ascii="宋体" w:hAnsi="宋体" w:eastAsia="宋体" w:cs="宋体"/>
          <w:color w:val="auto"/>
          <w:kern w:val="0"/>
          <w:szCs w:val="21"/>
          <w:highlight w:val="none"/>
          <w:lang w:bidi="ar"/>
        </w:rPr>
        <w:t>，从业人员</w:t>
      </w:r>
      <w:r>
        <w:rPr>
          <w:rFonts w:hint="eastAsia" w:ascii="宋体" w:hAnsi="宋体" w:eastAsia="宋体" w:cs="宋体"/>
          <w:color w:val="auto"/>
          <w:kern w:val="0"/>
          <w:szCs w:val="21"/>
          <w:highlight w:val="none"/>
          <w:u w:val="single"/>
          <w:lang w:bidi="ar"/>
        </w:rPr>
        <w:t xml:space="preserve">    </w:t>
      </w:r>
      <w:r>
        <w:rPr>
          <w:rFonts w:hint="eastAsia" w:ascii="宋体" w:hAnsi="宋体" w:eastAsia="宋体" w:cs="宋体"/>
          <w:color w:val="auto"/>
          <w:kern w:val="0"/>
          <w:szCs w:val="21"/>
          <w:highlight w:val="none"/>
          <w:lang w:bidi="ar"/>
        </w:rPr>
        <w:t>人，营业收入为</w:t>
      </w:r>
      <w:r>
        <w:rPr>
          <w:rFonts w:hint="eastAsia" w:ascii="宋体" w:hAnsi="宋体" w:eastAsia="宋体" w:cs="宋体"/>
          <w:color w:val="auto"/>
          <w:kern w:val="0"/>
          <w:szCs w:val="21"/>
          <w:highlight w:val="none"/>
          <w:u w:val="single"/>
          <w:lang w:bidi="ar"/>
        </w:rPr>
        <w:t xml:space="preserve">    </w:t>
      </w:r>
      <w:r>
        <w:rPr>
          <w:rFonts w:hint="eastAsia" w:ascii="宋体" w:hAnsi="宋体" w:eastAsia="宋体" w:cs="宋体"/>
          <w:color w:val="auto"/>
          <w:kern w:val="0"/>
          <w:szCs w:val="21"/>
          <w:highlight w:val="none"/>
          <w:lang w:bidi="ar"/>
        </w:rPr>
        <w:t>万元，资产总额为</w:t>
      </w:r>
      <w:r>
        <w:rPr>
          <w:rFonts w:hint="eastAsia" w:ascii="宋体" w:hAnsi="宋体" w:eastAsia="宋体" w:cs="宋体"/>
          <w:color w:val="auto"/>
          <w:kern w:val="0"/>
          <w:szCs w:val="21"/>
          <w:highlight w:val="none"/>
          <w:u w:val="single"/>
          <w:lang w:bidi="ar"/>
        </w:rPr>
        <w:t xml:space="preserve">    </w:t>
      </w:r>
      <w:r>
        <w:rPr>
          <w:rFonts w:hint="eastAsia" w:ascii="宋体" w:hAnsi="宋体" w:eastAsia="宋体" w:cs="宋体"/>
          <w:color w:val="auto"/>
          <w:kern w:val="0"/>
          <w:szCs w:val="21"/>
          <w:highlight w:val="none"/>
          <w:lang w:bidi="ar"/>
        </w:rPr>
        <w:t>万元，属于</w:t>
      </w:r>
      <w:r>
        <w:rPr>
          <w:rFonts w:hint="eastAsia" w:ascii="宋体" w:hAnsi="宋体" w:eastAsia="宋体" w:cs="宋体"/>
          <w:color w:val="auto"/>
          <w:kern w:val="0"/>
          <w:szCs w:val="21"/>
          <w:highlight w:val="none"/>
          <w:u w:val="single"/>
          <w:lang w:bidi="ar"/>
        </w:rPr>
        <w:t>（中型企业、小型企业、微型企业）</w:t>
      </w:r>
      <w:r>
        <w:rPr>
          <w:rFonts w:hint="eastAsia" w:ascii="宋体" w:hAnsi="宋体" w:eastAsia="宋体" w:cs="宋体"/>
          <w:color w:val="auto"/>
          <w:kern w:val="0"/>
          <w:szCs w:val="21"/>
          <w:highlight w:val="none"/>
          <w:lang w:bidi="ar"/>
        </w:rPr>
        <w:t xml:space="preserve">； </w:t>
      </w:r>
    </w:p>
    <w:p w14:paraId="622D3DB7">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w:t>
      </w:r>
    </w:p>
    <w:p w14:paraId="0EB2A77D">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以上企业，不属于大企业的分支机构，不存在控股股东为大企业的情形，也不存在与大企业的负责人为同一人的情形。</w:t>
      </w:r>
    </w:p>
    <w:p w14:paraId="7208C712">
      <w:pPr>
        <w:keepNext w:val="0"/>
        <w:keepLines w:val="0"/>
        <w:pageBreakBefore w:val="0"/>
        <w:widowControl/>
        <w:kinsoku/>
        <w:wordWrap/>
        <w:overflowPunct/>
        <w:topLinePunct w:val="0"/>
        <w:autoSpaceDE/>
        <w:autoSpaceDN/>
        <w:bidi w:val="0"/>
        <w:adjustRightIn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本企业对上述声明内容的真实性负责。如有虚假，将依法承担相应责任。 </w:t>
      </w:r>
    </w:p>
    <w:p w14:paraId="15B78C59">
      <w:pPr>
        <w:keepNext w:val="0"/>
        <w:keepLines w:val="0"/>
        <w:pageBreakBefore w:val="0"/>
        <w:widowControl/>
        <w:kinsoku/>
        <w:wordWrap/>
        <w:overflowPunct/>
        <w:topLinePunct w:val="0"/>
        <w:autoSpaceDE/>
        <w:autoSpaceDN/>
        <w:bidi w:val="0"/>
        <w:adjustRightInd/>
        <w:spacing w:line="360" w:lineRule="auto"/>
        <w:ind w:firstLine="2520" w:firstLineChars="1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企业名称（盖章）： </w:t>
      </w:r>
    </w:p>
    <w:p w14:paraId="67D08064">
      <w:pPr>
        <w:keepNext w:val="0"/>
        <w:keepLines w:val="0"/>
        <w:pageBreakBefore w:val="0"/>
        <w:widowControl/>
        <w:kinsoku/>
        <w:wordWrap/>
        <w:overflowPunct/>
        <w:topLinePunct w:val="0"/>
        <w:autoSpaceDE/>
        <w:autoSpaceDN/>
        <w:bidi w:val="0"/>
        <w:adjustRightInd/>
        <w:spacing w:line="360" w:lineRule="auto"/>
        <w:ind w:firstLine="2520" w:firstLineChars="1200"/>
        <w:textAlignment w:val="auto"/>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 xml:space="preserve">日 期： </w:t>
      </w:r>
    </w:p>
    <w:p w14:paraId="0D4E9A57">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注：1.从业人员、营业收入、资产总额填报上一年度数据，无上一年度数据的新成立企业可不填报。</w:t>
      </w:r>
    </w:p>
    <w:p w14:paraId="5A520BC6">
      <w:pPr>
        <w:keepNext w:val="0"/>
        <w:keepLines w:val="0"/>
        <w:pageBreakBefore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2.中标、成交供应商享受《政府采购促进中小企业发展管理办法》（财库[2020]46号）规定的中小企业扶持政策的，《中小企业声明函》随中标、成交结果公开。</w:t>
      </w:r>
    </w:p>
    <w:p w14:paraId="5679E11F">
      <w:pPr>
        <w:keepNext w:val="0"/>
        <w:keepLines w:val="0"/>
        <w:pageBreakBefore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4FA7F46A">
      <w:pPr>
        <w:keepNext w:val="0"/>
        <w:keepLines w:val="0"/>
        <w:pageBreakBefore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bCs/>
          <w:color w:val="auto"/>
          <w:sz w:val="24"/>
          <w:highlight w:val="none"/>
        </w:rPr>
      </w:pPr>
      <w:r>
        <w:rPr>
          <w:rFonts w:hint="eastAsia" w:ascii="宋体" w:hAnsi="宋体" w:eastAsia="宋体" w:cs="宋体"/>
          <w:b/>
          <w:color w:val="auto"/>
          <w:szCs w:val="21"/>
          <w:highlight w:val="none"/>
        </w:rPr>
        <w:t>4.本项目采购标的对应的中小企业划分标准所属行业：</w:t>
      </w:r>
      <w:r>
        <w:rPr>
          <w:rFonts w:hint="eastAsia" w:ascii="宋体" w:hAnsi="宋体" w:eastAsia="宋体" w:cs="宋体"/>
          <w:b/>
          <w:color w:val="auto"/>
          <w:szCs w:val="21"/>
          <w:highlight w:val="none"/>
          <w:lang w:val="en-US" w:eastAsia="zh-CN"/>
        </w:rPr>
        <w:t>其他未列明行业</w:t>
      </w:r>
      <w:r>
        <w:rPr>
          <w:rFonts w:hint="eastAsia" w:ascii="宋体" w:hAnsi="宋体" w:eastAsia="宋体" w:cs="宋体"/>
          <w:b/>
          <w:color w:val="auto"/>
          <w:szCs w:val="21"/>
          <w:highlight w:val="none"/>
        </w:rPr>
        <w:t>。</w:t>
      </w:r>
    </w:p>
    <w:p w14:paraId="393A47DB">
      <w:pPr>
        <w:jc w:val="left"/>
        <w:rPr>
          <w:rFonts w:hint="eastAsia" w:ascii="宋体" w:hAnsi="宋体" w:eastAsia="宋体" w:cs="宋体"/>
          <w:b/>
          <w:bCs/>
          <w:color w:val="auto"/>
          <w:szCs w:val="21"/>
          <w:highlight w:val="none"/>
          <w:lang w:val="en-US" w:eastAsia="zh-CN"/>
        </w:rPr>
      </w:pPr>
    </w:p>
    <w:p w14:paraId="10DFA6D7">
      <w:pPr>
        <w:jc w:val="left"/>
        <w:rPr>
          <w:rFonts w:hint="eastAsia" w:ascii="宋体" w:hAnsi="宋体" w:eastAsia="宋体" w:cs="宋体"/>
          <w:b/>
          <w:bCs/>
          <w:color w:val="auto"/>
          <w:szCs w:val="21"/>
          <w:highlight w:val="none"/>
          <w:lang w:val="en-US" w:eastAsia="zh-CN"/>
        </w:rPr>
      </w:pPr>
    </w:p>
    <w:p w14:paraId="5861AA50">
      <w:pPr>
        <w:jc w:val="left"/>
        <w:rPr>
          <w:rFonts w:hint="eastAsia" w:ascii="宋体" w:hAnsi="宋体" w:eastAsia="宋体" w:cs="宋体"/>
          <w:b/>
          <w:bCs/>
          <w:color w:val="auto"/>
          <w:szCs w:val="21"/>
          <w:highlight w:val="none"/>
          <w:lang w:val="en-US" w:eastAsia="zh-CN"/>
        </w:rPr>
      </w:pPr>
    </w:p>
    <w:p w14:paraId="67D493AB">
      <w:pPr>
        <w:jc w:val="left"/>
        <w:rPr>
          <w:rFonts w:hint="eastAsia" w:ascii="宋体" w:hAnsi="宋体" w:eastAsia="宋体" w:cs="宋体"/>
          <w:b/>
          <w:bCs/>
          <w:color w:val="auto"/>
          <w:szCs w:val="21"/>
          <w:highlight w:val="none"/>
          <w:lang w:val="en-US" w:eastAsia="zh-CN"/>
        </w:rPr>
      </w:pPr>
    </w:p>
    <w:p w14:paraId="795F4B14">
      <w:pPr>
        <w:jc w:val="left"/>
        <w:rPr>
          <w:rFonts w:hint="eastAsia" w:ascii="宋体" w:hAnsi="宋体" w:eastAsia="宋体" w:cs="宋体"/>
          <w:b/>
          <w:bCs/>
          <w:color w:val="auto"/>
          <w:szCs w:val="21"/>
          <w:highlight w:val="none"/>
          <w:lang w:val="en-US" w:eastAsia="zh-CN"/>
        </w:rPr>
      </w:pPr>
    </w:p>
    <w:p w14:paraId="5D2CF92B">
      <w:pPr>
        <w:jc w:val="left"/>
        <w:rPr>
          <w:rFonts w:hint="eastAsia" w:ascii="宋体" w:hAnsi="宋体" w:eastAsia="宋体" w:cs="宋体"/>
          <w:b/>
          <w:bCs/>
          <w:color w:val="auto"/>
          <w:szCs w:val="21"/>
          <w:highlight w:val="none"/>
          <w:lang w:val="en-US" w:eastAsia="zh-CN"/>
        </w:rPr>
      </w:pPr>
    </w:p>
    <w:p w14:paraId="788C8BF3">
      <w:pPr>
        <w:jc w:val="left"/>
        <w:rPr>
          <w:rFonts w:hint="eastAsia" w:ascii="宋体" w:hAnsi="宋体" w:eastAsia="宋体" w:cs="宋体"/>
          <w:b/>
          <w:color w:val="auto"/>
          <w:sz w:val="24"/>
          <w:highlight w:val="none"/>
        </w:rPr>
      </w:pPr>
      <w:r>
        <w:rPr>
          <w:rFonts w:hint="eastAsia" w:ascii="宋体" w:hAnsi="宋体" w:eastAsia="宋体" w:cs="宋体"/>
          <w:b/>
          <w:bCs/>
          <w:color w:val="auto"/>
          <w:szCs w:val="21"/>
          <w:highlight w:val="none"/>
          <w:lang w:val="en-US" w:eastAsia="zh-CN"/>
        </w:rPr>
        <w:t>十三</w:t>
      </w:r>
      <w:r>
        <w:rPr>
          <w:rFonts w:hint="eastAsia" w:ascii="宋体" w:hAnsi="宋体" w:eastAsia="宋体" w:cs="宋体"/>
          <w:b/>
          <w:bCs/>
          <w:color w:val="auto"/>
          <w:szCs w:val="21"/>
          <w:highlight w:val="none"/>
        </w:rPr>
        <w:t>、残疾人福利性单位声明函格式：</w:t>
      </w:r>
    </w:p>
    <w:p w14:paraId="785540F5">
      <w:pPr>
        <w:jc w:val="left"/>
        <w:rPr>
          <w:rFonts w:hint="eastAsia" w:ascii="宋体" w:hAnsi="宋体" w:eastAsia="宋体" w:cs="宋体"/>
          <w:color w:val="auto"/>
          <w:sz w:val="24"/>
          <w:highlight w:val="none"/>
        </w:rPr>
      </w:pPr>
    </w:p>
    <w:p w14:paraId="74356E0B">
      <w:pPr>
        <w:jc w:val="center"/>
        <w:rPr>
          <w:rFonts w:hint="eastAsia" w:ascii="宋体" w:hAnsi="宋体" w:eastAsia="宋体" w:cs="宋体"/>
          <w:color w:val="auto"/>
          <w:sz w:val="24"/>
          <w:highlight w:val="none"/>
        </w:rPr>
      </w:pPr>
    </w:p>
    <w:p w14:paraId="724317D2">
      <w:pPr>
        <w:widowControl/>
        <w:spacing w:line="588" w:lineRule="atLeast"/>
        <w:jc w:val="center"/>
        <w:rPr>
          <w:rFonts w:hint="eastAsia" w:ascii="宋体" w:hAnsi="宋体" w:eastAsia="宋体" w:cs="宋体"/>
          <w:b/>
          <w:color w:val="auto"/>
          <w:spacing w:val="6"/>
          <w:kern w:val="0"/>
          <w:szCs w:val="21"/>
          <w:highlight w:val="none"/>
        </w:rPr>
      </w:pPr>
      <w:r>
        <w:rPr>
          <w:rFonts w:hint="eastAsia" w:ascii="宋体" w:hAnsi="宋体" w:eastAsia="宋体" w:cs="宋体"/>
          <w:b/>
          <w:color w:val="auto"/>
          <w:spacing w:val="6"/>
          <w:kern w:val="0"/>
          <w:szCs w:val="21"/>
          <w:highlight w:val="none"/>
        </w:rPr>
        <w:t>残疾人福利性单位声明函（服务）</w:t>
      </w:r>
    </w:p>
    <w:p w14:paraId="483C8125">
      <w:pPr>
        <w:widowControl/>
        <w:spacing w:before="312" w:beforeLines="100" w:line="500" w:lineRule="exact"/>
        <w:ind w:firstLine="601"/>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中国残疾人联合会关于促进残疾人就业政府采购政策的通知》（财库〔2017〕141号）的规定，本单位为符合条件的残疾人福利性单位，且本单位参加______单位的______项目采购活动由本单位提供服务。</w:t>
      </w:r>
    </w:p>
    <w:p w14:paraId="48758343">
      <w:pPr>
        <w:widowControl/>
        <w:spacing w:line="500" w:lineRule="exact"/>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本单位对上述声明的真实性负责。如有虚假，将依法承担相应责任。</w:t>
      </w:r>
    </w:p>
    <w:p w14:paraId="512665FF">
      <w:pPr>
        <w:widowControl/>
        <w:spacing w:line="500" w:lineRule="exact"/>
        <w:rPr>
          <w:rFonts w:hint="eastAsia" w:ascii="宋体" w:hAnsi="宋体" w:eastAsia="宋体" w:cs="宋体"/>
          <w:color w:val="auto"/>
          <w:spacing w:val="6"/>
          <w:kern w:val="0"/>
          <w:szCs w:val="21"/>
          <w:highlight w:val="none"/>
        </w:rPr>
      </w:pPr>
    </w:p>
    <w:p w14:paraId="77DD805F">
      <w:pPr>
        <w:widowControl/>
        <w:spacing w:line="500" w:lineRule="exact"/>
        <w:ind w:right="1560" w:firstLine="600"/>
        <w:jc w:val="center"/>
        <w:rPr>
          <w:rFonts w:hint="eastAsia" w:ascii="宋体" w:hAnsi="宋体" w:eastAsia="宋体" w:cs="宋体"/>
          <w:color w:val="auto"/>
          <w:szCs w:val="21"/>
          <w:highlight w:val="none"/>
        </w:rPr>
      </w:pPr>
      <w:r>
        <w:rPr>
          <w:rFonts w:hint="eastAsia" w:ascii="宋体" w:hAnsi="宋体" w:eastAsia="宋体" w:cs="宋体"/>
          <w:color w:val="auto"/>
          <w:spacing w:val="6"/>
          <w:kern w:val="0"/>
          <w:szCs w:val="21"/>
          <w:highlight w:val="none"/>
        </w:rPr>
        <w:t xml:space="preserve">               </w:t>
      </w:r>
      <w:r>
        <w:rPr>
          <w:rFonts w:hint="eastAsia" w:ascii="宋体" w:hAnsi="宋体" w:eastAsia="宋体" w:cs="宋体"/>
          <w:color w:val="auto"/>
          <w:szCs w:val="21"/>
          <w:highlight w:val="none"/>
        </w:rPr>
        <w:t>单位名称（盖章）：</w:t>
      </w:r>
    </w:p>
    <w:p w14:paraId="1205CF1F">
      <w:pPr>
        <w:widowControl/>
        <w:spacing w:line="500" w:lineRule="exact"/>
        <w:ind w:right="1560" w:firstLine="60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日  期：</w:t>
      </w:r>
    </w:p>
    <w:p w14:paraId="2E50F38E">
      <w:pPr>
        <w:spacing w:before="312" w:beforeLines="100" w:line="440" w:lineRule="atLeast"/>
        <w:ind w:firstLine="444" w:firstLineChars="200"/>
        <w:rPr>
          <w:rFonts w:hint="eastAsia" w:ascii="宋体" w:hAnsi="宋体" w:eastAsia="宋体" w:cs="宋体"/>
          <w:color w:val="auto"/>
          <w:spacing w:val="6"/>
          <w:szCs w:val="21"/>
          <w:highlight w:val="none"/>
        </w:rPr>
      </w:pPr>
    </w:p>
    <w:p w14:paraId="5596F6E5">
      <w:pPr>
        <w:spacing w:before="312" w:beforeLines="100" w:line="440" w:lineRule="atLeast"/>
        <w:ind w:firstLine="444" w:firstLineChars="200"/>
        <w:rPr>
          <w:rFonts w:hint="eastAsia" w:ascii="宋体" w:hAnsi="宋体" w:eastAsia="宋体" w:cs="宋体"/>
          <w:color w:val="auto"/>
          <w:spacing w:val="6"/>
          <w:szCs w:val="21"/>
          <w:highlight w:val="none"/>
        </w:rPr>
      </w:pPr>
    </w:p>
    <w:p w14:paraId="611A0DC7">
      <w:pPr>
        <w:spacing w:line="360" w:lineRule="auto"/>
        <w:rPr>
          <w:rFonts w:hint="eastAsia" w:ascii="宋体" w:hAnsi="宋体" w:eastAsia="宋体" w:cs="宋体"/>
          <w:b/>
          <w:color w:val="auto"/>
          <w:spacing w:val="20"/>
          <w:szCs w:val="21"/>
          <w:highlight w:val="none"/>
        </w:rPr>
      </w:pPr>
      <w:r>
        <w:rPr>
          <w:rFonts w:hint="eastAsia" w:ascii="宋体" w:hAnsi="宋体" w:eastAsia="宋体" w:cs="宋体"/>
          <w:b/>
          <w:color w:val="auto"/>
          <w:spacing w:val="20"/>
          <w:szCs w:val="21"/>
          <w:highlight w:val="none"/>
        </w:rPr>
        <w:t>注：</w:t>
      </w:r>
    </w:p>
    <w:p w14:paraId="5732E0C7">
      <w:pPr>
        <w:snapToGrid w:val="0"/>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1.中标、成交供应商为残疾人福利性单位的，《残疾人福利性单位声明函》随中标、成交结果同时公告，接受社会监督。</w:t>
      </w:r>
    </w:p>
    <w:p w14:paraId="58E81946">
      <w:pPr>
        <w:snapToGrid w:val="0"/>
        <w:spacing w:line="360" w:lineRule="auto"/>
        <w:ind w:firstLine="422" w:firstLineChars="200"/>
        <w:jc w:val="left"/>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2.供应商提供的《残疾人福利性单位声明函》与事实不符的，依照《政府采购法》第七十七条第一款的规定追究法律责任。</w:t>
      </w:r>
    </w:p>
    <w:p w14:paraId="2EB1AA3A">
      <w:pPr>
        <w:widowControl w:val="0"/>
        <w:spacing w:line="360" w:lineRule="auto"/>
        <w:ind w:firstLine="0"/>
        <w:jc w:val="left"/>
        <w:rPr>
          <w:rFonts w:hint="eastAsia" w:ascii="宋体" w:hAnsi="宋体" w:eastAsia="宋体" w:cs="宋体"/>
          <w:b/>
          <w:bCs/>
          <w:color w:val="auto"/>
          <w:spacing w:val="-4"/>
          <w:kern w:val="2"/>
          <w:sz w:val="21"/>
          <w:szCs w:val="21"/>
          <w:highlight w:val="none"/>
          <w:lang w:val="en-US" w:eastAsia="zh-CN" w:bidi="ar-SA"/>
        </w:rPr>
      </w:pPr>
    </w:p>
    <w:p w14:paraId="3F98467F">
      <w:pPr>
        <w:widowControl w:val="0"/>
        <w:spacing w:line="360" w:lineRule="auto"/>
        <w:ind w:firstLine="0"/>
        <w:jc w:val="left"/>
        <w:rPr>
          <w:rFonts w:hint="eastAsia" w:ascii="宋体" w:hAnsi="宋体" w:eastAsia="宋体" w:cs="宋体"/>
          <w:b/>
          <w:bCs/>
          <w:color w:val="auto"/>
          <w:spacing w:val="-4"/>
          <w:kern w:val="2"/>
          <w:sz w:val="21"/>
          <w:szCs w:val="21"/>
          <w:highlight w:val="none"/>
          <w:lang w:val="en-US" w:eastAsia="zh-CN" w:bidi="ar-SA"/>
        </w:rPr>
      </w:pPr>
    </w:p>
    <w:p w14:paraId="40409601">
      <w:pPr>
        <w:widowControl w:val="0"/>
        <w:spacing w:line="360" w:lineRule="auto"/>
        <w:ind w:firstLine="0"/>
        <w:jc w:val="left"/>
        <w:rPr>
          <w:rFonts w:hint="eastAsia" w:ascii="宋体" w:hAnsi="宋体" w:eastAsia="宋体" w:cs="宋体"/>
          <w:b/>
          <w:bCs/>
          <w:color w:val="auto"/>
          <w:spacing w:val="-4"/>
          <w:kern w:val="2"/>
          <w:sz w:val="21"/>
          <w:szCs w:val="21"/>
          <w:highlight w:val="none"/>
          <w:lang w:val="en-US" w:eastAsia="zh-CN" w:bidi="ar-SA"/>
        </w:rPr>
      </w:pPr>
    </w:p>
    <w:p w14:paraId="4C1FCB05">
      <w:pPr>
        <w:widowControl w:val="0"/>
        <w:spacing w:line="360" w:lineRule="auto"/>
        <w:ind w:firstLine="0"/>
        <w:jc w:val="left"/>
        <w:rPr>
          <w:rFonts w:hint="eastAsia" w:ascii="宋体" w:hAnsi="宋体" w:eastAsia="宋体" w:cs="宋体"/>
          <w:b/>
          <w:bCs/>
          <w:color w:val="auto"/>
          <w:spacing w:val="-4"/>
          <w:kern w:val="2"/>
          <w:sz w:val="21"/>
          <w:szCs w:val="21"/>
          <w:highlight w:val="none"/>
          <w:lang w:val="en-US" w:eastAsia="zh-CN" w:bidi="ar-SA"/>
        </w:rPr>
      </w:pPr>
    </w:p>
    <w:p w14:paraId="63EA9AAC">
      <w:pPr>
        <w:widowControl w:val="0"/>
        <w:spacing w:line="360" w:lineRule="auto"/>
        <w:ind w:firstLine="0"/>
        <w:jc w:val="left"/>
        <w:rPr>
          <w:rFonts w:hint="eastAsia" w:ascii="宋体" w:hAnsi="宋体" w:eastAsia="宋体" w:cs="宋体"/>
          <w:b/>
          <w:bCs/>
          <w:color w:val="auto"/>
          <w:spacing w:val="-4"/>
          <w:kern w:val="2"/>
          <w:sz w:val="21"/>
          <w:szCs w:val="21"/>
          <w:highlight w:val="none"/>
          <w:lang w:val="en-US" w:eastAsia="zh-CN" w:bidi="ar-SA"/>
        </w:rPr>
      </w:pPr>
    </w:p>
    <w:p w14:paraId="7BEB2FB4">
      <w:pPr>
        <w:widowControl w:val="0"/>
        <w:spacing w:line="360" w:lineRule="auto"/>
        <w:ind w:firstLine="0"/>
        <w:jc w:val="left"/>
        <w:rPr>
          <w:rFonts w:hint="eastAsia" w:ascii="宋体" w:hAnsi="宋体" w:eastAsia="宋体" w:cs="宋体"/>
          <w:b/>
          <w:bCs/>
          <w:color w:val="auto"/>
          <w:spacing w:val="-4"/>
          <w:kern w:val="2"/>
          <w:sz w:val="21"/>
          <w:szCs w:val="21"/>
          <w:highlight w:val="none"/>
          <w:lang w:val="en-US" w:eastAsia="zh-CN" w:bidi="ar-SA"/>
        </w:rPr>
      </w:pPr>
    </w:p>
    <w:p w14:paraId="17361291">
      <w:pPr>
        <w:rPr>
          <w:rFonts w:hint="eastAsia" w:ascii="宋体" w:hAnsi="宋体" w:eastAsia="宋体" w:cs="宋体"/>
          <w:b/>
          <w:color w:val="auto"/>
          <w:szCs w:val="21"/>
          <w:highlight w:val="none"/>
        </w:rPr>
      </w:pPr>
    </w:p>
    <w:p w14:paraId="352C85A1">
      <w:pPr>
        <w:rPr>
          <w:rFonts w:hint="eastAsia" w:ascii="宋体" w:hAnsi="宋体" w:eastAsia="宋体" w:cs="宋体"/>
          <w:b/>
          <w:color w:val="auto"/>
          <w:szCs w:val="21"/>
          <w:highlight w:val="none"/>
        </w:rPr>
      </w:pPr>
    </w:p>
    <w:p w14:paraId="6DBD99C2">
      <w:pPr>
        <w:rPr>
          <w:rFonts w:hint="eastAsia" w:ascii="宋体" w:hAnsi="宋体" w:eastAsia="宋体" w:cs="宋体"/>
          <w:b/>
          <w:color w:val="auto"/>
          <w:szCs w:val="21"/>
          <w:highlight w:val="none"/>
        </w:rPr>
      </w:pPr>
    </w:p>
    <w:p w14:paraId="69420F8E">
      <w:pPr>
        <w:rPr>
          <w:rFonts w:hint="eastAsia" w:ascii="宋体" w:hAnsi="宋体" w:eastAsia="宋体" w:cs="宋体"/>
          <w:b/>
          <w:color w:val="auto"/>
          <w:szCs w:val="21"/>
          <w:highlight w:val="none"/>
        </w:rPr>
      </w:pPr>
    </w:p>
    <w:p w14:paraId="41AFF118">
      <w:pPr>
        <w:rPr>
          <w:rFonts w:hint="eastAsia" w:ascii="宋体" w:hAnsi="宋体" w:eastAsia="宋体" w:cs="宋体"/>
          <w:b/>
          <w:color w:val="auto"/>
          <w:szCs w:val="21"/>
          <w:highlight w:val="none"/>
        </w:rPr>
      </w:pPr>
    </w:p>
    <w:p w14:paraId="5F96C3A8">
      <w:pPr>
        <w:snapToGrid w:val="0"/>
        <w:spacing w:before="50" w:after="50" w:line="480" w:lineRule="auto"/>
        <w:ind w:left="-21" w:leftChars="-72" w:right="-817" w:rightChars="-389" w:hanging="130" w:hangingChars="62"/>
        <w:rPr>
          <w:rFonts w:hint="eastAsia" w:ascii="宋体" w:hAnsi="宋体" w:eastAsia="宋体" w:cs="宋体"/>
          <w:color w:val="auto"/>
          <w:szCs w:val="21"/>
          <w:highlight w:val="none"/>
        </w:rPr>
      </w:pPr>
    </w:p>
    <w:p w14:paraId="32EBCAF0">
      <w:pPr>
        <w:jc w:val="left"/>
        <w:rPr>
          <w:rFonts w:hint="eastAsia" w:ascii="宋体" w:hAnsi="宋体" w:eastAsia="宋体" w:cs="宋体"/>
          <w:color w:val="auto"/>
          <w:highlight w:val="none"/>
        </w:rPr>
      </w:pPr>
      <w:r>
        <w:rPr>
          <w:rFonts w:hint="eastAsia" w:ascii="宋体" w:hAnsi="宋体" w:eastAsia="宋体" w:cs="宋体"/>
          <w:b/>
          <w:bCs/>
          <w:color w:val="auto"/>
          <w:spacing w:val="-4"/>
          <w:szCs w:val="21"/>
          <w:highlight w:val="none"/>
        </w:rPr>
        <w:t>十</w:t>
      </w:r>
      <w:r>
        <w:rPr>
          <w:rFonts w:hint="eastAsia" w:ascii="宋体" w:hAnsi="宋体" w:cs="宋体"/>
          <w:b/>
          <w:bCs/>
          <w:color w:val="auto"/>
          <w:spacing w:val="-4"/>
          <w:szCs w:val="21"/>
          <w:highlight w:val="none"/>
          <w:lang w:val="en-US" w:eastAsia="zh-CN"/>
        </w:rPr>
        <w:t>四</w:t>
      </w:r>
      <w:r>
        <w:rPr>
          <w:rFonts w:hint="eastAsia" w:ascii="宋体" w:hAnsi="宋体" w:eastAsia="宋体" w:cs="宋体"/>
          <w:b/>
          <w:bCs/>
          <w:color w:val="auto"/>
          <w:spacing w:val="-4"/>
          <w:szCs w:val="21"/>
          <w:highlight w:val="none"/>
        </w:rPr>
        <w:t>、政府采购投标人质疑函范本</w:t>
      </w:r>
    </w:p>
    <w:tbl>
      <w:tblPr>
        <w:tblStyle w:val="23"/>
        <w:tblW w:w="9299" w:type="dxa"/>
        <w:jc w:val="center"/>
        <w:tblCellSpacing w:w="0" w:type="dxa"/>
        <w:tblLayout w:type="fixed"/>
        <w:tblCellMar>
          <w:top w:w="0" w:type="dxa"/>
          <w:left w:w="0" w:type="dxa"/>
          <w:bottom w:w="0" w:type="dxa"/>
          <w:right w:w="0" w:type="dxa"/>
        </w:tblCellMar>
      </w:tblPr>
      <w:tblGrid>
        <w:gridCol w:w="9299"/>
      </w:tblGrid>
      <w:tr w14:paraId="097840E7">
        <w:tblPrEx>
          <w:tblCellMar>
            <w:top w:w="0" w:type="dxa"/>
            <w:left w:w="0" w:type="dxa"/>
            <w:bottom w:w="0" w:type="dxa"/>
            <w:right w:w="0" w:type="dxa"/>
          </w:tblCellMar>
        </w:tblPrEx>
        <w:trPr>
          <w:trHeight w:val="5632" w:hRule="atLeast"/>
          <w:tblCellSpacing w:w="0" w:type="dxa"/>
          <w:jc w:val="center"/>
        </w:trPr>
        <w:tc>
          <w:tcPr>
            <w:tcW w:w="9299" w:type="dxa"/>
            <w:vAlign w:val="center"/>
          </w:tcPr>
          <w:tbl>
            <w:tblPr>
              <w:tblStyle w:val="23"/>
              <w:tblW w:w="9299" w:type="dxa"/>
              <w:tblCellSpacing w:w="0" w:type="dxa"/>
              <w:tblInd w:w="0" w:type="dxa"/>
              <w:shd w:val="clear" w:color="auto" w:fill="FFFFFF"/>
              <w:tblLayout w:type="fixed"/>
              <w:tblCellMar>
                <w:top w:w="0" w:type="dxa"/>
                <w:left w:w="0" w:type="dxa"/>
                <w:bottom w:w="0" w:type="dxa"/>
                <w:right w:w="0" w:type="dxa"/>
              </w:tblCellMar>
            </w:tblPr>
            <w:tblGrid>
              <w:gridCol w:w="9299"/>
            </w:tblGrid>
            <w:tr w14:paraId="293F44F8">
              <w:tblPrEx>
                <w:shd w:val="clear" w:color="auto" w:fill="FFFFFF"/>
                <w:tblCellMar>
                  <w:top w:w="0" w:type="dxa"/>
                  <w:left w:w="0" w:type="dxa"/>
                  <w:bottom w:w="0" w:type="dxa"/>
                  <w:right w:w="0" w:type="dxa"/>
                </w:tblCellMar>
              </w:tblPrEx>
              <w:trPr>
                <w:trHeight w:val="1140" w:hRule="atLeast"/>
                <w:tblCellSpacing w:w="0" w:type="dxa"/>
              </w:trPr>
              <w:tc>
                <w:tcPr>
                  <w:tcW w:w="9299" w:type="dxa"/>
                  <w:shd w:val="clear" w:color="auto" w:fill="FFFFFF"/>
                </w:tcPr>
                <w:tbl>
                  <w:tblPr>
                    <w:tblStyle w:val="23"/>
                    <w:tblW w:w="7904" w:type="dxa"/>
                    <w:jc w:val="center"/>
                    <w:tblCellSpacing w:w="0" w:type="dxa"/>
                    <w:tblLayout w:type="fixed"/>
                    <w:tblCellMar>
                      <w:top w:w="0" w:type="dxa"/>
                      <w:left w:w="0" w:type="dxa"/>
                      <w:bottom w:w="0" w:type="dxa"/>
                      <w:right w:w="0" w:type="dxa"/>
                    </w:tblCellMar>
                  </w:tblPr>
                  <w:tblGrid>
                    <w:gridCol w:w="7904"/>
                  </w:tblGrid>
                  <w:tr w14:paraId="615D2673">
                    <w:tblPrEx>
                      <w:tblCellMar>
                        <w:top w:w="0" w:type="dxa"/>
                        <w:left w:w="0" w:type="dxa"/>
                        <w:bottom w:w="0" w:type="dxa"/>
                        <w:right w:w="0" w:type="dxa"/>
                      </w:tblCellMar>
                    </w:tblPrEx>
                    <w:trPr>
                      <w:tblCellSpacing w:w="0" w:type="dxa"/>
                      <w:jc w:val="center"/>
                    </w:trPr>
                    <w:tc>
                      <w:tcPr>
                        <w:tcW w:w="7904" w:type="dxa"/>
                        <w:vAlign w:val="center"/>
                      </w:tcPr>
                      <w:p w14:paraId="4C74707E">
                        <w:pPr>
                          <w:widowControl/>
                          <w:spacing w:beforeAutospacing="1" w:afterAutospacing="1"/>
                          <w:ind w:firstLine="422"/>
                          <w:jc w:val="center"/>
                          <w:rPr>
                            <w:rFonts w:hint="eastAsia" w:ascii="宋体" w:hAnsi="宋体" w:eastAsia="宋体" w:cs="宋体"/>
                            <w:color w:val="auto"/>
                            <w:sz w:val="28"/>
                            <w:szCs w:val="28"/>
                            <w:highlight w:val="none"/>
                          </w:rPr>
                        </w:pPr>
                        <w:r>
                          <w:rPr>
                            <w:rFonts w:hint="eastAsia" w:ascii="宋体" w:hAnsi="宋体" w:eastAsia="宋体" w:cs="宋体"/>
                            <w:b/>
                            <w:color w:val="auto"/>
                            <w:kern w:val="0"/>
                            <w:sz w:val="28"/>
                            <w:szCs w:val="28"/>
                            <w:highlight w:val="none"/>
                          </w:rPr>
                          <w:t>质疑函范本</w:t>
                        </w:r>
                      </w:p>
                      <w:p w14:paraId="13F739E0">
                        <w:pPr>
                          <w:widowControl/>
                          <w:adjustRightInd w:val="0"/>
                          <w:snapToGrid w:val="0"/>
                          <w:spacing w:before="312" w:beforeLines="100" w:afterAutospacing="1"/>
                          <w:ind w:firstLine="420"/>
                          <w:jc w:val="left"/>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一、质疑投标人基本信息</w:t>
                        </w:r>
                      </w:p>
                      <w:p w14:paraId="00637DF8">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质疑投标人：</w:t>
                        </w:r>
                      </w:p>
                      <w:p w14:paraId="45E447E4">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地址：邮编：</w:t>
                        </w:r>
                      </w:p>
                      <w:p w14:paraId="164E87A6">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联系人：联系电话：</w:t>
                        </w:r>
                      </w:p>
                      <w:p w14:paraId="3FC70336">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授权代表：联系电话：</w:t>
                        </w:r>
                      </w:p>
                      <w:p w14:paraId="1248394A">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地址： 邮编：</w:t>
                        </w:r>
                      </w:p>
                      <w:p w14:paraId="507BE58B">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二、质疑项目基本情况</w:t>
                        </w:r>
                      </w:p>
                      <w:p w14:paraId="5E9B09B9">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质疑项目的名称：</w:t>
                        </w:r>
                      </w:p>
                      <w:p w14:paraId="76AC485D">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质疑项目的编号：包号：</w:t>
                        </w:r>
                      </w:p>
                      <w:p w14:paraId="17FE3435">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采购人名称：</w:t>
                        </w:r>
                      </w:p>
                      <w:p w14:paraId="1E9EE691">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采购文件获取日期：</w:t>
                        </w:r>
                      </w:p>
                      <w:p w14:paraId="0F0FEDA7">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三、质疑事项具体内容</w:t>
                        </w:r>
                      </w:p>
                      <w:p w14:paraId="4249E76F">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质疑事项1：</w:t>
                        </w:r>
                      </w:p>
                      <w:p w14:paraId="0785B5E1">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事实依据：</w:t>
                        </w:r>
                      </w:p>
                      <w:p w14:paraId="236831FC">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法律依据：</w:t>
                        </w:r>
                      </w:p>
                      <w:p w14:paraId="5F775074">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质疑事项2</w:t>
                        </w:r>
                      </w:p>
                      <w:p w14:paraId="4AAFDD23">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w:t>
                        </w:r>
                      </w:p>
                      <w:p w14:paraId="197047DE">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bCs/>
                            <w:color w:val="auto"/>
                            <w:kern w:val="0"/>
                            <w:szCs w:val="21"/>
                            <w:highlight w:val="none"/>
                          </w:rPr>
                          <w:t>四、与质疑事项相关的质疑请求</w:t>
                        </w:r>
                      </w:p>
                      <w:p w14:paraId="7EA523BE">
                        <w:pPr>
                          <w:widowControl/>
                          <w:adjustRightInd w:val="0"/>
                          <w:snapToGrid w:val="0"/>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请求：</w:t>
                        </w:r>
                      </w:p>
                      <w:p w14:paraId="563C5E08">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 xml:space="preserve">签字(签章)：                   公章：                      </w:t>
                        </w:r>
                      </w:p>
                      <w:p w14:paraId="16FC552E">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 xml:space="preserve">日期：   </w:t>
                        </w:r>
                      </w:p>
                      <w:p w14:paraId="4694CE46">
                        <w:pPr>
                          <w:widowControl/>
                          <w:spacing w:beforeAutospacing="1" w:afterAutospacing="1"/>
                          <w:ind w:firstLine="422"/>
                          <w:jc w:val="left"/>
                          <w:rPr>
                            <w:rFonts w:hint="eastAsia" w:ascii="宋体" w:hAnsi="宋体" w:eastAsia="宋体" w:cs="宋体"/>
                            <w:b/>
                            <w:color w:val="auto"/>
                            <w:kern w:val="0"/>
                            <w:szCs w:val="21"/>
                            <w:highlight w:val="none"/>
                          </w:rPr>
                        </w:pPr>
                      </w:p>
                      <w:p w14:paraId="66B692CA">
                        <w:pPr>
                          <w:widowControl/>
                          <w:spacing w:beforeAutospacing="1" w:afterAutospacing="1"/>
                          <w:ind w:firstLine="422"/>
                          <w:jc w:val="left"/>
                          <w:rPr>
                            <w:rFonts w:hint="eastAsia" w:ascii="宋体" w:hAnsi="宋体" w:eastAsia="宋体" w:cs="宋体"/>
                            <w:b/>
                            <w:color w:val="auto"/>
                            <w:kern w:val="0"/>
                            <w:szCs w:val="21"/>
                            <w:highlight w:val="none"/>
                          </w:rPr>
                        </w:pPr>
                      </w:p>
                      <w:p w14:paraId="693BA62B">
                        <w:pPr>
                          <w:widowControl/>
                          <w:spacing w:beforeAutospacing="1" w:afterAutospacing="1"/>
                          <w:ind w:firstLine="422"/>
                          <w:jc w:val="left"/>
                          <w:rPr>
                            <w:rFonts w:hint="eastAsia" w:ascii="宋体" w:hAnsi="宋体" w:eastAsia="宋体" w:cs="宋体"/>
                            <w:color w:val="auto"/>
                            <w:szCs w:val="21"/>
                            <w:highlight w:val="none"/>
                          </w:rPr>
                        </w:pPr>
                        <w:r>
                          <w:rPr>
                            <w:rFonts w:hint="eastAsia" w:ascii="宋体" w:hAnsi="宋体" w:eastAsia="宋体" w:cs="宋体"/>
                            <w:b/>
                            <w:color w:val="auto"/>
                            <w:kern w:val="0"/>
                            <w:szCs w:val="21"/>
                            <w:highlight w:val="none"/>
                          </w:rPr>
                          <w:t>质疑函制作说明：</w:t>
                        </w:r>
                      </w:p>
                      <w:p w14:paraId="139B841F">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1.投标人提出质疑时，应提交质疑函和必要的证明材料。</w:t>
                        </w:r>
                      </w:p>
                      <w:p w14:paraId="13EACE04">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2.质疑投标人若委托代理人进行质疑的，质疑函应按要求列明“授权代表”的有关内容，并在附件中提交由质疑投标人签署的授权委托书。授权委托书应载明代理人的姓名或者名称、代理事项、具体权限、期限和相关事项。</w:t>
                        </w:r>
                      </w:p>
                      <w:p w14:paraId="0495439C">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3.质疑投标人若对项目的某一分包进行质疑，质疑函中应列明具体分包号。</w:t>
                        </w:r>
                      </w:p>
                      <w:p w14:paraId="4F6335EB">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4.质疑函的质疑事项应具体、明确，并有必要的事实依据和法律依据。</w:t>
                        </w:r>
                      </w:p>
                      <w:p w14:paraId="12320A7A">
                        <w:pPr>
                          <w:widowControl/>
                          <w:spacing w:beforeAutospacing="1" w:afterAutospacing="1"/>
                          <w:ind w:firstLine="420"/>
                          <w:jc w:val="left"/>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5.质疑函的质疑请求应与质疑事项相关。</w:t>
                        </w:r>
                      </w:p>
                      <w:p w14:paraId="1DDA42DB">
                        <w:pPr>
                          <w:widowControl/>
                          <w:spacing w:before="100" w:beforeAutospacing="1" w:after="100" w:afterAutospacing="1"/>
                          <w:ind w:firstLine="420"/>
                          <w:jc w:val="left"/>
                          <w:rPr>
                            <w:rFonts w:hint="eastAsia" w:ascii="宋体" w:hAnsi="宋体" w:eastAsia="宋体" w:cs="宋体"/>
                            <w:color w:val="auto"/>
                            <w:highlight w:val="none"/>
                          </w:rPr>
                        </w:pPr>
                        <w:r>
                          <w:rPr>
                            <w:rFonts w:hint="eastAsia" w:ascii="宋体" w:hAnsi="宋体" w:eastAsia="宋体" w:cs="宋体"/>
                            <w:color w:val="auto"/>
                            <w:kern w:val="0"/>
                            <w:szCs w:val="21"/>
                            <w:highlight w:val="none"/>
                          </w:rPr>
                          <w:t>6.质疑投标人为自然人的，质疑函应由本人签字；质疑投标人为法人或者其他组织的，质疑函应由法定代表人、主要负责人，或者其授权代表签字或者盖章，并加盖公章。</w:t>
                        </w:r>
                      </w:p>
                    </w:tc>
                  </w:tr>
                </w:tbl>
                <w:p w14:paraId="65B534C4">
                  <w:pPr>
                    <w:ind w:firstLine="360"/>
                    <w:jc w:val="center"/>
                    <w:rPr>
                      <w:rFonts w:hint="eastAsia" w:ascii="宋体" w:hAnsi="宋体" w:eastAsia="宋体" w:cs="宋体"/>
                      <w:color w:val="auto"/>
                      <w:sz w:val="18"/>
                      <w:szCs w:val="18"/>
                      <w:highlight w:val="none"/>
                    </w:rPr>
                  </w:pPr>
                </w:p>
              </w:tc>
            </w:tr>
          </w:tbl>
          <w:p w14:paraId="46196F4C">
            <w:pPr>
              <w:spacing w:line="432" w:lineRule="auto"/>
              <w:ind w:firstLine="360"/>
              <w:jc w:val="center"/>
              <w:rPr>
                <w:rFonts w:hint="eastAsia" w:ascii="宋体" w:hAnsi="宋体" w:eastAsia="宋体" w:cs="宋体"/>
                <w:color w:val="auto"/>
                <w:sz w:val="18"/>
                <w:szCs w:val="18"/>
                <w:highlight w:val="none"/>
              </w:rPr>
            </w:pPr>
          </w:p>
        </w:tc>
      </w:tr>
    </w:tbl>
    <w:p w14:paraId="3D71F433">
      <w:pPr>
        <w:pStyle w:val="8"/>
        <w:spacing w:line="360" w:lineRule="auto"/>
        <w:rPr>
          <w:rFonts w:hint="eastAsia" w:ascii="宋体" w:hAnsi="宋体" w:eastAsia="宋体" w:cs="宋体"/>
          <w:color w:val="auto"/>
          <w:sz w:val="21"/>
          <w:szCs w:val="21"/>
          <w:highlight w:val="none"/>
        </w:rPr>
      </w:pPr>
    </w:p>
    <w:p w14:paraId="4FF10F82">
      <w:pPr>
        <w:spacing w:before="120" w:line="360" w:lineRule="auto"/>
        <w:jc w:val="center"/>
        <w:rPr>
          <w:rFonts w:hint="eastAsia" w:ascii="宋体" w:hAnsi="宋体" w:eastAsia="宋体" w:cs="宋体"/>
          <w:b/>
          <w:bCs/>
          <w:color w:val="auto"/>
          <w:sz w:val="32"/>
          <w:szCs w:val="32"/>
          <w:highlight w:val="none"/>
        </w:rPr>
      </w:pPr>
    </w:p>
    <w:p w14:paraId="22FBE0DD">
      <w:pPr>
        <w:pStyle w:val="8"/>
        <w:rPr>
          <w:rFonts w:hint="eastAsia" w:ascii="宋体" w:hAnsi="宋体" w:eastAsia="宋体" w:cs="宋体"/>
          <w:color w:val="auto"/>
          <w:highlight w:val="none"/>
        </w:rPr>
      </w:pPr>
    </w:p>
    <w:p w14:paraId="3F251E95">
      <w:pPr>
        <w:rPr>
          <w:rFonts w:hint="eastAsia" w:ascii="宋体" w:hAnsi="宋体" w:eastAsia="宋体" w:cs="宋体"/>
          <w:color w:val="auto"/>
          <w:highlight w:val="none"/>
        </w:rPr>
      </w:pPr>
    </w:p>
    <w:p w14:paraId="5D6EDEFA">
      <w:pPr>
        <w:pStyle w:val="8"/>
        <w:rPr>
          <w:rFonts w:hint="eastAsia" w:ascii="宋体" w:hAnsi="宋体" w:eastAsia="宋体" w:cs="宋体"/>
          <w:color w:val="auto"/>
          <w:sz w:val="21"/>
          <w:highlight w:val="none"/>
        </w:rPr>
      </w:pPr>
    </w:p>
    <w:p w14:paraId="4FCCE4D9">
      <w:pPr>
        <w:pStyle w:val="8"/>
        <w:rPr>
          <w:rFonts w:hint="eastAsia" w:ascii="宋体" w:hAnsi="宋体" w:eastAsia="宋体" w:cs="宋体"/>
          <w:color w:val="auto"/>
          <w:sz w:val="21"/>
          <w:highlight w:val="none"/>
        </w:rPr>
      </w:pPr>
    </w:p>
    <w:p w14:paraId="1A5466BF">
      <w:pPr>
        <w:pStyle w:val="6"/>
        <w:jc w:val="left"/>
        <w:rPr>
          <w:rFonts w:hint="eastAsia" w:ascii="宋体" w:hAnsi="宋体" w:eastAsia="宋体" w:cs="宋体"/>
          <w:color w:val="auto"/>
          <w:szCs w:val="21"/>
          <w:highlight w:val="none"/>
        </w:rPr>
      </w:pP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992B9">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1943F65">
                          <w:pPr>
                            <w:pStyle w:val="16"/>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61943F65">
                    <w:pPr>
                      <w:pStyle w:val="16"/>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625AB">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7008490">
                          <w:pPr>
                            <w:pStyle w:val="16"/>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14:paraId="17008490">
                    <w:pPr>
                      <w:pStyle w:val="16"/>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1F3086">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DE4E1A">
                          <w:pPr>
                            <w:pStyle w:val="16"/>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14:paraId="59DE4E1A">
                    <w:pPr>
                      <w:pStyle w:val="16"/>
                    </w:pPr>
                    <w:r>
                      <w:fldChar w:fldCharType="begin"/>
                    </w:r>
                    <w:r>
                      <w:instrText xml:space="preserve"> PAGE  \* MERGEFORMAT </w:instrText>
                    </w:r>
                    <w:r>
                      <w:fldChar w:fldCharType="separate"/>
                    </w:r>
                    <w:r>
                      <w:t>69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20AC0">
    <w:pPr>
      <w:pStyle w:val="17"/>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8301B3"/>
    <w:multiLevelType w:val="singleLevel"/>
    <w:tmpl w:val="978301B3"/>
    <w:lvl w:ilvl="0" w:tentative="0">
      <w:start w:val="3"/>
      <w:numFmt w:val="chineseCounting"/>
      <w:suff w:val="nothing"/>
      <w:lvlText w:val="%1、"/>
      <w:lvlJc w:val="left"/>
      <w:rPr>
        <w:rFonts w:hint="eastAsia"/>
      </w:rPr>
    </w:lvl>
  </w:abstractNum>
  <w:abstractNum w:abstractNumId="1">
    <w:nsid w:val="BE6D1824"/>
    <w:multiLevelType w:val="singleLevel"/>
    <w:tmpl w:val="BE6D1824"/>
    <w:lvl w:ilvl="0" w:tentative="0">
      <w:start w:val="1"/>
      <w:numFmt w:val="decimal"/>
      <w:pStyle w:val="5"/>
      <w:lvlText w:val="%1."/>
      <w:lvlJc w:val="left"/>
      <w:pPr>
        <w:tabs>
          <w:tab w:val="left" w:pos="360"/>
        </w:tabs>
        <w:ind w:left="360" w:hanging="360"/>
      </w:pPr>
    </w:lvl>
  </w:abstractNum>
  <w:abstractNum w:abstractNumId="2">
    <w:nsid w:val="0000000E"/>
    <w:multiLevelType w:val="multilevel"/>
    <w:tmpl w:val="0000000E"/>
    <w:lvl w:ilvl="0" w:tentative="0">
      <w:start w:val="5"/>
      <w:numFmt w:val="chineseCounting"/>
      <w:suff w:val="nothing"/>
      <w:lvlText w:val="（%1）"/>
      <w:lvlJc w:val="left"/>
      <w:rPr>
        <w:rFonts w:hint="eastAsia"/>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
    <w:nsid w:val="0000000F"/>
    <w:multiLevelType w:val="multilevel"/>
    <w:tmpl w:val="0000000F"/>
    <w:lvl w:ilvl="0" w:tentative="0">
      <w:start w:val="1"/>
      <w:numFmt w:val="japaneseCounting"/>
      <w:lvlText w:val="第%1章"/>
      <w:lvlJc w:val="left"/>
      <w:pPr>
        <w:ind w:left="1080" w:hanging="108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03C142CE"/>
    <w:multiLevelType w:val="multilevel"/>
    <w:tmpl w:val="03C142CE"/>
    <w:lvl w:ilvl="0" w:tentative="0">
      <w:start w:val="1"/>
      <w:numFmt w:val="decimal"/>
      <w:lvlText w:val="%1、"/>
      <w:lvlJc w:val="left"/>
      <w:pPr>
        <w:ind w:left="777" w:hanging="360"/>
      </w:pPr>
      <w:rPr>
        <w:rFonts w:hint="default"/>
      </w:rPr>
    </w:lvl>
    <w:lvl w:ilvl="1" w:tentative="0">
      <w:start w:val="1"/>
      <w:numFmt w:val="lowerLetter"/>
      <w:lvlText w:val="%2)"/>
      <w:lvlJc w:val="left"/>
      <w:pPr>
        <w:ind w:left="1257" w:hanging="420"/>
      </w:pPr>
    </w:lvl>
    <w:lvl w:ilvl="2" w:tentative="0">
      <w:start w:val="1"/>
      <w:numFmt w:val="lowerRoman"/>
      <w:lvlText w:val="%3."/>
      <w:lvlJc w:val="right"/>
      <w:pPr>
        <w:ind w:left="1677" w:hanging="420"/>
      </w:pPr>
    </w:lvl>
    <w:lvl w:ilvl="3" w:tentative="0">
      <w:start w:val="1"/>
      <w:numFmt w:val="decimal"/>
      <w:lvlText w:val="%4."/>
      <w:lvlJc w:val="left"/>
      <w:pPr>
        <w:ind w:left="2097" w:hanging="420"/>
      </w:pPr>
    </w:lvl>
    <w:lvl w:ilvl="4" w:tentative="0">
      <w:start w:val="1"/>
      <w:numFmt w:val="lowerLetter"/>
      <w:lvlText w:val="%5)"/>
      <w:lvlJc w:val="left"/>
      <w:pPr>
        <w:ind w:left="2517" w:hanging="420"/>
      </w:pPr>
    </w:lvl>
    <w:lvl w:ilvl="5" w:tentative="0">
      <w:start w:val="1"/>
      <w:numFmt w:val="lowerRoman"/>
      <w:lvlText w:val="%6."/>
      <w:lvlJc w:val="right"/>
      <w:pPr>
        <w:ind w:left="2937" w:hanging="420"/>
      </w:pPr>
    </w:lvl>
    <w:lvl w:ilvl="6" w:tentative="0">
      <w:start w:val="1"/>
      <w:numFmt w:val="decimal"/>
      <w:lvlText w:val="%7."/>
      <w:lvlJc w:val="left"/>
      <w:pPr>
        <w:ind w:left="3357" w:hanging="420"/>
      </w:pPr>
    </w:lvl>
    <w:lvl w:ilvl="7" w:tentative="0">
      <w:start w:val="1"/>
      <w:numFmt w:val="lowerLetter"/>
      <w:lvlText w:val="%8)"/>
      <w:lvlJc w:val="left"/>
      <w:pPr>
        <w:ind w:left="3777" w:hanging="420"/>
      </w:pPr>
    </w:lvl>
    <w:lvl w:ilvl="8" w:tentative="0">
      <w:start w:val="1"/>
      <w:numFmt w:val="lowerRoman"/>
      <w:lvlText w:val="%9."/>
      <w:lvlJc w:val="right"/>
      <w:pPr>
        <w:ind w:left="4197" w:hanging="420"/>
      </w:pPr>
    </w:lvl>
  </w:abstractNum>
  <w:abstractNum w:abstractNumId="5">
    <w:nsid w:val="0C34DE15"/>
    <w:multiLevelType w:val="singleLevel"/>
    <w:tmpl w:val="0C34DE15"/>
    <w:lvl w:ilvl="0" w:tentative="0">
      <w:start w:val="1"/>
      <w:numFmt w:val="decimal"/>
      <w:lvlText w:val="%1."/>
      <w:lvlJc w:val="left"/>
      <w:pPr>
        <w:tabs>
          <w:tab w:val="left" w:pos="312"/>
        </w:tabs>
      </w:pPr>
    </w:lvl>
  </w:abstractNum>
  <w:abstractNum w:abstractNumId="6">
    <w:nsid w:val="0DCF6BEB"/>
    <w:multiLevelType w:val="singleLevel"/>
    <w:tmpl w:val="0DCF6BEB"/>
    <w:lvl w:ilvl="0" w:tentative="0">
      <w:start w:val="1"/>
      <w:numFmt w:val="decimal"/>
      <w:suff w:val="nothing"/>
      <w:lvlText w:val="%1、"/>
      <w:lvlJc w:val="left"/>
    </w:lvl>
  </w:abstractNum>
  <w:abstractNum w:abstractNumId="7">
    <w:nsid w:val="225A8346"/>
    <w:multiLevelType w:val="singleLevel"/>
    <w:tmpl w:val="225A8346"/>
    <w:lvl w:ilvl="0" w:tentative="0">
      <w:start w:val="1"/>
      <w:numFmt w:val="decimal"/>
      <w:lvlText w:val="%1."/>
      <w:lvlJc w:val="left"/>
      <w:pPr>
        <w:tabs>
          <w:tab w:val="left" w:pos="312"/>
        </w:tabs>
      </w:pPr>
    </w:lvl>
  </w:abstractNum>
  <w:abstractNum w:abstractNumId="8">
    <w:nsid w:val="2B31EDCC"/>
    <w:multiLevelType w:val="singleLevel"/>
    <w:tmpl w:val="2B31EDCC"/>
    <w:lvl w:ilvl="0" w:tentative="0">
      <w:start w:val="5"/>
      <w:numFmt w:val="chineseCounting"/>
      <w:suff w:val="nothing"/>
      <w:lvlText w:val="%1、"/>
      <w:lvlJc w:val="left"/>
      <w:rPr>
        <w:rFonts w:hint="eastAsia"/>
      </w:rPr>
    </w:lvl>
  </w:abstractNum>
  <w:abstractNum w:abstractNumId="9">
    <w:nsid w:val="4DD4552D"/>
    <w:multiLevelType w:val="singleLevel"/>
    <w:tmpl w:val="4DD4552D"/>
    <w:lvl w:ilvl="0" w:tentative="0">
      <w:start w:val="1"/>
      <w:numFmt w:val="decimal"/>
      <w:lvlText w:val="%1."/>
      <w:lvlJc w:val="left"/>
      <w:pPr>
        <w:tabs>
          <w:tab w:val="left" w:pos="312"/>
        </w:tabs>
      </w:pPr>
    </w:lvl>
  </w:abstractNum>
  <w:abstractNum w:abstractNumId="10">
    <w:nsid w:val="7C246926"/>
    <w:multiLevelType w:val="singleLevel"/>
    <w:tmpl w:val="7C246926"/>
    <w:lvl w:ilvl="0" w:tentative="0">
      <w:start w:val="2"/>
      <w:numFmt w:val="decimal"/>
      <w:suff w:val="nothing"/>
      <w:lvlText w:val="%1、"/>
      <w:lvlJc w:val="left"/>
    </w:lvl>
  </w:abstractNum>
  <w:num w:numId="1">
    <w:abstractNumId w:val="1"/>
  </w:num>
  <w:num w:numId="2">
    <w:abstractNumId w:val="3"/>
  </w:num>
  <w:num w:numId="3">
    <w:abstractNumId w:val="8"/>
  </w:num>
  <w:num w:numId="4">
    <w:abstractNumId w:val="6"/>
  </w:num>
  <w:num w:numId="5">
    <w:abstractNumId w:val="0"/>
  </w:num>
  <w:num w:numId="6">
    <w:abstractNumId w:val="2"/>
  </w:num>
  <w:num w:numId="7">
    <w:abstractNumId w:val="4"/>
  </w:num>
  <w:num w:numId="8">
    <w:abstractNumId w:val="10"/>
  </w:num>
  <w:num w:numId="9">
    <w:abstractNumId w:val="7"/>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U3NjAyZmI4MmMxMjllM2M3NDFiODNjNzAxOWY0NGYifQ=="/>
  </w:docVars>
  <w:rsids>
    <w:rsidRoot w:val="007E21C9"/>
    <w:rsid w:val="00065284"/>
    <w:rsid w:val="000D6A89"/>
    <w:rsid w:val="00110EC3"/>
    <w:rsid w:val="001252F8"/>
    <w:rsid w:val="002A13E1"/>
    <w:rsid w:val="00307A95"/>
    <w:rsid w:val="0034194C"/>
    <w:rsid w:val="003A71B3"/>
    <w:rsid w:val="003B12AF"/>
    <w:rsid w:val="003B72BA"/>
    <w:rsid w:val="003C7956"/>
    <w:rsid w:val="00437361"/>
    <w:rsid w:val="00480308"/>
    <w:rsid w:val="00490B57"/>
    <w:rsid w:val="004914FC"/>
    <w:rsid w:val="004B3788"/>
    <w:rsid w:val="004C759D"/>
    <w:rsid w:val="005730AB"/>
    <w:rsid w:val="00574C00"/>
    <w:rsid w:val="00602495"/>
    <w:rsid w:val="00603414"/>
    <w:rsid w:val="0065304F"/>
    <w:rsid w:val="00671208"/>
    <w:rsid w:val="006933B8"/>
    <w:rsid w:val="006C5DA5"/>
    <w:rsid w:val="006F030E"/>
    <w:rsid w:val="0070754E"/>
    <w:rsid w:val="00732078"/>
    <w:rsid w:val="007359D8"/>
    <w:rsid w:val="007423DA"/>
    <w:rsid w:val="007C3EEB"/>
    <w:rsid w:val="007E21C9"/>
    <w:rsid w:val="007F6C6F"/>
    <w:rsid w:val="00903E2E"/>
    <w:rsid w:val="00951FEE"/>
    <w:rsid w:val="00993032"/>
    <w:rsid w:val="009C512B"/>
    <w:rsid w:val="00A16F11"/>
    <w:rsid w:val="00A430DF"/>
    <w:rsid w:val="00A87685"/>
    <w:rsid w:val="00AA514C"/>
    <w:rsid w:val="00AC27A0"/>
    <w:rsid w:val="00B20165"/>
    <w:rsid w:val="00B85739"/>
    <w:rsid w:val="00C30909"/>
    <w:rsid w:val="00D240DF"/>
    <w:rsid w:val="00D86DC0"/>
    <w:rsid w:val="00DC6627"/>
    <w:rsid w:val="00DE3E3A"/>
    <w:rsid w:val="00E53A1B"/>
    <w:rsid w:val="00E7269F"/>
    <w:rsid w:val="00E97686"/>
    <w:rsid w:val="00EA7A90"/>
    <w:rsid w:val="00EC0290"/>
    <w:rsid w:val="00EC29E7"/>
    <w:rsid w:val="00F02F4A"/>
    <w:rsid w:val="00FB7BC1"/>
    <w:rsid w:val="01124D80"/>
    <w:rsid w:val="012E34F5"/>
    <w:rsid w:val="01311D17"/>
    <w:rsid w:val="01325A8F"/>
    <w:rsid w:val="015E6884"/>
    <w:rsid w:val="016025FC"/>
    <w:rsid w:val="017654F3"/>
    <w:rsid w:val="01791910"/>
    <w:rsid w:val="018C33F1"/>
    <w:rsid w:val="01924B58"/>
    <w:rsid w:val="019978BC"/>
    <w:rsid w:val="01A73D87"/>
    <w:rsid w:val="01A85250"/>
    <w:rsid w:val="01BE0175"/>
    <w:rsid w:val="01D34B7C"/>
    <w:rsid w:val="02085FA4"/>
    <w:rsid w:val="02124B9D"/>
    <w:rsid w:val="022C6D9A"/>
    <w:rsid w:val="02785724"/>
    <w:rsid w:val="0287088D"/>
    <w:rsid w:val="02AD7AC3"/>
    <w:rsid w:val="02BD188E"/>
    <w:rsid w:val="02CC27DF"/>
    <w:rsid w:val="02DF23B3"/>
    <w:rsid w:val="03234505"/>
    <w:rsid w:val="03272F69"/>
    <w:rsid w:val="035B7F2E"/>
    <w:rsid w:val="03727B4F"/>
    <w:rsid w:val="03940AEC"/>
    <w:rsid w:val="039E2CB1"/>
    <w:rsid w:val="03AF786B"/>
    <w:rsid w:val="03C2134C"/>
    <w:rsid w:val="03CA63DF"/>
    <w:rsid w:val="03CF5817"/>
    <w:rsid w:val="03E219EE"/>
    <w:rsid w:val="03EC7C9F"/>
    <w:rsid w:val="040C0819"/>
    <w:rsid w:val="04123E86"/>
    <w:rsid w:val="042042C5"/>
    <w:rsid w:val="042518DB"/>
    <w:rsid w:val="043438CC"/>
    <w:rsid w:val="044562F9"/>
    <w:rsid w:val="045401FE"/>
    <w:rsid w:val="045C5923"/>
    <w:rsid w:val="045F6B9B"/>
    <w:rsid w:val="04877EA0"/>
    <w:rsid w:val="04BA0275"/>
    <w:rsid w:val="04BC223F"/>
    <w:rsid w:val="04C37573"/>
    <w:rsid w:val="04D20F28"/>
    <w:rsid w:val="04EF38A7"/>
    <w:rsid w:val="050040B6"/>
    <w:rsid w:val="051009DE"/>
    <w:rsid w:val="0524153E"/>
    <w:rsid w:val="052925B7"/>
    <w:rsid w:val="052C42C3"/>
    <w:rsid w:val="054D5AAF"/>
    <w:rsid w:val="05615A10"/>
    <w:rsid w:val="057C1C79"/>
    <w:rsid w:val="0580501B"/>
    <w:rsid w:val="05A14F91"/>
    <w:rsid w:val="05C07B0D"/>
    <w:rsid w:val="05C900FA"/>
    <w:rsid w:val="05DA343D"/>
    <w:rsid w:val="0607573C"/>
    <w:rsid w:val="065F10D4"/>
    <w:rsid w:val="066A4AEC"/>
    <w:rsid w:val="066B5CCB"/>
    <w:rsid w:val="0696261C"/>
    <w:rsid w:val="06993CE0"/>
    <w:rsid w:val="06BF5DBD"/>
    <w:rsid w:val="06C23411"/>
    <w:rsid w:val="06D373CC"/>
    <w:rsid w:val="06F04422"/>
    <w:rsid w:val="06FF51BC"/>
    <w:rsid w:val="07131EBF"/>
    <w:rsid w:val="072C1ACB"/>
    <w:rsid w:val="07391925"/>
    <w:rsid w:val="07424046"/>
    <w:rsid w:val="076B3AA9"/>
    <w:rsid w:val="07727AEC"/>
    <w:rsid w:val="07754928"/>
    <w:rsid w:val="078801B7"/>
    <w:rsid w:val="07A31495"/>
    <w:rsid w:val="07B04F69"/>
    <w:rsid w:val="07C35693"/>
    <w:rsid w:val="07D57174"/>
    <w:rsid w:val="07E46E2F"/>
    <w:rsid w:val="080556B8"/>
    <w:rsid w:val="080A1514"/>
    <w:rsid w:val="080F2686"/>
    <w:rsid w:val="08144B81"/>
    <w:rsid w:val="08275C22"/>
    <w:rsid w:val="08283748"/>
    <w:rsid w:val="082F7DB2"/>
    <w:rsid w:val="08316AA1"/>
    <w:rsid w:val="085959A6"/>
    <w:rsid w:val="08732C15"/>
    <w:rsid w:val="08964B56"/>
    <w:rsid w:val="08BF40AC"/>
    <w:rsid w:val="08CD536A"/>
    <w:rsid w:val="08CF026B"/>
    <w:rsid w:val="08E513F4"/>
    <w:rsid w:val="08F25FC3"/>
    <w:rsid w:val="092D370C"/>
    <w:rsid w:val="09383E5F"/>
    <w:rsid w:val="09570789"/>
    <w:rsid w:val="096133B5"/>
    <w:rsid w:val="096B7D90"/>
    <w:rsid w:val="098826F0"/>
    <w:rsid w:val="09A23B69"/>
    <w:rsid w:val="09AD66F7"/>
    <w:rsid w:val="09B554AF"/>
    <w:rsid w:val="09CB6A81"/>
    <w:rsid w:val="09E55D95"/>
    <w:rsid w:val="09E959AB"/>
    <w:rsid w:val="09F47B7D"/>
    <w:rsid w:val="0A0C36E9"/>
    <w:rsid w:val="0A1C49E3"/>
    <w:rsid w:val="0A2A62B8"/>
    <w:rsid w:val="0A2C751F"/>
    <w:rsid w:val="0A2E794F"/>
    <w:rsid w:val="0A2F1A39"/>
    <w:rsid w:val="0A7D03A1"/>
    <w:rsid w:val="0A8729A8"/>
    <w:rsid w:val="0AA479FE"/>
    <w:rsid w:val="0AAA2B3A"/>
    <w:rsid w:val="0B052C79"/>
    <w:rsid w:val="0B1E4F61"/>
    <w:rsid w:val="0B220922"/>
    <w:rsid w:val="0B246449"/>
    <w:rsid w:val="0B27202A"/>
    <w:rsid w:val="0B3C6392"/>
    <w:rsid w:val="0B546770"/>
    <w:rsid w:val="0B657B87"/>
    <w:rsid w:val="0B6B40B0"/>
    <w:rsid w:val="0B957346"/>
    <w:rsid w:val="0BB53545"/>
    <w:rsid w:val="0BF4249B"/>
    <w:rsid w:val="0BFE313E"/>
    <w:rsid w:val="0C01678A"/>
    <w:rsid w:val="0C0D15D3"/>
    <w:rsid w:val="0C150327"/>
    <w:rsid w:val="0C232BA4"/>
    <w:rsid w:val="0C28640C"/>
    <w:rsid w:val="0C30706F"/>
    <w:rsid w:val="0C34090D"/>
    <w:rsid w:val="0C3C3C66"/>
    <w:rsid w:val="0C4072B2"/>
    <w:rsid w:val="0C4274CE"/>
    <w:rsid w:val="0C434157"/>
    <w:rsid w:val="0C452B1A"/>
    <w:rsid w:val="0C580AA0"/>
    <w:rsid w:val="0C670CE3"/>
    <w:rsid w:val="0C8C699B"/>
    <w:rsid w:val="0C9D1C54"/>
    <w:rsid w:val="0CB4643F"/>
    <w:rsid w:val="0CB679B8"/>
    <w:rsid w:val="0CB86961"/>
    <w:rsid w:val="0CBD4DA7"/>
    <w:rsid w:val="0CC135F8"/>
    <w:rsid w:val="0CC779D3"/>
    <w:rsid w:val="0CD00D55"/>
    <w:rsid w:val="0CE307A8"/>
    <w:rsid w:val="0CEA5470"/>
    <w:rsid w:val="0D003930"/>
    <w:rsid w:val="0D077DD0"/>
    <w:rsid w:val="0D121CF3"/>
    <w:rsid w:val="0D1846DF"/>
    <w:rsid w:val="0D222E5C"/>
    <w:rsid w:val="0D3037CB"/>
    <w:rsid w:val="0D350DE1"/>
    <w:rsid w:val="0D37631D"/>
    <w:rsid w:val="0D7A67F4"/>
    <w:rsid w:val="0D8E229F"/>
    <w:rsid w:val="0DAE46EF"/>
    <w:rsid w:val="0DB066B9"/>
    <w:rsid w:val="0DCF6A79"/>
    <w:rsid w:val="0DDA3736"/>
    <w:rsid w:val="0DE3525C"/>
    <w:rsid w:val="0DF540CC"/>
    <w:rsid w:val="0DFA7063"/>
    <w:rsid w:val="0E100F06"/>
    <w:rsid w:val="0E3310C6"/>
    <w:rsid w:val="0E3966AF"/>
    <w:rsid w:val="0E581A81"/>
    <w:rsid w:val="0E63372C"/>
    <w:rsid w:val="0E75174B"/>
    <w:rsid w:val="0E8A6F0A"/>
    <w:rsid w:val="0E982E67"/>
    <w:rsid w:val="0EA53D44"/>
    <w:rsid w:val="0EA87391"/>
    <w:rsid w:val="0EB00EB0"/>
    <w:rsid w:val="0EB46E08"/>
    <w:rsid w:val="0ED14D6C"/>
    <w:rsid w:val="0ED6170B"/>
    <w:rsid w:val="0EF32AFE"/>
    <w:rsid w:val="0F1B4006"/>
    <w:rsid w:val="0F223EFD"/>
    <w:rsid w:val="0F5F5CA1"/>
    <w:rsid w:val="0FBF2FB7"/>
    <w:rsid w:val="0FC1070A"/>
    <w:rsid w:val="0FF860F6"/>
    <w:rsid w:val="100C2410"/>
    <w:rsid w:val="102B2027"/>
    <w:rsid w:val="105772C0"/>
    <w:rsid w:val="106F48CD"/>
    <w:rsid w:val="108160EB"/>
    <w:rsid w:val="10A83678"/>
    <w:rsid w:val="10B71725"/>
    <w:rsid w:val="10BE10ED"/>
    <w:rsid w:val="10E87F18"/>
    <w:rsid w:val="10EC085B"/>
    <w:rsid w:val="10FB7C4C"/>
    <w:rsid w:val="110C00AB"/>
    <w:rsid w:val="110C12EC"/>
    <w:rsid w:val="111D7BC2"/>
    <w:rsid w:val="112370A4"/>
    <w:rsid w:val="112942F2"/>
    <w:rsid w:val="11501A29"/>
    <w:rsid w:val="11590BE0"/>
    <w:rsid w:val="11687430"/>
    <w:rsid w:val="117D2D56"/>
    <w:rsid w:val="11916802"/>
    <w:rsid w:val="11BD13A5"/>
    <w:rsid w:val="11C10E95"/>
    <w:rsid w:val="11C42733"/>
    <w:rsid w:val="11F1104F"/>
    <w:rsid w:val="120A6475"/>
    <w:rsid w:val="12255689"/>
    <w:rsid w:val="122D2087"/>
    <w:rsid w:val="12301F92"/>
    <w:rsid w:val="123D6042"/>
    <w:rsid w:val="125A4E46"/>
    <w:rsid w:val="126712CC"/>
    <w:rsid w:val="12C473E5"/>
    <w:rsid w:val="12C47920"/>
    <w:rsid w:val="12C60D13"/>
    <w:rsid w:val="12D86B2F"/>
    <w:rsid w:val="12EA7F78"/>
    <w:rsid w:val="12F02AE1"/>
    <w:rsid w:val="12F02B19"/>
    <w:rsid w:val="12FD680B"/>
    <w:rsid w:val="130721F3"/>
    <w:rsid w:val="13124940"/>
    <w:rsid w:val="13150CF7"/>
    <w:rsid w:val="132502C8"/>
    <w:rsid w:val="13280AA0"/>
    <w:rsid w:val="134142B0"/>
    <w:rsid w:val="136F4921"/>
    <w:rsid w:val="13755250"/>
    <w:rsid w:val="13881D09"/>
    <w:rsid w:val="138E124B"/>
    <w:rsid w:val="13937098"/>
    <w:rsid w:val="139C2A90"/>
    <w:rsid w:val="139F1F37"/>
    <w:rsid w:val="13A10F7E"/>
    <w:rsid w:val="13B567D8"/>
    <w:rsid w:val="13D449DA"/>
    <w:rsid w:val="13EC5CD8"/>
    <w:rsid w:val="13EE1CEA"/>
    <w:rsid w:val="13FA0089"/>
    <w:rsid w:val="14025D35"/>
    <w:rsid w:val="142474B9"/>
    <w:rsid w:val="143017A1"/>
    <w:rsid w:val="1437543F"/>
    <w:rsid w:val="1457788F"/>
    <w:rsid w:val="147541B9"/>
    <w:rsid w:val="147C10A3"/>
    <w:rsid w:val="14817D1D"/>
    <w:rsid w:val="14BC210E"/>
    <w:rsid w:val="14CB202B"/>
    <w:rsid w:val="14D728AA"/>
    <w:rsid w:val="14DB6533"/>
    <w:rsid w:val="14E629C1"/>
    <w:rsid w:val="14E821EB"/>
    <w:rsid w:val="14F43330"/>
    <w:rsid w:val="14F96B98"/>
    <w:rsid w:val="15352B10"/>
    <w:rsid w:val="153E27FD"/>
    <w:rsid w:val="15501F8E"/>
    <w:rsid w:val="156C736A"/>
    <w:rsid w:val="159B282E"/>
    <w:rsid w:val="15C643BD"/>
    <w:rsid w:val="15CE4C5F"/>
    <w:rsid w:val="15E769F0"/>
    <w:rsid w:val="15EC04AB"/>
    <w:rsid w:val="15F01D49"/>
    <w:rsid w:val="16023B73"/>
    <w:rsid w:val="16353C00"/>
    <w:rsid w:val="163836F0"/>
    <w:rsid w:val="1638549E"/>
    <w:rsid w:val="164F240A"/>
    <w:rsid w:val="16846935"/>
    <w:rsid w:val="169E0CBC"/>
    <w:rsid w:val="16AA639C"/>
    <w:rsid w:val="16AB2114"/>
    <w:rsid w:val="16B049EC"/>
    <w:rsid w:val="16F77107"/>
    <w:rsid w:val="1743234C"/>
    <w:rsid w:val="1763479D"/>
    <w:rsid w:val="176435AF"/>
    <w:rsid w:val="17650515"/>
    <w:rsid w:val="176710C0"/>
    <w:rsid w:val="176C6CE8"/>
    <w:rsid w:val="176F6C9D"/>
    <w:rsid w:val="177728F5"/>
    <w:rsid w:val="177D1858"/>
    <w:rsid w:val="17CB4F24"/>
    <w:rsid w:val="17EA0A1A"/>
    <w:rsid w:val="180A2248"/>
    <w:rsid w:val="180F222F"/>
    <w:rsid w:val="18192A44"/>
    <w:rsid w:val="18205602"/>
    <w:rsid w:val="182B6DD0"/>
    <w:rsid w:val="1844295B"/>
    <w:rsid w:val="184A3267"/>
    <w:rsid w:val="184C6FDF"/>
    <w:rsid w:val="18706733"/>
    <w:rsid w:val="18876269"/>
    <w:rsid w:val="1890336F"/>
    <w:rsid w:val="189B3AC2"/>
    <w:rsid w:val="18A46E1B"/>
    <w:rsid w:val="18B16FE3"/>
    <w:rsid w:val="18EB4A4A"/>
    <w:rsid w:val="19193365"/>
    <w:rsid w:val="192835A8"/>
    <w:rsid w:val="196071E6"/>
    <w:rsid w:val="196757A8"/>
    <w:rsid w:val="19742C91"/>
    <w:rsid w:val="197C38F4"/>
    <w:rsid w:val="19A30E80"/>
    <w:rsid w:val="19A362E3"/>
    <w:rsid w:val="19B60574"/>
    <w:rsid w:val="19D11E91"/>
    <w:rsid w:val="1A057D8D"/>
    <w:rsid w:val="1A087190"/>
    <w:rsid w:val="1A1B135F"/>
    <w:rsid w:val="1A2C531A"/>
    <w:rsid w:val="1A3A1B8F"/>
    <w:rsid w:val="1A6220C1"/>
    <w:rsid w:val="1A682040"/>
    <w:rsid w:val="1A6A2605"/>
    <w:rsid w:val="1A6D4A8D"/>
    <w:rsid w:val="1A7840BB"/>
    <w:rsid w:val="1A8B511C"/>
    <w:rsid w:val="1A997D27"/>
    <w:rsid w:val="1ABD41C4"/>
    <w:rsid w:val="1ABF1CEA"/>
    <w:rsid w:val="1ACF4B27"/>
    <w:rsid w:val="1AE16104"/>
    <w:rsid w:val="1B0E2C71"/>
    <w:rsid w:val="1B163B9A"/>
    <w:rsid w:val="1B300E3A"/>
    <w:rsid w:val="1B446693"/>
    <w:rsid w:val="1B481CDF"/>
    <w:rsid w:val="1B4B7A22"/>
    <w:rsid w:val="1B5A5081"/>
    <w:rsid w:val="1B601E4F"/>
    <w:rsid w:val="1B617245"/>
    <w:rsid w:val="1B634D6B"/>
    <w:rsid w:val="1B7534BE"/>
    <w:rsid w:val="1B7900EB"/>
    <w:rsid w:val="1B8847D2"/>
    <w:rsid w:val="1B966EEF"/>
    <w:rsid w:val="1BA6175A"/>
    <w:rsid w:val="1BB21DC7"/>
    <w:rsid w:val="1BC33A5C"/>
    <w:rsid w:val="1BD47A17"/>
    <w:rsid w:val="1BE15AF9"/>
    <w:rsid w:val="1C02505E"/>
    <w:rsid w:val="1C146065"/>
    <w:rsid w:val="1C167AAF"/>
    <w:rsid w:val="1C5D3A88"/>
    <w:rsid w:val="1C760ACE"/>
    <w:rsid w:val="1C8238D5"/>
    <w:rsid w:val="1C88053B"/>
    <w:rsid w:val="1CA86EA0"/>
    <w:rsid w:val="1CBB4733"/>
    <w:rsid w:val="1CD407F7"/>
    <w:rsid w:val="1CE974F2"/>
    <w:rsid w:val="1D061E52"/>
    <w:rsid w:val="1D0E0D07"/>
    <w:rsid w:val="1D2247B2"/>
    <w:rsid w:val="1D274D79"/>
    <w:rsid w:val="1D291B41"/>
    <w:rsid w:val="1D484219"/>
    <w:rsid w:val="1D666D95"/>
    <w:rsid w:val="1D7414B2"/>
    <w:rsid w:val="1D7E40DE"/>
    <w:rsid w:val="1D813BCE"/>
    <w:rsid w:val="1D916C98"/>
    <w:rsid w:val="1D9F74A2"/>
    <w:rsid w:val="1DA376A1"/>
    <w:rsid w:val="1DBF44DD"/>
    <w:rsid w:val="1DD81BBD"/>
    <w:rsid w:val="1DEA1774"/>
    <w:rsid w:val="1E0F4D36"/>
    <w:rsid w:val="1E220F0E"/>
    <w:rsid w:val="1E252E90"/>
    <w:rsid w:val="1E316E0B"/>
    <w:rsid w:val="1E480311"/>
    <w:rsid w:val="1E4A0464"/>
    <w:rsid w:val="1E51534F"/>
    <w:rsid w:val="1E673DE8"/>
    <w:rsid w:val="1E7B31CC"/>
    <w:rsid w:val="1E81189E"/>
    <w:rsid w:val="1E8524B3"/>
    <w:rsid w:val="1E9516DF"/>
    <w:rsid w:val="1E960FB4"/>
    <w:rsid w:val="1EA628CB"/>
    <w:rsid w:val="1EA96F39"/>
    <w:rsid w:val="1EB532EC"/>
    <w:rsid w:val="1EBA2E12"/>
    <w:rsid w:val="1EC137FC"/>
    <w:rsid w:val="1EC93DFC"/>
    <w:rsid w:val="1ED8781E"/>
    <w:rsid w:val="1EFD54D7"/>
    <w:rsid w:val="1F026649"/>
    <w:rsid w:val="1F040613"/>
    <w:rsid w:val="1F0A3EA3"/>
    <w:rsid w:val="1F10520A"/>
    <w:rsid w:val="1F16729D"/>
    <w:rsid w:val="1F3D1928"/>
    <w:rsid w:val="1F4924CA"/>
    <w:rsid w:val="1F5A46D7"/>
    <w:rsid w:val="1F7237CF"/>
    <w:rsid w:val="1F7726F3"/>
    <w:rsid w:val="1F821A69"/>
    <w:rsid w:val="1F8A45CD"/>
    <w:rsid w:val="1FAD0CAB"/>
    <w:rsid w:val="1FB055E4"/>
    <w:rsid w:val="1FBB64FE"/>
    <w:rsid w:val="1FCF0C21"/>
    <w:rsid w:val="1FFE1506"/>
    <w:rsid w:val="200F7270"/>
    <w:rsid w:val="20360CA0"/>
    <w:rsid w:val="20476A09"/>
    <w:rsid w:val="204B1917"/>
    <w:rsid w:val="204E2A69"/>
    <w:rsid w:val="207C5E1E"/>
    <w:rsid w:val="208337BA"/>
    <w:rsid w:val="209E6733"/>
    <w:rsid w:val="20A94FB8"/>
    <w:rsid w:val="20B90CD6"/>
    <w:rsid w:val="20CC5161"/>
    <w:rsid w:val="20E0458D"/>
    <w:rsid w:val="20ED726E"/>
    <w:rsid w:val="20F33380"/>
    <w:rsid w:val="20F621DE"/>
    <w:rsid w:val="21060DE9"/>
    <w:rsid w:val="21134B3E"/>
    <w:rsid w:val="21243E24"/>
    <w:rsid w:val="213F1FA9"/>
    <w:rsid w:val="2149055F"/>
    <w:rsid w:val="215018EE"/>
    <w:rsid w:val="21907D9E"/>
    <w:rsid w:val="21983295"/>
    <w:rsid w:val="21A34113"/>
    <w:rsid w:val="21A954A2"/>
    <w:rsid w:val="222A4FA8"/>
    <w:rsid w:val="222B3FA0"/>
    <w:rsid w:val="225E2B8C"/>
    <w:rsid w:val="226B2757"/>
    <w:rsid w:val="226F199F"/>
    <w:rsid w:val="22792AE5"/>
    <w:rsid w:val="22A75E85"/>
    <w:rsid w:val="22AA3280"/>
    <w:rsid w:val="22C00CF5"/>
    <w:rsid w:val="22D36C7A"/>
    <w:rsid w:val="231150AD"/>
    <w:rsid w:val="231558F8"/>
    <w:rsid w:val="234809FC"/>
    <w:rsid w:val="234A05BF"/>
    <w:rsid w:val="234F2190"/>
    <w:rsid w:val="23616034"/>
    <w:rsid w:val="237C6220"/>
    <w:rsid w:val="239401DD"/>
    <w:rsid w:val="23A536A0"/>
    <w:rsid w:val="23B26890"/>
    <w:rsid w:val="23BF2D5B"/>
    <w:rsid w:val="23C028FE"/>
    <w:rsid w:val="23E91A35"/>
    <w:rsid w:val="24003A9F"/>
    <w:rsid w:val="24066BDB"/>
    <w:rsid w:val="24107652"/>
    <w:rsid w:val="24304D8E"/>
    <w:rsid w:val="2432352D"/>
    <w:rsid w:val="244C3082"/>
    <w:rsid w:val="246771F8"/>
    <w:rsid w:val="246B0F38"/>
    <w:rsid w:val="24800C56"/>
    <w:rsid w:val="24833D88"/>
    <w:rsid w:val="249E5066"/>
    <w:rsid w:val="24BD373E"/>
    <w:rsid w:val="24D37303"/>
    <w:rsid w:val="24E707BB"/>
    <w:rsid w:val="24ED0A5D"/>
    <w:rsid w:val="25010D91"/>
    <w:rsid w:val="25050C41"/>
    <w:rsid w:val="250749B9"/>
    <w:rsid w:val="250D0C04"/>
    <w:rsid w:val="25155523"/>
    <w:rsid w:val="25171174"/>
    <w:rsid w:val="25256AF7"/>
    <w:rsid w:val="253908EB"/>
    <w:rsid w:val="253F4153"/>
    <w:rsid w:val="254E06EB"/>
    <w:rsid w:val="2561056D"/>
    <w:rsid w:val="25723358"/>
    <w:rsid w:val="259D531E"/>
    <w:rsid w:val="25AD3293"/>
    <w:rsid w:val="25C1119F"/>
    <w:rsid w:val="25D647F8"/>
    <w:rsid w:val="25F52A64"/>
    <w:rsid w:val="26045291"/>
    <w:rsid w:val="2613738E"/>
    <w:rsid w:val="262E6657"/>
    <w:rsid w:val="264D464E"/>
    <w:rsid w:val="265956E8"/>
    <w:rsid w:val="266F0A68"/>
    <w:rsid w:val="268E0114"/>
    <w:rsid w:val="269229A8"/>
    <w:rsid w:val="26A00A38"/>
    <w:rsid w:val="26B80661"/>
    <w:rsid w:val="26CD2213"/>
    <w:rsid w:val="26F176CF"/>
    <w:rsid w:val="26FB22FC"/>
    <w:rsid w:val="271F19D9"/>
    <w:rsid w:val="27341A6B"/>
    <w:rsid w:val="2741256B"/>
    <w:rsid w:val="2755096A"/>
    <w:rsid w:val="27736336"/>
    <w:rsid w:val="27806CA5"/>
    <w:rsid w:val="278B529D"/>
    <w:rsid w:val="27BD11F7"/>
    <w:rsid w:val="27C6290A"/>
    <w:rsid w:val="27D868FE"/>
    <w:rsid w:val="27ED433A"/>
    <w:rsid w:val="27F97290"/>
    <w:rsid w:val="280C22E7"/>
    <w:rsid w:val="281713B7"/>
    <w:rsid w:val="28341F69"/>
    <w:rsid w:val="286E6791"/>
    <w:rsid w:val="2884317E"/>
    <w:rsid w:val="28885E11"/>
    <w:rsid w:val="28905912"/>
    <w:rsid w:val="289504BB"/>
    <w:rsid w:val="2895452B"/>
    <w:rsid w:val="28BD72A1"/>
    <w:rsid w:val="28BE5EB5"/>
    <w:rsid w:val="28FB2A87"/>
    <w:rsid w:val="28FC2478"/>
    <w:rsid w:val="291C5BFE"/>
    <w:rsid w:val="29327033"/>
    <w:rsid w:val="296C55DD"/>
    <w:rsid w:val="296C74E1"/>
    <w:rsid w:val="29820AB2"/>
    <w:rsid w:val="29910EDF"/>
    <w:rsid w:val="29934A6D"/>
    <w:rsid w:val="29A749BD"/>
    <w:rsid w:val="29DC0FB3"/>
    <w:rsid w:val="29E03A2B"/>
    <w:rsid w:val="29ED6EA3"/>
    <w:rsid w:val="29F85218"/>
    <w:rsid w:val="2A18020F"/>
    <w:rsid w:val="2A1A56E3"/>
    <w:rsid w:val="2A1B4A63"/>
    <w:rsid w:val="2A1E21FB"/>
    <w:rsid w:val="2A210E77"/>
    <w:rsid w:val="2A292B60"/>
    <w:rsid w:val="2A482C60"/>
    <w:rsid w:val="2A5E151F"/>
    <w:rsid w:val="2A7C5F00"/>
    <w:rsid w:val="2AB73FA2"/>
    <w:rsid w:val="2ABE1FBE"/>
    <w:rsid w:val="2AD1119C"/>
    <w:rsid w:val="2AE17A5A"/>
    <w:rsid w:val="2B2008F3"/>
    <w:rsid w:val="2B2A5452"/>
    <w:rsid w:val="2B30453E"/>
    <w:rsid w:val="2B471FB3"/>
    <w:rsid w:val="2B4C75CA"/>
    <w:rsid w:val="2B4F0E68"/>
    <w:rsid w:val="2B54647E"/>
    <w:rsid w:val="2B674A91"/>
    <w:rsid w:val="2B6A3EF4"/>
    <w:rsid w:val="2B871F65"/>
    <w:rsid w:val="2BA17DF7"/>
    <w:rsid w:val="2BA61037"/>
    <w:rsid w:val="2BBA12BD"/>
    <w:rsid w:val="2BBF1A89"/>
    <w:rsid w:val="2BC41856"/>
    <w:rsid w:val="2BD1187D"/>
    <w:rsid w:val="2BFA6497"/>
    <w:rsid w:val="2C0E487F"/>
    <w:rsid w:val="2C1A76C8"/>
    <w:rsid w:val="2C26606D"/>
    <w:rsid w:val="2C2E74DC"/>
    <w:rsid w:val="2C5030EA"/>
    <w:rsid w:val="2C5B3295"/>
    <w:rsid w:val="2C6212B4"/>
    <w:rsid w:val="2C6609A6"/>
    <w:rsid w:val="2C7843EE"/>
    <w:rsid w:val="2C7E592F"/>
    <w:rsid w:val="2C803D54"/>
    <w:rsid w:val="2CAA34BC"/>
    <w:rsid w:val="2CC80ED2"/>
    <w:rsid w:val="2CCE2260"/>
    <w:rsid w:val="2CD051D7"/>
    <w:rsid w:val="2CD535EF"/>
    <w:rsid w:val="2CE60254"/>
    <w:rsid w:val="2CEB598A"/>
    <w:rsid w:val="2D401748"/>
    <w:rsid w:val="2D4D66C9"/>
    <w:rsid w:val="2D885DEC"/>
    <w:rsid w:val="2DA4735E"/>
    <w:rsid w:val="2DB9081B"/>
    <w:rsid w:val="2DCA6ECC"/>
    <w:rsid w:val="2DCD1905"/>
    <w:rsid w:val="2DD45655"/>
    <w:rsid w:val="2DD83397"/>
    <w:rsid w:val="2DDE79CB"/>
    <w:rsid w:val="2DE954FC"/>
    <w:rsid w:val="2DF314FE"/>
    <w:rsid w:val="2E207F1A"/>
    <w:rsid w:val="2E3251DF"/>
    <w:rsid w:val="2E405189"/>
    <w:rsid w:val="2E444588"/>
    <w:rsid w:val="2E6E7857"/>
    <w:rsid w:val="2EA702D7"/>
    <w:rsid w:val="2EE70B42"/>
    <w:rsid w:val="2F0C17B5"/>
    <w:rsid w:val="2F194722"/>
    <w:rsid w:val="2F260132"/>
    <w:rsid w:val="2F4A420C"/>
    <w:rsid w:val="2F5F5A23"/>
    <w:rsid w:val="2F6A2714"/>
    <w:rsid w:val="2F844B71"/>
    <w:rsid w:val="2F847F2D"/>
    <w:rsid w:val="2F9257C7"/>
    <w:rsid w:val="2F94712A"/>
    <w:rsid w:val="2FB15C4D"/>
    <w:rsid w:val="2FBC071F"/>
    <w:rsid w:val="2FCF2577"/>
    <w:rsid w:val="2FD13178"/>
    <w:rsid w:val="2FE06533"/>
    <w:rsid w:val="2FEF2C1A"/>
    <w:rsid w:val="2FF65D56"/>
    <w:rsid w:val="2FFB511A"/>
    <w:rsid w:val="30071D11"/>
    <w:rsid w:val="300761B5"/>
    <w:rsid w:val="30422009"/>
    <w:rsid w:val="30523E1F"/>
    <w:rsid w:val="30524DBD"/>
    <w:rsid w:val="30586A11"/>
    <w:rsid w:val="30735E7E"/>
    <w:rsid w:val="307C26FF"/>
    <w:rsid w:val="308C0468"/>
    <w:rsid w:val="30A0033B"/>
    <w:rsid w:val="30A734F4"/>
    <w:rsid w:val="30C3032E"/>
    <w:rsid w:val="30E166A8"/>
    <w:rsid w:val="30F009F7"/>
    <w:rsid w:val="3100061F"/>
    <w:rsid w:val="310224D9"/>
    <w:rsid w:val="31077AEF"/>
    <w:rsid w:val="310E70CF"/>
    <w:rsid w:val="311A5A74"/>
    <w:rsid w:val="31487F49"/>
    <w:rsid w:val="317D7134"/>
    <w:rsid w:val="31864EB8"/>
    <w:rsid w:val="318A49A8"/>
    <w:rsid w:val="318E776C"/>
    <w:rsid w:val="31943A79"/>
    <w:rsid w:val="3196159F"/>
    <w:rsid w:val="31B54A13"/>
    <w:rsid w:val="31C0661C"/>
    <w:rsid w:val="31E57E30"/>
    <w:rsid w:val="31ED4A9E"/>
    <w:rsid w:val="31FD161E"/>
    <w:rsid w:val="31FF437A"/>
    <w:rsid w:val="320F4EAD"/>
    <w:rsid w:val="321E77E6"/>
    <w:rsid w:val="32290665"/>
    <w:rsid w:val="32700042"/>
    <w:rsid w:val="3282783E"/>
    <w:rsid w:val="3292040F"/>
    <w:rsid w:val="329E4DFA"/>
    <w:rsid w:val="32C91500"/>
    <w:rsid w:val="32D06D32"/>
    <w:rsid w:val="32DF2A2C"/>
    <w:rsid w:val="32EC3440"/>
    <w:rsid w:val="33046D8E"/>
    <w:rsid w:val="33195303"/>
    <w:rsid w:val="333F5C66"/>
    <w:rsid w:val="3350577D"/>
    <w:rsid w:val="335E1684"/>
    <w:rsid w:val="33D771D0"/>
    <w:rsid w:val="33E10ACB"/>
    <w:rsid w:val="33F23FBB"/>
    <w:rsid w:val="33F702EF"/>
    <w:rsid w:val="340A6274"/>
    <w:rsid w:val="340D0144"/>
    <w:rsid w:val="341E7629"/>
    <w:rsid w:val="346C65E7"/>
    <w:rsid w:val="3491429F"/>
    <w:rsid w:val="34922D13"/>
    <w:rsid w:val="34936269"/>
    <w:rsid w:val="349E5958"/>
    <w:rsid w:val="34A77ECC"/>
    <w:rsid w:val="34A845B2"/>
    <w:rsid w:val="35204BD0"/>
    <w:rsid w:val="35206064"/>
    <w:rsid w:val="35286E21"/>
    <w:rsid w:val="35350180"/>
    <w:rsid w:val="354E03E2"/>
    <w:rsid w:val="35523A2F"/>
    <w:rsid w:val="355B0026"/>
    <w:rsid w:val="359245FF"/>
    <w:rsid w:val="35BD1394"/>
    <w:rsid w:val="35C16CA9"/>
    <w:rsid w:val="35CB2596"/>
    <w:rsid w:val="35DA54E6"/>
    <w:rsid w:val="35E13004"/>
    <w:rsid w:val="35EF5721"/>
    <w:rsid w:val="360311CD"/>
    <w:rsid w:val="360F7B72"/>
    <w:rsid w:val="36160F00"/>
    <w:rsid w:val="36177517"/>
    <w:rsid w:val="364C66D0"/>
    <w:rsid w:val="36740975"/>
    <w:rsid w:val="36785717"/>
    <w:rsid w:val="36C46BAE"/>
    <w:rsid w:val="36CA64AC"/>
    <w:rsid w:val="36DB5CA6"/>
    <w:rsid w:val="36E42DAC"/>
    <w:rsid w:val="36EA5EE9"/>
    <w:rsid w:val="36F17277"/>
    <w:rsid w:val="37184804"/>
    <w:rsid w:val="371C0492"/>
    <w:rsid w:val="372F0468"/>
    <w:rsid w:val="373C2F97"/>
    <w:rsid w:val="375717D0"/>
    <w:rsid w:val="37575C49"/>
    <w:rsid w:val="377818F1"/>
    <w:rsid w:val="37A91900"/>
    <w:rsid w:val="37C77085"/>
    <w:rsid w:val="37DC1CD5"/>
    <w:rsid w:val="37DF5322"/>
    <w:rsid w:val="37E8309F"/>
    <w:rsid w:val="37F012DD"/>
    <w:rsid w:val="37FB65FF"/>
    <w:rsid w:val="380B27FE"/>
    <w:rsid w:val="3814321D"/>
    <w:rsid w:val="38221F30"/>
    <w:rsid w:val="38476878"/>
    <w:rsid w:val="384A6C3F"/>
    <w:rsid w:val="386C1A40"/>
    <w:rsid w:val="387A3DF1"/>
    <w:rsid w:val="3894610C"/>
    <w:rsid w:val="38B60778"/>
    <w:rsid w:val="38C5276A"/>
    <w:rsid w:val="38D24458"/>
    <w:rsid w:val="38D359D5"/>
    <w:rsid w:val="38E250CA"/>
    <w:rsid w:val="3916629D"/>
    <w:rsid w:val="392B4CC2"/>
    <w:rsid w:val="392C6D9B"/>
    <w:rsid w:val="393022D9"/>
    <w:rsid w:val="395D3306"/>
    <w:rsid w:val="396C0E37"/>
    <w:rsid w:val="3971469F"/>
    <w:rsid w:val="39795387"/>
    <w:rsid w:val="39A6259B"/>
    <w:rsid w:val="39CF2452"/>
    <w:rsid w:val="39D86BC9"/>
    <w:rsid w:val="39E9692C"/>
    <w:rsid w:val="39F50E2C"/>
    <w:rsid w:val="3A06303A"/>
    <w:rsid w:val="3A1C4154"/>
    <w:rsid w:val="3A2160C5"/>
    <w:rsid w:val="3A410516"/>
    <w:rsid w:val="3A5B15D7"/>
    <w:rsid w:val="3A6F6E31"/>
    <w:rsid w:val="3A9B7C26"/>
    <w:rsid w:val="3AC26204"/>
    <w:rsid w:val="3AC3717D"/>
    <w:rsid w:val="3AC56A51"/>
    <w:rsid w:val="3AD35612"/>
    <w:rsid w:val="3AF9494C"/>
    <w:rsid w:val="3B1F0857"/>
    <w:rsid w:val="3B225C51"/>
    <w:rsid w:val="3B716BD9"/>
    <w:rsid w:val="3B8133E2"/>
    <w:rsid w:val="3B88345B"/>
    <w:rsid w:val="3B8A078F"/>
    <w:rsid w:val="3B932030"/>
    <w:rsid w:val="3B9C3C56"/>
    <w:rsid w:val="3BAA7040"/>
    <w:rsid w:val="3BAB20EB"/>
    <w:rsid w:val="3BB07701"/>
    <w:rsid w:val="3BD776DA"/>
    <w:rsid w:val="3BE70C49"/>
    <w:rsid w:val="3C08338E"/>
    <w:rsid w:val="3C0D6505"/>
    <w:rsid w:val="3C0E4C73"/>
    <w:rsid w:val="3C1E46D5"/>
    <w:rsid w:val="3C29300F"/>
    <w:rsid w:val="3C430575"/>
    <w:rsid w:val="3C5F4C83"/>
    <w:rsid w:val="3C6027B0"/>
    <w:rsid w:val="3C6B3628"/>
    <w:rsid w:val="3C6B7ACC"/>
    <w:rsid w:val="3CA37266"/>
    <w:rsid w:val="3CB15FCA"/>
    <w:rsid w:val="3CC739C6"/>
    <w:rsid w:val="3CDE1C86"/>
    <w:rsid w:val="3CF11D7F"/>
    <w:rsid w:val="3D031E2F"/>
    <w:rsid w:val="3D070254"/>
    <w:rsid w:val="3D117F3D"/>
    <w:rsid w:val="3D1E069A"/>
    <w:rsid w:val="3D2C1009"/>
    <w:rsid w:val="3D7D1865"/>
    <w:rsid w:val="3D8745C3"/>
    <w:rsid w:val="3D9041D0"/>
    <w:rsid w:val="3DB4423A"/>
    <w:rsid w:val="3DBF1E7D"/>
    <w:rsid w:val="3DC70D32"/>
    <w:rsid w:val="3DD27E02"/>
    <w:rsid w:val="3DE13122"/>
    <w:rsid w:val="3DEE6A01"/>
    <w:rsid w:val="3DF77869"/>
    <w:rsid w:val="3DFF4855"/>
    <w:rsid w:val="3E37026C"/>
    <w:rsid w:val="3E3839DE"/>
    <w:rsid w:val="3E412892"/>
    <w:rsid w:val="3E607791"/>
    <w:rsid w:val="3E66679D"/>
    <w:rsid w:val="3E6E73FF"/>
    <w:rsid w:val="3E994DA1"/>
    <w:rsid w:val="3ECB6600"/>
    <w:rsid w:val="3ED5122D"/>
    <w:rsid w:val="3ED90D1D"/>
    <w:rsid w:val="3EEA117C"/>
    <w:rsid w:val="3EEC2B1F"/>
    <w:rsid w:val="3EEF6A08"/>
    <w:rsid w:val="3F211237"/>
    <w:rsid w:val="3F2325EB"/>
    <w:rsid w:val="3F400D9C"/>
    <w:rsid w:val="3F634A2D"/>
    <w:rsid w:val="3F656A54"/>
    <w:rsid w:val="3F780CFF"/>
    <w:rsid w:val="3F79605C"/>
    <w:rsid w:val="3F7B601B"/>
    <w:rsid w:val="3F7E3672"/>
    <w:rsid w:val="3F8151D7"/>
    <w:rsid w:val="3F88541E"/>
    <w:rsid w:val="3F9B2476"/>
    <w:rsid w:val="3FAE3F57"/>
    <w:rsid w:val="3FB53538"/>
    <w:rsid w:val="3FBD419A"/>
    <w:rsid w:val="3FCE3414"/>
    <w:rsid w:val="3FE059F3"/>
    <w:rsid w:val="3FE94F8F"/>
    <w:rsid w:val="3FFD2B07"/>
    <w:rsid w:val="40061299"/>
    <w:rsid w:val="400C5122"/>
    <w:rsid w:val="40331C10"/>
    <w:rsid w:val="40353870"/>
    <w:rsid w:val="40375844"/>
    <w:rsid w:val="404A7629"/>
    <w:rsid w:val="404F0677"/>
    <w:rsid w:val="40730CFD"/>
    <w:rsid w:val="40776A3F"/>
    <w:rsid w:val="407C5E04"/>
    <w:rsid w:val="408D0A8F"/>
    <w:rsid w:val="40970E8F"/>
    <w:rsid w:val="40B1759F"/>
    <w:rsid w:val="40B401D2"/>
    <w:rsid w:val="40CA18BF"/>
    <w:rsid w:val="40EB4D15"/>
    <w:rsid w:val="40ED0AAF"/>
    <w:rsid w:val="40ED6D01"/>
    <w:rsid w:val="40F52B60"/>
    <w:rsid w:val="40FE2CBD"/>
    <w:rsid w:val="411D7BCE"/>
    <w:rsid w:val="41452699"/>
    <w:rsid w:val="414549F8"/>
    <w:rsid w:val="415E0E9B"/>
    <w:rsid w:val="41720FB5"/>
    <w:rsid w:val="4176177F"/>
    <w:rsid w:val="417D4941"/>
    <w:rsid w:val="417D62D7"/>
    <w:rsid w:val="41812A4B"/>
    <w:rsid w:val="41866D93"/>
    <w:rsid w:val="41A37D9D"/>
    <w:rsid w:val="41AC2719"/>
    <w:rsid w:val="41BD130E"/>
    <w:rsid w:val="41BD2B78"/>
    <w:rsid w:val="41C23CEA"/>
    <w:rsid w:val="41CB6863"/>
    <w:rsid w:val="41D21B7C"/>
    <w:rsid w:val="41EB7A82"/>
    <w:rsid w:val="41F52311"/>
    <w:rsid w:val="41F83BB0"/>
    <w:rsid w:val="41FA1D1A"/>
    <w:rsid w:val="41FD3881"/>
    <w:rsid w:val="421B33FA"/>
    <w:rsid w:val="4226071D"/>
    <w:rsid w:val="4240497D"/>
    <w:rsid w:val="42537038"/>
    <w:rsid w:val="426C1EA8"/>
    <w:rsid w:val="42733338"/>
    <w:rsid w:val="427E5C8F"/>
    <w:rsid w:val="429934E4"/>
    <w:rsid w:val="42A67168"/>
    <w:rsid w:val="42B20202"/>
    <w:rsid w:val="42BA2C13"/>
    <w:rsid w:val="42C73536"/>
    <w:rsid w:val="42EB7271"/>
    <w:rsid w:val="43092A55"/>
    <w:rsid w:val="43144A19"/>
    <w:rsid w:val="432A1125"/>
    <w:rsid w:val="433230F1"/>
    <w:rsid w:val="43514AF1"/>
    <w:rsid w:val="435E3EE6"/>
    <w:rsid w:val="43A85B37"/>
    <w:rsid w:val="43E66B1D"/>
    <w:rsid w:val="43FD6B2C"/>
    <w:rsid w:val="4416656F"/>
    <w:rsid w:val="44202F4A"/>
    <w:rsid w:val="44586B88"/>
    <w:rsid w:val="445A46AE"/>
    <w:rsid w:val="44784B34"/>
    <w:rsid w:val="447B49F8"/>
    <w:rsid w:val="447D2BAF"/>
    <w:rsid w:val="448B0D0B"/>
    <w:rsid w:val="44CA288B"/>
    <w:rsid w:val="44D206E8"/>
    <w:rsid w:val="44F274A6"/>
    <w:rsid w:val="44F74ACF"/>
    <w:rsid w:val="44F95E3B"/>
    <w:rsid w:val="450136D2"/>
    <w:rsid w:val="450C66C4"/>
    <w:rsid w:val="45224124"/>
    <w:rsid w:val="453F0F59"/>
    <w:rsid w:val="457D6AC5"/>
    <w:rsid w:val="45806396"/>
    <w:rsid w:val="458A4B1F"/>
    <w:rsid w:val="458C4D3B"/>
    <w:rsid w:val="458E2887"/>
    <w:rsid w:val="45997458"/>
    <w:rsid w:val="459B4F7E"/>
    <w:rsid w:val="459E75B4"/>
    <w:rsid w:val="45A007E6"/>
    <w:rsid w:val="45AA1D44"/>
    <w:rsid w:val="45C3743F"/>
    <w:rsid w:val="45CC5137"/>
    <w:rsid w:val="45F621B4"/>
    <w:rsid w:val="463B2A6B"/>
    <w:rsid w:val="463D7DE3"/>
    <w:rsid w:val="46492C2C"/>
    <w:rsid w:val="46843C64"/>
    <w:rsid w:val="469B1F82"/>
    <w:rsid w:val="46A2233C"/>
    <w:rsid w:val="46AA72F1"/>
    <w:rsid w:val="46D21FD3"/>
    <w:rsid w:val="46E35F76"/>
    <w:rsid w:val="46E42955"/>
    <w:rsid w:val="471A1ED2"/>
    <w:rsid w:val="476475F1"/>
    <w:rsid w:val="477626C0"/>
    <w:rsid w:val="47C87B80"/>
    <w:rsid w:val="47CD5C61"/>
    <w:rsid w:val="47D77DC3"/>
    <w:rsid w:val="47E66258"/>
    <w:rsid w:val="480F57AF"/>
    <w:rsid w:val="48117779"/>
    <w:rsid w:val="481728B6"/>
    <w:rsid w:val="481D46A7"/>
    <w:rsid w:val="482254E2"/>
    <w:rsid w:val="48297C9A"/>
    <w:rsid w:val="4856518C"/>
    <w:rsid w:val="485811E2"/>
    <w:rsid w:val="485B27A2"/>
    <w:rsid w:val="48770286"/>
    <w:rsid w:val="487F59B9"/>
    <w:rsid w:val="48A71E8C"/>
    <w:rsid w:val="48AC47F0"/>
    <w:rsid w:val="48D72771"/>
    <w:rsid w:val="48DE4D6F"/>
    <w:rsid w:val="48E5580A"/>
    <w:rsid w:val="48E92F31"/>
    <w:rsid w:val="49121BEA"/>
    <w:rsid w:val="491F33FC"/>
    <w:rsid w:val="492928A1"/>
    <w:rsid w:val="4929464F"/>
    <w:rsid w:val="4942234B"/>
    <w:rsid w:val="494A2FCD"/>
    <w:rsid w:val="496025C5"/>
    <w:rsid w:val="49655F9F"/>
    <w:rsid w:val="49667651"/>
    <w:rsid w:val="496B4C67"/>
    <w:rsid w:val="496E6505"/>
    <w:rsid w:val="49AD73F9"/>
    <w:rsid w:val="49F17548"/>
    <w:rsid w:val="49F17862"/>
    <w:rsid w:val="4A084BAC"/>
    <w:rsid w:val="4A190B67"/>
    <w:rsid w:val="4A274E60"/>
    <w:rsid w:val="4A34702F"/>
    <w:rsid w:val="4A372B97"/>
    <w:rsid w:val="4A49144C"/>
    <w:rsid w:val="4A4E2254"/>
    <w:rsid w:val="4A5C2802"/>
    <w:rsid w:val="4A605AF9"/>
    <w:rsid w:val="4A606796"/>
    <w:rsid w:val="4A6E0B49"/>
    <w:rsid w:val="4A7638C4"/>
    <w:rsid w:val="4A7D6C3A"/>
    <w:rsid w:val="4A802994"/>
    <w:rsid w:val="4A8C5634"/>
    <w:rsid w:val="4AB77C70"/>
    <w:rsid w:val="4AD8457E"/>
    <w:rsid w:val="4AEA6060"/>
    <w:rsid w:val="4B0233A9"/>
    <w:rsid w:val="4B58121B"/>
    <w:rsid w:val="4B7342A7"/>
    <w:rsid w:val="4B771FE9"/>
    <w:rsid w:val="4B7C25D4"/>
    <w:rsid w:val="4B8F7333"/>
    <w:rsid w:val="4BA24E9F"/>
    <w:rsid w:val="4BA54641"/>
    <w:rsid w:val="4BC40805"/>
    <w:rsid w:val="4BFA2225"/>
    <w:rsid w:val="4C0C3553"/>
    <w:rsid w:val="4C6035A7"/>
    <w:rsid w:val="4C6F7DF2"/>
    <w:rsid w:val="4C8049A8"/>
    <w:rsid w:val="4C8D3147"/>
    <w:rsid w:val="4C9646F1"/>
    <w:rsid w:val="4CA27D42"/>
    <w:rsid w:val="4CAA7DEC"/>
    <w:rsid w:val="4CC36B68"/>
    <w:rsid w:val="4CD15729"/>
    <w:rsid w:val="4CD90E06"/>
    <w:rsid w:val="4CDF7E46"/>
    <w:rsid w:val="4CE251D5"/>
    <w:rsid w:val="4CE54D31"/>
    <w:rsid w:val="4CE54DA4"/>
    <w:rsid w:val="4CE865CF"/>
    <w:rsid w:val="4D115B26"/>
    <w:rsid w:val="4D395758"/>
    <w:rsid w:val="4D3D691B"/>
    <w:rsid w:val="4D47054C"/>
    <w:rsid w:val="4D484A3D"/>
    <w:rsid w:val="4D5542AF"/>
    <w:rsid w:val="4D597AF4"/>
    <w:rsid w:val="4D5A18E8"/>
    <w:rsid w:val="4D825C2E"/>
    <w:rsid w:val="4D8409ED"/>
    <w:rsid w:val="4D8712BE"/>
    <w:rsid w:val="4DB0533F"/>
    <w:rsid w:val="4DBC1F35"/>
    <w:rsid w:val="4DCD0484"/>
    <w:rsid w:val="4DD70B1D"/>
    <w:rsid w:val="4DDE1EAC"/>
    <w:rsid w:val="4DFC4A28"/>
    <w:rsid w:val="4E004C2E"/>
    <w:rsid w:val="4E123FC4"/>
    <w:rsid w:val="4E1C6E78"/>
    <w:rsid w:val="4E2D698F"/>
    <w:rsid w:val="4E4365CB"/>
    <w:rsid w:val="4E5679CD"/>
    <w:rsid w:val="4E5E123E"/>
    <w:rsid w:val="4E606D65"/>
    <w:rsid w:val="4E6B4968"/>
    <w:rsid w:val="4E707559"/>
    <w:rsid w:val="4E850579"/>
    <w:rsid w:val="4EA33973"/>
    <w:rsid w:val="4EAB7E41"/>
    <w:rsid w:val="4EBA2F55"/>
    <w:rsid w:val="4EC217CD"/>
    <w:rsid w:val="4EC578F6"/>
    <w:rsid w:val="4ED212E5"/>
    <w:rsid w:val="4EF467EB"/>
    <w:rsid w:val="4EF96877"/>
    <w:rsid w:val="4EFB4816"/>
    <w:rsid w:val="4F1813ED"/>
    <w:rsid w:val="4F204746"/>
    <w:rsid w:val="4F237A19"/>
    <w:rsid w:val="4F2A522D"/>
    <w:rsid w:val="4F3320FB"/>
    <w:rsid w:val="4F372CC3"/>
    <w:rsid w:val="4F3A121F"/>
    <w:rsid w:val="4F414020"/>
    <w:rsid w:val="4F493C9D"/>
    <w:rsid w:val="4F6F4D85"/>
    <w:rsid w:val="4F75062E"/>
    <w:rsid w:val="4F776199"/>
    <w:rsid w:val="4F8723AA"/>
    <w:rsid w:val="4FAD5FDA"/>
    <w:rsid w:val="4FBF0B01"/>
    <w:rsid w:val="4FCD46A7"/>
    <w:rsid w:val="4FD6416C"/>
    <w:rsid w:val="4FD80CA0"/>
    <w:rsid w:val="50106933"/>
    <w:rsid w:val="50255F7A"/>
    <w:rsid w:val="502C496B"/>
    <w:rsid w:val="503C110B"/>
    <w:rsid w:val="50722D7F"/>
    <w:rsid w:val="50AA3F1E"/>
    <w:rsid w:val="50AA7E30"/>
    <w:rsid w:val="50B11220"/>
    <w:rsid w:val="50B37E70"/>
    <w:rsid w:val="50B52C6C"/>
    <w:rsid w:val="50B96EF3"/>
    <w:rsid w:val="50E95DD9"/>
    <w:rsid w:val="5119769F"/>
    <w:rsid w:val="512E42E5"/>
    <w:rsid w:val="51307C7F"/>
    <w:rsid w:val="51367791"/>
    <w:rsid w:val="513B5867"/>
    <w:rsid w:val="5144471C"/>
    <w:rsid w:val="51453FF0"/>
    <w:rsid w:val="515D3978"/>
    <w:rsid w:val="515F1555"/>
    <w:rsid w:val="51870AAC"/>
    <w:rsid w:val="518A5142"/>
    <w:rsid w:val="519C6BF2"/>
    <w:rsid w:val="51C21FC2"/>
    <w:rsid w:val="51C82CAC"/>
    <w:rsid w:val="51CA3B38"/>
    <w:rsid w:val="51CA4B61"/>
    <w:rsid w:val="51CE2237"/>
    <w:rsid w:val="51E16481"/>
    <w:rsid w:val="52021EE1"/>
    <w:rsid w:val="520B699C"/>
    <w:rsid w:val="520C2D5F"/>
    <w:rsid w:val="52114519"/>
    <w:rsid w:val="521F6F37"/>
    <w:rsid w:val="52262073"/>
    <w:rsid w:val="523C1897"/>
    <w:rsid w:val="526861E8"/>
    <w:rsid w:val="526B5C71"/>
    <w:rsid w:val="52741030"/>
    <w:rsid w:val="527872A3"/>
    <w:rsid w:val="52875F4B"/>
    <w:rsid w:val="52946FDD"/>
    <w:rsid w:val="52A35472"/>
    <w:rsid w:val="52B0193D"/>
    <w:rsid w:val="52C85020"/>
    <w:rsid w:val="52C97A4D"/>
    <w:rsid w:val="52DA79B9"/>
    <w:rsid w:val="52F12681"/>
    <w:rsid w:val="52F17409"/>
    <w:rsid w:val="52FB705C"/>
    <w:rsid w:val="53175041"/>
    <w:rsid w:val="532540D9"/>
    <w:rsid w:val="53407165"/>
    <w:rsid w:val="534A3B3F"/>
    <w:rsid w:val="535B50B8"/>
    <w:rsid w:val="536A286E"/>
    <w:rsid w:val="536F0699"/>
    <w:rsid w:val="538A6632"/>
    <w:rsid w:val="539A7974"/>
    <w:rsid w:val="53A45945"/>
    <w:rsid w:val="53A771E4"/>
    <w:rsid w:val="53B65679"/>
    <w:rsid w:val="53B94AEA"/>
    <w:rsid w:val="53BF62DB"/>
    <w:rsid w:val="53DE62D7"/>
    <w:rsid w:val="53F8359B"/>
    <w:rsid w:val="540463E4"/>
    <w:rsid w:val="54290156"/>
    <w:rsid w:val="54332825"/>
    <w:rsid w:val="543B2B99"/>
    <w:rsid w:val="546450D5"/>
    <w:rsid w:val="54774E08"/>
    <w:rsid w:val="54866DF9"/>
    <w:rsid w:val="548870F3"/>
    <w:rsid w:val="54B75204"/>
    <w:rsid w:val="54C55B73"/>
    <w:rsid w:val="54EA382C"/>
    <w:rsid w:val="54F16968"/>
    <w:rsid w:val="54F275D1"/>
    <w:rsid w:val="54F71AA5"/>
    <w:rsid w:val="54FA45B8"/>
    <w:rsid w:val="55613C02"/>
    <w:rsid w:val="55677C7A"/>
    <w:rsid w:val="556A1DEF"/>
    <w:rsid w:val="558406C7"/>
    <w:rsid w:val="55A47054"/>
    <w:rsid w:val="55AF412E"/>
    <w:rsid w:val="55C4407D"/>
    <w:rsid w:val="55CF73AA"/>
    <w:rsid w:val="55D63DC4"/>
    <w:rsid w:val="55DB3175"/>
    <w:rsid w:val="55EE5599"/>
    <w:rsid w:val="561F3061"/>
    <w:rsid w:val="562C2DB0"/>
    <w:rsid w:val="564E3947"/>
    <w:rsid w:val="564F734B"/>
    <w:rsid w:val="566C3A9A"/>
    <w:rsid w:val="56724AFB"/>
    <w:rsid w:val="567315FF"/>
    <w:rsid w:val="569D6063"/>
    <w:rsid w:val="569F23F4"/>
    <w:rsid w:val="56BE0ACC"/>
    <w:rsid w:val="56CB79EE"/>
    <w:rsid w:val="56D4209E"/>
    <w:rsid w:val="56F2200F"/>
    <w:rsid w:val="56F269C8"/>
    <w:rsid w:val="56F97D56"/>
    <w:rsid w:val="570B0B70"/>
    <w:rsid w:val="57120E18"/>
    <w:rsid w:val="571C5DB6"/>
    <w:rsid w:val="5721752F"/>
    <w:rsid w:val="572A032B"/>
    <w:rsid w:val="574A2360"/>
    <w:rsid w:val="57517B92"/>
    <w:rsid w:val="57614F95"/>
    <w:rsid w:val="57650F48"/>
    <w:rsid w:val="57684EDC"/>
    <w:rsid w:val="5768615E"/>
    <w:rsid w:val="57696D21"/>
    <w:rsid w:val="5797254E"/>
    <w:rsid w:val="57DB56AE"/>
    <w:rsid w:val="57DD31D4"/>
    <w:rsid w:val="57E17F0A"/>
    <w:rsid w:val="57E63BF7"/>
    <w:rsid w:val="57E82409"/>
    <w:rsid w:val="57F9079B"/>
    <w:rsid w:val="580C319C"/>
    <w:rsid w:val="581C2A2E"/>
    <w:rsid w:val="582D6D32"/>
    <w:rsid w:val="58301BAD"/>
    <w:rsid w:val="584E114E"/>
    <w:rsid w:val="5850529E"/>
    <w:rsid w:val="58523BC2"/>
    <w:rsid w:val="586E207E"/>
    <w:rsid w:val="58711B6E"/>
    <w:rsid w:val="58726DB1"/>
    <w:rsid w:val="587F6FC8"/>
    <w:rsid w:val="58845D45"/>
    <w:rsid w:val="5889335C"/>
    <w:rsid w:val="588B0E82"/>
    <w:rsid w:val="58A04049"/>
    <w:rsid w:val="58AD2F66"/>
    <w:rsid w:val="58B02697"/>
    <w:rsid w:val="58C535AD"/>
    <w:rsid w:val="58D2260D"/>
    <w:rsid w:val="58DF1D6F"/>
    <w:rsid w:val="58F22CAF"/>
    <w:rsid w:val="590A179F"/>
    <w:rsid w:val="592310BA"/>
    <w:rsid w:val="59396B30"/>
    <w:rsid w:val="59A2217E"/>
    <w:rsid w:val="59AF6DF2"/>
    <w:rsid w:val="59B648E9"/>
    <w:rsid w:val="59C26B25"/>
    <w:rsid w:val="59DE4FE1"/>
    <w:rsid w:val="59E9055B"/>
    <w:rsid w:val="59F34F31"/>
    <w:rsid w:val="59F82547"/>
    <w:rsid w:val="5A04713E"/>
    <w:rsid w:val="5A0F163F"/>
    <w:rsid w:val="5A1924BD"/>
    <w:rsid w:val="5A322F36"/>
    <w:rsid w:val="5A366BCB"/>
    <w:rsid w:val="5A3D61AC"/>
    <w:rsid w:val="5A640AF4"/>
    <w:rsid w:val="5A765B75"/>
    <w:rsid w:val="5A802968"/>
    <w:rsid w:val="5A8C0EE1"/>
    <w:rsid w:val="5AAC047B"/>
    <w:rsid w:val="5AB04891"/>
    <w:rsid w:val="5AB6152D"/>
    <w:rsid w:val="5ABD72ED"/>
    <w:rsid w:val="5B033C7B"/>
    <w:rsid w:val="5B41332E"/>
    <w:rsid w:val="5B5C4D58"/>
    <w:rsid w:val="5B5F44EF"/>
    <w:rsid w:val="5B642505"/>
    <w:rsid w:val="5B6B0AF7"/>
    <w:rsid w:val="5B7C4AB2"/>
    <w:rsid w:val="5BA86AA9"/>
    <w:rsid w:val="5BB46942"/>
    <w:rsid w:val="5BEB0156"/>
    <w:rsid w:val="5C1D55FB"/>
    <w:rsid w:val="5C221AFD"/>
    <w:rsid w:val="5C292E8C"/>
    <w:rsid w:val="5C425CFC"/>
    <w:rsid w:val="5C651EB1"/>
    <w:rsid w:val="5C7737C6"/>
    <w:rsid w:val="5C922CA1"/>
    <w:rsid w:val="5C9C18B0"/>
    <w:rsid w:val="5CE741A1"/>
    <w:rsid w:val="5CFD7971"/>
    <w:rsid w:val="5D0E5BDE"/>
    <w:rsid w:val="5D131446"/>
    <w:rsid w:val="5D296EBB"/>
    <w:rsid w:val="5D5C4B9B"/>
    <w:rsid w:val="5D7B72C2"/>
    <w:rsid w:val="5D822408"/>
    <w:rsid w:val="5DA76336"/>
    <w:rsid w:val="5DC66FC3"/>
    <w:rsid w:val="5DD376C4"/>
    <w:rsid w:val="5DD617DB"/>
    <w:rsid w:val="5DF66D9E"/>
    <w:rsid w:val="5E126C3A"/>
    <w:rsid w:val="5E133E89"/>
    <w:rsid w:val="5E281158"/>
    <w:rsid w:val="5E2F0501"/>
    <w:rsid w:val="5E380865"/>
    <w:rsid w:val="5E42134A"/>
    <w:rsid w:val="5E4A533B"/>
    <w:rsid w:val="5E604B5F"/>
    <w:rsid w:val="5EAA457D"/>
    <w:rsid w:val="5EB237E6"/>
    <w:rsid w:val="5EB35D99"/>
    <w:rsid w:val="5F1F0C4B"/>
    <w:rsid w:val="5F1F1CA0"/>
    <w:rsid w:val="5F2CF063"/>
    <w:rsid w:val="5F3F29C6"/>
    <w:rsid w:val="5F41673E"/>
    <w:rsid w:val="5F4678B1"/>
    <w:rsid w:val="5F4B136B"/>
    <w:rsid w:val="5F4D50E3"/>
    <w:rsid w:val="5F520B89"/>
    <w:rsid w:val="5F5445D8"/>
    <w:rsid w:val="5F553F98"/>
    <w:rsid w:val="5F555D46"/>
    <w:rsid w:val="5F557AF4"/>
    <w:rsid w:val="5F6050D7"/>
    <w:rsid w:val="5F70492E"/>
    <w:rsid w:val="5F952071"/>
    <w:rsid w:val="5FB52C88"/>
    <w:rsid w:val="5FDFCE88"/>
    <w:rsid w:val="5FEE3E15"/>
    <w:rsid w:val="600835BA"/>
    <w:rsid w:val="60177B46"/>
    <w:rsid w:val="602236D6"/>
    <w:rsid w:val="60285208"/>
    <w:rsid w:val="605F7014"/>
    <w:rsid w:val="606049A2"/>
    <w:rsid w:val="6065020A"/>
    <w:rsid w:val="60822B6A"/>
    <w:rsid w:val="60997EB4"/>
    <w:rsid w:val="60B3541A"/>
    <w:rsid w:val="60C1782B"/>
    <w:rsid w:val="60C44EA2"/>
    <w:rsid w:val="60CF1B28"/>
    <w:rsid w:val="60D81578"/>
    <w:rsid w:val="60E732E5"/>
    <w:rsid w:val="60EE3D9F"/>
    <w:rsid w:val="614815AD"/>
    <w:rsid w:val="61572249"/>
    <w:rsid w:val="617D5BD5"/>
    <w:rsid w:val="6189617B"/>
    <w:rsid w:val="61923281"/>
    <w:rsid w:val="61A57FF8"/>
    <w:rsid w:val="61A66F0D"/>
    <w:rsid w:val="61A979D9"/>
    <w:rsid w:val="61CB0541"/>
    <w:rsid w:val="61D73548"/>
    <w:rsid w:val="61E433B1"/>
    <w:rsid w:val="62243D2C"/>
    <w:rsid w:val="622F6D22"/>
    <w:rsid w:val="623016EC"/>
    <w:rsid w:val="623C4F9B"/>
    <w:rsid w:val="624502F4"/>
    <w:rsid w:val="6254757F"/>
    <w:rsid w:val="627B4304"/>
    <w:rsid w:val="628726BA"/>
    <w:rsid w:val="6287563B"/>
    <w:rsid w:val="62923BD4"/>
    <w:rsid w:val="62C90F25"/>
    <w:rsid w:val="62CF1D8D"/>
    <w:rsid w:val="62DA4EE0"/>
    <w:rsid w:val="62EC6671"/>
    <w:rsid w:val="62ED7B55"/>
    <w:rsid w:val="62FB09B2"/>
    <w:rsid w:val="62FB1FD9"/>
    <w:rsid w:val="63035AB9"/>
    <w:rsid w:val="6311467A"/>
    <w:rsid w:val="631F0B45"/>
    <w:rsid w:val="63365E8E"/>
    <w:rsid w:val="6347009B"/>
    <w:rsid w:val="634F67A3"/>
    <w:rsid w:val="63534C92"/>
    <w:rsid w:val="63552ACB"/>
    <w:rsid w:val="63554AE4"/>
    <w:rsid w:val="63610329"/>
    <w:rsid w:val="636522D0"/>
    <w:rsid w:val="636E5D4F"/>
    <w:rsid w:val="637F2117"/>
    <w:rsid w:val="638210D3"/>
    <w:rsid w:val="63927136"/>
    <w:rsid w:val="63A14C17"/>
    <w:rsid w:val="63B23767"/>
    <w:rsid w:val="63BB0E87"/>
    <w:rsid w:val="63C416EC"/>
    <w:rsid w:val="63FA3360"/>
    <w:rsid w:val="64061D04"/>
    <w:rsid w:val="641D5F30"/>
    <w:rsid w:val="642301C1"/>
    <w:rsid w:val="64290905"/>
    <w:rsid w:val="642D54E3"/>
    <w:rsid w:val="64354398"/>
    <w:rsid w:val="64462101"/>
    <w:rsid w:val="646C600B"/>
    <w:rsid w:val="647924D6"/>
    <w:rsid w:val="647B624F"/>
    <w:rsid w:val="649B41FB"/>
    <w:rsid w:val="649E7739"/>
    <w:rsid w:val="64CC36DC"/>
    <w:rsid w:val="64CC6AAA"/>
    <w:rsid w:val="65085608"/>
    <w:rsid w:val="650C334B"/>
    <w:rsid w:val="650F1C13"/>
    <w:rsid w:val="651664A6"/>
    <w:rsid w:val="65392A66"/>
    <w:rsid w:val="653C0ACD"/>
    <w:rsid w:val="65470702"/>
    <w:rsid w:val="654E0609"/>
    <w:rsid w:val="65622F6B"/>
    <w:rsid w:val="65644F35"/>
    <w:rsid w:val="657A6506"/>
    <w:rsid w:val="657F25CC"/>
    <w:rsid w:val="65817895"/>
    <w:rsid w:val="65866172"/>
    <w:rsid w:val="65872C32"/>
    <w:rsid w:val="65905D2A"/>
    <w:rsid w:val="659B022A"/>
    <w:rsid w:val="65C07C91"/>
    <w:rsid w:val="65C87949"/>
    <w:rsid w:val="65D17F63"/>
    <w:rsid w:val="65D379C4"/>
    <w:rsid w:val="65D43251"/>
    <w:rsid w:val="65D44986"/>
    <w:rsid w:val="65DC0CB8"/>
    <w:rsid w:val="65DE56EF"/>
    <w:rsid w:val="65F71905"/>
    <w:rsid w:val="65FE06B6"/>
    <w:rsid w:val="661500E5"/>
    <w:rsid w:val="662A7F2C"/>
    <w:rsid w:val="66393CC2"/>
    <w:rsid w:val="663F505A"/>
    <w:rsid w:val="66417024"/>
    <w:rsid w:val="664A7F74"/>
    <w:rsid w:val="6659436D"/>
    <w:rsid w:val="66650F64"/>
    <w:rsid w:val="668D7DEB"/>
    <w:rsid w:val="66925AD1"/>
    <w:rsid w:val="66A070C9"/>
    <w:rsid w:val="66B45A48"/>
    <w:rsid w:val="66BC5161"/>
    <w:rsid w:val="66CA0DC7"/>
    <w:rsid w:val="66CD08B8"/>
    <w:rsid w:val="67006EDF"/>
    <w:rsid w:val="670A099B"/>
    <w:rsid w:val="67486190"/>
    <w:rsid w:val="67582877"/>
    <w:rsid w:val="67B759B5"/>
    <w:rsid w:val="67CE2B39"/>
    <w:rsid w:val="67CF5646"/>
    <w:rsid w:val="680227E3"/>
    <w:rsid w:val="680C4983"/>
    <w:rsid w:val="6813608F"/>
    <w:rsid w:val="681430FA"/>
    <w:rsid w:val="683F57E5"/>
    <w:rsid w:val="68581159"/>
    <w:rsid w:val="685E210F"/>
    <w:rsid w:val="686D2E64"/>
    <w:rsid w:val="688D7578"/>
    <w:rsid w:val="689B7549"/>
    <w:rsid w:val="689C69F1"/>
    <w:rsid w:val="68B7537B"/>
    <w:rsid w:val="68C8528E"/>
    <w:rsid w:val="68D423D1"/>
    <w:rsid w:val="68E72104"/>
    <w:rsid w:val="68EA0173"/>
    <w:rsid w:val="68F16ADF"/>
    <w:rsid w:val="69085BD7"/>
    <w:rsid w:val="690F0E48"/>
    <w:rsid w:val="69124CA8"/>
    <w:rsid w:val="69140A20"/>
    <w:rsid w:val="69176AFF"/>
    <w:rsid w:val="695F6A02"/>
    <w:rsid w:val="697119CE"/>
    <w:rsid w:val="698536CB"/>
    <w:rsid w:val="698E432E"/>
    <w:rsid w:val="69966C2F"/>
    <w:rsid w:val="69E46644"/>
    <w:rsid w:val="69F61ED3"/>
    <w:rsid w:val="6A061712"/>
    <w:rsid w:val="6A0961EA"/>
    <w:rsid w:val="6A0C05BE"/>
    <w:rsid w:val="6A1F2798"/>
    <w:rsid w:val="6A250BD2"/>
    <w:rsid w:val="6A555281"/>
    <w:rsid w:val="6A6161A7"/>
    <w:rsid w:val="6A6E5F0E"/>
    <w:rsid w:val="6A701C86"/>
    <w:rsid w:val="6A885221"/>
    <w:rsid w:val="6A8B4438"/>
    <w:rsid w:val="6AE34B4E"/>
    <w:rsid w:val="6AFD162B"/>
    <w:rsid w:val="6B28418D"/>
    <w:rsid w:val="6B2D401B"/>
    <w:rsid w:val="6B305546"/>
    <w:rsid w:val="6B4802DC"/>
    <w:rsid w:val="6B5415A7"/>
    <w:rsid w:val="6B625A72"/>
    <w:rsid w:val="6B9D16C7"/>
    <w:rsid w:val="6BA65274"/>
    <w:rsid w:val="6BB66561"/>
    <w:rsid w:val="6BC73B27"/>
    <w:rsid w:val="6BD4750E"/>
    <w:rsid w:val="6BDD334B"/>
    <w:rsid w:val="6C1236EB"/>
    <w:rsid w:val="6C156BB9"/>
    <w:rsid w:val="6C2E783A"/>
    <w:rsid w:val="6C4E249B"/>
    <w:rsid w:val="6C506213"/>
    <w:rsid w:val="6C8054A7"/>
    <w:rsid w:val="6C805FE8"/>
    <w:rsid w:val="6C81017A"/>
    <w:rsid w:val="6C87087B"/>
    <w:rsid w:val="6CA125CA"/>
    <w:rsid w:val="6CA337E1"/>
    <w:rsid w:val="6CAD3909"/>
    <w:rsid w:val="6CB57E24"/>
    <w:rsid w:val="6CBF0CA2"/>
    <w:rsid w:val="6CDE55CC"/>
    <w:rsid w:val="6CED1039"/>
    <w:rsid w:val="6D06067F"/>
    <w:rsid w:val="6D0669CA"/>
    <w:rsid w:val="6D1205D8"/>
    <w:rsid w:val="6D15191A"/>
    <w:rsid w:val="6D1901C9"/>
    <w:rsid w:val="6D265943"/>
    <w:rsid w:val="6D2F407A"/>
    <w:rsid w:val="6D372F2F"/>
    <w:rsid w:val="6D785A21"/>
    <w:rsid w:val="6D8F68C7"/>
    <w:rsid w:val="6DA2127C"/>
    <w:rsid w:val="6DA700B4"/>
    <w:rsid w:val="6DAB6405"/>
    <w:rsid w:val="6DEA61F3"/>
    <w:rsid w:val="6DF30C1B"/>
    <w:rsid w:val="6E0E1352"/>
    <w:rsid w:val="6E182282"/>
    <w:rsid w:val="6E2735D2"/>
    <w:rsid w:val="6E2A4841"/>
    <w:rsid w:val="6E3A2CD6"/>
    <w:rsid w:val="6E492F1A"/>
    <w:rsid w:val="6E6265D7"/>
    <w:rsid w:val="6E773352"/>
    <w:rsid w:val="6E7B6E4B"/>
    <w:rsid w:val="6E837D5D"/>
    <w:rsid w:val="6E9C573F"/>
    <w:rsid w:val="6E9D506D"/>
    <w:rsid w:val="6EA50F2E"/>
    <w:rsid w:val="6EBF7183"/>
    <w:rsid w:val="6ECC6D05"/>
    <w:rsid w:val="6ED8429D"/>
    <w:rsid w:val="6EDE7B06"/>
    <w:rsid w:val="6EE113A4"/>
    <w:rsid w:val="6EE3511C"/>
    <w:rsid w:val="6EFC4430"/>
    <w:rsid w:val="6EFF5CCE"/>
    <w:rsid w:val="6F0B6421"/>
    <w:rsid w:val="6F2179F2"/>
    <w:rsid w:val="6F340D22"/>
    <w:rsid w:val="6F4316AD"/>
    <w:rsid w:val="6F4F4560"/>
    <w:rsid w:val="6F5E29F5"/>
    <w:rsid w:val="6F63625D"/>
    <w:rsid w:val="6F6D0E8A"/>
    <w:rsid w:val="6FA66911"/>
    <w:rsid w:val="6FA7614A"/>
    <w:rsid w:val="6FAA7DC7"/>
    <w:rsid w:val="6FAF4E30"/>
    <w:rsid w:val="6FB470AF"/>
    <w:rsid w:val="6FBB7E47"/>
    <w:rsid w:val="6FBF0CBE"/>
    <w:rsid w:val="6FC6446F"/>
    <w:rsid w:val="6FCE7B7A"/>
    <w:rsid w:val="6FCF56A0"/>
    <w:rsid w:val="6FD76303"/>
    <w:rsid w:val="6FD827A7"/>
    <w:rsid w:val="6FEC1DAE"/>
    <w:rsid w:val="7007308C"/>
    <w:rsid w:val="70253512"/>
    <w:rsid w:val="70480FAF"/>
    <w:rsid w:val="706978A3"/>
    <w:rsid w:val="7075743B"/>
    <w:rsid w:val="7090788C"/>
    <w:rsid w:val="70934920"/>
    <w:rsid w:val="70A5405C"/>
    <w:rsid w:val="70AC59E2"/>
    <w:rsid w:val="70B2124A"/>
    <w:rsid w:val="70BD374B"/>
    <w:rsid w:val="70D10295"/>
    <w:rsid w:val="70D50E7A"/>
    <w:rsid w:val="70DA254F"/>
    <w:rsid w:val="710B44B6"/>
    <w:rsid w:val="712F289B"/>
    <w:rsid w:val="714D0F73"/>
    <w:rsid w:val="716035E4"/>
    <w:rsid w:val="716A59B2"/>
    <w:rsid w:val="71C32FE3"/>
    <w:rsid w:val="71CD6690"/>
    <w:rsid w:val="71D13952"/>
    <w:rsid w:val="71DA1827"/>
    <w:rsid w:val="71E4311C"/>
    <w:rsid w:val="71EF5B86"/>
    <w:rsid w:val="72133F6A"/>
    <w:rsid w:val="722E7F07"/>
    <w:rsid w:val="724063E2"/>
    <w:rsid w:val="72452668"/>
    <w:rsid w:val="7245726F"/>
    <w:rsid w:val="727662A7"/>
    <w:rsid w:val="728108D4"/>
    <w:rsid w:val="72986C43"/>
    <w:rsid w:val="72A9042B"/>
    <w:rsid w:val="72B604A9"/>
    <w:rsid w:val="72C60FDD"/>
    <w:rsid w:val="72D1172F"/>
    <w:rsid w:val="72F5262B"/>
    <w:rsid w:val="7306587D"/>
    <w:rsid w:val="731A1328"/>
    <w:rsid w:val="73257B3E"/>
    <w:rsid w:val="73320420"/>
    <w:rsid w:val="73357F10"/>
    <w:rsid w:val="734843DA"/>
    <w:rsid w:val="734F0FD2"/>
    <w:rsid w:val="735010F1"/>
    <w:rsid w:val="73582D47"/>
    <w:rsid w:val="736305DA"/>
    <w:rsid w:val="736D76AA"/>
    <w:rsid w:val="73AE1793"/>
    <w:rsid w:val="73B2330F"/>
    <w:rsid w:val="73C13552"/>
    <w:rsid w:val="73CA0659"/>
    <w:rsid w:val="73D4399F"/>
    <w:rsid w:val="73D9089C"/>
    <w:rsid w:val="73D95384"/>
    <w:rsid w:val="73E1426C"/>
    <w:rsid w:val="73E57241"/>
    <w:rsid w:val="73E839E9"/>
    <w:rsid w:val="73FE0302"/>
    <w:rsid w:val="74217809"/>
    <w:rsid w:val="743B1556"/>
    <w:rsid w:val="74570A73"/>
    <w:rsid w:val="74620891"/>
    <w:rsid w:val="7472484C"/>
    <w:rsid w:val="747607E0"/>
    <w:rsid w:val="748702F8"/>
    <w:rsid w:val="749A4D44"/>
    <w:rsid w:val="749D3FBF"/>
    <w:rsid w:val="74A215D5"/>
    <w:rsid w:val="74A25132"/>
    <w:rsid w:val="74A52BE8"/>
    <w:rsid w:val="74D6302D"/>
    <w:rsid w:val="74E27C24"/>
    <w:rsid w:val="74ED70F5"/>
    <w:rsid w:val="74F21CE7"/>
    <w:rsid w:val="74F43AB9"/>
    <w:rsid w:val="74FE38CF"/>
    <w:rsid w:val="75061B64"/>
    <w:rsid w:val="751D2A0A"/>
    <w:rsid w:val="751F373A"/>
    <w:rsid w:val="752959BA"/>
    <w:rsid w:val="753F0BD2"/>
    <w:rsid w:val="754E0E15"/>
    <w:rsid w:val="758142C0"/>
    <w:rsid w:val="75864A53"/>
    <w:rsid w:val="75905ACB"/>
    <w:rsid w:val="75926991"/>
    <w:rsid w:val="75A373B3"/>
    <w:rsid w:val="75AD1FE0"/>
    <w:rsid w:val="75AF3E16"/>
    <w:rsid w:val="75B06567"/>
    <w:rsid w:val="75D808A9"/>
    <w:rsid w:val="760616F0"/>
    <w:rsid w:val="760A2676"/>
    <w:rsid w:val="761738FD"/>
    <w:rsid w:val="76241FBB"/>
    <w:rsid w:val="76360227"/>
    <w:rsid w:val="766308F1"/>
    <w:rsid w:val="76816E21"/>
    <w:rsid w:val="76902210"/>
    <w:rsid w:val="76C57570"/>
    <w:rsid w:val="76D940D7"/>
    <w:rsid w:val="76E22F47"/>
    <w:rsid w:val="76E45ED5"/>
    <w:rsid w:val="76F042B0"/>
    <w:rsid w:val="770C2D36"/>
    <w:rsid w:val="771A36A5"/>
    <w:rsid w:val="771B11CB"/>
    <w:rsid w:val="771B741D"/>
    <w:rsid w:val="771C566F"/>
    <w:rsid w:val="772446D7"/>
    <w:rsid w:val="773B6ACF"/>
    <w:rsid w:val="776F1FD9"/>
    <w:rsid w:val="777E63FC"/>
    <w:rsid w:val="7797301C"/>
    <w:rsid w:val="77C460AF"/>
    <w:rsid w:val="77EA751B"/>
    <w:rsid w:val="77F2288D"/>
    <w:rsid w:val="77F3AFCE"/>
    <w:rsid w:val="77FC0FFD"/>
    <w:rsid w:val="7800399B"/>
    <w:rsid w:val="78054AF5"/>
    <w:rsid w:val="78236589"/>
    <w:rsid w:val="78514D53"/>
    <w:rsid w:val="785250C1"/>
    <w:rsid w:val="785B52D1"/>
    <w:rsid w:val="787068E7"/>
    <w:rsid w:val="787768D5"/>
    <w:rsid w:val="78852DA0"/>
    <w:rsid w:val="788C0827"/>
    <w:rsid w:val="788E1F9B"/>
    <w:rsid w:val="789C2219"/>
    <w:rsid w:val="78D41F79"/>
    <w:rsid w:val="78D45AD6"/>
    <w:rsid w:val="79344625"/>
    <w:rsid w:val="79450781"/>
    <w:rsid w:val="794C17CC"/>
    <w:rsid w:val="79555AC0"/>
    <w:rsid w:val="79892004"/>
    <w:rsid w:val="79A25BD4"/>
    <w:rsid w:val="79FF3026"/>
    <w:rsid w:val="79FF4DD4"/>
    <w:rsid w:val="7A017FF8"/>
    <w:rsid w:val="7A0E5634"/>
    <w:rsid w:val="7A195E96"/>
    <w:rsid w:val="7A266805"/>
    <w:rsid w:val="7A301431"/>
    <w:rsid w:val="7A3370D3"/>
    <w:rsid w:val="7A7D4063"/>
    <w:rsid w:val="7A805F15"/>
    <w:rsid w:val="7A845D49"/>
    <w:rsid w:val="7A862E00"/>
    <w:rsid w:val="7A990D85"/>
    <w:rsid w:val="7AB414D0"/>
    <w:rsid w:val="7AD50F5F"/>
    <w:rsid w:val="7AED2E7F"/>
    <w:rsid w:val="7AFA3202"/>
    <w:rsid w:val="7AFD57B8"/>
    <w:rsid w:val="7B29556A"/>
    <w:rsid w:val="7B3513F7"/>
    <w:rsid w:val="7B364826"/>
    <w:rsid w:val="7B54425C"/>
    <w:rsid w:val="7B544FA6"/>
    <w:rsid w:val="7B694BFB"/>
    <w:rsid w:val="7B821819"/>
    <w:rsid w:val="7B851426"/>
    <w:rsid w:val="7BAB5214"/>
    <w:rsid w:val="7BB75966"/>
    <w:rsid w:val="7BDA3403"/>
    <w:rsid w:val="7BF9E7B0"/>
    <w:rsid w:val="7C063B48"/>
    <w:rsid w:val="7C0D53F4"/>
    <w:rsid w:val="7C15542B"/>
    <w:rsid w:val="7C174418"/>
    <w:rsid w:val="7C1C3A1B"/>
    <w:rsid w:val="7C322B65"/>
    <w:rsid w:val="7C501917"/>
    <w:rsid w:val="7C594C70"/>
    <w:rsid w:val="7C835849"/>
    <w:rsid w:val="7C855A65"/>
    <w:rsid w:val="7C8D4ADB"/>
    <w:rsid w:val="7CCA3711"/>
    <w:rsid w:val="7CE043F9"/>
    <w:rsid w:val="7D0175BF"/>
    <w:rsid w:val="7D034BDB"/>
    <w:rsid w:val="7D0652EF"/>
    <w:rsid w:val="7D0B2034"/>
    <w:rsid w:val="7D103B1A"/>
    <w:rsid w:val="7D292894"/>
    <w:rsid w:val="7D470F6C"/>
    <w:rsid w:val="7D524CA6"/>
    <w:rsid w:val="7D87551D"/>
    <w:rsid w:val="7DB91536"/>
    <w:rsid w:val="7DCC321F"/>
    <w:rsid w:val="7DDA0A15"/>
    <w:rsid w:val="7DEB4B90"/>
    <w:rsid w:val="7DEB4F92"/>
    <w:rsid w:val="7E061A44"/>
    <w:rsid w:val="7E097FCF"/>
    <w:rsid w:val="7E484F9C"/>
    <w:rsid w:val="7E560E2C"/>
    <w:rsid w:val="7E624705"/>
    <w:rsid w:val="7E655B4E"/>
    <w:rsid w:val="7E6C1B17"/>
    <w:rsid w:val="7E7E10FB"/>
    <w:rsid w:val="7EB54C30"/>
    <w:rsid w:val="7EBB7083"/>
    <w:rsid w:val="7ED755DB"/>
    <w:rsid w:val="7EE30820"/>
    <w:rsid w:val="7F4736ED"/>
    <w:rsid w:val="7F546612"/>
    <w:rsid w:val="7F65392B"/>
    <w:rsid w:val="7F6D15ED"/>
    <w:rsid w:val="7F8521B5"/>
    <w:rsid w:val="7F9464FE"/>
    <w:rsid w:val="7FA411F7"/>
    <w:rsid w:val="7FC06DB4"/>
    <w:rsid w:val="7FC93EBA"/>
    <w:rsid w:val="7FCB7D39"/>
    <w:rsid w:val="7FCD24B9"/>
    <w:rsid w:val="7FD14B1D"/>
    <w:rsid w:val="7FEB337F"/>
    <w:rsid w:val="7FF97F74"/>
    <w:rsid w:val="8DF728B5"/>
    <w:rsid w:val="AB93997C"/>
    <w:rsid w:val="DC8FCE2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99"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before="340" w:after="330" w:line="578" w:lineRule="auto"/>
      <w:outlineLvl w:val="0"/>
    </w:pPr>
    <w:rPr>
      <w:rFonts w:ascii="Calibri" w:hAnsi="Calibri"/>
      <w:b/>
      <w:bCs/>
      <w:kern w:val="44"/>
      <w:sz w:val="44"/>
      <w:szCs w:val="44"/>
    </w:rPr>
  </w:style>
  <w:style w:type="paragraph" w:styleId="3">
    <w:name w:val="heading 2"/>
    <w:basedOn w:val="1"/>
    <w:next w:val="1"/>
    <w:qFormat/>
    <w:uiPriority w:val="0"/>
    <w:pPr>
      <w:keepNext/>
      <w:keepLines/>
      <w:spacing w:line="360" w:lineRule="auto"/>
      <w:outlineLvl w:val="1"/>
    </w:pPr>
    <w:rPr>
      <w:rFonts w:ascii="Cambria" w:hAnsi="Cambria"/>
      <w:szCs w:val="32"/>
    </w:rPr>
  </w:style>
  <w:style w:type="paragraph" w:styleId="4">
    <w:name w:val="heading 3"/>
    <w:basedOn w:val="1"/>
    <w:next w:val="1"/>
    <w:unhideWhenUsed/>
    <w:qFormat/>
    <w:uiPriority w:val="9"/>
    <w:pPr>
      <w:keepNext/>
      <w:keepLines/>
      <w:spacing w:before="260" w:after="260" w:line="416" w:lineRule="auto"/>
      <w:outlineLvl w:val="2"/>
    </w:pPr>
    <w:rPr>
      <w:b/>
      <w:bCs/>
      <w:sz w:val="32"/>
      <w:szCs w:val="32"/>
    </w:rPr>
  </w:style>
  <w:style w:type="character" w:default="1" w:styleId="25">
    <w:name w:val="Default Paragraph Font"/>
    <w:unhideWhenUsed/>
    <w:qFormat/>
    <w:uiPriority w:val="1"/>
  </w:style>
  <w:style w:type="table" w:default="1" w:styleId="23">
    <w:name w:val="Normal Table"/>
    <w:unhideWhenUsed/>
    <w:qFormat/>
    <w:uiPriority w:val="99"/>
    <w:tblPr>
      <w:tblCellMar>
        <w:top w:w="0" w:type="dxa"/>
        <w:left w:w="108" w:type="dxa"/>
        <w:bottom w:w="0" w:type="dxa"/>
        <w:right w:w="108" w:type="dxa"/>
      </w:tblCellMar>
    </w:tblPr>
  </w:style>
  <w:style w:type="paragraph" w:styleId="5">
    <w:name w:val="List Number"/>
    <w:basedOn w:val="1"/>
    <w:qFormat/>
    <w:uiPriority w:val="0"/>
    <w:pPr>
      <w:numPr>
        <w:ilvl w:val="0"/>
        <w:numId w:val="1"/>
      </w:numPr>
    </w:pPr>
  </w:style>
  <w:style w:type="paragraph" w:styleId="6">
    <w:name w:val="Normal Indent"/>
    <w:basedOn w:val="1"/>
    <w:next w:val="1"/>
    <w:qFormat/>
    <w:uiPriority w:val="0"/>
    <w:pPr>
      <w:ind w:firstLine="420"/>
    </w:pPr>
    <w:rPr>
      <w:szCs w:val="20"/>
    </w:rPr>
  </w:style>
  <w:style w:type="paragraph" w:styleId="7">
    <w:name w:val="annotation text"/>
    <w:basedOn w:val="1"/>
    <w:qFormat/>
    <w:uiPriority w:val="0"/>
    <w:pPr>
      <w:jc w:val="left"/>
    </w:pPr>
  </w:style>
  <w:style w:type="paragraph" w:styleId="8">
    <w:name w:val="Body Text"/>
    <w:basedOn w:val="1"/>
    <w:next w:val="9"/>
    <w:qFormat/>
    <w:uiPriority w:val="0"/>
    <w:pPr>
      <w:spacing w:after="120"/>
    </w:pPr>
    <w:rPr>
      <w:sz w:val="24"/>
    </w:rPr>
  </w:style>
  <w:style w:type="paragraph" w:styleId="9">
    <w:name w:val="Body Text First Indent"/>
    <w:basedOn w:val="8"/>
    <w:next w:val="10"/>
    <w:qFormat/>
    <w:uiPriority w:val="0"/>
    <w:pPr>
      <w:ind w:firstLine="420" w:firstLineChars="100"/>
    </w:pPr>
    <w:rPr>
      <w:sz w:val="21"/>
      <w:szCs w:val="22"/>
    </w:rPr>
  </w:style>
  <w:style w:type="paragraph" w:styleId="10">
    <w:name w:val="toc 6"/>
    <w:basedOn w:val="1"/>
    <w:next w:val="1"/>
    <w:semiHidden/>
    <w:qFormat/>
    <w:uiPriority w:val="0"/>
    <w:pPr>
      <w:ind w:left="1700"/>
    </w:pPr>
    <w:rPr>
      <w:sz w:val="18"/>
    </w:rPr>
  </w:style>
  <w:style w:type="paragraph" w:styleId="11">
    <w:name w:val="Body Text Indent"/>
    <w:basedOn w:val="1"/>
    <w:next w:val="1"/>
    <w:qFormat/>
    <w:uiPriority w:val="99"/>
    <w:pPr>
      <w:spacing w:line="200" w:lineRule="exact"/>
      <w:ind w:firstLine="301"/>
    </w:pPr>
    <w:rPr>
      <w:rFonts w:ascii="宋体" w:hAnsi="Courier New"/>
      <w:spacing w:val="-4"/>
      <w:sz w:val="18"/>
    </w:rPr>
  </w:style>
  <w:style w:type="paragraph" w:styleId="12">
    <w:name w:val="Plain Text"/>
    <w:basedOn w:val="1"/>
    <w:next w:val="13"/>
    <w:qFormat/>
    <w:uiPriority w:val="0"/>
    <w:rPr>
      <w:rFonts w:ascii="宋体" w:hAnsi="Courier New" w:eastAsia="仿宋_GB2312"/>
      <w:sz w:val="30"/>
    </w:rPr>
  </w:style>
  <w:style w:type="paragraph" w:styleId="13">
    <w:name w:val="toc 2"/>
    <w:basedOn w:val="1"/>
    <w:next w:val="1"/>
    <w:qFormat/>
    <w:uiPriority w:val="39"/>
    <w:pPr>
      <w:widowControl w:val="0"/>
      <w:spacing w:before="133"/>
      <w:ind w:left="118"/>
      <w:jc w:val="left"/>
    </w:pPr>
    <w:rPr>
      <w:rFonts w:ascii="宋体" w:hAnsi="宋体" w:eastAsia="宋体" w:cs="Times New Roman"/>
      <w:kern w:val="0"/>
      <w:sz w:val="24"/>
      <w:szCs w:val="24"/>
      <w:lang w:val="en-US" w:eastAsia="en-US" w:bidi="ar-SA"/>
    </w:rPr>
  </w:style>
  <w:style w:type="paragraph" w:styleId="14">
    <w:name w:val="Body Text Indent 2"/>
    <w:basedOn w:val="1"/>
    <w:qFormat/>
    <w:uiPriority w:val="99"/>
    <w:pPr>
      <w:snapToGrid w:val="0"/>
      <w:ind w:firstLine="542" w:firstLineChars="225"/>
    </w:pPr>
    <w:rPr>
      <w:kern w:val="0"/>
      <w:sz w:val="24"/>
    </w:rPr>
  </w:style>
  <w:style w:type="paragraph" w:styleId="15">
    <w:name w:val="Balloon Text"/>
    <w:basedOn w:val="1"/>
    <w:link w:val="49"/>
    <w:qFormat/>
    <w:uiPriority w:val="0"/>
    <w:rPr>
      <w:sz w:val="18"/>
      <w:szCs w:val="18"/>
    </w:rPr>
  </w:style>
  <w:style w:type="paragraph" w:styleId="16">
    <w:name w:val="footer"/>
    <w:basedOn w:val="1"/>
    <w:qFormat/>
    <w:uiPriority w:val="0"/>
    <w:pPr>
      <w:widowControl/>
      <w:tabs>
        <w:tab w:val="center" w:pos="4153"/>
        <w:tab w:val="right" w:pos="8306"/>
      </w:tabs>
      <w:overflowPunct w:val="0"/>
      <w:autoSpaceDE w:val="0"/>
      <w:autoSpaceDN w:val="0"/>
      <w:adjustRightInd w:val="0"/>
      <w:textAlignment w:val="baseline"/>
    </w:pPr>
    <w:rPr>
      <w:kern w:val="0"/>
      <w:sz w:val="20"/>
      <w:szCs w:val="20"/>
    </w:rPr>
  </w:style>
  <w:style w:type="paragraph" w:styleId="1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unhideWhenUsed/>
    <w:qFormat/>
    <w:uiPriority w:val="39"/>
  </w:style>
  <w:style w:type="paragraph" w:styleId="19">
    <w:name w:val="Body Text Indent 3"/>
    <w:basedOn w:val="1"/>
    <w:qFormat/>
    <w:uiPriority w:val="0"/>
    <w:pPr>
      <w:widowControl w:val="0"/>
      <w:spacing w:line="500" w:lineRule="exact"/>
      <w:ind w:left="570"/>
      <w:jc w:val="both"/>
    </w:pPr>
    <w:rPr>
      <w:rFonts w:ascii="Times New Roman" w:hAnsi="Times New Roman" w:eastAsia="宋体" w:cs="Times New Roman"/>
      <w:kern w:val="2"/>
      <w:sz w:val="28"/>
      <w:szCs w:val="24"/>
      <w:lang w:val="en-US" w:eastAsia="zh-CN" w:bidi="ar-SA"/>
    </w:rPr>
  </w:style>
  <w:style w:type="paragraph" w:styleId="20">
    <w:name w:val="Body Text 2"/>
    <w:basedOn w:val="1"/>
    <w:unhideWhenUsed/>
    <w:qFormat/>
    <w:uiPriority w:val="99"/>
    <w:pPr>
      <w:spacing w:after="120" w:line="480" w:lineRule="auto"/>
    </w:pPr>
  </w:style>
  <w:style w:type="paragraph" w:styleId="21">
    <w:name w:val="Normal (Web)"/>
    <w:basedOn w:val="1"/>
    <w:qFormat/>
    <w:uiPriority w:val="0"/>
    <w:pPr>
      <w:spacing w:before="100" w:beforeAutospacing="1" w:after="100" w:afterAutospacing="1"/>
      <w:jc w:val="left"/>
    </w:pPr>
    <w:rPr>
      <w:kern w:val="0"/>
      <w:sz w:val="24"/>
    </w:rPr>
  </w:style>
  <w:style w:type="paragraph" w:styleId="22">
    <w:name w:val="Body Text First Indent 2"/>
    <w:basedOn w:val="11"/>
    <w:qFormat/>
    <w:uiPriority w:val="99"/>
    <w:pPr>
      <w:spacing w:after="120" w:line="240" w:lineRule="auto"/>
      <w:ind w:left="420" w:leftChars="200" w:firstLine="420" w:firstLineChars="200"/>
    </w:pPr>
    <w:rPr>
      <w:sz w:val="21"/>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style>
  <w:style w:type="character" w:styleId="27">
    <w:name w:val="FollowedHyperlink"/>
    <w:basedOn w:val="25"/>
    <w:qFormat/>
    <w:uiPriority w:val="0"/>
    <w:rPr>
      <w:color w:val="800080"/>
      <w:u w:val="single"/>
    </w:rPr>
  </w:style>
  <w:style w:type="character" w:styleId="28">
    <w:name w:val="Emphasis"/>
    <w:basedOn w:val="25"/>
    <w:qFormat/>
    <w:uiPriority w:val="0"/>
    <w:rPr>
      <w:i/>
    </w:rPr>
  </w:style>
  <w:style w:type="character" w:styleId="29">
    <w:name w:val="Hyperlink"/>
    <w:basedOn w:val="25"/>
    <w:qFormat/>
    <w:uiPriority w:val="0"/>
    <w:rPr>
      <w:color w:val="0000FF"/>
      <w:u w:val="single"/>
    </w:rPr>
  </w:style>
  <w:style w:type="character" w:styleId="30">
    <w:name w:val="annotation reference"/>
    <w:basedOn w:val="25"/>
    <w:qFormat/>
    <w:uiPriority w:val="0"/>
    <w:rPr>
      <w:sz w:val="21"/>
      <w:szCs w:val="21"/>
    </w:rPr>
  </w:style>
  <w:style w:type="paragraph" w:customStyle="1" w:styleId="31">
    <w:name w:val="_Style 3"/>
    <w:qFormat/>
    <w:uiPriority w:val="1"/>
    <w:pPr>
      <w:widowControl/>
      <w:spacing w:after="200" w:line="276" w:lineRule="auto"/>
      <w:ind w:left="720"/>
      <w:contextualSpacing/>
      <w:jc w:val="left"/>
    </w:pPr>
    <w:rPr>
      <w:rFonts w:ascii="Calibri" w:hAnsi="Calibri" w:eastAsia="宋体" w:cs="Times New Roman"/>
      <w:kern w:val="0"/>
      <w:sz w:val="22"/>
      <w:szCs w:val="22"/>
      <w:lang w:val="en-US" w:eastAsia="zh-CN" w:bidi="ar-SA"/>
    </w:rPr>
  </w:style>
  <w:style w:type="paragraph" w:customStyle="1" w:styleId="32">
    <w:name w:val="List Paragraph"/>
    <w:basedOn w:val="1"/>
    <w:qFormat/>
    <w:uiPriority w:val="34"/>
    <w:pPr>
      <w:ind w:firstLine="420" w:firstLineChars="200"/>
    </w:pPr>
  </w:style>
  <w:style w:type="paragraph" w:customStyle="1" w:styleId="33">
    <w:name w:val="正文（首行缩进2字符）"/>
    <w:basedOn w:val="1"/>
    <w:qFormat/>
    <w:uiPriority w:val="0"/>
    <w:pPr>
      <w:spacing w:line="360" w:lineRule="auto"/>
      <w:ind w:firstLine="420" w:firstLineChars="200"/>
    </w:pPr>
    <w:rPr>
      <w:szCs w:val="21"/>
    </w:rPr>
  </w:style>
  <w:style w:type="paragraph" w:customStyle="1" w:styleId="34">
    <w:name w:val="纯文本1"/>
    <w:basedOn w:val="35"/>
    <w:qFormat/>
    <w:uiPriority w:val="0"/>
    <w:pPr>
      <w:spacing w:beforeLines="50" w:afterLines="50" w:line="400" w:lineRule="exact"/>
    </w:pPr>
    <w:rPr>
      <w:rFonts w:ascii="宋体" w:hAnsi="Courier New" w:eastAsia="仿宋_GB2312"/>
      <w:sz w:val="30"/>
    </w:rPr>
  </w:style>
  <w:style w:type="paragraph" w:customStyle="1" w:styleId="35">
    <w:name w:val="正文1"/>
    <w:qFormat/>
    <w:uiPriority w:val="99"/>
    <w:pPr>
      <w:widowControl w:val="0"/>
      <w:jc w:val="both"/>
    </w:pPr>
    <w:rPr>
      <w:rFonts w:ascii="Calibri" w:hAnsi="Calibri" w:eastAsia="宋体" w:cs="Calibri"/>
      <w:kern w:val="2"/>
      <w:sz w:val="21"/>
      <w:szCs w:val="21"/>
      <w:lang w:val="en-US" w:eastAsia="zh-CN" w:bidi="ar-SA"/>
    </w:rPr>
  </w:style>
  <w:style w:type="paragraph" w:customStyle="1" w:styleId="36">
    <w:name w:val="正文文本缩进11"/>
    <w:basedOn w:val="1"/>
    <w:qFormat/>
    <w:uiPriority w:val="0"/>
    <w:pPr>
      <w:spacing w:line="200" w:lineRule="exact"/>
      <w:ind w:firstLine="301"/>
    </w:pPr>
    <w:rPr>
      <w:szCs w:val="20"/>
    </w:rPr>
  </w:style>
  <w:style w:type="paragraph" w:customStyle="1" w:styleId="37">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38">
    <w:name w:val="Body Text Indent1"/>
    <w:basedOn w:val="1"/>
    <w:qFormat/>
    <w:uiPriority w:val="99"/>
    <w:pPr>
      <w:spacing w:line="200" w:lineRule="exact"/>
      <w:ind w:firstLine="301"/>
    </w:pPr>
    <w:rPr>
      <w:rFonts w:ascii="宋体" w:hAnsi="Courier New"/>
      <w:spacing w:val="-4"/>
      <w:kern w:val="0"/>
      <w:sz w:val="18"/>
    </w:rPr>
  </w:style>
  <w:style w:type="paragraph" w:customStyle="1" w:styleId="39">
    <w:name w:val="列表 21"/>
    <w:basedOn w:val="1"/>
    <w:qFormat/>
    <w:uiPriority w:val="0"/>
    <w:pPr>
      <w:ind w:left="200" w:leftChars="200" w:hanging="200" w:hangingChars="200"/>
    </w:pPr>
    <w:rPr>
      <w:sz w:val="28"/>
      <w:szCs w:val="20"/>
    </w:rPr>
  </w:style>
  <w:style w:type="paragraph" w:customStyle="1" w:styleId="40">
    <w:name w:val="默认段落字体 Para Char Char Char Char Char Char Char Char Char1 Char Char Char Char"/>
    <w:basedOn w:val="1"/>
    <w:qFormat/>
    <w:uiPriority w:val="99"/>
    <w:rPr>
      <w:rFonts w:ascii="Tahoma" w:hAnsi="Tahoma"/>
      <w:sz w:val="24"/>
      <w:szCs w:val="20"/>
    </w:rPr>
  </w:style>
  <w:style w:type="paragraph" w:customStyle="1" w:styleId="41">
    <w:name w:val="正文文本缩进2"/>
    <w:basedOn w:val="1"/>
    <w:qFormat/>
    <w:uiPriority w:val="0"/>
    <w:pPr>
      <w:spacing w:line="200" w:lineRule="exact"/>
      <w:ind w:firstLine="301"/>
    </w:pPr>
    <w:rPr>
      <w:rFonts w:ascii="宋体" w:hAnsi="Courier New"/>
      <w:spacing w:val="-4"/>
      <w:kern w:val="0"/>
      <w:sz w:val="18"/>
    </w:rPr>
  </w:style>
  <w:style w:type="paragraph" w:customStyle="1" w:styleId="42">
    <w:name w:val="纯文本5"/>
    <w:basedOn w:val="1"/>
    <w:qFormat/>
    <w:uiPriority w:val="0"/>
    <w:rPr>
      <w:rFonts w:ascii="宋体" w:hAnsi="Courier New" w:eastAsia="仿宋_GB2312"/>
      <w:sz w:val="30"/>
    </w:rPr>
  </w:style>
  <w:style w:type="paragraph" w:customStyle="1" w:styleId="43">
    <w:name w:val="批注框文本1"/>
    <w:basedOn w:val="1"/>
    <w:qFormat/>
    <w:uiPriority w:val="0"/>
    <w:rPr>
      <w:rFonts w:ascii="Calibri" w:hAnsi="Calibri"/>
      <w:sz w:val="18"/>
      <w:szCs w:val="18"/>
    </w:rPr>
  </w:style>
  <w:style w:type="paragraph" w:customStyle="1" w:styleId="44">
    <w:name w:val="纯文本3"/>
    <w:basedOn w:val="1"/>
    <w:qFormat/>
    <w:uiPriority w:val="0"/>
    <w:pPr>
      <w:adjustRightInd w:val="0"/>
      <w:textAlignment w:val="baseline"/>
    </w:pPr>
    <w:rPr>
      <w:rFonts w:ascii="宋体" w:hAnsi="Courier New" w:eastAsia="楷体_GB2312"/>
      <w:sz w:val="26"/>
      <w:szCs w:val="20"/>
    </w:rPr>
  </w:style>
  <w:style w:type="paragraph" w:customStyle="1" w:styleId="45">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46">
    <w:name w:val="PlainText"/>
    <w:basedOn w:val="1"/>
    <w:next w:val="1"/>
    <w:qFormat/>
    <w:uiPriority w:val="0"/>
    <w:pPr>
      <w:spacing w:before="156" w:after="156" w:line="400" w:lineRule="exact"/>
      <w:textAlignment w:val="baseline"/>
    </w:pPr>
    <w:rPr>
      <w:rFonts w:ascii="宋体" w:hAnsi="Courier New"/>
      <w:sz w:val="24"/>
    </w:rPr>
  </w:style>
  <w:style w:type="character" w:customStyle="1" w:styleId="47">
    <w:name w:val="NormalCharacter"/>
    <w:semiHidden/>
    <w:qFormat/>
    <w:uiPriority w:val="0"/>
    <w:rPr>
      <w:kern w:val="2"/>
      <w:sz w:val="21"/>
      <w:szCs w:val="24"/>
      <w:lang w:val="en-US" w:eastAsia="zh-CN" w:bidi="ar-SA"/>
    </w:rPr>
  </w:style>
  <w:style w:type="character" w:customStyle="1" w:styleId="48">
    <w:name w:val="font31"/>
    <w:basedOn w:val="25"/>
    <w:qFormat/>
    <w:uiPriority w:val="0"/>
    <w:rPr>
      <w:rFonts w:hint="eastAsia" w:ascii="宋体" w:hAnsi="宋体" w:eastAsia="宋体" w:cs="宋体"/>
      <w:b/>
      <w:bCs/>
      <w:color w:val="000000"/>
      <w:sz w:val="21"/>
      <w:szCs w:val="21"/>
      <w:u w:val="none"/>
    </w:rPr>
  </w:style>
  <w:style w:type="character" w:customStyle="1" w:styleId="49">
    <w:name w:val="批注框文本 Char"/>
    <w:basedOn w:val="25"/>
    <w:link w:val="15"/>
    <w:qFormat/>
    <w:uiPriority w:val="0"/>
    <w:rPr>
      <w:kern w:val="2"/>
      <w:sz w:val="18"/>
      <w:szCs w:val="18"/>
    </w:rPr>
  </w:style>
  <w:style w:type="character" w:customStyle="1" w:styleId="50">
    <w:name w:val="font41"/>
    <w:basedOn w:val="25"/>
    <w:qFormat/>
    <w:uiPriority w:val="0"/>
    <w:rPr>
      <w:rFonts w:hint="eastAsia" w:ascii="宋体" w:hAnsi="宋体" w:eastAsia="宋体" w:cs="宋体"/>
      <w:color w:val="000000"/>
      <w:sz w:val="18"/>
      <w:szCs w:val="18"/>
      <w:u w:val="none"/>
    </w:rPr>
  </w:style>
  <w:style w:type="character" w:customStyle="1" w:styleId="51">
    <w:name w:val="font61"/>
    <w:basedOn w:val="25"/>
    <w:qFormat/>
    <w:uiPriority w:val="0"/>
    <w:rPr>
      <w:rFonts w:ascii="Calibri" w:hAnsi="Calibri" w:cs="Calibri"/>
      <w:color w:val="000000"/>
      <w:sz w:val="18"/>
      <w:szCs w:val="18"/>
      <w:u w:val="none"/>
    </w:rPr>
  </w:style>
  <w:style w:type="character" w:customStyle="1" w:styleId="52">
    <w:name w:val="font21"/>
    <w:basedOn w:val="25"/>
    <w:qFormat/>
    <w:uiPriority w:val="0"/>
    <w:rPr>
      <w:rFonts w:hint="eastAsia" w:ascii="宋体" w:hAnsi="宋体" w:eastAsia="宋体" w:cs="宋体"/>
      <w:color w:val="000000"/>
      <w:sz w:val="18"/>
      <w:szCs w:val="18"/>
      <w:u w:val="none"/>
    </w:rPr>
  </w:style>
  <w:style w:type="character" w:customStyle="1" w:styleId="53">
    <w:name w:val="font11"/>
    <w:basedOn w:val="25"/>
    <w:qFormat/>
    <w:uiPriority w:val="0"/>
    <w:rPr>
      <w:rFonts w:hint="eastAsia" w:ascii="宋体" w:hAnsi="宋体" w:eastAsia="宋体" w:cs="宋体"/>
      <w:color w:val="000000"/>
      <w:sz w:val="20"/>
      <w:szCs w:val="20"/>
      <w:u w:val="none"/>
    </w:rPr>
  </w:style>
  <w:style w:type="paragraph" w:customStyle="1" w:styleId="54">
    <w:name w:val="[Normal]"/>
    <w:qFormat/>
    <w:uiPriority w:val="0"/>
    <w:rPr>
      <w:rFonts w:ascii="宋体" w:hAnsi="宋体" w:eastAsia="宋体" w:cs="Times New Roman"/>
      <w:sz w:val="24"/>
      <w:szCs w:val="22"/>
      <w:lang w:val="zh-CN" w:eastAsia="zh-CN" w:bidi="ar-SA"/>
    </w:rPr>
  </w:style>
  <w:style w:type="paragraph" w:customStyle="1" w:styleId="55">
    <w:name w:val="文档正文"/>
    <w:qFormat/>
    <w:uiPriority w:val="0"/>
    <w:pPr>
      <w:widowControl w:val="0"/>
      <w:jc w:val="both"/>
    </w:pPr>
    <w:rPr>
      <w:rFonts w:ascii="宋体" w:hAnsi="宋体" w:eastAsia="宋体" w:cs="Arial"/>
      <w:bCs/>
      <w:kern w:val="2"/>
      <w:sz w:val="21"/>
      <w:szCs w:val="21"/>
      <w:lang w:val="en-US" w:eastAsia="zh-CN" w:bidi="ar-SA"/>
    </w:rPr>
  </w:style>
  <w:style w:type="paragraph" w:customStyle="1" w:styleId="56">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7">
    <w:name w:val="正文文本首行缩进 2"/>
    <w:qFormat/>
    <w:uiPriority w:val="0"/>
    <w:pPr>
      <w:widowControl w:val="0"/>
      <w:spacing w:after="120"/>
      <w:ind w:left="420" w:leftChars="200" w:firstLine="420" w:firstLineChars="200"/>
      <w:jc w:val="both"/>
    </w:pPr>
    <w:rPr>
      <w:rFonts w:ascii="Times New Roman" w:hAnsi="Times New Roman" w:eastAsia="宋体" w:cs="Times New Roman"/>
      <w:kern w:val="2"/>
      <w:sz w:val="21"/>
      <w:lang w:val="en-US" w:eastAsia="zh-CN" w:bidi="ar-SA"/>
    </w:rPr>
  </w:style>
  <w:style w:type="paragraph" w:customStyle="1" w:styleId="58">
    <w:name w:val="正文_1_0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1_0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表格文字"/>
    <w:basedOn w:val="1"/>
    <w:next w:val="8"/>
    <w:autoRedefine/>
    <w:qFormat/>
    <w:uiPriority w:val="0"/>
    <w:rPr>
      <w:sz w:val="18"/>
      <w:szCs w:val="24"/>
    </w:rPr>
  </w:style>
  <w:style w:type="paragraph" w:customStyle="1" w:styleId="61">
    <w:name w:val="正文 A"/>
    <w:qFormat/>
    <w:uiPriority w:val="0"/>
    <w:pPr>
      <w:framePr w:wrap="around" w:vAnchor="margin" w:hAnchor="text" w:y="1"/>
      <w:widowControl w:val="0"/>
      <w:jc w:val="both"/>
    </w:pPr>
    <w:rPr>
      <w:rFonts w:ascii="Times New Roman" w:hAnsi="Times New Roman" w:eastAsia="Times New Roman" w:cs="Times New Roman"/>
      <w:color w:val="000000"/>
      <w:kern w:val="2"/>
      <w:sz w:val="21"/>
      <w:szCs w:val="21"/>
      <w:u w:val="none" w:color="000000"/>
      <w:lang w:val="en-US" w:eastAsia="zh-CN" w:bidi="ar-SA"/>
    </w:rPr>
  </w:style>
  <w:style w:type="character" w:customStyle="1" w:styleId="62">
    <w:name w:val="无"/>
    <w:qFormat/>
    <w:uiPriority w:val="0"/>
  </w:style>
  <w:style w:type="paragraph" w:customStyle="1" w:styleId="63">
    <w:name w:val="Char"/>
    <w:qFormat/>
    <w:uiPriority w:val="99"/>
    <w:pPr>
      <w:widowControl w:val="0"/>
      <w:adjustRightInd w:val="0"/>
      <w:snapToGrid w:val="0"/>
      <w:spacing w:beforeLines="150" w:afterLines="100" w:line="360" w:lineRule="auto"/>
      <w:ind w:firstLine="192" w:firstLineChars="192"/>
      <w:jc w:val="both"/>
    </w:pPr>
    <w:rPr>
      <w:rFonts w:ascii="Times New Roman" w:hAnsi="Times New Roman" w:eastAsia="宋体" w:cs="Times New Roman"/>
      <w:kern w:val="2"/>
      <w:sz w:val="21"/>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56</Pages>
  <Words>22961</Words>
  <Characters>24381</Characters>
  <Lines>364</Lines>
  <Paragraphs>102</Paragraphs>
  <TotalTime>1</TotalTime>
  <ScaleCrop>false</ScaleCrop>
  <LinksUpToDate>false</LinksUpToDate>
  <CharactersWithSpaces>24480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2014-10-31T04:08:00Z</dcterms:created>
  <dc:creator>Administrator</dc:creator>
  <cp:lastModifiedBy>蒋榕</cp:lastModifiedBy>
  <cp:lastPrinted>2024-12-31T01:30:00Z</cp:lastPrinted>
  <dcterms:modified xsi:type="dcterms:W3CDTF">2025-03-26T03:02:42Z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0309EE9584FE27AE3A4B756603B84142_43</vt:lpwstr>
  </property>
  <property fmtid="{D5CDD505-2E9C-101B-9397-08002B2CF9AE}" pid="4" name="KSOTemplateDocerSaveRecord">
    <vt:lpwstr>eyJoZGlkIjoiZDZkYmJmZjA4ZGVjNDg4ODg5NzZmOWExYmI5MjZhN2EiLCJ1c2VySWQiOiI0OTE5MzE2NjkifQ==</vt:lpwstr>
  </property>
</Properties>
</file>