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2024年县域医共体设备更新项目集中采购调研公告（丽水市）</w:t>
      </w:r>
    </w:p>
    <w:p>
      <w:pPr>
        <w:widowControl/>
        <w:spacing w:line="360" w:lineRule="auto"/>
        <w:ind w:firstLine="48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根据《中华人民共和国政府采购法》、《政府采购货物和服务招标投标管理办法》、《财政部关于印发&lt;政府采购需求管理办法&gt;的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通知》等规定，为做好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丽水市</w:t>
      </w:r>
      <w:r>
        <w:rPr>
          <w:rFonts w:hint="eastAsia" w:ascii="宋体" w:hAnsi="宋体" w:eastAsia="宋体" w:cs="宋体"/>
          <w:sz w:val="24"/>
          <w:szCs w:val="24"/>
        </w:rPr>
        <w:t>2024年县域医共体设备更新项目集中采购工作，本着“公开、公平、公正”的原则，现公开邀请有意向的供应商前来参加本项目前期市场调研工作。本次公开的采购意向仅作为供应商了解初步采购安排的参考，具体采购项目情况以最终发布的采购公告和采购文件为准。现将有关事项公告如下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b/>
          <w:bCs/>
          <w:kern w:val="0"/>
          <w:szCs w:val="21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lang w:eastAsia="zh-CN"/>
        </w:rPr>
        <w:t>采购项目概况</w:t>
      </w:r>
    </w:p>
    <w:tbl>
      <w:tblPr>
        <w:tblStyle w:val="7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94"/>
        <w:gridCol w:w="1187"/>
        <w:gridCol w:w="1292"/>
        <w:gridCol w:w="5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  <w:t>预算总额（万元）</w:t>
            </w:r>
          </w:p>
        </w:tc>
        <w:tc>
          <w:tcPr>
            <w:tcW w:w="12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  <w:t>单台限价 （标准配置</w:t>
            </w:r>
            <w:r>
              <w:rPr>
                <w:rFonts w:hint="default" w:asciiTheme="minorEastAsia" w:hAnsiTheme="minorEastAsia" w:cstheme="minorEastAsia"/>
                <w:b/>
                <w:bCs/>
                <w:kern w:val="0"/>
                <w:szCs w:val="21"/>
                <w:lang w:val="en" w:bidi="ar"/>
              </w:rPr>
              <w:t>,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" w:eastAsia="zh-CN" w:bidi="ar"/>
              </w:rPr>
              <w:t>万元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5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1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1"/>
                <w:rFonts w:asciiTheme="minorEastAsia" w:hAnsiTheme="minorEastAsia" w:cstheme="minorEastAsia"/>
                <w:sz w:val="24"/>
                <w:szCs w:val="24"/>
                <w:lang w:bidi="ar"/>
              </w:rPr>
              <w:t>设备配置需求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X射线计算机体层摄影装置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（超高端CT）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主要功能：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常规全身扫描；全身血管CTA成像；各脏器灌注成像；冠脉CTA成像；多器官联合成像；能谱成像；具备胸痛三联、脑卒中、心血管智能快速成像功能；具备AI辅助定位、参数设定、自动纠正、重建等智能化功能。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二、主要技术参数：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球管热容量≥30MHU或或性能相当的高散热率球管；2.探测器：≥256排，或双源≥2×96排，或双层≥2×128排；3.高压发生器功率≥100KW；4.机架孔径≥78cm；5.每圈扫描时间≤0.28秒；6.智能辅助定位、智能参数设定、智能重建；7.低剂量方案；8.最新实时迭代重建算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三、主要配置：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1.CT整机；2.原厂后处理工作站；3.双通道高压注射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.提供DICOM接口，完成PACS连接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.其他保障设备正常运行必须配置的附件设施。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五、其他：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1.列明投标型号最新最全软硬件配置，未列明配置默认包含在内（含选配件）；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3年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整体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免费保修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.提供出保后的年度维保方案及价格。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X射线计算机体层摄影装置（CT）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700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一、主要功能：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全身各部位平扫；三维重建；多平面重建；CT电影功能；最大及最小密度投影；CT血管造影；容积重建；血管测量；去骨和骨分离功能；多平面重建；表面重建等常规CT影像处理功能。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二、主要技术参数：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1.球管热容量≥7MHU；2.探测器≥64排；3.机架孔径≥70cm；4.每圈扫描时间≤0.35秒；5.智能辅助定位、智能参数设定、智能重建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三、主要配置：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1.CT整机；2.原厂后处理工作站；3.双通道高压注射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.提供DICOM接口，完成PACS连接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.其他保障设备正常运行必须配置的附件设施。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五、其他：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1.列明投标型号最新最全软硬件配置，未列明配置默认包含在内（含选配件）；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3年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整体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免费保修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.提供出保后的年度维保方案及价格。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2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X射线计算机体层摄影装置（CT）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主要功能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本招标设备主要用于放疗病人定位CT图像的采集，具有常规CT扫描和4维CT扫描及图像重建功能，CT模拟定位功能，且必须是大孔径（孔径≥80cm）。设备应符合AAPM TG66报告所有要求，应具有较高的兼容性，与国际标准的网络格式（如DICOM3.0, DICOM RT ,HL7等）兼容。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二、主要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机架孔径≥80cm，倾角≥±30°，可遥控；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快扫描速度：≤0.5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秒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/360°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扫描成像：≥16层/360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sym w:font="Symbol" w:char="F0B0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高压发生器功率≥60KW；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球管热容量≥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MHU；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提供放疗专用扫描床系统，扫描床Z轴定位精度：≤±0.25mm；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具备三维激光灯接口，能读取激光灯的坐标数据，自动确定参考坐标；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提供厂家最新微辐射影像重建算法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三、主要配置：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1.CT整机；2.原厂后处理工作站；3.双通道高压注射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.提供DICOM接口，完成PACS连接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包括与TPS系统连接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5.配置进口三维定位激光灯一套；6.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配置放疗专用模拟定位碳纤维平板床；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.其他保障设备正常运行必须配置的附件设施。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五、其他：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1.列明投标型号最新最全软硬件配置，未列明配置默认包含在内（含选配件）；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3年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整体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免费保修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.提供出保后的年度维保方案及价格。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2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X射线骨密度测量仪</w:t>
            </w:r>
          </w:p>
        </w:tc>
        <w:tc>
          <w:tcPr>
            <w:tcW w:w="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一、主要功能：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1.对人体骨骼的骨密度进行测量和分析；2.可出具独立的报告，可打印清晰完整的骨龄影像，满足临床医生阅片所需要；3.影像可上传PACSS；4.一体化工作站设计。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二、主要技术参数：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1.X射线源：能同时产生高低双能X线；2.扫描线束：窄角扇形；3.扫描方式：连续自动扫描；4.探测器：数字化双能X射线平板探测器；5. 开机自检及图像质控校准功能；6.具备独立控制台，可在机房外操作曝光；7.机房内外设备急停功能。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三、主要配置：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1.双能X射线骨密度仪标准配置，包括高压发生器、球管、数字平板探测器、全身检查床等；2.具有激光定位系统；3.影像工作站；4.独立控制台；5.身体不同部位骨密度分析测量软件。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、其他：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1.列明投标型号最新最全软硬件配置，未列明配置默认包含在内（含选配件）；2.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3年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整体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免费保修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；3.提供出保后的年度维保价格。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C臂机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  <w:t>主要功能：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满足高难度外科手术、内镜下手术的临床成像需求。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  <w:t>主要技术参数：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1.球管双焦点设计，球管热容量≥300KHU；2.平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板探测器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成像大小≥30cm*30cm，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图像采集最大像素矩阵</w:t>
            </w:r>
            <w:r>
              <w:rPr>
                <w:rFonts w:hint="default" w:ascii="宋体" w:hAnsi="宋体"/>
                <w:color w:val="000000"/>
                <w:sz w:val="24"/>
              </w:rPr>
              <w:t>≥1.5K</w:t>
            </w:r>
            <w:r>
              <w:rPr>
                <w:rFonts w:hint="eastAsia" w:ascii="宋体" w:hAnsi="宋体"/>
                <w:color w:val="000000"/>
                <w:sz w:val="24"/>
              </w:rPr>
              <w:t>×</w:t>
            </w:r>
            <w:r>
              <w:rPr>
                <w:rFonts w:hint="default" w:ascii="宋体" w:hAnsi="宋体"/>
                <w:color w:val="000000"/>
                <w:sz w:val="24"/>
              </w:rPr>
              <w:t>1.5K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default" w:ascii="宋体" w:hAnsi="宋体"/>
                <w:color w:val="000000"/>
                <w:sz w:val="24"/>
              </w:rPr>
              <w:t>图像采集灰阶≥16 bit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；3.</w:t>
            </w:r>
            <w:r>
              <w:rPr>
                <w:rFonts w:hint="eastAsia" w:ascii="宋体" w:hAnsi="宋体"/>
                <w:sz w:val="24"/>
                <w:szCs w:val="24"/>
              </w:rPr>
              <w:t>C形臂能垂直、水平方向移动，C臂开口</w:t>
            </w:r>
            <w:r>
              <w:rPr>
                <w:rFonts w:hint="default" w:ascii="宋体" w:hAnsi="宋体"/>
                <w:sz w:val="24"/>
                <w:szCs w:val="24"/>
              </w:rPr>
              <w:t>≥7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hint="default" w:ascii="宋体" w:hAnsi="宋体"/>
                <w:sz w:val="24"/>
                <w:szCs w:val="24"/>
              </w:rPr>
              <w:t>cm</w:t>
            </w:r>
            <w:r>
              <w:rPr>
                <w:rFonts w:hint="eastAsia" w:ascii="宋体" w:hAnsi="宋体"/>
                <w:sz w:val="24"/>
                <w:szCs w:val="24"/>
              </w:rPr>
              <w:t>，C臂弧深</w:t>
            </w:r>
            <w:r>
              <w:rPr>
                <w:rFonts w:hint="default" w:ascii="宋体" w:hAnsi="宋体"/>
                <w:sz w:val="24"/>
                <w:szCs w:val="24"/>
              </w:rPr>
              <w:t>≥6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hint="default" w:ascii="宋体" w:hAnsi="宋体"/>
                <w:sz w:val="24"/>
                <w:szCs w:val="24"/>
              </w:rPr>
              <w:t>cm</w:t>
            </w:r>
            <w:r>
              <w:rPr>
                <w:rFonts w:hint="eastAsia" w:ascii="宋体" w:hAnsi="宋体"/>
                <w:sz w:val="24"/>
                <w:szCs w:val="24"/>
              </w:rPr>
              <w:t>；4.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显示器4K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以上清晰度，</w:t>
            </w:r>
            <w:r>
              <w:rPr>
                <w:rFonts w:hint="eastAsia" w:ascii="宋体" w:hAnsi="宋体"/>
                <w:sz w:val="24"/>
                <w:szCs w:val="24"/>
              </w:rPr>
              <w:t>尺寸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≥32英寸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宋体" w:hAnsi="宋体"/>
                <w:sz w:val="24"/>
                <w:szCs w:val="24"/>
              </w:rPr>
              <w:t>显示器支架可旋转拉伸</w:t>
            </w:r>
            <w:r>
              <w:rPr>
                <w:rFonts w:hint="eastAsia" w:ascii="宋体" w:hAnsi="宋体"/>
                <w:sz w:val="24"/>
                <w:szCs w:val="24"/>
              </w:rPr>
              <w:t>；5.控制台、检查床含急停功能；5.DICOM3.0接口。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  <w:t>主要配置：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C臂机标准配置包括高压发生器、C臂、球管、数字平板探测器、一体化控制台；2.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医用4K显示器</w:t>
            </w:r>
            <w:r>
              <w:rPr>
                <w:rFonts w:hint="default" w:ascii="宋体" w:hAnsi="宋体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sz w:val="24"/>
                <w:szCs w:val="24"/>
              </w:rPr>
              <w:t>2个；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3.图像处理工作站一套含PACS接口；4.全身透视检查床一张；5.数字化图像处理软件系统；6.配无线操控盒。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  <w:t>其他：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1.列明投标型号最新最全软硬件配置，未列明配置默认包含在内（含选配件）；2.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default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3年整体免费保修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；3.提供出保后的年度维保价格。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数字化摄影X射线机（1）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一、主要功能：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全身各部位立位、卧位、倾斜摄影等常规X线投照摄影。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主要技术参数：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 xml:space="preserve">1. 双立柱式；球管焦点≤ 0.6/1.2mm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；3.数字化平板探测器，4.球管功率≥80KW；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.阳极热容量≥300KHU； 5.DICOM3.0接口。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主要配置：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1.平板探测器1块，2.铅衣架及铅衣 1套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3.图像处理工作站一套含PACS接口。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、其他：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1.列明投标型号最新最全软硬件配置，未列明配置默认包含在内（含选配件）；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default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3年整体免费保修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；3.提供出保后的年度维保价格。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数字化摄影X射线机（2）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38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一、主要功能：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用于头颅.脊柱.四肢.胸部.腹部等全身站立位和卧位的数字X线摄影系统。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二、主要技术参数：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 悬吊式；2.球管双焦点设计，球管焦点≤ 0.6/1.2mm 3.球管功率≥54KW；4.阳极热容量≥230KHU；；5.平板探测器成像大小≥17cm*17cm像素尺寸≤ 150um 6.无线移动式平板探测器，探测器无线充电装置：实时在线充电，无需插拔；5.DICOM3.0接口。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三、主要配置：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1.无线数字平板探测器2块；2.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医用4K显示器≥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 xml:space="preserve">2个；3.图像处理工作站一套含PACS接口；4.数字化图像处理软件系统；5.立式铅衣架及配套铅衣 4套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、其他：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1.列明投标型号最新最全软硬件配置，未列明配置默认包含在内（含选配件）；2.提供至少5年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保修；3.提供出保后的年度维保价格。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数字化摄影X射线机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（移动式）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一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主要功能：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满足移动X线投照摄影需求。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主要技术参数：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1.球管功率≥30kW；2.阳极热容量≥140kHU；3.双焦点X线球管,无线平板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探测器尺寸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≥14×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17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；4.遥控器：遥控器可控制设备运动，曝光,5.充电模式：支持220V交流电与快充模式, 6.运动方式：支持手动推行，电动助力推行，遥控行走；7.DICOM3.0接口。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主要配置：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高压发生器；2.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 xml:space="preserve">双焦点X线球管；3. 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数字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平板探测器；4. 图像处理工作站一套含PACS接口；5.数字化图像处理软件系统；6.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无线射频遥控器。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其他：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1.列明投标型号最新最全软硬件配置，未列明配置默认包含在内（含选配件）；2.提供至少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保修；3.提供出保后的年度维保价格。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磁共振成像系统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(1)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6000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2000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both"/>
              <w:textAlignment w:val="auto"/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主要功能：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身磁共振成像；BOLD脑功能成像；弥散成像；动脉自旋标记成像；脑灌注、体灌注、心肌灌注等灌注成像功能；乳腺成像；心脏成像，心肌成像、白血、黑血、心脏定量图谱；前列腺成像；外周神经系统成像；脂肪定量成像技术；连续弥散；定量图谱成像；增强型动态血管造影；全身压缩感知成像；三维容积多期动态增强脂肪抑制成像技术；具备压缩感知2D、3D全身各系统成像功能，包括但不限于神经、体部、骨肌、脊柱、血管、心脏、乳腺、关节等；具备高级后处理系统及各种成像软件包。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二、主要技术参数：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1.磁场强度3.0T；2.梯度场强≥60mT/m，切换率≥200T/m/s；3.孔径≥65cm。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三、主要配置：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1.磁共振主机及配套检查床、精密空调、冷却系统等；2.后处理工作站；3.高压注射器（提供品牌型号）；4.配置全身各部位线圈；5.承担PACS端口费6.其他为保证设备正常运行所需的设施、附件等。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Style w:val="19"/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五、其他：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8"/>
                <w:rFonts w:hint="default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"/>
              </w:rPr>
              <w:t>提供相应品牌最高档机型；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2.列明投标型号最新最全软硬件配置，未列明配置默认包含在内（含选配件）；3.提供</w:t>
            </w:r>
            <w:r>
              <w:rPr>
                <w:rStyle w:val="18"/>
                <w:rFonts w:hint="default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3年</w:t>
            </w:r>
            <w:r>
              <w:rPr>
                <w:rStyle w:val="18"/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整体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免费保修；4.提供出保后的年度维保价格。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磁共振成像系统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(2)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</w:rPr>
              <w:t>3000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1500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主要功能：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身磁共振成像；BOLD脑功能成像；弥散成像；动脉自旋标记成像；脑灌注、体灌注、心肌灌注等灌注成像功能；乳腺成像；心脏成像，心肌成像、白血、黑血、心脏定量图谱；前列腺成像；外周神经系统成像；脂肪定量成像技术；连续弥散；定量图谱成像；增强型动态血管造影；全身压缩感知成像；三维容积多期动态增强脂肪抑制成像技术等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二、主要技术参数：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1.磁场强度3.0T；2.梯度场强≥45mT/m，切换率≥200T/m/s；3.机架孔径≥65cm。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三、主要配置：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1.磁共振主机及配套检查床、精密空调、冷却系统等；2.后处理工作站；3.高压注射器（提供品牌型号）；4.配置全身各部位线圈；5.承担PACS端口费6.其他为保证设备正常运行所需的设施、附件等。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四、资料要求：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1.报名调研的机型以符合上述需求的机型为主，提供彩页及浙江省内用户名单；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.提供投标机型详细技术参数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五、其他：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1.列明投标型号最新最全软硬件配置，未列明配置默认包含在内（含选配件）；2.提供</w:t>
            </w:r>
            <w:r>
              <w:rPr>
                <w:rFonts w:hint="default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3年整体免费保修；3.提供出保后的年度维保价格。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pStyle w:val="14"/>
        <w:spacing w:line="360" w:lineRule="auto"/>
        <w:ind w:firstLine="0" w:firstLineChars="0"/>
        <w:rPr>
          <w:rFonts w:ascii="Arial" w:hAnsi="Arial" w:eastAsia="宋体" w:cs="Arial"/>
          <w:b/>
          <w:bCs/>
          <w:kern w:val="0"/>
          <w:szCs w:val="21"/>
          <w:lang w:eastAsia="zh-CN"/>
        </w:rPr>
      </w:pP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Arial" w:hAnsi="Arial" w:eastAsia="宋体" w:cs="Arial"/>
          <w:b/>
          <w:bCs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Arial" w:hAnsi="Arial" w:eastAsia="宋体" w:cs="Arial"/>
          <w:b/>
          <w:bCs/>
          <w:color w:val="auto"/>
          <w:kern w:val="0"/>
          <w:highlight w:val="none"/>
          <w:lang w:eastAsia="zh-CN"/>
        </w:rPr>
        <w:t>合格报名人的资格要求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符合《中华人</w:t>
      </w:r>
      <w:r>
        <w:rPr>
          <w:rFonts w:hint="eastAsia" w:asciiTheme="minorEastAsia" w:hAnsiTheme="minorEastAsia"/>
          <w:b w:val="0"/>
          <w:bCs w:val="0"/>
          <w:color w:val="auto"/>
          <w:highlight w:val="none"/>
          <w:lang w:eastAsia="zh-CN"/>
        </w:rPr>
        <w:t>民共和国政府采购法》第二十二条规定，即：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1.1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具有独立承担民事责任的能力；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1.2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具有良好的商业信誉和健全的财务会计制度；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1.3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具有履行合同所必需的设备和专业技术能力；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1.4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有依法缴纳税收和社会保障资金的良好记录；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left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1.5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法律、行政法规规定的其他条件。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2、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 xml:space="preserve">参加本次招标采购活动前三年内，投标单位及法人、授权销售代表在经营活动中无重大违法记录。 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3、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</w:rPr>
        <w:t>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Arial" w:hAnsi="Arial" w:eastAsia="宋体" w:cs="Arial"/>
          <w:b/>
          <w:bCs/>
          <w:color w:val="auto"/>
          <w:kern w:val="0"/>
          <w:highlight w:val="none"/>
        </w:rPr>
      </w:pPr>
      <w:r>
        <w:rPr>
          <w:rFonts w:hint="eastAsia" w:ascii="Arial" w:hAnsi="Arial" w:eastAsia="宋体" w:cs="Arial"/>
          <w:b/>
          <w:bCs/>
          <w:color w:val="auto"/>
          <w:kern w:val="0"/>
          <w:highlight w:val="none"/>
        </w:rPr>
        <w:t>报名及资格审核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1、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报名方式：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网络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邮件报名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1.1邮箱：</w:t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u w:val="none"/>
          <w:lang w:val="en" w:eastAsia="zh-CN"/>
        </w:rPr>
        <w:fldChar w:fldCharType="begin"/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u w:val="none"/>
          <w:lang w:val="en" w:eastAsia="zh-CN"/>
        </w:rPr>
        <w:instrText xml:space="preserve"> HYPERLINK "mailto:zzl9938@163.com（zzl为ZZL的小写字母）" </w:instrText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u w:val="none"/>
          <w:lang w:val="en" w:eastAsia="zh-CN"/>
        </w:rPr>
        <w:fldChar w:fldCharType="separate"/>
      </w:r>
      <w:r>
        <w:rPr>
          <w:rStyle w:val="10"/>
          <w:rFonts w:hint="default" w:cs="宋体" w:asciiTheme="minorEastAsia" w:hAnsiTheme="minorEastAsia"/>
          <w:b w:val="0"/>
          <w:bCs w:val="0"/>
          <w:color w:val="auto"/>
          <w:highlight w:val="none"/>
          <w:u w:val="none"/>
          <w:lang w:val="en" w:eastAsia="zh-CN"/>
        </w:rPr>
        <w:t>zzl9938</w:t>
      </w:r>
      <w:r>
        <w:rPr>
          <w:rStyle w:val="10"/>
          <w:rFonts w:hint="eastAsia" w:cs="宋体" w:asciiTheme="minorEastAsia" w:hAnsiTheme="minorEastAsia"/>
          <w:b w:val="0"/>
          <w:bCs w:val="0"/>
          <w:color w:val="auto"/>
          <w:highlight w:val="none"/>
          <w:u w:val="none"/>
          <w:lang w:eastAsia="zh-CN"/>
        </w:rPr>
        <w:t>@</w:t>
      </w:r>
      <w:r>
        <w:rPr>
          <w:rStyle w:val="10"/>
          <w:rFonts w:hint="default" w:cs="宋体" w:asciiTheme="minorEastAsia" w:hAnsiTheme="minorEastAsia"/>
          <w:b w:val="0"/>
          <w:bCs w:val="0"/>
          <w:color w:val="auto"/>
          <w:highlight w:val="none"/>
          <w:u w:val="none"/>
          <w:lang w:val="en" w:eastAsia="zh-CN"/>
        </w:rPr>
        <w:t>163</w:t>
      </w:r>
      <w:r>
        <w:rPr>
          <w:rStyle w:val="10"/>
          <w:rFonts w:hint="eastAsia" w:cs="宋体" w:asciiTheme="minorEastAsia" w:hAnsiTheme="minorEastAsia"/>
          <w:b w:val="0"/>
          <w:bCs w:val="0"/>
          <w:color w:val="auto"/>
          <w:highlight w:val="none"/>
          <w:u w:val="none"/>
          <w:lang w:eastAsia="zh-CN"/>
        </w:rPr>
        <w:t>.com（</w:t>
      </w:r>
      <w:r>
        <w:rPr>
          <w:rStyle w:val="10"/>
          <w:rFonts w:hint="eastAsia" w:cs="宋体" w:asciiTheme="minorEastAsia" w:hAnsiTheme="minorEastAsia"/>
          <w:b w:val="0"/>
          <w:bCs w:val="0"/>
          <w:color w:val="auto"/>
          <w:highlight w:val="none"/>
          <w:u w:val="none"/>
          <w:lang w:val="en-US" w:eastAsia="zh-CN"/>
        </w:rPr>
        <w:t>zzl为ZZL的小写字母</w:t>
      </w:r>
      <w:r>
        <w:rPr>
          <w:rStyle w:val="10"/>
          <w:rFonts w:hint="eastAsia" w:cs="宋体" w:asciiTheme="minorEastAsia" w:hAnsiTheme="minorEastAsia"/>
          <w:b w:val="0"/>
          <w:bCs w:val="0"/>
          <w:color w:val="auto"/>
          <w:highlight w:val="none"/>
          <w:u w:val="none"/>
          <w:lang w:eastAsia="zh-CN"/>
        </w:rPr>
        <w:t>）</w:t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u w:val="none"/>
          <w:lang w:val="en" w:eastAsia="zh-CN"/>
        </w:rPr>
        <w:fldChar w:fldCharType="end"/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default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1.2邮件命名：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xx 公司+xx 项目报名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材料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2、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报名截止时间：</w:t>
      </w:r>
      <w:bookmarkStart w:id="0" w:name="B17_招标文件发售起始日期"/>
      <w:bookmarkEnd w:id="0"/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202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年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</w:t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lang w:val="en" w:eastAsia="zh-CN"/>
        </w:rPr>
        <w:t>0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月</w:t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lang w:val="en" w:eastAsia="zh-CN"/>
        </w:rPr>
        <w:t>3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日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</w:t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lang w:val="en" w:eastAsia="zh-CN"/>
        </w:rPr>
        <w:t>2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:00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cs="宋体" w:asciiTheme="minorEastAsia" w:hAnsiTheme="minorEastAsia"/>
          <w:b w:val="0"/>
          <w:bCs w:val="0"/>
          <w:color w:val="auto"/>
          <w:highlight w:val="red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3、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联系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电话：</w:t>
      </w:r>
      <w:r>
        <w:rPr>
          <w:rFonts w:hint="default" w:cs="宋体" w:asciiTheme="minorEastAsia" w:hAnsiTheme="minorEastAsia"/>
          <w:b w:val="0"/>
          <w:bCs w:val="0"/>
          <w:color w:val="auto"/>
          <w:highlight w:val="none"/>
          <w:lang w:val="en" w:eastAsia="zh-CN"/>
        </w:rPr>
        <w:t>13575386282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" w:eastAsia="zh-CN"/>
        </w:rPr>
        <w:t>，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13757806638</w:t>
      </w:r>
      <w:bookmarkStart w:id="1" w:name="_GoBack"/>
      <w:bookmarkEnd w:id="1"/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4、需提交的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报名资料：</w:t>
      </w:r>
    </w:p>
    <w:p>
      <w:pPr>
        <w:pStyle w:val="1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136" w:firstLine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表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见附件一）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；</w:t>
      </w:r>
    </w:p>
    <w:p>
      <w:pPr>
        <w:pStyle w:val="1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136" w:firstLine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拟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报名产品的介绍PPT（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时长不超过5分钟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）；</w:t>
      </w:r>
    </w:p>
    <w:p>
      <w:pPr>
        <w:pStyle w:val="1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136" w:firstLine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产品技术白皮书、完整版技术参数及同档次机型（不少于三款）技术参数对照表、配置清单；</w:t>
      </w:r>
    </w:p>
    <w:p>
      <w:pPr>
        <w:pStyle w:val="1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136" w:firstLineChars="0"/>
        <w:textAlignment w:val="auto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有效的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营业执照（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复印件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）；</w:t>
      </w:r>
    </w:p>
    <w:p>
      <w:pPr>
        <w:pStyle w:val="1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136" w:firstLineChars="0"/>
        <w:textAlignment w:val="auto"/>
        <w:rPr>
          <w:rFonts w:hint="default" w:cs="宋体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法人授权代表委托书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及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被授权人身份证复印件；</w:t>
      </w:r>
    </w:p>
    <w:p>
      <w:pPr>
        <w:pStyle w:val="1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136" w:firstLineChars="0"/>
        <w:textAlignment w:val="auto"/>
        <w:rPr>
          <w:rFonts w:hint="default" w:cs="宋体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  <w:t>医疗器械生产或经营许可证（备案证）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医疗器械注册证、原厂授权书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jc w:val="left"/>
        <w:textAlignment w:val="auto"/>
        <w:rPr>
          <w:rFonts w:cs="宋体" w:asciiTheme="minorEastAsia" w:hAnsiTheme="minorEastAsia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b/>
          <w:bCs/>
          <w:i w:val="0"/>
          <w:iCs w:val="0"/>
          <w:color w:val="auto"/>
          <w:sz w:val="24"/>
          <w:highlight w:val="none"/>
          <w:lang w:val="en-US" w:eastAsia="zh-CN"/>
        </w:rPr>
        <w:t>备注：将以上报名资料电子版（盖章扫描版和可编辑版）发送至指定邮箱。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 w:right="103" w:rightChars="0"/>
        <w:textAlignment w:val="auto"/>
        <w:rPr>
          <w:rFonts w:ascii="Arial" w:hAnsi="Arial" w:eastAsia="宋体" w:cs="Arial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highlight w:val="none"/>
        </w:rPr>
        <w:t>报名后资格审查：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05" w:firstLine="600" w:firstLineChars="250"/>
        <w:jc w:val="left"/>
        <w:textAlignment w:val="auto"/>
        <w:rPr>
          <w:rFonts w:ascii="Arial" w:hAnsi="Arial" w:eastAsia="宋体" w:cs="Arial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</w:rPr>
        <w:t>邮件报名时必须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按要求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</w:rPr>
        <w:t>提供完整的报名资料，并接受资格审核，审查合格可参加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现场调研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</w:rPr>
        <w:t>，否则视无效报名。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Arial" w:hAnsi="Arial" w:eastAsia="宋体" w:cs="Arial"/>
          <w:b/>
          <w:bCs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Arial" w:hAnsi="Arial" w:eastAsia="宋体" w:cs="Arial"/>
          <w:b/>
          <w:bCs/>
          <w:color w:val="auto"/>
          <w:kern w:val="0"/>
          <w:highlight w:val="none"/>
          <w:lang w:val="en-US" w:eastAsia="zh-CN"/>
        </w:rPr>
        <w:t>现场调研要求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1、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eastAsia="zh-CN"/>
        </w:rPr>
        <w:t>时间：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2024年11月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highlight w:val="none"/>
          <w:lang w:val="en" w:eastAsia="zh-CN"/>
        </w:rPr>
        <w:t>1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日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highlight w:val="none"/>
          <w:lang w:val="en" w:eastAsia="zh-CN"/>
        </w:rPr>
        <w:t>8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highlight w:val="none"/>
          <w:lang w:val="en" w:eastAsia="zh-CN"/>
        </w:rPr>
        <w:t>3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0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2、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地点：丽水市行政中心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highlight w:val="none"/>
          <w:lang w:val="en" w:eastAsia="zh-CN"/>
        </w:rPr>
        <w:t>1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楼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highlight w:val="none"/>
          <w:lang w:val="en" w:eastAsia="zh-CN"/>
        </w:rPr>
        <w:t>0116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会议室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3、参加调研的供应商根据本通知安排的时间准时参加，过时将不再安排介绍。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4、同一项目介绍次序将按照报名递交完整资料时间排序，最晚递交者首先介绍。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>介绍团队中必须有1名产品专家。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  <w:t xml:space="preserve"> 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Arial" w:hAnsi="Arial" w:eastAsia="宋体" w:cs="Arial"/>
          <w:b w:val="0"/>
          <w:bCs w:val="0"/>
          <w:color w:val="auto"/>
          <w:kern w:val="0"/>
          <w:highlight w:val="none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360" w:lineRule="auto"/>
        <w:ind w:firstLine="2160" w:firstLineChars="90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丽水市县域</w:t>
      </w:r>
      <w:r>
        <w:rPr>
          <w:color w:val="auto"/>
        </w:rPr>
        <w:t>医共体医疗设备更新项目</w:t>
      </w:r>
      <w:r>
        <w:rPr>
          <w:rFonts w:hint="eastAsia"/>
          <w:color w:val="auto"/>
          <w:lang w:eastAsia="zh-CN"/>
        </w:rPr>
        <w:t>集中采购工作小组</w:t>
      </w:r>
    </w:p>
    <w:p>
      <w:pPr>
        <w:pStyle w:val="6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rFonts w:hint="eastAsia"/>
          <w:color w:val="auto"/>
        </w:rPr>
        <w:t>2024年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26</w:t>
      </w:r>
      <w:r>
        <w:rPr>
          <w:rFonts w:hint="eastAsia"/>
          <w:color w:val="auto"/>
        </w:rPr>
        <w:t>日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附件一：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default" w:ascii="宋体" w:hAnsi="宋体" w:eastAsia="宋体" w:cs="Arial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Arial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8"/>
        <w:tblpPr w:leftFromText="180" w:rightFromText="180" w:vertAnchor="text" w:horzAnchor="page" w:tblpX="1764" w:tblpY="397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89"/>
        <w:gridCol w:w="1300"/>
        <w:gridCol w:w="1338"/>
        <w:gridCol w:w="1690"/>
        <w:gridCol w:w="106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left" w:pos="993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default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79253"/>
    <w:multiLevelType w:val="singleLevel"/>
    <w:tmpl w:val="1CF792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7445AF"/>
    <w:multiLevelType w:val="multilevel"/>
    <w:tmpl w:val="507445A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eastAsia"/>
        <w:b/>
        <w:bCs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E93E23"/>
    <w:multiLevelType w:val="multilevel"/>
    <w:tmpl w:val="5FE93E23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23AB43"/>
    <w:multiLevelType w:val="singleLevel"/>
    <w:tmpl w:val="6923AB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CAB3058"/>
    <w:multiLevelType w:val="singleLevel"/>
    <w:tmpl w:val="7CAB30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TM0MzdmODk3OGQ5NTUzYjQzMGU1ZDAyMzg0M2MifQ=="/>
  </w:docVars>
  <w:rsids>
    <w:rsidRoot w:val="00753CBE"/>
    <w:rsid w:val="0001295E"/>
    <w:rsid w:val="001A2330"/>
    <w:rsid w:val="001D3AC9"/>
    <w:rsid w:val="00225ED3"/>
    <w:rsid w:val="002C3B8A"/>
    <w:rsid w:val="002C5501"/>
    <w:rsid w:val="00307A39"/>
    <w:rsid w:val="00373F1F"/>
    <w:rsid w:val="005D0411"/>
    <w:rsid w:val="006846BB"/>
    <w:rsid w:val="00753CBE"/>
    <w:rsid w:val="008B30A1"/>
    <w:rsid w:val="009008F1"/>
    <w:rsid w:val="009527D1"/>
    <w:rsid w:val="00BD29A4"/>
    <w:rsid w:val="00E24FE1"/>
    <w:rsid w:val="01EC20E2"/>
    <w:rsid w:val="043A5387"/>
    <w:rsid w:val="08485B98"/>
    <w:rsid w:val="093751BF"/>
    <w:rsid w:val="0AE20526"/>
    <w:rsid w:val="107126BA"/>
    <w:rsid w:val="13743CE5"/>
    <w:rsid w:val="13912AE9"/>
    <w:rsid w:val="13BB7B66"/>
    <w:rsid w:val="18D21D82"/>
    <w:rsid w:val="19F6D245"/>
    <w:rsid w:val="1E7C98FC"/>
    <w:rsid w:val="1F3337BB"/>
    <w:rsid w:val="21921716"/>
    <w:rsid w:val="246B5E9B"/>
    <w:rsid w:val="26B50445"/>
    <w:rsid w:val="292F44DF"/>
    <w:rsid w:val="2B3F76B4"/>
    <w:rsid w:val="2D3622E0"/>
    <w:rsid w:val="2DE03FF9"/>
    <w:rsid w:val="2F261EE0"/>
    <w:rsid w:val="31450125"/>
    <w:rsid w:val="347F26D8"/>
    <w:rsid w:val="36C344B8"/>
    <w:rsid w:val="38D8618B"/>
    <w:rsid w:val="3A267238"/>
    <w:rsid w:val="3A6024DA"/>
    <w:rsid w:val="3AEE244B"/>
    <w:rsid w:val="3B070E17"/>
    <w:rsid w:val="3B2E2848"/>
    <w:rsid w:val="3BD53447"/>
    <w:rsid w:val="3D0A4BEF"/>
    <w:rsid w:val="3FBD481E"/>
    <w:rsid w:val="3FFEDFD0"/>
    <w:rsid w:val="42415557"/>
    <w:rsid w:val="47E36768"/>
    <w:rsid w:val="49BD46FA"/>
    <w:rsid w:val="4D36558C"/>
    <w:rsid w:val="4EAD187E"/>
    <w:rsid w:val="50A82C45"/>
    <w:rsid w:val="54EA382C"/>
    <w:rsid w:val="55545149"/>
    <w:rsid w:val="556A2277"/>
    <w:rsid w:val="56A31EE4"/>
    <w:rsid w:val="5A3B68D8"/>
    <w:rsid w:val="5DDFB90E"/>
    <w:rsid w:val="5E0C737D"/>
    <w:rsid w:val="62D74676"/>
    <w:rsid w:val="63F83144"/>
    <w:rsid w:val="656C5B97"/>
    <w:rsid w:val="6763E6C4"/>
    <w:rsid w:val="684626D0"/>
    <w:rsid w:val="6A1D1B56"/>
    <w:rsid w:val="6B524310"/>
    <w:rsid w:val="6B581098"/>
    <w:rsid w:val="6BAE6F0A"/>
    <w:rsid w:val="6C6F3455"/>
    <w:rsid w:val="6CF03552"/>
    <w:rsid w:val="6D725D15"/>
    <w:rsid w:val="6DF9BE4E"/>
    <w:rsid w:val="6F984159"/>
    <w:rsid w:val="713C4FB8"/>
    <w:rsid w:val="727B1B10"/>
    <w:rsid w:val="735760D9"/>
    <w:rsid w:val="73593BFF"/>
    <w:rsid w:val="73D43285"/>
    <w:rsid w:val="756D3568"/>
    <w:rsid w:val="775F2BBB"/>
    <w:rsid w:val="78872FBC"/>
    <w:rsid w:val="7B753B92"/>
    <w:rsid w:val="7BA94FF8"/>
    <w:rsid w:val="7C1A4147"/>
    <w:rsid w:val="7DB8FAF2"/>
    <w:rsid w:val="9A7D01E0"/>
    <w:rsid w:val="9ABC86BA"/>
    <w:rsid w:val="A3BFB53C"/>
    <w:rsid w:val="BD7FB9AF"/>
    <w:rsid w:val="EDACCE0E"/>
    <w:rsid w:val="EDF388B0"/>
    <w:rsid w:val="EEEE0320"/>
    <w:rsid w:val="F3FBC66C"/>
    <w:rsid w:val="F77D0A31"/>
    <w:rsid w:val="F8FD67FD"/>
    <w:rsid w:val="FAFF1A0B"/>
    <w:rsid w:val="FB5D35B9"/>
    <w:rsid w:val="FB7D76C9"/>
    <w:rsid w:val="FD3BE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/>
      <w:sz w:val="28"/>
      <w:szCs w:val="24"/>
    </w:r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  <w:rPr>
      <w:rFonts w:asciiTheme="minorHAnsi" w:hAnsiTheme="minorHAnsi"/>
      <w:sz w:val="21"/>
      <w:szCs w:val="22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4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2">
    <w:name w:val="font51"/>
    <w:basedOn w:val="9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5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6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</w:rPr>
  </w:style>
  <w:style w:type="character" w:customStyle="1" w:styleId="19">
    <w:name w:val="15"/>
    <w:basedOn w:val="9"/>
    <w:qFormat/>
    <w:uiPriority w:val="0"/>
    <w:rPr>
      <w:rFonts w:hint="default" w:ascii="等线" w:hAnsi="等线" w:eastAsia="等线" w:cs="等线"/>
      <w:b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4616</Words>
  <Characters>5242</Characters>
  <Lines>1</Lines>
  <Paragraphs>1</Paragraphs>
  <TotalTime>5</TotalTime>
  <ScaleCrop>false</ScaleCrop>
  <LinksUpToDate>false</LinksUpToDate>
  <CharactersWithSpaces>5326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2024-01-12T16:01:00Z</dcterms:created>
  <dc:creator>Administrator</dc:creator>
  <cp:lastModifiedBy>张樟林</cp:lastModifiedBy>
  <dcterms:modified xsi:type="dcterms:W3CDTF">2024-10-26T10:25:18Z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B7A60D42DB2449F392E3F53A6700F4B5_12</vt:lpwstr>
  </property>
</Properties>
</file>